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E59B0" w14:textId="77777777" w:rsidR="00F00AD1" w:rsidRPr="00391419" w:rsidRDefault="008A7126" w:rsidP="00B9425C">
      <w:pPr>
        <w:pStyle w:val="Title"/>
        <w:spacing w:after="0" w:line="0" w:lineRule="atLeast"/>
        <w:jc w:val="both"/>
        <w:rPr>
          <w:rFonts w:cs="Calibri"/>
          <w:b/>
          <w:bCs/>
          <w:color w:val="000000" w:themeColor="text1"/>
          <w:sz w:val="24"/>
          <w:szCs w:val="24"/>
        </w:rPr>
      </w:pPr>
      <w:r w:rsidRPr="00391419">
        <w:rPr>
          <w:rFonts w:cs="Calibri"/>
          <w:b/>
          <w:bCs/>
          <w:color w:val="000000" w:themeColor="text1"/>
          <w:sz w:val="24"/>
          <w:szCs w:val="24"/>
        </w:rPr>
        <w:t>TITLE:</w:t>
      </w:r>
    </w:p>
    <w:p w14:paraId="642E0B3A" w14:textId="78CAA28D" w:rsidR="001E6A18"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Establishing a Microfluidic Co-Culture Blood–Brain Barrier Model Using Human Brain Endothelial Cells and Astrocytes</w:t>
      </w:r>
    </w:p>
    <w:p w14:paraId="08553470" w14:textId="77777777" w:rsidR="00F00AD1" w:rsidRPr="00391419" w:rsidRDefault="00F00AD1" w:rsidP="00B9425C">
      <w:pPr>
        <w:spacing w:after="0" w:line="0" w:lineRule="atLeast"/>
        <w:jc w:val="both"/>
        <w:rPr>
          <w:rFonts w:cs="Calibri"/>
          <w:color w:val="000000" w:themeColor="text1"/>
          <w:szCs w:val="24"/>
        </w:rPr>
      </w:pPr>
    </w:p>
    <w:p w14:paraId="1AA6044F" w14:textId="0A19AB18" w:rsidR="00F00AD1"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AUTHORS AND AFFILIATIONS:</w:t>
      </w:r>
    </w:p>
    <w:p w14:paraId="6690ED44" w14:textId="0B102120" w:rsidR="00F00AD1"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Sarah Aimee Boardman</w:t>
      </w:r>
      <w:r w:rsidRPr="00391419">
        <w:rPr>
          <w:rFonts w:cs="Calibri"/>
          <w:color w:val="000000" w:themeColor="text1"/>
          <w:szCs w:val="24"/>
          <w:vertAlign w:val="superscript"/>
        </w:rPr>
        <w:t>1,2</w:t>
      </w:r>
      <w:r w:rsidRPr="00391419">
        <w:rPr>
          <w:rFonts w:cs="Calibri"/>
          <w:color w:val="000000" w:themeColor="text1"/>
          <w:szCs w:val="24"/>
        </w:rPr>
        <w:t>, Jenna Marie Rosano</w:t>
      </w:r>
      <w:r w:rsidRPr="00391419">
        <w:rPr>
          <w:rFonts w:cs="Calibri"/>
          <w:color w:val="000000" w:themeColor="text1"/>
          <w:szCs w:val="24"/>
          <w:vertAlign w:val="superscript"/>
        </w:rPr>
        <w:t>3</w:t>
      </w:r>
      <w:r w:rsidRPr="00391419">
        <w:rPr>
          <w:rFonts w:cs="Calibri"/>
          <w:color w:val="000000" w:themeColor="text1"/>
          <w:szCs w:val="24"/>
        </w:rPr>
        <w:t>, Claire Dawn Hetherington</w:t>
      </w:r>
      <w:r w:rsidRPr="00391419">
        <w:rPr>
          <w:rFonts w:cs="Calibri"/>
          <w:color w:val="000000" w:themeColor="text1"/>
          <w:szCs w:val="24"/>
          <w:vertAlign w:val="superscript"/>
        </w:rPr>
        <w:t>1,2</w:t>
      </w:r>
      <w:r w:rsidRPr="00391419">
        <w:rPr>
          <w:rFonts w:cs="Calibri"/>
          <w:color w:val="000000" w:themeColor="text1"/>
          <w:szCs w:val="24"/>
        </w:rPr>
        <w:t>, Cordelia Dunai</w:t>
      </w:r>
      <w:r w:rsidRPr="00391419">
        <w:rPr>
          <w:rFonts w:cs="Calibri"/>
          <w:color w:val="000000" w:themeColor="text1"/>
          <w:szCs w:val="24"/>
          <w:vertAlign w:val="superscript"/>
        </w:rPr>
        <w:t>1,2,4</w:t>
      </w:r>
      <w:r w:rsidRPr="00391419">
        <w:rPr>
          <w:rFonts w:cs="Calibri"/>
          <w:color w:val="000000" w:themeColor="text1"/>
          <w:szCs w:val="24"/>
        </w:rPr>
        <w:t>, Thomas David Bateman-Price</w:t>
      </w:r>
      <w:r w:rsidRPr="00391419">
        <w:rPr>
          <w:rFonts w:cs="Calibri"/>
          <w:color w:val="000000" w:themeColor="text1"/>
          <w:szCs w:val="24"/>
          <w:vertAlign w:val="superscript"/>
        </w:rPr>
        <w:t>5</w:t>
      </w:r>
      <w:r w:rsidRPr="00391419">
        <w:rPr>
          <w:rFonts w:cs="Calibri"/>
          <w:color w:val="000000" w:themeColor="text1"/>
          <w:szCs w:val="24"/>
        </w:rPr>
        <w:t>, Marie Held</w:t>
      </w:r>
      <w:r w:rsidRPr="00391419">
        <w:rPr>
          <w:rFonts w:cs="Calibri"/>
          <w:color w:val="000000" w:themeColor="text1"/>
          <w:szCs w:val="24"/>
          <w:vertAlign w:val="superscript"/>
        </w:rPr>
        <w:t>6</w:t>
      </w:r>
      <w:r w:rsidRPr="00391419">
        <w:rPr>
          <w:rFonts w:cs="Calibri"/>
          <w:color w:val="000000" w:themeColor="text1"/>
          <w:szCs w:val="24"/>
        </w:rPr>
        <w:t>, Thomas Waring</w:t>
      </w:r>
      <w:r w:rsidRPr="00391419">
        <w:rPr>
          <w:rFonts w:cs="Calibri"/>
          <w:color w:val="000000" w:themeColor="text1"/>
          <w:szCs w:val="24"/>
          <w:vertAlign w:val="superscript"/>
        </w:rPr>
        <w:t>6</w:t>
      </w:r>
      <w:r w:rsidRPr="00391419">
        <w:rPr>
          <w:rFonts w:cs="Calibri"/>
          <w:color w:val="000000" w:themeColor="text1"/>
          <w:szCs w:val="24"/>
        </w:rPr>
        <w:t>, Marco Marcello</w:t>
      </w:r>
      <w:r w:rsidRPr="00391419">
        <w:rPr>
          <w:rFonts w:cs="Calibri"/>
          <w:color w:val="000000" w:themeColor="text1"/>
          <w:szCs w:val="24"/>
          <w:vertAlign w:val="superscript"/>
        </w:rPr>
        <w:t>6</w:t>
      </w:r>
      <w:r w:rsidRPr="00391419">
        <w:rPr>
          <w:rFonts w:cs="Calibri"/>
          <w:color w:val="000000" w:themeColor="text1"/>
          <w:szCs w:val="24"/>
        </w:rPr>
        <w:t>, Franklyn Nkongho Egbe</w:t>
      </w:r>
      <w:r w:rsidRPr="00391419">
        <w:rPr>
          <w:rFonts w:cs="Calibri"/>
          <w:color w:val="000000" w:themeColor="text1"/>
          <w:szCs w:val="24"/>
          <w:vertAlign w:val="superscript"/>
        </w:rPr>
        <w:t>1,2</w:t>
      </w:r>
      <w:r w:rsidRPr="00391419">
        <w:rPr>
          <w:rFonts w:cs="Calibri"/>
          <w:color w:val="000000" w:themeColor="text1"/>
          <w:szCs w:val="24"/>
        </w:rPr>
        <w:t>, Mark Alexander Ellul</w:t>
      </w:r>
      <w:r w:rsidRPr="00391419">
        <w:rPr>
          <w:rFonts w:cs="Calibri"/>
          <w:color w:val="000000" w:themeColor="text1"/>
          <w:szCs w:val="24"/>
          <w:vertAlign w:val="superscript"/>
        </w:rPr>
        <w:t>1,2,4,7</w:t>
      </w:r>
      <w:r w:rsidRPr="00391419">
        <w:rPr>
          <w:rFonts w:cs="Calibri"/>
          <w:color w:val="000000" w:themeColor="text1"/>
          <w:szCs w:val="24"/>
        </w:rPr>
        <w:t>,</w:t>
      </w:r>
      <w:r w:rsidR="001560BB" w:rsidRPr="00391419">
        <w:rPr>
          <w:rFonts w:cs="Calibri"/>
          <w:color w:val="000000" w:themeColor="text1"/>
          <w:szCs w:val="24"/>
        </w:rPr>
        <w:t xml:space="preserve"> Stephen T.J. Ray</w:t>
      </w:r>
      <w:r w:rsidR="0077764B" w:rsidRPr="00391419">
        <w:rPr>
          <w:rFonts w:cs="Calibri"/>
          <w:color w:val="000000" w:themeColor="text1"/>
          <w:szCs w:val="24"/>
          <w:vertAlign w:val="superscript"/>
        </w:rPr>
        <w:t>2</w:t>
      </w:r>
      <w:r w:rsidR="00C37AAD" w:rsidRPr="00391419">
        <w:rPr>
          <w:rFonts w:cs="Calibri"/>
          <w:color w:val="000000" w:themeColor="text1"/>
          <w:szCs w:val="24"/>
          <w:vertAlign w:val="superscript"/>
        </w:rPr>
        <w:t>,8</w:t>
      </w:r>
      <w:r w:rsidR="001560BB" w:rsidRPr="00391419">
        <w:rPr>
          <w:rFonts w:cs="Calibri"/>
          <w:color w:val="000000" w:themeColor="text1"/>
          <w:szCs w:val="24"/>
        </w:rPr>
        <w:t>,</w:t>
      </w:r>
      <w:r w:rsidRPr="00391419">
        <w:rPr>
          <w:rFonts w:cs="Calibri"/>
          <w:color w:val="000000" w:themeColor="text1"/>
          <w:szCs w:val="24"/>
        </w:rPr>
        <w:t xml:space="preserve"> Riccardo Vincenzo D</w:t>
      </w:r>
      <w:r w:rsidR="003D1A4A" w:rsidRPr="00391419">
        <w:rPr>
          <w:rFonts w:cs="Calibri"/>
          <w:color w:val="000000" w:themeColor="text1"/>
          <w:szCs w:val="24"/>
        </w:rPr>
        <w:t>’</w:t>
      </w:r>
      <w:r w:rsidRPr="00391419">
        <w:rPr>
          <w:rFonts w:cs="Calibri"/>
          <w:color w:val="000000" w:themeColor="text1"/>
          <w:szCs w:val="24"/>
        </w:rPr>
        <w:t>Elia</w:t>
      </w:r>
      <w:r w:rsidRPr="00391419">
        <w:rPr>
          <w:rFonts w:cs="Calibri"/>
          <w:color w:val="000000" w:themeColor="text1"/>
          <w:szCs w:val="24"/>
          <w:vertAlign w:val="superscript"/>
        </w:rPr>
        <w:t>5,</w:t>
      </w:r>
      <w:r w:rsidR="00C37AAD" w:rsidRPr="00391419">
        <w:rPr>
          <w:rFonts w:cs="Calibri"/>
          <w:color w:val="000000" w:themeColor="text1"/>
          <w:szCs w:val="24"/>
          <w:vertAlign w:val="superscript"/>
        </w:rPr>
        <w:t>9</w:t>
      </w:r>
      <w:r w:rsidRPr="00391419">
        <w:rPr>
          <w:rFonts w:cs="Calibri"/>
          <w:color w:val="000000" w:themeColor="text1"/>
          <w:szCs w:val="24"/>
        </w:rPr>
        <w:t>, Adjanie Patabendige</w:t>
      </w:r>
      <w:r w:rsidRPr="00391419">
        <w:rPr>
          <w:rFonts w:cs="Calibri"/>
          <w:color w:val="000000" w:themeColor="text1"/>
          <w:szCs w:val="24"/>
          <w:vertAlign w:val="superscript"/>
        </w:rPr>
        <w:t>1,2,</w:t>
      </w:r>
      <w:r w:rsidR="00C37AAD" w:rsidRPr="00391419">
        <w:rPr>
          <w:rFonts w:cs="Calibri"/>
          <w:color w:val="000000" w:themeColor="text1"/>
          <w:szCs w:val="24"/>
          <w:vertAlign w:val="superscript"/>
        </w:rPr>
        <w:t>10</w:t>
      </w:r>
      <w:r w:rsidRPr="00391419">
        <w:rPr>
          <w:rFonts w:cs="Calibri"/>
          <w:color w:val="000000" w:themeColor="text1"/>
          <w:szCs w:val="24"/>
          <w:vertAlign w:val="superscript"/>
        </w:rPr>
        <w:t>,</w:t>
      </w:r>
      <w:r w:rsidR="00C37AAD" w:rsidRPr="00391419">
        <w:rPr>
          <w:rFonts w:cs="Calibri"/>
          <w:color w:val="000000" w:themeColor="text1"/>
          <w:szCs w:val="24"/>
          <w:vertAlign w:val="superscript"/>
        </w:rPr>
        <w:t>11</w:t>
      </w:r>
      <w:r w:rsidRPr="00391419">
        <w:rPr>
          <w:rFonts w:cs="Calibri"/>
          <w:color w:val="000000" w:themeColor="text1"/>
          <w:szCs w:val="24"/>
        </w:rPr>
        <w:t>, Esther García-Tuñón</w:t>
      </w:r>
      <w:r w:rsidR="009C50B0" w:rsidRPr="00391419">
        <w:rPr>
          <w:rFonts w:cs="Calibri"/>
          <w:color w:val="000000" w:themeColor="text1"/>
          <w:szCs w:val="24"/>
          <w:vertAlign w:val="superscript"/>
        </w:rPr>
        <w:t>1</w:t>
      </w:r>
      <w:r w:rsidR="00C37AAD" w:rsidRPr="00391419">
        <w:rPr>
          <w:rFonts w:cs="Calibri"/>
          <w:color w:val="000000" w:themeColor="text1"/>
          <w:szCs w:val="24"/>
          <w:vertAlign w:val="superscript"/>
        </w:rPr>
        <w:t>2</w:t>
      </w:r>
      <w:r w:rsidR="009C50B0" w:rsidRPr="00391419">
        <w:rPr>
          <w:rFonts w:cs="Calibri"/>
          <w:color w:val="000000" w:themeColor="text1"/>
          <w:szCs w:val="24"/>
          <w:vertAlign w:val="superscript"/>
        </w:rPr>
        <w:t>,1</w:t>
      </w:r>
      <w:r w:rsidR="00C37AAD" w:rsidRPr="00391419">
        <w:rPr>
          <w:rFonts w:cs="Calibri"/>
          <w:color w:val="000000" w:themeColor="text1"/>
          <w:szCs w:val="24"/>
          <w:vertAlign w:val="superscript"/>
        </w:rPr>
        <w:t>3</w:t>
      </w:r>
      <w:r w:rsidR="009C50B0" w:rsidRPr="00391419">
        <w:rPr>
          <w:rFonts w:cs="Calibri"/>
          <w:color w:val="000000" w:themeColor="text1"/>
          <w:szCs w:val="24"/>
        </w:rPr>
        <w:t>*</w:t>
      </w:r>
      <w:r w:rsidRPr="00391419">
        <w:rPr>
          <w:rFonts w:cs="Calibri"/>
          <w:color w:val="000000" w:themeColor="text1"/>
          <w:szCs w:val="24"/>
        </w:rPr>
        <w:t>, Gwen Fewell</w:t>
      </w:r>
      <w:r w:rsidR="009C50B0" w:rsidRPr="00391419">
        <w:rPr>
          <w:rFonts w:cs="Calibri"/>
          <w:color w:val="000000" w:themeColor="text1"/>
          <w:szCs w:val="24"/>
          <w:vertAlign w:val="superscript"/>
        </w:rPr>
        <w:t>3</w:t>
      </w:r>
      <w:r w:rsidR="009C50B0" w:rsidRPr="00391419">
        <w:rPr>
          <w:rFonts w:cs="Calibri"/>
          <w:color w:val="000000" w:themeColor="text1"/>
          <w:szCs w:val="24"/>
        </w:rPr>
        <w:t>*</w:t>
      </w:r>
      <w:r w:rsidRPr="00391419">
        <w:rPr>
          <w:rFonts w:cs="Calibri"/>
          <w:color w:val="000000" w:themeColor="text1"/>
          <w:szCs w:val="24"/>
        </w:rPr>
        <w:t>, Benedict Daniel Michael</w:t>
      </w:r>
      <w:r w:rsidR="009C50B0" w:rsidRPr="00391419">
        <w:rPr>
          <w:rFonts w:cs="Calibri"/>
          <w:color w:val="000000" w:themeColor="text1"/>
          <w:szCs w:val="24"/>
          <w:vertAlign w:val="superscript"/>
        </w:rPr>
        <w:t>1,2,4,7</w:t>
      </w:r>
      <w:r w:rsidR="009C50B0" w:rsidRPr="00391419">
        <w:rPr>
          <w:rFonts w:cs="Calibri"/>
          <w:color w:val="000000" w:themeColor="text1"/>
          <w:szCs w:val="24"/>
        </w:rPr>
        <w:t>*</w:t>
      </w:r>
      <w:r w:rsidR="009C50B0" w:rsidRPr="00391419">
        <w:rPr>
          <w:rFonts w:cs="Calibri"/>
          <w:color w:val="000000" w:themeColor="text1"/>
          <w:szCs w:val="24"/>
          <w:vertAlign w:val="superscript"/>
        </w:rPr>
        <w:t>#</w:t>
      </w:r>
    </w:p>
    <w:p w14:paraId="70638A29" w14:textId="77777777" w:rsidR="00B068B0" w:rsidRPr="00391419" w:rsidRDefault="00B068B0" w:rsidP="00B9425C">
      <w:pPr>
        <w:spacing w:after="0" w:line="0" w:lineRule="atLeast"/>
        <w:jc w:val="both"/>
        <w:rPr>
          <w:rFonts w:cs="Calibri"/>
          <w:color w:val="000000" w:themeColor="text1"/>
          <w:szCs w:val="24"/>
        </w:rPr>
      </w:pPr>
    </w:p>
    <w:p w14:paraId="58D37A2F" w14:textId="77777777" w:rsidR="00757F2A"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¹Clinical Infection, Microbiology, and Immunology, University of Liverpool, Institute of Infection, Veterinary and Ecological Science, 8 West Derby Street, Liverpool, Merseyside, L69 7BE, UK</w:t>
      </w:r>
    </w:p>
    <w:p w14:paraId="44033737" w14:textId="77777777" w:rsidR="00757F2A"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²Liverpool Interdisciplinary Neuroscience Centre, University of Liverpool, Liverpool, UK</w:t>
      </w:r>
    </w:p>
    <w:p w14:paraId="4A6A0029" w14:textId="77777777" w:rsidR="00757F2A" w:rsidRPr="00391419" w:rsidRDefault="008A7126" w:rsidP="00B9425C">
      <w:pPr>
        <w:spacing w:after="0" w:line="0" w:lineRule="atLeast"/>
        <w:jc w:val="both"/>
        <w:rPr>
          <w:rFonts w:cs="Calibri"/>
          <w:color w:val="000000" w:themeColor="text1"/>
          <w:szCs w:val="24"/>
          <w:lang w:val="it-IT"/>
        </w:rPr>
      </w:pPr>
      <w:r w:rsidRPr="00391419">
        <w:rPr>
          <w:rFonts w:cs="Calibri"/>
          <w:color w:val="000000" w:themeColor="text1"/>
          <w:szCs w:val="24"/>
          <w:lang w:val="it-IT"/>
        </w:rPr>
        <w:t xml:space="preserve">³SynVivo Inc., 601 </w:t>
      </w:r>
      <w:proofErr w:type="spellStart"/>
      <w:r w:rsidRPr="00391419">
        <w:rPr>
          <w:rFonts w:cs="Calibri"/>
          <w:color w:val="000000" w:themeColor="text1"/>
          <w:szCs w:val="24"/>
          <w:lang w:val="it-IT"/>
        </w:rPr>
        <w:t>Genome</w:t>
      </w:r>
      <w:proofErr w:type="spellEnd"/>
      <w:r w:rsidRPr="00391419">
        <w:rPr>
          <w:rFonts w:cs="Calibri"/>
          <w:color w:val="000000" w:themeColor="text1"/>
          <w:szCs w:val="24"/>
          <w:lang w:val="it-IT"/>
        </w:rPr>
        <w:t xml:space="preserve"> Way, Huntsville, AL 35806, USA</w:t>
      </w:r>
    </w:p>
    <w:p w14:paraId="5F951429" w14:textId="77777777" w:rsidR="00757F2A"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⁴NIHR Health Protection Research Unit (HPRU) in Emerging and Zoonotic Infections at University of Liverpool, Liverpool, UK</w:t>
      </w:r>
    </w:p>
    <w:p w14:paraId="75335EFB" w14:textId="77777777" w:rsidR="00757F2A"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 xml:space="preserve">⁵Human and Biological Advantage, </w:t>
      </w:r>
      <w:proofErr w:type="spellStart"/>
      <w:r w:rsidRPr="00391419">
        <w:rPr>
          <w:rFonts w:cs="Calibri"/>
          <w:color w:val="000000" w:themeColor="text1"/>
          <w:szCs w:val="24"/>
        </w:rPr>
        <w:t>Defence</w:t>
      </w:r>
      <w:proofErr w:type="spellEnd"/>
      <w:r w:rsidRPr="00391419">
        <w:rPr>
          <w:rFonts w:cs="Calibri"/>
          <w:color w:val="000000" w:themeColor="text1"/>
          <w:szCs w:val="24"/>
        </w:rPr>
        <w:t xml:space="preserve"> Science and Technology Laboratory (Dstl), Porton Down, Salisbury, Wiltshire, SP4 0JQ, UK</w:t>
      </w:r>
    </w:p>
    <w:p w14:paraId="4ECFA736" w14:textId="77777777" w:rsidR="00757F2A"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⁶Centre for Cell Imaging, Liverpool Shared Research Facilities, University of Liverpool, Crown Street, Liverpool, Merseyside, L69 7ZB, UK</w:t>
      </w:r>
    </w:p>
    <w:p w14:paraId="0F4EAF57" w14:textId="77777777" w:rsidR="00757F2A"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⁷Department of Neurology, Walton Centre Foundation Trust, Liverpool, Merseyside, L9 7AL, UK</w:t>
      </w:r>
    </w:p>
    <w:p w14:paraId="3BFE8722" w14:textId="74425331" w:rsidR="00C37AAD" w:rsidRPr="00391419" w:rsidRDefault="00C37AAD" w:rsidP="00B9425C">
      <w:pPr>
        <w:spacing w:after="0" w:line="0" w:lineRule="atLeast"/>
        <w:jc w:val="both"/>
        <w:rPr>
          <w:rFonts w:cs="Calibri"/>
          <w:color w:val="000000" w:themeColor="text1"/>
          <w:szCs w:val="24"/>
        </w:rPr>
      </w:pPr>
      <w:r w:rsidRPr="00391419">
        <w:rPr>
          <w:rFonts w:cs="Calibri"/>
          <w:color w:val="000000" w:themeColor="text1"/>
          <w:szCs w:val="24"/>
          <w:vertAlign w:val="superscript"/>
        </w:rPr>
        <w:t>8</w:t>
      </w:r>
      <w:r w:rsidRPr="00391419">
        <w:rPr>
          <w:rFonts w:cs="Calibri"/>
          <w:color w:val="000000" w:themeColor="text1"/>
          <w:szCs w:val="24"/>
        </w:rPr>
        <w:t xml:space="preserve">Department of </w:t>
      </w:r>
      <w:proofErr w:type="spellStart"/>
      <w:r w:rsidRPr="00391419">
        <w:rPr>
          <w:rFonts w:cs="Calibri"/>
          <w:color w:val="000000" w:themeColor="text1"/>
          <w:szCs w:val="24"/>
        </w:rPr>
        <w:t>Paediatric</w:t>
      </w:r>
      <w:proofErr w:type="spellEnd"/>
      <w:r w:rsidRPr="00391419">
        <w:rPr>
          <w:rFonts w:cs="Calibri"/>
          <w:color w:val="000000" w:themeColor="text1"/>
          <w:szCs w:val="24"/>
        </w:rPr>
        <w:t xml:space="preserve"> Infectious Disease and Immunology, Oxford University Hospitals NHS Foundation Trust, Oxford, UK</w:t>
      </w:r>
    </w:p>
    <w:p w14:paraId="58A96596" w14:textId="3EEB9C3A" w:rsidR="00757F2A" w:rsidRPr="00391419" w:rsidRDefault="00C37AAD" w:rsidP="00B9425C">
      <w:pPr>
        <w:spacing w:after="0" w:line="0" w:lineRule="atLeast"/>
        <w:jc w:val="both"/>
        <w:rPr>
          <w:rFonts w:cs="Calibri"/>
          <w:color w:val="000000" w:themeColor="text1"/>
          <w:szCs w:val="24"/>
        </w:rPr>
      </w:pPr>
      <w:r w:rsidRPr="00391419">
        <w:rPr>
          <w:rFonts w:cs="Calibri"/>
          <w:color w:val="000000" w:themeColor="text1"/>
          <w:szCs w:val="24"/>
          <w:vertAlign w:val="superscript"/>
        </w:rPr>
        <w:t>9</w:t>
      </w:r>
      <w:r w:rsidR="008A7126" w:rsidRPr="00391419">
        <w:rPr>
          <w:rFonts w:cs="Calibri"/>
          <w:color w:val="000000" w:themeColor="text1"/>
          <w:szCs w:val="24"/>
        </w:rPr>
        <w:t>Strathclyde Institute of Pharmacy &amp; Biomedical Sciences (SIPBS), University of Strathclyde, 161 Cathedral Street, Glasgow, G4 0RE, UK</w:t>
      </w:r>
    </w:p>
    <w:p w14:paraId="75AB022E" w14:textId="6FD53F39" w:rsidR="00757F2A" w:rsidRPr="00391419" w:rsidRDefault="00C37AAD" w:rsidP="00B9425C">
      <w:pPr>
        <w:spacing w:after="0" w:line="0" w:lineRule="atLeast"/>
        <w:jc w:val="both"/>
        <w:rPr>
          <w:rFonts w:cs="Calibri"/>
          <w:color w:val="000000" w:themeColor="text1"/>
          <w:szCs w:val="24"/>
        </w:rPr>
      </w:pPr>
      <w:r w:rsidRPr="00391419">
        <w:rPr>
          <w:rFonts w:cs="Calibri"/>
          <w:color w:val="000000" w:themeColor="text1"/>
          <w:szCs w:val="24"/>
          <w:vertAlign w:val="superscript"/>
        </w:rPr>
        <w:t>10</w:t>
      </w:r>
      <w:r w:rsidR="008A7126" w:rsidRPr="00391419">
        <w:rPr>
          <w:rFonts w:cs="Calibri"/>
          <w:color w:val="000000" w:themeColor="text1"/>
          <w:szCs w:val="24"/>
        </w:rPr>
        <w:t>Metabolic Disorders and Cancer Research Centre, College of Science and Engineering, University of Derby, Kedleston Road, Derby, Derbyshire, DE22 1GB, UK</w:t>
      </w:r>
    </w:p>
    <w:p w14:paraId="3C7FA4FC" w14:textId="62E76BF6" w:rsidR="00757F2A" w:rsidRPr="00391419" w:rsidRDefault="00C37AAD" w:rsidP="00B9425C">
      <w:pPr>
        <w:spacing w:after="0" w:line="0" w:lineRule="atLeast"/>
        <w:jc w:val="both"/>
        <w:rPr>
          <w:rFonts w:cs="Calibri"/>
          <w:color w:val="000000" w:themeColor="text1"/>
          <w:szCs w:val="24"/>
        </w:rPr>
      </w:pPr>
      <w:r w:rsidRPr="00391419">
        <w:rPr>
          <w:rFonts w:cs="Calibri"/>
          <w:color w:val="000000" w:themeColor="text1"/>
          <w:szCs w:val="24"/>
        </w:rPr>
        <w:t>¹¹</w:t>
      </w:r>
      <w:r w:rsidR="008A7126" w:rsidRPr="00391419">
        <w:rPr>
          <w:rFonts w:cs="Calibri"/>
          <w:color w:val="000000" w:themeColor="text1"/>
          <w:szCs w:val="24"/>
        </w:rPr>
        <w:t>Liverpool Centre for Cardiovascular Science, University of Liverpool, 8 West Derby Street, Liverpool, Merseyside, L69 7BE, UK</w:t>
      </w:r>
    </w:p>
    <w:p w14:paraId="07E91E35" w14:textId="632598C0" w:rsidR="00757F2A" w:rsidRPr="00391419" w:rsidRDefault="00C37AAD" w:rsidP="00B9425C">
      <w:pPr>
        <w:spacing w:after="0" w:line="0" w:lineRule="atLeast"/>
        <w:jc w:val="both"/>
        <w:rPr>
          <w:rFonts w:cs="Calibri"/>
          <w:color w:val="000000" w:themeColor="text1"/>
          <w:szCs w:val="24"/>
        </w:rPr>
      </w:pPr>
      <w:r w:rsidRPr="00391419">
        <w:rPr>
          <w:rFonts w:cs="Calibri"/>
          <w:color w:val="000000" w:themeColor="text1"/>
          <w:szCs w:val="24"/>
        </w:rPr>
        <w:t>¹²</w:t>
      </w:r>
      <w:r w:rsidR="008A7126" w:rsidRPr="00391419">
        <w:rPr>
          <w:rFonts w:cs="Calibri"/>
          <w:color w:val="000000" w:themeColor="text1"/>
          <w:szCs w:val="24"/>
        </w:rPr>
        <w:t>School of Engineering, University of Liverpool, The Quadrangle, Liverpool, Merseyside, L69 3GH, UK</w:t>
      </w:r>
    </w:p>
    <w:p w14:paraId="0160685A" w14:textId="6BC8E723" w:rsidR="00757F2A" w:rsidRPr="00391419" w:rsidRDefault="00C37AAD" w:rsidP="00B9425C">
      <w:pPr>
        <w:spacing w:after="0" w:line="0" w:lineRule="atLeast"/>
        <w:jc w:val="both"/>
        <w:rPr>
          <w:rFonts w:cs="Calibri"/>
          <w:color w:val="000000" w:themeColor="text1"/>
          <w:szCs w:val="24"/>
        </w:rPr>
      </w:pPr>
      <w:r w:rsidRPr="00391419">
        <w:rPr>
          <w:rFonts w:cs="Calibri"/>
          <w:color w:val="000000" w:themeColor="text1"/>
          <w:szCs w:val="24"/>
        </w:rPr>
        <w:t>¹</w:t>
      </w:r>
      <w:r w:rsidRPr="00391419">
        <w:rPr>
          <w:rFonts w:cs="Calibri"/>
          <w:color w:val="000000" w:themeColor="text1"/>
          <w:szCs w:val="24"/>
          <w:vertAlign w:val="superscript"/>
        </w:rPr>
        <w:t>3</w:t>
      </w:r>
      <w:r w:rsidR="008A7126" w:rsidRPr="00391419">
        <w:rPr>
          <w:rFonts w:cs="Calibri"/>
          <w:color w:val="000000" w:themeColor="text1"/>
          <w:szCs w:val="24"/>
        </w:rPr>
        <w:t>Materials Innovation Factory, University of Liverpool, 51 Oxford Street, Liverpool, Merseyside, L7 3NY, UK</w:t>
      </w:r>
    </w:p>
    <w:p w14:paraId="59553564" w14:textId="77777777" w:rsidR="00757F2A" w:rsidRPr="00391419" w:rsidRDefault="00757F2A" w:rsidP="00B9425C">
      <w:pPr>
        <w:spacing w:after="0" w:line="0" w:lineRule="atLeast"/>
        <w:jc w:val="both"/>
        <w:rPr>
          <w:rFonts w:cs="Calibri"/>
          <w:color w:val="000000" w:themeColor="text1"/>
          <w:szCs w:val="24"/>
        </w:rPr>
      </w:pPr>
    </w:p>
    <w:p w14:paraId="7C573980" w14:textId="55F6EC13" w:rsidR="00757F2A"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*These senior authors contributed equally to this work.</w:t>
      </w:r>
    </w:p>
    <w:p w14:paraId="4414C483" w14:textId="094019D8" w:rsidR="00984998" w:rsidRPr="00391419" w:rsidRDefault="00984998" w:rsidP="00B9425C">
      <w:pPr>
        <w:spacing w:after="0" w:line="0" w:lineRule="atLeast"/>
        <w:jc w:val="both"/>
        <w:rPr>
          <w:rFonts w:cs="Calibri"/>
          <w:color w:val="000000" w:themeColor="text1"/>
          <w:szCs w:val="24"/>
        </w:rPr>
      </w:pPr>
    </w:p>
    <w:p w14:paraId="3FA64359" w14:textId="77777777" w:rsidR="000060F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E-mail addresses of the co-authors:</w:t>
      </w:r>
    </w:p>
    <w:p w14:paraId="12BD53E2" w14:textId="31F9F79D" w:rsidR="000060F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 xml:space="preserve">Sarah Aimee Boardman </w:t>
      </w:r>
      <w:r w:rsidRPr="00391419">
        <w:rPr>
          <w:rFonts w:cs="Calibri"/>
          <w:color w:val="000000" w:themeColor="text1"/>
          <w:szCs w:val="24"/>
        </w:rPr>
        <w:tab/>
        <w:t>(saimeeb@liverpool.ac.uk; ORCID: 0000-0003-4385-6004)</w:t>
      </w:r>
    </w:p>
    <w:p w14:paraId="4ED3622A" w14:textId="6C4E2303" w:rsidR="000060F9" w:rsidRPr="00391419" w:rsidRDefault="008A7126" w:rsidP="00B9425C">
      <w:pPr>
        <w:spacing w:after="0" w:line="0" w:lineRule="atLeast"/>
        <w:jc w:val="both"/>
        <w:rPr>
          <w:rFonts w:cs="Calibri"/>
          <w:color w:val="000000" w:themeColor="text1"/>
          <w:szCs w:val="24"/>
          <w:lang w:val="it-IT"/>
        </w:rPr>
      </w:pPr>
      <w:r w:rsidRPr="00391419">
        <w:rPr>
          <w:rFonts w:cs="Calibri"/>
          <w:color w:val="000000" w:themeColor="text1"/>
          <w:szCs w:val="24"/>
          <w:lang w:val="it-IT"/>
        </w:rPr>
        <w:t xml:space="preserve">Jenna Marie Rosano </w:t>
      </w:r>
      <w:r w:rsidRPr="00391419">
        <w:rPr>
          <w:rFonts w:cs="Calibri"/>
          <w:color w:val="000000" w:themeColor="text1"/>
          <w:szCs w:val="24"/>
          <w:lang w:val="it-IT"/>
        </w:rPr>
        <w:tab/>
      </w:r>
      <w:r w:rsidRPr="00391419">
        <w:rPr>
          <w:rFonts w:cs="Calibri"/>
          <w:color w:val="000000" w:themeColor="text1"/>
          <w:szCs w:val="24"/>
          <w:lang w:val="it-IT"/>
        </w:rPr>
        <w:tab/>
        <w:t>(</w:t>
      </w:r>
      <w:r w:rsidR="000060F9" w:rsidRPr="00391419">
        <w:rPr>
          <w:color w:val="000000" w:themeColor="text1"/>
        </w:rPr>
        <w:fldChar w:fldCharType="begin"/>
      </w:r>
      <w:r w:rsidR="000060F9" w:rsidRPr="00391419">
        <w:rPr>
          <w:color w:val="000000" w:themeColor="text1"/>
          <w:lang w:val="it-IT"/>
        </w:rPr>
        <w:instrText>HYPERLINK "mailto:jenna@synvivobio.com"</w:instrText>
      </w:r>
      <w:r w:rsidR="000060F9" w:rsidRPr="00391419">
        <w:rPr>
          <w:color w:val="000000" w:themeColor="text1"/>
        </w:rPr>
      </w:r>
      <w:r w:rsidR="000060F9" w:rsidRPr="00391419">
        <w:rPr>
          <w:color w:val="000000" w:themeColor="text1"/>
        </w:rPr>
        <w:fldChar w:fldCharType="separate"/>
      </w:r>
      <w:r w:rsidR="000060F9" w:rsidRPr="00391419">
        <w:rPr>
          <w:rStyle w:val="Hyperlink"/>
          <w:rFonts w:cs="Calibri"/>
          <w:color w:val="000000" w:themeColor="text1"/>
          <w:szCs w:val="24"/>
          <w:lang w:val="it-IT"/>
        </w:rPr>
        <w:t>jenna@synvivobio.com</w:t>
      </w:r>
      <w:r w:rsidR="000060F9" w:rsidRPr="00391419">
        <w:rPr>
          <w:color w:val="000000" w:themeColor="text1"/>
        </w:rPr>
        <w:fldChar w:fldCharType="end"/>
      </w:r>
      <w:r w:rsidRPr="00391419">
        <w:rPr>
          <w:rFonts w:cs="Calibri"/>
          <w:color w:val="000000" w:themeColor="text1"/>
          <w:szCs w:val="24"/>
          <w:lang w:val="it-IT"/>
        </w:rPr>
        <w:t>)</w:t>
      </w:r>
    </w:p>
    <w:p w14:paraId="32A226BC" w14:textId="77777777" w:rsidR="000060F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 xml:space="preserve">Claire Dawn Hetherington </w:t>
      </w:r>
      <w:r w:rsidRPr="00391419">
        <w:rPr>
          <w:rFonts w:cs="Calibri"/>
          <w:color w:val="000000" w:themeColor="text1"/>
          <w:szCs w:val="24"/>
        </w:rPr>
        <w:tab/>
        <w:t>(claire.hetherington@liverpool.ac.uk; ORCID: 0009-0003-9234-4459)</w:t>
      </w:r>
    </w:p>
    <w:p w14:paraId="7D04514C" w14:textId="77777777" w:rsidR="000060F9" w:rsidRPr="00391419" w:rsidRDefault="008A7126" w:rsidP="00B9425C">
      <w:pPr>
        <w:spacing w:after="0" w:line="0" w:lineRule="atLeast"/>
        <w:jc w:val="both"/>
        <w:rPr>
          <w:rFonts w:cs="Calibri"/>
          <w:color w:val="000000" w:themeColor="text1"/>
          <w:szCs w:val="24"/>
          <w:lang w:val="it-IT"/>
        </w:rPr>
      </w:pPr>
      <w:r w:rsidRPr="00391419">
        <w:rPr>
          <w:rFonts w:cs="Calibri"/>
          <w:color w:val="000000" w:themeColor="text1"/>
          <w:szCs w:val="24"/>
          <w:lang w:val="it-IT"/>
        </w:rPr>
        <w:t xml:space="preserve">Cordelia Dunai </w:t>
      </w:r>
      <w:r w:rsidRPr="00391419">
        <w:rPr>
          <w:rFonts w:cs="Calibri"/>
          <w:color w:val="000000" w:themeColor="text1"/>
          <w:szCs w:val="24"/>
          <w:lang w:val="it-IT"/>
        </w:rPr>
        <w:tab/>
      </w:r>
      <w:r w:rsidRPr="00391419">
        <w:rPr>
          <w:rFonts w:cs="Calibri"/>
          <w:color w:val="000000" w:themeColor="text1"/>
          <w:szCs w:val="24"/>
          <w:lang w:val="it-IT"/>
        </w:rPr>
        <w:tab/>
        <w:t>(cdunai@liverpool.ac.uk; ORCID: 0000-0001-5799-2387)</w:t>
      </w:r>
    </w:p>
    <w:p w14:paraId="5AC4007C" w14:textId="77777777" w:rsidR="000060F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Thomas David Bateman-Price (tbprice@dstl.gov.uk; ORCID: 0000-0003-0706-2901)</w:t>
      </w:r>
    </w:p>
    <w:p w14:paraId="54C769B5" w14:textId="40B74976" w:rsidR="000060F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 xml:space="preserve">Marie Held </w:t>
      </w:r>
      <w:r w:rsidRPr="00391419">
        <w:rPr>
          <w:rFonts w:cs="Calibri"/>
          <w:color w:val="000000" w:themeColor="text1"/>
          <w:szCs w:val="24"/>
        </w:rPr>
        <w:tab/>
      </w:r>
      <w:r w:rsidRPr="00391419">
        <w:rPr>
          <w:rFonts w:cs="Calibri"/>
          <w:color w:val="000000" w:themeColor="text1"/>
          <w:szCs w:val="24"/>
        </w:rPr>
        <w:tab/>
      </w:r>
      <w:r w:rsidRPr="00391419">
        <w:rPr>
          <w:rFonts w:cs="Calibri"/>
          <w:color w:val="000000" w:themeColor="text1"/>
          <w:szCs w:val="24"/>
        </w:rPr>
        <w:tab/>
        <w:t>(mheldb@liverpool.ac.uk; ORCID: 0000-0003-0118-5898)</w:t>
      </w:r>
    </w:p>
    <w:p w14:paraId="49A8AF0F" w14:textId="54E96355" w:rsidR="000060F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lastRenderedPageBreak/>
        <w:t xml:space="preserve">Thomas Waring </w:t>
      </w:r>
      <w:r w:rsidRPr="00391419">
        <w:rPr>
          <w:rFonts w:cs="Calibri"/>
          <w:color w:val="000000" w:themeColor="text1"/>
          <w:szCs w:val="24"/>
        </w:rPr>
        <w:tab/>
      </w:r>
      <w:r w:rsidRPr="00391419">
        <w:rPr>
          <w:rFonts w:cs="Calibri"/>
          <w:color w:val="000000" w:themeColor="text1"/>
          <w:szCs w:val="24"/>
        </w:rPr>
        <w:tab/>
        <w:t>(twaring@liverpool.ac.uk; ORCID: 0000-0002-3280-8886)</w:t>
      </w:r>
    </w:p>
    <w:p w14:paraId="667F1D04" w14:textId="625EBCA0" w:rsidR="000060F9" w:rsidRPr="00391419" w:rsidRDefault="008A7126" w:rsidP="00B9425C">
      <w:pPr>
        <w:spacing w:after="0" w:line="0" w:lineRule="atLeast"/>
        <w:jc w:val="both"/>
        <w:rPr>
          <w:rFonts w:cs="Calibri"/>
          <w:color w:val="000000" w:themeColor="text1"/>
          <w:szCs w:val="24"/>
          <w:lang w:val="it-IT"/>
        </w:rPr>
      </w:pPr>
      <w:r w:rsidRPr="00391419">
        <w:rPr>
          <w:rFonts w:cs="Calibri"/>
          <w:color w:val="000000" w:themeColor="text1"/>
          <w:szCs w:val="24"/>
          <w:lang w:val="it-IT"/>
        </w:rPr>
        <w:t xml:space="preserve">Marco Marcello </w:t>
      </w:r>
      <w:r w:rsidRPr="00391419">
        <w:rPr>
          <w:rFonts w:cs="Calibri"/>
          <w:color w:val="000000" w:themeColor="text1"/>
          <w:szCs w:val="24"/>
          <w:lang w:val="it-IT"/>
        </w:rPr>
        <w:tab/>
      </w:r>
      <w:r w:rsidRPr="00391419">
        <w:rPr>
          <w:rFonts w:cs="Calibri"/>
          <w:color w:val="000000" w:themeColor="text1"/>
          <w:szCs w:val="24"/>
          <w:lang w:val="it-IT"/>
        </w:rPr>
        <w:tab/>
        <w:t>(m.marcello@liverpool.ac.uk; ORCID: 0000-0002-2392-8640)</w:t>
      </w:r>
    </w:p>
    <w:p w14:paraId="1AFF0A3D" w14:textId="1C45874C" w:rsidR="000060F9" w:rsidRPr="00391419" w:rsidRDefault="008A7126" w:rsidP="00B9425C">
      <w:pPr>
        <w:spacing w:after="0" w:line="0" w:lineRule="atLeast"/>
        <w:jc w:val="both"/>
        <w:rPr>
          <w:rFonts w:cs="Calibri"/>
          <w:color w:val="000000" w:themeColor="text1"/>
          <w:szCs w:val="24"/>
          <w:lang w:val="it-IT"/>
        </w:rPr>
      </w:pPr>
      <w:r w:rsidRPr="00391419">
        <w:rPr>
          <w:rFonts w:cs="Calibri"/>
          <w:color w:val="000000" w:themeColor="text1"/>
          <w:szCs w:val="24"/>
          <w:lang w:val="it-IT"/>
        </w:rPr>
        <w:t xml:space="preserve">Franklyn Nkongho Egbe </w:t>
      </w:r>
      <w:r w:rsidRPr="00391419">
        <w:rPr>
          <w:rFonts w:cs="Calibri"/>
          <w:color w:val="000000" w:themeColor="text1"/>
          <w:szCs w:val="24"/>
          <w:lang w:val="it-IT"/>
        </w:rPr>
        <w:tab/>
        <w:t>(fnkongho@liverpool.ac.uk; ORCID: 0000-0002-9547-4609)</w:t>
      </w:r>
    </w:p>
    <w:p w14:paraId="3830C8D2" w14:textId="0044DEE0" w:rsidR="000060F9" w:rsidRPr="00391419" w:rsidRDefault="008A7126" w:rsidP="00B9425C">
      <w:pPr>
        <w:spacing w:after="0" w:line="0" w:lineRule="atLeast"/>
        <w:jc w:val="both"/>
        <w:rPr>
          <w:rFonts w:cs="Calibri"/>
          <w:color w:val="000000" w:themeColor="text1"/>
          <w:szCs w:val="24"/>
          <w:lang w:val="it-IT"/>
        </w:rPr>
      </w:pPr>
      <w:r w:rsidRPr="00391419">
        <w:rPr>
          <w:rFonts w:cs="Calibri"/>
          <w:color w:val="000000" w:themeColor="text1"/>
          <w:szCs w:val="24"/>
          <w:lang w:val="it-IT"/>
        </w:rPr>
        <w:t xml:space="preserve">Mark Alexander Ellul </w:t>
      </w:r>
      <w:r w:rsidRPr="00391419">
        <w:rPr>
          <w:rFonts w:cs="Calibri"/>
          <w:color w:val="000000" w:themeColor="text1"/>
          <w:szCs w:val="24"/>
          <w:lang w:val="it-IT"/>
        </w:rPr>
        <w:tab/>
      </w:r>
      <w:r w:rsidRPr="00391419">
        <w:rPr>
          <w:rFonts w:cs="Calibri"/>
          <w:color w:val="000000" w:themeColor="text1"/>
          <w:szCs w:val="24"/>
          <w:lang w:val="it-IT"/>
        </w:rPr>
        <w:tab/>
        <w:t>(ellulm@liverpool.ac.uk; ORCID: 0000-0002-6115-8245)</w:t>
      </w:r>
    </w:p>
    <w:p w14:paraId="455B5F11" w14:textId="5481A9FC" w:rsidR="00AB5C24" w:rsidRPr="00391419" w:rsidRDefault="00AB5C24" w:rsidP="00B9425C">
      <w:pPr>
        <w:spacing w:after="0" w:line="0" w:lineRule="atLeast"/>
        <w:jc w:val="both"/>
        <w:rPr>
          <w:rFonts w:cs="Calibri"/>
          <w:color w:val="000000" w:themeColor="text1"/>
          <w:szCs w:val="24"/>
          <w:lang w:val="it-IT"/>
        </w:rPr>
      </w:pPr>
      <w:r w:rsidRPr="00391419">
        <w:rPr>
          <w:rFonts w:cs="Calibri"/>
          <w:color w:val="000000" w:themeColor="text1"/>
          <w:szCs w:val="24"/>
          <w:lang w:val="it-IT"/>
        </w:rPr>
        <w:t>Stephen T.J. Ray</w:t>
      </w:r>
      <w:r w:rsidRPr="00391419">
        <w:rPr>
          <w:rFonts w:cs="Calibri"/>
          <w:color w:val="000000" w:themeColor="text1"/>
          <w:szCs w:val="24"/>
          <w:lang w:val="it-IT"/>
        </w:rPr>
        <w:tab/>
      </w:r>
      <w:r w:rsidRPr="00391419">
        <w:rPr>
          <w:rFonts w:cs="Calibri"/>
          <w:color w:val="000000" w:themeColor="text1"/>
          <w:szCs w:val="24"/>
          <w:lang w:val="it-IT"/>
        </w:rPr>
        <w:tab/>
        <w:t>(stephen.ray@paediatrics.ox.ac.uk</w:t>
      </w:r>
      <w:r w:rsidR="00F150A7" w:rsidRPr="00391419">
        <w:rPr>
          <w:rFonts w:cs="Calibri"/>
          <w:color w:val="000000" w:themeColor="text1"/>
          <w:szCs w:val="24"/>
          <w:lang w:val="it-IT"/>
        </w:rPr>
        <w:t>)</w:t>
      </w:r>
    </w:p>
    <w:p w14:paraId="548F19A9" w14:textId="5D37EBBB" w:rsidR="000060F9" w:rsidRPr="00391419" w:rsidRDefault="008A7126" w:rsidP="00B9425C">
      <w:pPr>
        <w:spacing w:after="0" w:line="0" w:lineRule="atLeast"/>
        <w:jc w:val="both"/>
        <w:rPr>
          <w:rFonts w:cs="Calibri"/>
          <w:color w:val="000000" w:themeColor="text1"/>
          <w:szCs w:val="24"/>
          <w:lang w:val="it-IT"/>
        </w:rPr>
      </w:pPr>
      <w:r w:rsidRPr="00391419">
        <w:rPr>
          <w:rFonts w:cs="Calibri"/>
          <w:color w:val="000000" w:themeColor="text1"/>
          <w:szCs w:val="24"/>
          <w:lang w:val="it-IT"/>
        </w:rPr>
        <w:t xml:space="preserve">Riccardo Vincenzo D'Elia </w:t>
      </w:r>
      <w:r w:rsidRPr="00391419">
        <w:rPr>
          <w:rFonts w:cs="Calibri"/>
          <w:color w:val="000000" w:themeColor="text1"/>
          <w:szCs w:val="24"/>
          <w:lang w:val="it-IT"/>
        </w:rPr>
        <w:tab/>
        <w:t>(rvdelia@dstl.gov.uk; ORCID: 0000-0002-4432-2314)</w:t>
      </w:r>
    </w:p>
    <w:p w14:paraId="7903D38D" w14:textId="26008C10" w:rsidR="000060F9" w:rsidRPr="00391419" w:rsidRDefault="008A7126" w:rsidP="00B9425C">
      <w:pPr>
        <w:spacing w:after="0" w:line="0" w:lineRule="atLeast"/>
        <w:jc w:val="both"/>
        <w:rPr>
          <w:rFonts w:cs="Calibri"/>
          <w:color w:val="000000" w:themeColor="text1"/>
          <w:szCs w:val="24"/>
          <w:lang w:val="de-DE"/>
        </w:rPr>
      </w:pPr>
      <w:r w:rsidRPr="00391419">
        <w:rPr>
          <w:rFonts w:cs="Calibri"/>
          <w:color w:val="000000" w:themeColor="text1"/>
          <w:szCs w:val="24"/>
          <w:lang w:val="de-DE"/>
        </w:rPr>
        <w:t xml:space="preserve">Adjanie Patabendige </w:t>
      </w:r>
      <w:r w:rsidRPr="00391419">
        <w:rPr>
          <w:rFonts w:cs="Calibri"/>
          <w:color w:val="000000" w:themeColor="text1"/>
          <w:szCs w:val="24"/>
          <w:lang w:val="de-DE"/>
        </w:rPr>
        <w:tab/>
      </w:r>
      <w:r w:rsidRPr="00391419">
        <w:rPr>
          <w:rFonts w:cs="Calibri"/>
          <w:color w:val="000000" w:themeColor="text1"/>
          <w:szCs w:val="24"/>
          <w:lang w:val="de-DE"/>
        </w:rPr>
        <w:tab/>
        <w:t>(a.patabendige@derby.ac.uk; ORCID: 0000-0003-1550-3084)</w:t>
      </w:r>
    </w:p>
    <w:p w14:paraId="274D0F68" w14:textId="3BDD6C1D" w:rsidR="000060F9" w:rsidRPr="00391419" w:rsidRDefault="008A7126" w:rsidP="00B9425C">
      <w:pPr>
        <w:spacing w:after="0" w:line="0" w:lineRule="atLeast"/>
        <w:jc w:val="both"/>
        <w:rPr>
          <w:rFonts w:cs="Calibri"/>
          <w:color w:val="000000" w:themeColor="text1"/>
          <w:szCs w:val="24"/>
          <w:lang w:val="de-DE"/>
        </w:rPr>
      </w:pPr>
      <w:r w:rsidRPr="00391419">
        <w:rPr>
          <w:rFonts w:cs="Calibri"/>
          <w:color w:val="000000" w:themeColor="text1"/>
          <w:szCs w:val="24"/>
          <w:lang w:val="de-DE"/>
        </w:rPr>
        <w:t xml:space="preserve">Esther García-Tuñón </w:t>
      </w:r>
      <w:r w:rsidRPr="00391419">
        <w:rPr>
          <w:rFonts w:cs="Calibri"/>
          <w:color w:val="000000" w:themeColor="text1"/>
          <w:szCs w:val="24"/>
          <w:lang w:val="de-DE"/>
        </w:rPr>
        <w:tab/>
      </w:r>
      <w:r w:rsidRPr="00391419">
        <w:rPr>
          <w:rFonts w:cs="Calibri"/>
          <w:color w:val="000000" w:themeColor="text1"/>
          <w:szCs w:val="24"/>
          <w:lang w:val="de-DE"/>
        </w:rPr>
        <w:tab/>
        <w:t>(egarciat@liverpool.ac.uk; ORCID: 0000-0001-9507-4501)</w:t>
      </w:r>
    </w:p>
    <w:p w14:paraId="33AD0D94" w14:textId="3B4FDC4F" w:rsidR="000060F9" w:rsidRPr="00391419" w:rsidRDefault="008A7126" w:rsidP="00B9425C">
      <w:pPr>
        <w:spacing w:after="0" w:line="0" w:lineRule="atLeast"/>
        <w:jc w:val="both"/>
        <w:rPr>
          <w:rFonts w:cs="Calibri"/>
          <w:color w:val="000000" w:themeColor="text1"/>
          <w:szCs w:val="24"/>
          <w:lang w:val="de-DE"/>
        </w:rPr>
      </w:pPr>
      <w:r w:rsidRPr="00391419">
        <w:rPr>
          <w:rFonts w:cs="Calibri"/>
          <w:color w:val="000000" w:themeColor="text1"/>
          <w:szCs w:val="24"/>
          <w:lang w:val="de-DE"/>
        </w:rPr>
        <w:t xml:space="preserve">Gwen Fewell </w:t>
      </w:r>
      <w:r w:rsidRPr="00391419">
        <w:rPr>
          <w:rFonts w:cs="Calibri"/>
          <w:color w:val="000000" w:themeColor="text1"/>
          <w:szCs w:val="24"/>
          <w:lang w:val="de-DE"/>
        </w:rPr>
        <w:tab/>
      </w:r>
      <w:r w:rsidRPr="00391419">
        <w:rPr>
          <w:rFonts w:cs="Calibri"/>
          <w:color w:val="000000" w:themeColor="text1"/>
          <w:szCs w:val="24"/>
          <w:lang w:val="de-DE"/>
        </w:rPr>
        <w:tab/>
      </w:r>
      <w:r w:rsidRPr="00391419">
        <w:rPr>
          <w:rFonts w:cs="Calibri"/>
          <w:color w:val="000000" w:themeColor="text1"/>
          <w:szCs w:val="24"/>
          <w:lang w:val="de-DE"/>
        </w:rPr>
        <w:tab/>
        <w:t>(</w:t>
      </w:r>
      <w:r w:rsidR="000060F9" w:rsidRPr="00391419">
        <w:rPr>
          <w:color w:val="000000" w:themeColor="text1"/>
        </w:rPr>
        <w:fldChar w:fldCharType="begin"/>
      </w:r>
      <w:r w:rsidR="000060F9" w:rsidRPr="00391419">
        <w:rPr>
          <w:color w:val="000000" w:themeColor="text1"/>
          <w:lang w:val="de-DE"/>
        </w:rPr>
        <w:instrText>HYPERLINK "mailto:gwen@synvivobio.com"</w:instrText>
      </w:r>
      <w:r w:rsidR="000060F9" w:rsidRPr="00391419">
        <w:rPr>
          <w:color w:val="000000" w:themeColor="text1"/>
        </w:rPr>
      </w:r>
      <w:r w:rsidR="000060F9" w:rsidRPr="00391419">
        <w:rPr>
          <w:color w:val="000000" w:themeColor="text1"/>
        </w:rPr>
        <w:fldChar w:fldCharType="separate"/>
      </w:r>
      <w:r w:rsidR="000060F9" w:rsidRPr="00391419">
        <w:rPr>
          <w:rStyle w:val="Hyperlink"/>
          <w:rFonts w:cs="Calibri"/>
          <w:color w:val="000000" w:themeColor="text1"/>
          <w:szCs w:val="24"/>
          <w:lang w:val="de-DE"/>
        </w:rPr>
        <w:t>gwen@synvivobio.com</w:t>
      </w:r>
      <w:r w:rsidR="000060F9" w:rsidRPr="00391419">
        <w:rPr>
          <w:color w:val="000000" w:themeColor="text1"/>
        </w:rPr>
        <w:fldChar w:fldCharType="end"/>
      </w:r>
      <w:r w:rsidRPr="00391419">
        <w:rPr>
          <w:rFonts w:cs="Calibri"/>
          <w:color w:val="000000" w:themeColor="text1"/>
          <w:szCs w:val="24"/>
          <w:lang w:val="de-DE"/>
        </w:rPr>
        <w:t>)</w:t>
      </w:r>
    </w:p>
    <w:p w14:paraId="516E4EC0" w14:textId="77777777" w:rsidR="000060F9" w:rsidRPr="00391419" w:rsidRDefault="000060F9" w:rsidP="00B9425C">
      <w:pPr>
        <w:spacing w:after="0" w:line="0" w:lineRule="atLeast"/>
        <w:jc w:val="both"/>
        <w:rPr>
          <w:rFonts w:cs="Calibri"/>
          <w:color w:val="000000" w:themeColor="text1"/>
          <w:szCs w:val="24"/>
          <w:lang w:val="de-DE"/>
        </w:rPr>
      </w:pPr>
    </w:p>
    <w:p w14:paraId="6E32E871" w14:textId="2B35DF96" w:rsidR="000060F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*Corresponding author:</w:t>
      </w:r>
    </w:p>
    <w:p w14:paraId="5388A41C" w14:textId="66D96E27" w:rsidR="000060F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 xml:space="preserve">Benedict Daniel Michael </w:t>
      </w:r>
      <w:r w:rsidRPr="00391419">
        <w:rPr>
          <w:rFonts w:cs="Calibri"/>
          <w:color w:val="000000" w:themeColor="text1"/>
          <w:szCs w:val="24"/>
        </w:rPr>
        <w:tab/>
        <w:t>(benmic@liverpool.ac.uk; ORCID: 0000-0002-8693-8926)</w:t>
      </w:r>
    </w:p>
    <w:p w14:paraId="1C933876" w14:textId="77777777" w:rsidR="00405C51" w:rsidRPr="00391419" w:rsidRDefault="00405C51" w:rsidP="00B9425C">
      <w:pPr>
        <w:spacing w:after="0" w:line="0" w:lineRule="atLeast"/>
        <w:jc w:val="both"/>
        <w:rPr>
          <w:rFonts w:cs="Calibri"/>
          <w:color w:val="000000" w:themeColor="text1"/>
          <w:szCs w:val="24"/>
        </w:rPr>
      </w:pPr>
    </w:p>
    <w:p w14:paraId="35A8ACB1" w14:textId="77777777" w:rsidR="00405C51" w:rsidRPr="00391419" w:rsidRDefault="008A7126" w:rsidP="00B9425C">
      <w:pPr>
        <w:spacing w:after="0" w:line="0" w:lineRule="atLeast"/>
        <w:jc w:val="both"/>
        <w:rPr>
          <w:rFonts w:cs="Calibri"/>
          <w:color w:val="000000" w:themeColor="text1"/>
          <w:szCs w:val="24"/>
        </w:rPr>
      </w:pPr>
      <w:r w:rsidRPr="00391419">
        <w:rPr>
          <w:rFonts w:cs="Calibri"/>
          <w:b/>
          <w:bCs/>
          <w:color w:val="000000" w:themeColor="text1"/>
          <w:szCs w:val="24"/>
        </w:rPr>
        <w:t>SUMMARY:</w:t>
      </w:r>
    </w:p>
    <w:p w14:paraId="036FDA06" w14:textId="76E1EE8B" w:rsidR="00405C51"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This protocol describes the establishment of a microfluidic co-culture blood–brain barrier model using human brain endothelial cells and astrocytes. The method incorporates shear flow, transendothelial electrical resistance measurements, and immunofluorescent characterization to assess endothelial barrier formation and cell–cell interactions under dynamic flow conditions.</w:t>
      </w:r>
    </w:p>
    <w:p w14:paraId="716ECAAA" w14:textId="77777777" w:rsidR="00405C51" w:rsidRPr="00391419" w:rsidRDefault="00405C51" w:rsidP="00B9425C">
      <w:pPr>
        <w:spacing w:after="0" w:line="0" w:lineRule="atLeast"/>
        <w:jc w:val="both"/>
        <w:rPr>
          <w:rFonts w:cs="Calibri"/>
          <w:color w:val="000000" w:themeColor="text1"/>
          <w:szCs w:val="24"/>
        </w:rPr>
      </w:pPr>
    </w:p>
    <w:p w14:paraId="63A05C10" w14:textId="016744CD" w:rsidR="00CB7686"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ABSTRACT:</w:t>
      </w:r>
    </w:p>
    <w:p w14:paraId="462330ED" w14:textId="16079E5D" w:rsidR="00471755"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 xml:space="preserve">The blood–brain barrier (BBB) is a highly selective physiological interface that regulates molecular transport between the bloodstream and the central nervous system. In vitro BBB models are valuable tools for studying endothelial barrier formation, cell–cell interactions, and responses to dynamic flow conditions. This protocol describes the establishment of a three-dimensional microfluidic co-culture BBB model using human brain endothelial cells and primary human astrocytes cultured in separate but interconnected compartments of a microfluidic chip. The protocol includes chip preparation, extracellular matrix coating, endothelial and astrocyte seeding, introduction of programmable shear flow, transendothelial electrical resistance </w:t>
      </w:r>
      <w:r w:rsidR="00391818" w:rsidRPr="00391419">
        <w:rPr>
          <w:rFonts w:cs="Calibri"/>
          <w:color w:val="000000" w:themeColor="text1"/>
          <w:szCs w:val="24"/>
        </w:rPr>
        <w:t xml:space="preserve">(TEER) </w:t>
      </w:r>
      <w:r w:rsidRPr="00391419">
        <w:rPr>
          <w:rFonts w:cs="Calibri"/>
          <w:color w:val="000000" w:themeColor="text1"/>
          <w:szCs w:val="24"/>
        </w:rPr>
        <w:t>measurement, fixation, immunofluorescent staining, and confocal imaging. Shear flow is applied to the endothelial compartment using programmable syringe pumps to support endothelial alignment and tight-junction formation under dynamic culture conditions. Barrier formation is evaluated using TEER measurements and immunofluorescent characterization of endothelial and astrocytic markers, including cluster of differentiation 31, zonula occludens-1, and glial fibrillary acidic protein. This methodology provides a reproducible workflow for establishing a microfluidic endothelial–astrocyte co-culture model suitable for studying BBB-associated cellular interactions and barrier formation under controlled flow conditions. The protocol is intended to support reproducible implementation of BBB-chip workflows by providing detailed guidance for device preparation, cell culture, flow setup, imaging, and data acquisition.</w:t>
      </w:r>
    </w:p>
    <w:p w14:paraId="361DDE08" w14:textId="77777777" w:rsidR="00471755" w:rsidRPr="00391419" w:rsidRDefault="00471755" w:rsidP="00B9425C">
      <w:pPr>
        <w:spacing w:after="0" w:line="0" w:lineRule="atLeast"/>
        <w:jc w:val="both"/>
        <w:rPr>
          <w:rFonts w:cs="Calibri"/>
          <w:color w:val="000000" w:themeColor="text1"/>
          <w:szCs w:val="24"/>
        </w:rPr>
      </w:pPr>
    </w:p>
    <w:p w14:paraId="056C1C05" w14:textId="49513D79" w:rsidR="00471755"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INTRODUCTION:</w:t>
      </w:r>
    </w:p>
    <w:p w14:paraId="52A0B526" w14:textId="601BC6DE" w:rsidR="00EB0BA9"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The blood</w:t>
      </w:r>
      <w:r w:rsidR="009E1FDE" w:rsidRPr="00391419">
        <w:rPr>
          <w:rFonts w:cs="Calibri"/>
          <w:color w:val="000000" w:themeColor="text1"/>
          <w:szCs w:val="24"/>
        </w:rPr>
        <w:t>–</w:t>
      </w:r>
      <w:r w:rsidRPr="00391419">
        <w:rPr>
          <w:rFonts w:cs="Calibri"/>
          <w:color w:val="000000" w:themeColor="text1"/>
          <w:szCs w:val="24"/>
        </w:rPr>
        <w:t xml:space="preserve">brain barrier (BBB) is a highly selective physiological membrane that maintains the homeostasis of the brain microenvironment, regulates the movement of solutes from the blood into the brain, and protects the brain from harmful pathogens. The BBB consists of multiple components that aid in the restriction of molecules. Brain endothelial cells line blood capillaries and are tightly adhered to each other by tight junctions. A basement membrane </w:t>
      </w:r>
      <w:r w:rsidRPr="00391419">
        <w:rPr>
          <w:rFonts w:cs="Calibri"/>
          <w:color w:val="000000" w:themeColor="text1"/>
          <w:szCs w:val="24"/>
        </w:rPr>
        <w:lastRenderedPageBreak/>
        <w:t xml:space="preserve">embedded with pericytes surrounds the endothelium. Astrocytic endfeet cover </w:t>
      </w:r>
      <w:proofErr w:type="gramStart"/>
      <w:r w:rsidRPr="00391419">
        <w:rPr>
          <w:rFonts w:cs="Calibri"/>
          <w:color w:val="000000" w:themeColor="text1"/>
          <w:szCs w:val="24"/>
        </w:rPr>
        <w:t>the majority of</w:t>
      </w:r>
      <w:proofErr w:type="gramEnd"/>
      <w:r w:rsidRPr="00391419">
        <w:rPr>
          <w:rFonts w:cs="Calibri"/>
          <w:color w:val="000000" w:themeColor="text1"/>
          <w:szCs w:val="24"/>
        </w:rPr>
        <w:t xml:space="preserve"> the capillary surface and provide further support and induction of BBB properties. The wider neurovascular unit (NVU) additionally contains central nervous system (CNS) immune cells, microglia, and neurons</w:t>
      </w:r>
      <w:r w:rsidRPr="00391419">
        <w:rPr>
          <w:rFonts w:cs="Calibri"/>
          <w:color w:val="000000" w:themeColor="text1"/>
          <w:szCs w:val="24"/>
          <w:vertAlign w:val="superscript"/>
        </w:rPr>
        <w:t>1,2</w:t>
      </w:r>
      <w:r w:rsidRPr="00391419">
        <w:rPr>
          <w:rFonts w:cs="Calibri"/>
          <w:color w:val="000000" w:themeColor="text1"/>
          <w:szCs w:val="24"/>
        </w:rPr>
        <w:t>. In the present study, the microfluidic model represents an endothelial–astrocyte co-culture approximation of the BBB and does not fully recapitulate the complete multicellular NVU architecture present in vivo</w:t>
      </w:r>
      <w:r w:rsidR="004C63BE" w:rsidRPr="00391419">
        <w:rPr>
          <w:rFonts w:cs="Calibri"/>
          <w:color w:val="000000" w:themeColor="text1"/>
          <w:szCs w:val="24"/>
        </w:rPr>
        <w:fldChar w:fldCharType="begin"/>
      </w:r>
      <w:r w:rsidR="001A0DF7" w:rsidRPr="00391419">
        <w:rPr>
          <w:rFonts w:cs="Calibri"/>
          <w:color w:val="000000" w:themeColor="text1"/>
          <w:szCs w:val="24"/>
        </w:rPr>
        <w:instrText xml:space="preserve"> ADDIN ZOTERO_ITEM CSL_CITATION {"citationID":"ckemctNy","properties":{"formattedCitation":"(1,2)","plainCitation":"(1,2)","noteIndex":0},"citationItems":[{"id":37,"uris":["http://zotero.org/users/10225791/items/3JS5MJMC"],"itemData":{"id":37,"type":"article-journal","abstract":"Abstract   Neural signalling within the central nervous system (CNS) requires a highly controlled microenvironment. Cells at three key interfaces form barriers between the blood and the CNS: the blood–brain barrier (BBB), blood–CSF barrier and the arachnoid barrier. The BBB at the level of brain microvessel endothelium is the major site of blood–CNS exchange. The structure and function of the BBB is summarised, the physical barrier formed by the endothelial tight junctions, and the transport barrier resulting from membrane transporters and vesicular mechanisms. The roles of associated cells are outlined, especially the endfeet of astrocytic glial cells, and pericytes and microglia. The embryonic development of the BBB, and changes in pathology are described. The BBB is subject to short and long-term regulation, which may be disturbed in pathology. Any programme for drug discovery or delivery, to target or avoid the CNS, needs to consider the special features of the BBB.","container-title":"Neurobiology of Disease","DOI":"10.1016/j.nbd.2009.07.030","issue":"1","note":"DOI: 10.1016/j.nbd.2009.07.030\nMAG ID: 2159821105","page":"13-25","PMID":"19664713","title":"Structure and function of the blood–brain barrier","volume":"37","author":[{"family":"Abbott","given":"N. Joan"},{"family":"Patabendige","given":"Adjanie"},{"family":"Dolman","given":"Diana E. M."},{"family":"Yusof","given":"Siti R."},{"family":"Begley","given":"David J."}],"issued":{"date-parts":[["2010",1,1]]}}},{"id":3044,"uris":["http://zotero.org/users/10225791/items/PRRS4I9B"],"itemData":{"id":3044,"type":"article-journal","abstract":"The blood-brain barrier (BBB) protects the brain from pathogenic microorganisms. Neurologic complications from viral infections, including herpes simplex virus, varicella zoster virus, HIV, Japanese encephalitis virus, and SARS-CoV-2, are linked to BBB dysfunction and loss of barrier integrity. Increased BBB permeability associated with viral infections can occur through several mechanisms, such as direct neurotropism, Trojan horse mechanisms, or systemic infection and inflammation. Viruses cause direct and indirect immune-mediated damage. Understanding these neuroimmune mechanisms is critical to establish therapeutic strategies to protect BBB function. This review describes the effect of viral infection on the BBB, clinical methods to assess BBB integrity, and clinical management approaches to address viral-induced BBB damage.","container-title":"The Journal of Infectious Diseases","DOI":"10.1093/infdis/jiaf455","ISSN":"0022-1899","journalAbbreviation":"J Infect Dis","page":"jiaf455","source":"Silverchair","title":"Viral Infection and the Blood-Brain Barrier: Molecular Research Insights and Therapies","title-short":"Viral Infection and the Blood-Brain Barrier","author":[{"family":"Boardman","given":"Sarah A"},{"family":"Hetherington","given":"Claire"},{"family":"Hughes","given":"Thomas"},{"family":"Cook","given":"Callum"},{"family":"Galea","given":"Ian"},{"family":"Hilton","given":"Orla"},{"family":"Solomon","given":"Tom"},{"family":"Luster","given":"Andrew D"},{"family":"Allan","given":"Stuart"},{"family":"Kurt-Jones","given":"Evelyn"},{"family":"Forth","given":"Joe"},{"family":"Patabendige","given":"Adjanie"},{"family":"Egbe","given":"Franklyn N"},{"family":"Dunai","given":"Cordelia"},{"family":"Michael","given":"Benedict D"}],"issued":{"date-parts":[["2025",9,29]]}}}],"schema":"https://github.com/citation-style-language/schema/raw/master/csl-citation.json"} </w:instrText>
      </w:r>
      <w:r w:rsidR="004C63BE" w:rsidRPr="00391419">
        <w:rPr>
          <w:rFonts w:cs="Calibri"/>
          <w:color w:val="000000" w:themeColor="text1"/>
          <w:szCs w:val="24"/>
        </w:rPr>
        <w:fldChar w:fldCharType="separate"/>
      </w:r>
      <w:r w:rsidR="001A0DF7" w:rsidRPr="00391419">
        <w:rPr>
          <w:rFonts w:cs="Calibri"/>
          <w:color w:val="000000" w:themeColor="text1"/>
          <w:szCs w:val="24"/>
          <w:vertAlign w:val="superscript"/>
        </w:rPr>
        <w:t>1,2</w:t>
      </w:r>
      <w:r w:rsidRPr="00391419">
        <w:rPr>
          <w:rFonts w:cs="Calibri"/>
          <w:color w:val="000000" w:themeColor="text1"/>
          <w:szCs w:val="24"/>
        </w:rPr>
        <w:t>.</w:t>
      </w:r>
      <w:r w:rsidR="004C63BE" w:rsidRPr="00391419">
        <w:rPr>
          <w:rFonts w:cs="Calibri"/>
          <w:color w:val="000000" w:themeColor="text1"/>
          <w:szCs w:val="24"/>
        </w:rPr>
        <w:fldChar w:fldCharType="end"/>
      </w:r>
    </w:p>
    <w:p w14:paraId="5DF1E1B2" w14:textId="77777777" w:rsidR="0060749B" w:rsidRPr="00391419" w:rsidRDefault="0060749B" w:rsidP="00B9425C">
      <w:pPr>
        <w:spacing w:after="0" w:line="0" w:lineRule="atLeast"/>
        <w:jc w:val="both"/>
        <w:rPr>
          <w:rFonts w:cs="Calibri"/>
          <w:color w:val="000000" w:themeColor="text1"/>
          <w:szCs w:val="24"/>
        </w:rPr>
      </w:pPr>
    </w:p>
    <w:p w14:paraId="2D585CD3" w14:textId="0E4D399A" w:rsidR="00A82C84"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To</w:t>
      </w:r>
      <w:r w:rsidR="00781067" w:rsidRPr="00391419">
        <w:rPr>
          <w:rFonts w:cs="Calibri"/>
          <w:color w:val="000000" w:themeColor="text1"/>
          <w:szCs w:val="24"/>
        </w:rPr>
        <w:t xml:space="preserve"> study the BBB, researchers have developed different in vitro and in vivo models. In line with the principles of the 3Rs (replacement, reduction, and refinement)</w:t>
      </w:r>
      <w:r w:rsidR="00782536" w:rsidRPr="00391419">
        <w:rPr>
          <w:rFonts w:cs="Calibri"/>
          <w:color w:val="000000" w:themeColor="text1"/>
          <w:szCs w:val="24"/>
          <w:vertAlign w:val="superscript"/>
        </w:rPr>
        <w:fldChar w:fldCharType="begin"/>
      </w:r>
      <w:r w:rsidR="00782536" w:rsidRPr="00391419">
        <w:rPr>
          <w:rFonts w:cs="Calibri"/>
          <w:color w:val="000000" w:themeColor="text1"/>
          <w:szCs w:val="24"/>
          <w:vertAlign w:val="superscript"/>
        </w:rPr>
        <w:instrText xml:space="preserve"> ADDIN ZOTERO_ITEM CSL_CITATION {"citationID":"oNflf8S2","properties":{"formattedCitation":"(3)","plainCitation":"(3)","noteIndex":0},"citationItems":[{"id":2761,"uris":["http://zotero.org/users/10225791/items/MT375ISV","http://zotero.org/users/10225791/items/5JFJYB9A"],"itemData":{"id":2761,"type":"article-journal","abstract":"Simple Summary\nThe 3Rs: Replacement, Reduction and Refinement, formulated by William Russell and Rex Burch, have become synonymous with the measures to improve the welfare of animals used in research and are now used as an ethical framework for improving laboratory animal welfare throughout the world. This introduction to a special issue on the 3Rs explains how a non-confrontational and scientific approach led to their development, and briefly summarizes their adoption around the world.\n\nAbstract\nIn 1959, the Universities Federation for Animal Welfare (UFAW) Scholars Russell &amp; Burch published the Principles of Humane Experimental Technique in which they laid out the principles of the Three Rs. However, the Three Rs owed much to others. It was UFAW and, in particular, UFAW’s Founder and Director, Major Charles Hume who identified the problem that needed to be tackled, and who developed the non-confrontational approach that was needed to both formulate the questions that needed answers and to obtain the answers from the research community. Russell &amp; Burch’s work was also guided by an expert scientific and technical committee chaired by the Nobel Prize winner Sir Peter Medawar. This essay describes the history of the Three Rs using publications by the protagonists and others as well as material from UFAW’s archives. It describes the background to the employment of Russell &amp; Burch, the methodology of Russell &amp; Burch’s approach and the impact of their work up to the present day—where the Three Rs are incorporated in legislation throughout the world.","container-title":"Animals : an Open Access Journal from MDPI","DOI":"10.3390/ani9100754","ISSN":"2076-2615","issue":"10","journalAbbreviation":"Animals (Basel)","page":"754","PMID":"31575048","PMCID":"PMC6826930","source":"PubMed Central","title":"The 3Rs and Humane Experimental Technique: Implementing Change","title-short":"The 3Rs and Humane Experimental Technique","volume":"9","author":[{"family":"Hubrecht","given":"Robert C."},{"family":"Carter","given":"Elizabeth"}],"issued":{"date-parts":[["2019",9,30]]}}}],"schema":"https://github.com/citation-style-language/schema/raw/master/csl-citation.json"} </w:instrText>
      </w:r>
      <w:r w:rsidR="00782536" w:rsidRPr="00391419">
        <w:rPr>
          <w:rFonts w:cs="Calibri"/>
          <w:color w:val="000000" w:themeColor="text1"/>
          <w:szCs w:val="24"/>
          <w:vertAlign w:val="superscript"/>
        </w:rPr>
        <w:fldChar w:fldCharType="separate"/>
      </w:r>
      <w:r w:rsidR="001A0DF7" w:rsidRPr="00391419">
        <w:rPr>
          <w:rFonts w:cs="Calibri"/>
          <w:color w:val="000000" w:themeColor="text1"/>
          <w:szCs w:val="24"/>
          <w:vertAlign w:val="superscript"/>
        </w:rPr>
        <w:t>3</w:t>
      </w:r>
      <w:r w:rsidR="00782536" w:rsidRPr="00391419">
        <w:rPr>
          <w:rFonts w:cs="Calibri"/>
          <w:color w:val="000000" w:themeColor="text1"/>
          <w:szCs w:val="24"/>
          <w:vertAlign w:val="superscript"/>
        </w:rPr>
        <w:fldChar w:fldCharType="end"/>
      </w:r>
      <w:r w:rsidR="006B49A7" w:rsidRPr="00391419">
        <w:rPr>
          <w:rFonts w:cs="Calibri"/>
          <w:color w:val="000000" w:themeColor="text1"/>
          <w:szCs w:val="24"/>
        </w:rPr>
        <w:t xml:space="preserve">, </w:t>
      </w:r>
      <w:r w:rsidR="004823B3" w:rsidRPr="00391419">
        <w:rPr>
          <w:rFonts w:cs="Calibri"/>
          <w:color w:val="000000" w:themeColor="text1"/>
          <w:szCs w:val="24"/>
        </w:rPr>
        <w:t>there is a need to develop more physiologically relevant in vitro systems that can better replicate aspects of organ-specific microenvironments while contributing to the reduction and refinement of animal use in research. The development of microfluidic chips has offered an additional approach in the biomedical sciences field</w:t>
      </w:r>
      <w:r w:rsidR="00782536" w:rsidRPr="00391419">
        <w:rPr>
          <w:rFonts w:cs="Calibri"/>
          <w:color w:val="000000" w:themeColor="text1"/>
          <w:szCs w:val="24"/>
          <w:vertAlign w:val="superscript"/>
        </w:rPr>
        <w:fldChar w:fldCharType="begin"/>
      </w:r>
      <w:r w:rsidR="00782536" w:rsidRPr="00391419">
        <w:rPr>
          <w:rFonts w:cs="Calibri"/>
          <w:color w:val="000000" w:themeColor="text1"/>
          <w:szCs w:val="24"/>
          <w:vertAlign w:val="superscript"/>
        </w:rPr>
        <w:instrText xml:space="preserve"> ADDIN ZOTERO_ITEM CSL_CITATION {"citationID":"bHC62FoN","properties":{"formattedCitation":"(4)","plainCitation":"(4)","noteIndex":0},"citationItems":[{"id":3130,"uris":["http://zotero.org/users/10225791/items/BG3RLTHK"],"itemData":{"id":3130,"type":"article-journal","abstract":"Both passive and active microfluidic chips are used in many biomedical and chemical applications to support fluid mixing, particle manipulations, and signal detection. Passive microfluidic devices are geometry-dependent, and their uses are rather limited. Active microfluidic devices include sensors or detectors that transduce chemical, biological, and physical changes into electrical or optical signals. Also, they are transduction devices that detect biological and chemical changes in biomedical applications, and they are highly versatile microfluidic tools for disease diagnosis and organ modeling. This review provides a comprehensive overview of the significant advances that have been made in the development of microfluidics devices. We will discuss the function of microfluidic devices as micromixers or as sorters of cells and substances (e.g., microfiltration, flow or displacement, and trapping). Microfluidic devices are fabricated using a range of techniques, including molding, etching, three-dimensional printing, and nanofabrication. Their broad utility lies in the detection of diagnostic biomarkers and organ-on-chip approaches that permit disease modeling in cancer, as well as uses in neurological, cardiovascular, hepatic, and pulmonary diseases. Biosensor applications allow for point-of-care testing, using assays based on enzymes, nanozymes, antibodies, or nucleic acids (DNA or RNA). An anticipated development in the field includes the optimization of techniques for the fabrication of microfluidic devices using biocompatible materials. These developments will increase biomedical versatility, reduce diagnostic costs, and accelerate diagnosis time of microfluidics technology.","container-title":"Biosensors","DOI":"10.3390/bios12111023","ISSN":"2079-6374","issue":"11","language":"en","license":"http://creativecommons.org/licenses/by/3.0/","page":"1023","publisher":"Multidisciplinary Digital Publishing Institute","source":"www.mdpi.com","title":"Biomedical Applications of Microfluidic Devices: A Review","title-short":"Biomedical Applications of Microfluidic Devices","volume":"12","author":[{"family":"Gharib","given":"Ghazaleh"},{"family":"Bütün","given":"İsmail"},{"family":"Muganlı","given":"Zülâl"},{"family":"Kozalak","given":"Gül"},{"family":"Namlı","given":"İlayda"},{"family":"Sarraf","given":"Seyedali Seyedmirzaei"},{"family":"Ahmadi","given":"Vahid Ebrahimpour"},{"family":"Toyran","given":"Erçil"},{"family":"Wijnen","given":"Andre J.","non-dropping-particle":"van"},{"family":"Koşar","given":"Ali"}],"issued":{"date-parts":[["2022",11]]}}}],"schema":"https://github.com/citation-style-language/schema/raw/master/csl-citation.json"} </w:instrText>
      </w:r>
      <w:r w:rsidR="00782536" w:rsidRPr="00391419">
        <w:rPr>
          <w:rFonts w:cs="Calibri"/>
          <w:color w:val="000000" w:themeColor="text1"/>
          <w:szCs w:val="24"/>
          <w:vertAlign w:val="superscript"/>
        </w:rPr>
        <w:fldChar w:fldCharType="separate"/>
      </w:r>
      <w:r w:rsidR="001A0DF7" w:rsidRPr="00391419">
        <w:rPr>
          <w:rFonts w:cs="Calibri"/>
          <w:color w:val="000000" w:themeColor="text1"/>
          <w:szCs w:val="24"/>
          <w:vertAlign w:val="superscript"/>
        </w:rPr>
        <w:t>4</w:t>
      </w:r>
      <w:r w:rsidR="00782536" w:rsidRPr="00391419">
        <w:rPr>
          <w:rFonts w:cs="Calibri"/>
          <w:color w:val="000000" w:themeColor="text1"/>
          <w:szCs w:val="24"/>
          <w:vertAlign w:val="superscript"/>
        </w:rPr>
        <w:fldChar w:fldCharType="end"/>
      </w:r>
      <w:r w:rsidR="00782536" w:rsidRPr="00391419">
        <w:rPr>
          <w:rFonts w:cs="Calibri"/>
          <w:color w:val="000000" w:themeColor="text1"/>
          <w:szCs w:val="24"/>
        </w:rPr>
        <w:t xml:space="preserve">. </w:t>
      </w:r>
      <w:r w:rsidR="004823B3" w:rsidRPr="00391419">
        <w:rPr>
          <w:rFonts w:cs="Calibri"/>
          <w:color w:val="000000" w:themeColor="text1"/>
          <w:szCs w:val="24"/>
        </w:rPr>
        <w:t xml:space="preserve">Microfluidic chips are small devices that contain microchannels cut or </w:t>
      </w:r>
      <w:r w:rsidR="00177C34" w:rsidRPr="00391419">
        <w:rPr>
          <w:rFonts w:cs="Calibri"/>
          <w:color w:val="000000" w:themeColor="text1"/>
          <w:szCs w:val="24"/>
        </w:rPr>
        <w:t>molded</w:t>
      </w:r>
      <w:r w:rsidR="004823B3" w:rsidRPr="00391419">
        <w:rPr>
          <w:rFonts w:cs="Calibri"/>
          <w:color w:val="000000" w:themeColor="text1"/>
          <w:szCs w:val="24"/>
        </w:rPr>
        <w:t xml:space="preserve"> into materials such as silicon, glass, or polymers, including polydimethylsiloxane (PDMS). These microchannels are arranged according to specific designs for desired applications and are often interconnected. With the use of inlet and outlet wells or ports, fluid can pass through the chip on the nano</w:t>
      </w:r>
      <w:r w:rsidR="00697B5D" w:rsidRPr="00391419">
        <w:rPr>
          <w:rFonts w:cs="Calibri"/>
          <w:color w:val="000000" w:themeColor="text1"/>
          <w:szCs w:val="24"/>
        </w:rPr>
        <w:t>liter</w:t>
      </w:r>
      <w:r w:rsidR="004823B3" w:rsidRPr="00391419">
        <w:rPr>
          <w:rFonts w:cs="Calibri"/>
          <w:color w:val="000000" w:themeColor="text1"/>
          <w:szCs w:val="24"/>
        </w:rPr>
        <w:t xml:space="preserve"> to microliter scale. Microfluidics enable the precise control of small fluid volumes with high surface-to-volume ratios. These chips can be specifically designed to manipulate shear flow, enhance mass transfer, tune retention times, and control fluid–fluid or fluid–solid interfaces. As a result, microfluidic chips have numerous applications, including diagnostics, drug discovery and delivery, organ-on-a-chip modelling, and </w:t>
      </w:r>
      <w:r w:rsidR="00177C34" w:rsidRPr="00391419">
        <w:rPr>
          <w:rFonts w:cs="Calibri"/>
          <w:color w:val="000000" w:themeColor="text1"/>
          <w:szCs w:val="24"/>
        </w:rPr>
        <w:t>personalized</w:t>
      </w:r>
      <w:r w:rsidR="004823B3" w:rsidRPr="00391419">
        <w:rPr>
          <w:rFonts w:cs="Calibri"/>
          <w:color w:val="000000" w:themeColor="text1"/>
          <w:szCs w:val="24"/>
        </w:rPr>
        <w:t xml:space="preserve"> medicine, with additional applications continuing to emerge regularly</w:t>
      </w:r>
      <w:r w:rsidR="00782536" w:rsidRPr="00391419">
        <w:rPr>
          <w:rFonts w:cs="Calibri"/>
          <w:color w:val="000000" w:themeColor="text1"/>
          <w:szCs w:val="24"/>
          <w:vertAlign w:val="superscript"/>
        </w:rPr>
        <w:fldChar w:fldCharType="begin"/>
      </w:r>
      <w:r w:rsidR="00782536" w:rsidRPr="00391419">
        <w:rPr>
          <w:rFonts w:cs="Calibri"/>
          <w:color w:val="000000" w:themeColor="text1"/>
          <w:szCs w:val="24"/>
          <w:vertAlign w:val="superscript"/>
        </w:rPr>
        <w:instrText xml:space="preserve"> ADDIN ZOTERO_ITEM CSL_CITATION {"citationID":"UpPnL5po","properties":{"formattedCitation":"(5)","plainCitation":"(5)","noteIndex":0},"citationItems":[{"id":3051,"uris":["http://zotero.org/users/10225791/items/TXWBNGJD"],"itemData":{"id":3051,"type":"article-journal","abstract":"Microfluidics is a relatively newly emerged field based on the combined principles of physics, chemistry, biology, fluid dynamics, microelectronics, and material science. Various materials can be processed into miniaturized chips containing channels and chambers in the microscale range. A diverse repertoire of methods can be chosen to manufacture such platforms of desired size, shape, and geometry. Whether they are used alone or in combination with other devices, microfluidic chips can be employed in nanoparticle preparation, drug encapsulation, delivery, and targeting, cell analysis, diagnosis, and cell culture. This paper presents microfluidic technology in terms of the available platform materials and fabrication techniques, also focusing on the biomedical applications of these remarkable devices.","container-title":"International Journal of Molecular Sciences","DOI":"10.3390/ijms22042011","ISSN":"1422-0067","issue":"4","journalAbbreviation":"Int J Mol Sci","page":"2011","PMID":"33670545","PMCID":"PMC7921936","source":"PubMed Central","title":"Fabrication and Applications of Microfluidic Devices: A Review","title-short":"Fabrication and Applications of Microfluidic Devices","volume":"22","author":[{"family":"Niculescu","given":"Adelina-Gabriela"},{"family":"Chircov","given":"Cristina"},{"family":"Bîrcă","given":"Alexandra Cătălina"},{"family":"Grumezescu","given":"Alexandru Mihai"}],"issued":{"date-parts":[["2021",2,18]]}}}],"schema":"https://github.com/citation-style-language/schema/raw/master/csl-citation.json"} </w:instrText>
      </w:r>
      <w:r w:rsidR="00782536" w:rsidRPr="00391419">
        <w:rPr>
          <w:rFonts w:cs="Calibri"/>
          <w:color w:val="000000" w:themeColor="text1"/>
          <w:szCs w:val="24"/>
          <w:vertAlign w:val="superscript"/>
        </w:rPr>
        <w:fldChar w:fldCharType="separate"/>
      </w:r>
      <w:r w:rsidR="001A0DF7" w:rsidRPr="00391419">
        <w:rPr>
          <w:rFonts w:cs="Calibri"/>
          <w:color w:val="000000" w:themeColor="text1"/>
          <w:szCs w:val="24"/>
          <w:vertAlign w:val="superscript"/>
        </w:rPr>
        <w:t>5</w:t>
      </w:r>
      <w:r w:rsidR="00782536" w:rsidRPr="00391419">
        <w:rPr>
          <w:rFonts w:cs="Calibri"/>
          <w:color w:val="000000" w:themeColor="text1"/>
          <w:szCs w:val="24"/>
          <w:vertAlign w:val="superscript"/>
        </w:rPr>
        <w:fldChar w:fldCharType="end"/>
      </w:r>
      <w:r w:rsidR="00AB3FBB" w:rsidRPr="00391419">
        <w:rPr>
          <w:rFonts w:cs="Calibri"/>
          <w:color w:val="000000" w:themeColor="text1"/>
          <w:szCs w:val="24"/>
        </w:rPr>
        <w:t>.</w:t>
      </w:r>
    </w:p>
    <w:p w14:paraId="1FBF5AEF" w14:textId="77777777" w:rsidR="00781067" w:rsidRPr="00391419" w:rsidRDefault="00781067" w:rsidP="00B9425C">
      <w:pPr>
        <w:spacing w:after="0" w:line="0" w:lineRule="atLeast"/>
        <w:jc w:val="both"/>
        <w:rPr>
          <w:rFonts w:cs="Calibri"/>
          <w:color w:val="000000" w:themeColor="text1"/>
          <w:szCs w:val="24"/>
        </w:rPr>
      </w:pPr>
    </w:p>
    <w:p w14:paraId="524DA4C9" w14:textId="20AF5DCA" w:rsidR="00782536"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The use of microfluidic chips to develop organ-on-a-chip models has grown substantially in recent years, with numerous organ systems being recapitulated in these devices. These systems are particularly useful for modelling aspects of complex physiology, such as the BBB</w:t>
      </w:r>
      <w:r w:rsidR="00A82C84" w:rsidRPr="00391419">
        <w:rPr>
          <w:rFonts w:cs="Calibri"/>
          <w:color w:val="000000" w:themeColor="text1"/>
          <w:szCs w:val="24"/>
          <w:vertAlign w:val="superscript"/>
        </w:rPr>
        <w:fldChar w:fldCharType="begin"/>
      </w:r>
      <w:r w:rsidR="00A82C84" w:rsidRPr="00391419">
        <w:rPr>
          <w:rFonts w:cs="Calibri"/>
          <w:color w:val="000000" w:themeColor="text1"/>
          <w:szCs w:val="24"/>
          <w:vertAlign w:val="superscript"/>
        </w:rPr>
        <w:instrText xml:space="preserve"> ADDIN ZOTERO_ITEM CSL_CITATION {"citationID":"mwnKeHF9","properties":{"formattedCitation":"(6)","plainCitation":"(6)","noteIndex":0},"citationItems":[{"id":1935,"uris":["http://zotero.org/users/10225791/items/KDXWJ78H"],"itemData":{"id":1935,"type":"article-journal","abstract":"As a natural dynamic barrier separating blood from brain parenchyma, the blood–brain barrier (BBB) is mainly composed of brain microvascular endothelial cells (BMECs), pericytes, astrocytes, and a variety of neurons. The BBB regulates the highly selective transport of various substances between the brain and blood and maintains the stability of the central nervous system (CNS). Owing to this tight control, the BBB represents a formidable challenge for the delivery of drugs and other exogenous compounds into the CNS, which has bottlenecked the development of many drugs for CNS diseases. Therefore, efficient and precise in vitro models of the BBB are needed to assess the efficacy and toxicity of drugs targeting the CNS to inform drug design and to improve the success rate of agents that enter clinical evaluation. In vitro BBB models have rapidly advanced from the early two-dimensional (2D) static models to the current three-dimensional (3D) dynamic microfluidic chips. Although the commonly used, static, in vitro BBB models are simple to construct and TEER values are convenient to detect, the static models do not provide an ideal (i.e., accurate) BBB environment, since they lack the correct physiological size/scale and hemodynamic shear stress, both of which play substantial roles in promoting and maintaining EC differentiation into a specific BBB phenotype. Compared with traditional static models, 3D microfluidic models thus enable cells to react in a manner more closely resembling in vivo behavior by simulating a microenvironment with more natural signal transduction. As a result, the dynamic 3D BBB model can more accurately recapitulate the structure and function of the human BBB. Here we summarize the recent progress in in vitro microfluidic BBB chips and their research applications as well as discuss the prospects and challenges for where the technology is headed.","container-title":"Organs-on-a-Chip","DOI":"10.1016/j.ooc.2023.100027","ISSN":"2666-1020","journalAbbreviation":"Organs-on-a-Chip","page":"100027","source":"ScienceDirect","title":"Blood–brain barrier microfluidic chips and their applications","volume":"5","author":[{"family":"Li","given":"Mengmeng"},{"family":"Zhu","given":"Mingyang"},{"family":"Huang","given":"Ruolan"},{"family":"Wang","given":"Kun"},{"family":"Zeng","given":"Zhilong"},{"family":"Xiao","given":"Lu"},{"family":"Lin","given":"Yi"},{"family":"Liu","given":"Dan"}],"issued":{"date-parts":[["2023",12,1]]}}}],"schema":"https://github.com/citation-style-language/schema/raw/master/csl-citation.json"} </w:instrText>
      </w:r>
      <w:r w:rsidR="00A82C84" w:rsidRPr="00391419">
        <w:rPr>
          <w:rFonts w:cs="Calibri"/>
          <w:color w:val="000000" w:themeColor="text1"/>
          <w:szCs w:val="24"/>
          <w:vertAlign w:val="superscript"/>
        </w:rPr>
        <w:fldChar w:fldCharType="separate"/>
      </w:r>
      <w:r w:rsidR="001A0DF7" w:rsidRPr="00391419">
        <w:rPr>
          <w:rFonts w:cs="Calibri"/>
          <w:color w:val="000000" w:themeColor="text1"/>
          <w:szCs w:val="24"/>
          <w:vertAlign w:val="superscript"/>
        </w:rPr>
        <w:t>6</w:t>
      </w:r>
      <w:r w:rsidR="00A82C84" w:rsidRPr="00391419">
        <w:rPr>
          <w:rFonts w:cs="Calibri"/>
          <w:color w:val="000000" w:themeColor="text1"/>
          <w:szCs w:val="24"/>
          <w:vertAlign w:val="superscript"/>
        </w:rPr>
        <w:fldChar w:fldCharType="end"/>
      </w:r>
      <w:r w:rsidR="00A82C84" w:rsidRPr="00391419">
        <w:rPr>
          <w:rFonts w:cs="Calibri"/>
          <w:color w:val="000000" w:themeColor="text1"/>
          <w:szCs w:val="24"/>
        </w:rPr>
        <w:t xml:space="preserve">. </w:t>
      </w:r>
      <w:r w:rsidRPr="00391419">
        <w:rPr>
          <w:rFonts w:cs="Calibri"/>
          <w:color w:val="000000" w:themeColor="text1"/>
          <w:szCs w:val="24"/>
        </w:rPr>
        <w:t>In comparison to established BBB models, such as the Transwell system, brain-on-a-chip models can offer several advantages in addition to the ability to measure transendothelial electrical resistance (TEER). One such advantage is the ability to form three-dimensional (3D) cultures, particularly for BBB modelling, enabling the culture of a 3D endothelial “lumen” to approximate aspects of blood-capillary architecture</w:t>
      </w:r>
      <w:r w:rsidR="00A82C84" w:rsidRPr="00391419">
        <w:rPr>
          <w:rFonts w:cs="Calibri"/>
          <w:color w:val="000000" w:themeColor="text1"/>
          <w:szCs w:val="24"/>
          <w:vertAlign w:val="superscript"/>
        </w:rPr>
        <w:fldChar w:fldCharType="begin"/>
      </w:r>
      <w:r w:rsidR="00A82C84" w:rsidRPr="00391419">
        <w:rPr>
          <w:rFonts w:cs="Calibri"/>
          <w:color w:val="000000" w:themeColor="text1"/>
          <w:szCs w:val="24"/>
          <w:vertAlign w:val="superscript"/>
        </w:rPr>
        <w:instrText xml:space="preserve"> ADDIN ZOTERO_ITEM CSL_CITATION {"citationID":"Djca5qJA","properties":{"unsorted":false,"formattedCitation":"(7)","plainCitation":"(7)","noteIndex":0},"citationItems":[{"id":3383,"uris":["http://zotero.org/users/10225791/items/2R7CBN2A"],"itemData":{"id":3383,"type":"article-journal","abstract":"The blood vessels of the central nervous (CNS) system form a tight, protective blood-brain barrier (BBB). This barrier is essential for healthy CNS function but also poses a hurdle in the treatment of increasingly common neurological disorders. Additionally, BBB dysfunction is a hallmark of many neurological diseases, further emphasizing a need for a better understanding of BBB function in health and disease. We present a human self-assembling 3D model of the BBB in a microfluidic cell culture platform that allows culture of 48 models in parallel on one tissue culture plate. Human brain microvascular endothelial cells, pericytes, and astrocytes form highly reproducible BBB vascular networks under unidirectional perfusion and remain viable for a minimum of 14 days. Immunostaining reveals close cell-cell interactions with pericytes and astrocyte endfeet in direct contact with the brain microvasculature. Compared to endothelial monocultures, co-cultures with astrocytes or pericytes result in improved barrier function, lower vessel diameters, increased branching, and alignment of the vessels in the direction of fluid flow. These results were most pronounced in tri-cultures containing all three cell types. Unlike similar models previously reported, this brain microvasculature model allows for unidirectional perfusion without the need for pumps and syringes. Combined with its high-throughput nature, this feature renders the model suitable for studies of BBB function in health and disease, and assessment of potential BBB restorative therapies.","container-title":"Fluids and Barriers of the CNS","DOI":"10.1186/s12987-026-00765-x","ISSN":"2045-8118","journalAbbreviation":"Fluids Barriers CNS","page":"29","PMID":"41578393","PMCID":"PMC12910996","source":"PubMed Central","title":"Building the blood-brain barrier: a scalable self-assembling 3D model of the brain microvasculature under unidirectional flow","title-short":"Building the blood-brain barrier","volume":"23","author":[{"family":"Admiraal","given":"Jade"},{"family":"Emeh","given":"Promise O."},{"family":"Bokkers","given":"Marleen"},{"family":"Ruiter","given":"Sander P. M.","non-dropping-particle":"de"},{"family":"Olivier","given":"Thomas"},{"family":"Queiroz","given":"Karla"},{"family":"Burton","given":"Todd P."},{"family":"Wevers","given":"Nienke R."}],"issued":{"date-parts":[["2026",1,23]]}}}],"schema":"https://github.com/citation-style-language/schema/raw/master/csl-citation.json"} </w:instrText>
      </w:r>
      <w:r w:rsidR="00A82C84"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7</w:t>
      </w:r>
      <w:r w:rsidR="00A82C84" w:rsidRPr="00391419">
        <w:rPr>
          <w:rFonts w:cs="Calibri"/>
          <w:color w:val="000000" w:themeColor="text1"/>
          <w:szCs w:val="24"/>
          <w:vertAlign w:val="superscript"/>
        </w:rPr>
        <w:fldChar w:fldCharType="end"/>
      </w:r>
      <w:r w:rsidR="00A82C84" w:rsidRPr="00391419">
        <w:rPr>
          <w:rFonts w:cs="Calibri"/>
          <w:color w:val="000000" w:themeColor="text1"/>
          <w:szCs w:val="24"/>
        </w:rPr>
        <w:t xml:space="preserve">. </w:t>
      </w:r>
      <w:r w:rsidR="00621C0C" w:rsidRPr="00391419">
        <w:rPr>
          <w:rFonts w:cs="Calibri"/>
          <w:color w:val="000000" w:themeColor="text1"/>
          <w:szCs w:val="24"/>
        </w:rPr>
        <w:t>Syringe pumps or rocking systems enable shear flow to be introduced into these models, which can be used to mimic aspects of blood movement under controlled in vitro conditions. Shear stress has been reported to increase the expression of tight junctions and adherens junctions, which are important for barrier formation, improve TEER, and influence the expression of ion channels and transporter proteins, amongst other effects</w:t>
      </w:r>
      <w:r w:rsidR="00A82C84" w:rsidRPr="00391419">
        <w:rPr>
          <w:rFonts w:cs="Calibri"/>
          <w:color w:val="000000" w:themeColor="text1"/>
          <w:szCs w:val="24"/>
          <w:vertAlign w:val="superscript"/>
        </w:rPr>
        <w:fldChar w:fldCharType="begin"/>
      </w:r>
      <w:r w:rsidR="00A82C84" w:rsidRPr="00391419">
        <w:rPr>
          <w:rFonts w:cs="Calibri"/>
          <w:color w:val="000000" w:themeColor="text1"/>
          <w:szCs w:val="24"/>
          <w:vertAlign w:val="superscript"/>
        </w:rPr>
        <w:instrText xml:space="preserve"> ADDIN ZOTERO_ITEM CSL_CITATION {"citationID":"arLUmXaM","properties":{"formattedCitation":"(8,9)","plainCitation":"(8,9)","noteIndex":0},"citationItems":[{"id":3137,"uris":["http://zotero.org/users/10225791/items/P3GUKQKX"],"itemData":{"id":3137,"type":"article-journal","abstract":"The endothelial cells that form the lumen of capillaries and microvessels are an important component of the blood–brain barrier. Cell phenotype is regulated by transducing a range of biomechanical and biochemical signals in the local microenvironment. Here we report on the role of shear stress in modulating the morphology, motility, proliferation, apoptosis, and protein and gene expression, of confluent monolayers of human brain microvascular endothelial cells derived from induced pluripotent stem cells.","container-title":"Fluids and Barriers of the CNS","DOI":"10.1186/s12987-017-0068-z","ISSN":"2045-8118","issue":"1","journalAbbreviation":"Fluids and Barriers of the CNS","page":"20","source":"BioMed Central","title":"Effect of shear stress on iPSC-derived human brain microvascular endothelial cells (dhBMECs)","volume":"14","author":[{"family":"DeStefano","given":"Jackson G."},{"family":"Xu","given":"Zinnia S."},{"family":"Williams","given":"Ashley J."},{"family":"Yimam","given":"Nahom"},{"family":"Searson","given":"Peter C."}],"issued":{"date-parts":[["2017",8,4]]}}},{"id":588,"uris":["http://zotero.org/users/10225791/items/BCG2TBK5","http://zotero.org/users/10225791/items/347SRVYI"],"itemData":{"id":588,"type":"article-journal","abstract":"BACKGROUND: One of the most important and often neglected physiological stimuli contributing to the differentiation of vascular endothelial cells (ECs) into a blood-brain barrier (BBB) phenotype is shear stress (SS). With the use of a well established humanized dynamic in vitro BBB model and cDNA microarrays, we have profiled the effect of SS in the induction/suppression of ECs genes and related functions.\nRESULTS: Specifically, we found a significant upregulation of tight and adherens junctions proteins and genes. Trans-endothelial electrical resistance (TEER) and permeability measurements to know substances have shown that SS promoted the formation of a tight and highly selective BBB. SS also increased the RNA level of multidrug resistance transporters, ion channels, and several p450 enzymes. The RNA level of a number of specialized carrier-mediated transport systems (e.g., glucose, monocarboxylic acid, etc.) was also upregulated.RNA levels of modulatory enzymes of the glycolytic pathway (e.g., lactate dehydrogenase) were downregulated by SS while those involved in the Krebs cycle (e.g., lactate and other dehydrogenases) were upregulated. Measurements of glucose consumption versus lactate production showed that SS negatively modulated the glycolytic bioenergetic pathways of glucose metabolism in favor of the more efficient aerobic respiration. BBB ECs are responsive to inflammatory stimuli. Our data showed that SS increased the RNA levels of integrins and vascular adhesion molecules. SS also inhibited endothelial cell cycle via regulation of BTG family proteins encoding genes. This was paralleled by significant increase in the cytoskeletal protein content while that of membrane, cytosol, and nuclear sub-cellular fractions decreased. Furthermore, analysis of 2D gel electrophoresis (which allows identifying a large number of proteins per sample) of EC proteins extracted from membrane sub-cellular endothelial fractions showed that SS increased the expression levels of tight junction proteins. In addition, regulatory enzymes of the Krebb's cycle (aerobic glucose metabolism) were also upregulated. Furthermore, the expression pattern of key protein regulators of the cell cycle and parallel gene array data supported a cell proliferation inhibitory role for SS.\nCONCLUSIONS: Genomic and proteomic analyses are currently used to examine BBB function in healthy and diseased brain and characterize this dynamic interface. In this study we showed that SS plays a key role in promoting the differentiation of vascular endothelial cells into a truly BBB phenotype. SS affected multiple aspect of the endothelial physiology spanning from tight junctions formation to cell division as well as the expression of multidrug resistance transporters. BBB dysfunction has been observed in many neurological diseases, but the causes are generally unknown. Our study provides essential insights to understand the role played by SS in the BBB formation and maintenance.","container-title":"BMC neuroscience","DOI":"10.1186/1471-2202-12-40","ISSN":"1471-2202","journalAbbreviation":"BMC Neurosci","language":"eng","page":"40","PMID":"21569296","PMCID":"PMC3103473","source":"PubMed","title":"The role of shear stress in Blood-Brain Barrier endothelial physiology","volume":"12","author":[{"family":"Cucullo","given":"Luca"},{"family":"Hossain","given":"Mohammed"},{"family":"Puvenna","given":"Vikram"},{"family":"Marchi","given":"Nicola"},{"family":"Janigro","given":"Damir"}],"issued":{"date-parts":[["2011",5,11]]}}}],"schema":"https://github.com/citation-style-language/schema/raw/master/csl-citation.json"} </w:instrText>
      </w:r>
      <w:r w:rsidR="00A82C84"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8,9</w:t>
      </w:r>
      <w:r w:rsidR="00A82C84" w:rsidRPr="00391419">
        <w:rPr>
          <w:rFonts w:cs="Calibri"/>
          <w:color w:val="000000" w:themeColor="text1"/>
          <w:szCs w:val="24"/>
          <w:vertAlign w:val="superscript"/>
        </w:rPr>
        <w:fldChar w:fldCharType="end"/>
      </w:r>
      <w:r w:rsidR="00F37E0A" w:rsidRPr="00391419">
        <w:rPr>
          <w:rFonts w:cs="Calibri"/>
          <w:color w:val="000000" w:themeColor="text1"/>
          <w:szCs w:val="24"/>
        </w:rPr>
        <w:t xml:space="preserve">. </w:t>
      </w:r>
      <w:r w:rsidR="00621C0C" w:rsidRPr="00391419">
        <w:rPr>
          <w:rFonts w:cs="Calibri"/>
          <w:color w:val="000000" w:themeColor="text1"/>
          <w:szCs w:val="24"/>
        </w:rPr>
        <w:t xml:space="preserve">Additionally, the separation of cell populations allows environmental conditions, such as media composition, static or flow conditions, and </w:t>
      </w:r>
      <w:r w:rsidR="00A65DAF" w:rsidRPr="00391419">
        <w:rPr>
          <w:rFonts w:cs="Calibri"/>
          <w:color w:val="000000" w:themeColor="text1"/>
          <w:szCs w:val="24"/>
        </w:rPr>
        <w:t>neighboring</w:t>
      </w:r>
      <w:r w:rsidR="00621C0C" w:rsidRPr="00391419">
        <w:rPr>
          <w:rFonts w:cs="Calibri"/>
          <w:color w:val="000000" w:themeColor="text1"/>
          <w:szCs w:val="24"/>
        </w:rPr>
        <w:t xml:space="preserve"> cell interactions, to be tailored to specific cell populations within different regions of the device. Micropores between channels or chambers often allow both physical and chemical communication between cell populations. Microfluidic chips can facilitate real-time </w:t>
      </w:r>
      <w:r w:rsidR="00A65DAF" w:rsidRPr="00391419">
        <w:rPr>
          <w:rFonts w:cs="Calibri"/>
          <w:color w:val="000000" w:themeColor="text1"/>
          <w:szCs w:val="24"/>
        </w:rPr>
        <w:t>visualization</w:t>
      </w:r>
      <w:r w:rsidR="00621C0C" w:rsidRPr="00391419">
        <w:rPr>
          <w:rFonts w:cs="Calibri"/>
          <w:color w:val="000000" w:themeColor="text1"/>
          <w:szCs w:val="24"/>
        </w:rPr>
        <w:t xml:space="preserve"> of cell movement, simplified imaging workflows, and TEER measurements using either embedded electrodes or external electrode systems. Due to the small size of these devices, multiple chips can be operated simultaneously while using reduced reagent volumes. The use of human cells in in vitro models can contribute to reducing animal use in research, and when combined with microfluidic systems, may provide a more physiologically relevant platform for pre-clinical investigations. However, despite these advantages, </w:t>
      </w:r>
      <w:r w:rsidR="00621C0C" w:rsidRPr="00391419">
        <w:rPr>
          <w:rFonts w:cs="Calibri"/>
          <w:color w:val="000000" w:themeColor="text1"/>
          <w:szCs w:val="24"/>
        </w:rPr>
        <w:lastRenderedPageBreak/>
        <w:t xml:space="preserve">microfluidic models often involve complex methodologies that require </w:t>
      </w:r>
      <w:r w:rsidR="00A65DAF" w:rsidRPr="00391419">
        <w:rPr>
          <w:rFonts w:cs="Calibri"/>
          <w:color w:val="000000" w:themeColor="text1"/>
          <w:szCs w:val="24"/>
        </w:rPr>
        <w:t>specialized</w:t>
      </w:r>
      <w:r w:rsidR="00621C0C" w:rsidRPr="00391419">
        <w:rPr>
          <w:rFonts w:cs="Calibri"/>
          <w:color w:val="000000" w:themeColor="text1"/>
          <w:szCs w:val="24"/>
        </w:rPr>
        <w:t xml:space="preserve"> training, extensive protocol </w:t>
      </w:r>
      <w:r w:rsidR="00A65DAF" w:rsidRPr="00391419">
        <w:rPr>
          <w:rFonts w:cs="Calibri"/>
          <w:color w:val="000000" w:themeColor="text1"/>
          <w:szCs w:val="24"/>
        </w:rPr>
        <w:t>optimization</w:t>
      </w:r>
      <w:r w:rsidR="00621C0C" w:rsidRPr="00391419">
        <w:rPr>
          <w:rFonts w:cs="Calibri"/>
          <w:color w:val="000000" w:themeColor="text1"/>
          <w:szCs w:val="24"/>
        </w:rPr>
        <w:t>, and substantial initial investment in associated equipment.</w:t>
      </w:r>
    </w:p>
    <w:p w14:paraId="5F96EA69" w14:textId="77777777" w:rsidR="00FB011E" w:rsidRPr="00391419" w:rsidRDefault="00FB011E" w:rsidP="00B9425C">
      <w:pPr>
        <w:spacing w:after="0" w:line="0" w:lineRule="atLeast"/>
        <w:jc w:val="both"/>
        <w:rPr>
          <w:rFonts w:cs="Calibri"/>
          <w:color w:val="000000" w:themeColor="text1"/>
          <w:szCs w:val="24"/>
        </w:rPr>
      </w:pPr>
    </w:p>
    <w:p w14:paraId="0995459F" w14:textId="26D12EB1" w:rsidR="00C96E84"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 xml:space="preserve">This paper describes the establishment of a human co-culture BBB microfluidic chip model consisting of </w:t>
      </w:r>
      <w:r w:rsidR="00A65DAF" w:rsidRPr="00391419">
        <w:rPr>
          <w:rFonts w:cs="Calibri"/>
          <w:color w:val="000000" w:themeColor="text1"/>
          <w:szCs w:val="24"/>
        </w:rPr>
        <w:t>immortalized</w:t>
      </w:r>
      <w:r w:rsidRPr="00391419">
        <w:rPr>
          <w:rFonts w:cs="Calibri"/>
          <w:color w:val="000000" w:themeColor="text1"/>
          <w:szCs w:val="24"/>
        </w:rPr>
        <w:t xml:space="preserve"> human cerebral microvascular endothelial cells (hCMEC/D3) and human primary astrocytes. Building on previously published work</w:t>
      </w:r>
      <w:r w:rsidR="00941A72" w:rsidRPr="00391419">
        <w:rPr>
          <w:rFonts w:cs="Calibri"/>
          <w:color w:val="000000" w:themeColor="text1"/>
          <w:szCs w:val="24"/>
          <w:vertAlign w:val="superscript"/>
        </w:rPr>
        <w:fldChar w:fldCharType="begin"/>
      </w:r>
      <w:r w:rsidR="00941A72" w:rsidRPr="00391419">
        <w:rPr>
          <w:rFonts w:cs="Calibri"/>
          <w:color w:val="000000" w:themeColor="text1"/>
          <w:szCs w:val="24"/>
          <w:vertAlign w:val="superscript"/>
        </w:rPr>
        <w:instrText xml:space="preserve"> ADDIN ZOTERO_ITEM CSL_CITATION {"citationID":"NqzLnWOH","properties":{"formattedCitation":"(10)","plainCitation":"(10)","noteIndex":0},"citationItems":[{"id":84,"uris":["http://zotero.org/users/10225791/items/UMGUB6BF"],"itemData":{"id":84,"type":"article-journal","abstract":"Microfluidic cellular models, commonly referred to as “organs‐on‐chips,” continue to advance the field of bioengineering via the development of accurate and higher throughput models, captivating the essence of living human organs. This class of models can mimic key in vivo features, including shear stresses and cellular architectures, in ways that cannot be realized by traditional two‐dimensional in vitro models. Despite such progress, current organ‐on‐a‐chip models are often overly complex, require highly specialized setups and equipment, and lack the ability to easily ascertain temporal and spatial differences in the transport kinetics of compounds translocating across cellular barriers. To address this challenge, we report the development of a three‐dimensional human blood brain barrier (BBB) microfluidic model (μHuB) using human cerebral microvascular endothelial cells (hCMEC/D3) and primary human astrocytes within a commercially available microfluidic platform. Within μHuB, hCMEC/D3 monolayers withstood physiologically relevant shear stresses (2.73 dyn/cm2) over a period of 24 hr and formed a complete inner lumen, resembling in vivo blood capillaries. Monolayers within μHuB expressed phenotypical tight junction markers (Claudin‐5 and ZO‐1), which increased expression after the presence of hemodynamic‐like shear stress. Negligible cell injury was observed when the monolayers were cultured statically, conditioned to shear stress, and subjected to nonfluorescent dextran (70 kDa) transport studies. μHuB experienced size‐selective permeability of 10 and 70 kDa dextrans similar to other BBB models. However, with the ability to probe temporal and spatial evolution of solute distribution, μHuBs possess the ability to capture the true variability in permeability across a cellular monolayer over time and allow for evaluation of the full breadth of permeabilities that would otherwise be lost using traditional end‐point sampling techniques. Overall, the μHuB platform provides a simplified, easy‐to‐use model to further investigate the complexities of the human BBB in real‐time and can be readily adapted to incorporate additional cell types of the neurovascular unit and beyond.","container-title":"Bioengineering &amp; Translational Medicine","DOI":"10.1002/btm2.10126","ISSN":"2380-6761","issue":"2","journalAbbreviation":"Bioeng Transl Med","page":"e10126","PMID":"31249876","PMCID":"PMC6584314","source":"PubMed Central","title":"A microfluidic model of human brain (μHuB) for assessment of blood brain barrier","volume":"4","author":[{"family":"Brown","given":"Tyler D."},{"family":"Nowak","given":"Maksymilian"},{"family":"Bayles","given":"Alexandra V."},{"family":"Prabhakarpandian","given":"Balabhaskar"},{"family":"Karande","given":"Pankaj"},{"family":"Lahann","given":"Joerg"},{"family":"Helgeson","given":"Matthew E."},{"family":"Mitragotri","given":"Samir"}],"issued":{"date-parts":[["2019",1,13]]}}}],"schema":"https://github.com/citation-style-language/schema/raw/master/csl-citation.json"} </w:instrText>
      </w:r>
      <w:r w:rsidR="00941A72"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10</w:t>
      </w:r>
      <w:r w:rsidR="00941A72" w:rsidRPr="00391419">
        <w:rPr>
          <w:rFonts w:cs="Calibri"/>
          <w:color w:val="000000" w:themeColor="text1"/>
          <w:szCs w:val="24"/>
          <w:vertAlign w:val="superscript"/>
        </w:rPr>
        <w:fldChar w:fldCharType="end"/>
      </w:r>
      <w:r w:rsidR="00382224" w:rsidRPr="00391419">
        <w:rPr>
          <w:rFonts w:cs="Calibri"/>
          <w:color w:val="000000" w:themeColor="text1"/>
          <w:szCs w:val="24"/>
        </w:rPr>
        <w:t xml:space="preserve">, </w:t>
      </w:r>
      <w:r w:rsidR="00826601" w:rsidRPr="00391419">
        <w:rPr>
          <w:rFonts w:cs="Calibri"/>
          <w:color w:val="000000" w:themeColor="text1"/>
          <w:szCs w:val="24"/>
        </w:rPr>
        <w:t xml:space="preserve">the methodology presented herein has been further refined and </w:t>
      </w:r>
      <w:r w:rsidR="00A65DAF" w:rsidRPr="00391419">
        <w:rPr>
          <w:rFonts w:cs="Calibri"/>
          <w:color w:val="000000" w:themeColor="text1"/>
          <w:szCs w:val="24"/>
        </w:rPr>
        <w:t>optimized</w:t>
      </w:r>
      <w:r w:rsidR="00826601" w:rsidRPr="00391419">
        <w:rPr>
          <w:rFonts w:cs="Calibri"/>
          <w:color w:val="000000" w:themeColor="text1"/>
          <w:szCs w:val="24"/>
        </w:rPr>
        <w:t xml:space="preserve"> to provide more detailed instructions for accurate replication and improved reproducibility. Additionally, the paper provides practical information that may support multidisciplinary research applications, including CNS and BBB-related investigations. The protocol is intended to facilitate implementation for researchers who may not have access to more advanced BBB-chip systems that require extensive </w:t>
      </w:r>
      <w:r w:rsidR="00A65DAF" w:rsidRPr="00391419">
        <w:rPr>
          <w:rFonts w:cs="Calibri"/>
          <w:color w:val="000000" w:themeColor="text1"/>
          <w:szCs w:val="24"/>
        </w:rPr>
        <w:t>optimization</w:t>
      </w:r>
      <w:r w:rsidR="00826601" w:rsidRPr="00391419">
        <w:rPr>
          <w:rFonts w:cs="Calibri"/>
          <w:color w:val="000000" w:themeColor="text1"/>
          <w:szCs w:val="24"/>
        </w:rPr>
        <w:t xml:space="preserve"> or </w:t>
      </w:r>
      <w:r w:rsidR="00A65DAF" w:rsidRPr="00391419">
        <w:rPr>
          <w:rFonts w:cs="Calibri"/>
          <w:color w:val="000000" w:themeColor="text1"/>
          <w:szCs w:val="24"/>
        </w:rPr>
        <w:t>specialized</w:t>
      </w:r>
      <w:r w:rsidR="00826601" w:rsidRPr="00391419">
        <w:rPr>
          <w:rFonts w:cs="Calibri"/>
          <w:color w:val="000000" w:themeColor="text1"/>
          <w:szCs w:val="24"/>
        </w:rPr>
        <w:t xml:space="preserve"> expertise. The microfluidic chip used in this study is commercially available from SynVivo, and the workflow described is specifically </w:t>
      </w:r>
      <w:r w:rsidR="00A65DAF" w:rsidRPr="00391419">
        <w:rPr>
          <w:rFonts w:cs="Calibri"/>
          <w:color w:val="000000" w:themeColor="text1"/>
          <w:szCs w:val="24"/>
        </w:rPr>
        <w:t>optimized</w:t>
      </w:r>
      <w:r w:rsidR="00826601" w:rsidRPr="00391419">
        <w:rPr>
          <w:rFonts w:cs="Calibri"/>
          <w:color w:val="000000" w:themeColor="text1"/>
          <w:szCs w:val="24"/>
        </w:rPr>
        <w:t xml:space="preserve"> for this chip architecture and associated flow system. The chips </w:t>
      </w:r>
      <w:r w:rsidR="00A65DAF" w:rsidRPr="00391419">
        <w:rPr>
          <w:rFonts w:cs="Calibri"/>
          <w:color w:val="000000" w:themeColor="text1"/>
          <w:szCs w:val="24"/>
        </w:rPr>
        <w:t>utilize</w:t>
      </w:r>
      <w:r w:rsidR="00826601" w:rsidRPr="00391419">
        <w:rPr>
          <w:rFonts w:cs="Calibri"/>
          <w:color w:val="000000" w:themeColor="text1"/>
          <w:szCs w:val="24"/>
        </w:rPr>
        <w:t xml:space="preserve"> programmable syringe pumps to introduce shear flow conditions that mimic aspects of in vivo microvascular blood movement and support endothelial barrier formation</w:t>
      </w:r>
      <w:r w:rsidR="00941A72" w:rsidRPr="00391419">
        <w:rPr>
          <w:rFonts w:cs="Calibri"/>
          <w:color w:val="000000" w:themeColor="text1"/>
          <w:szCs w:val="24"/>
          <w:vertAlign w:val="superscript"/>
        </w:rPr>
        <w:fldChar w:fldCharType="begin"/>
      </w:r>
      <w:r w:rsidR="00941A72" w:rsidRPr="00391419">
        <w:rPr>
          <w:rFonts w:cs="Calibri"/>
          <w:color w:val="000000" w:themeColor="text1"/>
          <w:szCs w:val="24"/>
          <w:vertAlign w:val="superscript"/>
        </w:rPr>
        <w:instrText xml:space="preserve"> ADDIN ZOTERO_ITEM CSL_CITATION {"citationID":"fvydwnTk","properties":{"formattedCitation":"(9)","plainCitation":"(9)","noteIndex":0},"citationItems":[{"id":588,"uris":["http://zotero.org/users/10225791/items/BCG2TBK5","http://zotero.org/users/10225791/items/347SRVYI"],"itemData":{"id":588,"type":"article-journal","abstract":"BACKGROUND: One of the most important and often neglected physiological stimuli contributing to the differentiation of vascular endothelial cells (ECs) into a blood-brain barrier (BBB) phenotype is shear stress (SS). With the use of a well established humanized dynamic in vitro BBB model and cDNA microarrays, we have profiled the effect of SS in the induction/suppression of ECs genes and related functions.\nRESULTS: Specifically, we found a significant upregulation of tight and adherens junctions proteins and genes. Trans-endothelial electrical resistance (TEER) and permeability measurements to know substances have shown that SS promoted the formation of a tight and highly selective BBB. SS also increased the RNA level of multidrug resistance transporters, ion channels, and several p450 enzymes. The RNA level of a number of specialized carrier-mediated transport systems (e.g., glucose, monocarboxylic acid, etc.) was also upregulated.RNA levels of modulatory enzymes of the glycolytic pathway (e.g., lactate dehydrogenase) were downregulated by SS while those involved in the Krebs cycle (e.g., lactate and other dehydrogenases) were upregulated. Measurements of glucose consumption versus lactate production showed that SS negatively modulated the glycolytic bioenergetic pathways of glucose metabolism in favor of the more efficient aerobic respiration. BBB ECs are responsive to inflammatory stimuli. Our data showed that SS increased the RNA levels of integrins and vascular adhesion molecules. SS also inhibited endothelial cell cycle via regulation of BTG family proteins encoding genes. This was paralleled by significant increase in the cytoskeletal protein content while that of membrane, cytosol, and nuclear sub-cellular fractions decreased. Furthermore, analysis of 2D gel electrophoresis (which allows identifying a large number of proteins per sample) of EC proteins extracted from membrane sub-cellular endothelial fractions showed that SS increased the expression levels of tight junction proteins. In addition, regulatory enzymes of the Krebb's cycle (aerobic glucose metabolism) were also upregulated. Furthermore, the expression pattern of key protein regulators of the cell cycle and parallel gene array data supported a cell proliferation inhibitory role for SS.\nCONCLUSIONS: Genomic and proteomic analyses are currently used to examine BBB function in healthy and diseased brain and characterize this dynamic interface. In this study we showed that SS plays a key role in promoting the differentiation of vascular endothelial cells into a truly BBB phenotype. SS affected multiple aspect of the endothelial physiology spanning from tight junctions formation to cell division as well as the expression of multidrug resistance transporters. BBB dysfunction has been observed in many neurological diseases, but the causes are generally unknown. Our study provides essential insights to understand the role played by SS in the BBB formation and maintenance.","container-title":"BMC neuroscience","DOI":"10.1186/1471-2202-12-40","ISSN":"1471-2202","journalAbbreviation":"BMC Neurosci","language":"eng","page":"40","PMID":"21569296","PMCID":"PMC3103473","source":"PubMed","title":"The role of shear stress in Blood-Brain Barrier endothelial physiology","volume":"12","author":[{"family":"Cucullo","given":"Luca"},{"family":"Hossain","given":"Mohammed"},{"family":"Puvenna","given":"Vikram"},{"family":"Marchi","given":"Nicola"},{"family":"Janigro","given":"Damir"}],"issued":{"date-parts":[["2011",5,11]]}}}],"schema":"https://github.com/citation-style-language/schema/raw/master/csl-citation.json"} </w:instrText>
      </w:r>
      <w:r w:rsidR="00941A72"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9</w:t>
      </w:r>
      <w:r w:rsidR="00941A72" w:rsidRPr="00391419">
        <w:rPr>
          <w:rFonts w:cs="Calibri"/>
          <w:color w:val="000000" w:themeColor="text1"/>
          <w:szCs w:val="24"/>
          <w:vertAlign w:val="superscript"/>
        </w:rPr>
        <w:fldChar w:fldCharType="end"/>
      </w:r>
      <w:r w:rsidR="0007041D" w:rsidRPr="00391419">
        <w:rPr>
          <w:rFonts w:cs="Calibri"/>
          <w:color w:val="000000" w:themeColor="text1"/>
          <w:szCs w:val="24"/>
        </w:rPr>
        <w:t xml:space="preserve">. </w:t>
      </w:r>
      <w:r w:rsidR="00C57FBE" w:rsidRPr="00391419">
        <w:rPr>
          <w:rFonts w:cs="Calibri"/>
          <w:color w:val="000000" w:themeColor="text1"/>
          <w:szCs w:val="24"/>
        </w:rPr>
        <w:t>The achieved shear-flow conditions more closely approximate lower-shear microvascular environments rather than fully physiological capillary shear stress. The protocol includes basement membrane coating, endothelial-cell culture, astrocyte culture, introduction of shear flow, maintenance of co-cultures, measurement of TEER, immunofluorescent staining, and confocal imaging.</w:t>
      </w:r>
    </w:p>
    <w:p w14:paraId="739210BB" w14:textId="77777777" w:rsidR="00C96E84" w:rsidRPr="00391419" w:rsidRDefault="00C96E84" w:rsidP="00B9425C">
      <w:pPr>
        <w:spacing w:after="0" w:line="0" w:lineRule="atLeast"/>
        <w:jc w:val="both"/>
        <w:rPr>
          <w:rFonts w:cs="Calibri"/>
          <w:color w:val="000000" w:themeColor="text1"/>
          <w:szCs w:val="24"/>
        </w:rPr>
      </w:pPr>
    </w:p>
    <w:p w14:paraId="7D8A2F47" w14:textId="77777777" w:rsidR="00B063D8" w:rsidRPr="00391419" w:rsidRDefault="00B063D8" w:rsidP="00B9425C">
      <w:pPr>
        <w:spacing w:after="0" w:line="0" w:lineRule="atLeast"/>
        <w:jc w:val="both"/>
        <w:rPr>
          <w:rFonts w:cs="Calibri"/>
          <w:b/>
          <w:bCs/>
          <w:color w:val="000000" w:themeColor="text1"/>
          <w:szCs w:val="24"/>
        </w:rPr>
      </w:pPr>
      <w:r w:rsidRPr="00391419">
        <w:rPr>
          <w:rFonts w:cs="Calibri"/>
          <w:b/>
          <w:bCs/>
          <w:color w:val="000000" w:themeColor="text1"/>
          <w:szCs w:val="24"/>
        </w:rPr>
        <w:t>PROTOCOL:</w:t>
      </w:r>
    </w:p>
    <w:p w14:paraId="3944BEB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All human-derived cell lines used in this protocol were commercially obtained from authenticated repositories. Because these materials consist of established, commercially available, and de-identified human cell lines, they are exempt from institutional review board (IRB) or human research ethics committee approval according to institutional guidelines.</w:t>
      </w:r>
    </w:p>
    <w:p w14:paraId="1D553924" w14:textId="77777777" w:rsidR="00B063D8" w:rsidRPr="00391419" w:rsidRDefault="00B063D8" w:rsidP="00B9425C">
      <w:pPr>
        <w:spacing w:after="0" w:line="0" w:lineRule="atLeast"/>
        <w:jc w:val="both"/>
        <w:rPr>
          <w:rFonts w:cs="Calibri"/>
          <w:color w:val="000000" w:themeColor="text1"/>
          <w:szCs w:val="24"/>
        </w:rPr>
      </w:pPr>
    </w:p>
    <w:p w14:paraId="697DD89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CAUTION: Follow institutional procedures for the handling, storage, and disposal of all chemicals, compressed gases, biological materials, and human-derived cell-culture waste used in this protocol. Handle paraformaldehyde (PFA), Triton X-100, ethanol, and compressed nitrogen gas using appropriate personal protective equipment and ventilation procedures.</w:t>
      </w:r>
    </w:p>
    <w:p w14:paraId="1BEA1F40" w14:textId="77777777" w:rsidR="00B063D8" w:rsidRPr="00391419" w:rsidRDefault="00B063D8" w:rsidP="00B9425C">
      <w:pPr>
        <w:spacing w:after="0" w:line="0" w:lineRule="atLeast"/>
        <w:jc w:val="both"/>
        <w:rPr>
          <w:rFonts w:cs="Calibri"/>
          <w:color w:val="000000" w:themeColor="text1"/>
          <w:szCs w:val="24"/>
        </w:rPr>
      </w:pPr>
    </w:p>
    <w:p w14:paraId="7FBD954A" w14:textId="743FB9FC"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Perform all procedures inside a Category 2 Class II biosafety cabinet to maintain sterility and ensure user safety. Remove microfluidic chips from the biosafety cabinet only after inserting tubing into all ports and applying clamps. Store chips in a sealed plastic container during transport to the incubator. If the microscope cannot be placed inside the biosafety cabinet, insert tubing into all ports and place chips into the bottom of sterile Petri dishes before transport to the microscope. Minimize the time that chips remain outside of the biosafety cabinet. A step-by-step workflow of the protocol is provided in </w:t>
      </w:r>
      <w:r w:rsidR="002615BD" w:rsidRPr="00391419">
        <w:rPr>
          <w:rFonts w:cs="Calibri"/>
          <w:b/>
          <w:bCs/>
          <w:color w:val="000000" w:themeColor="text1"/>
          <w:szCs w:val="24"/>
        </w:rPr>
        <w:t>Supplementary</w:t>
      </w:r>
      <w:r w:rsidRPr="00391419">
        <w:rPr>
          <w:rFonts w:cs="Calibri"/>
          <w:b/>
          <w:bCs/>
          <w:color w:val="000000" w:themeColor="text1"/>
          <w:szCs w:val="24"/>
        </w:rPr>
        <w:t xml:space="preserve"> Figure 1</w:t>
      </w:r>
      <w:r w:rsidRPr="00391419">
        <w:rPr>
          <w:rFonts w:cs="Calibri"/>
          <w:color w:val="000000" w:themeColor="text1"/>
          <w:szCs w:val="24"/>
        </w:rPr>
        <w:t>.</w:t>
      </w:r>
    </w:p>
    <w:p w14:paraId="27153D2F" w14:textId="77777777" w:rsidR="00B063D8" w:rsidRPr="00391419" w:rsidRDefault="00B063D8" w:rsidP="00B9425C">
      <w:pPr>
        <w:spacing w:after="0" w:line="0" w:lineRule="atLeast"/>
        <w:jc w:val="both"/>
        <w:rPr>
          <w:rFonts w:cs="Calibri"/>
          <w:color w:val="000000" w:themeColor="text1"/>
          <w:szCs w:val="24"/>
        </w:rPr>
      </w:pPr>
    </w:p>
    <w:p w14:paraId="74D8ECF1" w14:textId="77777777" w:rsidR="00B063D8" w:rsidRPr="00391419" w:rsidRDefault="00B063D8" w:rsidP="00B9425C">
      <w:pPr>
        <w:spacing w:after="0" w:line="0" w:lineRule="atLeast"/>
        <w:jc w:val="both"/>
        <w:rPr>
          <w:rFonts w:cs="Calibri"/>
          <w:b/>
          <w:bCs/>
          <w:color w:val="000000" w:themeColor="text1"/>
          <w:szCs w:val="24"/>
        </w:rPr>
      </w:pPr>
      <w:r w:rsidRPr="00391419">
        <w:rPr>
          <w:rFonts w:cs="Calibri"/>
          <w:b/>
          <w:bCs/>
          <w:color w:val="000000" w:themeColor="text1"/>
          <w:szCs w:val="24"/>
        </w:rPr>
        <w:t>1. Culturing Human Cerebral Microvascular Endothelial Cells (hCMEC/D3)</w:t>
      </w:r>
    </w:p>
    <w:p w14:paraId="4106D495" w14:textId="77777777" w:rsidR="00B063D8" w:rsidRPr="00391419" w:rsidRDefault="00B063D8" w:rsidP="00B9425C">
      <w:pPr>
        <w:spacing w:after="0" w:line="0" w:lineRule="atLeast"/>
        <w:jc w:val="both"/>
        <w:rPr>
          <w:rFonts w:cs="Calibri"/>
          <w:color w:val="000000" w:themeColor="text1"/>
          <w:szCs w:val="24"/>
        </w:rPr>
      </w:pPr>
    </w:p>
    <w:p w14:paraId="3E163BDC" w14:textId="5D019CBE"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Cell-culture media and supplements are listed in the </w:t>
      </w:r>
      <w:r w:rsidRPr="00391419">
        <w:rPr>
          <w:rFonts w:cs="Calibri"/>
          <w:b/>
          <w:bCs/>
          <w:color w:val="000000" w:themeColor="text1"/>
          <w:szCs w:val="24"/>
        </w:rPr>
        <w:t>Table of Materials</w:t>
      </w:r>
      <w:r w:rsidRPr="00391419">
        <w:rPr>
          <w:rFonts w:cs="Calibri"/>
          <w:color w:val="000000" w:themeColor="text1"/>
          <w:szCs w:val="24"/>
        </w:rPr>
        <w:t xml:space="preserve">. Additional information regarding the hCMEC/D3 cell line is provided in </w:t>
      </w:r>
      <w:r w:rsidR="002615BD" w:rsidRPr="00391419">
        <w:rPr>
          <w:rFonts w:cs="Calibri"/>
          <w:b/>
          <w:bCs/>
          <w:color w:val="000000" w:themeColor="text1"/>
          <w:szCs w:val="24"/>
        </w:rPr>
        <w:t>Supplementary</w:t>
      </w:r>
      <w:r w:rsidRPr="00391419">
        <w:rPr>
          <w:rFonts w:cs="Calibri"/>
          <w:b/>
          <w:bCs/>
          <w:color w:val="000000" w:themeColor="text1"/>
          <w:szCs w:val="24"/>
        </w:rPr>
        <w:t xml:space="preserve"> Table 1, Note 1</w:t>
      </w:r>
      <w:r w:rsidRPr="00391419">
        <w:rPr>
          <w:rFonts w:cs="Calibri"/>
          <w:color w:val="000000" w:themeColor="text1"/>
          <w:szCs w:val="24"/>
        </w:rPr>
        <w:t>.</w:t>
      </w:r>
    </w:p>
    <w:p w14:paraId="760337B1" w14:textId="77777777" w:rsidR="00B063D8" w:rsidRPr="00391419" w:rsidRDefault="00B063D8" w:rsidP="00B9425C">
      <w:pPr>
        <w:spacing w:after="0" w:line="0" w:lineRule="atLeast"/>
        <w:jc w:val="both"/>
        <w:rPr>
          <w:rFonts w:cs="Calibri"/>
          <w:color w:val="000000" w:themeColor="text1"/>
          <w:szCs w:val="24"/>
        </w:rPr>
      </w:pPr>
    </w:p>
    <w:p w14:paraId="747C7A28"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lastRenderedPageBreak/>
        <w:t>1.1. Preparation and maintenance of hCMEC/D3 cultures</w:t>
      </w:r>
    </w:p>
    <w:p w14:paraId="66675048" w14:textId="77777777" w:rsidR="00B063D8" w:rsidRPr="00391419" w:rsidRDefault="00B063D8" w:rsidP="00B9425C">
      <w:pPr>
        <w:spacing w:after="0" w:line="0" w:lineRule="atLeast"/>
        <w:jc w:val="both"/>
        <w:rPr>
          <w:rFonts w:cs="Calibri"/>
          <w:color w:val="000000" w:themeColor="text1"/>
          <w:szCs w:val="24"/>
        </w:rPr>
      </w:pPr>
    </w:p>
    <w:p w14:paraId="247FCED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1.1.1. Prepare endothelial-cell culture medium using EndoGRO medium supplemented with the MV supplement kit and 2% penicillin/streptomycin. Refer to the </w:t>
      </w:r>
      <w:r w:rsidRPr="00391419">
        <w:rPr>
          <w:rFonts w:cs="Calibri"/>
          <w:b/>
          <w:bCs/>
          <w:color w:val="000000" w:themeColor="text1"/>
          <w:szCs w:val="24"/>
        </w:rPr>
        <w:t>Table of Materials</w:t>
      </w:r>
      <w:r w:rsidRPr="00391419">
        <w:rPr>
          <w:rFonts w:cs="Calibri"/>
          <w:color w:val="000000" w:themeColor="text1"/>
          <w:szCs w:val="24"/>
        </w:rPr>
        <w:t xml:space="preserve"> for the complete medium composition.</w:t>
      </w:r>
    </w:p>
    <w:p w14:paraId="562E2102" w14:textId="77777777" w:rsidR="00B063D8" w:rsidRPr="00391419" w:rsidRDefault="00B063D8" w:rsidP="00B9425C">
      <w:pPr>
        <w:spacing w:after="0" w:line="0" w:lineRule="atLeast"/>
        <w:jc w:val="both"/>
        <w:rPr>
          <w:rFonts w:cs="Calibri"/>
          <w:color w:val="000000" w:themeColor="text1"/>
          <w:szCs w:val="24"/>
        </w:rPr>
      </w:pPr>
    </w:p>
    <w:p w14:paraId="42B537F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1.1.2. Coat T175 culture flasks with 10 mL of a 1:20 dilution of rat tail collagen I and incubate for 1 h at 37°C. Remove the collagen solution and add 10 mL of supplemented endothelial-cell culture medium to each flask.</w:t>
      </w:r>
    </w:p>
    <w:p w14:paraId="3D30202C" w14:textId="77777777" w:rsidR="00B063D8" w:rsidRPr="00391419" w:rsidRDefault="00B063D8" w:rsidP="00B9425C">
      <w:pPr>
        <w:spacing w:after="0" w:line="0" w:lineRule="atLeast"/>
        <w:jc w:val="both"/>
        <w:rPr>
          <w:rFonts w:cs="Calibri"/>
          <w:color w:val="000000" w:themeColor="text1"/>
          <w:szCs w:val="24"/>
        </w:rPr>
      </w:pPr>
    </w:p>
    <w:p w14:paraId="7A4F08FB"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1.2. Thawing and expansion of hCMEC/D3 cells</w:t>
      </w:r>
    </w:p>
    <w:p w14:paraId="45186C96" w14:textId="77777777" w:rsidR="00B063D8" w:rsidRPr="00391419" w:rsidRDefault="00B063D8" w:rsidP="00B9425C">
      <w:pPr>
        <w:spacing w:after="0" w:line="0" w:lineRule="atLeast"/>
        <w:jc w:val="both"/>
        <w:rPr>
          <w:rFonts w:cs="Calibri"/>
          <w:color w:val="000000" w:themeColor="text1"/>
          <w:szCs w:val="24"/>
        </w:rPr>
      </w:pPr>
    </w:p>
    <w:p w14:paraId="550A837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1.2.1. Remove a vial of frozen hCMEC/D3 cells from liquid nitrogen storage and thaw rapidly in a 37°C water bath for approximately 2 min or until only a small ice crystal remains.</w:t>
      </w:r>
    </w:p>
    <w:p w14:paraId="0F6174CC" w14:textId="77777777" w:rsidR="00B063D8" w:rsidRPr="00391419" w:rsidRDefault="00B063D8" w:rsidP="00B9425C">
      <w:pPr>
        <w:spacing w:after="0" w:line="0" w:lineRule="atLeast"/>
        <w:jc w:val="both"/>
        <w:rPr>
          <w:rFonts w:cs="Calibri"/>
          <w:color w:val="000000" w:themeColor="text1"/>
          <w:szCs w:val="24"/>
        </w:rPr>
      </w:pPr>
    </w:p>
    <w:p w14:paraId="28CA7B6B"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1.2.2. Transfer the thawed cell suspension into a 15 mL conical tube containing 9 mL of endothelial-cell culture medium.</w:t>
      </w:r>
    </w:p>
    <w:p w14:paraId="7AED9262" w14:textId="77777777" w:rsidR="00B063D8" w:rsidRPr="00391419" w:rsidRDefault="00B063D8" w:rsidP="00B9425C">
      <w:pPr>
        <w:spacing w:after="0" w:line="0" w:lineRule="atLeast"/>
        <w:jc w:val="both"/>
        <w:rPr>
          <w:rFonts w:cs="Calibri"/>
          <w:color w:val="000000" w:themeColor="text1"/>
          <w:szCs w:val="24"/>
        </w:rPr>
      </w:pPr>
    </w:p>
    <w:p w14:paraId="0715A3A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1.2.3. Centrifuge the cells at 300 × g for 5 min. Remove the supernatant and resuspend the cell pellet in 10 mL of endothelial-cell culture medium.</w:t>
      </w:r>
    </w:p>
    <w:p w14:paraId="64330BDC" w14:textId="77777777" w:rsidR="00B063D8" w:rsidRPr="00391419" w:rsidRDefault="00B063D8" w:rsidP="00B9425C">
      <w:pPr>
        <w:spacing w:after="0" w:line="0" w:lineRule="atLeast"/>
        <w:jc w:val="both"/>
        <w:rPr>
          <w:rFonts w:cs="Calibri"/>
          <w:color w:val="000000" w:themeColor="text1"/>
          <w:szCs w:val="24"/>
        </w:rPr>
      </w:pPr>
    </w:p>
    <w:p w14:paraId="155AF5DA"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1.2.4. Transfer the cell suspension into collagen-coated T175 culture flasks.</w:t>
      </w:r>
    </w:p>
    <w:p w14:paraId="5D967A7E" w14:textId="77777777" w:rsidR="00B063D8" w:rsidRPr="00391419" w:rsidRDefault="00B063D8" w:rsidP="00B9425C">
      <w:pPr>
        <w:spacing w:after="0" w:line="0" w:lineRule="atLeast"/>
        <w:jc w:val="both"/>
        <w:rPr>
          <w:rFonts w:cs="Calibri"/>
          <w:color w:val="000000" w:themeColor="text1"/>
          <w:szCs w:val="24"/>
        </w:rPr>
      </w:pPr>
    </w:p>
    <w:p w14:paraId="70E62CDB"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1.3. Routine maintenance and passaging of hCMEC/D3 cells</w:t>
      </w:r>
    </w:p>
    <w:p w14:paraId="4953BBC7" w14:textId="77777777" w:rsidR="00B063D8" w:rsidRPr="00391419" w:rsidRDefault="00B063D8" w:rsidP="00B9425C">
      <w:pPr>
        <w:spacing w:after="0" w:line="0" w:lineRule="atLeast"/>
        <w:jc w:val="both"/>
        <w:rPr>
          <w:rFonts w:cs="Calibri"/>
          <w:color w:val="000000" w:themeColor="text1"/>
          <w:szCs w:val="24"/>
        </w:rPr>
      </w:pPr>
    </w:p>
    <w:p w14:paraId="2C57A2A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1.3.1. Replace the culture medium every 2–3 days. Monitor cultures regularly and passage the cells at 80%–90% confluence, determined by visual estimation using a phase-contrast microscope.</w:t>
      </w:r>
    </w:p>
    <w:p w14:paraId="3906AC17" w14:textId="77777777" w:rsidR="00B063D8" w:rsidRPr="00391419" w:rsidRDefault="00B063D8" w:rsidP="00B9425C">
      <w:pPr>
        <w:spacing w:after="0" w:line="0" w:lineRule="atLeast"/>
        <w:jc w:val="both"/>
        <w:rPr>
          <w:rFonts w:cs="Calibri"/>
          <w:color w:val="000000" w:themeColor="text1"/>
          <w:szCs w:val="24"/>
        </w:rPr>
      </w:pPr>
    </w:p>
    <w:p w14:paraId="5004D1A3"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1.3.2. Wash the cells twice with 10 mL of phosphate-buffered saline (PBS) without calcium or magnesium. Add 5 mL of 0.05% trypsin/EDTA solution and incubate for 5 min at 37°C.</w:t>
      </w:r>
    </w:p>
    <w:p w14:paraId="63EB278A" w14:textId="77777777" w:rsidR="00B063D8" w:rsidRPr="00391419" w:rsidRDefault="00B063D8" w:rsidP="00B9425C">
      <w:pPr>
        <w:spacing w:after="0" w:line="0" w:lineRule="atLeast"/>
        <w:jc w:val="both"/>
        <w:rPr>
          <w:rFonts w:cs="Calibri"/>
          <w:color w:val="000000" w:themeColor="text1"/>
          <w:szCs w:val="24"/>
        </w:rPr>
      </w:pPr>
    </w:p>
    <w:p w14:paraId="4F58C45B"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1.3.3. Transfer detached cells into a 50 mL conical tube and rinse the flask with 10 mL of endothelial-cell culture medium.</w:t>
      </w:r>
    </w:p>
    <w:p w14:paraId="1B71AE21" w14:textId="77777777" w:rsidR="00B063D8" w:rsidRPr="00391419" w:rsidRDefault="00B063D8" w:rsidP="00B9425C">
      <w:pPr>
        <w:spacing w:after="0" w:line="0" w:lineRule="atLeast"/>
        <w:jc w:val="both"/>
        <w:rPr>
          <w:rFonts w:cs="Calibri"/>
          <w:color w:val="000000" w:themeColor="text1"/>
          <w:szCs w:val="24"/>
        </w:rPr>
      </w:pPr>
    </w:p>
    <w:p w14:paraId="7331DE02" w14:textId="0BD7D1BD"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1.3.4. Centrifuge the cells at 300 × g for 5 min. Resuspend the cell pellet and determine the cell concentration using a </w:t>
      </w:r>
      <w:r w:rsidR="000449E0" w:rsidRPr="00391419">
        <w:rPr>
          <w:rFonts w:cs="Calibri"/>
          <w:color w:val="000000" w:themeColor="text1"/>
          <w:szCs w:val="24"/>
        </w:rPr>
        <w:t>hemocytometer</w:t>
      </w:r>
      <w:r w:rsidRPr="00391419">
        <w:rPr>
          <w:rFonts w:cs="Calibri"/>
          <w:color w:val="000000" w:themeColor="text1"/>
          <w:szCs w:val="24"/>
        </w:rPr>
        <w:t>.</w:t>
      </w:r>
    </w:p>
    <w:p w14:paraId="5B1EF181" w14:textId="77777777" w:rsidR="00B063D8" w:rsidRPr="00391419" w:rsidRDefault="00B063D8" w:rsidP="00B9425C">
      <w:pPr>
        <w:spacing w:after="0" w:line="0" w:lineRule="atLeast"/>
        <w:jc w:val="both"/>
        <w:rPr>
          <w:rFonts w:cs="Calibri"/>
          <w:color w:val="000000" w:themeColor="text1"/>
          <w:szCs w:val="24"/>
        </w:rPr>
      </w:pPr>
    </w:p>
    <w:p w14:paraId="4D23C89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1.3.5. Seed cells equally into collagen-coated T175 culture flasks for continued expansion.</w:t>
      </w:r>
    </w:p>
    <w:p w14:paraId="70D323D1" w14:textId="77777777" w:rsidR="00B063D8" w:rsidRPr="00391419" w:rsidRDefault="00B063D8" w:rsidP="00B9425C">
      <w:pPr>
        <w:spacing w:after="0" w:line="0" w:lineRule="atLeast"/>
        <w:jc w:val="both"/>
        <w:rPr>
          <w:rFonts w:cs="Calibri"/>
          <w:color w:val="000000" w:themeColor="text1"/>
          <w:szCs w:val="24"/>
        </w:rPr>
      </w:pPr>
    </w:p>
    <w:p w14:paraId="6F11F66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1.4. Preparation of cells for microfluidic-chip seeding</w:t>
      </w:r>
    </w:p>
    <w:p w14:paraId="1F266912" w14:textId="77777777" w:rsidR="00B063D8" w:rsidRPr="00391419" w:rsidRDefault="00B063D8" w:rsidP="00B9425C">
      <w:pPr>
        <w:spacing w:after="0" w:line="0" w:lineRule="atLeast"/>
        <w:jc w:val="both"/>
        <w:rPr>
          <w:rFonts w:cs="Calibri"/>
          <w:color w:val="000000" w:themeColor="text1"/>
          <w:szCs w:val="24"/>
        </w:rPr>
      </w:pPr>
    </w:p>
    <w:p w14:paraId="1F998C1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1.4.1. Prepare endothelial cells at a final concentration of 3 × 10⁷ cells/mL before seeding into the microfluidic chip.</w:t>
      </w:r>
    </w:p>
    <w:p w14:paraId="609F2850" w14:textId="77777777" w:rsidR="00B063D8" w:rsidRPr="00391419" w:rsidRDefault="00B063D8" w:rsidP="00B9425C">
      <w:pPr>
        <w:spacing w:after="0" w:line="0" w:lineRule="atLeast"/>
        <w:jc w:val="both"/>
        <w:rPr>
          <w:rFonts w:cs="Calibri"/>
          <w:color w:val="000000" w:themeColor="text1"/>
          <w:szCs w:val="24"/>
        </w:rPr>
      </w:pPr>
    </w:p>
    <w:p w14:paraId="54DA717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1.4.2. Expand approximately three T175 culture flasks to obtain sufficient cell numbers for one seeding preparation.</w:t>
      </w:r>
    </w:p>
    <w:p w14:paraId="5B407584" w14:textId="77777777" w:rsidR="00B063D8" w:rsidRPr="00391419" w:rsidRDefault="00B063D8" w:rsidP="00B9425C">
      <w:pPr>
        <w:spacing w:after="0" w:line="0" w:lineRule="atLeast"/>
        <w:jc w:val="both"/>
        <w:rPr>
          <w:rFonts w:cs="Calibri"/>
          <w:color w:val="000000" w:themeColor="text1"/>
          <w:szCs w:val="24"/>
        </w:rPr>
      </w:pPr>
    </w:p>
    <w:p w14:paraId="52E9302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NOTE: hCMEC/D3 cells maintain reported barrier-associated characteristics up to passage 35</w:t>
      </w:r>
      <w:r w:rsidRPr="00391419">
        <w:rPr>
          <w:rFonts w:cs="Calibri"/>
          <w:color w:val="000000" w:themeColor="text1"/>
          <w:szCs w:val="24"/>
          <w:vertAlign w:val="superscript"/>
        </w:rPr>
        <w:t>11</w:t>
      </w:r>
      <w:r w:rsidRPr="00391419">
        <w:rPr>
          <w:rFonts w:cs="Calibri"/>
          <w:color w:val="000000" w:themeColor="text1"/>
          <w:szCs w:val="24"/>
        </w:rPr>
        <w:t>. Observations from this study indicated reduced tolerance to prolonged shear-flow exposure above this passage number.</w:t>
      </w:r>
    </w:p>
    <w:p w14:paraId="56E84066" w14:textId="77777777" w:rsidR="00B063D8" w:rsidRPr="00391419" w:rsidRDefault="00B063D8" w:rsidP="00B9425C">
      <w:pPr>
        <w:spacing w:after="0" w:line="0" w:lineRule="atLeast"/>
        <w:jc w:val="both"/>
        <w:rPr>
          <w:rFonts w:cs="Calibri"/>
          <w:color w:val="000000" w:themeColor="text1"/>
          <w:szCs w:val="24"/>
        </w:rPr>
      </w:pPr>
    </w:p>
    <w:p w14:paraId="26FB5DCD" w14:textId="77777777" w:rsidR="00B063D8" w:rsidRPr="00391419" w:rsidRDefault="00B063D8" w:rsidP="00B9425C">
      <w:pPr>
        <w:spacing w:after="0" w:line="0" w:lineRule="atLeast"/>
        <w:jc w:val="both"/>
        <w:rPr>
          <w:rFonts w:cs="Calibri"/>
          <w:b/>
          <w:bCs/>
          <w:color w:val="000000" w:themeColor="text1"/>
          <w:szCs w:val="24"/>
          <w:highlight w:val="yellow"/>
        </w:rPr>
      </w:pPr>
      <w:r w:rsidRPr="00391419">
        <w:rPr>
          <w:rFonts w:cs="Calibri"/>
          <w:b/>
          <w:bCs/>
          <w:color w:val="000000" w:themeColor="text1"/>
          <w:szCs w:val="24"/>
          <w:highlight w:val="yellow"/>
        </w:rPr>
        <w:t>2. Nitrogen Priming and Basement Membrane Coating</w:t>
      </w:r>
    </w:p>
    <w:p w14:paraId="144A45A9" w14:textId="77777777" w:rsidR="00B063D8" w:rsidRPr="00391419" w:rsidRDefault="00B063D8" w:rsidP="00B9425C">
      <w:pPr>
        <w:spacing w:after="0" w:line="0" w:lineRule="atLeast"/>
        <w:jc w:val="both"/>
        <w:rPr>
          <w:rFonts w:cs="Calibri"/>
          <w:color w:val="000000" w:themeColor="text1"/>
          <w:szCs w:val="24"/>
          <w:highlight w:val="yellow"/>
        </w:rPr>
      </w:pPr>
    </w:p>
    <w:p w14:paraId="005F231D" w14:textId="3619D2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NOTE: Examine chips before use and perform nitrogen priming prior to coating (</w:t>
      </w:r>
      <w:r w:rsidR="002615BD" w:rsidRPr="00391419">
        <w:rPr>
          <w:rFonts w:cs="Calibri"/>
          <w:b/>
          <w:bCs/>
          <w:color w:val="000000" w:themeColor="text1"/>
          <w:szCs w:val="24"/>
          <w:highlight w:val="yellow"/>
        </w:rPr>
        <w:t>Supplementary</w:t>
      </w:r>
      <w:r w:rsidRPr="00391419">
        <w:rPr>
          <w:rFonts w:cs="Calibri"/>
          <w:b/>
          <w:bCs/>
          <w:color w:val="000000" w:themeColor="text1"/>
          <w:szCs w:val="24"/>
          <w:highlight w:val="yellow"/>
        </w:rPr>
        <w:t xml:space="preserve"> Table 1, Notes 2 and 3; Figure 1A–1C</w:t>
      </w:r>
      <w:r w:rsidRPr="00391419">
        <w:rPr>
          <w:rFonts w:cs="Calibri"/>
          <w:color w:val="000000" w:themeColor="text1"/>
          <w:szCs w:val="24"/>
          <w:highlight w:val="yellow"/>
        </w:rPr>
        <w:t>).</w:t>
      </w:r>
    </w:p>
    <w:p w14:paraId="5CD2C449" w14:textId="77777777" w:rsidR="00B063D8" w:rsidRPr="00391419" w:rsidRDefault="00B063D8" w:rsidP="00B9425C">
      <w:pPr>
        <w:spacing w:after="0" w:line="0" w:lineRule="atLeast"/>
        <w:jc w:val="both"/>
        <w:rPr>
          <w:rFonts w:cs="Calibri"/>
          <w:color w:val="000000" w:themeColor="text1"/>
          <w:szCs w:val="24"/>
          <w:highlight w:val="yellow"/>
        </w:rPr>
      </w:pPr>
    </w:p>
    <w:p w14:paraId="1CC0F991"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[Place </w:t>
      </w:r>
      <w:r w:rsidRPr="00391419">
        <w:rPr>
          <w:rFonts w:cs="Calibri"/>
          <w:b/>
          <w:bCs/>
          <w:color w:val="000000" w:themeColor="text1"/>
          <w:szCs w:val="24"/>
          <w:highlight w:val="yellow"/>
        </w:rPr>
        <w:t>Figure 1</w:t>
      </w:r>
      <w:r w:rsidRPr="00391419">
        <w:rPr>
          <w:rFonts w:cs="Calibri"/>
          <w:color w:val="000000" w:themeColor="text1"/>
          <w:szCs w:val="24"/>
          <w:highlight w:val="yellow"/>
        </w:rPr>
        <w:t xml:space="preserve"> here]</w:t>
      </w:r>
    </w:p>
    <w:p w14:paraId="3232F7C2" w14:textId="77777777" w:rsidR="00B063D8" w:rsidRPr="00391419" w:rsidRDefault="00B063D8" w:rsidP="00B9425C">
      <w:pPr>
        <w:spacing w:after="0" w:line="0" w:lineRule="atLeast"/>
        <w:jc w:val="both"/>
        <w:rPr>
          <w:rFonts w:cs="Calibri"/>
          <w:color w:val="000000" w:themeColor="text1"/>
          <w:szCs w:val="24"/>
          <w:highlight w:val="yellow"/>
        </w:rPr>
      </w:pPr>
    </w:p>
    <w:p w14:paraId="68579D46"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2.1. Preparation of tubing and chip connections</w:t>
      </w:r>
    </w:p>
    <w:p w14:paraId="0439716E" w14:textId="77777777" w:rsidR="00B063D8" w:rsidRPr="00391419" w:rsidRDefault="00B063D8" w:rsidP="00B9425C">
      <w:pPr>
        <w:spacing w:after="0" w:line="0" w:lineRule="atLeast"/>
        <w:jc w:val="both"/>
        <w:rPr>
          <w:rFonts w:cs="Calibri"/>
          <w:color w:val="000000" w:themeColor="text1"/>
          <w:szCs w:val="24"/>
          <w:highlight w:val="yellow"/>
        </w:rPr>
      </w:pPr>
    </w:p>
    <w:p w14:paraId="2AC14B20"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2.1.1. Insert Tygon tubing into the three outlet ports and three electrode ports of the microfluidic chip using sterile tweezers.</w:t>
      </w:r>
    </w:p>
    <w:p w14:paraId="546BCD03" w14:textId="77777777" w:rsidR="00B063D8" w:rsidRPr="00391419" w:rsidRDefault="00B063D8" w:rsidP="00B9425C">
      <w:pPr>
        <w:spacing w:after="0" w:line="0" w:lineRule="atLeast"/>
        <w:jc w:val="both"/>
        <w:rPr>
          <w:rFonts w:cs="Calibri"/>
          <w:color w:val="000000" w:themeColor="text1"/>
          <w:szCs w:val="24"/>
          <w:highlight w:val="yellow"/>
        </w:rPr>
      </w:pPr>
    </w:p>
    <w:p w14:paraId="46A4C36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2.1.2. Cut the outlet tubing to a length of 10 cm. Cut the electrode-port tubing to a length shorter than the electrodes intended for use to ensure that the electrodes extend beyond the tubing and contact the glass base of the electrode chamber.</w:t>
      </w:r>
    </w:p>
    <w:p w14:paraId="39E85188" w14:textId="77777777" w:rsidR="00B063D8" w:rsidRPr="00391419" w:rsidRDefault="00B063D8" w:rsidP="00B9425C">
      <w:pPr>
        <w:spacing w:after="0" w:line="0" w:lineRule="atLeast"/>
        <w:jc w:val="both"/>
        <w:rPr>
          <w:rFonts w:cs="Calibri"/>
          <w:color w:val="000000" w:themeColor="text1"/>
          <w:szCs w:val="24"/>
          <w:highlight w:val="yellow"/>
        </w:rPr>
      </w:pPr>
    </w:p>
    <w:p w14:paraId="208C9A76"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2.1.3. Determine the required tubing length by inserting an electrode into the tubing, marking the appropriate position, removing the electrode, and cutting the tubing at the marked location.</w:t>
      </w:r>
    </w:p>
    <w:p w14:paraId="4D0E625B" w14:textId="77777777" w:rsidR="00B063D8" w:rsidRPr="00391419" w:rsidRDefault="00B063D8" w:rsidP="00B9425C">
      <w:pPr>
        <w:spacing w:after="0" w:line="0" w:lineRule="atLeast"/>
        <w:jc w:val="both"/>
        <w:rPr>
          <w:rFonts w:cs="Calibri"/>
          <w:color w:val="000000" w:themeColor="text1"/>
          <w:szCs w:val="24"/>
          <w:highlight w:val="yellow"/>
        </w:rPr>
      </w:pPr>
    </w:p>
    <w:p w14:paraId="3BE00D75"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2.2. Perfusion of the chip with PBS</w:t>
      </w:r>
    </w:p>
    <w:p w14:paraId="1D711786" w14:textId="77777777" w:rsidR="00B063D8" w:rsidRPr="00391419" w:rsidRDefault="00B063D8" w:rsidP="00B9425C">
      <w:pPr>
        <w:spacing w:after="0" w:line="0" w:lineRule="atLeast"/>
        <w:jc w:val="both"/>
        <w:rPr>
          <w:rFonts w:cs="Calibri"/>
          <w:color w:val="000000" w:themeColor="text1"/>
          <w:szCs w:val="24"/>
          <w:highlight w:val="yellow"/>
        </w:rPr>
      </w:pPr>
    </w:p>
    <w:p w14:paraId="16A0373D"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2.2.1. Attach approximately 24 cm of Tygon tubing to a 1 mL syringe needle.</w:t>
      </w:r>
    </w:p>
    <w:p w14:paraId="1B73E48C" w14:textId="77777777" w:rsidR="00B063D8" w:rsidRPr="00391419" w:rsidRDefault="00B063D8" w:rsidP="00B9425C">
      <w:pPr>
        <w:spacing w:after="0" w:line="0" w:lineRule="atLeast"/>
        <w:jc w:val="both"/>
        <w:rPr>
          <w:rFonts w:cs="Calibri"/>
          <w:color w:val="000000" w:themeColor="text1"/>
          <w:szCs w:val="24"/>
          <w:highlight w:val="yellow"/>
        </w:rPr>
      </w:pPr>
    </w:p>
    <w:p w14:paraId="481389FA"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2.2.2. Aspirate PBS into the syringe and tubing until the system is </w:t>
      </w:r>
      <w:proofErr w:type="gramStart"/>
      <w:r w:rsidRPr="00391419">
        <w:rPr>
          <w:rFonts w:cs="Calibri"/>
          <w:color w:val="000000" w:themeColor="text1"/>
          <w:szCs w:val="24"/>
          <w:highlight w:val="yellow"/>
        </w:rPr>
        <w:t>completely filled</w:t>
      </w:r>
      <w:proofErr w:type="gramEnd"/>
      <w:r w:rsidRPr="00391419">
        <w:rPr>
          <w:rFonts w:cs="Calibri"/>
          <w:color w:val="000000" w:themeColor="text1"/>
          <w:szCs w:val="24"/>
          <w:highlight w:val="yellow"/>
        </w:rPr>
        <w:t xml:space="preserve"> and free of visible air bubbles.</w:t>
      </w:r>
    </w:p>
    <w:p w14:paraId="30A121B9" w14:textId="77777777" w:rsidR="00B063D8" w:rsidRPr="00391419" w:rsidRDefault="00B063D8" w:rsidP="00B9425C">
      <w:pPr>
        <w:spacing w:after="0" w:line="0" w:lineRule="atLeast"/>
        <w:jc w:val="both"/>
        <w:rPr>
          <w:rFonts w:cs="Calibri"/>
          <w:color w:val="000000" w:themeColor="text1"/>
          <w:szCs w:val="24"/>
          <w:highlight w:val="yellow"/>
        </w:rPr>
      </w:pPr>
    </w:p>
    <w:p w14:paraId="3097913F"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2.2.3. Insert the PBS-filled tubing into one outer apical-channel inlet port using sterile tweezers.</w:t>
      </w:r>
    </w:p>
    <w:p w14:paraId="41ABEBF6" w14:textId="77777777" w:rsidR="00B063D8" w:rsidRPr="00391419" w:rsidRDefault="00B063D8" w:rsidP="00B9425C">
      <w:pPr>
        <w:spacing w:after="0" w:line="0" w:lineRule="atLeast"/>
        <w:jc w:val="both"/>
        <w:rPr>
          <w:rFonts w:cs="Calibri"/>
          <w:color w:val="000000" w:themeColor="text1"/>
          <w:szCs w:val="24"/>
          <w:highlight w:val="yellow"/>
        </w:rPr>
      </w:pPr>
    </w:p>
    <w:p w14:paraId="7B88208B"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2.2.4. Gently depress the syringe plunger until approximately three drops of PBS emerge from the outlet tubing (approximately 10 µL per drop).</w:t>
      </w:r>
    </w:p>
    <w:p w14:paraId="30556F14" w14:textId="77777777" w:rsidR="00B063D8" w:rsidRPr="00391419" w:rsidRDefault="00B063D8" w:rsidP="00B9425C">
      <w:pPr>
        <w:spacing w:after="0" w:line="0" w:lineRule="atLeast"/>
        <w:jc w:val="both"/>
        <w:rPr>
          <w:rFonts w:cs="Calibri"/>
          <w:color w:val="000000" w:themeColor="text1"/>
          <w:szCs w:val="24"/>
          <w:highlight w:val="yellow"/>
        </w:rPr>
      </w:pPr>
    </w:p>
    <w:p w14:paraId="58933266"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2.2.5. Cut the outlet tubing to leave approximately 8 cm attached to the chip and apply a clamp.</w:t>
      </w:r>
    </w:p>
    <w:p w14:paraId="22014E9F" w14:textId="77777777" w:rsidR="00B063D8" w:rsidRPr="00391419" w:rsidRDefault="00B063D8" w:rsidP="00B9425C">
      <w:pPr>
        <w:spacing w:after="0" w:line="0" w:lineRule="atLeast"/>
        <w:jc w:val="both"/>
        <w:rPr>
          <w:rFonts w:cs="Calibri"/>
          <w:color w:val="000000" w:themeColor="text1"/>
          <w:szCs w:val="24"/>
          <w:highlight w:val="yellow"/>
        </w:rPr>
      </w:pPr>
    </w:p>
    <w:p w14:paraId="2731DBE4"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2.2.6. Continue depressing the syringe plunger until PBS fills the electrode chamber and electrode-port tubing and approximately three drops emerge from the electrode-port tubing.</w:t>
      </w:r>
    </w:p>
    <w:p w14:paraId="3ECD8129" w14:textId="77777777" w:rsidR="00B063D8" w:rsidRPr="00391419" w:rsidRDefault="00B063D8" w:rsidP="00B9425C">
      <w:pPr>
        <w:spacing w:after="0" w:line="0" w:lineRule="atLeast"/>
        <w:jc w:val="both"/>
        <w:rPr>
          <w:rFonts w:cs="Calibri"/>
          <w:color w:val="000000" w:themeColor="text1"/>
          <w:szCs w:val="24"/>
          <w:highlight w:val="yellow"/>
        </w:rPr>
      </w:pPr>
    </w:p>
    <w:p w14:paraId="6CE0D8BC"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2.2.7. Apply a clamp to the electrode-port tubing.</w:t>
      </w:r>
    </w:p>
    <w:p w14:paraId="08E79225" w14:textId="77777777" w:rsidR="00B063D8" w:rsidRPr="00391419" w:rsidRDefault="00B063D8" w:rsidP="00B9425C">
      <w:pPr>
        <w:spacing w:after="0" w:line="0" w:lineRule="atLeast"/>
        <w:jc w:val="both"/>
        <w:rPr>
          <w:rFonts w:cs="Calibri"/>
          <w:color w:val="000000" w:themeColor="text1"/>
          <w:szCs w:val="24"/>
          <w:highlight w:val="yellow"/>
        </w:rPr>
      </w:pPr>
    </w:p>
    <w:p w14:paraId="36DE540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lastRenderedPageBreak/>
        <w:t>2.2.8. Repeat Steps 2.2.3–2.2.7 for the second outer apical channel. Repeat Steps 2.2.3–2.2.6 for the inner basolateral channel.</w:t>
      </w:r>
    </w:p>
    <w:p w14:paraId="0A499DE8" w14:textId="77777777" w:rsidR="00B063D8" w:rsidRPr="00391419" w:rsidRDefault="00B063D8" w:rsidP="00B9425C">
      <w:pPr>
        <w:spacing w:after="0" w:line="0" w:lineRule="atLeast"/>
        <w:jc w:val="both"/>
        <w:rPr>
          <w:rFonts w:cs="Calibri"/>
          <w:color w:val="000000" w:themeColor="text1"/>
          <w:szCs w:val="24"/>
          <w:highlight w:val="yellow"/>
        </w:rPr>
      </w:pPr>
    </w:p>
    <w:p w14:paraId="453B8434"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2.2.9. Leave the tubing attached to the syringe connected to the basolateral channel. Remove only the syringe barrel from the needle assembly to permit subsequent connection to the pneumatic-primer system.</w:t>
      </w:r>
    </w:p>
    <w:p w14:paraId="174B9E34" w14:textId="77777777" w:rsidR="00B063D8" w:rsidRPr="00391419" w:rsidRDefault="00B063D8" w:rsidP="00B9425C">
      <w:pPr>
        <w:spacing w:after="0" w:line="0" w:lineRule="atLeast"/>
        <w:jc w:val="both"/>
        <w:rPr>
          <w:rFonts w:cs="Calibri"/>
          <w:color w:val="000000" w:themeColor="text1"/>
          <w:szCs w:val="24"/>
          <w:highlight w:val="yellow"/>
        </w:rPr>
      </w:pPr>
    </w:p>
    <w:p w14:paraId="4B00E62A"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2.3. Priming with nitrogen gas</w:t>
      </w:r>
    </w:p>
    <w:p w14:paraId="7C8AB8B7" w14:textId="77777777" w:rsidR="00B063D8" w:rsidRPr="00391419" w:rsidRDefault="00B063D8" w:rsidP="00B9425C">
      <w:pPr>
        <w:spacing w:after="0" w:line="0" w:lineRule="atLeast"/>
        <w:jc w:val="both"/>
        <w:rPr>
          <w:rFonts w:cs="Calibri"/>
          <w:color w:val="000000" w:themeColor="text1"/>
          <w:szCs w:val="24"/>
          <w:highlight w:val="yellow"/>
        </w:rPr>
      </w:pPr>
    </w:p>
    <w:p w14:paraId="70DD2E0D"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CAUTION: Handle compressed nitrogen-gas cylinders according to institutional compressed-gas safety procedures. Secure cylinders appropriately and use compatible pressure regulators.</w:t>
      </w:r>
    </w:p>
    <w:p w14:paraId="703CA660" w14:textId="77777777" w:rsidR="00B063D8" w:rsidRPr="00391419" w:rsidRDefault="00B063D8" w:rsidP="00B9425C">
      <w:pPr>
        <w:spacing w:after="0" w:line="0" w:lineRule="atLeast"/>
        <w:jc w:val="both"/>
        <w:rPr>
          <w:rFonts w:cs="Calibri"/>
          <w:color w:val="000000" w:themeColor="text1"/>
          <w:szCs w:val="24"/>
          <w:highlight w:val="yellow"/>
        </w:rPr>
      </w:pPr>
    </w:p>
    <w:p w14:paraId="61C7A23D"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2.3.1. Attach the pneumatic primer to the nitrogen-gas cylinder. Attach the multiport manifold to the pneumatic primer to enable simultaneous priming of multiple chips.</w:t>
      </w:r>
    </w:p>
    <w:p w14:paraId="42A7F79E" w14:textId="77777777" w:rsidR="00B063D8" w:rsidRPr="00391419" w:rsidRDefault="00B063D8" w:rsidP="00B9425C">
      <w:pPr>
        <w:spacing w:after="0" w:line="0" w:lineRule="atLeast"/>
        <w:jc w:val="both"/>
        <w:rPr>
          <w:rFonts w:cs="Calibri"/>
          <w:color w:val="000000" w:themeColor="text1"/>
          <w:szCs w:val="24"/>
          <w:highlight w:val="yellow"/>
        </w:rPr>
      </w:pPr>
    </w:p>
    <w:p w14:paraId="40D35319"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2.3.2. Connect the chip to the manifold by securing the syringe needle attached to the chip tubing into the luer-lock connector closest to the pneumatic primer. Connect additional chips to downstream luer-lock connectors as required.</w:t>
      </w:r>
    </w:p>
    <w:p w14:paraId="0627B2BD" w14:textId="77777777" w:rsidR="00B063D8" w:rsidRPr="00391419" w:rsidRDefault="00B063D8" w:rsidP="00B9425C">
      <w:pPr>
        <w:spacing w:after="0" w:line="0" w:lineRule="atLeast"/>
        <w:jc w:val="both"/>
        <w:rPr>
          <w:rFonts w:cs="Calibri"/>
          <w:color w:val="000000" w:themeColor="text1"/>
          <w:szCs w:val="24"/>
          <w:highlight w:val="yellow"/>
        </w:rPr>
      </w:pPr>
    </w:p>
    <w:p w14:paraId="3C00A92B"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2.3.3. If downstream connectors remain unused, adjust the final occupied connector dial to prevent nitrogen flow into unoccupied ports.</w:t>
      </w:r>
    </w:p>
    <w:p w14:paraId="0066AC6B" w14:textId="77777777" w:rsidR="00B063D8" w:rsidRPr="00391419" w:rsidRDefault="00B063D8" w:rsidP="00B9425C">
      <w:pPr>
        <w:spacing w:after="0" w:line="0" w:lineRule="atLeast"/>
        <w:jc w:val="both"/>
        <w:rPr>
          <w:rFonts w:cs="Calibri"/>
          <w:color w:val="000000" w:themeColor="text1"/>
          <w:szCs w:val="24"/>
          <w:highlight w:val="yellow"/>
        </w:rPr>
      </w:pPr>
    </w:p>
    <w:p w14:paraId="7DF13785"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2.3.4. Open the nitrogen-gas cylinder regulator and maintain the inlet pressure below 20 PSI. Set the pneumatic-primer pressure to 7.5 PSI and prime the chips for 25–30 min. Disconnect the chips from the manifold and inspect the channels under a microscope for residual air bubbles.</w:t>
      </w:r>
    </w:p>
    <w:p w14:paraId="29EBE16E" w14:textId="77777777" w:rsidR="00B063D8" w:rsidRPr="00391419" w:rsidRDefault="00B063D8" w:rsidP="00B9425C">
      <w:pPr>
        <w:spacing w:after="0" w:line="0" w:lineRule="atLeast"/>
        <w:jc w:val="both"/>
        <w:rPr>
          <w:rFonts w:cs="Calibri"/>
          <w:color w:val="000000" w:themeColor="text1"/>
          <w:szCs w:val="24"/>
          <w:highlight w:val="yellow"/>
        </w:rPr>
      </w:pPr>
    </w:p>
    <w:p w14:paraId="5934016A"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2.3.5. Repeat nitrogen priming for an additional 25–30 min if visible air bubbles remain within the channels. Continue priming until no visible air bubbles remain within the channels or electrode chambers.</w:t>
      </w:r>
    </w:p>
    <w:p w14:paraId="3B273226" w14:textId="77777777" w:rsidR="00B063D8" w:rsidRPr="00391419" w:rsidRDefault="00B063D8" w:rsidP="00B9425C">
      <w:pPr>
        <w:spacing w:after="0" w:line="0" w:lineRule="atLeast"/>
        <w:jc w:val="both"/>
        <w:rPr>
          <w:rFonts w:cs="Calibri"/>
          <w:color w:val="000000" w:themeColor="text1"/>
          <w:szCs w:val="24"/>
        </w:rPr>
      </w:pPr>
    </w:p>
    <w:p w14:paraId="69BBB23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 Basement membrane coating using laminin, Matrigel, and fibronectin (LMF)</w:t>
      </w:r>
    </w:p>
    <w:p w14:paraId="60B01290" w14:textId="77777777" w:rsidR="00B063D8" w:rsidRPr="00391419" w:rsidRDefault="00B063D8" w:rsidP="00B9425C">
      <w:pPr>
        <w:spacing w:after="0" w:line="0" w:lineRule="atLeast"/>
        <w:jc w:val="both"/>
        <w:rPr>
          <w:rFonts w:cs="Calibri"/>
          <w:color w:val="000000" w:themeColor="text1"/>
          <w:szCs w:val="24"/>
        </w:rPr>
      </w:pPr>
    </w:p>
    <w:p w14:paraId="5DC4F574"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2.4.1. Attach approximately 24 cm of Tygon tubing to a 1 mL syringe needle.</w:t>
      </w:r>
    </w:p>
    <w:p w14:paraId="6809467E" w14:textId="77777777" w:rsidR="00B063D8" w:rsidRPr="00391419" w:rsidRDefault="00B063D8" w:rsidP="00B9425C">
      <w:pPr>
        <w:spacing w:after="0" w:line="0" w:lineRule="atLeast"/>
        <w:jc w:val="both"/>
        <w:rPr>
          <w:rFonts w:cs="Calibri"/>
          <w:color w:val="000000" w:themeColor="text1"/>
          <w:szCs w:val="24"/>
        </w:rPr>
      </w:pPr>
    </w:p>
    <w:p w14:paraId="46E24A6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2.4.2. Prepare a coating solution containing laminin (5 µg/mL), Matrigel (1:10 dilution), and fibronectin (300 µg/mL) in cold PBS to obtain a final volume of 0.5 mL per chip.</w:t>
      </w:r>
    </w:p>
    <w:p w14:paraId="724E450F" w14:textId="77777777" w:rsidR="00B063D8" w:rsidRPr="00391419" w:rsidRDefault="00B063D8" w:rsidP="00B9425C">
      <w:pPr>
        <w:spacing w:after="0" w:line="0" w:lineRule="atLeast"/>
        <w:jc w:val="both"/>
        <w:rPr>
          <w:rFonts w:cs="Calibri"/>
          <w:color w:val="000000" w:themeColor="text1"/>
          <w:szCs w:val="24"/>
        </w:rPr>
      </w:pPr>
    </w:p>
    <w:p w14:paraId="3FBC4E4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Thaw coating reagents on ice and prepare all dilutions using 4°C PBS to minimize premature matrix polymerization. Matrigel is subject to </w:t>
      </w:r>
      <w:proofErr w:type="spellStart"/>
      <w:r w:rsidRPr="00391419">
        <w:rPr>
          <w:rFonts w:cs="Calibri"/>
          <w:color w:val="000000" w:themeColor="text1"/>
          <w:szCs w:val="24"/>
        </w:rPr>
        <w:t>lot</w:t>
      </w:r>
      <w:proofErr w:type="spellEnd"/>
      <w:r w:rsidRPr="00391419">
        <w:rPr>
          <w:rFonts w:cs="Calibri"/>
          <w:color w:val="000000" w:themeColor="text1"/>
          <w:szCs w:val="24"/>
        </w:rPr>
        <w:t>-to-lot variability.</w:t>
      </w:r>
    </w:p>
    <w:p w14:paraId="3612EC8E" w14:textId="77777777" w:rsidR="00B063D8" w:rsidRPr="00391419" w:rsidRDefault="00B063D8" w:rsidP="00B9425C">
      <w:pPr>
        <w:spacing w:after="0" w:line="0" w:lineRule="atLeast"/>
        <w:jc w:val="both"/>
        <w:rPr>
          <w:rFonts w:cs="Calibri"/>
          <w:color w:val="000000" w:themeColor="text1"/>
          <w:szCs w:val="24"/>
        </w:rPr>
      </w:pPr>
    </w:p>
    <w:p w14:paraId="0F09CE5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2.4.3. Aspirate the coating solution into the syringe and tubing while avoiding the introduction of air bubbles.</w:t>
      </w:r>
    </w:p>
    <w:p w14:paraId="063EAA45" w14:textId="77777777" w:rsidR="00B063D8" w:rsidRPr="00391419" w:rsidRDefault="00B063D8" w:rsidP="00B9425C">
      <w:pPr>
        <w:spacing w:after="0" w:line="0" w:lineRule="atLeast"/>
        <w:jc w:val="both"/>
        <w:rPr>
          <w:rFonts w:cs="Calibri"/>
          <w:color w:val="000000" w:themeColor="text1"/>
          <w:szCs w:val="24"/>
        </w:rPr>
      </w:pPr>
    </w:p>
    <w:p w14:paraId="2D16BC6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2.4.4. Place a drop of PBS around the inserted tubing to maintain hydration of the port region and gently remove the tubing.</w:t>
      </w:r>
    </w:p>
    <w:p w14:paraId="5C47BDF9" w14:textId="77777777" w:rsidR="00B063D8" w:rsidRPr="00391419" w:rsidRDefault="00B063D8" w:rsidP="00B9425C">
      <w:pPr>
        <w:spacing w:after="0" w:line="0" w:lineRule="atLeast"/>
        <w:jc w:val="both"/>
        <w:rPr>
          <w:rFonts w:cs="Calibri"/>
          <w:color w:val="000000" w:themeColor="text1"/>
          <w:szCs w:val="24"/>
        </w:rPr>
      </w:pPr>
    </w:p>
    <w:p w14:paraId="474FD68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2.4.5. Insert the coating-solution tubing into the inlet port connected to one outer apical channel using sterile tweezers.</w:t>
      </w:r>
    </w:p>
    <w:p w14:paraId="5CE576B8" w14:textId="77777777" w:rsidR="00B063D8" w:rsidRPr="00391419" w:rsidRDefault="00B063D8" w:rsidP="00B9425C">
      <w:pPr>
        <w:spacing w:after="0" w:line="0" w:lineRule="atLeast"/>
        <w:jc w:val="both"/>
        <w:rPr>
          <w:rFonts w:cs="Calibri"/>
          <w:color w:val="000000" w:themeColor="text1"/>
          <w:szCs w:val="24"/>
        </w:rPr>
      </w:pPr>
    </w:p>
    <w:p w14:paraId="6A0858D8"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2.4.6. Gently depress the syringe plunger until approximately three drops of coating solution emerge from the outlet tubing.</w:t>
      </w:r>
    </w:p>
    <w:p w14:paraId="5D4534CD" w14:textId="77777777" w:rsidR="00B063D8" w:rsidRPr="00391419" w:rsidRDefault="00B063D8" w:rsidP="00B9425C">
      <w:pPr>
        <w:spacing w:after="0" w:line="0" w:lineRule="atLeast"/>
        <w:jc w:val="both"/>
        <w:rPr>
          <w:rFonts w:cs="Calibri"/>
          <w:color w:val="000000" w:themeColor="text1"/>
          <w:szCs w:val="24"/>
        </w:rPr>
      </w:pPr>
    </w:p>
    <w:p w14:paraId="4307909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2.4.7. Cut the outlet tubing to leave approximately 8 cm attached to the chip and apply a clamp.</w:t>
      </w:r>
    </w:p>
    <w:p w14:paraId="14439F58" w14:textId="77777777" w:rsidR="00B063D8" w:rsidRPr="00391419" w:rsidRDefault="00B063D8" w:rsidP="00B9425C">
      <w:pPr>
        <w:spacing w:after="0" w:line="0" w:lineRule="atLeast"/>
        <w:jc w:val="both"/>
        <w:rPr>
          <w:rFonts w:cs="Calibri"/>
          <w:color w:val="000000" w:themeColor="text1"/>
          <w:szCs w:val="24"/>
        </w:rPr>
      </w:pPr>
    </w:p>
    <w:p w14:paraId="0144B15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2.4.8. Repeat Steps 2.4.4–2.4.7 for the second outer apical channel and then for the inner basolateral channel.</w:t>
      </w:r>
    </w:p>
    <w:p w14:paraId="43530255" w14:textId="77777777" w:rsidR="00B063D8" w:rsidRPr="00391419" w:rsidRDefault="00B063D8" w:rsidP="00B9425C">
      <w:pPr>
        <w:spacing w:after="0" w:line="0" w:lineRule="atLeast"/>
        <w:jc w:val="both"/>
        <w:rPr>
          <w:rFonts w:cs="Calibri"/>
          <w:color w:val="000000" w:themeColor="text1"/>
          <w:szCs w:val="24"/>
        </w:rPr>
      </w:pPr>
    </w:p>
    <w:p w14:paraId="628D6087" w14:textId="3C005364"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2.4.9. Transfer the chips to a humidity box and incubate for 1 h at 37°C and 95% humidity (</w:t>
      </w:r>
      <w:r w:rsidRPr="00391419">
        <w:rPr>
          <w:rFonts w:cs="Calibri"/>
          <w:b/>
          <w:bCs/>
          <w:color w:val="000000" w:themeColor="text1"/>
          <w:szCs w:val="24"/>
        </w:rPr>
        <w:t xml:space="preserve">Figure 1D; </w:t>
      </w:r>
      <w:r w:rsidR="002615BD" w:rsidRPr="00391419">
        <w:rPr>
          <w:rFonts w:cs="Calibri"/>
          <w:b/>
          <w:bCs/>
          <w:color w:val="000000" w:themeColor="text1"/>
          <w:szCs w:val="24"/>
        </w:rPr>
        <w:t>Supplementary</w:t>
      </w:r>
      <w:r w:rsidRPr="00391419">
        <w:rPr>
          <w:rFonts w:cs="Calibri"/>
          <w:b/>
          <w:bCs/>
          <w:color w:val="000000" w:themeColor="text1"/>
          <w:szCs w:val="24"/>
        </w:rPr>
        <w:t xml:space="preserve"> Table 1, Note 4</w:t>
      </w:r>
      <w:r w:rsidRPr="00391419">
        <w:rPr>
          <w:rFonts w:cs="Calibri"/>
          <w:color w:val="000000" w:themeColor="text1"/>
          <w:szCs w:val="24"/>
        </w:rPr>
        <w:t>).</w:t>
      </w:r>
    </w:p>
    <w:p w14:paraId="64BD04B1" w14:textId="77777777" w:rsidR="00B063D8" w:rsidRPr="00391419" w:rsidRDefault="00B063D8" w:rsidP="00B9425C">
      <w:pPr>
        <w:spacing w:after="0" w:line="0" w:lineRule="atLeast"/>
        <w:jc w:val="both"/>
        <w:rPr>
          <w:rFonts w:cs="Calibri"/>
          <w:color w:val="000000" w:themeColor="text1"/>
          <w:szCs w:val="24"/>
        </w:rPr>
      </w:pPr>
    </w:p>
    <w:p w14:paraId="4269D87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NOTE: Maintain a humidified environment throughout the coating incubation period to minimize evaporation from the microchannels.</w:t>
      </w:r>
    </w:p>
    <w:p w14:paraId="71A2F33F" w14:textId="77777777" w:rsidR="00B063D8" w:rsidRPr="00391419" w:rsidRDefault="00B063D8" w:rsidP="00B9425C">
      <w:pPr>
        <w:spacing w:after="0" w:line="0" w:lineRule="atLeast"/>
        <w:jc w:val="both"/>
        <w:rPr>
          <w:rFonts w:cs="Calibri"/>
          <w:color w:val="000000" w:themeColor="text1"/>
          <w:szCs w:val="24"/>
        </w:rPr>
      </w:pPr>
    </w:p>
    <w:p w14:paraId="135AAEC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2.4.10. Following incubation, repeat Steps 2.4.4–2.4.8 using PBS to remove excess coating solution from the channels.</w:t>
      </w:r>
    </w:p>
    <w:p w14:paraId="18F0AC24" w14:textId="77777777" w:rsidR="00B063D8" w:rsidRPr="00391419" w:rsidRDefault="00B063D8" w:rsidP="00B9425C">
      <w:pPr>
        <w:spacing w:after="0" w:line="0" w:lineRule="atLeast"/>
        <w:jc w:val="both"/>
        <w:rPr>
          <w:rFonts w:cs="Calibri"/>
          <w:color w:val="000000" w:themeColor="text1"/>
          <w:szCs w:val="24"/>
        </w:rPr>
      </w:pPr>
    </w:p>
    <w:p w14:paraId="6408A75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2.4.11. Measure background TEER immediately after coating or transfer the chips to a humidity box and incubate overnight before measuring background TEER on the following day as described in Step 3.</w:t>
      </w:r>
    </w:p>
    <w:p w14:paraId="3B095CCC" w14:textId="77777777" w:rsidR="00B063D8" w:rsidRPr="00391419" w:rsidRDefault="00B063D8" w:rsidP="00B9425C">
      <w:pPr>
        <w:spacing w:after="0" w:line="0" w:lineRule="atLeast"/>
        <w:jc w:val="both"/>
        <w:rPr>
          <w:rFonts w:cs="Calibri"/>
          <w:color w:val="000000" w:themeColor="text1"/>
          <w:szCs w:val="24"/>
          <w:highlight w:val="yellow"/>
        </w:rPr>
      </w:pPr>
    </w:p>
    <w:p w14:paraId="7139D8EB" w14:textId="77777777" w:rsidR="00B063D8" w:rsidRPr="00391419" w:rsidRDefault="00B063D8" w:rsidP="00B9425C">
      <w:pPr>
        <w:spacing w:after="0" w:line="0" w:lineRule="atLeast"/>
        <w:jc w:val="both"/>
        <w:rPr>
          <w:rFonts w:cs="Calibri"/>
          <w:b/>
          <w:bCs/>
          <w:color w:val="000000" w:themeColor="text1"/>
          <w:szCs w:val="24"/>
          <w:highlight w:val="yellow"/>
        </w:rPr>
      </w:pPr>
      <w:r w:rsidRPr="00391419">
        <w:rPr>
          <w:rFonts w:cs="Calibri"/>
          <w:b/>
          <w:bCs/>
          <w:color w:val="000000" w:themeColor="text1"/>
          <w:szCs w:val="24"/>
          <w:highlight w:val="yellow"/>
        </w:rPr>
        <w:t>3. Transendothelial Electrical Resistance (TEER)</w:t>
      </w:r>
    </w:p>
    <w:p w14:paraId="5343B544" w14:textId="77777777" w:rsidR="00B063D8" w:rsidRPr="00391419" w:rsidRDefault="00B063D8" w:rsidP="00B9425C">
      <w:pPr>
        <w:spacing w:after="0" w:line="0" w:lineRule="atLeast"/>
        <w:jc w:val="both"/>
        <w:rPr>
          <w:rFonts w:cs="Calibri"/>
          <w:color w:val="000000" w:themeColor="text1"/>
          <w:szCs w:val="24"/>
          <w:highlight w:val="yellow"/>
        </w:rPr>
      </w:pPr>
    </w:p>
    <w:p w14:paraId="678DE251" w14:textId="2AA89126"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3.1. Calibration of the impedance </w:t>
      </w:r>
      <w:r w:rsidR="00A65DAF" w:rsidRPr="00391419">
        <w:rPr>
          <w:rFonts w:cs="Calibri"/>
          <w:color w:val="000000" w:themeColor="text1"/>
          <w:szCs w:val="24"/>
          <w:highlight w:val="yellow"/>
        </w:rPr>
        <w:t>analyzer</w:t>
      </w:r>
    </w:p>
    <w:p w14:paraId="49303DDA" w14:textId="77777777" w:rsidR="00B063D8" w:rsidRPr="00391419" w:rsidRDefault="00B063D8" w:rsidP="00B9425C">
      <w:pPr>
        <w:spacing w:after="0" w:line="0" w:lineRule="atLeast"/>
        <w:jc w:val="both"/>
        <w:rPr>
          <w:rFonts w:cs="Calibri"/>
          <w:color w:val="000000" w:themeColor="text1"/>
          <w:szCs w:val="24"/>
          <w:highlight w:val="yellow"/>
        </w:rPr>
      </w:pPr>
    </w:p>
    <w:p w14:paraId="5AC1BAC5" w14:textId="0FD9584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NOTE: Calibrate the impedance </w:t>
      </w:r>
      <w:r w:rsidR="00A65DAF" w:rsidRPr="00391419">
        <w:rPr>
          <w:rFonts w:cs="Calibri"/>
          <w:color w:val="000000" w:themeColor="text1"/>
          <w:szCs w:val="24"/>
          <w:highlight w:val="yellow"/>
        </w:rPr>
        <w:t>analyzer</w:t>
      </w:r>
      <w:r w:rsidRPr="00391419">
        <w:rPr>
          <w:rFonts w:cs="Calibri"/>
          <w:color w:val="000000" w:themeColor="text1"/>
          <w:szCs w:val="24"/>
          <w:highlight w:val="yellow"/>
        </w:rPr>
        <w:t xml:space="preserve"> at least once per week before performing TEER measurements.</w:t>
      </w:r>
    </w:p>
    <w:p w14:paraId="55270AF4" w14:textId="77777777" w:rsidR="00B063D8" w:rsidRPr="00391419" w:rsidRDefault="00B063D8" w:rsidP="00B9425C">
      <w:pPr>
        <w:spacing w:after="0" w:line="0" w:lineRule="atLeast"/>
        <w:jc w:val="both"/>
        <w:rPr>
          <w:rFonts w:cs="Calibri"/>
          <w:color w:val="000000" w:themeColor="text1"/>
          <w:szCs w:val="24"/>
          <w:highlight w:val="yellow"/>
        </w:rPr>
      </w:pPr>
    </w:p>
    <w:p w14:paraId="55DC285A" w14:textId="19A8B955"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3.1.1. Connect the impedance </w:t>
      </w:r>
      <w:r w:rsidR="00A65DAF" w:rsidRPr="00391419">
        <w:rPr>
          <w:rFonts w:cs="Calibri"/>
          <w:color w:val="000000" w:themeColor="text1"/>
          <w:szCs w:val="24"/>
          <w:highlight w:val="yellow"/>
        </w:rPr>
        <w:t>analyzer</w:t>
      </w:r>
      <w:r w:rsidRPr="00391419">
        <w:rPr>
          <w:rFonts w:cs="Calibri"/>
          <w:color w:val="000000" w:themeColor="text1"/>
          <w:szCs w:val="24"/>
          <w:highlight w:val="yellow"/>
        </w:rPr>
        <w:t xml:space="preserve"> to the power supply and attach the micro-grabber leads.</w:t>
      </w:r>
    </w:p>
    <w:p w14:paraId="7A04EC3E" w14:textId="77777777" w:rsidR="00B063D8" w:rsidRPr="00391419" w:rsidRDefault="00B063D8" w:rsidP="00B9425C">
      <w:pPr>
        <w:spacing w:after="0" w:line="0" w:lineRule="atLeast"/>
        <w:jc w:val="both"/>
        <w:rPr>
          <w:rFonts w:cs="Calibri"/>
          <w:color w:val="000000" w:themeColor="text1"/>
          <w:szCs w:val="24"/>
          <w:highlight w:val="yellow"/>
        </w:rPr>
      </w:pPr>
    </w:p>
    <w:p w14:paraId="29E807C7"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3.1.2. Measure the resistance of the supplied calibration resistors (200 </w:t>
      </w:r>
      <w:proofErr w:type="spellStart"/>
      <w:r w:rsidRPr="00391419">
        <w:rPr>
          <w:rFonts w:cs="Calibri"/>
          <w:color w:val="000000" w:themeColor="text1"/>
          <w:szCs w:val="24"/>
          <w:highlight w:val="yellow"/>
        </w:rPr>
        <w:t>kΩ</w:t>
      </w:r>
      <w:proofErr w:type="spellEnd"/>
      <w:r w:rsidRPr="00391419">
        <w:rPr>
          <w:rFonts w:cs="Calibri"/>
          <w:color w:val="000000" w:themeColor="text1"/>
          <w:szCs w:val="24"/>
          <w:highlight w:val="yellow"/>
        </w:rPr>
        <w:t xml:space="preserve">, 49.9 </w:t>
      </w:r>
      <w:proofErr w:type="spellStart"/>
      <w:r w:rsidRPr="00391419">
        <w:rPr>
          <w:rFonts w:cs="Calibri"/>
          <w:color w:val="000000" w:themeColor="text1"/>
          <w:szCs w:val="24"/>
          <w:highlight w:val="yellow"/>
        </w:rPr>
        <w:t>kΩ</w:t>
      </w:r>
      <w:proofErr w:type="spellEnd"/>
      <w:r w:rsidRPr="00391419">
        <w:rPr>
          <w:rFonts w:cs="Calibri"/>
          <w:color w:val="000000" w:themeColor="text1"/>
          <w:szCs w:val="24"/>
          <w:highlight w:val="yellow"/>
        </w:rPr>
        <w:t xml:space="preserve">, and 28 </w:t>
      </w:r>
      <w:proofErr w:type="spellStart"/>
      <w:r w:rsidRPr="00391419">
        <w:rPr>
          <w:rFonts w:cs="Calibri"/>
          <w:color w:val="000000" w:themeColor="text1"/>
          <w:szCs w:val="24"/>
          <w:highlight w:val="yellow"/>
        </w:rPr>
        <w:t>kΩ</w:t>
      </w:r>
      <w:proofErr w:type="spellEnd"/>
      <w:r w:rsidRPr="00391419">
        <w:rPr>
          <w:rFonts w:cs="Calibri"/>
          <w:color w:val="000000" w:themeColor="text1"/>
          <w:szCs w:val="24"/>
          <w:highlight w:val="yellow"/>
        </w:rPr>
        <w:t>; tolerance ±1%) by attaching the micro-grabbers to opposite sides of each resistor. Measure resistance at 500 Hz, 1 kHz, and 10 kHz.</w:t>
      </w:r>
    </w:p>
    <w:p w14:paraId="457F1D82" w14:textId="77777777" w:rsidR="00B063D8" w:rsidRPr="00391419" w:rsidRDefault="00B063D8" w:rsidP="00B9425C">
      <w:pPr>
        <w:spacing w:after="0" w:line="0" w:lineRule="atLeast"/>
        <w:jc w:val="both"/>
        <w:rPr>
          <w:rFonts w:cs="Calibri"/>
          <w:color w:val="000000" w:themeColor="text1"/>
          <w:szCs w:val="24"/>
          <w:highlight w:val="yellow"/>
        </w:rPr>
      </w:pPr>
    </w:p>
    <w:p w14:paraId="389BD141"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3.1.3. Record at least three measurements at each frequency. Change the measurement frequency using the toggle switch and initiate each measurement using the measurement button.</w:t>
      </w:r>
    </w:p>
    <w:p w14:paraId="4CB779F6" w14:textId="77777777" w:rsidR="00B063D8" w:rsidRPr="00391419" w:rsidRDefault="00B063D8" w:rsidP="00B9425C">
      <w:pPr>
        <w:spacing w:after="0" w:line="0" w:lineRule="atLeast"/>
        <w:jc w:val="both"/>
        <w:rPr>
          <w:rFonts w:cs="Calibri"/>
          <w:color w:val="000000" w:themeColor="text1"/>
          <w:szCs w:val="24"/>
          <w:highlight w:val="yellow"/>
        </w:rPr>
      </w:pPr>
    </w:p>
    <w:p w14:paraId="35CEB9EB"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3.1.4. Calculate the average resistance value for each resistor at each frequency. Confirm that the measured impedance values are within ±5% of the expected resistor values. Contact the manufacturer if any measured value falls outside the acceptable range.</w:t>
      </w:r>
    </w:p>
    <w:p w14:paraId="56BF4742" w14:textId="77777777" w:rsidR="00B063D8" w:rsidRPr="00391419" w:rsidRDefault="00B063D8" w:rsidP="00B9425C">
      <w:pPr>
        <w:spacing w:after="0" w:line="0" w:lineRule="atLeast"/>
        <w:jc w:val="both"/>
        <w:rPr>
          <w:rFonts w:cs="Calibri"/>
          <w:color w:val="000000" w:themeColor="text1"/>
          <w:szCs w:val="24"/>
          <w:highlight w:val="yellow"/>
        </w:rPr>
      </w:pPr>
    </w:p>
    <w:p w14:paraId="031D957C"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3.2. Measurement of background TEER</w:t>
      </w:r>
    </w:p>
    <w:p w14:paraId="20FC55BE" w14:textId="77777777" w:rsidR="00B063D8" w:rsidRPr="00391419" w:rsidRDefault="00B063D8" w:rsidP="00B9425C">
      <w:pPr>
        <w:spacing w:after="0" w:line="0" w:lineRule="atLeast"/>
        <w:jc w:val="both"/>
        <w:rPr>
          <w:rFonts w:cs="Calibri"/>
          <w:color w:val="000000" w:themeColor="text1"/>
          <w:szCs w:val="24"/>
          <w:highlight w:val="yellow"/>
        </w:rPr>
      </w:pPr>
    </w:p>
    <w:p w14:paraId="0B722D80"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3.2.1. Remove the humidity box containing the microfluidic chip from the incubator and disinfect the external surface using 70% ethanol.</w:t>
      </w:r>
    </w:p>
    <w:p w14:paraId="364838F4" w14:textId="77777777" w:rsidR="00B063D8" w:rsidRPr="00391419" w:rsidRDefault="00B063D8" w:rsidP="00B9425C">
      <w:pPr>
        <w:spacing w:after="0" w:line="0" w:lineRule="atLeast"/>
        <w:jc w:val="both"/>
        <w:rPr>
          <w:rFonts w:cs="Calibri"/>
          <w:color w:val="000000" w:themeColor="text1"/>
          <w:szCs w:val="24"/>
          <w:highlight w:val="yellow"/>
        </w:rPr>
      </w:pPr>
    </w:p>
    <w:p w14:paraId="0BBDBDFD"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3.2.2. Transfer the humidity box to a biosafety cabinet and place the chip on a hot plate set to 37°C for 10 min before measurement. Remove the clamps from the electrode-port tubing.</w:t>
      </w:r>
    </w:p>
    <w:p w14:paraId="092E421E" w14:textId="77777777" w:rsidR="00B063D8" w:rsidRPr="00391419" w:rsidRDefault="00B063D8" w:rsidP="00B9425C">
      <w:pPr>
        <w:spacing w:after="0" w:line="0" w:lineRule="atLeast"/>
        <w:jc w:val="both"/>
        <w:rPr>
          <w:rFonts w:cs="Calibri"/>
          <w:color w:val="000000" w:themeColor="text1"/>
          <w:szCs w:val="24"/>
          <w:highlight w:val="yellow"/>
        </w:rPr>
      </w:pPr>
    </w:p>
    <w:p w14:paraId="4EAB3D0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3.2.3. Disinfect two electrodes using 70% ethanol. Insert one electrode into the tubing connected to the apical electrode port and a second electrode into the tubing connected to the shared basolateral electrode port.</w:t>
      </w:r>
    </w:p>
    <w:p w14:paraId="1A5053D7" w14:textId="77777777" w:rsidR="00B063D8" w:rsidRPr="00391419" w:rsidRDefault="00B063D8" w:rsidP="00B9425C">
      <w:pPr>
        <w:spacing w:after="0" w:line="0" w:lineRule="atLeast"/>
        <w:jc w:val="both"/>
        <w:rPr>
          <w:rFonts w:cs="Calibri"/>
          <w:color w:val="000000" w:themeColor="text1"/>
          <w:szCs w:val="24"/>
          <w:highlight w:val="yellow"/>
        </w:rPr>
      </w:pPr>
    </w:p>
    <w:p w14:paraId="16AD17FB"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3.2.4. Advance the electrodes until the tips contact the glass base of the electrode chambers (</w:t>
      </w:r>
      <w:r w:rsidRPr="00391419">
        <w:rPr>
          <w:rFonts w:cs="Calibri"/>
          <w:b/>
          <w:bCs/>
          <w:color w:val="000000" w:themeColor="text1"/>
          <w:szCs w:val="24"/>
          <w:highlight w:val="yellow"/>
        </w:rPr>
        <w:t>Figure 2A</w:t>
      </w:r>
      <w:r w:rsidRPr="00391419">
        <w:rPr>
          <w:rFonts w:cs="Calibri"/>
          <w:color w:val="000000" w:themeColor="text1"/>
          <w:szCs w:val="24"/>
          <w:highlight w:val="yellow"/>
        </w:rPr>
        <w:t>).</w:t>
      </w:r>
    </w:p>
    <w:p w14:paraId="097DA67E" w14:textId="77777777" w:rsidR="00B063D8" w:rsidRPr="00391419" w:rsidRDefault="00B063D8" w:rsidP="00B9425C">
      <w:pPr>
        <w:spacing w:after="0" w:line="0" w:lineRule="atLeast"/>
        <w:jc w:val="both"/>
        <w:rPr>
          <w:rFonts w:cs="Calibri"/>
          <w:color w:val="000000" w:themeColor="text1"/>
          <w:szCs w:val="24"/>
          <w:highlight w:val="yellow"/>
        </w:rPr>
      </w:pPr>
    </w:p>
    <w:p w14:paraId="3468ECFE"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[Place </w:t>
      </w:r>
      <w:r w:rsidRPr="00391419">
        <w:rPr>
          <w:rFonts w:cs="Calibri"/>
          <w:b/>
          <w:bCs/>
          <w:color w:val="000000" w:themeColor="text1"/>
          <w:szCs w:val="24"/>
          <w:highlight w:val="yellow"/>
        </w:rPr>
        <w:t>Figure 2</w:t>
      </w:r>
      <w:r w:rsidRPr="00391419">
        <w:rPr>
          <w:rFonts w:cs="Calibri"/>
          <w:color w:val="000000" w:themeColor="text1"/>
          <w:szCs w:val="24"/>
          <w:highlight w:val="yellow"/>
        </w:rPr>
        <w:t xml:space="preserve"> here]</w:t>
      </w:r>
    </w:p>
    <w:p w14:paraId="38588F1C" w14:textId="77777777" w:rsidR="00B063D8" w:rsidRPr="00391419" w:rsidRDefault="00B063D8" w:rsidP="00B9425C">
      <w:pPr>
        <w:spacing w:after="0" w:line="0" w:lineRule="atLeast"/>
        <w:jc w:val="both"/>
        <w:rPr>
          <w:rFonts w:cs="Calibri"/>
          <w:color w:val="000000" w:themeColor="text1"/>
          <w:szCs w:val="24"/>
          <w:highlight w:val="yellow"/>
        </w:rPr>
      </w:pPr>
    </w:p>
    <w:p w14:paraId="3876FFE9"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3.2.5. Attach the micro-grabbers to the electrodes. Measure TEER for both apical channels at 500 Hz, 1 kHz, and 10 kHz. Record at least three measurements at each frequency for each channel.</w:t>
      </w:r>
    </w:p>
    <w:p w14:paraId="48446636" w14:textId="77777777" w:rsidR="00B063D8" w:rsidRPr="00391419" w:rsidRDefault="00B063D8" w:rsidP="00B9425C">
      <w:pPr>
        <w:spacing w:after="0" w:line="0" w:lineRule="atLeast"/>
        <w:jc w:val="both"/>
        <w:rPr>
          <w:rFonts w:cs="Calibri"/>
          <w:color w:val="000000" w:themeColor="text1"/>
          <w:szCs w:val="24"/>
          <w:highlight w:val="yellow"/>
        </w:rPr>
      </w:pPr>
    </w:p>
    <w:p w14:paraId="0311F3EC"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3.2.6. Calculate the average background TEER value for each channel at each frequency.</w:t>
      </w:r>
    </w:p>
    <w:p w14:paraId="62C75117" w14:textId="77777777" w:rsidR="00B063D8" w:rsidRPr="00391419" w:rsidRDefault="00B063D8" w:rsidP="00B9425C">
      <w:pPr>
        <w:spacing w:after="0" w:line="0" w:lineRule="atLeast"/>
        <w:jc w:val="both"/>
        <w:rPr>
          <w:rFonts w:cs="Calibri"/>
          <w:color w:val="000000" w:themeColor="text1"/>
          <w:szCs w:val="24"/>
          <w:highlight w:val="yellow"/>
        </w:rPr>
      </w:pPr>
    </w:p>
    <w:p w14:paraId="137ECD95"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3.2.7. Remove the electrodes carefully to minimize fluid displacement and prevent the introduction of air bubbles. Disinfect the electrodes with 70% ethanol before reuse.</w:t>
      </w:r>
    </w:p>
    <w:p w14:paraId="02A178AB" w14:textId="77777777" w:rsidR="00B063D8" w:rsidRPr="00391419" w:rsidRDefault="00B063D8" w:rsidP="00B9425C">
      <w:pPr>
        <w:spacing w:after="0" w:line="0" w:lineRule="atLeast"/>
        <w:jc w:val="both"/>
        <w:rPr>
          <w:rFonts w:cs="Calibri"/>
          <w:color w:val="000000" w:themeColor="text1"/>
          <w:szCs w:val="24"/>
          <w:highlight w:val="yellow"/>
        </w:rPr>
      </w:pPr>
    </w:p>
    <w:p w14:paraId="079ED9B1"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3.3. TEER measurements during cell culture</w:t>
      </w:r>
    </w:p>
    <w:p w14:paraId="74121D2A" w14:textId="77777777" w:rsidR="00B063D8" w:rsidRPr="00391419" w:rsidRDefault="00B063D8" w:rsidP="00B9425C">
      <w:pPr>
        <w:spacing w:after="0" w:line="0" w:lineRule="atLeast"/>
        <w:jc w:val="both"/>
        <w:rPr>
          <w:rFonts w:cs="Calibri"/>
          <w:color w:val="000000" w:themeColor="text1"/>
          <w:szCs w:val="24"/>
          <w:highlight w:val="yellow"/>
        </w:rPr>
      </w:pPr>
    </w:p>
    <w:p w14:paraId="75F5B820"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3.3.1. Measure TEER throughout endothelial-cell culture by repeating the procedure described in Step 3.2. Perform TEER measurements at regular intervals (every 1–6 days) to monitor endothelial-monolayer formation and barrier integrity.</w:t>
      </w:r>
    </w:p>
    <w:p w14:paraId="6EA5997C" w14:textId="77777777" w:rsidR="00B063D8" w:rsidRPr="00391419" w:rsidRDefault="00B063D8" w:rsidP="00B9425C">
      <w:pPr>
        <w:spacing w:after="0" w:line="0" w:lineRule="atLeast"/>
        <w:jc w:val="both"/>
        <w:rPr>
          <w:rFonts w:cs="Calibri"/>
          <w:color w:val="000000" w:themeColor="text1"/>
          <w:szCs w:val="24"/>
          <w:highlight w:val="yellow"/>
        </w:rPr>
      </w:pPr>
    </w:p>
    <w:p w14:paraId="61FE1F9C"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3.3.2. Refer to </w:t>
      </w:r>
      <w:r w:rsidRPr="00391419">
        <w:rPr>
          <w:rFonts w:cs="Calibri"/>
          <w:b/>
          <w:bCs/>
          <w:color w:val="000000" w:themeColor="text1"/>
          <w:szCs w:val="24"/>
          <w:highlight w:val="yellow"/>
        </w:rPr>
        <w:t>Figure 2B</w:t>
      </w:r>
      <w:r w:rsidRPr="00391419">
        <w:rPr>
          <w:rFonts w:cs="Calibri"/>
          <w:color w:val="000000" w:themeColor="text1"/>
          <w:szCs w:val="24"/>
          <w:highlight w:val="yellow"/>
        </w:rPr>
        <w:t xml:space="preserve"> for a representative example of TEER progression between day 4 and day 10 of endothelial-cell culture.</w:t>
      </w:r>
    </w:p>
    <w:p w14:paraId="6D0F7D5C" w14:textId="77777777" w:rsidR="00B063D8" w:rsidRPr="00391419" w:rsidRDefault="00B063D8" w:rsidP="00B9425C">
      <w:pPr>
        <w:spacing w:after="0" w:line="0" w:lineRule="atLeast"/>
        <w:jc w:val="both"/>
        <w:rPr>
          <w:rFonts w:cs="Calibri"/>
          <w:color w:val="000000" w:themeColor="text1"/>
          <w:szCs w:val="24"/>
          <w:highlight w:val="yellow"/>
        </w:rPr>
      </w:pPr>
    </w:p>
    <w:p w14:paraId="06491C86"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3.3.3. Subtract the background TEER value from all subsequent measurements to obtain TEER values associated with cultured cells only.</w:t>
      </w:r>
    </w:p>
    <w:p w14:paraId="3DD7FBF3" w14:textId="77777777" w:rsidR="00B063D8" w:rsidRPr="00391419" w:rsidRDefault="00B063D8" w:rsidP="00B9425C">
      <w:pPr>
        <w:spacing w:after="0" w:line="0" w:lineRule="atLeast"/>
        <w:jc w:val="both"/>
        <w:rPr>
          <w:rFonts w:cs="Calibri"/>
          <w:color w:val="000000" w:themeColor="text1"/>
          <w:szCs w:val="24"/>
          <w:highlight w:val="yellow"/>
        </w:rPr>
      </w:pPr>
    </w:p>
    <w:p w14:paraId="21E966C1"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3.3.4. Normalize TEER values to the first TEER measurement obtained after endothelial-cell seeding to calculate fold-change values for comparison between experimental conditions.</w:t>
      </w:r>
    </w:p>
    <w:p w14:paraId="1217CCEA" w14:textId="77777777" w:rsidR="00B063D8" w:rsidRPr="00391419" w:rsidRDefault="00B063D8" w:rsidP="00B9425C">
      <w:pPr>
        <w:spacing w:after="0" w:line="0" w:lineRule="atLeast"/>
        <w:jc w:val="both"/>
        <w:rPr>
          <w:rFonts w:cs="Calibri"/>
          <w:color w:val="000000" w:themeColor="text1"/>
          <w:szCs w:val="24"/>
          <w:highlight w:val="yellow"/>
        </w:rPr>
      </w:pPr>
    </w:p>
    <w:p w14:paraId="361CD578" w14:textId="77777777" w:rsidR="00B063D8" w:rsidRPr="00391419" w:rsidRDefault="00B063D8" w:rsidP="00B9425C">
      <w:pPr>
        <w:spacing w:after="0" w:line="0" w:lineRule="atLeast"/>
        <w:jc w:val="both"/>
        <w:rPr>
          <w:rFonts w:cs="Calibri"/>
          <w:b/>
          <w:bCs/>
          <w:color w:val="000000" w:themeColor="text1"/>
          <w:szCs w:val="24"/>
          <w:highlight w:val="yellow"/>
        </w:rPr>
      </w:pPr>
      <w:r w:rsidRPr="00391419">
        <w:rPr>
          <w:rFonts w:cs="Calibri"/>
          <w:b/>
          <w:bCs/>
          <w:color w:val="000000" w:themeColor="text1"/>
          <w:szCs w:val="24"/>
          <w:highlight w:val="yellow"/>
        </w:rPr>
        <w:t>4. Cerebral Microvascular Endothelial Cell Seeding</w:t>
      </w:r>
    </w:p>
    <w:p w14:paraId="0B3639BC" w14:textId="77777777" w:rsidR="00B063D8" w:rsidRPr="00391419" w:rsidRDefault="00B063D8" w:rsidP="00B9425C">
      <w:pPr>
        <w:spacing w:after="0" w:line="0" w:lineRule="atLeast"/>
        <w:jc w:val="both"/>
        <w:rPr>
          <w:rFonts w:cs="Calibri"/>
          <w:color w:val="000000" w:themeColor="text1"/>
          <w:szCs w:val="24"/>
          <w:highlight w:val="yellow"/>
        </w:rPr>
      </w:pPr>
    </w:p>
    <w:p w14:paraId="3A518C4E"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4.1. Detachment and filtering of endothelial cells</w:t>
      </w:r>
    </w:p>
    <w:p w14:paraId="65807037" w14:textId="77777777" w:rsidR="00B063D8" w:rsidRPr="00391419" w:rsidRDefault="00B063D8" w:rsidP="00B9425C">
      <w:pPr>
        <w:spacing w:after="0" w:line="0" w:lineRule="atLeast"/>
        <w:jc w:val="both"/>
        <w:rPr>
          <w:rFonts w:cs="Calibri"/>
          <w:color w:val="000000" w:themeColor="text1"/>
          <w:szCs w:val="24"/>
          <w:highlight w:val="yellow"/>
        </w:rPr>
      </w:pPr>
    </w:p>
    <w:p w14:paraId="0B5DCCB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lastRenderedPageBreak/>
        <w:t>4.1.1. Detach hCMEC/D3 cells from three T175 culture flasks at approximately 90% confluence using the procedure described in Step 1.3.</w:t>
      </w:r>
    </w:p>
    <w:p w14:paraId="28826C8E" w14:textId="77777777" w:rsidR="00B063D8" w:rsidRPr="00391419" w:rsidRDefault="00B063D8" w:rsidP="00B9425C">
      <w:pPr>
        <w:spacing w:after="0" w:line="0" w:lineRule="atLeast"/>
        <w:jc w:val="both"/>
        <w:rPr>
          <w:rFonts w:cs="Calibri"/>
          <w:color w:val="000000" w:themeColor="text1"/>
          <w:szCs w:val="24"/>
          <w:highlight w:val="yellow"/>
        </w:rPr>
      </w:pPr>
    </w:p>
    <w:p w14:paraId="2E8B5DA7"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4.1.2. Resuspend the cell pellet in endothelial-cell culture medium. Adjust the resuspension volume according to the number of chips being seeded (e.g., 333.3 µL for one chip or 1 mL for three chips).</w:t>
      </w:r>
    </w:p>
    <w:p w14:paraId="33948FE2" w14:textId="77777777" w:rsidR="00B063D8" w:rsidRPr="00391419" w:rsidRDefault="00B063D8" w:rsidP="00B9425C">
      <w:pPr>
        <w:spacing w:after="0" w:line="0" w:lineRule="atLeast"/>
        <w:jc w:val="both"/>
        <w:rPr>
          <w:rFonts w:cs="Calibri"/>
          <w:color w:val="000000" w:themeColor="text1"/>
          <w:szCs w:val="24"/>
          <w:highlight w:val="yellow"/>
        </w:rPr>
      </w:pPr>
    </w:p>
    <w:p w14:paraId="65609E20"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4.1.3. Pipette the suspension gently up and down to disperse visible cell aggregates. Filter the cell suspension through a 40 µm cell strainer to remove remaining aggregates.</w:t>
      </w:r>
    </w:p>
    <w:p w14:paraId="469F2756" w14:textId="77777777" w:rsidR="00B063D8" w:rsidRPr="00391419" w:rsidRDefault="00B063D8" w:rsidP="00B9425C">
      <w:pPr>
        <w:spacing w:after="0" w:line="0" w:lineRule="atLeast"/>
        <w:jc w:val="both"/>
        <w:rPr>
          <w:rFonts w:cs="Calibri"/>
          <w:color w:val="000000" w:themeColor="text1"/>
          <w:szCs w:val="24"/>
          <w:highlight w:val="yellow"/>
        </w:rPr>
      </w:pPr>
    </w:p>
    <w:p w14:paraId="62B4F5CB" w14:textId="38DCE051"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4.1.4. Determine the cell concentration using a </w:t>
      </w:r>
      <w:r w:rsidR="000449E0" w:rsidRPr="00391419">
        <w:rPr>
          <w:rFonts w:cs="Calibri"/>
          <w:color w:val="000000" w:themeColor="text1"/>
          <w:szCs w:val="24"/>
          <w:highlight w:val="yellow"/>
        </w:rPr>
        <w:t>hemocytometer</w:t>
      </w:r>
      <w:r w:rsidRPr="00391419">
        <w:rPr>
          <w:rFonts w:cs="Calibri"/>
          <w:color w:val="000000" w:themeColor="text1"/>
          <w:szCs w:val="24"/>
          <w:highlight w:val="yellow"/>
        </w:rPr>
        <w:t xml:space="preserve"> or equivalent cell-counting method and adjust the suspension to a final concentration of 3 × 10⁷ cells/</w:t>
      </w:r>
      <w:proofErr w:type="spellStart"/>
      <w:r w:rsidRPr="00391419">
        <w:rPr>
          <w:rFonts w:cs="Calibri"/>
          <w:color w:val="000000" w:themeColor="text1"/>
          <w:szCs w:val="24"/>
          <w:highlight w:val="yellow"/>
        </w:rPr>
        <w:t>mL.</w:t>
      </w:r>
      <w:proofErr w:type="spellEnd"/>
    </w:p>
    <w:p w14:paraId="534647A2" w14:textId="77777777" w:rsidR="00B063D8" w:rsidRPr="00391419" w:rsidRDefault="00B063D8" w:rsidP="00B9425C">
      <w:pPr>
        <w:spacing w:after="0" w:line="0" w:lineRule="atLeast"/>
        <w:jc w:val="both"/>
        <w:rPr>
          <w:rFonts w:cs="Calibri"/>
          <w:color w:val="000000" w:themeColor="text1"/>
          <w:szCs w:val="24"/>
          <w:highlight w:val="yellow"/>
        </w:rPr>
      </w:pPr>
    </w:p>
    <w:p w14:paraId="4A36F85A"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4.1.5. Transfer the filtered cell suspension into a sterile microcentrifuge tube for immediate use. Store the microcentrifuge tube in a 37°C, 5% CO₂ incubator between chip seedings.</w:t>
      </w:r>
    </w:p>
    <w:p w14:paraId="39E2811E" w14:textId="77777777" w:rsidR="00B063D8" w:rsidRPr="00391419" w:rsidRDefault="00B063D8" w:rsidP="00B9425C">
      <w:pPr>
        <w:spacing w:after="0" w:line="0" w:lineRule="atLeast"/>
        <w:jc w:val="both"/>
        <w:rPr>
          <w:rFonts w:cs="Calibri"/>
          <w:color w:val="000000" w:themeColor="text1"/>
          <w:szCs w:val="24"/>
          <w:highlight w:val="yellow"/>
        </w:rPr>
      </w:pPr>
    </w:p>
    <w:p w14:paraId="41802F5E"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4.1.6. Mix the suspension by gentle inversion or flicking before each aspiration step to maintain a uniform cell distribution. Complete all chip seedings within 30 min of final resuspension.</w:t>
      </w:r>
    </w:p>
    <w:p w14:paraId="6DA61052" w14:textId="77777777" w:rsidR="00B063D8" w:rsidRPr="00391419" w:rsidRDefault="00B063D8" w:rsidP="00B9425C">
      <w:pPr>
        <w:spacing w:after="0" w:line="0" w:lineRule="atLeast"/>
        <w:jc w:val="both"/>
        <w:rPr>
          <w:rFonts w:cs="Calibri"/>
          <w:color w:val="000000" w:themeColor="text1"/>
          <w:szCs w:val="24"/>
          <w:highlight w:val="yellow"/>
        </w:rPr>
      </w:pPr>
    </w:p>
    <w:p w14:paraId="16CD1E91"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 First endothelial-cell seeding under inverted conditions</w:t>
      </w:r>
    </w:p>
    <w:p w14:paraId="561A4F0E" w14:textId="77777777" w:rsidR="00B063D8" w:rsidRPr="00391419" w:rsidRDefault="00B063D8" w:rsidP="00B9425C">
      <w:pPr>
        <w:spacing w:after="0" w:line="0" w:lineRule="atLeast"/>
        <w:jc w:val="both"/>
        <w:rPr>
          <w:rFonts w:cs="Calibri"/>
          <w:color w:val="000000" w:themeColor="text1"/>
          <w:szCs w:val="24"/>
          <w:highlight w:val="yellow"/>
        </w:rPr>
      </w:pPr>
    </w:p>
    <w:p w14:paraId="4A57B6A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 Attach 15 cm of Tygon tubing to a 1 mL syringe and needle.</w:t>
      </w:r>
    </w:p>
    <w:p w14:paraId="220649EF" w14:textId="77777777" w:rsidR="00B063D8" w:rsidRPr="00391419" w:rsidRDefault="00B063D8" w:rsidP="00B9425C">
      <w:pPr>
        <w:spacing w:after="0" w:line="0" w:lineRule="atLeast"/>
        <w:jc w:val="both"/>
        <w:rPr>
          <w:rFonts w:cs="Calibri"/>
          <w:color w:val="000000" w:themeColor="text1"/>
          <w:szCs w:val="24"/>
          <w:highlight w:val="yellow"/>
        </w:rPr>
      </w:pPr>
    </w:p>
    <w:p w14:paraId="664F0A9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4.2.2. Remove the endothelial-cell suspension and the humidity box containing the coated microfluidic chip from the incubator.</w:t>
      </w:r>
    </w:p>
    <w:p w14:paraId="01557E73" w14:textId="77777777" w:rsidR="00B063D8" w:rsidRPr="00391419" w:rsidRDefault="00B063D8" w:rsidP="00B9425C">
      <w:pPr>
        <w:spacing w:after="0" w:line="0" w:lineRule="atLeast"/>
        <w:jc w:val="both"/>
        <w:rPr>
          <w:rFonts w:cs="Calibri"/>
          <w:color w:val="000000" w:themeColor="text1"/>
          <w:szCs w:val="24"/>
          <w:highlight w:val="yellow"/>
        </w:rPr>
      </w:pPr>
    </w:p>
    <w:p w14:paraId="47E0BB79"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4.2.3. Disinfect the external surfaces of the microcentrifuge tube and humidity box using 70% ethanol before placing them in a biosafety cabinet.</w:t>
      </w:r>
    </w:p>
    <w:p w14:paraId="1384E58E" w14:textId="77777777" w:rsidR="00B063D8" w:rsidRPr="00391419" w:rsidRDefault="00B063D8" w:rsidP="00B9425C">
      <w:pPr>
        <w:spacing w:after="0" w:line="0" w:lineRule="atLeast"/>
        <w:jc w:val="both"/>
        <w:rPr>
          <w:rFonts w:cs="Calibri"/>
          <w:color w:val="000000" w:themeColor="text1"/>
          <w:szCs w:val="24"/>
          <w:highlight w:val="yellow"/>
        </w:rPr>
      </w:pPr>
    </w:p>
    <w:p w14:paraId="6C673A4C"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4.2.4. Mix the endothelial-cell suspension by gentle inversion or flicking immediately before aspiration.</w:t>
      </w:r>
    </w:p>
    <w:p w14:paraId="4F345AE9" w14:textId="77777777" w:rsidR="00B063D8" w:rsidRPr="00391419" w:rsidRDefault="00B063D8" w:rsidP="00B9425C">
      <w:pPr>
        <w:spacing w:after="0" w:line="0" w:lineRule="atLeast"/>
        <w:jc w:val="both"/>
        <w:rPr>
          <w:rFonts w:cs="Calibri"/>
          <w:color w:val="000000" w:themeColor="text1"/>
          <w:szCs w:val="24"/>
          <w:highlight w:val="yellow"/>
        </w:rPr>
      </w:pPr>
    </w:p>
    <w:p w14:paraId="26908CAA"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4.2.5. Aspirate the endothelial-cell suspension into the tubing and syringe until approximately 100 µL remains within the syringe barrel.</w:t>
      </w:r>
    </w:p>
    <w:p w14:paraId="12711E71" w14:textId="77777777" w:rsidR="00B063D8" w:rsidRPr="00391419" w:rsidRDefault="00B063D8" w:rsidP="00B9425C">
      <w:pPr>
        <w:spacing w:after="0" w:line="0" w:lineRule="atLeast"/>
        <w:jc w:val="both"/>
        <w:rPr>
          <w:rFonts w:cs="Calibri"/>
          <w:color w:val="000000" w:themeColor="text1"/>
          <w:szCs w:val="24"/>
          <w:highlight w:val="yellow"/>
        </w:rPr>
      </w:pPr>
    </w:p>
    <w:p w14:paraId="18A98FDF"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4.2.6. Return the remaining cell suspension to the incubator between chip seedings.</w:t>
      </w:r>
    </w:p>
    <w:p w14:paraId="3C01280B" w14:textId="77777777" w:rsidR="00B063D8" w:rsidRPr="00391419" w:rsidRDefault="00B063D8" w:rsidP="00B9425C">
      <w:pPr>
        <w:spacing w:after="0" w:line="0" w:lineRule="atLeast"/>
        <w:jc w:val="both"/>
        <w:rPr>
          <w:rFonts w:cs="Calibri"/>
          <w:color w:val="000000" w:themeColor="text1"/>
          <w:szCs w:val="24"/>
          <w:highlight w:val="yellow"/>
        </w:rPr>
      </w:pPr>
    </w:p>
    <w:p w14:paraId="1369F328"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4.2.7. Remove the clamp from the outlet tubing connected to one outer apical channel.</w:t>
      </w:r>
    </w:p>
    <w:p w14:paraId="62A2121B" w14:textId="77777777" w:rsidR="00B063D8" w:rsidRPr="00391419" w:rsidRDefault="00B063D8" w:rsidP="00B9425C">
      <w:pPr>
        <w:spacing w:after="0" w:line="0" w:lineRule="atLeast"/>
        <w:jc w:val="both"/>
        <w:rPr>
          <w:rFonts w:cs="Calibri"/>
          <w:color w:val="000000" w:themeColor="text1"/>
          <w:szCs w:val="24"/>
          <w:highlight w:val="yellow"/>
        </w:rPr>
      </w:pPr>
    </w:p>
    <w:p w14:paraId="7E9D881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4.2.8. Apply a drop of endothelial-cell culture medium to the inlet port and gently remove the existing tubing.</w:t>
      </w:r>
    </w:p>
    <w:p w14:paraId="7C7A1AD0" w14:textId="77777777" w:rsidR="00B063D8" w:rsidRPr="00391419" w:rsidRDefault="00B063D8" w:rsidP="00B9425C">
      <w:pPr>
        <w:spacing w:after="0" w:line="0" w:lineRule="atLeast"/>
        <w:jc w:val="both"/>
        <w:rPr>
          <w:rFonts w:cs="Calibri"/>
          <w:color w:val="000000" w:themeColor="text1"/>
          <w:szCs w:val="24"/>
          <w:highlight w:val="yellow"/>
        </w:rPr>
      </w:pPr>
    </w:p>
    <w:p w14:paraId="73639C90"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4.2.9. Gently depress the syringe plunger until a </w:t>
      </w:r>
      <w:proofErr w:type="gramStart"/>
      <w:r w:rsidRPr="00391419">
        <w:rPr>
          <w:rFonts w:cs="Calibri"/>
          <w:color w:val="000000" w:themeColor="text1"/>
          <w:szCs w:val="24"/>
          <w:highlight w:val="yellow"/>
        </w:rPr>
        <w:t>small meniscus forms</w:t>
      </w:r>
      <w:proofErr w:type="gramEnd"/>
      <w:r w:rsidRPr="00391419">
        <w:rPr>
          <w:rFonts w:cs="Calibri"/>
          <w:color w:val="000000" w:themeColor="text1"/>
          <w:szCs w:val="24"/>
          <w:highlight w:val="yellow"/>
        </w:rPr>
        <w:t xml:space="preserve"> at the tubing outlet.</w:t>
      </w:r>
    </w:p>
    <w:p w14:paraId="4F7A3C05" w14:textId="77777777" w:rsidR="00B063D8" w:rsidRPr="00391419" w:rsidRDefault="00B063D8" w:rsidP="00B9425C">
      <w:pPr>
        <w:spacing w:after="0" w:line="0" w:lineRule="atLeast"/>
        <w:jc w:val="both"/>
        <w:rPr>
          <w:rFonts w:cs="Calibri"/>
          <w:color w:val="000000" w:themeColor="text1"/>
          <w:szCs w:val="24"/>
          <w:highlight w:val="yellow"/>
        </w:rPr>
      </w:pPr>
    </w:p>
    <w:p w14:paraId="1F5D6176"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4.2.10. Insert the tubing into the inlet port connected to the apical channel.</w:t>
      </w:r>
    </w:p>
    <w:p w14:paraId="5C70B6F2" w14:textId="77777777" w:rsidR="00B063D8" w:rsidRPr="00391419" w:rsidRDefault="00B063D8" w:rsidP="00B9425C">
      <w:pPr>
        <w:spacing w:after="0" w:line="0" w:lineRule="atLeast"/>
        <w:jc w:val="both"/>
        <w:rPr>
          <w:rFonts w:cs="Calibri"/>
          <w:color w:val="000000" w:themeColor="text1"/>
          <w:szCs w:val="24"/>
          <w:highlight w:val="yellow"/>
        </w:rPr>
      </w:pPr>
    </w:p>
    <w:p w14:paraId="6B273BE7"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lastRenderedPageBreak/>
        <w:t>4.2.11. Slowly depress the syringe plunger until approximately three drops of endothelial-cell suspension emerge from the outlet tubing.</w:t>
      </w:r>
    </w:p>
    <w:p w14:paraId="5B31EC86" w14:textId="77777777" w:rsidR="00B063D8" w:rsidRPr="00391419" w:rsidRDefault="00B063D8" w:rsidP="00B9425C">
      <w:pPr>
        <w:spacing w:after="0" w:line="0" w:lineRule="atLeast"/>
        <w:jc w:val="both"/>
        <w:rPr>
          <w:rFonts w:cs="Calibri"/>
          <w:color w:val="000000" w:themeColor="text1"/>
          <w:szCs w:val="24"/>
          <w:highlight w:val="yellow"/>
        </w:rPr>
      </w:pPr>
    </w:p>
    <w:p w14:paraId="254BC831"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NOTE: Monitor the fluid level continuously during seeding. Do not allow air to enter the tubing or microfluidic channel. Aspirate additional cell suspension if the fluid column decreases to approximately 5 cm within the tubing.</w:t>
      </w:r>
    </w:p>
    <w:p w14:paraId="674BCEC6" w14:textId="77777777" w:rsidR="00B063D8" w:rsidRPr="00391419" w:rsidRDefault="00B063D8" w:rsidP="00B9425C">
      <w:pPr>
        <w:spacing w:after="0" w:line="0" w:lineRule="atLeast"/>
        <w:jc w:val="both"/>
        <w:rPr>
          <w:rFonts w:cs="Calibri"/>
          <w:color w:val="000000" w:themeColor="text1"/>
          <w:szCs w:val="24"/>
          <w:highlight w:val="yellow"/>
        </w:rPr>
      </w:pPr>
    </w:p>
    <w:p w14:paraId="62486D00"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4.2.12. Reapply the clamp to the outlet tubing.</w:t>
      </w:r>
    </w:p>
    <w:p w14:paraId="0F8A887F" w14:textId="77777777" w:rsidR="00B063D8" w:rsidRPr="00391419" w:rsidRDefault="00B063D8" w:rsidP="00B9425C">
      <w:pPr>
        <w:spacing w:after="0" w:line="0" w:lineRule="atLeast"/>
        <w:jc w:val="both"/>
        <w:rPr>
          <w:rFonts w:cs="Calibri"/>
          <w:color w:val="000000" w:themeColor="text1"/>
          <w:szCs w:val="24"/>
          <w:highlight w:val="yellow"/>
        </w:rPr>
      </w:pPr>
    </w:p>
    <w:p w14:paraId="50A32E67"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4.2.13. Cut the inlet tubing to leave approximately 5 cm attached to the chip and apply a clamp.</w:t>
      </w:r>
    </w:p>
    <w:p w14:paraId="1F37FD16" w14:textId="77777777" w:rsidR="00B063D8" w:rsidRPr="00391419" w:rsidRDefault="00B063D8" w:rsidP="00B9425C">
      <w:pPr>
        <w:spacing w:after="0" w:line="0" w:lineRule="atLeast"/>
        <w:jc w:val="both"/>
        <w:rPr>
          <w:rFonts w:cs="Calibri"/>
          <w:color w:val="000000" w:themeColor="text1"/>
          <w:szCs w:val="24"/>
          <w:highlight w:val="yellow"/>
        </w:rPr>
      </w:pPr>
    </w:p>
    <w:p w14:paraId="41F4FC66"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4.2.14. Repeat Steps 4.2.2–4.2.13 for the second apical channel.</w:t>
      </w:r>
    </w:p>
    <w:p w14:paraId="6E83B2DD" w14:textId="77777777" w:rsidR="00B063D8" w:rsidRPr="00391419" w:rsidRDefault="00B063D8" w:rsidP="00B9425C">
      <w:pPr>
        <w:spacing w:after="0" w:line="0" w:lineRule="atLeast"/>
        <w:jc w:val="both"/>
        <w:rPr>
          <w:rFonts w:cs="Calibri"/>
          <w:color w:val="000000" w:themeColor="text1"/>
          <w:szCs w:val="24"/>
          <w:highlight w:val="yellow"/>
        </w:rPr>
      </w:pPr>
    </w:p>
    <w:p w14:paraId="4D71B20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4.2.15. Examine the seeded channels under a microscope and confirm that endothelial-cell coverage is approximately 70% or greater and evenly distributed throughout the channel (</w:t>
      </w:r>
      <w:r w:rsidRPr="00391419">
        <w:rPr>
          <w:rFonts w:cs="Calibri"/>
          <w:b/>
          <w:bCs/>
          <w:color w:val="000000" w:themeColor="text1"/>
          <w:szCs w:val="24"/>
          <w:highlight w:val="yellow"/>
        </w:rPr>
        <w:t>Figure 3A</w:t>
      </w:r>
      <w:r w:rsidRPr="00391419">
        <w:rPr>
          <w:rFonts w:cs="Calibri"/>
          <w:color w:val="000000" w:themeColor="text1"/>
          <w:szCs w:val="24"/>
          <w:highlight w:val="yellow"/>
        </w:rPr>
        <w:t>).</w:t>
      </w:r>
    </w:p>
    <w:p w14:paraId="1DC6DBF5" w14:textId="77777777" w:rsidR="00B063D8" w:rsidRPr="00391419" w:rsidRDefault="00B063D8" w:rsidP="00B9425C">
      <w:pPr>
        <w:spacing w:after="0" w:line="0" w:lineRule="atLeast"/>
        <w:jc w:val="both"/>
        <w:rPr>
          <w:rFonts w:cs="Calibri"/>
          <w:color w:val="000000" w:themeColor="text1"/>
          <w:szCs w:val="24"/>
          <w:highlight w:val="yellow"/>
        </w:rPr>
      </w:pPr>
    </w:p>
    <w:p w14:paraId="70F108B0"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 xml:space="preserve">[Place </w:t>
      </w:r>
      <w:r w:rsidRPr="00391419">
        <w:rPr>
          <w:rFonts w:cs="Calibri"/>
          <w:b/>
          <w:bCs/>
          <w:color w:val="000000" w:themeColor="text1"/>
          <w:szCs w:val="24"/>
          <w:highlight w:val="yellow"/>
        </w:rPr>
        <w:t>Figure 3</w:t>
      </w:r>
      <w:r w:rsidRPr="00391419">
        <w:rPr>
          <w:rFonts w:cs="Calibri"/>
          <w:color w:val="000000" w:themeColor="text1"/>
          <w:szCs w:val="24"/>
          <w:highlight w:val="yellow"/>
        </w:rPr>
        <w:t xml:space="preserve"> here]</w:t>
      </w:r>
    </w:p>
    <w:p w14:paraId="69E73B1A" w14:textId="77777777" w:rsidR="00B063D8" w:rsidRPr="00391419" w:rsidRDefault="00B063D8" w:rsidP="00B9425C">
      <w:pPr>
        <w:spacing w:after="0" w:line="0" w:lineRule="atLeast"/>
        <w:jc w:val="both"/>
        <w:rPr>
          <w:rFonts w:cs="Calibri"/>
          <w:color w:val="000000" w:themeColor="text1"/>
          <w:szCs w:val="24"/>
          <w:highlight w:val="yellow"/>
        </w:rPr>
      </w:pPr>
    </w:p>
    <w:p w14:paraId="66D33553"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4.2.16. Promote uniform cell distribution by gently adjusting the attached tubing using tweezers while observing the cells under the microscope. Stop once cells are distributed evenly throughout the channel.</w:t>
      </w:r>
    </w:p>
    <w:p w14:paraId="4FB1AC09" w14:textId="77777777" w:rsidR="00B063D8" w:rsidRPr="00391419" w:rsidRDefault="00B063D8" w:rsidP="00B9425C">
      <w:pPr>
        <w:spacing w:after="0" w:line="0" w:lineRule="atLeast"/>
        <w:jc w:val="both"/>
        <w:rPr>
          <w:rFonts w:cs="Calibri"/>
          <w:color w:val="000000" w:themeColor="text1"/>
          <w:szCs w:val="24"/>
          <w:highlight w:val="yellow"/>
        </w:rPr>
      </w:pPr>
    </w:p>
    <w:p w14:paraId="6E21AAE9"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4.2.17. Repeat the seeding procedure if cell coverage remains sparse or uneven.</w:t>
      </w:r>
    </w:p>
    <w:p w14:paraId="1CA69E17" w14:textId="77777777" w:rsidR="00B063D8" w:rsidRPr="00391419" w:rsidRDefault="00B063D8" w:rsidP="00B9425C">
      <w:pPr>
        <w:spacing w:after="0" w:line="0" w:lineRule="atLeast"/>
        <w:jc w:val="both"/>
        <w:rPr>
          <w:rFonts w:cs="Calibri"/>
          <w:color w:val="000000" w:themeColor="text1"/>
          <w:szCs w:val="24"/>
          <w:highlight w:val="yellow"/>
        </w:rPr>
      </w:pPr>
    </w:p>
    <w:p w14:paraId="3F0B8C2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NOTE: To reduce migration of endothelial cells into the basolateral chamber, apply a thicker Matrigel coating (1:5 dilution in 4°C PBS) to the basolateral channel before laminin–Matrigel–fibronectin (LMF) coating using the procedure described in Step 2.4. Increased Matrigel thickness may increase the risk of PDMS lifting or detachment from the glass substrate.</w:t>
      </w:r>
    </w:p>
    <w:p w14:paraId="390BBB89" w14:textId="77777777" w:rsidR="00B063D8" w:rsidRPr="00391419" w:rsidRDefault="00B063D8" w:rsidP="00B9425C">
      <w:pPr>
        <w:spacing w:after="0" w:line="0" w:lineRule="atLeast"/>
        <w:jc w:val="both"/>
        <w:rPr>
          <w:rFonts w:cs="Calibri"/>
          <w:color w:val="000000" w:themeColor="text1"/>
          <w:szCs w:val="24"/>
          <w:highlight w:val="yellow"/>
        </w:rPr>
      </w:pPr>
    </w:p>
    <w:p w14:paraId="12263FAE"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4.2.18. Repeat Step 4.2 for additional chips as required.</w:t>
      </w:r>
    </w:p>
    <w:p w14:paraId="60659F92" w14:textId="77777777" w:rsidR="00B063D8" w:rsidRPr="00391419" w:rsidRDefault="00B063D8" w:rsidP="00B9425C">
      <w:pPr>
        <w:spacing w:after="0" w:line="0" w:lineRule="atLeast"/>
        <w:jc w:val="both"/>
        <w:rPr>
          <w:rFonts w:cs="Calibri"/>
          <w:color w:val="000000" w:themeColor="text1"/>
          <w:szCs w:val="24"/>
          <w:highlight w:val="yellow"/>
        </w:rPr>
      </w:pPr>
    </w:p>
    <w:p w14:paraId="35A7881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4.2.19. Place seeded chips in an inverted orientation inside the humidity box with the glass surface facing upward and the PDMS surface facing downward.</w:t>
      </w:r>
    </w:p>
    <w:p w14:paraId="771BE0D2" w14:textId="77777777" w:rsidR="00B063D8" w:rsidRPr="00391419" w:rsidRDefault="00B063D8" w:rsidP="00B9425C">
      <w:pPr>
        <w:spacing w:after="0" w:line="0" w:lineRule="atLeast"/>
        <w:jc w:val="both"/>
        <w:rPr>
          <w:rFonts w:cs="Calibri"/>
          <w:color w:val="000000" w:themeColor="text1"/>
          <w:szCs w:val="24"/>
          <w:highlight w:val="yellow"/>
        </w:rPr>
      </w:pPr>
    </w:p>
    <w:p w14:paraId="038CC0AB"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4.2.20. Secure the chip using masking tape attached to both ends of the glass slide and fixed to the inside of the humidity-box lid. Close the humidity-box lid carefully while ensuring that all tubing remains inside the container.</w:t>
      </w:r>
    </w:p>
    <w:p w14:paraId="49C814A5" w14:textId="77777777" w:rsidR="00B063D8" w:rsidRPr="00391419" w:rsidRDefault="00B063D8" w:rsidP="00B9425C">
      <w:pPr>
        <w:spacing w:after="0" w:line="0" w:lineRule="atLeast"/>
        <w:jc w:val="both"/>
        <w:rPr>
          <w:rFonts w:cs="Calibri"/>
          <w:color w:val="000000" w:themeColor="text1"/>
          <w:szCs w:val="24"/>
          <w:highlight w:val="yellow"/>
        </w:rPr>
      </w:pPr>
    </w:p>
    <w:p w14:paraId="1BCCE472"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4.2.21. Transfer the humidity box to a 37°C, 5% CO₂ incubator and incubate for at least 4 h before performing the second endothelial-cell seeding.</w:t>
      </w:r>
    </w:p>
    <w:p w14:paraId="1E64AF79" w14:textId="77777777" w:rsidR="00B063D8" w:rsidRPr="00391419" w:rsidRDefault="00B063D8" w:rsidP="00B9425C">
      <w:pPr>
        <w:spacing w:after="0" w:line="0" w:lineRule="atLeast"/>
        <w:jc w:val="both"/>
        <w:rPr>
          <w:rFonts w:cs="Calibri"/>
          <w:color w:val="000000" w:themeColor="text1"/>
          <w:szCs w:val="24"/>
          <w:highlight w:val="yellow"/>
        </w:rPr>
      </w:pPr>
    </w:p>
    <w:p w14:paraId="17AC886E"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4.3. Preparation of endothelial cells for second seeding</w:t>
      </w:r>
    </w:p>
    <w:p w14:paraId="50FAA4C6" w14:textId="77777777" w:rsidR="00B063D8" w:rsidRPr="00391419" w:rsidRDefault="00B063D8" w:rsidP="00B9425C">
      <w:pPr>
        <w:spacing w:after="0" w:line="0" w:lineRule="atLeast"/>
        <w:jc w:val="both"/>
        <w:rPr>
          <w:rFonts w:cs="Calibri"/>
          <w:color w:val="000000" w:themeColor="text1"/>
          <w:szCs w:val="24"/>
          <w:highlight w:val="yellow"/>
        </w:rPr>
      </w:pPr>
    </w:p>
    <w:p w14:paraId="3A901E57" w14:textId="77777777" w:rsidR="00B063D8" w:rsidRPr="00391419" w:rsidRDefault="00B063D8" w:rsidP="00B9425C">
      <w:pPr>
        <w:spacing w:after="0" w:line="0" w:lineRule="atLeast"/>
        <w:jc w:val="both"/>
        <w:rPr>
          <w:rFonts w:cs="Calibri"/>
          <w:color w:val="000000" w:themeColor="text1"/>
          <w:szCs w:val="24"/>
          <w:highlight w:val="yellow"/>
        </w:rPr>
      </w:pPr>
      <w:r w:rsidRPr="00391419">
        <w:rPr>
          <w:rFonts w:cs="Calibri"/>
          <w:color w:val="000000" w:themeColor="text1"/>
          <w:szCs w:val="24"/>
          <w:highlight w:val="yellow"/>
        </w:rPr>
        <w:t>4.3.1. Repeat the endothelial-cell detachment and filtering procedure described in Step 4.1.</w:t>
      </w:r>
    </w:p>
    <w:p w14:paraId="45E8C459" w14:textId="77777777" w:rsidR="00B063D8" w:rsidRPr="00391419" w:rsidRDefault="00B063D8" w:rsidP="00B9425C">
      <w:pPr>
        <w:spacing w:after="0" w:line="0" w:lineRule="atLeast"/>
        <w:jc w:val="both"/>
        <w:rPr>
          <w:rFonts w:cs="Calibri"/>
          <w:color w:val="000000" w:themeColor="text1"/>
          <w:szCs w:val="24"/>
          <w:highlight w:val="yellow"/>
        </w:rPr>
      </w:pPr>
    </w:p>
    <w:p w14:paraId="0DC174E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lastRenderedPageBreak/>
        <w:t>4.4. Second endothelial-cell seeding under upright conditions</w:t>
      </w:r>
    </w:p>
    <w:p w14:paraId="51ADC0D1" w14:textId="77777777" w:rsidR="00B063D8" w:rsidRPr="00391419" w:rsidRDefault="00B063D8" w:rsidP="00B9425C">
      <w:pPr>
        <w:spacing w:after="0" w:line="0" w:lineRule="atLeast"/>
        <w:jc w:val="both"/>
        <w:rPr>
          <w:rFonts w:cs="Calibri"/>
          <w:color w:val="000000" w:themeColor="text1"/>
          <w:szCs w:val="24"/>
        </w:rPr>
      </w:pPr>
    </w:p>
    <w:p w14:paraId="11CAED0B"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4.4.1. Repeat the seeding procedure described in Step 4.2 while positioning the chip upright inside the humidity box with the glass surface facing downward and the PDMS surface facing upward.</w:t>
      </w:r>
    </w:p>
    <w:p w14:paraId="30F46DAD" w14:textId="77777777" w:rsidR="00B063D8" w:rsidRPr="00391419" w:rsidRDefault="00B063D8" w:rsidP="00B9425C">
      <w:pPr>
        <w:spacing w:after="0" w:line="0" w:lineRule="atLeast"/>
        <w:jc w:val="both"/>
        <w:rPr>
          <w:rFonts w:cs="Calibri"/>
          <w:color w:val="000000" w:themeColor="text1"/>
          <w:szCs w:val="24"/>
        </w:rPr>
      </w:pPr>
    </w:p>
    <w:p w14:paraId="2C2065E8"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4.4.2. Transfer the humidity box to a 37°C, 5% CO₂ incubator and incubate overnight (12–18 h) before connecting the chip to the syringe-pump medium-replacement system described in Step 5.</w:t>
      </w:r>
    </w:p>
    <w:p w14:paraId="71F249DF" w14:textId="77777777" w:rsidR="00B063D8" w:rsidRPr="00391419" w:rsidRDefault="00B063D8" w:rsidP="00B9425C">
      <w:pPr>
        <w:spacing w:after="0" w:line="0" w:lineRule="atLeast"/>
        <w:jc w:val="both"/>
        <w:rPr>
          <w:rFonts w:cs="Calibri"/>
          <w:color w:val="000000" w:themeColor="text1"/>
          <w:szCs w:val="24"/>
        </w:rPr>
      </w:pPr>
    </w:p>
    <w:p w14:paraId="7708F2F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4.4.3. Monitor endothelial-cell growth regularly using microscopy and TEER measurements as described in Step 3.3. Refer to </w:t>
      </w:r>
      <w:r w:rsidRPr="00391419">
        <w:rPr>
          <w:rFonts w:cs="Calibri"/>
          <w:b/>
          <w:bCs/>
          <w:color w:val="000000" w:themeColor="text1"/>
          <w:szCs w:val="24"/>
        </w:rPr>
        <w:t>Figure 3B–3E</w:t>
      </w:r>
      <w:r w:rsidRPr="00391419">
        <w:rPr>
          <w:rFonts w:cs="Calibri"/>
          <w:color w:val="000000" w:themeColor="text1"/>
          <w:szCs w:val="24"/>
        </w:rPr>
        <w:t xml:space="preserve"> for representative examples of endothelial-cell progression. Refer to </w:t>
      </w:r>
      <w:r w:rsidRPr="00391419">
        <w:rPr>
          <w:rFonts w:cs="Calibri"/>
          <w:b/>
          <w:bCs/>
          <w:color w:val="000000" w:themeColor="text1"/>
          <w:szCs w:val="24"/>
        </w:rPr>
        <w:t>Figure 3F</w:t>
      </w:r>
      <w:r w:rsidRPr="00391419">
        <w:rPr>
          <w:rFonts w:cs="Calibri"/>
          <w:color w:val="000000" w:themeColor="text1"/>
          <w:szCs w:val="24"/>
        </w:rPr>
        <w:t xml:space="preserve"> for a representative failed model resulting from endothelial-cell detachment under flow conditions.</w:t>
      </w:r>
    </w:p>
    <w:p w14:paraId="2D5E9ADE" w14:textId="77777777" w:rsidR="00B063D8" w:rsidRPr="00391419" w:rsidRDefault="00B063D8" w:rsidP="00B9425C">
      <w:pPr>
        <w:spacing w:after="0" w:line="0" w:lineRule="atLeast"/>
        <w:jc w:val="both"/>
        <w:rPr>
          <w:rFonts w:cs="Calibri"/>
          <w:color w:val="000000" w:themeColor="text1"/>
          <w:szCs w:val="24"/>
        </w:rPr>
      </w:pPr>
    </w:p>
    <w:p w14:paraId="21681117" w14:textId="77777777" w:rsidR="00B063D8" w:rsidRPr="00391419" w:rsidRDefault="00B063D8" w:rsidP="00B9425C">
      <w:pPr>
        <w:spacing w:after="0" w:line="0" w:lineRule="atLeast"/>
        <w:jc w:val="both"/>
        <w:rPr>
          <w:rFonts w:cs="Calibri"/>
          <w:b/>
          <w:bCs/>
          <w:color w:val="000000" w:themeColor="text1"/>
          <w:szCs w:val="24"/>
        </w:rPr>
      </w:pPr>
      <w:r w:rsidRPr="00391419">
        <w:rPr>
          <w:rFonts w:cs="Calibri"/>
          <w:b/>
          <w:bCs/>
          <w:color w:val="000000" w:themeColor="text1"/>
          <w:szCs w:val="24"/>
        </w:rPr>
        <w:t>5. Syringe-Pump Attachment</w:t>
      </w:r>
    </w:p>
    <w:p w14:paraId="30645C0C" w14:textId="77777777" w:rsidR="00B063D8" w:rsidRPr="00391419" w:rsidRDefault="00B063D8" w:rsidP="00B9425C">
      <w:pPr>
        <w:spacing w:after="0" w:line="0" w:lineRule="atLeast"/>
        <w:jc w:val="both"/>
        <w:rPr>
          <w:rFonts w:cs="Calibri"/>
          <w:color w:val="000000" w:themeColor="text1"/>
          <w:szCs w:val="24"/>
        </w:rPr>
      </w:pPr>
    </w:p>
    <w:p w14:paraId="152C1726"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 Filling glass syringes with culture medium</w:t>
      </w:r>
    </w:p>
    <w:p w14:paraId="5780B7AA" w14:textId="77777777" w:rsidR="00B063D8" w:rsidRPr="00391419" w:rsidRDefault="00B063D8" w:rsidP="00B9425C">
      <w:pPr>
        <w:spacing w:after="0" w:line="0" w:lineRule="atLeast"/>
        <w:jc w:val="both"/>
        <w:rPr>
          <w:rFonts w:cs="Calibri"/>
          <w:color w:val="000000" w:themeColor="text1"/>
          <w:szCs w:val="24"/>
        </w:rPr>
      </w:pPr>
    </w:p>
    <w:p w14:paraId="0012CAB4"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5.1.1. Calculate the volume of culture medium required for the remaining culture period and all planned chip experiments.</w:t>
      </w:r>
    </w:p>
    <w:p w14:paraId="6BF71BFA" w14:textId="77777777" w:rsidR="00B063D8" w:rsidRPr="00391419" w:rsidRDefault="00B063D8" w:rsidP="00B9425C">
      <w:pPr>
        <w:spacing w:after="0" w:line="0" w:lineRule="atLeast"/>
        <w:jc w:val="both"/>
        <w:rPr>
          <w:rFonts w:cs="Calibri"/>
          <w:color w:val="000000" w:themeColor="text1"/>
          <w:szCs w:val="24"/>
        </w:rPr>
      </w:pPr>
    </w:p>
    <w:p w14:paraId="01F935B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5.1.2. Include the volume required to fill the tubing connected to the syringes and syringe pump using an estimated tubing volume of approximately 2 µL/cm.</w:t>
      </w:r>
    </w:p>
    <w:p w14:paraId="508D8FC1" w14:textId="77777777" w:rsidR="00B063D8" w:rsidRPr="00391419" w:rsidRDefault="00B063D8" w:rsidP="00B9425C">
      <w:pPr>
        <w:spacing w:after="0" w:line="0" w:lineRule="atLeast"/>
        <w:jc w:val="both"/>
        <w:rPr>
          <w:rFonts w:cs="Calibri"/>
          <w:color w:val="000000" w:themeColor="text1"/>
          <w:szCs w:val="24"/>
        </w:rPr>
      </w:pPr>
    </w:p>
    <w:p w14:paraId="61D0D1C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5.1.3. Select appropriately sized glass syringes based on the calculated medium volume. Prepare two syringes per chip for the apical channels.</w:t>
      </w:r>
    </w:p>
    <w:p w14:paraId="230BC683" w14:textId="77777777" w:rsidR="00B063D8" w:rsidRPr="00391419" w:rsidRDefault="00B063D8" w:rsidP="00B9425C">
      <w:pPr>
        <w:spacing w:after="0" w:line="0" w:lineRule="atLeast"/>
        <w:jc w:val="both"/>
        <w:rPr>
          <w:rFonts w:cs="Calibri"/>
          <w:color w:val="000000" w:themeColor="text1"/>
          <w:szCs w:val="24"/>
        </w:rPr>
      </w:pPr>
    </w:p>
    <w:p w14:paraId="15CB4A9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5.1.4. Aliquot culture medium into a 50 mL conical tube.</w:t>
      </w:r>
    </w:p>
    <w:p w14:paraId="32F827EB" w14:textId="77777777" w:rsidR="00B063D8" w:rsidRPr="00391419" w:rsidRDefault="00B063D8" w:rsidP="00B9425C">
      <w:pPr>
        <w:spacing w:after="0" w:line="0" w:lineRule="atLeast"/>
        <w:jc w:val="both"/>
        <w:rPr>
          <w:rFonts w:cs="Calibri"/>
          <w:color w:val="000000" w:themeColor="text1"/>
          <w:szCs w:val="24"/>
        </w:rPr>
      </w:pPr>
    </w:p>
    <w:p w14:paraId="75201F49"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5.1.5. Attach a syringe needle and submerge the needle in the culture medium.</w:t>
      </w:r>
    </w:p>
    <w:p w14:paraId="6C5D2735" w14:textId="77777777" w:rsidR="00B063D8" w:rsidRPr="00391419" w:rsidRDefault="00B063D8" w:rsidP="00B9425C">
      <w:pPr>
        <w:spacing w:after="0" w:line="0" w:lineRule="atLeast"/>
        <w:jc w:val="both"/>
        <w:rPr>
          <w:rFonts w:cs="Calibri"/>
          <w:color w:val="000000" w:themeColor="text1"/>
          <w:szCs w:val="24"/>
        </w:rPr>
      </w:pPr>
    </w:p>
    <w:p w14:paraId="4CB6077A"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5.1.6. Slowly aspirate culture medium into the syringe by retracting the plunger gradually.</w:t>
      </w:r>
    </w:p>
    <w:p w14:paraId="7E49AA75" w14:textId="77777777" w:rsidR="00B063D8" w:rsidRPr="00391419" w:rsidRDefault="00B063D8" w:rsidP="00B9425C">
      <w:pPr>
        <w:spacing w:after="0" w:line="0" w:lineRule="atLeast"/>
        <w:jc w:val="both"/>
        <w:rPr>
          <w:rFonts w:cs="Calibri"/>
          <w:color w:val="000000" w:themeColor="text1"/>
          <w:szCs w:val="24"/>
        </w:rPr>
      </w:pPr>
    </w:p>
    <w:p w14:paraId="6B1D5438"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5.1.7. Fill all syringes equally to ensure compatibility with syringe-pump positioning.</w:t>
      </w:r>
    </w:p>
    <w:p w14:paraId="5F34E326" w14:textId="77777777" w:rsidR="00B063D8" w:rsidRPr="00391419" w:rsidRDefault="00B063D8" w:rsidP="00B9425C">
      <w:pPr>
        <w:spacing w:after="0" w:line="0" w:lineRule="atLeast"/>
        <w:jc w:val="both"/>
        <w:rPr>
          <w:rFonts w:cs="Calibri"/>
          <w:color w:val="000000" w:themeColor="text1"/>
          <w:szCs w:val="24"/>
        </w:rPr>
      </w:pPr>
    </w:p>
    <w:p w14:paraId="0AFB1DE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5.1.8. Inspect the syringe barrel and needle for visible air bubbles.</w:t>
      </w:r>
    </w:p>
    <w:p w14:paraId="5EB79689" w14:textId="77777777" w:rsidR="00B063D8" w:rsidRPr="00391419" w:rsidRDefault="00B063D8" w:rsidP="00B9425C">
      <w:pPr>
        <w:spacing w:after="0" w:line="0" w:lineRule="atLeast"/>
        <w:jc w:val="both"/>
        <w:rPr>
          <w:rFonts w:cs="Calibri"/>
          <w:color w:val="000000" w:themeColor="text1"/>
          <w:szCs w:val="24"/>
        </w:rPr>
      </w:pPr>
    </w:p>
    <w:p w14:paraId="441701A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5.1.9. Hold the syringe vertically with the needle facing upward and gently tap the syringe to move air bubbles toward the needle.</w:t>
      </w:r>
    </w:p>
    <w:p w14:paraId="41A63AA1" w14:textId="77777777" w:rsidR="00B063D8" w:rsidRPr="00391419" w:rsidRDefault="00B063D8" w:rsidP="00B9425C">
      <w:pPr>
        <w:spacing w:after="0" w:line="0" w:lineRule="atLeast"/>
        <w:jc w:val="both"/>
        <w:rPr>
          <w:rFonts w:cs="Calibri"/>
          <w:color w:val="000000" w:themeColor="text1"/>
          <w:szCs w:val="24"/>
        </w:rPr>
      </w:pPr>
    </w:p>
    <w:p w14:paraId="212414B9"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5.1.10. Slowly depress the plunger to expel medium containing trapped air.</w:t>
      </w:r>
    </w:p>
    <w:p w14:paraId="003BB5B5" w14:textId="77777777" w:rsidR="00B063D8" w:rsidRPr="00391419" w:rsidRDefault="00B063D8" w:rsidP="00B9425C">
      <w:pPr>
        <w:spacing w:after="0" w:line="0" w:lineRule="atLeast"/>
        <w:jc w:val="both"/>
        <w:rPr>
          <w:rFonts w:cs="Calibri"/>
          <w:color w:val="000000" w:themeColor="text1"/>
          <w:szCs w:val="24"/>
        </w:rPr>
      </w:pPr>
    </w:p>
    <w:p w14:paraId="0DB69296"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5.1.11. Re-aspirate culture medium to the required volume.</w:t>
      </w:r>
    </w:p>
    <w:p w14:paraId="30222FF4" w14:textId="77777777" w:rsidR="00B063D8" w:rsidRPr="00391419" w:rsidRDefault="00B063D8" w:rsidP="00B9425C">
      <w:pPr>
        <w:spacing w:after="0" w:line="0" w:lineRule="atLeast"/>
        <w:jc w:val="both"/>
        <w:rPr>
          <w:rFonts w:cs="Calibri"/>
          <w:color w:val="000000" w:themeColor="text1"/>
          <w:szCs w:val="24"/>
        </w:rPr>
      </w:pPr>
    </w:p>
    <w:p w14:paraId="2A9672F9"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5.1.12. Repeat Steps 5.1.8–5.1.11 until no visible air bubbles remain within the syringe or needle.</w:t>
      </w:r>
    </w:p>
    <w:p w14:paraId="68C58383" w14:textId="77777777" w:rsidR="00B063D8" w:rsidRPr="00391419" w:rsidRDefault="00B063D8" w:rsidP="00B9425C">
      <w:pPr>
        <w:spacing w:after="0" w:line="0" w:lineRule="atLeast"/>
        <w:jc w:val="both"/>
        <w:rPr>
          <w:rFonts w:cs="Calibri"/>
          <w:color w:val="000000" w:themeColor="text1"/>
          <w:szCs w:val="24"/>
        </w:rPr>
      </w:pPr>
    </w:p>
    <w:p w14:paraId="7C53163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5.2. Preparation of tubing for syringe-pump connection</w:t>
      </w:r>
    </w:p>
    <w:p w14:paraId="1A89710A" w14:textId="77777777" w:rsidR="00B063D8" w:rsidRPr="00391419" w:rsidRDefault="00B063D8" w:rsidP="00B9425C">
      <w:pPr>
        <w:spacing w:after="0" w:line="0" w:lineRule="atLeast"/>
        <w:jc w:val="both"/>
        <w:rPr>
          <w:rFonts w:cs="Calibri"/>
          <w:color w:val="000000" w:themeColor="text1"/>
          <w:szCs w:val="24"/>
        </w:rPr>
      </w:pPr>
    </w:p>
    <w:p w14:paraId="25C253B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NOTE: Tubing used in this study had an inner diameter of 0.51 mm and an outer diameter of 1.52 mm.</w:t>
      </w:r>
    </w:p>
    <w:p w14:paraId="2B1361F6" w14:textId="77777777" w:rsidR="00B063D8" w:rsidRPr="00391419" w:rsidRDefault="00B063D8" w:rsidP="00B9425C">
      <w:pPr>
        <w:spacing w:after="0" w:line="0" w:lineRule="atLeast"/>
        <w:jc w:val="both"/>
        <w:rPr>
          <w:rFonts w:cs="Calibri"/>
          <w:color w:val="000000" w:themeColor="text1"/>
          <w:szCs w:val="24"/>
        </w:rPr>
      </w:pPr>
    </w:p>
    <w:p w14:paraId="21A1EE3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5.2.1. Cut tubing to a length sufficient to allow transfer of the microfluidic chip between the biosafety cabinet and incubator while remaining connected to the syringe pump.</w:t>
      </w:r>
    </w:p>
    <w:p w14:paraId="5C3C7145" w14:textId="77777777" w:rsidR="00B063D8" w:rsidRPr="00391419" w:rsidRDefault="00B063D8" w:rsidP="00B9425C">
      <w:pPr>
        <w:spacing w:after="0" w:line="0" w:lineRule="atLeast"/>
        <w:jc w:val="both"/>
        <w:rPr>
          <w:rFonts w:cs="Calibri"/>
          <w:color w:val="000000" w:themeColor="text1"/>
          <w:szCs w:val="24"/>
        </w:rPr>
      </w:pPr>
    </w:p>
    <w:p w14:paraId="15D2543D" w14:textId="125B9D40"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Tubing lengths of 105 cm were used in this study. Fluid-dynamics calculations and representative flow characteristics presented in this manuscript were determined using this tubing length. Changes in tubing length may alter flow </w:t>
      </w:r>
      <w:r w:rsidR="00A65DAF" w:rsidRPr="00391419">
        <w:rPr>
          <w:rFonts w:cs="Calibri"/>
          <w:color w:val="000000" w:themeColor="text1"/>
          <w:szCs w:val="24"/>
        </w:rPr>
        <w:t>behavior</w:t>
      </w:r>
      <w:r w:rsidRPr="00391419">
        <w:rPr>
          <w:rFonts w:cs="Calibri"/>
          <w:color w:val="000000" w:themeColor="text1"/>
          <w:szCs w:val="24"/>
        </w:rPr>
        <w:t xml:space="preserve"> and pressure characteristics.</w:t>
      </w:r>
    </w:p>
    <w:p w14:paraId="40F6586A" w14:textId="77777777" w:rsidR="00B063D8" w:rsidRPr="00391419" w:rsidRDefault="00B063D8" w:rsidP="00B9425C">
      <w:pPr>
        <w:spacing w:after="0" w:line="0" w:lineRule="atLeast"/>
        <w:jc w:val="both"/>
        <w:rPr>
          <w:rFonts w:cs="Calibri"/>
          <w:color w:val="000000" w:themeColor="text1"/>
          <w:szCs w:val="24"/>
        </w:rPr>
      </w:pPr>
    </w:p>
    <w:p w14:paraId="45AAB373"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5.2.2. Attach the tubing securely to the syringe needle of each syringe.</w:t>
      </w:r>
    </w:p>
    <w:p w14:paraId="40B30D8E" w14:textId="77777777" w:rsidR="00B063D8" w:rsidRPr="00391419" w:rsidRDefault="00B063D8" w:rsidP="00B9425C">
      <w:pPr>
        <w:spacing w:after="0" w:line="0" w:lineRule="atLeast"/>
        <w:jc w:val="both"/>
        <w:rPr>
          <w:rFonts w:cs="Calibri"/>
          <w:color w:val="000000" w:themeColor="text1"/>
          <w:szCs w:val="24"/>
        </w:rPr>
      </w:pPr>
    </w:p>
    <w:p w14:paraId="301BE51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5.3. Placement of syringes onto the syringe pump</w:t>
      </w:r>
    </w:p>
    <w:p w14:paraId="392F86E8" w14:textId="77777777" w:rsidR="00B063D8" w:rsidRPr="00391419" w:rsidRDefault="00B063D8" w:rsidP="00B9425C">
      <w:pPr>
        <w:spacing w:after="0" w:line="0" w:lineRule="atLeast"/>
        <w:jc w:val="both"/>
        <w:rPr>
          <w:rFonts w:cs="Calibri"/>
          <w:color w:val="000000" w:themeColor="text1"/>
          <w:szCs w:val="24"/>
        </w:rPr>
      </w:pPr>
    </w:p>
    <w:p w14:paraId="6F5741E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5.3.1. Attach an extension rack to the syringe pump if additional syringe positions are required (</w:t>
      </w:r>
      <w:r w:rsidRPr="00391419">
        <w:rPr>
          <w:rFonts w:cs="Calibri"/>
          <w:b/>
          <w:bCs/>
          <w:color w:val="000000" w:themeColor="text1"/>
          <w:szCs w:val="24"/>
        </w:rPr>
        <w:t>Figure 4A</w:t>
      </w:r>
      <w:r w:rsidRPr="00391419">
        <w:rPr>
          <w:rFonts w:cs="Calibri"/>
          <w:color w:val="000000" w:themeColor="text1"/>
          <w:szCs w:val="24"/>
        </w:rPr>
        <w:t>).</w:t>
      </w:r>
    </w:p>
    <w:p w14:paraId="01892487" w14:textId="77777777" w:rsidR="00B063D8" w:rsidRPr="00391419" w:rsidRDefault="00B063D8" w:rsidP="00B9425C">
      <w:pPr>
        <w:spacing w:after="0" w:line="0" w:lineRule="atLeast"/>
        <w:jc w:val="both"/>
        <w:rPr>
          <w:rFonts w:cs="Calibri"/>
          <w:color w:val="000000" w:themeColor="text1"/>
          <w:szCs w:val="24"/>
        </w:rPr>
      </w:pPr>
    </w:p>
    <w:p w14:paraId="054AF33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[Place </w:t>
      </w:r>
      <w:r w:rsidRPr="00391419">
        <w:rPr>
          <w:rFonts w:cs="Calibri"/>
          <w:b/>
          <w:bCs/>
          <w:color w:val="000000" w:themeColor="text1"/>
          <w:szCs w:val="24"/>
        </w:rPr>
        <w:t>Figure 4</w:t>
      </w:r>
      <w:r w:rsidRPr="00391419">
        <w:rPr>
          <w:rFonts w:cs="Calibri"/>
          <w:color w:val="000000" w:themeColor="text1"/>
          <w:szCs w:val="24"/>
        </w:rPr>
        <w:t xml:space="preserve"> here]</w:t>
      </w:r>
    </w:p>
    <w:p w14:paraId="27621460" w14:textId="77777777" w:rsidR="00B063D8" w:rsidRPr="00391419" w:rsidRDefault="00B063D8" w:rsidP="00B9425C">
      <w:pPr>
        <w:spacing w:after="0" w:line="0" w:lineRule="atLeast"/>
        <w:jc w:val="both"/>
        <w:rPr>
          <w:rFonts w:cs="Calibri"/>
          <w:color w:val="000000" w:themeColor="text1"/>
          <w:szCs w:val="24"/>
        </w:rPr>
      </w:pPr>
    </w:p>
    <w:p w14:paraId="78B46219"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5.3.2. Install the extension rack according to the manufacturer’s instructions. Loosen the syringe-pump fixtures and adjust the spacing to accommodate the selected syringes.</w:t>
      </w:r>
    </w:p>
    <w:p w14:paraId="3B2454FA" w14:textId="77777777" w:rsidR="00B063D8" w:rsidRPr="00391419" w:rsidRDefault="00B063D8" w:rsidP="00B9425C">
      <w:pPr>
        <w:spacing w:after="0" w:line="0" w:lineRule="atLeast"/>
        <w:jc w:val="both"/>
        <w:rPr>
          <w:rFonts w:cs="Calibri"/>
          <w:color w:val="000000" w:themeColor="text1"/>
          <w:szCs w:val="24"/>
        </w:rPr>
      </w:pPr>
    </w:p>
    <w:p w14:paraId="7BDCCEA9"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5.3.3. Position each syringe individually within the syringe-pump rack. Ensure that the distal ends of the tubing remain within the biosafety cabinet during setup.</w:t>
      </w:r>
    </w:p>
    <w:p w14:paraId="60F13369" w14:textId="77777777" w:rsidR="00B063D8" w:rsidRPr="00391419" w:rsidRDefault="00B063D8" w:rsidP="00B9425C">
      <w:pPr>
        <w:spacing w:after="0" w:line="0" w:lineRule="atLeast"/>
        <w:jc w:val="both"/>
        <w:rPr>
          <w:rFonts w:cs="Calibri"/>
          <w:color w:val="000000" w:themeColor="text1"/>
          <w:szCs w:val="24"/>
        </w:rPr>
      </w:pPr>
    </w:p>
    <w:p w14:paraId="204E337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5.3.4. Secure the tubing using tape if necessary to minimize movement. Tighten all syringe-pump fixtures. Use the syringe-pump forward function to advance culture medium through the tubing.</w:t>
      </w:r>
    </w:p>
    <w:p w14:paraId="73191A6B" w14:textId="77777777" w:rsidR="00B063D8" w:rsidRPr="00391419" w:rsidRDefault="00B063D8" w:rsidP="00B9425C">
      <w:pPr>
        <w:spacing w:after="0" w:line="0" w:lineRule="atLeast"/>
        <w:jc w:val="both"/>
        <w:rPr>
          <w:rFonts w:cs="Calibri"/>
          <w:color w:val="000000" w:themeColor="text1"/>
          <w:szCs w:val="24"/>
        </w:rPr>
      </w:pPr>
    </w:p>
    <w:p w14:paraId="251771E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5.3.5. Confirm that culture medium fills the entire tubing length and that no visible air bubbles remain.</w:t>
      </w:r>
    </w:p>
    <w:p w14:paraId="0F7AA96E" w14:textId="77777777" w:rsidR="00B063D8" w:rsidRPr="00391419" w:rsidRDefault="00B063D8" w:rsidP="00B9425C">
      <w:pPr>
        <w:spacing w:after="0" w:line="0" w:lineRule="atLeast"/>
        <w:jc w:val="both"/>
        <w:rPr>
          <w:rFonts w:cs="Calibri"/>
          <w:color w:val="000000" w:themeColor="text1"/>
          <w:szCs w:val="24"/>
        </w:rPr>
      </w:pPr>
    </w:p>
    <w:p w14:paraId="6FC29F0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 Attachment of syringe tubing to the microfluidic device</w:t>
      </w:r>
    </w:p>
    <w:p w14:paraId="185AAC21" w14:textId="77777777" w:rsidR="00B063D8" w:rsidRPr="00391419" w:rsidRDefault="00B063D8" w:rsidP="00B9425C">
      <w:pPr>
        <w:spacing w:after="0" w:line="0" w:lineRule="atLeast"/>
        <w:jc w:val="both"/>
        <w:rPr>
          <w:rFonts w:cs="Calibri"/>
          <w:color w:val="000000" w:themeColor="text1"/>
          <w:szCs w:val="24"/>
        </w:rPr>
      </w:pPr>
    </w:p>
    <w:p w14:paraId="698A1B78"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5.4.1. Remove the humidity boxes containing the chips from the incubator and disinfect the external surfaces using 70% ethanol. Transfer the humidity boxes to a biosafety cabinet.</w:t>
      </w:r>
    </w:p>
    <w:p w14:paraId="724CAE3F" w14:textId="77777777" w:rsidR="00B063D8" w:rsidRPr="00391419" w:rsidRDefault="00B063D8" w:rsidP="00B9425C">
      <w:pPr>
        <w:spacing w:after="0" w:line="0" w:lineRule="atLeast"/>
        <w:jc w:val="both"/>
        <w:rPr>
          <w:rFonts w:cs="Calibri"/>
          <w:color w:val="000000" w:themeColor="text1"/>
          <w:szCs w:val="24"/>
        </w:rPr>
      </w:pPr>
    </w:p>
    <w:p w14:paraId="02C5970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5.4.2. Prepare one chip at a time when connecting multiple devices. Remove the chip from the humidity box and place it on a hot plate set to 37°C. Remove the clamps from the outlet tubing connected to the apical channels.</w:t>
      </w:r>
    </w:p>
    <w:p w14:paraId="7140CAC6" w14:textId="77777777" w:rsidR="00B063D8" w:rsidRPr="00391419" w:rsidRDefault="00B063D8" w:rsidP="00B9425C">
      <w:pPr>
        <w:spacing w:after="0" w:line="0" w:lineRule="atLeast"/>
        <w:jc w:val="both"/>
        <w:rPr>
          <w:rFonts w:cs="Calibri"/>
          <w:color w:val="000000" w:themeColor="text1"/>
          <w:szCs w:val="24"/>
        </w:rPr>
      </w:pPr>
    </w:p>
    <w:p w14:paraId="5DB01434"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5.4.3. Using sterile tweezers, create a circular opening approximately 1.5 mm in diameter in the lid of a microcentrifuge tube or 5 mL conical tube.</w:t>
      </w:r>
    </w:p>
    <w:p w14:paraId="4703ECA0" w14:textId="77777777" w:rsidR="00B063D8" w:rsidRPr="00391419" w:rsidRDefault="00B063D8" w:rsidP="00B9425C">
      <w:pPr>
        <w:spacing w:after="0" w:line="0" w:lineRule="atLeast"/>
        <w:jc w:val="both"/>
        <w:rPr>
          <w:rFonts w:cs="Calibri"/>
          <w:color w:val="000000" w:themeColor="text1"/>
          <w:szCs w:val="24"/>
        </w:rPr>
      </w:pPr>
    </w:p>
    <w:p w14:paraId="7C9998E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lastRenderedPageBreak/>
        <w:t>5.4.4. Insert the outlet tubing through the opening until approximately 2 cm extends into the collection tube.</w:t>
      </w:r>
    </w:p>
    <w:p w14:paraId="2B8AD904" w14:textId="77777777" w:rsidR="00B063D8" w:rsidRPr="00391419" w:rsidRDefault="00B063D8" w:rsidP="00B9425C">
      <w:pPr>
        <w:spacing w:after="0" w:line="0" w:lineRule="atLeast"/>
        <w:jc w:val="both"/>
        <w:rPr>
          <w:rFonts w:cs="Calibri"/>
          <w:color w:val="000000" w:themeColor="text1"/>
          <w:szCs w:val="24"/>
        </w:rPr>
      </w:pPr>
    </w:p>
    <w:p w14:paraId="08B429E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5.4.5. Use the collection tube as a waste reservoir for medium exiting the outlet tubing.</w:t>
      </w:r>
    </w:p>
    <w:p w14:paraId="02B72B6E" w14:textId="77777777" w:rsidR="00B063D8" w:rsidRPr="00391419" w:rsidRDefault="00B063D8" w:rsidP="00B9425C">
      <w:pPr>
        <w:spacing w:after="0" w:line="0" w:lineRule="atLeast"/>
        <w:jc w:val="both"/>
        <w:rPr>
          <w:rFonts w:cs="Calibri"/>
          <w:color w:val="000000" w:themeColor="text1"/>
          <w:szCs w:val="24"/>
        </w:rPr>
      </w:pPr>
    </w:p>
    <w:p w14:paraId="4809BF2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NOTE: Retain collected medium for downstream analysis of secreted proteins, cytokines, or other soluble factors if required.</w:t>
      </w:r>
    </w:p>
    <w:p w14:paraId="38F70ABF" w14:textId="77777777" w:rsidR="00B063D8" w:rsidRPr="00391419" w:rsidRDefault="00B063D8" w:rsidP="00B9425C">
      <w:pPr>
        <w:spacing w:after="0" w:line="0" w:lineRule="atLeast"/>
        <w:jc w:val="both"/>
        <w:rPr>
          <w:rFonts w:cs="Calibri"/>
          <w:color w:val="000000" w:themeColor="text1"/>
          <w:szCs w:val="24"/>
        </w:rPr>
      </w:pPr>
    </w:p>
    <w:p w14:paraId="7864081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5.4.6. Apply a drop of culture medium to the inlet port of each apical channel. Remove the existing inlet tubing from both apical channels. Inspect the syringe-connected tubing and confirm that a visible meniscus is present at the tubing outlet.</w:t>
      </w:r>
    </w:p>
    <w:p w14:paraId="309852B9" w14:textId="77777777" w:rsidR="00B063D8" w:rsidRPr="00391419" w:rsidRDefault="00B063D8" w:rsidP="00B9425C">
      <w:pPr>
        <w:spacing w:after="0" w:line="0" w:lineRule="atLeast"/>
        <w:jc w:val="both"/>
        <w:rPr>
          <w:rFonts w:cs="Calibri"/>
          <w:color w:val="000000" w:themeColor="text1"/>
          <w:szCs w:val="24"/>
        </w:rPr>
      </w:pPr>
    </w:p>
    <w:p w14:paraId="5EAA455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5.4.7. Elevate the tubing if the meniscus has receded because of backflow.</w:t>
      </w:r>
    </w:p>
    <w:p w14:paraId="45340FE6" w14:textId="77777777" w:rsidR="00B063D8" w:rsidRPr="00391419" w:rsidRDefault="00B063D8" w:rsidP="00B9425C">
      <w:pPr>
        <w:spacing w:after="0" w:line="0" w:lineRule="atLeast"/>
        <w:jc w:val="both"/>
        <w:rPr>
          <w:rFonts w:cs="Calibri"/>
          <w:color w:val="000000" w:themeColor="text1"/>
          <w:szCs w:val="24"/>
        </w:rPr>
      </w:pPr>
    </w:p>
    <w:p w14:paraId="7952C1D8"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5.4.8. Trim the tubing incrementally if the medium does not reach the tubing outlet after repositioning. Insert the tubing gently into the inlet port of each apical channel.</w:t>
      </w:r>
    </w:p>
    <w:p w14:paraId="76E36CC2" w14:textId="77777777" w:rsidR="00B063D8" w:rsidRPr="00391419" w:rsidRDefault="00B063D8" w:rsidP="00B9425C">
      <w:pPr>
        <w:spacing w:after="0" w:line="0" w:lineRule="atLeast"/>
        <w:jc w:val="both"/>
        <w:rPr>
          <w:rFonts w:cs="Calibri"/>
          <w:color w:val="000000" w:themeColor="text1"/>
          <w:szCs w:val="24"/>
        </w:rPr>
      </w:pPr>
    </w:p>
    <w:p w14:paraId="0DD040E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5.4.9. Return the chip to the humidity box and transfer the box to the incubator. Repeat Step 5.4 for additional chips as required.</w:t>
      </w:r>
    </w:p>
    <w:p w14:paraId="095652C2" w14:textId="77777777" w:rsidR="00B063D8" w:rsidRPr="00391419" w:rsidRDefault="00B063D8" w:rsidP="00B9425C">
      <w:pPr>
        <w:spacing w:after="0" w:line="0" w:lineRule="atLeast"/>
        <w:jc w:val="both"/>
        <w:rPr>
          <w:rFonts w:cs="Calibri"/>
          <w:color w:val="000000" w:themeColor="text1"/>
          <w:szCs w:val="24"/>
        </w:rPr>
      </w:pPr>
    </w:p>
    <w:p w14:paraId="4FB18D7B"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5.4.10. Position the syringe pump and external tubing above the level of the microfluidic device.</w:t>
      </w:r>
    </w:p>
    <w:p w14:paraId="698D7994" w14:textId="77777777" w:rsidR="00B063D8" w:rsidRPr="00391419" w:rsidRDefault="00B063D8" w:rsidP="00B9425C">
      <w:pPr>
        <w:spacing w:after="0" w:line="0" w:lineRule="atLeast"/>
        <w:jc w:val="both"/>
        <w:rPr>
          <w:rFonts w:cs="Calibri"/>
          <w:color w:val="000000" w:themeColor="text1"/>
          <w:szCs w:val="24"/>
        </w:rPr>
      </w:pPr>
    </w:p>
    <w:p w14:paraId="737E110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5.4.11. Place the humidity box containing the chip on a shelf below the syringe-pump level inside the incubator. Secure the tubing inside the incubator using tape to minimize tubing movement during routine incubator access.</w:t>
      </w:r>
    </w:p>
    <w:p w14:paraId="466154AD" w14:textId="77777777" w:rsidR="00B063D8" w:rsidRPr="00391419" w:rsidRDefault="00B063D8" w:rsidP="00B9425C">
      <w:pPr>
        <w:spacing w:after="0" w:line="0" w:lineRule="atLeast"/>
        <w:jc w:val="both"/>
        <w:rPr>
          <w:rFonts w:cs="Calibri"/>
          <w:color w:val="000000" w:themeColor="text1"/>
          <w:szCs w:val="24"/>
        </w:rPr>
      </w:pPr>
    </w:p>
    <w:p w14:paraId="1EFA3DC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5.5. Programming the syringe pump</w:t>
      </w:r>
    </w:p>
    <w:p w14:paraId="0121A9DC" w14:textId="4B71445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Detailed syringe-pump programming instructions are provided in </w:t>
      </w:r>
      <w:r w:rsidRPr="00391419">
        <w:rPr>
          <w:rFonts w:cs="Calibri"/>
          <w:b/>
          <w:bCs/>
          <w:color w:val="000000" w:themeColor="text1"/>
          <w:szCs w:val="24"/>
        </w:rPr>
        <w:t>Figure 4</w:t>
      </w:r>
      <w:r w:rsidR="00300178" w:rsidRPr="00391419">
        <w:rPr>
          <w:rFonts w:cs="Calibri"/>
          <w:b/>
          <w:bCs/>
          <w:color w:val="000000" w:themeColor="text1"/>
          <w:szCs w:val="24"/>
        </w:rPr>
        <w:t>B</w:t>
      </w:r>
      <w:r w:rsidRPr="00391419">
        <w:rPr>
          <w:rFonts w:cs="Calibri"/>
          <w:color w:val="000000" w:themeColor="text1"/>
          <w:szCs w:val="24"/>
        </w:rPr>
        <w:t xml:space="preserve"> and </w:t>
      </w:r>
      <w:r w:rsidR="002615BD" w:rsidRPr="00391419">
        <w:rPr>
          <w:rFonts w:cs="Calibri"/>
          <w:b/>
          <w:bCs/>
          <w:color w:val="000000" w:themeColor="text1"/>
          <w:szCs w:val="24"/>
        </w:rPr>
        <w:t>Supplementary</w:t>
      </w:r>
      <w:r w:rsidRPr="00391419">
        <w:rPr>
          <w:rFonts w:cs="Calibri"/>
          <w:b/>
          <w:bCs/>
          <w:color w:val="000000" w:themeColor="text1"/>
          <w:szCs w:val="24"/>
        </w:rPr>
        <w:t xml:space="preserve"> Table 2</w:t>
      </w:r>
      <w:r w:rsidRPr="00391419">
        <w:rPr>
          <w:rFonts w:cs="Calibri"/>
          <w:color w:val="000000" w:themeColor="text1"/>
          <w:szCs w:val="24"/>
        </w:rPr>
        <w:t>.</w:t>
      </w:r>
    </w:p>
    <w:p w14:paraId="037DFBDF" w14:textId="77777777" w:rsidR="00B063D8" w:rsidRPr="00391419" w:rsidRDefault="00B063D8" w:rsidP="00B9425C">
      <w:pPr>
        <w:spacing w:after="0" w:line="0" w:lineRule="atLeast"/>
        <w:jc w:val="both"/>
        <w:rPr>
          <w:rFonts w:cs="Calibri"/>
          <w:color w:val="000000" w:themeColor="text1"/>
          <w:szCs w:val="24"/>
        </w:rPr>
      </w:pPr>
    </w:p>
    <w:p w14:paraId="13344E2B"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Different syringe-pump models may vary in programming capability and user interface. The workflow described in this study corresponds to the programmable syringe-pump model listed in the </w:t>
      </w:r>
      <w:r w:rsidRPr="00391419">
        <w:rPr>
          <w:rFonts w:cs="Calibri"/>
          <w:b/>
          <w:bCs/>
          <w:color w:val="000000" w:themeColor="text1"/>
          <w:szCs w:val="24"/>
        </w:rPr>
        <w:t>Table of Materials</w:t>
      </w:r>
      <w:r w:rsidRPr="00391419">
        <w:rPr>
          <w:rFonts w:cs="Calibri"/>
          <w:color w:val="000000" w:themeColor="text1"/>
          <w:szCs w:val="24"/>
        </w:rPr>
        <w:t>.</w:t>
      </w:r>
    </w:p>
    <w:p w14:paraId="58A7706A" w14:textId="77777777" w:rsidR="00B063D8" w:rsidRPr="00391419" w:rsidRDefault="00B063D8" w:rsidP="00B9425C">
      <w:pPr>
        <w:spacing w:after="0" w:line="0" w:lineRule="atLeast"/>
        <w:jc w:val="both"/>
        <w:rPr>
          <w:rFonts w:cs="Calibri"/>
          <w:color w:val="000000" w:themeColor="text1"/>
          <w:szCs w:val="24"/>
        </w:rPr>
      </w:pPr>
    </w:p>
    <w:p w14:paraId="2A907432" w14:textId="77777777" w:rsidR="00B063D8" w:rsidRPr="00391419" w:rsidRDefault="00B063D8" w:rsidP="00B9425C">
      <w:pPr>
        <w:spacing w:after="0" w:line="0" w:lineRule="atLeast"/>
        <w:jc w:val="both"/>
        <w:rPr>
          <w:rFonts w:cs="Calibri"/>
          <w:b/>
          <w:bCs/>
          <w:color w:val="000000" w:themeColor="text1"/>
          <w:szCs w:val="24"/>
        </w:rPr>
      </w:pPr>
      <w:r w:rsidRPr="00391419">
        <w:rPr>
          <w:rFonts w:cs="Calibri"/>
          <w:b/>
          <w:bCs/>
          <w:color w:val="000000" w:themeColor="text1"/>
          <w:szCs w:val="24"/>
        </w:rPr>
        <w:t>6. Introduction of Constant Shear Flow</w:t>
      </w:r>
    </w:p>
    <w:p w14:paraId="02C67E7B" w14:textId="77777777" w:rsidR="00B063D8" w:rsidRPr="00391419" w:rsidRDefault="00B063D8" w:rsidP="00B9425C">
      <w:pPr>
        <w:spacing w:after="0" w:line="0" w:lineRule="atLeast"/>
        <w:jc w:val="both"/>
        <w:rPr>
          <w:rFonts w:cs="Calibri"/>
          <w:color w:val="000000" w:themeColor="text1"/>
          <w:szCs w:val="24"/>
        </w:rPr>
      </w:pPr>
    </w:p>
    <w:p w14:paraId="13EEDFC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6.1. Programming the syringe pump for constant flow</w:t>
      </w:r>
    </w:p>
    <w:p w14:paraId="4E0B4D0D" w14:textId="77777777" w:rsidR="00B063D8" w:rsidRPr="00391419" w:rsidRDefault="00B063D8" w:rsidP="00B9425C">
      <w:pPr>
        <w:spacing w:after="0" w:line="0" w:lineRule="atLeast"/>
        <w:jc w:val="both"/>
        <w:rPr>
          <w:rFonts w:cs="Calibri"/>
          <w:color w:val="000000" w:themeColor="text1"/>
          <w:szCs w:val="24"/>
        </w:rPr>
      </w:pPr>
    </w:p>
    <w:p w14:paraId="2297DD51" w14:textId="7CF5DF9F" w:rsidR="00B063D8" w:rsidRPr="00391419" w:rsidRDefault="00B063D8" w:rsidP="00B9425C">
      <w:pPr>
        <w:spacing w:after="0" w:line="0" w:lineRule="atLeast"/>
        <w:jc w:val="both"/>
        <w:rPr>
          <w:rFonts w:cs="Calibri"/>
          <w:b/>
          <w:bCs/>
          <w:color w:val="000000" w:themeColor="text1"/>
          <w:szCs w:val="24"/>
        </w:rPr>
      </w:pPr>
      <w:r w:rsidRPr="00391419">
        <w:rPr>
          <w:rFonts w:cs="Calibri"/>
          <w:color w:val="000000" w:themeColor="text1"/>
          <w:szCs w:val="24"/>
        </w:rPr>
        <w:t xml:space="preserve">NOTE: Detailed syringe-pump programming instructions are provided in </w:t>
      </w:r>
      <w:r w:rsidR="002615BD" w:rsidRPr="00391419">
        <w:rPr>
          <w:rFonts w:cs="Calibri"/>
          <w:b/>
          <w:bCs/>
          <w:color w:val="000000" w:themeColor="text1"/>
          <w:szCs w:val="24"/>
        </w:rPr>
        <w:t>Supplementary</w:t>
      </w:r>
      <w:r w:rsidRPr="00391419">
        <w:rPr>
          <w:rFonts w:cs="Calibri"/>
          <w:b/>
          <w:bCs/>
          <w:color w:val="000000" w:themeColor="text1"/>
          <w:szCs w:val="24"/>
        </w:rPr>
        <w:t xml:space="preserve"> Table 3</w:t>
      </w:r>
      <w:r w:rsidRPr="00391419">
        <w:rPr>
          <w:rFonts w:cs="Calibri"/>
          <w:color w:val="000000" w:themeColor="text1"/>
          <w:szCs w:val="24"/>
        </w:rPr>
        <w:t xml:space="preserve">. Fluid-dynamics calculations and representative flow characteristics are shown in </w:t>
      </w:r>
      <w:r w:rsidRPr="00391419">
        <w:rPr>
          <w:rFonts w:cs="Calibri"/>
          <w:b/>
          <w:bCs/>
          <w:color w:val="000000" w:themeColor="text1"/>
          <w:szCs w:val="24"/>
        </w:rPr>
        <w:t>Figure 5</w:t>
      </w:r>
      <w:r w:rsidRPr="00391419">
        <w:rPr>
          <w:rFonts w:cs="Calibri"/>
          <w:color w:val="000000" w:themeColor="text1"/>
          <w:szCs w:val="24"/>
        </w:rPr>
        <w:t xml:space="preserve"> and described in </w:t>
      </w:r>
      <w:r w:rsidR="002615BD" w:rsidRPr="00391419">
        <w:rPr>
          <w:rFonts w:cs="Calibri"/>
          <w:b/>
          <w:bCs/>
          <w:color w:val="000000" w:themeColor="text1"/>
          <w:szCs w:val="24"/>
        </w:rPr>
        <w:t>Supplementary</w:t>
      </w:r>
      <w:r w:rsidRPr="00391419">
        <w:rPr>
          <w:rFonts w:cs="Calibri"/>
          <w:b/>
          <w:bCs/>
          <w:color w:val="000000" w:themeColor="text1"/>
          <w:szCs w:val="24"/>
        </w:rPr>
        <w:t xml:space="preserve"> Table 4</w:t>
      </w:r>
      <w:r w:rsidRPr="00391419">
        <w:rPr>
          <w:rFonts w:cs="Calibri"/>
          <w:color w:val="000000" w:themeColor="text1"/>
          <w:szCs w:val="24"/>
        </w:rPr>
        <w:t>.</w:t>
      </w:r>
    </w:p>
    <w:p w14:paraId="37122DFD" w14:textId="77777777" w:rsidR="00B063D8" w:rsidRPr="00391419" w:rsidRDefault="00B063D8" w:rsidP="00B9425C">
      <w:pPr>
        <w:spacing w:after="0" w:line="0" w:lineRule="atLeast"/>
        <w:jc w:val="both"/>
        <w:rPr>
          <w:rFonts w:cs="Calibri"/>
          <w:color w:val="000000" w:themeColor="text1"/>
          <w:szCs w:val="24"/>
        </w:rPr>
      </w:pPr>
    </w:p>
    <w:p w14:paraId="4F7B1A4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[Place Figure 5 here]</w:t>
      </w:r>
    </w:p>
    <w:p w14:paraId="40ABE7B1" w14:textId="77777777" w:rsidR="00B063D8" w:rsidRPr="00391419" w:rsidRDefault="00B063D8" w:rsidP="00B9425C">
      <w:pPr>
        <w:spacing w:after="0" w:line="0" w:lineRule="atLeast"/>
        <w:jc w:val="both"/>
        <w:rPr>
          <w:rFonts w:cs="Calibri"/>
          <w:color w:val="000000" w:themeColor="text1"/>
          <w:szCs w:val="24"/>
        </w:rPr>
      </w:pPr>
    </w:p>
    <w:p w14:paraId="1DE4393C" w14:textId="060D324A"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lastRenderedPageBreak/>
        <w:t xml:space="preserve">6.1.1. Maintain endothelial-cell cultures initially under static conditions using only the programmed feeding protocol described in Step 5.5. Continue static culture until endothelial cells begin to proliferate and exhibit early </w:t>
      </w:r>
      <w:r w:rsidR="009E1FDE" w:rsidRPr="00391419">
        <w:rPr>
          <w:rFonts w:cs="Calibri"/>
          <w:color w:val="000000" w:themeColor="text1"/>
          <w:szCs w:val="24"/>
        </w:rPr>
        <w:t>3D</w:t>
      </w:r>
      <w:r w:rsidRPr="00391419">
        <w:rPr>
          <w:rFonts w:cs="Calibri"/>
          <w:color w:val="000000" w:themeColor="text1"/>
          <w:szCs w:val="24"/>
        </w:rPr>
        <w:t xml:space="preserve"> growth characteristics.</w:t>
      </w:r>
    </w:p>
    <w:p w14:paraId="577474A8" w14:textId="77777777" w:rsidR="00B063D8" w:rsidRPr="00391419" w:rsidRDefault="00B063D8" w:rsidP="00B9425C">
      <w:pPr>
        <w:spacing w:after="0" w:line="0" w:lineRule="atLeast"/>
        <w:jc w:val="both"/>
        <w:rPr>
          <w:rFonts w:cs="Calibri"/>
          <w:color w:val="000000" w:themeColor="text1"/>
          <w:szCs w:val="24"/>
        </w:rPr>
      </w:pPr>
    </w:p>
    <w:p w14:paraId="29AC4446" w14:textId="4DCC014C"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6.1.2. Introduce shear flow gradually to </w:t>
      </w:r>
      <w:r w:rsidR="00A65DAF" w:rsidRPr="00391419">
        <w:rPr>
          <w:rFonts w:cs="Calibri"/>
          <w:color w:val="000000" w:themeColor="text1"/>
          <w:szCs w:val="24"/>
        </w:rPr>
        <w:t>minimize</w:t>
      </w:r>
      <w:r w:rsidRPr="00391419">
        <w:rPr>
          <w:rFonts w:cs="Calibri"/>
          <w:color w:val="000000" w:themeColor="text1"/>
          <w:szCs w:val="24"/>
        </w:rPr>
        <w:t xml:space="preserve"> endothelial-cell detachment and allow adaptation to continuous-flow conditions.</w:t>
      </w:r>
    </w:p>
    <w:p w14:paraId="50C3F2D7" w14:textId="77777777" w:rsidR="00B063D8" w:rsidRPr="00391419" w:rsidRDefault="00B063D8" w:rsidP="00B9425C">
      <w:pPr>
        <w:spacing w:after="0" w:line="0" w:lineRule="atLeast"/>
        <w:jc w:val="both"/>
        <w:rPr>
          <w:rFonts w:cs="Calibri"/>
          <w:color w:val="000000" w:themeColor="text1"/>
          <w:szCs w:val="24"/>
        </w:rPr>
      </w:pPr>
    </w:p>
    <w:p w14:paraId="084811E7" w14:textId="73D025B8"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In this study, shear flow was introduced after approximately 48 h, when endothelial cells had formed an early </w:t>
      </w:r>
      <w:r w:rsidR="009E1FDE" w:rsidRPr="00391419">
        <w:rPr>
          <w:rFonts w:cs="Calibri"/>
          <w:color w:val="000000" w:themeColor="text1"/>
          <w:szCs w:val="24"/>
        </w:rPr>
        <w:t>3D</w:t>
      </w:r>
      <w:r w:rsidRPr="00391419">
        <w:rPr>
          <w:rFonts w:cs="Calibri"/>
          <w:color w:val="000000" w:themeColor="text1"/>
          <w:szCs w:val="24"/>
        </w:rPr>
        <w:t xml:space="preserve"> lumen structure.</w:t>
      </w:r>
    </w:p>
    <w:p w14:paraId="4FE37EB1" w14:textId="77777777" w:rsidR="00B063D8" w:rsidRPr="00391419" w:rsidRDefault="00B063D8" w:rsidP="00B9425C">
      <w:pPr>
        <w:spacing w:after="0" w:line="0" w:lineRule="atLeast"/>
        <w:jc w:val="both"/>
        <w:rPr>
          <w:rFonts w:cs="Calibri"/>
          <w:color w:val="000000" w:themeColor="text1"/>
          <w:szCs w:val="24"/>
        </w:rPr>
      </w:pPr>
    </w:p>
    <w:p w14:paraId="658039D8"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6.1.3. Monitor endothelial-cell morphology regularly using brightfield microscopy throughout shear-flow conditioning. Measure TEER every 1–3 days during shear-flow conditioning to assess progression of endothelial barrier integrity.</w:t>
      </w:r>
    </w:p>
    <w:p w14:paraId="033802BE" w14:textId="77777777" w:rsidR="00B063D8" w:rsidRPr="00391419" w:rsidRDefault="00B063D8" w:rsidP="00B9425C">
      <w:pPr>
        <w:spacing w:after="0" w:line="0" w:lineRule="atLeast"/>
        <w:jc w:val="both"/>
        <w:rPr>
          <w:rFonts w:cs="Calibri"/>
          <w:color w:val="000000" w:themeColor="text1"/>
          <w:szCs w:val="24"/>
        </w:rPr>
      </w:pPr>
    </w:p>
    <w:p w14:paraId="16CDDC63" w14:textId="2031FD6B"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The following flow-conditioning protocol was developed for hCMEC/D3 endothelial cells cultured under the conditions described in this study. Different cell types and culture conditions may require </w:t>
      </w:r>
      <w:r w:rsidR="00A65DAF" w:rsidRPr="00391419">
        <w:rPr>
          <w:rFonts w:cs="Calibri"/>
          <w:color w:val="000000" w:themeColor="text1"/>
          <w:szCs w:val="24"/>
        </w:rPr>
        <w:t>optimization</w:t>
      </w:r>
      <w:r w:rsidRPr="00391419">
        <w:rPr>
          <w:rFonts w:cs="Calibri"/>
          <w:color w:val="000000" w:themeColor="text1"/>
          <w:szCs w:val="24"/>
        </w:rPr>
        <w:t xml:space="preserve"> of flow rates and exposure durations.</w:t>
      </w:r>
    </w:p>
    <w:p w14:paraId="728C7FA1" w14:textId="77777777" w:rsidR="00B063D8" w:rsidRPr="00391419" w:rsidRDefault="00B063D8" w:rsidP="00B9425C">
      <w:pPr>
        <w:spacing w:after="0" w:line="0" w:lineRule="atLeast"/>
        <w:jc w:val="both"/>
        <w:rPr>
          <w:rFonts w:cs="Calibri"/>
          <w:color w:val="000000" w:themeColor="text1"/>
          <w:szCs w:val="24"/>
        </w:rPr>
      </w:pPr>
    </w:p>
    <w:p w14:paraId="13094724"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 Culturing of Primary Astrocytes</w:t>
      </w:r>
    </w:p>
    <w:p w14:paraId="65FAE919" w14:textId="77777777" w:rsidR="00B063D8" w:rsidRPr="00391419" w:rsidRDefault="00B063D8" w:rsidP="00B9425C">
      <w:pPr>
        <w:spacing w:after="0" w:line="0" w:lineRule="atLeast"/>
        <w:jc w:val="both"/>
        <w:rPr>
          <w:rFonts w:cs="Calibri"/>
          <w:color w:val="000000" w:themeColor="text1"/>
          <w:szCs w:val="24"/>
        </w:rPr>
      </w:pPr>
    </w:p>
    <w:p w14:paraId="65CD46B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7.1. Preparation and maintenance of astrocyte cultures</w:t>
      </w:r>
    </w:p>
    <w:p w14:paraId="0F1DA947" w14:textId="77777777" w:rsidR="00B063D8" w:rsidRPr="00391419" w:rsidRDefault="00B063D8" w:rsidP="00B9425C">
      <w:pPr>
        <w:spacing w:after="0" w:line="0" w:lineRule="atLeast"/>
        <w:jc w:val="both"/>
        <w:rPr>
          <w:rFonts w:cs="Calibri"/>
          <w:color w:val="000000" w:themeColor="text1"/>
          <w:szCs w:val="24"/>
        </w:rPr>
      </w:pPr>
    </w:p>
    <w:p w14:paraId="7FF3CC60" w14:textId="7248D6D6"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Additional information regarding astrocyte culture is provided in </w:t>
      </w:r>
      <w:r w:rsidR="002615BD" w:rsidRPr="00391419">
        <w:rPr>
          <w:rFonts w:cs="Calibri"/>
          <w:b/>
          <w:bCs/>
          <w:color w:val="000000" w:themeColor="text1"/>
          <w:szCs w:val="24"/>
        </w:rPr>
        <w:t>Supplementary</w:t>
      </w:r>
      <w:r w:rsidRPr="00391419">
        <w:rPr>
          <w:rFonts w:cs="Calibri"/>
          <w:b/>
          <w:bCs/>
          <w:color w:val="000000" w:themeColor="text1"/>
          <w:szCs w:val="24"/>
        </w:rPr>
        <w:t xml:space="preserve"> Table 1, Note 5</w:t>
      </w:r>
      <w:r w:rsidRPr="00391419">
        <w:rPr>
          <w:rFonts w:cs="Calibri"/>
          <w:color w:val="000000" w:themeColor="text1"/>
          <w:szCs w:val="24"/>
        </w:rPr>
        <w:t>.</w:t>
      </w:r>
    </w:p>
    <w:p w14:paraId="46F478EF" w14:textId="77777777" w:rsidR="00B063D8" w:rsidRPr="00391419" w:rsidRDefault="00B063D8" w:rsidP="00B9425C">
      <w:pPr>
        <w:spacing w:after="0" w:line="0" w:lineRule="atLeast"/>
        <w:jc w:val="both"/>
        <w:rPr>
          <w:rFonts w:cs="Calibri"/>
          <w:color w:val="000000" w:themeColor="text1"/>
          <w:szCs w:val="24"/>
        </w:rPr>
      </w:pPr>
    </w:p>
    <w:p w14:paraId="2BD03E9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7.1.1. Prepare astrocyte culture medium supplemented with the manufacturer-provided astrocyte supplement kit.</w:t>
      </w:r>
    </w:p>
    <w:p w14:paraId="6EFF0C69" w14:textId="77777777" w:rsidR="00B063D8" w:rsidRPr="00391419" w:rsidRDefault="00B063D8" w:rsidP="00B9425C">
      <w:pPr>
        <w:spacing w:after="0" w:line="0" w:lineRule="atLeast"/>
        <w:jc w:val="both"/>
        <w:rPr>
          <w:rFonts w:cs="Calibri"/>
          <w:color w:val="000000" w:themeColor="text1"/>
          <w:szCs w:val="24"/>
        </w:rPr>
      </w:pPr>
    </w:p>
    <w:p w14:paraId="498C104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7.1.2. Coat T175 culture flasks with poly-L-lysine (PLL) at 2 </w:t>
      </w:r>
      <w:proofErr w:type="spellStart"/>
      <w:r w:rsidRPr="00391419">
        <w:rPr>
          <w:rFonts w:cs="Calibri"/>
          <w:color w:val="000000" w:themeColor="text1"/>
          <w:szCs w:val="24"/>
        </w:rPr>
        <w:t>μg</w:t>
      </w:r>
      <w:proofErr w:type="spellEnd"/>
      <w:r w:rsidRPr="00391419">
        <w:rPr>
          <w:rFonts w:cs="Calibri"/>
          <w:color w:val="000000" w:themeColor="text1"/>
          <w:szCs w:val="24"/>
        </w:rPr>
        <w:t xml:space="preserve">/cm² (35 </w:t>
      </w:r>
      <w:proofErr w:type="spellStart"/>
      <w:r w:rsidRPr="00391419">
        <w:rPr>
          <w:rFonts w:cs="Calibri"/>
          <w:color w:val="000000" w:themeColor="text1"/>
          <w:szCs w:val="24"/>
        </w:rPr>
        <w:t>μL</w:t>
      </w:r>
      <w:proofErr w:type="spellEnd"/>
      <w:r w:rsidRPr="00391419">
        <w:rPr>
          <w:rFonts w:cs="Calibri"/>
          <w:color w:val="000000" w:themeColor="text1"/>
          <w:szCs w:val="24"/>
        </w:rPr>
        <w:t xml:space="preserve"> of 10 mg/mL PLL stock diluted in 12 mL PBS per flask). Incubate the coated flasks for 1 h at 37°C.</w:t>
      </w:r>
    </w:p>
    <w:p w14:paraId="1D586E0C" w14:textId="77777777" w:rsidR="00B063D8" w:rsidRPr="00391419" w:rsidRDefault="00B063D8" w:rsidP="00B9425C">
      <w:pPr>
        <w:spacing w:after="0" w:line="0" w:lineRule="atLeast"/>
        <w:jc w:val="both"/>
        <w:rPr>
          <w:rFonts w:cs="Calibri"/>
          <w:color w:val="000000" w:themeColor="text1"/>
          <w:szCs w:val="24"/>
        </w:rPr>
      </w:pPr>
    </w:p>
    <w:p w14:paraId="6482936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7.1.3. Remove the PLL solution and wash the flasks twice with PBS. Add 10 mL of supplemented astrocyte culture medium to each flask.</w:t>
      </w:r>
    </w:p>
    <w:p w14:paraId="005ED156" w14:textId="77777777" w:rsidR="00B063D8" w:rsidRPr="00391419" w:rsidRDefault="00B063D8" w:rsidP="00B9425C">
      <w:pPr>
        <w:spacing w:after="0" w:line="0" w:lineRule="atLeast"/>
        <w:jc w:val="both"/>
        <w:rPr>
          <w:rFonts w:cs="Calibri"/>
          <w:color w:val="000000" w:themeColor="text1"/>
          <w:szCs w:val="24"/>
        </w:rPr>
      </w:pPr>
    </w:p>
    <w:p w14:paraId="509172B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7.2. Thawing and expansion of primary astrocytes</w:t>
      </w:r>
    </w:p>
    <w:p w14:paraId="76EA78DF" w14:textId="77777777" w:rsidR="00B063D8" w:rsidRPr="00391419" w:rsidRDefault="00B063D8" w:rsidP="00B9425C">
      <w:pPr>
        <w:spacing w:after="0" w:line="0" w:lineRule="atLeast"/>
        <w:jc w:val="both"/>
        <w:rPr>
          <w:rFonts w:cs="Calibri"/>
          <w:color w:val="000000" w:themeColor="text1"/>
          <w:szCs w:val="24"/>
        </w:rPr>
      </w:pPr>
    </w:p>
    <w:p w14:paraId="1C2BF98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7.2.1. Remove a vial of frozen astrocytes from liquid-nitrogen storage and thaw rapidly in a 37°C water bath. Transfer the thawed cells dropwise into a 15 mL conical tube containing 9 mL of astrocyte culture medium.</w:t>
      </w:r>
    </w:p>
    <w:p w14:paraId="5E11577C" w14:textId="77777777" w:rsidR="00B063D8" w:rsidRPr="00391419" w:rsidRDefault="00B063D8" w:rsidP="00B9425C">
      <w:pPr>
        <w:spacing w:after="0" w:line="0" w:lineRule="atLeast"/>
        <w:jc w:val="both"/>
        <w:rPr>
          <w:rFonts w:cs="Calibri"/>
          <w:color w:val="000000" w:themeColor="text1"/>
          <w:szCs w:val="24"/>
        </w:rPr>
      </w:pPr>
    </w:p>
    <w:p w14:paraId="5A5611E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7.2.2. Transfer the cell suspension into PLL-coated T175 culture flasks.</w:t>
      </w:r>
    </w:p>
    <w:p w14:paraId="32F9AD4D" w14:textId="77777777" w:rsidR="00B063D8" w:rsidRPr="00391419" w:rsidRDefault="00B063D8" w:rsidP="00B9425C">
      <w:pPr>
        <w:spacing w:after="0" w:line="0" w:lineRule="atLeast"/>
        <w:jc w:val="both"/>
        <w:rPr>
          <w:rFonts w:cs="Calibri"/>
          <w:color w:val="000000" w:themeColor="text1"/>
          <w:szCs w:val="24"/>
        </w:rPr>
      </w:pPr>
    </w:p>
    <w:p w14:paraId="2F7A2968"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7.3. Routine maintenance and passaging of astrocytes</w:t>
      </w:r>
    </w:p>
    <w:p w14:paraId="7C934ABA" w14:textId="77777777" w:rsidR="00B063D8" w:rsidRPr="00391419" w:rsidRDefault="00B063D8" w:rsidP="00B9425C">
      <w:pPr>
        <w:spacing w:after="0" w:line="0" w:lineRule="atLeast"/>
        <w:jc w:val="both"/>
        <w:rPr>
          <w:rFonts w:cs="Calibri"/>
          <w:color w:val="000000" w:themeColor="text1"/>
          <w:szCs w:val="24"/>
        </w:rPr>
      </w:pPr>
    </w:p>
    <w:p w14:paraId="39A6BA8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7.3.1. Replace astrocyte culture medium every 2–3 days until cultures reach approximately 90% confluence. Wash the cells twice with 10 mL PBS.</w:t>
      </w:r>
    </w:p>
    <w:p w14:paraId="4C4DC74C" w14:textId="77777777" w:rsidR="00B063D8" w:rsidRPr="00391419" w:rsidRDefault="00B063D8" w:rsidP="00B9425C">
      <w:pPr>
        <w:spacing w:after="0" w:line="0" w:lineRule="atLeast"/>
        <w:jc w:val="both"/>
        <w:rPr>
          <w:rFonts w:cs="Calibri"/>
          <w:color w:val="000000" w:themeColor="text1"/>
          <w:szCs w:val="24"/>
        </w:rPr>
      </w:pPr>
    </w:p>
    <w:p w14:paraId="5EE37FA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lastRenderedPageBreak/>
        <w:t>7.3.2. Prepare a detachment solution consisting of 5 mL trypsin/EDTA and 5 mL PBS. Add the detachment solution to the culture flask and incubate for 5 min at 37°C. Transfer detached cells into a 50 mL conical tube containing 5 mL fetal bovine serum (FBS).</w:t>
      </w:r>
    </w:p>
    <w:p w14:paraId="58A62494" w14:textId="77777777" w:rsidR="00B063D8" w:rsidRPr="00391419" w:rsidRDefault="00B063D8" w:rsidP="00B9425C">
      <w:pPr>
        <w:spacing w:after="0" w:line="0" w:lineRule="atLeast"/>
        <w:jc w:val="both"/>
        <w:rPr>
          <w:rFonts w:cs="Calibri"/>
          <w:color w:val="000000" w:themeColor="text1"/>
          <w:szCs w:val="24"/>
        </w:rPr>
      </w:pPr>
    </w:p>
    <w:p w14:paraId="78D630F5" w14:textId="6D4F07DD"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7.3.3. Rinse the culture flask with 10 mL trypsin-</w:t>
      </w:r>
      <w:r w:rsidR="00A65DAF" w:rsidRPr="00391419">
        <w:rPr>
          <w:rFonts w:cs="Calibri"/>
          <w:color w:val="000000" w:themeColor="text1"/>
          <w:szCs w:val="24"/>
        </w:rPr>
        <w:t>neutralization</w:t>
      </w:r>
      <w:r w:rsidRPr="00391419">
        <w:rPr>
          <w:rFonts w:cs="Calibri"/>
          <w:color w:val="000000" w:themeColor="text1"/>
          <w:szCs w:val="24"/>
        </w:rPr>
        <w:t xml:space="preserve"> solution consisting of 1 mL FBS diluted in 9 mL astrocyte culture medium.</w:t>
      </w:r>
    </w:p>
    <w:p w14:paraId="4C21161F" w14:textId="77777777" w:rsidR="00B063D8" w:rsidRPr="00391419" w:rsidRDefault="00B063D8" w:rsidP="00B9425C">
      <w:pPr>
        <w:spacing w:after="0" w:line="0" w:lineRule="atLeast"/>
        <w:jc w:val="both"/>
        <w:rPr>
          <w:rFonts w:cs="Calibri"/>
          <w:color w:val="000000" w:themeColor="text1"/>
          <w:szCs w:val="24"/>
        </w:rPr>
      </w:pPr>
    </w:p>
    <w:p w14:paraId="2C5A8B7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7.3.4. Transfer the rinse solution into the same 50 mL conical tube.</w:t>
      </w:r>
    </w:p>
    <w:p w14:paraId="28A6074A" w14:textId="77777777" w:rsidR="00B063D8" w:rsidRPr="00391419" w:rsidRDefault="00B063D8" w:rsidP="00B9425C">
      <w:pPr>
        <w:spacing w:after="0" w:line="0" w:lineRule="atLeast"/>
        <w:jc w:val="both"/>
        <w:rPr>
          <w:rFonts w:cs="Calibri"/>
          <w:color w:val="000000" w:themeColor="text1"/>
          <w:szCs w:val="24"/>
        </w:rPr>
      </w:pPr>
    </w:p>
    <w:p w14:paraId="0472634D" w14:textId="284CCBCD"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7.3.5. Centrifuge the cells at 300 × g for 5 min. Resuspend the cell pellet and determine cell concentration using a </w:t>
      </w:r>
      <w:r w:rsidR="000449E0" w:rsidRPr="00391419">
        <w:rPr>
          <w:rFonts w:cs="Calibri"/>
          <w:color w:val="000000" w:themeColor="text1"/>
          <w:szCs w:val="24"/>
        </w:rPr>
        <w:t>hemocytometer</w:t>
      </w:r>
      <w:r w:rsidRPr="00391419">
        <w:rPr>
          <w:rFonts w:cs="Calibri"/>
          <w:color w:val="000000" w:themeColor="text1"/>
          <w:szCs w:val="24"/>
        </w:rPr>
        <w:t xml:space="preserve"> or equivalent cell-counting method.</w:t>
      </w:r>
    </w:p>
    <w:p w14:paraId="3358240A" w14:textId="77777777" w:rsidR="00B063D8" w:rsidRPr="00391419" w:rsidRDefault="00B063D8" w:rsidP="00B9425C">
      <w:pPr>
        <w:spacing w:after="0" w:line="0" w:lineRule="atLeast"/>
        <w:jc w:val="both"/>
        <w:rPr>
          <w:rFonts w:cs="Calibri"/>
          <w:color w:val="000000" w:themeColor="text1"/>
          <w:szCs w:val="24"/>
        </w:rPr>
      </w:pPr>
    </w:p>
    <w:p w14:paraId="576B6DC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7.3.6. Seed cells equally into PLL-coated T175 culture flasks for continued expansion.</w:t>
      </w:r>
    </w:p>
    <w:p w14:paraId="4F5F0C1C" w14:textId="77777777" w:rsidR="00B063D8" w:rsidRPr="00391419" w:rsidRDefault="00B063D8" w:rsidP="00B9425C">
      <w:pPr>
        <w:spacing w:after="0" w:line="0" w:lineRule="atLeast"/>
        <w:jc w:val="both"/>
        <w:rPr>
          <w:rFonts w:cs="Calibri"/>
          <w:color w:val="000000" w:themeColor="text1"/>
          <w:szCs w:val="24"/>
        </w:rPr>
      </w:pPr>
    </w:p>
    <w:p w14:paraId="0C607D7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7.4. Preparation of astrocytes for microfluidic-chip seeding</w:t>
      </w:r>
    </w:p>
    <w:p w14:paraId="6CB927C6" w14:textId="77777777" w:rsidR="00B063D8" w:rsidRPr="00391419" w:rsidRDefault="00B063D8" w:rsidP="00B9425C">
      <w:pPr>
        <w:spacing w:after="0" w:line="0" w:lineRule="atLeast"/>
        <w:jc w:val="both"/>
        <w:rPr>
          <w:rFonts w:cs="Calibri"/>
          <w:color w:val="000000" w:themeColor="text1"/>
          <w:szCs w:val="24"/>
        </w:rPr>
      </w:pPr>
    </w:p>
    <w:p w14:paraId="1637BAF6"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7.4.1. Prepare astrocytes at a final concentration of 1 × 10⁷ cells/mL before seeding into the microfluidic chip.</w:t>
      </w:r>
    </w:p>
    <w:p w14:paraId="730C35B9" w14:textId="77777777" w:rsidR="00B063D8" w:rsidRPr="00391419" w:rsidRDefault="00B063D8" w:rsidP="00B9425C">
      <w:pPr>
        <w:spacing w:after="0" w:line="0" w:lineRule="atLeast"/>
        <w:jc w:val="both"/>
        <w:rPr>
          <w:rFonts w:cs="Calibri"/>
          <w:color w:val="000000" w:themeColor="text1"/>
          <w:szCs w:val="24"/>
        </w:rPr>
      </w:pPr>
    </w:p>
    <w:p w14:paraId="3675E98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7.4.2. Do not use astrocytes beyond passage 4.</w:t>
      </w:r>
    </w:p>
    <w:p w14:paraId="648D9D10" w14:textId="77777777" w:rsidR="00B063D8" w:rsidRPr="00391419" w:rsidRDefault="00B063D8" w:rsidP="00B9425C">
      <w:pPr>
        <w:spacing w:after="0" w:line="0" w:lineRule="atLeast"/>
        <w:jc w:val="both"/>
        <w:rPr>
          <w:rFonts w:cs="Calibri"/>
          <w:color w:val="000000" w:themeColor="text1"/>
          <w:szCs w:val="24"/>
        </w:rPr>
      </w:pPr>
    </w:p>
    <w:p w14:paraId="27CF5CA9" w14:textId="77777777" w:rsidR="00B063D8" w:rsidRPr="00391419" w:rsidRDefault="00B063D8" w:rsidP="00B9425C">
      <w:pPr>
        <w:spacing w:after="0" w:line="0" w:lineRule="atLeast"/>
        <w:jc w:val="both"/>
        <w:rPr>
          <w:rFonts w:cs="Calibri"/>
          <w:b/>
          <w:bCs/>
          <w:color w:val="000000" w:themeColor="text1"/>
          <w:szCs w:val="24"/>
        </w:rPr>
      </w:pPr>
      <w:r w:rsidRPr="00391419">
        <w:rPr>
          <w:rFonts w:cs="Calibri"/>
          <w:b/>
          <w:bCs/>
          <w:color w:val="000000" w:themeColor="text1"/>
          <w:szCs w:val="24"/>
        </w:rPr>
        <w:t>8. Astrocyte Seeding</w:t>
      </w:r>
    </w:p>
    <w:p w14:paraId="59227DCF" w14:textId="77777777" w:rsidR="00B063D8" w:rsidRPr="00391419" w:rsidRDefault="00B063D8" w:rsidP="00B9425C">
      <w:pPr>
        <w:spacing w:after="0" w:line="0" w:lineRule="atLeast"/>
        <w:jc w:val="both"/>
        <w:rPr>
          <w:rFonts w:cs="Calibri"/>
          <w:color w:val="000000" w:themeColor="text1"/>
          <w:szCs w:val="24"/>
        </w:rPr>
      </w:pPr>
    </w:p>
    <w:p w14:paraId="1B4153C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8.1. Detachment and preparation of astrocytes</w:t>
      </w:r>
    </w:p>
    <w:p w14:paraId="3438C500" w14:textId="77777777" w:rsidR="00B063D8" w:rsidRPr="00391419" w:rsidRDefault="00B063D8" w:rsidP="00B9425C">
      <w:pPr>
        <w:spacing w:after="0" w:line="0" w:lineRule="atLeast"/>
        <w:jc w:val="both"/>
        <w:rPr>
          <w:rFonts w:cs="Calibri"/>
          <w:color w:val="000000" w:themeColor="text1"/>
          <w:szCs w:val="24"/>
        </w:rPr>
      </w:pPr>
    </w:p>
    <w:p w14:paraId="00EA6F9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8.1.1. Detach astrocytes from one T175 culture flask at approximately 90% confluence using the procedure described in Step 7.3.</w:t>
      </w:r>
    </w:p>
    <w:p w14:paraId="3CC6A3A1" w14:textId="77777777" w:rsidR="00B063D8" w:rsidRPr="00391419" w:rsidRDefault="00B063D8" w:rsidP="00B9425C">
      <w:pPr>
        <w:spacing w:after="0" w:line="0" w:lineRule="atLeast"/>
        <w:jc w:val="both"/>
        <w:rPr>
          <w:rFonts w:cs="Calibri"/>
          <w:color w:val="000000" w:themeColor="text1"/>
          <w:szCs w:val="24"/>
        </w:rPr>
      </w:pPr>
    </w:p>
    <w:p w14:paraId="2B8039C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8.1.2. Resuspend the cell pellet in astrocyte culture medium. Adjust the resuspension volume according to the number of chips being seeded (e.g., 333.3 µL for one chip or 1 mL for three chips).</w:t>
      </w:r>
    </w:p>
    <w:p w14:paraId="71361209" w14:textId="77777777" w:rsidR="00B063D8" w:rsidRPr="00391419" w:rsidRDefault="00B063D8" w:rsidP="00B9425C">
      <w:pPr>
        <w:spacing w:after="0" w:line="0" w:lineRule="atLeast"/>
        <w:jc w:val="both"/>
        <w:rPr>
          <w:rFonts w:cs="Calibri"/>
          <w:color w:val="000000" w:themeColor="text1"/>
          <w:szCs w:val="24"/>
        </w:rPr>
      </w:pPr>
    </w:p>
    <w:p w14:paraId="425ED5A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8.1.3. Pipette the suspension gently up and down to disperse visible cell aggregates.</w:t>
      </w:r>
    </w:p>
    <w:p w14:paraId="4B388280" w14:textId="77777777" w:rsidR="00B063D8" w:rsidRPr="00391419" w:rsidRDefault="00B063D8" w:rsidP="00B9425C">
      <w:pPr>
        <w:spacing w:after="0" w:line="0" w:lineRule="atLeast"/>
        <w:jc w:val="both"/>
        <w:rPr>
          <w:rFonts w:cs="Calibri"/>
          <w:color w:val="000000" w:themeColor="text1"/>
          <w:szCs w:val="24"/>
        </w:rPr>
      </w:pPr>
    </w:p>
    <w:p w14:paraId="51F33FDE" w14:textId="79423D0A"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8.1.4. Determine the cell concentration using a </w:t>
      </w:r>
      <w:r w:rsidR="000449E0" w:rsidRPr="00391419">
        <w:rPr>
          <w:rFonts w:cs="Calibri"/>
          <w:color w:val="000000" w:themeColor="text1"/>
          <w:szCs w:val="24"/>
        </w:rPr>
        <w:t>hemocytometer</w:t>
      </w:r>
      <w:r w:rsidRPr="00391419">
        <w:rPr>
          <w:rFonts w:cs="Calibri"/>
          <w:color w:val="000000" w:themeColor="text1"/>
          <w:szCs w:val="24"/>
        </w:rPr>
        <w:t xml:space="preserve"> or automated cell counter.</w:t>
      </w:r>
    </w:p>
    <w:p w14:paraId="7BE5F98B" w14:textId="77777777" w:rsidR="00B063D8" w:rsidRPr="00391419" w:rsidRDefault="00B063D8" w:rsidP="00B9425C">
      <w:pPr>
        <w:spacing w:after="0" w:line="0" w:lineRule="atLeast"/>
        <w:jc w:val="both"/>
        <w:rPr>
          <w:rFonts w:cs="Calibri"/>
          <w:color w:val="000000" w:themeColor="text1"/>
          <w:szCs w:val="24"/>
        </w:rPr>
      </w:pPr>
    </w:p>
    <w:p w14:paraId="40A337CA"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8.1.5. Transfer the astrocyte suspension into a sterile microcentrifuge tube for immediate use.</w:t>
      </w:r>
    </w:p>
    <w:p w14:paraId="50A0289B" w14:textId="77777777" w:rsidR="00B063D8" w:rsidRPr="00391419" w:rsidRDefault="00B063D8" w:rsidP="00B9425C">
      <w:pPr>
        <w:spacing w:after="0" w:line="0" w:lineRule="atLeast"/>
        <w:jc w:val="both"/>
        <w:rPr>
          <w:rFonts w:cs="Calibri"/>
          <w:color w:val="000000" w:themeColor="text1"/>
          <w:szCs w:val="24"/>
        </w:rPr>
      </w:pPr>
    </w:p>
    <w:p w14:paraId="2B42B58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8.1.6. Store the microcentrifuge tube in a 37°C, 5% CO₂ incubator between chip seedings.</w:t>
      </w:r>
    </w:p>
    <w:p w14:paraId="393BA3A3" w14:textId="77777777" w:rsidR="00B063D8" w:rsidRPr="00391419" w:rsidRDefault="00B063D8" w:rsidP="00B9425C">
      <w:pPr>
        <w:spacing w:after="0" w:line="0" w:lineRule="atLeast"/>
        <w:jc w:val="both"/>
        <w:rPr>
          <w:rFonts w:cs="Calibri"/>
          <w:color w:val="000000" w:themeColor="text1"/>
          <w:szCs w:val="24"/>
        </w:rPr>
      </w:pPr>
    </w:p>
    <w:p w14:paraId="40016DA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8.1.7. Mix the suspension by gentle inversion or flicking before each aspiration step to maintain a uniform cell distribution.</w:t>
      </w:r>
    </w:p>
    <w:p w14:paraId="11D82D15" w14:textId="77777777" w:rsidR="00B063D8" w:rsidRPr="00391419" w:rsidRDefault="00B063D8" w:rsidP="00B9425C">
      <w:pPr>
        <w:spacing w:after="0" w:line="0" w:lineRule="atLeast"/>
        <w:jc w:val="both"/>
        <w:rPr>
          <w:rFonts w:cs="Calibri"/>
          <w:color w:val="000000" w:themeColor="text1"/>
          <w:szCs w:val="24"/>
        </w:rPr>
      </w:pPr>
    </w:p>
    <w:p w14:paraId="2D4645D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8.1.8. Complete all chip seedings within 30 min of final resuspension.</w:t>
      </w:r>
    </w:p>
    <w:p w14:paraId="7BF10577" w14:textId="77777777" w:rsidR="00B063D8" w:rsidRPr="00391419" w:rsidRDefault="00B063D8" w:rsidP="00B9425C">
      <w:pPr>
        <w:spacing w:after="0" w:line="0" w:lineRule="atLeast"/>
        <w:jc w:val="both"/>
        <w:rPr>
          <w:rFonts w:cs="Calibri"/>
          <w:color w:val="000000" w:themeColor="text1"/>
          <w:szCs w:val="24"/>
        </w:rPr>
      </w:pPr>
    </w:p>
    <w:p w14:paraId="686B9C5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 Seeding astrocytes into the basolateral channel</w:t>
      </w:r>
    </w:p>
    <w:p w14:paraId="0358B376" w14:textId="77777777" w:rsidR="00B063D8" w:rsidRPr="00391419" w:rsidRDefault="00B063D8" w:rsidP="00B9425C">
      <w:pPr>
        <w:spacing w:after="0" w:line="0" w:lineRule="atLeast"/>
        <w:jc w:val="both"/>
        <w:rPr>
          <w:rFonts w:cs="Calibri"/>
          <w:color w:val="000000" w:themeColor="text1"/>
          <w:szCs w:val="24"/>
        </w:rPr>
      </w:pPr>
    </w:p>
    <w:p w14:paraId="7CE955C9"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8.2.1. Remove the humidity box containing the microfluidic chip from the incubator and disinfect the external surface using 70% ethanol.</w:t>
      </w:r>
    </w:p>
    <w:p w14:paraId="1E8CE866" w14:textId="77777777" w:rsidR="00B063D8" w:rsidRPr="00391419" w:rsidRDefault="00B063D8" w:rsidP="00B9425C">
      <w:pPr>
        <w:spacing w:after="0" w:line="0" w:lineRule="atLeast"/>
        <w:jc w:val="both"/>
        <w:rPr>
          <w:rFonts w:cs="Calibri"/>
          <w:color w:val="000000" w:themeColor="text1"/>
          <w:szCs w:val="24"/>
        </w:rPr>
      </w:pPr>
    </w:p>
    <w:p w14:paraId="1EBC459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8.2.2. Transfer the humidity box to a biosafety cabinet.</w:t>
      </w:r>
    </w:p>
    <w:p w14:paraId="37C62545" w14:textId="77777777" w:rsidR="00B063D8" w:rsidRPr="00391419" w:rsidRDefault="00B063D8" w:rsidP="00B9425C">
      <w:pPr>
        <w:spacing w:after="0" w:line="0" w:lineRule="atLeast"/>
        <w:jc w:val="both"/>
        <w:rPr>
          <w:rFonts w:cs="Calibri"/>
          <w:color w:val="000000" w:themeColor="text1"/>
          <w:szCs w:val="24"/>
        </w:rPr>
      </w:pPr>
    </w:p>
    <w:p w14:paraId="47908E2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8.2.3. Seed one chip at a time when preparing multiple devices.</w:t>
      </w:r>
    </w:p>
    <w:p w14:paraId="0FA93519" w14:textId="77777777" w:rsidR="00B063D8" w:rsidRPr="00391419" w:rsidRDefault="00B063D8" w:rsidP="00B9425C">
      <w:pPr>
        <w:spacing w:after="0" w:line="0" w:lineRule="atLeast"/>
        <w:jc w:val="both"/>
        <w:rPr>
          <w:rFonts w:cs="Calibri"/>
          <w:color w:val="000000" w:themeColor="text1"/>
          <w:szCs w:val="24"/>
        </w:rPr>
      </w:pPr>
    </w:p>
    <w:p w14:paraId="6966C0E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8.2.4. Remove the chip from the humidity box and place it on a hot plate set to 37°C.</w:t>
      </w:r>
    </w:p>
    <w:p w14:paraId="2602EF9A" w14:textId="77777777" w:rsidR="00B063D8" w:rsidRPr="00391419" w:rsidRDefault="00B063D8" w:rsidP="00B9425C">
      <w:pPr>
        <w:spacing w:after="0" w:line="0" w:lineRule="atLeast"/>
        <w:jc w:val="both"/>
        <w:rPr>
          <w:rFonts w:cs="Calibri"/>
          <w:color w:val="000000" w:themeColor="text1"/>
          <w:szCs w:val="24"/>
        </w:rPr>
      </w:pPr>
    </w:p>
    <w:p w14:paraId="59AEBBB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8.2.5. Attach 8 cm of Tygon tubing to a 1 mL syringe and needle.</w:t>
      </w:r>
    </w:p>
    <w:p w14:paraId="1F63397D" w14:textId="77777777" w:rsidR="00B063D8" w:rsidRPr="00391419" w:rsidRDefault="00B063D8" w:rsidP="00B9425C">
      <w:pPr>
        <w:spacing w:after="0" w:line="0" w:lineRule="atLeast"/>
        <w:jc w:val="both"/>
        <w:rPr>
          <w:rFonts w:cs="Calibri"/>
          <w:color w:val="000000" w:themeColor="text1"/>
          <w:szCs w:val="24"/>
        </w:rPr>
      </w:pPr>
    </w:p>
    <w:p w14:paraId="3CA12F2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8.2.6. Remove the astrocyte suspension from the incubator and disinfect the external surface of the microcentrifuge tube using 70% ethanol before placing it in the biosafety cabinet.</w:t>
      </w:r>
    </w:p>
    <w:p w14:paraId="0E99B9BE" w14:textId="77777777" w:rsidR="00B063D8" w:rsidRPr="00391419" w:rsidRDefault="00B063D8" w:rsidP="00B9425C">
      <w:pPr>
        <w:spacing w:after="0" w:line="0" w:lineRule="atLeast"/>
        <w:jc w:val="both"/>
        <w:rPr>
          <w:rFonts w:cs="Calibri"/>
          <w:color w:val="000000" w:themeColor="text1"/>
          <w:szCs w:val="24"/>
        </w:rPr>
      </w:pPr>
    </w:p>
    <w:p w14:paraId="3A775CB4"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8.2.7. Mix the astrocyte suspension by gentle inversion or flicking immediately before aspiration.</w:t>
      </w:r>
    </w:p>
    <w:p w14:paraId="102C4574" w14:textId="77777777" w:rsidR="00B063D8" w:rsidRPr="00391419" w:rsidRDefault="00B063D8" w:rsidP="00B9425C">
      <w:pPr>
        <w:spacing w:after="0" w:line="0" w:lineRule="atLeast"/>
        <w:jc w:val="both"/>
        <w:rPr>
          <w:rFonts w:cs="Calibri"/>
          <w:color w:val="000000" w:themeColor="text1"/>
          <w:szCs w:val="24"/>
        </w:rPr>
      </w:pPr>
    </w:p>
    <w:p w14:paraId="0D71216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8.2.8. Aspirate the astrocyte suspension into the tubing and syringe until approximately 100 µL remains within the syringe barrel.</w:t>
      </w:r>
    </w:p>
    <w:p w14:paraId="481A161F" w14:textId="77777777" w:rsidR="00B063D8" w:rsidRPr="00391419" w:rsidRDefault="00B063D8" w:rsidP="00B9425C">
      <w:pPr>
        <w:spacing w:after="0" w:line="0" w:lineRule="atLeast"/>
        <w:jc w:val="both"/>
        <w:rPr>
          <w:rFonts w:cs="Calibri"/>
          <w:color w:val="000000" w:themeColor="text1"/>
          <w:szCs w:val="24"/>
        </w:rPr>
      </w:pPr>
    </w:p>
    <w:p w14:paraId="2BCF9095"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8.2.9. Return the remaining astrocyte suspension to the incubator between chip seedings.</w:t>
      </w:r>
    </w:p>
    <w:p w14:paraId="54EA7E7E" w14:textId="77777777" w:rsidR="00B063D8" w:rsidRPr="00391419" w:rsidRDefault="00B063D8" w:rsidP="00B9425C">
      <w:pPr>
        <w:spacing w:after="0" w:line="0" w:lineRule="atLeast"/>
        <w:jc w:val="both"/>
        <w:rPr>
          <w:rFonts w:cs="Calibri"/>
          <w:color w:val="000000" w:themeColor="text1"/>
          <w:szCs w:val="24"/>
        </w:rPr>
      </w:pPr>
    </w:p>
    <w:p w14:paraId="430383D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8.2.10. Remove the clamp from the outlet tubing connected to the basolateral channel.</w:t>
      </w:r>
    </w:p>
    <w:p w14:paraId="78E671D3" w14:textId="77777777" w:rsidR="00B063D8" w:rsidRPr="00391419" w:rsidRDefault="00B063D8" w:rsidP="00B9425C">
      <w:pPr>
        <w:spacing w:after="0" w:line="0" w:lineRule="atLeast"/>
        <w:jc w:val="both"/>
        <w:rPr>
          <w:rFonts w:cs="Calibri"/>
          <w:color w:val="000000" w:themeColor="text1"/>
          <w:szCs w:val="24"/>
        </w:rPr>
      </w:pPr>
    </w:p>
    <w:p w14:paraId="3BA9A2D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8.2.11. Apply a drop of astrocyte culture medium around the inlet tubing and gently remove the tubing.</w:t>
      </w:r>
    </w:p>
    <w:p w14:paraId="75D9D1D2" w14:textId="77777777" w:rsidR="00B063D8" w:rsidRPr="00391419" w:rsidRDefault="00B063D8" w:rsidP="00B9425C">
      <w:pPr>
        <w:spacing w:after="0" w:line="0" w:lineRule="atLeast"/>
        <w:jc w:val="both"/>
        <w:rPr>
          <w:rFonts w:cs="Calibri"/>
          <w:color w:val="000000" w:themeColor="text1"/>
          <w:szCs w:val="24"/>
        </w:rPr>
      </w:pPr>
    </w:p>
    <w:p w14:paraId="405367D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8.2.12. Depress the </w:t>
      </w:r>
      <w:proofErr w:type="gramStart"/>
      <w:r w:rsidRPr="00391419">
        <w:rPr>
          <w:rFonts w:cs="Calibri"/>
          <w:color w:val="000000" w:themeColor="text1"/>
          <w:szCs w:val="24"/>
        </w:rPr>
        <w:t>syringe plunger</w:t>
      </w:r>
      <w:proofErr w:type="gramEnd"/>
      <w:r w:rsidRPr="00391419">
        <w:rPr>
          <w:rFonts w:cs="Calibri"/>
          <w:color w:val="000000" w:themeColor="text1"/>
          <w:szCs w:val="24"/>
        </w:rPr>
        <w:t xml:space="preserve"> gently until a </w:t>
      </w:r>
      <w:proofErr w:type="gramStart"/>
      <w:r w:rsidRPr="00391419">
        <w:rPr>
          <w:rFonts w:cs="Calibri"/>
          <w:color w:val="000000" w:themeColor="text1"/>
          <w:szCs w:val="24"/>
        </w:rPr>
        <w:t>visible droplet forms</w:t>
      </w:r>
      <w:proofErr w:type="gramEnd"/>
      <w:r w:rsidRPr="00391419">
        <w:rPr>
          <w:rFonts w:cs="Calibri"/>
          <w:color w:val="000000" w:themeColor="text1"/>
          <w:szCs w:val="24"/>
        </w:rPr>
        <w:t xml:space="preserve"> at the tubing outlet.</w:t>
      </w:r>
    </w:p>
    <w:p w14:paraId="5AC28096" w14:textId="77777777" w:rsidR="00B063D8" w:rsidRPr="00391419" w:rsidRDefault="00B063D8" w:rsidP="00B9425C">
      <w:pPr>
        <w:spacing w:after="0" w:line="0" w:lineRule="atLeast"/>
        <w:jc w:val="both"/>
        <w:rPr>
          <w:rFonts w:cs="Calibri"/>
          <w:color w:val="000000" w:themeColor="text1"/>
          <w:szCs w:val="24"/>
        </w:rPr>
      </w:pPr>
    </w:p>
    <w:p w14:paraId="72CBD52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8.2.13. Insert the tubing into the inlet port connected to the basolateral channel.</w:t>
      </w:r>
    </w:p>
    <w:p w14:paraId="10BD3122" w14:textId="77777777" w:rsidR="00B063D8" w:rsidRPr="00391419" w:rsidRDefault="00B063D8" w:rsidP="00B9425C">
      <w:pPr>
        <w:spacing w:after="0" w:line="0" w:lineRule="atLeast"/>
        <w:jc w:val="both"/>
        <w:rPr>
          <w:rFonts w:cs="Calibri"/>
          <w:color w:val="000000" w:themeColor="text1"/>
          <w:szCs w:val="24"/>
        </w:rPr>
      </w:pPr>
    </w:p>
    <w:p w14:paraId="4512917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8.2.14. Slowly depress the syringe plunger until approximately three drops emerge from the </w:t>
      </w:r>
    </w:p>
    <w:p w14:paraId="74641B5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outlet tubing.</w:t>
      </w:r>
    </w:p>
    <w:p w14:paraId="3F7A860B" w14:textId="77777777" w:rsidR="00B063D8" w:rsidRPr="00391419" w:rsidRDefault="00B063D8" w:rsidP="00B9425C">
      <w:pPr>
        <w:spacing w:after="0" w:line="0" w:lineRule="atLeast"/>
        <w:jc w:val="both"/>
        <w:rPr>
          <w:rFonts w:cs="Calibri"/>
          <w:color w:val="000000" w:themeColor="text1"/>
          <w:szCs w:val="24"/>
        </w:rPr>
      </w:pPr>
    </w:p>
    <w:p w14:paraId="5A7523F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8.2.15. Reapply the clamp to the outlet tubing.</w:t>
      </w:r>
    </w:p>
    <w:p w14:paraId="5AF0CD7C" w14:textId="77777777" w:rsidR="00B063D8" w:rsidRPr="00391419" w:rsidRDefault="00B063D8" w:rsidP="00B9425C">
      <w:pPr>
        <w:spacing w:after="0" w:line="0" w:lineRule="atLeast"/>
        <w:jc w:val="both"/>
        <w:rPr>
          <w:rFonts w:cs="Calibri"/>
          <w:color w:val="000000" w:themeColor="text1"/>
          <w:szCs w:val="24"/>
        </w:rPr>
      </w:pPr>
    </w:p>
    <w:p w14:paraId="6307EE54"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8.2.16. Cut the inlet tubing and apply a clamp to the remaining tubing attached to the chip.</w:t>
      </w:r>
    </w:p>
    <w:p w14:paraId="424EF604" w14:textId="77777777" w:rsidR="00B063D8" w:rsidRPr="00391419" w:rsidRDefault="00B063D8" w:rsidP="00B9425C">
      <w:pPr>
        <w:spacing w:after="0" w:line="0" w:lineRule="atLeast"/>
        <w:jc w:val="both"/>
        <w:rPr>
          <w:rFonts w:cs="Calibri"/>
          <w:color w:val="000000" w:themeColor="text1"/>
          <w:szCs w:val="24"/>
        </w:rPr>
      </w:pPr>
    </w:p>
    <w:p w14:paraId="6A40C7B3"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8.2.17. Examine the basolateral chamber under a microscope and confirm that astrocyte coverage is approximately 70% or greater and evenly distributed throughout the chamber.</w:t>
      </w:r>
    </w:p>
    <w:p w14:paraId="523A0C79" w14:textId="77777777" w:rsidR="00B063D8" w:rsidRPr="00391419" w:rsidRDefault="00B063D8" w:rsidP="00B9425C">
      <w:pPr>
        <w:spacing w:after="0" w:line="0" w:lineRule="atLeast"/>
        <w:jc w:val="both"/>
        <w:rPr>
          <w:rFonts w:cs="Calibri"/>
          <w:color w:val="000000" w:themeColor="text1"/>
          <w:szCs w:val="24"/>
        </w:rPr>
      </w:pPr>
    </w:p>
    <w:p w14:paraId="17FD4DC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8.2.18. Repeat Steps 8.2.10–8.2.16 if cell coverage remains sparse or uneven.</w:t>
      </w:r>
    </w:p>
    <w:p w14:paraId="6B9CD01C" w14:textId="77777777" w:rsidR="00B063D8" w:rsidRPr="00391419" w:rsidRDefault="00B063D8" w:rsidP="00B9425C">
      <w:pPr>
        <w:spacing w:after="0" w:line="0" w:lineRule="atLeast"/>
        <w:jc w:val="both"/>
        <w:rPr>
          <w:rFonts w:cs="Calibri"/>
          <w:color w:val="000000" w:themeColor="text1"/>
          <w:szCs w:val="24"/>
        </w:rPr>
      </w:pPr>
    </w:p>
    <w:p w14:paraId="79E8AAB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Minor adjustments to the attached tubing, </w:t>
      </w:r>
      <w:proofErr w:type="gramStart"/>
      <w:r w:rsidRPr="00391419">
        <w:rPr>
          <w:rFonts w:cs="Calibri"/>
          <w:color w:val="000000" w:themeColor="text1"/>
          <w:szCs w:val="24"/>
        </w:rPr>
        <w:t>similar to</w:t>
      </w:r>
      <w:proofErr w:type="gramEnd"/>
      <w:r w:rsidRPr="00391419">
        <w:rPr>
          <w:rFonts w:cs="Calibri"/>
          <w:color w:val="000000" w:themeColor="text1"/>
          <w:szCs w:val="24"/>
        </w:rPr>
        <w:t xml:space="preserve"> those described in Step 4.2.16, may be used to improve cell distribution while monitoring the chamber under a microscope.</w:t>
      </w:r>
    </w:p>
    <w:p w14:paraId="6DE9577C" w14:textId="77777777" w:rsidR="00B063D8" w:rsidRPr="00391419" w:rsidRDefault="00B063D8" w:rsidP="00B9425C">
      <w:pPr>
        <w:spacing w:after="0" w:line="0" w:lineRule="atLeast"/>
        <w:jc w:val="both"/>
        <w:rPr>
          <w:rFonts w:cs="Calibri"/>
          <w:color w:val="000000" w:themeColor="text1"/>
          <w:szCs w:val="24"/>
        </w:rPr>
      </w:pPr>
    </w:p>
    <w:p w14:paraId="2BCE34B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lastRenderedPageBreak/>
        <w:t>8.2.19. Return the chip to the humidity box once adequate astrocyte coverage has been achieved.</w:t>
      </w:r>
    </w:p>
    <w:p w14:paraId="20CA513D" w14:textId="77777777" w:rsidR="00B063D8" w:rsidRPr="00391419" w:rsidRDefault="00B063D8" w:rsidP="00B9425C">
      <w:pPr>
        <w:spacing w:after="0" w:line="0" w:lineRule="atLeast"/>
        <w:jc w:val="both"/>
        <w:rPr>
          <w:rFonts w:cs="Calibri"/>
          <w:color w:val="000000" w:themeColor="text1"/>
          <w:szCs w:val="24"/>
        </w:rPr>
      </w:pPr>
    </w:p>
    <w:p w14:paraId="0C9B607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8.2.20. Transfer the humidity box to a 37°C, 5% CO₂ incubator.</w:t>
      </w:r>
    </w:p>
    <w:p w14:paraId="3FCF62E8" w14:textId="77777777" w:rsidR="00B063D8" w:rsidRPr="00391419" w:rsidRDefault="00B063D8" w:rsidP="00B9425C">
      <w:pPr>
        <w:spacing w:after="0" w:line="0" w:lineRule="atLeast"/>
        <w:jc w:val="both"/>
        <w:rPr>
          <w:rFonts w:cs="Calibri"/>
          <w:color w:val="000000" w:themeColor="text1"/>
          <w:szCs w:val="24"/>
        </w:rPr>
      </w:pPr>
    </w:p>
    <w:p w14:paraId="12123D4B"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8.2.21. Incubate for at least 4 h, or until cell attachment is observed, before replenishing the culture medium.</w:t>
      </w:r>
    </w:p>
    <w:p w14:paraId="60C62602" w14:textId="77777777" w:rsidR="00B063D8" w:rsidRPr="00391419" w:rsidRDefault="00B063D8" w:rsidP="00B9425C">
      <w:pPr>
        <w:spacing w:after="0" w:line="0" w:lineRule="atLeast"/>
        <w:jc w:val="both"/>
        <w:rPr>
          <w:rFonts w:cs="Calibri"/>
          <w:color w:val="000000" w:themeColor="text1"/>
          <w:szCs w:val="24"/>
        </w:rPr>
      </w:pPr>
    </w:p>
    <w:p w14:paraId="2CAD0AA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NOTE: Overnight incubation (12–18 h) before medium replenishment is acceptable.</w:t>
      </w:r>
    </w:p>
    <w:p w14:paraId="057F2A33" w14:textId="77777777" w:rsidR="00B063D8" w:rsidRPr="00391419" w:rsidRDefault="00B063D8" w:rsidP="00B9425C">
      <w:pPr>
        <w:spacing w:after="0" w:line="0" w:lineRule="atLeast"/>
        <w:jc w:val="both"/>
        <w:rPr>
          <w:rFonts w:cs="Calibri"/>
          <w:color w:val="000000" w:themeColor="text1"/>
          <w:szCs w:val="24"/>
        </w:rPr>
      </w:pPr>
    </w:p>
    <w:p w14:paraId="7A82A57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8.3. Manual replenishment of astrocyte culture medium</w:t>
      </w:r>
    </w:p>
    <w:p w14:paraId="0112B641" w14:textId="77777777" w:rsidR="00B063D8" w:rsidRPr="00391419" w:rsidRDefault="00B063D8" w:rsidP="00B9425C">
      <w:pPr>
        <w:spacing w:after="0" w:line="0" w:lineRule="atLeast"/>
        <w:jc w:val="both"/>
        <w:rPr>
          <w:rFonts w:cs="Calibri"/>
          <w:color w:val="000000" w:themeColor="text1"/>
          <w:szCs w:val="24"/>
        </w:rPr>
      </w:pPr>
    </w:p>
    <w:p w14:paraId="45E67E0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8.3.1. Replenish medium in the basolateral channel every 12–24 h using the perfusion procedure described in Steps 8.2.10–8.2.16, substituting astrocyte culture medium for the cell suspension.</w:t>
      </w:r>
    </w:p>
    <w:p w14:paraId="367CD484" w14:textId="77777777" w:rsidR="00B063D8" w:rsidRPr="00391419" w:rsidRDefault="00B063D8" w:rsidP="00B9425C">
      <w:pPr>
        <w:spacing w:after="0" w:line="0" w:lineRule="atLeast"/>
        <w:jc w:val="both"/>
        <w:rPr>
          <w:rFonts w:cs="Calibri"/>
          <w:color w:val="000000" w:themeColor="text1"/>
          <w:szCs w:val="24"/>
        </w:rPr>
      </w:pPr>
    </w:p>
    <w:p w14:paraId="6DF19D53"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NOTE: Perform medium replenishment gently to minimize astrocyte disruption or detachment.</w:t>
      </w:r>
    </w:p>
    <w:p w14:paraId="692D5D08" w14:textId="77777777" w:rsidR="00B063D8" w:rsidRPr="00391419" w:rsidRDefault="00B063D8" w:rsidP="00B9425C">
      <w:pPr>
        <w:spacing w:after="0" w:line="0" w:lineRule="atLeast"/>
        <w:jc w:val="both"/>
        <w:rPr>
          <w:rFonts w:cs="Calibri"/>
          <w:color w:val="000000" w:themeColor="text1"/>
          <w:szCs w:val="24"/>
        </w:rPr>
      </w:pPr>
    </w:p>
    <w:p w14:paraId="0C56DAB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8.3.2. Maintain chips in the humidity box within a 37°C, 5% CO₂ incubator and monitor astrocyte growth regularly using microscopy.</w:t>
      </w:r>
    </w:p>
    <w:p w14:paraId="7B108985" w14:textId="77777777" w:rsidR="00B063D8" w:rsidRPr="00391419" w:rsidRDefault="00B063D8" w:rsidP="00B9425C">
      <w:pPr>
        <w:spacing w:after="0" w:line="0" w:lineRule="atLeast"/>
        <w:jc w:val="both"/>
        <w:rPr>
          <w:rFonts w:cs="Calibri"/>
          <w:color w:val="000000" w:themeColor="text1"/>
          <w:szCs w:val="24"/>
        </w:rPr>
      </w:pPr>
    </w:p>
    <w:p w14:paraId="4478AF9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8.4. Optional automated replenishment of astrocyte culture medium</w:t>
      </w:r>
    </w:p>
    <w:p w14:paraId="64F64DC9" w14:textId="77777777" w:rsidR="00B063D8" w:rsidRPr="00391419" w:rsidRDefault="00B063D8" w:rsidP="00B9425C">
      <w:pPr>
        <w:spacing w:after="0" w:line="0" w:lineRule="atLeast"/>
        <w:jc w:val="both"/>
        <w:rPr>
          <w:rFonts w:cs="Calibri"/>
          <w:color w:val="000000" w:themeColor="text1"/>
          <w:szCs w:val="24"/>
        </w:rPr>
      </w:pPr>
    </w:p>
    <w:p w14:paraId="58130EDB" w14:textId="56108AFD"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8.4.1. Automated medium replenishment using a syringe pump may be performed as described in </w:t>
      </w:r>
      <w:r w:rsidR="002615BD" w:rsidRPr="00391419">
        <w:rPr>
          <w:rFonts w:cs="Calibri"/>
          <w:b/>
          <w:bCs/>
          <w:color w:val="000000" w:themeColor="text1"/>
          <w:szCs w:val="24"/>
        </w:rPr>
        <w:t>Supplementary</w:t>
      </w:r>
      <w:r w:rsidRPr="00391419">
        <w:rPr>
          <w:rFonts w:cs="Calibri"/>
          <w:b/>
          <w:bCs/>
          <w:color w:val="000000" w:themeColor="text1"/>
          <w:szCs w:val="24"/>
        </w:rPr>
        <w:t xml:space="preserve"> Table 4</w:t>
      </w:r>
      <w:r w:rsidRPr="00391419">
        <w:rPr>
          <w:rFonts w:cs="Calibri"/>
          <w:color w:val="000000" w:themeColor="text1"/>
          <w:szCs w:val="24"/>
        </w:rPr>
        <w:t>.</w:t>
      </w:r>
    </w:p>
    <w:p w14:paraId="6E2DC48B" w14:textId="77777777" w:rsidR="00B063D8" w:rsidRPr="00391419" w:rsidRDefault="00B063D8" w:rsidP="00B9425C">
      <w:pPr>
        <w:spacing w:after="0" w:line="0" w:lineRule="atLeast"/>
        <w:jc w:val="both"/>
        <w:rPr>
          <w:rFonts w:cs="Calibri"/>
          <w:color w:val="000000" w:themeColor="text1"/>
          <w:szCs w:val="24"/>
        </w:rPr>
      </w:pPr>
    </w:p>
    <w:p w14:paraId="6CD9F24B" w14:textId="45060170" w:rsidR="00B063D8" w:rsidRPr="00391419" w:rsidRDefault="00B063D8" w:rsidP="00B9425C">
      <w:pPr>
        <w:spacing w:after="0" w:line="0" w:lineRule="atLeast"/>
        <w:jc w:val="both"/>
        <w:rPr>
          <w:rFonts w:cs="Calibri"/>
          <w:b/>
          <w:bCs/>
          <w:color w:val="000000" w:themeColor="text1"/>
          <w:szCs w:val="24"/>
        </w:rPr>
      </w:pPr>
      <w:r w:rsidRPr="00391419">
        <w:rPr>
          <w:rFonts w:cs="Calibri"/>
          <w:b/>
          <w:bCs/>
          <w:color w:val="000000" w:themeColor="text1"/>
          <w:szCs w:val="24"/>
        </w:rPr>
        <w:t>9. Fluid Mechanics Analysis (</w:t>
      </w:r>
      <w:r w:rsidR="002615BD" w:rsidRPr="00391419">
        <w:rPr>
          <w:rFonts w:cs="Calibri"/>
          <w:b/>
          <w:bCs/>
          <w:color w:val="000000" w:themeColor="text1"/>
          <w:szCs w:val="24"/>
        </w:rPr>
        <w:t>Supplementary</w:t>
      </w:r>
      <w:r w:rsidRPr="00391419">
        <w:rPr>
          <w:rFonts w:cs="Calibri"/>
          <w:b/>
          <w:bCs/>
          <w:color w:val="000000" w:themeColor="text1"/>
          <w:szCs w:val="24"/>
        </w:rPr>
        <w:t xml:space="preserve"> Information)</w:t>
      </w:r>
    </w:p>
    <w:p w14:paraId="0031135F" w14:textId="77777777" w:rsidR="00B063D8" w:rsidRPr="00391419" w:rsidRDefault="00B063D8" w:rsidP="00B9425C">
      <w:pPr>
        <w:spacing w:after="0" w:line="0" w:lineRule="atLeast"/>
        <w:jc w:val="both"/>
        <w:rPr>
          <w:rFonts w:cs="Calibri"/>
          <w:color w:val="000000" w:themeColor="text1"/>
          <w:szCs w:val="24"/>
        </w:rPr>
      </w:pPr>
    </w:p>
    <w:p w14:paraId="75C0DB2E" w14:textId="54B1DE89"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w:t>
      </w:r>
      <w:r w:rsidR="00C05BB7" w:rsidRPr="00391419">
        <w:rPr>
          <w:rFonts w:cs="Calibri"/>
          <w:color w:val="000000" w:themeColor="text1"/>
          <w:szCs w:val="24"/>
        </w:rPr>
        <w:t xml:space="preserve">Representative fluid-dynamics calculations, velocity profiles, shear-rate profiles, equations, assumptions, and wall-shear-stress calculations are provided in </w:t>
      </w:r>
      <w:r w:rsidR="00C05BB7" w:rsidRPr="00391419">
        <w:rPr>
          <w:rFonts w:cs="Calibri"/>
          <w:b/>
          <w:bCs/>
          <w:color w:val="000000" w:themeColor="text1"/>
          <w:szCs w:val="24"/>
        </w:rPr>
        <w:t>Supplementary Table 5</w:t>
      </w:r>
      <w:r w:rsidR="00C05BB7" w:rsidRPr="00391419">
        <w:rPr>
          <w:rFonts w:cs="Calibri"/>
          <w:color w:val="000000" w:themeColor="text1"/>
          <w:szCs w:val="24"/>
        </w:rPr>
        <w:t xml:space="preserve"> and </w:t>
      </w:r>
      <w:r w:rsidR="00C05BB7" w:rsidRPr="00391419">
        <w:rPr>
          <w:rFonts w:cs="Calibri"/>
          <w:b/>
          <w:bCs/>
          <w:color w:val="000000" w:themeColor="text1"/>
          <w:szCs w:val="24"/>
        </w:rPr>
        <w:t>Figure 5</w:t>
      </w:r>
      <w:r w:rsidR="00C05BB7" w:rsidRPr="00391419">
        <w:rPr>
          <w:rFonts w:cs="Calibri"/>
          <w:color w:val="000000" w:themeColor="text1"/>
          <w:szCs w:val="24"/>
        </w:rPr>
        <w:t>. These calculations are based on idealized Poiseuille-flow assumptions</w:t>
      </w:r>
      <w:r w:rsidR="00C05BB7" w:rsidRPr="00391419">
        <w:rPr>
          <w:rFonts w:cs="Calibri"/>
          <w:color w:val="000000" w:themeColor="text1"/>
          <w:szCs w:val="24"/>
          <w:vertAlign w:val="superscript"/>
        </w:rPr>
        <w:t>12</w:t>
      </w:r>
      <w:r w:rsidR="00C05BB7" w:rsidRPr="00391419">
        <w:rPr>
          <w:rFonts w:cs="Calibri"/>
          <w:color w:val="000000" w:themeColor="text1"/>
          <w:szCs w:val="24"/>
        </w:rPr>
        <w:t xml:space="preserve"> and provide theoretical estimates of flow behavior within the microfluidic device. The calculations were not experimentally validated.</w:t>
      </w:r>
    </w:p>
    <w:p w14:paraId="02A57258" w14:textId="77777777" w:rsidR="00B063D8" w:rsidRPr="00391419" w:rsidRDefault="00B063D8" w:rsidP="00B9425C">
      <w:pPr>
        <w:spacing w:after="0" w:line="0" w:lineRule="atLeast"/>
        <w:jc w:val="both"/>
        <w:rPr>
          <w:rFonts w:cs="Calibri"/>
          <w:color w:val="000000" w:themeColor="text1"/>
          <w:szCs w:val="24"/>
        </w:rPr>
      </w:pPr>
    </w:p>
    <w:p w14:paraId="20205AC9" w14:textId="318FC2A1" w:rsidR="00B063D8" w:rsidRPr="00391419" w:rsidRDefault="00B063D8" w:rsidP="00B9425C">
      <w:pPr>
        <w:spacing w:after="0" w:line="0" w:lineRule="atLeast"/>
        <w:jc w:val="both"/>
        <w:rPr>
          <w:rFonts w:cs="Calibri"/>
          <w:b/>
          <w:bCs/>
          <w:color w:val="000000" w:themeColor="text1"/>
          <w:szCs w:val="24"/>
        </w:rPr>
      </w:pPr>
      <w:r w:rsidRPr="00391419">
        <w:rPr>
          <w:rFonts w:cs="Calibri"/>
          <w:b/>
          <w:bCs/>
          <w:color w:val="000000" w:themeColor="text1"/>
          <w:szCs w:val="24"/>
        </w:rPr>
        <w:t>10. Fixation with PFA and Immunofluorescent Staining</w:t>
      </w:r>
    </w:p>
    <w:p w14:paraId="14478912" w14:textId="77777777" w:rsidR="00B063D8" w:rsidRPr="00391419" w:rsidRDefault="00B063D8" w:rsidP="00B9425C">
      <w:pPr>
        <w:spacing w:after="0" w:line="0" w:lineRule="atLeast"/>
        <w:jc w:val="both"/>
        <w:rPr>
          <w:rFonts w:cs="Calibri"/>
          <w:color w:val="000000" w:themeColor="text1"/>
          <w:szCs w:val="24"/>
        </w:rPr>
      </w:pPr>
    </w:p>
    <w:p w14:paraId="17623CED" w14:textId="110A468A"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Perform fixation, staining, and imaging only after establishment of a stable </w:t>
      </w:r>
      <w:r w:rsidR="009E1FDE" w:rsidRPr="00391419">
        <w:rPr>
          <w:rFonts w:cs="Calibri"/>
          <w:color w:val="000000" w:themeColor="text1"/>
          <w:szCs w:val="24"/>
        </w:rPr>
        <w:t>3D</w:t>
      </w:r>
      <w:r w:rsidRPr="00391419">
        <w:rPr>
          <w:rFonts w:cs="Calibri"/>
          <w:color w:val="000000" w:themeColor="text1"/>
          <w:szCs w:val="24"/>
        </w:rPr>
        <w:t xml:space="preserve"> culture. Before fixation, disconnect the chip from the syringe pump by cutting the tubing attached to the syringes while leaving approximately 6 cm of tubing connected to the chip. Remove outlet tubing from the waste tubes and clamp all tubing until fixation begins.</w:t>
      </w:r>
    </w:p>
    <w:p w14:paraId="2EC80B38" w14:textId="77777777" w:rsidR="00B063D8" w:rsidRPr="00391419" w:rsidRDefault="00B063D8" w:rsidP="00B9425C">
      <w:pPr>
        <w:spacing w:after="0" w:line="0" w:lineRule="atLeast"/>
        <w:jc w:val="both"/>
        <w:rPr>
          <w:rFonts w:cs="Calibri"/>
          <w:color w:val="000000" w:themeColor="text1"/>
          <w:szCs w:val="24"/>
        </w:rPr>
      </w:pPr>
    </w:p>
    <w:p w14:paraId="4B6322E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CAUTION: PFA is toxic and should be handled inside a certified biosafety cabinet or chemical fume hood while wearing appropriate personal protective equipment, including gloves, lab coat, and eye protection. Dispose of PFA waste according to institutional chemical-safety procedures.</w:t>
      </w:r>
    </w:p>
    <w:p w14:paraId="353E1324" w14:textId="77777777" w:rsidR="00B063D8" w:rsidRPr="00391419" w:rsidRDefault="00B063D8" w:rsidP="00B9425C">
      <w:pPr>
        <w:spacing w:after="0" w:line="0" w:lineRule="atLeast"/>
        <w:jc w:val="both"/>
        <w:rPr>
          <w:rFonts w:cs="Calibri"/>
          <w:color w:val="000000" w:themeColor="text1"/>
          <w:szCs w:val="24"/>
        </w:rPr>
      </w:pPr>
    </w:p>
    <w:p w14:paraId="29711A28" w14:textId="77777777" w:rsidR="00B063D8" w:rsidRPr="00391419" w:rsidRDefault="00B063D8" w:rsidP="00B9425C">
      <w:pPr>
        <w:spacing w:after="0" w:line="0" w:lineRule="atLeast"/>
        <w:jc w:val="both"/>
        <w:rPr>
          <w:rFonts w:cs="Calibri"/>
          <w:b/>
          <w:bCs/>
          <w:color w:val="000000" w:themeColor="text1"/>
          <w:szCs w:val="24"/>
        </w:rPr>
      </w:pPr>
      <w:r w:rsidRPr="00391419">
        <w:rPr>
          <w:rFonts w:cs="Calibri"/>
          <w:b/>
          <w:bCs/>
          <w:color w:val="000000" w:themeColor="text1"/>
          <w:szCs w:val="24"/>
        </w:rPr>
        <w:lastRenderedPageBreak/>
        <w:t>10.1. Fixation</w:t>
      </w:r>
    </w:p>
    <w:p w14:paraId="73052E58" w14:textId="77777777" w:rsidR="00B063D8" w:rsidRPr="00391419" w:rsidRDefault="00B063D8" w:rsidP="00B9425C">
      <w:pPr>
        <w:spacing w:after="0" w:line="0" w:lineRule="atLeast"/>
        <w:jc w:val="both"/>
        <w:rPr>
          <w:rFonts w:cs="Calibri"/>
          <w:color w:val="000000" w:themeColor="text1"/>
          <w:szCs w:val="24"/>
        </w:rPr>
      </w:pPr>
    </w:p>
    <w:p w14:paraId="28CFE08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10.1.1. Fill a sterile 1 mL syringe with PBS and attach approximately 20 cm of tubing.</w:t>
      </w:r>
    </w:p>
    <w:p w14:paraId="49E6615B" w14:textId="77777777" w:rsidR="00B063D8" w:rsidRPr="00391419" w:rsidRDefault="00B063D8" w:rsidP="00B9425C">
      <w:pPr>
        <w:spacing w:after="0" w:line="0" w:lineRule="atLeast"/>
        <w:jc w:val="both"/>
        <w:rPr>
          <w:rFonts w:cs="Calibri"/>
          <w:color w:val="000000" w:themeColor="text1"/>
          <w:szCs w:val="24"/>
        </w:rPr>
      </w:pPr>
    </w:p>
    <w:p w14:paraId="2631BB9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10.1.2. Exchange tubing using the procedure described previously, ensuring that a droplet of fluid surrounds the tubing before removal and that a visible droplet is present at the tubing tip before insertion to minimize introduction of air bubbles.</w:t>
      </w:r>
    </w:p>
    <w:p w14:paraId="5CF79B40" w14:textId="77777777" w:rsidR="00B063D8" w:rsidRPr="00391419" w:rsidRDefault="00B063D8" w:rsidP="00B9425C">
      <w:pPr>
        <w:spacing w:after="0" w:line="0" w:lineRule="atLeast"/>
        <w:jc w:val="both"/>
        <w:rPr>
          <w:rFonts w:cs="Calibri"/>
          <w:color w:val="000000" w:themeColor="text1"/>
          <w:szCs w:val="24"/>
        </w:rPr>
      </w:pPr>
    </w:p>
    <w:p w14:paraId="220BD3F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10.1.3. Remove the clamps from the inlet and outlet tubing connected to one outer apical channel.</w:t>
      </w:r>
    </w:p>
    <w:p w14:paraId="3ACEC1C2" w14:textId="77777777" w:rsidR="00B063D8" w:rsidRPr="00391419" w:rsidRDefault="00B063D8" w:rsidP="00B9425C">
      <w:pPr>
        <w:spacing w:after="0" w:line="0" w:lineRule="atLeast"/>
        <w:jc w:val="both"/>
        <w:rPr>
          <w:rFonts w:cs="Calibri"/>
          <w:color w:val="000000" w:themeColor="text1"/>
          <w:szCs w:val="24"/>
        </w:rPr>
      </w:pPr>
    </w:p>
    <w:p w14:paraId="28EBF6F6"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10.1.4. Perfuse the channel gently with PBS until approximately three drops emerge from the outlet tubing.</w:t>
      </w:r>
    </w:p>
    <w:p w14:paraId="7F6DF9C7" w14:textId="77777777" w:rsidR="00B063D8" w:rsidRPr="00391419" w:rsidRDefault="00B063D8" w:rsidP="00B9425C">
      <w:pPr>
        <w:spacing w:after="0" w:line="0" w:lineRule="atLeast"/>
        <w:jc w:val="both"/>
        <w:rPr>
          <w:rFonts w:cs="Calibri"/>
          <w:color w:val="000000" w:themeColor="text1"/>
          <w:szCs w:val="24"/>
        </w:rPr>
      </w:pPr>
    </w:p>
    <w:p w14:paraId="3914534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10.1.5. Clamp the outlet tubing and then cut and clamp the tubing connected to the syringe.</w:t>
      </w:r>
    </w:p>
    <w:p w14:paraId="5BCAF081" w14:textId="77777777" w:rsidR="00B063D8" w:rsidRPr="00391419" w:rsidRDefault="00B063D8" w:rsidP="00B9425C">
      <w:pPr>
        <w:spacing w:after="0" w:line="0" w:lineRule="atLeast"/>
        <w:jc w:val="both"/>
        <w:rPr>
          <w:rFonts w:cs="Calibri"/>
          <w:color w:val="000000" w:themeColor="text1"/>
          <w:szCs w:val="24"/>
        </w:rPr>
      </w:pPr>
    </w:p>
    <w:p w14:paraId="1379636D"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10.1.6. Repeat Steps 10.1.1–10.1.5 for all remaining channels.</w:t>
      </w:r>
    </w:p>
    <w:p w14:paraId="32E808EB" w14:textId="77777777" w:rsidR="00B063D8" w:rsidRPr="00391419" w:rsidRDefault="00B063D8" w:rsidP="00B9425C">
      <w:pPr>
        <w:spacing w:after="0" w:line="0" w:lineRule="atLeast"/>
        <w:jc w:val="both"/>
        <w:rPr>
          <w:rFonts w:cs="Calibri"/>
          <w:color w:val="000000" w:themeColor="text1"/>
          <w:szCs w:val="24"/>
        </w:rPr>
      </w:pPr>
    </w:p>
    <w:p w14:paraId="0AAADB5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10.1.7. Repeat Steps 10.1.1–10.1.6 using freshly prepared 4% PFA (prepared by diluting stock PFA 1:8 in PBS) instead of PBS.</w:t>
      </w:r>
    </w:p>
    <w:p w14:paraId="57AC71E4" w14:textId="77777777" w:rsidR="00B063D8" w:rsidRPr="00391419" w:rsidRDefault="00B063D8" w:rsidP="00B9425C">
      <w:pPr>
        <w:spacing w:after="0" w:line="0" w:lineRule="atLeast"/>
        <w:jc w:val="both"/>
        <w:rPr>
          <w:rFonts w:cs="Calibri"/>
          <w:color w:val="000000" w:themeColor="text1"/>
          <w:szCs w:val="24"/>
        </w:rPr>
      </w:pPr>
    </w:p>
    <w:p w14:paraId="0D9A0BE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10.1.8. Incubate the chip at room temperature (18°C–22°C) for 15 min.</w:t>
      </w:r>
    </w:p>
    <w:p w14:paraId="69C748C0" w14:textId="77777777" w:rsidR="00B063D8" w:rsidRPr="00391419" w:rsidRDefault="00B063D8" w:rsidP="00B9425C">
      <w:pPr>
        <w:spacing w:after="0" w:line="0" w:lineRule="atLeast"/>
        <w:jc w:val="both"/>
        <w:rPr>
          <w:rFonts w:cs="Calibri"/>
          <w:color w:val="000000" w:themeColor="text1"/>
          <w:szCs w:val="24"/>
        </w:rPr>
      </w:pPr>
    </w:p>
    <w:p w14:paraId="1D3ED18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10.1.9. Repeat Steps 10.1.1–10.1.6 using PBS to remove residual PFA from all channels.</w:t>
      </w:r>
    </w:p>
    <w:p w14:paraId="0DFA0C55" w14:textId="77777777" w:rsidR="00B063D8" w:rsidRPr="00391419" w:rsidRDefault="00B063D8" w:rsidP="00B9425C">
      <w:pPr>
        <w:spacing w:after="0" w:line="0" w:lineRule="atLeast"/>
        <w:jc w:val="both"/>
        <w:rPr>
          <w:rFonts w:cs="Calibri"/>
          <w:color w:val="000000" w:themeColor="text1"/>
          <w:szCs w:val="24"/>
        </w:rPr>
      </w:pPr>
    </w:p>
    <w:p w14:paraId="4CB7C0E4"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10.1.10. Wash each channel twice with PBS using approximately 2–3 channel volumes per wash.</w:t>
      </w:r>
    </w:p>
    <w:p w14:paraId="406FC485" w14:textId="77777777" w:rsidR="00B063D8" w:rsidRPr="00391419" w:rsidRDefault="00B063D8" w:rsidP="00B9425C">
      <w:pPr>
        <w:spacing w:after="0" w:line="0" w:lineRule="atLeast"/>
        <w:jc w:val="both"/>
        <w:rPr>
          <w:rFonts w:cs="Calibri"/>
          <w:color w:val="000000" w:themeColor="text1"/>
          <w:szCs w:val="24"/>
        </w:rPr>
      </w:pPr>
    </w:p>
    <w:p w14:paraId="1AD2E60E"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NOTE: Ice-cold methanol fixation may improve membrane-associated staining of tight-junction proteins compared with PFA fixation</w:t>
      </w:r>
      <w:r w:rsidRPr="00391419">
        <w:rPr>
          <w:rFonts w:cs="Calibri"/>
          <w:color w:val="000000" w:themeColor="text1"/>
          <w:szCs w:val="24"/>
          <w:vertAlign w:val="superscript"/>
        </w:rPr>
        <w:t>13</w:t>
      </w:r>
      <w:r w:rsidRPr="00391419">
        <w:rPr>
          <w:rFonts w:cs="Calibri"/>
          <w:color w:val="000000" w:themeColor="text1"/>
          <w:szCs w:val="24"/>
        </w:rPr>
        <w:t>.</w:t>
      </w:r>
    </w:p>
    <w:p w14:paraId="27D0625B" w14:textId="77777777" w:rsidR="00B063D8" w:rsidRPr="00391419" w:rsidRDefault="00B063D8" w:rsidP="00B9425C">
      <w:pPr>
        <w:spacing w:after="0" w:line="0" w:lineRule="atLeast"/>
        <w:jc w:val="both"/>
        <w:rPr>
          <w:rFonts w:cs="Calibri"/>
          <w:color w:val="000000" w:themeColor="text1"/>
          <w:szCs w:val="24"/>
        </w:rPr>
      </w:pPr>
    </w:p>
    <w:p w14:paraId="005A0A8A"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10.2. Immunofluorescent staining</w:t>
      </w:r>
    </w:p>
    <w:p w14:paraId="1952FC91" w14:textId="77777777" w:rsidR="00B063D8" w:rsidRPr="00391419" w:rsidRDefault="00B063D8" w:rsidP="00B9425C">
      <w:pPr>
        <w:spacing w:after="0" w:line="0" w:lineRule="atLeast"/>
        <w:jc w:val="both"/>
        <w:rPr>
          <w:rFonts w:cs="Calibri"/>
          <w:color w:val="000000" w:themeColor="text1"/>
          <w:szCs w:val="24"/>
        </w:rPr>
      </w:pPr>
    </w:p>
    <w:p w14:paraId="1FB01581"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Perform all perfusion steps using the procedure described in Step 10.1. Use separate syringes, needles, and tubing for each reagent where possible. Immunofluorescent reagents and antibody dilutions are listed in </w:t>
      </w:r>
      <w:r w:rsidRPr="00391419">
        <w:rPr>
          <w:rFonts w:cs="Calibri"/>
          <w:b/>
          <w:bCs/>
          <w:color w:val="000000" w:themeColor="text1"/>
          <w:szCs w:val="24"/>
        </w:rPr>
        <w:t>Table 1</w:t>
      </w:r>
      <w:r w:rsidRPr="00391419">
        <w:rPr>
          <w:rFonts w:cs="Calibri"/>
          <w:color w:val="000000" w:themeColor="text1"/>
          <w:szCs w:val="24"/>
        </w:rPr>
        <w:t>.</w:t>
      </w:r>
    </w:p>
    <w:p w14:paraId="4135BB01" w14:textId="77777777" w:rsidR="00B063D8" w:rsidRPr="00391419" w:rsidRDefault="00B063D8" w:rsidP="00B9425C">
      <w:pPr>
        <w:spacing w:after="0" w:line="0" w:lineRule="atLeast"/>
        <w:jc w:val="both"/>
        <w:rPr>
          <w:rFonts w:cs="Calibri"/>
          <w:color w:val="000000" w:themeColor="text1"/>
          <w:szCs w:val="24"/>
        </w:rPr>
      </w:pPr>
    </w:p>
    <w:p w14:paraId="4553E9CF"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[Place </w:t>
      </w:r>
      <w:r w:rsidRPr="00391419">
        <w:rPr>
          <w:rFonts w:cs="Calibri"/>
          <w:b/>
          <w:bCs/>
          <w:color w:val="000000" w:themeColor="text1"/>
          <w:szCs w:val="24"/>
        </w:rPr>
        <w:t>Table 1</w:t>
      </w:r>
      <w:r w:rsidRPr="00391419">
        <w:rPr>
          <w:rFonts w:cs="Calibri"/>
          <w:color w:val="000000" w:themeColor="text1"/>
          <w:szCs w:val="24"/>
        </w:rPr>
        <w:t xml:space="preserve"> here]</w:t>
      </w:r>
    </w:p>
    <w:p w14:paraId="3F3D78E0" w14:textId="77777777" w:rsidR="00B063D8" w:rsidRPr="00391419" w:rsidRDefault="00B063D8" w:rsidP="00B9425C">
      <w:pPr>
        <w:spacing w:after="0" w:line="0" w:lineRule="atLeast"/>
        <w:jc w:val="both"/>
        <w:rPr>
          <w:rFonts w:cs="Calibri"/>
          <w:color w:val="000000" w:themeColor="text1"/>
          <w:szCs w:val="24"/>
        </w:rPr>
      </w:pPr>
    </w:p>
    <w:p w14:paraId="3452F893" w14:textId="51316BE0"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10.2.1. Perfuse each channel with </w:t>
      </w:r>
      <w:r w:rsidR="00A65DAF" w:rsidRPr="00391419">
        <w:rPr>
          <w:rFonts w:cs="Calibri"/>
          <w:color w:val="000000" w:themeColor="text1"/>
          <w:szCs w:val="24"/>
        </w:rPr>
        <w:t>permeabilization</w:t>
      </w:r>
      <w:r w:rsidRPr="00391419">
        <w:rPr>
          <w:rFonts w:cs="Calibri"/>
          <w:color w:val="000000" w:themeColor="text1"/>
          <w:szCs w:val="24"/>
        </w:rPr>
        <w:t xml:space="preserve"> solution containing 0.1% Triton X-100 and 1% (w/v) bovine serum albumin (BSA).</w:t>
      </w:r>
    </w:p>
    <w:p w14:paraId="6E16F904" w14:textId="77777777" w:rsidR="00B063D8" w:rsidRPr="00391419" w:rsidRDefault="00B063D8" w:rsidP="00B9425C">
      <w:pPr>
        <w:spacing w:after="0" w:line="0" w:lineRule="atLeast"/>
        <w:jc w:val="both"/>
        <w:rPr>
          <w:rFonts w:cs="Calibri"/>
          <w:color w:val="000000" w:themeColor="text1"/>
          <w:szCs w:val="24"/>
        </w:rPr>
      </w:pPr>
    </w:p>
    <w:p w14:paraId="025BF196"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10.2.2. Incubate the chip at room temperature for 30 min. Wash each channel once with PBS.</w:t>
      </w:r>
    </w:p>
    <w:p w14:paraId="1C4FC6F5" w14:textId="77777777" w:rsidR="00B063D8" w:rsidRPr="00391419" w:rsidRDefault="00B063D8" w:rsidP="00B9425C">
      <w:pPr>
        <w:spacing w:after="0" w:line="0" w:lineRule="atLeast"/>
        <w:jc w:val="both"/>
        <w:rPr>
          <w:rFonts w:cs="Calibri"/>
          <w:color w:val="000000" w:themeColor="text1"/>
          <w:szCs w:val="24"/>
        </w:rPr>
      </w:pPr>
    </w:p>
    <w:p w14:paraId="3B907914"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10.2.3. Perfuse each channel with neat Dako blocking solution. Incubate the chip at room temperature for 5 min.</w:t>
      </w:r>
    </w:p>
    <w:p w14:paraId="3081B71A" w14:textId="77777777" w:rsidR="00B063D8" w:rsidRPr="00391419" w:rsidRDefault="00B063D8" w:rsidP="00B9425C">
      <w:pPr>
        <w:spacing w:after="0" w:line="0" w:lineRule="atLeast"/>
        <w:jc w:val="both"/>
        <w:rPr>
          <w:rFonts w:cs="Calibri"/>
          <w:color w:val="000000" w:themeColor="text1"/>
          <w:szCs w:val="24"/>
        </w:rPr>
      </w:pPr>
    </w:p>
    <w:p w14:paraId="7B5A3B2E" w14:textId="4E87ED02"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lastRenderedPageBreak/>
        <w:t xml:space="preserve">10.2.4. Perfuse the outer apical channels with primary antibodies diluted in </w:t>
      </w:r>
      <w:r w:rsidR="00A65DAF" w:rsidRPr="00391419">
        <w:rPr>
          <w:rFonts w:cs="Calibri"/>
          <w:color w:val="000000" w:themeColor="text1"/>
          <w:szCs w:val="24"/>
        </w:rPr>
        <w:t>permeabilization</w:t>
      </w:r>
      <w:r w:rsidRPr="00391419">
        <w:rPr>
          <w:rFonts w:cs="Calibri"/>
          <w:color w:val="000000" w:themeColor="text1"/>
          <w:szCs w:val="24"/>
        </w:rPr>
        <w:t xml:space="preserve"> solution to stain endothelial-cell markers, including </w:t>
      </w:r>
      <w:r w:rsidR="00825E24" w:rsidRPr="00391419">
        <w:rPr>
          <w:rFonts w:cs="Calibri"/>
          <w:color w:val="000000" w:themeColor="text1"/>
          <w:szCs w:val="24"/>
        </w:rPr>
        <w:t>cluster of differentiation 31 (</w:t>
      </w:r>
      <w:r w:rsidRPr="00391419">
        <w:rPr>
          <w:rFonts w:cs="Calibri"/>
          <w:color w:val="000000" w:themeColor="text1"/>
          <w:szCs w:val="24"/>
        </w:rPr>
        <w:t>CD31</w:t>
      </w:r>
      <w:r w:rsidR="00825E24" w:rsidRPr="00391419">
        <w:rPr>
          <w:rFonts w:cs="Calibri"/>
          <w:color w:val="000000" w:themeColor="text1"/>
          <w:szCs w:val="24"/>
        </w:rPr>
        <w:t>)</w:t>
      </w:r>
      <w:r w:rsidRPr="00391419">
        <w:rPr>
          <w:rFonts w:cs="Calibri"/>
          <w:color w:val="000000" w:themeColor="text1"/>
          <w:szCs w:val="24"/>
        </w:rPr>
        <w:t>, zonula occludens-1 (ZO-1), and DAPI.</w:t>
      </w:r>
    </w:p>
    <w:p w14:paraId="4F9D52A4" w14:textId="77777777" w:rsidR="00B063D8" w:rsidRPr="00391419" w:rsidRDefault="00B063D8" w:rsidP="00B9425C">
      <w:pPr>
        <w:spacing w:after="0" w:line="0" w:lineRule="atLeast"/>
        <w:jc w:val="both"/>
        <w:rPr>
          <w:rFonts w:cs="Calibri"/>
          <w:color w:val="000000" w:themeColor="text1"/>
          <w:szCs w:val="24"/>
        </w:rPr>
      </w:pPr>
    </w:p>
    <w:p w14:paraId="61782C07" w14:textId="4DD96C63"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10.2.5. Perfuse the basolateral channel with primary antibodies diluted in </w:t>
      </w:r>
      <w:r w:rsidR="00A65DAF" w:rsidRPr="00391419">
        <w:rPr>
          <w:rFonts w:cs="Calibri"/>
          <w:color w:val="000000" w:themeColor="text1"/>
          <w:szCs w:val="24"/>
        </w:rPr>
        <w:t>permeabilization</w:t>
      </w:r>
      <w:r w:rsidRPr="00391419">
        <w:rPr>
          <w:rFonts w:cs="Calibri"/>
          <w:color w:val="000000" w:themeColor="text1"/>
          <w:szCs w:val="24"/>
        </w:rPr>
        <w:t xml:space="preserve"> solution to stain astrocyte markers, including </w:t>
      </w:r>
      <w:r w:rsidR="00825E24" w:rsidRPr="00391419">
        <w:rPr>
          <w:rFonts w:cs="Calibri"/>
          <w:color w:val="000000" w:themeColor="text1"/>
          <w:szCs w:val="24"/>
        </w:rPr>
        <w:t>glial fibrillary acidic protein (</w:t>
      </w:r>
      <w:r w:rsidRPr="00391419">
        <w:rPr>
          <w:rFonts w:cs="Calibri"/>
          <w:color w:val="000000" w:themeColor="text1"/>
          <w:szCs w:val="24"/>
        </w:rPr>
        <w:t>GFAP</w:t>
      </w:r>
      <w:r w:rsidR="00825E24" w:rsidRPr="00391419">
        <w:rPr>
          <w:rFonts w:cs="Calibri"/>
          <w:color w:val="000000" w:themeColor="text1"/>
          <w:szCs w:val="24"/>
        </w:rPr>
        <w:t>)</w:t>
      </w:r>
      <w:r w:rsidRPr="00391419">
        <w:rPr>
          <w:rFonts w:cs="Calibri"/>
          <w:color w:val="000000" w:themeColor="text1"/>
          <w:szCs w:val="24"/>
        </w:rPr>
        <w:t xml:space="preserve"> and DAPI.</w:t>
      </w:r>
    </w:p>
    <w:p w14:paraId="5A3DE933" w14:textId="77777777" w:rsidR="00B063D8" w:rsidRPr="00391419" w:rsidRDefault="00B063D8" w:rsidP="00B9425C">
      <w:pPr>
        <w:spacing w:after="0" w:line="0" w:lineRule="atLeast"/>
        <w:jc w:val="both"/>
        <w:rPr>
          <w:rFonts w:cs="Calibri"/>
          <w:color w:val="000000" w:themeColor="text1"/>
          <w:szCs w:val="24"/>
        </w:rPr>
      </w:pPr>
    </w:p>
    <w:p w14:paraId="14282F8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10.2.6. Confirm complete reagent exchange by perfusing sufficient volume to fill the channels and tubing, as indicated by approximately three drops (~10 </w:t>
      </w:r>
      <w:proofErr w:type="spellStart"/>
      <w:r w:rsidRPr="00391419">
        <w:rPr>
          <w:rFonts w:cs="Calibri"/>
          <w:color w:val="000000" w:themeColor="text1"/>
          <w:szCs w:val="24"/>
        </w:rPr>
        <w:t>μL</w:t>
      </w:r>
      <w:proofErr w:type="spellEnd"/>
      <w:r w:rsidRPr="00391419">
        <w:rPr>
          <w:rFonts w:cs="Calibri"/>
          <w:color w:val="000000" w:themeColor="text1"/>
          <w:szCs w:val="24"/>
        </w:rPr>
        <w:t xml:space="preserve">/drop) emerging from the outlet tubing. Use antibody dilutions listed in </w:t>
      </w:r>
      <w:r w:rsidRPr="00391419">
        <w:rPr>
          <w:rFonts w:cs="Calibri"/>
          <w:b/>
          <w:bCs/>
          <w:color w:val="000000" w:themeColor="text1"/>
          <w:szCs w:val="24"/>
        </w:rPr>
        <w:t>Table 1</w:t>
      </w:r>
      <w:r w:rsidRPr="00391419">
        <w:rPr>
          <w:rFonts w:cs="Calibri"/>
          <w:color w:val="000000" w:themeColor="text1"/>
          <w:szCs w:val="24"/>
        </w:rPr>
        <w:t>.</w:t>
      </w:r>
    </w:p>
    <w:p w14:paraId="64B349DE" w14:textId="77777777" w:rsidR="00B063D8" w:rsidRPr="00391419" w:rsidRDefault="00B063D8" w:rsidP="00B9425C">
      <w:pPr>
        <w:spacing w:after="0" w:line="0" w:lineRule="atLeast"/>
        <w:jc w:val="both"/>
        <w:rPr>
          <w:rFonts w:cs="Calibri"/>
          <w:color w:val="000000" w:themeColor="text1"/>
          <w:szCs w:val="24"/>
        </w:rPr>
      </w:pPr>
    </w:p>
    <w:p w14:paraId="4D25B9F7" w14:textId="2610F05A"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When using antibodies for the first time on these cell types, perform preliminary </w:t>
      </w:r>
      <w:r w:rsidR="00A65DAF" w:rsidRPr="00391419">
        <w:rPr>
          <w:rFonts w:cs="Calibri"/>
          <w:color w:val="000000" w:themeColor="text1"/>
          <w:szCs w:val="24"/>
        </w:rPr>
        <w:t>optimization</w:t>
      </w:r>
      <w:r w:rsidRPr="00391419">
        <w:rPr>
          <w:rFonts w:cs="Calibri"/>
          <w:color w:val="000000" w:themeColor="text1"/>
          <w:szCs w:val="24"/>
        </w:rPr>
        <w:t xml:space="preserve"> or titration experiments using standard cell-culture plates to determine optimal staining conditions.</w:t>
      </w:r>
    </w:p>
    <w:p w14:paraId="3B5C1D49" w14:textId="77777777" w:rsidR="00B063D8" w:rsidRPr="00391419" w:rsidRDefault="00B063D8" w:rsidP="00B9425C">
      <w:pPr>
        <w:spacing w:after="0" w:line="0" w:lineRule="atLeast"/>
        <w:jc w:val="both"/>
        <w:rPr>
          <w:rFonts w:cs="Calibri"/>
          <w:color w:val="000000" w:themeColor="text1"/>
          <w:szCs w:val="24"/>
        </w:rPr>
      </w:pPr>
    </w:p>
    <w:p w14:paraId="57DC4A37"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10.2.7. Incubate the chip at 4°C overnight (12–18 h) in the dark.</w:t>
      </w:r>
    </w:p>
    <w:p w14:paraId="391811DF" w14:textId="77777777" w:rsidR="00B063D8" w:rsidRPr="00391419" w:rsidRDefault="00B063D8" w:rsidP="00B9425C">
      <w:pPr>
        <w:spacing w:after="0" w:line="0" w:lineRule="atLeast"/>
        <w:jc w:val="both"/>
        <w:rPr>
          <w:rFonts w:cs="Calibri"/>
          <w:color w:val="000000" w:themeColor="text1"/>
          <w:szCs w:val="24"/>
        </w:rPr>
      </w:pPr>
    </w:p>
    <w:p w14:paraId="6B72757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10.2.8. Wash each channel three times with PBS to remove unbound primary antibodies.</w:t>
      </w:r>
    </w:p>
    <w:p w14:paraId="211083A9" w14:textId="77777777" w:rsidR="00B063D8" w:rsidRPr="00391419" w:rsidRDefault="00B063D8" w:rsidP="00B9425C">
      <w:pPr>
        <w:spacing w:after="0" w:line="0" w:lineRule="atLeast"/>
        <w:jc w:val="both"/>
        <w:rPr>
          <w:rFonts w:cs="Calibri"/>
          <w:color w:val="000000" w:themeColor="text1"/>
          <w:szCs w:val="24"/>
        </w:rPr>
      </w:pPr>
    </w:p>
    <w:p w14:paraId="1197BDF1" w14:textId="54395BA2"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10.2.9. Perfuse the relevant channels with species-appropriate secondary antibodies diluted in </w:t>
      </w:r>
      <w:r w:rsidR="00A65DAF" w:rsidRPr="00391419">
        <w:rPr>
          <w:rFonts w:cs="Calibri"/>
          <w:color w:val="000000" w:themeColor="text1"/>
          <w:szCs w:val="24"/>
        </w:rPr>
        <w:t>permeabilization</w:t>
      </w:r>
      <w:r w:rsidRPr="00391419">
        <w:rPr>
          <w:rFonts w:cs="Calibri"/>
          <w:color w:val="000000" w:themeColor="text1"/>
          <w:szCs w:val="24"/>
        </w:rPr>
        <w:t xml:space="preserve"> solution. Use secondary-antibody dilutions listed in </w:t>
      </w:r>
      <w:r w:rsidRPr="00391419">
        <w:rPr>
          <w:rFonts w:cs="Calibri"/>
          <w:b/>
          <w:bCs/>
          <w:color w:val="000000" w:themeColor="text1"/>
          <w:szCs w:val="24"/>
        </w:rPr>
        <w:t>Table 1</w:t>
      </w:r>
      <w:r w:rsidRPr="00391419">
        <w:rPr>
          <w:rFonts w:cs="Calibri"/>
          <w:color w:val="000000" w:themeColor="text1"/>
          <w:szCs w:val="24"/>
        </w:rPr>
        <w:t>.</w:t>
      </w:r>
    </w:p>
    <w:p w14:paraId="055E8E56" w14:textId="77777777" w:rsidR="00B063D8" w:rsidRPr="00391419" w:rsidRDefault="00B063D8" w:rsidP="00B9425C">
      <w:pPr>
        <w:spacing w:after="0" w:line="0" w:lineRule="atLeast"/>
        <w:jc w:val="both"/>
        <w:rPr>
          <w:rFonts w:cs="Calibri"/>
          <w:color w:val="000000" w:themeColor="text1"/>
          <w:szCs w:val="24"/>
        </w:rPr>
      </w:pPr>
    </w:p>
    <w:p w14:paraId="17872D2C"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10.2.10. Incubate the chip at room temperature for 1 h in the dark. Wash each channel three times with PBS to remove unbound secondary antibodies. Store the chip protected from light at 4°C until imaging is performed (within 3 days).</w:t>
      </w:r>
    </w:p>
    <w:p w14:paraId="37DC9FBE" w14:textId="77777777" w:rsidR="00B063D8" w:rsidRPr="00391419" w:rsidRDefault="00B063D8" w:rsidP="00B9425C">
      <w:pPr>
        <w:spacing w:after="0" w:line="0" w:lineRule="atLeast"/>
        <w:jc w:val="both"/>
        <w:rPr>
          <w:rFonts w:cs="Calibri"/>
          <w:color w:val="000000" w:themeColor="text1"/>
          <w:szCs w:val="24"/>
        </w:rPr>
      </w:pPr>
    </w:p>
    <w:p w14:paraId="25E8FCB0"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11. Imaging</w:t>
      </w:r>
    </w:p>
    <w:p w14:paraId="7632BC68" w14:textId="77777777" w:rsidR="00B063D8" w:rsidRPr="00391419" w:rsidRDefault="00B063D8" w:rsidP="00B9425C">
      <w:pPr>
        <w:spacing w:after="0" w:line="0" w:lineRule="atLeast"/>
        <w:jc w:val="both"/>
        <w:rPr>
          <w:rFonts w:cs="Calibri"/>
          <w:color w:val="000000" w:themeColor="text1"/>
          <w:szCs w:val="24"/>
        </w:rPr>
      </w:pPr>
    </w:p>
    <w:p w14:paraId="1372E522" w14:textId="77777777"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11.1. Confocal microscopy</w:t>
      </w:r>
    </w:p>
    <w:p w14:paraId="39CD0CDD" w14:textId="77777777" w:rsidR="00B063D8" w:rsidRPr="00391419" w:rsidRDefault="00B063D8" w:rsidP="00B9425C">
      <w:pPr>
        <w:spacing w:after="0" w:line="0" w:lineRule="atLeast"/>
        <w:jc w:val="both"/>
        <w:rPr>
          <w:rFonts w:cs="Calibri"/>
          <w:color w:val="000000" w:themeColor="text1"/>
          <w:szCs w:val="24"/>
        </w:rPr>
      </w:pPr>
    </w:p>
    <w:p w14:paraId="0A734704" w14:textId="6EEBC4B3"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11.1.1. Acquire immunofluorescent images of stained microfluidic-chip cultures using confocal microscopy. Representative microscope settings are provided in </w:t>
      </w:r>
      <w:r w:rsidR="002615BD" w:rsidRPr="00391419">
        <w:rPr>
          <w:rFonts w:cs="Calibri"/>
          <w:b/>
          <w:bCs/>
          <w:color w:val="000000" w:themeColor="text1"/>
          <w:szCs w:val="24"/>
        </w:rPr>
        <w:t>Supplementary</w:t>
      </w:r>
      <w:r w:rsidRPr="00391419">
        <w:rPr>
          <w:rFonts w:cs="Calibri"/>
          <w:b/>
          <w:bCs/>
          <w:color w:val="000000" w:themeColor="text1"/>
          <w:szCs w:val="24"/>
        </w:rPr>
        <w:t xml:space="preserve"> Tables 6 and 7</w:t>
      </w:r>
      <w:r w:rsidRPr="00391419">
        <w:rPr>
          <w:rFonts w:cs="Calibri"/>
          <w:color w:val="000000" w:themeColor="text1"/>
          <w:szCs w:val="24"/>
        </w:rPr>
        <w:t>.</w:t>
      </w:r>
    </w:p>
    <w:p w14:paraId="037817EF" w14:textId="77777777" w:rsidR="00B063D8" w:rsidRPr="00391419" w:rsidRDefault="00B063D8" w:rsidP="00B9425C">
      <w:pPr>
        <w:spacing w:after="0" w:line="0" w:lineRule="atLeast"/>
        <w:jc w:val="both"/>
        <w:rPr>
          <w:rFonts w:cs="Calibri"/>
          <w:color w:val="000000" w:themeColor="text1"/>
          <w:szCs w:val="24"/>
        </w:rPr>
      </w:pPr>
    </w:p>
    <w:p w14:paraId="72A23F84" w14:textId="01CC0EFE" w:rsidR="00B063D8" w:rsidRPr="00391419" w:rsidRDefault="00B063D8" w:rsidP="00B9425C">
      <w:pPr>
        <w:spacing w:after="0" w:line="0" w:lineRule="atLeast"/>
        <w:jc w:val="both"/>
        <w:rPr>
          <w:rFonts w:cs="Calibri"/>
          <w:color w:val="000000" w:themeColor="text1"/>
          <w:szCs w:val="24"/>
        </w:rPr>
      </w:pPr>
      <w:r w:rsidRPr="00391419">
        <w:rPr>
          <w:rFonts w:cs="Calibri"/>
          <w:color w:val="000000" w:themeColor="text1"/>
          <w:szCs w:val="24"/>
        </w:rPr>
        <w:t xml:space="preserve">NOTE: </w:t>
      </w:r>
      <w:r w:rsidR="002615BD" w:rsidRPr="00391419">
        <w:rPr>
          <w:rFonts w:cs="Calibri"/>
          <w:b/>
          <w:bCs/>
          <w:color w:val="000000" w:themeColor="text1"/>
          <w:szCs w:val="24"/>
        </w:rPr>
        <w:t>Supplementary</w:t>
      </w:r>
      <w:r w:rsidRPr="00391419">
        <w:rPr>
          <w:rFonts w:cs="Calibri"/>
          <w:b/>
          <w:bCs/>
          <w:color w:val="000000" w:themeColor="text1"/>
          <w:szCs w:val="24"/>
        </w:rPr>
        <w:t xml:space="preserve"> Table 6</w:t>
      </w:r>
      <w:r w:rsidRPr="00391419">
        <w:rPr>
          <w:rFonts w:cs="Calibri"/>
          <w:color w:val="000000" w:themeColor="text1"/>
          <w:szCs w:val="24"/>
        </w:rPr>
        <w:t xml:space="preserve"> contains microscope hardware and acquisition settings. </w:t>
      </w:r>
      <w:r w:rsidR="002615BD" w:rsidRPr="00391419">
        <w:rPr>
          <w:rFonts w:cs="Calibri"/>
          <w:b/>
          <w:bCs/>
          <w:color w:val="000000" w:themeColor="text1"/>
          <w:szCs w:val="24"/>
        </w:rPr>
        <w:t>Supplementary</w:t>
      </w:r>
      <w:r w:rsidRPr="00391419">
        <w:rPr>
          <w:rFonts w:cs="Calibri"/>
          <w:b/>
          <w:bCs/>
          <w:color w:val="000000" w:themeColor="text1"/>
          <w:szCs w:val="24"/>
        </w:rPr>
        <w:t xml:space="preserve"> Table 7</w:t>
      </w:r>
      <w:r w:rsidRPr="00391419">
        <w:rPr>
          <w:rFonts w:cs="Calibri"/>
          <w:color w:val="000000" w:themeColor="text1"/>
          <w:szCs w:val="24"/>
        </w:rPr>
        <w:t xml:space="preserve"> contains fluorophore excitation/emission parameters and image-acquisition settings used in this study.</w:t>
      </w:r>
    </w:p>
    <w:p w14:paraId="03C6EC45" w14:textId="77777777" w:rsidR="00B063D8" w:rsidRPr="00391419" w:rsidRDefault="00B063D8" w:rsidP="00B9425C">
      <w:pPr>
        <w:spacing w:after="0" w:line="0" w:lineRule="atLeast"/>
        <w:jc w:val="both"/>
        <w:rPr>
          <w:rFonts w:cs="Calibri"/>
          <w:color w:val="000000" w:themeColor="text1"/>
          <w:szCs w:val="24"/>
        </w:rPr>
      </w:pPr>
    </w:p>
    <w:p w14:paraId="5F484838" w14:textId="786DEA6F" w:rsidR="00D301D9"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RESULTS:</w:t>
      </w:r>
    </w:p>
    <w:p w14:paraId="4D54D7EF" w14:textId="3A9D0329" w:rsidR="00437023"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 xml:space="preserve">Development of a Co-culture </w:t>
      </w:r>
      <w:r w:rsidR="009E1FDE" w:rsidRPr="00391419">
        <w:rPr>
          <w:rFonts w:cs="Calibri"/>
          <w:b/>
          <w:bCs/>
          <w:color w:val="000000" w:themeColor="text1"/>
          <w:szCs w:val="24"/>
        </w:rPr>
        <w:t>BBB</w:t>
      </w:r>
      <w:r w:rsidRPr="00391419">
        <w:rPr>
          <w:rFonts w:cs="Calibri"/>
          <w:b/>
          <w:bCs/>
          <w:color w:val="000000" w:themeColor="text1"/>
          <w:szCs w:val="24"/>
        </w:rPr>
        <w:t xml:space="preserve"> Microfluidic Model</w:t>
      </w:r>
    </w:p>
    <w:p w14:paraId="77CF8348" w14:textId="269C2E3F" w:rsidR="00437023" w:rsidRPr="00391419" w:rsidRDefault="009270ED" w:rsidP="00B9425C">
      <w:pPr>
        <w:spacing w:after="0" w:line="0" w:lineRule="atLeast"/>
        <w:jc w:val="both"/>
        <w:rPr>
          <w:rFonts w:cs="Calibri"/>
          <w:color w:val="000000" w:themeColor="text1"/>
          <w:szCs w:val="24"/>
        </w:rPr>
      </w:pPr>
      <w:r w:rsidRPr="00391419">
        <w:rPr>
          <w:rFonts w:cs="Calibri"/>
          <w:color w:val="000000" w:themeColor="text1"/>
          <w:szCs w:val="24"/>
        </w:rPr>
        <w:t xml:space="preserve">The protocol described above provides a step-by-step method for developing a co-culture BBB microfluidic model containing immortalized hCMEC/D3 endothelial cells and primary human astrocytes. </w:t>
      </w:r>
      <w:r w:rsidRPr="00391419">
        <w:rPr>
          <w:rFonts w:cs="Calibri"/>
          <w:b/>
          <w:bCs/>
          <w:color w:val="000000" w:themeColor="text1"/>
          <w:szCs w:val="24"/>
        </w:rPr>
        <w:t>Figure 3</w:t>
      </w:r>
      <w:r w:rsidRPr="00391419">
        <w:rPr>
          <w:rFonts w:cs="Calibri"/>
          <w:color w:val="000000" w:themeColor="text1"/>
          <w:szCs w:val="24"/>
        </w:rPr>
        <w:t xml:space="preserve"> presents representative images of cell-culture progression within the microfluidic device, including the target endothelial-cell density during the seeding process and an example of endothelial-cell detachment representing a failed culture outcome. The development and morphology of each cell population depend on successful cell attachment, uniform seeding, and tolerance to shear flow following introduction into the </w:t>
      </w:r>
      <w:r w:rsidRPr="00391419">
        <w:rPr>
          <w:rFonts w:cs="Calibri"/>
          <w:color w:val="000000" w:themeColor="text1"/>
          <w:szCs w:val="24"/>
        </w:rPr>
        <w:lastRenderedPageBreak/>
        <w:t xml:space="preserve">device. Therefore, the appearance of a mature </w:t>
      </w:r>
      <w:r w:rsidR="009E1FDE" w:rsidRPr="00391419">
        <w:rPr>
          <w:rFonts w:cs="Calibri"/>
          <w:color w:val="000000" w:themeColor="text1"/>
          <w:szCs w:val="24"/>
        </w:rPr>
        <w:t>3D</w:t>
      </w:r>
      <w:r w:rsidRPr="00391419">
        <w:rPr>
          <w:rFonts w:cs="Calibri"/>
          <w:color w:val="000000" w:themeColor="text1"/>
          <w:szCs w:val="24"/>
        </w:rPr>
        <w:t xml:space="preserve"> culture may vary between experiments and should not be expected at a fixed time point. Instead, culture progression should be monitored routinely using visual assessment and TEER measurements to determine whether the model is suitable for progression to subsequent experimental stages.</w:t>
      </w:r>
    </w:p>
    <w:p w14:paraId="1F0446F5" w14:textId="77777777" w:rsidR="00437023" w:rsidRPr="00391419" w:rsidRDefault="00437023" w:rsidP="00B9425C">
      <w:pPr>
        <w:spacing w:after="0" w:line="0" w:lineRule="atLeast"/>
        <w:jc w:val="both"/>
        <w:rPr>
          <w:rFonts w:cs="Calibri"/>
          <w:color w:val="000000" w:themeColor="text1"/>
          <w:szCs w:val="24"/>
        </w:rPr>
      </w:pPr>
    </w:p>
    <w:p w14:paraId="7B8B4D2C" w14:textId="47A5102E" w:rsidR="00437023" w:rsidRPr="00391419" w:rsidRDefault="009270ED" w:rsidP="00B9425C">
      <w:pPr>
        <w:spacing w:after="0" w:line="0" w:lineRule="atLeast"/>
        <w:jc w:val="both"/>
        <w:rPr>
          <w:rFonts w:cs="Calibri"/>
          <w:color w:val="000000" w:themeColor="text1"/>
          <w:szCs w:val="24"/>
        </w:rPr>
      </w:pPr>
      <w:r w:rsidRPr="00391419">
        <w:rPr>
          <w:rFonts w:cs="Calibri"/>
          <w:color w:val="000000" w:themeColor="text1"/>
          <w:szCs w:val="24"/>
        </w:rPr>
        <w:t xml:space="preserve">Representative TEER measurements exceeding 50 </w:t>
      </w:r>
      <w:proofErr w:type="spellStart"/>
      <w:r w:rsidRPr="00391419">
        <w:rPr>
          <w:rFonts w:cs="Calibri"/>
          <w:color w:val="000000" w:themeColor="text1"/>
          <w:szCs w:val="24"/>
        </w:rPr>
        <w:t>kΩ</w:t>
      </w:r>
      <w:proofErr w:type="spellEnd"/>
      <w:r w:rsidRPr="00391419">
        <w:rPr>
          <w:rFonts w:cs="Calibri"/>
          <w:color w:val="000000" w:themeColor="text1"/>
          <w:szCs w:val="24"/>
        </w:rPr>
        <w:t xml:space="preserve"> were consistently associated with stable endothelial-cell growth and </w:t>
      </w:r>
      <w:r w:rsidR="009E1FDE" w:rsidRPr="00391419">
        <w:rPr>
          <w:rFonts w:cs="Calibri"/>
          <w:color w:val="000000" w:themeColor="text1"/>
          <w:szCs w:val="24"/>
        </w:rPr>
        <w:t>3D</w:t>
      </w:r>
      <w:r w:rsidRPr="00391419">
        <w:rPr>
          <w:rFonts w:cs="Calibri"/>
          <w:color w:val="000000" w:themeColor="text1"/>
          <w:szCs w:val="24"/>
        </w:rPr>
        <w:t xml:space="preserve"> lumen formation under the conditions described in this study. However, acceptable TEER thresholds may vary depending on the experimental application, cell passage number, and flow conditions used. Chips demonstrating substantial endothelial-cell detachment, inconsistent TEER progression, persistent air bubbles, or non-uniform cell distribution should be excluded from downstream experiments. Once a stable co-culture has been established, additional downstream analyses, including immunofluorescent staining and imaging, can be performed to characterize cellular morphology and marker expression within the model.</w:t>
      </w:r>
    </w:p>
    <w:p w14:paraId="5F7FFF52" w14:textId="11859940" w:rsidR="008151D6" w:rsidRPr="00391419" w:rsidRDefault="008151D6" w:rsidP="00B9425C">
      <w:pPr>
        <w:spacing w:after="0" w:line="0" w:lineRule="atLeast"/>
        <w:jc w:val="both"/>
        <w:rPr>
          <w:rFonts w:cs="Calibri"/>
          <w:color w:val="000000" w:themeColor="text1"/>
          <w:szCs w:val="24"/>
        </w:rPr>
      </w:pPr>
    </w:p>
    <w:p w14:paraId="17E0D90C" w14:textId="393364DE" w:rsidR="004754DB" w:rsidRPr="00391419" w:rsidRDefault="00A65DAF" w:rsidP="00B9425C">
      <w:pPr>
        <w:spacing w:after="0" w:line="0" w:lineRule="atLeast"/>
        <w:jc w:val="both"/>
        <w:rPr>
          <w:rFonts w:cs="Calibri"/>
          <w:b/>
          <w:bCs/>
          <w:color w:val="000000" w:themeColor="text1"/>
          <w:szCs w:val="24"/>
        </w:rPr>
      </w:pPr>
      <w:r w:rsidRPr="00391419">
        <w:rPr>
          <w:rFonts w:cs="Calibri"/>
          <w:b/>
          <w:bCs/>
          <w:color w:val="000000" w:themeColor="text1"/>
          <w:szCs w:val="24"/>
        </w:rPr>
        <w:t>Characterization</w:t>
      </w:r>
      <w:r w:rsidR="008A7126" w:rsidRPr="00391419">
        <w:rPr>
          <w:rFonts w:cs="Calibri"/>
          <w:b/>
          <w:bCs/>
          <w:color w:val="000000" w:themeColor="text1"/>
          <w:szCs w:val="24"/>
        </w:rPr>
        <w:t xml:space="preserve"> of the </w:t>
      </w:r>
      <w:r w:rsidR="00404BA7" w:rsidRPr="00391419">
        <w:rPr>
          <w:rFonts w:cs="Calibri"/>
          <w:b/>
          <w:bCs/>
          <w:color w:val="000000" w:themeColor="text1"/>
          <w:szCs w:val="24"/>
        </w:rPr>
        <w:t>BBB</w:t>
      </w:r>
      <w:r w:rsidR="008A7126" w:rsidRPr="00391419">
        <w:rPr>
          <w:rFonts w:cs="Calibri"/>
          <w:b/>
          <w:bCs/>
          <w:color w:val="000000" w:themeColor="text1"/>
          <w:szCs w:val="24"/>
        </w:rPr>
        <w:t xml:space="preserve"> Microfluidic Model</w:t>
      </w:r>
    </w:p>
    <w:p w14:paraId="3E075C09" w14:textId="0C718626" w:rsidR="004754DB" w:rsidRPr="00391419" w:rsidRDefault="00825E24" w:rsidP="00B9425C">
      <w:pPr>
        <w:spacing w:after="0" w:line="0" w:lineRule="atLeast"/>
        <w:jc w:val="both"/>
        <w:rPr>
          <w:rFonts w:cs="Calibri"/>
          <w:color w:val="000000" w:themeColor="text1"/>
          <w:szCs w:val="24"/>
        </w:rPr>
      </w:pPr>
      <w:r w:rsidRPr="00391419">
        <w:rPr>
          <w:rFonts w:cs="Calibri"/>
          <w:color w:val="000000" w:themeColor="text1"/>
          <w:szCs w:val="24"/>
        </w:rPr>
        <w:t>The co-culture BBB microfluidic model was characterized by immunofluorescent staining and confocal imaging of endothelial-cell and astrocyte markers (</w:t>
      </w:r>
      <w:r w:rsidRPr="00391419">
        <w:rPr>
          <w:rFonts w:cs="Calibri"/>
          <w:b/>
          <w:bCs/>
          <w:color w:val="000000" w:themeColor="text1"/>
          <w:szCs w:val="24"/>
        </w:rPr>
        <w:t>Figure 6A</w:t>
      </w:r>
      <w:r w:rsidRPr="00391419">
        <w:rPr>
          <w:rFonts w:cs="Calibri"/>
          <w:color w:val="000000" w:themeColor="text1"/>
          <w:szCs w:val="24"/>
        </w:rPr>
        <w:t xml:space="preserve">). The tight-junction protein ZO-1 was observed throughout the hCMEC/D3 endothelial-cell layer within the apical channels, while the endothelial-cell marker CD31 was also detected within the endothelial-cell population. Human primary astrocytes cultured within the basolateral chamber expressed GFAP, confirming astrocyte identity under the culture conditions used in this study. Representative immunofluorescent images demonstrated extension of astrocytic processes through the micropillars separating the apical and basolateral compartments, indicating the potential for physical interaction between the two cellular compartments in addition to soluble factor exchange. </w:t>
      </w:r>
      <w:r w:rsidRPr="00391419">
        <w:rPr>
          <w:rFonts w:cs="Calibri"/>
          <w:b/>
          <w:bCs/>
          <w:color w:val="000000" w:themeColor="text1"/>
          <w:szCs w:val="24"/>
        </w:rPr>
        <w:t>Figure 6B</w:t>
      </w:r>
      <w:r w:rsidRPr="00391419">
        <w:rPr>
          <w:rFonts w:cs="Calibri"/>
          <w:color w:val="000000" w:themeColor="text1"/>
          <w:szCs w:val="24"/>
        </w:rPr>
        <w:t xml:space="preserve"> shows a representative cross-sectional z-stack image of the apical channel, demonstrating progression of the endothelial-cell layer toward a lumen-like morphology surrounding the perimeter of the channel. These observations are qualitative and representative of the culture morphology obtained under the described experimental conditions.</w:t>
      </w:r>
    </w:p>
    <w:p w14:paraId="3D8CA7B4" w14:textId="77777777" w:rsidR="004754DB" w:rsidRPr="00391419" w:rsidRDefault="004754DB" w:rsidP="00B9425C">
      <w:pPr>
        <w:spacing w:after="0" w:line="0" w:lineRule="atLeast"/>
        <w:jc w:val="both"/>
        <w:rPr>
          <w:rFonts w:cs="Calibri"/>
          <w:color w:val="000000" w:themeColor="text1"/>
          <w:szCs w:val="24"/>
        </w:rPr>
      </w:pPr>
    </w:p>
    <w:p w14:paraId="7EB7C0D1" w14:textId="447A0D30" w:rsidR="004754DB" w:rsidRPr="00391419" w:rsidRDefault="008A7126" w:rsidP="00B9425C">
      <w:pPr>
        <w:spacing w:after="0" w:line="0" w:lineRule="atLeast"/>
        <w:jc w:val="both"/>
        <w:rPr>
          <w:rFonts w:cs="Calibri"/>
          <w:color w:val="000000" w:themeColor="text1"/>
          <w:szCs w:val="24"/>
        </w:rPr>
      </w:pPr>
      <w:r w:rsidRPr="00391419">
        <w:rPr>
          <w:rFonts w:cs="Calibri"/>
          <w:color w:val="000000" w:themeColor="text1"/>
          <w:szCs w:val="24"/>
        </w:rPr>
        <w:t xml:space="preserve">[Place </w:t>
      </w:r>
      <w:r w:rsidRPr="00391419">
        <w:rPr>
          <w:rFonts w:cs="Calibri"/>
          <w:b/>
          <w:bCs/>
          <w:color w:val="000000" w:themeColor="text1"/>
          <w:szCs w:val="24"/>
        </w:rPr>
        <w:t>Figure 6</w:t>
      </w:r>
      <w:r w:rsidRPr="00391419">
        <w:rPr>
          <w:rFonts w:cs="Calibri"/>
          <w:color w:val="000000" w:themeColor="text1"/>
          <w:szCs w:val="24"/>
        </w:rPr>
        <w:t xml:space="preserve"> here]</w:t>
      </w:r>
    </w:p>
    <w:p w14:paraId="27C9B71D" w14:textId="77777777" w:rsidR="004754DB" w:rsidRPr="00391419" w:rsidRDefault="004754DB" w:rsidP="00B9425C">
      <w:pPr>
        <w:spacing w:after="0" w:line="0" w:lineRule="atLeast"/>
        <w:jc w:val="both"/>
        <w:rPr>
          <w:rFonts w:cs="Calibri"/>
          <w:color w:val="000000" w:themeColor="text1"/>
          <w:szCs w:val="24"/>
        </w:rPr>
      </w:pPr>
    </w:p>
    <w:p w14:paraId="636CE335" w14:textId="6EC24441" w:rsidR="006118CD" w:rsidRPr="00391419" w:rsidRDefault="00D02BCE" w:rsidP="00B9425C">
      <w:pPr>
        <w:spacing w:after="0" w:line="0" w:lineRule="atLeast"/>
        <w:jc w:val="both"/>
        <w:rPr>
          <w:rFonts w:cs="Calibri"/>
          <w:color w:val="000000" w:themeColor="text1"/>
          <w:szCs w:val="24"/>
        </w:rPr>
      </w:pPr>
      <w:r w:rsidRPr="00391419">
        <w:rPr>
          <w:rFonts w:cs="Calibri"/>
          <w:color w:val="000000" w:themeColor="text1"/>
          <w:szCs w:val="24"/>
        </w:rPr>
        <w:t xml:space="preserve">Throughout development of the co-culture model, TEER measurements were used as a non-destructive indicator of endothelial-barrier formation and culture integrity. Figure 2B presents representative TEER measurements collected from day 3 to day 10 following endothelial-cell seeding. Under the conditions described in this protocol, all representative apical channels exceeded 100 </w:t>
      </w:r>
      <w:proofErr w:type="spellStart"/>
      <w:r w:rsidRPr="00391419">
        <w:rPr>
          <w:rFonts w:cs="Calibri"/>
          <w:color w:val="000000" w:themeColor="text1"/>
          <w:szCs w:val="24"/>
        </w:rPr>
        <w:t>kΩ</w:t>
      </w:r>
      <w:proofErr w:type="spellEnd"/>
      <w:r w:rsidRPr="00391419">
        <w:rPr>
          <w:rFonts w:cs="Calibri"/>
          <w:color w:val="000000" w:themeColor="text1"/>
          <w:szCs w:val="24"/>
        </w:rPr>
        <w:t xml:space="preserve"> by day 10, with some channels approaching 300 </w:t>
      </w:r>
      <w:proofErr w:type="spellStart"/>
      <w:r w:rsidRPr="00391419">
        <w:rPr>
          <w:rFonts w:cs="Calibri"/>
          <w:color w:val="000000" w:themeColor="text1"/>
          <w:szCs w:val="24"/>
        </w:rPr>
        <w:t>kΩ</w:t>
      </w:r>
      <w:proofErr w:type="spellEnd"/>
      <w:r w:rsidRPr="00391419">
        <w:rPr>
          <w:rFonts w:cs="Calibri"/>
          <w:color w:val="000000" w:themeColor="text1"/>
          <w:szCs w:val="24"/>
        </w:rPr>
        <w:t xml:space="preserve">. TEER measurements should be interpreted alongside morphological assessment of the cultures, as values may be influenced by factors including electrode placement, air bubbles, cell density, and shear-flow conditions. For the hCMEC/D3 cultures described here, TEER values above 50 </w:t>
      </w:r>
      <w:proofErr w:type="spellStart"/>
      <w:r w:rsidRPr="00391419">
        <w:rPr>
          <w:rFonts w:cs="Calibri"/>
          <w:color w:val="000000" w:themeColor="text1"/>
          <w:szCs w:val="24"/>
        </w:rPr>
        <w:t>kΩ</w:t>
      </w:r>
      <w:proofErr w:type="spellEnd"/>
      <w:r w:rsidRPr="00391419">
        <w:rPr>
          <w:rFonts w:cs="Calibri"/>
          <w:color w:val="000000" w:themeColor="text1"/>
          <w:szCs w:val="24"/>
        </w:rPr>
        <w:t xml:space="preserve"> were consistently associated with stable </w:t>
      </w:r>
      <w:r w:rsidR="009E1FDE" w:rsidRPr="00391419">
        <w:rPr>
          <w:rFonts w:cs="Calibri"/>
          <w:color w:val="000000" w:themeColor="text1"/>
          <w:szCs w:val="24"/>
        </w:rPr>
        <w:t>3D</w:t>
      </w:r>
      <w:r w:rsidRPr="00391419">
        <w:rPr>
          <w:rFonts w:cs="Calibri"/>
          <w:color w:val="000000" w:themeColor="text1"/>
          <w:szCs w:val="24"/>
        </w:rPr>
        <w:t xml:space="preserve"> endothelial growth. However, TEER values alone do not directly measure molecular permeability or transporter function, and additional functional assays may be required depending on the intended downstream application of the model.</w:t>
      </w:r>
    </w:p>
    <w:p w14:paraId="054C3623" w14:textId="77777777" w:rsidR="00402ADB" w:rsidRPr="00391419" w:rsidRDefault="00402ADB" w:rsidP="00B9425C">
      <w:pPr>
        <w:spacing w:after="0" w:line="0" w:lineRule="atLeast"/>
        <w:jc w:val="both"/>
        <w:rPr>
          <w:rFonts w:cs="Calibri"/>
          <w:color w:val="000000" w:themeColor="text1"/>
          <w:szCs w:val="24"/>
        </w:rPr>
      </w:pPr>
    </w:p>
    <w:p w14:paraId="3A8B7F94" w14:textId="77777777" w:rsidR="00402ADB"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Fluid Mechanics</w:t>
      </w:r>
    </w:p>
    <w:p w14:paraId="79E072B6" w14:textId="77777777" w:rsidR="00D02BCE" w:rsidRPr="00391419" w:rsidRDefault="00D02BC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lastRenderedPageBreak/>
        <w:t xml:space="preserve">Velocity and shear-rate profiles were estimated under idealized flow assumptions, as described in the Fluid Mechanics Calculations section and shown in </w:t>
      </w:r>
      <w:r w:rsidRPr="00391419">
        <w:rPr>
          <w:rFonts w:cs="Calibri"/>
          <w:b/>
          <w:bCs/>
          <w:color w:val="000000" w:themeColor="text1"/>
          <w:szCs w:val="24"/>
          <w:lang w:val="en-IN"/>
        </w:rPr>
        <w:t>Figure 5</w:t>
      </w:r>
      <w:r w:rsidRPr="00391419">
        <w:rPr>
          <w:rFonts w:cs="Calibri"/>
          <w:color w:val="000000" w:themeColor="text1"/>
          <w:szCs w:val="24"/>
          <w:lang w:val="en-IN"/>
        </w:rPr>
        <w:t>. These calculations represent theoretical estimates only and were not experimentally validated using direct flow or shear-stress measurements.</w:t>
      </w:r>
    </w:p>
    <w:p w14:paraId="5AEFFC41" w14:textId="77777777" w:rsidR="00D02BCE" w:rsidRPr="00391419" w:rsidRDefault="00D02BCE" w:rsidP="00B9425C">
      <w:pPr>
        <w:spacing w:after="0" w:line="0" w:lineRule="atLeast"/>
        <w:jc w:val="both"/>
        <w:rPr>
          <w:rFonts w:cs="Calibri"/>
          <w:color w:val="000000" w:themeColor="text1"/>
          <w:szCs w:val="24"/>
          <w:lang w:val="en-IN"/>
        </w:rPr>
      </w:pPr>
    </w:p>
    <w:p w14:paraId="329DB052" w14:textId="3B663445" w:rsidR="00D02BCE" w:rsidRPr="00391419" w:rsidRDefault="00D02BC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Based on the calculated profiles, the estimated wall shear stress near the entry region of the basolateral chamber (Point 2, </w:t>
      </w:r>
      <w:r w:rsidRPr="00391419">
        <w:rPr>
          <w:rFonts w:cs="Calibri"/>
          <w:b/>
          <w:bCs/>
          <w:color w:val="000000" w:themeColor="text1"/>
          <w:szCs w:val="24"/>
          <w:lang w:val="en-IN"/>
        </w:rPr>
        <w:t>Figure 5</w:t>
      </w:r>
      <w:r w:rsidRPr="00391419">
        <w:rPr>
          <w:rFonts w:cs="Calibri"/>
          <w:color w:val="000000" w:themeColor="text1"/>
          <w:szCs w:val="24"/>
          <w:lang w:val="en-IN"/>
        </w:rPr>
        <w:t xml:space="preserve">) was approximately 0.24 mPa (approximately 0.0024 dyne/cm²) and decreased further within the middle region of the basolateral chamber (approximately 0.00054 dyne/cm² at Point 3, </w:t>
      </w:r>
      <w:r w:rsidRPr="00391419">
        <w:rPr>
          <w:rFonts w:cs="Calibri"/>
          <w:b/>
          <w:bCs/>
          <w:color w:val="000000" w:themeColor="text1"/>
          <w:szCs w:val="24"/>
          <w:lang w:val="en-IN"/>
        </w:rPr>
        <w:t>Figure 5</w:t>
      </w:r>
      <w:r w:rsidRPr="00391419">
        <w:rPr>
          <w:rFonts w:cs="Calibri"/>
          <w:color w:val="000000" w:themeColor="text1"/>
          <w:szCs w:val="24"/>
          <w:lang w:val="en-IN"/>
        </w:rPr>
        <w:t>). These low predicted shear-stress conditions suggest that astrocytes within the basolateral chamber are exposed to near-quiescent flow during medium-replenishment cycles, which may support cell attachment and proliferation under the conditions used in this study.</w:t>
      </w:r>
    </w:p>
    <w:p w14:paraId="2141960E" w14:textId="77777777" w:rsidR="00D02BCE" w:rsidRPr="00391419" w:rsidRDefault="00D02BCE" w:rsidP="00B9425C">
      <w:pPr>
        <w:spacing w:after="0" w:line="0" w:lineRule="atLeast"/>
        <w:jc w:val="both"/>
        <w:rPr>
          <w:rFonts w:cs="Calibri"/>
          <w:color w:val="000000" w:themeColor="text1"/>
          <w:szCs w:val="24"/>
          <w:lang w:val="en-IN"/>
        </w:rPr>
      </w:pPr>
    </w:p>
    <w:p w14:paraId="66820B89" w14:textId="62C8EE27" w:rsidR="00D02BCE" w:rsidRPr="00391419" w:rsidRDefault="00D02BC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In contrast, endothelial cells cultured within the outer apical vascular channels were exposed to substantially higher estimated shear stresses, with maximum predicted wall shear-stress values reaching approximately 41 mPa (approximately 0.41 dyne/cm²) at a flow rate of 0.5 µL/min. These conditions were selected to promote endothelial-cell alignment, </w:t>
      </w:r>
      <w:r w:rsidR="009E1FDE" w:rsidRPr="00391419">
        <w:rPr>
          <w:rFonts w:cs="Calibri"/>
          <w:color w:val="000000" w:themeColor="text1"/>
          <w:szCs w:val="24"/>
        </w:rPr>
        <w:t>3D</w:t>
      </w:r>
      <w:r w:rsidRPr="00391419">
        <w:rPr>
          <w:rFonts w:cs="Calibri"/>
          <w:color w:val="000000" w:themeColor="text1"/>
          <w:szCs w:val="24"/>
          <w:lang w:val="en-IN"/>
        </w:rPr>
        <w:t xml:space="preserve"> lumen formation, and increased tight-junction expression during culture progression.</w:t>
      </w:r>
    </w:p>
    <w:p w14:paraId="5BEBE482" w14:textId="77777777" w:rsidR="009E1FDE" w:rsidRPr="00391419" w:rsidRDefault="009E1FDE" w:rsidP="00B9425C">
      <w:pPr>
        <w:spacing w:after="0" w:line="0" w:lineRule="atLeast"/>
        <w:jc w:val="both"/>
        <w:rPr>
          <w:rFonts w:cs="Calibri"/>
          <w:color w:val="000000" w:themeColor="text1"/>
          <w:szCs w:val="24"/>
          <w:lang w:val="en-IN"/>
        </w:rPr>
      </w:pPr>
    </w:p>
    <w:p w14:paraId="18B9AA2E" w14:textId="53C5877F" w:rsidR="00402ADB" w:rsidRPr="00391419" w:rsidRDefault="00D02BC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The calculated shear-stress values are dependent on the assumptions of Newtonian fluid </w:t>
      </w:r>
      <w:proofErr w:type="spellStart"/>
      <w:r w:rsidRPr="00391419">
        <w:rPr>
          <w:rFonts w:cs="Calibri"/>
          <w:color w:val="000000" w:themeColor="text1"/>
          <w:szCs w:val="24"/>
          <w:lang w:val="en-IN"/>
        </w:rPr>
        <w:t>behavior</w:t>
      </w:r>
      <w:proofErr w:type="spellEnd"/>
      <w:r w:rsidRPr="00391419">
        <w:rPr>
          <w:rFonts w:cs="Calibri"/>
          <w:color w:val="000000" w:themeColor="text1"/>
          <w:szCs w:val="24"/>
          <w:lang w:val="en-IN"/>
        </w:rPr>
        <w:t>, steady laminar flow, idealized channel geometry, and the absence of flow resistance caused by cell proliferation or extracellular matrix deposition. Consequently, actual flow conditions within the microfluidic device may differ from the theoretical estimates presented here.</w:t>
      </w:r>
    </w:p>
    <w:p w14:paraId="02F17D2D" w14:textId="77777777" w:rsidR="00D301D9" w:rsidRPr="00391419" w:rsidRDefault="00D301D9" w:rsidP="00B9425C">
      <w:pPr>
        <w:spacing w:after="0" w:line="0" w:lineRule="atLeast"/>
        <w:jc w:val="both"/>
        <w:rPr>
          <w:rFonts w:cs="Calibri"/>
          <w:color w:val="000000" w:themeColor="text1"/>
          <w:szCs w:val="24"/>
        </w:rPr>
      </w:pPr>
    </w:p>
    <w:p w14:paraId="4F61F671" w14:textId="77777777" w:rsidR="00D301D9"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FIGURE AND TABLE LEGENDS:</w:t>
      </w:r>
    </w:p>
    <w:p w14:paraId="0F1004D0" w14:textId="77777777" w:rsidR="00B24580" w:rsidRPr="00391419" w:rsidRDefault="00B24580" w:rsidP="00B9425C">
      <w:pPr>
        <w:spacing w:after="0" w:line="0" w:lineRule="atLeast"/>
        <w:jc w:val="both"/>
        <w:rPr>
          <w:rFonts w:cs="Calibri"/>
          <w:b/>
          <w:bCs/>
          <w:color w:val="000000" w:themeColor="text1"/>
          <w:szCs w:val="24"/>
        </w:rPr>
      </w:pPr>
      <w:r w:rsidRPr="00391419">
        <w:rPr>
          <w:rFonts w:cs="Calibri"/>
          <w:b/>
          <w:bCs/>
          <w:color w:val="000000" w:themeColor="text1"/>
          <w:szCs w:val="24"/>
        </w:rPr>
        <w:t xml:space="preserve">Figure 1. Architecture and handling setup of the blood–brain barrier (BBB) microfluidic chip model. </w:t>
      </w:r>
      <w:r w:rsidRPr="00391419">
        <w:rPr>
          <w:rFonts w:cs="Calibri"/>
          <w:color w:val="000000" w:themeColor="text1"/>
          <w:szCs w:val="24"/>
        </w:rPr>
        <w:t>(</w:t>
      </w:r>
      <w:r w:rsidRPr="00391419">
        <w:rPr>
          <w:rFonts w:cs="Calibri"/>
          <w:b/>
          <w:bCs/>
          <w:color w:val="000000" w:themeColor="text1"/>
          <w:szCs w:val="24"/>
        </w:rPr>
        <w:t>A</w:t>
      </w:r>
      <w:r w:rsidRPr="00391419">
        <w:rPr>
          <w:rFonts w:cs="Calibri"/>
          <w:color w:val="000000" w:themeColor="text1"/>
          <w:szCs w:val="24"/>
        </w:rPr>
        <w:t xml:space="preserve">) Schematic representation of the microfluidic BBB chip showing the outer apical vascular channels used for culturing human cerebral microvascular endothelial cells (hCMEC/D3; blue) and the inner basolateral chamber used for culturing human primary astrocytes (red). Electrode ports positioned adjacent to the endothelial channels enable transendothelial electrical resistance (TEER) measurements. Micropillar channels permit physical and chemical communication between compartments. Schematic created using </w:t>
      </w:r>
      <w:proofErr w:type="spellStart"/>
      <w:r w:rsidRPr="00391419">
        <w:rPr>
          <w:rFonts w:cs="Calibri"/>
          <w:color w:val="000000" w:themeColor="text1"/>
          <w:szCs w:val="24"/>
        </w:rPr>
        <w:t>BioRender</w:t>
      </w:r>
      <w:proofErr w:type="spellEnd"/>
      <w:r w:rsidRPr="00391419">
        <w:rPr>
          <w:rFonts w:cs="Calibri"/>
          <w:color w:val="000000" w:themeColor="text1"/>
          <w:szCs w:val="24"/>
        </w:rPr>
        <w:t>. (</w:t>
      </w:r>
      <w:r w:rsidRPr="00391419">
        <w:rPr>
          <w:rFonts w:cs="Calibri"/>
          <w:b/>
          <w:bCs/>
          <w:color w:val="000000" w:themeColor="text1"/>
          <w:szCs w:val="24"/>
        </w:rPr>
        <w:t>B</w:t>
      </w:r>
      <w:r w:rsidRPr="00391419">
        <w:rPr>
          <w:rFonts w:cs="Calibri"/>
          <w:color w:val="000000" w:themeColor="text1"/>
          <w:szCs w:val="24"/>
        </w:rPr>
        <w:t>) Representative brightfield images showing the architecture of the microfluidic chip and micropillar interface. (</w:t>
      </w:r>
      <w:r w:rsidRPr="00391419">
        <w:rPr>
          <w:rFonts w:cs="Calibri"/>
          <w:b/>
          <w:bCs/>
          <w:color w:val="000000" w:themeColor="text1"/>
          <w:szCs w:val="24"/>
        </w:rPr>
        <w:t>C</w:t>
      </w:r>
      <w:r w:rsidRPr="00391419">
        <w:rPr>
          <w:rFonts w:cs="Calibri"/>
          <w:color w:val="000000" w:themeColor="text1"/>
          <w:szCs w:val="24"/>
        </w:rPr>
        <w:t>) Representative images of the microfluidic chip perfused with dye to visualize channel connectivity and fluid distribution. (</w:t>
      </w:r>
      <w:r w:rsidRPr="00391419">
        <w:rPr>
          <w:rFonts w:cs="Calibri"/>
          <w:b/>
          <w:bCs/>
          <w:color w:val="000000" w:themeColor="text1"/>
          <w:szCs w:val="24"/>
        </w:rPr>
        <w:t>D</w:t>
      </w:r>
      <w:r w:rsidRPr="00391419">
        <w:rPr>
          <w:rFonts w:cs="Calibri"/>
          <w:color w:val="000000" w:themeColor="text1"/>
          <w:szCs w:val="24"/>
        </w:rPr>
        <w:t xml:space="preserve">) Example configuration of the humidity box used during chip incubation, including representative dimensions and placement of waste-collection tubes. </w:t>
      </w:r>
    </w:p>
    <w:p w14:paraId="74956265" w14:textId="77777777" w:rsidR="00B24580" w:rsidRPr="00391419" w:rsidRDefault="00B24580" w:rsidP="00B9425C">
      <w:pPr>
        <w:spacing w:after="0" w:line="0" w:lineRule="atLeast"/>
        <w:jc w:val="both"/>
        <w:rPr>
          <w:rFonts w:cs="Calibri"/>
          <w:color w:val="000000" w:themeColor="text1"/>
          <w:szCs w:val="24"/>
        </w:rPr>
      </w:pPr>
    </w:p>
    <w:p w14:paraId="21ECBDCC" w14:textId="77777777" w:rsidR="00B24580" w:rsidRPr="00391419" w:rsidRDefault="00B24580" w:rsidP="00B9425C">
      <w:pPr>
        <w:spacing w:after="0" w:line="0" w:lineRule="atLeast"/>
        <w:jc w:val="both"/>
        <w:rPr>
          <w:rFonts w:cs="Calibri"/>
          <w:b/>
          <w:bCs/>
          <w:color w:val="000000" w:themeColor="text1"/>
          <w:szCs w:val="24"/>
        </w:rPr>
      </w:pPr>
      <w:r w:rsidRPr="00391419">
        <w:rPr>
          <w:rFonts w:cs="Calibri"/>
          <w:b/>
          <w:bCs/>
          <w:color w:val="000000" w:themeColor="text1"/>
          <w:szCs w:val="24"/>
        </w:rPr>
        <w:t xml:space="preserve">Figure 2. Measurement of TEER in the BBB microfluidic chip model. </w:t>
      </w:r>
      <w:r w:rsidRPr="00391419">
        <w:rPr>
          <w:rFonts w:cs="Calibri"/>
          <w:color w:val="000000" w:themeColor="text1"/>
          <w:szCs w:val="24"/>
        </w:rPr>
        <w:t>(</w:t>
      </w:r>
      <w:r w:rsidRPr="00391419">
        <w:rPr>
          <w:rFonts w:cs="Calibri"/>
          <w:b/>
          <w:bCs/>
          <w:color w:val="000000" w:themeColor="text1"/>
          <w:szCs w:val="24"/>
        </w:rPr>
        <w:t>A</w:t>
      </w:r>
      <w:r w:rsidRPr="00391419">
        <w:rPr>
          <w:rFonts w:cs="Calibri"/>
          <w:color w:val="000000" w:themeColor="text1"/>
          <w:szCs w:val="24"/>
        </w:rPr>
        <w:t xml:space="preserve">) Schematic representation of electrode placement for TEER measurements across the endothelial barrier within the microfluidic chip. Electrodes were inserted into the apical and basolateral electrode ports to measure impedance across the endothelial cell layer at 500 Hz, 1 kHz, and 10 kHz. Schematic created using </w:t>
      </w:r>
      <w:proofErr w:type="spellStart"/>
      <w:r w:rsidRPr="00391419">
        <w:rPr>
          <w:rFonts w:cs="Calibri"/>
          <w:color w:val="000000" w:themeColor="text1"/>
          <w:szCs w:val="24"/>
        </w:rPr>
        <w:t>BioRender</w:t>
      </w:r>
      <w:proofErr w:type="spellEnd"/>
      <w:r w:rsidRPr="00391419">
        <w:rPr>
          <w:rFonts w:cs="Calibri"/>
          <w:color w:val="000000" w:themeColor="text1"/>
          <w:szCs w:val="24"/>
        </w:rPr>
        <w:t>. (</w:t>
      </w:r>
      <w:r w:rsidRPr="00391419">
        <w:rPr>
          <w:rFonts w:cs="Calibri"/>
          <w:b/>
          <w:bCs/>
          <w:color w:val="000000" w:themeColor="text1"/>
          <w:szCs w:val="24"/>
        </w:rPr>
        <w:t>B</w:t>
      </w:r>
      <w:r w:rsidRPr="00391419">
        <w:rPr>
          <w:rFonts w:cs="Calibri"/>
          <w:color w:val="000000" w:themeColor="text1"/>
          <w:szCs w:val="24"/>
        </w:rPr>
        <w:t xml:space="preserve">) Representative progression of TEER values measured at 1 kHz between day 4 and day 10 following endothelial-cell seeding. Individual lines represent separate apical endothelial channels from three independent microfluidic </w:t>
      </w:r>
      <w:r w:rsidRPr="00391419">
        <w:rPr>
          <w:rFonts w:cs="Calibri"/>
          <w:color w:val="000000" w:themeColor="text1"/>
          <w:szCs w:val="24"/>
        </w:rPr>
        <w:lastRenderedPageBreak/>
        <w:t xml:space="preserve">chips (n = 6 channels). Values are presented as resistance measurements following subtraction of background TEER measured in coated cell-free chips. </w:t>
      </w:r>
    </w:p>
    <w:p w14:paraId="1239ED64" w14:textId="77777777" w:rsidR="00B24580" w:rsidRPr="00391419" w:rsidRDefault="00B24580" w:rsidP="00B9425C">
      <w:pPr>
        <w:spacing w:after="0" w:line="0" w:lineRule="atLeast"/>
        <w:jc w:val="both"/>
        <w:rPr>
          <w:rFonts w:cs="Calibri"/>
          <w:color w:val="000000" w:themeColor="text1"/>
          <w:szCs w:val="24"/>
        </w:rPr>
      </w:pPr>
    </w:p>
    <w:p w14:paraId="5354C43B" w14:textId="77777777" w:rsidR="00B24580" w:rsidRPr="00391419" w:rsidRDefault="00B24580" w:rsidP="00B9425C">
      <w:pPr>
        <w:spacing w:after="0" w:line="0" w:lineRule="atLeast"/>
        <w:jc w:val="both"/>
        <w:rPr>
          <w:rFonts w:cs="Calibri"/>
          <w:b/>
          <w:bCs/>
          <w:color w:val="000000" w:themeColor="text1"/>
          <w:szCs w:val="24"/>
        </w:rPr>
      </w:pPr>
      <w:r w:rsidRPr="00391419">
        <w:rPr>
          <w:rFonts w:cs="Calibri"/>
          <w:b/>
          <w:bCs/>
          <w:color w:val="000000" w:themeColor="text1"/>
          <w:szCs w:val="24"/>
        </w:rPr>
        <w:t xml:space="preserve">Figure 3. Representative brightfield images demonstrating endothelial-cell growth and co-culture establishment within the BBB microfluidic chip model. </w:t>
      </w:r>
      <w:r w:rsidRPr="00391419">
        <w:rPr>
          <w:rFonts w:cs="Calibri"/>
          <w:color w:val="000000" w:themeColor="text1"/>
          <w:szCs w:val="24"/>
        </w:rPr>
        <w:t>(</w:t>
      </w:r>
      <w:r w:rsidRPr="00391419">
        <w:rPr>
          <w:rFonts w:cs="Calibri"/>
          <w:b/>
          <w:bCs/>
          <w:color w:val="000000" w:themeColor="text1"/>
          <w:szCs w:val="24"/>
        </w:rPr>
        <w:t>A</w:t>
      </w:r>
      <w:r w:rsidRPr="00391419">
        <w:rPr>
          <w:rFonts w:cs="Calibri"/>
          <w:color w:val="000000" w:themeColor="text1"/>
          <w:szCs w:val="24"/>
        </w:rPr>
        <w:t>) Representative endothelial-cell distribution immediately following seeding of hCMEC/D3 into the apical vascular channel. (</w:t>
      </w:r>
      <w:r w:rsidRPr="00391419">
        <w:rPr>
          <w:rFonts w:cs="Calibri"/>
          <w:b/>
          <w:bCs/>
          <w:color w:val="000000" w:themeColor="text1"/>
          <w:szCs w:val="24"/>
        </w:rPr>
        <w:t>B–D</w:t>
      </w:r>
      <w:r w:rsidRPr="00391419">
        <w:rPr>
          <w:rFonts w:cs="Calibri"/>
          <w:color w:val="000000" w:themeColor="text1"/>
          <w:szCs w:val="24"/>
        </w:rPr>
        <w:t>) Representative progression of endothelial-cell growth, barrier formation, and lumen development within the apical channel at increasing culture durations. (</w:t>
      </w:r>
      <w:r w:rsidRPr="00391419">
        <w:rPr>
          <w:rFonts w:cs="Calibri"/>
          <w:b/>
          <w:bCs/>
          <w:color w:val="000000" w:themeColor="text1"/>
          <w:szCs w:val="24"/>
        </w:rPr>
        <w:t>E</w:t>
      </w:r>
      <w:r w:rsidRPr="00391419">
        <w:rPr>
          <w:rFonts w:cs="Calibri"/>
          <w:color w:val="000000" w:themeColor="text1"/>
          <w:szCs w:val="24"/>
        </w:rPr>
        <w:t>) Representative co-culture showing hCMEC/D3 endothelial cells within the apical vascular channels and human primary astrocytes within the basolateral chamber. (</w:t>
      </w:r>
      <w:r w:rsidRPr="00391419">
        <w:rPr>
          <w:rFonts w:cs="Calibri"/>
          <w:b/>
          <w:bCs/>
          <w:color w:val="000000" w:themeColor="text1"/>
          <w:szCs w:val="24"/>
        </w:rPr>
        <w:t>F</w:t>
      </w:r>
      <w:r w:rsidRPr="00391419">
        <w:rPr>
          <w:rFonts w:cs="Calibri"/>
          <w:color w:val="000000" w:themeColor="text1"/>
          <w:szCs w:val="24"/>
        </w:rPr>
        <w:t xml:space="preserve">) Representative failed culture resulting from endothelial-cell detachment and loss of barrier formation within the apical channel. Brightfield images were acquired using identical microscope settings where possible. </w:t>
      </w:r>
    </w:p>
    <w:p w14:paraId="75F90065" w14:textId="77777777" w:rsidR="00B24580" w:rsidRPr="00391419" w:rsidRDefault="00B24580" w:rsidP="00B9425C">
      <w:pPr>
        <w:spacing w:after="0" w:line="0" w:lineRule="atLeast"/>
        <w:jc w:val="both"/>
        <w:rPr>
          <w:rFonts w:cs="Calibri"/>
          <w:color w:val="000000" w:themeColor="text1"/>
          <w:szCs w:val="24"/>
        </w:rPr>
      </w:pPr>
    </w:p>
    <w:p w14:paraId="6C911148" w14:textId="77777777" w:rsidR="00B24580" w:rsidRPr="00391419" w:rsidRDefault="00B24580" w:rsidP="00B9425C">
      <w:pPr>
        <w:spacing w:after="0" w:line="0" w:lineRule="atLeast"/>
        <w:jc w:val="both"/>
        <w:rPr>
          <w:rFonts w:cs="Calibri"/>
          <w:b/>
          <w:bCs/>
          <w:color w:val="000000" w:themeColor="text1"/>
          <w:szCs w:val="24"/>
        </w:rPr>
      </w:pPr>
      <w:r w:rsidRPr="00391419">
        <w:rPr>
          <w:rFonts w:cs="Calibri"/>
          <w:b/>
          <w:bCs/>
          <w:color w:val="000000" w:themeColor="text1"/>
          <w:szCs w:val="24"/>
        </w:rPr>
        <w:t xml:space="preserve">Figure 4. Automated syringe-pump setup for medium replenishment and shear-flow induction. </w:t>
      </w:r>
      <w:r w:rsidRPr="00391419">
        <w:rPr>
          <w:rFonts w:cs="Calibri"/>
          <w:color w:val="000000" w:themeColor="text1"/>
          <w:szCs w:val="24"/>
        </w:rPr>
        <w:t>(</w:t>
      </w:r>
      <w:r w:rsidRPr="00391419">
        <w:rPr>
          <w:rFonts w:cs="Calibri"/>
          <w:b/>
          <w:bCs/>
          <w:color w:val="000000" w:themeColor="text1"/>
          <w:szCs w:val="24"/>
        </w:rPr>
        <w:t>A</w:t>
      </w:r>
      <w:r w:rsidRPr="00391419">
        <w:rPr>
          <w:rFonts w:cs="Calibri"/>
          <w:color w:val="000000" w:themeColor="text1"/>
          <w:szCs w:val="24"/>
        </w:rPr>
        <w:t>) Programmable syringe pump equipped with an extension rack enabling simultaneous operation of multiple syringes connected to microfluidic chips. (</w:t>
      </w:r>
      <w:r w:rsidRPr="00391419">
        <w:rPr>
          <w:rFonts w:cs="Calibri"/>
          <w:b/>
          <w:bCs/>
          <w:color w:val="000000" w:themeColor="text1"/>
          <w:szCs w:val="24"/>
        </w:rPr>
        <w:t>B</w:t>
      </w:r>
      <w:r w:rsidRPr="00391419">
        <w:rPr>
          <w:rFonts w:cs="Calibri"/>
          <w:color w:val="000000" w:themeColor="text1"/>
          <w:szCs w:val="24"/>
        </w:rPr>
        <w:t xml:space="preserve">) Representative screen-by-screen workflow used to configure automated infusion protocols, including method creation, syringe selection, flow-rate programming, pause intervals, and repeat cycles for automated medium replenishment and shear-flow application. Screens are representative of the syringe-pump model used in this study and may differ between manufacturers. </w:t>
      </w:r>
    </w:p>
    <w:p w14:paraId="1450FB42" w14:textId="77777777" w:rsidR="00B24580" w:rsidRPr="00391419" w:rsidRDefault="00B24580" w:rsidP="00B9425C">
      <w:pPr>
        <w:spacing w:after="0" w:line="0" w:lineRule="atLeast"/>
        <w:jc w:val="both"/>
        <w:rPr>
          <w:rFonts w:cs="Calibri"/>
          <w:color w:val="000000" w:themeColor="text1"/>
          <w:szCs w:val="24"/>
        </w:rPr>
      </w:pPr>
    </w:p>
    <w:p w14:paraId="01C3CF73" w14:textId="77777777" w:rsidR="00B24580" w:rsidRPr="00391419" w:rsidRDefault="00B24580" w:rsidP="00B9425C">
      <w:pPr>
        <w:spacing w:after="0" w:line="0" w:lineRule="atLeast"/>
        <w:jc w:val="both"/>
        <w:rPr>
          <w:rFonts w:cs="Calibri"/>
          <w:b/>
          <w:bCs/>
          <w:color w:val="000000" w:themeColor="text1"/>
          <w:szCs w:val="24"/>
        </w:rPr>
      </w:pPr>
      <w:r w:rsidRPr="00391419">
        <w:rPr>
          <w:rFonts w:cs="Calibri"/>
          <w:b/>
          <w:bCs/>
          <w:color w:val="000000" w:themeColor="text1"/>
          <w:szCs w:val="24"/>
        </w:rPr>
        <w:t xml:space="preserve">Figure 5. Representative fluid-mechanics calculations and estimated flow profiles within the BBB microfluidic chip. </w:t>
      </w:r>
      <w:r w:rsidRPr="00391419">
        <w:rPr>
          <w:rFonts w:cs="Calibri"/>
          <w:color w:val="000000" w:themeColor="text1"/>
          <w:szCs w:val="24"/>
        </w:rPr>
        <w:t>Representative velocity (u, mm/s) and shear-rate (γ̇, s⁻¹) profiles calculated for five regions of the microfluidic device under idealized steady-state Poiseuille-flow assumptions. Profiles correspond to the labeled locations shown on the chip schematic: (1) basolateral-chamber inlet, (2) basolateral-chamber entry region, (3) center of the basolateral chamber, (4) apical vascular-channel inlet, and (5) apical vascular-channel cross-section. Solid green lines represent calculated velocity profiles and dashed red lines represent calculated shear-rate profiles. Calculations assume incompressible Newtonian flow and do not account for resistance introduced by cell growth, extracellular-matrix deposition, or other biological factors. Flow calculations were performed using a volumetric flow rate of 0.0083 mm³/s (0.5 µL/min).</w:t>
      </w:r>
    </w:p>
    <w:p w14:paraId="4FFA124B" w14:textId="77777777" w:rsidR="00B24580" w:rsidRPr="00391419" w:rsidRDefault="00B24580" w:rsidP="00B9425C">
      <w:pPr>
        <w:spacing w:after="0" w:line="0" w:lineRule="atLeast"/>
        <w:jc w:val="both"/>
        <w:rPr>
          <w:rFonts w:cs="Calibri"/>
          <w:color w:val="000000" w:themeColor="text1"/>
          <w:szCs w:val="24"/>
        </w:rPr>
      </w:pPr>
    </w:p>
    <w:p w14:paraId="283F8D7A" w14:textId="479CA4D5" w:rsidR="007F6280" w:rsidRPr="00391419" w:rsidRDefault="00B24580" w:rsidP="00B9425C">
      <w:pPr>
        <w:spacing w:after="0" w:line="0" w:lineRule="atLeast"/>
        <w:jc w:val="both"/>
        <w:rPr>
          <w:rFonts w:cs="Calibri"/>
          <w:color w:val="000000" w:themeColor="text1"/>
          <w:szCs w:val="24"/>
        </w:rPr>
      </w:pPr>
      <w:r w:rsidRPr="00391419">
        <w:rPr>
          <w:rFonts w:cs="Calibri"/>
          <w:b/>
          <w:bCs/>
          <w:color w:val="000000" w:themeColor="text1"/>
          <w:szCs w:val="24"/>
        </w:rPr>
        <w:t xml:space="preserve">Figure 6. Immunofluorescent characterization of the co-culture BBB microfluidic chip model. </w:t>
      </w:r>
      <w:r w:rsidRPr="00391419">
        <w:rPr>
          <w:rFonts w:cs="Calibri"/>
          <w:color w:val="000000" w:themeColor="text1"/>
          <w:szCs w:val="24"/>
        </w:rPr>
        <w:t>(</w:t>
      </w:r>
      <w:r w:rsidRPr="00391419">
        <w:rPr>
          <w:rFonts w:cs="Calibri"/>
          <w:b/>
          <w:bCs/>
          <w:color w:val="000000" w:themeColor="text1"/>
          <w:szCs w:val="24"/>
        </w:rPr>
        <w:t>A</w:t>
      </w:r>
      <w:r w:rsidRPr="00391419">
        <w:rPr>
          <w:rFonts w:cs="Calibri"/>
          <w:color w:val="000000" w:themeColor="text1"/>
          <w:szCs w:val="24"/>
        </w:rPr>
        <w:t>) Representative confocal image showing organization of the endothelial–astrocyte co-culture within the microfluidic chip. hCMEC/D3 lining the apical vascular channels express the endothelial marker cluster of differentiation 31 (CD31; green) and the tight-junction protein zonula occludens-1 (ZO-1; red). Human primary astrocytes within the basolateral chamber express glial fibrillary acidic protein (GFAP; yellow). Cell nuclei were counterstained with 4′,6-diamidino-2-phenylindole (DAPI; blue). Representative astrocytic projections extending toward the vascular channels through the micropillar interface are visible. Non-channel regions of the device were digitally masked during image processing to improve visualization of the regions of interest. Scale bar = 200 µm. (Inset) Higher-magnification view of endothelial-cell organization within the vascular channel. (</w:t>
      </w:r>
      <w:r w:rsidRPr="00391419">
        <w:rPr>
          <w:rFonts w:cs="Calibri"/>
          <w:b/>
          <w:bCs/>
          <w:color w:val="000000" w:themeColor="text1"/>
          <w:szCs w:val="24"/>
        </w:rPr>
        <w:t>B</w:t>
      </w:r>
      <w:r w:rsidRPr="00391419">
        <w:rPr>
          <w:rFonts w:cs="Calibri"/>
          <w:color w:val="000000" w:themeColor="text1"/>
          <w:szCs w:val="24"/>
        </w:rPr>
        <w:t xml:space="preserve">) Representative confocal z-stack cross-sectional reconstruction demonstrating lumen formation within the apical </w:t>
      </w:r>
      <w:r w:rsidRPr="00391419">
        <w:rPr>
          <w:rFonts w:cs="Calibri"/>
          <w:color w:val="000000" w:themeColor="text1"/>
          <w:szCs w:val="24"/>
        </w:rPr>
        <w:lastRenderedPageBreak/>
        <w:t>vascular channel. Scale bar = 30 µm. Images were acquired using a Leica DMi8 inverted microscope coupled with an Andor Dragonfly spinning-disk confocal imaging system.</w:t>
      </w:r>
    </w:p>
    <w:p w14:paraId="0356E7C7" w14:textId="77777777" w:rsidR="00B24580" w:rsidRPr="00391419" w:rsidRDefault="00B24580" w:rsidP="00B9425C">
      <w:pPr>
        <w:spacing w:after="0" w:line="0" w:lineRule="atLeast"/>
        <w:jc w:val="both"/>
        <w:rPr>
          <w:rFonts w:cs="Calibri"/>
          <w:color w:val="000000" w:themeColor="text1"/>
          <w:szCs w:val="24"/>
        </w:rPr>
      </w:pPr>
    </w:p>
    <w:p w14:paraId="6252C89D" w14:textId="5111B869" w:rsidR="00CC15B3" w:rsidRPr="00391419" w:rsidRDefault="00454B60" w:rsidP="00B9425C">
      <w:pPr>
        <w:spacing w:after="0" w:line="0" w:lineRule="atLeast"/>
        <w:jc w:val="both"/>
        <w:rPr>
          <w:rFonts w:cs="Calibri"/>
          <w:color w:val="000000" w:themeColor="text1"/>
          <w:szCs w:val="24"/>
        </w:rPr>
      </w:pPr>
      <w:r w:rsidRPr="00391419">
        <w:rPr>
          <w:rFonts w:cs="Calibri"/>
          <w:b/>
          <w:bCs/>
          <w:color w:val="000000" w:themeColor="text1"/>
          <w:szCs w:val="24"/>
        </w:rPr>
        <w:t>Table 1. Immunofluorescent staining reagents used for characterization of endothelial cells and astrocytes within the BBB microfluidic chip model.</w:t>
      </w:r>
      <w:r w:rsidRPr="00391419">
        <w:rPr>
          <w:rFonts w:cs="Calibri"/>
          <w:color w:val="000000" w:themeColor="text1"/>
          <w:szCs w:val="24"/>
        </w:rPr>
        <w:t xml:space="preserve"> The table lists the primary antibodies, secondary antibodies, fluorochrome conjugates, fluorescence channels, and working dilutions used for immunofluorescent staining and confocal imaging of hCMEC/D3 and human primary astrocytes cultured within the BBB microfluidic chip. Antibodies were diluted in permeabilization solution and applied according to the staining procedure described in the Protocol. Fluorescence-channel assignments correspond to the representative images shown in Figure 6.</w:t>
      </w:r>
    </w:p>
    <w:p w14:paraId="4A903750" w14:textId="77777777" w:rsidR="00A519C4" w:rsidRPr="00391419" w:rsidRDefault="00A519C4" w:rsidP="00B9425C">
      <w:pPr>
        <w:spacing w:after="0" w:line="0" w:lineRule="atLeast"/>
        <w:jc w:val="both"/>
        <w:rPr>
          <w:rFonts w:cs="Calibri"/>
          <w:color w:val="000000" w:themeColor="text1"/>
          <w:szCs w:val="24"/>
        </w:rPr>
      </w:pPr>
    </w:p>
    <w:p w14:paraId="14F9E369" w14:textId="079AC69C" w:rsidR="00E226FC" w:rsidRPr="00391419" w:rsidRDefault="002615BD" w:rsidP="00B9425C">
      <w:pPr>
        <w:spacing w:after="0" w:line="0" w:lineRule="atLeast"/>
        <w:jc w:val="both"/>
        <w:rPr>
          <w:rFonts w:cs="Calibri"/>
          <w:b/>
          <w:bCs/>
          <w:color w:val="000000" w:themeColor="text1"/>
          <w:szCs w:val="24"/>
        </w:rPr>
      </w:pPr>
      <w:r w:rsidRPr="00391419">
        <w:rPr>
          <w:rFonts w:cs="Calibri"/>
          <w:b/>
          <w:bCs/>
          <w:color w:val="000000" w:themeColor="text1"/>
          <w:szCs w:val="24"/>
        </w:rPr>
        <w:t>SUPPLEMENTARY</w:t>
      </w:r>
      <w:r w:rsidR="008A7126" w:rsidRPr="00391419">
        <w:rPr>
          <w:rFonts w:cs="Calibri"/>
          <w:b/>
          <w:bCs/>
          <w:color w:val="000000" w:themeColor="text1"/>
          <w:szCs w:val="24"/>
        </w:rPr>
        <w:t xml:space="preserve"> FILES:</w:t>
      </w:r>
    </w:p>
    <w:p w14:paraId="15401D96" w14:textId="445DB66B" w:rsidR="002615BD"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t>Supplementary Figure 1. Workflow for establishment of the co-culture BBB microfluidic-chip model.</w:t>
      </w:r>
      <w:r w:rsidRPr="00391419">
        <w:rPr>
          <w:rFonts w:cs="Calibri"/>
          <w:color w:val="000000" w:themeColor="text1"/>
          <w:szCs w:val="24"/>
        </w:rPr>
        <w:t xml:space="preserve"> Representative workflow illustrating the sequential stages used to establish the endothelial cell–astrocyte co-culture BBB microfluidic model, including endothelial-cell expansion, nitrogen priming, basement-membrane coating, background TEER measurement, endothelial-cell seeding, endothelial-cell culture and monitoring, astrocyte seeding, introduction of gradual shear flow, and downstream experimental applications. Approximate culture timelines and progression from static culture to continuous shear-flow conditioning are shown. Typical experimental endpoints include TEER measurements, immunofluorescence imaging, gene-expression analysis, pathogen-infection studies, and therapeutic or drug-screening applications.</w:t>
      </w:r>
    </w:p>
    <w:p w14:paraId="57BBB64B" w14:textId="77777777" w:rsidR="002615BD" w:rsidRPr="00391419" w:rsidRDefault="002615BD" w:rsidP="00B9425C">
      <w:pPr>
        <w:spacing w:after="0" w:line="0" w:lineRule="atLeast"/>
        <w:jc w:val="both"/>
        <w:rPr>
          <w:rFonts w:cs="Calibri"/>
          <w:color w:val="000000" w:themeColor="text1"/>
          <w:szCs w:val="24"/>
        </w:rPr>
      </w:pPr>
    </w:p>
    <w:p w14:paraId="574D3AEE" w14:textId="5266445C" w:rsidR="002615BD"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t xml:space="preserve">Supplementary Figure 2. Relative expression of endothelial-cell tight-junction and adherens-junction genes in microfluidic </w:t>
      </w:r>
      <w:r w:rsidR="009E1FDE" w:rsidRPr="00391419">
        <w:rPr>
          <w:rFonts w:cs="Calibri"/>
          <w:b/>
          <w:bCs/>
          <w:color w:val="000000" w:themeColor="text1"/>
          <w:szCs w:val="24"/>
        </w:rPr>
        <w:t>BBB</w:t>
      </w:r>
      <w:r w:rsidRPr="00391419">
        <w:rPr>
          <w:rFonts w:cs="Calibri"/>
          <w:b/>
          <w:bCs/>
          <w:color w:val="000000" w:themeColor="text1"/>
          <w:szCs w:val="24"/>
        </w:rPr>
        <w:t xml:space="preserve"> chips. </w:t>
      </w:r>
      <w:r w:rsidRPr="00391419">
        <w:rPr>
          <w:rFonts w:cs="Calibri"/>
          <w:color w:val="000000" w:themeColor="text1"/>
          <w:szCs w:val="24"/>
        </w:rPr>
        <w:t xml:space="preserve">Relative gene expression of zonula occludens-1 (TJP1/ZO-1), claudin-5 (CLDN5), vascular endothelial cadherin (CDH5/VE-cadherin), and occludin (OCLN) was measured in hCMEC/D3 endothelial cells cultured within microfluidic BBB chips. Gene-expression values were </w:t>
      </w:r>
      <w:r w:rsidR="00E528FC" w:rsidRPr="00391419">
        <w:rPr>
          <w:rFonts w:cs="Calibri"/>
          <w:color w:val="000000" w:themeColor="text1"/>
          <w:szCs w:val="24"/>
        </w:rPr>
        <w:t>normalized</w:t>
      </w:r>
      <w:r w:rsidRPr="00391419">
        <w:rPr>
          <w:rFonts w:cs="Calibri"/>
          <w:color w:val="000000" w:themeColor="text1"/>
          <w:szCs w:val="24"/>
        </w:rPr>
        <w:t xml:space="preserve"> to ACTB expression and are presented on a logarithmic scale. Individual </w:t>
      </w:r>
      <w:r w:rsidR="00E528FC" w:rsidRPr="00391419">
        <w:rPr>
          <w:rFonts w:cs="Calibri"/>
          <w:color w:val="000000" w:themeColor="text1"/>
          <w:szCs w:val="24"/>
        </w:rPr>
        <w:t>colored</w:t>
      </w:r>
      <w:r w:rsidRPr="00391419">
        <w:rPr>
          <w:rFonts w:cs="Calibri"/>
          <w:color w:val="000000" w:themeColor="text1"/>
          <w:szCs w:val="24"/>
        </w:rPr>
        <w:t xml:space="preserve"> data points represent separate apical channels obtained from three independent microfluidic chips (1L, 1R, 2L, 2R, 3L, and 3R), with two technical replicates </w:t>
      </w:r>
      <w:r w:rsidR="00E528FC" w:rsidRPr="00391419">
        <w:rPr>
          <w:rFonts w:cs="Calibri"/>
          <w:color w:val="000000" w:themeColor="text1"/>
          <w:szCs w:val="24"/>
        </w:rPr>
        <w:t>analyzed</w:t>
      </w:r>
      <w:r w:rsidRPr="00391419">
        <w:rPr>
          <w:rFonts w:cs="Calibri"/>
          <w:color w:val="000000" w:themeColor="text1"/>
          <w:szCs w:val="24"/>
        </w:rPr>
        <w:t xml:space="preserve"> per channel. Total RNA was isolated using TRIzol reagent, RNA quality was assessed by </w:t>
      </w:r>
      <w:proofErr w:type="spellStart"/>
      <w:r w:rsidRPr="00391419">
        <w:rPr>
          <w:rFonts w:cs="Calibri"/>
          <w:color w:val="000000" w:themeColor="text1"/>
          <w:szCs w:val="24"/>
        </w:rPr>
        <w:t>NanoDrop</w:t>
      </w:r>
      <w:proofErr w:type="spellEnd"/>
      <w:r w:rsidRPr="00391419">
        <w:rPr>
          <w:rFonts w:cs="Calibri"/>
          <w:color w:val="000000" w:themeColor="text1"/>
          <w:szCs w:val="24"/>
        </w:rPr>
        <w:t xml:space="preserve"> spectrophotometry, and gene expression was quantified using a one-step reverse-transcription quantitative polymerase chain reaction (RT-qPCR) system. Primer/probe information is provided in the Table of Materials. Thermal-cycling conditions consisted of reverse transcription at 45°C for 15 min, initial denaturation at 95°C for 2 min, followed by 45 amplification cycles of 95°C for 3 s and 55°C for 30 s. Boxes indicate the interquartile range, </w:t>
      </w:r>
      <w:r w:rsidR="00E528FC" w:rsidRPr="00391419">
        <w:rPr>
          <w:rFonts w:cs="Calibri"/>
          <w:color w:val="000000" w:themeColor="text1"/>
          <w:szCs w:val="24"/>
        </w:rPr>
        <w:t>center</w:t>
      </w:r>
      <w:r w:rsidRPr="00391419">
        <w:rPr>
          <w:rFonts w:cs="Calibri"/>
          <w:color w:val="000000" w:themeColor="text1"/>
          <w:szCs w:val="24"/>
        </w:rPr>
        <w:t xml:space="preserve"> lines indicate the median, and whiskers indicate the minimum and maximum values.</w:t>
      </w:r>
    </w:p>
    <w:p w14:paraId="48DA9494" w14:textId="77777777" w:rsidR="002615BD" w:rsidRPr="00391419" w:rsidRDefault="002615BD" w:rsidP="00B9425C">
      <w:pPr>
        <w:spacing w:after="0" w:line="0" w:lineRule="atLeast"/>
        <w:jc w:val="both"/>
        <w:rPr>
          <w:rFonts w:cs="Calibri"/>
          <w:color w:val="000000" w:themeColor="text1"/>
          <w:szCs w:val="24"/>
        </w:rPr>
      </w:pPr>
    </w:p>
    <w:p w14:paraId="0482BC9F" w14:textId="6C779AC3" w:rsidR="002615BD"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t xml:space="preserve">Supplementary Table 1. Additional methodological notes supporting the development and operation of the microfluidic BBB model. </w:t>
      </w:r>
      <w:r w:rsidRPr="00391419">
        <w:rPr>
          <w:rFonts w:cs="Calibri"/>
          <w:color w:val="000000" w:themeColor="text1"/>
          <w:szCs w:val="24"/>
        </w:rPr>
        <w:t>The table provides supplementary information related to cell culture, nitrogen priming, microfluidic-device quality control, humidity-box preparation, and astrocyte culture that supports reproducibility of the protocol. These notes are intended to complement, but not replace, the procedural steps described in the main Protocol.</w:t>
      </w:r>
    </w:p>
    <w:p w14:paraId="268AE4D9" w14:textId="77777777" w:rsidR="002615BD" w:rsidRPr="00391419" w:rsidRDefault="002615BD" w:rsidP="00B9425C">
      <w:pPr>
        <w:spacing w:after="0" w:line="0" w:lineRule="atLeast"/>
        <w:jc w:val="both"/>
        <w:rPr>
          <w:rFonts w:cs="Calibri"/>
          <w:color w:val="000000" w:themeColor="text1"/>
          <w:szCs w:val="24"/>
        </w:rPr>
      </w:pPr>
    </w:p>
    <w:p w14:paraId="397A1E71" w14:textId="05E20C92" w:rsidR="002615BD"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lastRenderedPageBreak/>
        <w:t xml:space="preserve">Supplementary Table 2. Representative syringe-pump programming workflow used to automate periodic medium replenishment within the apical endothelial channels before the introduction of continuous shear flow. </w:t>
      </w:r>
      <w:r w:rsidRPr="00391419">
        <w:rPr>
          <w:rFonts w:cs="Calibri"/>
          <w:color w:val="000000" w:themeColor="text1"/>
          <w:szCs w:val="24"/>
        </w:rPr>
        <w:t xml:space="preserve">The workflow was </w:t>
      </w:r>
      <w:r w:rsidR="00E528FC" w:rsidRPr="00391419">
        <w:rPr>
          <w:rFonts w:cs="Calibri"/>
          <w:color w:val="000000" w:themeColor="text1"/>
          <w:szCs w:val="24"/>
        </w:rPr>
        <w:t>optimized</w:t>
      </w:r>
      <w:r w:rsidRPr="00391419">
        <w:rPr>
          <w:rFonts w:cs="Calibri"/>
          <w:color w:val="000000" w:themeColor="text1"/>
          <w:szCs w:val="24"/>
        </w:rPr>
        <w:t xml:space="preserve"> for the experimental conditions used in this study, including tubing dimensions, coating conditions, and cell type. Modifications to these parameters may require further </w:t>
      </w:r>
      <w:r w:rsidR="00E528FC" w:rsidRPr="00391419">
        <w:rPr>
          <w:rFonts w:cs="Calibri"/>
          <w:color w:val="000000" w:themeColor="text1"/>
          <w:szCs w:val="24"/>
        </w:rPr>
        <w:t>optimization</w:t>
      </w:r>
      <w:r w:rsidRPr="00391419">
        <w:rPr>
          <w:rFonts w:cs="Calibri"/>
          <w:color w:val="000000" w:themeColor="text1"/>
          <w:szCs w:val="24"/>
        </w:rPr>
        <w:t xml:space="preserve"> of the programmed feeding schedule. Programming interfaces and terminology may vary between syringe-pump manufacturers. Users should adapt the workflow as required for their specific syringe-pump system.</w:t>
      </w:r>
    </w:p>
    <w:p w14:paraId="1CEEA514" w14:textId="77777777" w:rsidR="002615BD" w:rsidRPr="00391419" w:rsidRDefault="002615BD" w:rsidP="00B9425C">
      <w:pPr>
        <w:spacing w:after="0" w:line="0" w:lineRule="atLeast"/>
        <w:jc w:val="both"/>
        <w:rPr>
          <w:rFonts w:cs="Calibri"/>
          <w:color w:val="000000" w:themeColor="text1"/>
          <w:szCs w:val="24"/>
        </w:rPr>
      </w:pPr>
    </w:p>
    <w:p w14:paraId="0A3FA372" w14:textId="71D02B78" w:rsidR="002615BD"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t>Supplementary Table 3. Representative syringe-pump programming workflow used to gradually introduce continuous shear flow to endothelial-cell cultures within the microfluidic BBB model.</w:t>
      </w:r>
      <w:r w:rsidRPr="00391419">
        <w:rPr>
          <w:rFonts w:cs="Calibri"/>
          <w:color w:val="000000" w:themeColor="text1"/>
          <w:szCs w:val="24"/>
        </w:rPr>
        <w:t xml:space="preserve"> Flow rates were increased incrementally to </w:t>
      </w:r>
      <w:r w:rsidR="00E528FC" w:rsidRPr="00391419">
        <w:rPr>
          <w:rFonts w:cs="Calibri"/>
          <w:color w:val="000000" w:themeColor="text1"/>
          <w:szCs w:val="24"/>
        </w:rPr>
        <w:t>minimize</w:t>
      </w:r>
      <w:r w:rsidRPr="00391419">
        <w:rPr>
          <w:rFonts w:cs="Calibri"/>
          <w:color w:val="000000" w:themeColor="text1"/>
          <w:szCs w:val="24"/>
        </w:rPr>
        <w:t xml:space="preserve"> endothelial-cell detachment and allow adaptation to flow conditions. The table includes representative flow-conditioning steps and corresponding medium-delivery volumes. Final programmed volumes should be verified according to the syringe size, flow-conditioning parameters, and experimental requirements used. All flow-conditioning parameters are representative of the conditions used in this study and may require optimi</w:t>
      </w:r>
      <w:r w:rsidR="003D1A4A" w:rsidRPr="00391419">
        <w:rPr>
          <w:rFonts w:cs="Calibri"/>
          <w:color w:val="000000" w:themeColor="text1"/>
          <w:szCs w:val="24"/>
        </w:rPr>
        <w:t>z</w:t>
      </w:r>
      <w:r w:rsidRPr="00391419">
        <w:rPr>
          <w:rFonts w:cs="Calibri"/>
          <w:color w:val="000000" w:themeColor="text1"/>
          <w:szCs w:val="24"/>
        </w:rPr>
        <w:t>ation for alternative cell types, microfluidic devices, or culture conditions.</w:t>
      </w:r>
    </w:p>
    <w:p w14:paraId="466E0236" w14:textId="77777777" w:rsidR="002615BD" w:rsidRPr="00391419" w:rsidRDefault="002615BD" w:rsidP="00B9425C">
      <w:pPr>
        <w:spacing w:after="0" w:line="0" w:lineRule="atLeast"/>
        <w:jc w:val="both"/>
        <w:rPr>
          <w:rFonts w:cs="Calibri"/>
          <w:color w:val="000000" w:themeColor="text1"/>
          <w:szCs w:val="24"/>
        </w:rPr>
      </w:pPr>
    </w:p>
    <w:p w14:paraId="0557BB7F" w14:textId="4F6B032B" w:rsidR="002615BD"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t>Supplementary Table 4. Representative syringe-pump programming workflow used to automate medium replenishment within the basolateral astrocyte channel of the microfluidic BBB model.</w:t>
      </w:r>
      <w:r w:rsidRPr="00391419">
        <w:rPr>
          <w:rFonts w:cs="Calibri"/>
          <w:color w:val="000000" w:themeColor="text1"/>
          <w:szCs w:val="24"/>
        </w:rPr>
        <w:t xml:space="preserve"> The workflow consists of periodic medium infusion followed by extended pause intervals to </w:t>
      </w:r>
      <w:r w:rsidR="00E528FC" w:rsidRPr="00391419">
        <w:rPr>
          <w:rFonts w:cs="Calibri"/>
          <w:color w:val="000000" w:themeColor="text1"/>
          <w:szCs w:val="24"/>
        </w:rPr>
        <w:t>minimize</w:t>
      </w:r>
      <w:r w:rsidRPr="00391419">
        <w:rPr>
          <w:rFonts w:cs="Calibri"/>
          <w:color w:val="000000" w:themeColor="text1"/>
          <w:szCs w:val="24"/>
        </w:rPr>
        <w:t xml:space="preserve"> disturbance of the astrocyte culture. Automated replenishment was included as an optional procedure and was not experimentally validated against manual medium replacement. Users adopting automated astrocyte feeding should independently verify astrocyte viability, morphology, and culture performance under their specific experimental conditions.</w:t>
      </w:r>
    </w:p>
    <w:p w14:paraId="11C09D81" w14:textId="77777777" w:rsidR="002615BD" w:rsidRPr="00391419" w:rsidRDefault="002615BD" w:rsidP="00B9425C">
      <w:pPr>
        <w:spacing w:after="0" w:line="0" w:lineRule="atLeast"/>
        <w:jc w:val="both"/>
        <w:rPr>
          <w:rFonts w:cs="Calibri"/>
          <w:color w:val="000000" w:themeColor="text1"/>
          <w:szCs w:val="24"/>
        </w:rPr>
      </w:pPr>
    </w:p>
    <w:p w14:paraId="25671157" w14:textId="4031B674" w:rsidR="002615BD"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t>Supplementary Table 5. Representative fluid-mechanics calculations used to estimate velocity, shear-rate, and wall shear-stress profiles within the microfluidic BBB device.</w:t>
      </w:r>
      <w:r w:rsidRPr="00391419">
        <w:rPr>
          <w:rFonts w:cs="Calibri"/>
          <w:color w:val="000000" w:themeColor="text1"/>
          <w:szCs w:val="24"/>
        </w:rPr>
        <w:t xml:space="preserve"> Calculations were performed for the basolateral astrocyte chamber and apical vascular channels using </w:t>
      </w:r>
      <w:r w:rsidR="00E528FC" w:rsidRPr="00391419">
        <w:rPr>
          <w:rFonts w:cs="Calibri"/>
          <w:color w:val="000000" w:themeColor="text1"/>
          <w:szCs w:val="24"/>
        </w:rPr>
        <w:t>idealized</w:t>
      </w:r>
      <w:r w:rsidRPr="00391419">
        <w:rPr>
          <w:rFonts w:cs="Calibri"/>
          <w:color w:val="000000" w:themeColor="text1"/>
          <w:szCs w:val="24"/>
        </w:rPr>
        <w:t xml:space="preserve"> assumptions of Newtonian-fluid </w:t>
      </w:r>
      <w:r w:rsidR="00E528FC" w:rsidRPr="00391419">
        <w:rPr>
          <w:rFonts w:cs="Calibri"/>
          <w:color w:val="000000" w:themeColor="text1"/>
          <w:szCs w:val="24"/>
        </w:rPr>
        <w:t>behavior</w:t>
      </w:r>
      <w:r w:rsidRPr="00391419">
        <w:rPr>
          <w:rFonts w:cs="Calibri"/>
          <w:color w:val="000000" w:themeColor="text1"/>
          <w:szCs w:val="24"/>
        </w:rPr>
        <w:t xml:space="preserve"> and laminar flow. These calculations are intended to provide theoretical estimates of flow characteristics under the experimental conditions used in this study and were not experimentally validated. Calculated values do not account for changes in flow resistance associated with cell growth, extracellular-matrix deposition, channel fouling, or other biological factors that may occur during culture.</w:t>
      </w:r>
    </w:p>
    <w:p w14:paraId="7E110846" w14:textId="77777777" w:rsidR="002615BD" w:rsidRPr="00391419" w:rsidRDefault="002615BD" w:rsidP="00B9425C">
      <w:pPr>
        <w:spacing w:after="0" w:line="0" w:lineRule="atLeast"/>
        <w:jc w:val="both"/>
        <w:rPr>
          <w:rFonts w:cs="Calibri"/>
          <w:b/>
          <w:bCs/>
          <w:color w:val="000000" w:themeColor="text1"/>
          <w:szCs w:val="24"/>
        </w:rPr>
      </w:pPr>
    </w:p>
    <w:p w14:paraId="6E77652E" w14:textId="58EDBCD7" w:rsidR="002615BD"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t>Supplementary Table 6. Confocal microscopy setup and image-acquisition workflow used for imaging microfluidic BBB cultures.</w:t>
      </w:r>
      <w:r w:rsidRPr="00391419">
        <w:rPr>
          <w:rFonts w:cs="Calibri"/>
          <w:color w:val="000000" w:themeColor="text1"/>
          <w:szCs w:val="24"/>
        </w:rPr>
        <w:t xml:space="preserve"> The table </w:t>
      </w:r>
      <w:r w:rsidR="00177C34" w:rsidRPr="00391419">
        <w:rPr>
          <w:rFonts w:cs="Calibri"/>
          <w:color w:val="000000" w:themeColor="text1"/>
          <w:szCs w:val="24"/>
        </w:rPr>
        <w:t>summarizes</w:t>
      </w:r>
      <w:r w:rsidRPr="00391419">
        <w:rPr>
          <w:rFonts w:cs="Calibri"/>
          <w:color w:val="000000" w:themeColor="text1"/>
          <w:szCs w:val="24"/>
        </w:rPr>
        <w:t xml:space="preserve"> microscope configuration, fluorescence-channel setup, image-acquisition procedures, and image-processing considerations used during imaging experiments. Detailed acquisition parameters used in this study are provided in Supplementary Table 7. Any image-processing, masking, segmentation, or </w:t>
      </w:r>
      <w:r w:rsidR="00E528FC" w:rsidRPr="00391419">
        <w:rPr>
          <w:rFonts w:cs="Calibri"/>
          <w:color w:val="000000" w:themeColor="text1"/>
          <w:szCs w:val="24"/>
        </w:rPr>
        <w:t>visualization</w:t>
      </w:r>
      <w:r w:rsidRPr="00391419">
        <w:rPr>
          <w:rFonts w:cs="Calibri"/>
          <w:color w:val="000000" w:themeColor="text1"/>
          <w:szCs w:val="24"/>
        </w:rPr>
        <w:t xml:space="preserve"> adjustments applied to representative images should be disclosed in the corresponding figure legends and should not alter the biological interpretation of the data.</w:t>
      </w:r>
    </w:p>
    <w:p w14:paraId="75718A5F" w14:textId="77777777" w:rsidR="002615BD" w:rsidRPr="00391419" w:rsidRDefault="002615BD" w:rsidP="00B9425C">
      <w:pPr>
        <w:spacing w:after="0" w:line="0" w:lineRule="atLeast"/>
        <w:jc w:val="both"/>
        <w:rPr>
          <w:rFonts w:cs="Calibri"/>
          <w:color w:val="000000" w:themeColor="text1"/>
          <w:szCs w:val="24"/>
        </w:rPr>
      </w:pPr>
    </w:p>
    <w:p w14:paraId="2E7C2873" w14:textId="588D32FA" w:rsidR="00E226FC" w:rsidRPr="00391419" w:rsidRDefault="002615BD" w:rsidP="00B9425C">
      <w:pPr>
        <w:spacing w:after="0" w:line="0" w:lineRule="atLeast"/>
        <w:jc w:val="both"/>
        <w:rPr>
          <w:rFonts w:cs="Calibri"/>
          <w:color w:val="000000" w:themeColor="text1"/>
          <w:szCs w:val="24"/>
        </w:rPr>
      </w:pPr>
      <w:r w:rsidRPr="00391419">
        <w:rPr>
          <w:rFonts w:cs="Calibri"/>
          <w:b/>
          <w:bCs/>
          <w:color w:val="000000" w:themeColor="text1"/>
          <w:szCs w:val="24"/>
        </w:rPr>
        <w:t>Supplementary Table 7. Representative imaging-acquisition, processing, and analysis parameters used for confocal microscopy of microfluidic BBB cultures.</w:t>
      </w:r>
      <w:r w:rsidRPr="00391419">
        <w:rPr>
          <w:rFonts w:cs="Calibri"/>
          <w:color w:val="000000" w:themeColor="text1"/>
          <w:szCs w:val="24"/>
        </w:rPr>
        <w:t xml:space="preserve"> Images were </w:t>
      </w:r>
      <w:r w:rsidRPr="00391419">
        <w:rPr>
          <w:rFonts w:cs="Calibri"/>
          <w:color w:val="000000" w:themeColor="text1"/>
          <w:szCs w:val="24"/>
        </w:rPr>
        <w:lastRenderedPageBreak/>
        <w:t xml:space="preserve">acquired using a Leica DMi8 inverted microscope coupled with an Andor Dragonfly spinning-disk confocal imaging system. Acquisition settings, fluorescence-channel configurations, software versions, and image-processing procedures used to generate representative images are </w:t>
      </w:r>
      <w:r w:rsidR="00E528FC" w:rsidRPr="00391419">
        <w:rPr>
          <w:rFonts w:cs="Calibri"/>
          <w:color w:val="000000" w:themeColor="text1"/>
          <w:szCs w:val="24"/>
        </w:rPr>
        <w:t>summarized</w:t>
      </w:r>
      <w:r w:rsidRPr="00391419">
        <w:rPr>
          <w:rFonts w:cs="Calibri"/>
          <w:color w:val="000000" w:themeColor="text1"/>
          <w:szCs w:val="24"/>
        </w:rPr>
        <w:t xml:space="preserve">. Identical acquisition settings were maintained within experimental comparisons wherever possible to </w:t>
      </w:r>
      <w:r w:rsidR="00E528FC" w:rsidRPr="00391419">
        <w:rPr>
          <w:rFonts w:cs="Calibri"/>
          <w:color w:val="000000" w:themeColor="text1"/>
          <w:szCs w:val="24"/>
        </w:rPr>
        <w:t>minimize</w:t>
      </w:r>
      <w:r w:rsidRPr="00391419">
        <w:rPr>
          <w:rFonts w:cs="Calibri"/>
          <w:color w:val="000000" w:themeColor="text1"/>
          <w:szCs w:val="24"/>
        </w:rPr>
        <w:t xml:space="preserve"> imaging-related variability. Image-processing procedures were applied for </w:t>
      </w:r>
      <w:r w:rsidR="00E528FC" w:rsidRPr="00391419">
        <w:rPr>
          <w:rFonts w:cs="Calibri"/>
          <w:color w:val="000000" w:themeColor="text1"/>
          <w:szCs w:val="24"/>
        </w:rPr>
        <w:t>visualization</w:t>
      </w:r>
      <w:r w:rsidRPr="00391419">
        <w:rPr>
          <w:rFonts w:cs="Calibri"/>
          <w:color w:val="000000" w:themeColor="text1"/>
          <w:szCs w:val="24"/>
        </w:rPr>
        <w:t xml:space="preserve"> purposes only. Any masking, segmentation, stitching, projection, or intensity-adjustment steps should be reported transparently and interpreted in the context of the original image data.</w:t>
      </w:r>
    </w:p>
    <w:p w14:paraId="3A799B68" w14:textId="77777777" w:rsidR="004F7330" w:rsidRPr="00391419" w:rsidRDefault="004F7330" w:rsidP="00B9425C">
      <w:pPr>
        <w:spacing w:after="0" w:line="0" w:lineRule="atLeast"/>
        <w:jc w:val="both"/>
        <w:rPr>
          <w:rFonts w:cs="Calibri"/>
          <w:b/>
          <w:bCs/>
          <w:color w:val="000000" w:themeColor="text1"/>
          <w:szCs w:val="24"/>
        </w:rPr>
      </w:pPr>
    </w:p>
    <w:p w14:paraId="0601E3D3" w14:textId="28CDD215" w:rsidR="004F7330"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DISCUSSION:</w:t>
      </w:r>
    </w:p>
    <w:p w14:paraId="2AC8B2A2" w14:textId="797AA4F3" w:rsidR="005E603F" w:rsidRPr="00391419" w:rsidRDefault="0091272D" w:rsidP="00B9425C">
      <w:pPr>
        <w:spacing w:after="0" w:line="0" w:lineRule="atLeast"/>
        <w:jc w:val="both"/>
        <w:rPr>
          <w:rFonts w:cs="Calibri"/>
          <w:color w:val="000000" w:themeColor="text1"/>
          <w:szCs w:val="24"/>
        </w:rPr>
      </w:pPr>
      <w:r w:rsidRPr="00391419">
        <w:rPr>
          <w:rFonts w:cs="Calibri"/>
          <w:color w:val="000000" w:themeColor="text1"/>
          <w:szCs w:val="24"/>
        </w:rPr>
        <w:t>Research involving the BBB remains challenging because of the limited availability of reproducible and physiologically relevant experimental models. This paper describes a co-culture BBB microfluidic-chip protocol using immortalized hCMEC/D3 endothelial cells and primary human astrocytes. In contrast to traditional static systems, such as Transwell models, this protocol incorporates programmable shear flow using syringe pumps to partially replicate selected physiological features of the BBB within an in vitro environment. Although static BBB models, including porcine-based systems, can produce high TEER values and remain valuable alternatives</w:t>
      </w:r>
      <w:r w:rsidR="00C81743" w:rsidRPr="00391419">
        <w:rPr>
          <w:rFonts w:cs="Calibri"/>
          <w:color w:val="000000" w:themeColor="text1"/>
          <w:szCs w:val="24"/>
          <w:vertAlign w:val="superscript"/>
        </w:rPr>
        <w:fldChar w:fldCharType="begin"/>
      </w:r>
      <w:r w:rsidR="003B27FD" w:rsidRPr="00391419">
        <w:rPr>
          <w:rFonts w:cs="Calibri"/>
          <w:color w:val="000000" w:themeColor="text1"/>
          <w:szCs w:val="24"/>
          <w:vertAlign w:val="superscript"/>
        </w:rPr>
        <w:instrText xml:space="preserve"> ADDIN ZOTERO_ITEM CSL_CITATION {"citationID":"XqlyyiTJ","properties":{"formattedCitation":"(14)","plainCitation":"(14)","noteIndex":0},"citationItems":[{"id":1167,"uris":["http://zotero.org/users/10225791/items/GL8ZYTHJ"],"itemData":{"id":1167,"type":"article-journal","abstract":"The blood-brain barrier (BBB) is formed by the endothelial cells of cerebral microvessels and forms the critical interface regulating molecular flux between blood and brain. It contributes to homoeostasis of the microenvironment of the central nervous system and protection from pathogens and toxins. Key features of the BBB phenotype are presence of complex intercellular tight junctions giving a high transendothelial electrical resistance (TEER), and strongly polarised (apical:basal) localisation of transporters and receptors. In vitro BBB models have been developed from primary culture of brain endothelial cells of several mammalian species, but most require exposure to astrocytic factors to maintain the BBB phenotype. Other limitations include complicated procedures for isolation, poor yield and batch-to-batch variability. Some immortalised brain endothelial cell models have proved useful for transport studies but most lack certain BBB features and have low TEER. We have developed an in vitro BBB model using primary cultured porcine brain endothelial cells (PBECs) which is relatively simple to prepare, robust, and reliably gives high TEER (mean~800 Ω cm(2)); it also shows good functional expression of key tight junction proteins, transporters, receptors and enzymes. The model can be used either in monoculture, for studies of molecular flux including permeability screening, or in co-culture with astrocytes when certain specialised features (e.g. receptor-mediated transcytosis) need to be maximally expressed. It is also suitable for a range of studies of cell:cell interaction in normal physiology and in pathology. The method for isolating and growing the PBECs is given in detail to facilitate adoption of the model. This article is part of a Special Issue entitled Companion Paper.","container-title":"Brain Research","DOI":"10.1016/j.brainres.2013.04.006","ISSN":"1872-6240","journalAbbreviation":"Brain Res","language":"eng","page":"16-30","PMID":"23603406","PMCID":"PMC3694295","source":"PubMed","title":"A detailed method for preparation of a functional and flexible blood-brain barrier model using porcine brain endothelial cells","volume":"1521","author":[{"family":"Patabendige","given":"Adjanie"},{"family":"Skinner","given":"Robert A."},{"family":"Morgan","given":"Louise"},{"family":"Abbott","given":"N. Joan"}],"issued":{"date-parts":[["2013",7,12]]}}}],"schema":"https://github.com/citation-style-language/schema/raw/master/csl-citation.json"} </w:instrText>
      </w:r>
      <w:r w:rsidR="00C81743"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14</w:t>
      </w:r>
      <w:r w:rsidR="00C81743" w:rsidRPr="00391419">
        <w:rPr>
          <w:rFonts w:cs="Calibri"/>
          <w:color w:val="000000" w:themeColor="text1"/>
          <w:szCs w:val="24"/>
          <w:vertAlign w:val="superscript"/>
        </w:rPr>
        <w:fldChar w:fldCharType="end"/>
      </w:r>
      <w:r w:rsidR="00406704" w:rsidRPr="00391419">
        <w:rPr>
          <w:rFonts w:cs="Calibri"/>
          <w:color w:val="000000" w:themeColor="text1"/>
          <w:szCs w:val="24"/>
        </w:rPr>
        <w:t>,</w:t>
      </w:r>
      <w:r w:rsidR="00F756E4" w:rsidRPr="00391419">
        <w:rPr>
          <w:rFonts w:cs="Calibri"/>
          <w:color w:val="000000" w:themeColor="text1"/>
          <w:szCs w:val="24"/>
        </w:rPr>
        <w:t xml:space="preserve"> </w:t>
      </w:r>
      <w:r w:rsidRPr="00391419">
        <w:rPr>
          <w:rFonts w:cs="Calibri"/>
          <w:color w:val="000000" w:themeColor="text1"/>
          <w:szCs w:val="24"/>
        </w:rPr>
        <w:t>shear flow has been shown to influence endothelial-cell differentiation, tight-junction formation, transporter expression, and metabolic regulation associated with BBB phenotypes</w:t>
      </w:r>
      <w:r w:rsidR="006643D1" w:rsidRPr="00391419">
        <w:rPr>
          <w:rFonts w:cs="Calibri"/>
          <w:color w:val="000000" w:themeColor="text1"/>
          <w:szCs w:val="24"/>
          <w:vertAlign w:val="superscript"/>
        </w:rPr>
        <w:fldChar w:fldCharType="begin"/>
      </w:r>
      <w:r w:rsidR="003B27FD" w:rsidRPr="00391419">
        <w:rPr>
          <w:rFonts w:cs="Calibri"/>
          <w:color w:val="000000" w:themeColor="text1"/>
          <w:szCs w:val="24"/>
          <w:vertAlign w:val="superscript"/>
        </w:rPr>
        <w:instrText xml:space="preserve"> ADDIN ZOTERO_ITEM CSL_CITATION {"citationID":"p7IevE5j","properties":{"formattedCitation":"(9)","plainCitation":"(9)","noteIndex":0},"citationItems":[{"id":588,"uris":["http://zotero.org/users/10225791/items/BCG2TBK5","http://zotero.org/users/10225791/items/347SRVYI"],"itemData":{"id":588,"type":"article-journal","abstract":"BACKGROUND: One of the most important and often neglected physiological stimuli contributing to the differentiation of vascular endothelial cells (ECs) into a blood-brain barrier (BBB) phenotype is shear stress (SS). With the use of a well established humanized dynamic in vitro BBB model and cDNA microarrays, we have profiled the effect of SS in the induction/suppression of ECs genes and related functions.\nRESULTS: Specifically, we found a significant upregulation of tight and adherens junctions proteins and genes. Trans-endothelial electrical resistance (TEER) and permeability measurements to know substances have shown that SS promoted the formation of a tight and highly selective BBB. SS also increased the RNA level of multidrug resistance transporters, ion channels, and several p450 enzymes. The RNA level of a number of specialized carrier-mediated transport systems (e.g., glucose, monocarboxylic acid, etc.) was also upregulated.RNA levels of modulatory enzymes of the glycolytic pathway (e.g., lactate dehydrogenase) were downregulated by SS while those involved in the Krebs cycle (e.g., lactate and other dehydrogenases) were upregulated. Measurements of glucose consumption versus lactate production showed that SS negatively modulated the glycolytic bioenergetic pathways of glucose metabolism in favor of the more efficient aerobic respiration. BBB ECs are responsive to inflammatory stimuli. Our data showed that SS increased the RNA levels of integrins and vascular adhesion molecules. SS also inhibited endothelial cell cycle via regulation of BTG family proteins encoding genes. This was paralleled by significant increase in the cytoskeletal protein content while that of membrane, cytosol, and nuclear sub-cellular fractions decreased. Furthermore, analysis of 2D gel electrophoresis (which allows identifying a large number of proteins per sample) of EC proteins extracted from membrane sub-cellular endothelial fractions showed that SS increased the expression levels of tight junction proteins. In addition, regulatory enzymes of the Krebb's cycle (aerobic glucose metabolism) were also upregulated. Furthermore, the expression pattern of key protein regulators of the cell cycle and parallel gene array data supported a cell proliferation inhibitory role for SS.\nCONCLUSIONS: Genomic and proteomic analyses are currently used to examine BBB function in healthy and diseased brain and characterize this dynamic interface. In this study we showed that SS plays a key role in promoting the differentiation of vascular endothelial cells into a truly BBB phenotype. SS affected multiple aspect of the endothelial physiology spanning from tight junctions formation to cell division as well as the expression of multidrug resistance transporters. BBB dysfunction has been observed in many neurological diseases, but the causes are generally unknown. Our study provides essential insights to understand the role played by SS in the BBB formation and maintenance.","container-title":"BMC neuroscience","DOI":"10.1186/1471-2202-12-40","ISSN":"1471-2202","journalAbbreviation":"BMC Neurosci","language":"eng","page":"40","PMID":"21569296","PMCID":"PMC3103473","source":"PubMed","title":"The role of shear stress in Blood-Brain Barrier endothelial physiology","volume":"12","author":[{"family":"Cucullo","given":"Luca"},{"family":"Hossain","given":"Mohammed"},{"family":"Puvenna","given":"Vikram"},{"family":"Marchi","given":"Nicola"},{"family":"Janigro","given":"Damir"}],"issued":{"date-parts":[["2011",5,11]]}}}],"schema":"https://github.com/citation-style-language/schema/raw/master/csl-citation.json"} </w:instrText>
      </w:r>
      <w:r w:rsidR="006643D1"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9</w:t>
      </w:r>
      <w:r w:rsidR="006643D1" w:rsidRPr="00391419">
        <w:rPr>
          <w:rFonts w:cs="Calibri"/>
          <w:color w:val="000000" w:themeColor="text1"/>
          <w:szCs w:val="24"/>
          <w:vertAlign w:val="superscript"/>
        </w:rPr>
        <w:fldChar w:fldCharType="end"/>
      </w:r>
      <w:r w:rsidR="00DE5E37" w:rsidRPr="00391419">
        <w:rPr>
          <w:rFonts w:cs="Calibri"/>
          <w:color w:val="000000" w:themeColor="text1"/>
          <w:szCs w:val="24"/>
        </w:rPr>
        <w:t>.</w:t>
      </w:r>
    </w:p>
    <w:p w14:paraId="21C1590B" w14:textId="77777777" w:rsidR="005E603F" w:rsidRPr="00391419" w:rsidRDefault="005E603F" w:rsidP="00B9425C">
      <w:pPr>
        <w:spacing w:after="0" w:line="0" w:lineRule="atLeast"/>
        <w:jc w:val="both"/>
        <w:rPr>
          <w:rFonts w:cs="Calibri"/>
          <w:color w:val="000000" w:themeColor="text1"/>
          <w:szCs w:val="24"/>
        </w:rPr>
      </w:pPr>
    </w:p>
    <w:p w14:paraId="248BF31C" w14:textId="0522AB3F" w:rsidR="00985E38" w:rsidRPr="00391419" w:rsidRDefault="00321ADB" w:rsidP="00B9425C">
      <w:pPr>
        <w:spacing w:after="0" w:line="0" w:lineRule="atLeast"/>
        <w:jc w:val="both"/>
        <w:rPr>
          <w:rFonts w:cs="Calibri"/>
          <w:color w:val="000000" w:themeColor="text1"/>
          <w:szCs w:val="24"/>
        </w:rPr>
      </w:pPr>
      <w:r w:rsidRPr="00391419">
        <w:rPr>
          <w:rFonts w:cs="Calibri"/>
          <w:color w:val="000000" w:themeColor="text1"/>
          <w:szCs w:val="24"/>
        </w:rPr>
        <w:t xml:space="preserve">Using simplified fluid-mechanics calculations under idealized flow assumptions, the theoretical upper limits of shear rates and shear stresses experienced by cells within the microfluidic device can be estimated. These calculations provide a useful framework for comparing feeding and culture conditions between studies rather than relying solely on manufacturer-provided flow metrics. The velocity and shear-rate profiles shown in </w:t>
      </w:r>
      <w:r w:rsidRPr="00391419">
        <w:rPr>
          <w:rFonts w:cs="Calibri"/>
          <w:b/>
          <w:bCs/>
          <w:color w:val="000000" w:themeColor="text1"/>
          <w:szCs w:val="24"/>
        </w:rPr>
        <w:t>Figure 5</w:t>
      </w:r>
      <w:r w:rsidRPr="00391419">
        <w:rPr>
          <w:rFonts w:cs="Calibri"/>
          <w:color w:val="000000" w:themeColor="text1"/>
          <w:szCs w:val="24"/>
        </w:rPr>
        <w:t xml:space="preserve"> demonstrate that flow behavior differs substantially between the outer apical channels and the inner basolateral chamber, highlighting the influence of device geometry on local flow conditions and predicted cellular shear exposure. Consequently, direct comparison of syringe-pump flow rates alone may not accurately reflect the shear stresses experienced by endothelial cells across different microfluidic platforms.</w:t>
      </w:r>
      <w:r w:rsidR="008A7126" w:rsidRPr="00391419">
        <w:rPr>
          <w:rFonts w:cs="Calibri"/>
          <w:color w:val="000000" w:themeColor="text1"/>
          <w:szCs w:val="24"/>
        </w:rPr>
        <w:t xml:space="preserve"> </w:t>
      </w:r>
      <w:r w:rsidRPr="00391419">
        <w:rPr>
          <w:rFonts w:cs="Calibri"/>
          <w:color w:val="000000" w:themeColor="text1"/>
          <w:szCs w:val="24"/>
        </w:rPr>
        <w:t xml:space="preserve">The estimated shear-flow conditions in this model are lower than those reported for some smaller microvascular systems and may be more representative of larger </w:t>
      </w:r>
      <w:proofErr w:type="spellStart"/>
      <w:r w:rsidRPr="00391419">
        <w:rPr>
          <w:rFonts w:cs="Calibri"/>
          <w:color w:val="000000" w:themeColor="text1"/>
          <w:szCs w:val="24"/>
        </w:rPr>
        <w:t>microvessels</w:t>
      </w:r>
      <w:proofErr w:type="spellEnd"/>
      <w:r w:rsidRPr="00391419">
        <w:rPr>
          <w:rFonts w:cs="Calibri"/>
          <w:color w:val="000000" w:themeColor="text1"/>
          <w:szCs w:val="24"/>
        </w:rPr>
        <w:t xml:space="preserve"> or post-capillary venules</w:t>
      </w:r>
      <w:r w:rsidR="00115D21" w:rsidRPr="00391419">
        <w:rPr>
          <w:rFonts w:cs="Calibri"/>
          <w:color w:val="000000" w:themeColor="text1"/>
          <w:szCs w:val="24"/>
          <w:vertAlign w:val="superscript"/>
        </w:rPr>
        <w:fldChar w:fldCharType="begin"/>
      </w:r>
      <w:r w:rsidR="00115D21" w:rsidRPr="00391419">
        <w:rPr>
          <w:rFonts w:cs="Calibri"/>
          <w:color w:val="000000" w:themeColor="text1"/>
          <w:szCs w:val="24"/>
          <w:vertAlign w:val="superscript"/>
        </w:rPr>
        <w:instrText xml:space="preserve"> ADDIN ZOTERO_ITEM CSL_CITATION {"citationID":"VOcN7S28","properties":{"formattedCitation":"(15)","plainCitation":"(15)","noteIndex":0},"citationItems":[{"id":3155,"uris":["http://zotero.org/users/10225791/items/B7FYKJBZ"],"itemData":{"id":3155,"type":"article-journal","abstract":"Shear stress and the endothelium. Vascular endothelial cells (ECs) in vivo are influenced by two distinct hemodynamic forces: cyclical strain due to vessel wall distention by transmural pressure, and shear stress, the frictional force generated by blood flow. Shear stress acts at the apical cell surface to deform cells in the direction of blood flow; wall distention tends to deform cells in all directions. The shear stress response differs, at least partly, from the cyclical strain response, suggesting that cytoskeletal strain alone cannot explain it. Acute shear stress in vitro elicits rapid cytoskeletal remodeling and activates signaling cascades in ECs, with the consequent acute release of nitric oxide and prostacyclin; activation of transcription factors nuclear factor (NF)kappaB, c-fos, c-jun and SP-1; and transcriptional activation of genes, including ICAM-1, MCP-1, tissue factor, platelet-derived growth factor-B (PDGF-B), transforming growth factor (TGF)-beta1, cyclooxygenase-II, and endothelial nitric oxide synthase (eNOS). This response thus shares similarities with EC responses to inflammatory cytokines. In contrast, ECs adapt to chronic shear stress by structural remodeling and flattening to minimize shear stress. Such cells become very adherent to their substratum and show evidence of differentiation. Increased adhesion following chronic shear stress has been exploited to generate vascular grafts with confluent EC monolayers, retained after implantation in vivo, thus overcoming a major obstacle to endothelialization of vascular prostheses.","container-title":"Kidney International. Supplement","DOI":"10.1046/j.1523-1755.1998.06720.x","ISSN":"0098-6577","journalAbbreviation":"Kidney Int Suppl","language":"eng","page":"S100-108","PMID":"9736263","source":"PubMed","title":"Shear stress and the endothelium","volume":"67","author":[{"family":"Ballermann","given":"B. J."},{"family":"Dardik","given":"A."},{"family":"Eng","given":"E."},{"family":"Liu","given":"A."}],"issued":{"date-parts":[["1998",9]]}}}],"schema":"https://github.com/citation-style-language/schema/raw/master/csl-citation.json"} </w:instrText>
      </w:r>
      <w:r w:rsidR="00115D21"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15</w:t>
      </w:r>
      <w:r w:rsidR="00115D21" w:rsidRPr="00391419">
        <w:rPr>
          <w:rFonts w:cs="Calibri"/>
          <w:color w:val="000000" w:themeColor="text1"/>
          <w:szCs w:val="24"/>
          <w:vertAlign w:val="superscript"/>
        </w:rPr>
        <w:fldChar w:fldCharType="end"/>
      </w:r>
      <w:r w:rsidR="00C7309E" w:rsidRPr="00391419">
        <w:rPr>
          <w:rFonts w:cs="Calibri"/>
          <w:color w:val="000000" w:themeColor="text1"/>
          <w:szCs w:val="24"/>
        </w:rPr>
        <w:t xml:space="preserve">. </w:t>
      </w:r>
      <w:r w:rsidRPr="00391419">
        <w:rPr>
          <w:rFonts w:cs="Calibri"/>
          <w:color w:val="000000" w:themeColor="text1"/>
          <w:szCs w:val="24"/>
        </w:rPr>
        <w:t>Careful optimization of flow conditions is important because excessive shear stress has been associated with endothelial disruption and altered BBB integrity</w:t>
      </w:r>
      <w:r w:rsidR="00115D21" w:rsidRPr="00391419">
        <w:rPr>
          <w:rFonts w:cs="Calibri"/>
          <w:color w:val="000000" w:themeColor="text1"/>
          <w:szCs w:val="24"/>
          <w:vertAlign w:val="superscript"/>
        </w:rPr>
        <w:fldChar w:fldCharType="begin"/>
      </w:r>
      <w:r w:rsidR="00115D21" w:rsidRPr="00391419">
        <w:rPr>
          <w:rFonts w:cs="Calibri"/>
          <w:color w:val="000000" w:themeColor="text1"/>
          <w:szCs w:val="24"/>
          <w:vertAlign w:val="superscript"/>
        </w:rPr>
        <w:instrText xml:space="preserve"> ADDIN ZOTERO_ITEM CSL_CITATION {"citationID":"adEeHKMv","properties":{"formattedCitation":"(16)","plainCitation":"(16)","noteIndex":0},"citationItems":[{"id":3101,"uris":["http://zotero.org/users/10225791/items/6EL9LR89"],"itemData":{"id":3101,"type":"article-journal","abstract":"Microvascular endothelial cells at the blood–brain barrier exhibit a protective phenotype, which is highly induced by biochemical and biomechanical stimuli. Amongst them, shear stress enhances junctional tightness and limits transport at capillary-like levels. Abnormal flow patterns can reduce functional features of macrovascular endothelium. We now examine if this is true in brain microvascular endothelial cells. We suggest in this paper a complex response of endothelial cells to aberrant forces under different flow domains. Human brain microvascular endothelial cells were exposed to physiological or abnormal flow patterns. Physiologic shear (10–20 dyn/cm2) upregulates expression of tight junction markers Zona Occludens 1 (1.7-fold) and Claudin-5 (more than 2-fold). High shear stress (40 dyn/cm2) and/or pulsatility decreased their expression to basal levels and altered junctional morphology. We exposed cells to pathological shear stress patterns followed by capillary-like conditions. Results showed reversible recovery on the expression of tight junction markers. Flow protection of barrier phenotype commensurate with junctional signaling pathways decrease (Src, 0.25-fold, ERK, 0.77-fold) when compared to static conditions. This decrease was lost under high shear and pulsatile flow. In conclusion, abnormal shear stress inherent to systemic vascular disease leads to barrier impairment, which could be reverted by hemodynamic interventions.","container-title":"Journal of Cerebral Blood Flow &amp; Metabolism","DOI":"10.1177/0271678X16672482","ISSN":"0271-678X","issue":"7","journalAbbreviation":"J Cereb Blood Flow Metab","language":"EN","page":"2614-2625","publisher":"SAGE Publications Ltd STM","source":"SAGE Journals","title":"Pulsatility and high shear stress deteriorate barrier phenotype in brain microvascular endothelium","volume":"37","author":[{"family":"Garcia-Polite","given":"Fernando"},{"family":"Martorell","given":"Jordi"},{"family":"Del Rey-Puech","given":"Paula"},{"family":"Melgar-Lesmes","given":"Pedro"},{"family":"O’Brien","given":"Caroline C"},{"family":"Roquer","given":"Jaume"},{"family":"Ois","given":"Angel"},{"family":"Principe","given":"Alessandro"},{"family":"Edelman","given":"Elazer R"},{"family":"Balcells","given":"Mercedes"}],"issued":{"date-parts":[["2017",7,1]]}}}],"schema":"https://github.com/citation-style-language/schema/raw/master/csl-citation.json"} </w:instrText>
      </w:r>
      <w:r w:rsidR="00115D21"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16</w:t>
      </w:r>
      <w:r w:rsidR="008A7126" w:rsidRPr="00391419">
        <w:rPr>
          <w:rFonts w:cs="Calibri"/>
          <w:color w:val="000000" w:themeColor="text1"/>
          <w:szCs w:val="24"/>
          <w:vertAlign w:val="superscript"/>
        </w:rPr>
        <w:t>,</w:t>
      </w:r>
      <w:r w:rsidR="00115D21" w:rsidRPr="00391419">
        <w:rPr>
          <w:rFonts w:cs="Calibri"/>
          <w:color w:val="000000" w:themeColor="text1"/>
          <w:szCs w:val="24"/>
          <w:vertAlign w:val="superscript"/>
        </w:rPr>
        <w:fldChar w:fldCharType="end"/>
      </w:r>
      <w:r w:rsidR="008A7126" w:rsidRPr="00391419">
        <w:rPr>
          <w:rFonts w:cs="Calibri"/>
          <w:color w:val="000000" w:themeColor="text1"/>
          <w:szCs w:val="24"/>
          <w:vertAlign w:val="superscript"/>
        </w:rPr>
        <w:t>17</w:t>
      </w:r>
      <w:r w:rsidR="00D52ACF" w:rsidRPr="00391419">
        <w:rPr>
          <w:rFonts w:cs="Calibri"/>
          <w:color w:val="000000" w:themeColor="text1"/>
          <w:szCs w:val="24"/>
        </w:rPr>
        <w:t xml:space="preserve">. </w:t>
      </w:r>
      <w:r w:rsidRPr="00391419">
        <w:rPr>
          <w:rFonts w:cs="Calibri"/>
          <w:color w:val="000000" w:themeColor="text1"/>
          <w:szCs w:val="24"/>
        </w:rPr>
        <w:t>Therefore, when implementing flow-based BBB microfluidic systems, users should consider the potential effects of shear stress on endothelial-cell stability, barrier formation, and experimental interpretation. The theoretical calculations presented here assume Newtonian fluid behavior, ideal laminar flow, and the absence of resistance caused by cell proliferation or extracellular matrix deposition. As a result, actual flow conditions within the device may differ from the predicted values, and further experimental validation may be required depending on the intended application of the model.</w:t>
      </w:r>
    </w:p>
    <w:p w14:paraId="4F3F8C32" w14:textId="27FA2CA6" w:rsidR="00BA2A7B" w:rsidRPr="00391419" w:rsidRDefault="00BA2A7B" w:rsidP="00B9425C">
      <w:pPr>
        <w:spacing w:after="0" w:line="0" w:lineRule="atLeast"/>
        <w:jc w:val="both"/>
        <w:rPr>
          <w:rFonts w:cs="Calibri"/>
          <w:color w:val="000000" w:themeColor="text1"/>
          <w:szCs w:val="24"/>
        </w:rPr>
      </w:pPr>
    </w:p>
    <w:p w14:paraId="0A66CA8D" w14:textId="7AF3DE3D" w:rsidR="006F4BA3" w:rsidRPr="00391419" w:rsidRDefault="006F4BA3"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There are numerous microfluidic-device designs available for BBB </w:t>
      </w:r>
      <w:proofErr w:type="spellStart"/>
      <w:r w:rsidRPr="00391419">
        <w:rPr>
          <w:rFonts w:cs="Calibri"/>
          <w:color w:val="000000" w:themeColor="text1"/>
          <w:szCs w:val="24"/>
          <w:lang w:val="en-IN"/>
        </w:rPr>
        <w:t>modeling</w:t>
      </w:r>
      <w:proofErr w:type="spellEnd"/>
      <w:r w:rsidRPr="00391419">
        <w:rPr>
          <w:rFonts w:cs="Calibri"/>
          <w:color w:val="000000" w:themeColor="text1"/>
          <w:szCs w:val="24"/>
          <w:lang w:val="en-IN"/>
        </w:rPr>
        <w:t xml:space="preserve">, including commercially available platforms such as the chip used in this study. Commercially produced systems may improve accessibility and reduce the technical challenges associated with in-house device fabrication; however, these platforms are often dependent on fixed chip </w:t>
      </w:r>
      <w:r w:rsidRPr="00391419">
        <w:rPr>
          <w:rFonts w:cs="Calibri"/>
          <w:color w:val="000000" w:themeColor="text1"/>
          <w:szCs w:val="24"/>
          <w:lang w:val="en-IN"/>
        </w:rPr>
        <w:lastRenderedPageBreak/>
        <w:t xml:space="preserve">geometries, electrode layouts, and flow configurations that may limit direct transferability of protocols between systems. Consequently, the protocol described here is specific to the device architecture used in this study and may require optimization when applied to alternative microfluidic platforms. Successful development of a stable </w:t>
      </w:r>
      <w:r w:rsidR="009E1FDE" w:rsidRPr="00391419">
        <w:rPr>
          <w:rFonts w:cs="Calibri"/>
          <w:color w:val="000000" w:themeColor="text1"/>
          <w:szCs w:val="24"/>
        </w:rPr>
        <w:t>3D</w:t>
      </w:r>
      <w:r w:rsidRPr="00391419">
        <w:rPr>
          <w:rFonts w:cs="Calibri"/>
          <w:color w:val="000000" w:themeColor="text1"/>
          <w:szCs w:val="24"/>
          <w:lang w:val="en-IN"/>
        </w:rPr>
        <w:t xml:space="preserve"> endothelial culture was strongly influenced by the quality of initial cell seeding, basement-membrane coating consistency, and gradual introduction of shear flow. Variability between experiments was observed during optimization of the protocol, particularly following initiation of flow, where endothelial-cell detachment represented one of the most common causes of culture failure. Under the conditions described in this study, cultures in which more than approximately 50% of previously adherent endothelial cells detached following flow introduction were considered failed cultures and excluded from downstream analysis. The composition and handling of basement-membrane coatings also substantially influenced endothelial-cell attachment and progression toward </w:t>
      </w:r>
      <w:r w:rsidR="009E1FDE" w:rsidRPr="00391419">
        <w:rPr>
          <w:rFonts w:cs="Calibri"/>
          <w:color w:val="000000" w:themeColor="text1"/>
          <w:szCs w:val="24"/>
        </w:rPr>
        <w:t>3D</w:t>
      </w:r>
      <w:r w:rsidRPr="00391419">
        <w:rPr>
          <w:rFonts w:cs="Calibri"/>
          <w:color w:val="000000" w:themeColor="text1"/>
          <w:szCs w:val="24"/>
          <w:lang w:val="en-IN"/>
        </w:rPr>
        <w:t xml:space="preserve"> growth.</w:t>
      </w:r>
    </w:p>
    <w:p w14:paraId="0AAEE025" w14:textId="77777777" w:rsidR="00740410" w:rsidRPr="00391419" w:rsidRDefault="00740410" w:rsidP="00B9425C">
      <w:pPr>
        <w:spacing w:after="0" w:line="0" w:lineRule="atLeast"/>
        <w:jc w:val="both"/>
        <w:rPr>
          <w:rFonts w:cs="Calibri"/>
          <w:color w:val="000000" w:themeColor="text1"/>
          <w:szCs w:val="24"/>
        </w:rPr>
      </w:pPr>
    </w:p>
    <w:p w14:paraId="2EDFADB5" w14:textId="3EF4B959" w:rsidR="003D2AA1" w:rsidRPr="00391419" w:rsidRDefault="00AF7792"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The impedance </w:t>
      </w:r>
      <w:proofErr w:type="spellStart"/>
      <w:r w:rsidRPr="00391419">
        <w:rPr>
          <w:rFonts w:cs="Calibri"/>
          <w:color w:val="000000" w:themeColor="text1"/>
          <w:szCs w:val="24"/>
          <w:lang w:val="en-IN"/>
        </w:rPr>
        <w:t>analyzer</w:t>
      </w:r>
      <w:proofErr w:type="spellEnd"/>
      <w:r w:rsidRPr="00391419">
        <w:rPr>
          <w:rFonts w:cs="Calibri"/>
          <w:color w:val="000000" w:themeColor="text1"/>
          <w:szCs w:val="24"/>
          <w:lang w:val="en-IN"/>
        </w:rPr>
        <w:t xml:space="preserve"> used for TEER measurements in this study exhibited some variability between repeated measurements. Although electrode placement in this system may be less variable than in conventional Transwell systems because the electrodes are inserted through dedicated ports, minor differences in electrode positioning may still contribute to measurement variability. To minimize this effect, repeated TEER measurements were collected and averaged for each channel and frequency condition. Accurate electrode positioning also depends on trimming the electrode-port tubing to a length that allows the electrodes to contact the glass bottom of the device. Repeated insertion and removal of electrodes may introduce small air bubbles into the system, which can interfere with impedance measurements and artificially alter TEER values. One approach proposed to reduce variability and minimize disruption during repeated measurements is the incorporation of embedded electrodes directly into the structure of microfluidic devices</w:t>
      </w:r>
      <w:r w:rsidR="006E3460" w:rsidRPr="00391419">
        <w:rPr>
          <w:rFonts w:cs="Calibri"/>
          <w:color w:val="000000" w:themeColor="text1"/>
          <w:szCs w:val="24"/>
          <w:vertAlign w:val="superscript"/>
        </w:rPr>
        <w:fldChar w:fldCharType="begin"/>
      </w:r>
      <w:r w:rsidR="003B27FD" w:rsidRPr="00391419">
        <w:rPr>
          <w:rFonts w:cs="Calibri"/>
          <w:color w:val="000000" w:themeColor="text1"/>
          <w:szCs w:val="24"/>
          <w:vertAlign w:val="superscript"/>
        </w:rPr>
        <w:instrText xml:space="preserve"> ADDIN ZOTERO_ITEM CSL_CITATION {"citationID":"U31fAxz4","properties":{"formattedCitation":"(18)","plainCitation":"(18)","noteIndex":0},"citationItems":[{"id":2683,"uris":["http://zotero.org/users/10225791/items/Y33RBZ7L","http://zotero.org/users/10225791/items/QEG25XCA"],"itemData":{"id":2683,"type":"article-journal","container-title":"Lab on a Chip","DOI":"10.1039/D4LC00633J","issue":"22","language":"en","page":"5085-5100","publisher":"Royal Society of Chemistry","source":"pubs.rsc.org","title":"Real-time monitoring of a 3D blood–brain barrier model maturation and integrity with a sensorized microfluidic device","volume":"24","author":[{"family":"Cristina Ceccarelli","given":"Maria"},{"family":"Celine Lefevre","given":"Marie"},{"family":"Marino","given":"Attilio"},{"family":"Pignatelli","given":"Francesca"},{"family":"Krukiewicz","given":"Katarzyna"},{"family":"Battaglini","given":"Matteo"},{"family":"Ciofani","given":"Gianni"}],"issued":{"date-parts":[["2024"]]}}}],"schema":"https://github.com/citation-style-language/schema/raw/master/csl-citation.json"} </w:instrText>
      </w:r>
      <w:r w:rsidR="006E3460"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18</w:t>
      </w:r>
      <w:r w:rsidR="006E3460" w:rsidRPr="00391419">
        <w:rPr>
          <w:rFonts w:cs="Calibri"/>
          <w:color w:val="000000" w:themeColor="text1"/>
          <w:szCs w:val="24"/>
          <w:vertAlign w:val="superscript"/>
        </w:rPr>
        <w:fldChar w:fldCharType="end"/>
      </w:r>
      <w:r w:rsidR="00DF347A" w:rsidRPr="00391419">
        <w:rPr>
          <w:rFonts w:cs="Calibri"/>
          <w:color w:val="000000" w:themeColor="text1"/>
          <w:szCs w:val="24"/>
        </w:rPr>
        <w:t>.</w:t>
      </w:r>
      <w:r w:rsidR="00854A3D" w:rsidRPr="00391419">
        <w:rPr>
          <w:rFonts w:cs="Calibri"/>
          <w:color w:val="000000" w:themeColor="text1"/>
          <w:szCs w:val="24"/>
        </w:rPr>
        <w:t xml:space="preserve"> </w:t>
      </w:r>
      <w:r w:rsidRPr="00391419">
        <w:rPr>
          <w:rFonts w:cs="Calibri"/>
          <w:color w:val="000000" w:themeColor="text1"/>
          <w:szCs w:val="24"/>
        </w:rPr>
        <w:t>Temperature fluctuations may also influence TEER measurements</w:t>
      </w:r>
      <w:r w:rsidR="00664173" w:rsidRPr="00391419">
        <w:rPr>
          <w:rFonts w:cs="Calibri"/>
          <w:color w:val="000000" w:themeColor="text1"/>
          <w:szCs w:val="24"/>
          <w:vertAlign w:val="superscript"/>
        </w:rPr>
        <w:fldChar w:fldCharType="begin"/>
      </w:r>
      <w:r w:rsidR="003B27FD" w:rsidRPr="00391419">
        <w:rPr>
          <w:rFonts w:cs="Calibri"/>
          <w:color w:val="000000" w:themeColor="text1"/>
          <w:szCs w:val="24"/>
          <w:vertAlign w:val="superscript"/>
        </w:rPr>
        <w:instrText xml:space="preserve"> ADDIN ZOTERO_ITEM CSL_CITATION {"citationID":"FeCC4Hot","properties":{"unsorted":false,"formattedCitation":"(19)","plainCitation":"(19)","noteIndex":0},"citationItems":[{"id":3379,"uris":["http://zotero.org/users/10225791/items/Z6UFJ6MR"],"itemData":{"id":3379,"type":"article-journal","abstract":"The blood-brain barrier (BBB) is one of the most selective physiological interfaces in the human body. Transendothelial electrical resistance (TEER) has become a widely adopted quantitative metric for assessing its in vitro structural and functional integrity. Although TEER measurements are routinely incorporated into BBB-on-chips, the absence of harmonized electrode architectures, measurement settings, and reporting standards continues to undermine reproducibility and translational reliability among laboratories. This systematic review provides the first comprehensive classification and critical comparison of electrode configurations used for TEER assessment, specifically within BBB-on-chip systems. Eligible studies were analyzed and categorized according to electrode design, fabrication method, integration strategy, and operational constraints. We critically evaluated six principal electrode architectures, highlighting their performance trade-offs in terms of uniformity of current distribution, long-term stability, scalability, and compatibility with dynamic shear conditions. Furthermore, we propose a bioinspired TEER reporting framework that consolidates essential metadata, including electrode specification, temperature control, viscosity effects, and blank resistance correction. Our analysis proposes screen-printed and hybrid silver-indium tin oxide (ITO) electrodes as promising candidates for next-generation BBB platforms. Moreover, our review provides a structured roadmap for standardizing TEER electrode design and reporting practices to facilitate interlaboratory consistency and accelerate the adoption of BBB-on-chip systems as truly biomimetic platforms for predictive neuropharmacological workflows.","container-title":"Biomimetics","DOI":"10.3390/biomimetics11020119","ISSN":"2313-7673","issue":"2","language":"en","license":"http://creativecommons.org/licenses/by/3.0/","page":"119","publisher":"Multidisciplinary Digital Publishing Institute","source":"www.mdpi.com","title":"Standardizing TEER Measurements in Blood-Brain Barrier-on-Chip Systems: A Systematic Review of Electrode Designs and Configurations","title-short":"Standardizing TEER Measurements in Blood-Brain Barrier-on-Chip Systems","volume":"11","author":[{"family":"Ghane","given":"Nazanin"},{"family":"Jafari","given":"Reza"},{"family":"Valipour Motlagh","given":"Naser"}],"issued":{"date-parts":[["2026",2]]}}}],"schema":"https://github.com/citation-style-language/schema/raw/master/csl-citation.json"} </w:instrText>
      </w:r>
      <w:r w:rsidR="00664173"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19</w:t>
      </w:r>
      <w:r w:rsidR="00664173" w:rsidRPr="00391419">
        <w:rPr>
          <w:rFonts w:cs="Calibri"/>
          <w:color w:val="000000" w:themeColor="text1"/>
          <w:szCs w:val="24"/>
          <w:vertAlign w:val="superscript"/>
        </w:rPr>
        <w:fldChar w:fldCharType="end"/>
      </w:r>
      <w:r w:rsidR="003948A6" w:rsidRPr="00391419">
        <w:rPr>
          <w:rFonts w:cs="Calibri"/>
          <w:color w:val="000000" w:themeColor="text1"/>
          <w:szCs w:val="24"/>
        </w:rPr>
        <w:t>.</w:t>
      </w:r>
      <w:r w:rsidR="0021638B" w:rsidRPr="00391419">
        <w:rPr>
          <w:rFonts w:cs="Calibri"/>
          <w:color w:val="000000" w:themeColor="text1"/>
          <w:szCs w:val="24"/>
        </w:rPr>
        <w:t xml:space="preserve"> </w:t>
      </w:r>
      <w:r w:rsidRPr="00391419">
        <w:rPr>
          <w:rFonts w:cs="Calibri"/>
          <w:color w:val="000000" w:themeColor="text1"/>
          <w:szCs w:val="24"/>
        </w:rPr>
        <w:t>To reduce variability, chips were equilibrated on a 37°C hot plate prior to measurement.</w:t>
      </w:r>
    </w:p>
    <w:p w14:paraId="07C10F94" w14:textId="77777777" w:rsidR="001F266F" w:rsidRPr="00391419" w:rsidRDefault="001F266F" w:rsidP="00B9425C">
      <w:pPr>
        <w:spacing w:after="0" w:line="0" w:lineRule="atLeast"/>
        <w:jc w:val="both"/>
        <w:rPr>
          <w:rFonts w:cs="Calibri"/>
          <w:color w:val="000000" w:themeColor="text1"/>
          <w:szCs w:val="24"/>
        </w:rPr>
      </w:pPr>
    </w:p>
    <w:p w14:paraId="569F1667" w14:textId="0EFF45DE" w:rsidR="00777CC0" w:rsidRPr="00391419" w:rsidRDefault="006E3BDA" w:rsidP="00B9425C">
      <w:pPr>
        <w:spacing w:after="0" w:line="0" w:lineRule="atLeast"/>
        <w:jc w:val="both"/>
        <w:rPr>
          <w:rFonts w:cs="Calibri"/>
          <w:color w:val="000000" w:themeColor="text1"/>
          <w:szCs w:val="24"/>
        </w:rPr>
      </w:pPr>
      <w:r w:rsidRPr="00391419">
        <w:rPr>
          <w:rFonts w:cs="Calibri"/>
          <w:color w:val="000000" w:themeColor="text1"/>
          <w:szCs w:val="24"/>
        </w:rPr>
        <w:t>It should be noted that hCMEC/D3 cells, although widely used and validated for human BBB modeling, demonstrated reduced tolerance to prolonged shear-flow exposure under the conditions used in this study. Previous reports indicate that hCMEC/D3 cells generally maintain their endothelial characteristics up to approximately passage 35</w:t>
      </w:r>
      <w:r w:rsidR="002D7DC0" w:rsidRPr="00391419">
        <w:rPr>
          <w:rFonts w:cs="Calibri"/>
          <w:color w:val="000000" w:themeColor="text1"/>
          <w:szCs w:val="24"/>
          <w:vertAlign w:val="superscript"/>
        </w:rPr>
        <w:fldChar w:fldCharType="begin"/>
      </w:r>
      <w:r w:rsidR="003B27FD" w:rsidRPr="00391419">
        <w:rPr>
          <w:rFonts w:cs="Calibri"/>
          <w:color w:val="000000" w:themeColor="text1"/>
          <w:szCs w:val="24"/>
          <w:vertAlign w:val="superscript"/>
        </w:rPr>
        <w:instrText xml:space="preserve"> ADDIN ZOTERO_ITEM CSL_CITATION {"citationID":"3jmUgkiY","properties":{"formattedCitation":"(11,20)","plainCitation":"(11,20)","noteIndex":0},"citationItems":[{"id":2308,"uris":["http://zotero.org/users/10225791/items/N4T929XE"],"itemData":{"id":2308,"type":"article-journal","abstract":"Establishment of a human model of the blood-brain barrier has proven to be a difficult goal. To accomplish this, normal human brain endothelial cells were transduced by lentiviral vectors incorporating human telomerase or SV40 T antigen. Among the many stable immortalized clones obtained by sequential limiting dilution cloning of the transduced cells, one was selected for expression of normal endothelial markers, including CD31, VE cadherin, and von Willebrand factor. This cell line, termed hCMEC/D3, showed a stable normal karyotype, maintained contact-inhibited monolayers in tissue culture, exhibited robust proliferation in response to endothelial growth factors, and formed capillary tubes in matrix but no colonies in soft agar. hCMEC/D3 cells expressed telomerase and grew indefinitely without phenotypic dedifferentiation. These cells expressed chemokine receptors, up-regulated adhesion molecules in response to inflammatory cytokines, and demonstrated blood-brain barrier characteristics, including tight junctional proteins and the capacity to actively exclude drugs. hCMEC/D3 are excellent candidates for studies of blood-brain barrier function, the responses of brain endothelium to inflammatory and infectious stimuli, and the interaction of brain endothelium with lymphocytes or tumor cells. Thus, hCMEC/D3 represents the first stable, fully characterized, well-differentiated human brain endothelial cell line and should serve as a widely usable research tool.","container-title":"FASEB journal: official publication of the Federation of American Societies for Experimental Biology","DOI":"10.1096/fj.04-3458fje","ISSN":"1530-6860","issue":"13","journalAbbreviation":"FASEB J","language":"eng","page":"1872-1874","PMID":"16141364","source":"PubMed","title":"Blood-brain barrier-specific properties of a human adult brain endothelial cell line","volume":"19","author":[{"family":"Weksler","given":"B. B."},{"family":"Subileau","given":"E. A."},{"family":"Perrière","given":"N."},{"family":"Charneau","given":"P."},{"family":"Holloway","given":"K."},{"family":"Leveque","given":"M."},{"family":"Tricoire-Leignel","given":"H."},{"family":"Nicotra","given":"A."},{"family":"Bourdoulous","given":"S."},{"family":"Turowski","given":"P."},{"family":"Male","given":"D. K."},{"family":"Roux","given":"F."},{"family":"Greenwood","given":"J."},{"family":"Romero","given":"I. A."},{"family":"Couraud","given":"P. O."}],"issued":{"date-parts":[["2005",11]]}}},{"id":2303,"uris":["http://zotero.org/users/10225791/items/QZD9CC53"],"itemData":{"id":2303,"type":"article-journal","abstract":"Since the first attempts in the 1970s to isolate cerebral microvessel endothelial cells (CECs) in order to model the blood–brain barrier (BBB) in vitro, the need for a human BBB model that closely mimics the in vivo phenotype and is reproducible and easy to grow, has been widely recognized by cerebrovascular researchers in both academia and industry. While primary human CECs would ideally be the model of choice, the paucity of available fresh human cerebral tissue makes wide-scale studies impractical. The brain microvascular endothelial cell line hCMEC/D3 represents one such model of the human BBB that can be easily grown and is amenable to cellular and molecular studies on pathological and drug transport mechanisms with relevance to the central nervous system (CNS). Indeed, since the development of this cell line in 2005 over 100 studies on different aspects of cerebral endothelial biology and pharmacology have been published. Here we review the suitability of this cell line as a human BBB model for pathogenic and drug transport studies and we critically consider its advantages and limitations.","container-title":"Fluids and Barriers of the CNS","DOI":"10.1186/2045-8118-10-16","ISSN":"2045-8118","journalAbbreviation":"Fluids Barriers CNS","page":"16","PMID":"23531482","PMCID":"PMC3623852","source":"PubMed Central","title":"The hCMEC/D3 cell line as a model of the human blood brain barrier","volume":"10","author":[{"family":"Weksler","given":"Babette"},{"family":"Romero","given":"Ignacio A"},{"family":"Couraud","given":"Pierre-Olivier"}],"issued":{"date-parts":[["2013",3,26]]}}}],"schema":"https://github.com/citation-style-language/schema/raw/master/csl-citation.json"} </w:instrText>
      </w:r>
      <w:r w:rsidR="002D7DC0"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11,20</w:t>
      </w:r>
      <w:r w:rsidR="002D7DC0" w:rsidRPr="00391419">
        <w:rPr>
          <w:rFonts w:cs="Calibri"/>
          <w:color w:val="000000" w:themeColor="text1"/>
          <w:szCs w:val="24"/>
          <w:vertAlign w:val="superscript"/>
        </w:rPr>
        <w:fldChar w:fldCharType="end"/>
      </w:r>
      <w:r w:rsidR="00A324B2" w:rsidRPr="00391419">
        <w:rPr>
          <w:rFonts w:cs="Calibri"/>
          <w:color w:val="000000" w:themeColor="text1"/>
          <w:szCs w:val="24"/>
        </w:rPr>
        <w:t>,</w:t>
      </w:r>
      <w:r w:rsidR="003F2867" w:rsidRPr="00391419">
        <w:rPr>
          <w:rFonts w:cs="Calibri"/>
          <w:color w:val="000000" w:themeColor="text1"/>
          <w:szCs w:val="24"/>
        </w:rPr>
        <w:t xml:space="preserve"> </w:t>
      </w:r>
      <w:r w:rsidRPr="00391419">
        <w:rPr>
          <w:rFonts w:cs="Calibri"/>
          <w:color w:val="000000" w:themeColor="text1"/>
          <w:szCs w:val="24"/>
        </w:rPr>
        <w:t>which is why this protocol recommends avoiding use beyond this passage number. Passage number, shear-flow duration, and endothelial-cell morphology should therefore be carefully monitored throughout culture progression when using this cell line in flow-based BBB systems.</w:t>
      </w:r>
      <w:r w:rsidR="00A94095" w:rsidRPr="00391419">
        <w:rPr>
          <w:rFonts w:cs="Calibri"/>
          <w:color w:val="000000" w:themeColor="text1"/>
          <w:szCs w:val="24"/>
        </w:rPr>
        <w:t xml:space="preserve"> </w:t>
      </w:r>
      <w:r w:rsidRPr="00391419">
        <w:rPr>
          <w:rFonts w:cs="Calibri"/>
          <w:color w:val="000000" w:themeColor="text1"/>
          <w:szCs w:val="24"/>
        </w:rPr>
        <w:t>Induced pluripotent stem cell (iPSC)-derived brain-like endothelial cells are increasingly being incorporated into BBB microfluidic models because they may provide a scalable alternative to primary endothelial cells, particularly in protocols requiring high cell densities. However, differentiation protocols for iPSC-derived brain-like endothelial cells remain variable, and some published methods have reported incomplete endothelial phenotypes, altered transcriptional profiles, or expression of epithelial-associated markers and proteins</w:t>
      </w:r>
      <w:r w:rsidR="009B7179" w:rsidRPr="00391419">
        <w:rPr>
          <w:rFonts w:cs="Calibri"/>
          <w:color w:val="000000" w:themeColor="text1"/>
          <w:szCs w:val="24"/>
          <w:vertAlign w:val="superscript"/>
        </w:rPr>
        <w:fldChar w:fldCharType="begin"/>
      </w:r>
      <w:r w:rsidR="003B27FD" w:rsidRPr="00391419">
        <w:rPr>
          <w:rFonts w:cs="Calibri"/>
          <w:color w:val="000000" w:themeColor="text1"/>
          <w:szCs w:val="24"/>
          <w:vertAlign w:val="superscript"/>
        </w:rPr>
        <w:instrText xml:space="preserve"> ADDIN ZOTERO_ITEM CSL_CITATION {"citationID":"SNCfOrDu","properties":{"formattedCitation":"(21)","plainCitation":"(21)","noteIndex":0},"citationItems":[{"id":2759,"uris":["http://zotero.org/users/10225791/items/LCJYGQDD","http://zotero.org/users/10225791/items/G6IX75LB"],"itemData":{"id":2759,"type":"article-journal","abstract":"Cells derived from pluripotent sources in vitro must resemble those found in vivo as closely as possible at both transcriptional and functional levels in order to be a useful tool for studying diseases and developing therapeutics. Recently, differentiation of human pluripotent stem cells (hPSCs) into brain microvascular endothelial cells (ECs) with blood–brain barrier (BBB)-like properties has been reported. These cells have since been used as a robust in vitro BBB model for drug delivery and mechanistic understanding of neurological diseases. However, the precise cellular identity of these induced brain microvascular endothelial cells (iBMECs) has not been well described. Employing a comprehensive transcriptomic metaanalysis of previously published hPSC-derived cells validated by physiological assays, we demonstrate that iBMECs lack functional attributes of ECs since they are deficient in vascular lineage genes while expressing clusters of genes related to the neuroectodermal epithelial lineage (Epi-iBMEC). Overexpression of key endothelial ETS transcription factors (ETV2, ERG, and FLI1) reprograms Epi-iBMECs into authentic endothelial cells that are congruent with bona fide endothelium at both transcriptomic as well as some functional levels. This approach could eventually be used to develop a robust human BBB model in vitro that resembles the human brain EC in vivo for functional studies and drug discovery.","container-title":"Proceedings of the National Academy of Sciences","DOI":"10.1073/pnas.2016950118","issue":"8","page":"e2016950118","publisher":"Proceedings of the National Academy of Sciences","source":"pnas.org (Atypon)","title":"Pluripotent stem cell-derived epithelium misidentified as brain microvascular endothelium requires ETS factors to acquire vascular fate","volume":"118","author":[{"family":"Lu","given":"Tyler M."},{"family":"Houghton","given":"Sean"},{"family":"Magdeldin","given":"Tarig"},{"family":"Durán","given":"José Gabriel Barcia"},{"family":"Minotti","given":"Andrew P."},{"family":"Snead","given":"Amanda"},{"family":"Sproul","given":"Andrew"},{"family":"Nguyen","given":"Duc-Huy T."},{"family":"Xiang","given":"Jenny"},{"family":"Fine","given":"Howard A."},{"family":"Rosenwaks","given":"Zev"},{"family":"Studer","given":"Lorenz"},{"family":"Rafii","given":"Shahin"},{"family":"Agalliu","given":"Dritan"},{"family":"Redmond","given":"David"},{"family":"Lis","given":"Raphaël"}],"issued":{"date-parts":[["2021",2,23]]}}}],"schema":"https://github.com/citation-style-language/schema/raw/master/csl-citation.json"} </w:instrText>
      </w:r>
      <w:r w:rsidR="009B7179"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21</w:t>
      </w:r>
      <w:r w:rsidR="009B7179" w:rsidRPr="00391419">
        <w:rPr>
          <w:rFonts w:cs="Calibri"/>
          <w:color w:val="000000" w:themeColor="text1"/>
          <w:szCs w:val="24"/>
          <w:vertAlign w:val="superscript"/>
        </w:rPr>
        <w:fldChar w:fldCharType="end"/>
      </w:r>
      <w:r w:rsidR="003E30BD" w:rsidRPr="00391419">
        <w:rPr>
          <w:rFonts w:cs="Calibri"/>
          <w:color w:val="000000" w:themeColor="text1"/>
          <w:szCs w:val="24"/>
        </w:rPr>
        <w:t xml:space="preserve">. </w:t>
      </w:r>
      <w:r w:rsidRPr="00391419">
        <w:rPr>
          <w:rFonts w:cs="Calibri"/>
          <w:color w:val="000000" w:themeColor="text1"/>
          <w:szCs w:val="24"/>
        </w:rPr>
        <w:t>Consequently, further validation and standardization of iPSC-derived endothelial-cell protocols is still required before widespread implementation in shear-flow BBB microfluidic systems.</w:t>
      </w:r>
    </w:p>
    <w:p w14:paraId="0D92D8EB" w14:textId="77777777" w:rsidR="009E1956" w:rsidRPr="00391419" w:rsidRDefault="009E1956" w:rsidP="00B9425C">
      <w:pPr>
        <w:spacing w:after="0" w:line="0" w:lineRule="atLeast"/>
        <w:jc w:val="both"/>
        <w:rPr>
          <w:rFonts w:cs="Calibri"/>
          <w:color w:val="000000" w:themeColor="text1"/>
          <w:szCs w:val="24"/>
        </w:rPr>
      </w:pPr>
    </w:p>
    <w:p w14:paraId="07B66E06" w14:textId="72355158" w:rsidR="009E1FDE" w:rsidRPr="00391419" w:rsidRDefault="003628E8" w:rsidP="00B9425C">
      <w:pPr>
        <w:spacing w:after="0" w:line="0" w:lineRule="atLeast"/>
        <w:jc w:val="both"/>
        <w:rPr>
          <w:rFonts w:cs="Calibri"/>
          <w:color w:val="000000" w:themeColor="text1"/>
          <w:szCs w:val="24"/>
          <w:lang w:val="en-IN"/>
        </w:rPr>
      </w:pPr>
      <w:r w:rsidRPr="00391419">
        <w:rPr>
          <w:rFonts w:cs="Calibri"/>
          <w:color w:val="000000" w:themeColor="text1"/>
          <w:szCs w:val="24"/>
        </w:rPr>
        <w:lastRenderedPageBreak/>
        <w:t>This model has multiple downstream applications beyond the scope of the present protocol. For example, cells cultured within the microfluidic chip may be detached for RNA extraction and downstream quantitative polymerase chain reaction (qPCR) analysis (</w:t>
      </w:r>
      <w:r w:rsidRPr="00391419">
        <w:rPr>
          <w:rFonts w:cs="Calibri"/>
          <w:b/>
          <w:bCs/>
          <w:color w:val="000000" w:themeColor="text1"/>
          <w:szCs w:val="24"/>
        </w:rPr>
        <w:t>Supplementary Figure 2</w:t>
      </w:r>
      <w:r w:rsidRPr="00391419">
        <w:rPr>
          <w:rFonts w:cs="Calibri"/>
          <w:color w:val="000000" w:themeColor="text1"/>
          <w:szCs w:val="24"/>
        </w:rPr>
        <w:t>), which can provide an additional method for assessing expression of tight-junction proteins and other genes of interest</w:t>
      </w:r>
      <w:r w:rsidR="009B4DF7" w:rsidRPr="00391419">
        <w:rPr>
          <w:rFonts w:cs="Calibri"/>
          <w:color w:val="000000" w:themeColor="text1"/>
          <w:szCs w:val="24"/>
          <w:vertAlign w:val="superscript"/>
        </w:rPr>
        <w:fldChar w:fldCharType="begin"/>
      </w:r>
      <w:r w:rsidR="009B4DF7" w:rsidRPr="00391419">
        <w:rPr>
          <w:rFonts w:cs="Calibri"/>
          <w:color w:val="000000" w:themeColor="text1"/>
          <w:szCs w:val="24"/>
          <w:vertAlign w:val="superscript"/>
        </w:rPr>
        <w:instrText xml:space="preserve"> ADDIN ZOTERO_ITEM CSL_CITATION {"citationID":"CNvQ7tNt","properties":{"formattedCitation":"(22)","plainCitation":"(22)","noteIndex":0},"citationItems":[{"id":3127,"uris":["http://zotero.org/users/10225791/items/MNFVZ44N"],"itemData":{"id":3127,"type":"article-journal","abstract":"The blood-brain barrier (BBB) regulates molecular trafficking, protects against pathogens, and prevents efficient drug delivery to the brain. Models to date failed to reproduce the human anatomical complexity of brain barriers, contributing to misleading results in clinical trials. To overcome these limitations, a novel 3-dimensional BBB microvascular network model was developed via vasculogenesis to accurately replicate the in vivo neurovascular organization. This microfluidic system includes human induced pluripotent stem cell-derived endothelial cells, brain pericytes, and astrocytes as self-assembled vascular networks in fibrin gel. Gene expression of membrane transporters, tight junction and extracellular matrix proteins, was consistent with computational analysis of geometrical structures and quantitative immunocytochemistry, indicating BBB maturation and microenvironment remodelling. Confocal microscopy validated microvessel-pericyte/astrocyte dynamic contact-interactions. The BBB model exhibited perfusable and selective microvasculature, with permeability lower than conventional in vitro models, and similar to in vivo measurements in rat brain. This robust and physiologically relevant BBB microvascular model offers an innovative and valuable platform for drug discovery to predict neuro-therapeutic transport efficacy in pre-clinical applications as well as recapitulate patient-specific and pathological neurovascular functions in neurodegenerative disease.","container-title":"Biomaterials","DOI":"10.1016/j.biomaterials.2018.07.014","ISSN":"0142-9612","journalAbbreviation":"Biomaterials","page":"117-129","source":"ScienceDirect","title":"3D self-organized microvascular model of the human blood-brain barrier with endothelial cells, pericytes and astrocytes","volume":"180","author":[{"family":"Campisi","given":"Marco"},{"family":"Shin","given":"Yoojin"},{"family":"Osaki","given":"Tatsuya"},{"family":"Hajal","given":"Cynthia"},{"family":"Chiono","given":"Valeria"},{"family":"Kamm","given":"Roger D."}],"issued":{"date-parts":[["2018",10,1]]}}}],"schema":"https://github.com/citation-style-language/schema/raw/master/csl-citation.json"} </w:instrText>
      </w:r>
      <w:r w:rsidR="009B4DF7"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22</w:t>
      </w:r>
      <w:r w:rsidR="009B4DF7" w:rsidRPr="00391419">
        <w:rPr>
          <w:rFonts w:cs="Calibri"/>
          <w:color w:val="000000" w:themeColor="text1"/>
          <w:szCs w:val="24"/>
          <w:vertAlign w:val="superscript"/>
        </w:rPr>
        <w:fldChar w:fldCharType="end"/>
      </w:r>
      <w:r w:rsidR="003F71DF" w:rsidRPr="00391419">
        <w:rPr>
          <w:rFonts w:cs="Calibri"/>
          <w:color w:val="000000" w:themeColor="text1"/>
          <w:szCs w:val="24"/>
        </w:rPr>
        <w:t xml:space="preserve">. </w:t>
      </w:r>
      <w:r w:rsidRPr="00391419">
        <w:rPr>
          <w:rFonts w:cs="Calibri"/>
          <w:color w:val="000000" w:themeColor="text1"/>
          <w:szCs w:val="24"/>
        </w:rPr>
        <w:t>In the present study, barrier integrity was primarily assessed using TEER; however, permeability assays using fluorescent tracers may also be incorporated to calculate permeability coefficients and further evaluate barrier function</w:t>
      </w:r>
      <w:r w:rsidR="009B4DF7" w:rsidRPr="00391419">
        <w:rPr>
          <w:rFonts w:cs="Calibri"/>
          <w:color w:val="000000" w:themeColor="text1"/>
          <w:szCs w:val="24"/>
          <w:vertAlign w:val="superscript"/>
        </w:rPr>
        <w:fldChar w:fldCharType="begin"/>
      </w:r>
      <w:r w:rsidR="009B4DF7" w:rsidRPr="00391419">
        <w:rPr>
          <w:rFonts w:cs="Calibri"/>
          <w:color w:val="000000" w:themeColor="text1"/>
          <w:szCs w:val="24"/>
          <w:vertAlign w:val="superscript"/>
        </w:rPr>
        <w:instrText xml:space="preserve"> ADDIN ZOTERO_ITEM CSL_CITATION {"citationID":"c8tD7qVr","properties":{"formattedCitation":"(10,22,23)","plainCitation":"(10,22,23)","noteIndex":0},"citationItems":[{"id":84,"uris":["http://zotero.org/users/10225791/items/UMGUB6BF"],"itemData":{"id":84,"type":"article-journal","abstract":"Microfluidic cellular models, commonly referred to as “organs‐on‐chips,” continue to advance the field of bioengineering via the development of accurate and higher throughput models, captivating the essence of living human organs. This class of models can mimic key in vivo features, including shear stresses and cellular architectures, in ways that cannot be realized by traditional two‐dimensional in vitro models. Despite such progress, current organ‐on‐a‐chip models are often overly complex, require highly specialized setups and equipment, and lack the ability to easily ascertain temporal and spatial differences in the transport kinetics of compounds translocating across cellular barriers. To address this challenge, we report the development of a three‐dimensional human blood brain barrier (BBB) microfluidic model (μHuB) using human cerebral microvascular endothelial cells (hCMEC/D3) and primary human astrocytes within a commercially available microfluidic platform. Within μHuB, hCMEC/D3 monolayers withstood physiologically relevant shear stresses (2.73 dyn/cm2) over a period of 24 hr and formed a complete inner lumen, resembling in vivo blood capillaries. Monolayers within μHuB expressed phenotypical tight junction markers (Claudin‐5 and ZO‐1), which increased expression after the presence of hemodynamic‐like shear stress. Negligible cell injury was observed when the monolayers were cultured statically, conditioned to shear stress, and subjected to nonfluorescent dextran (70 kDa) transport studies. μHuB experienced size‐selective permeability of 10 and 70 kDa dextrans similar to other BBB models. However, with the ability to probe temporal and spatial evolution of solute distribution, μHuBs possess the ability to capture the true variability in permeability across a cellular monolayer over time and allow for evaluation of the full breadth of permeabilities that would otherwise be lost using traditional end‐point sampling techniques. Overall, the μHuB platform provides a simplified, easy‐to‐use model to further investigate the complexities of the human BBB in real‐time and can be readily adapted to incorporate additional cell types of the neurovascular unit and beyond.","container-title":"Bioengineering &amp; Translational Medicine","DOI":"10.1002/btm2.10126","ISSN":"2380-6761","issue":"2","journalAbbreviation":"Bioeng Transl Med","page":"e10126","PMID":"31249876","PMCID":"PMC6584314","source":"PubMed Central","title":"A microfluidic model of human brain (μHuB) for assessment of blood brain barrier","volume":"4","author":[{"family":"Brown","given":"Tyler D."},{"family":"Nowak","given":"Maksymilian"},{"family":"Bayles","given":"Alexandra V."},{"family":"Prabhakarpandian","given":"Balabhaskar"},{"family":"Karande","given":"Pankaj"},{"family":"Lahann","given":"Joerg"},{"family":"Helgeson","given":"Matthew E."},{"family":"Mitragotri","given":"Samir"}],"issued":{"date-parts":[["2019",1,13]]}}},{"id":3127,"uris":["http://zotero.org/users/10225791/items/MNFVZ44N"],"itemData":{"id":3127,"type":"article-journal","abstract":"The blood-brain barrier (BBB) regulates molecular trafficking, protects against pathogens, and prevents efficient drug delivery to the brain. Models to date failed to reproduce the human anatomical complexity of brain barriers, contributing to misleading results in clinical trials. To overcome these limitations, a novel 3-dimensional BBB microvascular network model was developed via vasculogenesis to accurately replicate the in vivo neurovascular organization. This microfluidic system includes human induced pluripotent stem cell-derived endothelial cells, brain pericytes, and astrocytes as self-assembled vascular networks in fibrin gel. Gene expression of membrane transporters, tight junction and extracellular matrix proteins, was consistent with computational analysis of geometrical structures and quantitative immunocytochemistry, indicating BBB maturation and microenvironment remodelling. Confocal microscopy validated microvessel-pericyte/astrocyte dynamic contact-interactions. The BBB model exhibited perfusable and selective microvasculature, with permeability lower than conventional in vitro models, and similar to in vivo measurements in rat brain. This robust and physiologically relevant BBB microvascular model offers an innovative and valuable platform for drug discovery to predict neuro-therapeutic transport efficacy in pre-clinical applications as well as recapitulate patient-specific and pathological neurovascular functions in neurodegenerative disease.","container-title":"Biomaterials","DOI":"10.1016/j.biomaterials.2018.07.014","ISSN":"0142-9612","journalAbbreviation":"Biomaterials","page":"117-129","source":"ScienceDirect","title":"3D self-organized microvascular model of the human blood-brain barrier with endothelial cells, pericytes and astrocytes","volume":"180","author":[{"family":"Campisi","given":"Marco"},{"family":"Shin","given":"Yoojin"},{"family":"Osaki","given":"Tatsuya"},{"family":"Hajal","given":"Cynthia"},{"family":"Chiono","given":"Valeria"},{"family":"Kamm","given":"Roger D."}],"issued":{"date-parts":[["2018",10,1]]}}},{"id":1938,"uris":["http://zotero.org/users/10225791/items/9UVA8PS4"],"itemData":{"id":1938,"type":"article-journal","abstract":"The neurovascular unit is a complex, interdependent system composed of neurons and neural supporting cells, such as astrocytes, as well as cells that comprise the vascular system including endothelial cells, pericytes, and smooth muscle cells. Each cell type in the neurovascular unit plays an essential role, either in transmitting and processing neural signals or in maintaining the appropriate microenvironmental conditions for healthy neural function. In vitro neurovascular models can be useful for understanding the different roles and functions of the cells composing the neurovascular unit, as well as for assessing the effects on neural function of therapeutic compounds after crossing the endothelial barrier. Here, we report a novel three-dimensional neurovascular microfluidic model consisting of primary rat astrocytes and neurons together with human cerebral microvascular endothelial cells. These three cell types in our neurovascular chip (NVC) show distinct cell type-specific morphological characteristics and functional properties. In particular, morphological and functional analysis of neurons enables quantitative assessment of neuronal responses, while human cerebral endothelial cells form monolayers with size-selective permeability similar to existing in vitro blood–brain barrier (BBB) models.","container-title":"Lab on a Chip","DOI":"10.1039/C6LC00638H","ISSN":"1473-0189","issue":"3","journalAbbreviation":"Lab Chip","language":"en","page":"448-459","publisher":"The Royal Society of Chemistry","source":"pubs.rsc.org","title":"A 3D neurovascular microfluidic model consisting of neurons, astrocytes and cerebral endothelial cells as a blood–brain barrier","volume":"17","author":[{"family":"Adriani","given":"Giulia"},{"family":"Ma","given":"Dongliang"},{"family":"Pavesi","given":"Andrea"},{"family":"Kamm","given":"Roger D."},{"family":"Goh","given":"Eyleen L. K."}],"issued":{"date-parts":[["2017",1,31]]}}}],"schema":"https://github.com/citation-style-language/schema/raw/master/csl-citation.json"} </w:instrText>
      </w:r>
      <w:r w:rsidR="009B4DF7"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10,22,23</w:t>
      </w:r>
      <w:r w:rsidR="009B4DF7" w:rsidRPr="00391419">
        <w:rPr>
          <w:rFonts w:cs="Calibri"/>
          <w:color w:val="000000" w:themeColor="text1"/>
          <w:szCs w:val="24"/>
          <w:vertAlign w:val="superscript"/>
        </w:rPr>
        <w:fldChar w:fldCharType="end"/>
      </w:r>
      <w:r w:rsidR="003F71DF" w:rsidRPr="00391419">
        <w:rPr>
          <w:rFonts w:cs="Calibri"/>
          <w:color w:val="000000" w:themeColor="text1"/>
          <w:szCs w:val="24"/>
        </w:rPr>
        <w:t xml:space="preserve">. </w:t>
      </w:r>
      <w:r w:rsidRPr="00391419">
        <w:rPr>
          <w:rFonts w:cs="Calibri"/>
          <w:color w:val="000000" w:themeColor="text1"/>
          <w:szCs w:val="24"/>
        </w:rPr>
        <w:t>Measurement of efflux transporter activity, including P-glycoprotein and breast cancer resistance protein, may also be relevant for pharmacological and drug-screening applications</w:t>
      </w:r>
      <w:r w:rsidR="009B4DF7" w:rsidRPr="00391419">
        <w:rPr>
          <w:rFonts w:cs="Calibri"/>
          <w:color w:val="000000" w:themeColor="text1"/>
          <w:szCs w:val="24"/>
          <w:vertAlign w:val="superscript"/>
        </w:rPr>
        <w:fldChar w:fldCharType="begin"/>
      </w:r>
      <w:r w:rsidR="009B4DF7" w:rsidRPr="00391419">
        <w:rPr>
          <w:rFonts w:cs="Calibri"/>
          <w:color w:val="000000" w:themeColor="text1"/>
          <w:szCs w:val="24"/>
          <w:vertAlign w:val="superscript"/>
        </w:rPr>
        <w:instrText xml:space="preserve"> ADDIN ZOTERO_ITEM CSL_CITATION {"citationID":"NT1HxFay","properties":{"unsorted":false,"formattedCitation":"(24)","plainCitation":"(24)","noteIndex":0},"citationItems":[{"id":3376,"uris":["http://zotero.org/users/10225791/items/MGSCX78J"],"itemData":{"id":3376,"type":"article-journal","abstract":"In-vitro blood-brain barrier models for drug screening and permeation studies: an overview","container-title":"Drug Design, Development and Therapy","DOI":"10.2147/DDDT.S218708","journalAbbreviation":"DDDT","language":"English","page":"3591-3605","publisher":"Dove Press","source":"www.dovepress.com","title":"&lt;p&gt;In-vitro blood-brain barrier models for drug screening and permeation studies: an overview&lt;/p&gt;","title-short":"&lt;p&gt;In-vitro blood-brain barrier models for drug screening and permeation studies","volume":"13","author":[{"family":"Bagchi","given":"Sounak"},{"family":"Chhibber","given":"Tanya"},{"family":"Lahooti","given":"Behnaz"},{"family":"Verma","given":"Angela"},{"family":"Borse","given":"Vivek"},{"family":"Jayant","given":"Rahul Dev"}],"issued":{"date-parts":[["2019",10,18]]}}}],"schema":"https://github.com/citation-style-language/schema/raw/master/csl-citation.json"} </w:instrText>
      </w:r>
      <w:r w:rsidR="009B4DF7"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24</w:t>
      </w:r>
      <w:r w:rsidR="009B4DF7" w:rsidRPr="00391419">
        <w:rPr>
          <w:rFonts w:cs="Calibri"/>
          <w:color w:val="000000" w:themeColor="text1"/>
          <w:szCs w:val="24"/>
          <w:vertAlign w:val="superscript"/>
        </w:rPr>
        <w:fldChar w:fldCharType="end"/>
      </w:r>
      <w:r w:rsidR="54DC8D54" w:rsidRPr="00391419">
        <w:rPr>
          <w:rFonts w:cs="Calibri"/>
          <w:color w:val="000000" w:themeColor="text1"/>
          <w:szCs w:val="24"/>
        </w:rPr>
        <w:t>.</w:t>
      </w:r>
      <w:r w:rsidR="53D28491" w:rsidRPr="00391419">
        <w:rPr>
          <w:rFonts w:cs="Calibri"/>
          <w:color w:val="000000" w:themeColor="text1"/>
          <w:szCs w:val="24"/>
        </w:rPr>
        <w:t xml:space="preserve"> </w:t>
      </w:r>
      <w:r w:rsidR="00D408CE" w:rsidRPr="00391419">
        <w:rPr>
          <w:rFonts w:cs="Calibri"/>
          <w:color w:val="000000" w:themeColor="text1"/>
          <w:szCs w:val="24"/>
        </w:rPr>
        <w:t>Additionally, material selection should be considered carefully in drug-screening studies because PDMS may absorb hydrophobic compounds</w:t>
      </w:r>
      <w:r w:rsidR="009B4DF7" w:rsidRPr="00391419">
        <w:rPr>
          <w:rFonts w:cs="Calibri"/>
          <w:color w:val="000000" w:themeColor="text1"/>
          <w:szCs w:val="24"/>
          <w:vertAlign w:val="superscript"/>
        </w:rPr>
        <w:fldChar w:fldCharType="begin"/>
      </w:r>
      <w:r w:rsidR="009B4DF7" w:rsidRPr="00391419">
        <w:rPr>
          <w:rFonts w:cs="Calibri"/>
          <w:color w:val="000000" w:themeColor="text1"/>
          <w:szCs w:val="24"/>
          <w:vertAlign w:val="superscript"/>
        </w:rPr>
        <w:instrText xml:space="preserve"> ADDIN ZOTERO_ITEM CSL_CITATION {"citationID":"3gUkxuln","properties":{"unsorted":false,"formattedCitation":"(25)","plainCitation":"(25)","noteIndex":0},"citationItems":[{"id":3378,"uris":["http://zotero.org/users/10225791/items/3YIWZXGR"],"itemData":{"id":3378,"type":"article-journal","abstract":"Microfluidic devices made out of polydimethylsiloxane (PDMS) have many physical properties that are useful for cell culture applications, such as transparency and gas permeability. Another distinct characteristic of PDMS is its ability to absorb hydrophobic small molecules. Partitioning of molecules into PDMS can significantly change solution concentrations and could potentially alter experimental outcomes. Herein we discuss PDMS absorption and its potential impact on microfluidic experiments.","container-title":"Lab on a Chip","DOI":"10.1039/B612140C","ISSN":"1473-0189","issue":"12","journalAbbreviation":"Lab Chip","language":"en","page":"1484-1486","publisher":"The Royal Society of Chemistry","source":"pubs.rsc.org","title":"PDMS absorption of small molecules and consequences in microfluidic applications","volume":"6","author":[{"family":"Toepke","given":"Michael W."},{"family":"Beebe","given":"David J."}],"issued":{"date-parts":[["2006",11,21]]}}}],"schema":"https://github.com/citation-style-language/schema/raw/master/csl-citation.json"} </w:instrText>
      </w:r>
      <w:r w:rsidR="009B4DF7"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25</w:t>
      </w:r>
      <w:r w:rsidR="009B4DF7" w:rsidRPr="00391419">
        <w:rPr>
          <w:rFonts w:cs="Calibri"/>
          <w:color w:val="000000" w:themeColor="text1"/>
          <w:szCs w:val="24"/>
          <w:vertAlign w:val="superscript"/>
        </w:rPr>
        <w:fldChar w:fldCharType="end"/>
      </w:r>
      <w:r w:rsidR="53D28491" w:rsidRPr="00391419">
        <w:rPr>
          <w:rFonts w:cs="Calibri"/>
          <w:color w:val="000000" w:themeColor="text1"/>
          <w:szCs w:val="24"/>
        </w:rPr>
        <w:t>.</w:t>
      </w:r>
      <w:r w:rsidR="54DC8D54" w:rsidRPr="00391419">
        <w:rPr>
          <w:rFonts w:cs="Calibri"/>
          <w:color w:val="000000" w:themeColor="text1"/>
          <w:szCs w:val="24"/>
        </w:rPr>
        <w:t xml:space="preserve"> </w:t>
      </w:r>
      <w:r w:rsidR="00D408CE" w:rsidRPr="00391419">
        <w:rPr>
          <w:rFonts w:cs="Calibri"/>
          <w:color w:val="000000" w:themeColor="text1"/>
          <w:szCs w:val="24"/>
        </w:rPr>
        <w:t>Microfluidic BBB systems similar to the platform described here have been applied to therapeutic testing</w:t>
      </w:r>
      <w:r w:rsidR="009B4DF7" w:rsidRPr="00391419">
        <w:rPr>
          <w:rFonts w:cs="Calibri"/>
          <w:color w:val="000000" w:themeColor="text1"/>
          <w:szCs w:val="24"/>
          <w:vertAlign w:val="superscript"/>
        </w:rPr>
        <w:fldChar w:fldCharType="begin"/>
      </w:r>
      <w:r w:rsidR="009B4DF7" w:rsidRPr="00391419">
        <w:rPr>
          <w:rFonts w:cs="Calibri"/>
          <w:color w:val="000000" w:themeColor="text1"/>
          <w:szCs w:val="24"/>
          <w:vertAlign w:val="superscript"/>
        </w:rPr>
        <w:instrText xml:space="preserve"> ADDIN ZOTERO_ITEM CSL_CITATION {"citationID":"MY1Qz5CD","properties":{"formattedCitation":"(26,27)","plainCitation":"(26,27)","noteIndex":0},"citationItems":[{"id":3174,"uris":["http://zotero.org/users/10225791/items/3R9NQ5ZR"],"itemData":{"id":3174,"type":"article-journal","abstract":"Alterations of blood-brain barrier (BBB) and blood-spinal cord barrier have been documented in various animal models of neurodegenerative diseases and in patients. Correlations of these alterations with functional deficits suggest that repairing barriers integrity may represent a disease-modifying approach to prevent neuroinflammation and neurodegeneration induced by the extravasation of blood components into the parenchyma. Here, we screened the effect of a subcommissural organ-spondin-derived peptide (NX210c), known to promote functional recovery in several models of neurological disorders, on BBB integrity in vitro and in vivo.","container-title":"Fluids and Barriers of the CNS","DOI":"10.1186/s12987-024-00577-x","ISSN":"2045-8118","issue":"1","journalAbbreviation":"Fluids and Barriers of the CNS","page":"76","source":"BioMed Central","title":"NX210c drug candidate peptide strengthens mouse and human blood-brain barriers","volume":"21","author":[{"family":"Greene","given":"Chris"},{"family":"Rebergue","given":"Nicolas"},{"family":"Fewell","given":"Gwen"},{"family":"Janigro","given":"Damir"},{"family":"Godfrin","given":"Yann"},{"family":"Campbell","given":"Matthew"},{"family":"Lemarchant","given":"Sighild"}],"issued":{"date-parts":[["2024",9,27]]}}},{"id":3177,"uris":["http://zotero.org/users/10225791/items/P5NNAIYX"],"itemData":{"id":3177,"type":"article-journal","abstract":"The blood-brain-barrier (BBB) is made up of blood vessels whose permeability enables the passage of some compounds. A predictive model of BBB permeability is important in the early stages of drug development. The predicted BBB permeabilities of drugs have been confirmed using a variety of in vitro methods to reduce the quantities of drug candidates needed in preclinical and clinical trials. Most prior studies have relied on animal or cell-culture models, which do not fully recapitulate the human BBB. The development of microfluidic models of human-derived BBB cells could address this issue. We analyzed a model for predicting BBB permeability using the Emulate BBB-on-a-chip machine. Ten compounds were evaluated, and their permeabilities were estimated. Our study demonstrated that the permeability trends of ten compounds in our microfluidic-based system resembled those observed in previous animal and cell-based experiments. Furthermore, we established a general correlation between the partition coefficient (Kp) and the apparent permeability (Papp). In conclusion, we introduced a new paradigm for predicting BBB permeability using microfluidic-based systems.","container-title":"Pharmaceutics","DOI":"10.3390/pharmaceutics16050574","ISSN":"1999-4923","issue":"5","journalAbbreviation":"Pharmaceutics","page":"574","PMID":"38794236","PMCID":"PMC11125197","source":"PubMed Central","title":"Evaluation of Drug Blood-Brain-Barrier Permeability Using a Microfluidic Chip","volume":"16","author":[{"family":"Yang","given":"Jung Yoon"},{"family":"Shin","given":"Dae-Seop"},{"family":"Jeong","given":"Moonkyu"},{"family":"Kim","given":"Seong Soon"},{"family":"Jeong","given":"Ha Neul"},{"family":"Lee","given":"Byung Hoi"},{"family":"Hwang","given":"Kyu-Seok"},{"family":"Son","given":"Yuji"},{"family":"Jeong","given":"Hyeon-Cheol"},{"family":"Choi","given":"Chi-Hoon"},{"family":"Lee","given":"Kyeong-Ryoon"},{"family":"Bae","given":"Myung Ae"}],"issued":{"date-parts":[["2024",4,23]]}}}],"schema":"https://github.com/citation-style-language/schema/raw/master/csl-citation.json"} </w:instrText>
      </w:r>
      <w:r w:rsidR="009B4DF7"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26,27</w:t>
      </w:r>
      <w:r w:rsidR="009B4DF7" w:rsidRPr="00391419">
        <w:rPr>
          <w:rFonts w:cs="Calibri"/>
          <w:color w:val="000000" w:themeColor="text1"/>
          <w:szCs w:val="24"/>
          <w:vertAlign w:val="superscript"/>
        </w:rPr>
        <w:fldChar w:fldCharType="end"/>
      </w:r>
      <w:r w:rsidR="003F71DF" w:rsidRPr="00391419">
        <w:rPr>
          <w:rFonts w:cs="Calibri"/>
          <w:color w:val="000000" w:themeColor="text1"/>
          <w:szCs w:val="24"/>
        </w:rPr>
        <w:t xml:space="preserve">, </w:t>
      </w:r>
      <w:r w:rsidR="00FF5F58" w:rsidRPr="00391419">
        <w:rPr>
          <w:rFonts w:cs="Calibri"/>
          <w:color w:val="000000" w:themeColor="text1"/>
          <w:szCs w:val="24"/>
        </w:rPr>
        <w:t xml:space="preserve">leukocyte </w:t>
      </w:r>
      <w:r w:rsidR="003F71DF" w:rsidRPr="00391419">
        <w:rPr>
          <w:rFonts w:cs="Calibri"/>
          <w:color w:val="000000" w:themeColor="text1"/>
          <w:szCs w:val="24"/>
        </w:rPr>
        <w:t>migration</w:t>
      </w:r>
      <w:r w:rsidR="00577233" w:rsidRPr="00391419">
        <w:rPr>
          <w:rFonts w:cs="Calibri"/>
          <w:color w:val="000000" w:themeColor="text1"/>
          <w:szCs w:val="24"/>
        </w:rPr>
        <w:t xml:space="preserve"> </w:t>
      </w:r>
      <w:r w:rsidR="00DB4878" w:rsidRPr="00391419">
        <w:rPr>
          <w:rFonts w:cs="Calibri"/>
          <w:color w:val="000000" w:themeColor="text1"/>
          <w:szCs w:val="24"/>
        </w:rPr>
        <w:t>studies</w:t>
      </w:r>
      <w:r w:rsidR="009B4DF7" w:rsidRPr="00391419">
        <w:rPr>
          <w:rFonts w:cs="Calibri"/>
          <w:color w:val="000000" w:themeColor="text1"/>
          <w:szCs w:val="24"/>
          <w:vertAlign w:val="superscript"/>
        </w:rPr>
        <w:fldChar w:fldCharType="begin"/>
      </w:r>
      <w:r w:rsidR="009B4DF7" w:rsidRPr="00391419">
        <w:rPr>
          <w:rFonts w:cs="Calibri"/>
          <w:color w:val="000000" w:themeColor="text1"/>
          <w:szCs w:val="24"/>
          <w:vertAlign w:val="superscript"/>
        </w:rPr>
        <w:instrText xml:space="preserve"> ADDIN ZOTERO_ITEM CSL_CITATION {"citationID":"zFNCyLlR","properties":{"formattedCitation":"(28,29)","plainCitation":"(28,29)","noteIndex":0},"citationItems":[{"id":1785,"uris":["http://zotero.org/users/10225791/items/QTSW76AS","http://zotero.org/users/10225791/items/MQMW5UZ9"],"itemData":{"id":1785,"type":"article-journal","abstract":"To study the biodistribution of new chemical and biological entities, an in vitro model of the blood–brain barrier (BBB) may become an essential tool during early phases of drug discovery. Here, we present a proof-of-concept of an in-house designed three-dimensional BBB biochip designed by us. This three-dimensional dynamic BBB model consists of endothelial cells and astrocytes, co-cultured on opposing sides of a polymer-coated membrane under flow mimicking blood flow. Our results demonstrate a highly effective BBB as evidenced by (i) a 30-fold increase in transendothelial electrical resistance (TEER), (ii) a significantly higher expression of tight junction proteins, and (iii) the low FITC–dextran permeability of our technical solution as compared to a static in vitro BBB model. Importantly, our three-dimensional BBB model effectively expresses P-glycoprotein (Pg-p), a hallmark characteristic for brain-derived endothelial cells. In conclusion, we provide here a complete holistic approach and insight to the whole BBB system, potentially delivering translational significance in the clinical and pharmaceutical arenas.","container-title":"Brain Sciences","DOI":"10.3390/brainsci12101293","ISSN":"2076-3425","issue":"10","journalAbbreviation":"Brain Sci","page":"1293","PMID":"36291227","PMCID":"PMC9599663","source":"PubMed Central","title":"A Microfluidic In Vitro Three-Dimensional Dynamic Model of the Blood–Brain Barrier to Study the Transmigration of Immune Cells","volume":"12","author":[{"family":"Meena","given":"Megha"},{"family":"Vandormael","given":"Robin"},{"family":"De Laere","given":"Maxime"},{"family":"Pintelon","given":"Isabel"},{"family":"Berneman","given":"Zwi"},{"family":"Watts","given":"Regan"},{"family":"Cools","given":"Nathalie"}],"issued":{"date-parts":[["2022",9,25]]}}},{"id":2685,"uris":["http://zotero.org/users/10225791/items/3KAXVFFE","http://zotero.org/users/10225791/items/RC4SXKA5"],"itemData":{"id":2685,"type":"article-journal","abstract":"Blood–brain barrier (BBB) dysfunction is a key feature in neuroimmunological and neurodegenerative diseases. In this study, we developed a microfluidic human BBB-on-a-chip to model barrier dysfunction and immune cell migration using immortalized TY10 brain endothelial cells, pericytes, and astrocytes. It was found that immortalized TY10 brain endothelial cells developed a microvascular structure under flow. Pericytes were localized on the basal side surrounding the TY10 microvascular structure, showing an in vivo-like structure. Barrier integrity increased under co-culture with pericytes. In addition, both ethylenediaminetetraacetic acid (EDTA) and anti-Claudin-5 (CLDN5) neutralizing antibody caused a decrease in the transendothelial electrical resistance (TEER). EDTA caused the leakage of 20 kDa dextran, suggesting different effects on the BBB based on the mechanism of action, whereas anti-CLDN5 antibody did not cause leakage. In the tri-culture model, human T cells migrated through endothelial vessels towards basal C-X-C motif chemokine ligand 12 (CXCL12). The live-imaging analysis confirmed the extravasation of fluorescence-labelled T cells in a CXCL12-concentration- and time-dependent manner. Our BBB model had an in vivo-like structure and successfully represented barrier dysfunction and transendothelial T cell migration. In addition, our study suggests that the inhibition of CLDN5 attenuates the BBB in humans. This platform has various potential uses in relation to the BBB in both drug discovery research and in elucidating the mechanisms of central nervous system diseases.","container-title":"International Journal of Molecular Sciences","DOI":"10.3390/ijms25126496","ISSN":"1422-0067","issue":"12","language":"en","license":"http://creativecommons.org/licenses/by/3.0/","note":"number: 12","page":"6496","publisher":"Multidisciplinary Digital Publishing Institute","source":"www.mdpi.com","title":"Modeling of Blood–Brain Barrier (BBB) Dysfunction and Immune Cell Migration Using Human BBB-on-a-Chip for Drug Discovery Research","volume":"25","author":[{"family":"Ohbuchi","given":"Masato"},{"family":"Shibuta","given":"Mayu"},{"family":"Tetsuka","given":"Kazuhiro"},{"family":"Sasaki-Iwaoka","given":"Haruna"},{"family":"Oishi","given":"Masayo"},{"family":"Shimizu","given":"Fumitaka"},{"family":"Nagasaka","given":"Yasuhisa"}],"issued":{"date-parts":[["2024",1]]}}}],"schema":"https://github.com/citation-style-language/schema/raw/master/csl-citation.json"} </w:instrText>
      </w:r>
      <w:r w:rsidR="009B4DF7"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28,29</w:t>
      </w:r>
      <w:r w:rsidR="009B4DF7" w:rsidRPr="00391419">
        <w:rPr>
          <w:rFonts w:cs="Calibri"/>
          <w:color w:val="000000" w:themeColor="text1"/>
          <w:szCs w:val="24"/>
          <w:vertAlign w:val="superscript"/>
        </w:rPr>
        <w:fldChar w:fldCharType="end"/>
      </w:r>
      <w:r w:rsidR="003F71DF" w:rsidRPr="00391419">
        <w:rPr>
          <w:rFonts w:cs="Calibri"/>
          <w:color w:val="000000" w:themeColor="text1"/>
          <w:szCs w:val="24"/>
        </w:rPr>
        <w:t xml:space="preserve">, </w:t>
      </w:r>
      <w:r w:rsidR="00D408CE" w:rsidRPr="00391419">
        <w:rPr>
          <w:rFonts w:cs="Calibri"/>
          <w:color w:val="000000" w:themeColor="text1"/>
          <w:szCs w:val="24"/>
        </w:rPr>
        <w:t>and investigations of infectious-agent interactions with the BBB. Previous studies have also reported multicompartment microfluidic platforms incorporating endothelial cells, astrocytes, microglia, and neurons to model more complex neurovascular interactions, including immune-cell migration following herpes simplex virus type 1 infection</w:t>
      </w:r>
      <w:r w:rsidR="009B4DF7" w:rsidRPr="00391419">
        <w:rPr>
          <w:rFonts w:eastAsia="Times New Roman" w:cs="Calibri"/>
          <w:color w:val="000000" w:themeColor="text1"/>
          <w:szCs w:val="24"/>
          <w:vertAlign w:val="superscript"/>
        </w:rPr>
        <w:fldChar w:fldCharType="begin"/>
      </w:r>
      <w:r w:rsidR="009B4DF7" w:rsidRPr="00391419">
        <w:rPr>
          <w:rFonts w:eastAsia="Times New Roman" w:cs="Calibri"/>
          <w:color w:val="000000" w:themeColor="text1"/>
          <w:szCs w:val="24"/>
          <w:vertAlign w:val="superscript"/>
        </w:rPr>
        <w:instrText xml:space="preserve"> ADDIN ZOTERO_ITEM CSL_CITATION {"citationID":"povUhdlH","properties":{"formattedCitation":"(30)","plainCitation":"(30)","noteIndex":0},"citationItems":[{"id":3049,"uris":["http://zotero.org/users/10225791/items/TSFT9I7N"],"itemData":{"id":3049,"type":"article-journal","abstract":"Herpes simplex encephalitis (HSE) caused by HSV-1 is the most common non-epidemic viral encephalitis, and the neuropathogenesis of HSE remains elusive. This work describes a 3D human neurovascular unit (NVU) model that allows to explore the neuropathogenesis of HSE in vitro. This model is established by co-culturing human microvascular endothelial cells, astrocytes, microglia and neurons on a multi-compartment chip. Upon HSV-1 infection, this NVU model exhibited HSE-associated pathological changes, including cytopathic effects, blood-brain barrier dysfunction and pro-inflammatory cytokines release. Besides, significant innate immune responses were observed with the infiltration of peripheral immune cells and microglial activation. Transcriptomic analysis revealed broadly inflammatory and chemotactic responses in host cells. Mechanistically, we found HSV-1 could induce severe suppression of autophagic flux in glial cells, especially in microglia. Autophagy activators could effectively inhibit HSV-1 replication and rescue neurovascular injuries, indicating the utility of this unique platform for studying neurological diseases and new therapeutics.","container-title":"Nature Communications","DOI":"10.1038/s41467-025-59042-4","ISSN":"2041-1723","issue":"1","journalAbbreviation":"Nat Commun","language":"en","license":"2025 The Author(s)","page":"3701","publisher":"Nature Publishing Group","source":"www.nature.com","title":"A microengineered 3D human neurovascular unit model to probe the neuropathogenesis of herpes simplex encephalitis","volume":"16","author":[{"family":"Zhang","given":"Min"},{"family":"Wang","given":"Peng"},{"family":"Wu","given":"Yunsong"},{"family":"Jin","given":"Lin"},{"family":"Liu","given":"Jiayue"},{"family":"Deng","given":"Pengwei"},{"family":"Luo","given":"Rongcan"},{"family":"Chen","given":"Xiyue"},{"family":"Zhao","given":"Mengqian"},{"family":"Zhang","given":"Xu"},{"family":"Guo","given":"Yaqiong"},{"family":"Yan","given":"Ying"},{"family":"Di","given":"Yingtong"},{"family":"Qin","given":"Jianhua"}],"issued":{"date-parts":[["2025",4,18]]}}}],"schema":"https://github.com/citation-style-language/schema/raw/master/csl-citation.json"} </w:instrText>
      </w:r>
      <w:r w:rsidR="009B4DF7" w:rsidRPr="00391419">
        <w:rPr>
          <w:rFonts w:eastAsia="Times New Roman" w:cs="Calibri"/>
          <w:color w:val="000000" w:themeColor="text1"/>
          <w:szCs w:val="24"/>
          <w:vertAlign w:val="superscript"/>
        </w:rPr>
        <w:fldChar w:fldCharType="separate"/>
      </w:r>
      <w:r w:rsidR="003B27FD" w:rsidRPr="00391419">
        <w:rPr>
          <w:rFonts w:cs="Calibri"/>
          <w:color w:val="000000" w:themeColor="text1"/>
          <w:szCs w:val="24"/>
          <w:vertAlign w:val="superscript"/>
        </w:rPr>
        <w:t>30</w:t>
      </w:r>
      <w:r w:rsidR="009B4DF7" w:rsidRPr="00391419">
        <w:rPr>
          <w:rFonts w:eastAsia="Times New Roman" w:cs="Calibri"/>
          <w:color w:val="000000" w:themeColor="text1"/>
          <w:szCs w:val="24"/>
          <w:vertAlign w:val="superscript"/>
        </w:rPr>
        <w:fldChar w:fldCharType="end"/>
      </w:r>
      <w:r w:rsidR="003F71DF" w:rsidRPr="00391419">
        <w:rPr>
          <w:rFonts w:eastAsia="Times New Roman" w:cs="Calibri"/>
          <w:color w:val="000000" w:themeColor="text1"/>
          <w:szCs w:val="24"/>
        </w:rPr>
        <w:t xml:space="preserve">. </w:t>
      </w:r>
      <w:r w:rsidR="00D408CE" w:rsidRPr="00391419">
        <w:rPr>
          <w:rFonts w:eastAsia="Times New Roman" w:cs="Calibri"/>
          <w:color w:val="000000" w:themeColor="text1"/>
          <w:szCs w:val="24"/>
        </w:rPr>
        <w:t xml:space="preserve">However, those authors acknowledged that their system operated under static conditions. The model presented in this paper incorporates endothelial cells and astrocytes only and therefore represents a simplified endothelial–astrocyte BBB co-culture model rather than a complete </w:t>
      </w:r>
      <w:r w:rsidR="009E1FDE" w:rsidRPr="00391419">
        <w:rPr>
          <w:rFonts w:eastAsia="Times New Roman" w:cs="Calibri"/>
          <w:color w:val="000000" w:themeColor="text1"/>
          <w:szCs w:val="24"/>
        </w:rPr>
        <w:t>NVU</w:t>
      </w:r>
      <w:r w:rsidR="00D408CE" w:rsidRPr="00391419">
        <w:rPr>
          <w:rFonts w:eastAsia="Times New Roman" w:cs="Calibri"/>
          <w:color w:val="000000" w:themeColor="text1"/>
          <w:szCs w:val="24"/>
        </w:rPr>
        <w:t>. Additional cell populations, including pericytes, microglia, and neurons, are not included in the present protocol, despite their recognized contributions to BBB maturation, tight-junction regulation, and long-term barrier stability</w:t>
      </w:r>
      <w:r w:rsidR="009B4DF7" w:rsidRPr="00391419">
        <w:rPr>
          <w:rFonts w:cs="Calibri"/>
          <w:color w:val="000000" w:themeColor="text1"/>
          <w:szCs w:val="24"/>
          <w:vertAlign w:val="superscript"/>
        </w:rPr>
        <w:fldChar w:fldCharType="begin"/>
      </w:r>
      <w:r w:rsidR="009B4DF7" w:rsidRPr="00391419">
        <w:rPr>
          <w:rFonts w:cs="Calibri"/>
          <w:color w:val="000000" w:themeColor="text1"/>
          <w:szCs w:val="24"/>
          <w:vertAlign w:val="superscript"/>
        </w:rPr>
        <w:instrText xml:space="preserve"> ADDIN ZOTERO_ITEM CSL_CITATION {"citationID":"EgS58Rh7","properties":{"unsorted":false,"formattedCitation":"(31)","plainCitation":"(31)","noteIndex":0},"citationItems":[{"id":3374,"uris":["http://zotero.org/users/10225791/items/7SK3YP9A"],"itemData":{"id":3374,"type":"article-journal","abstract":"This protocol describes an in vitro model of the human blood–brain barrier, self-assembled within microfluidic devices from stem-cell-derived or primary brain endothelial cells, and primary brain pericytes and astrocytes.","container-title":"Nature Protocols","DOI":"10.1038/s41596-021-00635-w","ISSN":"1750-2799","issue":"1","journalAbbreviation":"Nat Protoc","language":"en","license":"2021 The Author(s), under exclusive licence to Springer Nature Limited","page":"95-128","publisher":"Nature Publishing Group","source":"www.nature.com","title":"Engineered human blood–brain barrier microfluidic model for vascular permeability analyses","volume":"17","author":[{"family":"Hajal","given":"Cynthia"},{"family":"Offeddu","given":"Giovanni S."},{"family":"Shin","given":"Yoojin"},{"family":"Zhang","given":"Shun"},{"family":"Morozova","given":"Olga"},{"family":"Hickman","given":"Dean"},{"family":"Knutson","given":"Charles G."},{"family":"Kamm","given":"Roger D."}],"issued":{"date-parts":[["2022",1]]}}}],"schema":"https://github.com/citation-style-language/schema/raw/master/csl-citation.json"} </w:instrText>
      </w:r>
      <w:r w:rsidR="009B4DF7" w:rsidRPr="00391419">
        <w:rPr>
          <w:rFonts w:cs="Calibri"/>
          <w:color w:val="000000" w:themeColor="text1"/>
          <w:szCs w:val="24"/>
          <w:vertAlign w:val="superscript"/>
        </w:rPr>
        <w:fldChar w:fldCharType="separate"/>
      </w:r>
      <w:r w:rsidR="003B27FD" w:rsidRPr="00391419">
        <w:rPr>
          <w:rFonts w:cs="Calibri"/>
          <w:color w:val="000000" w:themeColor="text1"/>
          <w:szCs w:val="24"/>
          <w:vertAlign w:val="superscript"/>
        </w:rPr>
        <w:t>31</w:t>
      </w:r>
      <w:r w:rsidR="009B4DF7" w:rsidRPr="00391419">
        <w:rPr>
          <w:rFonts w:cs="Calibri"/>
          <w:color w:val="000000" w:themeColor="text1"/>
          <w:szCs w:val="24"/>
          <w:vertAlign w:val="superscript"/>
        </w:rPr>
        <w:fldChar w:fldCharType="end"/>
      </w:r>
      <w:r w:rsidR="00D45AA7" w:rsidRPr="00391419">
        <w:rPr>
          <w:rFonts w:cs="Calibri"/>
          <w:color w:val="000000" w:themeColor="text1"/>
          <w:szCs w:val="24"/>
        </w:rPr>
        <w:t xml:space="preserve">. </w:t>
      </w:r>
      <w:r w:rsidR="009E1FDE" w:rsidRPr="00391419">
        <w:rPr>
          <w:rFonts w:cs="Calibri"/>
          <w:color w:val="000000" w:themeColor="text1"/>
          <w:szCs w:val="24"/>
          <w:lang w:val="en-IN"/>
        </w:rPr>
        <w:t>Future optimization of this protocol may therefore involve incorporation of additional neurovascular cell types to further improve physiological relevance. In conclusion, microfluidic chip–based BBB models provide new opportunities for studying complex neurovascular interactions in controlled in vitro systems. The protocol described in this paper presents a shear flow–based endothelial–astrocyte co-culture BBB microfluidic model incorporating immortalized hCMEC/D3 endothelial cells and primary human astrocytes. The model demonstrates expression of key BBB-associated markers and reproducible TEER measurements under dynamic flow conditions. Although the present model does not fully replicate the complete NVU, the protocol provides a reproducible and adaptable platform that may be further modified for applications including barrier-function assessment, drug-screening studies, and investigations of cellular interactions at the BBB.</w:t>
      </w:r>
    </w:p>
    <w:p w14:paraId="458AAB87" w14:textId="77777777" w:rsidR="000A3EA4" w:rsidRPr="00391419" w:rsidRDefault="000A3EA4" w:rsidP="00B9425C">
      <w:pPr>
        <w:spacing w:after="0" w:line="0" w:lineRule="atLeast"/>
        <w:jc w:val="both"/>
        <w:rPr>
          <w:rFonts w:cs="Calibri"/>
          <w:color w:val="000000" w:themeColor="text1"/>
          <w:szCs w:val="24"/>
        </w:rPr>
      </w:pPr>
    </w:p>
    <w:p w14:paraId="032CD762" w14:textId="6F9C87FD" w:rsidR="000A3EA4"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ACKNOWLEDGMENTS:</w:t>
      </w:r>
    </w:p>
    <w:p w14:paraId="2D2C0122" w14:textId="77777777"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S.A.B. is supported by the University of Liverpool Health and Life Sciences Faculty Supported Studentship Fund. F.E.N. is supported by the Wellcome Accelerator Award (315711/Z/24/Z).</w:t>
      </w:r>
    </w:p>
    <w:p w14:paraId="3B2708F8" w14:textId="77777777" w:rsidR="009E1FDE" w:rsidRPr="00391419" w:rsidRDefault="009E1FDE" w:rsidP="00B9425C">
      <w:pPr>
        <w:spacing w:after="0" w:line="0" w:lineRule="atLeast"/>
        <w:jc w:val="both"/>
        <w:rPr>
          <w:rFonts w:cs="Calibri"/>
          <w:color w:val="000000" w:themeColor="text1"/>
          <w:szCs w:val="24"/>
          <w:lang w:val="en-IN"/>
        </w:rPr>
      </w:pPr>
    </w:p>
    <w:p w14:paraId="0C3430C6" w14:textId="53ECB6A0"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C.D. and S.A.B. are supported by The Pandemic Institute/Defence Science and Technology Laboratory (DSTL) Pump-Priming Grant (TPI/DSTL/TPI FA010 B Michael UoL). B.D.M. is supported by UK Research and Innovation/Medical Research Council (UKRI/MRC; MR/V03605X/1), the National Institute for Health and Care Research (NIHR; award CO-CIN-01), the Medical Research Council (MC_PC_19059), the NIHR Health Protection Research Unit (HPRU) in Emerging and Zoonotic Infections at the University of Liverpool in partnership with the UK Health Security Agency (UKHSA), in collaboration with the Liverpool School of Tropical Medicine and the University of Oxford (award 200907), the NIHR HPRU in Respiratory </w:t>
      </w:r>
      <w:r w:rsidRPr="00391419">
        <w:rPr>
          <w:rFonts w:cs="Calibri"/>
          <w:color w:val="000000" w:themeColor="text1"/>
          <w:szCs w:val="24"/>
          <w:lang w:val="en-IN"/>
        </w:rPr>
        <w:lastRenderedPageBreak/>
        <w:t>Infections at Imperial College London with UKHSA (award 200927), the MRC/UKRI (MR/V007181/1), the MRC (MR/T028750/1), and Wellcome (ISSF201902/3).</w:t>
      </w:r>
    </w:p>
    <w:p w14:paraId="578BC394" w14:textId="77777777" w:rsidR="009E1FDE" w:rsidRPr="00391419" w:rsidRDefault="009E1FDE" w:rsidP="00B9425C">
      <w:pPr>
        <w:spacing w:after="0" w:line="0" w:lineRule="atLeast"/>
        <w:jc w:val="both"/>
        <w:rPr>
          <w:rFonts w:cs="Calibri"/>
          <w:color w:val="000000" w:themeColor="text1"/>
          <w:szCs w:val="24"/>
          <w:lang w:val="en-IN"/>
        </w:rPr>
      </w:pPr>
    </w:p>
    <w:p w14:paraId="493FD0FB" w14:textId="78A470E4"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S.T.J.R. is supported by a Brain Research UK Project Grant, a Thrasher Child Health Early Career Award, an Academy of Medical Sciences Starter Grant, and a European Society for Paediatric Infectious Diseases Diagnostic Grant. S.T.J.R. is also an Olink-48 Grant Prize winner and a member of the Early Career Research Committee at the Wellcome Centre for Human Genetics, University of Oxford.</w:t>
      </w:r>
    </w:p>
    <w:p w14:paraId="0CA1AB7B" w14:textId="77777777" w:rsidR="009E1FDE" w:rsidRPr="00391419" w:rsidRDefault="009E1FDE" w:rsidP="00B9425C">
      <w:pPr>
        <w:spacing w:after="0" w:line="0" w:lineRule="atLeast"/>
        <w:jc w:val="both"/>
        <w:rPr>
          <w:rFonts w:cs="Calibri"/>
          <w:color w:val="000000" w:themeColor="text1"/>
          <w:szCs w:val="24"/>
          <w:lang w:val="en-IN"/>
        </w:rPr>
      </w:pPr>
    </w:p>
    <w:p w14:paraId="3040F7BD" w14:textId="5C142A25"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This study was funded by the NIHR Health Protection Research Unit in Emerging and Zoonotic Infections (NIHR207393). The views expressed are those of the authors and not necessarily those of the NIHR, the Department of Health and Social Care, or affiliated institutions.</w:t>
      </w:r>
    </w:p>
    <w:p w14:paraId="06907293" w14:textId="77777777" w:rsidR="009E1FDE" w:rsidRPr="00391419" w:rsidRDefault="009E1FDE" w:rsidP="00B9425C">
      <w:pPr>
        <w:spacing w:after="0" w:line="0" w:lineRule="atLeast"/>
        <w:jc w:val="both"/>
        <w:rPr>
          <w:rFonts w:cs="Calibri"/>
          <w:color w:val="000000" w:themeColor="text1"/>
          <w:szCs w:val="24"/>
          <w:lang w:val="en-IN"/>
        </w:rPr>
      </w:pPr>
    </w:p>
    <w:p w14:paraId="476CDD3C" w14:textId="2EAEE4E8"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The authors acknowledge the Liverpool Centre for Cell Imaging, University of Liverpool, for access to the Andor Dragonfly spinning-disk confocal microscope funded by Biotechnology and Biological Sciences Research Council (BBSRC) grant BB/R01390X/1.</w:t>
      </w:r>
    </w:p>
    <w:p w14:paraId="3B61110B" w14:textId="77777777" w:rsidR="009E1FDE" w:rsidRPr="00391419" w:rsidRDefault="009E1FDE" w:rsidP="00B9425C">
      <w:pPr>
        <w:spacing w:after="0" w:line="0" w:lineRule="atLeast"/>
        <w:jc w:val="both"/>
        <w:rPr>
          <w:rFonts w:cs="Calibri"/>
          <w:color w:val="000000" w:themeColor="text1"/>
          <w:szCs w:val="24"/>
          <w:lang w:val="en-IN"/>
        </w:rPr>
      </w:pPr>
    </w:p>
    <w:p w14:paraId="36701CE4" w14:textId="6A32D6A3"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The authors also acknowledge partial publication funding support from SynVivo Inc. SynVivo Inc. had no role in the experimental design, data collection, data analysis, data interpretation, manuscript preparation, or publication decision.</w:t>
      </w:r>
    </w:p>
    <w:p w14:paraId="47BE1D2C" w14:textId="77777777" w:rsidR="009E1FDE" w:rsidRPr="00391419" w:rsidRDefault="009E1FDE" w:rsidP="00B9425C">
      <w:pPr>
        <w:spacing w:after="0" w:line="0" w:lineRule="atLeast"/>
        <w:jc w:val="both"/>
        <w:rPr>
          <w:rFonts w:cs="Calibri"/>
          <w:color w:val="000000" w:themeColor="text1"/>
          <w:szCs w:val="24"/>
          <w:lang w:val="en-IN"/>
        </w:rPr>
      </w:pPr>
    </w:p>
    <w:p w14:paraId="0611255B" w14:textId="26DB57A5"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S.A.B. performed all experimental procedures. All authors contributed feedback and manuscript revisions.</w:t>
      </w:r>
    </w:p>
    <w:p w14:paraId="7FCD4121" w14:textId="77777777" w:rsidR="000A3EA4" w:rsidRPr="00391419" w:rsidRDefault="000A3EA4" w:rsidP="00B9425C">
      <w:pPr>
        <w:spacing w:after="0" w:line="0" w:lineRule="atLeast"/>
        <w:jc w:val="both"/>
        <w:rPr>
          <w:rFonts w:cs="Calibri"/>
          <w:color w:val="000000" w:themeColor="text1"/>
          <w:szCs w:val="24"/>
        </w:rPr>
      </w:pPr>
    </w:p>
    <w:p w14:paraId="286D3E79" w14:textId="566A7C82" w:rsidR="00697B5D"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DISCLOSURES:</w:t>
      </w:r>
    </w:p>
    <w:p w14:paraId="48C624B0" w14:textId="77777777" w:rsidR="009E1FDE" w:rsidRPr="00391419" w:rsidRDefault="009E1FDE" w:rsidP="00B9425C">
      <w:pPr>
        <w:spacing w:after="0" w:line="0" w:lineRule="atLeast"/>
        <w:jc w:val="both"/>
        <w:rPr>
          <w:rFonts w:cs="Calibri"/>
          <w:b/>
          <w:bCs/>
          <w:color w:val="000000" w:themeColor="text1"/>
          <w:szCs w:val="24"/>
          <w:lang w:val="en-IN"/>
        </w:rPr>
      </w:pPr>
      <w:r w:rsidRPr="00391419">
        <w:rPr>
          <w:rFonts w:cs="Calibri"/>
          <w:b/>
          <w:bCs/>
          <w:color w:val="000000" w:themeColor="text1"/>
          <w:szCs w:val="24"/>
          <w:lang w:val="en-IN"/>
        </w:rPr>
        <w:t>Conflict of Interest:</w:t>
      </w:r>
    </w:p>
    <w:p w14:paraId="0F9B65B9" w14:textId="3B65BB10"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G.F. is the former President and Chief Executive Officer of SynVivo Inc., and J.M.R. is an employee of SynVivo Inc., the company that develops and commercializes the microfluidic organ-on-chip devices used in this study.</w:t>
      </w:r>
    </w:p>
    <w:p w14:paraId="44B56849" w14:textId="77777777" w:rsidR="009E1FDE" w:rsidRPr="00391419" w:rsidRDefault="009E1FDE" w:rsidP="00B9425C">
      <w:pPr>
        <w:spacing w:after="0" w:line="0" w:lineRule="atLeast"/>
        <w:jc w:val="both"/>
        <w:rPr>
          <w:rFonts w:cs="Calibri"/>
          <w:color w:val="000000" w:themeColor="text1"/>
          <w:szCs w:val="24"/>
          <w:lang w:val="en-IN"/>
        </w:rPr>
      </w:pPr>
    </w:p>
    <w:p w14:paraId="579A32BD" w14:textId="5B1B6318"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The authors declare that this work describes one approach for </w:t>
      </w:r>
      <w:proofErr w:type="spellStart"/>
      <w:r w:rsidRPr="00391419">
        <w:rPr>
          <w:rFonts w:cs="Calibri"/>
          <w:color w:val="000000" w:themeColor="text1"/>
          <w:szCs w:val="24"/>
          <w:lang w:val="en-IN"/>
        </w:rPr>
        <w:t>modeling</w:t>
      </w:r>
      <w:proofErr w:type="spellEnd"/>
      <w:r w:rsidRPr="00391419">
        <w:rPr>
          <w:rFonts w:cs="Calibri"/>
          <w:color w:val="000000" w:themeColor="text1"/>
          <w:szCs w:val="24"/>
          <w:lang w:val="en-IN"/>
        </w:rPr>
        <w:t xml:space="preserve"> the blood–brain barrier and does not constitute endorsement or recommendation of any specific commercial technology or product. Use of trade names or manufacturer names is for identification purposes only and does not imply endorsement.</w:t>
      </w:r>
    </w:p>
    <w:p w14:paraId="59950802" w14:textId="77777777" w:rsidR="009E1FDE" w:rsidRPr="00391419" w:rsidRDefault="009E1FDE" w:rsidP="00B9425C">
      <w:pPr>
        <w:spacing w:after="0" w:line="0" w:lineRule="atLeast"/>
        <w:jc w:val="both"/>
        <w:rPr>
          <w:rFonts w:cs="Calibri"/>
          <w:color w:val="000000" w:themeColor="text1"/>
          <w:szCs w:val="24"/>
          <w:lang w:val="en-IN"/>
        </w:rPr>
      </w:pPr>
    </w:p>
    <w:p w14:paraId="34378C6C" w14:textId="4DFA31E5" w:rsidR="00697B5D"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Laboratory work was performed at the Clinical Sciences Centre, Aintree Hospital, Liverpool, in affiliation with the University of Liverpool. Confocal imaging was performed at the Centre for Cell Imaging, University of Liverpool.</w:t>
      </w:r>
    </w:p>
    <w:p w14:paraId="366D810F" w14:textId="77777777" w:rsidR="00697B5D" w:rsidRPr="00391419" w:rsidRDefault="00697B5D" w:rsidP="00B9425C">
      <w:pPr>
        <w:spacing w:after="0" w:line="0" w:lineRule="atLeast"/>
        <w:jc w:val="both"/>
        <w:rPr>
          <w:rFonts w:cs="Calibri"/>
          <w:color w:val="000000" w:themeColor="text1"/>
          <w:szCs w:val="24"/>
        </w:rPr>
      </w:pPr>
    </w:p>
    <w:p w14:paraId="5212D7E3" w14:textId="57CE7463" w:rsidR="00697B5D"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Author Contributions:</w:t>
      </w:r>
    </w:p>
    <w:p w14:paraId="7B55AAE3" w14:textId="44A1F3B8" w:rsidR="009E1FDE" w:rsidRPr="00391419" w:rsidRDefault="009E1FDE" w:rsidP="00B9425C">
      <w:pPr>
        <w:spacing w:after="0" w:line="0" w:lineRule="atLeast"/>
        <w:jc w:val="both"/>
        <w:rPr>
          <w:rFonts w:cs="Calibri"/>
          <w:color w:val="000000" w:themeColor="text1"/>
          <w:szCs w:val="24"/>
          <w:lang w:val="en-IN"/>
        </w:rPr>
      </w:pPr>
      <w:r w:rsidRPr="00391419">
        <w:rPr>
          <w:rFonts w:cs="Calibri"/>
          <w:color w:val="000000" w:themeColor="text1"/>
          <w:szCs w:val="24"/>
          <w:lang w:val="en-IN"/>
        </w:rPr>
        <w:t>S.A.B. performed laboratory experiments, data analysis, figure preparation, and manuscript drafting. J.M.R. and G.F. provided technical support and troubleshooting related to the microfluidic-chip equipment and consumables and provided publication-funding support. M.H., T.W., and M.M. provided specialist imaging support at the Centre for Cell Imaging. E.G.-T. performed the fluid-dynamics calculations and generated the associated figures. All authors contributed scientific expertise, reviewed the manuscript, and approved the final version.</w:t>
      </w:r>
    </w:p>
    <w:p w14:paraId="26028615" w14:textId="77777777" w:rsidR="00C83294" w:rsidRPr="00391419" w:rsidRDefault="00C83294" w:rsidP="00B9425C">
      <w:pPr>
        <w:spacing w:after="0" w:line="0" w:lineRule="atLeast"/>
        <w:jc w:val="both"/>
        <w:rPr>
          <w:rFonts w:cs="Calibri"/>
          <w:color w:val="000000" w:themeColor="text1"/>
          <w:szCs w:val="24"/>
        </w:rPr>
      </w:pPr>
    </w:p>
    <w:p w14:paraId="1DC5689B" w14:textId="743BF210" w:rsidR="00C83294" w:rsidRPr="00391419" w:rsidRDefault="008A7126" w:rsidP="00B9425C">
      <w:pPr>
        <w:spacing w:after="0" w:line="0" w:lineRule="atLeast"/>
        <w:jc w:val="both"/>
        <w:rPr>
          <w:rFonts w:cs="Calibri"/>
          <w:b/>
          <w:bCs/>
          <w:color w:val="000000" w:themeColor="text1"/>
          <w:szCs w:val="24"/>
        </w:rPr>
      </w:pPr>
      <w:r w:rsidRPr="00391419">
        <w:rPr>
          <w:rFonts w:cs="Calibri"/>
          <w:b/>
          <w:bCs/>
          <w:color w:val="000000" w:themeColor="text1"/>
          <w:szCs w:val="24"/>
        </w:rPr>
        <w:t>REFERENCES:</w:t>
      </w:r>
    </w:p>
    <w:p w14:paraId="664B8384" w14:textId="7D1E9DA3"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Abbott NJ, et al. Structure and function of the blood-brain barrier. </w:t>
      </w:r>
      <w:proofErr w:type="spellStart"/>
      <w:r w:rsidRPr="00391419">
        <w:rPr>
          <w:rFonts w:cs="Calibri"/>
          <w:color w:val="000000" w:themeColor="text1"/>
          <w:szCs w:val="24"/>
          <w:lang w:val="en-IN"/>
        </w:rPr>
        <w:t>Neurobiol</w:t>
      </w:r>
      <w:proofErr w:type="spellEnd"/>
      <w:r w:rsidRPr="00391419">
        <w:rPr>
          <w:rFonts w:cs="Calibri"/>
          <w:color w:val="000000" w:themeColor="text1"/>
          <w:szCs w:val="24"/>
          <w:lang w:val="en-IN"/>
        </w:rPr>
        <w:t xml:space="preserve"> Dis. 2010;37(1):13-25.</w:t>
      </w:r>
    </w:p>
    <w:p w14:paraId="7A013F15" w14:textId="1212969D"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Boardman SA, et al. Viral infection and the blood-brain barrier: molecular research insights and therapies. J Infect Dis. 2025;</w:t>
      </w:r>
      <w:r w:rsidR="00395389" w:rsidRPr="00391419">
        <w:rPr>
          <w:rFonts w:cs="Calibri"/>
          <w:color w:val="000000" w:themeColor="text1"/>
          <w:szCs w:val="24"/>
        </w:rPr>
        <w:t>232(6):1273-1282</w:t>
      </w:r>
      <w:r w:rsidRPr="00391419">
        <w:rPr>
          <w:rFonts w:cs="Calibri"/>
          <w:color w:val="000000" w:themeColor="text1"/>
          <w:szCs w:val="24"/>
          <w:lang w:val="en-IN"/>
        </w:rPr>
        <w:t>.</w:t>
      </w:r>
    </w:p>
    <w:p w14:paraId="1CDE0A8F" w14:textId="5671D0F9"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Hubrecht RC, Carter E. The 3Rs and humane experimental technique: implementing change. Animals (Basel). 2019;9(10):754.</w:t>
      </w:r>
    </w:p>
    <w:p w14:paraId="0D47C23B" w14:textId="1C2714F2"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Gharib G, et al. Biomedical applications of microfluidic devices: a review. Biosensors (Basel). 2022;12(11):1023.</w:t>
      </w:r>
    </w:p>
    <w:p w14:paraId="14F30057" w14:textId="1D00CE5B"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Niculescu AG, </w:t>
      </w:r>
      <w:proofErr w:type="spellStart"/>
      <w:r w:rsidRPr="00391419">
        <w:rPr>
          <w:rFonts w:cs="Calibri"/>
          <w:color w:val="000000" w:themeColor="text1"/>
          <w:szCs w:val="24"/>
          <w:lang w:val="en-IN"/>
        </w:rPr>
        <w:t>Chircov</w:t>
      </w:r>
      <w:proofErr w:type="spellEnd"/>
      <w:r w:rsidRPr="00391419">
        <w:rPr>
          <w:rFonts w:cs="Calibri"/>
          <w:color w:val="000000" w:themeColor="text1"/>
          <w:szCs w:val="24"/>
          <w:lang w:val="en-IN"/>
        </w:rPr>
        <w:t xml:space="preserve"> C, </w:t>
      </w:r>
      <w:proofErr w:type="spellStart"/>
      <w:r w:rsidRPr="00391419">
        <w:rPr>
          <w:rFonts w:cs="Calibri"/>
          <w:color w:val="000000" w:themeColor="text1"/>
          <w:szCs w:val="24"/>
          <w:lang w:val="en-IN"/>
        </w:rPr>
        <w:t>Bîrcă</w:t>
      </w:r>
      <w:proofErr w:type="spellEnd"/>
      <w:r w:rsidRPr="00391419">
        <w:rPr>
          <w:rFonts w:cs="Calibri"/>
          <w:color w:val="000000" w:themeColor="text1"/>
          <w:szCs w:val="24"/>
          <w:lang w:val="en-IN"/>
        </w:rPr>
        <w:t xml:space="preserve"> AC, </w:t>
      </w:r>
      <w:proofErr w:type="spellStart"/>
      <w:r w:rsidRPr="00391419">
        <w:rPr>
          <w:rFonts w:cs="Calibri"/>
          <w:color w:val="000000" w:themeColor="text1"/>
          <w:szCs w:val="24"/>
          <w:lang w:val="en-IN"/>
        </w:rPr>
        <w:t>Grumezescu</w:t>
      </w:r>
      <w:proofErr w:type="spellEnd"/>
      <w:r w:rsidRPr="00391419">
        <w:rPr>
          <w:rFonts w:cs="Calibri"/>
          <w:color w:val="000000" w:themeColor="text1"/>
          <w:szCs w:val="24"/>
          <w:lang w:val="en-IN"/>
        </w:rPr>
        <w:t xml:space="preserve"> AM. Fabrication and applications of microfluidic devices: a review. Int J Mol Sci. 2021;22(4):2011.</w:t>
      </w:r>
    </w:p>
    <w:p w14:paraId="4960D834" w14:textId="69D9DA58"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Li M, et al. Blood-brain barrier microfluidic chips and their applications. Organs-on-a-Chip. 2023;5:100027.</w:t>
      </w:r>
    </w:p>
    <w:p w14:paraId="2353317D" w14:textId="3DB98FE6"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Admiraal J, et al. Building the blood-brain barrier: a scalable self-assembling 3D model of the brain microvasculature under unidirectional flow. Fluids Barriers CNS. 2026;23:29.</w:t>
      </w:r>
    </w:p>
    <w:p w14:paraId="499E3FC8" w14:textId="4D5B2126"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DeStefano JG, et al. Effect of shear stress on iPSC-derived human brain microvascular endothelial cells (</w:t>
      </w:r>
      <w:proofErr w:type="spellStart"/>
      <w:r w:rsidRPr="00391419">
        <w:rPr>
          <w:rFonts w:cs="Calibri"/>
          <w:color w:val="000000" w:themeColor="text1"/>
          <w:szCs w:val="24"/>
          <w:lang w:val="en-IN"/>
        </w:rPr>
        <w:t>dhBMECs</w:t>
      </w:r>
      <w:proofErr w:type="spellEnd"/>
      <w:r w:rsidRPr="00391419">
        <w:rPr>
          <w:rFonts w:cs="Calibri"/>
          <w:color w:val="000000" w:themeColor="text1"/>
          <w:szCs w:val="24"/>
          <w:lang w:val="en-IN"/>
        </w:rPr>
        <w:t>). Fluids Barriers CNS. 2017;14(1):20.</w:t>
      </w:r>
    </w:p>
    <w:p w14:paraId="5701BE69" w14:textId="0A6B9E52"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proofErr w:type="spellStart"/>
      <w:r w:rsidRPr="00391419">
        <w:rPr>
          <w:rFonts w:cs="Calibri"/>
          <w:color w:val="000000" w:themeColor="text1"/>
          <w:szCs w:val="24"/>
          <w:lang w:val="en-IN"/>
        </w:rPr>
        <w:t>Cucullo</w:t>
      </w:r>
      <w:proofErr w:type="spellEnd"/>
      <w:r w:rsidRPr="00391419">
        <w:rPr>
          <w:rFonts w:cs="Calibri"/>
          <w:color w:val="000000" w:themeColor="text1"/>
          <w:szCs w:val="24"/>
          <w:lang w:val="en-IN"/>
        </w:rPr>
        <w:t xml:space="preserve"> L, et al. The role of shear stress in blood-brain barrier endothelial physiology. BMC </w:t>
      </w:r>
      <w:proofErr w:type="spellStart"/>
      <w:r w:rsidRPr="00391419">
        <w:rPr>
          <w:rFonts w:cs="Calibri"/>
          <w:color w:val="000000" w:themeColor="text1"/>
          <w:szCs w:val="24"/>
          <w:lang w:val="en-IN"/>
        </w:rPr>
        <w:t>Neurosci</w:t>
      </w:r>
      <w:proofErr w:type="spellEnd"/>
      <w:r w:rsidRPr="00391419">
        <w:rPr>
          <w:rFonts w:cs="Calibri"/>
          <w:color w:val="000000" w:themeColor="text1"/>
          <w:szCs w:val="24"/>
          <w:lang w:val="en-IN"/>
        </w:rPr>
        <w:t>. 2011;12:40.</w:t>
      </w:r>
    </w:p>
    <w:p w14:paraId="78F2AB6A" w14:textId="15442B76"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Brown TD, et al. A microfluidic model of human brain (</w:t>
      </w:r>
      <w:proofErr w:type="spellStart"/>
      <w:r w:rsidRPr="00391419">
        <w:rPr>
          <w:rFonts w:cs="Calibri"/>
          <w:color w:val="000000" w:themeColor="text1"/>
          <w:szCs w:val="24"/>
          <w:lang w:val="en-IN"/>
        </w:rPr>
        <w:t>μHuB</w:t>
      </w:r>
      <w:proofErr w:type="spellEnd"/>
      <w:r w:rsidRPr="00391419">
        <w:rPr>
          <w:rFonts w:cs="Calibri"/>
          <w:color w:val="000000" w:themeColor="text1"/>
          <w:szCs w:val="24"/>
          <w:lang w:val="en-IN"/>
        </w:rPr>
        <w:t xml:space="preserve">) for assessment of blood-brain barrier. </w:t>
      </w:r>
      <w:proofErr w:type="spellStart"/>
      <w:r w:rsidRPr="00391419">
        <w:rPr>
          <w:rFonts w:cs="Calibri"/>
          <w:color w:val="000000" w:themeColor="text1"/>
          <w:szCs w:val="24"/>
          <w:lang w:val="en-IN"/>
        </w:rPr>
        <w:t>Bioeng</w:t>
      </w:r>
      <w:proofErr w:type="spellEnd"/>
      <w:r w:rsidRPr="00391419">
        <w:rPr>
          <w:rFonts w:cs="Calibri"/>
          <w:color w:val="000000" w:themeColor="text1"/>
          <w:szCs w:val="24"/>
          <w:lang w:val="en-IN"/>
        </w:rPr>
        <w:t xml:space="preserve"> </w:t>
      </w:r>
      <w:proofErr w:type="spellStart"/>
      <w:r w:rsidRPr="00391419">
        <w:rPr>
          <w:rFonts w:cs="Calibri"/>
          <w:color w:val="000000" w:themeColor="text1"/>
          <w:szCs w:val="24"/>
          <w:lang w:val="en-IN"/>
        </w:rPr>
        <w:t>Transl</w:t>
      </w:r>
      <w:proofErr w:type="spellEnd"/>
      <w:r w:rsidRPr="00391419">
        <w:rPr>
          <w:rFonts w:cs="Calibri"/>
          <w:color w:val="000000" w:themeColor="text1"/>
          <w:szCs w:val="24"/>
          <w:lang w:val="en-IN"/>
        </w:rPr>
        <w:t xml:space="preserve"> Med. 2019;4(2).</w:t>
      </w:r>
    </w:p>
    <w:p w14:paraId="10A70995" w14:textId="4C71FD69"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proofErr w:type="spellStart"/>
      <w:r w:rsidRPr="00391419">
        <w:rPr>
          <w:rFonts w:cs="Calibri"/>
          <w:color w:val="000000" w:themeColor="text1"/>
          <w:szCs w:val="24"/>
          <w:lang w:val="it-IT"/>
        </w:rPr>
        <w:t>Weksler</w:t>
      </w:r>
      <w:proofErr w:type="spellEnd"/>
      <w:r w:rsidRPr="00391419">
        <w:rPr>
          <w:rFonts w:cs="Calibri"/>
          <w:color w:val="000000" w:themeColor="text1"/>
          <w:szCs w:val="24"/>
          <w:lang w:val="it-IT"/>
        </w:rPr>
        <w:t xml:space="preserve"> B, Romero IA, </w:t>
      </w:r>
      <w:proofErr w:type="spellStart"/>
      <w:r w:rsidRPr="00391419">
        <w:rPr>
          <w:rFonts w:cs="Calibri"/>
          <w:color w:val="000000" w:themeColor="text1"/>
          <w:szCs w:val="24"/>
          <w:lang w:val="it-IT"/>
        </w:rPr>
        <w:t>Couraud</w:t>
      </w:r>
      <w:proofErr w:type="spellEnd"/>
      <w:r w:rsidRPr="00391419">
        <w:rPr>
          <w:rFonts w:cs="Calibri"/>
          <w:color w:val="000000" w:themeColor="text1"/>
          <w:szCs w:val="24"/>
          <w:lang w:val="it-IT"/>
        </w:rPr>
        <w:t xml:space="preserve"> PO. </w:t>
      </w:r>
      <w:r w:rsidRPr="00391419">
        <w:rPr>
          <w:rFonts w:cs="Calibri"/>
          <w:color w:val="000000" w:themeColor="text1"/>
          <w:szCs w:val="24"/>
          <w:lang w:val="en-IN"/>
        </w:rPr>
        <w:t>The hCMEC/D3 cell line as a model of the human blood-brain barrier. Fluids Barriers CNS. 2013;10:16.</w:t>
      </w:r>
    </w:p>
    <w:p w14:paraId="73274735" w14:textId="504EF79F"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Lenk RS. The Hagen-Poiseuille equation and the </w:t>
      </w:r>
      <w:proofErr w:type="spellStart"/>
      <w:r w:rsidRPr="00391419">
        <w:rPr>
          <w:rFonts w:cs="Calibri"/>
          <w:color w:val="000000" w:themeColor="text1"/>
          <w:szCs w:val="24"/>
          <w:lang w:val="en-IN"/>
        </w:rPr>
        <w:t>Rabinowitsch</w:t>
      </w:r>
      <w:proofErr w:type="spellEnd"/>
      <w:r w:rsidRPr="00391419">
        <w:rPr>
          <w:rFonts w:cs="Calibri"/>
          <w:color w:val="000000" w:themeColor="text1"/>
          <w:szCs w:val="24"/>
          <w:lang w:val="en-IN"/>
        </w:rPr>
        <w:t xml:space="preserve"> correction. In: Polymer Rheology. Dordrecht: Springer Netherlands; 1978:75-85.</w:t>
      </w:r>
    </w:p>
    <w:p w14:paraId="44E3B14B" w14:textId="2A21B029"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Lindner M, et al. Flow-induced glycocalyx formation and cell alignment of HUVECs compared to iPSC-derived ECs for tissue engineering applications. Front Cell Dev Biol. 2022;10:953062.</w:t>
      </w:r>
    </w:p>
    <w:p w14:paraId="6E155998" w14:textId="2D61ACF6"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Patabendige A, Skinner RA, Morgan L, Abbott NJ. A detailed method for preparation of a functional and flexible blood-brain barrier model using porcine brain endothelial cells. Brain Res. 2013;1521:16-30.</w:t>
      </w:r>
    </w:p>
    <w:p w14:paraId="441B03C5" w14:textId="55A67941"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proofErr w:type="spellStart"/>
      <w:r w:rsidRPr="00391419">
        <w:rPr>
          <w:rFonts w:cs="Calibri"/>
          <w:color w:val="000000" w:themeColor="text1"/>
          <w:szCs w:val="24"/>
          <w:lang w:val="en-IN"/>
        </w:rPr>
        <w:t>Ballermann</w:t>
      </w:r>
      <w:proofErr w:type="spellEnd"/>
      <w:r w:rsidRPr="00391419">
        <w:rPr>
          <w:rFonts w:cs="Calibri"/>
          <w:color w:val="000000" w:themeColor="text1"/>
          <w:szCs w:val="24"/>
          <w:lang w:val="en-IN"/>
        </w:rPr>
        <w:t xml:space="preserve"> BJ, </w:t>
      </w:r>
      <w:proofErr w:type="spellStart"/>
      <w:r w:rsidRPr="00391419">
        <w:rPr>
          <w:rFonts w:cs="Calibri"/>
          <w:color w:val="000000" w:themeColor="text1"/>
          <w:szCs w:val="24"/>
          <w:lang w:val="en-IN"/>
        </w:rPr>
        <w:t>Dardik</w:t>
      </w:r>
      <w:proofErr w:type="spellEnd"/>
      <w:r w:rsidRPr="00391419">
        <w:rPr>
          <w:rFonts w:cs="Calibri"/>
          <w:color w:val="000000" w:themeColor="text1"/>
          <w:szCs w:val="24"/>
          <w:lang w:val="en-IN"/>
        </w:rPr>
        <w:t xml:space="preserve"> A, Eng E, Liu A. Shear stress and the endothelium. Kidney Int Suppl. 1998;67.</w:t>
      </w:r>
    </w:p>
    <w:p w14:paraId="5B6C779A" w14:textId="6F7E2B7D"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Garcia-Polite F, et al. </w:t>
      </w:r>
      <w:proofErr w:type="spellStart"/>
      <w:r w:rsidRPr="00391419">
        <w:rPr>
          <w:rFonts w:cs="Calibri"/>
          <w:color w:val="000000" w:themeColor="text1"/>
          <w:szCs w:val="24"/>
          <w:lang w:val="en-IN"/>
        </w:rPr>
        <w:t>Pulsatility</w:t>
      </w:r>
      <w:proofErr w:type="spellEnd"/>
      <w:r w:rsidRPr="00391419">
        <w:rPr>
          <w:rFonts w:cs="Calibri"/>
          <w:color w:val="000000" w:themeColor="text1"/>
          <w:szCs w:val="24"/>
          <w:lang w:val="en-IN"/>
        </w:rPr>
        <w:t xml:space="preserve"> and high shear stress deteriorate barrier phenotype in brain microvascular endothelium. J </w:t>
      </w:r>
      <w:proofErr w:type="spellStart"/>
      <w:r w:rsidRPr="00391419">
        <w:rPr>
          <w:rFonts w:cs="Calibri"/>
          <w:color w:val="000000" w:themeColor="text1"/>
          <w:szCs w:val="24"/>
          <w:lang w:val="en-IN"/>
        </w:rPr>
        <w:t>Cereb</w:t>
      </w:r>
      <w:proofErr w:type="spellEnd"/>
      <w:r w:rsidRPr="00391419">
        <w:rPr>
          <w:rFonts w:cs="Calibri"/>
          <w:color w:val="000000" w:themeColor="text1"/>
          <w:szCs w:val="24"/>
          <w:lang w:val="en-IN"/>
        </w:rPr>
        <w:t xml:space="preserve"> Blood Flow </w:t>
      </w:r>
      <w:proofErr w:type="spellStart"/>
      <w:r w:rsidRPr="00391419">
        <w:rPr>
          <w:rFonts w:cs="Calibri"/>
          <w:color w:val="000000" w:themeColor="text1"/>
          <w:szCs w:val="24"/>
          <w:lang w:val="en-IN"/>
        </w:rPr>
        <w:t>Metab</w:t>
      </w:r>
      <w:proofErr w:type="spellEnd"/>
      <w:r w:rsidRPr="00391419">
        <w:rPr>
          <w:rFonts w:cs="Calibri"/>
          <w:color w:val="000000" w:themeColor="text1"/>
          <w:szCs w:val="24"/>
          <w:lang w:val="en-IN"/>
        </w:rPr>
        <w:t>. 2017;37(7):2614-25.</w:t>
      </w:r>
    </w:p>
    <w:p w14:paraId="6B354362" w14:textId="1EA63BF4"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Aryal R, Patabendige A. Blood-brain barrier disruption in atrial fibrillation: a potential contributor to the increased risk of dementia and worsening of stroke outcomes? Open Biol. 2021;11(4):200396.</w:t>
      </w:r>
    </w:p>
    <w:p w14:paraId="7566EAC7" w14:textId="42CB2506"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Ceccarelli MC, et al. Real-time monitoring of a 3D blood-brain barrier model maturation and integrity with a </w:t>
      </w:r>
      <w:proofErr w:type="spellStart"/>
      <w:r w:rsidRPr="00391419">
        <w:rPr>
          <w:rFonts w:cs="Calibri"/>
          <w:color w:val="000000" w:themeColor="text1"/>
          <w:szCs w:val="24"/>
          <w:lang w:val="en-IN"/>
        </w:rPr>
        <w:t>sensorized</w:t>
      </w:r>
      <w:proofErr w:type="spellEnd"/>
      <w:r w:rsidRPr="00391419">
        <w:rPr>
          <w:rFonts w:cs="Calibri"/>
          <w:color w:val="000000" w:themeColor="text1"/>
          <w:szCs w:val="24"/>
          <w:lang w:val="en-IN"/>
        </w:rPr>
        <w:t xml:space="preserve"> microfluidic device. Lab Chip. 2024;24(22):5085-100.</w:t>
      </w:r>
    </w:p>
    <w:p w14:paraId="0849CEF4" w14:textId="4C16154B"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Ghane N, Jafari R, Valipour Motlagh N. Standardizing TEER measurements in blood-brain barrier-on-chip systems: a systematic review of electrode designs and configurations. Biomimetics. 2026;11(2):119.</w:t>
      </w:r>
    </w:p>
    <w:p w14:paraId="12952775" w14:textId="22374DDB"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Weksler BB, et al. Blood-brain barrier-specific properties of a human adult brain endothelial cell line. FASEB J. 2005;19(13):1872-</w:t>
      </w:r>
      <w:r w:rsidR="00E65C83" w:rsidRPr="00391419">
        <w:rPr>
          <w:rFonts w:cs="Calibri"/>
          <w:color w:val="000000" w:themeColor="text1"/>
          <w:szCs w:val="24"/>
          <w:lang w:val="en-IN"/>
        </w:rPr>
        <w:t>187</w:t>
      </w:r>
      <w:r w:rsidRPr="00391419">
        <w:rPr>
          <w:rFonts w:cs="Calibri"/>
          <w:color w:val="000000" w:themeColor="text1"/>
          <w:szCs w:val="24"/>
          <w:lang w:val="en-IN"/>
        </w:rPr>
        <w:t>4.</w:t>
      </w:r>
    </w:p>
    <w:p w14:paraId="7F176B8C" w14:textId="6C8C00B8"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lastRenderedPageBreak/>
        <w:t xml:space="preserve">Lu TM, et al. Pluripotent stem cell-derived epithelium misidentified as brain microvascular endothelium requires ETS factors to acquire vascular fate. Proc Natl </w:t>
      </w:r>
      <w:proofErr w:type="spellStart"/>
      <w:r w:rsidRPr="00391419">
        <w:rPr>
          <w:rFonts w:cs="Calibri"/>
          <w:color w:val="000000" w:themeColor="text1"/>
          <w:szCs w:val="24"/>
          <w:lang w:val="en-IN"/>
        </w:rPr>
        <w:t>Acad</w:t>
      </w:r>
      <w:proofErr w:type="spellEnd"/>
      <w:r w:rsidRPr="00391419">
        <w:rPr>
          <w:rFonts w:cs="Calibri"/>
          <w:color w:val="000000" w:themeColor="text1"/>
          <w:szCs w:val="24"/>
          <w:lang w:val="en-IN"/>
        </w:rPr>
        <w:t xml:space="preserve"> Sci U S A. 2021;118(8).</w:t>
      </w:r>
    </w:p>
    <w:p w14:paraId="4085D4F8" w14:textId="53846245"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Campisi M, et al. 3D self-organized microvascular model of the human blood-brain barrier with endothelial cells, pericytes and astrocytes. Biomaterials. 2018;180:117-</w:t>
      </w:r>
      <w:r w:rsidR="00E65C83" w:rsidRPr="00391419">
        <w:rPr>
          <w:rFonts w:cs="Calibri"/>
          <w:color w:val="000000" w:themeColor="text1"/>
          <w:szCs w:val="24"/>
          <w:lang w:val="en-IN"/>
        </w:rPr>
        <w:t>1</w:t>
      </w:r>
      <w:r w:rsidRPr="00391419">
        <w:rPr>
          <w:rFonts w:cs="Calibri"/>
          <w:color w:val="000000" w:themeColor="text1"/>
          <w:szCs w:val="24"/>
          <w:lang w:val="en-IN"/>
        </w:rPr>
        <w:t>29.</w:t>
      </w:r>
    </w:p>
    <w:p w14:paraId="6947F25A" w14:textId="5F6AE7B1"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Adriani G, et al. A 3D neurovascular microfluidic model consisting of neurons, astrocytes and cerebral endothelial cells as a blood-brain barrier. Lab Chip. 2017;17(3):448-59.</w:t>
      </w:r>
    </w:p>
    <w:p w14:paraId="082952BF" w14:textId="2F836BFC"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Bagchi S, et al. In vitro blood-brain barrier models for drug screening and permeation studies: an overview. Drug Des Devel Ther. 2019;13:3591-</w:t>
      </w:r>
      <w:r w:rsidR="00E65C83" w:rsidRPr="00391419">
        <w:rPr>
          <w:rFonts w:cs="Calibri"/>
          <w:color w:val="000000" w:themeColor="text1"/>
          <w:szCs w:val="24"/>
          <w:lang w:val="en-IN"/>
        </w:rPr>
        <w:t>3</w:t>
      </w:r>
      <w:r w:rsidRPr="00391419">
        <w:rPr>
          <w:rFonts w:cs="Calibri"/>
          <w:color w:val="000000" w:themeColor="text1"/>
          <w:szCs w:val="24"/>
          <w:lang w:val="en-IN"/>
        </w:rPr>
        <w:t>605.</w:t>
      </w:r>
    </w:p>
    <w:p w14:paraId="34581A04" w14:textId="14CAABE8"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Toepke MW, Beebe DJ. PDMS absorption of small molecules and consequences in microfluidic applications. Lab Chip. 2006;6(12):1484-</w:t>
      </w:r>
      <w:r w:rsidR="00E65C83" w:rsidRPr="00391419">
        <w:rPr>
          <w:rFonts w:cs="Calibri"/>
          <w:color w:val="000000" w:themeColor="text1"/>
          <w:szCs w:val="24"/>
          <w:lang w:val="en-IN"/>
        </w:rPr>
        <w:t>148</w:t>
      </w:r>
      <w:r w:rsidRPr="00391419">
        <w:rPr>
          <w:rFonts w:cs="Calibri"/>
          <w:color w:val="000000" w:themeColor="text1"/>
          <w:szCs w:val="24"/>
          <w:lang w:val="en-IN"/>
        </w:rPr>
        <w:t>6.</w:t>
      </w:r>
    </w:p>
    <w:p w14:paraId="32EAE0DF" w14:textId="441ED617"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Greene C, et al. NX210c drug candidate peptide strengthens mouse and human blood-brain barriers. Fluids Barriers CNS. 2024;21(1):76.</w:t>
      </w:r>
    </w:p>
    <w:p w14:paraId="77C1A78C" w14:textId="48BC3CCF"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Yang JY, et al. Evaluation of drug blood-brain-barrier permeability using a microfluidic chip. Pharmaceutics. 2024;16(5):574.</w:t>
      </w:r>
    </w:p>
    <w:p w14:paraId="5B458C36" w14:textId="2B00B0A3"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Meena M, et al. A microfluidic in vitro three-dimensional dynamic model of the blood-brain barrier to study the transmigration of immune cells. Brain Sci. 2022;12(10):1293.</w:t>
      </w:r>
    </w:p>
    <w:p w14:paraId="1620D241" w14:textId="47435138"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proofErr w:type="spellStart"/>
      <w:r w:rsidRPr="00391419">
        <w:rPr>
          <w:rFonts w:cs="Calibri"/>
          <w:color w:val="000000" w:themeColor="text1"/>
          <w:szCs w:val="24"/>
          <w:lang w:val="en-IN"/>
        </w:rPr>
        <w:t>Ohbuchi</w:t>
      </w:r>
      <w:proofErr w:type="spellEnd"/>
      <w:r w:rsidRPr="00391419">
        <w:rPr>
          <w:rFonts w:cs="Calibri"/>
          <w:color w:val="000000" w:themeColor="text1"/>
          <w:szCs w:val="24"/>
          <w:lang w:val="en-IN"/>
        </w:rPr>
        <w:t xml:space="preserve"> M, et al. Modeling of blood-brain barrier dysfunction and immune cell migration using human BBB-on-a-chip for drug discovery research. Int J Mol Sci. 2024;25(12):6496.</w:t>
      </w:r>
    </w:p>
    <w:p w14:paraId="042ECAE7" w14:textId="57228F1E" w:rsidR="008C01C9" w:rsidRPr="00391419" w:rsidRDefault="008C01C9" w:rsidP="00B9425C">
      <w:pPr>
        <w:pStyle w:val="ListParagraph"/>
        <w:numPr>
          <w:ilvl w:val="0"/>
          <w:numId w:val="32"/>
        </w:numPr>
        <w:spacing w:after="0" w:line="0" w:lineRule="atLeast"/>
        <w:jc w:val="both"/>
        <w:rPr>
          <w:rFonts w:cs="Calibri"/>
          <w:color w:val="000000" w:themeColor="text1"/>
          <w:szCs w:val="24"/>
          <w:lang w:val="en-IN"/>
        </w:rPr>
      </w:pPr>
      <w:r w:rsidRPr="00391419">
        <w:rPr>
          <w:rFonts w:cs="Calibri"/>
          <w:color w:val="000000" w:themeColor="text1"/>
          <w:szCs w:val="24"/>
          <w:lang w:val="en-IN"/>
        </w:rPr>
        <w:t xml:space="preserve">Zhang M, et al. A </w:t>
      </w:r>
      <w:proofErr w:type="spellStart"/>
      <w:r w:rsidRPr="00391419">
        <w:rPr>
          <w:rFonts w:cs="Calibri"/>
          <w:color w:val="000000" w:themeColor="text1"/>
          <w:szCs w:val="24"/>
          <w:lang w:val="en-IN"/>
        </w:rPr>
        <w:t>microengineered</w:t>
      </w:r>
      <w:proofErr w:type="spellEnd"/>
      <w:r w:rsidRPr="00391419">
        <w:rPr>
          <w:rFonts w:cs="Calibri"/>
          <w:color w:val="000000" w:themeColor="text1"/>
          <w:szCs w:val="24"/>
          <w:lang w:val="en-IN"/>
        </w:rPr>
        <w:t xml:space="preserve"> 3D human neurovascular unit model to probe the neuropathogenesis of herpes simplex encephalitis. Nat Commun. 2025;16(1):3701.</w:t>
      </w:r>
    </w:p>
    <w:p w14:paraId="7E752012" w14:textId="156AB05B" w:rsidR="00C83294" w:rsidRPr="00391419" w:rsidRDefault="008C01C9" w:rsidP="00B9425C">
      <w:pPr>
        <w:pStyle w:val="ListParagraph"/>
        <w:numPr>
          <w:ilvl w:val="0"/>
          <w:numId w:val="32"/>
        </w:numPr>
        <w:spacing w:after="0" w:line="0" w:lineRule="atLeast"/>
        <w:jc w:val="both"/>
        <w:rPr>
          <w:rFonts w:cs="Calibri"/>
          <w:color w:val="000000" w:themeColor="text1"/>
          <w:szCs w:val="24"/>
        </w:rPr>
      </w:pPr>
      <w:proofErr w:type="spellStart"/>
      <w:r w:rsidRPr="00391419">
        <w:rPr>
          <w:rFonts w:cs="Calibri"/>
          <w:color w:val="000000" w:themeColor="text1"/>
          <w:szCs w:val="24"/>
          <w:lang w:val="en-IN"/>
        </w:rPr>
        <w:t>Hajal</w:t>
      </w:r>
      <w:proofErr w:type="spellEnd"/>
      <w:r w:rsidRPr="00391419">
        <w:rPr>
          <w:rFonts w:cs="Calibri"/>
          <w:color w:val="000000" w:themeColor="text1"/>
          <w:szCs w:val="24"/>
          <w:lang w:val="en-IN"/>
        </w:rPr>
        <w:t xml:space="preserve"> C, et al. Engineered human blood-brain barrier microfluidic model for vascular permeability analyses. Nat </w:t>
      </w:r>
      <w:proofErr w:type="spellStart"/>
      <w:r w:rsidRPr="00391419">
        <w:rPr>
          <w:rFonts w:cs="Calibri"/>
          <w:color w:val="000000" w:themeColor="text1"/>
          <w:szCs w:val="24"/>
          <w:lang w:val="en-IN"/>
        </w:rPr>
        <w:t>Protoc</w:t>
      </w:r>
      <w:proofErr w:type="spellEnd"/>
      <w:r w:rsidRPr="00391419">
        <w:rPr>
          <w:rFonts w:cs="Calibri"/>
          <w:color w:val="000000" w:themeColor="text1"/>
          <w:szCs w:val="24"/>
          <w:lang w:val="en-IN"/>
        </w:rPr>
        <w:t>. 2022;17(1):95-128.</w:t>
      </w:r>
    </w:p>
    <w:sectPr w:rsidR="00C83294" w:rsidRPr="00391419" w:rsidSect="00056F6D">
      <w:footerReference w:type="default" r:id="rId1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E98EB" w14:textId="77777777" w:rsidR="00BD29E7" w:rsidRPr="004D0828" w:rsidRDefault="00BD29E7">
      <w:pPr>
        <w:spacing w:after="0" w:line="240" w:lineRule="auto"/>
      </w:pPr>
      <w:r w:rsidRPr="004D0828">
        <w:separator/>
      </w:r>
    </w:p>
  </w:endnote>
  <w:endnote w:type="continuationSeparator" w:id="0">
    <w:p w14:paraId="73EFCE9E" w14:textId="77777777" w:rsidR="00BD29E7" w:rsidRPr="004D0828" w:rsidRDefault="00BD29E7">
      <w:pPr>
        <w:spacing w:after="0" w:line="240" w:lineRule="auto"/>
      </w:pPr>
      <w:r w:rsidRPr="004D08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Mincho">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881868"/>
      <w:docPartObj>
        <w:docPartGallery w:val="Page Numbers (Bottom of Page)"/>
        <w:docPartUnique/>
      </w:docPartObj>
    </w:sdtPr>
    <w:sdtEndPr/>
    <w:sdtContent>
      <w:p w14:paraId="08F64B2B" w14:textId="1D17CB5E" w:rsidR="00C83294" w:rsidRPr="004D0828" w:rsidRDefault="008A7126" w:rsidP="00FD3A91">
        <w:pPr>
          <w:pStyle w:val="Footer"/>
          <w:jc w:val="center"/>
        </w:pPr>
        <w:r w:rsidRPr="004D0828">
          <w:fldChar w:fldCharType="begin"/>
        </w:r>
        <w:r w:rsidRPr="004D0828">
          <w:instrText xml:space="preserve"> PAGE   \* MERGEFORMAT </w:instrText>
        </w:r>
        <w:r w:rsidRPr="004D0828">
          <w:fldChar w:fldCharType="separate"/>
        </w:r>
        <w:r w:rsidRPr="004D0828">
          <w:t>2</w:t>
        </w:r>
        <w:r w:rsidRPr="004D082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77373" w14:textId="77777777" w:rsidR="00BD29E7" w:rsidRPr="004D0828" w:rsidRDefault="00BD29E7">
      <w:pPr>
        <w:spacing w:after="0" w:line="240" w:lineRule="auto"/>
      </w:pPr>
      <w:r w:rsidRPr="004D0828">
        <w:separator/>
      </w:r>
    </w:p>
  </w:footnote>
  <w:footnote w:type="continuationSeparator" w:id="0">
    <w:p w14:paraId="20B65653" w14:textId="77777777" w:rsidR="00BD29E7" w:rsidRPr="004D0828" w:rsidRDefault="00BD29E7">
      <w:pPr>
        <w:spacing w:after="0" w:line="240" w:lineRule="auto"/>
      </w:pPr>
      <w:r w:rsidRPr="004D082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4DFD"/>
    <w:multiLevelType w:val="multilevel"/>
    <w:tmpl w:val="798A2B7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6125CE"/>
    <w:multiLevelType w:val="multilevel"/>
    <w:tmpl w:val="89C27DDE"/>
    <w:styleLink w:val="CurrentList19"/>
    <w:lvl w:ilvl="0">
      <w:start w:val="1"/>
      <w:numFmt w:val="lowerRoman"/>
      <w:lvlText w:val="%1."/>
      <w:lvlJc w:val="right"/>
      <w:pPr>
        <w:ind w:left="2421" w:hanging="360"/>
      </w:pPr>
      <w:rPr>
        <w:rFonts w:hint="default"/>
      </w:r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2" w15:restartNumberingAfterBreak="0">
    <w:nsid w:val="0BB85526"/>
    <w:multiLevelType w:val="multilevel"/>
    <w:tmpl w:val="7A34B10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i w:val="0"/>
        <w:iCs w:val="0"/>
      </w:rPr>
    </w:lvl>
    <w:lvl w:ilvl="2">
      <w:start w:val="1"/>
      <w:numFmt w:val="decimal"/>
      <w:suff w:val="space"/>
      <w:lvlText w:val="%1.%2.%3."/>
      <w:lvlJc w:val="left"/>
      <w:pPr>
        <w:ind w:left="1304" w:hanging="58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433B75"/>
    <w:multiLevelType w:val="hybridMultilevel"/>
    <w:tmpl w:val="87AE907C"/>
    <w:lvl w:ilvl="0" w:tplc="D79AA73A">
      <w:start w:val="1"/>
      <w:numFmt w:val="lowerRoman"/>
      <w:lvlText w:val="%1."/>
      <w:lvlJc w:val="right"/>
      <w:pPr>
        <w:ind w:left="1795" w:hanging="94"/>
      </w:pPr>
      <w:rPr>
        <w:rFonts w:hint="default"/>
      </w:rPr>
    </w:lvl>
    <w:lvl w:ilvl="1" w:tplc="DC80965E">
      <w:start w:val="1"/>
      <w:numFmt w:val="lowerLetter"/>
      <w:lvlText w:val="%2."/>
      <w:lvlJc w:val="left"/>
      <w:pPr>
        <w:ind w:left="2344" w:hanging="360"/>
      </w:pPr>
    </w:lvl>
    <w:lvl w:ilvl="2" w:tplc="1122A23E" w:tentative="1">
      <w:start w:val="1"/>
      <w:numFmt w:val="lowerRoman"/>
      <w:lvlText w:val="%3."/>
      <w:lvlJc w:val="right"/>
      <w:pPr>
        <w:ind w:left="5202" w:hanging="180"/>
      </w:pPr>
    </w:lvl>
    <w:lvl w:ilvl="3" w:tplc="BD2E0D00" w:tentative="1">
      <w:start w:val="1"/>
      <w:numFmt w:val="decimal"/>
      <w:lvlText w:val="%4."/>
      <w:lvlJc w:val="left"/>
      <w:pPr>
        <w:ind w:left="5922" w:hanging="360"/>
      </w:pPr>
    </w:lvl>
    <w:lvl w:ilvl="4" w:tplc="2B5CEBDC" w:tentative="1">
      <w:start w:val="1"/>
      <w:numFmt w:val="lowerLetter"/>
      <w:lvlText w:val="%5."/>
      <w:lvlJc w:val="left"/>
      <w:pPr>
        <w:ind w:left="6642" w:hanging="360"/>
      </w:pPr>
    </w:lvl>
    <w:lvl w:ilvl="5" w:tplc="EE8AC6E6" w:tentative="1">
      <w:start w:val="1"/>
      <w:numFmt w:val="lowerRoman"/>
      <w:lvlText w:val="%6."/>
      <w:lvlJc w:val="right"/>
      <w:pPr>
        <w:ind w:left="7362" w:hanging="180"/>
      </w:pPr>
    </w:lvl>
    <w:lvl w:ilvl="6" w:tplc="EBD4B576" w:tentative="1">
      <w:start w:val="1"/>
      <w:numFmt w:val="decimal"/>
      <w:lvlText w:val="%7."/>
      <w:lvlJc w:val="left"/>
      <w:pPr>
        <w:ind w:left="8082" w:hanging="360"/>
      </w:pPr>
    </w:lvl>
    <w:lvl w:ilvl="7" w:tplc="FDBA7F46" w:tentative="1">
      <w:start w:val="1"/>
      <w:numFmt w:val="lowerLetter"/>
      <w:lvlText w:val="%8."/>
      <w:lvlJc w:val="left"/>
      <w:pPr>
        <w:ind w:left="8802" w:hanging="360"/>
      </w:pPr>
    </w:lvl>
    <w:lvl w:ilvl="8" w:tplc="2C0874D2" w:tentative="1">
      <w:start w:val="1"/>
      <w:numFmt w:val="lowerRoman"/>
      <w:lvlText w:val="%9."/>
      <w:lvlJc w:val="right"/>
      <w:pPr>
        <w:ind w:left="9522" w:hanging="180"/>
      </w:pPr>
    </w:lvl>
  </w:abstractNum>
  <w:abstractNum w:abstractNumId="4" w15:restartNumberingAfterBreak="0">
    <w:nsid w:val="1022136F"/>
    <w:multiLevelType w:val="multilevel"/>
    <w:tmpl w:val="0A9AF17C"/>
    <w:styleLink w:val="CurrentList1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iCs w:val="0"/>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9B668A"/>
    <w:multiLevelType w:val="multilevel"/>
    <w:tmpl w:val="89C27DDE"/>
    <w:styleLink w:val="CurrentList18"/>
    <w:lvl w:ilvl="0">
      <w:start w:val="1"/>
      <w:numFmt w:val="lowerRoman"/>
      <w:lvlText w:val="%1."/>
      <w:lvlJc w:val="right"/>
      <w:pPr>
        <w:ind w:left="2421" w:hanging="360"/>
      </w:pPr>
      <w:rPr>
        <w:rFonts w:hint="default"/>
      </w:r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6" w15:restartNumberingAfterBreak="0">
    <w:nsid w:val="179603F7"/>
    <w:multiLevelType w:val="multilevel"/>
    <w:tmpl w:val="DD3E3C1C"/>
    <w:styleLink w:val="CurrentList23"/>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Roman"/>
      <w:lvlText w:val="%5."/>
      <w:lvlJc w:val="right"/>
      <w:pPr>
        <w:ind w:left="2203" w:hanging="360"/>
      </w:pPr>
      <w:rPr>
        <w:rFonts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99354E9"/>
    <w:multiLevelType w:val="multilevel"/>
    <w:tmpl w:val="89C27DDE"/>
    <w:styleLink w:val="CurrentList20"/>
    <w:lvl w:ilvl="0">
      <w:start w:val="1"/>
      <w:numFmt w:val="lowerRoman"/>
      <w:lvlText w:val="%1."/>
      <w:lvlJc w:val="right"/>
      <w:pPr>
        <w:ind w:left="2421" w:hanging="360"/>
      </w:pPr>
      <w:rPr>
        <w:rFonts w:hint="default"/>
      </w:r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8" w15:restartNumberingAfterBreak="0">
    <w:nsid w:val="1BC33780"/>
    <w:multiLevelType w:val="multilevel"/>
    <w:tmpl w:val="3524ED96"/>
    <w:styleLink w:val="CurrentList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FC6466"/>
    <w:multiLevelType w:val="multilevel"/>
    <w:tmpl w:val="4D645C9C"/>
    <w:styleLink w:val="CurrentList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407F1E"/>
    <w:multiLevelType w:val="multilevel"/>
    <w:tmpl w:val="8AE4E570"/>
    <w:styleLink w:val="CurrentList7"/>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304" w:hanging="584"/>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8376E36"/>
    <w:multiLevelType w:val="multilevel"/>
    <w:tmpl w:val="874CCFE2"/>
    <w:lvl w:ilvl="0">
      <w:start w:val="1"/>
      <w:numFmt w:val="decimal"/>
      <w:suff w:val="space"/>
      <w:lvlText w:val="%1."/>
      <w:lvlJc w:val="left"/>
      <w:pPr>
        <w:ind w:left="360" w:hanging="360"/>
      </w:pPr>
      <w:rPr>
        <w:rFonts w:hint="default"/>
      </w:rPr>
    </w:lvl>
    <w:lvl w:ilvl="1">
      <w:start w:val="1"/>
      <w:numFmt w:val="decimal"/>
      <w:suff w:val="space"/>
      <w:lvlText w:val="%1.%2."/>
      <w:lvlJc w:val="left"/>
      <w:pPr>
        <w:ind w:left="1474" w:hanging="1114"/>
      </w:pPr>
      <w:rPr>
        <w:rFonts w:hint="default"/>
      </w:rPr>
    </w:lvl>
    <w:lvl w:ilvl="2">
      <w:start w:val="1"/>
      <w:numFmt w:val="bullet"/>
      <w:suff w:val="space"/>
      <w:lvlText w:val=""/>
      <w:lvlJc w:val="left"/>
      <w:pPr>
        <w:ind w:left="1080" w:hanging="360"/>
      </w:pPr>
      <w:rPr>
        <w:rFonts w:ascii="Symbol" w:hAnsi="Symbol" w:hint="default"/>
      </w:rPr>
    </w:lvl>
    <w:lvl w:ilvl="3">
      <w:start w:val="1"/>
      <w:numFmt w:val="bullet"/>
      <w:suff w:val="space"/>
      <w:lvlText w:val=""/>
      <w:lvlJc w:val="left"/>
      <w:pPr>
        <w:ind w:left="1440" w:hanging="360"/>
      </w:pPr>
      <w:rPr>
        <w:rFonts w:ascii="Symbol" w:hAnsi="Symbol" w:hint="default"/>
      </w:rPr>
    </w:lvl>
    <w:lvl w:ilvl="4">
      <w:start w:val="1"/>
      <w:numFmt w:val="lowerRoman"/>
      <w:suff w:val="space"/>
      <w:lvlText w:val="%5."/>
      <w:lvlJc w:val="right"/>
      <w:pPr>
        <w:ind w:left="2061" w:hanging="36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23259C1"/>
    <w:multiLevelType w:val="multilevel"/>
    <w:tmpl w:val="541622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lowerRoman"/>
      <w:lvlText w:val="%5."/>
      <w:lvlJc w:val="right"/>
      <w:pPr>
        <w:ind w:left="1927" w:hanging="85"/>
      </w:pPr>
      <w:rPr>
        <w:rFonts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2AE0DA4"/>
    <w:multiLevelType w:val="multilevel"/>
    <w:tmpl w:val="571AE93E"/>
    <w:styleLink w:val="CurrentList17"/>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bullet"/>
      <w:suff w:val="space"/>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upperRoman"/>
      <w:lvlText w:val="%5."/>
      <w:lvlJc w:val="right"/>
      <w:pPr>
        <w:ind w:left="2061" w:hanging="360"/>
      </w:pPr>
      <w:rPr>
        <w:rFonts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E04669"/>
    <w:multiLevelType w:val="multilevel"/>
    <w:tmpl w:val="0809001F"/>
    <w:styleLink w:val="CurrentList2"/>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36DB1CED"/>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0E1E70"/>
    <w:multiLevelType w:val="hybridMultilevel"/>
    <w:tmpl w:val="E80CD606"/>
    <w:lvl w:ilvl="0" w:tplc="DBAA9426">
      <w:numFmt w:val="bullet"/>
      <w:lvlText w:val=""/>
      <w:lvlJc w:val="left"/>
      <w:pPr>
        <w:ind w:left="732" w:hanging="372"/>
      </w:pPr>
      <w:rPr>
        <w:rFonts w:ascii="Calibri" w:eastAsiaTheme="majorEastAsia"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9A1198A"/>
    <w:multiLevelType w:val="multilevel"/>
    <w:tmpl w:val="0A9AF17C"/>
    <w:styleLink w:val="CurrentList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iCs w:val="0"/>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2254D35"/>
    <w:multiLevelType w:val="multilevel"/>
    <w:tmpl w:val="0809001F"/>
    <w:styleLink w:val="CurrentList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DD3B1E"/>
    <w:multiLevelType w:val="multilevel"/>
    <w:tmpl w:val="8E9C7B3E"/>
    <w:styleLink w:val="CurrentList1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upperRoman"/>
      <w:lvlText w:val="%5."/>
      <w:lvlJc w:val="right"/>
      <w:pPr>
        <w:ind w:left="2023" w:hanging="18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85932D3"/>
    <w:multiLevelType w:val="multilevel"/>
    <w:tmpl w:val="FDCC2FA6"/>
    <w:styleLink w:val="CurrentList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upperRoman"/>
      <w:lvlText w:val="%5."/>
      <w:lvlJc w:val="right"/>
      <w:pPr>
        <w:ind w:left="2061" w:hanging="360"/>
      </w:p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DCA1358"/>
    <w:multiLevelType w:val="hybridMultilevel"/>
    <w:tmpl w:val="7E34285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2" w15:restartNumberingAfterBreak="0">
    <w:nsid w:val="58201427"/>
    <w:multiLevelType w:val="hybridMultilevel"/>
    <w:tmpl w:val="A922E696"/>
    <w:lvl w:ilvl="0" w:tplc="E49E43D0">
      <w:start w:val="1"/>
      <w:numFmt w:val="decimal"/>
      <w:lvlText w:val="%1."/>
      <w:lvlJc w:val="left"/>
      <w:pPr>
        <w:ind w:left="360" w:hanging="360"/>
      </w:pPr>
    </w:lvl>
    <w:lvl w:ilvl="1" w:tplc="EFCCF14C" w:tentative="1">
      <w:start w:val="1"/>
      <w:numFmt w:val="lowerLetter"/>
      <w:lvlText w:val="%2."/>
      <w:lvlJc w:val="left"/>
      <w:pPr>
        <w:ind w:left="1080" w:hanging="360"/>
      </w:pPr>
    </w:lvl>
    <w:lvl w:ilvl="2" w:tplc="B2E44B92" w:tentative="1">
      <w:start w:val="1"/>
      <w:numFmt w:val="lowerRoman"/>
      <w:lvlText w:val="%3."/>
      <w:lvlJc w:val="right"/>
      <w:pPr>
        <w:ind w:left="1800" w:hanging="180"/>
      </w:pPr>
    </w:lvl>
    <w:lvl w:ilvl="3" w:tplc="8616883C" w:tentative="1">
      <w:start w:val="1"/>
      <w:numFmt w:val="decimal"/>
      <w:lvlText w:val="%4."/>
      <w:lvlJc w:val="left"/>
      <w:pPr>
        <w:ind w:left="2520" w:hanging="360"/>
      </w:pPr>
    </w:lvl>
    <w:lvl w:ilvl="4" w:tplc="014C3BF6" w:tentative="1">
      <w:start w:val="1"/>
      <w:numFmt w:val="lowerLetter"/>
      <w:lvlText w:val="%5."/>
      <w:lvlJc w:val="left"/>
      <w:pPr>
        <w:ind w:left="3240" w:hanging="360"/>
      </w:pPr>
    </w:lvl>
    <w:lvl w:ilvl="5" w:tplc="94A28C44" w:tentative="1">
      <w:start w:val="1"/>
      <w:numFmt w:val="lowerRoman"/>
      <w:lvlText w:val="%6."/>
      <w:lvlJc w:val="right"/>
      <w:pPr>
        <w:ind w:left="3960" w:hanging="180"/>
      </w:pPr>
    </w:lvl>
    <w:lvl w:ilvl="6" w:tplc="74A09DDC" w:tentative="1">
      <w:start w:val="1"/>
      <w:numFmt w:val="decimal"/>
      <w:lvlText w:val="%7."/>
      <w:lvlJc w:val="left"/>
      <w:pPr>
        <w:ind w:left="4680" w:hanging="360"/>
      </w:pPr>
    </w:lvl>
    <w:lvl w:ilvl="7" w:tplc="8FF40EA0" w:tentative="1">
      <w:start w:val="1"/>
      <w:numFmt w:val="lowerLetter"/>
      <w:lvlText w:val="%8."/>
      <w:lvlJc w:val="left"/>
      <w:pPr>
        <w:ind w:left="5400" w:hanging="360"/>
      </w:pPr>
    </w:lvl>
    <w:lvl w:ilvl="8" w:tplc="5F0E1490" w:tentative="1">
      <w:start w:val="1"/>
      <w:numFmt w:val="lowerRoman"/>
      <w:lvlText w:val="%9."/>
      <w:lvlJc w:val="right"/>
      <w:pPr>
        <w:ind w:left="6120" w:hanging="180"/>
      </w:pPr>
    </w:lvl>
  </w:abstractNum>
  <w:abstractNum w:abstractNumId="23" w15:restartNumberingAfterBreak="0">
    <w:nsid w:val="5BB0283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864D61"/>
    <w:multiLevelType w:val="multilevel"/>
    <w:tmpl w:val="D696B65E"/>
    <w:styleLink w:val="CurrentList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1AF525E"/>
    <w:multiLevelType w:val="multilevel"/>
    <w:tmpl w:val="0809001F"/>
    <w:styleLink w:val="CurrentList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560667F"/>
    <w:multiLevelType w:val="multilevel"/>
    <w:tmpl w:val="236C7272"/>
    <w:styleLink w:val="CurrentList9"/>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9C610ED"/>
    <w:multiLevelType w:val="multilevel"/>
    <w:tmpl w:val="11FA026A"/>
    <w:lvl w:ilvl="0">
      <w:start w:val="1"/>
      <w:numFmt w:val="bullet"/>
      <w:lvlText w:val=""/>
      <w:lvlJc w:val="left"/>
      <w:pPr>
        <w:ind w:left="2203" w:hanging="360"/>
      </w:pPr>
      <w:rPr>
        <w:rFonts w:ascii="Symbol" w:hAnsi="Symbol" w:hint="default"/>
      </w:rPr>
    </w:lvl>
    <w:lvl w:ilvl="1">
      <w:start w:val="1"/>
      <w:numFmt w:val="decimal"/>
      <w:lvlText w:val="%1.%2."/>
      <w:lvlJc w:val="left"/>
      <w:pPr>
        <w:ind w:left="2635" w:hanging="432"/>
      </w:pPr>
      <w:rPr>
        <w:rFonts w:hint="default"/>
      </w:rPr>
    </w:lvl>
    <w:lvl w:ilvl="2">
      <w:start w:val="1"/>
      <w:numFmt w:val="bullet"/>
      <w:lvlText w:val=""/>
      <w:lvlJc w:val="left"/>
      <w:pPr>
        <w:ind w:left="2923" w:hanging="360"/>
      </w:pPr>
      <w:rPr>
        <w:rFonts w:ascii="Symbol" w:hAnsi="Symbol" w:hint="default"/>
      </w:rPr>
    </w:lvl>
    <w:lvl w:ilvl="3">
      <w:start w:val="1"/>
      <w:numFmt w:val="bullet"/>
      <w:lvlText w:val=""/>
      <w:lvlJc w:val="left"/>
      <w:pPr>
        <w:ind w:left="3283" w:hanging="360"/>
      </w:pPr>
      <w:rPr>
        <w:rFonts w:ascii="Symbol" w:hAnsi="Symbol" w:hint="default"/>
      </w:rPr>
    </w:lvl>
    <w:lvl w:ilvl="4">
      <w:start w:val="1"/>
      <w:numFmt w:val="bullet"/>
      <w:lvlText w:val=""/>
      <w:lvlJc w:val="left"/>
      <w:pPr>
        <w:ind w:left="3643" w:hanging="360"/>
      </w:pPr>
      <w:rPr>
        <w:rFonts w:ascii="Symbol" w:hAnsi="Symbol" w:hint="default"/>
      </w:rPr>
    </w:lvl>
    <w:lvl w:ilvl="5">
      <w:start w:val="1"/>
      <w:numFmt w:val="bullet"/>
      <w:lvlText w:val=""/>
      <w:lvlJc w:val="left"/>
      <w:pPr>
        <w:ind w:left="4003" w:hanging="360"/>
      </w:pPr>
      <w:rPr>
        <w:rFonts w:ascii="Symbol" w:hAnsi="Symbol" w:hint="default"/>
      </w:rPr>
    </w:lvl>
    <w:lvl w:ilvl="6">
      <w:start w:val="1"/>
      <w:numFmt w:val="bullet"/>
      <w:lvlText w:val=""/>
      <w:lvlJc w:val="left"/>
      <w:pPr>
        <w:ind w:left="4363" w:hanging="360"/>
      </w:pPr>
      <w:rPr>
        <w:rFonts w:ascii="Symbol" w:hAnsi="Symbol" w:hint="default"/>
      </w:rPr>
    </w:lvl>
    <w:lvl w:ilvl="7">
      <w:start w:val="1"/>
      <w:numFmt w:val="decimal"/>
      <w:lvlText w:val="%1.%2.%3.%4.%5.%6.%7.%8."/>
      <w:lvlJc w:val="left"/>
      <w:pPr>
        <w:ind w:left="5587" w:hanging="1224"/>
      </w:pPr>
      <w:rPr>
        <w:rFonts w:hint="default"/>
      </w:rPr>
    </w:lvl>
    <w:lvl w:ilvl="8">
      <w:start w:val="1"/>
      <w:numFmt w:val="decimal"/>
      <w:lvlText w:val="%1.%2.%3.%4.%5.%6.%7.%8.%9."/>
      <w:lvlJc w:val="left"/>
      <w:pPr>
        <w:ind w:left="6163" w:hanging="1440"/>
      </w:pPr>
      <w:rPr>
        <w:rFonts w:hint="default"/>
      </w:rPr>
    </w:lvl>
  </w:abstractNum>
  <w:abstractNum w:abstractNumId="28" w15:restartNumberingAfterBreak="0">
    <w:nsid w:val="6A9E0D94"/>
    <w:multiLevelType w:val="multilevel"/>
    <w:tmpl w:val="87AE907C"/>
    <w:styleLink w:val="CurrentList21"/>
    <w:lvl w:ilvl="0">
      <w:start w:val="1"/>
      <w:numFmt w:val="lowerRoman"/>
      <w:lvlText w:val="%1."/>
      <w:lvlJc w:val="right"/>
      <w:pPr>
        <w:ind w:left="2079" w:hanging="94"/>
      </w:pPr>
      <w:rPr>
        <w:rFonts w:hint="default"/>
      </w:rPr>
    </w:lvl>
    <w:lvl w:ilvl="1">
      <w:start w:val="1"/>
      <w:numFmt w:val="lowerLetter"/>
      <w:lvlText w:val="%2."/>
      <w:lvlJc w:val="left"/>
      <w:pPr>
        <w:ind w:left="2628" w:hanging="360"/>
      </w:pPr>
    </w:lvl>
    <w:lvl w:ilvl="2">
      <w:start w:val="1"/>
      <w:numFmt w:val="lowerRoman"/>
      <w:lvlText w:val="%3."/>
      <w:lvlJc w:val="right"/>
      <w:pPr>
        <w:ind w:left="5486" w:hanging="180"/>
      </w:pPr>
    </w:lvl>
    <w:lvl w:ilvl="3">
      <w:start w:val="1"/>
      <w:numFmt w:val="decimal"/>
      <w:lvlText w:val="%4."/>
      <w:lvlJc w:val="left"/>
      <w:pPr>
        <w:ind w:left="6206" w:hanging="360"/>
      </w:pPr>
    </w:lvl>
    <w:lvl w:ilvl="4">
      <w:start w:val="1"/>
      <w:numFmt w:val="lowerLetter"/>
      <w:lvlText w:val="%5."/>
      <w:lvlJc w:val="left"/>
      <w:pPr>
        <w:ind w:left="6926" w:hanging="360"/>
      </w:pPr>
    </w:lvl>
    <w:lvl w:ilvl="5">
      <w:start w:val="1"/>
      <w:numFmt w:val="lowerRoman"/>
      <w:lvlText w:val="%6."/>
      <w:lvlJc w:val="right"/>
      <w:pPr>
        <w:ind w:left="7646" w:hanging="180"/>
      </w:pPr>
    </w:lvl>
    <w:lvl w:ilvl="6">
      <w:start w:val="1"/>
      <w:numFmt w:val="decimal"/>
      <w:lvlText w:val="%7."/>
      <w:lvlJc w:val="left"/>
      <w:pPr>
        <w:ind w:left="8366" w:hanging="360"/>
      </w:pPr>
    </w:lvl>
    <w:lvl w:ilvl="7">
      <w:start w:val="1"/>
      <w:numFmt w:val="lowerLetter"/>
      <w:lvlText w:val="%8."/>
      <w:lvlJc w:val="left"/>
      <w:pPr>
        <w:ind w:left="9086" w:hanging="360"/>
      </w:pPr>
    </w:lvl>
    <w:lvl w:ilvl="8">
      <w:start w:val="1"/>
      <w:numFmt w:val="lowerRoman"/>
      <w:lvlText w:val="%9."/>
      <w:lvlJc w:val="right"/>
      <w:pPr>
        <w:ind w:left="9806" w:hanging="180"/>
      </w:pPr>
    </w:lvl>
  </w:abstractNum>
  <w:abstractNum w:abstractNumId="29" w15:restartNumberingAfterBreak="0">
    <w:nsid w:val="6E3A7479"/>
    <w:multiLevelType w:val="multilevel"/>
    <w:tmpl w:val="0A9AF17C"/>
    <w:styleLink w:val="CurrentList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iCs w:val="0"/>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32B018C"/>
    <w:multiLevelType w:val="multilevel"/>
    <w:tmpl w:val="118C880A"/>
    <w:styleLink w:val="CurrentList2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bullet"/>
      <w:suff w:val="space"/>
      <w:lvlText w:val=""/>
      <w:lvlJc w:val="left"/>
      <w:pPr>
        <w:ind w:left="1080" w:hanging="360"/>
      </w:pPr>
      <w:rPr>
        <w:rFonts w:ascii="Symbol" w:hAnsi="Symbol" w:hint="default"/>
      </w:rPr>
    </w:lvl>
    <w:lvl w:ilvl="3">
      <w:start w:val="1"/>
      <w:numFmt w:val="bullet"/>
      <w:suff w:val="space"/>
      <w:lvlText w:val=""/>
      <w:lvlJc w:val="left"/>
      <w:pPr>
        <w:ind w:left="1440" w:hanging="360"/>
      </w:pPr>
      <w:rPr>
        <w:rFonts w:ascii="Symbol" w:hAnsi="Symbol" w:hint="default"/>
      </w:rPr>
    </w:lvl>
    <w:lvl w:ilvl="4">
      <w:start w:val="1"/>
      <w:numFmt w:val="lowerRoman"/>
      <w:lvlText w:val="%5."/>
      <w:lvlJc w:val="right"/>
      <w:pPr>
        <w:ind w:left="2061" w:hanging="36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6892FF5"/>
    <w:multiLevelType w:val="multilevel"/>
    <w:tmpl w:val="236C7272"/>
    <w:styleLink w:val="CurrentList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84485C"/>
    <w:multiLevelType w:val="hybridMultilevel"/>
    <w:tmpl w:val="B89E0AE6"/>
    <w:lvl w:ilvl="0" w:tplc="077EB370">
      <w:numFmt w:val="bullet"/>
      <w:lvlText w:val=""/>
      <w:lvlJc w:val="left"/>
      <w:pPr>
        <w:ind w:left="720" w:hanging="360"/>
      </w:pPr>
      <w:rPr>
        <w:rFonts w:ascii="Calibri" w:eastAsiaTheme="majorEastAsia" w:hAnsi="Calibri" w:cs="Calibri" w:hint="default"/>
      </w:rPr>
    </w:lvl>
    <w:lvl w:ilvl="1" w:tplc="3BCA3086" w:tentative="1">
      <w:start w:val="1"/>
      <w:numFmt w:val="bullet"/>
      <w:lvlText w:val="o"/>
      <w:lvlJc w:val="left"/>
      <w:pPr>
        <w:ind w:left="1440" w:hanging="360"/>
      </w:pPr>
      <w:rPr>
        <w:rFonts w:ascii="Courier New" w:hAnsi="Courier New" w:cs="Courier New" w:hint="default"/>
      </w:rPr>
    </w:lvl>
    <w:lvl w:ilvl="2" w:tplc="F1108668" w:tentative="1">
      <w:start w:val="1"/>
      <w:numFmt w:val="bullet"/>
      <w:lvlText w:val=""/>
      <w:lvlJc w:val="left"/>
      <w:pPr>
        <w:ind w:left="2160" w:hanging="360"/>
      </w:pPr>
      <w:rPr>
        <w:rFonts w:ascii="Wingdings" w:hAnsi="Wingdings" w:hint="default"/>
      </w:rPr>
    </w:lvl>
    <w:lvl w:ilvl="3" w:tplc="B6CE9CF4" w:tentative="1">
      <w:start w:val="1"/>
      <w:numFmt w:val="bullet"/>
      <w:lvlText w:val=""/>
      <w:lvlJc w:val="left"/>
      <w:pPr>
        <w:ind w:left="2880" w:hanging="360"/>
      </w:pPr>
      <w:rPr>
        <w:rFonts w:ascii="Symbol" w:hAnsi="Symbol" w:hint="default"/>
      </w:rPr>
    </w:lvl>
    <w:lvl w:ilvl="4" w:tplc="B90C7C7E" w:tentative="1">
      <w:start w:val="1"/>
      <w:numFmt w:val="bullet"/>
      <w:lvlText w:val="o"/>
      <w:lvlJc w:val="left"/>
      <w:pPr>
        <w:ind w:left="3600" w:hanging="360"/>
      </w:pPr>
      <w:rPr>
        <w:rFonts w:ascii="Courier New" w:hAnsi="Courier New" w:cs="Courier New" w:hint="default"/>
      </w:rPr>
    </w:lvl>
    <w:lvl w:ilvl="5" w:tplc="5038FE7E" w:tentative="1">
      <w:start w:val="1"/>
      <w:numFmt w:val="bullet"/>
      <w:lvlText w:val=""/>
      <w:lvlJc w:val="left"/>
      <w:pPr>
        <w:ind w:left="4320" w:hanging="360"/>
      </w:pPr>
      <w:rPr>
        <w:rFonts w:ascii="Wingdings" w:hAnsi="Wingdings" w:hint="default"/>
      </w:rPr>
    </w:lvl>
    <w:lvl w:ilvl="6" w:tplc="CEDAFF4E" w:tentative="1">
      <w:start w:val="1"/>
      <w:numFmt w:val="bullet"/>
      <w:lvlText w:val=""/>
      <w:lvlJc w:val="left"/>
      <w:pPr>
        <w:ind w:left="5040" w:hanging="360"/>
      </w:pPr>
      <w:rPr>
        <w:rFonts w:ascii="Symbol" w:hAnsi="Symbol" w:hint="default"/>
      </w:rPr>
    </w:lvl>
    <w:lvl w:ilvl="7" w:tplc="061A4E1E" w:tentative="1">
      <w:start w:val="1"/>
      <w:numFmt w:val="bullet"/>
      <w:lvlText w:val="o"/>
      <w:lvlJc w:val="left"/>
      <w:pPr>
        <w:ind w:left="5760" w:hanging="360"/>
      </w:pPr>
      <w:rPr>
        <w:rFonts w:ascii="Courier New" w:hAnsi="Courier New" w:cs="Courier New" w:hint="default"/>
      </w:rPr>
    </w:lvl>
    <w:lvl w:ilvl="8" w:tplc="6558806A" w:tentative="1">
      <w:start w:val="1"/>
      <w:numFmt w:val="bullet"/>
      <w:lvlText w:val=""/>
      <w:lvlJc w:val="left"/>
      <w:pPr>
        <w:ind w:left="6480" w:hanging="360"/>
      </w:pPr>
      <w:rPr>
        <w:rFonts w:ascii="Wingdings" w:hAnsi="Wingdings" w:hint="default"/>
      </w:rPr>
    </w:lvl>
  </w:abstractNum>
  <w:num w:numId="1" w16cid:durableId="734162969">
    <w:abstractNumId w:val="0"/>
  </w:num>
  <w:num w:numId="2" w16cid:durableId="401561381">
    <w:abstractNumId w:val="23"/>
  </w:num>
  <w:num w:numId="3" w16cid:durableId="1276139916">
    <w:abstractNumId w:val="2"/>
  </w:num>
  <w:num w:numId="4" w16cid:durableId="1953324428">
    <w:abstractNumId w:val="14"/>
  </w:num>
  <w:num w:numId="5" w16cid:durableId="1743290149">
    <w:abstractNumId w:val="15"/>
  </w:num>
  <w:num w:numId="6" w16cid:durableId="337511212">
    <w:abstractNumId w:val="25"/>
  </w:num>
  <w:num w:numId="7" w16cid:durableId="736516411">
    <w:abstractNumId w:val="18"/>
  </w:num>
  <w:num w:numId="8" w16cid:durableId="1912960741">
    <w:abstractNumId w:val="9"/>
  </w:num>
  <w:num w:numId="9" w16cid:durableId="2089964176">
    <w:abstractNumId w:val="10"/>
  </w:num>
  <w:num w:numId="10" w16cid:durableId="1995332826">
    <w:abstractNumId w:val="8"/>
  </w:num>
  <w:num w:numId="11" w16cid:durableId="1391878759">
    <w:abstractNumId w:val="26"/>
  </w:num>
  <w:num w:numId="12" w16cid:durableId="1333921155">
    <w:abstractNumId w:val="24"/>
  </w:num>
  <w:num w:numId="13" w16cid:durableId="505947950">
    <w:abstractNumId w:val="29"/>
  </w:num>
  <w:num w:numId="14" w16cid:durableId="63768380">
    <w:abstractNumId w:val="17"/>
  </w:num>
  <w:num w:numId="15" w16cid:durableId="1312368928">
    <w:abstractNumId w:val="4"/>
  </w:num>
  <w:num w:numId="16" w16cid:durableId="142090875">
    <w:abstractNumId w:val="31"/>
  </w:num>
  <w:num w:numId="17" w16cid:durableId="1086197092">
    <w:abstractNumId w:val="19"/>
  </w:num>
  <w:num w:numId="18" w16cid:durableId="56242164">
    <w:abstractNumId w:val="20"/>
  </w:num>
  <w:num w:numId="19" w16cid:durableId="2130511818">
    <w:abstractNumId w:val="13"/>
  </w:num>
  <w:num w:numId="20" w16cid:durableId="1808283127">
    <w:abstractNumId w:val="3"/>
  </w:num>
  <w:num w:numId="21" w16cid:durableId="2025932705">
    <w:abstractNumId w:val="5"/>
  </w:num>
  <w:num w:numId="22" w16cid:durableId="131556878">
    <w:abstractNumId w:val="1"/>
  </w:num>
  <w:num w:numId="23" w16cid:durableId="1217082984">
    <w:abstractNumId w:val="7"/>
  </w:num>
  <w:num w:numId="24" w16cid:durableId="308634876">
    <w:abstractNumId w:val="28"/>
  </w:num>
  <w:num w:numId="25" w16cid:durableId="1087768945">
    <w:abstractNumId w:val="27"/>
  </w:num>
  <w:num w:numId="26" w16cid:durableId="1332946435">
    <w:abstractNumId w:val="11"/>
  </w:num>
  <w:num w:numId="27" w16cid:durableId="213856943">
    <w:abstractNumId w:val="30"/>
  </w:num>
  <w:num w:numId="28" w16cid:durableId="175996575">
    <w:abstractNumId w:val="12"/>
  </w:num>
  <w:num w:numId="29" w16cid:durableId="1174959318">
    <w:abstractNumId w:val="6"/>
  </w:num>
  <w:num w:numId="30" w16cid:durableId="164907932">
    <w:abstractNumId w:val="22"/>
  </w:num>
  <w:num w:numId="31" w16cid:durableId="1864126200">
    <w:abstractNumId w:val="32"/>
  </w:num>
  <w:num w:numId="32" w16cid:durableId="677317597">
    <w:abstractNumId w:val="21"/>
  </w:num>
  <w:num w:numId="33" w16cid:durableId="664942905">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A18"/>
    <w:rsid w:val="0000016D"/>
    <w:rsid w:val="00000A95"/>
    <w:rsid w:val="00002C1A"/>
    <w:rsid w:val="00003581"/>
    <w:rsid w:val="000060F9"/>
    <w:rsid w:val="000069C5"/>
    <w:rsid w:val="00006C0F"/>
    <w:rsid w:val="00006FE4"/>
    <w:rsid w:val="00010347"/>
    <w:rsid w:val="00010904"/>
    <w:rsid w:val="00010A2B"/>
    <w:rsid w:val="00010A46"/>
    <w:rsid w:val="000113FC"/>
    <w:rsid w:val="00011E65"/>
    <w:rsid w:val="00012379"/>
    <w:rsid w:val="00012FE4"/>
    <w:rsid w:val="00013431"/>
    <w:rsid w:val="00015279"/>
    <w:rsid w:val="00015AD5"/>
    <w:rsid w:val="000165B1"/>
    <w:rsid w:val="00016E45"/>
    <w:rsid w:val="00017C9F"/>
    <w:rsid w:val="000204EC"/>
    <w:rsid w:val="00020B5F"/>
    <w:rsid w:val="00020EE7"/>
    <w:rsid w:val="00022617"/>
    <w:rsid w:val="00023233"/>
    <w:rsid w:val="00023D39"/>
    <w:rsid w:val="00024436"/>
    <w:rsid w:val="00024E82"/>
    <w:rsid w:val="000251E8"/>
    <w:rsid w:val="0002533B"/>
    <w:rsid w:val="00025FD4"/>
    <w:rsid w:val="0002794C"/>
    <w:rsid w:val="0003239F"/>
    <w:rsid w:val="000335CE"/>
    <w:rsid w:val="00033714"/>
    <w:rsid w:val="00033D04"/>
    <w:rsid w:val="00036293"/>
    <w:rsid w:val="00036E48"/>
    <w:rsid w:val="0003724B"/>
    <w:rsid w:val="00037723"/>
    <w:rsid w:val="00037EA0"/>
    <w:rsid w:val="00041578"/>
    <w:rsid w:val="0004199D"/>
    <w:rsid w:val="00041A1B"/>
    <w:rsid w:val="0004250E"/>
    <w:rsid w:val="00042F75"/>
    <w:rsid w:val="00043368"/>
    <w:rsid w:val="000438AC"/>
    <w:rsid w:val="000449E0"/>
    <w:rsid w:val="0004548F"/>
    <w:rsid w:val="00047B39"/>
    <w:rsid w:val="00047D4A"/>
    <w:rsid w:val="00050890"/>
    <w:rsid w:val="000518A1"/>
    <w:rsid w:val="00051F81"/>
    <w:rsid w:val="000534DB"/>
    <w:rsid w:val="000534DD"/>
    <w:rsid w:val="00054C65"/>
    <w:rsid w:val="00056471"/>
    <w:rsid w:val="0005681E"/>
    <w:rsid w:val="00056F6D"/>
    <w:rsid w:val="000578B3"/>
    <w:rsid w:val="0006008F"/>
    <w:rsid w:val="00060F29"/>
    <w:rsid w:val="00060FDF"/>
    <w:rsid w:val="000623ED"/>
    <w:rsid w:val="00063CB4"/>
    <w:rsid w:val="0006494D"/>
    <w:rsid w:val="00064F39"/>
    <w:rsid w:val="00065178"/>
    <w:rsid w:val="00065413"/>
    <w:rsid w:val="0006659C"/>
    <w:rsid w:val="00067642"/>
    <w:rsid w:val="0006775A"/>
    <w:rsid w:val="00067E23"/>
    <w:rsid w:val="0007041D"/>
    <w:rsid w:val="00071BFB"/>
    <w:rsid w:val="000730D2"/>
    <w:rsid w:val="0007399A"/>
    <w:rsid w:val="00073A7E"/>
    <w:rsid w:val="00073B7E"/>
    <w:rsid w:val="00074D6C"/>
    <w:rsid w:val="00074E1E"/>
    <w:rsid w:val="00076EDF"/>
    <w:rsid w:val="000770A3"/>
    <w:rsid w:val="00077FA2"/>
    <w:rsid w:val="00080C7F"/>
    <w:rsid w:val="000817A0"/>
    <w:rsid w:val="000829DD"/>
    <w:rsid w:val="00082F1F"/>
    <w:rsid w:val="000837A4"/>
    <w:rsid w:val="000838D8"/>
    <w:rsid w:val="00085507"/>
    <w:rsid w:val="0008622F"/>
    <w:rsid w:val="000874DA"/>
    <w:rsid w:val="00087FE4"/>
    <w:rsid w:val="000909FF"/>
    <w:rsid w:val="00090DB1"/>
    <w:rsid w:val="00091099"/>
    <w:rsid w:val="00091113"/>
    <w:rsid w:val="00091671"/>
    <w:rsid w:val="00092D9B"/>
    <w:rsid w:val="00093332"/>
    <w:rsid w:val="000941C6"/>
    <w:rsid w:val="00094BCB"/>
    <w:rsid w:val="00095673"/>
    <w:rsid w:val="000A03E7"/>
    <w:rsid w:val="000A04A1"/>
    <w:rsid w:val="000A2239"/>
    <w:rsid w:val="000A3CB9"/>
    <w:rsid w:val="000A3EA4"/>
    <w:rsid w:val="000A3F2C"/>
    <w:rsid w:val="000A417E"/>
    <w:rsid w:val="000A5B74"/>
    <w:rsid w:val="000A7D8B"/>
    <w:rsid w:val="000B04F4"/>
    <w:rsid w:val="000B1820"/>
    <w:rsid w:val="000B246E"/>
    <w:rsid w:val="000B2CF9"/>
    <w:rsid w:val="000B31F1"/>
    <w:rsid w:val="000B345B"/>
    <w:rsid w:val="000B4007"/>
    <w:rsid w:val="000B498A"/>
    <w:rsid w:val="000B701C"/>
    <w:rsid w:val="000B7564"/>
    <w:rsid w:val="000B799C"/>
    <w:rsid w:val="000C0256"/>
    <w:rsid w:val="000C134B"/>
    <w:rsid w:val="000C1401"/>
    <w:rsid w:val="000C256F"/>
    <w:rsid w:val="000C295D"/>
    <w:rsid w:val="000C2DC4"/>
    <w:rsid w:val="000C35A4"/>
    <w:rsid w:val="000C3DE4"/>
    <w:rsid w:val="000C7EE6"/>
    <w:rsid w:val="000D0738"/>
    <w:rsid w:val="000D0E70"/>
    <w:rsid w:val="000D2149"/>
    <w:rsid w:val="000D37BB"/>
    <w:rsid w:val="000D473A"/>
    <w:rsid w:val="000D4C76"/>
    <w:rsid w:val="000D6642"/>
    <w:rsid w:val="000D72DF"/>
    <w:rsid w:val="000E144F"/>
    <w:rsid w:val="000E16CE"/>
    <w:rsid w:val="000E32C2"/>
    <w:rsid w:val="000E3B1B"/>
    <w:rsid w:val="000E597C"/>
    <w:rsid w:val="000E6B06"/>
    <w:rsid w:val="000E737D"/>
    <w:rsid w:val="000E7594"/>
    <w:rsid w:val="000E7BD0"/>
    <w:rsid w:val="000F0644"/>
    <w:rsid w:val="000F20F9"/>
    <w:rsid w:val="000F455D"/>
    <w:rsid w:val="000F485E"/>
    <w:rsid w:val="000F4B59"/>
    <w:rsid w:val="000F57FE"/>
    <w:rsid w:val="000F5CA9"/>
    <w:rsid w:val="000F5FE9"/>
    <w:rsid w:val="000F6F61"/>
    <w:rsid w:val="001008C3"/>
    <w:rsid w:val="00100C11"/>
    <w:rsid w:val="00101170"/>
    <w:rsid w:val="0010225D"/>
    <w:rsid w:val="00102A71"/>
    <w:rsid w:val="00103816"/>
    <w:rsid w:val="00103866"/>
    <w:rsid w:val="001059E4"/>
    <w:rsid w:val="00105B6D"/>
    <w:rsid w:val="00105BF1"/>
    <w:rsid w:val="001066B0"/>
    <w:rsid w:val="00107A29"/>
    <w:rsid w:val="00110144"/>
    <w:rsid w:val="001109F6"/>
    <w:rsid w:val="00111364"/>
    <w:rsid w:val="001116BB"/>
    <w:rsid w:val="00111C0A"/>
    <w:rsid w:val="00111D66"/>
    <w:rsid w:val="0011234F"/>
    <w:rsid w:val="0011246D"/>
    <w:rsid w:val="0011308D"/>
    <w:rsid w:val="001134A4"/>
    <w:rsid w:val="00114223"/>
    <w:rsid w:val="00114269"/>
    <w:rsid w:val="0011465F"/>
    <w:rsid w:val="00114A1E"/>
    <w:rsid w:val="001158B9"/>
    <w:rsid w:val="00115D21"/>
    <w:rsid w:val="00116125"/>
    <w:rsid w:val="00116515"/>
    <w:rsid w:val="001201BF"/>
    <w:rsid w:val="001209B9"/>
    <w:rsid w:val="001233C3"/>
    <w:rsid w:val="00123D95"/>
    <w:rsid w:val="00124598"/>
    <w:rsid w:val="001257DA"/>
    <w:rsid w:val="0012670E"/>
    <w:rsid w:val="00126775"/>
    <w:rsid w:val="00126D1C"/>
    <w:rsid w:val="00127F39"/>
    <w:rsid w:val="00130A72"/>
    <w:rsid w:val="00131284"/>
    <w:rsid w:val="00133072"/>
    <w:rsid w:val="00133A2A"/>
    <w:rsid w:val="00134A55"/>
    <w:rsid w:val="00135CF3"/>
    <w:rsid w:val="0013611C"/>
    <w:rsid w:val="001363A7"/>
    <w:rsid w:val="00137648"/>
    <w:rsid w:val="00137B81"/>
    <w:rsid w:val="00137BA0"/>
    <w:rsid w:val="001406DD"/>
    <w:rsid w:val="00140B7C"/>
    <w:rsid w:val="00140D8B"/>
    <w:rsid w:val="00140FD5"/>
    <w:rsid w:val="00141353"/>
    <w:rsid w:val="00142223"/>
    <w:rsid w:val="00142B49"/>
    <w:rsid w:val="00142E04"/>
    <w:rsid w:val="00143188"/>
    <w:rsid w:val="001449C2"/>
    <w:rsid w:val="0014518B"/>
    <w:rsid w:val="00146363"/>
    <w:rsid w:val="0014793C"/>
    <w:rsid w:val="00147FCA"/>
    <w:rsid w:val="00150462"/>
    <w:rsid w:val="00150557"/>
    <w:rsid w:val="0015113D"/>
    <w:rsid w:val="00151578"/>
    <w:rsid w:val="00151736"/>
    <w:rsid w:val="0015395C"/>
    <w:rsid w:val="00153A0B"/>
    <w:rsid w:val="001554F3"/>
    <w:rsid w:val="00155E8C"/>
    <w:rsid w:val="001560BB"/>
    <w:rsid w:val="0015658D"/>
    <w:rsid w:val="00161B95"/>
    <w:rsid w:val="00162E2A"/>
    <w:rsid w:val="001635BB"/>
    <w:rsid w:val="00167934"/>
    <w:rsid w:val="0017009E"/>
    <w:rsid w:val="001702B9"/>
    <w:rsid w:val="00173513"/>
    <w:rsid w:val="0017670C"/>
    <w:rsid w:val="0017674A"/>
    <w:rsid w:val="00177C34"/>
    <w:rsid w:val="001801B5"/>
    <w:rsid w:val="001801C0"/>
    <w:rsid w:val="00180B39"/>
    <w:rsid w:val="00181A8D"/>
    <w:rsid w:val="00181E77"/>
    <w:rsid w:val="001825A7"/>
    <w:rsid w:val="00184ED9"/>
    <w:rsid w:val="00184FFF"/>
    <w:rsid w:val="00185AFA"/>
    <w:rsid w:val="00185C7A"/>
    <w:rsid w:val="00187029"/>
    <w:rsid w:val="001871CB"/>
    <w:rsid w:val="0019263D"/>
    <w:rsid w:val="00192B04"/>
    <w:rsid w:val="00192E72"/>
    <w:rsid w:val="00193BC2"/>
    <w:rsid w:val="001942C5"/>
    <w:rsid w:val="001952FD"/>
    <w:rsid w:val="0019708A"/>
    <w:rsid w:val="0019788D"/>
    <w:rsid w:val="00197ABF"/>
    <w:rsid w:val="001A0C83"/>
    <w:rsid w:val="001A0DF7"/>
    <w:rsid w:val="001A13A6"/>
    <w:rsid w:val="001A1E94"/>
    <w:rsid w:val="001A2C4D"/>
    <w:rsid w:val="001A42BE"/>
    <w:rsid w:val="001A5C1B"/>
    <w:rsid w:val="001A60A9"/>
    <w:rsid w:val="001A6240"/>
    <w:rsid w:val="001B0160"/>
    <w:rsid w:val="001B1441"/>
    <w:rsid w:val="001B29BC"/>
    <w:rsid w:val="001B33BF"/>
    <w:rsid w:val="001B356C"/>
    <w:rsid w:val="001B4ECE"/>
    <w:rsid w:val="001B6003"/>
    <w:rsid w:val="001C04A6"/>
    <w:rsid w:val="001C235E"/>
    <w:rsid w:val="001C3B42"/>
    <w:rsid w:val="001C4206"/>
    <w:rsid w:val="001C4D1D"/>
    <w:rsid w:val="001C4D82"/>
    <w:rsid w:val="001C5550"/>
    <w:rsid w:val="001C7998"/>
    <w:rsid w:val="001D03D0"/>
    <w:rsid w:val="001D0D61"/>
    <w:rsid w:val="001D2C05"/>
    <w:rsid w:val="001D38B7"/>
    <w:rsid w:val="001D3C75"/>
    <w:rsid w:val="001D40AA"/>
    <w:rsid w:val="001D488F"/>
    <w:rsid w:val="001D728D"/>
    <w:rsid w:val="001D75C8"/>
    <w:rsid w:val="001D7C9C"/>
    <w:rsid w:val="001D7E5E"/>
    <w:rsid w:val="001E15F1"/>
    <w:rsid w:val="001E2796"/>
    <w:rsid w:val="001E4031"/>
    <w:rsid w:val="001E4765"/>
    <w:rsid w:val="001E4BC2"/>
    <w:rsid w:val="001E6A18"/>
    <w:rsid w:val="001E7D3E"/>
    <w:rsid w:val="001F01DE"/>
    <w:rsid w:val="001F266F"/>
    <w:rsid w:val="001F26A6"/>
    <w:rsid w:val="001F2A6B"/>
    <w:rsid w:val="001F7B39"/>
    <w:rsid w:val="001F7C50"/>
    <w:rsid w:val="00200161"/>
    <w:rsid w:val="00200242"/>
    <w:rsid w:val="00200655"/>
    <w:rsid w:val="00201701"/>
    <w:rsid w:val="00201873"/>
    <w:rsid w:val="002025E7"/>
    <w:rsid w:val="0020276E"/>
    <w:rsid w:val="00202D8F"/>
    <w:rsid w:val="00203969"/>
    <w:rsid w:val="00203B48"/>
    <w:rsid w:val="00204695"/>
    <w:rsid w:val="0020486F"/>
    <w:rsid w:val="00205790"/>
    <w:rsid w:val="00205D74"/>
    <w:rsid w:val="00206DA7"/>
    <w:rsid w:val="00207F26"/>
    <w:rsid w:val="00211836"/>
    <w:rsid w:val="0021348C"/>
    <w:rsid w:val="00213CE8"/>
    <w:rsid w:val="00214532"/>
    <w:rsid w:val="00214C52"/>
    <w:rsid w:val="0021638B"/>
    <w:rsid w:val="002167D4"/>
    <w:rsid w:val="00221906"/>
    <w:rsid w:val="002228DF"/>
    <w:rsid w:val="00223566"/>
    <w:rsid w:val="002246F2"/>
    <w:rsid w:val="00224AF0"/>
    <w:rsid w:val="002277E2"/>
    <w:rsid w:val="00230647"/>
    <w:rsid w:val="00230782"/>
    <w:rsid w:val="002309A5"/>
    <w:rsid w:val="00230C2A"/>
    <w:rsid w:val="00231727"/>
    <w:rsid w:val="00232B35"/>
    <w:rsid w:val="00234699"/>
    <w:rsid w:val="00234B67"/>
    <w:rsid w:val="00235549"/>
    <w:rsid w:val="002359CA"/>
    <w:rsid w:val="00236610"/>
    <w:rsid w:val="0023685C"/>
    <w:rsid w:val="00236895"/>
    <w:rsid w:val="0023695A"/>
    <w:rsid w:val="00240942"/>
    <w:rsid w:val="00240ED8"/>
    <w:rsid w:val="002413FB"/>
    <w:rsid w:val="00242029"/>
    <w:rsid w:val="00242043"/>
    <w:rsid w:val="002421C6"/>
    <w:rsid w:val="00242322"/>
    <w:rsid w:val="00243AA4"/>
    <w:rsid w:val="002444B6"/>
    <w:rsid w:val="0024473C"/>
    <w:rsid w:val="00246677"/>
    <w:rsid w:val="00247D77"/>
    <w:rsid w:val="00250F33"/>
    <w:rsid w:val="00251D52"/>
    <w:rsid w:val="00252163"/>
    <w:rsid w:val="00252DB6"/>
    <w:rsid w:val="002531FA"/>
    <w:rsid w:val="00253CEB"/>
    <w:rsid w:val="002540A6"/>
    <w:rsid w:val="00254151"/>
    <w:rsid w:val="00257DC9"/>
    <w:rsid w:val="002605A5"/>
    <w:rsid w:val="00260DD6"/>
    <w:rsid w:val="00260EFD"/>
    <w:rsid w:val="00261299"/>
    <w:rsid w:val="002615BD"/>
    <w:rsid w:val="00261E47"/>
    <w:rsid w:val="0026282E"/>
    <w:rsid w:val="00264098"/>
    <w:rsid w:val="00264CF7"/>
    <w:rsid w:val="00264E00"/>
    <w:rsid w:val="002650B3"/>
    <w:rsid w:val="0026541E"/>
    <w:rsid w:val="00266DEB"/>
    <w:rsid w:val="00267424"/>
    <w:rsid w:val="002709AD"/>
    <w:rsid w:val="00270BA6"/>
    <w:rsid w:val="00270CF3"/>
    <w:rsid w:val="00271721"/>
    <w:rsid w:val="00277403"/>
    <w:rsid w:val="00277C56"/>
    <w:rsid w:val="00277D53"/>
    <w:rsid w:val="00280186"/>
    <w:rsid w:val="00280B74"/>
    <w:rsid w:val="00281C21"/>
    <w:rsid w:val="002821F8"/>
    <w:rsid w:val="00282E7C"/>
    <w:rsid w:val="0028359E"/>
    <w:rsid w:val="00283779"/>
    <w:rsid w:val="00283E38"/>
    <w:rsid w:val="00284862"/>
    <w:rsid w:val="00285242"/>
    <w:rsid w:val="00285BB6"/>
    <w:rsid w:val="00285FB4"/>
    <w:rsid w:val="002862B0"/>
    <w:rsid w:val="00286647"/>
    <w:rsid w:val="00286B86"/>
    <w:rsid w:val="002877DB"/>
    <w:rsid w:val="002878BF"/>
    <w:rsid w:val="002879CC"/>
    <w:rsid w:val="00290422"/>
    <w:rsid w:val="00290BE9"/>
    <w:rsid w:val="00291EC0"/>
    <w:rsid w:val="002922D9"/>
    <w:rsid w:val="00292400"/>
    <w:rsid w:val="00295728"/>
    <w:rsid w:val="00296BE2"/>
    <w:rsid w:val="002977FC"/>
    <w:rsid w:val="002978AE"/>
    <w:rsid w:val="00297A39"/>
    <w:rsid w:val="002A010D"/>
    <w:rsid w:val="002A0223"/>
    <w:rsid w:val="002A038C"/>
    <w:rsid w:val="002A08CB"/>
    <w:rsid w:val="002A1973"/>
    <w:rsid w:val="002A1E5E"/>
    <w:rsid w:val="002A1E6F"/>
    <w:rsid w:val="002A237F"/>
    <w:rsid w:val="002A23B4"/>
    <w:rsid w:val="002A2C22"/>
    <w:rsid w:val="002A3919"/>
    <w:rsid w:val="002A4B58"/>
    <w:rsid w:val="002A5444"/>
    <w:rsid w:val="002A57E8"/>
    <w:rsid w:val="002A6069"/>
    <w:rsid w:val="002A620D"/>
    <w:rsid w:val="002A6916"/>
    <w:rsid w:val="002B307E"/>
    <w:rsid w:val="002B30B0"/>
    <w:rsid w:val="002B3ADE"/>
    <w:rsid w:val="002B3E0C"/>
    <w:rsid w:val="002B4D02"/>
    <w:rsid w:val="002B58B9"/>
    <w:rsid w:val="002B62E6"/>
    <w:rsid w:val="002C0D39"/>
    <w:rsid w:val="002C25C4"/>
    <w:rsid w:val="002C2842"/>
    <w:rsid w:val="002C5831"/>
    <w:rsid w:val="002C6817"/>
    <w:rsid w:val="002D0158"/>
    <w:rsid w:val="002D0174"/>
    <w:rsid w:val="002D0291"/>
    <w:rsid w:val="002D0708"/>
    <w:rsid w:val="002D07F4"/>
    <w:rsid w:val="002D0DF2"/>
    <w:rsid w:val="002D17BB"/>
    <w:rsid w:val="002D20AC"/>
    <w:rsid w:val="002D2FC7"/>
    <w:rsid w:val="002D4757"/>
    <w:rsid w:val="002D49CC"/>
    <w:rsid w:val="002D53B4"/>
    <w:rsid w:val="002D5D39"/>
    <w:rsid w:val="002D60F1"/>
    <w:rsid w:val="002D66D0"/>
    <w:rsid w:val="002D7DC0"/>
    <w:rsid w:val="002E0351"/>
    <w:rsid w:val="002E0C34"/>
    <w:rsid w:val="002E220A"/>
    <w:rsid w:val="002E2D19"/>
    <w:rsid w:val="002E32A5"/>
    <w:rsid w:val="002E67CD"/>
    <w:rsid w:val="002E70D4"/>
    <w:rsid w:val="002E75E0"/>
    <w:rsid w:val="002E7946"/>
    <w:rsid w:val="002F1086"/>
    <w:rsid w:val="002F147F"/>
    <w:rsid w:val="002F1515"/>
    <w:rsid w:val="002F1AB7"/>
    <w:rsid w:val="002F243A"/>
    <w:rsid w:val="002F2792"/>
    <w:rsid w:val="002F3429"/>
    <w:rsid w:val="002F3E87"/>
    <w:rsid w:val="002F668E"/>
    <w:rsid w:val="002F782D"/>
    <w:rsid w:val="00300178"/>
    <w:rsid w:val="00300B4A"/>
    <w:rsid w:val="00301136"/>
    <w:rsid w:val="003014FA"/>
    <w:rsid w:val="00301A4B"/>
    <w:rsid w:val="0030286A"/>
    <w:rsid w:val="00302A49"/>
    <w:rsid w:val="00303835"/>
    <w:rsid w:val="00306380"/>
    <w:rsid w:val="00307C8E"/>
    <w:rsid w:val="00310B36"/>
    <w:rsid w:val="00310D1A"/>
    <w:rsid w:val="00311520"/>
    <w:rsid w:val="00311770"/>
    <w:rsid w:val="0031319C"/>
    <w:rsid w:val="00314B9C"/>
    <w:rsid w:val="00314C7B"/>
    <w:rsid w:val="00314DEE"/>
    <w:rsid w:val="00315179"/>
    <w:rsid w:val="00316229"/>
    <w:rsid w:val="00316F88"/>
    <w:rsid w:val="00317377"/>
    <w:rsid w:val="003178D0"/>
    <w:rsid w:val="003179E8"/>
    <w:rsid w:val="00320606"/>
    <w:rsid w:val="00321ADB"/>
    <w:rsid w:val="00321D90"/>
    <w:rsid w:val="00323731"/>
    <w:rsid w:val="00324678"/>
    <w:rsid w:val="003253F1"/>
    <w:rsid w:val="003255C3"/>
    <w:rsid w:val="00326E29"/>
    <w:rsid w:val="00326F9A"/>
    <w:rsid w:val="00327838"/>
    <w:rsid w:val="00327B22"/>
    <w:rsid w:val="00330A82"/>
    <w:rsid w:val="003311C6"/>
    <w:rsid w:val="00331379"/>
    <w:rsid w:val="00331BDD"/>
    <w:rsid w:val="00333090"/>
    <w:rsid w:val="00334346"/>
    <w:rsid w:val="00334BBE"/>
    <w:rsid w:val="00334E91"/>
    <w:rsid w:val="00340864"/>
    <w:rsid w:val="003408B1"/>
    <w:rsid w:val="00340C52"/>
    <w:rsid w:val="00340E33"/>
    <w:rsid w:val="00340EC4"/>
    <w:rsid w:val="00340EDA"/>
    <w:rsid w:val="00341ADD"/>
    <w:rsid w:val="00342164"/>
    <w:rsid w:val="0034376C"/>
    <w:rsid w:val="00343874"/>
    <w:rsid w:val="00343FF8"/>
    <w:rsid w:val="00344DBE"/>
    <w:rsid w:val="00351105"/>
    <w:rsid w:val="00351B4B"/>
    <w:rsid w:val="003541A9"/>
    <w:rsid w:val="0035480F"/>
    <w:rsid w:val="00356254"/>
    <w:rsid w:val="003562A6"/>
    <w:rsid w:val="00361415"/>
    <w:rsid w:val="0036162D"/>
    <w:rsid w:val="00361679"/>
    <w:rsid w:val="00362318"/>
    <w:rsid w:val="0036282E"/>
    <w:rsid w:val="003628E8"/>
    <w:rsid w:val="00363C7C"/>
    <w:rsid w:val="003641C5"/>
    <w:rsid w:val="00364446"/>
    <w:rsid w:val="00365086"/>
    <w:rsid w:val="003650AC"/>
    <w:rsid w:val="00366E78"/>
    <w:rsid w:val="0036737E"/>
    <w:rsid w:val="00367740"/>
    <w:rsid w:val="00367F82"/>
    <w:rsid w:val="003703C1"/>
    <w:rsid w:val="00370E8B"/>
    <w:rsid w:val="00371DCB"/>
    <w:rsid w:val="003746C7"/>
    <w:rsid w:val="00374A97"/>
    <w:rsid w:val="00375BDA"/>
    <w:rsid w:val="00375F69"/>
    <w:rsid w:val="00376050"/>
    <w:rsid w:val="003769AE"/>
    <w:rsid w:val="00377407"/>
    <w:rsid w:val="00377D5A"/>
    <w:rsid w:val="003819C9"/>
    <w:rsid w:val="00382224"/>
    <w:rsid w:val="00384B51"/>
    <w:rsid w:val="00384E13"/>
    <w:rsid w:val="003853DA"/>
    <w:rsid w:val="00385E72"/>
    <w:rsid w:val="00387851"/>
    <w:rsid w:val="00391419"/>
    <w:rsid w:val="00391818"/>
    <w:rsid w:val="00391B18"/>
    <w:rsid w:val="0039409E"/>
    <w:rsid w:val="003948A6"/>
    <w:rsid w:val="00395389"/>
    <w:rsid w:val="00396411"/>
    <w:rsid w:val="00396D5C"/>
    <w:rsid w:val="0039740A"/>
    <w:rsid w:val="003A01EF"/>
    <w:rsid w:val="003A0992"/>
    <w:rsid w:val="003A0E5B"/>
    <w:rsid w:val="003A16B6"/>
    <w:rsid w:val="003A2097"/>
    <w:rsid w:val="003A2329"/>
    <w:rsid w:val="003A2E4F"/>
    <w:rsid w:val="003A4607"/>
    <w:rsid w:val="003A5583"/>
    <w:rsid w:val="003A7A20"/>
    <w:rsid w:val="003A7E2D"/>
    <w:rsid w:val="003B0149"/>
    <w:rsid w:val="003B1218"/>
    <w:rsid w:val="003B1CEE"/>
    <w:rsid w:val="003B2121"/>
    <w:rsid w:val="003B2536"/>
    <w:rsid w:val="003B27FD"/>
    <w:rsid w:val="003B3034"/>
    <w:rsid w:val="003B5E23"/>
    <w:rsid w:val="003B622F"/>
    <w:rsid w:val="003B777E"/>
    <w:rsid w:val="003C021D"/>
    <w:rsid w:val="003C0460"/>
    <w:rsid w:val="003C145B"/>
    <w:rsid w:val="003C1BB9"/>
    <w:rsid w:val="003C4B0C"/>
    <w:rsid w:val="003C518C"/>
    <w:rsid w:val="003C5911"/>
    <w:rsid w:val="003C5F2B"/>
    <w:rsid w:val="003C709E"/>
    <w:rsid w:val="003C73A5"/>
    <w:rsid w:val="003C775A"/>
    <w:rsid w:val="003C7A49"/>
    <w:rsid w:val="003D039C"/>
    <w:rsid w:val="003D1A4A"/>
    <w:rsid w:val="003D1DF9"/>
    <w:rsid w:val="003D2AA1"/>
    <w:rsid w:val="003D6BBD"/>
    <w:rsid w:val="003D6D87"/>
    <w:rsid w:val="003D75FA"/>
    <w:rsid w:val="003E0CF8"/>
    <w:rsid w:val="003E190A"/>
    <w:rsid w:val="003E2124"/>
    <w:rsid w:val="003E257B"/>
    <w:rsid w:val="003E30BD"/>
    <w:rsid w:val="003E4B2C"/>
    <w:rsid w:val="003E6094"/>
    <w:rsid w:val="003E75E7"/>
    <w:rsid w:val="003F05A8"/>
    <w:rsid w:val="003F0658"/>
    <w:rsid w:val="003F0DF4"/>
    <w:rsid w:val="003F283C"/>
    <w:rsid w:val="003F2867"/>
    <w:rsid w:val="003F3169"/>
    <w:rsid w:val="003F5B74"/>
    <w:rsid w:val="003F6E86"/>
    <w:rsid w:val="003F71DF"/>
    <w:rsid w:val="003F77AD"/>
    <w:rsid w:val="003F7DC2"/>
    <w:rsid w:val="004000DD"/>
    <w:rsid w:val="00402ADB"/>
    <w:rsid w:val="00403399"/>
    <w:rsid w:val="00404689"/>
    <w:rsid w:val="00404BA7"/>
    <w:rsid w:val="004056AC"/>
    <w:rsid w:val="00405733"/>
    <w:rsid w:val="00405C51"/>
    <w:rsid w:val="00406704"/>
    <w:rsid w:val="004068C4"/>
    <w:rsid w:val="004076EC"/>
    <w:rsid w:val="004077CC"/>
    <w:rsid w:val="00407816"/>
    <w:rsid w:val="0040795F"/>
    <w:rsid w:val="00407B00"/>
    <w:rsid w:val="00407EE8"/>
    <w:rsid w:val="0041156D"/>
    <w:rsid w:val="00412D01"/>
    <w:rsid w:val="00413936"/>
    <w:rsid w:val="00413C75"/>
    <w:rsid w:val="00416041"/>
    <w:rsid w:val="00417937"/>
    <w:rsid w:val="00420304"/>
    <w:rsid w:val="00420DF6"/>
    <w:rsid w:val="00421C24"/>
    <w:rsid w:val="00424D33"/>
    <w:rsid w:val="00424F05"/>
    <w:rsid w:val="00425310"/>
    <w:rsid w:val="004266D3"/>
    <w:rsid w:val="004266F1"/>
    <w:rsid w:val="0042799A"/>
    <w:rsid w:val="00430192"/>
    <w:rsid w:val="004307E5"/>
    <w:rsid w:val="0043160E"/>
    <w:rsid w:val="00431F1B"/>
    <w:rsid w:val="00432062"/>
    <w:rsid w:val="00432992"/>
    <w:rsid w:val="00432FC8"/>
    <w:rsid w:val="00433767"/>
    <w:rsid w:val="00434E5C"/>
    <w:rsid w:val="00435FDE"/>
    <w:rsid w:val="00436977"/>
    <w:rsid w:val="00437023"/>
    <w:rsid w:val="00440486"/>
    <w:rsid w:val="004413AF"/>
    <w:rsid w:val="00441F25"/>
    <w:rsid w:val="00442279"/>
    <w:rsid w:val="0044306C"/>
    <w:rsid w:val="004437E1"/>
    <w:rsid w:val="00443EB1"/>
    <w:rsid w:val="00444A98"/>
    <w:rsid w:val="00445706"/>
    <w:rsid w:val="00445724"/>
    <w:rsid w:val="00445754"/>
    <w:rsid w:val="00445C41"/>
    <w:rsid w:val="0044735D"/>
    <w:rsid w:val="00447383"/>
    <w:rsid w:val="00450E93"/>
    <w:rsid w:val="004512DD"/>
    <w:rsid w:val="004525E1"/>
    <w:rsid w:val="0045424F"/>
    <w:rsid w:val="004543CA"/>
    <w:rsid w:val="00454B60"/>
    <w:rsid w:val="00455348"/>
    <w:rsid w:val="00456A11"/>
    <w:rsid w:val="0045710F"/>
    <w:rsid w:val="0045729C"/>
    <w:rsid w:val="00457B28"/>
    <w:rsid w:val="00457E51"/>
    <w:rsid w:val="00460F2B"/>
    <w:rsid w:val="00462A9C"/>
    <w:rsid w:val="00463C7D"/>
    <w:rsid w:val="00464633"/>
    <w:rsid w:val="00465818"/>
    <w:rsid w:val="004660AA"/>
    <w:rsid w:val="00466F23"/>
    <w:rsid w:val="00466F71"/>
    <w:rsid w:val="00466F82"/>
    <w:rsid w:val="00471755"/>
    <w:rsid w:val="00472229"/>
    <w:rsid w:val="00473245"/>
    <w:rsid w:val="0047361F"/>
    <w:rsid w:val="00473BC6"/>
    <w:rsid w:val="00473BC8"/>
    <w:rsid w:val="00473E2E"/>
    <w:rsid w:val="004751A2"/>
    <w:rsid w:val="004754DB"/>
    <w:rsid w:val="004756EB"/>
    <w:rsid w:val="0047725E"/>
    <w:rsid w:val="004776DF"/>
    <w:rsid w:val="0047787E"/>
    <w:rsid w:val="0047791F"/>
    <w:rsid w:val="004802A0"/>
    <w:rsid w:val="004809BE"/>
    <w:rsid w:val="00481348"/>
    <w:rsid w:val="00481B07"/>
    <w:rsid w:val="00481BA3"/>
    <w:rsid w:val="004823B3"/>
    <w:rsid w:val="0048250B"/>
    <w:rsid w:val="00482EBF"/>
    <w:rsid w:val="004841BE"/>
    <w:rsid w:val="00485F0A"/>
    <w:rsid w:val="00487468"/>
    <w:rsid w:val="00491CFE"/>
    <w:rsid w:val="00492DD3"/>
    <w:rsid w:val="00492F25"/>
    <w:rsid w:val="00495539"/>
    <w:rsid w:val="00495A98"/>
    <w:rsid w:val="0049707C"/>
    <w:rsid w:val="00497BD6"/>
    <w:rsid w:val="004A107B"/>
    <w:rsid w:val="004A14C1"/>
    <w:rsid w:val="004A17E3"/>
    <w:rsid w:val="004A2B7D"/>
    <w:rsid w:val="004A501D"/>
    <w:rsid w:val="004A559B"/>
    <w:rsid w:val="004A577D"/>
    <w:rsid w:val="004A591F"/>
    <w:rsid w:val="004A5C9A"/>
    <w:rsid w:val="004A621A"/>
    <w:rsid w:val="004A6A9D"/>
    <w:rsid w:val="004A6B1C"/>
    <w:rsid w:val="004A759D"/>
    <w:rsid w:val="004B13CB"/>
    <w:rsid w:val="004B1F8F"/>
    <w:rsid w:val="004B2571"/>
    <w:rsid w:val="004B3029"/>
    <w:rsid w:val="004B46DF"/>
    <w:rsid w:val="004B474B"/>
    <w:rsid w:val="004B5A21"/>
    <w:rsid w:val="004B703D"/>
    <w:rsid w:val="004B75AB"/>
    <w:rsid w:val="004C00EA"/>
    <w:rsid w:val="004C0CD5"/>
    <w:rsid w:val="004C2561"/>
    <w:rsid w:val="004C36FD"/>
    <w:rsid w:val="004C46BD"/>
    <w:rsid w:val="004C5DE4"/>
    <w:rsid w:val="004C5F84"/>
    <w:rsid w:val="004C6261"/>
    <w:rsid w:val="004C63BE"/>
    <w:rsid w:val="004C6B8F"/>
    <w:rsid w:val="004D01BE"/>
    <w:rsid w:val="004D0828"/>
    <w:rsid w:val="004D144E"/>
    <w:rsid w:val="004D2163"/>
    <w:rsid w:val="004D3325"/>
    <w:rsid w:val="004D3B88"/>
    <w:rsid w:val="004D6605"/>
    <w:rsid w:val="004D7482"/>
    <w:rsid w:val="004E05F5"/>
    <w:rsid w:val="004E12E3"/>
    <w:rsid w:val="004E1BB8"/>
    <w:rsid w:val="004E2ACF"/>
    <w:rsid w:val="004E5CCB"/>
    <w:rsid w:val="004E603F"/>
    <w:rsid w:val="004E7897"/>
    <w:rsid w:val="004E7C7D"/>
    <w:rsid w:val="004F068D"/>
    <w:rsid w:val="004F1E9C"/>
    <w:rsid w:val="004F2301"/>
    <w:rsid w:val="004F2700"/>
    <w:rsid w:val="004F27FC"/>
    <w:rsid w:val="004F2D44"/>
    <w:rsid w:val="004F41E0"/>
    <w:rsid w:val="004F45F1"/>
    <w:rsid w:val="004F4D07"/>
    <w:rsid w:val="004F5C72"/>
    <w:rsid w:val="004F5FFE"/>
    <w:rsid w:val="004F7330"/>
    <w:rsid w:val="00500120"/>
    <w:rsid w:val="0050013D"/>
    <w:rsid w:val="005006F5"/>
    <w:rsid w:val="005029A4"/>
    <w:rsid w:val="00502F78"/>
    <w:rsid w:val="005045E4"/>
    <w:rsid w:val="0050476A"/>
    <w:rsid w:val="00504C50"/>
    <w:rsid w:val="00505E67"/>
    <w:rsid w:val="005064FD"/>
    <w:rsid w:val="005067E9"/>
    <w:rsid w:val="00506C56"/>
    <w:rsid w:val="005072CB"/>
    <w:rsid w:val="005078CF"/>
    <w:rsid w:val="00507933"/>
    <w:rsid w:val="005103AA"/>
    <w:rsid w:val="005103B8"/>
    <w:rsid w:val="00511009"/>
    <w:rsid w:val="00512398"/>
    <w:rsid w:val="00512675"/>
    <w:rsid w:val="0051289A"/>
    <w:rsid w:val="0051389D"/>
    <w:rsid w:val="00514313"/>
    <w:rsid w:val="005153E4"/>
    <w:rsid w:val="00515681"/>
    <w:rsid w:val="00515D08"/>
    <w:rsid w:val="00516FEE"/>
    <w:rsid w:val="005201BD"/>
    <w:rsid w:val="005210AF"/>
    <w:rsid w:val="0052114D"/>
    <w:rsid w:val="00523E5F"/>
    <w:rsid w:val="005254E2"/>
    <w:rsid w:val="00525C85"/>
    <w:rsid w:val="005263ED"/>
    <w:rsid w:val="00526F68"/>
    <w:rsid w:val="005271C2"/>
    <w:rsid w:val="005275E7"/>
    <w:rsid w:val="00527AA2"/>
    <w:rsid w:val="005300BF"/>
    <w:rsid w:val="00530E1F"/>
    <w:rsid w:val="0053244F"/>
    <w:rsid w:val="00533EE9"/>
    <w:rsid w:val="00534933"/>
    <w:rsid w:val="005352AA"/>
    <w:rsid w:val="00537143"/>
    <w:rsid w:val="0053754F"/>
    <w:rsid w:val="00537A71"/>
    <w:rsid w:val="005407C9"/>
    <w:rsid w:val="005426F9"/>
    <w:rsid w:val="0054307C"/>
    <w:rsid w:val="0054528C"/>
    <w:rsid w:val="005452C8"/>
    <w:rsid w:val="005452FE"/>
    <w:rsid w:val="00545373"/>
    <w:rsid w:val="00546886"/>
    <w:rsid w:val="00546C75"/>
    <w:rsid w:val="00547080"/>
    <w:rsid w:val="00547167"/>
    <w:rsid w:val="005474F6"/>
    <w:rsid w:val="00547EB3"/>
    <w:rsid w:val="00547F28"/>
    <w:rsid w:val="0055090C"/>
    <w:rsid w:val="005518EE"/>
    <w:rsid w:val="00552A02"/>
    <w:rsid w:val="00552CF9"/>
    <w:rsid w:val="005532F9"/>
    <w:rsid w:val="00553AB6"/>
    <w:rsid w:val="00554DC3"/>
    <w:rsid w:val="0055694E"/>
    <w:rsid w:val="00557457"/>
    <w:rsid w:val="00557484"/>
    <w:rsid w:val="0055774A"/>
    <w:rsid w:val="00560CD7"/>
    <w:rsid w:val="00560F17"/>
    <w:rsid w:val="00561323"/>
    <w:rsid w:val="00566329"/>
    <w:rsid w:val="00567DF0"/>
    <w:rsid w:val="0057065F"/>
    <w:rsid w:val="005706A4"/>
    <w:rsid w:val="00572CB9"/>
    <w:rsid w:val="00573014"/>
    <w:rsid w:val="00573CDA"/>
    <w:rsid w:val="00574C6D"/>
    <w:rsid w:val="0057519E"/>
    <w:rsid w:val="00575833"/>
    <w:rsid w:val="00575A95"/>
    <w:rsid w:val="00575D48"/>
    <w:rsid w:val="005762F0"/>
    <w:rsid w:val="00576854"/>
    <w:rsid w:val="0057688D"/>
    <w:rsid w:val="005769B0"/>
    <w:rsid w:val="00577233"/>
    <w:rsid w:val="00577F31"/>
    <w:rsid w:val="005804EC"/>
    <w:rsid w:val="0058173B"/>
    <w:rsid w:val="005824CE"/>
    <w:rsid w:val="00582541"/>
    <w:rsid w:val="0058284F"/>
    <w:rsid w:val="00583192"/>
    <w:rsid w:val="0058540E"/>
    <w:rsid w:val="00591293"/>
    <w:rsid w:val="005913B3"/>
    <w:rsid w:val="005926A5"/>
    <w:rsid w:val="00593A2C"/>
    <w:rsid w:val="0059405D"/>
    <w:rsid w:val="005959DA"/>
    <w:rsid w:val="005A1555"/>
    <w:rsid w:val="005A1FAE"/>
    <w:rsid w:val="005A2EAA"/>
    <w:rsid w:val="005A32BD"/>
    <w:rsid w:val="005A347A"/>
    <w:rsid w:val="005A3989"/>
    <w:rsid w:val="005A436A"/>
    <w:rsid w:val="005A6B01"/>
    <w:rsid w:val="005B0A6A"/>
    <w:rsid w:val="005B16EF"/>
    <w:rsid w:val="005B17BC"/>
    <w:rsid w:val="005B2150"/>
    <w:rsid w:val="005B35B3"/>
    <w:rsid w:val="005B3C31"/>
    <w:rsid w:val="005B3C35"/>
    <w:rsid w:val="005B3F43"/>
    <w:rsid w:val="005B4628"/>
    <w:rsid w:val="005B48B0"/>
    <w:rsid w:val="005B593C"/>
    <w:rsid w:val="005B77F3"/>
    <w:rsid w:val="005C14E4"/>
    <w:rsid w:val="005C172F"/>
    <w:rsid w:val="005C36DF"/>
    <w:rsid w:val="005C38A3"/>
    <w:rsid w:val="005C4322"/>
    <w:rsid w:val="005C4EC6"/>
    <w:rsid w:val="005C582C"/>
    <w:rsid w:val="005C6041"/>
    <w:rsid w:val="005C78B2"/>
    <w:rsid w:val="005D08A5"/>
    <w:rsid w:val="005D1759"/>
    <w:rsid w:val="005D1F7F"/>
    <w:rsid w:val="005D38CB"/>
    <w:rsid w:val="005D3FA5"/>
    <w:rsid w:val="005D40A0"/>
    <w:rsid w:val="005D5619"/>
    <w:rsid w:val="005D5765"/>
    <w:rsid w:val="005D5E6C"/>
    <w:rsid w:val="005D5FA7"/>
    <w:rsid w:val="005D7606"/>
    <w:rsid w:val="005E0782"/>
    <w:rsid w:val="005E0A16"/>
    <w:rsid w:val="005E1203"/>
    <w:rsid w:val="005E2EF3"/>
    <w:rsid w:val="005E346E"/>
    <w:rsid w:val="005E37E1"/>
    <w:rsid w:val="005E448F"/>
    <w:rsid w:val="005E603F"/>
    <w:rsid w:val="005E61E0"/>
    <w:rsid w:val="005E6262"/>
    <w:rsid w:val="005E6272"/>
    <w:rsid w:val="005E6310"/>
    <w:rsid w:val="005E6395"/>
    <w:rsid w:val="005E661C"/>
    <w:rsid w:val="005E7BD8"/>
    <w:rsid w:val="005E7EAB"/>
    <w:rsid w:val="005F06CF"/>
    <w:rsid w:val="005F16EC"/>
    <w:rsid w:val="005F19B1"/>
    <w:rsid w:val="005F1F33"/>
    <w:rsid w:val="005F313B"/>
    <w:rsid w:val="005F3695"/>
    <w:rsid w:val="005F4224"/>
    <w:rsid w:val="005F44A3"/>
    <w:rsid w:val="005F45A5"/>
    <w:rsid w:val="005F5102"/>
    <w:rsid w:val="005F5795"/>
    <w:rsid w:val="005F5BC0"/>
    <w:rsid w:val="005F652A"/>
    <w:rsid w:val="005F6FEB"/>
    <w:rsid w:val="005F7B27"/>
    <w:rsid w:val="005F7B2E"/>
    <w:rsid w:val="006000C0"/>
    <w:rsid w:val="0060066D"/>
    <w:rsid w:val="0060075E"/>
    <w:rsid w:val="006023D5"/>
    <w:rsid w:val="00602402"/>
    <w:rsid w:val="00602764"/>
    <w:rsid w:val="00602BA2"/>
    <w:rsid w:val="00603140"/>
    <w:rsid w:val="00603F63"/>
    <w:rsid w:val="006040A3"/>
    <w:rsid w:val="00605267"/>
    <w:rsid w:val="0060580B"/>
    <w:rsid w:val="006061B5"/>
    <w:rsid w:val="006063BA"/>
    <w:rsid w:val="006065B3"/>
    <w:rsid w:val="006065D7"/>
    <w:rsid w:val="00606FFE"/>
    <w:rsid w:val="0060749B"/>
    <w:rsid w:val="00607B58"/>
    <w:rsid w:val="006092BF"/>
    <w:rsid w:val="006100B3"/>
    <w:rsid w:val="006118CD"/>
    <w:rsid w:val="00611C81"/>
    <w:rsid w:val="00611F0C"/>
    <w:rsid w:val="00612580"/>
    <w:rsid w:val="0061268A"/>
    <w:rsid w:val="00612BF1"/>
    <w:rsid w:val="00613389"/>
    <w:rsid w:val="006151FA"/>
    <w:rsid w:val="00615909"/>
    <w:rsid w:val="006159A0"/>
    <w:rsid w:val="00617983"/>
    <w:rsid w:val="00617A93"/>
    <w:rsid w:val="00620835"/>
    <w:rsid w:val="00621C0C"/>
    <w:rsid w:val="00621EEC"/>
    <w:rsid w:val="00622056"/>
    <w:rsid w:val="00624381"/>
    <w:rsid w:val="00624E4E"/>
    <w:rsid w:val="00625793"/>
    <w:rsid w:val="0062748C"/>
    <w:rsid w:val="00627CDB"/>
    <w:rsid w:val="006303DE"/>
    <w:rsid w:val="00630D31"/>
    <w:rsid w:val="0063129E"/>
    <w:rsid w:val="006328C0"/>
    <w:rsid w:val="00632EB2"/>
    <w:rsid w:val="00634261"/>
    <w:rsid w:val="00634A67"/>
    <w:rsid w:val="0063516C"/>
    <w:rsid w:val="0063564D"/>
    <w:rsid w:val="00636E29"/>
    <w:rsid w:val="006402E0"/>
    <w:rsid w:val="00641307"/>
    <w:rsid w:val="00641DE4"/>
    <w:rsid w:val="006425A8"/>
    <w:rsid w:val="0064329D"/>
    <w:rsid w:val="00643BD0"/>
    <w:rsid w:val="00644D3D"/>
    <w:rsid w:val="00646278"/>
    <w:rsid w:val="006466B1"/>
    <w:rsid w:val="00646F58"/>
    <w:rsid w:val="006506F5"/>
    <w:rsid w:val="00651F28"/>
    <w:rsid w:val="006525D7"/>
    <w:rsid w:val="0065285F"/>
    <w:rsid w:val="00652F84"/>
    <w:rsid w:val="0065367B"/>
    <w:rsid w:val="00653B45"/>
    <w:rsid w:val="00654572"/>
    <w:rsid w:val="00656836"/>
    <w:rsid w:val="00656C21"/>
    <w:rsid w:val="006579A2"/>
    <w:rsid w:val="00660F2C"/>
    <w:rsid w:val="006617C7"/>
    <w:rsid w:val="00661F71"/>
    <w:rsid w:val="00663C79"/>
    <w:rsid w:val="00664173"/>
    <w:rsid w:val="00664320"/>
    <w:rsid w:val="006643D1"/>
    <w:rsid w:val="00664429"/>
    <w:rsid w:val="006650F3"/>
    <w:rsid w:val="006661A9"/>
    <w:rsid w:val="00666831"/>
    <w:rsid w:val="00667D75"/>
    <w:rsid w:val="006712E8"/>
    <w:rsid w:val="006728CF"/>
    <w:rsid w:val="00674302"/>
    <w:rsid w:val="006748E1"/>
    <w:rsid w:val="00675917"/>
    <w:rsid w:val="006759F3"/>
    <w:rsid w:val="006767F2"/>
    <w:rsid w:val="00677690"/>
    <w:rsid w:val="006778CB"/>
    <w:rsid w:val="00677B41"/>
    <w:rsid w:val="006812D6"/>
    <w:rsid w:val="00681395"/>
    <w:rsid w:val="00682079"/>
    <w:rsid w:val="006821CB"/>
    <w:rsid w:val="006827E3"/>
    <w:rsid w:val="0068316E"/>
    <w:rsid w:val="0068376C"/>
    <w:rsid w:val="006840B5"/>
    <w:rsid w:val="006846EC"/>
    <w:rsid w:val="00684FF5"/>
    <w:rsid w:val="006858E5"/>
    <w:rsid w:val="006863A7"/>
    <w:rsid w:val="00686953"/>
    <w:rsid w:val="00686EC5"/>
    <w:rsid w:val="00687039"/>
    <w:rsid w:val="00687792"/>
    <w:rsid w:val="00687D83"/>
    <w:rsid w:val="006901A2"/>
    <w:rsid w:val="006904B9"/>
    <w:rsid w:val="006915F1"/>
    <w:rsid w:val="006918BE"/>
    <w:rsid w:val="00691ACF"/>
    <w:rsid w:val="00691D61"/>
    <w:rsid w:val="00692058"/>
    <w:rsid w:val="006945FD"/>
    <w:rsid w:val="00694DA4"/>
    <w:rsid w:val="006966AB"/>
    <w:rsid w:val="00696DA6"/>
    <w:rsid w:val="00697B5D"/>
    <w:rsid w:val="006A0A9E"/>
    <w:rsid w:val="006A0B04"/>
    <w:rsid w:val="006A1647"/>
    <w:rsid w:val="006A1E10"/>
    <w:rsid w:val="006A2C11"/>
    <w:rsid w:val="006A44EE"/>
    <w:rsid w:val="006A47EF"/>
    <w:rsid w:val="006A5DF4"/>
    <w:rsid w:val="006B00CE"/>
    <w:rsid w:val="006B2D3E"/>
    <w:rsid w:val="006B4065"/>
    <w:rsid w:val="006B440B"/>
    <w:rsid w:val="006B4419"/>
    <w:rsid w:val="006B45CE"/>
    <w:rsid w:val="006B49A7"/>
    <w:rsid w:val="006B64EF"/>
    <w:rsid w:val="006B6843"/>
    <w:rsid w:val="006B6A50"/>
    <w:rsid w:val="006B6F4D"/>
    <w:rsid w:val="006B7D0B"/>
    <w:rsid w:val="006C0185"/>
    <w:rsid w:val="006C0B5D"/>
    <w:rsid w:val="006C1EEC"/>
    <w:rsid w:val="006C2EEA"/>
    <w:rsid w:val="006C3710"/>
    <w:rsid w:val="006C3D45"/>
    <w:rsid w:val="006C4ABF"/>
    <w:rsid w:val="006C4EF2"/>
    <w:rsid w:val="006C58A0"/>
    <w:rsid w:val="006C79E6"/>
    <w:rsid w:val="006D0BB7"/>
    <w:rsid w:val="006D1917"/>
    <w:rsid w:val="006D253B"/>
    <w:rsid w:val="006D28B2"/>
    <w:rsid w:val="006D35A6"/>
    <w:rsid w:val="006D4FFB"/>
    <w:rsid w:val="006D5805"/>
    <w:rsid w:val="006D6808"/>
    <w:rsid w:val="006D6E33"/>
    <w:rsid w:val="006D7107"/>
    <w:rsid w:val="006E063A"/>
    <w:rsid w:val="006E0E29"/>
    <w:rsid w:val="006E1386"/>
    <w:rsid w:val="006E31AB"/>
    <w:rsid w:val="006E3460"/>
    <w:rsid w:val="006E3BDA"/>
    <w:rsid w:val="006E4381"/>
    <w:rsid w:val="006E4494"/>
    <w:rsid w:val="006E4641"/>
    <w:rsid w:val="006E4BC4"/>
    <w:rsid w:val="006E56BE"/>
    <w:rsid w:val="006E70E9"/>
    <w:rsid w:val="006F19AA"/>
    <w:rsid w:val="006F1A94"/>
    <w:rsid w:val="006F289B"/>
    <w:rsid w:val="006F4BA3"/>
    <w:rsid w:val="006F5508"/>
    <w:rsid w:val="006F5980"/>
    <w:rsid w:val="006F5B26"/>
    <w:rsid w:val="006F7DF7"/>
    <w:rsid w:val="006F7E87"/>
    <w:rsid w:val="00702A28"/>
    <w:rsid w:val="00703943"/>
    <w:rsid w:val="0070452B"/>
    <w:rsid w:val="007045B9"/>
    <w:rsid w:val="00705795"/>
    <w:rsid w:val="007058A1"/>
    <w:rsid w:val="00705928"/>
    <w:rsid w:val="00705F06"/>
    <w:rsid w:val="00706D48"/>
    <w:rsid w:val="007103F8"/>
    <w:rsid w:val="0071129D"/>
    <w:rsid w:val="00712AAE"/>
    <w:rsid w:val="00712F62"/>
    <w:rsid w:val="007132AB"/>
    <w:rsid w:val="00713582"/>
    <w:rsid w:val="00713634"/>
    <w:rsid w:val="00714122"/>
    <w:rsid w:val="00715174"/>
    <w:rsid w:val="00716AF2"/>
    <w:rsid w:val="007170FB"/>
    <w:rsid w:val="00717556"/>
    <w:rsid w:val="00720A98"/>
    <w:rsid w:val="00721027"/>
    <w:rsid w:val="00722CE4"/>
    <w:rsid w:val="0072329C"/>
    <w:rsid w:val="00724F3C"/>
    <w:rsid w:val="00725706"/>
    <w:rsid w:val="00734445"/>
    <w:rsid w:val="00734EA5"/>
    <w:rsid w:val="00736510"/>
    <w:rsid w:val="0073673F"/>
    <w:rsid w:val="00736838"/>
    <w:rsid w:val="00737F4D"/>
    <w:rsid w:val="00740410"/>
    <w:rsid w:val="00742152"/>
    <w:rsid w:val="00742A3F"/>
    <w:rsid w:val="00742F1F"/>
    <w:rsid w:val="007448E6"/>
    <w:rsid w:val="00744EF0"/>
    <w:rsid w:val="00745691"/>
    <w:rsid w:val="007460A4"/>
    <w:rsid w:val="0074708E"/>
    <w:rsid w:val="00750403"/>
    <w:rsid w:val="007520D0"/>
    <w:rsid w:val="00752E45"/>
    <w:rsid w:val="0075362E"/>
    <w:rsid w:val="0075518E"/>
    <w:rsid w:val="00756890"/>
    <w:rsid w:val="007577EE"/>
    <w:rsid w:val="00757F2A"/>
    <w:rsid w:val="00760E14"/>
    <w:rsid w:val="0076181F"/>
    <w:rsid w:val="00762476"/>
    <w:rsid w:val="007626F0"/>
    <w:rsid w:val="00762B2F"/>
    <w:rsid w:val="007630F8"/>
    <w:rsid w:val="00763526"/>
    <w:rsid w:val="00764491"/>
    <w:rsid w:val="00765F06"/>
    <w:rsid w:val="00767738"/>
    <w:rsid w:val="007677C8"/>
    <w:rsid w:val="00767CEA"/>
    <w:rsid w:val="0077058F"/>
    <w:rsid w:val="0077197B"/>
    <w:rsid w:val="007721EE"/>
    <w:rsid w:val="007749FF"/>
    <w:rsid w:val="00774F87"/>
    <w:rsid w:val="007750A6"/>
    <w:rsid w:val="007752BA"/>
    <w:rsid w:val="00776221"/>
    <w:rsid w:val="0077764B"/>
    <w:rsid w:val="0077783A"/>
    <w:rsid w:val="00777CC0"/>
    <w:rsid w:val="00780B25"/>
    <w:rsid w:val="00780FFD"/>
    <w:rsid w:val="00781067"/>
    <w:rsid w:val="0078172F"/>
    <w:rsid w:val="00781D6C"/>
    <w:rsid w:val="0078214B"/>
    <w:rsid w:val="00782536"/>
    <w:rsid w:val="0078290E"/>
    <w:rsid w:val="00783C85"/>
    <w:rsid w:val="00784BA3"/>
    <w:rsid w:val="00784E8F"/>
    <w:rsid w:val="007863D4"/>
    <w:rsid w:val="00787600"/>
    <w:rsid w:val="00790224"/>
    <w:rsid w:val="007921F9"/>
    <w:rsid w:val="0079239B"/>
    <w:rsid w:val="0079247F"/>
    <w:rsid w:val="00792629"/>
    <w:rsid w:val="007938C2"/>
    <w:rsid w:val="00793F44"/>
    <w:rsid w:val="00795935"/>
    <w:rsid w:val="00795BA9"/>
    <w:rsid w:val="007965C3"/>
    <w:rsid w:val="00796755"/>
    <w:rsid w:val="00796ABB"/>
    <w:rsid w:val="00797257"/>
    <w:rsid w:val="00797472"/>
    <w:rsid w:val="007A0456"/>
    <w:rsid w:val="007A18ED"/>
    <w:rsid w:val="007A24E9"/>
    <w:rsid w:val="007A2A0C"/>
    <w:rsid w:val="007A49F7"/>
    <w:rsid w:val="007A4F92"/>
    <w:rsid w:val="007A5DFB"/>
    <w:rsid w:val="007A6B79"/>
    <w:rsid w:val="007B1028"/>
    <w:rsid w:val="007B1C6F"/>
    <w:rsid w:val="007B4087"/>
    <w:rsid w:val="007B4502"/>
    <w:rsid w:val="007B4C9E"/>
    <w:rsid w:val="007B62CA"/>
    <w:rsid w:val="007B632B"/>
    <w:rsid w:val="007B670F"/>
    <w:rsid w:val="007B688F"/>
    <w:rsid w:val="007B7A43"/>
    <w:rsid w:val="007C179B"/>
    <w:rsid w:val="007C319E"/>
    <w:rsid w:val="007C58D5"/>
    <w:rsid w:val="007C5C9A"/>
    <w:rsid w:val="007C5E0C"/>
    <w:rsid w:val="007C6276"/>
    <w:rsid w:val="007C6C23"/>
    <w:rsid w:val="007C6DC9"/>
    <w:rsid w:val="007D04ED"/>
    <w:rsid w:val="007D06B6"/>
    <w:rsid w:val="007D0882"/>
    <w:rsid w:val="007D119F"/>
    <w:rsid w:val="007D1E1E"/>
    <w:rsid w:val="007D2A36"/>
    <w:rsid w:val="007D3018"/>
    <w:rsid w:val="007D3532"/>
    <w:rsid w:val="007D37C3"/>
    <w:rsid w:val="007D3864"/>
    <w:rsid w:val="007D3D6F"/>
    <w:rsid w:val="007D3EDA"/>
    <w:rsid w:val="007D4502"/>
    <w:rsid w:val="007D4786"/>
    <w:rsid w:val="007D4C10"/>
    <w:rsid w:val="007D578C"/>
    <w:rsid w:val="007D5C80"/>
    <w:rsid w:val="007D5CE5"/>
    <w:rsid w:val="007D6264"/>
    <w:rsid w:val="007D6F8B"/>
    <w:rsid w:val="007D7335"/>
    <w:rsid w:val="007D7BD5"/>
    <w:rsid w:val="007E0079"/>
    <w:rsid w:val="007E1AC3"/>
    <w:rsid w:val="007E3C09"/>
    <w:rsid w:val="007E637D"/>
    <w:rsid w:val="007E6583"/>
    <w:rsid w:val="007E6CE2"/>
    <w:rsid w:val="007E7F36"/>
    <w:rsid w:val="007F1210"/>
    <w:rsid w:val="007F221C"/>
    <w:rsid w:val="007F4B52"/>
    <w:rsid w:val="007F6280"/>
    <w:rsid w:val="007F62BE"/>
    <w:rsid w:val="007F6503"/>
    <w:rsid w:val="007F6E2D"/>
    <w:rsid w:val="0080035E"/>
    <w:rsid w:val="0080045F"/>
    <w:rsid w:val="0080091A"/>
    <w:rsid w:val="00800973"/>
    <w:rsid w:val="00800B28"/>
    <w:rsid w:val="00800B93"/>
    <w:rsid w:val="00800E70"/>
    <w:rsid w:val="008017A5"/>
    <w:rsid w:val="008023C9"/>
    <w:rsid w:val="008033DE"/>
    <w:rsid w:val="00803432"/>
    <w:rsid w:val="00804939"/>
    <w:rsid w:val="00804F63"/>
    <w:rsid w:val="008052ED"/>
    <w:rsid w:val="00805618"/>
    <w:rsid w:val="008056CC"/>
    <w:rsid w:val="00805A5F"/>
    <w:rsid w:val="00805EAD"/>
    <w:rsid w:val="00806BB7"/>
    <w:rsid w:val="008109F8"/>
    <w:rsid w:val="00812075"/>
    <w:rsid w:val="008151D6"/>
    <w:rsid w:val="008165AC"/>
    <w:rsid w:val="0081677F"/>
    <w:rsid w:val="008177B5"/>
    <w:rsid w:val="008204FB"/>
    <w:rsid w:val="0082083A"/>
    <w:rsid w:val="00821377"/>
    <w:rsid w:val="00821B50"/>
    <w:rsid w:val="0082219C"/>
    <w:rsid w:val="00822B98"/>
    <w:rsid w:val="00822E28"/>
    <w:rsid w:val="00823DE6"/>
    <w:rsid w:val="0082459E"/>
    <w:rsid w:val="008248E3"/>
    <w:rsid w:val="00824E95"/>
    <w:rsid w:val="00825594"/>
    <w:rsid w:val="00825E24"/>
    <w:rsid w:val="00826601"/>
    <w:rsid w:val="008272D6"/>
    <w:rsid w:val="00827DA2"/>
    <w:rsid w:val="00830A95"/>
    <w:rsid w:val="0083131F"/>
    <w:rsid w:val="00832EDE"/>
    <w:rsid w:val="00833C45"/>
    <w:rsid w:val="00834247"/>
    <w:rsid w:val="008368FD"/>
    <w:rsid w:val="00836CAE"/>
    <w:rsid w:val="00836EC6"/>
    <w:rsid w:val="00837444"/>
    <w:rsid w:val="008405A8"/>
    <w:rsid w:val="00840847"/>
    <w:rsid w:val="00840CBB"/>
    <w:rsid w:val="00843AF3"/>
    <w:rsid w:val="0084432B"/>
    <w:rsid w:val="0084472E"/>
    <w:rsid w:val="0084538D"/>
    <w:rsid w:val="008502DF"/>
    <w:rsid w:val="0085046E"/>
    <w:rsid w:val="00850A8C"/>
    <w:rsid w:val="00850CBE"/>
    <w:rsid w:val="00852D08"/>
    <w:rsid w:val="00853158"/>
    <w:rsid w:val="0085364A"/>
    <w:rsid w:val="00854A3D"/>
    <w:rsid w:val="00855587"/>
    <w:rsid w:val="00856A5C"/>
    <w:rsid w:val="00857EFB"/>
    <w:rsid w:val="00860C77"/>
    <w:rsid w:val="00861C7B"/>
    <w:rsid w:val="008623FC"/>
    <w:rsid w:val="00864132"/>
    <w:rsid w:val="00864602"/>
    <w:rsid w:val="008654D6"/>
    <w:rsid w:val="008657C3"/>
    <w:rsid w:val="00866285"/>
    <w:rsid w:val="00866943"/>
    <w:rsid w:val="00867D91"/>
    <w:rsid w:val="008703BE"/>
    <w:rsid w:val="00871155"/>
    <w:rsid w:val="008713AE"/>
    <w:rsid w:val="008720FE"/>
    <w:rsid w:val="00873225"/>
    <w:rsid w:val="00873FEB"/>
    <w:rsid w:val="008819EB"/>
    <w:rsid w:val="00881BFF"/>
    <w:rsid w:val="00882598"/>
    <w:rsid w:val="00882739"/>
    <w:rsid w:val="0088456E"/>
    <w:rsid w:val="00885242"/>
    <w:rsid w:val="00886F44"/>
    <w:rsid w:val="00887A8B"/>
    <w:rsid w:val="008941AA"/>
    <w:rsid w:val="008952F1"/>
    <w:rsid w:val="008954C5"/>
    <w:rsid w:val="00897AD1"/>
    <w:rsid w:val="00897BFE"/>
    <w:rsid w:val="00897C43"/>
    <w:rsid w:val="008A20FE"/>
    <w:rsid w:val="008A288A"/>
    <w:rsid w:val="008A2ACC"/>
    <w:rsid w:val="008A3C5C"/>
    <w:rsid w:val="008A3FD7"/>
    <w:rsid w:val="008A4CE1"/>
    <w:rsid w:val="008A4EE9"/>
    <w:rsid w:val="008A4F49"/>
    <w:rsid w:val="008A5043"/>
    <w:rsid w:val="008A50D3"/>
    <w:rsid w:val="008A5C21"/>
    <w:rsid w:val="008A6B91"/>
    <w:rsid w:val="008A7126"/>
    <w:rsid w:val="008A7454"/>
    <w:rsid w:val="008A774B"/>
    <w:rsid w:val="008B0F2C"/>
    <w:rsid w:val="008B12D4"/>
    <w:rsid w:val="008B13C9"/>
    <w:rsid w:val="008B3C6C"/>
    <w:rsid w:val="008B3D86"/>
    <w:rsid w:val="008B4B69"/>
    <w:rsid w:val="008B5370"/>
    <w:rsid w:val="008B54EB"/>
    <w:rsid w:val="008B552A"/>
    <w:rsid w:val="008B6FE4"/>
    <w:rsid w:val="008B73F9"/>
    <w:rsid w:val="008C01C9"/>
    <w:rsid w:val="008C01DF"/>
    <w:rsid w:val="008C0F93"/>
    <w:rsid w:val="008C24D4"/>
    <w:rsid w:val="008C362D"/>
    <w:rsid w:val="008C503B"/>
    <w:rsid w:val="008C6D55"/>
    <w:rsid w:val="008C6D9F"/>
    <w:rsid w:val="008C6E9E"/>
    <w:rsid w:val="008C78E0"/>
    <w:rsid w:val="008D011C"/>
    <w:rsid w:val="008D0C1A"/>
    <w:rsid w:val="008D1684"/>
    <w:rsid w:val="008D2E5E"/>
    <w:rsid w:val="008D5B9B"/>
    <w:rsid w:val="008E0004"/>
    <w:rsid w:val="008E14CD"/>
    <w:rsid w:val="008E1C3C"/>
    <w:rsid w:val="008E2E90"/>
    <w:rsid w:val="008E32B9"/>
    <w:rsid w:val="008E3CC0"/>
    <w:rsid w:val="008E4031"/>
    <w:rsid w:val="008E454A"/>
    <w:rsid w:val="008E5331"/>
    <w:rsid w:val="008E6996"/>
    <w:rsid w:val="008E6D3C"/>
    <w:rsid w:val="008E6E98"/>
    <w:rsid w:val="008F07D9"/>
    <w:rsid w:val="008F0C71"/>
    <w:rsid w:val="008F1AB6"/>
    <w:rsid w:val="008F1F93"/>
    <w:rsid w:val="008F2B0E"/>
    <w:rsid w:val="008F2CD5"/>
    <w:rsid w:val="008F3184"/>
    <w:rsid w:val="008F38AF"/>
    <w:rsid w:val="008F6BCF"/>
    <w:rsid w:val="00901502"/>
    <w:rsid w:val="00901611"/>
    <w:rsid w:val="0090245B"/>
    <w:rsid w:val="009034B5"/>
    <w:rsid w:val="009040C8"/>
    <w:rsid w:val="00904636"/>
    <w:rsid w:val="0090474E"/>
    <w:rsid w:val="00905AA1"/>
    <w:rsid w:val="00907ED5"/>
    <w:rsid w:val="0091046C"/>
    <w:rsid w:val="00912322"/>
    <w:rsid w:val="0091265A"/>
    <w:rsid w:val="0091272D"/>
    <w:rsid w:val="009139D0"/>
    <w:rsid w:val="0091406C"/>
    <w:rsid w:val="009140C7"/>
    <w:rsid w:val="009141BB"/>
    <w:rsid w:val="00914841"/>
    <w:rsid w:val="0091586E"/>
    <w:rsid w:val="009159F9"/>
    <w:rsid w:val="00915E6E"/>
    <w:rsid w:val="00916843"/>
    <w:rsid w:val="00917234"/>
    <w:rsid w:val="00917E54"/>
    <w:rsid w:val="00917FC1"/>
    <w:rsid w:val="009209FB"/>
    <w:rsid w:val="00921227"/>
    <w:rsid w:val="009242A7"/>
    <w:rsid w:val="0092452C"/>
    <w:rsid w:val="0092706E"/>
    <w:rsid w:val="009270ED"/>
    <w:rsid w:val="00927A99"/>
    <w:rsid w:val="009305C9"/>
    <w:rsid w:val="00930942"/>
    <w:rsid w:val="0093098B"/>
    <w:rsid w:val="00930C73"/>
    <w:rsid w:val="00930DC0"/>
    <w:rsid w:val="00931010"/>
    <w:rsid w:val="00932224"/>
    <w:rsid w:val="009330B7"/>
    <w:rsid w:val="00933A0D"/>
    <w:rsid w:val="00934430"/>
    <w:rsid w:val="00934ED4"/>
    <w:rsid w:val="0093546A"/>
    <w:rsid w:val="00936594"/>
    <w:rsid w:val="009370F5"/>
    <w:rsid w:val="00940034"/>
    <w:rsid w:val="00941A72"/>
    <w:rsid w:val="00943789"/>
    <w:rsid w:val="009441F5"/>
    <w:rsid w:val="009442F5"/>
    <w:rsid w:val="009445AC"/>
    <w:rsid w:val="00944A95"/>
    <w:rsid w:val="0094599D"/>
    <w:rsid w:val="00946A6A"/>
    <w:rsid w:val="00946ED2"/>
    <w:rsid w:val="00947480"/>
    <w:rsid w:val="00951980"/>
    <w:rsid w:val="00951C6E"/>
    <w:rsid w:val="009553A9"/>
    <w:rsid w:val="00955D3B"/>
    <w:rsid w:val="00955E07"/>
    <w:rsid w:val="009602CB"/>
    <w:rsid w:val="00961679"/>
    <w:rsid w:val="009619FB"/>
    <w:rsid w:val="00962B8C"/>
    <w:rsid w:val="00962D4F"/>
    <w:rsid w:val="00962FCC"/>
    <w:rsid w:val="00963679"/>
    <w:rsid w:val="00963CA8"/>
    <w:rsid w:val="00963F49"/>
    <w:rsid w:val="00965385"/>
    <w:rsid w:val="00965E5F"/>
    <w:rsid w:val="00966176"/>
    <w:rsid w:val="0096722F"/>
    <w:rsid w:val="00967FE2"/>
    <w:rsid w:val="00970327"/>
    <w:rsid w:val="009704D7"/>
    <w:rsid w:val="00971C58"/>
    <w:rsid w:val="009721B3"/>
    <w:rsid w:val="00972E27"/>
    <w:rsid w:val="0097357D"/>
    <w:rsid w:val="00973627"/>
    <w:rsid w:val="009744AE"/>
    <w:rsid w:val="00974738"/>
    <w:rsid w:val="00975801"/>
    <w:rsid w:val="00975987"/>
    <w:rsid w:val="009759C7"/>
    <w:rsid w:val="0097684D"/>
    <w:rsid w:val="009779F6"/>
    <w:rsid w:val="00980024"/>
    <w:rsid w:val="00980C25"/>
    <w:rsid w:val="00981136"/>
    <w:rsid w:val="00982E93"/>
    <w:rsid w:val="00983AE8"/>
    <w:rsid w:val="00983FD9"/>
    <w:rsid w:val="00984998"/>
    <w:rsid w:val="00985E38"/>
    <w:rsid w:val="00987FCD"/>
    <w:rsid w:val="0099060D"/>
    <w:rsid w:val="00990D31"/>
    <w:rsid w:val="00992B0F"/>
    <w:rsid w:val="00993998"/>
    <w:rsid w:val="00994EBD"/>
    <w:rsid w:val="009962E9"/>
    <w:rsid w:val="00996A8C"/>
    <w:rsid w:val="00997CBF"/>
    <w:rsid w:val="009A0205"/>
    <w:rsid w:val="009A058E"/>
    <w:rsid w:val="009A0EE2"/>
    <w:rsid w:val="009A101D"/>
    <w:rsid w:val="009A1D0D"/>
    <w:rsid w:val="009A27F9"/>
    <w:rsid w:val="009A280A"/>
    <w:rsid w:val="009A29CE"/>
    <w:rsid w:val="009A2B07"/>
    <w:rsid w:val="009A38AC"/>
    <w:rsid w:val="009A3EEE"/>
    <w:rsid w:val="009A5AF3"/>
    <w:rsid w:val="009A5BA5"/>
    <w:rsid w:val="009A6F60"/>
    <w:rsid w:val="009A76D4"/>
    <w:rsid w:val="009A771A"/>
    <w:rsid w:val="009B0D9C"/>
    <w:rsid w:val="009B1464"/>
    <w:rsid w:val="009B21AB"/>
    <w:rsid w:val="009B23A6"/>
    <w:rsid w:val="009B2F79"/>
    <w:rsid w:val="009B4720"/>
    <w:rsid w:val="009B4DF7"/>
    <w:rsid w:val="009B66CE"/>
    <w:rsid w:val="009B6DD7"/>
    <w:rsid w:val="009B6F86"/>
    <w:rsid w:val="009B701E"/>
    <w:rsid w:val="009B7179"/>
    <w:rsid w:val="009C0585"/>
    <w:rsid w:val="009C07C3"/>
    <w:rsid w:val="009C18C7"/>
    <w:rsid w:val="009C1A72"/>
    <w:rsid w:val="009C2E36"/>
    <w:rsid w:val="009C415E"/>
    <w:rsid w:val="009C50B0"/>
    <w:rsid w:val="009C5EB4"/>
    <w:rsid w:val="009C60D3"/>
    <w:rsid w:val="009C7077"/>
    <w:rsid w:val="009C72B6"/>
    <w:rsid w:val="009C76E5"/>
    <w:rsid w:val="009C7EE5"/>
    <w:rsid w:val="009D08D3"/>
    <w:rsid w:val="009D0928"/>
    <w:rsid w:val="009D13B7"/>
    <w:rsid w:val="009D2340"/>
    <w:rsid w:val="009D2474"/>
    <w:rsid w:val="009D2A43"/>
    <w:rsid w:val="009D32CD"/>
    <w:rsid w:val="009D37BE"/>
    <w:rsid w:val="009D3F6C"/>
    <w:rsid w:val="009D4FEB"/>
    <w:rsid w:val="009D6111"/>
    <w:rsid w:val="009D7BEE"/>
    <w:rsid w:val="009D7FA4"/>
    <w:rsid w:val="009E1929"/>
    <w:rsid w:val="009E1956"/>
    <w:rsid w:val="009E1FDE"/>
    <w:rsid w:val="009E283F"/>
    <w:rsid w:val="009E2E0F"/>
    <w:rsid w:val="009E3147"/>
    <w:rsid w:val="009E35F8"/>
    <w:rsid w:val="009E3CBF"/>
    <w:rsid w:val="009E54AD"/>
    <w:rsid w:val="009E5CB0"/>
    <w:rsid w:val="009E5D1D"/>
    <w:rsid w:val="009F0109"/>
    <w:rsid w:val="009F055E"/>
    <w:rsid w:val="009F158A"/>
    <w:rsid w:val="009F1786"/>
    <w:rsid w:val="009F1C8B"/>
    <w:rsid w:val="009F234D"/>
    <w:rsid w:val="009F3996"/>
    <w:rsid w:val="009F39C0"/>
    <w:rsid w:val="009F3E1D"/>
    <w:rsid w:val="009F3F8C"/>
    <w:rsid w:val="009F4D24"/>
    <w:rsid w:val="009F4E74"/>
    <w:rsid w:val="009F5973"/>
    <w:rsid w:val="009F5C98"/>
    <w:rsid w:val="009F6CAA"/>
    <w:rsid w:val="009F6E21"/>
    <w:rsid w:val="009F7E9F"/>
    <w:rsid w:val="00A00B40"/>
    <w:rsid w:val="00A017AB"/>
    <w:rsid w:val="00A01F21"/>
    <w:rsid w:val="00A028C3"/>
    <w:rsid w:val="00A042F4"/>
    <w:rsid w:val="00A04554"/>
    <w:rsid w:val="00A058E0"/>
    <w:rsid w:val="00A070CD"/>
    <w:rsid w:val="00A07537"/>
    <w:rsid w:val="00A07838"/>
    <w:rsid w:val="00A100E6"/>
    <w:rsid w:val="00A10DD8"/>
    <w:rsid w:val="00A117B7"/>
    <w:rsid w:val="00A13393"/>
    <w:rsid w:val="00A143C0"/>
    <w:rsid w:val="00A146F5"/>
    <w:rsid w:val="00A1562E"/>
    <w:rsid w:val="00A1602A"/>
    <w:rsid w:val="00A1771D"/>
    <w:rsid w:val="00A22957"/>
    <w:rsid w:val="00A251C0"/>
    <w:rsid w:val="00A26D3F"/>
    <w:rsid w:val="00A2781F"/>
    <w:rsid w:val="00A30801"/>
    <w:rsid w:val="00A318C7"/>
    <w:rsid w:val="00A3228A"/>
    <w:rsid w:val="00A324B2"/>
    <w:rsid w:val="00A3294D"/>
    <w:rsid w:val="00A3381F"/>
    <w:rsid w:val="00A33B24"/>
    <w:rsid w:val="00A33B8A"/>
    <w:rsid w:val="00A33CD9"/>
    <w:rsid w:val="00A34132"/>
    <w:rsid w:val="00A34474"/>
    <w:rsid w:val="00A349BD"/>
    <w:rsid w:val="00A34F7D"/>
    <w:rsid w:val="00A35571"/>
    <w:rsid w:val="00A36239"/>
    <w:rsid w:val="00A36F39"/>
    <w:rsid w:val="00A37991"/>
    <w:rsid w:val="00A40768"/>
    <w:rsid w:val="00A43085"/>
    <w:rsid w:val="00A430D7"/>
    <w:rsid w:val="00A437A5"/>
    <w:rsid w:val="00A43BFC"/>
    <w:rsid w:val="00A44219"/>
    <w:rsid w:val="00A44D07"/>
    <w:rsid w:val="00A44D7E"/>
    <w:rsid w:val="00A45620"/>
    <w:rsid w:val="00A5045B"/>
    <w:rsid w:val="00A5050F"/>
    <w:rsid w:val="00A50A70"/>
    <w:rsid w:val="00A519C4"/>
    <w:rsid w:val="00A51B92"/>
    <w:rsid w:val="00A52010"/>
    <w:rsid w:val="00A523ED"/>
    <w:rsid w:val="00A5502A"/>
    <w:rsid w:val="00A556AB"/>
    <w:rsid w:val="00A56F86"/>
    <w:rsid w:val="00A57AFB"/>
    <w:rsid w:val="00A60362"/>
    <w:rsid w:val="00A604E8"/>
    <w:rsid w:val="00A610BF"/>
    <w:rsid w:val="00A6111E"/>
    <w:rsid w:val="00A6350B"/>
    <w:rsid w:val="00A63714"/>
    <w:rsid w:val="00A64093"/>
    <w:rsid w:val="00A64529"/>
    <w:rsid w:val="00A653FA"/>
    <w:rsid w:val="00A659A0"/>
    <w:rsid w:val="00A65A45"/>
    <w:rsid w:val="00A65DAF"/>
    <w:rsid w:val="00A6608A"/>
    <w:rsid w:val="00A6646B"/>
    <w:rsid w:val="00A66496"/>
    <w:rsid w:val="00A67E1D"/>
    <w:rsid w:val="00A7105C"/>
    <w:rsid w:val="00A7108C"/>
    <w:rsid w:val="00A711DB"/>
    <w:rsid w:val="00A729B2"/>
    <w:rsid w:val="00A72A86"/>
    <w:rsid w:val="00A7468F"/>
    <w:rsid w:val="00A7527B"/>
    <w:rsid w:val="00A75AD8"/>
    <w:rsid w:val="00A771A9"/>
    <w:rsid w:val="00A81034"/>
    <w:rsid w:val="00A81B2B"/>
    <w:rsid w:val="00A82B3A"/>
    <w:rsid w:val="00A82C84"/>
    <w:rsid w:val="00A834AB"/>
    <w:rsid w:val="00A83E5F"/>
    <w:rsid w:val="00A85F14"/>
    <w:rsid w:val="00A86605"/>
    <w:rsid w:val="00A8696C"/>
    <w:rsid w:val="00A90349"/>
    <w:rsid w:val="00A92399"/>
    <w:rsid w:val="00A923FA"/>
    <w:rsid w:val="00A93E8F"/>
    <w:rsid w:val="00A93F5F"/>
    <w:rsid w:val="00A94095"/>
    <w:rsid w:val="00A958CE"/>
    <w:rsid w:val="00A96E29"/>
    <w:rsid w:val="00A97ABA"/>
    <w:rsid w:val="00AA01C4"/>
    <w:rsid w:val="00AA085B"/>
    <w:rsid w:val="00AA1E33"/>
    <w:rsid w:val="00AA4D49"/>
    <w:rsid w:val="00AA4E8D"/>
    <w:rsid w:val="00AA5CFC"/>
    <w:rsid w:val="00AA5EB6"/>
    <w:rsid w:val="00AA72D6"/>
    <w:rsid w:val="00AA7903"/>
    <w:rsid w:val="00AA7FDC"/>
    <w:rsid w:val="00AB01E2"/>
    <w:rsid w:val="00AB24C0"/>
    <w:rsid w:val="00AB2B54"/>
    <w:rsid w:val="00AB2E9D"/>
    <w:rsid w:val="00AB3FBB"/>
    <w:rsid w:val="00AB409E"/>
    <w:rsid w:val="00AB41B8"/>
    <w:rsid w:val="00AB4B5B"/>
    <w:rsid w:val="00AB4C8C"/>
    <w:rsid w:val="00AB4F07"/>
    <w:rsid w:val="00AB5C24"/>
    <w:rsid w:val="00AC0C81"/>
    <w:rsid w:val="00AC0E3F"/>
    <w:rsid w:val="00AC2ECA"/>
    <w:rsid w:val="00AC364D"/>
    <w:rsid w:val="00AC4854"/>
    <w:rsid w:val="00AC51BF"/>
    <w:rsid w:val="00AC59ED"/>
    <w:rsid w:val="00AC6144"/>
    <w:rsid w:val="00AC6FA8"/>
    <w:rsid w:val="00AC7991"/>
    <w:rsid w:val="00AC7C2A"/>
    <w:rsid w:val="00AC7F79"/>
    <w:rsid w:val="00AC7F7D"/>
    <w:rsid w:val="00AD131D"/>
    <w:rsid w:val="00AD139E"/>
    <w:rsid w:val="00AD31CE"/>
    <w:rsid w:val="00AD4A01"/>
    <w:rsid w:val="00AD5FA6"/>
    <w:rsid w:val="00AD7B18"/>
    <w:rsid w:val="00AD7D3E"/>
    <w:rsid w:val="00AE1305"/>
    <w:rsid w:val="00AE1C5E"/>
    <w:rsid w:val="00AE290E"/>
    <w:rsid w:val="00AE2E49"/>
    <w:rsid w:val="00AE2FFB"/>
    <w:rsid w:val="00AE3D23"/>
    <w:rsid w:val="00AE42D0"/>
    <w:rsid w:val="00AE4AAE"/>
    <w:rsid w:val="00AE6706"/>
    <w:rsid w:val="00AE7054"/>
    <w:rsid w:val="00AF0A34"/>
    <w:rsid w:val="00AF0EBA"/>
    <w:rsid w:val="00AF1124"/>
    <w:rsid w:val="00AF1818"/>
    <w:rsid w:val="00AF18EF"/>
    <w:rsid w:val="00AF198E"/>
    <w:rsid w:val="00AF221E"/>
    <w:rsid w:val="00AF2502"/>
    <w:rsid w:val="00AF53AE"/>
    <w:rsid w:val="00AF76D2"/>
    <w:rsid w:val="00AF7792"/>
    <w:rsid w:val="00B009D6"/>
    <w:rsid w:val="00B01051"/>
    <w:rsid w:val="00B015A2"/>
    <w:rsid w:val="00B019B7"/>
    <w:rsid w:val="00B024B9"/>
    <w:rsid w:val="00B02C48"/>
    <w:rsid w:val="00B02D63"/>
    <w:rsid w:val="00B03A1C"/>
    <w:rsid w:val="00B03F4F"/>
    <w:rsid w:val="00B04EEF"/>
    <w:rsid w:val="00B0574D"/>
    <w:rsid w:val="00B059E0"/>
    <w:rsid w:val="00B05CA6"/>
    <w:rsid w:val="00B063D8"/>
    <w:rsid w:val="00B068B0"/>
    <w:rsid w:val="00B06B8D"/>
    <w:rsid w:val="00B07040"/>
    <w:rsid w:val="00B07461"/>
    <w:rsid w:val="00B10144"/>
    <w:rsid w:val="00B13294"/>
    <w:rsid w:val="00B145C1"/>
    <w:rsid w:val="00B1548E"/>
    <w:rsid w:val="00B15B4B"/>
    <w:rsid w:val="00B1620C"/>
    <w:rsid w:val="00B16F39"/>
    <w:rsid w:val="00B176BF"/>
    <w:rsid w:val="00B17F44"/>
    <w:rsid w:val="00B20CF0"/>
    <w:rsid w:val="00B21D47"/>
    <w:rsid w:val="00B22BF7"/>
    <w:rsid w:val="00B23BC0"/>
    <w:rsid w:val="00B24580"/>
    <w:rsid w:val="00B26373"/>
    <w:rsid w:val="00B2680B"/>
    <w:rsid w:val="00B26B26"/>
    <w:rsid w:val="00B26CCC"/>
    <w:rsid w:val="00B273BF"/>
    <w:rsid w:val="00B3093D"/>
    <w:rsid w:val="00B32C07"/>
    <w:rsid w:val="00B3313E"/>
    <w:rsid w:val="00B355C5"/>
    <w:rsid w:val="00B37246"/>
    <w:rsid w:val="00B3761C"/>
    <w:rsid w:val="00B40272"/>
    <w:rsid w:val="00B41B5E"/>
    <w:rsid w:val="00B433DF"/>
    <w:rsid w:val="00B43809"/>
    <w:rsid w:val="00B43E15"/>
    <w:rsid w:val="00B44120"/>
    <w:rsid w:val="00B44D2F"/>
    <w:rsid w:val="00B45019"/>
    <w:rsid w:val="00B45832"/>
    <w:rsid w:val="00B4590B"/>
    <w:rsid w:val="00B46EC9"/>
    <w:rsid w:val="00B47432"/>
    <w:rsid w:val="00B476E3"/>
    <w:rsid w:val="00B505F5"/>
    <w:rsid w:val="00B50699"/>
    <w:rsid w:val="00B50B6D"/>
    <w:rsid w:val="00B512A7"/>
    <w:rsid w:val="00B51438"/>
    <w:rsid w:val="00B517EC"/>
    <w:rsid w:val="00B5346D"/>
    <w:rsid w:val="00B53991"/>
    <w:rsid w:val="00B5514E"/>
    <w:rsid w:val="00B562DC"/>
    <w:rsid w:val="00B57509"/>
    <w:rsid w:val="00B60399"/>
    <w:rsid w:val="00B60B7D"/>
    <w:rsid w:val="00B6115C"/>
    <w:rsid w:val="00B61726"/>
    <w:rsid w:val="00B619E1"/>
    <w:rsid w:val="00B61CE3"/>
    <w:rsid w:val="00B624B9"/>
    <w:rsid w:val="00B63361"/>
    <w:rsid w:val="00B63900"/>
    <w:rsid w:val="00B639EE"/>
    <w:rsid w:val="00B651DF"/>
    <w:rsid w:val="00B66DFB"/>
    <w:rsid w:val="00B66EB3"/>
    <w:rsid w:val="00B70160"/>
    <w:rsid w:val="00B705EA"/>
    <w:rsid w:val="00B70F35"/>
    <w:rsid w:val="00B72125"/>
    <w:rsid w:val="00B73580"/>
    <w:rsid w:val="00B77757"/>
    <w:rsid w:val="00B779C2"/>
    <w:rsid w:val="00B80494"/>
    <w:rsid w:val="00B845AF"/>
    <w:rsid w:val="00B847BD"/>
    <w:rsid w:val="00B84D42"/>
    <w:rsid w:val="00B863CF"/>
    <w:rsid w:val="00B86F2D"/>
    <w:rsid w:val="00B878D0"/>
    <w:rsid w:val="00B87C9C"/>
    <w:rsid w:val="00B90C4D"/>
    <w:rsid w:val="00B92B83"/>
    <w:rsid w:val="00B93581"/>
    <w:rsid w:val="00B93FD4"/>
    <w:rsid w:val="00B9425C"/>
    <w:rsid w:val="00B94B5D"/>
    <w:rsid w:val="00B95386"/>
    <w:rsid w:val="00B96EE8"/>
    <w:rsid w:val="00B973A6"/>
    <w:rsid w:val="00BA0C36"/>
    <w:rsid w:val="00BA1CA6"/>
    <w:rsid w:val="00BA2691"/>
    <w:rsid w:val="00BA2807"/>
    <w:rsid w:val="00BA2908"/>
    <w:rsid w:val="00BA2A7B"/>
    <w:rsid w:val="00BA3DD9"/>
    <w:rsid w:val="00BA5280"/>
    <w:rsid w:val="00BA644D"/>
    <w:rsid w:val="00BA6E1D"/>
    <w:rsid w:val="00BA7C18"/>
    <w:rsid w:val="00BB13FF"/>
    <w:rsid w:val="00BB193D"/>
    <w:rsid w:val="00BB1DAE"/>
    <w:rsid w:val="00BB391C"/>
    <w:rsid w:val="00BB4280"/>
    <w:rsid w:val="00BB74D6"/>
    <w:rsid w:val="00BB7A0C"/>
    <w:rsid w:val="00BC15E9"/>
    <w:rsid w:val="00BC29A0"/>
    <w:rsid w:val="00BC2D8C"/>
    <w:rsid w:val="00BC53C6"/>
    <w:rsid w:val="00BC5595"/>
    <w:rsid w:val="00BC6620"/>
    <w:rsid w:val="00BC671F"/>
    <w:rsid w:val="00BD01EF"/>
    <w:rsid w:val="00BD0E74"/>
    <w:rsid w:val="00BD29E7"/>
    <w:rsid w:val="00BD2A47"/>
    <w:rsid w:val="00BD3E61"/>
    <w:rsid w:val="00BD3EED"/>
    <w:rsid w:val="00BD4610"/>
    <w:rsid w:val="00BD4F45"/>
    <w:rsid w:val="00BD532F"/>
    <w:rsid w:val="00BD6902"/>
    <w:rsid w:val="00BD698A"/>
    <w:rsid w:val="00BD69B8"/>
    <w:rsid w:val="00BE04C0"/>
    <w:rsid w:val="00BE1F23"/>
    <w:rsid w:val="00BE1F2F"/>
    <w:rsid w:val="00BE2497"/>
    <w:rsid w:val="00BE3871"/>
    <w:rsid w:val="00BE3BE4"/>
    <w:rsid w:val="00BE45C2"/>
    <w:rsid w:val="00BE582F"/>
    <w:rsid w:val="00BE5C58"/>
    <w:rsid w:val="00BE5F38"/>
    <w:rsid w:val="00BE71E8"/>
    <w:rsid w:val="00BE7F94"/>
    <w:rsid w:val="00BE7FD5"/>
    <w:rsid w:val="00BF0831"/>
    <w:rsid w:val="00BF1131"/>
    <w:rsid w:val="00BF122D"/>
    <w:rsid w:val="00BF157B"/>
    <w:rsid w:val="00BF2365"/>
    <w:rsid w:val="00BF2B41"/>
    <w:rsid w:val="00BF2FC7"/>
    <w:rsid w:val="00BF4746"/>
    <w:rsid w:val="00BF489D"/>
    <w:rsid w:val="00BF4A24"/>
    <w:rsid w:val="00BF4C58"/>
    <w:rsid w:val="00BF4F79"/>
    <w:rsid w:val="00BF50F6"/>
    <w:rsid w:val="00BF6FBE"/>
    <w:rsid w:val="00BF716C"/>
    <w:rsid w:val="00C015A9"/>
    <w:rsid w:val="00C0310C"/>
    <w:rsid w:val="00C05BB7"/>
    <w:rsid w:val="00C05D95"/>
    <w:rsid w:val="00C062A3"/>
    <w:rsid w:val="00C07A89"/>
    <w:rsid w:val="00C10479"/>
    <w:rsid w:val="00C11667"/>
    <w:rsid w:val="00C121CA"/>
    <w:rsid w:val="00C13AB2"/>
    <w:rsid w:val="00C15AA7"/>
    <w:rsid w:val="00C168C6"/>
    <w:rsid w:val="00C21DF8"/>
    <w:rsid w:val="00C23518"/>
    <w:rsid w:val="00C23692"/>
    <w:rsid w:val="00C23B06"/>
    <w:rsid w:val="00C24508"/>
    <w:rsid w:val="00C24D6E"/>
    <w:rsid w:val="00C27C17"/>
    <w:rsid w:val="00C31451"/>
    <w:rsid w:val="00C31BB0"/>
    <w:rsid w:val="00C31CB2"/>
    <w:rsid w:val="00C33CB3"/>
    <w:rsid w:val="00C33F38"/>
    <w:rsid w:val="00C35E47"/>
    <w:rsid w:val="00C35E7E"/>
    <w:rsid w:val="00C3759A"/>
    <w:rsid w:val="00C37AAD"/>
    <w:rsid w:val="00C37CE6"/>
    <w:rsid w:val="00C40B44"/>
    <w:rsid w:val="00C424EF"/>
    <w:rsid w:val="00C42FE2"/>
    <w:rsid w:val="00C43BE9"/>
    <w:rsid w:val="00C441AF"/>
    <w:rsid w:val="00C441C8"/>
    <w:rsid w:val="00C456E3"/>
    <w:rsid w:val="00C45773"/>
    <w:rsid w:val="00C45E16"/>
    <w:rsid w:val="00C46AAF"/>
    <w:rsid w:val="00C47BC4"/>
    <w:rsid w:val="00C47C81"/>
    <w:rsid w:val="00C52CDC"/>
    <w:rsid w:val="00C53604"/>
    <w:rsid w:val="00C54F05"/>
    <w:rsid w:val="00C55011"/>
    <w:rsid w:val="00C56C32"/>
    <w:rsid w:val="00C56C7A"/>
    <w:rsid w:val="00C577EB"/>
    <w:rsid w:val="00C57BDD"/>
    <w:rsid w:val="00C57F21"/>
    <w:rsid w:val="00C57FBE"/>
    <w:rsid w:val="00C61ED4"/>
    <w:rsid w:val="00C61F20"/>
    <w:rsid w:val="00C631A7"/>
    <w:rsid w:val="00C631D6"/>
    <w:rsid w:val="00C65D85"/>
    <w:rsid w:val="00C6603C"/>
    <w:rsid w:val="00C677D9"/>
    <w:rsid w:val="00C67F67"/>
    <w:rsid w:val="00C70866"/>
    <w:rsid w:val="00C71737"/>
    <w:rsid w:val="00C71923"/>
    <w:rsid w:val="00C7277F"/>
    <w:rsid w:val="00C72BAE"/>
    <w:rsid w:val="00C7309E"/>
    <w:rsid w:val="00C7371B"/>
    <w:rsid w:val="00C7415B"/>
    <w:rsid w:val="00C7498A"/>
    <w:rsid w:val="00C75752"/>
    <w:rsid w:val="00C75833"/>
    <w:rsid w:val="00C75AB9"/>
    <w:rsid w:val="00C75D41"/>
    <w:rsid w:val="00C7982F"/>
    <w:rsid w:val="00C80179"/>
    <w:rsid w:val="00C80F3F"/>
    <w:rsid w:val="00C81743"/>
    <w:rsid w:val="00C83294"/>
    <w:rsid w:val="00C864CE"/>
    <w:rsid w:val="00C86CF8"/>
    <w:rsid w:val="00C90601"/>
    <w:rsid w:val="00C906C0"/>
    <w:rsid w:val="00C91516"/>
    <w:rsid w:val="00C91534"/>
    <w:rsid w:val="00C915C5"/>
    <w:rsid w:val="00C91A2B"/>
    <w:rsid w:val="00C91C7C"/>
    <w:rsid w:val="00C92701"/>
    <w:rsid w:val="00C92901"/>
    <w:rsid w:val="00C92C77"/>
    <w:rsid w:val="00C955DF"/>
    <w:rsid w:val="00C96CBE"/>
    <w:rsid w:val="00C96E84"/>
    <w:rsid w:val="00CA052C"/>
    <w:rsid w:val="00CA1B52"/>
    <w:rsid w:val="00CA277F"/>
    <w:rsid w:val="00CA28F9"/>
    <w:rsid w:val="00CA37A2"/>
    <w:rsid w:val="00CA3AA8"/>
    <w:rsid w:val="00CA4049"/>
    <w:rsid w:val="00CA47D0"/>
    <w:rsid w:val="00CA4BEC"/>
    <w:rsid w:val="00CA564C"/>
    <w:rsid w:val="00CA773E"/>
    <w:rsid w:val="00CB0601"/>
    <w:rsid w:val="00CB072F"/>
    <w:rsid w:val="00CB0ADF"/>
    <w:rsid w:val="00CB0B74"/>
    <w:rsid w:val="00CB1C89"/>
    <w:rsid w:val="00CB2007"/>
    <w:rsid w:val="00CB295A"/>
    <w:rsid w:val="00CB305D"/>
    <w:rsid w:val="00CB3968"/>
    <w:rsid w:val="00CB4D5E"/>
    <w:rsid w:val="00CB605E"/>
    <w:rsid w:val="00CB6665"/>
    <w:rsid w:val="00CB7532"/>
    <w:rsid w:val="00CB7686"/>
    <w:rsid w:val="00CC107E"/>
    <w:rsid w:val="00CC15B3"/>
    <w:rsid w:val="00CC1908"/>
    <w:rsid w:val="00CC2491"/>
    <w:rsid w:val="00CC336C"/>
    <w:rsid w:val="00CC3D20"/>
    <w:rsid w:val="00CC4508"/>
    <w:rsid w:val="00CC5DC2"/>
    <w:rsid w:val="00CC67AA"/>
    <w:rsid w:val="00CD004E"/>
    <w:rsid w:val="00CD07A4"/>
    <w:rsid w:val="00CD0D42"/>
    <w:rsid w:val="00CD2DEF"/>
    <w:rsid w:val="00CD30FF"/>
    <w:rsid w:val="00CD5D76"/>
    <w:rsid w:val="00CD6577"/>
    <w:rsid w:val="00CD7AC1"/>
    <w:rsid w:val="00CD7AD5"/>
    <w:rsid w:val="00CE4919"/>
    <w:rsid w:val="00CE5248"/>
    <w:rsid w:val="00CE59B2"/>
    <w:rsid w:val="00CE5CC2"/>
    <w:rsid w:val="00CE6C96"/>
    <w:rsid w:val="00CF026E"/>
    <w:rsid w:val="00CF3B1A"/>
    <w:rsid w:val="00CF3CD1"/>
    <w:rsid w:val="00CF60FF"/>
    <w:rsid w:val="00CF6488"/>
    <w:rsid w:val="00CF66BD"/>
    <w:rsid w:val="00CF72E9"/>
    <w:rsid w:val="00CF746D"/>
    <w:rsid w:val="00CF7C23"/>
    <w:rsid w:val="00D00C44"/>
    <w:rsid w:val="00D00DBD"/>
    <w:rsid w:val="00D00DFC"/>
    <w:rsid w:val="00D01849"/>
    <w:rsid w:val="00D01F2B"/>
    <w:rsid w:val="00D02BCE"/>
    <w:rsid w:val="00D046F6"/>
    <w:rsid w:val="00D04C73"/>
    <w:rsid w:val="00D0733B"/>
    <w:rsid w:val="00D10814"/>
    <w:rsid w:val="00D1085D"/>
    <w:rsid w:val="00D115AB"/>
    <w:rsid w:val="00D11A62"/>
    <w:rsid w:val="00D12083"/>
    <w:rsid w:val="00D12126"/>
    <w:rsid w:val="00D1273E"/>
    <w:rsid w:val="00D12AB4"/>
    <w:rsid w:val="00D14540"/>
    <w:rsid w:val="00D14A3E"/>
    <w:rsid w:val="00D15044"/>
    <w:rsid w:val="00D15CFD"/>
    <w:rsid w:val="00D1652B"/>
    <w:rsid w:val="00D16540"/>
    <w:rsid w:val="00D2136E"/>
    <w:rsid w:val="00D21D4E"/>
    <w:rsid w:val="00D230D2"/>
    <w:rsid w:val="00D238E4"/>
    <w:rsid w:val="00D24C0E"/>
    <w:rsid w:val="00D279E7"/>
    <w:rsid w:val="00D301D9"/>
    <w:rsid w:val="00D307DA"/>
    <w:rsid w:val="00D313BE"/>
    <w:rsid w:val="00D31B42"/>
    <w:rsid w:val="00D31DA0"/>
    <w:rsid w:val="00D31FF3"/>
    <w:rsid w:val="00D32425"/>
    <w:rsid w:val="00D325FD"/>
    <w:rsid w:val="00D33A85"/>
    <w:rsid w:val="00D33E60"/>
    <w:rsid w:val="00D343B9"/>
    <w:rsid w:val="00D34E3F"/>
    <w:rsid w:val="00D35888"/>
    <w:rsid w:val="00D35D46"/>
    <w:rsid w:val="00D360C3"/>
    <w:rsid w:val="00D362B3"/>
    <w:rsid w:val="00D36CE5"/>
    <w:rsid w:val="00D37BEE"/>
    <w:rsid w:val="00D40759"/>
    <w:rsid w:val="00D408CE"/>
    <w:rsid w:val="00D40B5C"/>
    <w:rsid w:val="00D41461"/>
    <w:rsid w:val="00D428EA"/>
    <w:rsid w:val="00D42CB5"/>
    <w:rsid w:val="00D44337"/>
    <w:rsid w:val="00D44C16"/>
    <w:rsid w:val="00D45AA7"/>
    <w:rsid w:val="00D460C4"/>
    <w:rsid w:val="00D4673D"/>
    <w:rsid w:val="00D476C6"/>
    <w:rsid w:val="00D47D5A"/>
    <w:rsid w:val="00D5086E"/>
    <w:rsid w:val="00D50C4A"/>
    <w:rsid w:val="00D51913"/>
    <w:rsid w:val="00D52190"/>
    <w:rsid w:val="00D52262"/>
    <w:rsid w:val="00D522C8"/>
    <w:rsid w:val="00D52651"/>
    <w:rsid w:val="00D5267F"/>
    <w:rsid w:val="00D52ACF"/>
    <w:rsid w:val="00D52F2B"/>
    <w:rsid w:val="00D5303B"/>
    <w:rsid w:val="00D54BC9"/>
    <w:rsid w:val="00D55FBE"/>
    <w:rsid w:val="00D56FEF"/>
    <w:rsid w:val="00D575BB"/>
    <w:rsid w:val="00D57AAC"/>
    <w:rsid w:val="00D61892"/>
    <w:rsid w:val="00D6222A"/>
    <w:rsid w:val="00D63484"/>
    <w:rsid w:val="00D64395"/>
    <w:rsid w:val="00D66A7D"/>
    <w:rsid w:val="00D67347"/>
    <w:rsid w:val="00D70E3E"/>
    <w:rsid w:val="00D7302D"/>
    <w:rsid w:val="00D7411A"/>
    <w:rsid w:val="00D74ECB"/>
    <w:rsid w:val="00D75949"/>
    <w:rsid w:val="00D767CA"/>
    <w:rsid w:val="00D7777A"/>
    <w:rsid w:val="00D779AC"/>
    <w:rsid w:val="00D808DF"/>
    <w:rsid w:val="00D80FD5"/>
    <w:rsid w:val="00D81351"/>
    <w:rsid w:val="00D81CD5"/>
    <w:rsid w:val="00D81E39"/>
    <w:rsid w:val="00D82EDD"/>
    <w:rsid w:val="00D82F20"/>
    <w:rsid w:val="00D83203"/>
    <w:rsid w:val="00D83E75"/>
    <w:rsid w:val="00D83FB4"/>
    <w:rsid w:val="00D86DDF"/>
    <w:rsid w:val="00D87A47"/>
    <w:rsid w:val="00D87C2D"/>
    <w:rsid w:val="00D913D3"/>
    <w:rsid w:val="00D91D5C"/>
    <w:rsid w:val="00D923BE"/>
    <w:rsid w:val="00D92B17"/>
    <w:rsid w:val="00D934A4"/>
    <w:rsid w:val="00D94584"/>
    <w:rsid w:val="00D95E0F"/>
    <w:rsid w:val="00D9624D"/>
    <w:rsid w:val="00D97A00"/>
    <w:rsid w:val="00D97C6B"/>
    <w:rsid w:val="00DA21C0"/>
    <w:rsid w:val="00DA4019"/>
    <w:rsid w:val="00DA4C59"/>
    <w:rsid w:val="00DA4DA0"/>
    <w:rsid w:val="00DA74A8"/>
    <w:rsid w:val="00DA74AF"/>
    <w:rsid w:val="00DB0CB7"/>
    <w:rsid w:val="00DB1FAE"/>
    <w:rsid w:val="00DB2866"/>
    <w:rsid w:val="00DB40F2"/>
    <w:rsid w:val="00DB4878"/>
    <w:rsid w:val="00DB59E3"/>
    <w:rsid w:val="00DB7462"/>
    <w:rsid w:val="00DC1A5C"/>
    <w:rsid w:val="00DC4B43"/>
    <w:rsid w:val="00DC60EF"/>
    <w:rsid w:val="00DC670F"/>
    <w:rsid w:val="00DC7906"/>
    <w:rsid w:val="00DC7FD6"/>
    <w:rsid w:val="00DD0189"/>
    <w:rsid w:val="00DD1901"/>
    <w:rsid w:val="00DD3053"/>
    <w:rsid w:val="00DD3DDE"/>
    <w:rsid w:val="00DD45E9"/>
    <w:rsid w:val="00DD63B1"/>
    <w:rsid w:val="00DD6633"/>
    <w:rsid w:val="00DE0D73"/>
    <w:rsid w:val="00DE136A"/>
    <w:rsid w:val="00DE1655"/>
    <w:rsid w:val="00DE1B82"/>
    <w:rsid w:val="00DE20CA"/>
    <w:rsid w:val="00DE26B3"/>
    <w:rsid w:val="00DE27B6"/>
    <w:rsid w:val="00DE2C9B"/>
    <w:rsid w:val="00DE2F15"/>
    <w:rsid w:val="00DE3EDD"/>
    <w:rsid w:val="00DE3FFB"/>
    <w:rsid w:val="00DE4511"/>
    <w:rsid w:val="00DE5BF5"/>
    <w:rsid w:val="00DE5C23"/>
    <w:rsid w:val="00DE5DC5"/>
    <w:rsid w:val="00DE5E37"/>
    <w:rsid w:val="00DE6054"/>
    <w:rsid w:val="00DE6140"/>
    <w:rsid w:val="00DE6986"/>
    <w:rsid w:val="00DE6C03"/>
    <w:rsid w:val="00DE6DEB"/>
    <w:rsid w:val="00DE72AA"/>
    <w:rsid w:val="00DE7A08"/>
    <w:rsid w:val="00DE7A3B"/>
    <w:rsid w:val="00DE7D73"/>
    <w:rsid w:val="00DF16E8"/>
    <w:rsid w:val="00DF1841"/>
    <w:rsid w:val="00DF347A"/>
    <w:rsid w:val="00DF36F7"/>
    <w:rsid w:val="00DF4B52"/>
    <w:rsid w:val="00DF5020"/>
    <w:rsid w:val="00DF510F"/>
    <w:rsid w:val="00DF5341"/>
    <w:rsid w:val="00DF5B74"/>
    <w:rsid w:val="00DF776E"/>
    <w:rsid w:val="00E00773"/>
    <w:rsid w:val="00E00DB7"/>
    <w:rsid w:val="00E00DD9"/>
    <w:rsid w:val="00E04CD5"/>
    <w:rsid w:val="00E0597D"/>
    <w:rsid w:val="00E05999"/>
    <w:rsid w:val="00E06206"/>
    <w:rsid w:val="00E0727D"/>
    <w:rsid w:val="00E11F3E"/>
    <w:rsid w:val="00E13AC7"/>
    <w:rsid w:val="00E14634"/>
    <w:rsid w:val="00E14EA2"/>
    <w:rsid w:val="00E14FE1"/>
    <w:rsid w:val="00E157EA"/>
    <w:rsid w:val="00E16035"/>
    <w:rsid w:val="00E16A25"/>
    <w:rsid w:val="00E17D95"/>
    <w:rsid w:val="00E226FC"/>
    <w:rsid w:val="00E22F2E"/>
    <w:rsid w:val="00E23680"/>
    <w:rsid w:val="00E25214"/>
    <w:rsid w:val="00E2545A"/>
    <w:rsid w:val="00E26D64"/>
    <w:rsid w:val="00E27E22"/>
    <w:rsid w:val="00E27F6D"/>
    <w:rsid w:val="00E31D3D"/>
    <w:rsid w:val="00E32043"/>
    <w:rsid w:val="00E320CA"/>
    <w:rsid w:val="00E32687"/>
    <w:rsid w:val="00E327BC"/>
    <w:rsid w:val="00E32A50"/>
    <w:rsid w:val="00E33466"/>
    <w:rsid w:val="00E33547"/>
    <w:rsid w:val="00E33964"/>
    <w:rsid w:val="00E3585D"/>
    <w:rsid w:val="00E35E9B"/>
    <w:rsid w:val="00E36A41"/>
    <w:rsid w:val="00E40075"/>
    <w:rsid w:val="00E422D5"/>
    <w:rsid w:val="00E4256B"/>
    <w:rsid w:val="00E42C5C"/>
    <w:rsid w:val="00E43635"/>
    <w:rsid w:val="00E44476"/>
    <w:rsid w:val="00E469F8"/>
    <w:rsid w:val="00E5228C"/>
    <w:rsid w:val="00E528FC"/>
    <w:rsid w:val="00E5359D"/>
    <w:rsid w:val="00E53A28"/>
    <w:rsid w:val="00E54B40"/>
    <w:rsid w:val="00E6063E"/>
    <w:rsid w:val="00E621A9"/>
    <w:rsid w:val="00E629F3"/>
    <w:rsid w:val="00E6430D"/>
    <w:rsid w:val="00E64E4D"/>
    <w:rsid w:val="00E65354"/>
    <w:rsid w:val="00E65BC5"/>
    <w:rsid w:val="00E65C83"/>
    <w:rsid w:val="00E65F2B"/>
    <w:rsid w:val="00E6605E"/>
    <w:rsid w:val="00E6657C"/>
    <w:rsid w:val="00E665AB"/>
    <w:rsid w:val="00E667F4"/>
    <w:rsid w:val="00E66B7D"/>
    <w:rsid w:val="00E66FD8"/>
    <w:rsid w:val="00E67514"/>
    <w:rsid w:val="00E677ED"/>
    <w:rsid w:val="00E678AF"/>
    <w:rsid w:val="00E67DDC"/>
    <w:rsid w:val="00E67EA0"/>
    <w:rsid w:val="00E71360"/>
    <w:rsid w:val="00E71A93"/>
    <w:rsid w:val="00E736B7"/>
    <w:rsid w:val="00E73D50"/>
    <w:rsid w:val="00E74FFC"/>
    <w:rsid w:val="00E75D25"/>
    <w:rsid w:val="00E75E5F"/>
    <w:rsid w:val="00E76D89"/>
    <w:rsid w:val="00E77947"/>
    <w:rsid w:val="00E806E8"/>
    <w:rsid w:val="00E80F1C"/>
    <w:rsid w:val="00E80F5F"/>
    <w:rsid w:val="00E830C2"/>
    <w:rsid w:val="00E831CD"/>
    <w:rsid w:val="00E84A84"/>
    <w:rsid w:val="00E84F3A"/>
    <w:rsid w:val="00E8531B"/>
    <w:rsid w:val="00E85356"/>
    <w:rsid w:val="00E85750"/>
    <w:rsid w:val="00E85DB5"/>
    <w:rsid w:val="00E86149"/>
    <w:rsid w:val="00E86258"/>
    <w:rsid w:val="00E86911"/>
    <w:rsid w:val="00E874FA"/>
    <w:rsid w:val="00E877A7"/>
    <w:rsid w:val="00E87C68"/>
    <w:rsid w:val="00E87D14"/>
    <w:rsid w:val="00E87E61"/>
    <w:rsid w:val="00E90C60"/>
    <w:rsid w:val="00E9189B"/>
    <w:rsid w:val="00E9274C"/>
    <w:rsid w:val="00E95141"/>
    <w:rsid w:val="00E95CE5"/>
    <w:rsid w:val="00E96CCF"/>
    <w:rsid w:val="00E96E4E"/>
    <w:rsid w:val="00E96FC9"/>
    <w:rsid w:val="00E9703D"/>
    <w:rsid w:val="00EA208E"/>
    <w:rsid w:val="00EA4B0C"/>
    <w:rsid w:val="00EA4E4E"/>
    <w:rsid w:val="00EA623E"/>
    <w:rsid w:val="00EA62E4"/>
    <w:rsid w:val="00EA66EA"/>
    <w:rsid w:val="00EA6A0B"/>
    <w:rsid w:val="00EA6BCE"/>
    <w:rsid w:val="00EA733E"/>
    <w:rsid w:val="00EB0179"/>
    <w:rsid w:val="00EB0893"/>
    <w:rsid w:val="00EB0B4A"/>
    <w:rsid w:val="00EB0BA9"/>
    <w:rsid w:val="00EB255B"/>
    <w:rsid w:val="00EB55E4"/>
    <w:rsid w:val="00EB56B7"/>
    <w:rsid w:val="00EB56BF"/>
    <w:rsid w:val="00EB662E"/>
    <w:rsid w:val="00EC1CB7"/>
    <w:rsid w:val="00EC29B2"/>
    <w:rsid w:val="00EC3072"/>
    <w:rsid w:val="00EC67B4"/>
    <w:rsid w:val="00EC6C61"/>
    <w:rsid w:val="00EC6E25"/>
    <w:rsid w:val="00ED00AE"/>
    <w:rsid w:val="00ED25A5"/>
    <w:rsid w:val="00ED306C"/>
    <w:rsid w:val="00ED456D"/>
    <w:rsid w:val="00ED4582"/>
    <w:rsid w:val="00ED4E19"/>
    <w:rsid w:val="00ED51C8"/>
    <w:rsid w:val="00ED52F4"/>
    <w:rsid w:val="00ED5F08"/>
    <w:rsid w:val="00ED65B2"/>
    <w:rsid w:val="00EE5374"/>
    <w:rsid w:val="00EE5E59"/>
    <w:rsid w:val="00EE7318"/>
    <w:rsid w:val="00EF0426"/>
    <w:rsid w:val="00EF1074"/>
    <w:rsid w:val="00EF120B"/>
    <w:rsid w:val="00EF1C1F"/>
    <w:rsid w:val="00EF1EB3"/>
    <w:rsid w:val="00EF2209"/>
    <w:rsid w:val="00EF2EC4"/>
    <w:rsid w:val="00EF31EB"/>
    <w:rsid w:val="00EF3463"/>
    <w:rsid w:val="00EF3D22"/>
    <w:rsid w:val="00EF427D"/>
    <w:rsid w:val="00EF4A37"/>
    <w:rsid w:val="00EF5F06"/>
    <w:rsid w:val="00EF6503"/>
    <w:rsid w:val="00EF6DB3"/>
    <w:rsid w:val="00F00297"/>
    <w:rsid w:val="00F00AD1"/>
    <w:rsid w:val="00F039AB"/>
    <w:rsid w:val="00F0581A"/>
    <w:rsid w:val="00F06BA3"/>
    <w:rsid w:val="00F105E0"/>
    <w:rsid w:val="00F10B76"/>
    <w:rsid w:val="00F10D35"/>
    <w:rsid w:val="00F12B9D"/>
    <w:rsid w:val="00F14AC6"/>
    <w:rsid w:val="00F14CFA"/>
    <w:rsid w:val="00F150A7"/>
    <w:rsid w:val="00F1550F"/>
    <w:rsid w:val="00F16203"/>
    <w:rsid w:val="00F16C92"/>
    <w:rsid w:val="00F17574"/>
    <w:rsid w:val="00F17D78"/>
    <w:rsid w:val="00F20392"/>
    <w:rsid w:val="00F209A0"/>
    <w:rsid w:val="00F20D9C"/>
    <w:rsid w:val="00F214DF"/>
    <w:rsid w:val="00F2340D"/>
    <w:rsid w:val="00F23AB1"/>
    <w:rsid w:val="00F25285"/>
    <w:rsid w:val="00F258B2"/>
    <w:rsid w:val="00F26707"/>
    <w:rsid w:val="00F27044"/>
    <w:rsid w:val="00F3077D"/>
    <w:rsid w:val="00F31235"/>
    <w:rsid w:val="00F320A9"/>
    <w:rsid w:val="00F329DF"/>
    <w:rsid w:val="00F332B7"/>
    <w:rsid w:val="00F34335"/>
    <w:rsid w:val="00F34C42"/>
    <w:rsid w:val="00F3649D"/>
    <w:rsid w:val="00F37923"/>
    <w:rsid w:val="00F37E0A"/>
    <w:rsid w:val="00F4083E"/>
    <w:rsid w:val="00F40EEA"/>
    <w:rsid w:val="00F40F46"/>
    <w:rsid w:val="00F41747"/>
    <w:rsid w:val="00F42226"/>
    <w:rsid w:val="00F44CD7"/>
    <w:rsid w:val="00F44F43"/>
    <w:rsid w:val="00F475BF"/>
    <w:rsid w:val="00F4774C"/>
    <w:rsid w:val="00F50782"/>
    <w:rsid w:val="00F527D1"/>
    <w:rsid w:val="00F53783"/>
    <w:rsid w:val="00F549D1"/>
    <w:rsid w:val="00F56CA4"/>
    <w:rsid w:val="00F56FDB"/>
    <w:rsid w:val="00F60005"/>
    <w:rsid w:val="00F61F44"/>
    <w:rsid w:val="00F635D4"/>
    <w:rsid w:val="00F673BF"/>
    <w:rsid w:val="00F67F1E"/>
    <w:rsid w:val="00F707B7"/>
    <w:rsid w:val="00F7107C"/>
    <w:rsid w:val="00F7257D"/>
    <w:rsid w:val="00F7275F"/>
    <w:rsid w:val="00F7291B"/>
    <w:rsid w:val="00F730C8"/>
    <w:rsid w:val="00F73DD0"/>
    <w:rsid w:val="00F73EFA"/>
    <w:rsid w:val="00F74C45"/>
    <w:rsid w:val="00F756E4"/>
    <w:rsid w:val="00F75E68"/>
    <w:rsid w:val="00F770D1"/>
    <w:rsid w:val="00F774E3"/>
    <w:rsid w:val="00F8094F"/>
    <w:rsid w:val="00F80D4C"/>
    <w:rsid w:val="00F81A69"/>
    <w:rsid w:val="00F8220E"/>
    <w:rsid w:val="00F82EAC"/>
    <w:rsid w:val="00F82ED3"/>
    <w:rsid w:val="00F83AE7"/>
    <w:rsid w:val="00F840B9"/>
    <w:rsid w:val="00F855B4"/>
    <w:rsid w:val="00F85D05"/>
    <w:rsid w:val="00F87214"/>
    <w:rsid w:val="00F87B41"/>
    <w:rsid w:val="00F90430"/>
    <w:rsid w:val="00F9043E"/>
    <w:rsid w:val="00F91FAC"/>
    <w:rsid w:val="00F931F0"/>
    <w:rsid w:val="00F93CDA"/>
    <w:rsid w:val="00F94CD2"/>
    <w:rsid w:val="00F94D29"/>
    <w:rsid w:val="00F9690B"/>
    <w:rsid w:val="00F9748E"/>
    <w:rsid w:val="00F97B43"/>
    <w:rsid w:val="00FA0B41"/>
    <w:rsid w:val="00FA17E9"/>
    <w:rsid w:val="00FA1BAF"/>
    <w:rsid w:val="00FA26ED"/>
    <w:rsid w:val="00FA3297"/>
    <w:rsid w:val="00FA412C"/>
    <w:rsid w:val="00FA4886"/>
    <w:rsid w:val="00FA5493"/>
    <w:rsid w:val="00FA689C"/>
    <w:rsid w:val="00FA6BF8"/>
    <w:rsid w:val="00FA71A0"/>
    <w:rsid w:val="00FA7242"/>
    <w:rsid w:val="00FA77F2"/>
    <w:rsid w:val="00FB011E"/>
    <w:rsid w:val="00FB09A9"/>
    <w:rsid w:val="00FB31C8"/>
    <w:rsid w:val="00FB45EF"/>
    <w:rsid w:val="00FB4CA5"/>
    <w:rsid w:val="00FB4DF9"/>
    <w:rsid w:val="00FB4FC5"/>
    <w:rsid w:val="00FB5CFC"/>
    <w:rsid w:val="00FB6FEF"/>
    <w:rsid w:val="00FB7560"/>
    <w:rsid w:val="00FC08D6"/>
    <w:rsid w:val="00FC11F6"/>
    <w:rsid w:val="00FC1CD4"/>
    <w:rsid w:val="00FC1E6D"/>
    <w:rsid w:val="00FC394C"/>
    <w:rsid w:val="00FC44B2"/>
    <w:rsid w:val="00FC47F6"/>
    <w:rsid w:val="00FC5452"/>
    <w:rsid w:val="00FC65D4"/>
    <w:rsid w:val="00FC7063"/>
    <w:rsid w:val="00FC7430"/>
    <w:rsid w:val="00FC7A52"/>
    <w:rsid w:val="00FD01B9"/>
    <w:rsid w:val="00FD34B4"/>
    <w:rsid w:val="00FD3A91"/>
    <w:rsid w:val="00FD54A1"/>
    <w:rsid w:val="00FD59DB"/>
    <w:rsid w:val="00FD5DA1"/>
    <w:rsid w:val="00FD646B"/>
    <w:rsid w:val="00FD66AF"/>
    <w:rsid w:val="00FD77BD"/>
    <w:rsid w:val="00FE096D"/>
    <w:rsid w:val="00FE0DE4"/>
    <w:rsid w:val="00FE215D"/>
    <w:rsid w:val="00FE4C4E"/>
    <w:rsid w:val="00FE549A"/>
    <w:rsid w:val="00FE6864"/>
    <w:rsid w:val="00FE6B96"/>
    <w:rsid w:val="00FF001F"/>
    <w:rsid w:val="00FF060C"/>
    <w:rsid w:val="00FF1464"/>
    <w:rsid w:val="00FF30B0"/>
    <w:rsid w:val="00FF48A8"/>
    <w:rsid w:val="00FF48BA"/>
    <w:rsid w:val="00FF496D"/>
    <w:rsid w:val="00FF52BC"/>
    <w:rsid w:val="00FF55BC"/>
    <w:rsid w:val="00FF5F58"/>
    <w:rsid w:val="00FF6CA6"/>
    <w:rsid w:val="00FF7B0B"/>
    <w:rsid w:val="01239E35"/>
    <w:rsid w:val="021BAB57"/>
    <w:rsid w:val="0223A589"/>
    <w:rsid w:val="023583B9"/>
    <w:rsid w:val="035E5924"/>
    <w:rsid w:val="03B3C318"/>
    <w:rsid w:val="03E38AEE"/>
    <w:rsid w:val="04D4C8DB"/>
    <w:rsid w:val="04EFCACD"/>
    <w:rsid w:val="050D1724"/>
    <w:rsid w:val="0601E407"/>
    <w:rsid w:val="061E90BA"/>
    <w:rsid w:val="070A1DC0"/>
    <w:rsid w:val="0805DB85"/>
    <w:rsid w:val="08C6D1DC"/>
    <w:rsid w:val="09385239"/>
    <w:rsid w:val="094F1B3A"/>
    <w:rsid w:val="0999F34D"/>
    <w:rsid w:val="0A3BFF44"/>
    <w:rsid w:val="0A9FEB03"/>
    <w:rsid w:val="0B06F495"/>
    <w:rsid w:val="0B84D22E"/>
    <w:rsid w:val="0C2B9E99"/>
    <w:rsid w:val="0C4D37DE"/>
    <w:rsid w:val="0CB34ACA"/>
    <w:rsid w:val="0CEEB192"/>
    <w:rsid w:val="0DC07EE8"/>
    <w:rsid w:val="0E830F2A"/>
    <w:rsid w:val="0EA3B293"/>
    <w:rsid w:val="105B7847"/>
    <w:rsid w:val="105F31A0"/>
    <w:rsid w:val="109427BC"/>
    <w:rsid w:val="1137B632"/>
    <w:rsid w:val="113D77A2"/>
    <w:rsid w:val="118B371E"/>
    <w:rsid w:val="1440F54E"/>
    <w:rsid w:val="148A2284"/>
    <w:rsid w:val="149C8476"/>
    <w:rsid w:val="1537D5A3"/>
    <w:rsid w:val="15D5CAEF"/>
    <w:rsid w:val="17982F81"/>
    <w:rsid w:val="17C22863"/>
    <w:rsid w:val="17E5E86B"/>
    <w:rsid w:val="17FB15FA"/>
    <w:rsid w:val="18100B28"/>
    <w:rsid w:val="182F52E8"/>
    <w:rsid w:val="182F7A71"/>
    <w:rsid w:val="186DDBA1"/>
    <w:rsid w:val="187BC523"/>
    <w:rsid w:val="1880571A"/>
    <w:rsid w:val="192FB1D7"/>
    <w:rsid w:val="1A1A0747"/>
    <w:rsid w:val="1A5191B0"/>
    <w:rsid w:val="1A5AF476"/>
    <w:rsid w:val="1A6A865A"/>
    <w:rsid w:val="1A9F5B4A"/>
    <w:rsid w:val="1AB08C26"/>
    <w:rsid w:val="1AD32056"/>
    <w:rsid w:val="1B2B95E1"/>
    <w:rsid w:val="1BE64BFC"/>
    <w:rsid w:val="1C6DCA84"/>
    <w:rsid w:val="1E498815"/>
    <w:rsid w:val="1E624233"/>
    <w:rsid w:val="1E7FA70A"/>
    <w:rsid w:val="1F5D593A"/>
    <w:rsid w:val="2018E1F1"/>
    <w:rsid w:val="21101E05"/>
    <w:rsid w:val="23910A9B"/>
    <w:rsid w:val="26FC5E68"/>
    <w:rsid w:val="2705FA5C"/>
    <w:rsid w:val="27272A33"/>
    <w:rsid w:val="27296F9E"/>
    <w:rsid w:val="273C5161"/>
    <w:rsid w:val="2806C9A9"/>
    <w:rsid w:val="283269BB"/>
    <w:rsid w:val="293B96B4"/>
    <w:rsid w:val="2953E1F5"/>
    <w:rsid w:val="29E0BA08"/>
    <w:rsid w:val="2A764456"/>
    <w:rsid w:val="2B415D07"/>
    <w:rsid w:val="2B964D64"/>
    <w:rsid w:val="2BDC3177"/>
    <w:rsid w:val="2C83D53A"/>
    <w:rsid w:val="2CF41385"/>
    <w:rsid w:val="2CFDBD99"/>
    <w:rsid w:val="2DD3AA8E"/>
    <w:rsid w:val="2DE04C7C"/>
    <w:rsid w:val="2E335C9F"/>
    <w:rsid w:val="2E5145F4"/>
    <w:rsid w:val="2ECD177A"/>
    <w:rsid w:val="2F03D877"/>
    <w:rsid w:val="2FAA8FF9"/>
    <w:rsid w:val="2FC739CC"/>
    <w:rsid w:val="306BABA4"/>
    <w:rsid w:val="313A42F3"/>
    <w:rsid w:val="322453D4"/>
    <w:rsid w:val="3248A49A"/>
    <w:rsid w:val="329DA6C5"/>
    <w:rsid w:val="344C37E0"/>
    <w:rsid w:val="3460398B"/>
    <w:rsid w:val="35175D29"/>
    <w:rsid w:val="3519250F"/>
    <w:rsid w:val="352651D3"/>
    <w:rsid w:val="35316395"/>
    <w:rsid w:val="3536A3A2"/>
    <w:rsid w:val="354D8C68"/>
    <w:rsid w:val="355486AC"/>
    <w:rsid w:val="3687A173"/>
    <w:rsid w:val="36E7F92A"/>
    <w:rsid w:val="378A499C"/>
    <w:rsid w:val="37FC2505"/>
    <w:rsid w:val="38235F24"/>
    <w:rsid w:val="388B790C"/>
    <w:rsid w:val="38CE02C7"/>
    <w:rsid w:val="39067AB0"/>
    <w:rsid w:val="398131C0"/>
    <w:rsid w:val="39AE6080"/>
    <w:rsid w:val="3A0679D5"/>
    <w:rsid w:val="3A0F1412"/>
    <w:rsid w:val="3A344A4F"/>
    <w:rsid w:val="3A54C7F7"/>
    <w:rsid w:val="3A5D1546"/>
    <w:rsid w:val="3BD34F96"/>
    <w:rsid w:val="3BF215EE"/>
    <w:rsid w:val="3D3561F6"/>
    <w:rsid w:val="3D366635"/>
    <w:rsid w:val="3DC1D5D5"/>
    <w:rsid w:val="3DD75F66"/>
    <w:rsid w:val="3E8DDE96"/>
    <w:rsid w:val="3FBE9D8E"/>
    <w:rsid w:val="3FC4A1AD"/>
    <w:rsid w:val="402369F6"/>
    <w:rsid w:val="40F211C0"/>
    <w:rsid w:val="412008F3"/>
    <w:rsid w:val="41977290"/>
    <w:rsid w:val="41EC5302"/>
    <w:rsid w:val="421B8768"/>
    <w:rsid w:val="421EA8C2"/>
    <w:rsid w:val="4253D52A"/>
    <w:rsid w:val="4283DA76"/>
    <w:rsid w:val="4288F781"/>
    <w:rsid w:val="439AEF7D"/>
    <w:rsid w:val="43DA48F3"/>
    <w:rsid w:val="452D2D6D"/>
    <w:rsid w:val="46336901"/>
    <w:rsid w:val="463CF9E8"/>
    <w:rsid w:val="4722528F"/>
    <w:rsid w:val="47A7F201"/>
    <w:rsid w:val="47B71D7D"/>
    <w:rsid w:val="47CE0AF0"/>
    <w:rsid w:val="48503ADF"/>
    <w:rsid w:val="4925DC67"/>
    <w:rsid w:val="4A8D6CDA"/>
    <w:rsid w:val="4A983796"/>
    <w:rsid w:val="4B055C90"/>
    <w:rsid w:val="4B3E647F"/>
    <w:rsid w:val="4B79D6DF"/>
    <w:rsid w:val="4B855E01"/>
    <w:rsid w:val="4CDB7786"/>
    <w:rsid w:val="4CE8C5CB"/>
    <w:rsid w:val="4CEBBB65"/>
    <w:rsid w:val="4CFA4F0F"/>
    <w:rsid w:val="4CFE2274"/>
    <w:rsid w:val="4D100BB9"/>
    <w:rsid w:val="4DDD1F03"/>
    <w:rsid w:val="4EF88B2F"/>
    <w:rsid w:val="4F59A1AF"/>
    <w:rsid w:val="4FAB0307"/>
    <w:rsid w:val="5060033C"/>
    <w:rsid w:val="5217067E"/>
    <w:rsid w:val="5225E343"/>
    <w:rsid w:val="53D28491"/>
    <w:rsid w:val="542C035A"/>
    <w:rsid w:val="54809C10"/>
    <w:rsid w:val="54DC8D54"/>
    <w:rsid w:val="55A23B3F"/>
    <w:rsid w:val="55A552A0"/>
    <w:rsid w:val="55D6DAB9"/>
    <w:rsid w:val="55E41E5C"/>
    <w:rsid w:val="56206E1F"/>
    <w:rsid w:val="56A1E368"/>
    <w:rsid w:val="574639F7"/>
    <w:rsid w:val="57818683"/>
    <w:rsid w:val="58C2AC60"/>
    <w:rsid w:val="58C77F34"/>
    <w:rsid w:val="59028745"/>
    <w:rsid w:val="59A3623B"/>
    <w:rsid w:val="5A13776F"/>
    <w:rsid w:val="5A20F4E2"/>
    <w:rsid w:val="5B1821FE"/>
    <w:rsid w:val="5C4C5E5E"/>
    <w:rsid w:val="5C53D13D"/>
    <w:rsid w:val="5C9A5584"/>
    <w:rsid w:val="5CCFFADC"/>
    <w:rsid w:val="5D44C1EA"/>
    <w:rsid w:val="5D955E4B"/>
    <w:rsid w:val="5DA90B8A"/>
    <w:rsid w:val="5DCE132E"/>
    <w:rsid w:val="5DFE4DEF"/>
    <w:rsid w:val="5E56E6AD"/>
    <w:rsid w:val="5E6F0DB1"/>
    <w:rsid w:val="5E7DFB5B"/>
    <w:rsid w:val="5F3A63D0"/>
    <w:rsid w:val="5FCB36EB"/>
    <w:rsid w:val="6050CF4A"/>
    <w:rsid w:val="61086AE7"/>
    <w:rsid w:val="6132BD72"/>
    <w:rsid w:val="61E2D023"/>
    <w:rsid w:val="63658657"/>
    <w:rsid w:val="64E5C583"/>
    <w:rsid w:val="652A5BEF"/>
    <w:rsid w:val="6532D113"/>
    <w:rsid w:val="65458436"/>
    <w:rsid w:val="659558D9"/>
    <w:rsid w:val="662E78F2"/>
    <w:rsid w:val="68FECFB7"/>
    <w:rsid w:val="696387C3"/>
    <w:rsid w:val="69E3A56F"/>
    <w:rsid w:val="6A982DBF"/>
    <w:rsid w:val="6ABF7D9A"/>
    <w:rsid w:val="6ACC67BE"/>
    <w:rsid w:val="6C428E7C"/>
    <w:rsid w:val="6CD8BA03"/>
    <w:rsid w:val="6D2BB222"/>
    <w:rsid w:val="6E1227CD"/>
    <w:rsid w:val="70165A10"/>
    <w:rsid w:val="703768EE"/>
    <w:rsid w:val="70452B33"/>
    <w:rsid w:val="70FCABC3"/>
    <w:rsid w:val="7321DEFC"/>
    <w:rsid w:val="7400DBB8"/>
    <w:rsid w:val="7429F544"/>
    <w:rsid w:val="74516442"/>
    <w:rsid w:val="746525AF"/>
    <w:rsid w:val="7589B396"/>
    <w:rsid w:val="760543DA"/>
    <w:rsid w:val="763B522C"/>
    <w:rsid w:val="771BB78B"/>
    <w:rsid w:val="77D2BF64"/>
    <w:rsid w:val="77D64A7A"/>
    <w:rsid w:val="78478B1E"/>
    <w:rsid w:val="784B42F8"/>
    <w:rsid w:val="789FB696"/>
    <w:rsid w:val="78CB4390"/>
    <w:rsid w:val="79BCEA5F"/>
    <w:rsid w:val="79D58D1E"/>
    <w:rsid w:val="7A90310E"/>
    <w:rsid w:val="7AE21FE0"/>
    <w:rsid w:val="7BE67DE8"/>
    <w:rsid w:val="7BEEF7CE"/>
    <w:rsid w:val="7C4E0A6A"/>
    <w:rsid w:val="7D736F55"/>
    <w:rsid w:val="7D881075"/>
    <w:rsid w:val="7E033BB7"/>
    <w:rsid w:val="7E104707"/>
    <w:rsid w:val="7E356613"/>
    <w:rsid w:val="7E4190DA"/>
    <w:rsid w:val="7EDCD479"/>
    <w:rsid w:val="7EEE8BB5"/>
    <w:rsid w:val="7F795015"/>
    <w:rsid w:val="7FBC57F9"/>
    <w:rsid w:val="7FBEF6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D5ECC"/>
  <w15:chartTrackingRefBased/>
  <w15:docId w15:val="{5FEE5506-4D46-49DD-B07B-46C6F26F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549"/>
    <w:rPr>
      <w:rFonts w:ascii="Calibri" w:hAnsi="Calibri"/>
      <w:sz w:val="24"/>
      <w:lang w:val="en-US"/>
    </w:rPr>
  </w:style>
  <w:style w:type="paragraph" w:styleId="Heading1">
    <w:name w:val="heading 1"/>
    <w:basedOn w:val="Normal"/>
    <w:next w:val="Normal"/>
    <w:link w:val="Heading1Char"/>
    <w:uiPriority w:val="9"/>
    <w:qFormat/>
    <w:rsid w:val="001E6A18"/>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1E6A18"/>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1E6A18"/>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1E6A18"/>
    <w:pPr>
      <w:spacing w:after="0" w:line="271" w:lineRule="auto"/>
      <w:outlineLvl w:val="3"/>
    </w:pPr>
    <w:rPr>
      <w:b/>
      <w:bCs/>
      <w:spacing w:val="5"/>
      <w:szCs w:val="24"/>
    </w:rPr>
  </w:style>
  <w:style w:type="paragraph" w:styleId="Heading5">
    <w:name w:val="heading 5"/>
    <w:basedOn w:val="Normal"/>
    <w:next w:val="Normal"/>
    <w:link w:val="Heading5Char"/>
    <w:uiPriority w:val="9"/>
    <w:semiHidden/>
    <w:unhideWhenUsed/>
    <w:qFormat/>
    <w:rsid w:val="001E6A18"/>
    <w:pPr>
      <w:spacing w:after="0" w:line="271" w:lineRule="auto"/>
      <w:outlineLvl w:val="4"/>
    </w:pPr>
    <w:rPr>
      <w:i/>
      <w:iCs/>
      <w:szCs w:val="24"/>
    </w:rPr>
  </w:style>
  <w:style w:type="paragraph" w:styleId="Heading6">
    <w:name w:val="heading 6"/>
    <w:basedOn w:val="Normal"/>
    <w:next w:val="Normal"/>
    <w:link w:val="Heading6Char"/>
    <w:uiPriority w:val="9"/>
    <w:semiHidden/>
    <w:unhideWhenUsed/>
    <w:qFormat/>
    <w:rsid w:val="001E6A18"/>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1E6A18"/>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1E6A18"/>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1E6A18"/>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31">
    <w:name w:val="Heading 31"/>
    <w:basedOn w:val="Normal"/>
    <w:next w:val="Normal"/>
    <w:uiPriority w:val="9"/>
    <w:rsid w:val="007E637D"/>
    <w:pPr>
      <w:keepNext/>
      <w:keepLines/>
      <w:spacing w:before="40" w:after="0"/>
      <w:outlineLvl w:val="2"/>
    </w:pPr>
    <w:rPr>
      <w:rFonts w:ascii="Calibri Light" w:eastAsia="Times New Roman" w:hAnsi="Calibri Light" w:cs="Times New Roman"/>
      <w:color w:val="1F4D78"/>
      <w:kern w:val="28"/>
      <w:szCs w:val="24"/>
      <w:lang w:eastAsia="en-GB"/>
      <w14:ligatures w14:val="standard"/>
      <w14:cntxtAlts/>
    </w:rPr>
  </w:style>
  <w:style w:type="character" w:customStyle="1" w:styleId="Heading1Char">
    <w:name w:val="Heading 1 Char"/>
    <w:basedOn w:val="DefaultParagraphFont"/>
    <w:link w:val="Heading1"/>
    <w:uiPriority w:val="9"/>
    <w:rsid w:val="001E6A18"/>
    <w:rPr>
      <w:smallCaps/>
      <w:spacing w:val="5"/>
      <w:sz w:val="36"/>
      <w:szCs w:val="36"/>
    </w:rPr>
  </w:style>
  <w:style w:type="character" w:styleId="Strong">
    <w:name w:val="Strong"/>
    <w:uiPriority w:val="22"/>
    <w:qFormat/>
    <w:rsid w:val="001E6A18"/>
    <w:rPr>
      <w:b/>
      <w:bCs/>
    </w:rPr>
  </w:style>
  <w:style w:type="paragraph" w:styleId="NoSpacing">
    <w:name w:val="No Spacing"/>
    <w:basedOn w:val="Normal"/>
    <w:link w:val="NoSpacingChar"/>
    <w:uiPriority w:val="1"/>
    <w:qFormat/>
    <w:rsid w:val="001E6A18"/>
    <w:pPr>
      <w:spacing w:after="0" w:line="240" w:lineRule="auto"/>
    </w:pPr>
  </w:style>
  <w:style w:type="paragraph" w:styleId="ListParagraph">
    <w:name w:val="List Paragraph"/>
    <w:basedOn w:val="Normal"/>
    <w:uiPriority w:val="34"/>
    <w:qFormat/>
    <w:rsid w:val="001E6A18"/>
    <w:pPr>
      <w:ind w:left="720"/>
      <w:contextualSpacing/>
    </w:pPr>
  </w:style>
  <w:style w:type="character" w:customStyle="1" w:styleId="Heading2Char">
    <w:name w:val="Heading 2 Char"/>
    <w:basedOn w:val="DefaultParagraphFont"/>
    <w:link w:val="Heading2"/>
    <w:uiPriority w:val="9"/>
    <w:rsid w:val="001E6A18"/>
    <w:rPr>
      <w:smallCaps/>
      <w:sz w:val="28"/>
      <w:szCs w:val="28"/>
    </w:rPr>
  </w:style>
  <w:style w:type="character" w:customStyle="1" w:styleId="Heading3Char">
    <w:name w:val="Heading 3 Char"/>
    <w:basedOn w:val="DefaultParagraphFont"/>
    <w:link w:val="Heading3"/>
    <w:uiPriority w:val="9"/>
    <w:semiHidden/>
    <w:rsid w:val="001E6A18"/>
    <w:rPr>
      <w:i/>
      <w:iCs/>
      <w:smallCaps/>
      <w:spacing w:val="5"/>
      <w:sz w:val="26"/>
      <w:szCs w:val="26"/>
    </w:rPr>
  </w:style>
  <w:style w:type="character" w:customStyle="1" w:styleId="Heading4Char">
    <w:name w:val="Heading 4 Char"/>
    <w:basedOn w:val="DefaultParagraphFont"/>
    <w:link w:val="Heading4"/>
    <w:uiPriority w:val="9"/>
    <w:semiHidden/>
    <w:rsid w:val="001E6A18"/>
    <w:rPr>
      <w:b/>
      <w:bCs/>
      <w:spacing w:val="5"/>
      <w:sz w:val="24"/>
      <w:szCs w:val="24"/>
    </w:rPr>
  </w:style>
  <w:style w:type="character" w:customStyle="1" w:styleId="Heading5Char">
    <w:name w:val="Heading 5 Char"/>
    <w:basedOn w:val="DefaultParagraphFont"/>
    <w:link w:val="Heading5"/>
    <w:uiPriority w:val="9"/>
    <w:semiHidden/>
    <w:rsid w:val="001E6A18"/>
    <w:rPr>
      <w:i/>
      <w:iCs/>
      <w:sz w:val="24"/>
      <w:szCs w:val="24"/>
    </w:rPr>
  </w:style>
  <w:style w:type="character" w:customStyle="1" w:styleId="Heading6Char">
    <w:name w:val="Heading 6 Char"/>
    <w:basedOn w:val="DefaultParagraphFont"/>
    <w:link w:val="Heading6"/>
    <w:uiPriority w:val="9"/>
    <w:semiHidden/>
    <w:rsid w:val="001E6A18"/>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1E6A18"/>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1E6A18"/>
    <w:rPr>
      <w:b/>
      <w:bCs/>
      <w:color w:val="7F7F7F" w:themeColor="text1" w:themeTint="80"/>
      <w:sz w:val="20"/>
      <w:szCs w:val="20"/>
    </w:rPr>
  </w:style>
  <w:style w:type="character" w:customStyle="1" w:styleId="Heading9Char">
    <w:name w:val="Heading 9 Char"/>
    <w:basedOn w:val="DefaultParagraphFont"/>
    <w:link w:val="Heading9"/>
    <w:uiPriority w:val="9"/>
    <w:semiHidden/>
    <w:rsid w:val="001E6A18"/>
    <w:rPr>
      <w:b/>
      <w:bCs/>
      <w:i/>
      <w:iCs/>
      <w:color w:val="7F7F7F" w:themeColor="text1" w:themeTint="80"/>
      <w:sz w:val="18"/>
      <w:szCs w:val="18"/>
    </w:rPr>
  </w:style>
  <w:style w:type="paragraph" w:styleId="Title">
    <w:name w:val="Title"/>
    <w:basedOn w:val="Normal"/>
    <w:next w:val="Normal"/>
    <w:link w:val="TitleChar"/>
    <w:uiPriority w:val="10"/>
    <w:qFormat/>
    <w:rsid w:val="001E6A18"/>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1E6A18"/>
    <w:rPr>
      <w:smallCaps/>
      <w:sz w:val="52"/>
      <w:szCs w:val="52"/>
    </w:rPr>
  </w:style>
  <w:style w:type="paragraph" w:styleId="Subtitle">
    <w:name w:val="Subtitle"/>
    <w:basedOn w:val="Normal"/>
    <w:next w:val="Normal"/>
    <w:link w:val="SubtitleChar"/>
    <w:uiPriority w:val="11"/>
    <w:qFormat/>
    <w:rsid w:val="001E6A18"/>
    <w:rPr>
      <w:i/>
      <w:iCs/>
      <w:smallCaps/>
      <w:spacing w:val="10"/>
      <w:sz w:val="28"/>
      <w:szCs w:val="28"/>
    </w:rPr>
  </w:style>
  <w:style w:type="character" w:customStyle="1" w:styleId="SubtitleChar">
    <w:name w:val="Subtitle Char"/>
    <w:basedOn w:val="DefaultParagraphFont"/>
    <w:link w:val="Subtitle"/>
    <w:uiPriority w:val="11"/>
    <w:rsid w:val="001E6A18"/>
    <w:rPr>
      <w:i/>
      <w:iCs/>
      <w:smallCaps/>
      <w:spacing w:val="10"/>
      <w:sz w:val="28"/>
      <w:szCs w:val="28"/>
    </w:rPr>
  </w:style>
  <w:style w:type="paragraph" w:styleId="Quote">
    <w:name w:val="Quote"/>
    <w:basedOn w:val="Normal"/>
    <w:next w:val="Normal"/>
    <w:link w:val="QuoteChar"/>
    <w:uiPriority w:val="29"/>
    <w:qFormat/>
    <w:rsid w:val="001E6A18"/>
    <w:rPr>
      <w:i/>
      <w:iCs/>
    </w:rPr>
  </w:style>
  <w:style w:type="character" w:customStyle="1" w:styleId="QuoteChar">
    <w:name w:val="Quote Char"/>
    <w:basedOn w:val="DefaultParagraphFont"/>
    <w:link w:val="Quote"/>
    <w:uiPriority w:val="29"/>
    <w:rsid w:val="001E6A18"/>
    <w:rPr>
      <w:i/>
      <w:iCs/>
    </w:rPr>
  </w:style>
  <w:style w:type="character" w:styleId="IntenseEmphasis">
    <w:name w:val="Intense Emphasis"/>
    <w:uiPriority w:val="21"/>
    <w:qFormat/>
    <w:rsid w:val="001E6A18"/>
    <w:rPr>
      <w:b/>
      <w:bCs/>
      <w:i/>
      <w:iCs/>
    </w:rPr>
  </w:style>
  <w:style w:type="paragraph" w:styleId="IntenseQuote">
    <w:name w:val="Intense Quote"/>
    <w:basedOn w:val="Normal"/>
    <w:next w:val="Normal"/>
    <w:link w:val="IntenseQuoteChar"/>
    <w:uiPriority w:val="30"/>
    <w:qFormat/>
    <w:rsid w:val="001E6A18"/>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1E6A18"/>
    <w:rPr>
      <w:i/>
      <w:iCs/>
    </w:rPr>
  </w:style>
  <w:style w:type="character" w:styleId="IntenseReference">
    <w:name w:val="Intense Reference"/>
    <w:uiPriority w:val="32"/>
    <w:qFormat/>
    <w:rsid w:val="001E6A18"/>
    <w:rPr>
      <w:b/>
      <w:bCs/>
      <w:smallCaps/>
    </w:rPr>
  </w:style>
  <w:style w:type="paragraph" w:styleId="Caption">
    <w:name w:val="caption"/>
    <w:basedOn w:val="Normal"/>
    <w:next w:val="Normal"/>
    <w:uiPriority w:val="35"/>
    <w:semiHidden/>
    <w:unhideWhenUsed/>
    <w:rsid w:val="001E6A18"/>
    <w:rPr>
      <w:b/>
      <w:bCs/>
      <w:smallCaps/>
      <w:color w:val="0E2841" w:themeColor="text2"/>
      <w:spacing w:val="10"/>
      <w:sz w:val="18"/>
      <w:szCs w:val="18"/>
    </w:rPr>
  </w:style>
  <w:style w:type="character" w:styleId="Emphasis">
    <w:name w:val="Emphasis"/>
    <w:uiPriority w:val="20"/>
    <w:qFormat/>
    <w:rsid w:val="001E6A18"/>
    <w:rPr>
      <w:b/>
      <w:bCs/>
      <w:i/>
      <w:iCs/>
      <w:spacing w:val="10"/>
    </w:rPr>
  </w:style>
  <w:style w:type="character" w:styleId="SubtleEmphasis">
    <w:name w:val="Subtle Emphasis"/>
    <w:uiPriority w:val="19"/>
    <w:qFormat/>
    <w:rsid w:val="001E6A18"/>
    <w:rPr>
      <w:i/>
      <w:iCs/>
    </w:rPr>
  </w:style>
  <w:style w:type="character" w:styleId="SubtleReference">
    <w:name w:val="Subtle Reference"/>
    <w:basedOn w:val="DefaultParagraphFont"/>
    <w:uiPriority w:val="31"/>
    <w:qFormat/>
    <w:rsid w:val="001E6A18"/>
    <w:rPr>
      <w:smallCaps/>
    </w:rPr>
  </w:style>
  <w:style w:type="character" w:styleId="BookTitle">
    <w:name w:val="Book Title"/>
    <w:basedOn w:val="DefaultParagraphFont"/>
    <w:uiPriority w:val="33"/>
    <w:qFormat/>
    <w:rsid w:val="001E6A18"/>
    <w:rPr>
      <w:i/>
      <w:iCs/>
      <w:smallCaps/>
      <w:spacing w:val="5"/>
    </w:rPr>
  </w:style>
  <w:style w:type="paragraph" w:styleId="TOCHeading">
    <w:name w:val="TOC Heading"/>
    <w:basedOn w:val="Heading1"/>
    <w:next w:val="Normal"/>
    <w:uiPriority w:val="39"/>
    <w:semiHidden/>
    <w:unhideWhenUsed/>
    <w:qFormat/>
    <w:rsid w:val="001E6A18"/>
    <w:pPr>
      <w:outlineLvl w:val="9"/>
    </w:pPr>
  </w:style>
  <w:style w:type="paragraph" w:customStyle="1" w:styleId="PersonalName">
    <w:name w:val="Personal Name"/>
    <w:basedOn w:val="Title"/>
    <w:rsid w:val="001E6A18"/>
    <w:rPr>
      <w:b/>
      <w:caps/>
      <w:color w:val="000000"/>
      <w:sz w:val="28"/>
      <w:szCs w:val="28"/>
    </w:rPr>
  </w:style>
  <w:style w:type="character" w:customStyle="1" w:styleId="NoSpacingChar">
    <w:name w:val="No Spacing Char"/>
    <w:basedOn w:val="DefaultParagraphFont"/>
    <w:link w:val="NoSpacing"/>
    <w:uiPriority w:val="1"/>
    <w:rsid w:val="001E6A18"/>
  </w:style>
  <w:style w:type="table" w:styleId="TableGrid">
    <w:name w:val="Table Grid"/>
    <w:basedOn w:val="TableNormal"/>
    <w:uiPriority w:val="39"/>
    <w:rsid w:val="00970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4590B"/>
    <w:rPr>
      <w:color w:val="467886" w:themeColor="hyperlink"/>
      <w:u w:val="single"/>
    </w:rPr>
  </w:style>
  <w:style w:type="character" w:styleId="UnresolvedMention">
    <w:name w:val="Unresolved Mention"/>
    <w:basedOn w:val="DefaultParagraphFont"/>
    <w:uiPriority w:val="99"/>
    <w:semiHidden/>
    <w:unhideWhenUsed/>
    <w:rsid w:val="00B4590B"/>
    <w:rPr>
      <w:color w:val="605E5C"/>
      <w:shd w:val="clear" w:color="auto" w:fill="E1DFDD"/>
    </w:rPr>
  </w:style>
  <w:style w:type="character" w:styleId="CommentReference">
    <w:name w:val="annotation reference"/>
    <w:basedOn w:val="DefaultParagraphFont"/>
    <w:uiPriority w:val="99"/>
    <w:semiHidden/>
    <w:unhideWhenUsed/>
    <w:rsid w:val="00135CF3"/>
    <w:rPr>
      <w:sz w:val="16"/>
      <w:szCs w:val="16"/>
    </w:rPr>
  </w:style>
  <w:style w:type="paragraph" w:styleId="CommentText">
    <w:name w:val="annotation text"/>
    <w:basedOn w:val="Normal"/>
    <w:link w:val="CommentTextChar"/>
    <w:uiPriority w:val="99"/>
    <w:unhideWhenUsed/>
    <w:rsid w:val="00135CF3"/>
    <w:pPr>
      <w:spacing w:line="240" w:lineRule="auto"/>
    </w:pPr>
    <w:rPr>
      <w:sz w:val="20"/>
      <w:szCs w:val="20"/>
    </w:rPr>
  </w:style>
  <w:style w:type="character" w:customStyle="1" w:styleId="CommentTextChar">
    <w:name w:val="Comment Text Char"/>
    <w:basedOn w:val="DefaultParagraphFont"/>
    <w:link w:val="CommentText"/>
    <w:uiPriority w:val="99"/>
    <w:rsid w:val="00135CF3"/>
    <w:rPr>
      <w:sz w:val="20"/>
      <w:szCs w:val="20"/>
    </w:rPr>
  </w:style>
  <w:style w:type="paragraph" w:styleId="CommentSubject">
    <w:name w:val="annotation subject"/>
    <w:basedOn w:val="CommentText"/>
    <w:next w:val="CommentText"/>
    <w:link w:val="CommentSubjectChar"/>
    <w:uiPriority w:val="99"/>
    <w:semiHidden/>
    <w:unhideWhenUsed/>
    <w:rsid w:val="00135CF3"/>
    <w:rPr>
      <w:b/>
      <w:bCs/>
    </w:rPr>
  </w:style>
  <w:style w:type="character" w:customStyle="1" w:styleId="CommentSubjectChar">
    <w:name w:val="Comment Subject Char"/>
    <w:basedOn w:val="CommentTextChar"/>
    <w:link w:val="CommentSubject"/>
    <w:uiPriority w:val="99"/>
    <w:semiHidden/>
    <w:rsid w:val="00135CF3"/>
    <w:rPr>
      <w:b/>
      <w:bCs/>
      <w:sz w:val="20"/>
      <w:szCs w:val="20"/>
    </w:rPr>
  </w:style>
  <w:style w:type="paragraph" w:styleId="Bibliography">
    <w:name w:val="Bibliography"/>
    <w:basedOn w:val="Normal"/>
    <w:next w:val="Normal"/>
    <w:uiPriority w:val="37"/>
    <w:unhideWhenUsed/>
    <w:rsid w:val="0008622F"/>
    <w:pPr>
      <w:tabs>
        <w:tab w:val="left" w:pos="260"/>
        <w:tab w:val="left" w:pos="380"/>
      </w:tabs>
      <w:spacing w:after="240" w:line="240" w:lineRule="auto"/>
      <w:ind w:left="384" w:hanging="384"/>
    </w:pPr>
  </w:style>
  <w:style w:type="paragraph" w:styleId="Revision">
    <w:name w:val="Revision"/>
    <w:hidden/>
    <w:uiPriority w:val="99"/>
    <w:semiHidden/>
    <w:rsid w:val="000B4007"/>
    <w:pPr>
      <w:spacing w:after="0" w:line="240" w:lineRule="auto"/>
    </w:pPr>
  </w:style>
  <w:style w:type="paragraph" w:styleId="BodyText">
    <w:name w:val="Body Text"/>
    <w:basedOn w:val="Normal"/>
    <w:link w:val="BodyTextChar"/>
    <w:uiPriority w:val="1"/>
    <w:qFormat/>
    <w:rsid w:val="00677690"/>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677690"/>
    <w:rPr>
      <w:rFonts w:ascii="Times New Roman" w:eastAsia="Times New Roman" w:hAnsi="Times New Roman" w:cs="Times New Roman"/>
      <w:sz w:val="20"/>
      <w:szCs w:val="20"/>
      <w:lang w:val="en-US"/>
    </w:rPr>
  </w:style>
  <w:style w:type="character" w:styleId="PlaceholderText">
    <w:name w:val="Placeholder Text"/>
    <w:basedOn w:val="DefaultParagraphFont"/>
    <w:uiPriority w:val="99"/>
    <w:semiHidden/>
    <w:rsid w:val="00A117B7"/>
    <w:rPr>
      <w:color w:val="666666"/>
    </w:rPr>
  </w:style>
  <w:style w:type="paragraph" w:styleId="Header">
    <w:name w:val="header"/>
    <w:basedOn w:val="Normal"/>
    <w:link w:val="HeaderChar"/>
    <w:uiPriority w:val="99"/>
    <w:unhideWhenUsed/>
    <w:rsid w:val="00FC1E6D"/>
    <w:pPr>
      <w:widowControl w:val="0"/>
      <w:tabs>
        <w:tab w:val="center" w:pos="4153"/>
        <w:tab w:val="right" w:pos="8306"/>
      </w:tabs>
      <w:autoSpaceDE w:val="0"/>
      <w:autoSpaceDN w:val="0"/>
      <w:snapToGrid w:val="0"/>
      <w:spacing w:after="0" w:line="240" w:lineRule="auto"/>
      <w:jc w:val="center"/>
    </w:pPr>
    <w:rPr>
      <w:rFonts w:ascii="Times New Roman" w:eastAsia="Times New Roman" w:hAnsi="Times New Roman" w:cs="Times New Roman"/>
      <w:sz w:val="18"/>
      <w:szCs w:val="18"/>
    </w:rPr>
  </w:style>
  <w:style w:type="character" w:customStyle="1" w:styleId="HeaderChar">
    <w:name w:val="Header Char"/>
    <w:basedOn w:val="DefaultParagraphFont"/>
    <w:link w:val="Header"/>
    <w:uiPriority w:val="99"/>
    <w:rsid w:val="00FC1E6D"/>
    <w:rPr>
      <w:rFonts w:ascii="Times New Roman" w:eastAsia="Times New Roman" w:hAnsi="Times New Roman" w:cs="Times New Roman"/>
      <w:sz w:val="18"/>
      <w:szCs w:val="18"/>
      <w:lang w:val="en-US"/>
    </w:rPr>
  </w:style>
  <w:style w:type="character" w:styleId="Mention">
    <w:name w:val="Mention"/>
    <w:basedOn w:val="DefaultParagraphFont"/>
    <w:uiPriority w:val="99"/>
    <w:unhideWhenUsed/>
    <w:rsid w:val="009B21AB"/>
    <w:rPr>
      <w:color w:val="2B579A"/>
      <w:shd w:val="clear" w:color="auto" w:fill="E1DFDD"/>
    </w:rPr>
  </w:style>
  <w:style w:type="character" w:styleId="FollowedHyperlink">
    <w:name w:val="FollowedHyperlink"/>
    <w:basedOn w:val="DefaultParagraphFont"/>
    <w:uiPriority w:val="99"/>
    <w:semiHidden/>
    <w:unhideWhenUsed/>
    <w:rsid w:val="00D238E4"/>
    <w:rPr>
      <w:color w:val="96607D" w:themeColor="followedHyperlink"/>
      <w:u w:val="single"/>
    </w:rPr>
  </w:style>
  <w:style w:type="character" w:styleId="LineNumber">
    <w:name w:val="line number"/>
    <w:basedOn w:val="DefaultParagraphFont"/>
    <w:uiPriority w:val="99"/>
    <w:semiHidden/>
    <w:unhideWhenUsed/>
    <w:rsid w:val="00056F6D"/>
  </w:style>
  <w:style w:type="numbering" w:customStyle="1" w:styleId="CurrentList1">
    <w:name w:val="Current List1"/>
    <w:uiPriority w:val="99"/>
    <w:rsid w:val="00B13294"/>
    <w:pPr>
      <w:numPr>
        <w:numId w:val="1"/>
      </w:numPr>
    </w:pPr>
  </w:style>
  <w:style w:type="numbering" w:styleId="111111">
    <w:name w:val="Outline List 2"/>
    <w:basedOn w:val="NoList"/>
    <w:uiPriority w:val="99"/>
    <w:semiHidden/>
    <w:unhideWhenUsed/>
    <w:rsid w:val="00B13294"/>
    <w:pPr>
      <w:numPr>
        <w:numId w:val="2"/>
      </w:numPr>
    </w:pPr>
  </w:style>
  <w:style w:type="numbering" w:customStyle="1" w:styleId="CurrentList2">
    <w:name w:val="Current List2"/>
    <w:uiPriority w:val="99"/>
    <w:rsid w:val="00B26CCC"/>
    <w:pPr>
      <w:numPr>
        <w:numId w:val="4"/>
      </w:numPr>
    </w:pPr>
  </w:style>
  <w:style w:type="numbering" w:customStyle="1" w:styleId="CurrentList3">
    <w:name w:val="Current List3"/>
    <w:uiPriority w:val="99"/>
    <w:rsid w:val="00214C52"/>
    <w:pPr>
      <w:numPr>
        <w:numId w:val="5"/>
      </w:numPr>
    </w:pPr>
  </w:style>
  <w:style w:type="numbering" w:customStyle="1" w:styleId="CurrentList4">
    <w:name w:val="Current List4"/>
    <w:uiPriority w:val="99"/>
    <w:rsid w:val="00FB4DF9"/>
    <w:pPr>
      <w:numPr>
        <w:numId w:val="6"/>
      </w:numPr>
    </w:pPr>
  </w:style>
  <w:style w:type="numbering" w:customStyle="1" w:styleId="CurrentList5">
    <w:name w:val="Current List5"/>
    <w:uiPriority w:val="99"/>
    <w:rsid w:val="00933A0D"/>
    <w:pPr>
      <w:numPr>
        <w:numId w:val="7"/>
      </w:numPr>
    </w:pPr>
  </w:style>
  <w:style w:type="numbering" w:customStyle="1" w:styleId="CurrentList6">
    <w:name w:val="Current List6"/>
    <w:uiPriority w:val="99"/>
    <w:rsid w:val="00BF2B41"/>
    <w:pPr>
      <w:numPr>
        <w:numId w:val="8"/>
      </w:numPr>
    </w:pPr>
  </w:style>
  <w:style w:type="numbering" w:customStyle="1" w:styleId="CurrentList7">
    <w:name w:val="Current List7"/>
    <w:uiPriority w:val="99"/>
    <w:rsid w:val="008A3C5C"/>
    <w:pPr>
      <w:numPr>
        <w:numId w:val="9"/>
      </w:numPr>
    </w:pPr>
  </w:style>
  <w:style w:type="numbering" w:customStyle="1" w:styleId="CurrentList8">
    <w:name w:val="Current List8"/>
    <w:uiPriority w:val="99"/>
    <w:rsid w:val="00FF7B0B"/>
    <w:pPr>
      <w:numPr>
        <w:numId w:val="10"/>
      </w:numPr>
    </w:pPr>
  </w:style>
  <w:style w:type="numbering" w:customStyle="1" w:styleId="CurrentList9">
    <w:name w:val="Current List9"/>
    <w:uiPriority w:val="99"/>
    <w:rsid w:val="00FF7B0B"/>
    <w:pPr>
      <w:numPr>
        <w:numId w:val="11"/>
      </w:numPr>
    </w:pPr>
  </w:style>
  <w:style w:type="numbering" w:customStyle="1" w:styleId="CurrentList10">
    <w:name w:val="Current List10"/>
    <w:uiPriority w:val="99"/>
    <w:rsid w:val="00FF7B0B"/>
    <w:pPr>
      <w:numPr>
        <w:numId w:val="12"/>
      </w:numPr>
    </w:pPr>
  </w:style>
  <w:style w:type="numbering" w:customStyle="1" w:styleId="CurrentList11">
    <w:name w:val="Current List11"/>
    <w:uiPriority w:val="99"/>
    <w:rsid w:val="00F53783"/>
    <w:pPr>
      <w:numPr>
        <w:numId w:val="13"/>
      </w:numPr>
    </w:pPr>
  </w:style>
  <w:style w:type="numbering" w:customStyle="1" w:styleId="CurrentList12">
    <w:name w:val="Current List12"/>
    <w:uiPriority w:val="99"/>
    <w:rsid w:val="00362318"/>
    <w:pPr>
      <w:numPr>
        <w:numId w:val="14"/>
      </w:numPr>
    </w:pPr>
  </w:style>
  <w:style w:type="numbering" w:customStyle="1" w:styleId="CurrentList13">
    <w:name w:val="Current List13"/>
    <w:uiPriority w:val="99"/>
    <w:rsid w:val="008A50D3"/>
    <w:pPr>
      <w:numPr>
        <w:numId w:val="15"/>
      </w:numPr>
    </w:pPr>
  </w:style>
  <w:style w:type="numbering" w:customStyle="1" w:styleId="CurrentList14">
    <w:name w:val="Current List14"/>
    <w:uiPriority w:val="99"/>
    <w:rsid w:val="00F707B7"/>
    <w:pPr>
      <w:numPr>
        <w:numId w:val="16"/>
      </w:numPr>
    </w:pPr>
  </w:style>
  <w:style w:type="numbering" w:customStyle="1" w:styleId="CurrentList15">
    <w:name w:val="Current List15"/>
    <w:uiPriority w:val="99"/>
    <w:rsid w:val="008E14CD"/>
    <w:pPr>
      <w:numPr>
        <w:numId w:val="17"/>
      </w:numPr>
    </w:pPr>
  </w:style>
  <w:style w:type="numbering" w:customStyle="1" w:styleId="CurrentList16">
    <w:name w:val="Current List16"/>
    <w:uiPriority w:val="99"/>
    <w:rsid w:val="008E14CD"/>
    <w:pPr>
      <w:numPr>
        <w:numId w:val="18"/>
      </w:numPr>
    </w:pPr>
  </w:style>
  <w:style w:type="numbering" w:customStyle="1" w:styleId="CurrentList17">
    <w:name w:val="Current List17"/>
    <w:uiPriority w:val="99"/>
    <w:rsid w:val="008E14CD"/>
    <w:pPr>
      <w:numPr>
        <w:numId w:val="19"/>
      </w:numPr>
    </w:pPr>
  </w:style>
  <w:style w:type="numbering" w:customStyle="1" w:styleId="CurrentList18">
    <w:name w:val="Current List18"/>
    <w:uiPriority w:val="99"/>
    <w:rsid w:val="008E14CD"/>
    <w:pPr>
      <w:numPr>
        <w:numId w:val="21"/>
      </w:numPr>
    </w:pPr>
  </w:style>
  <w:style w:type="numbering" w:customStyle="1" w:styleId="CurrentList19">
    <w:name w:val="Current List19"/>
    <w:uiPriority w:val="99"/>
    <w:rsid w:val="008E14CD"/>
    <w:pPr>
      <w:numPr>
        <w:numId w:val="22"/>
      </w:numPr>
    </w:pPr>
  </w:style>
  <w:style w:type="numbering" w:customStyle="1" w:styleId="CurrentList20">
    <w:name w:val="Current List20"/>
    <w:uiPriority w:val="99"/>
    <w:rsid w:val="008E14CD"/>
    <w:pPr>
      <w:numPr>
        <w:numId w:val="23"/>
      </w:numPr>
    </w:pPr>
  </w:style>
  <w:style w:type="numbering" w:customStyle="1" w:styleId="CurrentList21">
    <w:name w:val="Current List21"/>
    <w:uiPriority w:val="99"/>
    <w:rsid w:val="008E14CD"/>
    <w:pPr>
      <w:numPr>
        <w:numId w:val="24"/>
      </w:numPr>
    </w:pPr>
  </w:style>
  <w:style w:type="numbering" w:customStyle="1" w:styleId="CurrentList22">
    <w:name w:val="Current List22"/>
    <w:uiPriority w:val="99"/>
    <w:rsid w:val="008E14CD"/>
    <w:pPr>
      <w:numPr>
        <w:numId w:val="27"/>
      </w:numPr>
    </w:pPr>
  </w:style>
  <w:style w:type="numbering" w:customStyle="1" w:styleId="CurrentList23">
    <w:name w:val="Current List23"/>
    <w:uiPriority w:val="99"/>
    <w:rsid w:val="008E14CD"/>
    <w:pPr>
      <w:numPr>
        <w:numId w:val="29"/>
      </w:numPr>
    </w:pPr>
  </w:style>
  <w:style w:type="paragraph" w:styleId="NormalWeb">
    <w:name w:val="Normal (Web)"/>
    <w:basedOn w:val="Normal"/>
    <w:uiPriority w:val="99"/>
    <w:semiHidden/>
    <w:unhideWhenUsed/>
    <w:rsid w:val="00235549"/>
    <w:pPr>
      <w:spacing w:before="100" w:beforeAutospacing="1" w:after="100" w:afterAutospacing="1" w:line="240" w:lineRule="auto"/>
    </w:pPr>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C832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294"/>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8A2D6F51E14C348AB9C308D910549D0" ma:contentTypeVersion="13" ma:contentTypeDescription="Create a new document." ma:contentTypeScope="" ma:versionID="209493a7883322a1f88cf04fb1d2718e">
  <xsd:schema xmlns:xsd="http://www.w3.org/2001/XMLSchema" xmlns:xs="http://www.w3.org/2001/XMLSchema" xmlns:p="http://schemas.microsoft.com/office/2006/metadata/properties" xmlns:ns2="80317770-fc11-4741-bce2-239c0d249e30" xmlns:ns3="b605b6b6-8364-469d-8d5f-0fd82433a602" targetNamespace="http://schemas.microsoft.com/office/2006/metadata/properties" ma:root="true" ma:fieldsID="4895f5266007aa45edf4c96cffb58904" ns2:_="" ns3:_="">
    <xsd:import namespace="80317770-fc11-4741-bce2-239c0d249e30"/>
    <xsd:import namespace="b605b6b6-8364-469d-8d5f-0fd82433a6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17770-fc11-4741-bce2-239c0d249e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d38f81-9561-40ce-98eb-cd713668d4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05b6b6-8364-469d-8d5f-0fd82433a6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ea82638-733f-4969-a5f9-33d008c81f3d}" ma:internalName="TaxCatchAll" ma:showField="CatchAllData" ma:web="b605b6b6-8364-469d-8d5f-0fd82433a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317770-fc11-4741-bce2-239c0d249e30">
      <Terms xmlns="http://schemas.microsoft.com/office/infopath/2007/PartnerControls"/>
    </lcf76f155ced4ddcb4097134ff3c332f>
    <TaxCatchAll xmlns="b605b6b6-8364-469d-8d5f-0fd82433a602" xsi:nil="true"/>
  </documentManagement>
</p:properties>
</file>

<file path=customXml/itemProps1.xml><?xml version="1.0" encoding="utf-8"?>
<ds:datastoreItem xmlns:ds="http://schemas.openxmlformats.org/officeDocument/2006/customXml" ds:itemID="{D0B8DF43-34A5-4879-8094-8B930F761F09}">
  <ds:schemaRefs>
    <ds:schemaRef ds:uri="http://schemas.microsoft.com/sharepoint/v3/contenttype/forms"/>
  </ds:schemaRefs>
</ds:datastoreItem>
</file>

<file path=customXml/itemProps2.xml><?xml version="1.0" encoding="utf-8"?>
<ds:datastoreItem xmlns:ds="http://schemas.openxmlformats.org/officeDocument/2006/customXml" ds:itemID="{A2720F30-39CF-0B4F-86A9-6FFBECC5CDC0}">
  <ds:schemaRefs>
    <ds:schemaRef ds:uri="http://schemas.openxmlformats.org/officeDocument/2006/bibliography"/>
  </ds:schemaRefs>
</ds:datastoreItem>
</file>

<file path=customXml/itemProps3.xml><?xml version="1.0" encoding="utf-8"?>
<ds:datastoreItem xmlns:ds="http://schemas.openxmlformats.org/officeDocument/2006/customXml" ds:itemID="{29305E1B-EEA6-4F3E-A9D1-A08B2819B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17770-fc11-4741-bce2-239c0d249e30"/>
    <ds:schemaRef ds:uri="b605b6b6-8364-469d-8d5f-0fd82433a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73D9C1-22D4-4773-8F81-2841C7506575}">
  <ds:schemaRefs>
    <ds:schemaRef ds:uri="http://schemas.microsoft.com/office/2006/metadata/properties"/>
    <ds:schemaRef ds:uri="http://schemas.microsoft.com/office/infopath/2007/PartnerControls"/>
    <ds:schemaRef ds:uri="80317770-fc11-4741-bce2-239c0d249e30"/>
    <ds:schemaRef ds:uri="b605b6b6-8364-469d-8d5f-0fd82433a602"/>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Template>
  <TotalTime>0</TotalTime>
  <Pages>31</Pages>
  <Words>23889</Words>
  <Characters>136172</Characters>
  <Application>Microsoft Office Word</Application>
  <DocSecurity>4</DocSecurity>
  <Lines>1134</Lines>
  <Paragraphs>319</Paragraphs>
  <ScaleCrop>false</ScaleCrop>
  <Company/>
  <LinksUpToDate>false</LinksUpToDate>
  <CharactersWithSpaces>159742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Cordelia Dunai</dc:creator>
  <cp:lastModifiedBy>Dunai, Cordelia</cp:lastModifiedBy>
  <cp:revision>2</cp:revision>
  <dcterms:created xsi:type="dcterms:W3CDTF">2026-06-09T15:01:00Z</dcterms:created>
  <dcterms:modified xsi:type="dcterms:W3CDTF">2026-06-09T15:01:00Z</dcterms:modified>
</cp:coreProperties>
</file>