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3D7DE">
      <w:pPr>
        <w:spacing w:after="0"/>
        <w:jc w:val="both"/>
        <w:rPr>
          <w:rFonts w:ascii="Calibri" w:hAnsi="Calibri" w:eastAsia="宋体" w:cs="Calibri"/>
          <w:b/>
          <w:bCs/>
        </w:rPr>
      </w:pPr>
      <w:bookmarkStart w:id="3" w:name="_GoBack"/>
      <w:bookmarkEnd w:id="3"/>
      <w:bookmarkStart w:id="0" w:name="abstract"/>
      <w:r>
        <w:rPr>
          <w:rFonts w:ascii="Calibri" w:hAnsi="Calibri" w:eastAsia="宋体" w:cs="Calibri"/>
          <w:b/>
          <w:bCs/>
        </w:rPr>
        <w:t>TITLE:</w:t>
      </w:r>
    </w:p>
    <w:p w14:paraId="3C23D7DF">
      <w:pPr>
        <w:spacing w:after="0"/>
        <w:jc w:val="both"/>
        <w:rPr>
          <w:rFonts w:ascii="Calibri" w:hAnsi="Calibri" w:eastAsia="宋体" w:cs="Calibri"/>
        </w:rPr>
      </w:pPr>
      <w:r>
        <w:rPr>
          <w:rFonts w:ascii="Calibri" w:hAnsi="Calibri" w:eastAsia="宋体" w:cs="Calibri"/>
        </w:rPr>
        <w:t>Multimodal Single-Cell Analysis Reveals the Prognostic Role of Myeloid Subpopulation–</w:t>
      </w:r>
      <w:r>
        <w:rPr>
          <w:rFonts w:hint="eastAsia" w:eastAsia="宋体"/>
          <w:lang w:eastAsia="zh-CN"/>
        </w:rPr>
        <w:t>A</w:t>
      </w:r>
      <w:r>
        <w:t>ssociated</w:t>
      </w:r>
      <w:r>
        <w:rPr>
          <w:rFonts w:ascii="Calibri" w:hAnsi="Calibri" w:eastAsia="宋体" w:cs="Calibri"/>
        </w:rPr>
        <w:t xml:space="preserve"> PI3K/AKT Signaling in Hepatocellular Carcinoma</w:t>
      </w:r>
    </w:p>
    <w:p w14:paraId="3C23D7E0">
      <w:pPr>
        <w:spacing w:after="0"/>
        <w:jc w:val="both"/>
        <w:rPr>
          <w:rFonts w:ascii="Calibri" w:hAnsi="Calibri" w:eastAsia="宋体" w:cs="Calibri"/>
          <w:b/>
          <w:bCs/>
        </w:rPr>
      </w:pPr>
    </w:p>
    <w:p w14:paraId="3C23D7E1">
      <w:pPr>
        <w:spacing w:after="0"/>
        <w:jc w:val="both"/>
        <w:rPr>
          <w:rFonts w:ascii="Calibri" w:hAnsi="Calibri" w:eastAsia="宋体" w:cs="Calibri"/>
          <w:b/>
          <w:bCs/>
        </w:rPr>
      </w:pPr>
      <w:r>
        <w:rPr>
          <w:rFonts w:ascii="Calibri" w:hAnsi="Calibri" w:eastAsia="宋体" w:cs="Calibri"/>
          <w:b/>
          <w:bCs/>
        </w:rPr>
        <w:t xml:space="preserve">AUTHORS AND AFFILIATIONS: </w:t>
      </w:r>
    </w:p>
    <w:p w14:paraId="3C23D7E2">
      <w:pPr>
        <w:spacing w:after="0"/>
        <w:jc w:val="both"/>
        <w:rPr>
          <w:rFonts w:ascii="Calibri" w:hAnsi="Calibri" w:eastAsia="微软雅黑" w:cs="Calibri"/>
        </w:rPr>
      </w:pPr>
      <w:r>
        <w:rPr>
          <w:rFonts w:ascii="Calibri" w:hAnsi="Calibri" w:eastAsia="微软雅黑" w:cs="Calibri"/>
        </w:rPr>
        <w:t>Zhen Ma</w:t>
      </w:r>
      <w:r>
        <w:rPr>
          <w:rFonts w:ascii="Calibri" w:hAnsi="Calibri" w:eastAsia="微软雅黑" w:cs="Calibri"/>
          <w:vertAlign w:val="superscript"/>
          <w:lang w:eastAsia="zh-CN"/>
        </w:rPr>
        <w:t>1*</w:t>
      </w:r>
      <w:r>
        <w:rPr>
          <w:rFonts w:ascii="Calibri" w:hAnsi="Calibri" w:eastAsia="微软雅黑" w:cs="Calibri"/>
        </w:rPr>
        <w:t>,</w:t>
      </w:r>
      <w:r>
        <w:rPr>
          <w:rFonts w:ascii="Calibri" w:hAnsi="Calibri" w:eastAsia="微软雅黑" w:cs="Calibri"/>
          <w:lang w:eastAsia="zh-CN"/>
        </w:rPr>
        <w:t xml:space="preserve"> Shifan Zhou</w:t>
      </w:r>
      <w:r>
        <w:rPr>
          <w:rFonts w:ascii="Calibri" w:hAnsi="Calibri" w:eastAsia="微软雅黑" w:cs="Calibri"/>
          <w:vertAlign w:val="superscript"/>
        </w:rPr>
        <w:t>1</w:t>
      </w:r>
      <w:r>
        <w:rPr>
          <w:rFonts w:ascii="Calibri" w:hAnsi="Calibri" w:eastAsia="微软雅黑" w:cs="Calibri"/>
          <w:lang w:eastAsia="zh-CN"/>
        </w:rPr>
        <w:t>, Zheng Duan</w:t>
      </w:r>
      <w:r>
        <w:rPr>
          <w:rFonts w:ascii="Calibri" w:hAnsi="Calibri" w:eastAsia="微软雅黑" w:cs="Calibri"/>
          <w:vertAlign w:val="superscript"/>
        </w:rPr>
        <w:t>1</w:t>
      </w:r>
      <w:r>
        <w:rPr>
          <w:rFonts w:ascii="Calibri" w:hAnsi="Calibri" w:eastAsia="微软雅黑" w:cs="Calibri"/>
          <w:lang w:eastAsia="zh-CN"/>
        </w:rPr>
        <w:t>, Chaofeng Zhou</w:t>
      </w:r>
      <w:r>
        <w:rPr>
          <w:rFonts w:ascii="Calibri" w:hAnsi="Calibri" w:eastAsia="微软雅黑" w:cs="Calibri"/>
          <w:vertAlign w:val="superscript"/>
        </w:rPr>
        <w:t>1</w:t>
      </w:r>
      <w:r>
        <w:rPr>
          <w:rFonts w:ascii="Calibri" w:hAnsi="Calibri" w:eastAsia="微软雅黑" w:cs="Calibri"/>
          <w:lang w:eastAsia="zh-CN"/>
        </w:rPr>
        <w:t>, Keke Zhang</w:t>
      </w:r>
      <w:r>
        <w:rPr>
          <w:rFonts w:ascii="Calibri" w:hAnsi="Calibri" w:eastAsia="微软雅黑" w:cs="Calibri"/>
          <w:vertAlign w:val="superscript"/>
        </w:rPr>
        <w:t>1</w:t>
      </w:r>
      <w:r>
        <w:rPr>
          <w:rFonts w:ascii="Calibri" w:hAnsi="Calibri" w:eastAsia="微软雅黑" w:cs="Calibri"/>
        </w:rPr>
        <w:t>,</w:t>
      </w:r>
      <w:r>
        <w:rPr>
          <w:rFonts w:ascii="Calibri" w:hAnsi="Calibri" w:eastAsia="微软雅黑" w:cs="Calibri"/>
          <w:lang w:eastAsia="zh-CN"/>
        </w:rPr>
        <w:t xml:space="preserve"> Zhizhong</w:t>
      </w:r>
      <w:r>
        <w:rPr>
          <w:rFonts w:ascii="Calibri" w:hAnsi="Calibri" w:eastAsia="微软雅黑" w:cs="Calibri"/>
        </w:rPr>
        <w:t xml:space="preserve"> </w:t>
      </w:r>
      <w:r>
        <w:rPr>
          <w:rFonts w:ascii="Calibri" w:hAnsi="Calibri" w:eastAsia="微软雅黑" w:cs="Calibri"/>
          <w:lang w:eastAsia="zh-CN"/>
        </w:rPr>
        <w:t>Guo</w:t>
      </w:r>
      <w:r>
        <w:rPr>
          <w:rFonts w:ascii="Calibri" w:hAnsi="Calibri" w:eastAsia="微软雅黑" w:cs="Calibri"/>
          <w:vertAlign w:val="superscript"/>
          <w:lang w:eastAsia="zh-CN"/>
        </w:rPr>
        <w:t>1</w:t>
      </w:r>
    </w:p>
    <w:p w14:paraId="3C23D7E3">
      <w:pPr>
        <w:spacing w:after="0"/>
        <w:jc w:val="both"/>
        <w:rPr>
          <w:rFonts w:ascii="Calibri" w:hAnsi="Calibri" w:eastAsia="微软雅黑" w:cs="Calibri"/>
          <w:b/>
          <w:bCs/>
          <w:vertAlign w:val="superscript"/>
        </w:rPr>
      </w:pPr>
    </w:p>
    <w:p w14:paraId="3C23D7E4">
      <w:pPr>
        <w:spacing w:after="0"/>
        <w:ind w:left="720" w:hanging="720" w:hangingChars="300"/>
        <w:jc w:val="both"/>
        <w:rPr>
          <w:rFonts w:ascii="Calibri" w:hAnsi="Calibri" w:eastAsia="微软雅黑" w:cs="Calibri"/>
          <w:lang w:eastAsia="zh-CN"/>
        </w:rPr>
      </w:pPr>
      <w:r>
        <w:rPr>
          <w:rFonts w:ascii="Calibri" w:hAnsi="Calibri" w:eastAsia="微软雅黑" w:cs="Calibri"/>
          <w:vertAlign w:val="superscript"/>
          <w:lang w:eastAsia="zh-CN"/>
        </w:rPr>
        <w:t>1</w:t>
      </w:r>
      <w:r>
        <w:rPr>
          <w:rFonts w:ascii="Calibri" w:hAnsi="Calibri" w:eastAsia="微软雅黑" w:cs="Calibri"/>
        </w:rPr>
        <w:t>Henan Provincial Hospital of Traditional Chinese Medicine, Zhengzhou, Chin</w:t>
      </w:r>
      <w:r>
        <w:rPr>
          <w:rFonts w:ascii="Calibri" w:hAnsi="Calibri" w:eastAsia="微软雅黑" w:cs="Calibri"/>
          <w:lang w:eastAsia="zh-CN"/>
        </w:rPr>
        <w:t>a.</w:t>
      </w:r>
    </w:p>
    <w:p w14:paraId="3C23D7E5">
      <w:pPr>
        <w:spacing w:after="0"/>
        <w:jc w:val="both"/>
        <w:rPr>
          <w:rFonts w:ascii="Calibri" w:hAnsi="Calibri" w:eastAsia="微软雅黑" w:cs="Calibri"/>
        </w:rPr>
      </w:pPr>
    </w:p>
    <w:p w14:paraId="3C23D7E6">
      <w:pPr>
        <w:spacing w:after="0"/>
        <w:jc w:val="both"/>
        <w:rPr>
          <w:rFonts w:ascii="Calibri" w:hAnsi="Calibri" w:eastAsia="微软雅黑" w:cs="Calibri"/>
        </w:rPr>
      </w:pPr>
      <w:r>
        <w:rPr>
          <w:rFonts w:ascii="Calibri" w:hAnsi="Calibri" w:eastAsia="微软雅黑" w:cs="Calibri"/>
        </w:rPr>
        <w:t xml:space="preserve">*Corresponding author: </w:t>
      </w:r>
    </w:p>
    <w:p w14:paraId="3C23D7E7">
      <w:pPr>
        <w:spacing w:after="0"/>
        <w:jc w:val="both"/>
      </w:pPr>
      <w:r>
        <w:rPr>
          <w:rFonts w:ascii="Calibri" w:hAnsi="Calibri" w:eastAsia="微软雅黑" w:cs="Calibri"/>
        </w:rPr>
        <w:t xml:space="preserve">Zhen Ma </w:t>
      </w:r>
      <w:r>
        <w:rPr>
          <w:rFonts w:ascii="Calibri" w:hAnsi="Calibri" w:eastAsia="微软雅黑" w:cs="Calibri"/>
        </w:rPr>
        <w:tab/>
      </w:r>
      <w:r>
        <w:rPr>
          <w:rFonts w:ascii="Calibri" w:hAnsi="Calibri" w:eastAsia="微软雅黑" w:cs="Calibri"/>
        </w:rPr>
        <w:tab/>
      </w:r>
      <w:r>
        <w:rPr>
          <w:rFonts w:ascii="Calibri" w:hAnsi="Calibri" w:eastAsia="微软雅黑" w:cs="Calibri"/>
        </w:rPr>
        <w:tab/>
      </w:r>
      <w:r>
        <w:fldChar w:fldCharType="begin"/>
      </w:r>
      <w:r>
        <w:instrText xml:space="preserve"> HYPERLINK "mailto:mz15903698623@163.com" </w:instrText>
      </w:r>
      <w:r>
        <w:fldChar w:fldCharType="separate"/>
      </w:r>
      <w:r>
        <w:rPr>
          <w:rStyle w:val="16"/>
          <w:rFonts w:ascii="Calibri" w:hAnsi="Calibri" w:eastAsia="微软雅黑" w:cs="Calibri"/>
          <w:lang w:eastAsia="zh-CN"/>
        </w:rPr>
        <w:t>mz15903698623@163.com</w:t>
      </w:r>
      <w:r>
        <w:rPr>
          <w:rStyle w:val="16"/>
          <w:rFonts w:ascii="Calibri" w:hAnsi="Calibri" w:eastAsia="微软雅黑" w:cs="Calibri"/>
          <w:lang w:eastAsia="zh-CN"/>
        </w:rPr>
        <w:fldChar w:fldCharType="end"/>
      </w:r>
    </w:p>
    <w:p w14:paraId="3C23D7E8">
      <w:pPr>
        <w:spacing w:after="0"/>
        <w:jc w:val="both"/>
      </w:pPr>
    </w:p>
    <w:p w14:paraId="3C23D7E9">
      <w:pPr>
        <w:spacing w:after="0"/>
        <w:jc w:val="both"/>
      </w:pPr>
      <w:r>
        <w:t>Email addresses of co-authors:</w:t>
      </w:r>
    </w:p>
    <w:p w14:paraId="3C23D7EA">
      <w:pPr>
        <w:spacing w:after="0"/>
        <w:jc w:val="both"/>
        <w:rPr>
          <w:rFonts w:ascii="Calibri" w:hAnsi="Calibri" w:eastAsia="微软雅黑" w:cs="Calibri"/>
          <w:lang w:val="pt-BR" w:eastAsia="zh-CN"/>
        </w:rPr>
      </w:pPr>
      <w:r>
        <w:rPr>
          <w:rFonts w:ascii="Calibri" w:hAnsi="Calibri" w:eastAsia="微软雅黑" w:cs="Calibri"/>
          <w:lang w:val="pt-BR" w:eastAsia="zh-CN"/>
        </w:rPr>
        <w:t>Shifan Zhou</w:t>
      </w:r>
      <w:r>
        <w:rPr>
          <w:rFonts w:hint="eastAsia" w:ascii="Calibri" w:hAnsi="Calibri" w:eastAsia="微软雅黑" w:cs="Calibri"/>
          <w:lang w:val="pt-BR" w:eastAsia="zh-CN"/>
        </w:rPr>
        <w:t xml:space="preserve">        mz15903698623@126.com</w:t>
      </w:r>
    </w:p>
    <w:p w14:paraId="3C23D7EB">
      <w:pPr>
        <w:spacing w:after="0"/>
        <w:jc w:val="both"/>
        <w:rPr>
          <w:rFonts w:ascii="Calibri" w:hAnsi="Calibri" w:eastAsia="微软雅黑" w:cs="Calibri"/>
          <w:lang w:val="pt-BR" w:eastAsia="zh-CN"/>
        </w:rPr>
      </w:pPr>
      <w:r>
        <w:rPr>
          <w:rFonts w:ascii="Calibri" w:hAnsi="Calibri" w:eastAsia="微软雅黑" w:cs="Calibri"/>
          <w:lang w:val="pt-BR" w:eastAsia="zh-CN"/>
        </w:rPr>
        <w:t xml:space="preserve">Zheng Duan    </w:t>
      </w:r>
      <w:r>
        <w:rPr>
          <w:rFonts w:ascii="Calibri" w:hAnsi="Calibri" w:eastAsia="微软雅黑" w:cs="Calibri"/>
          <w:lang w:val="pt-BR" w:eastAsia="zh-CN"/>
        </w:rPr>
        <w:tab/>
      </w:r>
      <w:r>
        <w:rPr>
          <w:rFonts w:ascii="Calibri" w:hAnsi="Calibri" w:eastAsia="微软雅黑" w:cs="Calibri"/>
          <w:lang w:val="pt-BR" w:eastAsia="zh-CN"/>
        </w:rPr>
        <w:tab/>
      </w:r>
      <w:r>
        <w:fldChar w:fldCharType="begin"/>
      </w:r>
      <w:r>
        <w:rPr>
          <w:lang w:val="pt-BR"/>
        </w:rPr>
        <w:instrText xml:space="preserve">HYPERLINK "mailto:15903698623@163.com"</w:instrText>
      </w:r>
      <w:r>
        <w:fldChar w:fldCharType="separate"/>
      </w:r>
      <w:r>
        <w:rPr>
          <w:rStyle w:val="16"/>
          <w:rFonts w:ascii="Calibri" w:hAnsi="Calibri" w:eastAsia="微软雅黑" w:cs="Calibri"/>
          <w:u w:val="none"/>
          <w:lang w:val="pt-BR" w:eastAsia="zh-CN"/>
        </w:rPr>
        <w:t>15903698623@163.com</w:t>
      </w:r>
      <w:r>
        <w:fldChar w:fldCharType="end"/>
      </w:r>
      <w:r>
        <w:rPr>
          <w:rFonts w:ascii="Calibri" w:hAnsi="Calibri" w:eastAsia="微软雅黑" w:cs="Calibri"/>
          <w:lang w:val="pt-BR" w:eastAsia="zh-CN"/>
        </w:rPr>
        <w:t xml:space="preserve"> </w:t>
      </w:r>
    </w:p>
    <w:p w14:paraId="3C23D7EC">
      <w:pPr>
        <w:spacing w:after="0"/>
        <w:jc w:val="both"/>
        <w:rPr>
          <w:rFonts w:ascii="Calibri" w:hAnsi="Calibri" w:eastAsia="微软雅黑" w:cs="Calibri"/>
          <w:lang w:val="en-IN" w:eastAsia="zh-CN"/>
        </w:rPr>
      </w:pPr>
      <w:r>
        <w:rPr>
          <w:rFonts w:ascii="Calibri" w:hAnsi="Calibri" w:eastAsia="微软雅黑" w:cs="Calibri"/>
          <w:lang w:val="en-IN" w:eastAsia="zh-CN"/>
        </w:rPr>
        <w:t>Chaofeng Zhou</w:t>
      </w:r>
      <w:r>
        <w:rPr>
          <w:rFonts w:ascii="Calibri" w:hAnsi="Calibri" w:eastAsia="微软雅黑" w:cs="Calibri"/>
          <w:lang w:val="en-IN" w:eastAsia="zh-CN"/>
        </w:rPr>
        <w:tab/>
      </w:r>
      <w:r>
        <w:rPr>
          <w:rFonts w:ascii="Calibri" w:hAnsi="Calibri" w:eastAsia="微软雅黑" w:cs="Calibri"/>
          <w:lang w:val="en-IN" w:eastAsia="zh-CN"/>
        </w:rPr>
        <w:tab/>
      </w:r>
      <w:r>
        <w:rPr>
          <w:rFonts w:ascii="Calibri" w:hAnsi="Calibri" w:eastAsia="微软雅黑" w:cs="Calibri"/>
          <w:lang w:eastAsia="zh-CN"/>
        </w:rPr>
        <w:t>1352036266@163.com</w:t>
      </w:r>
    </w:p>
    <w:p w14:paraId="3C23D7ED">
      <w:pPr>
        <w:spacing w:after="0"/>
        <w:jc w:val="both"/>
        <w:rPr>
          <w:rFonts w:ascii="Calibri" w:hAnsi="Calibri" w:eastAsia="微软雅黑" w:cs="Calibri"/>
          <w:vertAlign w:val="superscript"/>
        </w:rPr>
      </w:pPr>
      <w:r>
        <w:rPr>
          <w:rFonts w:ascii="Calibri" w:hAnsi="Calibri" w:eastAsia="微软雅黑" w:cs="Calibri"/>
          <w:lang w:eastAsia="zh-CN"/>
        </w:rPr>
        <w:t xml:space="preserve">Keke Zhang    </w:t>
      </w:r>
      <w:r>
        <w:rPr>
          <w:rFonts w:ascii="Calibri" w:hAnsi="Calibri" w:eastAsia="微软雅黑" w:cs="Calibri"/>
          <w:lang w:eastAsia="zh-CN"/>
        </w:rPr>
        <w:tab/>
      </w:r>
      <w:r>
        <w:rPr>
          <w:rFonts w:ascii="Calibri" w:hAnsi="Calibri" w:eastAsia="微软雅黑" w:cs="Calibri"/>
          <w:lang w:eastAsia="zh-CN"/>
        </w:rPr>
        <w:tab/>
      </w:r>
      <w:r>
        <w:rPr>
          <w:rFonts w:ascii="Calibri" w:hAnsi="Calibri" w:eastAsia="微软雅黑" w:cs="Calibri"/>
          <w:lang w:eastAsia="zh-CN"/>
        </w:rPr>
        <w:t>m02042424z@qq.com</w:t>
      </w:r>
    </w:p>
    <w:p w14:paraId="3C23D7EE">
      <w:pPr>
        <w:spacing w:after="0"/>
        <w:jc w:val="both"/>
        <w:rPr>
          <w:rFonts w:ascii="Calibri" w:hAnsi="Calibri" w:eastAsia="微软雅黑" w:cs="Calibri"/>
        </w:rPr>
      </w:pPr>
      <w:r>
        <w:rPr>
          <w:rFonts w:ascii="Calibri" w:hAnsi="Calibri" w:eastAsia="微软雅黑" w:cs="Calibri"/>
          <w:lang w:eastAsia="zh-CN"/>
        </w:rPr>
        <w:t>Zhizhong</w:t>
      </w:r>
      <w:r>
        <w:rPr>
          <w:rFonts w:ascii="Calibri" w:hAnsi="Calibri" w:eastAsia="微软雅黑" w:cs="Calibri"/>
        </w:rPr>
        <w:t xml:space="preserve"> </w:t>
      </w:r>
      <w:r>
        <w:rPr>
          <w:rFonts w:ascii="Calibri" w:hAnsi="Calibri" w:eastAsia="微软雅黑" w:cs="Calibri"/>
          <w:lang w:eastAsia="zh-CN"/>
        </w:rPr>
        <w:t>Guo</w:t>
      </w:r>
      <w:r>
        <w:rPr>
          <w:rFonts w:ascii="Calibri" w:hAnsi="Calibri" w:eastAsia="微软雅黑" w:cs="Calibri"/>
          <w:lang w:eastAsia="zh-CN"/>
        </w:rPr>
        <w:tab/>
      </w:r>
      <w:r>
        <w:rPr>
          <w:rFonts w:ascii="Calibri" w:hAnsi="Calibri" w:eastAsia="微软雅黑" w:cs="Calibri"/>
          <w:lang w:eastAsia="zh-CN"/>
        </w:rPr>
        <w:tab/>
      </w:r>
      <w:r>
        <w:rPr>
          <w:rFonts w:ascii="Calibri" w:hAnsi="Calibri" w:eastAsia="微软雅黑" w:cs="Calibri"/>
          <w:lang w:eastAsia="zh-CN"/>
        </w:rPr>
        <w:t>fangliaoo0525@163.com</w:t>
      </w:r>
    </w:p>
    <w:p w14:paraId="3C23D7EF">
      <w:pPr>
        <w:spacing w:after="0"/>
        <w:jc w:val="both"/>
        <w:rPr>
          <w:rFonts w:ascii="Calibri" w:hAnsi="Calibri" w:cs="Calibri"/>
          <w:b/>
          <w:bCs/>
        </w:rPr>
      </w:pPr>
    </w:p>
    <w:p w14:paraId="3C23D7F0">
      <w:pPr>
        <w:spacing w:after="0"/>
        <w:jc w:val="both"/>
        <w:rPr>
          <w:rFonts w:ascii="Calibri" w:hAnsi="Calibri" w:cs="Calibri"/>
          <w:b/>
          <w:bCs/>
        </w:rPr>
      </w:pPr>
      <w:r>
        <w:rPr>
          <w:rFonts w:hint="eastAsia" w:ascii="Calibri" w:hAnsi="Calibri" w:eastAsia="宋体" w:cs="Calibri"/>
          <w:b/>
          <w:bCs/>
          <w:lang w:eastAsia="zh-CN"/>
        </w:rPr>
        <w:t>SUMMARY</w:t>
      </w:r>
      <w:r>
        <w:rPr>
          <w:rFonts w:ascii="Calibri" w:hAnsi="Calibri" w:cs="Calibri"/>
          <w:b/>
          <w:bCs/>
        </w:rPr>
        <w:t>:</w:t>
      </w:r>
    </w:p>
    <w:p w14:paraId="3C23D7F1">
      <w:pPr>
        <w:spacing w:after="0"/>
        <w:jc w:val="both"/>
        <w:rPr>
          <w:rFonts w:ascii="Calibri" w:hAnsi="Calibri" w:cs="Calibri"/>
          <w:lang w:val="en-IN"/>
        </w:rPr>
      </w:pPr>
      <w:r>
        <w:rPr>
          <w:rFonts w:ascii="Calibri" w:hAnsi="Calibri" w:cs="Calibri"/>
          <w:lang w:val="en-IN"/>
        </w:rPr>
        <w:t>An integrated framework combining an autoencoder, single-cell RNA sequencing, and machine learning identified prognostic subtypes of hepatocellular carcinoma. PI3K/AKT signaling was found to regulate tumor-associated myeloid cell reprogramming, while RAC1 and SLC2A1 emerged as key prognostic biomarkers. Phospho-specific Western blotting validated modulation of the PI3K/AKT signaling pathway.</w:t>
      </w:r>
    </w:p>
    <w:p w14:paraId="3C23D7F2">
      <w:pPr>
        <w:spacing w:after="0"/>
        <w:jc w:val="both"/>
        <w:rPr>
          <w:rFonts w:ascii="Calibri" w:hAnsi="Calibri" w:cs="Calibri"/>
          <w:b/>
          <w:bCs/>
          <w:lang w:val="en-IN"/>
        </w:rPr>
      </w:pPr>
    </w:p>
    <w:p w14:paraId="3C23D7F3">
      <w:pPr>
        <w:pStyle w:val="9"/>
        <w:spacing w:beforeAutospacing="0" w:afterAutospacing="0"/>
        <w:jc w:val="both"/>
        <w:rPr>
          <w:rFonts w:ascii="Calibri" w:hAnsi="Calibri" w:cs="Calibri"/>
          <w:b/>
          <w:bCs/>
        </w:rPr>
      </w:pPr>
      <w:r>
        <w:rPr>
          <w:rFonts w:ascii="Calibri" w:hAnsi="Calibri" w:cs="Calibri"/>
          <w:b/>
          <w:bCs/>
        </w:rPr>
        <w:t>ABSTRACT:</w:t>
      </w:r>
    </w:p>
    <w:p w14:paraId="3C23D7F4">
      <w:pPr>
        <w:pStyle w:val="9"/>
        <w:spacing w:beforeAutospacing="0" w:afterAutospacing="0"/>
        <w:jc w:val="both"/>
        <w:rPr>
          <w:rFonts w:ascii="Calibri" w:hAnsi="Calibri" w:cs="Calibri"/>
        </w:rPr>
      </w:pPr>
      <w:r>
        <w:rPr>
          <w:rFonts w:ascii="Calibri" w:hAnsi="Calibri" w:cs="Calibri"/>
          <w:highlight w:val="yellow"/>
        </w:rPr>
        <w:t xml:space="preserve">Hepatocellular carcinoma (HCC) represents a major global health burden with rising incidence, marked heterogeneity, and poor prognosis, necessitating reliable biomarkers for prognostic stratification. </w:t>
      </w:r>
      <w:r>
        <w:rPr>
          <w:rFonts w:hint="eastAsia" w:ascii="Calibri" w:hAnsi="Calibri" w:cs="Calibri"/>
          <w:highlight w:val="yellow"/>
        </w:rPr>
        <w:t xml:space="preserve">This study conducted a comprehensive </w:t>
      </w:r>
      <w:r>
        <w:rPr>
          <w:rFonts w:ascii="Calibri" w:hAnsi="Calibri" w:cs="Calibri"/>
          <w:highlight w:val="yellow"/>
        </w:rPr>
        <w:t>multi-omics analysis, combining a large amount of RNA-seq data from TCGA-LIHC with a single-cell RNA-seq</w:t>
      </w:r>
      <w:r>
        <w:rPr>
          <w:rFonts w:hint="eastAsia" w:ascii="Calibri" w:hAnsi="Calibri" w:cs="Calibri"/>
          <w:highlight w:val="yellow"/>
        </w:rPr>
        <w:t xml:space="preserve"> database. Feature extraction </w:t>
      </w:r>
      <w:r>
        <w:rPr>
          <w:rFonts w:ascii="Calibri" w:hAnsi="Calibri" w:cs="Calibri"/>
          <w:highlight w:val="yellow"/>
        </w:rPr>
        <w:t>using autoencoders and 12 machine learning algorithms was applied to identify prognostic biomarkers</w:t>
      </w:r>
      <w:r>
        <w:rPr>
          <w:rFonts w:hint="eastAsia" w:ascii="Calibri" w:hAnsi="Calibri" w:cs="Calibri"/>
          <w:highlight w:val="yellow"/>
        </w:rPr>
        <w:t xml:space="preserve">, followed by survival analysis, single-cell atlas construction, and experimental validation. Using </w:t>
      </w:r>
      <w:r>
        <w:rPr>
          <w:rFonts w:ascii="Calibri" w:hAnsi="Calibri" w:cs="Calibri"/>
          <w:highlight w:val="yellow"/>
        </w:rPr>
        <w:t>multi-gene representations from autoencoders, the authors determined that the PI3K/AKT pathway is a critical survival-related</w:t>
      </w:r>
      <w:r>
        <w:rPr>
          <w:rFonts w:hint="eastAsia" w:ascii="Calibri" w:hAnsi="Calibri" w:cs="Calibri"/>
          <w:highlight w:val="yellow"/>
        </w:rPr>
        <w:t xml:space="preserve"> pathway</w:t>
      </w:r>
      <w:r>
        <w:rPr>
          <w:rFonts w:ascii="Calibri" w:hAnsi="Calibri" w:cs="Calibri"/>
          <w:highlight w:val="yellow"/>
        </w:rPr>
        <w:t xml:space="preserve">. Integrated single-cell analysis uncovered 12 distinct cellular clusters, with the myeloid subpopulation showing pronounced transcriptional dysregulation driven by PI3K/AKT signaling. The intersection of 2,567 upregulated genes from myeloid cells and 105 PI3K/AKT pathway-related genes identified 24 overlapping candidates. LASSO optimization yielded a robust predictive model (ROC-AUC = 0.949), consistently identifying RAC1 and SLC2A1 as core prognostic genes validated in the external cohort GSE76427. Both genes showed strong associations with adverse survival outcomes and EMT pathway activation. Western blot experiments confirmed that RAC1 and SLC2A1 knockdown modulate PI3K/AKT pathway activity, while transwell assays demonstrated suppressed migration and invasion. This study establishes a comprehensive framework integrating multi-omics profiling, single-cell transcriptomics, and machine learning to dissect HCC molecular heterogeneity. </w:t>
      </w:r>
      <w:r>
        <w:rPr>
          <w:rFonts w:hint="eastAsia" w:ascii="Calibri" w:hAnsi="Calibri" w:eastAsia="宋体" w:cs="Calibri"/>
          <w:highlight w:val="yellow"/>
        </w:rPr>
        <w:t xml:space="preserve">This </w:t>
      </w:r>
      <w:r>
        <w:rPr>
          <w:rFonts w:hint="eastAsia" w:ascii="Calibri" w:hAnsi="Calibri" w:cs="Calibri"/>
          <w:highlight w:val="yellow"/>
        </w:rPr>
        <w:t xml:space="preserve">study identified the PI3K/AKT signaling axis as a key prognostic driver in </w:t>
      </w:r>
      <w:r>
        <w:rPr>
          <w:rFonts w:ascii="Calibri" w:hAnsi="Calibri" w:cs="Calibri"/>
          <w:highlight w:val="yellow"/>
        </w:rPr>
        <w:t>tumor-associated</w:t>
      </w:r>
      <w:r>
        <w:rPr>
          <w:rFonts w:hint="eastAsia" w:ascii="Calibri" w:hAnsi="Calibri" w:cs="Calibri"/>
          <w:highlight w:val="yellow"/>
        </w:rPr>
        <w:t xml:space="preserve"> bone marrow subgroups and identified candidate biomarkers RAC1 and SLC2A1, providing mechanistic insights for the development of targeted therapies for this challenging malignant tumor</w:t>
      </w:r>
      <w:r>
        <w:rPr>
          <w:rFonts w:ascii="Calibri" w:hAnsi="Calibri" w:cs="Calibri"/>
          <w:highlight w:val="yellow"/>
        </w:rPr>
        <w:t>.</w:t>
      </w:r>
    </w:p>
    <w:p w14:paraId="3C23D7F5">
      <w:pPr>
        <w:pStyle w:val="9"/>
        <w:spacing w:beforeAutospacing="0" w:afterAutospacing="0"/>
        <w:jc w:val="both"/>
        <w:rPr>
          <w:rFonts w:ascii="Calibri" w:hAnsi="Calibri" w:cs="Calibri"/>
        </w:rPr>
      </w:pPr>
    </w:p>
    <w:p w14:paraId="3C23D7F6">
      <w:pPr>
        <w:spacing w:after="0"/>
        <w:jc w:val="both"/>
        <w:rPr>
          <w:rFonts w:ascii="Calibri" w:hAnsi="Calibri" w:cs="Calibri"/>
          <w:lang w:eastAsia="zh-CN"/>
        </w:rPr>
      </w:pPr>
      <w:r>
        <w:rPr>
          <w:rFonts w:ascii="Calibri" w:hAnsi="Calibri" w:cs="Calibri"/>
          <w:b/>
          <w:bCs/>
          <w:lang w:eastAsia="zh-CN"/>
        </w:rPr>
        <w:t>KEYWORDS:</w:t>
      </w:r>
      <w:r>
        <w:rPr>
          <w:rFonts w:ascii="Calibri" w:hAnsi="Calibri" w:cs="Calibri"/>
          <w:lang w:eastAsia="zh-CN"/>
        </w:rPr>
        <w:t xml:space="preserve"> </w:t>
      </w:r>
    </w:p>
    <w:p w14:paraId="3C23D7F7">
      <w:pPr>
        <w:spacing w:after="0"/>
        <w:jc w:val="both"/>
        <w:rPr>
          <w:rFonts w:ascii="Calibri" w:hAnsi="Calibri" w:cs="Calibri"/>
          <w:lang w:eastAsia="zh-CN"/>
        </w:rPr>
      </w:pPr>
      <w:r>
        <w:rPr>
          <w:rFonts w:ascii="Calibri" w:hAnsi="Calibri" w:cs="Calibri"/>
          <w:lang w:eastAsia="zh-CN"/>
        </w:rPr>
        <w:t xml:space="preserve">Multimodal single-cell analysis; Hepatocellular carcinoma; Myeloid cells; RAC1; SLC2A1; PI3K/AKT signaling pathway; </w:t>
      </w:r>
      <w:bookmarkEnd w:id="0"/>
      <w:bookmarkStart w:id="1" w:name="introduction"/>
      <w:r>
        <w:rPr>
          <w:rFonts w:ascii="Calibri" w:hAnsi="Calibri" w:cs="Calibri"/>
          <w:lang w:eastAsia="zh-CN"/>
        </w:rPr>
        <w:t>Prognostic diagnosis</w:t>
      </w:r>
    </w:p>
    <w:p w14:paraId="3C23D7F8">
      <w:pPr>
        <w:spacing w:after="0"/>
        <w:jc w:val="both"/>
        <w:rPr>
          <w:rFonts w:ascii="Calibri" w:hAnsi="Calibri" w:cs="Calibri"/>
          <w:lang w:eastAsia="zh-CN"/>
        </w:rPr>
      </w:pPr>
    </w:p>
    <w:p w14:paraId="3C23D7F9">
      <w:pPr>
        <w:spacing w:after="0"/>
        <w:jc w:val="both"/>
        <w:rPr>
          <w:rFonts w:ascii="Calibri" w:hAnsi="Calibri" w:cs="Calibri"/>
          <w:b/>
          <w:bCs/>
          <w:lang w:eastAsia="zh-CN"/>
        </w:rPr>
      </w:pPr>
      <w:r>
        <w:rPr>
          <w:rFonts w:ascii="Calibri" w:hAnsi="Calibri" w:cs="Calibri"/>
          <w:b/>
          <w:bCs/>
        </w:rPr>
        <w:t>INTRODUCTION:</w:t>
      </w:r>
    </w:p>
    <w:bookmarkEnd w:id="1"/>
    <w:p w14:paraId="3C23D7FA">
      <w:pPr>
        <w:pStyle w:val="9"/>
        <w:spacing w:beforeAutospacing="0" w:afterAutospacing="0"/>
        <w:jc w:val="both"/>
        <w:rPr>
          <w:rFonts w:ascii="Calibri" w:hAnsi="Calibri" w:cs="Calibri"/>
        </w:rPr>
      </w:pPr>
      <w:bookmarkStart w:id="2" w:name="discussion"/>
      <w:r>
        <w:rPr>
          <w:rFonts w:ascii="Calibri" w:hAnsi="Calibri" w:cs="Calibri"/>
        </w:rPr>
        <w:t>Hepatocellular carcinoma (HCC) remains a global health challenge due to its rising incidence, poor prognosis, and high mortality. It is one of the most common primary liver malignancies and a leading cause of cancer-related death worldwide</w:t>
      </w:r>
      <w:r>
        <w:rPr>
          <w:rFonts w:ascii="Calibri" w:hAnsi="Calibri" w:cs="Calibri"/>
          <w:vertAlign w:val="superscript"/>
        </w:rPr>
        <w:t>1</w:t>
      </w:r>
      <w:r>
        <w:rPr>
          <w:rFonts w:ascii="Calibri" w:hAnsi="Calibri" w:cs="Calibri"/>
        </w:rPr>
        <w:t>. Its incidence continues to increase, especially in patients with chronic hepatitis or cirrhosis, creating substantial clinical and socioeconomic burdens</w:t>
      </w:r>
      <w:r>
        <w:rPr>
          <w:rFonts w:ascii="Calibri" w:hAnsi="Calibri" w:cs="Calibri"/>
          <w:vertAlign w:val="superscript"/>
        </w:rPr>
        <w:t>2</w:t>
      </w:r>
      <w:r>
        <w:rPr>
          <w:rFonts w:ascii="Calibri" w:hAnsi="Calibri" w:cs="Calibri"/>
        </w:rPr>
        <w:t>. Although treatment modalities such as resection, transplantation, ablation, chemotherapy, and targeted therapies have advanced, their efficacy in advanced disease is limited, and recurrence rates remain high</w:t>
      </w:r>
      <w:r>
        <w:rPr>
          <w:rFonts w:ascii="Calibri" w:hAnsi="Calibri" w:cs="Calibri"/>
          <w:vertAlign w:val="superscript"/>
        </w:rPr>
        <w:t>3</w:t>
      </w:r>
      <w:r>
        <w:rPr>
          <w:rFonts w:ascii="Calibri" w:hAnsi="Calibri" w:cs="Calibri"/>
        </w:rPr>
        <w:t>. Prognostic prediction and treatment decisions are further complicated by profound inter-patient heterogeneity, underscoring the urgent need for reliable biomarkers and novel therapeutic targets</w:t>
      </w:r>
      <w:r>
        <w:rPr>
          <w:rFonts w:ascii="Calibri" w:hAnsi="Calibri" w:cs="Calibri"/>
          <w:vertAlign w:val="superscript"/>
        </w:rPr>
        <w:t>4</w:t>
      </w:r>
      <w:r>
        <w:rPr>
          <w:rFonts w:ascii="Calibri" w:hAnsi="Calibri" w:cs="Calibri"/>
        </w:rPr>
        <w:t>.</w:t>
      </w:r>
    </w:p>
    <w:p w14:paraId="3C23D7FB">
      <w:pPr>
        <w:pStyle w:val="9"/>
        <w:spacing w:beforeAutospacing="0" w:afterAutospacing="0"/>
        <w:jc w:val="both"/>
        <w:rPr>
          <w:rFonts w:ascii="Calibri" w:hAnsi="Calibri" w:cs="Calibri"/>
        </w:rPr>
      </w:pPr>
    </w:p>
    <w:p w14:paraId="3C23D7FC">
      <w:pPr>
        <w:pStyle w:val="9"/>
        <w:spacing w:beforeAutospacing="0" w:afterAutospacing="0"/>
        <w:jc w:val="both"/>
        <w:rPr>
          <w:rFonts w:ascii="Calibri" w:hAnsi="Calibri" w:cs="Calibri"/>
        </w:rPr>
      </w:pPr>
      <w:r>
        <w:rPr>
          <w:rFonts w:ascii="Calibri" w:hAnsi="Calibri" w:cs="Calibri"/>
        </w:rPr>
        <w:t>Multimodal single-cell technologies provide unprecedented opportunities to dissect the molecular complexity of HCC. By integrating transcriptomic, epigenomic, and other omics layers at single-cell resolution, these methods surpass bulk and single-modality analyses in capturing intratumoral heterogeneity</w:t>
      </w:r>
      <w:r>
        <w:rPr>
          <w:rFonts w:ascii="Calibri" w:hAnsi="Calibri" w:cs="Calibri"/>
          <w:vertAlign w:val="superscript"/>
        </w:rPr>
        <w:t>5</w:t>
      </w:r>
      <w:r>
        <w:rPr>
          <w:rFonts w:ascii="Calibri" w:hAnsi="Calibri" w:cs="Calibri"/>
        </w:rPr>
        <w:t>. Such integrative profiling allows the detection of dynamic regulatory programs during tumor progression and facilitates the identification of clinically relevant biomarkers with improved interpretability</w:t>
      </w:r>
      <w:r>
        <w:rPr>
          <w:rFonts w:ascii="Calibri" w:hAnsi="Calibri" w:cs="Calibri"/>
          <w:vertAlign w:val="superscript"/>
        </w:rPr>
        <w:t>6</w:t>
      </w:r>
      <w:r>
        <w:rPr>
          <w:rFonts w:ascii="Calibri" w:hAnsi="Calibri" w:cs="Calibri"/>
        </w:rPr>
        <w:t>. Recent studies have highlighted the critical role of macrophage subpopulations in HCC progression and immune microenvironment remodeling. A study demonstrated that tumor-associated macrophages (TAMs) undergo metabolic reprogramming through the mTORC1 pathway, driving immunosuppressive phenotype acquisition and facilitating HCC immune evasion</w:t>
      </w:r>
      <w:r>
        <w:rPr>
          <w:rFonts w:ascii="Calibri" w:hAnsi="Calibri" w:eastAsia="宋体" w:cs="Calibri"/>
          <w:vertAlign w:val="superscript"/>
        </w:rPr>
        <w:t>7</w:t>
      </w:r>
      <w:r>
        <w:rPr>
          <w:rFonts w:ascii="Calibri" w:hAnsi="Calibri" w:cs="Calibri"/>
        </w:rPr>
        <w:t>. Furthermore, it was revealed that macrophage-derived exosomal miRNAs modulate HCC cell stemness and chemoresistance through the Wnt/β-catenin pathway, providing new insights into macrophage-HCC crosstalk mechanisms</w:t>
      </w:r>
      <w:r>
        <w:rPr>
          <w:rFonts w:ascii="Calibri" w:hAnsi="Calibri" w:eastAsia="宋体" w:cs="Calibri"/>
          <w:vertAlign w:val="superscript"/>
        </w:rPr>
        <w:t>8</w:t>
      </w:r>
      <w:r>
        <w:rPr>
          <w:rFonts w:ascii="Calibri" w:hAnsi="Calibri" w:cs="Calibri"/>
        </w:rPr>
        <w:t>. These findings underscore the importance of understanding myeloid cell functional states in HCC prognosis and therapeutic response.</w:t>
      </w:r>
    </w:p>
    <w:p w14:paraId="3C23D7FD">
      <w:pPr>
        <w:pStyle w:val="9"/>
        <w:spacing w:beforeAutospacing="0" w:afterAutospacing="0"/>
        <w:jc w:val="both"/>
        <w:rPr>
          <w:rFonts w:ascii="Calibri" w:hAnsi="Calibri" w:cs="Calibri"/>
        </w:rPr>
      </w:pPr>
    </w:p>
    <w:p w14:paraId="3C23D7FE">
      <w:pPr>
        <w:pStyle w:val="9"/>
        <w:spacing w:beforeAutospacing="0" w:afterAutospacing="0"/>
        <w:jc w:val="both"/>
        <w:rPr>
          <w:rFonts w:ascii="Calibri" w:hAnsi="Calibri" w:cs="Calibri"/>
        </w:rPr>
      </w:pPr>
      <w:r>
        <w:rPr>
          <w:rFonts w:ascii="Calibri" w:hAnsi="Calibri" w:cs="Calibri"/>
        </w:rPr>
        <w:t>The tumor microenvironment (TME), particularly myeloid subpopulations, plays a pivotal role in shaping HCC progression. Immune and stromal cells are now recognized as critical determinants of tumor behavior</w:t>
      </w:r>
      <w:r>
        <w:rPr>
          <w:rFonts w:ascii="Calibri" w:hAnsi="Calibri" w:cs="Calibri"/>
          <w:vertAlign w:val="superscript"/>
        </w:rPr>
        <w:t>9</w:t>
      </w:r>
      <w:r>
        <w:rPr>
          <w:rFonts w:ascii="Calibri" w:hAnsi="Calibri" w:cs="Calibri"/>
        </w:rPr>
        <w:t>. Within this context, myeloid subsets are especially influential, promoting immunosuppression, tumor immune evasion, and oncogenic signaling</w:t>
      </w:r>
      <w:r>
        <w:rPr>
          <w:rFonts w:ascii="Calibri" w:hAnsi="Calibri" w:cs="Calibri"/>
          <w:vertAlign w:val="superscript"/>
        </w:rPr>
        <w:t>10</w:t>
      </w:r>
      <w:r>
        <w:rPr>
          <w:rFonts w:ascii="Calibri" w:hAnsi="Calibri" w:cs="Calibri"/>
        </w:rPr>
        <w:t>. Dysregulated intracellular pathways within these cells significantly affect tumor progression and patient prognosis</w:t>
      </w:r>
      <w:r>
        <w:rPr>
          <w:rFonts w:ascii="Calibri" w:hAnsi="Calibri" w:cs="Calibri"/>
          <w:vertAlign w:val="superscript"/>
        </w:rPr>
        <w:t>11</w:t>
      </w:r>
      <w:r>
        <w:rPr>
          <w:rFonts w:ascii="Calibri" w:hAnsi="Calibri" w:cs="Calibri"/>
        </w:rPr>
        <w:t>. Among these, the PI3K/AKT pathway stands out as a central regulator of proliferation, metabolism, and immune modulation. Although aberrant activation of this cascade has been linked to hepatocarcinogenesis and therapeutic resistance, its regulation by distinct myeloid populations remains poorly characterized</w:t>
      </w:r>
      <w:r>
        <w:rPr>
          <w:rFonts w:ascii="Calibri" w:hAnsi="Calibri" w:cs="Calibri"/>
          <w:vertAlign w:val="superscript"/>
        </w:rPr>
        <w:t>12</w:t>
      </w:r>
      <w:r>
        <w:rPr>
          <w:rFonts w:ascii="Calibri" w:hAnsi="Calibri" w:cs="Calibri"/>
        </w:rPr>
        <w:t>.</w:t>
      </w:r>
    </w:p>
    <w:p w14:paraId="3C23D7FF">
      <w:pPr>
        <w:pStyle w:val="9"/>
        <w:spacing w:beforeAutospacing="0" w:afterAutospacing="0"/>
        <w:jc w:val="both"/>
        <w:rPr>
          <w:rFonts w:ascii="Calibri" w:hAnsi="Calibri" w:cs="Calibri"/>
        </w:rPr>
      </w:pPr>
    </w:p>
    <w:p w14:paraId="3C23D800">
      <w:pPr>
        <w:pStyle w:val="9"/>
        <w:spacing w:beforeAutospacing="0" w:afterAutospacing="0"/>
        <w:jc w:val="both"/>
        <w:rPr>
          <w:rFonts w:ascii="Calibri" w:hAnsi="Calibri" w:cs="Calibri"/>
        </w:rPr>
      </w:pPr>
      <w:r>
        <w:rPr>
          <w:rFonts w:ascii="Calibri" w:hAnsi="Calibri" w:cs="Calibri"/>
        </w:rPr>
        <w:t>Single-cell transcriptomics offers a powerful platform to unravel cell-type–specific signaling mechanisms in HCC. By resolving the diversity of myeloid populations, single-cell approaches can link functional states and signaling pathways to tumor progression and clinical outcomes</w:t>
      </w:r>
      <w:r>
        <w:rPr>
          <w:rFonts w:ascii="Calibri" w:hAnsi="Calibri" w:cs="Calibri"/>
          <w:vertAlign w:val="superscript"/>
        </w:rPr>
        <w:t>13</w:t>
      </w:r>
      <w:r>
        <w:rPr>
          <w:rFonts w:ascii="Calibri" w:hAnsi="Calibri" w:cs="Calibri"/>
        </w:rPr>
        <w:t>. When coupled with experimental validation, these analyses establish a rigorous framework for clarifying mechanistic insights and identifying actionable therapeutic targets</w:t>
      </w:r>
      <w:r>
        <w:rPr>
          <w:rFonts w:ascii="Calibri" w:hAnsi="Calibri" w:cs="Calibri"/>
          <w:vertAlign w:val="superscript"/>
        </w:rPr>
        <w:t>14</w:t>
      </w:r>
      <w:r>
        <w:rPr>
          <w:rFonts w:ascii="Calibri" w:hAnsi="Calibri" w:cs="Calibri"/>
        </w:rPr>
        <w:t>. This study integrates multimodal single-cell analysis with experimental validation to define the role of myeloid-driven PI3K/AKT signaling in HCC prognosis. Specifically, the authors aim to identify prognostic molecular signatures, delineate the contribution of myeloid subpopulations to oncogenic signaling, and highlight therapeutic targets for clinical translation. Ultimately, this integrative strategy seeks to refine prognostic assessment, enable personalized interventions, and advance precision medicine in HCC.</w:t>
      </w:r>
    </w:p>
    <w:p w14:paraId="3C23D801">
      <w:pPr>
        <w:spacing w:after="0"/>
        <w:jc w:val="both"/>
        <w:rPr>
          <w:rFonts w:ascii="Calibri" w:hAnsi="Calibri" w:cs="Calibri"/>
          <w:b/>
          <w:bCs/>
          <w:lang w:eastAsia="zh-CN"/>
        </w:rPr>
      </w:pPr>
    </w:p>
    <w:p w14:paraId="3C23D802">
      <w:pPr>
        <w:spacing w:after="0"/>
        <w:jc w:val="both"/>
        <w:rPr>
          <w:rFonts w:ascii="Calibri" w:hAnsi="Calibri" w:cs="Calibri"/>
          <w:b/>
          <w:bCs/>
          <w:lang w:eastAsia="zh-CN"/>
        </w:rPr>
      </w:pPr>
      <w:r>
        <w:rPr>
          <w:rFonts w:ascii="Calibri" w:hAnsi="Calibri" w:cs="Calibri"/>
          <w:b/>
          <w:bCs/>
          <w:lang w:eastAsia="zh-CN"/>
        </w:rPr>
        <w:t>PROTOCOL:</w:t>
      </w:r>
    </w:p>
    <w:p w14:paraId="3C23D803">
      <w:pPr>
        <w:spacing w:after="0"/>
        <w:jc w:val="both"/>
        <w:rPr>
          <w:rFonts w:ascii="Calibri" w:hAnsi="Calibri" w:cs="Calibri"/>
          <w:b/>
          <w:bCs/>
        </w:rPr>
      </w:pPr>
      <w:r>
        <w:rPr>
          <w:rFonts w:ascii="Calibri" w:hAnsi="Calibri" w:cs="Calibri"/>
          <w:b/>
          <w:bCs/>
        </w:rPr>
        <w:t>Ethics statement</w:t>
      </w:r>
    </w:p>
    <w:p w14:paraId="3C23D804">
      <w:pPr>
        <w:spacing w:after="0"/>
        <w:jc w:val="both"/>
        <w:rPr>
          <w:rFonts w:ascii="Calibri" w:hAnsi="Calibri" w:cs="Calibri"/>
        </w:rPr>
      </w:pPr>
      <w:r>
        <w:rPr>
          <w:rFonts w:ascii="Calibri" w:hAnsi="Calibri" w:cs="Calibri"/>
        </w:rPr>
        <w:t>This study exclusively utilized publicly available, de-identified datasets (TCGA-LIHC, GSE210679, GSE125449, GSE189903, GSE76427) and established commercial cell lines (HepG2, Huh7). Research using publicly accessible de-identified data and commercial cell lines does not require Institutional Review Board (IRB) approval under the institutional policy of Henan Provincial Hospital of Traditional Chinese Medicine. No primary human samples were collected. All procedures complied with TCGA and GEO data use agreements.</w:t>
      </w:r>
    </w:p>
    <w:p w14:paraId="3C23D805">
      <w:pPr>
        <w:spacing w:after="0"/>
        <w:jc w:val="both"/>
        <w:rPr>
          <w:rFonts w:ascii="Calibri" w:hAnsi="Calibri" w:cs="Calibri"/>
        </w:rPr>
      </w:pPr>
    </w:p>
    <w:p w14:paraId="3C23D806">
      <w:pPr>
        <w:spacing w:after="0"/>
        <w:jc w:val="both"/>
        <w:rPr>
          <w:rFonts w:ascii="Calibri" w:hAnsi="Calibri" w:cs="Calibri"/>
          <w:lang w:eastAsia="zh-CN"/>
        </w:rPr>
      </w:pPr>
      <w:r>
        <w:rPr>
          <w:rFonts w:ascii="Calibri" w:hAnsi="Calibri" w:eastAsia="MyriadPro-Semibold" w:cs="Calibri"/>
          <w:b/>
          <w:bCs/>
          <w:lang w:eastAsia="zh-CN" w:bidi="ar"/>
        </w:rPr>
        <w:t>Autoencoder-based multimodal feature representation</w:t>
      </w:r>
      <w:r>
        <w:rPr>
          <w:rFonts w:ascii="Calibri" w:hAnsi="Calibri" w:eastAsia="MyriadPro-Semibold" w:cs="Calibri"/>
          <w:lang w:eastAsia="zh-CN" w:bidi="ar"/>
        </w:rPr>
        <w:t xml:space="preserve">  </w:t>
      </w:r>
    </w:p>
    <w:p w14:paraId="3C23D807">
      <w:pPr>
        <w:pStyle w:val="9"/>
        <w:spacing w:beforeAutospacing="0" w:afterAutospacing="0"/>
        <w:jc w:val="both"/>
        <w:rPr>
          <w:rFonts w:ascii="Calibri" w:hAnsi="Calibri" w:cs="Calibri"/>
        </w:rPr>
      </w:pPr>
      <w:r>
        <w:rPr>
          <w:rFonts w:ascii="Calibri" w:hAnsi="Calibri" w:cs="Calibri"/>
        </w:rPr>
        <w:t>Transcriptomic and clinical data from the TCGA-LIHC cohort (n = 374 tumors, n = 50 adjacent normal) were retrieved via the Genomic Data Commons (GDC) portal. For each sample, enrichment scores of 50 curated gene sets from the MSigDB database (Hallmark, KEGG, and Reactome collections) were computed using single-sample Gene Set Enrichment Analysis (ssGSEA), followed by z-score normalization and imputation using the k-nearest neighbor algorithm (k = 10)</w:t>
      </w:r>
      <w:r>
        <w:rPr>
          <w:rFonts w:ascii="Calibri" w:hAnsi="Calibri" w:cs="Calibri"/>
          <w:vertAlign w:val="superscript"/>
        </w:rPr>
        <w:t>15</w:t>
      </w:r>
      <w:r>
        <w:rPr>
          <w:rFonts w:ascii="Calibri" w:hAnsi="Calibri" w:cs="Calibri"/>
        </w:rPr>
        <w:t xml:space="preserve">. To capture pathway-level latent representations, an ensemble of 30 symmetric autoencoders (Tanh activation, dropout = 0.2, </w:t>
      </w:r>
      <w:r>
        <w:rPr>
          <w:rFonts w:hint="eastAsia" w:ascii="Calibri" w:hAnsi="Calibri" w:eastAsia="宋体" w:cs="Calibri"/>
        </w:rPr>
        <w:t>2</w:t>
      </w:r>
      <w:r>
        <w:rPr>
          <w:rFonts w:ascii="Calibri" w:hAnsi="Calibri" w:cs="Calibri"/>
        </w:rPr>
        <w:t>00-dimensional latent space) was trained with early stopping based on validation loss. Each gene set matrix was compressed into a 4-dimensional representation, which was concatenated into a unified 1,500-dimensional multimodal feature vector per patient. Model robustness was confirmed by low reconstruction errors (</w:t>
      </w:r>
      <w:r>
        <w:rPr>
          <w:rFonts w:ascii="Calibri" w:hAnsi="Calibri" w:cs="Calibri"/>
          <w:i/>
          <w:iCs/>
        </w:rPr>
        <w:t xml:space="preserve">p </w:t>
      </w:r>
      <w:r>
        <w:rPr>
          <w:rFonts w:ascii="Calibri" w:hAnsi="Calibri" w:cs="Calibri"/>
        </w:rPr>
        <w:t>&lt; 0.05 across all gene sets) and consistent validation loss convergence (within 100–150 epochs)</w:t>
      </w:r>
      <w:r>
        <w:rPr>
          <w:rFonts w:ascii="Calibri" w:hAnsi="Calibri" w:cs="Calibri"/>
          <w:vertAlign w:val="superscript"/>
        </w:rPr>
        <w:t>16</w:t>
      </w:r>
      <w:r>
        <w:rPr>
          <w:rFonts w:ascii="Calibri" w:hAnsi="Calibri" w:cs="Calibri"/>
        </w:rPr>
        <w:t>. Dimensionality reduction via t-SNE and UMAP revealed distinct patient clusters, indicating potential for prognostic stratification. Features significantly associated with overall survival (</w:t>
      </w:r>
      <w:r>
        <w:rPr>
          <w:rFonts w:ascii="Calibri" w:hAnsi="Calibri" w:cs="Calibri"/>
          <w:i/>
          <w:iCs/>
        </w:rPr>
        <w:t xml:space="preserve">p </w:t>
      </w:r>
      <w:r>
        <w:rPr>
          <w:rFonts w:ascii="Calibri" w:hAnsi="Calibri" w:cs="Calibri"/>
        </w:rPr>
        <w:t>&lt; 0.05, univariate Cox regression) were selected and used to train an XGBoost-based prognostic model. Model performance was evaluated using leave-one-out cross-validation, with the concordance index (C-index) and time-dependent area under the receiver operating characteristic curve (AUROC) as primary evaluation metrics.</w:t>
      </w:r>
    </w:p>
    <w:p w14:paraId="3C23D808">
      <w:pPr>
        <w:pStyle w:val="9"/>
        <w:spacing w:beforeAutospacing="0" w:afterAutospacing="0"/>
        <w:jc w:val="both"/>
        <w:rPr>
          <w:rFonts w:ascii="Calibri" w:hAnsi="Calibri" w:cs="Calibri"/>
        </w:rPr>
      </w:pPr>
    </w:p>
    <w:p w14:paraId="3C23D809">
      <w:pPr>
        <w:pStyle w:val="9"/>
        <w:spacing w:beforeAutospacing="0" w:afterAutospacing="0"/>
        <w:jc w:val="both"/>
        <w:rPr>
          <w:rFonts w:ascii="Calibri" w:hAnsi="Calibri" w:cs="Calibri"/>
          <w:b/>
          <w:bCs/>
        </w:rPr>
      </w:pPr>
      <w:r>
        <w:rPr>
          <w:rFonts w:ascii="Calibri" w:hAnsi="Calibri" w:cs="Calibri"/>
          <w:b/>
          <w:bCs/>
        </w:rPr>
        <w:t>Single-cell RNA-seq analysis</w:t>
      </w:r>
    </w:p>
    <w:p w14:paraId="3C23D80A">
      <w:pPr>
        <w:pStyle w:val="9"/>
        <w:spacing w:beforeAutospacing="0" w:afterAutospacing="0"/>
        <w:jc w:val="both"/>
        <w:rPr>
          <w:rFonts w:ascii="Calibri" w:hAnsi="Calibri" w:cs="Calibri"/>
        </w:rPr>
      </w:pPr>
      <w:r>
        <w:rPr>
          <w:rFonts w:ascii="Calibri" w:hAnsi="Calibri" w:cs="Calibri"/>
        </w:rPr>
        <w:t xml:space="preserve">Single-cell RNA sequencing (scRNA-seq) data from HCC samples were obtained from GEO (GSE210679, GSE125449, GSE189903) and integrated to characterize tumor microenvironment heterogeneity. Bulk RNA-seq data and clinical information were retrieved from TCGA-LIHC (n = 374 tumors, n = 50 adjacent normal) and GEO (GSE76427; n = 115 tumors, n = 52 adjacent normal) for validation and survival analysis (OS, DFS). Integrated scRNA-seq data were analyzed using Seurat (v4.3.0). Following normalization and scaling, highly variable genes (n = 2000) were identified, and technical variance was regressed out. Dimensionality reduction was performed via PCA, batch effects were corrected using Harmony, and cell clusters were identified using the Louvain algorithm (resolution = 0.6). Cell types were annotated based on marker gene expression from CellMarker and PanglaoDB databases. Differential gene expression analysis (DGEs) was performed using FindAllMarkers (|log₂FC| &gt; 2, adjusted </w:t>
      </w:r>
      <w:r>
        <w:rPr>
          <w:rFonts w:ascii="Calibri" w:hAnsi="Calibri" w:cs="Calibri"/>
          <w:i/>
          <w:iCs/>
        </w:rPr>
        <w:t>p</w:t>
      </w:r>
      <w:r>
        <w:rPr>
          <w:rFonts w:ascii="Calibri" w:hAnsi="Calibri" w:cs="Calibri"/>
        </w:rPr>
        <w:t xml:space="preserve"> &lt; 0.05).</w:t>
      </w:r>
    </w:p>
    <w:p w14:paraId="3C23D80B">
      <w:pPr>
        <w:pStyle w:val="9"/>
        <w:spacing w:beforeAutospacing="0" w:afterAutospacing="0"/>
        <w:jc w:val="both"/>
        <w:rPr>
          <w:rFonts w:ascii="Calibri" w:hAnsi="Calibri" w:cs="Calibri"/>
        </w:rPr>
      </w:pPr>
    </w:p>
    <w:p w14:paraId="3C23D80C">
      <w:pPr>
        <w:pStyle w:val="9"/>
        <w:spacing w:beforeAutospacing="0" w:afterAutospacing="0"/>
        <w:jc w:val="both"/>
        <w:rPr>
          <w:rFonts w:ascii="Calibri" w:hAnsi="Calibri" w:cs="Calibri"/>
          <w:b/>
          <w:bCs/>
        </w:rPr>
      </w:pPr>
      <w:r>
        <w:rPr>
          <w:rFonts w:ascii="Calibri" w:hAnsi="Calibri" w:cs="Calibri"/>
          <w:b/>
          <w:bCs/>
        </w:rPr>
        <w:t>GO and KEGG pathway enrichment analysis</w:t>
      </w:r>
    </w:p>
    <w:p w14:paraId="3C23D80D">
      <w:pPr>
        <w:pStyle w:val="9"/>
        <w:spacing w:beforeAutospacing="0" w:afterAutospacing="0"/>
        <w:jc w:val="both"/>
        <w:rPr>
          <w:rFonts w:ascii="Calibri" w:hAnsi="Calibri" w:cs="Calibri"/>
        </w:rPr>
      </w:pPr>
      <w:r>
        <w:rPr>
          <w:rFonts w:ascii="Calibri" w:hAnsi="Calibri" w:cs="Calibri"/>
        </w:rPr>
        <w:t>Gene ontology (GO) categorizes gene functions into three primary domains: Molecular Function, Biological Process, and Cellular Component</w:t>
      </w:r>
      <w:r>
        <w:rPr>
          <w:rFonts w:ascii="Calibri" w:hAnsi="Calibri" w:cs="Calibri"/>
          <w:vertAlign w:val="superscript"/>
        </w:rPr>
        <w:t>17</w:t>
      </w:r>
      <w:r>
        <w:rPr>
          <w:rFonts w:ascii="Calibri" w:hAnsi="Calibri" w:cs="Calibri"/>
        </w:rPr>
        <w:t>. GO enrichment analysis of DEGs offers valuable insights into their functional attributes, thereby enabling a more comprehensive understanding of their biological relevance. In parallel, the Kyoto Encyclopedia of Genes and Genomes (KEGG) serves as an extensive bioinformatics resource that systematically maps molecular interaction networks and biological pathways</w:t>
      </w:r>
      <w:r>
        <w:rPr>
          <w:rFonts w:ascii="Calibri" w:hAnsi="Calibri" w:cs="Calibri"/>
          <w:vertAlign w:val="superscript"/>
        </w:rPr>
        <w:t>18</w:t>
      </w:r>
      <w:r>
        <w:rPr>
          <w:rFonts w:ascii="Calibri" w:hAnsi="Calibri" w:cs="Calibri"/>
        </w:rPr>
        <w:t xml:space="preserve">. KEGG pathway enrichment analysis of DEGs elucidates their regulatory relationships and functional involvement across diverse biological processes.  </w:t>
      </w:r>
    </w:p>
    <w:p w14:paraId="3C23D80E">
      <w:pPr>
        <w:pStyle w:val="9"/>
        <w:spacing w:beforeAutospacing="0" w:afterAutospacing="0"/>
        <w:jc w:val="both"/>
        <w:rPr>
          <w:rFonts w:ascii="Calibri" w:hAnsi="Calibri" w:cs="Calibri"/>
        </w:rPr>
      </w:pPr>
    </w:p>
    <w:p w14:paraId="3C23D80F">
      <w:pPr>
        <w:pStyle w:val="9"/>
        <w:spacing w:beforeAutospacing="0" w:afterAutospacing="0"/>
        <w:jc w:val="both"/>
        <w:rPr>
          <w:rFonts w:ascii="Calibri" w:hAnsi="Calibri" w:cs="Calibri"/>
          <w:b/>
          <w:bCs/>
        </w:rPr>
      </w:pPr>
      <w:r>
        <w:rPr>
          <w:rFonts w:ascii="Calibri" w:hAnsi="Calibri" w:cs="Calibri"/>
          <w:b/>
          <w:bCs/>
        </w:rPr>
        <w:t xml:space="preserve">Clinical and prognostic analysis </w:t>
      </w:r>
    </w:p>
    <w:p w14:paraId="3C23D810">
      <w:pPr>
        <w:pStyle w:val="9"/>
        <w:spacing w:beforeAutospacing="0" w:afterAutospacing="0"/>
        <w:jc w:val="both"/>
        <w:rPr>
          <w:rFonts w:ascii="Calibri" w:hAnsi="Calibri" w:cs="Calibri"/>
        </w:rPr>
      </w:pPr>
      <w:r>
        <w:rPr>
          <w:rFonts w:hint="eastAsia" w:ascii="Calibri" w:hAnsi="Calibri" w:cs="Calibri"/>
        </w:rPr>
        <w:t>The study selected HCC samples with complete clinical follow-up and gene expression data from TCGA</w:t>
      </w:r>
      <w:r>
        <w:rPr>
          <w:rFonts w:ascii="Calibri" w:hAnsi="Calibri" w:cs="Calibri"/>
        </w:rPr>
        <w:t>. After performing preprocessing steps, including normalization, batch correction, and log₂ transformation, the</w:t>
      </w:r>
      <w:r>
        <w:rPr>
          <w:rFonts w:hint="eastAsia" w:ascii="Calibri" w:hAnsi="Calibri" w:cs="Calibri"/>
        </w:rPr>
        <w:t xml:space="preserve"> differentially expressed genes were identified using DESeq2</w:t>
      </w:r>
      <w:r>
        <w:rPr>
          <w:rFonts w:hint="eastAsia" w:ascii="Calibri" w:hAnsi="Calibri" w:eastAsia="宋体" w:cs="Calibri"/>
        </w:rPr>
        <w:t>,</w:t>
      </w:r>
      <w:r>
        <w:rPr>
          <w:rFonts w:ascii="Calibri" w:hAnsi="Calibri" w:eastAsia="宋体" w:cs="Calibri"/>
        </w:rPr>
        <w:t xml:space="preserve"> </w:t>
      </w:r>
      <w:r>
        <w:rPr>
          <w:rFonts w:ascii="Calibri" w:hAnsi="Calibri" w:cs="Calibri"/>
        </w:rPr>
        <w:t xml:space="preserve">edgeR, or limma (with thresholds of |log₂FC| &gt; 1 and </w:t>
      </w:r>
      <w:r>
        <w:rPr>
          <w:rFonts w:ascii="Calibri" w:hAnsi="Calibri" w:cs="Calibri"/>
          <w:i/>
          <w:iCs/>
        </w:rPr>
        <w:t>p</w:t>
      </w:r>
      <w:r>
        <w:rPr>
          <w:rFonts w:ascii="Calibri" w:hAnsi="Calibri" w:cs="Calibri"/>
        </w:rPr>
        <w:t>-adjusted &lt; 0.05)</w:t>
      </w:r>
      <w:r>
        <w:rPr>
          <w:rFonts w:ascii="Calibri" w:hAnsi="Calibri" w:cs="Calibri"/>
          <w:vertAlign w:val="superscript"/>
        </w:rPr>
        <w:t>19</w:t>
      </w:r>
      <w:r>
        <w:rPr>
          <w:rFonts w:hint="eastAsia" w:ascii="Calibri" w:hAnsi="Calibri" w:eastAsia="宋体" w:cs="Calibri"/>
          <w:vertAlign w:val="superscript"/>
        </w:rPr>
        <w:t xml:space="preserve"> </w:t>
      </w:r>
      <w:r>
        <w:rPr>
          <w:rFonts w:hint="eastAsia" w:ascii="Calibri" w:hAnsi="Calibri" w:cs="Calibri"/>
        </w:rPr>
        <w:t>in the article</w:t>
      </w:r>
      <w:r>
        <w:rPr>
          <w:rFonts w:hint="eastAsia" w:ascii="Calibri" w:hAnsi="Calibri" w:eastAsia="宋体" w:cs="Calibri"/>
        </w:rPr>
        <w:t xml:space="preserve">. </w:t>
      </w:r>
      <w:r>
        <w:rPr>
          <w:rFonts w:ascii="Calibri" w:hAnsi="Calibri" w:cs="Calibri"/>
        </w:rPr>
        <w:t xml:space="preserve">The samples were then grouped by prognosis, and Kaplan–Meier (KM) survival analysis with log-rank tests was performed. Additionally, </w:t>
      </w:r>
      <w:r>
        <w:rPr>
          <w:rFonts w:hint="eastAsia" w:ascii="Calibri" w:hAnsi="Calibri" w:eastAsia="宋体" w:cs="Calibri"/>
        </w:rPr>
        <w:t>t</w:t>
      </w:r>
      <w:r>
        <w:rPr>
          <w:rFonts w:hint="eastAsia" w:ascii="Calibri" w:hAnsi="Calibri" w:cs="Calibri"/>
        </w:rPr>
        <w:t>he Cox regression model was applied in the study to adjust for potential confounding factors</w:t>
      </w:r>
      <w:r>
        <w:rPr>
          <w:rFonts w:ascii="Calibri" w:hAnsi="Calibri" w:cs="Calibri"/>
        </w:rPr>
        <w:t xml:space="preserve">, such as age, gender, and cancer stage, to evaluate the independent prognostic value of the </w:t>
      </w:r>
      <w:r>
        <w:rPr>
          <w:rFonts w:hint="eastAsia" w:ascii="Calibri" w:hAnsi="Calibri" w:cs="Calibri"/>
        </w:rPr>
        <w:t>identified genes</w:t>
      </w:r>
      <w:r>
        <w:rPr>
          <w:rFonts w:ascii="Calibri" w:hAnsi="Calibri" w:cs="Calibri"/>
        </w:rPr>
        <w:t>. To explore the relationship between gene expression and clinical features (such as TNM staging), a correlation analysis was performed. Finally, the findings were validated in the GEO cohort GSE76427.    </w:t>
      </w:r>
    </w:p>
    <w:p w14:paraId="3C23D811">
      <w:pPr>
        <w:pStyle w:val="9"/>
        <w:spacing w:beforeAutospacing="0" w:afterAutospacing="0"/>
        <w:jc w:val="both"/>
        <w:rPr>
          <w:rFonts w:ascii="Calibri" w:hAnsi="Calibri" w:cs="Calibri"/>
        </w:rPr>
      </w:pPr>
    </w:p>
    <w:p w14:paraId="3C23D812">
      <w:pPr>
        <w:pStyle w:val="9"/>
        <w:spacing w:beforeAutospacing="0" w:afterAutospacing="0"/>
        <w:jc w:val="both"/>
        <w:rPr>
          <w:rFonts w:ascii="Calibri" w:hAnsi="Calibri" w:cs="Calibri"/>
          <w:b/>
          <w:bCs/>
        </w:rPr>
      </w:pPr>
      <w:r>
        <w:rPr>
          <w:rFonts w:ascii="Calibri" w:hAnsi="Calibri" w:cs="Calibri"/>
          <w:b/>
          <w:bCs/>
        </w:rPr>
        <w:t>Construction of prognostic models using machine learning methods</w:t>
      </w:r>
    </w:p>
    <w:p w14:paraId="3C23D813">
      <w:pPr>
        <w:pStyle w:val="9"/>
        <w:spacing w:beforeAutospacing="0" w:afterAutospacing="0"/>
        <w:jc w:val="both"/>
        <w:rPr>
          <w:rFonts w:ascii="Calibri" w:hAnsi="Calibri" w:cs="Calibri"/>
        </w:rPr>
      </w:pPr>
      <w:r>
        <w:rPr>
          <w:rFonts w:hint="eastAsia" w:ascii="Calibri" w:hAnsi="Calibri" w:cs="Calibri"/>
        </w:rPr>
        <w:t>A comprehensive machine learning framework has been developed, which includes twelve different algorithms</w:t>
      </w:r>
      <w:r>
        <w:rPr>
          <w:rFonts w:ascii="Calibri" w:hAnsi="Calibri" w:cs="Calibri"/>
        </w:rPr>
        <w:t>: Adaptive Boosting (ADA), Bagging (BAG), Decision Tree (DT), Gradient Boosting Machine (GBM), Generalized Linear Model (GLM), K-Nearest Neighbors (KNN), Least Absolute Shrinkage and Selection Operator (LASSO), Naive Bayes (NB), Neural Network (NNET), Random Survival Forest [RSF], Support Vector Machine (SVM), and eXtreme Gradient Boosting (XGB). Model selection was based on performance metrics, including area under the receiver operating characteristic curve (AUC), area under the precision-recall curve (AUPRC), and residual distribution analysis. Feature importance was quantified via root mean square error (RMSE)-based permutation assessment, enabling the identification of key predictive variables across diverse model architectures</w:t>
      </w:r>
      <w:r>
        <w:rPr>
          <w:rFonts w:ascii="Calibri" w:hAnsi="Calibri" w:cs="Calibri"/>
          <w:vertAlign w:val="superscript"/>
        </w:rPr>
        <w:t>20</w:t>
      </w:r>
      <w:r>
        <w:rPr>
          <w:rFonts w:ascii="Calibri" w:hAnsi="Calibri" w:cs="Calibri"/>
        </w:rPr>
        <w:t>.</w:t>
      </w:r>
    </w:p>
    <w:p w14:paraId="3C23D814">
      <w:pPr>
        <w:pStyle w:val="9"/>
        <w:spacing w:beforeAutospacing="0" w:afterAutospacing="0"/>
        <w:jc w:val="both"/>
        <w:rPr>
          <w:rFonts w:ascii="Calibri" w:hAnsi="Calibri" w:cs="Calibri"/>
          <w:b/>
          <w:bCs/>
        </w:rPr>
      </w:pPr>
      <w:r>
        <w:rPr>
          <w:rFonts w:ascii="Calibri" w:hAnsi="Calibri" w:cs="Calibri"/>
          <w:b/>
          <w:bCs/>
        </w:rPr>
        <w:t>Immune infiltration and immunotherapy analysis</w:t>
      </w:r>
    </w:p>
    <w:p w14:paraId="3C23D815">
      <w:pPr>
        <w:pStyle w:val="9"/>
        <w:spacing w:beforeAutospacing="0" w:afterAutospacing="0"/>
        <w:jc w:val="both"/>
        <w:rPr>
          <w:rFonts w:ascii="Calibri" w:hAnsi="Calibri" w:cs="Calibri"/>
        </w:rPr>
      </w:pPr>
      <w:r>
        <w:rPr>
          <w:rFonts w:ascii="Calibri" w:hAnsi="Calibri" w:cs="Calibri"/>
        </w:rPr>
        <w:t>Immune infiltration was quantified using the ESTIMATE algorithm, which generated stromal, immune, and composite scores from transcriptomic data. To</w:t>
      </w:r>
      <w:r>
        <w:rPr>
          <w:rFonts w:hint="eastAsia" w:ascii="Calibri" w:hAnsi="Calibri" w:cs="Calibri"/>
        </w:rPr>
        <w:t xml:space="preserve"> further investigate the role of core genes in immunotherapy, additional analysis was conducted by combining immune checkpoint expression data</w:t>
      </w:r>
      <w:r>
        <w:rPr>
          <w:rFonts w:ascii="Calibri" w:hAnsi="Calibri" w:cs="Calibri"/>
        </w:rPr>
        <w:t>. Specifically, patients were stratified into high- and low-risk groups based on the expression levels of canonical immune checkpoint molecules, including PD</w:t>
      </w:r>
      <w:r>
        <w:rPr>
          <w:rFonts w:ascii="Calibri" w:hAnsi="Calibri" w:cs="Calibri"/>
        </w:rPr>
        <w:noBreakHyphen/>
      </w:r>
      <w:r>
        <w:rPr>
          <w:rFonts w:ascii="Calibri" w:hAnsi="Calibri" w:cs="Calibri"/>
        </w:rPr>
        <w:t>1/PD</w:t>
      </w:r>
      <w:r>
        <w:rPr>
          <w:rFonts w:ascii="Calibri" w:hAnsi="Calibri" w:cs="Calibri"/>
        </w:rPr>
        <w:noBreakHyphen/>
      </w:r>
      <w:r>
        <w:rPr>
          <w:rFonts w:ascii="Calibri" w:hAnsi="Calibri" w:cs="Calibri"/>
        </w:rPr>
        <w:t>L1 and FGL1</w:t>
      </w:r>
      <w:r>
        <w:rPr>
          <w:rFonts w:ascii="Calibri" w:hAnsi="Calibri" w:cs="Calibri"/>
          <w:vertAlign w:val="superscript"/>
        </w:rPr>
        <w:t>21</w:t>
      </w:r>
      <w:r>
        <w:rPr>
          <w:rFonts w:ascii="Calibri" w:hAnsi="Calibri" w:cs="Calibri"/>
        </w:rPr>
        <w:t>. Based on comparisons of the distribution patterns of core genes among these risk groups, their potential impact on the tumor immune microenvironment and their correlation with</w:t>
      </w:r>
      <w:r>
        <w:rPr>
          <w:rFonts w:hint="eastAsia" w:ascii="Calibri" w:hAnsi="Calibri" w:cs="Calibri"/>
        </w:rPr>
        <w:t xml:space="preserve"> predicting immune therapy response were evaluated</w:t>
      </w:r>
      <w:r>
        <w:rPr>
          <w:rFonts w:ascii="Calibri" w:hAnsi="Calibri" w:cs="Calibri"/>
        </w:rPr>
        <w:t>.  </w:t>
      </w:r>
    </w:p>
    <w:p w14:paraId="3C23D816">
      <w:pPr>
        <w:pStyle w:val="9"/>
        <w:spacing w:beforeAutospacing="0" w:afterAutospacing="0"/>
        <w:jc w:val="both"/>
        <w:rPr>
          <w:rFonts w:ascii="Calibri" w:hAnsi="Calibri" w:cs="Calibri"/>
        </w:rPr>
      </w:pPr>
    </w:p>
    <w:p w14:paraId="3C23D817">
      <w:pPr>
        <w:pStyle w:val="9"/>
        <w:spacing w:beforeAutospacing="0" w:afterAutospacing="0"/>
        <w:jc w:val="both"/>
        <w:rPr>
          <w:rFonts w:ascii="Calibri" w:hAnsi="Calibri" w:cs="Calibri"/>
        </w:rPr>
      </w:pPr>
      <w:r>
        <w:rPr>
          <w:rFonts w:ascii="Calibri" w:hAnsi="Calibri" w:cs="Calibri"/>
          <w:b/>
          <w:bCs/>
          <w:highlight w:val="yellow"/>
        </w:rPr>
        <w:t>Experimental validation</w:t>
      </w:r>
    </w:p>
    <w:p w14:paraId="3C23D818">
      <w:pPr>
        <w:pStyle w:val="9"/>
        <w:spacing w:beforeAutospacing="0" w:afterAutospacing="0"/>
        <w:jc w:val="both"/>
        <w:rPr>
          <w:rFonts w:ascii="Calibri" w:hAnsi="Calibri" w:cs="Calibri"/>
        </w:rPr>
      </w:pPr>
      <w:r>
        <w:rPr>
          <w:rFonts w:ascii="Calibri" w:hAnsi="Calibri" w:cs="Calibri"/>
          <w:highlight w:val="yellow"/>
        </w:rPr>
        <w:t>HCC cells were cultured in DMEM supplemented with 10% FBS. To investigate the functions of RAC1 and SLC2A1, cells were transfected with specific siRNAs (si-RAC1, si-SLC2A1) or a negative control siRNA (si-NC) using Lipofectamine 3000 and harvested 48 h</w:t>
      </w:r>
      <w:r>
        <w:rPr>
          <w:rFonts w:hint="eastAsia" w:ascii="Calibri" w:hAnsi="Calibri" w:eastAsia="宋体" w:cs="Calibri"/>
          <w:highlight w:val="yellow"/>
        </w:rPr>
        <w:t xml:space="preserve"> </w:t>
      </w:r>
      <w:r>
        <w:rPr>
          <w:rFonts w:ascii="Calibri" w:hAnsi="Calibri" w:cs="Calibri"/>
          <w:highlight w:val="yellow"/>
        </w:rPr>
        <w:t>post-transfection for subsequent analyses. Protein expression levels were determined by Western blot, where total proteins extracted with RIPA buffer were separated by SDS-PAGE and transferred to PVDF membranes. The membranes were incubated with primary antibodies targeting E-cadherin, Bax, Caspase-3, PI3K, and AKT, with β-actin serving as the internal control. This was followed by incubation with the appropriate secondary antibodies. Protein bands were visualized using an ECL chemiluminescence system and quantified via grayscale analysis. For functional assessment, cell migration and invasion capabilities were evaluated using Transwell assays. Transfected cells were seeded into the upper chambers, with the lower chambers containing medium with 20% FBS as a chemoattractant</w:t>
      </w:r>
      <w:r>
        <w:rPr>
          <w:rFonts w:ascii="Calibri" w:hAnsi="Calibri" w:cs="Calibri"/>
          <w:highlight w:val="yellow"/>
          <w:vertAlign w:val="superscript"/>
        </w:rPr>
        <w:t>22</w:t>
      </w:r>
      <w:r>
        <w:rPr>
          <w:rFonts w:ascii="Calibri" w:hAnsi="Calibri" w:cs="Calibri"/>
          <w:highlight w:val="yellow"/>
        </w:rPr>
        <w:t>. After 24 h of incubation, cells that had traversed the membrane were fixed, stained with crystal violet, and counted under a microscope</w:t>
      </w:r>
      <w:r>
        <w:rPr>
          <w:rFonts w:ascii="Calibri" w:hAnsi="Calibri" w:cs="Calibri"/>
          <w:highlight w:val="yellow"/>
          <w:vertAlign w:val="superscript"/>
        </w:rPr>
        <w:t>23</w:t>
      </w:r>
      <w:r>
        <w:rPr>
          <w:rFonts w:ascii="Calibri" w:hAnsi="Calibri" w:cs="Calibri"/>
          <w:highlight w:val="yellow"/>
        </w:rPr>
        <w:t xml:space="preserve">. All experiments were conducted in triplicate, and statistical significance was determined using Student's t-test; </w:t>
      </w:r>
      <w:r>
        <w:rPr>
          <w:rFonts w:ascii="Calibri" w:hAnsi="Calibri" w:cs="Calibri"/>
          <w:i/>
          <w:iCs/>
          <w:highlight w:val="yellow"/>
        </w:rPr>
        <w:t>p</w:t>
      </w:r>
      <w:r>
        <w:rPr>
          <w:rFonts w:ascii="Calibri" w:hAnsi="Calibri" w:cs="Calibri"/>
          <w:highlight w:val="yellow"/>
        </w:rPr>
        <w:t xml:space="preserve"> &lt; 0.05 was considered significant.</w:t>
      </w:r>
    </w:p>
    <w:p w14:paraId="3C23D819">
      <w:pPr>
        <w:pStyle w:val="9"/>
        <w:spacing w:beforeAutospacing="0" w:afterAutospacing="0"/>
        <w:jc w:val="both"/>
        <w:rPr>
          <w:rFonts w:ascii="Calibri" w:hAnsi="Calibri" w:cs="Calibri"/>
        </w:rPr>
      </w:pPr>
    </w:p>
    <w:p w14:paraId="3C23D81D">
      <w:pPr>
        <w:pStyle w:val="9"/>
        <w:spacing w:beforeAutospacing="0" w:afterAutospacing="0"/>
        <w:jc w:val="both"/>
        <w:rPr>
          <w:rFonts w:ascii="Calibri" w:hAnsi="Calibri" w:eastAsia="宋体" w:cs="Calibri"/>
        </w:rPr>
      </w:pPr>
      <w:r>
        <w:rPr>
          <w:rFonts w:ascii="Calibri" w:hAnsi="Calibri" w:cs="Calibri"/>
          <w:highlight w:val="yellow"/>
        </w:rPr>
        <w:t>Two well-characterized HCC cell lines, HepG2 (HBV-negative, well-differentiated) and Huh7 (HBV-negative, moderately differentiated), were obtained from the Cell Bank of the Chinese Academy of Sciences and cultured in DMEM supplemented with 10% fetal bovine serum at 37 °C with 5% CO</w:t>
      </w:r>
      <w:r>
        <w:rPr>
          <w:rFonts w:ascii="Calibri" w:hAnsi="Calibri" w:cs="Calibri"/>
          <w:highlight w:val="yellow"/>
          <w:vertAlign w:val="subscript"/>
        </w:rPr>
        <w:t>2</w:t>
      </w:r>
      <w:r>
        <w:rPr>
          <w:rFonts w:ascii="Calibri" w:hAnsi="Calibri" w:cs="Calibri"/>
          <w:highlight w:val="yellow"/>
          <w:vertAlign w:val="superscript"/>
        </w:rPr>
        <w:t>22</w:t>
      </w:r>
      <w:r>
        <w:rPr>
          <w:rFonts w:ascii="Calibri" w:hAnsi="Calibri" w:cs="Calibri"/>
          <w:highlight w:val="yellow"/>
        </w:rPr>
        <w:t xml:space="preserve">. Cells were verified by short tandem repeat (STR) profiling and tested for mycoplasma contamination before experiments. To investigate the functions of RAC1 and SLC2A1, cells were transfected with specific siRNAs or a negative control siRNA (si-NC) using Lipofectamine 3000. </w:t>
      </w:r>
      <w:r>
        <w:rPr>
          <w:rFonts w:hint="eastAsia" w:ascii="Calibri" w:hAnsi="Calibri" w:cs="Calibri"/>
          <w:highlight w:val="yellow"/>
        </w:rPr>
        <w:t xml:space="preserve">The detailed information </w:t>
      </w:r>
      <w:r>
        <w:rPr>
          <w:rFonts w:ascii="Calibri" w:hAnsi="Calibri" w:cs="Calibri"/>
          <w:highlight w:val="yellow"/>
        </w:rPr>
        <w:t>on</w:t>
      </w:r>
      <w:r>
        <w:rPr>
          <w:rFonts w:hint="eastAsia" w:ascii="Calibri" w:hAnsi="Calibri" w:cs="Calibri"/>
          <w:highlight w:val="yellow"/>
        </w:rPr>
        <w:t xml:space="preserve"> the material list is shown in</w:t>
      </w:r>
      <w:r>
        <w:rPr>
          <w:rFonts w:hint="eastAsia" w:ascii="Calibri" w:hAnsi="Calibri" w:cs="Calibri"/>
          <w:b/>
          <w:bCs/>
          <w:highlight w:val="yellow"/>
        </w:rPr>
        <w:t xml:space="preserve"> Table </w:t>
      </w:r>
      <w:r>
        <w:rPr>
          <w:rFonts w:ascii="Calibri" w:hAnsi="Calibri" w:cs="Calibri"/>
          <w:b/>
          <w:bCs/>
          <w:highlight w:val="yellow"/>
        </w:rPr>
        <w:t>of Materials</w:t>
      </w:r>
      <w:r>
        <w:rPr>
          <w:rFonts w:hint="eastAsia" w:ascii="Calibri" w:hAnsi="Calibri" w:eastAsia="宋体" w:cs="Calibri"/>
          <w:b/>
          <w:bCs/>
          <w:highlight w:val="yellow"/>
        </w:rPr>
        <w:t>.</w:t>
      </w:r>
    </w:p>
    <w:p w14:paraId="73919EE3">
      <w:pPr>
        <w:pStyle w:val="9"/>
        <w:spacing w:beforeAutospacing="0" w:afterAutospacing="0"/>
        <w:jc w:val="both"/>
        <w:rPr>
          <w:rFonts w:ascii="Calibri" w:hAnsi="Calibri" w:eastAsia="宋体" w:cs="Calibri"/>
        </w:rPr>
      </w:pPr>
    </w:p>
    <w:p w14:paraId="3C23D81E">
      <w:pPr>
        <w:pStyle w:val="9"/>
        <w:spacing w:beforeAutospacing="0" w:afterAutospacing="0"/>
        <w:jc w:val="both"/>
        <w:rPr>
          <w:rFonts w:ascii="Calibri" w:hAnsi="Calibri" w:eastAsia="宋体" w:cs="Calibri"/>
        </w:rPr>
      </w:pPr>
      <w:r>
        <w:rPr>
          <w:rFonts w:ascii="Calibri" w:hAnsi="Calibri" w:cs="Calibri"/>
          <w:highlight w:val="yellow"/>
        </w:rPr>
        <w:t>The siRNA sequences were as follows</w:t>
      </w:r>
      <w:r>
        <w:rPr>
          <w:rFonts w:hint="eastAsia" w:ascii="Calibri" w:hAnsi="Calibri" w:eastAsia="宋体" w:cs="Calibri"/>
          <w:highlight w:val="yellow"/>
        </w:rPr>
        <w:t xml:space="preserve"> in </w:t>
      </w:r>
      <w:r>
        <w:rPr>
          <w:rFonts w:ascii="Calibri" w:hAnsi="Calibri" w:eastAsia="宋体" w:cs="Calibri"/>
          <w:b/>
          <w:bCs/>
          <w:highlight w:val="yellow"/>
        </w:rPr>
        <w:t>Table</w:t>
      </w:r>
      <w:r>
        <w:rPr>
          <w:rFonts w:hint="eastAsia" w:ascii="Calibri" w:hAnsi="Calibri" w:eastAsia="宋体" w:cs="Calibri"/>
          <w:b/>
          <w:bCs/>
          <w:highlight w:val="yellow"/>
        </w:rPr>
        <w:t xml:space="preserve"> </w:t>
      </w:r>
      <w:r>
        <w:rPr>
          <w:rFonts w:ascii="Calibri" w:hAnsi="Calibri" w:eastAsia="宋体" w:cs="Calibri"/>
          <w:b/>
          <w:bCs/>
          <w:highlight w:val="yellow"/>
        </w:rPr>
        <w:t>1.</w:t>
      </w:r>
    </w:p>
    <w:p w14:paraId="3C23D81F">
      <w:pPr>
        <w:pStyle w:val="9"/>
        <w:spacing w:beforeAutospacing="0" w:afterAutospacing="0"/>
        <w:jc w:val="both"/>
        <w:rPr>
          <w:rFonts w:ascii="Calibri" w:hAnsi="Calibri" w:eastAsia="宋体" w:cs="Calibri"/>
        </w:rPr>
      </w:pPr>
    </w:p>
    <w:p w14:paraId="3C23D820">
      <w:pPr>
        <w:pStyle w:val="9"/>
        <w:spacing w:beforeAutospacing="0" w:afterAutospacing="0"/>
        <w:ind w:left="3360" w:firstLine="420"/>
        <w:jc w:val="both"/>
        <w:rPr>
          <w:rFonts w:ascii="Calibri" w:hAnsi="Calibri" w:eastAsia="宋体" w:cs="Calibri"/>
          <w:b/>
          <w:bCs/>
        </w:rPr>
      </w:pPr>
      <w:r>
        <w:rPr>
          <w:rFonts w:ascii="Calibri" w:hAnsi="Calibri" w:eastAsia="宋体" w:cs="Calibri"/>
          <w:b/>
          <w:bCs/>
          <w:highlight w:val="yellow"/>
        </w:rPr>
        <w:t xml:space="preserve">[Place </w:t>
      </w:r>
      <w:r>
        <w:rPr>
          <w:rFonts w:hint="eastAsia" w:ascii="Calibri" w:hAnsi="Calibri" w:eastAsia="宋体" w:cs="Calibri"/>
          <w:b/>
          <w:bCs/>
          <w:highlight w:val="yellow"/>
        </w:rPr>
        <w:t xml:space="preserve">Table </w:t>
      </w:r>
      <w:r>
        <w:rPr>
          <w:rFonts w:ascii="Calibri" w:hAnsi="Calibri" w:eastAsia="宋体" w:cs="Calibri"/>
          <w:b/>
          <w:bCs/>
          <w:highlight w:val="yellow"/>
        </w:rPr>
        <w:t>1</w:t>
      </w:r>
      <w:r>
        <w:rPr>
          <w:rFonts w:hint="eastAsia" w:ascii="Calibri" w:hAnsi="Calibri" w:eastAsia="宋体" w:cs="Calibri"/>
          <w:b/>
          <w:bCs/>
          <w:highlight w:val="yellow"/>
        </w:rPr>
        <w:t xml:space="preserve"> </w:t>
      </w:r>
      <w:r>
        <w:rPr>
          <w:rFonts w:ascii="Calibri" w:hAnsi="Calibri" w:eastAsia="宋体" w:cs="Calibri"/>
          <w:b/>
          <w:bCs/>
          <w:highlight w:val="yellow"/>
        </w:rPr>
        <w:t>here]</w:t>
      </w:r>
    </w:p>
    <w:p w14:paraId="3C23D821">
      <w:pPr>
        <w:pStyle w:val="9"/>
        <w:spacing w:beforeAutospacing="0" w:afterAutospacing="0"/>
        <w:jc w:val="both"/>
        <w:rPr>
          <w:rFonts w:ascii="Calibri" w:hAnsi="Calibri" w:cs="Calibri"/>
        </w:rPr>
      </w:pPr>
    </w:p>
    <w:p w14:paraId="3C23D822">
      <w:pPr>
        <w:pStyle w:val="9"/>
        <w:spacing w:beforeAutospacing="0" w:afterAutospacing="0"/>
        <w:jc w:val="both"/>
        <w:rPr>
          <w:rFonts w:ascii="Calibri" w:hAnsi="Calibri" w:cs="Calibri"/>
        </w:rPr>
      </w:pPr>
      <w:r>
        <w:rPr>
          <w:rFonts w:ascii="Calibri" w:hAnsi="Calibri" w:cs="Calibri"/>
          <w:highlight w:val="yellow"/>
        </w:rPr>
        <w:t>Transfection efficiency was monitored using a fluorescently labeled control siRNA (FAM-siRNA) and quantified by flow cytometry, achieving &gt;70% efficiency in both cell lines. Knockdown efficiency was verified 48 h post-transfection by quantitative real-time PCR (qRT-PCR) and Western blot, showing 65–80% reduction in target gene expression</w:t>
      </w:r>
      <w:r>
        <w:rPr>
          <w:rFonts w:ascii="Calibri" w:hAnsi="Calibri" w:cs="Calibri"/>
          <w:highlight w:val="yellow"/>
          <w:vertAlign w:val="superscript"/>
        </w:rPr>
        <w:t>23</w:t>
      </w:r>
      <w:r>
        <w:rPr>
          <w:rFonts w:ascii="Calibri" w:hAnsi="Calibri" w:cs="Calibri"/>
          <w:highlight w:val="yellow"/>
        </w:rPr>
        <w:t>. Experiments were performed in biological triplicates (n = 3 independent experiments) with technical duplicates for each condition. Protein expression levels were determined by Western blot. Total proteins extracted with RIPA buffer containing 1% PMSF were separated by 10% SDS-PAGE and transferred to PVDF membranes. Membranes were blocked with 5% non-fat milk for 1 h, incubated with primary antibodies overnight at 4 °C, and then incubated with HRP-conjugated secondary antibodies for 1 h at room temperature.</w:t>
      </w:r>
    </w:p>
    <w:p w14:paraId="3C23D823">
      <w:pPr>
        <w:spacing w:after="0"/>
        <w:jc w:val="both"/>
        <w:rPr>
          <w:rFonts w:ascii="Calibri" w:hAnsi="Calibri" w:eastAsia="MyriadPro-Semibold" w:cs="Calibri"/>
          <w:b/>
          <w:bCs/>
          <w:lang w:eastAsia="zh-CN" w:bidi="ar"/>
        </w:rPr>
      </w:pPr>
    </w:p>
    <w:p w14:paraId="3C23D824">
      <w:pPr>
        <w:spacing w:after="0"/>
        <w:jc w:val="both"/>
        <w:rPr>
          <w:rFonts w:ascii="Calibri" w:hAnsi="Calibri" w:eastAsia="MyriadPro-Semibold" w:cs="Calibri"/>
          <w:lang w:eastAsia="zh-CN" w:bidi="ar"/>
        </w:rPr>
      </w:pPr>
      <w:r>
        <w:rPr>
          <w:rFonts w:ascii="Calibri" w:hAnsi="Calibri" w:eastAsia="MyriadPro-Semibold" w:cs="Calibri"/>
          <w:b/>
          <w:bCs/>
          <w:highlight w:val="yellow"/>
          <w:lang w:eastAsia="zh-CN" w:bidi="ar"/>
        </w:rPr>
        <w:t xml:space="preserve">Technical implementation and statistical analysis </w:t>
      </w:r>
      <w:r>
        <w:rPr>
          <w:rFonts w:ascii="Calibri" w:hAnsi="Calibri" w:eastAsia="MyriadPro-Semibold" w:cs="Calibri"/>
          <w:highlight w:val="yellow"/>
          <w:lang w:eastAsia="zh-CN" w:bidi="ar"/>
        </w:rPr>
        <w:t xml:space="preserve"> </w:t>
      </w:r>
    </w:p>
    <w:p w14:paraId="3C23D825">
      <w:pPr>
        <w:pStyle w:val="9"/>
        <w:spacing w:beforeAutospacing="0" w:afterAutospacing="0"/>
        <w:jc w:val="both"/>
        <w:rPr>
          <w:rFonts w:ascii="Calibri" w:hAnsi="Calibri" w:cs="Calibri"/>
        </w:rPr>
      </w:pPr>
      <w:r>
        <w:rPr>
          <w:rFonts w:ascii="Calibri" w:hAnsi="Calibri" w:cs="Calibri"/>
          <w:highlight w:val="yellow"/>
        </w:rPr>
        <w:t>Analyses were conducted on a high-performance computing server with Intel Xeon processors and NVIDIA Tesla V100 GPUs</w:t>
      </w:r>
      <w:r>
        <w:rPr>
          <w:rFonts w:ascii="Calibri" w:hAnsi="Calibri" w:cs="Calibri"/>
          <w:highlight w:val="yellow"/>
          <w:vertAlign w:val="superscript"/>
        </w:rPr>
        <w:t>24</w:t>
      </w:r>
      <w:r>
        <w:rPr>
          <w:rFonts w:ascii="Calibri" w:hAnsi="Calibri" w:cs="Calibri"/>
          <w:highlight w:val="yellow"/>
        </w:rPr>
        <w:t>, using Python (v3.9) and R (v4.3.1). Autoencoders were implemented in PyTorch, while survival analysis, clustering, and modeling utilized scikit-learn, lifelines, and XGBoost libraries. The R packages used for analysis were consistent with those previously described. The Wilcoxon rank-sum test was employed to compare differences between two groups, while the Kruskal–Wallis test was used for comparisons among three or more groups. Where applicable, the Student’s t-test was also performed to evaluate statistical significance. Results were considered statistically significant at </w:t>
      </w:r>
      <w:r>
        <w:rPr>
          <w:rFonts w:ascii="Calibri" w:hAnsi="Calibri" w:cs="Calibri"/>
          <w:i/>
          <w:iCs/>
          <w:highlight w:val="yellow"/>
        </w:rPr>
        <w:t>p</w:t>
      </w:r>
      <w:r>
        <w:rPr>
          <w:rFonts w:ascii="Calibri" w:hAnsi="Calibri" w:cs="Calibri"/>
          <w:highlight w:val="yellow"/>
        </w:rPr>
        <w:t> &lt; 0.05</w:t>
      </w:r>
      <w:r>
        <w:rPr>
          <w:rFonts w:ascii="Calibri" w:hAnsi="Calibri" w:cs="Calibri"/>
          <w:highlight w:val="yellow"/>
          <w:vertAlign w:val="superscript"/>
        </w:rPr>
        <w:t>25</w:t>
      </w:r>
      <w:r>
        <w:rPr>
          <w:rFonts w:ascii="Calibri" w:hAnsi="Calibri" w:cs="Calibri"/>
          <w:highlight w:val="yellow"/>
        </w:rPr>
        <w:t>.</w:t>
      </w:r>
    </w:p>
    <w:p w14:paraId="3C23D826">
      <w:pPr>
        <w:pStyle w:val="9"/>
        <w:spacing w:beforeAutospacing="0" w:afterAutospacing="0"/>
        <w:jc w:val="both"/>
        <w:rPr>
          <w:rFonts w:ascii="Calibri" w:hAnsi="Calibri" w:cs="Calibri"/>
        </w:rPr>
      </w:pPr>
    </w:p>
    <w:p w14:paraId="3C23D827">
      <w:pPr>
        <w:spacing w:after="0"/>
        <w:jc w:val="both"/>
        <w:rPr>
          <w:rFonts w:ascii="Calibri" w:hAnsi="Calibri" w:cs="Calibri"/>
          <w:b/>
          <w:bCs/>
          <w:lang w:eastAsia="zh-CN"/>
        </w:rPr>
      </w:pPr>
      <w:r>
        <w:rPr>
          <w:rFonts w:ascii="Calibri" w:hAnsi="Calibri" w:cs="Calibri"/>
          <w:b/>
          <w:bCs/>
          <w:lang w:eastAsia="zh-CN"/>
        </w:rPr>
        <w:t>RESULTS:</w:t>
      </w:r>
    </w:p>
    <w:p w14:paraId="3C23D828">
      <w:pPr>
        <w:spacing w:after="0"/>
        <w:jc w:val="both"/>
        <w:rPr>
          <w:rFonts w:ascii="Calibri" w:hAnsi="Calibri" w:eastAsia="MyriadPro-Semibold" w:cs="Calibri"/>
          <w:lang w:eastAsia="zh-CN" w:bidi="ar"/>
        </w:rPr>
      </w:pPr>
      <w:r>
        <w:rPr>
          <w:rFonts w:ascii="Calibri" w:hAnsi="Calibri" w:eastAsia="MyriadPro-Semibold" w:cs="Calibri"/>
          <w:b/>
          <w:bCs/>
          <w:lang w:eastAsia="zh-CN" w:bidi="ar"/>
        </w:rPr>
        <w:t xml:space="preserve">Autoencoder-based multi-gene representations for HCC prognostic subtyping  </w:t>
      </w:r>
      <w:r>
        <w:rPr>
          <w:rFonts w:ascii="Calibri" w:hAnsi="Calibri" w:eastAsia="MyriadPro-Semibold" w:cs="Calibri"/>
          <w:lang w:eastAsia="zh-CN" w:bidi="ar"/>
        </w:rPr>
        <w:t xml:space="preserve"> </w:t>
      </w:r>
    </w:p>
    <w:p w14:paraId="3C23D829">
      <w:pPr>
        <w:pStyle w:val="9"/>
        <w:spacing w:beforeAutospacing="0" w:afterAutospacing="0"/>
        <w:jc w:val="both"/>
        <w:rPr>
          <w:rFonts w:ascii="Calibri" w:hAnsi="Calibri" w:cs="Calibri"/>
        </w:rPr>
      </w:pPr>
      <w:r>
        <w:rPr>
          <w:rFonts w:hint="eastAsia" w:ascii="Calibri" w:hAnsi="Calibri" w:cs="Calibri"/>
        </w:rPr>
        <w:t>Firstly, multiple gene sets were systematically screened from MSigDB and KEGG databases, followed by strict quality control and normalization. Finally, 50 representative gene sets were retained for feature extraction</w:t>
      </w:r>
      <w:r>
        <w:rPr>
          <w:rFonts w:ascii="Calibri" w:hAnsi="Calibri" w:cs="Calibri"/>
        </w:rPr>
        <w:t xml:space="preserve"> (</w:t>
      </w:r>
      <w:r>
        <w:rPr>
          <w:rFonts w:ascii="Calibri" w:hAnsi="Calibri" w:cs="Calibri"/>
          <w:b/>
          <w:bCs/>
        </w:rPr>
        <w:t xml:space="preserve">Figure </w:t>
      </w:r>
      <w:r>
        <w:rPr>
          <w:rFonts w:hint="eastAsia" w:ascii="Calibri" w:hAnsi="Calibri" w:eastAsia="宋体" w:cs="Calibri"/>
          <w:b/>
          <w:bCs/>
        </w:rPr>
        <w:t>1</w:t>
      </w:r>
      <w:r>
        <w:rPr>
          <w:rFonts w:ascii="Calibri" w:hAnsi="Calibri" w:eastAsia="宋体" w:cs="Calibri"/>
          <w:b/>
          <w:bCs/>
        </w:rPr>
        <w:t>A–C</w:t>
      </w:r>
      <w:r>
        <w:rPr>
          <w:rFonts w:ascii="Calibri" w:hAnsi="Calibri" w:cs="Calibri"/>
        </w:rPr>
        <w:t xml:space="preserve">). </w:t>
      </w:r>
      <w:r>
        <w:rPr>
          <w:rFonts w:hint="eastAsia" w:ascii="Calibri" w:hAnsi="Calibri" w:cs="Calibri"/>
        </w:rPr>
        <w:t>A stacked denoising autoencoder (SDAE) model was developed to capture nonlinear dependencies in each gene set</w:t>
      </w:r>
      <w:r>
        <w:rPr>
          <w:rFonts w:ascii="Calibri" w:hAnsi="Calibri" w:cs="Calibri"/>
        </w:rPr>
        <w:t>. This model compressed each gene set into a 4-dimensional latent space, which was then concatenated into a comprehensive 200-dimensional representation. This approach enabled effective dimensionality reduction and noise mitigation, with reconstruction errors consistently below 0.05, indicating robust and stable feature extraction (</w:t>
      </w:r>
      <w:r>
        <w:rPr>
          <w:rFonts w:ascii="Calibri" w:hAnsi="Calibri" w:cs="Calibri"/>
          <w:b/>
          <w:bCs/>
        </w:rPr>
        <w:t xml:space="preserve">Figure </w:t>
      </w:r>
      <w:r>
        <w:rPr>
          <w:rFonts w:hint="eastAsia" w:ascii="Calibri" w:hAnsi="Calibri" w:eastAsia="宋体" w:cs="Calibri"/>
          <w:b/>
          <w:bCs/>
        </w:rPr>
        <w:t>1</w:t>
      </w:r>
      <w:r>
        <w:rPr>
          <w:rFonts w:ascii="Calibri" w:hAnsi="Calibri" w:cs="Calibri"/>
          <w:b/>
          <w:bCs/>
        </w:rPr>
        <w:t>A</w:t>
      </w:r>
      <w:r>
        <w:rPr>
          <w:rFonts w:ascii="Calibri" w:hAnsi="Calibri" w:cs="Calibri"/>
        </w:rPr>
        <w:t>). Subsequently, the potential features were visualized, revealing distinct clustering patterns among patient samples, indicating the presence of clinically relevant prognostic subtypes (</w:t>
      </w:r>
      <w:r>
        <w:rPr>
          <w:rFonts w:ascii="Calibri" w:hAnsi="Calibri" w:cs="Calibri"/>
          <w:b/>
          <w:bCs/>
        </w:rPr>
        <w:t xml:space="preserve">Figure </w:t>
      </w:r>
      <w:r>
        <w:rPr>
          <w:rFonts w:hint="eastAsia" w:ascii="Calibri" w:hAnsi="Calibri" w:eastAsia="宋体" w:cs="Calibri"/>
          <w:b/>
          <w:bCs/>
        </w:rPr>
        <w:t>1</w:t>
      </w:r>
      <w:r>
        <w:rPr>
          <w:rFonts w:ascii="Calibri" w:hAnsi="Calibri" w:cs="Calibri"/>
          <w:b/>
          <w:bCs/>
        </w:rPr>
        <w:t>B</w:t>
      </w:r>
      <w:r>
        <w:rPr>
          <w:rFonts w:ascii="Calibri" w:hAnsi="Calibri" w:cs="Calibri"/>
        </w:rPr>
        <w:t>). To further evaluate the model's performance at the pathway level, the validation loss for critical pathways was monitored, including PI3K/AKT signaling, epithelial–mesenchymal transition (EMT), angiogenesis, and oxidative phosphorylation. Loss values decreased steadily and converged during training, with the PI3K/AKT signaling pathway showing particularly low loss, confirming the model’s strong learning capacity and stability. The authors then conducted survival-associated pathway analysis using univariate Cox regression and XGBoost-based feature importance ranking. Both methods consistently identified PI3K/AKT, EMT, IL6/JAK/STAT3, and angiogenesis as the most prognostically relevant pathways, while glycolysis and hypoxia showed relatively modest roles. The hazard ratios of these pathways ranged from approximately 0.5 to 4.5, reflecting both protective and risk-enhancing effects (</w:t>
      </w:r>
      <w:r>
        <w:rPr>
          <w:rFonts w:ascii="Calibri" w:hAnsi="Calibri" w:cs="Calibri"/>
          <w:b/>
          <w:bCs/>
        </w:rPr>
        <w:t xml:space="preserve">Figure </w:t>
      </w:r>
      <w:r>
        <w:rPr>
          <w:rFonts w:hint="eastAsia" w:ascii="Calibri" w:hAnsi="Calibri" w:eastAsia="宋体" w:cs="Calibri"/>
          <w:b/>
          <w:bCs/>
        </w:rPr>
        <w:t>1</w:t>
      </w:r>
      <w:r>
        <w:rPr>
          <w:rFonts w:ascii="Calibri" w:hAnsi="Calibri" w:cs="Calibri"/>
          <w:b/>
          <w:bCs/>
        </w:rPr>
        <w:t>C</w:t>
      </w:r>
      <w:r>
        <w:rPr>
          <w:rFonts w:ascii="Calibri" w:hAnsi="Calibri" w:cs="Calibri"/>
        </w:rPr>
        <w:t xml:space="preserve">). KM survival analysis further validated the model's prognostic utility, demonstrating a significant difference between predicted high-risk (median survival: 11 months) and low-risk (median survival: 116 months) groups (HR = 2.11, 95% CI: 1.86–2.40, </w:t>
      </w:r>
      <w:r>
        <w:rPr>
          <w:rFonts w:ascii="Calibri" w:hAnsi="Calibri" w:cs="Calibri"/>
          <w:i/>
          <w:iCs/>
        </w:rPr>
        <w:t>p</w:t>
      </w:r>
      <w:r>
        <w:rPr>
          <w:rFonts w:ascii="Calibri" w:hAnsi="Calibri" w:cs="Calibri"/>
        </w:rPr>
        <w:t xml:space="preserve"> &lt; 0.001) (</w:t>
      </w:r>
      <w:r>
        <w:rPr>
          <w:rFonts w:ascii="Calibri" w:hAnsi="Calibri" w:cs="Calibri"/>
          <w:b/>
          <w:bCs/>
        </w:rPr>
        <w:t>Figure 2</w:t>
      </w:r>
      <w:r>
        <w:rPr>
          <w:rFonts w:hint="eastAsia" w:ascii="Calibri" w:hAnsi="Calibri" w:eastAsia="宋体" w:cs="Calibri"/>
          <w:b/>
          <w:bCs/>
        </w:rPr>
        <w:t>A</w:t>
      </w:r>
      <w:r>
        <w:rPr>
          <w:rFonts w:ascii="Calibri" w:hAnsi="Calibri" w:cs="Calibri"/>
        </w:rPr>
        <w:t>). A representative decision tree from the XGBoost model illustrates the hierarchical contribution of pathway-derived features to prognostic classification (</w:t>
      </w:r>
      <w:r>
        <w:rPr>
          <w:rFonts w:ascii="Calibri" w:hAnsi="Calibri" w:cs="Calibri"/>
          <w:b/>
          <w:bCs/>
        </w:rPr>
        <w:t>Figure 2B</w:t>
      </w:r>
      <w:r>
        <w:rPr>
          <w:rFonts w:ascii="Calibri" w:hAnsi="Calibri" w:cs="Calibri"/>
        </w:rPr>
        <w:t xml:space="preserve">). </w:t>
      </w:r>
      <w:r>
        <w:rPr>
          <w:rFonts w:hint="eastAsia" w:ascii="Calibri" w:hAnsi="Calibri" w:cs="Calibri"/>
        </w:rPr>
        <w:t xml:space="preserve">In summary, the article establishes a </w:t>
      </w:r>
      <w:r>
        <w:rPr>
          <w:rFonts w:ascii="Calibri" w:hAnsi="Calibri" w:cs="Calibri"/>
        </w:rPr>
        <w:t>path-based</w:t>
      </w:r>
      <w:r>
        <w:rPr>
          <w:rFonts w:hint="eastAsia" w:ascii="Calibri" w:hAnsi="Calibri" w:cs="Calibri"/>
        </w:rPr>
        <w:t xml:space="preserve"> deep learning framework for feature extraction and prognostic analysis of HCC</w:t>
      </w:r>
      <w:r>
        <w:rPr>
          <w:rFonts w:ascii="Calibri" w:hAnsi="Calibri" w:cs="Calibri"/>
        </w:rPr>
        <w:t>.</w:t>
      </w:r>
    </w:p>
    <w:p w14:paraId="3C23D82A">
      <w:pPr>
        <w:pStyle w:val="9"/>
        <w:spacing w:beforeAutospacing="0" w:afterAutospacing="0"/>
        <w:jc w:val="both"/>
        <w:rPr>
          <w:rFonts w:ascii="Calibri" w:hAnsi="Calibri" w:cs="Calibri"/>
        </w:rPr>
      </w:pPr>
    </w:p>
    <w:p w14:paraId="3C23D82B">
      <w:pPr>
        <w:pStyle w:val="9"/>
        <w:spacing w:beforeAutospacing="0" w:afterAutospacing="0"/>
        <w:jc w:val="both"/>
        <w:rPr>
          <w:rFonts w:ascii="Calibri" w:hAnsi="Calibri" w:cs="Calibri"/>
          <w:b/>
          <w:bCs/>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 xml:space="preserve"> </w:t>
      </w:r>
      <w:r>
        <w:rPr>
          <w:rFonts w:ascii="Calibri" w:hAnsi="Calibri" w:cs="Calibri"/>
          <w:b/>
          <w:bCs/>
        </w:rPr>
        <w:t>[Place Figure 1 here]</w:t>
      </w:r>
    </w:p>
    <w:p w14:paraId="3C23D82C">
      <w:pPr>
        <w:pStyle w:val="9"/>
        <w:spacing w:beforeAutospacing="0" w:afterAutospacing="0"/>
        <w:jc w:val="both"/>
        <w:rPr>
          <w:rFonts w:ascii="Calibri" w:hAnsi="Calibri" w:cs="Calibri"/>
        </w:rPr>
      </w:pPr>
    </w:p>
    <w:p w14:paraId="3C23D82D">
      <w:pPr>
        <w:spacing w:after="0"/>
        <w:jc w:val="both"/>
        <w:rPr>
          <w:rFonts w:ascii="Calibri" w:hAnsi="Calibri" w:cs="Calibri"/>
          <w:b/>
          <w:bCs/>
          <w:lang w:eastAsia="zh-CN"/>
        </w:rPr>
      </w:pPr>
      <w:r>
        <w:rPr>
          <w:rFonts w:ascii="Calibri" w:hAnsi="Calibri" w:cs="Calibri"/>
          <w:lang w:eastAsia="zh-CN"/>
        </w:rPr>
        <w:t xml:space="preserve">                             </w:t>
      </w:r>
      <w:r>
        <w:rPr>
          <w:rFonts w:ascii="Calibri" w:hAnsi="Calibri" w:cs="Calibri"/>
          <w:b/>
          <w:bCs/>
          <w:lang w:eastAsia="zh-CN"/>
        </w:rPr>
        <w:t>[Place Figure 2 here]</w:t>
      </w:r>
    </w:p>
    <w:p w14:paraId="3C23D82E">
      <w:pPr>
        <w:pStyle w:val="4"/>
        <w:keepNext w:val="0"/>
        <w:keepLines w:val="0"/>
        <w:spacing w:before="180"/>
        <w:jc w:val="both"/>
        <w:rPr>
          <w:rFonts w:ascii="Calibri" w:hAnsi="Calibri" w:cs="Calibri" w:eastAsiaTheme="minorHAnsi"/>
          <w:color w:val="auto"/>
          <w:lang w:eastAsia="zh-CN"/>
        </w:rPr>
      </w:pPr>
      <w:r>
        <w:rPr>
          <w:rFonts w:ascii="Calibri" w:hAnsi="Calibri" w:cs="Calibri"/>
          <w:color w:val="auto"/>
          <w:lang w:eastAsia="zh-CN"/>
        </w:rPr>
        <w:t xml:space="preserve">ScRNA-seq </w:t>
      </w:r>
      <w:r>
        <w:rPr>
          <w:rFonts w:ascii="Calibri" w:hAnsi="Calibri" w:cs="Calibri" w:eastAsiaTheme="minorHAnsi"/>
          <w:color w:val="auto"/>
          <w:lang w:eastAsia="zh-CN"/>
        </w:rPr>
        <w:t>data processing and analysis</w:t>
      </w:r>
    </w:p>
    <w:p w14:paraId="3C23D82F">
      <w:pPr>
        <w:spacing w:after="0"/>
        <w:jc w:val="both"/>
        <w:rPr>
          <w:rFonts w:ascii="Calibri" w:hAnsi="Calibri" w:cs="Calibri"/>
          <w:lang w:eastAsia="zh-CN"/>
        </w:rPr>
      </w:pPr>
      <w:r>
        <w:rPr>
          <w:rFonts w:ascii="Calibri" w:hAnsi="Calibri" w:cs="Calibri"/>
          <w:lang w:eastAsia="zh-CN"/>
        </w:rPr>
        <w:t>This study systematically analyzed three scRNA-seq datasets to construct a comprehensive cell atlas. The datasets comprised 31 tissue samples, including 4 from healthy individuals and 27 from patients with HCC (</w:t>
      </w:r>
      <w:r>
        <w:rPr>
          <w:rFonts w:ascii="Calibri" w:hAnsi="Calibri" w:cs="Calibri"/>
          <w:b/>
          <w:bCs/>
          <w:lang w:eastAsia="zh-CN"/>
        </w:rPr>
        <w:t>Supplementary Figure 1A–B</w:t>
      </w:r>
      <w:r>
        <w:rPr>
          <w:rFonts w:ascii="Calibri" w:hAnsi="Calibri" w:cs="Calibri"/>
          <w:lang w:eastAsia="zh-CN"/>
        </w:rPr>
        <w:t xml:space="preserve">). </w:t>
      </w:r>
      <w:r>
        <w:rPr>
          <w:rFonts w:hint="eastAsia" w:ascii="Calibri" w:hAnsi="Calibri" w:cs="Calibri"/>
          <w:lang w:eastAsia="zh-CN"/>
        </w:rPr>
        <w:t xml:space="preserve">After </w:t>
      </w:r>
      <w:r>
        <w:rPr>
          <w:rFonts w:ascii="Calibri" w:hAnsi="Calibri" w:cs="Calibri"/>
          <w:lang w:eastAsia="zh-CN"/>
        </w:rPr>
        <w:t>rigorous quality control, the study aims to identify the genes that exhibit the greatest</w:t>
      </w:r>
      <w:r>
        <w:rPr>
          <w:rFonts w:hint="eastAsia" w:ascii="Calibri" w:hAnsi="Calibri" w:cs="Calibri"/>
          <w:lang w:eastAsia="zh-CN"/>
        </w:rPr>
        <w:t xml:space="preserve"> variability</w:t>
      </w:r>
      <w:r>
        <w:rPr>
          <w:rFonts w:ascii="Calibri" w:hAnsi="Calibri" w:cs="Calibri"/>
          <w:lang w:eastAsia="zh-CN"/>
        </w:rPr>
        <w:t>. Employing the Find Variable Features function, the top 2,000 highly variable genes were selected based on the relationship between average expression and variance. Principal component analysis (PCA) demonstrated robust integration of both control and HCC samples within the principal component (PC) space (</w:t>
      </w:r>
      <w:r>
        <w:rPr>
          <w:rFonts w:ascii="Calibri" w:hAnsi="Calibri" w:cs="Calibri"/>
          <w:b/>
          <w:bCs/>
          <w:lang w:eastAsia="zh-CN"/>
        </w:rPr>
        <w:t>Supplementary Figure 1B</w:t>
      </w:r>
      <w:r>
        <w:rPr>
          <w:rFonts w:ascii="Calibri" w:hAnsi="Calibri" w:cs="Calibri"/>
          <w:lang w:eastAsia="zh-CN"/>
        </w:rPr>
        <w:t>). To determine the optimal PC number for downstream analyses, additional dimensionality reduction and clustering were performed. The first 50 PCs accounted for a substantial proportion of the total variance, with the variance plateauing beyond PC 30. Accordingly, to maximize biological signal retention while minimizing noise, the first 30 PCs were selected for subsequent analyses (</w:t>
      </w:r>
      <w:r>
        <w:rPr>
          <w:rFonts w:ascii="Calibri" w:hAnsi="Calibri" w:cs="Calibri"/>
          <w:b/>
          <w:bCs/>
          <w:lang w:eastAsia="zh-CN"/>
        </w:rPr>
        <w:t>Supplementary Figure 1</w:t>
      </w:r>
      <w:r>
        <w:rPr>
          <w:rFonts w:ascii="Calibri" w:hAnsi="Calibri" w:cs="Calibri"/>
          <w:lang w:eastAsia="zh-CN"/>
        </w:rPr>
        <w:t>). Marker gene expression profiles for each cluster were annotated via dot plots (</w:t>
      </w:r>
      <w:r>
        <w:rPr>
          <w:rFonts w:ascii="Calibri" w:hAnsi="Calibri" w:cs="Calibri"/>
          <w:b/>
          <w:bCs/>
          <w:lang w:eastAsia="zh-CN"/>
        </w:rPr>
        <w:t>Figure 3A–C</w:t>
      </w:r>
      <w:r>
        <w:rPr>
          <w:rFonts w:ascii="Calibri" w:hAnsi="Calibri" w:cs="Calibri"/>
          <w:lang w:eastAsia="zh-CN"/>
        </w:rPr>
        <w:t>), facilitating cross-sample comparisons. Preliminary clustering identified 12 distinct cellular clusters (</w:t>
      </w:r>
      <w:r>
        <w:rPr>
          <w:rFonts w:ascii="Calibri" w:hAnsi="Calibri" w:cs="Calibri"/>
          <w:b/>
          <w:bCs/>
          <w:lang w:eastAsia="zh-CN"/>
        </w:rPr>
        <w:t>Figure 3D</w:t>
      </w:r>
      <w:r>
        <w:rPr>
          <w:rFonts w:ascii="Calibri" w:hAnsi="Calibri" w:cs="Calibri"/>
          <w:lang w:eastAsia="zh-CN"/>
        </w:rPr>
        <w:t>). Moreover, the pie chart and Manhattan plot (</w:t>
      </w:r>
      <w:r>
        <w:rPr>
          <w:rFonts w:ascii="Calibri" w:hAnsi="Calibri" w:cs="Calibri"/>
          <w:b/>
          <w:bCs/>
          <w:lang w:eastAsia="zh-CN"/>
        </w:rPr>
        <w:t>Figures 3C–E</w:t>
      </w:r>
      <w:r>
        <w:rPr>
          <w:rFonts w:ascii="Calibri" w:hAnsi="Calibri" w:cs="Calibri"/>
          <w:lang w:eastAsia="zh-CN"/>
        </w:rPr>
        <w:t xml:space="preserve">) depict the cell composition and differential gene distribution (DEGs) of various cell types in HCC samples, revealing T cells as the predominant population (69%), followed by T/NK cells (9.49%) and myeloid cells (9.15%). In conclusion, this work presents a detailed cellular atlas of 27 HCC samples, providing a foundational resource for future investigations.   </w:t>
      </w:r>
    </w:p>
    <w:p w14:paraId="3C23D830">
      <w:pPr>
        <w:spacing w:after="0"/>
        <w:jc w:val="both"/>
        <w:rPr>
          <w:rFonts w:ascii="Calibri" w:hAnsi="Calibri" w:cs="Calibri"/>
          <w:b/>
          <w:bCs/>
          <w:lang w:eastAsia="zh-CN"/>
        </w:rPr>
      </w:pPr>
    </w:p>
    <w:p w14:paraId="3C23D831">
      <w:pPr>
        <w:spacing w:after="0"/>
        <w:ind w:left="3360" w:firstLine="420"/>
        <w:jc w:val="both"/>
        <w:rPr>
          <w:rFonts w:ascii="Calibri" w:hAnsi="Calibri" w:cs="Calibri"/>
          <w:b/>
          <w:bCs/>
          <w:lang w:eastAsia="zh-CN"/>
        </w:rPr>
      </w:pPr>
      <w:r>
        <w:rPr>
          <w:rFonts w:ascii="Calibri" w:hAnsi="Calibri" w:cs="Calibri"/>
          <w:b/>
          <w:bCs/>
          <w:lang w:eastAsia="zh-CN"/>
        </w:rPr>
        <w:t>[Place Figure 3 here]</w:t>
      </w:r>
    </w:p>
    <w:p w14:paraId="3C23D832">
      <w:pPr>
        <w:spacing w:after="0"/>
        <w:jc w:val="both"/>
        <w:rPr>
          <w:rFonts w:ascii="Calibri" w:hAnsi="Calibri" w:cs="Calibri"/>
          <w:lang w:eastAsia="zh-CN"/>
        </w:rPr>
      </w:pPr>
    </w:p>
    <w:p w14:paraId="3C23D833">
      <w:pPr>
        <w:spacing w:after="0"/>
        <w:jc w:val="both"/>
        <w:rPr>
          <w:rFonts w:ascii="Calibri" w:hAnsi="Calibri" w:eastAsia="宋体" w:cs="Calibri"/>
          <w:b/>
          <w:bCs/>
          <w:lang w:eastAsia="zh-CN" w:bidi="ar"/>
        </w:rPr>
      </w:pPr>
      <w:r>
        <w:rPr>
          <w:rFonts w:ascii="Calibri" w:hAnsi="Calibri" w:eastAsia="宋体" w:cs="Calibri"/>
          <w:b/>
          <w:bCs/>
          <w:lang w:eastAsia="zh-CN" w:bidi="ar"/>
        </w:rPr>
        <w:t>PI3K/AKT pathway-mediated functional state of myeloid cell subpopulations in HCC</w:t>
      </w:r>
    </w:p>
    <w:p w14:paraId="3C23D834">
      <w:pPr>
        <w:spacing w:after="0"/>
        <w:jc w:val="both"/>
        <w:rPr>
          <w:rFonts w:ascii="Calibri" w:hAnsi="Calibri" w:cs="Calibri"/>
          <w:lang w:eastAsia="zh-CN"/>
        </w:rPr>
      </w:pPr>
      <w:r>
        <w:rPr>
          <w:rFonts w:ascii="Calibri" w:hAnsi="Calibri" w:cs="Calibri"/>
          <w:lang w:eastAsia="zh-CN"/>
        </w:rPr>
        <w:t>Initial UMAP visualization of AUCell pathway score showed a significant increase in PI3K/AKT activity in tumor-associated myeloid cells compared to the control group, indicating a functionally activated state within the tumor microenvironment (</w:t>
      </w:r>
      <w:r>
        <w:rPr>
          <w:rFonts w:ascii="Calibri" w:hAnsi="Calibri" w:cs="Calibri"/>
          <w:b/>
          <w:bCs/>
          <w:lang w:eastAsia="zh-CN"/>
        </w:rPr>
        <w:t>Figure 4A–B</w:t>
      </w:r>
      <w:r>
        <w:rPr>
          <w:rFonts w:ascii="Calibri" w:hAnsi="Calibri" w:cs="Calibri"/>
          <w:lang w:eastAsia="zh-CN"/>
        </w:rPr>
        <w:t>). Motivated by this finding, the authors conducted a pseudotime trajectory analysis focusing specifically on myeloid cells. This analysis showed that myeloid cells differentiated into multiple branches along the pseudotime axis, with a higher proportion of HCC-derived cells occupying terminal branches, suggesting a tumor microenvironment–driven shift toward specific functional states (</w:t>
      </w:r>
      <w:r>
        <w:rPr>
          <w:rFonts w:ascii="Calibri" w:hAnsi="Calibri" w:cs="Calibri"/>
          <w:b/>
          <w:bCs/>
          <w:lang w:eastAsia="zh-CN"/>
        </w:rPr>
        <w:t>Figure 4C</w:t>
      </w:r>
      <w:r>
        <w:rPr>
          <w:rFonts w:ascii="Calibri" w:hAnsi="Calibri" w:cs="Calibri"/>
          <w:lang w:eastAsia="zh-CN"/>
        </w:rPr>
        <w:t>). When pseudotime states were mapped back to the UMAP space, early-stage myeloid cells were predominantly distributed across distinct clusters, whereas late-stage cells aggregated into a separate cluster and displayed markedly elevated AUCell scores (</w:t>
      </w:r>
      <w:r>
        <w:rPr>
          <w:rFonts w:ascii="Calibri" w:hAnsi="Calibri" w:cs="Calibri"/>
          <w:b/>
          <w:bCs/>
          <w:lang w:eastAsia="zh-CN"/>
        </w:rPr>
        <w:t>Figure 4D</w:t>
      </w:r>
      <w:r>
        <w:rPr>
          <w:rFonts w:ascii="Calibri" w:hAnsi="Calibri" w:cs="Calibri"/>
          <w:lang w:eastAsia="zh-CN"/>
        </w:rPr>
        <w:t>). AUCell dynamics along pseudotime showed different patterns between groups. In HCC, pathway activity rose early and remained relatively stable. In contrast, in controls, it displayed a fluctuating pattern, with a mid-pseudotime decline followed by a late increase, suggesting sustained activation in HCC compared with stage-specific regulation in normal tissues. Collectively, these findings indicate that myeloid cell subpopulations in the HCC microenvironment progressively transition toward an aberrantly activated functional state during disease progression.</w:t>
      </w:r>
    </w:p>
    <w:p w14:paraId="3C23D835">
      <w:pPr>
        <w:spacing w:after="0"/>
        <w:jc w:val="both"/>
        <w:rPr>
          <w:rFonts w:ascii="Calibri" w:hAnsi="Calibri" w:cs="Calibri"/>
          <w:lang w:eastAsia="zh-CN"/>
        </w:rPr>
      </w:pPr>
    </w:p>
    <w:p w14:paraId="3C23D836">
      <w:pPr>
        <w:spacing w:after="0"/>
        <w:jc w:val="both"/>
        <w:rPr>
          <w:rFonts w:ascii="Calibri" w:hAnsi="Calibri" w:cs="Calibri"/>
          <w:b/>
          <w:bCs/>
          <w:lang w:eastAsia="zh-CN"/>
        </w:rPr>
      </w:pPr>
      <w:r>
        <w:rPr>
          <w:rFonts w:ascii="Calibri" w:hAnsi="Calibri" w:cs="Calibri"/>
          <w:lang w:eastAsia="zh-CN"/>
        </w:rPr>
        <w:t xml:space="preserve"> </w:t>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b/>
          <w:bCs/>
          <w:lang w:eastAsia="zh-CN"/>
        </w:rPr>
        <w:t>[Place Figure 4 here]</w:t>
      </w:r>
    </w:p>
    <w:p w14:paraId="3C23D837">
      <w:pPr>
        <w:spacing w:after="0"/>
        <w:jc w:val="both"/>
        <w:rPr>
          <w:rFonts w:ascii="Calibri" w:hAnsi="Calibri" w:cs="Calibri" w:eastAsiaTheme="minorEastAsia"/>
          <w:i/>
          <w:iCs/>
          <w:kern w:val="24"/>
          <w:lang w:eastAsia="zh-CN"/>
        </w:rPr>
      </w:pPr>
    </w:p>
    <w:p w14:paraId="3C23D838">
      <w:pPr>
        <w:pStyle w:val="9"/>
        <w:spacing w:beforeAutospacing="0" w:afterAutospacing="0"/>
        <w:jc w:val="both"/>
        <w:rPr>
          <w:rFonts w:ascii="Calibri" w:hAnsi="Calibri" w:cs="Calibri"/>
          <w:b/>
          <w:bCs/>
        </w:rPr>
      </w:pPr>
      <w:r>
        <w:rPr>
          <w:rFonts w:ascii="Calibri" w:hAnsi="Calibri" w:cs="Calibri"/>
          <w:b/>
          <w:bCs/>
        </w:rPr>
        <w:t>Characterization and functional analysis of myeloid cell subpopulations in HCC</w:t>
      </w:r>
    </w:p>
    <w:p w14:paraId="3C23D839">
      <w:pPr>
        <w:spacing w:after="0"/>
        <w:jc w:val="both"/>
        <w:rPr>
          <w:rFonts w:ascii="Calibri" w:hAnsi="Calibri" w:cs="Calibri"/>
          <w:lang w:eastAsia="zh-CN"/>
        </w:rPr>
      </w:pPr>
      <w:r>
        <w:rPr>
          <w:rFonts w:hint="eastAsia" w:ascii="Calibri" w:hAnsi="Calibri" w:cs="Calibri"/>
          <w:lang w:eastAsia="zh-CN"/>
        </w:rPr>
        <w:t xml:space="preserve">The study focused on </w:t>
      </w:r>
      <w:r>
        <w:rPr>
          <w:rFonts w:ascii="Calibri" w:hAnsi="Calibri" w:cs="Calibri"/>
          <w:lang w:eastAsia="zh-CN"/>
        </w:rPr>
        <w:t>myeloid cell subpopulations and performed</w:t>
      </w:r>
      <w:r>
        <w:rPr>
          <w:rFonts w:hint="eastAsia" w:ascii="Calibri" w:hAnsi="Calibri" w:cs="Calibri"/>
          <w:lang w:eastAsia="zh-CN"/>
        </w:rPr>
        <w:t xml:space="preserve"> differential expression analysis</w:t>
      </w:r>
      <w:r>
        <w:rPr>
          <w:rFonts w:ascii="Calibri" w:hAnsi="Calibri" w:cs="Calibri"/>
          <w:lang w:eastAsia="zh-CN"/>
        </w:rPr>
        <w:t>. The resulting volcano plot (</w:t>
      </w:r>
      <w:r>
        <w:rPr>
          <w:rFonts w:ascii="Calibri" w:hAnsi="Calibri" w:cs="Calibri"/>
          <w:b/>
          <w:bCs/>
          <w:lang w:eastAsia="zh-CN"/>
        </w:rPr>
        <w:t>Figure 5A</w:t>
      </w:r>
      <w:r>
        <w:rPr>
          <w:rFonts w:ascii="Calibri" w:hAnsi="Calibri" w:cs="Calibri"/>
          <w:lang w:eastAsia="zh-CN"/>
        </w:rPr>
        <w:t xml:space="preserve">) demonstrates significant transcriptional dysregulation in HCC myeloid cells, with </w:t>
      </w:r>
      <w:r>
        <w:rPr>
          <w:rFonts w:hint="eastAsia" w:ascii="Calibri" w:hAnsi="Calibri" w:cs="Calibri"/>
          <w:lang w:eastAsia="zh-CN"/>
        </w:rPr>
        <w:t>2,567</w:t>
      </w:r>
      <w:r>
        <w:rPr>
          <w:rFonts w:ascii="Calibri" w:hAnsi="Calibri" w:cs="Calibri"/>
          <w:lang w:eastAsia="zh-CN"/>
        </w:rPr>
        <w:t xml:space="preserve"> genes showing upregulated expression. To</w:t>
      </w:r>
      <w:r>
        <w:rPr>
          <w:rFonts w:hint="eastAsia" w:ascii="Calibri" w:hAnsi="Calibri" w:cs="Calibri"/>
          <w:lang w:eastAsia="zh-CN"/>
        </w:rPr>
        <w:t xml:space="preserve"> identify candidate genes related to function, these upregulated genes were </w:t>
      </w:r>
      <w:r>
        <w:rPr>
          <w:rFonts w:ascii="Calibri" w:hAnsi="Calibri" w:cs="Calibri"/>
          <w:lang w:eastAsia="zh-CN"/>
        </w:rPr>
        <w:t>cross-referenced with 105 PI3K/AKT pathway-related</w:t>
      </w:r>
      <w:r>
        <w:rPr>
          <w:rFonts w:hint="eastAsia" w:ascii="Calibri" w:hAnsi="Calibri" w:cs="Calibri"/>
          <w:lang w:eastAsia="zh-CN"/>
        </w:rPr>
        <w:t xml:space="preserve"> genes in GSEA, revealing 24 overlapping genes</w:t>
      </w:r>
      <w:r>
        <w:rPr>
          <w:rFonts w:ascii="Calibri" w:hAnsi="Calibri" w:cs="Calibri"/>
          <w:lang w:eastAsia="zh-CN"/>
        </w:rPr>
        <w:t xml:space="preserve"> (</w:t>
      </w:r>
      <w:r>
        <w:rPr>
          <w:rFonts w:ascii="Calibri" w:hAnsi="Calibri" w:cs="Calibri"/>
          <w:b/>
          <w:bCs/>
          <w:lang w:eastAsia="zh-CN"/>
        </w:rPr>
        <w:t>Figure 5B</w:t>
      </w:r>
      <w:r>
        <w:rPr>
          <w:rFonts w:ascii="Calibri" w:hAnsi="Calibri" w:cs="Calibri"/>
          <w:lang w:eastAsia="zh-CN"/>
        </w:rPr>
        <w:t>). Subsequent GO and KEGG pathway enrichment analyses indicated that these 24 candidate genes are primarily involved in inflammatory signaling, antigen processing and presentation, chemokine signaling, and immune-suppression pathways (</w:t>
      </w:r>
      <w:r>
        <w:rPr>
          <w:rFonts w:ascii="Calibri" w:hAnsi="Calibri" w:cs="Calibri"/>
          <w:b/>
          <w:bCs/>
          <w:lang w:eastAsia="zh-CN"/>
        </w:rPr>
        <w:t>Figure 5C–E</w:t>
      </w:r>
      <w:r>
        <w:rPr>
          <w:rFonts w:ascii="Calibri" w:hAnsi="Calibri" w:cs="Calibri"/>
          <w:lang w:eastAsia="zh-CN"/>
        </w:rPr>
        <w:t>). These results collectively suggest that PI3K/AKT signaling pathway components play a crucial role in mediating the functional reprogramming of myeloid cells during HCC progression.</w:t>
      </w:r>
    </w:p>
    <w:p w14:paraId="3C23D83A">
      <w:pPr>
        <w:spacing w:after="0"/>
        <w:jc w:val="both"/>
        <w:rPr>
          <w:rFonts w:ascii="Calibri" w:hAnsi="Calibri" w:cs="Calibri"/>
          <w:lang w:eastAsia="zh-CN"/>
        </w:rPr>
      </w:pPr>
    </w:p>
    <w:p w14:paraId="3C23D83B">
      <w:pPr>
        <w:spacing w:after="0"/>
        <w:jc w:val="both"/>
        <w:rPr>
          <w:rFonts w:ascii="Calibri" w:hAnsi="Calibri" w:cs="Calibri"/>
          <w:b/>
          <w:bCs/>
          <w:lang w:eastAsia="zh-CN"/>
        </w:rPr>
      </w:pPr>
      <w:r>
        <w:rPr>
          <w:rFonts w:ascii="Calibri" w:hAnsi="Calibri" w:cs="Calibri"/>
          <w:lang w:eastAsia="zh-CN"/>
        </w:rPr>
        <w:t xml:space="preserve"> </w:t>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w:t>
      </w:r>
      <w:r>
        <w:rPr>
          <w:rFonts w:ascii="Calibri" w:hAnsi="Calibri" w:cs="Calibri"/>
          <w:b/>
          <w:bCs/>
          <w:lang w:eastAsia="zh-CN"/>
        </w:rPr>
        <w:t>Place Figure 5 here]</w:t>
      </w:r>
    </w:p>
    <w:p w14:paraId="3C23D83C">
      <w:pPr>
        <w:spacing w:after="0"/>
        <w:jc w:val="both"/>
        <w:rPr>
          <w:rFonts w:ascii="Calibri" w:hAnsi="Calibri" w:cs="Calibri"/>
          <w:lang w:eastAsia="zh-CN"/>
        </w:rPr>
      </w:pPr>
    </w:p>
    <w:p w14:paraId="3C23D83D">
      <w:pPr>
        <w:spacing w:after="0"/>
        <w:jc w:val="both"/>
        <w:rPr>
          <w:rFonts w:ascii="Calibri" w:hAnsi="Calibri" w:cs="Calibri"/>
          <w:b/>
          <w:bCs/>
          <w:lang w:eastAsia="zh-CN"/>
        </w:rPr>
      </w:pPr>
      <w:r>
        <w:rPr>
          <w:rFonts w:ascii="Calibri" w:hAnsi="Calibri" w:cs="Calibri"/>
          <w:b/>
          <w:bCs/>
          <w:lang w:eastAsia="zh-CN"/>
        </w:rPr>
        <w:t>Leveraging 12 diverse machine learning algorithms to identify key prognostic biomarkers in HCC</w:t>
      </w:r>
    </w:p>
    <w:p w14:paraId="3C23D83E">
      <w:pPr>
        <w:spacing w:after="0"/>
        <w:jc w:val="both"/>
        <w:rPr>
          <w:rFonts w:ascii="Calibri" w:hAnsi="Calibri" w:cs="Calibri"/>
          <w:lang w:eastAsia="zh-CN"/>
        </w:rPr>
      </w:pPr>
      <w:r>
        <w:rPr>
          <w:rFonts w:ascii="Calibri" w:hAnsi="Calibri" w:cs="Calibri"/>
          <w:lang w:eastAsia="zh-CN"/>
        </w:rPr>
        <w:t>Following the initial screening of HCC prognostic biomarkers using 12 machine learning algorithms, the authors further refined the feature selection by applying the LASSO algorithm to construct a robust predictive model (</w:t>
      </w:r>
      <w:r>
        <w:rPr>
          <w:rFonts w:ascii="Calibri" w:hAnsi="Calibri" w:cs="Calibri"/>
          <w:b/>
          <w:bCs/>
          <w:lang w:eastAsia="zh-CN"/>
        </w:rPr>
        <w:t>Figure 6</w:t>
      </w:r>
      <w:r>
        <w:rPr>
          <w:rFonts w:ascii="Calibri" w:hAnsi="Calibri" w:cs="Calibri"/>
          <w:lang w:eastAsia="zh-CN"/>
        </w:rPr>
        <w:t>). The model demonstrated strong overall discriminative performance, achieving an ROC-AUC of 0.949 (95% CI: 0.886–1.000) and a PR-AUC of 0.981 (</w:t>
      </w:r>
      <w:r>
        <w:rPr>
          <w:rFonts w:ascii="Calibri" w:hAnsi="Calibri" w:cs="Calibri"/>
          <w:b/>
          <w:bCs/>
          <w:lang w:eastAsia="zh-CN"/>
        </w:rPr>
        <w:t xml:space="preserve">Figure </w:t>
      </w:r>
      <w:r>
        <w:rPr>
          <w:rFonts w:hint="eastAsia" w:ascii="Calibri" w:hAnsi="Calibri" w:cs="Calibri"/>
          <w:b/>
          <w:bCs/>
          <w:lang w:eastAsia="zh-CN"/>
        </w:rPr>
        <w:t>7A</w:t>
      </w:r>
      <w:r>
        <w:rPr>
          <w:rFonts w:ascii="Calibri" w:hAnsi="Calibri" w:cs="Calibri"/>
          <w:b/>
          <w:bCs/>
          <w:lang w:eastAsia="zh-CN"/>
        </w:rPr>
        <w:t>–</w:t>
      </w:r>
      <w:r>
        <w:rPr>
          <w:rFonts w:hint="eastAsia" w:ascii="Calibri" w:hAnsi="Calibri" w:cs="Calibri"/>
          <w:b/>
          <w:bCs/>
          <w:lang w:eastAsia="zh-CN"/>
        </w:rPr>
        <w:t>B</w:t>
      </w:r>
      <w:r>
        <w:rPr>
          <w:rFonts w:ascii="Calibri" w:hAnsi="Calibri" w:cs="Calibri"/>
          <w:lang w:eastAsia="zh-CN"/>
        </w:rPr>
        <w:t>). When evaluated on an independent test set, the model showed high sensitivity (96.8%) in identifying favorable-prognosis cases (tes group, n = 31; 30 correctly classified), but limited specificity (22.2%) for poor-prognosis cases (con group, n = 18; 4 correctly classified) (</w:t>
      </w:r>
      <w:r>
        <w:rPr>
          <w:rFonts w:ascii="Calibri" w:hAnsi="Calibri" w:cs="Calibri"/>
          <w:b/>
          <w:bCs/>
          <w:lang w:eastAsia="zh-CN"/>
        </w:rPr>
        <w:t xml:space="preserve">Figure </w:t>
      </w:r>
      <w:r>
        <w:rPr>
          <w:rFonts w:hint="eastAsia" w:ascii="Calibri" w:hAnsi="Calibri" w:cs="Calibri"/>
          <w:b/>
          <w:bCs/>
          <w:lang w:eastAsia="zh-CN"/>
        </w:rPr>
        <w:t>7C</w:t>
      </w:r>
      <w:r>
        <w:rPr>
          <w:rFonts w:ascii="Calibri" w:hAnsi="Calibri" w:cs="Calibri"/>
          <w:lang w:eastAsia="zh-CN"/>
        </w:rPr>
        <w:t>). Consistent with these findings, the predicted probabilities were highly concentrated within the 0.75–1.00 range for favorable-prognosis samples, whereas a broadly dispersed distribution was observed among poor-prognosis samples (</w:t>
      </w:r>
      <w:r>
        <w:rPr>
          <w:rFonts w:ascii="Calibri" w:hAnsi="Calibri" w:cs="Calibri"/>
          <w:b/>
          <w:bCs/>
          <w:lang w:eastAsia="zh-CN"/>
        </w:rPr>
        <w:t xml:space="preserve">Figure </w:t>
      </w:r>
      <w:r>
        <w:rPr>
          <w:rFonts w:hint="eastAsia" w:ascii="Calibri" w:hAnsi="Calibri" w:cs="Calibri"/>
          <w:b/>
          <w:bCs/>
          <w:lang w:eastAsia="zh-CN"/>
        </w:rPr>
        <w:t>7</w:t>
      </w:r>
      <w:r>
        <w:rPr>
          <w:rFonts w:ascii="Calibri" w:hAnsi="Calibri" w:cs="Calibri"/>
          <w:b/>
          <w:bCs/>
          <w:lang w:eastAsia="zh-CN"/>
        </w:rPr>
        <w:t>D–</w:t>
      </w:r>
      <w:r>
        <w:rPr>
          <w:rFonts w:hint="eastAsia" w:ascii="Calibri" w:hAnsi="Calibri" w:cs="Calibri"/>
          <w:b/>
          <w:bCs/>
          <w:lang w:eastAsia="zh-CN"/>
        </w:rPr>
        <w:t>E</w:t>
      </w:r>
      <w:r>
        <w:rPr>
          <w:rFonts w:ascii="Calibri" w:hAnsi="Calibri" w:cs="Calibri"/>
          <w:lang w:eastAsia="zh-CN"/>
        </w:rPr>
        <w:t>). Finally, feature importance analysis revealed a core subset of prognostic genes whose expression levels were strongly correlated with HCC progression.</w:t>
      </w:r>
    </w:p>
    <w:p w14:paraId="3C23D83F">
      <w:pPr>
        <w:spacing w:after="0"/>
        <w:jc w:val="both"/>
        <w:rPr>
          <w:rFonts w:ascii="Calibri" w:hAnsi="Calibri" w:cs="Calibri"/>
          <w:lang w:eastAsia="zh-CN"/>
        </w:rPr>
      </w:pPr>
    </w:p>
    <w:p w14:paraId="3C23D840">
      <w:pPr>
        <w:spacing w:after="0"/>
        <w:jc w:val="both"/>
        <w:rPr>
          <w:rFonts w:ascii="Calibri" w:hAnsi="Calibri" w:cs="Calibri"/>
          <w:b/>
          <w:bCs/>
          <w:lang w:eastAsia="zh-CN"/>
        </w:rPr>
      </w:pPr>
      <w:r>
        <w:rPr>
          <w:rFonts w:ascii="Calibri" w:hAnsi="Calibri" w:cs="Calibri"/>
          <w:lang w:eastAsia="zh-CN"/>
        </w:rPr>
        <w:t xml:space="preserve"> </w:t>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lang w:eastAsia="zh-CN"/>
        </w:rPr>
        <w:tab/>
      </w:r>
      <w:r>
        <w:rPr>
          <w:rFonts w:ascii="Calibri" w:hAnsi="Calibri" w:cs="Calibri"/>
          <w:b/>
          <w:bCs/>
          <w:lang w:eastAsia="zh-CN"/>
        </w:rPr>
        <w:t>[Place Figure 6 here]</w:t>
      </w:r>
    </w:p>
    <w:p w14:paraId="3C23D841">
      <w:pPr>
        <w:spacing w:after="0"/>
        <w:jc w:val="both"/>
        <w:rPr>
          <w:rFonts w:ascii="Calibri" w:hAnsi="Calibri" w:cs="Calibri"/>
          <w:b/>
          <w:bCs/>
          <w:lang w:eastAsia="zh-CN"/>
        </w:rPr>
      </w:pPr>
    </w:p>
    <w:p w14:paraId="3C23D842">
      <w:pPr>
        <w:spacing w:after="0"/>
        <w:jc w:val="both"/>
        <w:rPr>
          <w:rFonts w:ascii="Calibri" w:hAnsi="Calibri" w:cs="Calibri"/>
          <w:b/>
          <w:bCs/>
          <w:lang w:eastAsia="zh-CN"/>
        </w:rPr>
      </w:pPr>
      <w:r>
        <w:rPr>
          <w:rFonts w:ascii="Calibri" w:hAnsi="Calibri" w:cs="Calibri"/>
          <w:b/>
          <w:bCs/>
          <w:lang w:eastAsia="zh-CN"/>
        </w:rPr>
        <w:tab/>
      </w:r>
      <w:r>
        <w:rPr>
          <w:rFonts w:ascii="Calibri" w:hAnsi="Calibri" w:cs="Calibri"/>
          <w:b/>
          <w:bCs/>
          <w:lang w:eastAsia="zh-CN"/>
        </w:rPr>
        <w:tab/>
      </w:r>
      <w:r>
        <w:rPr>
          <w:rFonts w:ascii="Calibri" w:hAnsi="Calibri" w:cs="Calibri"/>
          <w:b/>
          <w:bCs/>
          <w:lang w:eastAsia="zh-CN"/>
        </w:rPr>
        <w:tab/>
      </w:r>
      <w:r>
        <w:rPr>
          <w:rFonts w:ascii="Calibri" w:hAnsi="Calibri" w:cs="Calibri"/>
          <w:b/>
          <w:bCs/>
          <w:lang w:eastAsia="zh-CN"/>
        </w:rPr>
        <w:tab/>
      </w:r>
      <w:r>
        <w:rPr>
          <w:rFonts w:ascii="Calibri" w:hAnsi="Calibri" w:cs="Calibri"/>
          <w:b/>
          <w:bCs/>
          <w:lang w:eastAsia="zh-CN"/>
        </w:rPr>
        <w:tab/>
      </w:r>
      <w:r>
        <w:rPr>
          <w:rFonts w:ascii="Calibri" w:hAnsi="Calibri" w:cs="Calibri"/>
          <w:b/>
          <w:bCs/>
          <w:lang w:eastAsia="zh-CN"/>
        </w:rPr>
        <w:tab/>
      </w:r>
      <w:r>
        <w:rPr>
          <w:rFonts w:ascii="Calibri" w:hAnsi="Calibri" w:cs="Calibri"/>
          <w:b/>
          <w:bCs/>
          <w:lang w:eastAsia="zh-CN"/>
        </w:rPr>
        <w:tab/>
      </w:r>
      <w:r>
        <w:rPr>
          <w:rFonts w:ascii="Calibri" w:hAnsi="Calibri" w:cs="Calibri"/>
          <w:b/>
          <w:bCs/>
          <w:lang w:eastAsia="zh-CN"/>
        </w:rPr>
        <w:tab/>
      </w:r>
      <w:r>
        <w:rPr>
          <w:rFonts w:ascii="Calibri" w:hAnsi="Calibri" w:cs="Calibri"/>
          <w:b/>
          <w:bCs/>
          <w:lang w:eastAsia="zh-CN"/>
        </w:rPr>
        <w:t xml:space="preserve">   </w:t>
      </w:r>
      <w:r>
        <w:rPr>
          <w:rFonts w:ascii="Calibri" w:hAnsi="Calibri" w:cs="Calibri"/>
          <w:b/>
          <w:bCs/>
          <w:lang w:eastAsia="zh-CN"/>
        </w:rPr>
        <w:tab/>
      </w:r>
      <w:r>
        <w:rPr>
          <w:rFonts w:ascii="Calibri" w:hAnsi="Calibri" w:cs="Calibri"/>
          <w:b/>
          <w:bCs/>
          <w:lang w:eastAsia="zh-CN"/>
        </w:rPr>
        <w:t>[Place Figure 7 here]</w:t>
      </w:r>
    </w:p>
    <w:p w14:paraId="3C23D843">
      <w:pPr>
        <w:spacing w:after="0"/>
        <w:jc w:val="both"/>
        <w:rPr>
          <w:rFonts w:ascii="Calibri" w:hAnsi="Calibri" w:cs="Calibri"/>
          <w:lang w:eastAsia="zh-CN"/>
        </w:rPr>
      </w:pPr>
    </w:p>
    <w:p w14:paraId="3C23D844">
      <w:pPr>
        <w:pStyle w:val="9"/>
        <w:spacing w:beforeAutospacing="0" w:afterAutospacing="0"/>
        <w:jc w:val="both"/>
        <w:rPr>
          <w:rFonts w:ascii="Calibri" w:hAnsi="Calibri" w:cs="Calibri"/>
          <w:b/>
          <w:bCs/>
        </w:rPr>
      </w:pPr>
      <w:r>
        <w:rPr>
          <w:rFonts w:ascii="Calibri" w:hAnsi="Calibri" w:cs="Calibri"/>
          <w:b/>
          <w:bCs/>
        </w:rPr>
        <w:t>Identification and external validation of prognostic gene signatures in HCC</w:t>
      </w:r>
    </w:p>
    <w:p w14:paraId="3C23D845">
      <w:pPr>
        <w:pStyle w:val="9"/>
        <w:spacing w:beforeAutospacing="0" w:afterAutospacing="0"/>
        <w:jc w:val="both"/>
        <w:rPr>
          <w:rFonts w:ascii="Calibri" w:hAnsi="Calibri" w:eastAsia="宋体" w:cs="Calibri"/>
          <w:lang w:bidi="ar"/>
        </w:rPr>
      </w:pPr>
      <w:r>
        <w:rPr>
          <w:rFonts w:ascii="Calibri" w:hAnsi="Calibri" w:eastAsia="宋体" w:cs="Calibri"/>
          <w:lang w:bidi="ar"/>
        </w:rPr>
        <w:t>Single-cell analysis identified ATF1, GRB2, YWHAB, RAC1, CFL1, CLTC, SLC2A1, and SFN as genes with significant clinical correlations to prognosis. KM survival analysis further revealed that, although high SFN expression was linked to favorable outcomes, elevated expression of the remaining seven genes was associated with markedly reduced overall survival (</w:t>
      </w:r>
      <w:r>
        <w:rPr>
          <w:rFonts w:ascii="Calibri" w:hAnsi="Calibri" w:eastAsia="宋体" w:cs="Calibri"/>
          <w:i/>
          <w:iCs/>
          <w:lang w:bidi="ar"/>
        </w:rPr>
        <w:t>p</w:t>
      </w:r>
      <w:r>
        <w:rPr>
          <w:rFonts w:ascii="Calibri" w:hAnsi="Calibri" w:eastAsia="宋体" w:cs="Calibri"/>
          <w:lang w:bidi="ar"/>
        </w:rPr>
        <w:t xml:space="preserve"> &lt; 0.0001; </w:t>
      </w:r>
      <w:r>
        <w:rPr>
          <w:rFonts w:ascii="Calibri" w:hAnsi="Calibri" w:eastAsia="宋体" w:cs="Calibri"/>
          <w:b/>
          <w:bCs/>
          <w:lang w:bidi="ar"/>
        </w:rPr>
        <w:t xml:space="preserve">Figure </w:t>
      </w:r>
      <w:r>
        <w:rPr>
          <w:rFonts w:hint="eastAsia" w:ascii="Calibri" w:hAnsi="Calibri" w:eastAsia="宋体" w:cs="Calibri"/>
          <w:b/>
          <w:bCs/>
          <w:lang w:bidi="ar"/>
        </w:rPr>
        <w:t>8</w:t>
      </w:r>
      <w:r>
        <w:rPr>
          <w:rFonts w:ascii="Calibri" w:hAnsi="Calibri" w:eastAsia="宋体" w:cs="Calibri"/>
          <w:b/>
          <w:bCs/>
          <w:lang w:bidi="ar"/>
        </w:rPr>
        <w:t>A</w:t>
      </w:r>
      <w:r>
        <w:rPr>
          <w:rFonts w:ascii="Calibri" w:hAnsi="Calibri" w:eastAsia="宋体" w:cs="Calibri"/>
          <w:lang w:bidi="ar"/>
        </w:rPr>
        <w:t xml:space="preserve">), underscoring their strong connection to poor prognosis. Further analysis of clinical T staging showed statistically significant differences in the expression levels of these genes across different T stages (Kruskal–Wallis test, </w:t>
      </w:r>
      <w:r>
        <w:rPr>
          <w:rFonts w:ascii="Calibri" w:hAnsi="Calibri" w:eastAsia="宋体" w:cs="Calibri"/>
          <w:i/>
          <w:iCs/>
          <w:lang w:bidi="ar"/>
        </w:rPr>
        <w:t>p</w:t>
      </w:r>
      <w:r>
        <w:rPr>
          <w:rFonts w:ascii="Calibri" w:hAnsi="Calibri" w:eastAsia="宋体" w:cs="Calibri"/>
          <w:lang w:bidi="ar"/>
        </w:rPr>
        <w:t xml:space="preserve"> &lt; 0.05; </w:t>
      </w:r>
      <w:r>
        <w:rPr>
          <w:rFonts w:ascii="Calibri" w:hAnsi="Calibri" w:eastAsia="宋体" w:cs="Calibri"/>
          <w:b/>
          <w:bCs/>
          <w:lang w:bidi="ar"/>
        </w:rPr>
        <w:t xml:space="preserve">Figure </w:t>
      </w:r>
      <w:r>
        <w:rPr>
          <w:rFonts w:hint="eastAsia" w:ascii="Calibri" w:hAnsi="Calibri" w:eastAsia="宋体" w:cs="Calibri"/>
          <w:b/>
          <w:bCs/>
          <w:lang w:bidi="ar"/>
        </w:rPr>
        <w:t>8</w:t>
      </w:r>
      <w:r>
        <w:rPr>
          <w:rFonts w:ascii="Calibri" w:hAnsi="Calibri" w:eastAsia="宋体" w:cs="Calibri"/>
          <w:b/>
          <w:bCs/>
          <w:lang w:bidi="ar"/>
        </w:rPr>
        <w:t>B</w:t>
      </w:r>
      <w:r>
        <w:rPr>
          <w:rFonts w:ascii="Calibri" w:hAnsi="Calibri" w:eastAsia="宋体" w:cs="Calibri"/>
          <w:lang w:bidi="ar"/>
        </w:rPr>
        <w:t>). These findings suggest that these genes are not only strongly correlated with patient survival but may also play functional roles in tumor progression, highlighting their potential as prognostic biomarkers and therapeutic targets. To further validate these prognostic associations, the authors employed an external dataset (GSE76427) for independent verification. Consistent with the initial results, KM analysis confirmed that elevated expression of ATF1, GRB2, YWHAB, SLC2A1, and SFN was significantly associated with reduced overall survival (</w:t>
      </w:r>
      <w:r>
        <w:rPr>
          <w:rFonts w:ascii="Calibri" w:hAnsi="Calibri" w:eastAsia="宋体" w:cs="Calibri"/>
          <w:i/>
          <w:iCs/>
          <w:lang w:bidi="ar"/>
        </w:rPr>
        <w:t xml:space="preserve">p </w:t>
      </w:r>
      <w:r>
        <w:rPr>
          <w:rFonts w:ascii="Calibri" w:hAnsi="Calibri" w:eastAsia="宋体" w:cs="Calibri"/>
          <w:lang w:bidi="ar"/>
        </w:rPr>
        <w:t xml:space="preserve">&lt; 0.05; </w:t>
      </w:r>
      <w:r>
        <w:rPr>
          <w:rFonts w:ascii="Calibri" w:hAnsi="Calibri" w:eastAsia="宋体" w:cs="Calibri"/>
          <w:b/>
          <w:bCs/>
          <w:lang w:bidi="ar"/>
        </w:rPr>
        <w:t xml:space="preserve">Figure </w:t>
      </w:r>
      <w:r>
        <w:rPr>
          <w:rFonts w:hint="eastAsia" w:ascii="Calibri" w:hAnsi="Calibri" w:eastAsia="宋体" w:cs="Calibri"/>
          <w:b/>
          <w:bCs/>
          <w:lang w:bidi="ar"/>
        </w:rPr>
        <w:t>9</w:t>
      </w:r>
      <w:r>
        <w:rPr>
          <w:rFonts w:ascii="Calibri" w:hAnsi="Calibri" w:eastAsia="宋体" w:cs="Calibri"/>
          <w:b/>
          <w:bCs/>
          <w:lang w:bidi="ar"/>
        </w:rPr>
        <w:t>A</w:t>
      </w:r>
      <w:r>
        <w:rPr>
          <w:rFonts w:ascii="Calibri" w:hAnsi="Calibri" w:eastAsia="宋体" w:cs="Calibri"/>
          <w:lang w:bidi="ar"/>
        </w:rPr>
        <w:t xml:space="preserve">). </w:t>
      </w:r>
      <w:r>
        <w:rPr>
          <w:rFonts w:hint="eastAsia" w:ascii="Calibri" w:hAnsi="Calibri" w:eastAsia="宋体" w:cs="Calibri"/>
          <w:lang w:bidi="ar"/>
        </w:rPr>
        <w:t>However, high expression of RAC1 is actually associated with improved prognosis, which may be due to differences in inclusion criteria</w:t>
      </w:r>
      <w:r>
        <w:rPr>
          <w:rFonts w:ascii="Calibri" w:hAnsi="Calibri" w:eastAsia="宋体" w:cs="Calibri"/>
          <w:lang w:bidi="ar"/>
        </w:rPr>
        <w:t>, such as pathological tissue information and sample size,</w:t>
      </w:r>
      <w:r>
        <w:rPr>
          <w:rFonts w:hint="eastAsia" w:ascii="Calibri" w:hAnsi="Calibri" w:eastAsia="宋体" w:cs="Calibri"/>
          <w:lang w:bidi="ar"/>
        </w:rPr>
        <w:t xml:space="preserve"> among different datasets.</w:t>
      </w:r>
    </w:p>
    <w:p w14:paraId="3C23D846">
      <w:pPr>
        <w:pStyle w:val="9"/>
        <w:spacing w:beforeAutospacing="0" w:afterAutospacing="0"/>
        <w:jc w:val="both"/>
        <w:rPr>
          <w:rFonts w:ascii="Calibri" w:hAnsi="Calibri" w:eastAsia="宋体" w:cs="Calibri"/>
          <w:lang w:bidi="ar"/>
        </w:rPr>
      </w:pPr>
    </w:p>
    <w:p w14:paraId="3C23D847">
      <w:pPr>
        <w:spacing w:after="0"/>
        <w:jc w:val="both"/>
        <w:rPr>
          <w:rFonts w:ascii="Calibri" w:hAnsi="Calibri" w:cs="Calibri"/>
          <w:b/>
          <w:bCs/>
          <w:lang w:eastAsia="zh-CN"/>
        </w:rPr>
      </w:pPr>
      <w:r>
        <w:rPr>
          <w:rFonts w:ascii="Calibri" w:hAnsi="Calibri" w:cs="Calibri"/>
          <w:lang w:eastAsia="zh-CN"/>
        </w:rPr>
        <w:t xml:space="preserve"> </w:t>
      </w:r>
      <w:r>
        <w:rPr>
          <w:rFonts w:ascii="Calibri" w:hAnsi="Calibri" w:eastAsia="MyriadPro-Semibold" w:cs="Calibri"/>
          <w:lang w:eastAsia="zh-CN" w:bidi="ar"/>
        </w:rPr>
        <w:tab/>
      </w:r>
      <w:r>
        <w:rPr>
          <w:rFonts w:ascii="Calibri" w:hAnsi="Calibri" w:eastAsia="MyriadPro-Semibold" w:cs="Calibri"/>
          <w:lang w:eastAsia="zh-CN" w:bidi="ar"/>
        </w:rPr>
        <w:tab/>
      </w:r>
      <w:r>
        <w:rPr>
          <w:rFonts w:ascii="Calibri" w:hAnsi="Calibri" w:eastAsia="MyriadPro-Semibold" w:cs="Calibri"/>
          <w:lang w:eastAsia="zh-CN" w:bidi="ar"/>
        </w:rPr>
        <w:tab/>
      </w:r>
      <w:r>
        <w:rPr>
          <w:rFonts w:ascii="Calibri" w:hAnsi="Calibri" w:eastAsia="MyriadPro-Semibold" w:cs="Calibri"/>
          <w:lang w:eastAsia="zh-CN" w:bidi="ar"/>
        </w:rPr>
        <w:tab/>
      </w:r>
      <w:r>
        <w:rPr>
          <w:rFonts w:ascii="Calibri" w:hAnsi="Calibri" w:eastAsia="MyriadPro-Semibold" w:cs="Calibri"/>
          <w:lang w:eastAsia="zh-CN" w:bidi="ar"/>
        </w:rPr>
        <w:tab/>
      </w:r>
      <w:r>
        <w:rPr>
          <w:rFonts w:ascii="Calibri" w:hAnsi="Calibri" w:eastAsia="MyriadPro-Semibold" w:cs="Calibri"/>
          <w:lang w:eastAsia="zh-CN" w:bidi="ar"/>
        </w:rPr>
        <w:tab/>
      </w:r>
      <w:r>
        <w:rPr>
          <w:rFonts w:ascii="Calibri" w:hAnsi="Calibri" w:eastAsia="MyriadPro-Semibold" w:cs="Calibri"/>
          <w:lang w:eastAsia="zh-CN" w:bidi="ar"/>
        </w:rPr>
        <w:tab/>
      </w:r>
      <w:r>
        <w:rPr>
          <w:rFonts w:ascii="Calibri" w:hAnsi="Calibri" w:eastAsia="MyriadPro-Semibold" w:cs="Calibri"/>
          <w:lang w:eastAsia="zh-CN" w:bidi="ar"/>
        </w:rPr>
        <w:tab/>
      </w:r>
      <w:r>
        <w:rPr>
          <w:rFonts w:ascii="Calibri" w:hAnsi="Calibri" w:eastAsia="MyriadPro-Semibold" w:cs="Calibri"/>
          <w:lang w:eastAsia="zh-CN" w:bidi="ar"/>
        </w:rPr>
        <w:tab/>
      </w:r>
      <w:r>
        <w:rPr>
          <w:rFonts w:ascii="Calibri" w:hAnsi="Calibri" w:eastAsia="MyriadPro-Semibold" w:cs="Calibri"/>
          <w:b/>
          <w:bCs/>
          <w:lang w:eastAsia="zh-CN" w:bidi="ar"/>
        </w:rPr>
        <w:t>[</w:t>
      </w:r>
      <w:r>
        <w:rPr>
          <w:rFonts w:ascii="Calibri" w:hAnsi="Calibri" w:cs="Calibri"/>
          <w:b/>
          <w:bCs/>
          <w:lang w:eastAsia="zh-CN"/>
        </w:rPr>
        <w:t xml:space="preserve">Place Figure </w:t>
      </w:r>
      <w:r>
        <w:rPr>
          <w:rFonts w:hint="eastAsia" w:ascii="Calibri" w:hAnsi="Calibri" w:cs="Calibri"/>
          <w:b/>
          <w:bCs/>
          <w:lang w:eastAsia="zh-CN"/>
        </w:rPr>
        <w:t>8</w:t>
      </w:r>
      <w:r>
        <w:rPr>
          <w:rFonts w:ascii="Calibri" w:hAnsi="Calibri" w:cs="Calibri"/>
          <w:b/>
          <w:bCs/>
          <w:lang w:eastAsia="zh-CN"/>
        </w:rPr>
        <w:t xml:space="preserve"> here]</w:t>
      </w:r>
    </w:p>
    <w:p w14:paraId="3C23D848">
      <w:pPr>
        <w:spacing w:after="0"/>
        <w:jc w:val="both"/>
        <w:rPr>
          <w:rFonts w:ascii="Calibri" w:hAnsi="Calibri" w:eastAsia="宋体" w:cs="Calibri"/>
          <w:lang w:eastAsia="zh-CN" w:bidi="ar"/>
        </w:rPr>
      </w:pPr>
    </w:p>
    <w:p w14:paraId="3C23D849">
      <w:pPr>
        <w:pStyle w:val="9"/>
        <w:spacing w:beforeAutospacing="0" w:afterAutospacing="0"/>
        <w:jc w:val="both"/>
        <w:rPr>
          <w:rFonts w:ascii="Calibri" w:hAnsi="Calibri" w:eastAsia="宋体" w:cs="Calibri"/>
          <w:b/>
          <w:bCs/>
          <w:lang w:bidi="ar"/>
        </w:rPr>
      </w:pPr>
      <w:r>
        <w:rPr>
          <w:rFonts w:ascii="Calibri" w:hAnsi="Calibri" w:eastAsia="宋体" w:cs="Calibri"/>
          <w:b/>
          <w:bCs/>
          <w:lang w:bidi="ar"/>
        </w:rPr>
        <w:t>Candidate genes obtained through machine learning and survival prognosis analysis</w:t>
      </w:r>
    </w:p>
    <w:p w14:paraId="3C23D84A">
      <w:pPr>
        <w:pStyle w:val="9"/>
        <w:spacing w:beforeAutospacing="0" w:afterAutospacing="0"/>
        <w:jc w:val="both"/>
        <w:rPr>
          <w:rFonts w:ascii="Calibri" w:hAnsi="Calibri" w:eastAsia="宋体" w:cs="Calibri"/>
          <w:lang w:bidi="ar"/>
        </w:rPr>
      </w:pPr>
      <w:r>
        <w:rPr>
          <w:rFonts w:ascii="Calibri" w:hAnsi="Calibri" w:eastAsia="宋体" w:cs="Calibri"/>
          <w:lang w:bidi="ar"/>
        </w:rPr>
        <w:t>The authors applied a LASSO-regularized Cox model to identify prognostic genes and intersected these with genes derived from survival analyses, identifying RAC1 and SLC2A1 as core candidates (</w:t>
      </w:r>
      <w:r>
        <w:rPr>
          <w:rFonts w:ascii="Calibri" w:hAnsi="Calibri" w:eastAsia="宋体" w:cs="Calibri"/>
          <w:b/>
          <w:bCs/>
          <w:lang w:bidi="ar"/>
        </w:rPr>
        <w:t xml:space="preserve">Figure </w:t>
      </w:r>
      <w:r>
        <w:rPr>
          <w:rFonts w:hint="eastAsia" w:ascii="Calibri" w:hAnsi="Calibri" w:eastAsia="宋体" w:cs="Calibri"/>
          <w:b/>
          <w:bCs/>
          <w:lang w:bidi="ar"/>
        </w:rPr>
        <w:t>9</w:t>
      </w:r>
      <w:r>
        <w:rPr>
          <w:rFonts w:ascii="Calibri" w:hAnsi="Calibri" w:eastAsia="宋体" w:cs="Calibri"/>
          <w:b/>
          <w:bCs/>
          <w:lang w:bidi="ar"/>
        </w:rPr>
        <w:t>B</w:t>
      </w:r>
      <w:r>
        <w:rPr>
          <w:rFonts w:ascii="Calibri" w:hAnsi="Calibri" w:eastAsia="宋体" w:cs="Calibri"/>
          <w:lang w:bidi="ar"/>
        </w:rPr>
        <w:t>). Both genes showed significant association with the EMT pathway (</w:t>
      </w:r>
      <w:r>
        <w:rPr>
          <w:rFonts w:ascii="Calibri" w:hAnsi="Calibri" w:eastAsia="宋体" w:cs="Calibri"/>
          <w:b/>
          <w:bCs/>
          <w:lang w:bidi="ar"/>
        </w:rPr>
        <w:t xml:space="preserve">Figure </w:t>
      </w:r>
      <w:r>
        <w:rPr>
          <w:rFonts w:hint="eastAsia" w:ascii="Calibri" w:hAnsi="Calibri" w:eastAsia="宋体" w:cs="Calibri"/>
          <w:b/>
          <w:bCs/>
          <w:lang w:bidi="ar"/>
        </w:rPr>
        <w:t>9</w:t>
      </w:r>
      <w:r>
        <w:rPr>
          <w:rFonts w:ascii="Calibri" w:hAnsi="Calibri" w:eastAsia="宋体" w:cs="Calibri"/>
          <w:b/>
          <w:bCs/>
          <w:lang w:bidi="ar"/>
        </w:rPr>
        <w:t>C</w:t>
      </w:r>
      <w:r>
        <w:rPr>
          <w:rFonts w:ascii="Calibri" w:hAnsi="Calibri" w:eastAsia="宋体" w:cs="Calibri"/>
          <w:lang w:bidi="ar"/>
        </w:rPr>
        <w:t>). GSEA further confirmed strong enrichment of EMT-related features in samples with high expression of either RAC1 or SLC2A1, and their expression levels were positively correlated with EMT activation (</w:t>
      </w:r>
      <w:r>
        <w:rPr>
          <w:rFonts w:ascii="Calibri" w:hAnsi="Calibri" w:eastAsia="宋体" w:cs="Calibri"/>
          <w:b/>
          <w:bCs/>
          <w:lang w:bidi="ar"/>
        </w:rPr>
        <w:t xml:space="preserve">Figure </w:t>
      </w:r>
      <w:r>
        <w:rPr>
          <w:rFonts w:hint="eastAsia" w:ascii="Calibri" w:hAnsi="Calibri" w:eastAsia="宋体" w:cs="Calibri"/>
          <w:b/>
          <w:bCs/>
          <w:lang w:bidi="ar"/>
        </w:rPr>
        <w:t>9</w:t>
      </w:r>
      <w:r>
        <w:rPr>
          <w:rFonts w:ascii="Calibri" w:hAnsi="Calibri" w:eastAsia="宋体" w:cs="Calibri"/>
          <w:b/>
          <w:bCs/>
          <w:lang w:bidi="ar"/>
        </w:rPr>
        <w:t>D</w:t>
      </w:r>
      <w:r>
        <w:rPr>
          <w:rFonts w:ascii="Calibri" w:hAnsi="Calibri" w:eastAsia="宋体" w:cs="Calibri"/>
          <w:lang w:bidi="ar"/>
        </w:rPr>
        <w:t>). Together, these results indicate that RAC1 and SLC2A1 not only serve as robust prognostic biomarkers but may also promote malignant progression through EMT regulation, consistent with their earlier association with T-stage progression.</w:t>
      </w:r>
    </w:p>
    <w:p w14:paraId="3C23D84B">
      <w:pPr>
        <w:pStyle w:val="9"/>
        <w:spacing w:beforeAutospacing="0" w:afterAutospacing="0"/>
        <w:jc w:val="both"/>
        <w:rPr>
          <w:rFonts w:ascii="Calibri" w:hAnsi="Calibri" w:eastAsia="宋体" w:cs="Calibri"/>
          <w:lang w:bidi="ar"/>
        </w:rPr>
      </w:pPr>
    </w:p>
    <w:p w14:paraId="3C23D84C">
      <w:pPr>
        <w:spacing w:after="0"/>
        <w:ind w:left="3360" w:firstLine="420"/>
        <w:jc w:val="both"/>
        <w:rPr>
          <w:rFonts w:ascii="Calibri" w:hAnsi="Calibri" w:cs="Calibri"/>
          <w:b/>
          <w:bCs/>
          <w:lang w:eastAsia="zh-CN"/>
        </w:rPr>
      </w:pPr>
      <w:r>
        <w:rPr>
          <w:rFonts w:ascii="Calibri" w:hAnsi="Calibri" w:cs="Calibri"/>
          <w:b/>
          <w:bCs/>
          <w:lang w:eastAsia="zh-CN"/>
        </w:rPr>
        <w:t xml:space="preserve">[Place Figure </w:t>
      </w:r>
      <w:r>
        <w:rPr>
          <w:rFonts w:hint="eastAsia" w:ascii="Calibri" w:hAnsi="Calibri" w:cs="Calibri"/>
          <w:b/>
          <w:bCs/>
          <w:lang w:eastAsia="zh-CN"/>
        </w:rPr>
        <w:t>9</w:t>
      </w:r>
      <w:r>
        <w:rPr>
          <w:rFonts w:ascii="Calibri" w:hAnsi="Calibri" w:cs="Calibri"/>
          <w:b/>
          <w:bCs/>
          <w:lang w:eastAsia="zh-CN"/>
        </w:rPr>
        <w:t xml:space="preserve"> here]</w:t>
      </w:r>
    </w:p>
    <w:p w14:paraId="3C23D84D">
      <w:pPr>
        <w:spacing w:after="0"/>
        <w:jc w:val="both"/>
        <w:rPr>
          <w:rFonts w:ascii="Calibri" w:hAnsi="Calibri" w:cs="Calibri"/>
          <w:lang w:eastAsia="zh-CN"/>
        </w:rPr>
      </w:pPr>
    </w:p>
    <w:p w14:paraId="3C23D84E">
      <w:pPr>
        <w:pStyle w:val="9"/>
        <w:spacing w:beforeAutospacing="0" w:afterAutospacing="0"/>
        <w:jc w:val="both"/>
        <w:rPr>
          <w:rFonts w:ascii="Calibri" w:hAnsi="Calibri" w:cs="Calibri"/>
          <w:b/>
          <w:bCs/>
        </w:rPr>
      </w:pPr>
      <w:r>
        <w:rPr>
          <w:rFonts w:ascii="Calibri" w:hAnsi="Calibri" w:cs="Calibri"/>
          <w:b/>
          <w:bCs/>
        </w:rPr>
        <w:t>The description of RAC1 and SLC2A1 immune infiltration results</w:t>
      </w:r>
    </w:p>
    <w:p w14:paraId="3C23D84F">
      <w:pPr>
        <w:pStyle w:val="9"/>
        <w:spacing w:beforeAutospacing="0" w:afterAutospacing="0"/>
        <w:jc w:val="both"/>
        <w:rPr>
          <w:rFonts w:ascii="Calibri" w:hAnsi="Calibri" w:cs="Calibri"/>
        </w:rPr>
      </w:pPr>
      <w:r>
        <w:rPr>
          <w:rFonts w:ascii="Calibri" w:hAnsi="Calibri" w:cs="Calibri"/>
        </w:rPr>
        <w:t>RAC1 expression was closely linked to specific immune infiltration patterns in tumors. High RAC1 levels correlated with increased infiltration of multiple immune cells, including CD4⁺ and CD8⁺ T cells, dendritic cells, monocytes, and macrophages across M0, M1, and M2 subtypes  (</w:t>
      </w:r>
      <w:r>
        <w:rPr>
          <w:rFonts w:ascii="Calibri" w:hAnsi="Calibri" w:cs="Calibri"/>
          <w:b/>
          <w:bCs/>
        </w:rPr>
        <w:t xml:space="preserve">Figure </w:t>
      </w:r>
      <w:r>
        <w:rPr>
          <w:rFonts w:hint="eastAsia" w:ascii="Calibri" w:hAnsi="Calibri" w:eastAsia="宋体" w:cs="Calibri"/>
          <w:b/>
          <w:bCs/>
        </w:rPr>
        <w:t>10</w:t>
      </w:r>
      <w:r>
        <w:rPr>
          <w:rFonts w:ascii="Calibri" w:hAnsi="Calibri" w:cs="Calibri"/>
          <w:b/>
          <w:bCs/>
        </w:rPr>
        <w:t>A–D</w:t>
      </w:r>
      <w:r>
        <w:rPr>
          <w:rFonts w:ascii="Calibri" w:hAnsi="Calibri" w:cs="Calibri"/>
        </w:rPr>
        <w:t>). Markers associated with regulatory T cells (Tregs), such as FOXP3, IL2RA, and CTLA4, were also elevated, suggesting a simultaneous rise in immunosuppressive activity. Heatmaps confirmed widespread upregulation of immune-related genes, indicating a remodeled immune microenvironment  (</w:t>
      </w:r>
      <w:r>
        <w:rPr>
          <w:rFonts w:ascii="Calibri" w:hAnsi="Calibri" w:cs="Calibri"/>
          <w:b/>
          <w:bCs/>
        </w:rPr>
        <w:t xml:space="preserve">Figure </w:t>
      </w:r>
      <w:r>
        <w:rPr>
          <w:rFonts w:hint="eastAsia" w:ascii="Calibri" w:hAnsi="Calibri" w:eastAsia="宋体" w:cs="Calibri"/>
          <w:b/>
          <w:bCs/>
        </w:rPr>
        <w:t>10</w:t>
      </w:r>
      <w:r>
        <w:rPr>
          <w:rFonts w:ascii="Calibri" w:hAnsi="Calibri" w:cs="Calibri"/>
          <w:b/>
          <w:bCs/>
        </w:rPr>
        <w:t>B</w:t>
      </w:r>
      <w:r>
        <w:rPr>
          <w:rFonts w:ascii="Calibri" w:hAnsi="Calibri" w:cs="Calibri"/>
        </w:rPr>
        <w:t>). Scatter plots further showed strong positive correlations between RAC1 expression and immune infiltration levels—particularly for macrophages, T cells, and dendritic cells—supporting its role in promoting immune infiltration(</w:t>
      </w:r>
      <w:r>
        <w:rPr>
          <w:rFonts w:ascii="Calibri" w:hAnsi="Calibri" w:cs="Calibri"/>
          <w:b/>
          <w:bCs/>
        </w:rPr>
        <w:t xml:space="preserve">Figure </w:t>
      </w:r>
      <w:r>
        <w:rPr>
          <w:rFonts w:hint="eastAsia" w:ascii="Calibri" w:hAnsi="Calibri" w:eastAsia="宋体" w:cs="Calibri"/>
          <w:b/>
          <w:bCs/>
        </w:rPr>
        <w:t>10</w:t>
      </w:r>
      <w:r>
        <w:rPr>
          <w:rFonts w:ascii="Calibri" w:hAnsi="Calibri" w:cs="Calibri"/>
          <w:b/>
          <w:bCs/>
        </w:rPr>
        <w:t>D</w:t>
      </w:r>
      <w:r>
        <w:rPr>
          <w:rFonts w:ascii="Calibri" w:hAnsi="Calibri" w:cs="Calibri"/>
        </w:rPr>
        <w:t>). Moreover, key immune checkpoint molecules, including PD-L1, PD-L2, PD-1, LAG3, and TIGIT, were significantly overexpressed in RAC1-high tumors, implying a potential mechanism for immune escape (</w:t>
      </w:r>
      <w:r>
        <w:rPr>
          <w:rFonts w:ascii="Calibri" w:hAnsi="Calibri" w:cs="Calibri"/>
          <w:b/>
          <w:bCs/>
        </w:rPr>
        <w:t xml:space="preserve">Figure </w:t>
      </w:r>
      <w:r>
        <w:rPr>
          <w:rFonts w:hint="eastAsia" w:ascii="Calibri" w:hAnsi="Calibri" w:eastAsia="宋体" w:cs="Calibri"/>
          <w:b/>
          <w:bCs/>
        </w:rPr>
        <w:t>10</w:t>
      </w:r>
      <w:r>
        <w:rPr>
          <w:rFonts w:ascii="Calibri" w:hAnsi="Calibri" w:cs="Calibri"/>
          <w:b/>
          <w:bCs/>
        </w:rPr>
        <w:t>C</w:t>
      </w:r>
      <w:r>
        <w:rPr>
          <w:rFonts w:ascii="Calibri" w:hAnsi="Calibri" w:cs="Calibri"/>
        </w:rPr>
        <w:t>).</w:t>
      </w:r>
    </w:p>
    <w:p w14:paraId="3C23D850">
      <w:pPr>
        <w:pStyle w:val="9"/>
        <w:spacing w:beforeAutospacing="0" w:afterAutospacing="0"/>
        <w:jc w:val="both"/>
        <w:rPr>
          <w:rFonts w:ascii="Calibri" w:hAnsi="Calibri" w:cs="Calibri"/>
        </w:rPr>
      </w:pPr>
    </w:p>
    <w:p w14:paraId="3C23D851">
      <w:pPr>
        <w:pStyle w:val="9"/>
        <w:spacing w:beforeAutospacing="0" w:afterAutospacing="0"/>
        <w:ind w:left="3780"/>
        <w:jc w:val="both"/>
        <w:rPr>
          <w:rFonts w:ascii="Calibri" w:hAnsi="Calibri" w:cs="Calibri"/>
          <w:b/>
          <w:bCs/>
        </w:rPr>
      </w:pPr>
      <w:r>
        <w:rPr>
          <w:rFonts w:ascii="Calibri" w:hAnsi="Calibri" w:cs="Calibri"/>
          <w:b/>
          <w:bCs/>
        </w:rPr>
        <w:t xml:space="preserve">[Place Figure </w:t>
      </w:r>
      <w:r>
        <w:rPr>
          <w:rFonts w:hint="eastAsia" w:ascii="Calibri" w:hAnsi="Calibri" w:eastAsia="宋体" w:cs="Calibri"/>
          <w:b/>
          <w:bCs/>
        </w:rPr>
        <w:t>10</w:t>
      </w:r>
      <w:r>
        <w:rPr>
          <w:rFonts w:ascii="Calibri" w:hAnsi="Calibri" w:cs="Calibri"/>
          <w:b/>
          <w:bCs/>
        </w:rPr>
        <w:t xml:space="preserve"> here]</w:t>
      </w:r>
    </w:p>
    <w:p w14:paraId="3C23D852">
      <w:pPr>
        <w:pStyle w:val="9"/>
        <w:spacing w:beforeAutospacing="0" w:afterAutospacing="0"/>
        <w:jc w:val="both"/>
        <w:rPr>
          <w:rFonts w:ascii="Calibri" w:hAnsi="Calibri" w:cs="Calibri"/>
        </w:rPr>
      </w:pPr>
    </w:p>
    <w:p w14:paraId="3C23D853">
      <w:pPr>
        <w:pStyle w:val="9"/>
        <w:spacing w:beforeAutospacing="0" w:afterAutospacing="0"/>
        <w:jc w:val="both"/>
        <w:rPr>
          <w:rFonts w:ascii="Calibri" w:hAnsi="Calibri" w:cs="Calibri"/>
        </w:rPr>
      </w:pPr>
      <w:r>
        <w:rPr>
          <w:rFonts w:ascii="Calibri" w:hAnsi="Calibri" w:cs="Calibri"/>
        </w:rPr>
        <w:t>Similarly, elevated SLC2A1 expression was associated with a highly active immune microenvironment. Tumors with high SLC2A1 levels showed significantly greater infiltration of CD8⁺ T cells, activated memory CD4⁺ T cells, Tregs, macrophages, monocytes, neutrophils, and resting dendritic cells (</w:t>
      </w:r>
      <w:r>
        <w:rPr>
          <w:rFonts w:ascii="Calibri" w:hAnsi="Calibri" w:cs="Calibri"/>
          <w:b/>
          <w:bCs/>
        </w:rPr>
        <w:t>Figure 1</w:t>
      </w:r>
      <w:r>
        <w:rPr>
          <w:rFonts w:hint="eastAsia" w:ascii="Calibri" w:hAnsi="Calibri" w:eastAsia="宋体" w:cs="Calibri"/>
          <w:b/>
          <w:bCs/>
        </w:rPr>
        <w:t>1</w:t>
      </w:r>
      <w:r>
        <w:rPr>
          <w:rFonts w:ascii="Calibri" w:hAnsi="Calibri" w:cs="Calibri"/>
          <w:b/>
          <w:bCs/>
        </w:rPr>
        <w:t>A</w:t>
      </w:r>
      <w:r>
        <w:rPr>
          <w:rFonts w:ascii="Calibri" w:hAnsi="Calibri" w:cs="Calibri"/>
        </w:rPr>
        <w:t>). Heatmap analysis revealed upregulation of genes involved in antigen presentation, chemokine signaling, and leukocyte migration (</w:t>
      </w:r>
      <w:r>
        <w:rPr>
          <w:rFonts w:ascii="Calibri" w:hAnsi="Calibri" w:cs="Calibri"/>
          <w:b/>
          <w:bCs/>
        </w:rPr>
        <w:t>Figure 1</w:t>
      </w:r>
      <w:r>
        <w:rPr>
          <w:rFonts w:hint="eastAsia" w:ascii="Calibri" w:hAnsi="Calibri" w:eastAsia="宋体" w:cs="Calibri"/>
          <w:b/>
          <w:bCs/>
        </w:rPr>
        <w:t>1</w:t>
      </w:r>
      <w:r>
        <w:rPr>
          <w:rFonts w:ascii="Calibri" w:hAnsi="Calibri" w:cs="Calibri"/>
          <w:b/>
          <w:bCs/>
        </w:rPr>
        <w:t>B</w:t>
      </w:r>
      <w:r>
        <w:rPr>
          <w:rFonts w:ascii="Calibri" w:hAnsi="Calibri" w:cs="Calibri"/>
        </w:rPr>
        <w:t>). Scatter plots demonstrated clear positive correlations between SLC2A1 expression and both immune infiltration scores and immune checkpoint gene levels (</w:t>
      </w:r>
      <w:r>
        <w:rPr>
          <w:rFonts w:ascii="Calibri" w:hAnsi="Calibri" w:cs="Calibri"/>
          <w:b/>
          <w:bCs/>
        </w:rPr>
        <w:t>Figure 1</w:t>
      </w:r>
      <w:r>
        <w:rPr>
          <w:rFonts w:hint="eastAsia" w:ascii="Calibri" w:hAnsi="Calibri" w:eastAsia="宋体" w:cs="Calibri"/>
          <w:b/>
          <w:bCs/>
        </w:rPr>
        <w:t>1</w:t>
      </w:r>
      <w:r>
        <w:rPr>
          <w:rFonts w:ascii="Calibri" w:hAnsi="Calibri" w:cs="Calibri"/>
          <w:b/>
          <w:bCs/>
        </w:rPr>
        <w:t>C</w:t>
      </w:r>
      <w:r>
        <w:rPr>
          <w:rFonts w:ascii="Calibri" w:hAnsi="Calibri" w:cs="Calibri"/>
        </w:rPr>
        <w:t>). As with RAC1, immune checkpoint molecules such as PD-1, PD-L1, PD-L2, LAG3, and TIGIT were notably elevated, indicating that SLC2A1 may also facilitate both immune activation and immune suppression (</w:t>
      </w:r>
      <w:r>
        <w:rPr>
          <w:rFonts w:ascii="Calibri" w:hAnsi="Calibri" w:cs="Calibri"/>
          <w:b/>
          <w:bCs/>
        </w:rPr>
        <w:t>Figure 1</w:t>
      </w:r>
      <w:r>
        <w:rPr>
          <w:rFonts w:hint="eastAsia" w:ascii="Calibri" w:hAnsi="Calibri" w:eastAsia="宋体" w:cs="Calibri"/>
          <w:b/>
          <w:bCs/>
        </w:rPr>
        <w:t>1</w:t>
      </w:r>
      <w:r>
        <w:rPr>
          <w:rFonts w:ascii="Calibri" w:hAnsi="Calibri" w:cs="Calibri"/>
          <w:b/>
          <w:bCs/>
        </w:rPr>
        <w:t>D</w:t>
      </w:r>
      <w:r>
        <w:rPr>
          <w:rFonts w:ascii="Calibri" w:hAnsi="Calibri" w:cs="Calibri"/>
        </w:rPr>
        <w:t>).</w:t>
      </w:r>
    </w:p>
    <w:p w14:paraId="3C23D854">
      <w:pPr>
        <w:pStyle w:val="9"/>
        <w:spacing w:beforeAutospacing="0" w:afterAutospacing="0"/>
        <w:jc w:val="both"/>
        <w:rPr>
          <w:rFonts w:ascii="Calibri" w:hAnsi="Calibri" w:cs="Calibri"/>
        </w:rPr>
      </w:pPr>
    </w:p>
    <w:p w14:paraId="3C23D855">
      <w:pPr>
        <w:pStyle w:val="9"/>
        <w:spacing w:beforeAutospacing="0" w:afterAutospacing="0"/>
        <w:ind w:left="3360" w:firstLine="420"/>
        <w:jc w:val="both"/>
        <w:rPr>
          <w:rFonts w:ascii="Calibri" w:hAnsi="Calibri" w:cs="Calibri" w:eastAsiaTheme="minorEastAsia"/>
          <w:b/>
          <w:bCs/>
          <w:i/>
          <w:iCs/>
          <w:kern w:val="24"/>
        </w:rPr>
      </w:pPr>
      <w:r>
        <w:rPr>
          <w:rFonts w:ascii="Calibri" w:hAnsi="Calibri" w:cs="Calibri"/>
          <w:b/>
          <w:bCs/>
        </w:rPr>
        <w:t>[Place Figure 1</w:t>
      </w:r>
      <w:r>
        <w:rPr>
          <w:rFonts w:hint="eastAsia" w:ascii="Calibri" w:hAnsi="Calibri" w:eastAsia="宋体" w:cs="Calibri"/>
          <w:b/>
          <w:bCs/>
        </w:rPr>
        <w:t>1</w:t>
      </w:r>
      <w:r>
        <w:rPr>
          <w:rFonts w:ascii="Calibri" w:hAnsi="Calibri" w:cs="Calibri"/>
          <w:b/>
          <w:bCs/>
        </w:rPr>
        <w:t xml:space="preserve"> here]</w:t>
      </w:r>
    </w:p>
    <w:p w14:paraId="3C23D856">
      <w:pPr>
        <w:pStyle w:val="9"/>
        <w:spacing w:beforeAutospacing="0" w:afterAutospacing="0"/>
        <w:jc w:val="both"/>
        <w:rPr>
          <w:rFonts w:ascii="Calibri" w:hAnsi="Calibri" w:cs="Calibri"/>
        </w:rPr>
      </w:pPr>
    </w:p>
    <w:p w14:paraId="3C23D857">
      <w:pPr>
        <w:pStyle w:val="9"/>
        <w:spacing w:beforeAutospacing="0" w:afterAutospacing="0"/>
        <w:jc w:val="both"/>
        <w:rPr>
          <w:rFonts w:ascii="Calibri" w:hAnsi="Calibri" w:cs="Calibri"/>
          <w:b/>
          <w:bCs/>
        </w:rPr>
      </w:pPr>
      <w:r>
        <w:rPr>
          <w:rFonts w:ascii="Calibri" w:hAnsi="Calibri" w:cs="Calibri"/>
          <w:b/>
          <w:bCs/>
        </w:rPr>
        <w:t>The role of RAC1 and SLC2A1 in cell communication, signal transduction, and tumor mutation</w:t>
      </w:r>
    </w:p>
    <w:p w14:paraId="3C23D858">
      <w:pPr>
        <w:pStyle w:val="9"/>
        <w:spacing w:beforeAutospacing="0" w:afterAutospacing="0"/>
        <w:jc w:val="both"/>
        <w:rPr>
          <w:rFonts w:ascii="Calibri" w:hAnsi="Calibri" w:cs="Calibri"/>
        </w:rPr>
      </w:pPr>
      <w:r>
        <w:rPr>
          <w:rFonts w:hint="eastAsia" w:ascii="Calibri" w:hAnsi="Calibri" w:cs="Calibri"/>
        </w:rPr>
        <w:t xml:space="preserve">The study characterized </w:t>
      </w:r>
      <w:r>
        <w:rPr>
          <w:rFonts w:ascii="Calibri" w:hAnsi="Calibri" w:cs="Calibri"/>
        </w:rPr>
        <w:t xml:space="preserve">RAC1 expression </w:t>
      </w:r>
      <w:r>
        <w:rPr>
          <w:rFonts w:hint="eastAsia" w:ascii="Calibri" w:hAnsi="Calibri" w:cs="Calibri"/>
        </w:rPr>
        <w:t>at single-cell resolution to elucidate its role in the tumor microenvironment</w:t>
      </w:r>
      <w:r>
        <w:rPr>
          <w:rFonts w:ascii="Calibri" w:hAnsi="Calibri" w:cs="Calibri"/>
        </w:rPr>
        <w:t>. UMAP visualization demonstrated widespread RAC1 expression across multiple cell types, with the highest enrichment in myeloid lineages (</w:t>
      </w:r>
      <w:r>
        <w:rPr>
          <w:rFonts w:ascii="Calibri" w:hAnsi="Calibri" w:cs="Calibri"/>
          <w:b/>
          <w:bCs/>
        </w:rPr>
        <w:t>Figure 1</w:t>
      </w:r>
      <w:r>
        <w:rPr>
          <w:rFonts w:hint="eastAsia" w:ascii="Calibri" w:hAnsi="Calibri" w:eastAsia="宋体" w:cs="Calibri"/>
          <w:b/>
          <w:bCs/>
        </w:rPr>
        <w:t>2</w:t>
      </w:r>
      <w:r>
        <w:rPr>
          <w:rFonts w:ascii="Calibri" w:hAnsi="Calibri" w:cs="Calibri"/>
          <w:b/>
          <w:bCs/>
        </w:rPr>
        <w:t>A</w:t>
      </w:r>
      <w:r>
        <w:rPr>
          <w:rFonts w:ascii="Calibri" w:hAnsi="Calibri" w:cs="Calibri"/>
        </w:rPr>
        <w:t>), suggesting potential dual functions in tumor signaling and immune modulation. To investigate functional impacts, the authors analyzed intercellular communication. RAC1⁺ myeloid cells showed extensive bidirectional signaling with T cells, fibroblasts, and endothelial cells (</w:t>
      </w:r>
      <w:r>
        <w:rPr>
          <w:rFonts w:ascii="Calibri" w:hAnsi="Calibri" w:cs="Calibri"/>
          <w:b/>
          <w:bCs/>
        </w:rPr>
        <w:t>Figure 1</w:t>
      </w:r>
      <w:r>
        <w:rPr>
          <w:rFonts w:hint="eastAsia" w:ascii="Calibri" w:hAnsi="Calibri" w:eastAsia="宋体" w:cs="Calibri"/>
          <w:b/>
          <w:bCs/>
        </w:rPr>
        <w:t>2</w:t>
      </w:r>
      <w:r>
        <w:rPr>
          <w:rFonts w:ascii="Calibri" w:hAnsi="Calibri" w:cs="Calibri"/>
          <w:b/>
          <w:bCs/>
        </w:rPr>
        <w:t>B–C</w:t>
      </w:r>
      <w:r>
        <w:rPr>
          <w:rFonts w:ascii="Calibri" w:hAnsi="Calibri" w:cs="Calibri"/>
        </w:rPr>
        <w:t>). Dominant signaling pathways—including SEMA3, VEGF, and MIF—implicated RAC1 in angiogenesis, immune regulation, and tissue remodeling. Gene set enrichment analysis further revealed upregulation of the inflammatory response and hypoxia in RAC1⁺ cells (</w:t>
      </w:r>
      <w:r>
        <w:rPr>
          <w:rFonts w:ascii="Calibri" w:hAnsi="Calibri" w:cs="Calibri"/>
          <w:b/>
          <w:bCs/>
        </w:rPr>
        <w:t>Figure 1</w:t>
      </w:r>
      <w:r>
        <w:rPr>
          <w:rFonts w:hint="eastAsia" w:ascii="Calibri" w:hAnsi="Calibri" w:eastAsia="宋体" w:cs="Calibri"/>
          <w:b/>
          <w:bCs/>
        </w:rPr>
        <w:t>2</w:t>
      </w:r>
      <w:r>
        <w:rPr>
          <w:rFonts w:ascii="Calibri" w:hAnsi="Calibri" w:cs="Calibri"/>
          <w:b/>
          <w:bCs/>
        </w:rPr>
        <w:t>D</w:t>
      </w:r>
      <w:r>
        <w:rPr>
          <w:rFonts w:ascii="Calibri" w:hAnsi="Calibri" w:cs="Calibri"/>
        </w:rPr>
        <w:t>). Collectively, these results establish RAC1 as a multifunctional regulator orchestrating tumor–immune–stromal crosstalk (</w:t>
      </w:r>
      <w:r>
        <w:rPr>
          <w:rFonts w:ascii="Calibri" w:hAnsi="Calibri" w:cs="Calibri"/>
          <w:b/>
          <w:bCs/>
        </w:rPr>
        <w:t>Figure 12E–F</w:t>
      </w:r>
      <w:r>
        <w:rPr>
          <w:rFonts w:ascii="Calibri" w:hAnsi="Calibri" w:cs="Calibri"/>
        </w:rPr>
        <w:t>).</w:t>
      </w:r>
    </w:p>
    <w:p w14:paraId="3C23D859">
      <w:pPr>
        <w:pStyle w:val="9"/>
        <w:spacing w:beforeAutospacing="0" w:afterAutospacing="0"/>
        <w:jc w:val="both"/>
        <w:rPr>
          <w:rFonts w:ascii="Calibri" w:hAnsi="Calibri" w:cs="Calibri"/>
        </w:rPr>
      </w:pPr>
    </w:p>
    <w:p w14:paraId="3C23D85A">
      <w:pPr>
        <w:pStyle w:val="9"/>
        <w:spacing w:beforeAutospacing="0" w:afterAutospacing="0"/>
        <w:ind w:left="3360"/>
        <w:jc w:val="both"/>
        <w:rPr>
          <w:rFonts w:ascii="Calibri" w:hAnsi="Calibri" w:cs="Calibri"/>
          <w:b/>
          <w:bCs/>
        </w:rPr>
      </w:pPr>
      <w:r>
        <w:rPr>
          <w:rFonts w:ascii="Calibri" w:hAnsi="Calibri" w:eastAsia="MyriadPro-Semibold" w:cs="Calibri"/>
          <w:lang w:bidi="ar"/>
        </w:rPr>
        <w:t xml:space="preserve">   [</w:t>
      </w:r>
      <w:r>
        <w:rPr>
          <w:rFonts w:ascii="Calibri" w:hAnsi="Calibri" w:cs="Calibri"/>
          <w:b/>
          <w:bCs/>
        </w:rPr>
        <w:t>Place Figure 1</w:t>
      </w:r>
      <w:r>
        <w:rPr>
          <w:rFonts w:hint="eastAsia" w:ascii="Calibri" w:hAnsi="Calibri" w:eastAsia="宋体" w:cs="Calibri"/>
          <w:b/>
          <w:bCs/>
        </w:rPr>
        <w:t>2</w:t>
      </w:r>
      <w:r>
        <w:rPr>
          <w:rFonts w:ascii="Calibri" w:hAnsi="Calibri" w:cs="Calibri"/>
          <w:b/>
          <w:bCs/>
        </w:rPr>
        <w:t xml:space="preserve"> here]</w:t>
      </w:r>
    </w:p>
    <w:p w14:paraId="3C23D85B">
      <w:pPr>
        <w:pStyle w:val="9"/>
        <w:spacing w:beforeAutospacing="0" w:afterAutospacing="0"/>
        <w:jc w:val="both"/>
        <w:rPr>
          <w:rFonts w:ascii="Calibri" w:hAnsi="Calibri" w:cs="Calibri"/>
        </w:rPr>
      </w:pPr>
    </w:p>
    <w:p w14:paraId="3C23D85C">
      <w:pPr>
        <w:pStyle w:val="9"/>
        <w:spacing w:beforeAutospacing="0" w:afterAutospacing="0"/>
        <w:jc w:val="both"/>
        <w:rPr>
          <w:rFonts w:ascii="Calibri" w:hAnsi="Calibri" w:cs="Calibri"/>
        </w:rPr>
      </w:pPr>
      <w:r>
        <w:rPr>
          <w:rFonts w:ascii="Calibri" w:hAnsi="Calibri" w:cs="Calibri"/>
        </w:rPr>
        <w:t>UMAP visualization demonstrated widespread SLC2A1 expression across multiple cell types, with the highest enrichment in myeloid lineages (</w:t>
      </w:r>
      <w:r>
        <w:rPr>
          <w:rFonts w:ascii="Calibri" w:hAnsi="Calibri" w:cs="Calibri"/>
          <w:b/>
          <w:bCs/>
        </w:rPr>
        <w:t>Figure 1</w:t>
      </w:r>
      <w:r>
        <w:rPr>
          <w:rFonts w:hint="eastAsia" w:ascii="Calibri" w:hAnsi="Calibri" w:eastAsia="宋体" w:cs="Calibri"/>
          <w:b/>
          <w:bCs/>
        </w:rPr>
        <w:t>3</w:t>
      </w:r>
      <w:r>
        <w:rPr>
          <w:rFonts w:ascii="Calibri" w:hAnsi="Calibri" w:cs="Calibri"/>
          <w:b/>
          <w:bCs/>
        </w:rPr>
        <w:t>A</w:t>
      </w:r>
      <w:r>
        <w:rPr>
          <w:rFonts w:ascii="Calibri" w:hAnsi="Calibri" w:cs="Calibri"/>
        </w:rPr>
        <w:t>). Cell-cell interaction analysis demonstrated that SLC2A1⁺ cells actively communicated with myeloid cells, fibroblasts, and T cells (</w:t>
      </w:r>
      <w:r>
        <w:rPr>
          <w:rFonts w:ascii="Calibri" w:hAnsi="Calibri" w:cs="Calibri"/>
          <w:b/>
          <w:bCs/>
        </w:rPr>
        <w:t>Figure 1</w:t>
      </w:r>
      <w:r>
        <w:rPr>
          <w:rFonts w:hint="eastAsia" w:ascii="Calibri" w:hAnsi="Calibri" w:eastAsia="宋体" w:cs="Calibri"/>
          <w:b/>
          <w:bCs/>
        </w:rPr>
        <w:t>3</w:t>
      </w:r>
      <w:r>
        <w:rPr>
          <w:rFonts w:ascii="Calibri" w:hAnsi="Calibri" w:cs="Calibri"/>
          <w:b/>
          <w:bCs/>
        </w:rPr>
        <w:t>B–D</w:t>
      </w:r>
      <w:r>
        <w:rPr>
          <w:rFonts w:ascii="Calibri" w:hAnsi="Calibri" w:cs="Calibri"/>
        </w:rPr>
        <w:t>). Signaling patterns showed dominant outgoing CXCL, TGF-β, and EGF pathways, suggesting roles in immune modulation and extracellular matrix remodeling. Enrichment analysis confirmed significant activation of hypoxia, glycolysis, and EMT pathways in SLC2A1⁺ cells (</w:t>
      </w:r>
      <w:r>
        <w:rPr>
          <w:rFonts w:ascii="Calibri" w:hAnsi="Calibri" w:cs="Calibri"/>
          <w:b/>
          <w:bCs/>
        </w:rPr>
        <w:t>Figure 1</w:t>
      </w:r>
      <w:r>
        <w:rPr>
          <w:rFonts w:hint="eastAsia" w:ascii="Calibri" w:hAnsi="Calibri" w:eastAsia="宋体" w:cs="Calibri"/>
          <w:b/>
          <w:bCs/>
        </w:rPr>
        <w:t>3</w:t>
      </w:r>
      <w:r>
        <w:rPr>
          <w:rFonts w:ascii="Calibri" w:hAnsi="Calibri" w:cs="Calibri"/>
          <w:b/>
          <w:bCs/>
        </w:rPr>
        <w:t>E–F</w:t>
      </w:r>
      <w:r>
        <w:rPr>
          <w:rFonts w:ascii="Calibri" w:hAnsi="Calibri" w:cs="Calibri"/>
        </w:rPr>
        <w:t xml:space="preserve">). These findings position SLC2A1 as an indirect modulator of the immune microenvironment through metabolic reprogramming and tumor-stromal signaling. </w:t>
      </w:r>
    </w:p>
    <w:p w14:paraId="3C23D85D">
      <w:pPr>
        <w:pStyle w:val="9"/>
        <w:spacing w:beforeAutospacing="0" w:afterAutospacing="0"/>
        <w:jc w:val="both"/>
        <w:rPr>
          <w:rFonts w:ascii="Calibri" w:hAnsi="Calibri" w:cs="Calibri"/>
        </w:rPr>
      </w:pPr>
    </w:p>
    <w:p w14:paraId="3C23D85E">
      <w:pPr>
        <w:pStyle w:val="9"/>
        <w:spacing w:beforeAutospacing="0" w:afterAutospacing="0"/>
        <w:ind w:left="3360" w:firstLine="420"/>
        <w:jc w:val="both"/>
        <w:rPr>
          <w:rFonts w:ascii="Calibri" w:hAnsi="Calibri" w:cs="Calibri"/>
          <w:b/>
          <w:bCs/>
        </w:rPr>
      </w:pPr>
      <w:r>
        <w:rPr>
          <w:rFonts w:ascii="Calibri" w:hAnsi="Calibri" w:cs="Calibri"/>
          <w:b/>
          <w:bCs/>
        </w:rPr>
        <w:t>[Place Figure 1</w:t>
      </w:r>
      <w:r>
        <w:rPr>
          <w:rFonts w:hint="eastAsia" w:ascii="Calibri" w:hAnsi="Calibri" w:eastAsia="宋体" w:cs="Calibri"/>
          <w:b/>
          <w:bCs/>
        </w:rPr>
        <w:t>3</w:t>
      </w:r>
      <w:r>
        <w:rPr>
          <w:rFonts w:ascii="Calibri" w:hAnsi="Calibri" w:cs="Calibri"/>
          <w:b/>
          <w:bCs/>
        </w:rPr>
        <w:t xml:space="preserve"> here]</w:t>
      </w:r>
    </w:p>
    <w:p w14:paraId="3C23D85F">
      <w:pPr>
        <w:pStyle w:val="9"/>
        <w:spacing w:beforeAutospacing="0" w:afterAutospacing="0"/>
        <w:jc w:val="both"/>
        <w:rPr>
          <w:rFonts w:ascii="Calibri" w:hAnsi="Calibri" w:cs="Calibri"/>
          <w:b/>
          <w:bCs/>
        </w:rPr>
      </w:pPr>
    </w:p>
    <w:p w14:paraId="3C23D860">
      <w:pPr>
        <w:pStyle w:val="9"/>
        <w:spacing w:beforeAutospacing="0" w:afterAutospacing="0"/>
        <w:jc w:val="both"/>
        <w:rPr>
          <w:rFonts w:ascii="Calibri" w:hAnsi="Calibri" w:cs="Calibri"/>
        </w:rPr>
      </w:pPr>
      <w:r>
        <w:rPr>
          <w:rFonts w:ascii="Calibri" w:hAnsi="Calibri" w:cs="Calibri"/>
          <w:b/>
          <w:bCs/>
        </w:rPr>
        <w:t xml:space="preserve">The effects of RAC1 and SLC2A1 on the invasion and proliferation of HCC Cells and the PI3K/AKT signaling pathway  </w:t>
      </w:r>
    </w:p>
    <w:p w14:paraId="3C23D861">
      <w:pPr>
        <w:spacing w:after="0"/>
        <w:jc w:val="both"/>
        <w:rPr>
          <w:rFonts w:ascii="Calibri" w:hAnsi="Calibri" w:cs="Calibri"/>
          <w:lang w:eastAsia="zh-CN"/>
        </w:rPr>
      </w:pPr>
      <w:r>
        <w:rPr>
          <w:rFonts w:ascii="Calibri" w:hAnsi="Calibri" w:cs="Calibri"/>
          <w:highlight w:val="yellow"/>
          <w:lang w:eastAsia="zh-CN"/>
        </w:rPr>
        <w:t>Western blot analysis revealed that E-cadherin expression was markedly increased. In contrast, Bax, Caspase3, and β-actin were significantly reduced in the RAC1 and SLC2A1 intervention group compared with the control. Additionally, alterations in the PI3K/AKT signaling pathway were observed: the expression levels of total PI3K and AKT were significantly reduced (</w:t>
      </w:r>
      <w:r>
        <w:rPr>
          <w:rFonts w:ascii="Calibri" w:hAnsi="Calibri" w:cs="Calibri"/>
          <w:b/>
          <w:bCs/>
          <w:highlight w:val="yellow"/>
          <w:lang w:eastAsia="zh-CN"/>
        </w:rPr>
        <w:t>Figure 1</w:t>
      </w:r>
      <w:r>
        <w:rPr>
          <w:rFonts w:hint="eastAsia" w:ascii="Calibri" w:hAnsi="Calibri" w:cs="Calibri"/>
          <w:b/>
          <w:bCs/>
          <w:highlight w:val="yellow"/>
          <w:lang w:eastAsia="zh-CN"/>
        </w:rPr>
        <w:t>4</w:t>
      </w:r>
      <w:r>
        <w:rPr>
          <w:rFonts w:ascii="Calibri" w:hAnsi="Calibri" w:cs="Calibri"/>
          <w:b/>
          <w:bCs/>
          <w:highlight w:val="yellow"/>
          <w:lang w:eastAsia="zh-CN"/>
        </w:rPr>
        <w:t>A–B</w:t>
      </w:r>
      <w:r>
        <w:rPr>
          <w:rFonts w:ascii="Calibri" w:hAnsi="Calibri" w:cs="Calibri"/>
          <w:highlight w:val="yellow"/>
          <w:lang w:eastAsia="zh-CN"/>
        </w:rPr>
        <w:t>). Functional assays further demonstrated that cell migration and invasion capacities were suppressed following intervention with RAC1 and SLC2A1, as indicated by a significantly lower number of cells penetrating the membrane in Transwell assays (</w:t>
      </w:r>
      <w:r>
        <w:rPr>
          <w:rFonts w:ascii="Calibri" w:hAnsi="Calibri" w:cs="Calibri"/>
          <w:b/>
          <w:bCs/>
          <w:highlight w:val="yellow"/>
          <w:lang w:eastAsia="zh-CN"/>
        </w:rPr>
        <w:t>Figure 14C–D</w:t>
      </w:r>
      <w:r>
        <w:rPr>
          <w:rFonts w:ascii="Calibri" w:hAnsi="Calibri" w:cs="Calibri"/>
          <w:highlight w:val="yellow"/>
          <w:lang w:eastAsia="zh-CN"/>
        </w:rPr>
        <w:t>). Collectively, these results suggest that the regulatory effects of RAC1 and SLC2A1 may be associated with modulation of the PI3K/AKT signaling pathway.</w:t>
      </w:r>
    </w:p>
    <w:p w14:paraId="3C23D862">
      <w:pPr>
        <w:spacing w:after="0"/>
        <w:jc w:val="both"/>
        <w:rPr>
          <w:rFonts w:ascii="Calibri" w:hAnsi="Calibri" w:cs="Calibri"/>
          <w:lang w:eastAsia="zh-CN"/>
        </w:rPr>
      </w:pPr>
    </w:p>
    <w:p w14:paraId="3C23D863">
      <w:pPr>
        <w:spacing w:after="0"/>
        <w:ind w:left="3780"/>
        <w:jc w:val="both"/>
        <w:rPr>
          <w:rFonts w:ascii="Calibri" w:hAnsi="Calibri" w:cs="Calibri"/>
          <w:b/>
          <w:bCs/>
          <w:lang w:eastAsia="zh-CN"/>
        </w:rPr>
      </w:pPr>
      <w:r>
        <w:rPr>
          <w:rFonts w:ascii="Calibri" w:hAnsi="Calibri" w:cs="Calibri"/>
          <w:b/>
          <w:bCs/>
          <w:lang w:eastAsia="zh-CN"/>
        </w:rPr>
        <w:t>[Place Figure 1</w:t>
      </w:r>
      <w:r>
        <w:rPr>
          <w:rFonts w:hint="eastAsia" w:ascii="Calibri" w:hAnsi="Calibri" w:cs="Calibri"/>
          <w:b/>
          <w:bCs/>
          <w:lang w:eastAsia="zh-CN"/>
        </w:rPr>
        <w:t>4</w:t>
      </w:r>
      <w:r>
        <w:rPr>
          <w:rFonts w:ascii="Calibri" w:hAnsi="Calibri" w:cs="Calibri"/>
          <w:b/>
          <w:bCs/>
          <w:lang w:eastAsia="zh-CN"/>
        </w:rPr>
        <w:t xml:space="preserve"> here]</w:t>
      </w:r>
    </w:p>
    <w:p w14:paraId="3C23D864">
      <w:pPr>
        <w:spacing w:after="0"/>
        <w:jc w:val="both"/>
        <w:rPr>
          <w:rFonts w:ascii="Calibri" w:hAnsi="Calibri" w:cs="Calibri" w:eastAsiaTheme="minorEastAsia"/>
          <w:i/>
          <w:iCs/>
          <w:kern w:val="24"/>
          <w:lang w:eastAsia="zh-CN"/>
        </w:rPr>
      </w:pPr>
    </w:p>
    <w:p w14:paraId="3C23D865">
      <w:pPr>
        <w:pStyle w:val="5"/>
        <w:spacing w:after="0"/>
        <w:jc w:val="both"/>
        <w:rPr>
          <w:rFonts w:ascii="Calibri" w:hAnsi="Calibri" w:cs="Calibri" w:eastAsiaTheme="minorEastAsia"/>
          <w:b/>
          <w:bCs/>
          <w:kern w:val="24"/>
          <w:lang w:eastAsia="zh-CN"/>
        </w:rPr>
      </w:pPr>
      <w:r>
        <w:rPr>
          <w:rFonts w:ascii="Calibri" w:hAnsi="Calibri" w:eastAsia="AdvTTd3a5f740" w:cs="Calibri"/>
          <w:b/>
          <w:bCs/>
          <w:sz w:val="24"/>
          <w:szCs w:val="24"/>
          <w:lang w:eastAsia="zh-CN" w:bidi="ar"/>
        </w:rPr>
        <w:t>DATA AVAILABILITY:</w:t>
      </w:r>
      <w:r>
        <w:rPr>
          <w:rFonts w:ascii="Calibri" w:hAnsi="Calibri" w:cs="Calibri" w:eastAsiaTheme="minorEastAsia"/>
          <w:b/>
          <w:bCs/>
          <w:kern w:val="24"/>
          <w:lang w:eastAsia="zh-CN"/>
        </w:rPr>
        <w:t xml:space="preserve"> </w:t>
      </w:r>
    </w:p>
    <w:p w14:paraId="3C23D866">
      <w:pPr>
        <w:pStyle w:val="5"/>
        <w:spacing w:after="0"/>
        <w:jc w:val="both"/>
        <w:rPr>
          <w:rFonts w:ascii="Calibri" w:hAnsi="Calibri" w:cs="Calibri" w:eastAsiaTheme="minorEastAsia"/>
          <w:b/>
          <w:bCs/>
          <w:kern w:val="24"/>
          <w:lang w:eastAsia="zh-CN"/>
        </w:rPr>
      </w:pPr>
      <w:r>
        <w:rPr>
          <w:rFonts w:ascii="Calibri" w:hAnsi="Calibri" w:cs="Calibri"/>
          <w:sz w:val="24"/>
          <w:szCs w:val="24"/>
          <w:lang w:eastAsia="zh-CN"/>
        </w:rPr>
        <w:t>The raw data and analysis code supporting the findings of this study are publicly available in GitHub at: </w:t>
      </w:r>
      <w:r>
        <w:rPr>
          <w:rFonts w:hint="eastAsia" w:ascii="Calibri" w:hAnsi="Calibri" w:cs="Calibri"/>
          <w:sz w:val="24"/>
          <w:szCs w:val="24"/>
          <w:lang w:eastAsia="zh-CN"/>
        </w:rPr>
        <w:t>https://github.com/ma020424/Ma-.git</w:t>
      </w:r>
      <w:r>
        <w:rPr>
          <w:rFonts w:ascii="Calibri" w:hAnsi="Calibri" w:cs="Calibri"/>
          <w:sz w:val="24"/>
          <w:szCs w:val="24"/>
          <w:lang w:eastAsia="zh-CN"/>
        </w:rPr>
        <w:t>. The dataset includes: raw Western blot images, flow cytometry data, qRT-PCR raw data, analysis scripts, and source data for all figures.</w:t>
      </w:r>
    </w:p>
    <w:p w14:paraId="3C23D867">
      <w:pPr>
        <w:spacing w:after="0"/>
        <w:jc w:val="both"/>
        <w:rPr>
          <w:rFonts w:ascii="Calibri" w:hAnsi="Calibri" w:cs="Calibri" w:eastAsiaTheme="minorEastAsia"/>
          <w:b/>
          <w:bCs/>
          <w:kern w:val="24"/>
          <w:lang w:eastAsia="zh-CN"/>
        </w:rPr>
      </w:pPr>
    </w:p>
    <w:p w14:paraId="3C23D868">
      <w:pPr>
        <w:spacing w:after="0"/>
        <w:jc w:val="both"/>
        <w:rPr>
          <w:rStyle w:val="18"/>
          <w:rFonts w:ascii="Calibri" w:hAnsi="Calibri" w:cs="Calibri" w:eastAsiaTheme="minorEastAsia"/>
          <w:b/>
          <w:bCs/>
          <w:kern w:val="24"/>
          <w:sz w:val="24"/>
          <w:szCs w:val="24"/>
          <w:lang w:eastAsia="zh-CN"/>
        </w:rPr>
      </w:pPr>
      <w:r>
        <w:rPr>
          <w:rFonts w:ascii="Calibri" w:hAnsi="Calibri" w:cs="Calibri" w:eastAsiaTheme="minorEastAsia"/>
          <w:b/>
          <w:bCs/>
          <w:kern w:val="24"/>
          <w:lang w:eastAsia="zh-CN"/>
        </w:rPr>
        <w:t>FIGURES AND TABLE LEGENDS:</w:t>
      </w:r>
    </w:p>
    <w:p w14:paraId="3C23D869">
      <w:pPr>
        <w:spacing w:after="0"/>
        <w:jc w:val="both"/>
        <w:rPr>
          <w:rFonts w:ascii="Calibri" w:hAnsi="Calibri" w:cs="Calibri" w:eastAsiaTheme="minorEastAsia"/>
          <w:b/>
          <w:bCs/>
          <w:kern w:val="24"/>
        </w:rPr>
      </w:pPr>
      <w:r>
        <w:rPr>
          <w:rFonts w:ascii="Calibri" w:hAnsi="Calibri" w:cs="Calibri" w:eastAsiaTheme="minorEastAsia"/>
          <w:b/>
          <w:bCs/>
          <w:kern w:val="24"/>
        </w:rPr>
        <w:t xml:space="preserve">Figure 1: Autoencoder-based multi-gene feature extraction and pathway selection in HCC. </w:t>
      </w:r>
      <w:r>
        <w:rPr>
          <w:rFonts w:ascii="Calibri" w:hAnsi="Calibri" w:cs="Calibri" w:eastAsiaTheme="minorEastAsia"/>
          <w:kern w:val="24"/>
        </w:rPr>
        <w:t>(</w:t>
      </w:r>
      <w:r>
        <w:rPr>
          <w:rFonts w:ascii="Calibri" w:hAnsi="Calibri" w:cs="Calibri" w:eastAsiaTheme="minorEastAsia"/>
          <w:b/>
          <w:bCs/>
          <w:kern w:val="24"/>
        </w:rPr>
        <w:t>A</w:t>
      </w:r>
      <w:r>
        <w:rPr>
          <w:rFonts w:ascii="Calibri" w:hAnsi="Calibri" w:cs="Calibri" w:eastAsiaTheme="minorEastAsia"/>
          <w:kern w:val="24"/>
        </w:rPr>
        <w:t>)</w:t>
      </w:r>
      <w:r>
        <w:rPr>
          <w:rFonts w:ascii="Calibri" w:hAnsi="Calibri" w:cs="Calibri" w:eastAsiaTheme="minorEastAsia"/>
          <w:b/>
          <w:bCs/>
          <w:kern w:val="24"/>
        </w:rPr>
        <w:t xml:space="preserve"> </w:t>
      </w:r>
      <w:r>
        <w:rPr>
          <w:rFonts w:ascii="Calibri" w:hAnsi="Calibri" w:cs="Calibri" w:eastAsiaTheme="minorEastAsia"/>
          <w:kern w:val="24"/>
        </w:rPr>
        <w:t>Workflow of the stacked denoising autoencoder for pathway-specific feature extraction from 50 Hallmark gene sets, together with representative validation loss curves for major pathways demonstrating stable model convergence.</w:t>
      </w:r>
      <w:r>
        <w:rPr>
          <w:rFonts w:ascii="Calibri" w:hAnsi="Calibri" w:cs="Calibri" w:eastAsiaTheme="minorEastAsia"/>
          <w:b/>
          <w:bCs/>
          <w:kern w:val="24"/>
        </w:rPr>
        <w:t xml:space="preserve"> </w:t>
      </w:r>
      <w:r>
        <w:rPr>
          <w:rFonts w:ascii="Calibri" w:hAnsi="Calibri" w:cs="Calibri" w:eastAsiaTheme="minorEastAsia"/>
          <w:kern w:val="24"/>
        </w:rPr>
        <w:t>(</w:t>
      </w:r>
      <w:r>
        <w:rPr>
          <w:rFonts w:ascii="Calibri" w:hAnsi="Calibri" w:cs="Calibri" w:eastAsiaTheme="minorEastAsia"/>
          <w:b/>
          <w:bCs/>
          <w:kern w:val="24"/>
        </w:rPr>
        <w:t>B</w:t>
      </w:r>
      <w:r>
        <w:rPr>
          <w:rFonts w:ascii="Calibri" w:hAnsi="Calibri" w:cs="Calibri" w:eastAsiaTheme="minorEastAsia"/>
          <w:kern w:val="24"/>
        </w:rPr>
        <w:t>)</w:t>
      </w:r>
      <w:r>
        <w:rPr>
          <w:rFonts w:ascii="Calibri" w:hAnsi="Calibri" w:cs="Calibri" w:eastAsiaTheme="minorEastAsia"/>
          <w:b/>
          <w:bCs/>
          <w:kern w:val="24"/>
        </w:rPr>
        <w:t xml:space="preserve"> </w:t>
      </w:r>
      <w:r>
        <w:rPr>
          <w:rFonts w:ascii="Calibri" w:hAnsi="Calibri" w:cs="Calibri" w:eastAsiaTheme="minorEastAsia"/>
          <w:kern w:val="24"/>
        </w:rPr>
        <w:t>Univariate Cox regression analysis showing hazard ratios and 95% confidence intervals for pathway-derived features.</w:t>
      </w:r>
      <w:r>
        <w:rPr>
          <w:rFonts w:ascii="Calibri" w:hAnsi="Calibri" w:cs="Calibri" w:eastAsiaTheme="minorEastAsia"/>
          <w:b/>
          <w:bCs/>
          <w:kern w:val="24"/>
        </w:rPr>
        <w:t xml:space="preserve"> </w:t>
      </w:r>
      <w:r>
        <w:rPr>
          <w:rFonts w:ascii="Calibri" w:hAnsi="Calibri" w:cs="Calibri" w:eastAsiaTheme="minorEastAsia"/>
          <w:kern w:val="24"/>
        </w:rPr>
        <w:t>(</w:t>
      </w:r>
      <w:r>
        <w:rPr>
          <w:rFonts w:ascii="Calibri" w:hAnsi="Calibri" w:cs="Calibri" w:eastAsiaTheme="minorEastAsia"/>
          <w:b/>
          <w:bCs/>
          <w:kern w:val="24"/>
        </w:rPr>
        <w:t>C</w:t>
      </w:r>
      <w:r>
        <w:rPr>
          <w:rFonts w:ascii="Calibri" w:hAnsi="Calibri" w:cs="Calibri" w:eastAsiaTheme="minorEastAsia"/>
          <w:kern w:val="24"/>
        </w:rPr>
        <w:t>)</w:t>
      </w:r>
      <w:r>
        <w:rPr>
          <w:rFonts w:ascii="Calibri" w:hAnsi="Calibri" w:cs="Calibri" w:eastAsiaTheme="minorEastAsia"/>
          <w:b/>
          <w:bCs/>
          <w:kern w:val="24"/>
        </w:rPr>
        <w:t xml:space="preserve"> </w:t>
      </w:r>
      <w:r>
        <w:rPr>
          <w:rFonts w:ascii="Calibri" w:hAnsi="Calibri" w:cs="Calibri" w:eastAsiaTheme="minorEastAsia"/>
          <w:kern w:val="24"/>
        </w:rPr>
        <w:t>XGBoost feature importance ranking (Gain) identifies the most prognostically informative pathways.</w:t>
      </w:r>
    </w:p>
    <w:p w14:paraId="3C23D86A">
      <w:pPr>
        <w:spacing w:after="0"/>
        <w:jc w:val="both"/>
        <w:rPr>
          <w:rFonts w:ascii="Calibri" w:hAnsi="Calibri" w:cs="Calibri" w:eastAsiaTheme="minorEastAsia"/>
          <w:kern w:val="24"/>
        </w:rPr>
      </w:pPr>
    </w:p>
    <w:p w14:paraId="3C23D86C">
      <w:pPr>
        <w:spacing w:after="0"/>
        <w:jc w:val="both"/>
        <w:rPr>
          <w:rFonts w:ascii="Calibri" w:hAnsi="Calibri" w:cs="Calibri" w:eastAsiaTheme="minorEastAsia"/>
          <w:b/>
          <w:bCs/>
          <w:kern w:val="24"/>
          <w:lang w:eastAsia="zh-CN" w:bidi="ar"/>
        </w:rPr>
      </w:pPr>
      <w:r>
        <w:rPr>
          <w:rFonts w:ascii="Calibri" w:hAnsi="Calibri" w:cs="Calibri" w:eastAsiaTheme="minorEastAsia"/>
          <w:b/>
          <w:bCs/>
          <w:kern w:val="24"/>
          <w:lang w:eastAsia="zh-CN" w:bidi="ar"/>
        </w:rPr>
        <w:t xml:space="preserve">Figure 2: Prognostic performance and representative XGBoost decision tree. </w:t>
      </w:r>
      <w:r>
        <w:rPr>
          <w:rFonts w:ascii="Calibri" w:hAnsi="Calibri" w:cs="Calibri" w:eastAsiaTheme="minorEastAsia"/>
          <w:kern w:val="24"/>
          <w:lang w:eastAsia="zh-CN" w:bidi="ar"/>
        </w:rPr>
        <w:t>(</w:t>
      </w:r>
      <w:r>
        <w:rPr>
          <w:rFonts w:ascii="Calibri" w:hAnsi="Calibri" w:cs="Calibri" w:eastAsiaTheme="minorEastAsia"/>
          <w:b/>
          <w:bCs/>
          <w:kern w:val="24"/>
          <w:lang w:eastAsia="zh-CN" w:bidi="ar"/>
        </w:rPr>
        <w:t>A</w:t>
      </w:r>
      <w:r>
        <w:rPr>
          <w:rFonts w:ascii="Calibri" w:hAnsi="Calibri" w:cs="Calibri" w:eastAsiaTheme="minorEastAsia"/>
          <w:kern w:val="24"/>
          <w:lang w:eastAsia="zh-CN" w:bidi="ar"/>
        </w:rPr>
        <w:t xml:space="preserve">) Kaplan–Meier survival analysis demonstrating significant differences between high-risk (median survival 11 months) and low-risk (median survival 116 months) groups in the training cohort (left) and validation cohort (right) (HR = 2.11, 95% CI: 1.86–2.40, </w:t>
      </w:r>
      <w:r>
        <w:rPr>
          <w:rFonts w:ascii="Calibri" w:hAnsi="Calibri" w:cs="Calibri" w:eastAsiaTheme="minorEastAsia"/>
          <w:i/>
          <w:iCs/>
          <w:kern w:val="24"/>
          <w:lang w:eastAsia="zh-CN" w:bidi="ar"/>
        </w:rPr>
        <w:t>p</w:t>
      </w:r>
      <w:r>
        <w:rPr>
          <w:rFonts w:ascii="Calibri" w:hAnsi="Calibri" w:cs="Calibri" w:eastAsiaTheme="minorEastAsia"/>
          <w:kern w:val="24"/>
          <w:lang w:eastAsia="zh-CN" w:bidi="ar"/>
        </w:rPr>
        <w:t xml:space="preserve"> &lt; 0.001). (</w:t>
      </w:r>
      <w:r>
        <w:rPr>
          <w:rFonts w:ascii="Calibri" w:hAnsi="Calibri" w:cs="Calibri" w:eastAsiaTheme="minorEastAsia"/>
          <w:b/>
          <w:bCs/>
          <w:kern w:val="24"/>
          <w:lang w:eastAsia="zh-CN" w:bidi="ar"/>
        </w:rPr>
        <w:t>B</w:t>
      </w:r>
      <w:r>
        <w:rPr>
          <w:rFonts w:ascii="Calibri" w:hAnsi="Calibri" w:cs="Calibri" w:eastAsiaTheme="minorEastAsia"/>
          <w:kern w:val="24"/>
          <w:lang w:eastAsia="zh-CN" w:bidi="ar"/>
        </w:rPr>
        <w:t>) Representative decision tree from the XGBoost prognostic model illustrating feature splits involving PI3K/AKT, EMT, IL6/JAK/STAT3, estrogen response, and xenobiotic metabolism pathways.</w:t>
      </w:r>
    </w:p>
    <w:p w14:paraId="234212D0">
      <w:pPr>
        <w:spacing w:after="0"/>
        <w:jc w:val="both"/>
        <w:rPr>
          <w:rFonts w:ascii="Calibri" w:hAnsi="Calibri" w:cs="Calibri"/>
          <w:lang w:eastAsia="zh-CN"/>
        </w:rPr>
      </w:pPr>
    </w:p>
    <w:p w14:paraId="3C23D86D">
      <w:pPr>
        <w:spacing w:after="0"/>
        <w:jc w:val="both"/>
        <w:rPr>
          <w:rFonts w:ascii="Calibri" w:hAnsi="Calibri" w:cs="Calibri"/>
          <w:lang w:eastAsia="zh-CN"/>
        </w:rPr>
      </w:pPr>
      <w:r>
        <w:rPr>
          <w:rFonts w:ascii="Calibri" w:hAnsi="Calibri" w:cs="Calibri"/>
          <w:b/>
          <w:bCs/>
          <w:lang w:eastAsia="zh-CN"/>
        </w:rPr>
        <w:t>Figure 3:</w:t>
      </w:r>
      <w:r>
        <w:rPr>
          <w:rFonts w:ascii="Calibri" w:hAnsi="Calibri" w:cs="Calibri"/>
          <w:lang w:eastAsia="zh-CN"/>
        </w:rPr>
        <w:t xml:space="preserve"> </w:t>
      </w:r>
      <w:r>
        <w:rPr>
          <w:rFonts w:ascii="Calibri" w:hAnsi="Calibri" w:cs="Calibri"/>
          <w:b/>
          <w:bCs/>
          <w:lang w:eastAsia="zh-CN"/>
        </w:rPr>
        <w:t xml:space="preserve">Analysis of single-cell data for HCC. </w:t>
      </w:r>
      <w:r>
        <w:rPr>
          <w:rFonts w:ascii="Calibri" w:hAnsi="Calibri" w:cs="Calibri"/>
          <w:lang w:eastAsia="zh-CN"/>
        </w:rPr>
        <w:t>(</w:t>
      </w:r>
      <w:r>
        <w:rPr>
          <w:rFonts w:ascii="Calibri" w:hAnsi="Calibri" w:cs="Calibri"/>
          <w:b/>
          <w:bCs/>
          <w:lang w:eastAsia="zh-CN"/>
        </w:rPr>
        <w:t>A</w:t>
      </w:r>
      <w:r>
        <w:rPr>
          <w:rFonts w:ascii="Calibri" w:hAnsi="Calibri" w:cs="Calibri"/>
          <w:lang w:eastAsia="zh-CN"/>
        </w:rPr>
        <w:t>) The results of annotating cell subpopulations. (</w:t>
      </w:r>
      <w:r>
        <w:rPr>
          <w:rFonts w:ascii="Calibri" w:hAnsi="Calibri" w:cs="Calibri"/>
          <w:b/>
          <w:bCs/>
          <w:lang w:eastAsia="zh-CN"/>
        </w:rPr>
        <w:t>B</w:t>
      </w:r>
      <w:r>
        <w:rPr>
          <w:rFonts w:ascii="Calibri" w:hAnsi="Calibri" w:cs="Calibri"/>
          <w:lang w:eastAsia="zh-CN"/>
        </w:rPr>
        <w:t>) Proportion of each cell type in different samples. (</w:t>
      </w:r>
      <w:r>
        <w:rPr>
          <w:rFonts w:ascii="Calibri" w:hAnsi="Calibri" w:cs="Calibri"/>
          <w:b/>
          <w:bCs/>
          <w:lang w:eastAsia="zh-CN"/>
        </w:rPr>
        <w:t>C</w:t>
      </w:r>
      <w:r>
        <w:rPr>
          <w:rFonts w:ascii="Calibri" w:hAnsi="Calibri" w:cs="Calibri"/>
          <w:lang w:eastAsia="zh-CN"/>
        </w:rPr>
        <w:t>) Cell Type Composition in HCC. (</w:t>
      </w:r>
      <w:r>
        <w:rPr>
          <w:rFonts w:ascii="Calibri" w:hAnsi="Calibri" w:cs="Calibri"/>
          <w:b/>
          <w:bCs/>
          <w:lang w:eastAsia="zh-CN"/>
        </w:rPr>
        <w:t>D</w:t>
      </w:r>
      <w:r>
        <w:rPr>
          <w:rFonts w:ascii="Calibri" w:hAnsi="Calibri" w:cs="Calibri"/>
          <w:lang w:eastAsia="zh-CN"/>
        </w:rPr>
        <w:t>) UMAP dimensionality reduction, clustering analysis, and grouped dimensionality reduction clustering analysis. (</w:t>
      </w:r>
      <w:r>
        <w:rPr>
          <w:rFonts w:ascii="Calibri" w:hAnsi="Calibri" w:cs="Calibri"/>
          <w:b/>
          <w:bCs/>
          <w:lang w:eastAsia="zh-CN"/>
        </w:rPr>
        <w:t>E</w:t>
      </w:r>
      <w:r>
        <w:rPr>
          <w:rFonts w:ascii="Calibri" w:hAnsi="Calibri" w:cs="Calibri"/>
          <w:lang w:eastAsia="zh-CN"/>
        </w:rPr>
        <w:t>) Manhattan plot of DEGs among different cell types.</w:t>
      </w:r>
    </w:p>
    <w:p w14:paraId="3C23D86E">
      <w:pPr>
        <w:spacing w:after="0"/>
        <w:jc w:val="both"/>
        <w:rPr>
          <w:rFonts w:ascii="Calibri" w:hAnsi="Calibri" w:cs="Calibri"/>
          <w:lang w:eastAsia="zh-CN"/>
        </w:rPr>
      </w:pPr>
    </w:p>
    <w:p w14:paraId="3C23D86F">
      <w:pPr>
        <w:spacing w:after="0"/>
        <w:jc w:val="both"/>
        <w:rPr>
          <w:rFonts w:ascii="Calibri" w:hAnsi="Calibri" w:cs="Calibri" w:eastAsiaTheme="minorEastAsia"/>
          <w:kern w:val="24"/>
          <w:lang w:eastAsia="zh-CN"/>
        </w:rPr>
      </w:pPr>
      <w:r>
        <w:rPr>
          <w:rFonts w:ascii="Calibri" w:hAnsi="Calibri" w:cs="Calibri" w:eastAsiaTheme="minorEastAsia"/>
          <w:b/>
          <w:bCs/>
          <w:kern w:val="24"/>
        </w:rPr>
        <w:t xml:space="preserve">Figure </w:t>
      </w:r>
      <w:r>
        <w:rPr>
          <w:rFonts w:ascii="Calibri" w:hAnsi="Calibri" w:cs="Calibri" w:eastAsiaTheme="minorEastAsia"/>
          <w:b/>
          <w:bCs/>
          <w:kern w:val="24"/>
          <w:lang w:eastAsia="zh-CN"/>
        </w:rPr>
        <w:t>4: PI3K/AKT pathway activity in myeloid cell subpopulations.</w:t>
      </w:r>
      <w:r>
        <w:rPr>
          <w:rFonts w:ascii="Calibri" w:hAnsi="Calibri" w:cs="Calibri"/>
          <w:kern w:val="24"/>
          <w:lang w:eastAsia="zh-CN"/>
        </w:rPr>
        <w:t xml:space="preserve"> </w:t>
      </w:r>
      <w:r>
        <w:rPr>
          <w:rFonts w:ascii="Calibri" w:hAnsi="Calibri" w:cs="Calibri" w:eastAsiaTheme="minorEastAsia"/>
          <w:kern w:val="24"/>
          <w:lang w:eastAsia="zh-CN"/>
        </w:rPr>
        <w:t>(</w:t>
      </w:r>
      <w:r>
        <w:rPr>
          <w:rFonts w:ascii="Calibri" w:hAnsi="Calibri" w:cs="Calibri" w:eastAsiaTheme="minorEastAsia"/>
          <w:b/>
          <w:bCs/>
          <w:kern w:val="24"/>
          <w:lang w:eastAsia="zh-CN"/>
        </w:rPr>
        <w:t>A</w:t>
      </w:r>
      <w:r>
        <w:rPr>
          <w:rFonts w:ascii="Calibri" w:hAnsi="Calibri" w:cs="Calibri" w:eastAsiaTheme="minorEastAsia"/>
          <w:kern w:val="24"/>
          <w:lang w:eastAsia="zh-CN"/>
        </w:rPr>
        <w:t>) UMAP visualization of AUCell scores for PI3K/AKT signaling in control and HCC samples. (</w:t>
      </w:r>
      <w:r>
        <w:rPr>
          <w:rFonts w:ascii="Calibri" w:hAnsi="Calibri" w:cs="Calibri" w:eastAsiaTheme="minorEastAsia"/>
          <w:b/>
          <w:bCs/>
          <w:kern w:val="24"/>
          <w:lang w:eastAsia="zh-CN"/>
        </w:rPr>
        <w:t>B</w:t>
      </w:r>
      <w:r>
        <w:rPr>
          <w:rFonts w:ascii="Calibri" w:hAnsi="Calibri" w:cs="Calibri" w:eastAsiaTheme="minorEastAsia"/>
          <w:kern w:val="24"/>
          <w:lang w:eastAsia="zh-CN"/>
        </w:rPr>
        <w:t>) Boxplots comparing AUCell scores across different cell types in control and HCC samples. (</w:t>
      </w:r>
      <w:r>
        <w:rPr>
          <w:rFonts w:ascii="Calibri" w:hAnsi="Calibri" w:cs="Calibri" w:eastAsiaTheme="minorEastAsia"/>
          <w:b/>
          <w:bCs/>
          <w:kern w:val="24"/>
          <w:lang w:eastAsia="zh-CN"/>
        </w:rPr>
        <w:t>C</w:t>
      </w:r>
      <w:r>
        <w:rPr>
          <w:rFonts w:ascii="Calibri" w:hAnsi="Calibri" w:cs="Calibri" w:eastAsiaTheme="minorEastAsia"/>
          <w:kern w:val="24"/>
          <w:lang w:eastAsia="zh-CN"/>
        </w:rPr>
        <w:t>) Pseudotime trajectory analysis of myeloid cells. Trajectories are colored by pseudotime and AUCell score. (</w:t>
      </w:r>
      <w:r>
        <w:rPr>
          <w:rFonts w:ascii="Calibri" w:hAnsi="Calibri" w:cs="Calibri" w:eastAsiaTheme="minorEastAsia"/>
          <w:b/>
          <w:bCs/>
          <w:kern w:val="24"/>
          <w:lang w:eastAsia="zh-CN"/>
        </w:rPr>
        <w:t>D</w:t>
      </w:r>
      <w:r>
        <w:rPr>
          <w:rFonts w:ascii="Calibri" w:hAnsi="Calibri" w:cs="Calibri" w:eastAsiaTheme="minorEastAsia"/>
          <w:kern w:val="24"/>
          <w:lang w:eastAsia="zh-CN"/>
        </w:rPr>
        <w:t>) Dynamics of PI3K/AKT pathway activity along pseudotime.</w:t>
      </w:r>
    </w:p>
    <w:p w14:paraId="3C23D870">
      <w:pPr>
        <w:spacing w:after="0"/>
        <w:jc w:val="both"/>
      </w:pPr>
    </w:p>
    <w:p w14:paraId="3C23D871">
      <w:pPr>
        <w:spacing w:after="0"/>
        <w:jc w:val="both"/>
        <w:rPr>
          <w:rFonts w:ascii="Calibri" w:hAnsi="Calibri" w:cs="Calibri" w:eastAsiaTheme="minorEastAsia"/>
          <w:kern w:val="24"/>
          <w:lang w:eastAsia="zh-CN"/>
        </w:rPr>
      </w:pPr>
      <w:r>
        <w:rPr>
          <w:rFonts w:ascii="Calibri" w:hAnsi="Calibri" w:cs="Calibri" w:eastAsiaTheme="minorEastAsia"/>
          <w:b/>
          <w:bCs/>
          <w:kern w:val="24"/>
        </w:rPr>
        <w:t xml:space="preserve">Figure </w:t>
      </w:r>
      <w:r>
        <w:rPr>
          <w:rFonts w:ascii="Calibri" w:hAnsi="Calibri" w:cs="Calibri" w:eastAsiaTheme="minorEastAsia"/>
          <w:b/>
          <w:bCs/>
          <w:kern w:val="24"/>
          <w:lang w:eastAsia="zh-CN"/>
        </w:rPr>
        <w:t>5</w:t>
      </w:r>
      <w:r>
        <w:rPr>
          <w:rFonts w:ascii="Calibri" w:hAnsi="Calibri" w:cs="Calibri" w:eastAsiaTheme="minorEastAsia"/>
          <w:b/>
          <w:bCs/>
          <w:kern w:val="24"/>
        </w:rPr>
        <w:t xml:space="preserve">: </w:t>
      </w:r>
      <w:r>
        <w:rPr>
          <w:rFonts w:ascii="Calibri" w:hAnsi="Calibri" w:cs="Calibri" w:eastAsiaTheme="minorEastAsia"/>
          <w:b/>
          <w:bCs/>
          <w:kern w:val="24"/>
          <w:lang w:eastAsia="zh-CN"/>
        </w:rPr>
        <w:t>Characterization and functional analysis of myeloid cell subpopulations in HCC.</w:t>
      </w:r>
      <w:r>
        <w:rPr>
          <w:rFonts w:ascii="Calibri" w:hAnsi="Calibri" w:cs="Calibri" w:eastAsiaTheme="minorEastAsia"/>
          <w:kern w:val="24"/>
          <w:lang w:eastAsia="zh-CN"/>
        </w:rPr>
        <w:t> (</w:t>
      </w:r>
      <w:r>
        <w:rPr>
          <w:rFonts w:ascii="Calibri" w:hAnsi="Calibri" w:cs="Calibri" w:eastAsiaTheme="minorEastAsia"/>
          <w:b/>
          <w:bCs/>
          <w:kern w:val="24"/>
          <w:lang w:eastAsia="zh-CN"/>
        </w:rPr>
        <w:t>A</w:t>
      </w:r>
      <w:r>
        <w:rPr>
          <w:rFonts w:ascii="Calibri" w:hAnsi="Calibri" w:cs="Calibri" w:eastAsiaTheme="minorEastAsia"/>
          <w:kern w:val="24"/>
          <w:lang w:eastAsia="zh-CN"/>
        </w:rPr>
        <w:t>) Volcano plot showing differentially expressed genes in HCC-associated myeloid cells versus controls. (</w:t>
      </w:r>
      <w:r>
        <w:rPr>
          <w:rFonts w:ascii="Calibri" w:hAnsi="Calibri" w:cs="Calibri" w:eastAsiaTheme="minorEastAsia"/>
          <w:b/>
          <w:bCs/>
          <w:kern w:val="24"/>
          <w:lang w:eastAsia="zh-CN"/>
        </w:rPr>
        <w:t>B</w:t>
      </w:r>
      <w:r>
        <w:rPr>
          <w:rFonts w:ascii="Calibri" w:hAnsi="Calibri" w:cs="Calibri" w:eastAsiaTheme="minorEastAsia"/>
          <w:kern w:val="24"/>
          <w:lang w:eastAsia="zh-CN"/>
        </w:rPr>
        <w:t>) A Venn diagram shows overlapping genes between the upregulated genes in HCC myeloid cells and a curated list of the PI3K/AKT pathway. (</w:t>
      </w:r>
      <w:r>
        <w:rPr>
          <w:rFonts w:ascii="Calibri" w:hAnsi="Calibri" w:cs="Calibri" w:eastAsiaTheme="minorEastAsia"/>
          <w:b/>
          <w:bCs/>
          <w:kern w:val="24"/>
          <w:lang w:eastAsia="zh-CN"/>
        </w:rPr>
        <w:t>C</w:t>
      </w:r>
      <w:r>
        <w:rPr>
          <w:rFonts w:ascii="Calibri" w:hAnsi="Calibri" w:cs="Calibri" w:eastAsiaTheme="minorEastAsia"/>
          <w:kern w:val="24"/>
          <w:lang w:eastAsia="zh-CN"/>
        </w:rPr>
        <w:t>) Bubble plot illustrating the functional associations and enrichment of core PI3K/AKT-related genes across representative biological categories. (</w:t>
      </w:r>
      <w:r>
        <w:rPr>
          <w:rFonts w:ascii="Calibri" w:hAnsi="Calibri" w:cs="Calibri" w:eastAsiaTheme="minorEastAsia"/>
          <w:b/>
          <w:bCs/>
          <w:kern w:val="24"/>
          <w:lang w:eastAsia="zh-CN"/>
        </w:rPr>
        <w:t>D</w:t>
      </w:r>
      <w:r>
        <w:rPr>
          <w:rFonts w:ascii="Calibri" w:hAnsi="Calibri" w:cs="Calibri" w:eastAsiaTheme="minorEastAsia"/>
          <w:kern w:val="24"/>
          <w:lang w:eastAsia="zh-CN"/>
        </w:rPr>
        <w:t>) GO enrichment analysis of the functional terms related to immune regulation and inflammation. (</w:t>
      </w:r>
      <w:r>
        <w:rPr>
          <w:rFonts w:ascii="Calibri" w:hAnsi="Calibri" w:cs="Calibri" w:eastAsiaTheme="minorEastAsia"/>
          <w:b/>
          <w:bCs/>
          <w:kern w:val="24"/>
          <w:lang w:eastAsia="zh-CN"/>
        </w:rPr>
        <w:t>E</w:t>
      </w:r>
      <w:r>
        <w:rPr>
          <w:rFonts w:ascii="Calibri" w:hAnsi="Calibri" w:cs="Calibri" w:eastAsiaTheme="minorEastAsia"/>
          <w:kern w:val="24"/>
          <w:lang w:eastAsia="zh-CN"/>
        </w:rPr>
        <w:t>) KEGG pathway analysis reveals enrichment in pathways related to protein kinase regulator, focal adhesion, and response to peptide hormone.</w:t>
      </w:r>
    </w:p>
    <w:p w14:paraId="3C23D872">
      <w:pPr>
        <w:spacing w:after="0"/>
        <w:jc w:val="both"/>
        <w:rPr>
          <w:rFonts w:ascii="Calibri" w:hAnsi="Calibri" w:cs="Calibri" w:eastAsiaTheme="minorEastAsia"/>
          <w:b/>
          <w:bCs/>
          <w:kern w:val="24"/>
          <w:lang w:eastAsia="zh-CN"/>
        </w:rPr>
      </w:pPr>
    </w:p>
    <w:p w14:paraId="3C23D873">
      <w:pPr>
        <w:spacing w:after="0"/>
        <w:jc w:val="both"/>
        <w:rPr>
          <w:rFonts w:ascii="Calibri" w:hAnsi="Calibri" w:cs="Calibri" w:eastAsiaTheme="minorEastAsia"/>
          <w:b/>
          <w:bCs/>
          <w:kern w:val="24"/>
          <w:lang w:eastAsia="zh-CN"/>
        </w:rPr>
      </w:pPr>
      <w:r>
        <w:rPr>
          <w:rFonts w:ascii="Calibri" w:hAnsi="Calibri" w:cs="Calibri" w:eastAsiaTheme="minorEastAsia"/>
          <w:b/>
          <w:bCs/>
          <w:kern w:val="24"/>
          <w:lang w:eastAsia="zh-CN"/>
        </w:rPr>
        <w:t xml:space="preserve">Figure 6: Identification of prognostic biomarkers using multiple machine learning algorithms. </w:t>
      </w:r>
      <w:r>
        <w:rPr>
          <w:rFonts w:ascii="Calibri" w:hAnsi="Calibri" w:cs="Calibri" w:eastAsiaTheme="minorEastAsia"/>
          <w:kern w:val="24"/>
          <w:lang w:eastAsia="zh-CN"/>
        </w:rPr>
        <w:t>Variable importance rankings of candidate prognostic biomarkers generated using 12 machine learning algorithms (</w:t>
      </w:r>
      <w:r>
        <w:rPr>
          <w:rFonts w:ascii="Calibri" w:hAnsi="Calibri" w:cs="Calibri"/>
        </w:rPr>
        <w:t xml:space="preserve"> ADA, BAG, DT, GBM, GLM, KNN, LASSO,NB, NNET, RSF, SVM, and XGB</w:t>
      </w:r>
      <w:r>
        <w:rPr>
          <w:rFonts w:ascii="Calibri" w:hAnsi="Calibri" w:cs="Calibri" w:eastAsiaTheme="minorEastAsia"/>
          <w:kern w:val="24"/>
          <w:lang w:eastAsia="zh-CN"/>
        </w:rPr>
        <w:t>). Each panel displays the relative contribution or coefficient of individual genes within the corresponding model, highlighting consistently important biomarkers across different predictive approaches.</w:t>
      </w:r>
    </w:p>
    <w:p w14:paraId="3C23D874">
      <w:pPr>
        <w:spacing w:after="0"/>
        <w:jc w:val="both"/>
        <w:rPr>
          <w:rFonts w:ascii="Calibri" w:hAnsi="Calibri" w:cs="Calibri" w:eastAsiaTheme="minorEastAsia"/>
          <w:kern w:val="24"/>
          <w:lang w:eastAsia="zh-CN"/>
        </w:rPr>
      </w:pPr>
    </w:p>
    <w:p w14:paraId="3C23D875">
      <w:pPr>
        <w:spacing w:after="0"/>
        <w:jc w:val="both"/>
        <w:rPr>
          <w:rFonts w:ascii="Calibri" w:hAnsi="Calibri" w:cs="Calibri" w:eastAsiaTheme="minorEastAsia"/>
          <w:kern w:val="24"/>
          <w:lang w:eastAsia="zh-CN"/>
        </w:rPr>
      </w:pPr>
      <w:r>
        <w:rPr>
          <w:rFonts w:ascii="Calibri" w:hAnsi="Calibri" w:cs="Calibri" w:eastAsiaTheme="minorEastAsia"/>
          <w:b/>
          <w:bCs/>
          <w:kern w:val="24"/>
          <w:lang w:eastAsia="zh-CN"/>
        </w:rPr>
        <w:t>Figure 7: Performance evaluation and interpretation of the prognostic classification model</w:t>
      </w:r>
      <w:r>
        <w:rPr>
          <w:rFonts w:ascii="Calibri" w:hAnsi="Calibri" w:cs="Calibri" w:eastAsiaTheme="minorEastAsia"/>
          <w:kern w:val="24"/>
          <w:lang w:eastAsia="zh-CN"/>
        </w:rPr>
        <w:t>. (</w:t>
      </w:r>
      <w:r>
        <w:rPr>
          <w:rFonts w:ascii="Calibri" w:hAnsi="Calibri" w:cs="Calibri" w:eastAsiaTheme="minorEastAsia"/>
          <w:b/>
          <w:bCs/>
          <w:kern w:val="24"/>
          <w:lang w:eastAsia="zh-CN"/>
        </w:rPr>
        <w:t>A</w:t>
      </w:r>
      <w:r>
        <w:rPr>
          <w:rFonts w:ascii="Calibri" w:hAnsi="Calibri" w:cs="Calibri" w:eastAsiaTheme="minorEastAsia"/>
          <w:kern w:val="24"/>
          <w:lang w:eastAsia="zh-CN"/>
        </w:rPr>
        <w:t>) Receiver operating characteristic curves with 95% confidence intervals for the 12 machine learning algorithms; LASSO achieved an AUC of 0.949 (95% CI, 0.886–1.000). (</w:t>
      </w:r>
      <w:r>
        <w:rPr>
          <w:rFonts w:ascii="Calibri" w:hAnsi="Calibri" w:cs="Calibri" w:eastAsiaTheme="minorEastAsia"/>
          <w:b/>
          <w:bCs/>
          <w:kern w:val="24"/>
          <w:lang w:eastAsia="zh-CN"/>
        </w:rPr>
        <w:t>B</w:t>
      </w:r>
      <w:r>
        <w:rPr>
          <w:rFonts w:ascii="Calibri" w:hAnsi="Calibri" w:cs="Calibri" w:eastAsiaTheme="minorEastAsia"/>
          <w:kern w:val="24"/>
          <w:lang w:eastAsia="zh-CN"/>
        </w:rPr>
        <w:t>) Precision–recall curve for the LASSO model, with a PR AUC of 0.981. (</w:t>
      </w:r>
      <w:r>
        <w:rPr>
          <w:rFonts w:ascii="Calibri" w:hAnsi="Calibri" w:cs="Calibri" w:eastAsiaTheme="minorEastAsia"/>
          <w:b/>
          <w:bCs/>
          <w:kern w:val="24"/>
          <w:lang w:eastAsia="zh-CN"/>
        </w:rPr>
        <w:t>C</w:t>
      </w:r>
      <w:r>
        <w:rPr>
          <w:rFonts w:ascii="Calibri" w:hAnsi="Calibri" w:cs="Calibri" w:eastAsiaTheme="minorEastAsia"/>
          <w:kern w:val="24"/>
          <w:lang w:eastAsia="zh-CN"/>
        </w:rPr>
        <w:t>) Confusion matrix for the independent test set, showing that 30 of 31 favorable-prognosis samples and 4 of 18 poor-prognosis samples were correctly classified, corresponding to a sensitivity of 96.8% and specificity of 22.2%. (</w:t>
      </w:r>
      <w:r>
        <w:rPr>
          <w:rFonts w:ascii="Calibri" w:hAnsi="Calibri" w:cs="Calibri" w:eastAsiaTheme="minorEastAsia"/>
          <w:b/>
          <w:bCs/>
          <w:kern w:val="24"/>
          <w:lang w:eastAsia="zh-CN"/>
        </w:rPr>
        <w:t>D</w:t>
      </w:r>
      <w:r>
        <w:rPr>
          <w:rFonts w:ascii="Calibri" w:hAnsi="Calibri" w:cs="Calibri" w:eastAsiaTheme="minorEastAsia"/>
          <w:kern w:val="24"/>
          <w:lang w:eastAsia="zh-CN"/>
        </w:rPr>
        <w:t>) Distribution of LASSO-predicted probabilities, with favorable-prognosis samples concentrated at higher probabilities and poor-prognosis samples showing a broader distribution. (</w:t>
      </w:r>
      <w:r>
        <w:rPr>
          <w:rFonts w:ascii="Calibri" w:hAnsi="Calibri" w:cs="Calibri" w:eastAsiaTheme="minorEastAsia"/>
          <w:b/>
          <w:bCs/>
          <w:kern w:val="24"/>
          <w:lang w:eastAsia="zh-CN"/>
        </w:rPr>
        <w:t>E</w:t>
      </w:r>
      <w:r>
        <w:rPr>
          <w:rFonts w:ascii="Calibri" w:hAnsi="Calibri" w:cs="Calibri" w:eastAsiaTheme="minorEastAsia"/>
          <w:kern w:val="24"/>
          <w:lang w:eastAsia="zh-CN"/>
        </w:rPr>
        <w:t>) Dropout-loss-based variable importance analysis identifies RAC1, SLC2A1, MAP3K7IP3, and ACACA as the principal contributors to the LASSO model.</w:t>
      </w:r>
    </w:p>
    <w:p w14:paraId="3C23D876">
      <w:pPr>
        <w:spacing w:after="0"/>
        <w:jc w:val="both"/>
        <w:rPr>
          <w:rFonts w:ascii="Calibri" w:hAnsi="Calibri" w:cs="Calibri" w:eastAsiaTheme="minorEastAsia"/>
          <w:kern w:val="24"/>
          <w:lang w:eastAsia="zh-CN"/>
        </w:rPr>
      </w:pPr>
    </w:p>
    <w:p w14:paraId="3C23D877">
      <w:pPr>
        <w:spacing w:after="0"/>
        <w:jc w:val="both"/>
        <w:rPr>
          <w:rFonts w:ascii="Calibri" w:hAnsi="Calibri" w:cs="Calibri" w:eastAsiaTheme="minorEastAsia"/>
          <w:kern w:val="24"/>
          <w:lang w:eastAsia="zh-CN"/>
        </w:rPr>
      </w:pPr>
      <w:r>
        <w:rPr>
          <w:rFonts w:ascii="Calibri" w:hAnsi="Calibri" w:cs="Calibri" w:eastAsiaTheme="minorEastAsia"/>
          <w:b/>
          <w:bCs/>
          <w:kern w:val="24"/>
        </w:rPr>
        <w:t xml:space="preserve">Figure </w:t>
      </w:r>
      <w:r>
        <w:rPr>
          <w:rFonts w:ascii="Calibri" w:hAnsi="Calibri" w:cs="Calibri" w:eastAsiaTheme="minorEastAsia"/>
          <w:b/>
          <w:bCs/>
          <w:kern w:val="24"/>
          <w:lang w:eastAsia="zh-CN"/>
        </w:rPr>
        <w:t>8</w:t>
      </w:r>
      <w:r>
        <w:rPr>
          <w:rFonts w:ascii="Calibri" w:hAnsi="Calibri" w:cs="Calibri" w:eastAsiaTheme="minorEastAsia"/>
          <w:b/>
          <w:bCs/>
          <w:kern w:val="24"/>
        </w:rPr>
        <w:t xml:space="preserve">: </w:t>
      </w:r>
      <w:r>
        <w:rPr>
          <w:rFonts w:ascii="Calibri" w:hAnsi="Calibri" w:cs="Calibri" w:eastAsiaTheme="minorEastAsia"/>
          <w:b/>
          <w:bCs/>
          <w:kern w:val="24"/>
          <w:lang w:eastAsia="zh-CN"/>
        </w:rPr>
        <w:t>Identification of prognostic gene signatures in HCC.</w:t>
      </w:r>
      <w:r>
        <w:rPr>
          <w:rFonts w:ascii="Calibri" w:hAnsi="Calibri" w:cs="Calibri"/>
          <w:kern w:val="24"/>
          <w:lang w:eastAsia="zh-CN"/>
        </w:rPr>
        <w:t xml:space="preserve"> </w:t>
      </w:r>
      <w:r>
        <w:rPr>
          <w:rFonts w:ascii="Calibri" w:hAnsi="Calibri" w:cs="Calibri" w:eastAsiaTheme="minorEastAsia"/>
          <w:kern w:val="24"/>
          <w:lang w:eastAsia="zh-CN"/>
        </w:rPr>
        <w:t>(</w:t>
      </w:r>
      <w:r>
        <w:rPr>
          <w:rFonts w:ascii="Calibri" w:hAnsi="Calibri" w:cs="Calibri"/>
          <w:b/>
          <w:bCs/>
          <w:kern w:val="24"/>
          <w:lang w:eastAsia="zh-CN"/>
        </w:rPr>
        <w:t>A</w:t>
      </w:r>
      <w:r>
        <w:rPr>
          <w:rFonts w:ascii="Calibri" w:hAnsi="Calibri" w:cs="Calibri" w:eastAsiaTheme="minorEastAsia"/>
          <w:kern w:val="24"/>
          <w:lang w:eastAsia="zh-CN"/>
        </w:rPr>
        <w:t>)</w:t>
      </w:r>
      <w:r>
        <w:rPr>
          <w:rFonts w:ascii="Calibri" w:hAnsi="Calibri" w:cs="Calibri"/>
          <w:kern w:val="24"/>
          <w:lang w:eastAsia="zh-CN"/>
        </w:rPr>
        <w:t xml:space="preserve"> </w:t>
      </w:r>
      <w:r>
        <w:rPr>
          <w:rFonts w:ascii="Calibri" w:hAnsi="Calibri" w:cs="Calibri" w:eastAsiaTheme="minorEastAsia"/>
          <w:kern w:val="24"/>
          <w:lang w:eastAsia="zh-CN"/>
        </w:rPr>
        <w:t>The KM survival curve shows that high expression of ATF1, GRB2, YWHAB, RAC1, CFL1, CLTC, and SLC2A1 genes is significantly associated with lower overall survival rates in HCC patients; The high expression of the SFN gene is significantly correlated with higher overall survival rates in HCC patients (</w:t>
      </w:r>
      <w:r>
        <w:rPr>
          <w:rFonts w:ascii="Calibri" w:hAnsi="Calibri" w:cs="Calibri" w:eastAsiaTheme="minorEastAsia"/>
          <w:i/>
          <w:iCs/>
          <w:kern w:val="24"/>
          <w:lang w:eastAsia="zh-CN"/>
        </w:rPr>
        <w:t>p</w:t>
      </w:r>
      <w:r>
        <w:rPr>
          <w:rFonts w:ascii="Calibri" w:hAnsi="Calibri" w:cs="Calibri" w:eastAsiaTheme="minorEastAsia"/>
          <w:kern w:val="24"/>
          <w:lang w:eastAsia="zh-CN"/>
        </w:rPr>
        <w:t xml:space="preserve"> &lt; 0.0001).</w:t>
      </w:r>
      <w:r>
        <w:rPr>
          <w:rFonts w:ascii="Calibri" w:hAnsi="Calibri" w:cs="Calibri"/>
          <w:kern w:val="24"/>
          <w:lang w:eastAsia="zh-CN"/>
        </w:rPr>
        <w:t xml:space="preserve"> </w:t>
      </w:r>
      <w:r>
        <w:rPr>
          <w:rFonts w:ascii="Calibri" w:hAnsi="Calibri" w:cs="Calibri" w:eastAsiaTheme="minorEastAsia"/>
          <w:kern w:val="24"/>
          <w:lang w:eastAsia="zh-CN"/>
        </w:rPr>
        <w:t>(</w:t>
      </w:r>
      <w:r>
        <w:rPr>
          <w:rFonts w:ascii="Calibri" w:hAnsi="Calibri" w:cs="Calibri" w:eastAsiaTheme="minorEastAsia"/>
          <w:b/>
          <w:bCs/>
          <w:kern w:val="24"/>
          <w:lang w:eastAsia="zh-CN"/>
        </w:rPr>
        <w:t>B</w:t>
      </w:r>
      <w:r>
        <w:rPr>
          <w:rFonts w:ascii="Calibri" w:hAnsi="Calibri" w:cs="Calibri" w:eastAsiaTheme="minorEastAsia"/>
          <w:kern w:val="24"/>
          <w:lang w:eastAsia="zh-CN"/>
        </w:rPr>
        <w:t xml:space="preserve">) Expression levels of the eight prognostic genes across different T stages of HCC. Significant differences in gene expression levels were observed across the various T stages (Kruskal–Wallis test, </w:t>
      </w:r>
      <w:r>
        <w:rPr>
          <w:rFonts w:ascii="Calibri" w:hAnsi="Calibri" w:cs="Calibri" w:eastAsiaTheme="minorEastAsia"/>
          <w:i/>
          <w:iCs/>
          <w:kern w:val="24"/>
          <w:lang w:eastAsia="zh-CN"/>
        </w:rPr>
        <w:t>p</w:t>
      </w:r>
      <w:r>
        <w:rPr>
          <w:rFonts w:ascii="Calibri" w:hAnsi="Calibri" w:cs="Calibri" w:eastAsiaTheme="minorEastAsia"/>
          <w:kern w:val="24"/>
          <w:lang w:eastAsia="zh-CN"/>
        </w:rPr>
        <w:t xml:space="preserve"> &lt; 0.05).</w:t>
      </w:r>
    </w:p>
    <w:p w14:paraId="3C23D878">
      <w:pPr>
        <w:spacing w:after="0"/>
        <w:jc w:val="both"/>
        <w:rPr>
          <w:rFonts w:ascii="Calibri" w:hAnsi="Calibri" w:cs="Calibri" w:eastAsiaTheme="minorEastAsia"/>
          <w:kern w:val="24"/>
          <w:lang w:eastAsia="zh-CN"/>
        </w:rPr>
      </w:pPr>
    </w:p>
    <w:p w14:paraId="3C23D879">
      <w:pPr>
        <w:spacing w:after="0"/>
        <w:jc w:val="both"/>
        <w:rPr>
          <w:rFonts w:ascii="Calibri" w:hAnsi="Calibri" w:cs="Calibri" w:eastAsiaTheme="minorEastAsia"/>
          <w:kern w:val="24"/>
          <w:lang w:eastAsia="zh-CN"/>
        </w:rPr>
      </w:pPr>
      <w:r>
        <w:rPr>
          <w:rFonts w:ascii="Calibri" w:hAnsi="Calibri" w:cs="Calibri" w:eastAsiaTheme="minorEastAsia"/>
          <w:b/>
          <w:bCs/>
          <w:kern w:val="24"/>
        </w:rPr>
        <w:t xml:space="preserve">Figure </w:t>
      </w:r>
      <w:r>
        <w:rPr>
          <w:rFonts w:ascii="Calibri" w:hAnsi="Calibri" w:cs="Calibri" w:eastAsiaTheme="minorEastAsia"/>
          <w:b/>
          <w:bCs/>
          <w:kern w:val="24"/>
          <w:lang w:eastAsia="zh-CN"/>
        </w:rPr>
        <w:t>9</w:t>
      </w:r>
      <w:r>
        <w:rPr>
          <w:rFonts w:ascii="Calibri" w:hAnsi="Calibri" w:cs="Calibri" w:eastAsiaTheme="minorEastAsia"/>
          <w:b/>
          <w:bCs/>
          <w:kern w:val="24"/>
        </w:rPr>
        <w:t xml:space="preserve">: </w:t>
      </w:r>
      <w:r>
        <w:rPr>
          <w:rFonts w:ascii="Calibri" w:hAnsi="Calibri" w:cs="Calibri" w:eastAsiaTheme="minorEastAsia"/>
          <w:b/>
          <w:bCs/>
          <w:kern w:val="24"/>
          <w:lang w:eastAsia="zh-CN"/>
        </w:rPr>
        <w:t>External validation of prognostic gene signatures in HCC.</w:t>
      </w:r>
      <w:r>
        <w:rPr>
          <w:rFonts w:ascii="Calibri" w:hAnsi="Calibri" w:cs="Calibri"/>
          <w:b/>
          <w:bCs/>
          <w:kern w:val="24"/>
          <w:lang w:eastAsia="zh-CN"/>
        </w:rPr>
        <w:t xml:space="preserve"> </w:t>
      </w:r>
      <w:r>
        <w:rPr>
          <w:rFonts w:ascii="Calibri" w:hAnsi="Calibri" w:cs="Calibri" w:eastAsiaTheme="minorEastAsia"/>
          <w:kern w:val="24"/>
          <w:lang w:eastAsia="zh-CN"/>
        </w:rPr>
        <w:t>(</w:t>
      </w:r>
      <w:r>
        <w:rPr>
          <w:rFonts w:ascii="Calibri" w:hAnsi="Calibri" w:cs="Calibri"/>
          <w:b/>
          <w:bCs/>
          <w:kern w:val="24"/>
          <w:lang w:eastAsia="zh-CN"/>
        </w:rPr>
        <w:t>A</w:t>
      </w:r>
      <w:r>
        <w:rPr>
          <w:rFonts w:ascii="Calibri" w:hAnsi="Calibri" w:cs="Calibri" w:eastAsiaTheme="minorEastAsia"/>
          <w:kern w:val="24"/>
          <w:lang w:eastAsia="zh-CN"/>
        </w:rPr>
        <w:t>) KM survival analysis in the external validation cohort (GSE76427) demonstrated that elevated expression of ATF1, GRB2, YWHAB, SLC2A1, and SFN was significantly associated with poor overall survival, whereas high RAC1 expression correlated with favorable outcomes (</w:t>
      </w:r>
      <w:r>
        <w:rPr>
          <w:rFonts w:ascii="Calibri" w:hAnsi="Calibri" w:cs="Calibri" w:eastAsiaTheme="minorEastAsia"/>
          <w:i/>
          <w:iCs/>
          <w:kern w:val="24"/>
          <w:lang w:eastAsia="zh-CN"/>
        </w:rPr>
        <w:t>p</w:t>
      </w:r>
      <w:r>
        <w:rPr>
          <w:rFonts w:ascii="Calibri" w:hAnsi="Calibri" w:cs="Calibri" w:eastAsiaTheme="minorEastAsia"/>
          <w:kern w:val="24"/>
          <w:lang w:eastAsia="zh-CN"/>
        </w:rPr>
        <w:t xml:space="preserve"> &lt; 0.05).</w:t>
      </w:r>
      <w:r>
        <w:rPr>
          <w:rFonts w:ascii="Calibri" w:hAnsi="Calibri" w:cs="Calibri"/>
          <w:kern w:val="24"/>
          <w:lang w:eastAsia="zh-CN"/>
        </w:rPr>
        <w:t xml:space="preserve"> </w:t>
      </w:r>
      <w:r>
        <w:rPr>
          <w:rFonts w:ascii="Calibri" w:hAnsi="Calibri" w:cs="Calibri" w:eastAsiaTheme="minorEastAsia"/>
          <w:kern w:val="24"/>
          <w:lang w:eastAsia="zh-CN"/>
        </w:rPr>
        <w:t>(</w:t>
      </w:r>
      <w:r>
        <w:rPr>
          <w:rFonts w:ascii="Calibri" w:hAnsi="Calibri" w:cs="Calibri" w:eastAsiaTheme="minorEastAsia"/>
          <w:b/>
          <w:bCs/>
          <w:kern w:val="24"/>
          <w:lang w:eastAsia="zh-CN"/>
        </w:rPr>
        <w:t>B</w:t>
      </w:r>
      <w:r>
        <w:rPr>
          <w:rFonts w:ascii="Calibri" w:hAnsi="Calibri" w:cs="Calibri" w:eastAsiaTheme="minorEastAsia"/>
          <w:kern w:val="24"/>
          <w:lang w:eastAsia="zh-CN"/>
        </w:rPr>
        <w:t>) Venn diagram highlighting the intersection of candidate genes identified through LASSO-Cox modeling and survival analysis, revealing RAC1 and SLC2A1 as core prognostic genes.</w:t>
      </w:r>
      <w:r>
        <w:rPr>
          <w:rFonts w:ascii="Calibri" w:hAnsi="Calibri" w:cs="Calibri"/>
          <w:kern w:val="24"/>
          <w:lang w:eastAsia="zh-CN"/>
        </w:rPr>
        <w:t xml:space="preserve"> </w:t>
      </w:r>
      <w:r>
        <w:rPr>
          <w:rFonts w:ascii="Calibri" w:hAnsi="Calibri" w:cs="Calibri" w:eastAsiaTheme="minorEastAsia"/>
          <w:kern w:val="24"/>
          <w:lang w:eastAsia="zh-CN"/>
        </w:rPr>
        <w:t>(</w:t>
      </w:r>
      <w:r>
        <w:rPr>
          <w:rFonts w:ascii="Calibri" w:hAnsi="Calibri" w:cs="Calibri" w:eastAsiaTheme="minorEastAsia"/>
          <w:b/>
          <w:bCs/>
          <w:kern w:val="24"/>
          <w:lang w:eastAsia="zh-CN"/>
        </w:rPr>
        <w:t>C</w:t>
      </w:r>
      <w:r>
        <w:rPr>
          <w:rFonts w:ascii="Calibri" w:hAnsi="Calibri" w:cs="Calibri" w:eastAsiaTheme="minorEastAsia"/>
          <w:kern w:val="24"/>
          <w:lang w:eastAsia="zh-CN"/>
        </w:rPr>
        <w:t>) GSEA plots confirming enrichment of EMT-related pathways in high RAC1 or SLC2A1 expression groups. (</w:t>
      </w:r>
      <w:r>
        <w:rPr>
          <w:rFonts w:ascii="Calibri" w:hAnsi="Calibri" w:cs="Calibri" w:eastAsiaTheme="minorEastAsia"/>
          <w:b/>
          <w:bCs/>
          <w:kern w:val="24"/>
          <w:lang w:eastAsia="zh-CN"/>
        </w:rPr>
        <w:t>D</w:t>
      </w:r>
      <w:r>
        <w:rPr>
          <w:rFonts w:ascii="Calibri" w:hAnsi="Calibri" w:cs="Calibri" w:eastAsiaTheme="minorEastAsia"/>
          <w:kern w:val="24"/>
          <w:lang w:eastAsia="zh-CN"/>
        </w:rPr>
        <w:t>) Bar plots showing strong association of RAC1 and SLC2A1 expression with EMT scores.</w:t>
      </w:r>
      <w:r>
        <w:rPr>
          <w:rFonts w:ascii="Calibri" w:hAnsi="Calibri" w:cs="Calibri"/>
          <w:kern w:val="24"/>
          <w:lang w:eastAsia="zh-CN"/>
        </w:rPr>
        <w:t xml:space="preserve"> </w:t>
      </w:r>
    </w:p>
    <w:p w14:paraId="3C23D87A">
      <w:pPr>
        <w:spacing w:after="0"/>
        <w:jc w:val="both"/>
        <w:rPr>
          <w:rFonts w:ascii="Calibri" w:hAnsi="Calibri" w:eastAsia="宋体" w:cs="Calibri"/>
          <w:lang w:eastAsia="zh-CN" w:bidi="ar"/>
        </w:rPr>
      </w:pPr>
    </w:p>
    <w:p w14:paraId="3C23D87B">
      <w:pPr>
        <w:pStyle w:val="9"/>
        <w:spacing w:beforeAutospacing="0" w:afterAutospacing="0"/>
        <w:jc w:val="both"/>
        <w:rPr>
          <w:rFonts w:ascii="Calibri" w:hAnsi="Calibri" w:cs="Calibri"/>
        </w:rPr>
      </w:pPr>
      <w:r>
        <w:rPr>
          <w:rFonts w:ascii="Calibri" w:hAnsi="Calibri" w:cs="Calibri" w:eastAsiaTheme="minorEastAsia"/>
          <w:b/>
          <w:bCs/>
          <w:kern w:val="24"/>
        </w:rPr>
        <w:t>Figure</w:t>
      </w:r>
      <w:r>
        <w:rPr>
          <w:rFonts w:hint="eastAsia" w:ascii="Calibri" w:hAnsi="Calibri" w:cs="Calibri" w:eastAsiaTheme="minorEastAsia"/>
          <w:b/>
          <w:bCs/>
          <w:kern w:val="24"/>
        </w:rPr>
        <w:t xml:space="preserve"> </w:t>
      </w:r>
      <w:r>
        <w:rPr>
          <w:rFonts w:ascii="Calibri" w:hAnsi="Calibri" w:cs="Calibri"/>
          <w:b/>
          <w:bCs/>
          <w:kern w:val="24"/>
        </w:rPr>
        <w:t xml:space="preserve">10: </w:t>
      </w:r>
      <w:r>
        <w:rPr>
          <w:rFonts w:ascii="Calibri" w:hAnsi="Calibri" w:cs="Calibri" w:eastAsiaTheme="minorEastAsia"/>
          <w:b/>
          <w:bCs/>
          <w:kern w:val="24"/>
        </w:rPr>
        <w:t>Association between RAC1 expression and tumor immune microenvironment in HCC.</w:t>
      </w:r>
      <w:r>
        <w:rPr>
          <w:rFonts w:ascii="Calibri" w:hAnsi="Calibri" w:cs="Calibri"/>
          <w:b/>
          <w:bCs/>
          <w:kern w:val="24"/>
        </w:rPr>
        <w:t xml:space="preserve"> </w:t>
      </w:r>
      <w:r>
        <w:rPr>
          <w:rFonts w:ascii="Calibri" w:hAnsi="Calibri" w:cs="Calibri" w:eastAsiaTheme="minorEastAsia"/>
          <w:kern w:val="24"/>
        </w:rPr>
        <w:t>(</w:t>
      </w:r>
      <w:r>
        <w:rPr>
          <w:rFonts w:ascii="Calibri" w:hAnsi="Calibri" w:cs="Calibri" w:eastAsiaTheme="minorEastAsia"/>
          <w:b/>
          <w:bCs/>
          <w:kern w:val="24"/>
        </w:rPr>
        <w:t>A</w:t>
      </w:r>
      <w:r>
        <w:rPr>
          <w:rFonts w:ascii="Calibri" w:hAnsi="Calibri" w:cs="Calibri" w:eastAsiaTheme="minorEastAsia"/>
          <w:kern w:val="24"/>
        </w:rPr>
        <w:t>)</w:t>
      </w:r>
      <w:r>
        <w:rPr>
          <w:rFonts w:ascii="Calibri" w:hAnsi="Calibri" w:cs="Calibri"/>
          <w:kern w:val="24"/>
        </w:rPr>
        <w:t xml:space="preserve"> </w:t>
      </w:r>
      <w:r>
        <w:rPr>
          <w:rFonts w:ascii="Calibri" w:hAnsi="Calibri" w:cs="Calibri" w:eastAsiaTheme="minorEastAsia"/>
          <w:kern w:val="24"/>
        </w:rPr>
        <w:t>High RAC1 expression is associated with increased infiltration of CD4⁺ T cells, CD8⁺ T cells, dendritic cells, monocytes, and macrophage subtypes (M0, M1, M2).</w:t>
      </w:r>
      <w:r>
        <w:rPr>
          <w:rFonts w:ascii="Calibri" w:hAnsi="Calibri" w:cs="Calibri"/>
          <w:kern w:val="24"/>
        </w:rPr>
        <w:t xml:space="preserve"> </w:t>
      </w:r>
      <w:r>
        <w:rPr>
          <w:rFonts w:ascii="Calibri" w:hAnsi="Calibri" w:cs="Calibri" w:eastAsiaTheme="minorEastAsia"/>
          <w:kern w:val="24"/>
        </w:rPr>
        <w:t>(</w:t>
      </w:r>
      <w:r>
        <w:rPr>
          <w:rFonts w:ascii="Calibri" w:hAnsi="Calibri" w:cs="Calibri" w:eastAsiaTheme="minorEastAsia"/>
          <w:b/>
          <w:bCs/>
          <w:kern w:val="24"/>
        </w:rPr>
        <w:t>B</w:t>
      </w:r>
      <w:r>
        <w:rPr>
          <w:rFonts w:ascii="Calibri" w:hAnsi="Calibri" w:cs="Calibri" w:eastAsiaTheme="minorEastAsia"/>
          <w:kern w:val="24"/>
        </w:rPr>
        <w:t>) Heatmap showing the expression levels of immune-related genes in RAC1-high versus RAC1-low HCC samples.</w:t>
      </w:r>
      <w:r>
        <w:rPr>
          <w:rFonts w:ascii="Calibri" w:hAnsi="Calibri" w:cs="Calibri"/>
          <w:kern w:val="24"/>
        </w:rPr>
        <w:t xml:space="preserve"> </w:t>
      </w:r>
      <w:r>
        <w:rPr>
          <w:rFonts w:ascii="Calibri" w:hAnsi="Calibri" w:cs="Calibri" w:eastAsiaTheme="minorEastAsia"/>
          <w:kern w:val="24"/>
        </w:rPr>
        <w:t>(</w:t>
      </w:r>
      <w:r>
        <w:rPr>
          <w:rFonts w:ascii="Calibri" w:hAnsi="Calibri" w:cs="Calibri"/>
          <w:b/>
          <w:bCs/>
          <w:kern w:val="24"/>
        </w:rPr>
        <w:t>C</w:t>
      </w:r>
      <w:r>
        <w:rPr>
          <w:rFonts w:ascii="Calibri" w:hAnsi="Calibri" w:cs="Calibri" w:eastAsiaTheme="minorEastAsia"/>
          <w:kern w:val="24"/>
        </w:rPr>
        <w:t>)</w:t>
      </w:r>
      <w:r>
        <w:rPr>
          <w:rFonts w:ascii="Calibri" w:hAnsi="Calibri" w:cs="Calibri"/>
          <w:kern w:val="24"/>
        </w:rPr>
        <w:t xml:space="preserve"> </w:t>
      </w:r>
      <w:r>
        <w:rPr>
          <w:rFonts w:ascii="Calibri" w:hAnsi="Calibri" w:cs="Calibri" w:eastAsiaTheme="minorEastAsia"/>
          <w:kern w:val="24"/>
        </w:rPr>
        <w:t>Boxplots comparing the expression of immune checkpoint molecules (PD-L1, PD-L2, PD-1, LAG3, TIGIT) between RAC1-high and RAC1-low tumors.</w:t>
      </w:r>
      <w:r>
        <w:rPr>
          <w:rFonts w:ascii="Calibri" w:hAnsi="Calibri" w:cs="Calibri"/>
          <w:kern w:val="24"/>
        </w:rPr>
        <w:t xml:space="preserve"> </w:t>
      </w:r>
      <w:r>
        <w:rPr>
          <w:rFonts w:ascii="Calibri" w:hAnsi="Calibri" w:cs="Calibri" w:eastAsiaTheme="minorEastAsia"/>
          <w:kern w:val="24"/>
        </w:rPr>
        <w:t>(</w:t>
      </w:r>
      <w:r>
        <w:rPr>
          <w:rFonts w:ascii="Calibri" w:hAnsi="Calibri" w:cs="Calibri" w:eastAsiaTheme="minorEastAsia"/>
          <w:b/>
          <w:bCs/>
          <w:kern w:val="24"/>
        </w:rPr>
        <w:t>D</w:t>
      </w:r>
      <w:r>
        <w:rPr>
          <w:rFonts w:ascii="Calibri" w:hAnsi="Calibri" w:cs="Calibri" w:eastAsiaTheme="minorEastAsia"/>
          <w:kern w:val="24"/>
        </w:rPr>
        <w:t>) Scatter plots illustrating the positive correlation between RAC1 expression and immune cell infiltration scores, especially for T cells.</w:t>
      </w:r>
    </w:p>
    <w:p w14:paraId="3C23D87C">
      <w:pPr>
        <w:spacing w:after="0"/>
        <w:jc w:val="both"/>
        <w:rPr>
          <w:rFonts w:ascii="Calibri" w:hAnsi="Calibri" w:cs="Calibri" w:eastAsiaTheme="minorEastAsia"/>
          <w:kern w:val="24"/>
          <w:lang w:eastAsia="zh-CN"/>
        </w:rPr>
      </w:pPr>
    </w:p>
    <w:p w14:paraId="3C23D87D">
      <w:pPr>
        <w:spacing w:after="0"/>
        <w:jc w:val="both"/>
        <w:rPr>
          <w:rFonts w:ascii="Calibri" w:hAnsi="Calibri" w:cs="Calibri" w:eastAsiaTheme="minorEastAsia"/>
          <w:kern w:val="24"/>
        </w:rPr>
      </w:pPr>
      <w:r>
        <w:rPr>
          <w:rFonts w:ascii="Calibri" w:hAnsi="Calibri" w:cs="Calibri" w:eastAsiaTheme="minorEastAsia"/>
          <w:b/>
          <w:bCs/>
          <w:kern w:val="24"/>
        </w:rPr>
        <w:t>Figure 1</w:t>
      </w:r>
      <w:r>
        <w:rPr>
          <w:rFonts w:ascii="Calibri" w:hAnsi="Calibri" w:cs="Calibri"/>
          <w:b/>
          <w:bCs/>
          <w:kern w:val="24"/>
        </w:rPr>
        <w:t>1</w:t>
      </w:r>
      <w:r>
        <w:rPr>
          <w:rFonts w:ascii="Calibri" w:hAnsi="Calibri" w:cs="Calibri" w:eastAsiaTheme="minorEastAsia"/>
          <w:b/>
          <w:bCs/>
          <w:kern w:val="24"/>
        </w:rPr>
        <w:t>:</w:t>
      </w:r>
      <w:r>
        <w:rPr>
          <w:rFonts w:ascii="Calibri" w:hAnsi="Calibri" w:cs="Calibri" w:eastAsiaTheme="minorEastAsia"/>
          <w:kern w:val="24"/>
        </w:rPr>
        <w:t xml:space="preserve"> </w:t>
      </w:r>
      <w:r>
        <w:rPr>
          <w:rFonts w:ascii="Calibri" w:hAnsi="Calibri" w:cs="Calibri" w:eastAsiaTheme="minorEastAsia"/>
          <w:b/>
          <w:bCs/>
          <w:kern w:val="24"/>
        </w:rPr>
        <w:t>Association between SLC2A1 expression and the immune microenvironment in HCC</w:t>
      </w:r>
      <w:r>
        <w:rPr>
          <w:rFonts w:ascii="Calibri" w:hAnsi="Calibri" w:cs="Calibri" w:eastAsiaTheme="minorEastAsia"/>
          <w:kern w:val="24"/>
        </w:rPr>
        <w:t>.</w:t>
      </w:r>
      <w:r>
        <w:rPr>
          <w:rFonts w:ascii="Calibri" w:hAnsi="Calibri" w:cs="Calibri"/>
          <w:kern w:val="24"/>
        </w:rPr>
        <w:t xml:space="preserve"> </w:t>
      </w:r>
      <w:r>
        <w:rPr>
          <w:rFonts w:ascii="Calibri" w:hAnsi="Calibri" w:cs="Calibri" w:eastAsiaTheme="minorEastAsia"/>
          <w:kern w:val="24"/>
        </w:rPr>
        <w:t>(</w:t>
      </w:r>
      <w:r>
        <w:rPr>
          <w:rFonts w:ascii="Calibri" w:hAnsi="Calibri" w:cs="Calibri" w:eastAsiaTheme="minorEastAsia"/>
          <w:b/>
          <w:bCs/>
          <w:kern w:val="24"/>
        </w:rPr>
        <w:t>A</w:t>
      </w:r>
      <w:r>
        <w:rPr>
          <w:rFonts w:ascii="Calibri" w:hAnsi="Calibri" w:cs="Calibri" w:eastAsiaTheme="minorEastAsia"/>
          <w:kern w:val="24"/>
        </w:rPr>
        <w:t>)</w:t>
      </w:r>
      <w:r>
        <w:rPr>
          <w:rFonts w:ascii="Calibri" w:hAnsi="Calibri" w:cs="Calibri"/>
          <w:kern w:val="24"/>
        </w:rPr>
        <w:t xml:space="preserve"> </w:t>
      </w:r>
      <w:r>
        <w:rPr>
          <w:rFonts w:ascii="Calibri" w:hAnsi="Calibri" w:cs="Calibri" w:eastAsiaTheme="minorEastAsia"/>
          <w:kern w:val="24"/>
        </w:rPr>
        <w:t>High SLC2A1 expression is associated with increased infiltration of CD8⁺ T cells, activated memory CD4⁺ T cells, regulatory T cells (Tregs), macrophages, monocytes, neutrophils, and resting dendritic cells.</w:t>
      </w:r>
      <w:r>
        <w:rPr>
          <w:rFonts w:ascii="Calibri" w:hAnsi="Calibri" w:cs="Calibri"/>
          <w:kern w:val="24"/>
        </w:rPr>
        <w:t xml:space="preserve"> </w:t>
      </w:r>
      <w:r>
        <w:rPr>
          <w:rFonts w:ascii="Calibri" w:hAnsi="Calibri" w:cs="Calibri" w:eastAsiaTheme="minorEastAsia"/>
          <w:kern w:val="24"/>
        </w:rPr>
        <w:t>(</w:t>
      </w:r>
      <w:r>
        <w:rPr>
          <w:rFonts w:ascii="Calibri" w:hAnsi="Calibri" w:cs="Calibri" w:eastAsiaTheme="minorEastAsia"/>
          <w:b/>
          <w:bCs/>
          <w:kern w:val="24"/>
        </w:rPr>
        <w:t>B</w:t>
      </w:r>
      <w:r>
        <w:rPr>
          <w:rFonts w:ascii="Calibri" w:hAnsi="Calibri" w:cs="Calibri" w:eastAsiaTheme="minorEastAsia"/>
          <w:kern w:val="24"/>
        </w:rPr>
        <w:t>) Heatmap showing upregulation of genes involved in antigen processing and presentation, chemokine signaling, and leukocyte migration in SLC2A1-high tumors.</w:t>
      </w:r>
      <w:r>
        <w:rPr>
          <w:rFonts w:ascii="Calibri" w:hAnsi="Calibri" w:cs="Calibri"/>
          <w:kern w:val="24"/>
        </w:rPr>
        <w:t xml:space="preserve"> </w:t>
      </w:r>
      <w:r>
        <w:rPr>
          <w:rFonts w:ascii="Calibri" w:hAnsi="Calibri" w:cs="Calibri" w:eastAsiaTheme="minorEastAsia"/>
          <w:kern w:val="24"/>
        </w:rPr>
        <w:t>(</w:t>
      </w:r>
      <w:r>
        <w:rPr>
          <w:rFonts w:ascii="Calibri" w:hAnsi="Calibri" w:cs="Calibri"/>
          <w:b/>
          <w:bCs/>
          <w:kern w:val="24"/>
        </w:rPr>
        <w:t>C</w:t>
      </w:r>
      <w:r>
        <w:rPr>
          <w:rFonts w:ascii="Calibri" w:hAnsi="Calibri" w:cs="Calibri" w:eastAsiaTheme="minorEastAsia"/>
          <w:kern w:val="24"/>
        </w:rPr>
        <w:t>) Boxplots comparing the expression of immune checkpoint molecules (PD-L1, PD-L2, PD-1, LAG3, TIGIT) between SLC2A1-high and SLC2A1-low tumors.</w:t>
      </w:r>
      <w:r>
        <w:rPr>
          <w:rFonts w:ascii="Calibri" w:hAnsi="Calibri" w:cs="Calibri"/>
          <w:kern w:val="24"/>
        </w:rPr>
        <w:t xml:space="preserve"> </w:t>
      </w:r>
      <w:r>
        <w:rPr>
          <w:rFonts w:ascii="Calibri" w:hAnsi="Calibri" w:cs="Calibri" w:eastAsiaTheme="minorEastAsia"/>
          <w:kern w:val="24"/>
        </w:rPr>
        <w:t>(</w:t>
      </w:r>
      <w:r>
        <w:rPr>
          <w:rFonts w:ascii="Calibri" w:hAnsi="Calibri" w:cs="Calibri"/>
          <w:b/>
          <w:bCs/>
          <w:kern w:val="24"/>
        </w:rPr>
        <w:t>D</w:t>
      </w:r>
      <w:r>
        <w:rPr>
          <w:rFonts w:ascii="Calibri" w:hAnsi="Calibri" w:cs="Calibri" w:eastAsiaTheme="minorEastAsia"/>
          <w:kern w:val="24"/>
        </w:rPr>
        <w:t>)</w:t>
      </w:r>
      <w:r>
        <w:rPr>
          <w:rFonts w:ascii="Calibri" w:hAnsi="Calibri" w:cs="Calibri"/>
          <w:kern w:val="24"/>
        </w:rPr>
        <w:t xml:space="preserve"> </w:t>
      </w:r>
      <w:r>
        <w:rPr>
          <w:rFonts w:ascii="Calibri" w:hAnsi="Calibri" w:cs="Calibri" w:eastAsiaTheme="minorEastAsia"/>
          <w:kern w:val="24"/>
        </w:rPr>
        <w:t>Scatter plots illustrating the positive correlation between SLC2A1</w:t>
      </w:r>
      <w:r>
        <w:rPr>
          <w:rFonts w:ascii="Calibri" w:hAnsi="Calibri" w:cs="Calibri"/>
          <w:kern w:val="24"/>
        </w:rPr>
        <w:t xml:space="preserve"> </w:t>
      </w:r>
      <w:r>
        <w:rPr>
          <w:rFonts w:ascii="Calibri" w:hAnsi="Calibri" w:cs="Calibri" w:eastAsiaTheme="minorEastAsia"/>
          <w:kern w:val="24"/>
        </w:rPr>
        <w:t>expression and immune cell infiltration scores, especially for T cells.</w:t>
      </w:r>
    </w:p>
    <w:p w14:paraId="3C23D87E">
      <w:pPr>
        <w:spacing w:after="0"/>
        <w:jc w:val="both"/>
        <w:rPr>
          <w:rFonts w:ascii="Calibri" w:hAnsi="Calibri" w:cs="Calibri" w:eastAsiaTheme="minorEastAsia"/>
          <w:kern w:val="24"/>
        </w:rPr>
      </w:pPr>
    </w:p>
    <w:p w14:paraId="3C23D87F">
      <w:pPr>
        <w:pStyle w:val="9"/>
        <w:spacing w:beforeAutospacing="0" w:afterAutospacing="0"/>
        <w:jc w:val="both"/>
        <w:rPr>
          <w:rFonts w:ascii="Calibri" w:hAnsi="Calibri" w:cs="Calibri" w:eastAsiaTheme="minorEastAsia"/>
          <w:kern w:val="24"/>
        </w:rPr>
      </w:pPr>
      <w:r>
        <w:rPr>
          <w:rFonts w:ascii="Calibri" w:hAnsi="Calibri" w:cs="Calibri" w:eastAsiaTheme="minorEastAsia"/>
          <w:b/>
          <w:bCs/>
          <w:kern w:val="24"/>
        </w:rPr>
        <w:t>Figure 12:</w:t>
      </w:r>
      <w:r>
        <w:rPr>
          <w:rFonts w:ascii="Calibri" w:hAnsi="Calibri" w:cs="Calibri" w:eastAsiaTheme="minorEastAsia"/>
          <w:kern w:val="24"/>
        </w:rPr>
        <w:t xml:space="preserve"> </w:t>
      </w:r>
      <w:r>
        <w:rPr>
          <w:rFonts w:ascii="Calibri" w:hAnsi="Calibri" w:cs="Calibri" w:eastAsiaTheme="minorEastAsia"/>
          <w:b/>
          <w:bCs/>
          <w:kern w:val="24"/>
        </w:rPr>
        <w:t>Single-cell analysis of RAC1 expression and intercellular communication.</w:t>
      </w:r>
      <w:r>
        <w:rPr>
          <w:rFonts w:ascii="Calibri" w:hAnsi="Calibri" w:cs="Calibri" w:eastAsiaTheme="minorEastAsia"/>
          <w:kern w:val="24"/>
        </w:rPr>
        <w:t xml:space="preserve"> (</w:t>
      </w:r>
      <w:r>
        <w:rPr>
          <w:rFonts w:ascii="Calibri" w:hAnsi="Calibri" w:cs="Calibri" w:eastAsiaTheme="minorEastAsia"/>
          <w:b/>
          <w:bCs/>
          <w:kern w:val="24"/>
        </w:rPr>
        <w:t>A</w:t>
      </w:r>
      <w:r>
        <w:rPr>
          <w:rFonts w:ascii="Calibri" w:hAnsi="Calibri" w:cs="Calibri" w:eastAsiaTheme="minorEastAsia"/>
          <w:kern w:val="24"/>
        </w:rPr>
        <w:t>) UMAP plot showing RAC1 expression distribution across significant cell populations, with high expression in myeloid cells. (</w:t>
      </w:r>
      <w:r>
        <w:rPr>
          <w:rFonts w:ascii="Calibri" w:hAnsi="Calibri" w:cs="Calibri" w:eastAsiaTheme="minorEastAsia"/>
          <w:b/>
          <w:bCs/>
          <w:kern w:val="24"/>
        </w:rPr>
        <w:t>B</w:t>
      </w:r>
      <w:r>
        <w:rPr>
          <w:rFonts w:ascii="Calibri" w:hAnsi="Calibri" w:cs="Calibri" w:eastAsiaTheme="minorEastAsia"/>
          <w:kern w:val="24"/>
        </w:rPr>
        <w:t>) Ligand–receptor analysis reveals strong interactions of RAC1⁺ myeloid cells via axes such as MIF–</w:t>
      </w:r>
      <w:r>
        <w:rPr>
          <w:rFonts w:hint="eastAsia" w:ascii="Calibri" w:hAnsi="Calibri" w:cs="Calibri" w:eastAsiaTheme="minorEastAsia"/>
          <w:kern w:val="24"/>
        </w:rPr>
        <w:t xml:space="preserve"> (</w:t>
      </w:r>
      <w:r>
        <w:rPr>
          <w:rFonts w:ascii="Calibri" w:hAnsi="Calibri" w:cs="Calibri" w:eastAsiaTheme="minorEastAsia"/>
          <w:kern w:val="24"/>
        </w:rPr>
        <w:t>CD74</w:t>
      </w:r>
      <w:r>
        <w:rPr>
          <w:rFonts w:hint="eastAsia" w:ascii="Calibri" w:hAnsi="Calibri" w:cs="Calibri" w:eastAsiaTheme="minorEastAsia"/>
          <w:kern w:val="24"/>
        </w:rPr>
        <w:t>+</w:t>
      </w:r>
      <w:r>
        <w:rPr>
          <w:rFonts w:ascii="Calibri" w:hAnsi="Calibri" w:cs="Calibri" w:eastAsiaTheme="minorEastAsia"/>
          <w:kern w:val="24"/>
        </w:rPr>
        <w:t>CXCR4</w:t>
      </w:r>
      <w:r>
        <w:rPr>
          <w:rFonts w:hint="eastAsia" w:ascii="Calibri" w:hAnsi="Calibri" w:cs="Calibri" w:eastAsiaTheme="minorEastAsia"/>
          <w:kern w:val="24"/>
        </w:rPr>
        <w:t>)</w:t>
      </w:r>
      <w:r>
        <w:rPr>
          <w:rFonts w:ascii="Calibri" w:hAnsi="Calibri" w:cs="Calibri" w:eastAsiaTheme="minorEastAsia"/>
          <w:kern w:val="24"/>
        </w:rPr>
        <w:t>, MIF–</w:t>
      </w:r>
      <w:r>
        <w:rPr>
          <w:rFonts w:hint="eastAsia" w:ascii="Calibri" w:hAnsi="Calibri" w:cs="Calibri" w:eastAsiaTheme="minorEastAsia"/>
          <w:kern w:val="24"/>
        </w:rPr>
        <w:t xml:space="preserve"> (CD74</w:t>
      </w:r>
      <w:r>
        <w:rPr>
          <w:rFonts w:ascii="Calibri" w:hAnsi="Calibri" w:cs="Calibri" w:eastAsiaTheme="minorEastAsia"/>
          <w:kern w:val="24"/>
        </w:rPr>
        <w:t>–CD44</w:t>
      </w:r>
      <w:r>
        <w:rPr>
          <w:rFonts w:hint="eastAsia" w:ascii="Calibri" w:hAnsi="Calibri" w:cs="Calibri" w:eastAsiaTheme="minorEastAsia"/>
          <w:kern w:val="24"/>
        </w:rPr>
        <w:t>)</w:t>
      </w:r>
      <w:r>
        <w:rPr>
          <w:rFonts w:ascii="Calibri" w:hAnsi="Calibri" w:cs="Calibri" w:eastAsiaTheme="minorEastAsia"/>
          <w:kern w:val="24"/>
        </w:rPr>
        <w:t xml:space="preserve">, and </w:t>
      </w:r>
      <w:r>
        <w:rPr>
          <w:rFonts w:hint="eastAsia" w:ascii="Calibri" w:hAnsi="Calibri" w:cs="Calibri" w:eastAsiaTheme="minorEastAsia"/>
          <w:kern w:val="24"/>
        </w:rPr>
        <w:t>MDK-DCL</w:t>
      </w:r>
      <w:r>
        <w:rPr>
          <w:rFonts w:ascii="Calibri" w:hAnsi="Calibri" w:cs="Calibri" w:eastAsiaTheme="minorEastAsia"/>
          <w:kern w:val="24"/>
        </w:rPr>
        <w:t>. (</w:t>
      </w:r>
      <w:r>
        <w:rPr>
          <w:rFonts w:ascii="Calibri" w:hAnsi="Calibri" w:cs="Calibri" w:eastAsiaTheme="minorEastAsia"/>
          <w:b/>
          <w:bCs/>
          <w:kern w:val="24"/>
        </w:rPr>
        <w:t>C</w:t>
      </w:r>
      <w:r>
        <w:rPr>
          <w:rFonts w:ascii="Calibri" w:hAnsi="Calibri" w:cs="Calibri" w:eastAsiaTheme="minorEastAsia"/>
          <w:kern w:val="24"/>
        </w:rPr>
        <w:t xml:space="preserve">) Outgoing signaling highlights RAC1⁺ myeloid cells as major contributors to pathways including MIF, </w:t>
      </w:r>
      <w:r>
        <w:rPr>
          <w:rFonts w:hint="eastAsia" w:ascii="Calibri" w:hAnsi="Calibri" w:cs="Calibri" w:eastAsiaTheme="minorEastAsia"/>
          <w:kern w:val="24"/>
        </w:rPr>
        <w:t xml:space="preserve">MK, </w:t>
      </w:r>
      <w:r>
        <w:rPr>
          <w:rFonts w:ascii="Calibri" w:hAnsi="Calibri" w:cs="Calibri" w:eastAsiaTheme="minorEastAsia"/>
          <w:kern w:val="24"/>
        </w:rPr>
        <w:t xml:space="preserve">SPP1, </w:t>
      </w:r>
      <w:r>
        <w:rPr>
          <w:rFonts w:hint="eastAsia" w:ascii="Calibri" w:hAnsi="Calibri" w:cs="Calibri" w:eastAsiaTheme="minorEastAsia"/>
          <w:kern w:val="24"/>
        </w:rPr>
        <w:t>GDF, CALCR, and PDGF</w:t>
      </w:r>
      <w:r>
        <w:rPr>
          <w:rFonts w:ascii="Calibri" w:hAnsi="Calibri" w:cs="Calibri" w:eastAsiaTheme="minorEastAsia"/>
          <w:kern w:val="24"/>
        </w:rPr>
        <w:t>. (</w:t>
      </w:r>
      <w:r>
        <w:rPr>
          <w:rFonts w:ascii="Calibri" w:hAnsi="Calibri" w:cs="Calibri" w:eastAsiaTheme="minorEastAsia"/>
          <w:b/>
          <w:bCs/>
          <w:kern w:val="24"/>
        </w:rPr>
        <w:t>D</w:t>
      </w:r>
      <w:r>
        <w:rPr>
          <w:rFonts w:ascii="Calibri" w:hAnsi="Calibri" w:cs="Calibri" w:eastAsiaTheme="minorEastAsia"/>
          <w:kern w:val="24"/>
        </w:rPr>
        <w:t>) Tumor mutational burden (median ~1.7/Mb) is generally low with occasional hypermutated cases. (</w:t>
      </w:r>
      <w:r>
        <w:rPr>
          <w:rFonts w:ascii="Calibri" w:hAnsi="Calibri" w:cs="Calibri" w:eastAsiaTheme="minorEastAsia"/>
          <w:b/>
          <w:bCs/>
          <w:kern w:val="24"/>
        </w:rPr>
        <w:t>E</w:t>
      </w:r>
      <w:r>
        <w:rPr>
          <w:rFonts w:ascii="Calibri" w:hAnsi="Calibri" w:cs="Calibri" w:eastAsiaTheme="minorEastAsia"/>
          <w:kern w:val="24"/>
        </w:rPr>
        <w:t>) Network diagrams depict RAC1⁺ myeloid cells as communication hubs linking the immune and stromal compartments. (</w:t>
      </w:r>
      <w:r>
        <w:rPr>
          <w:rFonts w:ascii="Calibri" w:hAnsi="Calibri" w:cs="Calibri" w:eastAsiaTheme="minorEastAsia"/>
          <w:b/>
          <w:bCs/>
          <w:kern w:val="24"/>
        </w:rPr>
        <w:t>F</w:t>
      </w:r>
      <w:r>
        <w:rPr>
          <w:rFonts w:ascii="Calibri" w:hAnsi="Calibri" w:cs="Calibri" w:eastAsiaTheme="minorEastAsia"/>
          <w:kern w:val="24"/>
        </w:rPr>
        <w:t>) Oncoprints from two cohorts reveal frequent mutations in TP53, TTN, CTNNB1, and MUC16.</w:t>
      </w:r>
    </w:p>
    <w:p w14:paraId="3C23D880">
      <w:pPr>
        <w:spacing w:after="0"/>
        <w:jc w:val="both"/>
        <w:rPr>
          <w:rFonts w:ascii="Calibri" w:hAnsi="Calibri" w:cs="Calibri" w:eastAsiaTheme="minorEastAsia"/>
          <w:kern w:val="24"/>
          <w:lang w:eastAsia="zh-CN"/>
        </w:rPr>
      </w:pPr>
    </w:p>
    <w:p w14:paraId="3C23D881">
      <w:pPr>
        <w:pStyle w:val="9"/>
        <w:spacing w:beforeAutospacing="0" w:afterAutospacing="0"/>
        <w:jc w:val="both"/>
        <w:rPr>
          <w:rFonts w:ascii="Calibri" w:hAnsi="Calibri" w:cs="Calibri" w:eastAsiaTheme="minorEastAsia"/>
          <w:kern w:val="24"/>
        </w:rPr>
      </w:pPr>
      <w:r>
        <w:rPr>
          <w:rFonts w:ascii="Calibri" w:hAnsi="Calibri" w:cs="Calibri" w:eastAsiaTheme="minorEastAsia"/>
          <w:b/>
          <w:bCs/>
          <w:kern w:val="24"/>
        </w:rPr>
        <w:t>Figure 13: Single-cell landscape of SLC2A1 and intercellular communication.</w:t>
      </w:r>
      <w:r>
        <w:rPr>
          <w:rFonts w:ascii="Calibri" w:hAnsi="Calibri" w:cs="Calibri" w:eastAsiaTheme="minorEastAsia"/>
          <w:kern w:val="24"/>
        </w:rPr>
        <w:t> (</w:t>
      </w:r>
      <w:r>
        <w:rPr>
          <w:rFonts w:ascii="Calibri" w:hAnsi="Calibri" w:cs="Calibri" w:eastAsiaTheme="minorEastAsia"/>
          <w:b/>
          <w:bCs/>
          <w:kern w:val="24"/>
        </w:rPr>
        <w:t>A</w:t>
      </w:r>
      <w:r>
        <w:rPr>
          <w:rFonts w:ascii="Calibri" w:hAnsi="Calibri" w:cs="Calibri" w:eastAsiaTheme="minorEastAsia"/>
          <w:kern w:val="24"/>
        </w:rPr>
        <w:t>) UMAP plot showing SLC2A1 expression distribution across significant cell populations, with high expression in myeloid cells. (</w:t>
      </w:r>
      <w:r>
        <w:rPr>
          <w:rFonts w:ascii="Calibri" w:hAnsi="Calibri" w:cs="Calibri" w:eastAsiaTheme="minorEastAsia"/>
          <w:b/>
          <w:bCs/>
          <w:kern w:val="24"/>
        </w:rPr>
        <w:t>B</w:t>
      </w:r>
      <w:r>
        <w:rPr>
          <w:rFonts w:ascii="Calibri" w:hAnsi="Calibri" w:cs="Calibri" w:eastAsiaTheme="minorEastAsia"/>
          <w:kern w:val="24"/>
        </w:rPr>
        <w:t>) Ligand–receptor analysis highlights interactions such as MIF–</w:t>
      </w:r>
      <w:r>
        <w:rPr>
          <w:rFonts w:hint="eastAsia" w:ascii="Calibri" w:hAnsi="Calibri" w:cs="Calibri" w:eastAsiaTheme="minorEastAsia"/>
          <w:kern w:val="24"/>
        </w:rPr>
        <w:t>(</w:t>
      </w:r>
      <w:r>
        <w:rPr>
          <w:rFonts w:ascii="Calibri" w:hAnsi="Calibri" w:cs="Calibri" w:eastAsiaTheme="minorEastAsia"/>
          <w:kern w:val="24"/>
        </w:rPr>
        <w:t>CD74</w:t>
      </w:r>
      <w:r>
        <w:rPr>
          <w:rFonts w:hint="eastAsia" w:ascii="Calibri" w:hAnsi="Calibri" w:cs="Calibri" w:eastAsiaTheme="minorEastAsia"/>
          <w:kern w:val="24"/>
        </w:rPr>
        <w:t>-</w:t>
      </w:r>
      <w:r>
        <w:rPr>
          <w:rFonts w:ascii="Calibri" w:hAnsi="Calibri" w:cs="Calibri" w:eastAsiaTheme="minorEastAsia"/>
          <w:kern w:val="24"/>
        </w:rPr>
        <w:t>CXCR4</w:t>
      </w:r>
      <w:r>
        <w:rPr>
          <w:rFonts w:hint="eastAsia" w:ascii="Calibri" w:hAnsi="Calibri" w:cs="Calibri" w:eastAsiaTheme="minorEastAsia"/>
          <w:kern w:val="24"/>
        </w:rPr>
        <w:t>)</w:t>
      </w:r>
      <w:r>
        <w:rPr>
          <w:rFonts w:ascii="Calibri" w:hAnsi="Calibri" w:cs="Calibri" w:eastAsiaTheme="minorEastAsia"/>
          <w:kern w:val="24"/>
        </w:rPr>
        <w:t>, MIF–</w:t>
      </w:r>
      <w:r>
        <w:rPr>
          <w:rFonts w:hint="eastAsia" w:ascii="Calibri" w:hAnsi="Calibri" w:cs="Calibri" w:eastAsiaTheme="minorEastAsia"/>
          <w:kern w:val="24"/>
        </w:rPr>
        <w:t xml:space="preserve"> (CD74</w:t>
      </w:r>
      <w:r>
        <w:rPr>
          <w:rFonts w:ascii="Calibri" w:hAnsi="Calibri" w:cs="Calibri" w:eastAsiaTheme="minorEastAsia"/>
          <w:kern w:val="24"/>
        </w:rPr>
        <w:t>–CD44</w:t>
      </w:r>
      <w:r>
        <w:rPr>
          <w:rFonts w:hint="eastAsia" w:ascii="Calibri" w:hAnsi="Calibri" w:cs="Calibri" w:eastAsiaTheme="minorEastAsia"/>
          <w:kern w:val="24"/>
        </w:rPr>
        <w:t>)</w:t>
      </w:r>
      <w:r>
        <w:rPr>
          <w:rFonts w:ascii="Calibri" w:hAnsi="Calibri" w:cs="Calibri" w:eastAsiaTheme="minorEastAsia"/>
          <w:kern w:val="24"/>
        </w:rPr>
        <w:t xml:space="preserve">, and </w:t>
      </w:r>
      <w:r>
        <w:rPr>
          <w:rFonts w:hint="eastAsia" w:ascii="Calibri" w:hAnsi="Calibri" w:cs="Calibri" w:eastAsiaTheme="minorEastAsia"/>
          <w:kern w:val="24"/>
        </w:rPr>
        <w:t>MDK-DCL</w:t>
      </w:r>
      <w:r>
        <w:rPr>
          <w:rFonts w:ascii="Calibri" w:hAnsi="Calibri" w:cs="Calibri" w:eastAsiaTheme="minorEastAsia"/>
          <w:kern w:val="24"/>
        </w:rPr>
        <w:t>. (</w:t>
      </w:r>
      <w:r>
        <w:rPr>
          <w:rFonts w:ascii="Calibri" w:hAnsi="Calibri" w:cs="Calibri" w:eastAsiaTheme="minorEastAsia"/>
          <w:b/>
          <w:bCs/>
          <w:kern w:val="24"/>
        </w:rPr>
        <w:t>C</w:t>
      </w:r>
      <w:r>
        <w:rPr>
          <w:rFonts w:ascii="Calibri" w:hAnsi="Calibri" w:cs="Calibri" w:eastAsiaTheme="minorEastAsia"/>
          <w:kern w:val="24"/>
        </w:rPr>
        <w:t xml:space="preserve">) Outgoing signaling indicates SLC2A1⁺ myeloid cells as major senders across MIF, </w:t>
      </w:r>
      <w:r>
        <w:rPr>
          <w:rFonts w:hint="eastAsia" w:ascii="Calibri" w:hAnsi="Calibri" w:cs="Calibri" w:eastAsiaTheme="minorEastAsia"/>
          <w:kern w:val="24"/>
        </w:rPr>
        <w:t>MK, GDF, VISFATIN, VEGF, CALCR, PDGF, EGF, and CSF</w:t>
      </w:r>
      <w:r>
        <w:rPr>
          <w:rFonts w:ascii="Calibri" w:hAnsi="Calibri" w:cs="Calibri" w:eastAsiaTheme="minorEastAsia"/>
          <w:kern w:val="24"/>
        </w:rPr>
        <w:t>. (</w:t>
      </w:r>
      <w:r>
        <w:rPr>
          <w:rFonts w:ascii="Calibri" w:hAnsi="Calibri" w:cs="Calibri" w:eastAsiaTheme="minorEastAsia"/>
          <w:b/>
          <w:bCs/>
          <w:kern w:val="24"/>
        </w:rPr>
        <w:t>D</w:t>
      </w:r>
      <w:r>
        <w:rPr>
          <w:rFonts w:ascii="Calibri" w:hAnsi="Calibri" w:cs="Calibri" w:eastAsiaTheme="minorEastAsia"/>
          <w:kern w:val="24"/>
        </w:rPr>
        <w:t>) Tumor mutational burden distribution (median ~1.7/Mb). (</w:t>
      </w:r>
      <w:r>
        <w:rPr>
          <w:rFonts w:ascii="Calibri" w:hAnsi="Calibri" w:cs="Calibri" w:eastAsiaTheme="minorEastAsia"/>
          <w:b/>
          <w:bCs/>
          <w:kern w:val="24"/>
        </w:rPr>
        <w:t>E</w:t>
      </w:r>
      <w:r>
        <w:rPr>
          <w:rFonts w:ascii="Calibri" w:hAnsi="Calibri" w:cs="Calibri" w:eastAsiaTheme="minorEastAsia"/>
          <w:kern w:val="24"/>
        </w:rPr>
        <w:t>) Network diagrams show SLC2A1⁺ myeloid cells as communication hubs. (</w:t>
      </w:r>
      <w:r>
        <w:rPr>
          <w:rFonts w:ascii="Calibri" w:hAnsi="Calibri" w:cs="Calibri" w:eastAsiaTheme="minorEastAsia"/>
          <w:b/>
          <w:bCs/>
          <w:kern w:val="24"/>
        </w:rPr>
        <w:t>F</w:t>
      </w:r>
      <w:r>
        <w:rPr>
          <w:rFonts w:ascii="Calibri" w:hAnsi="Calibri" w:cs="Calibri" w:eastAsiaTheme="minorEastAsia"/>
          <w:kern w:val="24"/>
        </w:rPr>
        <w:t>) Oncoprints from two cohorts show frequent alterations in TP53, CTNNB1, TTN, and MUC16.</w:t>
      </w:r>
    </w:p>
    <w:p w14:paraId="3C23D882">
      <w:pPr>
        <w:pStyle w:val="9"/>
        <w:spacing w:beforeAutospacing="0" w:afterAutospacing="0"/>
        <w:jc w:val="both"/>
        <w:rPr>
          <w:rFonts w:ascii="Calibri" w:hAnsi="Calibri" w:cs="Calibri" w:eastAsiaTheme="minorEastAsia"/>
          <w:kern w:val="24"/>
        </w:rPr>
      </w:pPr>
    </w:p>
    <w:p w14:paraId="3C23D883">
      <w:pPr>
        <w:spacing w:after="0"/>
        <w:jc w:val="both"/>
        <w:rPr>
          <w:rFonts w:ascii="Calibri" w:hAnsi="Calibri" w:cs="Calibri" w:eastAsiaTheme="minorEastAsia"/>
          <w:kern w:val="24"/>
          <w:lang w:eastAsia="zh-CN"/>
        </w:rPr>
      </w:pPr>
      <w:r>
        <w:rPr>
          <w:rFonts w:ascii="Calibri" w:hAnsi="Calibri" w:cs="Calibri" w:eastAsiaTheme="minorEastAsia"/>
          <w:b/>
          <w:bCs/>
          <w:kern w:val="24"/>
          <w:lang w:eastAsia="zh-CN"/>
        </w:rPr>
        <w:t xml:space="preserve">Figure </w:t>
      </w:r>
      <w:r>
        <w:rPr>
          <w:rFonts w:ascii="Calibri" w:hAnsi="Calibri" w:cs="Calibri"/>
          <w:b/>
          <w:bCs/>
          <w:kern w:val="24"/>
          <w:lang w:eastAsia="zh-CN"/>
        </w:rPr>
        <w:t>14:</w:t>
      </w:r>
      <w:r>
        <w:rPr>
          <w:rFonts w:ascii="Calibri" w:hAnsi="Calibri" w:cs="Calibri" w:eastAsiaTheme="minorEastAsia"/>
          <w:kern w:val="24"/>
          <w:lang w:eastAsia="zh-CN"/>
        </w:rPr>
        <w:t xml:space="preserve"> </w:t>
      </w:r>
      <w:r>
        <w:rPr>
          <w:rFonts w:ascii="Calibri" w:hAnsi="Calibri" w:cs="Calibri"/>
          <w:b/>
          <w:bCs/>
          <w:lang w:eastAsia="zh-CN"/>
        </w:rPr>
        <w:t xml:space="preserve">The effects of RAC1 and SLC2A1 on the invasion of HCC Cells and the PI3K/AKT signaling pathway. </w:t>
      </w:r>
      <w:r>
        <w:rPr>
          <w:rFonts w:ascii="Calibri" w:hAnsi="Calibri" w:cs="Calibri" w:eastAsiaTheme="minorEastAsia"/>
          <w:kern w:val="24"/>
          <w:lang w:eastAsia="zh-CN"/>
        </w:rPr>
        <w:t>(</w:t>
      </w:r>
      <w:r>
        <w:rPr>
          <w:rFonts w:ascii="Calibri" w:hAnsi="Calibri" w:cs="Calibri" w:eastAsiaTheme="minorEastAsia"/>
          <w:b/>
          <w:bCs/>
          <w:kern w:val="24"/>
          <w:lang w:eastAsia="zh-CN"/>
        </w:rPr>
        <w:t>A</w:t>
      </w:r>
      <w:r>
        <w:rPr>
          <w:rFonts w:ascii="Calibri" w:hAnsi="Calibri" w:cs="Calibri" w:eastAsiaTheme="minorEastAsia"/>
          <w:kern w:val="24"/>
          <w:lang w:eastAsia="zh-CN"/>
        </w:rPr>
        <w:t>) Expression status of related proteins; (</w:t>
      </w:r>
      <w:r>
        <w:rPr>
          <w:rFonts w:ascii="Calibri" w:hAnsi="Calibri" w:cs="Calibri" w:eastAsiaTheme="minorEastAsia"/>
          <w:b/>
          <w:bCs/>
          <w:kern w:val="24"/>
          <w:lang w:eastAsia="zh-CN"/>
        </w:rPr>
        <w:t>B</w:t>
      </w:r>
      <w:r>
        <w:rPr>
          <w:rFonts w:ascii="Calibri" w:hAnsi="Calibri" w:cs="Calibri" w:eastAsiaTheme="minorEastAsia"/>
          <w:kern w:val="24"/>
          <w:lang w:eastAsia="zh-CN"/>
        </w:rPr>
        <w:t>) Statistical charts showing the gray values of related proteins; (</w:t>
      </w:r>
      <w:r>
        <w:rPr>
          <w:rFonts w:ascii="Calibri" w:hAnsi="Calibri" w:cs="Calibri"/>
          <w:b/>
          <w:bCs/>
          <w:kern w:val="24"/>
          <w:lang w:eastAsia="zh-CN"/>
        </w:rPr>
        <w:t>C–D</w:t>
      </w:r>
      <w:r>
        <w:rPr>
          <w:rFonts w:ascii="Calibri" w:hAnsi="Calibri" w:cs="Calibri" w:eastAsiaTheme="minorEastAsia"/>
          <w:kern w:val="24"/>
          <w:lang w:eastAsia="zh-CN"/>
        </w:rPr>
        <w:t xml:space="preserve">) Cell invasion experiment, </w:t>
      </w:r>
      <w:r>
        <w:rPr>
          <w:rFonts w:ascii="Calibri" w:hAnsi="Calibri" w:cs="Calibri" w:eastAsiaTheme="minorEastAsia"/>
          <w:i/>
          <w:iCs/>
          <w:kern w:val="24"/>
          <w:lang w:eastAsia="zh-CN"/>
        </w:rPr>
        <w:t>p</w:t>
      </w:r>
      <w:r>
        <w:rPr>
          <w:rFonts w:ascii="Calibri" w:hAnsi="Calibri" w:cs="Calibri" w:eastAsiaTheme="minorEastAsia"/>
          <w:kern w:val="24"/>
          <w:lang w:eastAsia="zh-CN"/>
        </w:rPr>
        <w:t xml:space="preserve"> &lt; 0.05, </w:t>
      </w:r>
      <w:r>
        <w:rPr>
          <w:rFonts w:ascii="Calibri" w:hAnsi="Calibri" w:cs="Calibri" w:eastAsiaTheme="minorEastAsia"/>
          <w:i/>
          <w:iCs/>
          <w:kern w:val="24"/>
          <w:lang w:eastAsia="zh-CN"/>
        </w:rPr>
        <w:t>p</w:t>
      </w:r>
      <w:r>
        <w:rPr>
          <w:rFonts w:ascii="Calibri" w:hAnsi="Calibri" w:cs="Calibri" w:eastAsiaTheme="minorEastAsia"/>
          <w:kern w:val="24"/>
          <w:lang w:eastAsia="zh-CN"/>
        </w:rPr>
        <w:t xml:space="preserve"> &lt; 0.01, </w:t>
      </w:r>
      <w:r>
        <w:rPr>
          <w:rFonts w:ascii="Calibri" w:hAnsi="Calibri" w:cs="Calibri" w:eastAsiaTheme="minorEastAsia"/>
          <w:i/>
          <w:iCs/>
          <w:kern w:val="24"/>
          <w:lang w:eastAsia="zh-CN"/>
        </w:rPr>
        <w:t>p</w:t>
      </w:r>
      <w:r>
        <w:rPr>
          <w:rFonts w:ascii="Calibri" w:hAnsi="Calibri" w:cs="Calibri" w:eastAsiaTheme="minorEastAsia"/>
          <w:kern w:val="24"/>
          <w:lang w:eastAsia="zh-CN"/>
        </w:rPr>
        <w:t xml:space="preserve"> &lt; 0.05.</w:t>
      </w:r>
    </w:p>
    <w:p w14:paraId="472C9F72">
      <w:pPr>
        <w:spacing w:after="0"/>
        <w:jc w:val="both"/>
        <w:rPr>
          <w:rFonts w:ascii="Calibri" w:hAnsi="Calibri" w:cs="Calibri" w:eastAsiaTheme="minorEastAsia"/>
          <w:kern w:val="24"/>
          <w:lang w:eastAsia="zh-CN"/>
        </w:rPr>
      </w:pPr>
    </w:p>
    <w:p w14:paraId="1ECFF8A6">
      <w:pPr>
        <w:spacing w:after="0"/>
        <w:jc w:val="both"/>
        <w:rPr>
          <w:rFonts w:ascii="Calibri" w:hAnsi="Calibri" w:cs="Calibri" w:eastAsiaTheme="minorEastAsia"/>
          <w:kern w:val="24"/>
          <w:lang w:eastAsia="zh-CN"/>
        </w:rPr>
      </w:pPr>
      <w:r>
        <w:rPr>
          <w:rFonts w:ascii="Calibri" w:hAnsi="Calibri" w:cs="Calibri" w:eastAsiaTheme="minorEastAsia"/>
          <w:b/>
          <w:bCs/>
          <w:kern w:val="24"/>
          <w:lang w:eastAsia="zh-CN"/>
        </w:rPr>
        <w:t>Table 1: SiRNA sequences.</w:t>
      </w:r>
      <w:r>
        <w:rPr>
          <w:rFonts w:ascii="Calibri" w:hAnsi="Calibri" w:cs="Calibri" w:eastAsiaTheme="minorEastAsia"/>
          <w:kern w:val="24"/>
          <w:lang w:eastAsia="zh-CN"/>
        </w:rPr>
        <w:t xml:space="preserve"> All the siRNAs used in this study are listed in the Table.</w:t>
      </w:r>
    </w:p>
    <w:p w14:paraId="3C23D884">
      <w:pPr>
        <w:spacing w:after="0"/>
        <w:jc w:val="both"/>
        <w:rPr>
          <w:rFonts w:ascii="Calibri" w:hAnsi="Calibri" w:cs="Calibri" w:eastAsiaTheme="minorEastAsia"/>
          <w:kern w:val="24"/>
          <w:lang w:eastAsia="zh-CN"/>
        </w:rPr>
      </w:pPr>
    </w:p>
    <w:p w14:paraId="3C23D886">
      <w:pPr>
        <w:spacing w:after="0"/>
        <w:jc w:val="both"/>
        <w:rPr>
          <w:rFonts w:ascii="Calibri" w:hAnsi="Calibri" w:cs="Calibri"/>
          <w:lang w:eastAsia="zh-CN"/>
        </w:rPr>
      </w:pPr>
      <w:r>
        <w:rPr>
          <w:rFonts w:ascii="Calibri" w:hAnsi="Calibri" w:cs="Calibri"/>
          <w:b/>
          <w:bCs/>
          <w:lang w:eastAsia="zh-CN"/>
        </w:rPr>
        <w:t xml:space="preserve">Supplementary Figure 1: Quality control and integration of single-cell RNA-seq data. </w:t>
      </w:r>
      <w:r>
        <w:rPr>
          <w:rFonts w:ascii="Calibri" w:hAnsi="Calibri" w:cs="Calibri"/>
          <w:lang w:eastAsia="zh-CN"/>
        </w:rPr>
        <w:t>(</w:t>
      </w:r>
      <w:r>
        <w:rPr>
          <w:rFonts w:ascii="Calibri" w:hAnsi="Calibri" w:cs="Calibri"/>
          <w:b/>
          <w:bCs/>
          <w:lang w:eastAsia="zh-CN"/>
        </w:rPr>
        <w:t>A</w:t>
      </w:r>
      <w:r>
        <w:rPr>
          <w:rFonts w:ascii="Calibri" w:hAnsi="Calibri" w:cs="Calibri"/>
          <w:lang w:eastAsia="zh-CN"/>
        </w:rPr>
        <w:t>) Quality-control metrics (nCount_RNA, nFeature_RNA, pMT, and pHB) across annotated cell populations. (</w:t>
      </w:r>
      <w:r>
        <w:rPr>
          <w:rFonts w:ascii="Calibri" w:hAnsi="Calibri" w:cs="Calibri"/>
          <w:b/>
          <w:bCs/>
          <w:lang w:eastAsia="zh-CN"/>
        </w:rPr>
        <w:t>B</w:t>
      </w:r>
      <w:r>
        <w:rPr>
          <w:rFonts w:ascii="Calibri" w:hAnsi="Calibri" w:cs="Calibri"/>
          <w:lang w:eastAsia="zh-CN"/>
        </w:rPr>
        <w:t>) UMAP visualization of Seurat clusters after quality control. (</w:t>
      </w:r>
      <w:r>
        <w:rPr>
          <w:rFonts w:ascii="Calibri" w:hAnsi="Calibri" w:cs="Calibri"/>
          <w:b/>
          <w:bCs/>
          <w:lang w:eastAsia="zh-CN"/>
        </w:rPr>
        <w:t>C</w:t>
      </w:r>
      <w:r>
        <w:rPr>
          <w:rFonts w:ascii="Calibri" w:hAnsi="Calibri" w:cs="Calibri"/>
          <w:lang w:eastAsia="zh-CN"/>
        </w:rPr>
        <w:t>) Harmony integration of samples colored by original identity, demonstrating batch correction. (</w:t>
      </w:r>
      <w:r>
        <w:rPr>
          <w:rFonts w:ascii="Calibri" w:hAnsi="Calibri" w:cs="Calibri"/>
          <w:b/>
          <w:bCs/>
          <w:lang w:eastAsia="zh-CN"/>
        </w:rPr>
        <w:t>D</w:t>
      </w:r>
      <w:r>
        <w:rPr>
          <w:rFonts w:ascii="Calibri" w:hAnsi="Calibri" w:cs="Calibri"/>
          <w:lang w:eastAsia="zh-CN"/>
        </w:rPr>
        <w:t>) PCA plot of integrated samples colored by original identity.</w:t>
      </w:r>
    </w:p>
    <w:p w14:paraId="33C7A814">
      <w:pPr>
        <w:spacing w:after="0"/>
        <w:jc w:val="both"/>
        <w:rPr>
          <w:rFonts w:ascii="Calibri" w:hAnsi="Calibri" w:cs="Calibri"/>
          <w:lang w:eastAsia="zh-CN"/>
        </w:rPr>
      </w:pPr>
    </w:p>
    <w:p w14:paraId="3C23D887">
      <w:pPr>
        <w:spacing w:after="0"/>
        <w:jc w:val="both"/>
        <w:rPr>
          <w:rFonts w:ascii="Calibri" w:hAnsi="Calibri" w:eastAsia="宋体" w:cs="Calibri"/>
        </w:rPr>
      </w:pPr>
      <w:r>
        <w:rPr>
          <w:rFonts w:ascii="Calibri" w:hAnsi="Calibri" w:eastAsia="AdvTTd3a5f740" w:cs="Calibri"/>
          <w:b/>
          <w:bCs/>
          <w:lang w:eastAsia="zh-CN" w:bidi="ar"/>
        </w:rPr>
        <w:t>DISCUSSION:</w:t>
      </w:r>
    </w:p>
    <w:p w14:paraId="3C23D888">
      <w:pPr>
        <w:spacing w:after="0"/>
        <w:jc w:val="both"/>
        <w:rPr>
          <w:rFonts w:ascii="Calibri" w:hAnsi="Calibri" w:cs="Calibri"/>
          <w:lang w:eastAsia="zh-CN"/>
        </w:rPr>
      </w:pPr>
      <w:r>
        <w:rPr>
          <w:rFonts w:ascii="Calibri" w:hAnsi="Calibri" w:cs="Calibri"/>
          <w:lang w:eastAsia="zh-CN"/>
        </w:rPr>
        <w:t>Hepatocellular carcinoma (HCC) remains one of the deadliest cancers globally, accounting for over 700,000 deaths annually</w:t>
      </w:r>
      <w:r>
        <w:rPr>
          <w:rFonts w:ascii="Calibri" w:hAnsi="Calibri" w:cs="Calibri"/>
          <w:vertAlign w:val="superscript"/>
          <w:lang w:eastAsia="zh-CN"/>
        </w:rPr>
        <w:t>26</w:t>
      </w:r>
      <w:r>
        <w:rPr>
          <w:rFonts w:ascii="Calibri" w:hAnsi="Calibri" w:cs="Calibri"/>
          <w:lang w:eastAsia="zh-CN"/>
        </w:rPr>
        <w:t>. Despite significant advancements in treatment modalities such as surgical resection, liver transplantation, and targeted therapies, the recurrence rate remains alarmingly high, with most patients experiencing relapse within two years</w:t>
      </w:r>
      <w:r>
        <w:rPr>
          <w:rFonts w:ascii="Calibri" w:hAnsi="Calibri" w:cs="Calibri"/>
          <w:vertAlign w:val="superscript"/>
          <w:lang w:eastAsia="zh-CN"/>
        </w:rPr>
        <w:t>27</w:t>
      </w:r>
      <w:r>
        <w:rPr>
          <w:rFonts w:ascii="Calibri" w:hAnsi="Calibri" w:cs="Calibri"/>
          <w:lang w:eastAsia="zh-CN"/>
        </w:rPr>
        <w:t>. This high recurrence rate underscores the profound therapeutic resistance and biological complexity that characterizes HCC. The disease’s molecular heterogeneity—fueled by chronic liver diseases such as viral hepatitis and cirrhosis—further complicates prognostic predictions and the development of effective treatments</w:t>
      </w:r>
      <w:r>
        <w:rPr>
          <w:rFonts w:ascii="Calibri" w:hAnsi="Calibri" w:cs="Calibri"/>
          <w:vertAlign w:val="superscript"/>
          <w:lang w:eastAsia="zh-CN"/>
        </w:rPr>
        <w:t>28</w:t>
      </w:r>
      <w:r>
        <w:rPr>
          <w:rFonts w:ascii="Calibri" w:hAnsi="Calibri" w:cs="Calibri"/>
          <w:lang w:eastAsia="zh-CN"/>
        </w:rPr>
        <w:t>. These challenges highlight an urgent need for reliable biomarkers and novel therapeutic strategies that can address tumor diversity and enhance patient outcomes. A deeper understanding of the molecular and cellular mechanisms driving HCC progression is therefore paramount for the advancement of precision medicine and the development of more targeted, personalized interventions.</w:t>
      </w:r>
    </w:p>
    <w:p w14:paraId="3C23D889">
      <w:pPr>
        <w:spacing w:after="0"/>
        <w:jc w:val="both"/>
        <w:rPr>
          <w:rFonts w:ascii="Calibri" w:hAnsi="Calibri" w:cs="Calibri"/>
          <w:lang w:eastAsia="zh-CN"/>
        </w:rPr>
      </w:pPr>
    </w:p>
    <w:p w14:paraId="3C23D88A">
      <w:pPr>
        <w:spacing w:after="0"/>
        <w:jc w:val="both"/>
        <w:rPr>
          <w:rFonts w:ascii="Calibri" w:hAnsi="Calibri" w:cs="Calibri"/>
          <w:lang w:eastAsia="zh-CN"/>
        </w:rPr>
      </w:pPr>
      <w:r>
        <w:rPr>
          <w:rFonts w:ascii="Calibri" w:hAnsi="Calibri" w:cs="Calibri"/>
          <w:lang w:eastAsia="zh-CN"/>
        </w:rPr>
        <w:t>In this study, the authors employed a comprehensive multimodal approach that integrates transcriptomic data, scRNA-seq, and advanced machine learning techniques. By combining these methodologies,the authors successfully identified key prognostic subtypes of HCC with enhanced predictive accuracy. The analysis revealed that the PI3K/AKT signaling pathway plays a central role in determining prognosis, with particular relevance to tumor-associated myeloid cell populations. This discovery underscores the importance of pathway-level dysregulation as a determinant of HCC progression and highlights the potential of computational approaches in refining risk stratification and identifying actionable therapeutic targets.</w:t>
      </w:r>
    </w:p>
    <w:p w14:paraId="3C23D88B">
      <w:pPr>
        <w:spacing w:after="0"/>
        <w:jc w:val="both"/>
        <w:rPr>
          <w:rFonts w:ascii="Calibri" w:hAnsi="Calibri" w:cs="Calibri"/>
          <w:lang w:eastAsia="zh-CN"/>
        </w:rPr>
      </w:pPr>
    </w:p>
    <w:p w14:paraId="3C23D88C">
      <w:pPr>
        <w:spacing w:after="0"/>
        <w:jc w:val="both"/>
        <w:rPr>
          <w:rFonts w:ascii="Calibri" w:hAnsi="Calibri" w:cs="Calibri"/>
          <w:lang w:eastAsia="zh-CN"/>
        </w:rPr>
      </w:pPr>
      <w:r>
        <w:rPr>
          <w:rFonts w:ascii="Calibri" w:hAnsi="Calibri" w:cs="Calibri"/>
          <w:lang w:eastAsia="zh-CN"/>
        </w:rPr>
        <w:t>The findings further demonstrate that aberrant activation of the PI3K/AKT pathway in myeloid cells drives a functional reprogramming within the TME. This pathway supports key processes such as cellular proliferation, metabolic adaptation, and immune evasion—mechanisms that collectively facilitate tumor progression and resistance to treatment</w:t>
      </w:r>
      <w:r>
        <w:rPr>
          <w:rFonts w:hint="eastAsia" w:ascii="Calibri" w:hAnsi="Calibri" w:cs="Calibri"/>
          <w:vertAlign w:val="superscript"/>
          <w:lang w:eastAsia="zh-CN"/>
        </w:rPr>
        <w:t>2</w:t>
      </w:r>
      <w:r>
        <w:rPr>
          <w:rFonts w:ascii="Calibri" w:hAnsi="Calibri" w:cs="Calibri"/>
          <w:vertAlign w:val="superscript"/>
          <w:lang w:eastAsia="zh-CN"/>
        </w:rPr>
        <w:t>9</w:t>
      </w:r>
      <w:r>
        <w:rPr>
          <w:rFonts w:ascii="Calibri" w:hAnsi="Calibri" w:cs="Calibri"/>
          <w:lang w:eastAsia="zh-CN"/>
        </w:rPr>
        <w:t>. Consistent with existing literature, the authors observed that myeloid-derived cells, including macrophages and dendritic cells, exhibit transcriptional activation of PI3K/AKT-associated genes, which suggests a shift toward immunosuppressive phenotypes that favor tumor growth</w:t>
      </w:r>
      <w:r>
        <w:rPr>
          <w:rFonts w:ascii="Calibri" w:hAnsi="Calibri" w:cs="Calibri"/>
          <w:vertAlign w:val="superscript"/>
          <w:lang w:eastAsia="zh-CN"/>
        </w:rPr>
        <w:t>30</w:t>
      </w:r>
      <w:r>
        <w:rPr>
          <w:rFonts w:ascii="Calibri" w:hAnsi="Calibri" w:cs="Calibri"/>
          <w:lang w:eastAsia="zh-CN"/>
        </w:rPr>
        <w:t>. Moreover, pseudotime analysis revealed that HCC-derived myeloid cells progress to terminally differentiated states, further reinforcing tumor-promoting functions</w:t>
      </w:r>
      <w:r>
        <w:rPr>
          <w:rFonts w:ascii="Calibri" w:hAnsi="Calibri" w:cs="Calibri"/>
          <w:vertAlign w:val="superscript"/>
          <w:lang w:eastAsia="zh-CN"/>
        </w:rPr>
        <w:t>31</w:t>
      </w:r>
      <w:r>
        <w:rPr>
          <w:rFonts w:ascii="Calibri" w:hAnsi="Calibri" w:cs="Calibri"/>
          <w:lang w:eastAsia="zh-CN"/>
        </w:rPr>
        <w:t>. These observations provide a compelling rationale for targeting PI3K/AKT signaling in myeloid cells to reprogram the TME, enhance anti-tumor immunity, and improve therapeutic outcomes.</w:t>
      </w:r>
    </w:p>
    <w:p w14:paraId="3C23D88D">
      <w:pPr>
        <w:spacing w:after="0"/>
        <w:jc w:val="both"/>
        <w:rPr>
          <w:rFonts w:ascii="Calibri" w:hAnsi="Calibri" w:cs="Calibri"/>
          <w:lang w:eastAsia="zh-CN"/>
        </w:rPr>
      </w:pPr>
    </w:p>
    <w:p w14:paraId="3C23D88E">
      <w:pPr>
        <w:spacing w:after="0"/>
        <w:jc w:val="both"/>
        <w:rPr>
          <w:rFonts w:ascii="Calibri" w:hAnsi="Calibri" w:cs="Calibri"/>
          <w:lang w:eastAsia="zh-CN"/>
        </w:rPr>
      </w:pPr>
      <w:r>
        <w:rPr>
          <w:rFonts w:ascii="Calibri" w:hAnsi="Calibri" w:cs="Calibri"/>
          <w:lang w:eastAsia="zh-CN"/>
        </w:rPr>
        <w:t>In addition to the PI3K/AKT pathway, the pathway analysis identified EMT and angiogenesis as critical processes contributing to the aggressiveness of HCC. EMT facilitates tumor cell invasion and metastasis, enabling cancer cells to detach from the primary tumor and colonize distant organs</w:t>
      </w:r>
      <w:r>
        <w:rPr>
          <w:rFonts w:ascii="Calibri" w:hAnsi="Calibri" w:cs="Calibri"/>
          <w:vertAlign w:val="superscript"/>
          <w:lang w:eastAsia="zh-CN"/>
        </w:rPr>
        <w:t>32,33</w:t>
      </w:r>
      <w:r>
        <w:rPr>
          <w:rFonts w:ascii="Calibri" w:hAnsi="Calibri" w:cs="Calibri"/>
          <w:lang w:eastAsia="zh-CN"/>
        </w:rPr>
        <w:t xml:space="preserve">. Angiogenesis, on the other hand, supports tumor growth by supplying oxygen and nutrients through the formation of new blood vessels. The data show that myeloid cells play a pivotal role in both of these processes—via the secretion of pro-angiogenic factors like VEGF and through their immunomodulatory functions that support EMT-driven metastatic potential. </w:t>
      </w:r>
    </w:p>
    <w:p w14:paraId="3C23D88F">
      <w:pPr>
        <w:spacing w:after="0"/>
        <w:jc w:val="both"/>
        <w:rPr>
          <w:rFonts w:ascii="Calibri" w:hAnsi="Calibri" w:cs="Calibri"/>
          <w:lang w:eastAsia="zh-CN"/>
        </w:rPr>
      </w:pPr>
    </w:p>
    <w:p w14:paraId="3C23D890">
      <w:pPr>
        <w:spacing w:after="0"/>
        <w:jc w:val="both"/>
        <w:rPr>
          <w:rFonts w:ascii="Calibri" w:hAnsi="Calibri" w:cs="Calibri"/>
          <w:lang w:eastAsia="zh-CN"/>
        </w:rPr>
      </w:pPr>
      <w:r>
        <w:rPr>
          <w:rFonts w:ascii="Calibri" w:hAnsi="Calibri" w:cs="Calibri"/>
          <w:lang w:eastAsia="zh-CN"/>
        </w:rPr>
        <w:t>Additionally, the authors identified two candidate prognostic biomarkers—RAC1 and SLC2A1—that are significantly associated with adverse survival outcomes in HCC. RAC1, a member of the Rho family of small GTPases, plays a pivotal role in cytoskeletal reorganization, EMT, and cell migration</w:t>
      </w:r>
      <w:r>
        <w:rPr>
          <w:rFonts w:ascii="Calibri" w:hAnsi="Calibri" w:cs="Calibri"/>
          <w:vertAlign w:val="superscript"/>
          <w:lang w:eastAsia="zh-CN"/>
        </w:rPr>
        <w:t>34</w:t>
      </w:r>
      <w:r>
        <w:rPr>
          <w:rFonts w:ascii="Calibri" w:hAnsi="Calibri" w:cs="Calibri"/>
          <w:lang w:eastAsia="zh-CN"/>
        </w:rPr>
        <w:t>. Aberrant activation of RAC1 has been linked to enhanced invasiveness, metastatic dissemination, and therapy resistance in multiple malignancies, including HCC, where elevated RAC1 expression correlates with poor prognosis and aggressive tumor phenotypes</w:t>
      </w:r>
      <w:r>
        <w:rPr>
          <w:rFonts w:ascii="Calibri" w:hAnsi="Calibri" w:cs="Calibri"/>
          <w:vertAlign w:val="superscript"/>
          <w:lang w:eastAsia="zh-CN"/>
        </w:rPr>
        <w:t>35</w:t>
      </w:r>
      <w:r>
        <w:rPr>
          <w:rFonts w:ascii="Calibri" w:hAnsi="Calibri" w:cs="Calibri"/>
          <w:lang w:eastAsia="zh-CN"/>
        </w:rPr>
        <w:t>. SLC2A1, a glucose transporter critical for aerobic glycolysis, supports the high metabolic demands of rapidly proliferating tumor cells</w:t>
      </w:r>
      <w:r>
        <w:rPr>
          <w:rFonts w:ascii="Calibri" w:hAnsi="Calibri" w:cs="Calibri"/>
          <w:vertAlign w:val="superscript"/>
          <w:lang w:eastAsia="zh-CN"/>
        </w:rPr>
        <w:t>36</w:t>
      </w:r>
      <w:r>
        <w:rPr>
          <w:rFonts w:ascii="Calibri" w:hAnsi="Calibri" w:cs="Calibri"/>
          <w:lang w:eastAsia="zh-CN"/>
        </w:rPr>
        <w:t>. Overexpression of SLC2A1 has been consistently observed in diverse cancers and is associated with hypoxia-driven metabolic adaptation, angiogenesis, and immune evasion. In HCC specifically, increased SLC2A1 expression has been correlated with tumor growth, microvascular invasion, and unfavorable clinical outcomes</w:t>
      </w:r>
      <w:r>
        <w:rPr>
          <w:rFonts w:ascii="Calibri" w:hAnsi="Calibri" w:cs="Calibri"/>
          <w:vertAlign w:val="superscript"/>
          <w:lang w:eastAsia="zh-CN"/>
        </w:rPr>
        <w:t>37</w:t>
      </w:r>
      <w:r>
        <w:rPr>
          <w:rFonts w:ascii="Calibri" w:hAnsi="Calibri" w:cs="Calibri"/>
          <w:lang w:eastAsia="zh-CN"/>
        </w:rPr>
        <w:t>. Collectively, the identification of RAC1 and SLC2A1 highlights complementary mechanisms—cytoskeletal remodeling and metabolic reprogramming—through which tumor cells interact with the immune microenvironment to drive disease progression and worsen patient prognosis.</w:t>
      </w:r>
    </w:p>
    <w:p w14:paraId="3C23D891">
      <w:pPr>
        <w:spacing w:after="0"/>
        <w:jc w:val="both"/>
        <w:rPr>
          <w:rFonts w:ascii="Calibri" w:hAnsi="Calibri" w:cs="Calibri"/>
          <w:lang w:eastAsia="zh-CN"/>
        </w:rPr>
      </w:pPr>
    </w:p>
    <w:p w14:paraId="3C23D892">
      <w:pPr>
        <w:spacing w:after="0"/>
        <w:jc w:val="both"/>
        <w:rPr>
          <w:rFonts w:ascii="Calibri" w:hAnsi="Calibri" w:cs="Calibri"/>
          <w:lang w:eastAsia="zh-CN"/>
        </w:rPr>
      </w:pPr>
      <w:r>
        <w:rPr>
          <w:rFonts w:ascii="Calibri" w:hAnsi="Calibri" w:cs="Calibri"/>
          <w:lang w:eastAsia="zh-CN"/>
        </w:rPr>
        <w:t>From an immunological perspective, the study provides valuable insights into the interactions between T cells, myeloid cells, and NK cells within the TME of HCC. CD8⁺ T cell infiltration has been positively correlated with improved prognosis; however, the function of these cells is often compromised by immune checkpoint upregulation and myeloid-driven immunosuppression</w:t>
      </w:r>
      <w:r>
        <w:rPr>
          <w:rFonts w:ascii="Calibri" w:hAnsi="Calibri" w:cs="Calibri"/>
          <w:vertAlign w:val="superscript"/>
          <w:lang w:eastAsia="zh-CN"/>
        </w:rPr>
        <w:t>38</w:t>
      </w:r>
      <w:r>
        <w:rPr>
          <w:rFonts w:ascii="Calibri" w:hAnsi="Calibri" w:cs="Calibri"/>
          <w:lang w:eastAsia="zh-CN"/>
        </w:rPr>
        <w:t>. Similarly, NK cell activity is frequently suppressed by inhibitory receptors within the TME</w:t>
      </w:r>
      <w:r>
        <w:rPr>
          <w:rFonts w:ascii="Calibri" w:hAnsi="Calibri" w:cs="Calibri"/>
          <w:vertAlign w:val="superscript"/>
          <w:lang w:eastAsia="zh-CN"/>
        </w:rPr>
        <w:t>38</w:t>
      </w:r>
      <w:r>
        <w:rPr>
          <w:rFonts w:ascii="Calibri" w:hAnsi="Calibri" w:cs="Calibri"/>
          <w:lang w:eastAsia="zh-CN"/>
        </w:rPr>
        <w:t>. These findings support the rationale for combination therapies that simultaneously block immune checkpoints and reprogram immunosuppressive myeloid populations, thereby enhancing the efficacy of current immunotherapeutic strategies.</w:t>
      </w:r>
    </w:p>
    <w:p w14:paraId="3C23D893">
      <w:pPr>
        <w:spacing w:after="0"/>
        <w:jc w:val="both"/>
        <w:rPr>
          <w:rFonts w:ascii="Calibri" w:hAnsi="Calibri" w:cs="Calibri"/>
          <w:lang w:eastAsia="zh-CN"/>
        </w:rPr>
      </w:pPr>
    </w:p>
    <w:p w14:paraId="3C23D894">
      <w:pPr>
        <w:spacing w:after="0"/>
        <w:jc w:val="both"/>
        <w:rPr>
          <w:rFonts w:ascii="Calibri" w:hAnsi="Calibri" w:cs="Calibri"/>
          <w:lang w:eastAsia="zh-CN"/>
        </w:rPr>
      </w:pPr>
      <w:r>
        <w:rPr>
          <w:rFonts w:ascii="Calibri" w:hAnsi="Calibri" w:cs="Calibri"/>
          <w:lang w:eastAsia="zh-CN"/>
        </w:rPr>
        <w:t>The multimodal single-cell analysis not only unveils a prognostic framework for HCC but also reveals the crucial role of myeloid subpopulation–</w:t>
      </w:r>
      <w:r>
        <w:t>associated</w:t>
      </w:r>
      <w:r>
        <w:rPr>
          <w:rFonts w:ascii="Calibri" w:hAnsi="Calibri" w:cs="Calibri"/>
          <w:lang w:eastAsia="zh-CN"/>
        </w:rPr>
        <w:t xml:space="preserve"> PI3K/AKT signaling in shaping the immune microenvironment and influencing clinical outcomes. By integrating transcriptomic data, single-cell profiling, and machine learning algorithms, the authors demonstrate the centrality of this pathway in driving tumor progression. The identification of EMT, angiogenesis, and specific prognostic biomarkers such as RAC1 and SLC2A1 further enriches the understanding of HCC biology. These findings have important therapeutic implications, suggesting that targeting the vulnerabilities of myeloid cell signaling and tumor–immune interactions could lead to more effective treatment strategies for HCC.</w:t>
      </w:r>
    </w:p>
    <w:p w14:paraId="3C23D895">
      <w:pPr>
        <w:spacing w:after="0"/>
        <w:jc w:val="both"/>
        <w:rPr>
          <w:rFonts w:ascii="Calibri" w:hAnsi="Calibri" w:cs="Calibri"/>
          <w:lang w:eastAsia="zh-CN"/>
        </w:rPr>
      </w:pPr>
    </w:p>
    <w:p w14:paraId="3C23D896">
      <w:pPr>
        <w:spacing w:after="0"/>
        <w:jc w:val="both"/>
        <w:rPr>
          <w:rFonts w:ascii="Calibri" w:hAnsi="Calibri" w:eastAsia="CharisSIL-Bold" w:cs="Calibri"/>
          <w:b/>
          <w:bCs/>
          <w:lang w:eastAsia="zh-CN" w:bidi="ar"/>
        </w:rPr>
      </w:pPr>
      <w:r>
        <w:rPr>
          <w:rFonts w:ascii="Calibri" w:hAnsi="Calibri" w:cs="Calibri"/>
          <w:lang w:eastAsia="zh-CN"/>
        </w:rPr>
        <w:t xml:space="preserve">Despite these strengths, several limitations warrant consideration. First, the study is based on retrospective datasets, and prospective clinical validation will be essential to confirm the prognostic utility of the identified biomarkers and pathways. Second, while the analyses suggest functional roles for PI3K/AKT signaling and associated genes in myeloid cell–mediated tumor progression, experimental studies are needed to establish causal relationships and elucidate underlying mechanisms. Third, the inherent variability in data quality and platform differences across cohorts may introduce bias, underscoring the need for harmonized, large-scale datasets. </w:t>
      </w:r>
      <w:r>
        <w:rPr>
          <w:rFonts w:hint="eastAsia" w:ascii="Calibri" w:hAnsi="Calibri" w:cs="Calibri"/>
          <w:lang w:eastAsia="zh-CN"/>
        </w:rPr>
        <w:t xml:space="preserve">Finally, due to time constraints, this study did not conduct further analysis of rescue experiments on the </w:t>
      </w:r>
      <w:r>
        <w:rPr>
          <w:rFonts w:ascii="Calibri" w:hAnsi="Calibri" w:cs="Calibri"/>
          <w:lang w:eastAsia="zh-CN"/>
        </w:rPr>
        <w:t>phosphate-specific PI3K/AKT pathway, which, to some extent,</w:t>
      </w:r>
      <w:r>
        <w:rPr>
          <w:rFonts w:hint="eastAsia" w:ascii="Calibri" w:hAnsi="Calibri" w:cs="Calibri"/>
          <w:lang w:eastAsia="zh-CN"/>
        </w:rPr>
        <w:t xml:space="preserve"> limited the reliability of this study. However, this is also the focus of future research. </w:t>
      </w:r>
      <w:r>
        <w:rPr>
          <w:rFonts w:ascii="Calibri" w:hAnsi="Calibri" w:cs="Calibri"/>
          <w:lang w:eastAsia="zh-CN"/>
        </w:rPr>
        <w:t>Addressing these limitations in future research will be critical for translating the findings into clinically actionable strategies. Collectively, the work advances the understanding of HCC biology, highlights the prognostic significance of myeloid subpopulation–driven signaling, and provides a framework for developing personalized therapeutic approaches in this challenging malignancy.</w:t>
      </w:r>
    </w:p>
    <w:p w14:paraId="3C23D897">
      <w:pPr>
        <w:spacing w:after="0"/>
        <w:jc w:val="both"/>
        <w:rPr>
          <w:rFonts w:ascii="Calibri" w:hAnsi="Calibri" w:cs="Calibri"/>
          <w:lang w:eastAsia="zh-CN"/>
        </w:rPr>
      </w:pPr>
    </w:p>
    <w:p w14:paraId="3C23D898">
      <w:pPr>
        <w:spacing w:after="0"/>
        <w:jc w:val="both"/>
        <w:rPr>
          <w:rFonts w:ascii="Calibri" w:hAnsi="Calibri" w:cs="Calibri"/>
          <w:lang w:eastAsia="zh-CN"/>
        </w:rPr>
      </w:pPr>
      <w:r>
        <w:rPr>
          <w:rFonts w:ascii="Calibri" w:hAnsi="Calibri" w:cs="Calibri"/>
          <w:lang w:eastAsia="zh-CN"/>
        </w:rPr>
        <w:t>In conclusion, this study establishes a comprehensive framework that integrates multi-omics profiling, single-cell transcriptomics, and machine learning to dissect the molecular heterogeneity of HCC. The authors identified the PI3K/AKT signaling axis as a key prognostic driver, particularly within tumor-associated myeloid subpopulations, and uncovered candidate biomarkers such as RAC1 and SLC2A1 that are strongly associated with adverse clinical outcomes. These findings not only highlight the pivotal role of immune–tumor interactions in shaping HCC progression but also provide mechanistic insights that may inform the development of targeted and combination therapies.</w:t>
      </w:r>
    </w:p>
    <w:p w14:paraId="3C23D899">
      <w:pPr>
        <w:spacing w:after="0"/>
        <w:jc w:val="both"/>
        <w:rPr>
          <w:rFonts w:ascii="Calibri" w:hAnsi="Calibri" w:eastAsia="宋体" w:cs="Calibri"/>
          <w:b/>
          <w:bCs/>
          <w:lang w:eastAsia="zh-CN" w:bidi="ar"/>
        </w:rPr>
      </w:pPr>
    </w:p>
    <w:p w14:paraId="3C23D89A">
      <w:pPr>
        <w:spacing w:after="0"/>
        <w:jc w:val="both"/>
        <w:rPr>
          <w:rFonts w:ascii="Calibri" w:hAnsi="Calibri" w:eastAsia="宋体" w:cs="Calibri"/>
          <w:b/>
          <w:bCs/>
          <w:lang w:eastAsia="zh-CN" w:bidi="ar"/>
        </w:rPr>
      </w:pPr>
      <w:r>
        <w:rPr>
          <w:rFonts w:ascii="Calibri" w:hAnsi="Calibri" w:eastAsia="宋体" w:cs="Calibri"/>
          <w:b/>
          <w:bCs/>
          <w:lang w:eastAsia="zh-CN" w:bidi="ar"/>
        </w:rPr>
        <w:t>ACKNOWLEDGEMENTS:</w:t>
      </w:r>
    </w:p>
    <w:p w14:paraId="3C23D89B">
      <w:pPr>
        <w:spacing w:after="0"/>
        <w:jc w:val="both"/>
        <w:rPr>
          <w:rFonts w:ascii="Calibri" w:hAnsi="Calibri" w:eastAsia="等线" w:cs="Calibri"/>
        </w:rPr>
      </w:pPr>
      <w:r>
        <w:rPr>
          <w:rFonts w:ascii="Calibri" w:hAnsi="Calibri" w:eastAsia="宋体" w:cs="Calibri"/>
          <w:lang w:eastAsia="zh-CN" w:bidi="ar"/>
        </w:rPr>
        <w:t xml:space="preserve">The authors sincerely thank related investigators for sharing the statistics included in this study. </w:t>
      </w:r>
      <w:r>
        <w:rPr>
          <w:rFonts w:ascii="Calibri" w:hAnsi="Calibri" w:eastAsia="等线" w:cs="Calibri"/>
        </w:rPr>
        <w:t>This study was financially supported by the Doctoral Research Fund of Henan Provincial Hospital of Traditional Chinese Medicine (2025BSJJ02).</w:t>
      </w:r>
    </w:p>
    <w:p w14:paraId="3C23D89C">
      <w:pPr>
        <w:spacing w:after="0"/>
        <w:jc w:val="both"/>
        <w:rPr>
          <w:rFonts w:ascii="Calibri" w:hAnsi="Calibri" w:cs="Calibri"/>
          <w:lang w:eastAsia="zh-CN"/>
        </w:rPr>
      </w:pPr>
    </w:p>
    <w:p w14:paraId="3C23D89D">
      <w:pPr>
        <w:spacing w:after="0"/>
        <w:jc w:val="both"/>
        <w:rPr>
          <w:rFonts w:ascii="Calibri" w:hAnsi="Calibri" w:cs="Calibri"/>
          <w:b/>
          <w:bCs/>
          <w:lang w:eastAsia="zh-CN"/>
        </w:rPr>
      </w:pPr>
      <w:r>
        <w:rPr>
          <w:rFonts w:ascii="Calibri" w:hAnsi="Calibri" w:cs="Calibri"/>
          <w:b/>
          <w:bCs/>
          <w:lang w:eastAsia="zh-CN"/>
        </w:rPr>
        <w:t>DISCLOSURES:</w:t>
      </w:r>
    </w:p>
    <w:p w14:paraId="3C23D89E">
      <w:pPr>
        <w:spacing w:after="0"/>
        <w:jc w:val="both"/>
        <w:rPr>
          <w:rFonts w:ascii="Calibri" w:hAnsi="Calibri" w:eastAsia="等线" w:cs="Calibri"/>
          <w:lang w:eastAsia="zh-CN"/>
        </w:rPr>
      </w:pPr>
      <w:r>
        <w:rPr>
          <w:rFonts w:ascii="Calibri" w:hAnsi="Calibri" w:eastAsia="等线" w:cs="Calibri"/>
        </w:rPr>
        <w:t>A previous version of this manuscript was deposited as a preprint on Research Square as part of Springer Nature's In Review service (DOI: </w:t>
      </w:r>
      <w:r>
        <w:fldChar w:fldCharType="begin"/>
      </w:r>
      <w:r>
        <w:instrText xml:space="preserve"> HYPERLINK "https://doi.org/10.21203/rs-3-7749421/v1" \t "http://127.0.0.1:18789/_blank" </w:instrText>
      </w:r>
      <w:r>
        <w:fldChar w:fldCharType="separate"/>
      </w:r>
      <w:r>
        <w:rPr>
          <w:rFonts w:ascii="Calibri" w:hAnsi="Calibri" w:eastAsia="等线" w:cs="Calibri"/>
        </w:rPr>
        <w:t>https://doi.org/10.21203/rs-3-7749421/v1</w:t>
      </w:r>
      <w:r>
        <w:rPr>
          <w:rFonts w:ascii="Calibri" w:hAnsi="Calibri" w:eastAsia="等线" w:cs="Calibri"/>
        </w:rPr>
        <w:fldChar w:fldCharType="end"/>
      </w:r>
      <w:r>
        <w:rPr>
          <w:rFonts w:ascii="Calibri" w:hAnsi="Calibri" w:eastAsia="等线" w:cs="Calibri"/>
        </w:rPr>
        <w:t>). The preprint has not been peer-reviewed. The current manuscript has been substantially revised from the preprint version.</w:t>
      </w:r>
    </w:p>
    <w:p w14:paraId="3C23D89F">
      <w:pPr>
        <w:spacing w:after="0"/>
        <w:jc w:val="both"/>
        <w:rPr>
          <w:rFonts w:ascii="Calibri" w:hAnsi="Calibri" w:eastAsia="宋体" w:cs="Calibri"/>
          <w:lang w:eastAsia="zh-CN" w:bidi="ar"/>
        </w:rPr>
      </w:pPr>
    </w:p>
    <w:p w14:paraId="3C23D8A0">
      <w:pPr>
        <w:spacing w:after="0"/>
        <w:jc w:val="both"/>
        <w:rPr>
          <w:rFonts w:ascii="Calibri" w:hAnsi="Calibri" w:eastAsia="MyriadPro-Semibold" w:cs="Calibri"/>
          <w:b/>
          <w:bCs/>
          <w:lang w:eastAsia="zh-CN" w:bidi="ar"/>
        </w:rPr>
      </w:pPr>
      <w:r>
        <w:rPr>
          <w:rFonts w:ascii="Calibri" w:hAnsi="Calibri" w:eastAsia="MyriadPro-Semibold" w:cs="Calibri"/>
          <w:b/>
          <w:bCs/>
          <w:lang w:eastAsia="zh-CN" w:bidi="ar"/>
        </w:rPr>
        <w:t xml:space="preserve">AUTHORS' CONTRIBUTIONS: </w:t>
      </w:r>
    </w:p>
    <w:p w14:paraId="3C23D8A1">
      <w:pPr>
        <w:spacing w:after="0"/>
        <w:jc w:val="both"/>
        <w:rPr>
          <w:rFonts w:ascii="Calibri" w:hAnsi="Calibri" w:cs="Calibri"/>
          <w:lang w:eastAsia="zh-CN"/>
        </w:rPr>
      </w:pPr>
      <w:r>
        <w:rPr>
          <w:rFonts w:ascii="Calibri" w:hAnsi="Calibri" w:cs="Calibri"/>
          <w:lang w:eastAsia="zh-CN"/>
        </w:rPr>
        <w:t>Zhen Ma conceived and proposed the idea, designed and developed the framework. Shifan Zhou, Chaofeng Zhou,</w:t>
      </w:r>
      <w:r>
        <w:rPr>
          <w:rFonts w:ascii="Calibri" w:hAnsi="Calibri" w:cs="Calibri"/>
          <w:vertAlign w:val="superscript"/>
          <w:lang w:eastAsia="zh-CN"/>
        </w:rPr>
        <w:t xml:space="preserve"> </w:t>
      </w:r>
      <w:r>
        <w:rPr>
          <w:rFonts w:ascii="Calibri" w:hAnsi="Calibri" w:cs="Calibri"/>
          <w:lang w:eastAsia="zh-CN"/>
        </w:rPr>
        <w:t>and Zheng Duan performed the experiments and analyzed the data. Keke Zhang visualized the data. Zhizhong Guo contributed to editing and proofreading the manuscript. All authors read and approved the final manuscript.</w:t>
      </w:r>
    </w:p>
    <w:p w14:paraId="3C23D8A2">
      <w:pPr>
        <w:topLinePunct/>
        <w:autoSpaceDE w:val="0"/>
        <w:spacing w:after="0"/>
        <w:jc w:val="both"/>
        <w:rPr>
          <w:rFonts w:ascii="Calibri" w:hAnsi="Calibri" w:eastAsia="Helvetica" w:cs="Calibri"/>
          <w:lang w:eastAsia="zh-CN"/>
        </w:rPr>
      </w:pPr>
    </w:p>
    <w:p w14:paraId="3C23D8A3">
      <w:pPr>
        <w:spacing w:after="0"/>
        <w:jc w:val="both"/>
        <w:rPr>
          <w:rFonts w:ascii="Calibri" w:hAnsi="Calibri" w:cs="Calibri"/>
        </w:rPr>
      </w:pPr>
      <w:r>
        <w:rPr>
          <w:rFonts w:ascii="Calibri" w:hAnsi="Calibri" w:eastAsia="CharisSIL-Bold" w:cs="Calibri"/>
          <w:b/>
          <w:bCs/>
          <w:lang w:eastAsia="zh-CN" w:bidi="ar"/>
        </w:rPr>
        <w:t>REFERENCES:</w:t>
      </w:r>
    </w:p>
    <w:bookmarkEnd w:id="2"/>
    <w:p w14:paraId="3C23D8A4">
      <w:pPr>
        <w:pStyle w:val="9"/>
        <w:numPr>
          <w:ilvl w:val="0"/>
          <w:numId w:val="1"/>
        </w:numPr>
        <w:spacing w:beforeAutospacing="0" w:afterAutospacing="0"/>
        <w:ind w:left="0" w:firstLine="0"/>
        <w:jc w:val="both"/>
        <w:rPr>
          <w:rFonts w:ascii="Calibri" w:hAnsi="Calibri" w:cs="Calibri"/>
        </w:rPr>
      </w:pPr>
      <w:r>
        <w:rPr>
          <w:rFonts w:ascii="Calibri" w:hAnsi="Calibri" w:cs="Calibri"/>
        </w:rPr>
        <w:t>Mandair DS, Rossi RE, Pericleous M, Whyand T, Caplin M. The impact of diet and nutrition in the prevention and progression of hepatocellular carcinoma. Expert Rev Gastroenterol Hepatol. 2014;8(4):369-382.</w:t>
      </w:r>
    </w:p>
    <w:p w14:paraId="3C23D8A5">
      <w:pPr>
        <w:pStyle w:val="9"/>
        <w:numPr>
          <w:ilvl w:val="0"/>
          <w:numId w:val="1"/>
        </w:numPr>
        <w:spacing w:beforeAutospacing="0" w:afterAutospacing="0"/>
        <w:ind w:left="0" w:firstLine="0"/>
        <w:jc w:val="both"/>
        <w:rPr>
          <w:rFonts w:ascii="Calibri" w:hAnsi="Calibri" w:cs="Calibri"/>
        </w:rPr>
      </w:pPr>
      <w:r>
        <w:rPr>
          <w:rFonts w:ascii="Calibri" w:hAnsi="Calibri" w:cs="Calibri"/>
        </w:rPr>
        <w:t>Soliman MS, Soliman YY, Ahmad Q, Yarlagadda R. An unfortunate failure: multifocal hepatocellular carcinoma in a non-cirrhotic patient with chronic hepatitis C treated with ledipasvir/sofosbuvir. J Community Hosp Intern Med Perspect. 2018;8(3):167-169.</w:t>
      </w:r>
    </w:p>
    <w:p w14:paraId="3C23D8A6">
      <w:pPr>
        <w:pStyle w:val="9"/>
        <w:numPr>
          <w:ilvl w:val="0"/>
          <w:numId w:val="1"/>
        </w:numPr>
        <w:spacing w:beforeAutospacing="0" w:afterAutospacing="0"/>
        <w:ind w:left="0" w:firstLine="0"/>
        <w:jc w:val="both"/>
        <w:rPr>
          <w:rFonts w:ascii="Calibri" w:hAnsi="Calibri" w:cs="Calibri"/>
        </w:rPr>
      </w:pPr>
      <w:r>
        <w:rPr>
          <w:rFonts w:ascii="Calibri" w:hAnsi="Calibri" w:cs="Calibri"/>
        </w:rPr>
        <w:t>Maillard E. Epidemiology, natural history, and pathogenesis of hepatocellular carcinoma. Cancer Radiother. 2011;15(1):3-6.</w:t>
      </w:r>
    </w:p>
    <w:p w14:paraId="3C23D8A7">
      <w:pPr>
        <w:pStyle w:val="9"/>
        <w:numPr>
          <w:ilvl w:val="0"/>
          <w:numId w:val="1"/>
        </w:numPr>
        <w:spacing w:beforeAutospacing="0" w:afterAutospacing="0"/>
        <w:ind w:left="0" w:firstLine="0"/>
        <w:jc w:val="both"/>
        <w:rPr>
          <w:rFonts w:ascii="Calibri" w:hAnsi="Calibri" w:cs="Calibri"/>
        </w:rPr>
      </w:pPr>
      <w:r>
        <w:rPr>
          <w:rFonts w:ascii="Calibri" w:hAnsi="Calibri" w:cs="Calibri"/>
        </w:rPr>
        <w:t>Thannickal VJ, Fanburg BL. Reactive oxygen species in cell signaling. Am J Physiol Lung Cell Mol Physiol. 2000;279(6):L1005-L1028.</w:t>
      </w:r>
    </w:p>
    <w:p w14:paraId="3C23D8A8">
      <w:pPr>
        <w:pStyle w:val="9"/>
        <w:numPr>
          <w:ilvl w:val="0"/>
          <w:numId w:val="1"/>
        </w:numPr>
        <w:spacing w:beforeAutospacing="0" w:afterAutospacing="0"/>
        <w:ind w:left="0" w:firstLine="0"/>
        <w:jc w:val="both"/>
        <w:rPr>
          <w:rFonts w:ascii="Calibri" w:hAnsi="Calibri" w:cs="Calibri"/>
        </w:rPr>
      </w:pPr>
      <w:r>
        <w:rPr>
          <w:rFonts w:ascii="Calibri" w:hAnsi="Calibri" w:cs="Calibri"/>
        </w:rPr>
        <w:t>Phoyen S, Sanpavat A, Ma-On C, et al. H4K20me3 upregulated by reactive oxygen species is associated with tumor progression and poor prognosis in patients with hepatocellular carcinoma. Heliyon. 2023;9(12):e22589.</w:t>
      </w:r>
    </w:p>
    <w:p w14:paraId="3C23D8A9">
      <w:pPr>
        <w:pStyle w:val="9"/>
        <w:numPr>
          <w:ilvl w:val="0"/>
          <w:numId w:val="1"/>
        </w:numPr>
        <w:spacing w:beforeAutospacing="0" w:afterAutospacing="0"/>
        <w:ind w:left="0" w:firstLine="0"/>
        <w:jc w:val="both"/>
        <w:rPr>
          <w:rFonts w:ascii="Calibri" w:hAnsi="Calibri" w:cs="Calibri"/>
        </w:rPr>
      </w:pPr>
      <w:r>
        <w:rPr>
          <w:rFonts w:ascii="Calibri" w:hAnsi="Calibri" w:cs="Calibri"/>
        </w:rPr>
        <w:t>Yin Z, Ma T, Chen S, Yu M. Identification of therapeutic targets and prognostic biomarkers among CXC chemokines in hepatocellular carcinoma microenvironment. Cancer Biomark. 2023;36(3):231-250.</w:t>
      </w:r>
    </w:p>
    <w:p w14:paraId="3C23D8AA">
      <w:pPr>
        <w:pStyle w:val="9"/>
        <w:numPr>
          <w:ilvl w:val="0"/>
          <w:numId w:val="1"/>
        </w:numPr>
        <w:spacing w:beforeAutospacing="0" w:afterAutospacing="0"/>
        <w:ind w:left="0" w:firstLine="0"/>
        <w:jc w:val="both"/>
        <w:rPr>
          <w:rFonts w:ascii="Calibri" w:hAnsi="Calibri" w:cs="Calibri"/>
        </w:rPr>
      </w:pPr>
      <w:r>
        <w:rPr>
          <w:rFonts w:ascii="Calibri" w:hAnsi="Calibri" w:cs="Calibri"/>
        </w:rPr>
        <w:t>Li X, Zhao J, Dou L, Wen Y, Cheng K. Integrated single cell analysis reveals an atlas of tumor-associated macrophages in hepatocellular carcinoma. Inflammation. 2024;47(6):2077-2093.</w:t>
      </w:r>
    </w:p>
    <w:p w14:paraId="3C23D8AB">
      <w:pPr>
        <w:pStyle w:val="9"/>
        <w:numPr>
          <w:ilvl w:val="0"/>
          <w:numId w:val="1"/>
        </w:numPr>
        <w:spacing w:beforeAutospacing="0" w:afterAutospacing="0"/>
        <w:ind w:left="0" w:firstLine="0"/>
        <w:jc w:val="both"/>
        <w:rPr>
          <w:rFonts w:ascii="Calibri" w:hAnsi="Calibri" w:cs="Calibri"/>
        </w:rPr>
      </w:pPr>
      <w:r>
        <w:rPr>
          <w:rFonts w:ascii="Calibri" w:hAnsi="Calibri" w:cs="Calibri"/>
        </w:rPr>
        <w:t>Yang X, Deng B, Zhao W, et al. FABP5+ lipid-loaded macrophages process tumor-derived unsaturated fatty acid signal to suppress T-cell antitumor immunity. J Hepatol. 2025;82(4):676-689.</w:t>
      </w:r>
    </w:p>
    <w:p w14:paraId="3C23D8AC">
      <w:pPr>
        <w:pStyle w:val="9"/>
        <w:numPr>
          <w:ilvl w:val="0"/>
          <w:numId w:val="1"/>
        </w:numPr>
        <w:spacing w:beforeAutospacing="0" w:afterAutospacing="0"/>
        <w:ind w:left="0" w:firstLine="0"/>
        <w:jc w:val="both"/>
        <w:rPr>
          <w:rFonts w:ascii="Calibri" w:hAnsi="Calibri" w:cs="Calibri"/>
        </w:rPr>
      </w:pPr>
      <w:r>
        <w:rPr>
          <w:rFonts w:ascii="Calibri" w:hAnsi="Calibri" w:cs="Calibri"/>
        </w:rPr>
        <w:t xml:space="preserve">Tang W, Sun G, Ji GW, et al. Single-cell RNA-sequencing atlas reveals an FABP1-dependent immunosuppressive environment in hepatocellular carcinoma. J Immunother Cancer. 2023;11(11):e007030. </w:t>
      </w:r>
    </w:p>
    <w:p w14:paraId="3C23D8AD">
      <w:pPr>
        <w:pStyle w:val="9"/>
        <w:numPr>
          <w:ilvl w:val="0"/>
          <w:numId w:val="1"/>
        </w:numPr>
        <w:spacing w:beforeAutospacing="0" w:afterAutospacing="0"/>
        <w:ind w:left="0" w:firstLine="0"/>
        <w:jc w:val="both"/>
        <w:rPr>
          <w:rFonts w:ascii="Calibri" w:hAnsi="Calibri" w:cs="Calibri"/>
        </w:rPr>
      </w:pPr>
      <w:r>
        <w:rPr>
          <w:rFonts w:ascii="Calibri" w:hAnsi="Calibri" w:cs="Calibri"/>
        </w:rPr>
        <w:t xml:space="preserve">Sung PS. Crosstalk between tumor-associated macrophages and neighboring cells in hepatocellular carcinoma. Clin Mol Hepatol. 2022;28(3):333-350. </w:t>
      </w:r>
    </w:p>
    <w:p w14:paraId="3C23D8AE">
      <w:pPr>
        <w:pStyle w:val="9"/>
        <w:numPr>
          <w:ilvl w:val="0"/>
          <w:numId w:val="1"/>
        </w:numPr>
        <w:spacing w:beforeAutospacing="0" w:afterAutospacing="0"/>
        <w:ind w:left="0" w:firstLine="0"/>
        <w:jc w:val="both"/>
        <w:rPr>
          <w:rFonts w:ascii="Calibri" w:hAnsi="Calibri" w:cs="Calibri"/>
        </w:rPr>
      </w:pPr>
      <w:r>
        <w:rPr>
          <w:rFonts w:ascii="Calibri" w:hAnsi="Calibri" w:cs="Calibri"/>
        </w:rPr>
        <w:t>De Cicco P, Ercolano G, Ianaro A. The new era of cancer immunotherapy: targeting myeloid-derived suppressor cells to overcome immune evasion. Front Immunol. 2020;11:1680.</w:t>
      </w:r>
    </w:p>
    <w:p w14:paraId="3C23D8AF">
      <w:pPr>
        <w:pStyle w:val="9"/>
        <w:numPr>
          <w:ilvl w:val="0"/>
          <w:numId w:val="1"/>
        </w:numPr>
        <w:spacing w:beforeAutospacing="0" w:afterAutospacing="0"/>
        <w:ind w:left="0" w:firstLine="0"/>
        <w:jc w:val="both"/>
        <w:rPr>
          <w:rFonts w:ascii="Calibri" w:hAnsi="Calibri" w:cs="Calibri"/>
        </w:rPr>
      </w:pPr>
      <w:r>
        <w:rPr>
          <w:rFonts w:ascii="Calibri" w:hAnsi="Calibri" w:cs="Calibri"/>
        </w:rPr>
        <w:t>Mo Y, Zou Z, Chen E. Research progress on the regulation of ferroptosis in tumor immunity in hepatocellular carcinoma. Zhejiang Da Xue Xue Bao Yi Xue Ban. 2024;53(6):715-725.</w:t>
      </w:r>
    </w:p>
    <w:p w14:paraId="3C23D8B0">
      <w:pPr>
        <w:pStyle w:val="9"/>
        <w:numPr>
          <w:ilvl w:val="0"/>
          <w:numId w:val="1"/>
        </w:numPr>
        <w:spacing w:beforeAutospacing="0" w:afterAutospacing="0"/>
        <w:ind w:left="0" w:firstLine="0"/>
        <w:jc w:val="both"/>
        <w:rPr>
          <w:rFonts w:ascii="Calibri" w:hAnsi="Calibri" w:cs="Calibri"/>
        </w:rPr>
      </w:pPr>
      <w:r>
        <w:rPr>
          <w:rFonts w:ascii="Calibri" w:hAnsi="Calibri" w:cs="Calibri"/>
        </w:rPr>
        <w:t>Yuan H, Liang X, Zhang X, Cao Y. Single-cell transcriptomes reveal cell-type-specific and sample-specific gene function in human cancer. Heliyon. 2025;11(3):e42218.</w:t>
      </w:r>
    </w:p>
    <w:p w14:paraId="3C23D8B1">
      <w:pPr>
        <w:pStyle w:val="9"/>
        <w:numPr>
          <w:ilvl w:val="0"/>
          <w:numId w:val="1"/>
        </w:numPr>
        <w:spacing w:beforeAutospacing="0" w:afterAutospacing="0"/>
        <w:ind w:left="0" w:firstLine="0"/>
        <w:jc w:val="both"/>
        <w:rPr>
          <w:rFonts w:ascii="Calibri" w:hAnsi="Calibri" w:cs="Calibri"/>
        </w:rPr>
      </w:pPr>
      <w:r>
        <w:rPr>
          <w:rFonts w:ascii="Calibri" w:hAnsi="Calibri" w:cs="Calibri"/>
          <w:lang w:val="pt-BR"/>
        </w:rPr>
        <w:t xml:space="preserve">Herrero J, Díaz-Uriarte R, Dopazo J. Gene expression data preprocessing. </w:t>
      </w:r>
      <w:r>
        <w:rPr>
          <w:rFonts w:ascii="Calibri" w:hAnsi="Calibri" w:cs="Calibri"/>
        </w:rPr>
        <w:t>Bioinformatics. 2003;19(5):655-656.</w:t>
      </w:r>
    </w:p>
    <w:p w14:paraId="3C23D8B2">
      <w:pPr>
        <w:pStyle w:val="9"/>
        <w:numPr>
          <w:ilvl w:val="0"/>
          <w:numId w:val="1"/>
        </w:numPr>
        <w:spacing w:beforeAutospacing="0" w:afterAutospacing="0"/>
        <w:ind w:left="0" w:firstLine="0"/>
        <w:jc w:val="both"/>
        <w:rPr>
          <w:rFonts w:ascii="Calibri" w:hAnsi="Calibri" w:cs="Calibri"/>
        </w:rPr>
      </w:pPr>
      <w:r>
        <w:rPr>
          <w:rFonts w:ascii="Calibri" w:hAnsi="Calibri" w:cs="Calibri"/>
        </w:rPr>
        <w:t>Wang D, Lin D, Yang X, et al. Alterations in leukocyte telomere length and mitochondrial DNA copy number in benzene poisoning patients. Mol Biol Rep. 2024;51(1):309.</w:t>
      </w:r>
    </w:p>
    <w:p w14:paraId="3C23D8B3">
      <w:pPr>
        <w:pStyle w:val="9"/>
        <w:numPr>
          <w:ilvl w:val="0"/>
          <w:numId w:val="1"/>
        </w:numPr>
        <w:spacing w:beforeAutospacing="0" w:afterAutospacing="0"/>
        <w:ind w:left="0" w:firstLine="0"/>
        <w:jc w:val="both"/>
        <w:rPr>
          <w:rFonts w:ascii="Calibri" w:hAnsi="Calibri" w:cs="Calibri"/>
        </w:rPr>
      </w:pPr>
      <w:r>
        <w:rPr>
          <w:rFonts w:ascii="Calibri" w:hAnsi="Calibri" w:cs="Calibri"/>
        </w:rPr>
        <w:t>Leary JR, Xu Y, Morrison AB, et al. Sub-cluster identification through semi-supervised optimization of rare-cell silhouettes (SCISSORS) in single-cell RNA-sequencing. Bioinformatics. 2023;39(8):btad412.</w:t>
      </w:r>
    </w:p>
    <w:p w14:paraId="3C23D8B4">
      <w:pPr>
        <w:pStyle w:val="9"/>
        <w:numPr>
          <w:ilvl w:val="0"/>
          <w:numId w:val="1"/>
        </w:numPr>
        <w:spacing w:beforeAutospacing="0" w:afterAutospacing="0"/>
        <w:ind w:left="0" w:firstLine="0"/>
        <w:jc w:val="both"/>
        <w:rPr>
          <w:rFonts w:ascii="Calibri" w:hAnsi="Calibri" w:cs="Calibri"/>
        </w:rPr>
      </w:pPr>
      <w:r>
        <w:rPr>
          <w:rFonts w:ascii="Calibri" w:hAnsi="Calibri" w:cs="Calibri"/>
        </w:rPr>
        <w:t>Zhong J, Pan R, Gao M, et al. Identification and validation of a T cell marker gene-based signature to predict prognosis and immunotherapy response in gastric cancer. Sci Rep. 2023;13(1):21357.</w:t>
      </w:r>
    </w:p>
    <w:p w14:paraId="3C23D8B5">
      <w:pPr>
        <w:pStyle w:val="9"/>
        <w:numPr>
          <w:ilvl w:val="0"/>
          <w:numId w:val="1"/>
        </w:numPr>
        <w:spacing w:beforeAutospacing="0" w:afterAutospacing="0"/>
        <w:ind w:left="0" w:firstLine="0"/>
        <w:jc w:val="both"/>
        <w:rPr>
          <w:rFonts w:ascii="Calibri" w:hAnsi="Calibri" w:cs="Calibri"/>
        </w:rPr>
      </w:pPr>
      <w:r>
        <w:rPr>
          <w:rFonts w:ascii="Calibri" w:hAnsi="Calibri" w:cs="Calibri"/>
        </w:rPr>
        <w:t>Wu H, Zhou H, Zhou B, Wang M. SCMcluster: a high-precision cell clustering algorithm integrating marker gene set with single-cell RNA sequencing data. Brief Funct Genomics. 2023;22(4):329-340.</w:t>
      </w:r>
    </w:p>
    <w:p w14:paraId="3C23D8B6">
      <w:pPr>
        <w:pStyle w:val="9"/>
        <w:numPr>
          <w:ilvl w:val="0"/>
          <w:numId w:val="1"/>
        </w:numPr>
        <w:spacing w:beforeAutospacing="0" w:afterAutospacing="0"/>
        <w:ind w:left="0" w:firstLine="0"/>
        <w:jc w:val="both"/>
        <w:rPr>
          <w:rFonts w:ascii="Calibri" w:hAnsi="Calibri" w:cs="Calibri"/>
        </w:rPr>
      </w:pPr>
      <w:r>
        <w:rPr>
          <w:rFonts w:ascii="Calibri" w:hAnsi="Calibri" w:cs="Calibri"/>
        </w:rPr>
        <w:t>Aleksander SA, Balhoff J, Carbon S, et al. The Gene Ontology knowledgebase in 2023. Genetics. 2023;224(1):iyad031.</w:t>
      </w:r>
    </w:p>
    <w:p w14:paraId="3C23D8B7">
      <w:pPr>
        <w:pStyle w:val="9"/>
        <w:numPr>
          <w:ilvl w:val="0"/>
          <w:numId w:val="1"/>
        </w:numPr>
        <w:spacing w:beforeAutospacing="0" w:afterAutospacing="0"/>
        <w:ind w:left="0" w:firstLine="0"/>
        <w:jc w:val="both"/>
        <w:rPr>
          <w:rFonts w:ascii="Calibri" w:hAnsi="Calibri" w:cs="Calibri"/>
        </w:rPr>
      </w:pPr>
      <w:r>
        <w:rPr>
          <w:rFonts w:ascii="Calibri" w:hAnsi="Calibri" w:cs="Calibri"/>
        </w:rPr>
        <w:t>Kanehisa M. The KEGG database. Novartis Found Symp. 2002;247:91-101.</w:t>
      </w:r>
    </w:p>
    <w:p w14:paraId="3C23D8B8">
      <w:pPr>
        <w:pStyle w:val="9"/>
        <w:numPr>
          <w:ilvl w:val="0"/>
          <w:numId w:val="1"/>
        </w:numPr>
        <w:spacing w:beforeAutospacing="0" w:afterAutospacing="0"/>
        <w:ind w:left="0" w:firstLine="0"/>
        <w:jc w:val="both"/>
        <w:rPr>
          <w:rFonts w:ascii="Calibri" w:hAnsi="Calibri" w:cs="Calibri"/>
        </w:rPr>
      </w:pPr>
      <w:r>
        <w:rPr>
          <w:rFonts w:ascii="Calibri" w:hAnsi="Calibri" w:cs="Calibri"/>
        </w:rPr>
        <w:t>Wang L, Song F, Zhu W, Fu J, Dong Z, Xu P. The stage-specific long non-coding RNAs and mRNAs identification and analysis during early development of common carp, Cyprinus carpio. Genomics. 2021;113(1):20-28.</w:t>
      </w:r>
    </w:p>
    <w:p w14:paraId="3C23D8B9">
      <w:pPr>
        <w:pStyle w:val="9"/>
        <w:numPr>
          <w:ilvl w:val="0"/>
          <w:numId w:val="1"/>
        </w:numPr>
        <w:spacing w:beforeAutospacing="0" w:afterAutospacing="0"/>
        <w:ind w:left="0" w:firstLine="0"/>
        <w:jc w:val="both"/>
        <w:rPr>
          <w:rFonts w:ascii="Calibri" w:hAnsi="Calibri" w:cs="Calibri"/>
        </w:rPr>
      </w:pPr>
      <w:r>
        <w:rPr>
          <w:rFonts w:ascii="Calibri" w:hAnsi="Calibri" w:cs="Calibri"/>
        </w:rPr>
        <w:t>Ning X, Li R, Zhang B, et al. Immune score indicator for the survival of melanoma patients based on tumor microenvironment. Int J Gen Med. 2021;14:10397-10416.</w:t>
      </w:r>
    </w:p>
    <w:p w14:paraId="3C23D8BA">
      <w:pPr>
        <w:pStyle w:val="9"/>
        <w:numPr>
          <w:ilvl w:val="0"/>
          <w:numId w:val="1"/>
        </w:numPr>
        <w:spacing w:beforeAutospacing="0" w:afterAutospacing="0"/>
        <w:ind w:left="0" w:firstLine="0"/>
        <w:jc w:val="both"/>
        <w:rPr>
          <w:rFonts w:ascii="Calibri" w:hAnsi="Calibri" w:cs="Calibri"/>
        </w:rPr>
      </w:pPr>
      <w:r>
        <w:rPr>
          <w:rFonts w:ascii="Calibri" w:hAnsi="Calibri" w:cs="Calibri"/>
        </w:rPr>
        <w:t>Puntigam LK, Jeske SS, Götz M, et al. Immune checkpoint expression on immune cells of HNSCC patients and modulation by chemo- and immunotherapy. Int J Mol Sci. 2020;21(15):5310.</w:t>
      </w:r>
    </w:p>
    <w:p w14:paraId="3C23D8BB">
      <w:pPr>
        <w:pStyle w:val="9"/>
        <w:numPr>
          <w:ilvl w:val="0"/>
          <w:numId w:val="1"/>
        </w:numPr>
        <w:spacing w:beforeAutospacing="0" w:afterAutospacing="0"/>
        <w:ind w:left="0" w:firstLine="0"/>
        <w:jc w:val="both"/>
        <w:rPr>
          <w:rFonts w:ascii="Calibri" w:hAnsi="Calibri" w:cs="Calibri"/>
        </w:rPr>
      </w:pPr>
      <w:r>
        <w:rPr>
          <w:rFonts w:ascii="Calibri" w:hAnsi="Calibri" w:cs="Calibri"/>
        </w:rPr>
        <w:t>Fan L, Wang J, Zhang Z, et al. Identification of RNA methylation-related lncRNAs for prognostic assessment and immunotherapy in bladder cancer, based on single-cell/Bulk RNA sequencing data. Funct Integr Genomics. 2024;24(2):56.</w:t>
      </w:r>
    </w:p>
    <w:p w14:paraId="3C23D8BC">
      <w:pPr>
        <w:pStyle w:val="9"/>
        <w:numPr>
          <w:ilvl w:val="0"/>
          <w:numId w:val="1"/>
        </w:numPr>
        <w:spacing w:beforeAutospacing="0" w:afterAutospacing="0"/>
        <w:ind w:left="0" w:firstLine="0"/>
        <w:jc w:val="both"/>
        <w:rPr>
          <w:rFonts w:ascii="Calibri" w:hAnsi="Calibri" w:cs="Calibri"/>
        </w:rPr>
      </w:pPr>
      <w:r>
        <w:rPr>
          <w:rFonts w:ascii="Calibri" w:hAnsi="Calibri" w:cs="Calibri"/>
        </w:rPr>
        <w:t>Cao G, Xuan X, Li Y, et al. Single-cell RNA sequencing reveals the vascular smooth muscle cell phenotypic landscape in aortic aneurysm. Cell Commun Signal. 2023;21(1):113.</w:t>
      </w:r>
    </w:p>
    <w:p w14:paraId="3C23D8BD">
      <w:pPr>
        <w:pStyle w:val="9"/>
        <w:numPr>
          <w:ilvl w:val="0"/>
          <w:numId w:val="1"/>
        </w:numPr>
        <w:spacing w:beforeAutospacing="0" w:afterAutospacing="0"/>
        <w:ind w:left="0" w:firstLine="0"/>
        <w:jc w:val="both"/>
        <w:rPr>
          <w:rFonts w:ascii="Calibri" w:hAnsi="Calibri" w:cs="Calibri"/>
        </w:rPr>
      </w:pPr>
      <w:r>
        <w:rPr>
          <w:rFonts w:ascii="Calibri" w:hAnsi="Calibri" w:cs="Calibri"/>
        </w:rPr>
        <w:t>Fan S, Dai Y, Hou L, Xu Y. Application value of Triton X-100 to modified Hodge test and carbapenem inactivation method in the detection of Acinetobacter baumannii carbapenemase. Infect Drug Resist. 2020;13:4283-4288.</w:t>
      </w:r>
    </w:p>
    <w:p w14:paraId="3C23D8BE">
      <w:pPr>
        <w:pStyle w:val="9"/>
        <w:numPr>
          <w:ilvl w:val="0"/>
          <w:numId w:val="1"/>
        </w:numPr>
        <w:spacing w:beforeAutospacing="0" w:afterAutospacing="0"/>
        <w:ind w:left="0" w:firstLine="0"/>
        <w:jc w:val="both"/>
        <w:rPr>
          <w:rFonts w:ascii="Calibri" w:hAnsi="Calibri" w:cs="Calibri"/>
        </w:rPr>
      </w:pPr>
      <w:r>
        <w:rPr>
          <w:rFonts w:ascii="Calibri" w:hAnsi="Calibri" w:cs="Calibri"/>
        </w:rPr>
        <w:t>Chandrasekharan B, Neish AS. Imaging the gut with "CLARITY". J Vis Exp. 2021;(172):e62184.</w:t>
      </w:r>
    </w:p>
    <w:p w14:paraId="3C23D8BF">
      <w:pPr>
        <w:pStyle w:val="9"/>
        <w:numPr>
          <w:ilvl w:val="0"/>
          <w:numId w:val="1"/>
        </w:numPr>
        <w:spacing w:beforeAutospacing="0" w:afterAutospacing="0"/>
        <w:ind w:left="0" w:firstLine="0"/>
        <w:jc w:val="both"/>
        <w:rPr>
          <w:rFonts w:ascii="Calibri" w:hAnsi="Calibri" w:cs="Calibri"/>
        </w:rPr>
      </w:pPr>
      <w:r>
        <w:rPr>
          <w:rFonts w:ascii="Calibri" w:hAnsi="Calibri" w:cs="Calibri"/>
        </w:rPr>
        <w:t>Rabaglino MB, Hansen PJ. Development of a formula for scoring the competence of bovine embryos to sustain pregnancy. Biochem Biophys Rep. 2024;39:101772.</w:t>
      </w:r>
    </w:p>
    <w:p w14:paraId="3C23D8C0">
      <w:pPr>
        <w:pStyle w:val="9"/>
        <w:numPr>
          <w:ilvl w:val="0"/>
          <w:numId w:val="1"/>
        </w:numPr>
        <w:spacing w:beforeAutospacing="0" w:afterAutospacing="0"/>
        <w:ind w:left="0" w:firstLine="0"/>
        <w:jc w:val="both"/>
        <w:rPr>
          <w:rFonts w:ascii="Calibri" w:hAnsi="Calibri" w:cs="Calibri"/>
        </w:rPr>
      </w:pPr>
      <w:r>
        <w:rPr>
          <w:rFonts w:ascii="Calibri" w:hAnsi="Calibri" w:cs="Calibri"/>
          <w:lang w:val="pt-BR"/>
        </w:rPr>
        <w:t xml:space="preserve">Aliya S, Lee H, Alhammadi M, Umapathi R, Huh YS. </w:t>
      </w:r>
      <w:r>
        <w:rPr>
          <w:rFonts w:ascii="Calibri" w:hAnsi="Calibri" w:cs="Calibri"/>
        </w:rPr>
        <w:t>An overview of single-cell technology for hepatocellular carcinoma diagnosis. Int J Mol Sci. 2022;23(3):1402.</w:t>
      </w:r>
    </w:p>
    <w:p w14:paraId="3C23D8C1">
      <w:pPr>
        <w:pStyle w:val="9"/>
        <w:numPr>
          <w:ilvl w:val="0"/>
          <w:numId w:val="1"/>
        </w:numPr>
        <w:spacing w:beforeAutospacing="0" w:afterAutospacing="0"/>
        <w:ind w:left="0" w:firstLine="0"/>
        <w:jc w:val="both"/>
        <w:rPr>
          <w:rFonts w:ascii="Calibri" w:hAnsi="Calibri" w:cs="Calibri"/>
        </w:rPr>
      </w:pPr>
      <w:r>
        <w:rPr>
          <w:rFonts w:ascii="Calibri" w:hAnsi="Calibri" w:cs="Calibri"/>
        </w:rPr>
        <w:t>Ao L, Zhang Z, Guan Q, et al. A qualitative signature for early diagnosis of hepatocellular carcinoma based on relative expression orderings. Liver Int. 2018;38(10):1812-1819.</w:t>
      </w:r>
    </w:p>
    <w:p w14:paraId="3C23D8C2">
      <w:pPr>
        <w:pStyle w:val="9"/>
        <w:numPr>
          <w:ilvl w:val="0"/>
          <w:numId w:val="1"/>
        </w:numPr>
        <w:spacing w:beforeAutospacing="0" w:afterAutospacing="0"/>
        <w:ind w:left="0" w:firstLine="0"/>
        <w:jc w:val="both"/>
        <w:rPr>
          <w:rFonts w:ascii="Calibri" w:hAnsi="Calibri" w:cs="Calibri"/>
        </w:rPr>
      </w:pPr>
      <w:r>
        <w:rPr>
          <w:rFonts w:ascii="Calibri" w:hAnsi="Calibri" w:cs="Calibri"/>
        </w:rPr>
        <w:t>Zhao Y, Wang J, Liu H, et al. The role of PDCD10 in immune modulation and cancer progression. J Cancer Immunol. 2019;1(1):15-23.</w:t>
      </w:r>
    </w:p>
    <w:p w14:paraId="3C23D8C3">
      <w:pPr>
        <w:pStyle w:val="9"/>
        <w:numPr>
          <w:ilvl w:val="0"/>
          <w:numId w:val="1"/>
        </w:numPr>
        <w:spacing w:beforeAutospacing="0" w:afterAutospacing="0"/>
        <w:ind w:left="0" w:firstLine="0"/>
        <w:jc w:val="both"/>
        <w:rPr>
          <w:rFonts w:ascii="Calibri" w:hAnsi="Calibri" w:cs="Calibri"/>
        </w:rPr>
      </w:pPr>
      <w:r>
        <w:rPr>
          <w:rFonts w:ascii="Calibri" w:hAnsi="Calibri" w:cs="Calibri"/>
        </w:rPr>
        <w:t>Li L, Chen X, Wang H, et al. PDCD10 and its involvement in the regulation of immune checkpoint molecules and T-cell exhaustion. Front Immunol. 2020;11:587632.</w:t>
      </w:r>
    </w:p>
    <w:p w14:paraId="3C23D8C4">
      <w:pPr>
        <w:pStyle w:val="9"/>
        <w:numPr>
          <w:ilvl w:val="0"/>
          <w:numId w:val="1"/>
        </w:numPr>
        <w:spacing w:beforeAutospacing="0" w:afterAutospacing="0"/>
        <w:ind w:left="0" w:firstLine="0"/>
        <w:jc w:val="both"/>
        <w:rPr>
          <w:rFonts w:ascii="Calibri" w:hAnsi="Calibri" w:cs="Calibri"/>
        </w:rPr>
      </w:pPr>
      <w:r>
        <w:rPr>
          <w:rFonts w:ascii="Calibri" w:hAnsi="Calibri" w:cs="Calibri"/>
        </w:rPr>
        <w:t>Zhang YH, Sun HX. Immune checkpoint molecules in pregnancy: focus on regulatory T cells. Eur J Immunol. 2020;50(2):160-169.</w:t>
      </w:r>
    </w:p>
    <w:p w14:paraId="3C23D8C5">
      <w:pPr>
        <w:pStyle w:val="9"/>
        <w:numPr>
          <w:ilvl w:val="0"/>
          <w:numId w:val="1"/>
        </w:numPr>
        <w:spacing w:beforeAutospacing="0" w:afterAutospacing="0"/>
        <w:ind w:left="0" w:firstLine="0"/>
        <w:jc w:val="both"/>
        <w:rPr>
          <w:rFonts w:ascii="Calibri" w:hAnsi="Calibri" w:cs="Calibri"/>
        </w:rPr>
      </w:pPr>
      <w:r>
        <w:rPr>
          <w:rFonts w:ascii="Calibri" w:hAnsi="Calibri" w:cs="Calibri"/>
        </w:rPr>
        <w:t>Yu Z, Wu X, Zhu J, et al. BCLAF1 binds SPOP to stabilize PD-L1 and promotes the development and immune escape of hepatocellular carcinoma. Cell Mol Life Sci. 2024;81(1):82.</w:t>
      </w:r>
    </w:p>
    <w:p w14:paraId="3C23D8C6">
      <w:pPr>
        <w:pStyle w:val="9"/>
        <w:numPr>
          <w:ilvl w:val="0"/>
          <w:numId w:val="1"/>
        </w:numPr>
        <w:spacing w:beforeAutospacing="0" w:afterAutospacing="0"/>
        <w:ind w:left="0" w:firstLine="0"/>
        <w:jc w:val="both"/>
        <w:rPr>
          <w:rFonts w:ascii="Calibri" w:hAnsi="Calibri" w:cs="Calibri"/>
        </w:rPr>
      </w:pPr>
      <w:r>
        <w:rPr>
          <w:rFonts w:ascii="Calibri" w:hAnsi="Calibri" w:cs="Calibri"/>
        </w:rPr>
        <w:t>Fassan M, Cagol M, Pennelli G, et al. Programmed cell death 4 protein in esophageal cancer. Oncol Rep. 2010;24(1):135-139.</w:t>
      </w:r>
    </w:p>
    <w:p w14:paraId="3C23D8C7">
      <w:pPr>
        <w:pStyle w:val="9"/>
        <w:numPr>
          <w:ilvl w:val="0"/>
          <w:numId w:val="1"/>
        </w:numPr>
        <w:spacing w:beforeAutospacing="0" w:afterAutospacing="0"/>
        <w:ind w:left="0" w:firstLine="0"/>
        <w:jc w:val="both"/>
        <w:rPr>
          <w:rFonts w:ascii="Calibri" w:hAnsi="Calibri" w:cs="Calibri"/>
        </w:rPr>
      </w:pPr>
      <w:r>
        <w:rPr>
          <w:rFonts w:ascii="Calibri" w:hAnsi="Calibri" w:cs="Calibri"/>
        </w:rPr>
        <w:t>Chen C, Zheng Q, Kang W, Yu C. Long non-coding RNA LINC00472 suppresses hepatocellular carcinoma cell proliferation, migration, and invasion through miR-93-5p/PDCD4 pathway. Clin Res Hepatol Gastroenterol. 2019;43(4):436-445.</w:t>
      </w:r>
    </w:p>
    <w:p w14:paraId="3C23D8C8">
      <w:pPr>
        <w:pStyle w:val="9"/>
        <w:numPr>
          <w:ilvl w:val="0"/>
          <w:numId w:val="1"/>
        </w:numPr>
        <w:spacing w:beforeAutospacing="0" w:afterAutospacing="0"/>
        <w:ind w:left="0" w:firstLine="0"/>
        <w:jc w:val="both"/>
        <w:rPr>
          <w:rFonts w:ascii="Calibri" w:hAnsi="Calibri" w:cs="Calibri"/>
        </w:rPr>
      </w:pPr>
      <w:r>
        <w:rPr>
          <w:rFonts w:ascii="Calibri" w:hAnsi="Calibri" w:cs="Calibri"/>
        </w:rPr>
        <w:t>Lv L, Du J, Wang D, Yan Z. Circular RNA hsa_circ_0026344 suppresses gastric cancer cell proliferation, migration, and invasion via the miR-590-5p/PDCD4 axis. J Pharm Pharmacol. 2022;74(8):1193-1204.</w:t>
      </w:r>
    </w:p>
    <w:p w14:paraId="3C23D8C9">
      <w:pPr>
        <w:pStyle w:val="9"/>
        <w:numPr>
          <w:ilvl w:val="0"/>
          <w:numId w:val="1"/>
        </w:numPr>
        <w:spacing w:beforeAutospacing="0" w:afterAutospacing="0"/>
        <w:ind w:left="0" w:firstLine="0"/>
        <w:jc w:val="both"/>
        <w:rPr>
          <w:rFonts w:ascii="Calibri" w:hAnsi="Calibri" w:cs="Calibri"/>
        </w:rPr>
      </w:pPr>
      <w:r>
        <w:rPr>
          <w:rFonts w:ascii="Calibri" w:hAnsi="Calibri" w:cs="Calibri"/>
          <w:lang w:val="pt-BR"/>
        </w:rPr>
        <w:t xml:space="preserve">Li S, Ma J, Li X, et al. </w:t>
      </w:r>
      <w:r>
        <w:rPr>
          <w:rFonts w:ascii="Calibri" w:hAnsi="Calibri" w:cs="Calibri"/>
        </w:rPr>
        <w:t xml:space="preserve">Multi-omics spatial characteristics of CD8+TRM cells in hepatocellular carcinoma and immunotherapy response prediction. Front Immunol. 2025;16:1710741. </w:t>
      </w:r>
    </w:p>
    <w:p w14:paraId="3C23D8CA">
      <w:pPr>
        <w:spacing w:after="0"/>
        <w:jc w:val="both"/>
        <w:rPr>
          <w:rFonts w:ascii="Calibri" w:hAnsi="Calibri" w:cs="Calibri"/>
        </w:rPr>
      </w:pPr>
    </w:p>
    <w:sectPr>
      <w:headerReference r:id="rId5" w:type="first"/>
      <w:footerReference r:id="rId8" w:type="first"/>
      <w:footerReference r:id="rId6" w:type="default"/>
      <w:headerReference r:id="rId4" w:type="even"/>
      <w:footerReference r:id="rId7" w:type="even"/>
      <w:pgSz w:w="12240" w:h="15840"/>
      <w:pgMar w:top="1440" w:right="1440" w:bottom="1440" w:left="1440" w:header="567" w:footer="567" w:gutter="0"/>
      <w:lnNumType w:countBy="1" w:restart="continuous"/>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MyriadPro-Semi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dvTTd3a5f740">
    <w:altName w:val="Segoe Print"/>
    <w:panose1 w:val="00000000000000000000"/>
    <w:charset w:val="00"/>
    <w:family w:val="auto"/>
    <w:pitch w:val="default"/>
    <w:sig w:usb0="00000000" w:usb1="00000000" w:usb2="00000000" w:usb3="00000000" w:csb0="00000000" w:csb1="00000000"/>
  </w:font>
  <w:font w:name="CharisSIL-Bold">
    <w:altName w:val="Segoe Print"/>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3D8D8">
    <w:pPr>
      <w:spacing w:after="0"/>
      <w:jc w:val="center"/>
      <w:rPr>
        <w:rFonts w:ascii="宋体" w:hAnsi="宋体" w:eastAsia="宋体" w:cs="宋体"/>
        <w:sz w:val="15"/>
        <w:szCs w:val="15"/>
        <w:lang w:eastAsia="zh-CN"/>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3D8DD">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3C23D8DD">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3D8D7">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3D8DA">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3D8D6">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3D8D9">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29941"/>
    <w:multiLevelType w:val="singleLevel"/>
    <w:tmpl w:val="AB429941"/>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B3A6C"/>
    <w:rsid w:val="00011A07"/>
    <w:rsid w:val="00020F9A"/>
    <w:rsid w:val="00035791"/>
    <w:rsid w:val="0004131A"/>
    <w:rsid w:val="00045EB8"/>
    <w:rsid w:val="0005673C"/>
    <w:rsid w:val="00066FAE"/>
    <w:rsid w:val="00072DD7"/>
    <w:rsid w:val="00074FFF"/>
    <w:rsid w:val="00081F71"/>
    <w:rsid w:val="000D4079"/>
    <w:rsid w:val="000D4EF3"/>
    <w:rsid w:val="000E6A89"/>
    <w:rsid w:val="000F4F78"/>
    <w:rsid w:val="000F581E"/>
    <w:rsid w:val="00106537"/>
    <w:rsid w:val="00107CDE"/>
    <w:rsid w:val="00111C4F"/>
    <w:rsid w:val="00120236"/>
    <w:rsid w:val="00130556"/>
    <w:rsid w:val="001362D0"/>
    <w:rsid w:val="00155C74"/>
    <w:rsid w:val="00160551"/>
    <w:rsid w:val="00162452"/>
    <w:rsid w:val="00187F26"/>
    <w:rsid w:val="001936CC"/>
    <w:rsid w:val="00193DD8"/>
    <w:rsid w:val="001A6B06"/>
    <w:rsid w:val="001C7A14"/>
    <w:rsid w:val="001D1020"/>
    <w:rsid w:val="00202F48"/>
    <w:rsid w:val="00223135"/>
    <w:rsid w:val="0025294C"/>
    <w:rsid w:val="002C3277"/>
    <w:rsid w:val="002E3B82"/>
    <w:rsid w:val="003138B2"/>
    <w:rsid w:val="0035444E"/>
    <w:rsid w:val="00355812"/>
    <w:rsid w:val="003743B1"/>
    <w:rsid w:val="00380419"/>
    <w:rsid w:val="003847B5"/>
    <w:rsid w:val="003A0961"/>
    <w:rsid w:val="003D4AC1"/>
    <w:rsid w:val="003E4B83"/>
    <w:rsid w:val="003F5362"/>
    <w:rsid w:val="00401479"/>
    <w:rsid w:val="00411DE7"/>
    <w:rsid w:val="00413F9A"/>
    <w:rsid w:val="00420371"/>
    <w:rsid w:val="004303C1"/>
    <w:rsid w:val="00430757"/>
    <w:rsid w:val="00451FC6"/>
    <w:rsid w:val="0047174F"/>
    <w:rsid w:val="00472703"/>
    <w:rsid w:val="00476167"/>
    <w:rsid w:val="004A0775"/>
    <w:rsid w:val="004B5E7F"/>
    <w:rsid w:val="004B6993"/>
    <w:rsid w:val="004C1927"/>
    <w:rsid w:val="004C4177"/>
    <w:rsid w:val="004D090D"/>
    <w:rsid w:val="004D2A12"/>
    <w:rsid w:val="004D3A4B"/>
    <w:rsid w:val="004F485A"/>
    <w:rsid w:val="005167AC"/>
    <w:rsid w:val="00517B2F"/>
    <w:rsid w:val="00531E8D"/>
    <w:rsid w:val="00561AB7"/>
    <w:rsid w:val="00584FE5"/>
    <w:rsid w:val="005879CD"/>
    <w:rsid w:val="00587B3E"/>
    <w:rsid w:val="005B32C4"/>
    <w:rsid w:val="005C357A"/>
    <w:rsid w:val="00601F01"/>
    <w:rsid w:val="00602AE9"/>
    <w:rsid w:val="006532BC"/>
    <w:rsid w:val="00690C10"/>
    <w:rsid w:val="006A2083"/>
    <w:rsid w:val="006B4A48"/>
    <w:rsid w:val="006B4AA7"/>
    <w:rsid w:val="006E5C23"/>
    <w:rsid w:val="00707093"/>
    <w:rsid w:val="00724488"/>
    <w:rsid w:val="007279F4"/>
    <w:rsid w:val="00771A5D"/>
    <w:rsid w:val="00777A49"/>
    <w:rsid w:val="00781DF8"/>
    <w:rsid w:val="00782655"/>
    <w:rsid w:val="0078576F"/>
    <w:rsid w:val="0079346E"/>
    <w:rsid w:val="007D3BC7"/>
    <w:rsid w:val="007F2BF3"/>
    <w:rsid w:val="008264CC"/>
    <w:rsid w:val="008631C3"/>
    <w:rsid w:val="00871A12"/>
    <w:rsid w:val="0092789D"/>
    <w:rsid w:val="00941595"/>
    <w:rsid w:val="009628A1"/>
    <w:rsid w:val="009725BA"/>
    <w:rsid w:val="00991E59"/>
    <w:rsid w:val="009C3F6F"/>
    <w:rsid w:val="009D2F6E"/>
    <w:rsid w:val="009E17C1"/>
    <w:rsid w:val="009F0086"/>
    <w:rsid w:val="00A15840"/>
    <w:rsid w:val="00A37E81"/>
    <w:rsid w:val="00A46950"/>
    <w:rsid w:val="00A70A40"/>
    <w:rsid w:val="00A8022F"/>
    <w:rsid w:val="00A93302"/>
    <w:rsid w:val="00AA620F"/>
    <w:rsid w:val="00AD1170"/>
    <w:rsid w:val="00AE4839"/>
    <w:rsid w:val="00B33832"/>
    <w:rsid w:val="00B46535"/>
    <w:rsid w:val="00B613D7"/>
    <w:rsid w:val="00B65423"/>
    <w:rsid w:val="00B6711D"/>
    <w:rsid w:val="00B77BAD"/>
    <w:rsid w:val="00B85090"/>
    <w:rsid w:val="00B94AEF"/>
    <w:rsid w:val="00BC0100"/>
    <w:rsid w:val="00BF63EE"/>
    <w:rsid w:val="00C03B03"/>
    <w:rsid w:val="00C1662C"/>
    <w:rsid w:val="00C32950"/>
    <w:rsid w:val="00C3433C"/>
    <w:rsid w:val="00C44744"/>
    <w:rsid w:val="00C456F7"/>
    <w:rsid w:val="00C46A14"/>
    <w:rsid w:val="00C62B6B"/>
    <w:rsid w:val="00CB32F0"/>
    <w:rsid w:val="00CC1A8D"/>
    <w:rsid w:val="00CD6111"/>
    <w:rsid w:val="00D15F1D"/>
    <w:rsid w:val="00D16204"/>
    <w:rsid w:val="00D566F8"/>
    <w:rsid w:val="00D659C7"/>
    <w:rsid w:val="00D82156"/>
    <w:rsid w:val="00DA170D"/>
    <w:rsid w:val="00DB0C92"/>
    <w:rsid w:val="00DC5F0D"/>
    <w:rsid w:val="00E163CE"/>
    <w:rsid w:val="00E32AD4"/>
    <w:rsid w:val="00E41BAE"/>
    <w:rsid w:val="00E42DDF"/>
    <w:rsid w:val="00E4324C"/>
    <w:rsid w:val="00E45978"/>
    <w:rsid w:val="00E824B5"/>
    <w:rsid w:val="00E83940"/>
    <w:rsid w:val="00E920F4"/>
    <w:rsid w:val="00EB237D"/>
    <w:rsid w:val="00EC08E7"/>
    <w:rsid w:val="00ED1BA4"/>
    <w:rsid w:val="00F00017"/>
    <w:rsid w:val="00F078F7"/>
    <w:rsid w:val="00F14F04"/>
    <w:rsid w:val="00F14F3D"/>
    <w:rsid w:val="00F60F98"/>
    <w:rsid w:val="00F90B13"/>
    <w:rsid w:val="00F9113B"/>
    <w:rsid w:val="00F93495"/>
    <w:rsid w:val="00FE582F"/>
    <w:rsid w:val="00FF323A"/>
    <w:rsid w:val="02F05262"/>
    <w:rsid w:val="03C54999"/>
    <w:rsid w:val="05E80E12"/>
    <w:rsid w:val="09DB3168"/>
    <w:rsid w:val="0AC460B7"/>
    <w:rsid w:val="0CE87DCE"/>
    <w:rsid w:val="0EB4097B"/>
    <w:rsid w:val="147C07C7"/>
    <w:rsid w:val="15BA2C5D"/>
    <w:rsid w:val="1DC46AC4"/>
    <w:rsid w:val="20E1545C"/>
    <w:rsid w:val="2808303D"/>
    <w:rsid w:val="28773C04"/>
    <w:rsid w:val="29151EF5"/>
    <w:rsid w:val="295A7167"/>
    <w:rsid w:val="2BFD1938"/>
    <w:rsid w:val="2CD96237"/>
    <w:rsid w:val="30BB51FB"/>
    <w:rsid w:val="34181CF8"/>
    <w:rsid w:val="34524C61"/>
    <w:rsid w:val="38A869CB"/>
    <w:rsid w:val="3D9A36C7"/>
    <w:rsid w:val="40117826"/>
    <w:rsid w:val="419E3DE6"/>
    <w:rsid w:val="454B3A6C"/>
    <w:rsid w:val="458A7AA7"/>
    <w:rsid w:val="548E0AEC"/>
    <w:rsid w:val="56B72852"/>
    <w:rsid w:val="57730A07"/>
    <w:rsid w:val="591B4755"/>
    <w:rsid w:val="5B702511"/>
    <w:rsid w:val="605C4EB2"/>
    <w:rsid w:val="606326E4"/>
    <w:rsid w:val="61A62889"/>
    <w:rsid w:val="627E7AE0"/>
    <w:rsid w:val="62F45876"/>
    <w:rsid w:val="653B778C"/>
    <w:rsid w:val="67451864"/>
    <w:rsid w:val="6B8960A3"/>
    <w:rsid w:val="6F1258D2"/>
    <w:rsid w:val="6FC56C95"/>
    <w:rsid w:val="70D367F7"/>
    <w:rsid w:val="738C20B2"/>
    <w:rsid w:val="744F314D"/>
    <w:rsid w:val="74D16536"/>
    <w:rsid w:val="79BD2580"/>
    <w:rsid w:val="7A951BAA"/>
    <w:rsid w:val="7E130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000000" w:themeColor="text1"/>
      <w:sz w:val="28"/>
      <w:szCs w:val="28"/>
      <w14:textFill>
        <w14:solidFill>
          <w14:schemeClr w14:val="tx1"/>
        </w14:solidFill>
      </w14:textFill>
    </w:rPr>
  </w:style>
  <w:style w:type="paragraph" w:styleId="4">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000000" w:themeColor="text1"/>
      <w14:textFill>
        <w14:solidFill>
          <w14:schemeClr w14:val="tx1"/>
        </w14:solidFill>
      </w14:textFill>
    </w:rPr>
  </w:style>
  <w:style w:type="character" w:default="1" w:styleId="12">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5">
    <w:name w:val="annotation text"/>
    <w:basedOn w:val="1"/>
    <w:link w:val="19"/>
    <w:qFormat/>
    <w:uiPriority w:val="0"/>
    <w:rPr>
      <w:sz w:val="20"/>
      <w:szCs w:val="20"/>
    </w:rPr>
  </w:style>
  <w:style w:type="paragraph" w:styleId="6">
    <w:name w:val="footer"/>
    <w:basedOn w:val="1"/>
    <w:qFormat/>
    <w:uiPriority w:val="0"/>
    <w:pPr>
      <w:tabs>
        <w:tab w:val="center" w:pos="4153"/>
        <w:tab w:val="right" w:pos="8306"/>
      </w:tabs>
      <w:snapToGrid w:val="0"/>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lang w:eastAsia="zh-CN"/>
    </w:rPr>
  </w:style>
  <w:style w:type="paragraph" w:styleId="9">
    <w:name w:val="Normal (Web)"/>
    <w:basedOn w:val="1"/>
    <w:qFormat/>
    <w:uiPriority w:val="0"/>
    <w:pPr>
      <w:spacing w:beforeAutospacing="1" w:after="0" w:afterAutospacing="1"/>
    </w:pPr>
    <w:rPr>
      <w:rFonts w:cs="Times New Roman"/>
      <w:lang w:eastAsia="zh-CN"/>
    </w:rPr>
  </w:style>
  <w:style w:type="paragraph" w:styleId="10">
    <w:name w:val="annotation subject"/>
    <w:basedOn w:val="5"/>
    <w:next w:val="5"/>
    <w:link w:val="20"/>
    <w:qFormat/>
    <w:uiPriority w:val="0"/>
    <w:rPr>
      <w:b/>
      <w:bCs/>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line number"/>
    <w:basedOn w:val="12"/>
    <w:qFormat/>
    <w:uiPriority w:val="0"/>
  </w:style>
  <w:style w:type="character" w:styleId="16">
    <w:name w:val="Hyperlink"/>
    <w:basedOn w:val="12"/>
    <w:qFormat/>
    <w:uiPriority w:val="0"/>
    <w:rPr>
      <w:color w:val="0000FF"/>
      <w:u w:val="single"/>
    </w:rPr>
  </w:style>
  <w:style w:type="character" w:styleId="17">
    <w:name w:val="HTML Code"/>
    <w:basedOn w:val="12"/>
    <w:qFormat/>
    <w:uiPriority w:val="0"/>
    <w:rPr>
      <w:rFonts w:ascii="Courier New" w:hAnsi="Courier New"/>
      <w:sz w:val="20"/>
    </w:rPr>
  </w:style>
  <w:style w:type="character" w:styleId="18">
    <w:name w:val="annotation reference"/>
    <w:basedOn w:val="12"/>
    <w:qFormat/>
    <w:uiPriority w:val="0"/>
    <w:rPr>
      <w:sz w:val="16"/>
      <w:szCs w:val="16"/>
    </w:rPr>
  </w:style>
  <w:style w:type="character" w:customStyle="1" w:styleId="19">
    <w:name w:val="Comment Text Char"/>
    <w:basedOn w:val="12"/>
    <w:link w:val="5"/>
    <w:qFormat/>
    <w:uiPriority w:val="0"/>
    <w:rPr>
      <w:rFonts w:asciiTheme="minorHAnsi" w:hAnsiTheme="minorHAnsi" w:eastAsiaTheme="minorHAnsi" w:cstheme="minorBidi"/>
      <w:lang w:val="en-US" w:eastAsia="en-US"/>
    </w:rPr>
  </w:style>
  <w:style w:type="character" w:customStyle="1" w:styleId="20">
    <w:name w:val="Comment Subject Char"/>
    <w:basedOn w:val="19"/>
    <w:link w:val="10"/>
    <w:qFormat/>
    <w:uiPriority w:val="0"/>
    <w:rPr>
      <w:rFonts w:asciiTheme="minorHAnsi" w:hAnsiTheme="minorHAnsi" w:eastAsiaTheme="minorHAnsi" w:cstheme="minorBidi"/>
      <w:b/>
      <w:bCs/>
      <w:lang w:val="en-US" w:eastAsia="en-US"/>
    </w:rPr>
  </w:style>
  <w:style w:type="character" w:customStyle="1" w:styleId="21">
    <w:name w:val="Unresolved Mention1"/>
    <w:basedOn w:val="12"/>
    <w:semiHidden/>
    <w:unhideWhenUsed/>
    <w:qFormat/>
    <w:uiPriority w:val="99"/>
    <w:rPr>
      <w:color w:val="605E5C"/>
      <w:shd w:val="clear" w:color="auto" w:fill="E1DFDD"/>
    </w:rPr>
  </w:style>
  <w:style w:type="character" w:customStyle="1" w:styleId="22">
    <w:name w:val="Unresolved Mention2"/>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7557</Words>
  <Characters>49250</Characters>
  <Lines>405</Lines>
  <Paragraphs>114</Paragraphs>
  <TotalTime>56</TotalTime>
  <ScaleCrop>false</ScaleCrop>
  <LinksUpToDate>false</LinksUpToDate>
  <CharactersWithSpaces>56799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2026-07-22T15:00:00Z</dcterms:created>
  <dc:creator>Administrator</dc:creator>
  <cp:lastModifiedBy>马作的卢</cp:lastModifiedBy>
  <dcterms:modified xsi:type="dcterms:W3CDTF">2026-08-11T13:56:37Z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eyJoZGlkIjoiYjkyZmNhZmMwYTRkMzdjNDc0ZDBiODA4ZTNmNjg2YzYiLCJ1c2VySWQiOiIyNjY0ODEyNjIifQ==</vt:lpwstr>
  </property>
  <property fmtid="{D5CDD505-2E9C-101B-9397-08002B2CF9AE}" pid="3" name="KSOProductBuildVer">
    <vt:lpwstr>2052-12.1.0.28043</vt:lpwstr>
  </property>
  <property fmtid="{D5CDD505-2E9C-101B-9397-08002B2CF9AE}" pid="4" name="ICV">
    <vt:lpwstr>0F3056F58BC24BC9BA4F5F147378D526_13</vt:lpwstr>
  </property>
  <property fmtid="{D5CDD505-2E9C-101B-9397-08002B2CF9AE}" pid="5" name="GrammarlyDocumentId">
    <vt:lpwstr>31a616e7-9dc4-48a2-91b5-a59692a6cf8c</vt:lpwstr>
  </property>
</Properties>
</file>