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A484B" w:rsidR="006E4797" w:rsidP="001A484B" w:rsidRDefault="00510FEB" w14:paraId="00B9241B" w14:textId="7644F0D1">
      <w:pPr>
        <w:pBdr>
          <w:top w:val="nil"/>
          <w:left w:val="nil"/>
          <w:bottom w:val="nil"/>
          <w:right w:val="nil"/>
          <w:between w:val="nil"/>
        </w:pBdr>
        <w:rPr>
          <w:color w:val="000000"/>
        </w:rPr>
      </w:pPr>
      <w:r w:rsidRPr="001A484B">
        <w:rPr>
          <w:b/>
          <w:color w:val="000000"/>
        </w:rPr>
        <w:t>TITLE:</w:t>
      </w:r>
      <w:r w:rsidRPr="001A484B">
        <w:rPr>
          <w:color w:val="000000"/>
        </w:rPr>
        <w:t xml:space="preserve"> </w:t>
      </w:r>
    </w:p>
    <w:p w:rsidRPr="001A484B" w:rsidR="006E4797" w:rsidP="001A484B" w:rsidRDefault="00510FEB" w14:paraId="59AAC127" w14:textId="6AF51B68">
      <w:r w:rsidRPr="001A484B">
        <w:t>Colony</w:t>
      </w:r>
      <w:r w:rsidRPr="001A484B" w:rsidR="00B51458">
        <w:t xml:space="preserve">-Forming Unit Assay Adapted </w:t>
      </w:r>
      <w:proofErr w:type="gramStart"/>
      <w:r w:rsidRPr="001A484B" w:rsidR="00B51458">
        <w:t>For</w:t>
      </w:r>
      <w:proofErr w:type="gramEnd"/>
      <w:r w:rsidRPr="001A484B" w:rsidR="00B51458">
        <w:t xml:space="preserve"> Patient-Derived Bone Marrow and Peripheral Blood Mononuclear Cells</w:t>
      </w:r>
    </w:p>
    <w:p w:rsidRPr="001A484B" w:rsidR="006E4797" w:rsidP="001A484B" w:rsidRDefault="006E4797" w14:paraId="06C0C87E" w14:textId="77777777">
      <w:pPr>
        <w:rPr>
          <w:b/>
        </w:rPr>
      </w:pPr>
    </w:p>
    <w:p w:rsidRPr="001A484B" w:rsidR="006E4797" w:rsidP="001A484B" w:rsidRDefault="00510FEB" w14:paraId="2CD8481E" w14:textId="151FECA4">
      <w:pPr>
        <w:rPr>
          <w:color w:val="808080"/>
        </w:rPr>
      </w:pPr>
      <w:r w:rsidRPr="001A484B">
        <w:rPr>
          <w:b/>
        </w:rPr>
        <w:t>AUTHORS AND AFFILIATIONS:</w:t>
      </w:r>
    </w:p>
    <w:p w:rsidRPr="001A484B" w:rsidR="008B2930" w:rsidP="001A484B" w:rsidRDefault="00510FEB" w14:paraId="0620978B" w14:textId="43E17896">
      <w:pPr>
        <w:pBdr>
          <w:top w:val="nil"/>
          <w:left w:val="nil"/>
          <w:bottom w:val="nil"/>
          <w:right w:val="nil"/>
          <w:between w:val="nil"/>
        </w:pBdr>
      </w:pPr>
      <w:r w:rsidRPr="001A484B">
        <w:t>Mariapia Riso</w:t>
      </w:r>
      <w:r w:rsidRPr="001A484B">
        <w:rPr>
          <w:vertAlign w:val="superscript"/>
        </w:rPr>
        <w:t>1</w:t>
      </w:r>
      <w:r w:rsidRPr="001A484B" w:rsidR="00A32026">
        <w:rPr>
          <w:vertAlign w:val="superscript"/>
        </w:rPr>
        <w:t>,2,</w:t>
      </w:r>
      <w:r w:rsidRPr="001A484B">
        <w:rPr>
          <w:vertAlign w:val="superscript"/>
        </w:rPr>
        <w:t>3</w:t>
      </w:r>
      <w:r w:rsidRPr="001A484B" w:rsidR="003863D2">
        <w:t>*</w:t>
      </w:r>
      <w:r w:rsidRPr="001A484B">
        <w:t xml:space="preserve">, </w:t>
      </w:r>
      <w:proofErr w:type="spellStart"/>
      <w:r w:rsidRPr="001A484B">
        <w:t>Prachiben</w:t>
      </w:r>
      <w:proofErr w:type="spellEnd"/>
      <w:r w:rsidRPr="001A484B">
        <w:t xml:space="preserve"> Patel</w:t>
      </w:r>
      <w:r w:rsidRPr="001A484B">
        <w:rPr>
          <w:vertAlign w:val="superscript"/>
        </w:rPr>
        <w:t>1</w:t>
      </w:r>
      <w:r w:rsidRPr="001A484B" w:rsidR="00A32026">
        <w:rPr>
          <w:vertAlign w:val="superscript"/>
        </w:rPr>
        <w:t>,2,</w:t>
      </w:r>
      <w:r w:rsidRPr="001A484B">
        <w:rPr>
          <w:vertAlign w:val="superscript"/>
        </w:rPr>
        <w:t>3</w:t>
      </w:r>
      <w:r w:rsidRPr="001A484B">
        <w:t xml:space="preserve">, </w:t>
      </w:r>
      <w:proofErr w:type="spellStart"/>
      <w:r w:rsidRPr="001A484B">
        <w:t>Jinghang</w:t>
      </w:r>
      <w:proofErr w:type="spellEnd"/>
      <w:r w:rsidRPr="001A484B">
        <w:t xml:space="preserve"> Zhang</w:t>
      </w:r>
      <w:r w:rsidRPr="001A484B" w:rsidR="00C70546">
        <w:rPr>
          <w:vertAlign w:val="superscript"/>
        </w:rPr>
        <w:t>4</w:t>
      </w:r>
      <w:r w:rsidRPr="001A484B">
        <w:t>, Aditi Shastri</w:t>
      </w:r>
      <w:r w:rsidRPr="001A484B">
        <w:rPr>
          <w:vertAlign w:val="superscript"/>
        </w:rPr>
        <w:t>1</w:t>
      </w:r>
      <w:r w:rsidRPr="001A484B" w:rsidR="00B36C96">
        <w:rPr>
          <w:vertAlign w:val="superscript"/>
        </w:rPr>
        <w:t>,2,3,5</w:t>
      </w:r>
      <w:r w:rsidRPr="001A484B">
        <w:t>, Samarpana Chakraborty</w:t>
      </w:r>
      <w:r w:rsidRPr="001A484B">
        <w:rPr>
          <w:vertAlign w:val="superscript"/>
        </w:rPr>
        <w:t>1</w:t>
      </w:r>
      <w:r w:rsidRPr="001A484B" w:rsidR="00B36C96">
        <w:rPr>
          <w:vertAlign w:val="superscript"/>
        </w:rPr>
        <w:t>,2,</w:t>
      </w:r>
      <w:r w:rsidRPr="001A484B">
        <w:rPr>
          <w:vertAlign w:val="superscript"/>
        </w:rPr>
        <w:t>3</w:t>
      </w:r>
      <w:r w:rsidRPr="001A484B" w:rsidR="003863D2">
        <w:t>*</w:t>
      </w:r>
    </w:p>
    <w:p w:rsidRPr="001A484B" w:rsidR="008B2930" w:rsidP="001A484B" w:rsidRDefault="008B2930" w14:paraId="2B625616" w14:textId="77777777">
      <w:pPr>
        <w:pBdr>
          <w:top w:val="nil"/>
          <w:left w:val="nil"/>
          <w:bottom w:val="nil"/>
          <w:right w:val="nil"/>
          <w:between w:val="nil"/>
        </w:pBdr>
        <w:rPr>
          <w:u w:val="single"/>
        </w:rPr>
      </w:pPr>
    </w:p>
    <w:p w:rsidRPr="001A484B" w:rsidR="006A41D9" w:rsidP="001A484B" w:rsidRDefault="00510FEB" w14:paraId="42F1026E" w14:textId="2A58DE9E">
      <w:pPr>
        <w:pBdr>
          <w:top w:val="nil"/>
          <w:left w:val="nil"/>
          <w:bottom w:val="nil"/>
          <w:right w:val="nil"/>
          <w:between w:val="nil"/>
        </w:pBdr>
      </w:pPr>
      <w:r w:rsidRPr="001A484B">
        <w:rPr>
          <w:vertAlign w:val="superscript"/>
        </w:rPr>
        <w:t>1</w:t>
      </w:r>
      <w:r w:rsidRPr="001A484B">
        <w:t xml:space="preserve">Department of Developmental &amp; Molecular Biology, </w:t>
      </w:r>
      <w:r w:rsidRPr="001A484B" w:rsidR="0088663B">
        <w:rPr>
          <w:color w:val="000033"/>
          <w:shd w:val="clear" w:color="auto" w:fill="FFFFFF"/>
        </w:rPr>
        <w:t xml:space="preserve">Albert Einstein College of </w:t>
      </w:r>
      <w:proofErr w:type="gramStart"/>
      <w:r w:rsidRPr="001A484B" w:rsidR="0088663B">
        <w:rPr>
          <w:color w:val="000033"/>
          <w:shd w:val="clear" w:color="auto" w:fill="FFFFFF"/>
        </w:rPr>
        <w:t>Medicine</w:t>
      </w:r>
      <w:r w:rsidRPr="001A484B">
        <w:t>,</w:t>
      </w:r>
      <w:r w:rsidRPr="001A484B">
        <w:rPr>
          <w:vertAlign w:val="superscript"/>
        </w:rPr>
        <w:t xml:space="preserve">  </w:t>
      </w:r>
      <w:r w:rsidRPr="001A484B" w:rsidR="006E54AE">
        <w:rPr>
          <w:color w:val="000033"/>
          <w:shd w:val="clear" w:color="auto" w:fill="FFFFFF"/>
        </w:rPr>
        <w:t>Bronx</w:t>
      </w:r>
      <w:proofErr w:type="gramEnd"/>
      <w:r w:rsidRPr="001A484B" w:rsidR="00C70546">
        <w:rPr>
          <w:color w:val="000033"/>
          <w:shd w:val="clear" w:color="auto" w:fill="FFFFFF"/>
        </w:rPr>
        <w:t>,</w:t>
      </w:r>
      <w:r w:rsidRPr="001A484B" w:rsidR="006E54AE">
        <w:rPr>
          <w:color w:val="000033"/>
          <w:shd w:val="clear" w:color="auto" w:fill="FFFFFF"/>
        </w:rPr>
        <w:t xml:space="preserve"> NYC, NY, United States</w:t>
      </w:r>
    </w:p>
    <w:p w:rsidRPr="001A484B" w:rsidR="006E54AE" w:rsidP="001A484B" w:rsidRDefault="00510FEB" w14:paraId="5C8EE463" w14:textId="5D752EC2">
      <w:pPr>
        <w:pBdr>
          <w:top w:val="nil"/>
          <w:left w:val="nil"/>
          <w:bottom w:val="nil"/>
          <w:right w:val="nil"/>
          <w:between w:val="nil"/>
        </w:pBdr>
      </w:pPr>
      <w:r w:rsidRPr="001A484B">
        <w:rPr>
          <w:vertAlign w:val="superscript"/>
        </w:rPr>
        <w:t>2</w:t>
      </w:r>
      <w:r w:rsidRPr="001A484B">
        <w:t xml:space="preserve">Ruth L. and David S. Gottesman Stem Cell Institute, </w:t>
      </w:r>
      <w:r w:rsidRPr="001A484B" w:rsidR="006E54AE">
        <w:rPr>
          <w:color w:val="000033"/>
          <w:shd w:val="clear" w:color="auto" w:fill="FFFFFF"/>
        </w:rPr>
        <w:t xml:space="preserve">Albert Einstein College of </w:t>
      </w:r>
      <w:proofErr w:type="gramStart"/>
      <w:r w:rsidRPr="001A484B" w:rsidR="006E54AE">
        <w:rPr>
          <w:color w:val="000033"/>
          <w:shd w:val="clear" w:color="auto" w:fill="FFFFFF"/>
        </w:rPr>
        <w:t>Medicine</w:t>
      </w:r>
      <w:r w:rsidRPr="001A484B" w:rsidR="006E54AE">
        <w:t>,</w:t>
      </w:r>
      <w:r w:rsidRPr="001A484B" w:rsidR="006E54AE">
        <w:rPr>
          <w:vertAlign w:val="superscript"/>
        </w:rPr>
        <w:t xml:space="preserve">  </w:t>
      </w:r>
      <w:r w:rsidRPr="001A484B" w:rsidR="006E54AE">
        <w:rPr>
          <w:color w:val="000033"/>
          <w:shd w:val="clear" w:color="auto" w:fill="FFFFFF"/>
        </w:rPr>
        <w:t>Bronx</w:t>
      </w:r>
      <w:proofErr w:type="gramEnd"/>
      <w:r w:rsidRPr="001A484B" w:rsidR="00C70546">
        <w:rPr>
          <w:color w:val="000033"/>
          <w:shd w:val="clear" w:color="auto" w:fill="FFFFFF"/>
        </w:rPr>
        <w:t>,</w:t>
      </w:r>
      <w:r w:rsidRPr="001A484B" w:rsidR="006E54AE">
        <w:rPr>
          <w:color w:val="000033"/>
          <w:shd w:val="clear" w:color="auto" w:fill="FFFFFF"/>
        </w:rPr>
        <w:t xml:space="preserve"> NYC, NY, United States</w:t>
      </w:r>
    </w:p>
    <w:p w:rsidRPr="001A484B" w:rsidR="00B148A8" w:rsidP="001A484B" w:rsidRDefault="00510FEB" w14:paraId="3D5914EA" w14:textId="4A99489F">
      <w:pPr>
        <w:pBdr>
          <w:top w:val="nil"/>
          <w:left w:val="nil"/>
          <w:bottom w:val="nil"/>
          <w:right w:val="nil"/>
          <w:between w:val="nil"/>
        </w:pBdr>
        <w:rPr>
          <w:color w:val="000033"/>
          <w:shd w:val="clear" w:color="auto" w:fill="FFFFFF"/>
        </w:rPr>
      </w:pPr>
      <w:r w:rsidRPr="001A484B">
        <w:rPr>
          <w:vertAlign w:val="superscript"/>
        </w:rPr>
        <w:t>3</w:t>
      </w:r>
      <w:r w:rsidRPr="001A484B">
        <w:t xml:space="preserve">Montefiore-Einstein Comprehensive Cancer </w:t>
      </w:r>
      <w:proofErr w:type="gramStart"/>
      <w:r w:rsidRPr="001A484B">
        <w:t xml:space="preserve">Center, </w:t>
      </w:r>
      <w:r w:rsidRPr="001A484B">
        <w:rPr>
          <w:vertAlign w:val="superscript"/>
        </w:rPr>
        <w:t xml:space="preserve"> </w:t>
      </w:r>
      <w:r w:rsidRPr="001A484B" w:rsidR="00B148A8">
        <w:rPr>
          <w:color w:val="000033"/>
          <w:shd w:val="clear" w:color="auto" w:fill="FFFFFF"/>
        </w:rPr>
        <w:t>Albert</w:t>
      </w:r>
      <w:proofErr w:type="gramEnd"/>
      <w:r w:rsidRPr="001A484B" w:rsidR="00B148A8">
        <w:rPr>
          <w:color w:val="000033"/>
          <w:shd w:val="clear" w:color="auto" w:fill="FFFFFF"/>
        </w:rPr>
        <w:t xml:space="preserve"> Einstein College of </w:t>
      </w:r>
      <w:proofErr w:type="gramStart"/>
      <w:r w:rsidRPr="001A484B" w:rsidR="00B148A8">
        <w:rPr>
          <w:color w:val="000033"/>
          <w:shd w:val="clear" w:color="auto" w:fill="FFFFFF"/>
        </w:rPr>
        <w:t>Medicine</w:t>
      </w:r>
      <w:r w:rsidRPr="001A484B" w:rsidR="00B148A8">
        <w:t>,</w:t>
      </w:r>
      <w:r w:rsidRPr="001A484B" w:rsidR="00B148A8">
        <w:rPr>
          <w:vertAlign w:val="superscript"/>
        </w:rPr>
        <w:t xml:space="preserve">  </w:t>
      </w:r>
      <w:r w:rsidRPr="001A484B" w:rsidR="00B148A8">
        <w:rPr>
          <w:color w:val="000033"/>
          <w:shd w:val="clear" w:color="auto" w:fill="FFFFFF"/>
        </w:rPr>
        <w:t>Bronx</w:t>
      </w:r>
      <w:proofErr w:type="gramEnd"/>
      <w:r w:rsidRPr="001A484B" w:rsidR="00C70546">
        <w:rPr>
          <w:color w:val="000033"/>
          <w:shd w:val="clear" w:color="auto" w:fill="FFFFFF"/>
        </w:rPr>
        <w:t>,</w:t>
      </w:r>
      <w:r w:rsidRPr="001A484B" w:rsidR="00B148A8">
        <w:rPr>
          <w:color w:val="000033"/>
          <w:shd w:val="clear" w:color="auto" w:fill="FFFFFF"/>
        </w:rPr>
        <w:t xml:space="preserve"> NYC, NY, United States</w:t>
      </w:r>
    </w:p>
    <w:p w:rsidRPr="001A484B" w:rsidR="00C70546" w:rsidP="001A484B" w:rsidRDefault="00C70546" w14:paraId="48DF277D" w14:textId="31C38B6C">
      <w:pPr>
        <w:pBdr>
          <w:top w:val="nil"/>
          <w:left w:val="nil"/>
          <w:bottom w:val="nil"/>
          <w:right w:val="nil"/>
          <w:between w:val="nil"/>
        </w:pBdr>
      </w:pPr>
      <w:r w:rsidRPr="001A484B">
        <w:rPr>
          <w:vertAlign w:val="superscript"/>
        </w:rPr>
        <w:t>4</w:t>
      </w:r>
      <w:r w:rsidRPr="001A484B">
        <w:t xml:space="preserve">Albert Einstein Flow Cytometry Core, </w:t>
      </w:r>
      <w:r w:rsidRPr="001A484B">
        <w:rPr>
          <w:color w:val="000033"/>
          <w:shd w:val="clear" w:color="auto" w:fill="FFFFFF"/>
        </w:rPr>
        <w:t xml:space="preserve">Albert Einstein College of </w:t>
      </w:r>
      <w:proofErr w:type="gramStart"/>
      <w:r w:rsidRPr="001A484B">
        <w:rPr>
          <w:color w:val="000033"/>
          <w:shd w:val="clear" w:color="auto" w:fill="FFFFFF"/>
        </w:rPr>
        <w:t>Medicine</w:t>
      </w:r>
      <w:r w:rsidRPr="001A484B">
        <w:t>,</w:t>
      </w:r>
      <w:r w:rsidRPr="001A484B">
        <w:rPr>
          <w:vertAlign w:val="superscript"/>
        </w:rPr>
        <w:t xml:space="preserve">  </w:t>
      </w:r>
      <w:r w:rsidRPr="001A484B">
        <w:rPr>
          <w:color w:val="000033"/>
          <w:shd w:val="clear" w:color="auto" w:fill="FFFFFF"/>
        </w:rPr>
        <w:t>Bronx</w:t>
      </w:r>
      <w:proofErr w:type="gramEnd"/>
      <w:r w:rsidRPr="001A484B">
        <w:rPr>
          <w:color w:val="000033"/>
          <w:shd w:val="clear" w:color="auto" w:fill="FFFFFF"/>
        </w:rPr>
        <w:t>, NYC, NY, United States</w:t>
      </w:r>
    </w:p>
    <w:p w:rsidRPr="001A484B" w:rsidR="00C70546" w:rsidP="001A484B" w:rsidRDefault="00C70546" w14:paraId="100B1BAC" w14:textId="7AEE68E1">
      <w:pPr>
        <w:pBdr>
          <w:top w:val="nil"/>
          <w:left w:val="nil"/>
          <w:bottom w:val="nil"/>
          <w:right w:val="nil"/>
          <w:between w:val="nil"/>
        </w:pBdr>
      </w:pPr>
      <w:r w:rsidRPr="001A484B">
        <w:rPr>
          <w:vertAlign w:val="superscript"/>
        </w:rPr>
        <w:t>5</w:t>
      </w:r>
      <w:r w:rsidRPr="001A484B" w:rsidR="00510FEB">
        <w:t xml:space="preserve">Department of Hematology Oncology, Montefiore Medical Center, </w:t>
      </w:r>
      <w:r w:rsidRPr="001A484B">
        <w:rPr>
          <w:color w:val="000033"/>
          <w:shd w:val="clear" w:color="auto" w:fill="FFFFFF"/>
        </w:rPr>
        <w:t xml:space="preserve">Albert Einstein College of </w:t>
      </w:r>
      <w:proofErr w:type="gramStart"/>
      <w:r w:rsidRPr="001A484B">
        <w:rPr>
          <w:color w:val="000033"/>
          <w:shd w:val="clear" w:color="auto" w:fill="FFFFFF"/>
        </w:rPr>
        <w:t>Medicine</w:t>
      </w:r>
      <w:r w:rsidRPr="001A484B">
        <w:t>,</w:t>
      </w:r>
      <w:r w:rsidRPr="001A484B">
        <w:rPr>
          <w:vertAlign w:val="superscript"/>
        </w:rPr>
        <w:t xml:space="preserve">  </w:t>
      </w:r>
      <w:r w:rsidRPr="001A484B">
        <w:rPr>
          <w:color w:val="000033"/>
          <w:shd w:val="clear" w:color="auto" w:fill="FFFFFF"/>
        </w:rPr>
        <w:t>Bronx</w:t>
      </w:r>
      <w:proofErr w:type="gramEnd"/>
      <w:r w:rsidRPr="001A484B">
        <w:rPr>
          <w:color w:val="000033"/>
          <w:shd w:val="clear" w:color="auto" w:fill="FFFFFF"/>
        </w:rPr>
        <w:t>, NYC, NY, United States</w:t>
      </w:r>
    </w:p>
    <w:p w:rsidRPr="001A484B" w:rsidR="008B2930" w:rsidP="001A484B" w:rsidRDefault="008B2930" w14:paraId="4CE1DFB5" w14:textId="77777777">
      <w:pPr>
        <w:pBdr>
          <w:top w:val="nil"/>
          <w:left w:val="nil"/>
          <w:bottom w:val="nil"/>
          <w:right w:val="nil"/>
          <w:between w:val="nil"/>
        </w:pBdr>
      </w:pPr>
    </w:p>
    <w:p w:rsidRPr="001A484B" w:rsidR="009A6EF5" w:rsidP="001A484B" w:rsidRDefault="009A6EF5" w14:paraId="35888EB0" w14:textId="1B2ABBF3">
      <w:pPr>
        <w:pBdr>
          <w:top w:val="nil"/>
          <w:left w:val="nil"/>
          <w:bottom w:val="nil"/>
          <w:right w:val="nil"/>
          <w:between w:val="nil"/>
        </w:pBdr>
      </w:pPr>
      <w:r w:rsidRPr="001A484B">
        <w:t>Email addresses of the co-authors:</w:t>
      </w:r>
    </w:p>
    <w:p w:rsidRPr="001A484B" w:rsidR="00972C1C" w:rsidP="001A484B" w:rsidRDefault="00510FEB" w14:paraId="30B26482" w14:textId="05EE8364">
      <w:pPr>
        <w:pBdr>
          <w:top w:val="nil"/>
          <w:left w:val="nil"/>
          <w:bottom w:val="nil"/>
          <w:right w:val="nil"/>
          <w:between w:val="nil"/>
        </w:pBdr>
      </w:pPr>
      <w:proofErr w:type="spellStart"/>
      <w:r w:rsidRPr="001A484B">
        <w:t>Prachiben</w:t>
      </w:r>
      <w:proofErr w:type="spellEnd"/>
      <w:r w:rsidRPr="001A484B">
        <w:t xml:space="preserve"> Patel</w:t>
      </w:r>
      <w:r w:rsidRPr="001A484B">
        <w:tab/>
      </w:r>
      <w:r w:rsidRPr="001A484B">
        <w:tab/>
      </w:r>
      <w:r w:rsidRPr="001A484B" w:rsidR="009A6EF5">
        <w:t>(</w:t>
      </w:r>
      <w:hyperlink w:history="1" r:id="rId7">
        <w:r w:rsidRPr="001A484B" w:rsidR="009A6EF5">
          <w:rPr>
            <w:rStyle w:val="Hyperlink"/>
          </w:rPr>
          <w:t>prachiben.patel@einsteinmed.edu</w:t>
        </w:r>
      </w:hyperlink>
      <w:r w:rsidRPr="001A484B" w:rsidR="009A6EF5">
        <w:t>)</w:t>
      </w:r>
      <w:r w:rsidRPr="001A484B">
        <w:br/>
      </w:r>
      <w:proofErr w:type="spellStart"/>
      <w:r w:rsidRPr="001A484B">
        <w:t>Jinghang</w:t>
      </w:r>
      <w:proofErr w:type="spellEnd"/>
      <w:r w:rsidRPr="001A484B">
        <w:t xml:space="preserve"> Zhang</w:t>
      </w:r>
      <w:r w:rsidRPr="001A484B">
        <w:tab/>
      </w:r>
      <w:r w:rsidRPr="001A484B">
        <w:tab/>
      </w:r>
      <w:r w:rsidRPr="001A484B" w:rsidR="009A6EF5">
        <w:t>(</w:t>
      </w:r>
      <w:hyperlink w:history="1" r:id="rId8">
        <w:r w:rsidRPr="001A484B" w:rsidR="009A6EF5">
          <w:rPr>
            <w:rStyle w:val="Hyperlink"/>
          </w:rPr>
          <w:t>jinghang.zhang@einsteinmed.edu</w:t>
        </w:r>
      </w:hyperlink>
      <w:r w:rsidRPr="001A484B" w:rsidR="009A6EF5">
        <w:t>)</w:t>
      </w:r>
    </w:p>
    <w:p w:rsidRPr="001A484B" w:rsidR="00830CC7" w:rsidP="001A484B" w:rsidRDefault="00510FEB" w14:paraId="6AFBBB5A" w14:textId="1E687A27">
      <w:pPr>
        <w:pBdr>
          <w:top w:val="nil"/>
          <w:left w:val="nil"/>
          <w:bottom w:val="nil"/>
          <w:right w:val="nil"/>
          <w:between w:val="nil"/>
        </w:pBdr>
      </w:pPr>
      <w:r w:rsidRPr="001A484B">
        <w:t>Aditi Shastri</w:t>
      </w:r>
      <w:r w:rsidRPr="001A484B">
        <w:tab/>
      </w:r>
      <w:r w:rsidRPr="001A484B">
        <w:tab/>
      </w:r>
      <w:r w:rsidRPr="001A484B" w:rsidR="00A30445">
        <w:tab/>
      </w:r>
      <w:r w:rsidRPr="001A484B" w:rsidR="009A6EF5">
        <w:t>(</w:t>
      </w:r>
      <w:hyperlink w:history="1" r:id="rId9">
        <w:r w:rsidRPr="001A484B" w:rsidR="009A6EF5">
          <w:rPr>
            <w:rStyle w:val="Hyperlink"/>
          </w:rPr>
          <w:t>ashastri@montefiore.org</w:t>
        </w:r>
      </w:hyperlink>
      <w:r w:rsidRPr="001A484B" w:rsidR="009A6EF5">
        <w:t>)</w:t>
      </w:r>
    </w:p>
    <w:p w:rsidRPr="001A484B" w:rsidR="00830CC7" w:rsidP="001A484B" w:rsidRDefault="00830CC7" w14:paraId="3E83D88B" w14:textId="77777777">
      <w:pPr>
        <w:pBdr>
          <w:top w:val="nil"/>
          <w:left w:val="nil"/>
          <w:bottom w:val="nil"/>
          <w:right w:val="nil"/>
          <w:between w:val="nil"/>
        </w:pBdr>
      </w:pPr>
    </w:p>
    <w:p w:rsidRPr="001A484B" w:rsidR="00830CC7" w:rsidP="001A484B" w:rsidRDefault="00510FEB" w14:paraId="63171DDE" w14:textId="7F1DFE3E">
      <w:pPr>
        <w:pBdr>
          <w:top w:val="nil"/>
          <w:left w:val="nil"/>
          <w:bottom w:val="nil"/>
          <w:right w:val="nil"/>
          <w:between w:val="nil"/>
        </w:pBdr>
      </w:pPr>
      <w:r w:rsidRPr="001A484B">
        <w:t>*</w:t>
      </w:r>
      <w:r w:rsidRPr="001A484B" w:rsidR="009A6EF5">
        <w:t>C</w:t>
      </w:r>
      <w:r w:rsidRPr="001A484B">
        <w:t>orresponding author</w:t>
      </w:r>
      <w:r w:rsidRPr="001A484B" w:rsidR="00FB2346">
        <w:t>s</w:t>
      </w:r>
      <w:r w:rsidRPr="001A484B" w:rsidR="009A6EF5">
        <w:t>:</w:t>
      </w:r>
    </w:p>
    <w:p w:rsidRPr="001A484B" w:rsidR="009A6EF5" w:rsidP="001A484B" w:rsidRDefault="009A6EF5" w14:paraId="70F5DBB9" w14:textId="716A7D93">
      <w:pPr>
        <w:pBdr>
          <w:top w:val="nil"/>
          <w:left w:val="nil"/>
          <w:bottom w:val="nil"/>
          <w:right w:val="nil"/>
          <w:between w:val="nil"/>
        </w:pBdr>
      </w:pPr>
      <w:r w:rsidRPr="001A484B">
        <w:t>Mariapia Riso</w:t>
      </w:r>
      <w:r w:rsidRPr="001A484B">
        <w:tab/>
      </w:r>
      <w:r w:rsidRPr="001A484B">
        <w:tab/>
      </w:r>
      <w:r w:rsidRPr="001A484B">
        <w:tab/>
      </w:r>
      <w:r w:rsidRPr="001A484B" w:rsidR="00747E77">
        <w:t>(</w:t>
      </w:r>
      <w:hyperlink w:history="1" r:id="rId10">
        <w:r w:rsidRPr="001A484B" w:rsidR="00747E77">
          <w:rPr>
            <w:rStyle w:val="Hyperlink"/>
          </w:rPr>
          <w:t>mariapia.riso@einsteinmed.edu</w:t>
        </w:r>
      </w:hyperlink>
      <w:r w:rsidRPr="001A484B" w:rsidR="00747E77">
        <w:t>)</w:t>
      </w:r>
    </w:p>
    <w:p w:rsidRPr="001A484B" w:rsidR="009A6EF5" w:rsidP="001A484B" w:rsidRDefault="009A6EF5" w14:paraId="3C5260AE" w14:textId="20865956">
      <w:pPr>
        <w:pBdr>
          <w:top w:val="nil"/>
          <w:left w:val="nil"/>
          <w:bottom w:val="nil"/>
          <w:right w:val="nil"/>
          <w:between w:val="nil"/>
        </w:pBdr>
      </w:pPr>
      <w:r w:rsidRPr="001A484B">
        <w:t>Samarpana Chakraborty</w:t>
      </w:r>
      <w:r w:rsidRPr="001A484B">
        <w:tab/>
      </w:r>
      <w:r w:rsidRPr="001A484B" w:rsidR="00747E77">
        <w:t>(</w:t>
      </w:r>
      <w:hyperlink w:history="1" r:id="rId11">
        <w:r w:rsidRPr="001A484B" w:rsidR="00747E77">
          <w:rPr>
            <w:rStyle w:val="Hyperlink"/>
          </w:rPr>
          <w:t>samarpana.chakraborty1@einsteinmed.edu</w:t>
        </w:r>
      </w:hyperlink>
      <w:r w:rsidRPr="001A484B" w:rsidR="00747E77">
        <w:t>)</w:t>
      </w:r>
    </w:p>
    <w:p w:rsidRPr="001A484B" w:rsidR="006E4797" w:rsidP="001A484B" w:rsidRDefault="006E4797" w14:paraId="141ABDE5" w14:textId="77777777">
      <w:pPr>
        <w:pBdr>
          <w:top w:val="nil"/>
          <w:left w:val="nil"/>
          <w:bottom w:val="nil"/>
          <w:right w:val="nil"/>
          <w:between w:val="nil"/>
        </w:pBdr>
        <w:rPr>
          <w:color w:val="000000"/>
        </w:rPr>
      </w:pPr>
    </w:p>
    <w:p w:rsidRPr="001A484B" w:rsidR="006E4797" w:rsidP="001A484B" w:rsidRDefault="00510FEB" w14:paraId="60F3B8D4" w14:textId="2983F1CB">
      <w:r w:rsidRPr="001A484B">
        <w:rPr>
          <w:b/>
        </w:rPr>
        <w:t>SUMMARY:</w:t>
      </w:r>
    </w:p>
    <w:p w:rsidRPr="001A484B" w:rsidR="00C433B2" w:rsidP="001A484B" w:rsidRDefault="00510FEB" w14:paraId="144A2B22" w14:textId="11FC8A94">
      <w:r w:rsidRPr="001A484B">
        <w:t xml:space="preserve">This protocol outlines a procedure for inducing differentiation of human hematopoietic stem and progenitor cells derived from patient bone marrow and peripheral blood mononuclear cells. The assay uses a semisolid culture medium </w:t>
      </w:r>
      <w:r w:rsidRPr="001A484B" w:rsidR="00147600">
        <w:t>supporting</w:t>
      </w:r>
      <w:r w:rsidRPr="001A484B">
        <w:t xml:space="preserve"> erythroid and myeloid lineage commitment and incorporates standardized metrics for reproducible colony classification </w:t>
      </w:r>
      <w:r w:rsidRPr="001A484B" w:rsidR="00907FAC">
        <w:t>for preclinical drug characterization.</w:t>
      </w:r>
    </w:p>
    <w:p w:rsidRPr="001A484B" w:rsidR="006E4797" w:rsidP="001A484B" w:rsidRDefault="006E4797" w14:paraId="74EFC8D7" w14:textId="77777777"/>
    <w:p w:rsidRPr="001A484B" w:rsidR="006E4797" w:rsidP="001A484B" w:rsidRDefault="00510FEB" w14:paraId="2DF8E628" w14:textId="0EC29F83">
      <w:pPr>
        <w:rPr>
          <w:color w:val="808080"/>
        </w:rPr>
      </w:pPr>
      <w:r w:rsidRPr="001A484B">
        <w:rPr>
          <w:b/>
        </w:rPr>
        <w:t>ABSTRACT:</w:t>
      </w:r>
    </w:p>
    <w:p w:rsidRPr="001A484B" w:rsidR="006E4797" w:rsidP="001A484B" w:rsidRDefault="00510FEB" w14:paraId="2CF9CD54" w14:textId="7DCDADE2">
      <w:r w:rsidRPr="001A484B">
        <w:t xml:space="preserve">The colony-forming unit (CFU) assay is a foundational technique for studying hematologic diseases, including myelodysplastic syndromes (MDS) and acute myeloid leukemia (AML). This assay employs semisolid media supplemented with defined cytokine combinations to support three-dimensional growth and lineage-specific differentiation of erythroid and myeloid progenitor cells. However, patient-derived peripheral blood and bone marrow samples present technical challenges due to reduced viability, increased sensitivity to handling, and variability in colony growth. Furthermore, existing guidelines for identifying and counting colonies show substantial variability in defining colony size and lineage types, limiting reproducibility across </w:t>
      </w:r>
      <w:r w:rsidRPr="001A484B">
        <w:lastRenderedPageBreak/>
        <w:t xml:space="preserve">studies. </w:t>
      </w:r>
      <w:r w:rsidRPr="001A484B" w:rsidR="0044325B">
        <w:t xml:space="preserve">The </w:t>
      </w:r>
      <w:r w:rsidRPr="001A484B">
        <w:t xml:space="preserve">protocol </w:t>
      </w:r>
      <w:r w:rsidRPr="001A484B" w:rsidR="0044325B">
        <w:t xml:space="preserve">described herein is </w:t>
      </w:r>
      <w:r w:rsidRPr="001A484B">
        <w:t>optimized for the growth and differentiation of hematopoietic stem and progenitor cells isolated from MDS and AML patient samples. The protocol emphasizes gentle cell handling, sterile processing of patient specimens, optimized culture conditions</w:t>
      </w:r>
      <w:r w:rsidRPr="001A484B" w:rsidR="00BB114B">
        <w:t>,</w:t>
      </w:r>
      <w:r w:rsidRPr="001A484B">
        <w:t xml:space="preserve"> and growth durations tailored to patient-derived cells. This protocol provides a practical framework for CFU assays using patient-derived samples and establishes a standard metric for consistent colony </w:t>
      </w:r>
      <w:r w:rsidRPr="001A484B" w:rsidR="00D8603F">
        <w:t xml:space="preserve">counting and </w:t>
      </w:r>
      <w:r w:rsidRPr="001A484B">
        <w:t>analysis in hematologic malignancy research.</w:t>
      </w:r>
    </w:p>
    <w:p w:rsidRPr="001A484B" w:rsidR="00E95C9A" w:rsidP="001A484B" w:rsidRDefault="00E95C9A" w14:paraId="1271C38C" w14:textId="77777777"/>
    <w:p w:rsidRPr="001A484B" w:rsidR="006E4797" w:rsidP="001A484B" w:rsidRDefault="00510FEB" w14:paraId="0646E204" w14:textId="77D5B4B0">
      <w:pPr>
        <w:rPr>
          <w:color w:val="808080"/>
        </w:rPr>
      </w:pPr>
      <w:r w:rsidRPr="001A484B">
        <w:rPr>
          <w:b/>
        </w:rPr>
        <w:t>INTRODUCTION:</w:t>
      </w:r>
      <w:r w:rsidRPr="001A484B">
        <w:t xml:space="preserve"> </w:t>
      </w:r>
    </w:p>
    <w:p w:rsidRPr="001A484B" w:rsidR="000631EF" w:rsidP="001A484B" w:rsidRDefault="00510FEB" w14:paraId="4F5356FC" w14:textId="011EAE74">
      <w:r w:rsidRPr="001A484B">
        <w:t xml:space="preserve">Hematopoiesis is a tightly regulated process in which hematopoietic stem cells (HSCs) residing in bone marrow niches give rise to all mature blood cell lineages. Through a hierarchical series of differentiation events, HSCs generate multipotent progenitors that progressively commit to erythroid, myeloid, and lymphoid lineages before undergoing terminal maturation into functional circulating blood cells. This process is governed by coordinated signaling within the bone marrow microenvironment and by intrinsic transcriptional and epigenetic regulatory mechanisms. Disruptions to these regulatory pathways, particularly through the accumulation of genetic or somatic mutations in HSCs, can impair normal differentiation and lead to clonal expansion of abnormal progenitors. Such alterations may ultimately result in hematologic disorders characterized by ineffective hematopoiesis and </w:t>
      </w:r>
      <w:proofErr w:type="spellStart"/>
      <w:r w:rsidRPr="001A484B">
        <w:t>cytopenias</w:t>
      </w:r>
      <w:proofErr w:type="spellEnd"/>
      <w:r w:rsidRPr="001A484B">
        <w:t>, including myelodysplastic syndromes (MDS) and acute myeloid leukemia (AML)</w:t>
      </w:r>
      <w:r w:rsidRPr="001A484B">
        <w:fldChar w:fldCharType="begin"/>
      </w:r>
      <w:r w:rsidRPr="001A484B" w:rsidR="00502345">
        <w:instrText xml:space="preserve"> ADDIN ZOTERO_ITEM CSL_CITATION {"citationID":"xUuUgnTV","properties":{"formattedCitation":"\\super 1\\uc0\\u8211{}5\\nosupersub{}","plainCitation":"1–5","noteIndex":0},"citationItems":[{"id":1199,"uris":["http://zotero.org/groups/5570791/items/XLQIUTZB"],"itemData":{"id":1199,"type":"article-journal","abstract":"MDS is characterized by mutations in &gt;40 genes, a complex structure of gene-gene interactions and extensive subclonal diversification.\n            \n            \n              The total number of oncogenic mutations and early detection of subclonal mutations are significant prognostic variables in MDS.\n            \n          \n        , Myelodysplastic syndromes (MDS) are a heterogeneous group of chronic hematological malignancies characterized by dysplasia, ineffective hematopoiesis and a variable risk of progression to acute myeloid leukemia. Sequencing of MDS genomes has identified mutations in genes implicated in RNA splicing, DNA modification, chromatin regulation, and cell signaling. We sequenced 111 genes across 738 patients with MDS or closely related neoplasms (including chronic myelomonocytic leukemia and MDS–myeloproliferative neoplasms) to explore the role of acquired mutations in MDS biology and clinical phenotype. Seventy-eight percent of patients had 1 or more oncogenic mutations. We identify complex patterns of pairwise association between genes, indicative of epistatic interactions involving components of the spliceosome machinery and epigenetic modifiers. Coupled with inferences on subclonal mutations, these data suggest a hypothesis of genetic “predestination,” in which early driver mutations, typically affecting genes involved in RNA splicing, dictate future trajectories of disease evolution with distinct clinical phenotypes. Driver mutations had equivalent prognostic significance, whether clonal or subclonal, and leukemia-free survival deteriorated steadily as numbers of driver mutations increased. Thus, analysis of oncogenic mutations in large, well-characterized cohorts of patients illustrates the interconnections between the cancer genome and disease biology, with considerable potential for clinical application.","container-title":"Blood","DOI":"10.1182/blood-2013-08-518886","ISSN":"0006-4971","issue":"22","journalAbbreviation":"Blood","note":"PMID: 24030381\nPMCID: PMC3837510","page":"3616-3627","source":"PubMed Central","title":"Clinical and biological implications of driver mutations in myelodysplastic syndromes","URL":"https://www.ncbi.nlm.nih.gov/pmc/articles/PMC3837510/","volume":"122","author":[{"family":"Papaemmanuil","given":"Elli"},{"family":"Gerstung","given":"Moritz"},{"family":"Malcovati","given":"Luca"},{"family":"Tauro","given":"Sudhir"},{"family":"Gundem","given":"Gunes"},{"family":"Van Loo","given":"Peter"},{"family":"Yoon","given":"Chris J."},{"family":"Ellis","given":"Peter"},{"family":"Wedge","given":"David C."},{"family":"Pellagatti","given":"Andrea"},{"family":"Shlien","given":"Adam"},{"family":"Groves","given":"Michael John"},{"family":"Forbes","given":"Simon A."},{"family":"Raine","given":"Keiran"},{"family":"Hinton","given":"Jon"},{"family":"Mudie","given":"Laura J."},{"family":"McLaren","given":"Stuart"},{"family":"Hardy","given":"Claire"},{"family":"Latimer","given":"Calli"},{"family":"Della Porta","given":"Matteo G."},{"family":"O’Meara","given":"Sarah"},{"family":"Ambaglio","given":"Ilaria"},{"family":"Galli","given":"Anna"},{"family":"Butler","given":"Adam P."},{"family":"Walldin","given":"Gunilla"},{"family":"Teague","given":"Jon W."},{"family":"Quek","given":"Lynn"},{"family":"Sternberg","given":"Alex"},{"family":"Gambacorti-Passerini","given":"Carlo"},{"family":"Cross","given":"Nicholas C. P."},{"family":"Green","given":"Anthony R."},{"family":"Boultwood","given":"Jacqueline"},{"family":"Vyas","given":"Paresh"},{"family":"Hellstrom-Lindberg","given":"Eva"},{"family":"Bowen","given":"David"},{"family":"Cazzola","given":"Mario"},{"family":"Stratton","given":"Michael R."},{"family":"Campbell","given":"Peter J."}],"accessed":{"date-parts":[["2025",3,10]]},"issued":{"date-parts":[["2013",11,21]]}}},{"id":1294,"uris":["http://zotero.org/groups/5570791/items/URS5LHMC"],"itemData":{"id":1294,"type":"article-journal","abstract":"The pattern of somatic mutations observed at diagnosis of acute myeloid leukemia (AML) has been well-characterized. However, the premalignant mutational landscape of AML and its impact on risk and time to diagnosis is unknown. Here we identified 212 women from the Women’s Health Initiative who were healthy at study baseline, but eventually developed AML during follow-up (median time: 9.6 years). Deep sequencing was performed on peripheral blood DNA of these cases and compared to age-matched controls that did not develop AML. We discovered that mutations in IDH1, IDH2, TP53, DNMT3A, TET2 and spliceosome genes significantly increased the odds of developing AML. All subjects with TP53 mutations (n = 21 out of 21 patients) and IDH1 and IDH2 (n = 15 out of 15 patients) mutations eventually developed AML in our study. The presence of detectable mutations years before diagnosis suggests that there is a period of latency that precedes AML during which early detection, monitoring and interventional studies should be considered.","container-title":"Nature medicine","DOI":"10.1038/s41591-018-0081-z","ISSN":"1078-8956","issue":"7","journalAbbreviation":"Nat Med","note":"PMID: 29988143\nPMCID: PMC6849383","page":"1015-1023","source":"PubMed Central","title":"Somatic mutations precede acute myeloid leukemia years before diagnosis","URL":"https://www.ncbi.nlm.nih.gov/pmc/articles/PMC6849383/","volume":"24","author":[{"family":"Desai","given":"Pinkal"},{"family":"Mencia-Trinchant","given":"Nuria"},{"family":"Savenkov","given":"Oleksandr"},{"family":"Simon","given":"Michael S."},{"family":"Cheang","given":"Gloria"},{"family":"Lee","given":"Sangmin"},{"family":"Samuel","given":"Michael"},{"family":"Ritchie","given":"Ellen K."},{"family":"Guzman","given":"Monica L."},{"family":"Ballman","given":"Karla V."},{"family":"Roboz","given":"Gail J."},{"family":"Hassane","given":"Duane C."}],"accessed":{"date-parts":[["2025",3,26]]},"issued":{"date-parts":[["2018",7]]}}},{"id":1214,"uris":["http://zotero.org/groups/5570791/items/ZYL8P9WS"],"itemData":{"id":1214,"type":"article-journal","abstract":"Hematopoietic stem cell aging, through the acquisition of somatic mutations, gives rise to clonal hematopoiesis (CH). While a high prevalence of CH has been described in otherwise healthy older adults, CH confers an increased risk of both hematologic and non-hematologic diseases. Classification of CH into clonal hematopoiesis of indeterminate potential (CHIP) and clonal cytopenia of undetermined significance (CCUS) further describes this neoplastic myeloid precursor state and stratifies individuals at risk of developing clinically significant complications. The sequential acquisition of driver mutations, such as DNMT3A, TET2, and ASXL1, provide a selective advantage and lead to clonal expansion. Inflammation, microbiome signatures, and external selective pressures also contribute to clonal evolution. Despite significant progress in recent years, the precise molecular mechanisms driving CH transformation to hematologic neoplasms are not well defined. Further understanding of these complex mechanisms may improve risk stratification and introduce therapeutic interventions in CH. Here we discuss the genetic drivers underpinning CH, mechanisms for clonal evolution, and transformation to hematologic neoplasm.","container-title":"Life","DOI":"10.3390/life12081135","ISSN":"2075-1729","issue":"8","language":"en","license":"http://creativecommons.org/licenses/by/3.0/","note":"number: 8\npublisher: Multidisciplinary Digital Publishing Institute","page":"1135","source":"www.mdpi.com","title":"Molecular Pathways in Clonal Hematopoiesis: From the Acquisition of Somatic Mutations to Transformation into Hematologic Neoplasm","title-short":"Molecular Pathways in Clonal Hematopoiesis","URL":"https://www.mdpi.com/2075-1729/12/8/1135","volume":"12","author":[{"family":"Gaulin","given":"Charles"},{"family":"Kelemen","given":"Katalin"},{"family":"Arana Yi","given":"Cecilia"}],"accessed":{"date-parts":[["2025",3,10]]},"issued":{"date-parts":[["2022",8]]}}},{"id":1310,"uris":["http://zotero.org/groups/5570791/items/L3LDQESM"],"itemData":{"id":1310,"type":"article-journal","abstract":"Our understanding of the genetics of acute myeloid leukemia (AML) development from myelodysplastic syndrome (MDS) has advanced significantly as a result of next-generation sequencing technology. Although differences in cell biology and maturation exist between MDS and AML secondary to MDS, these 2 diseases are genetically related. MDS and secondary AML cells harbor mutations in many of the same genes and functional categories, including chromatin modification, DNA methylation, RNA splicing, cohesin complex, transcription factors, cell signaling, and DNA damage, confirming that they are a disease continuum. Differences in the frequency of mutated genes in MDS and secondary AML indicate that the order of mutation acquisition is not random during progression. In almost every case, disease progression is associated with clonal evolution, typically defined by the expansion or emergence of a subclone with a unique set of mutations. Monitoring tumor burden and clonal evolution using sequencing provides advantages over using the blast count, which underestimates tumor burden, and could allow for early detection of disease progression prior to clinical deterioration. In this review, we outline advances in the study of MDS to secondary AML progression, with a focus on the genetics of progression, and discuss the advantages of incorporating molecular genetic data in the diagnosis, classification, and monitoring of MDS to secondary AML progression. Because sequencing is becoming routine in the clinic, ongoing research is needed to define the optimal assay to use in different clinical situations and how the data can be used to improve outcomes for patients with MDS and secondary AML.,","container-title":"Blood","DOI":"10.1182/blood.2019000942","ISSN":"0006-4971","issue":"1","journalAbbreviation":"Blood","note":"PMID: 32430504\nPMCID: PMC7332895","page":"50-60","source":"PubMed Central","title":"Genetics of progression from MDS to secondary leukemia","URL":"https://www.ncbi.nlm.nih.gov/pmc/articles/PMC7332895/","volume":"136","author":[{"family":"Menssen","given":"Andrew J."},{"family":"Walter","given":"Matthew J."}],"accessed":{"date-parts":[["2025",3,27]]},"issued":{"date-parts":[["2020",7,2]]}}},{"id":1246,"uris":["http://zotero.org/groups/5570791/items/42WS7MBG"],"itemData":{"id":1246,"type":"article-journal","abstract":"Clonal expansions driven by somatic mutations become pervasive across human tissues with age, including in the haematopoietic system, where the phenomenon is termed clonal haematopoiesis–. The understanding of how and when clonal haematopoiesis develops, the factors that govern its behaviour, how it interacts with ageing and how these variables relate to malignant progression remains limited,. Here we track 697 clonal haematopoiesis clones from 385 individuals 55 years of age or older over a median of 13 years. We find that 92.4% of clones expanded at a stable exponential rate over the study period, with different mutations driving substantially different growth rates, ranging from 5% (DNMT3A and TP53) to more than 50% per year (SRSF2P95H). Growth rates of clones with the same mutation differed by approximately ±5% per year, proportionately affecting slow drivers more substantially. By combining our time-series data with phylogenetic analysis of 1,731 whole-genome sequences of haematopoietic colonies from 7 individuals from an older age group, we reveal distinct patterns of lifelong clonal behaviour. DNMT3A-mutant clones preferentially expanded early in life and displayed slower growth in old age, in the context of an increasingly competitive oligoclonal landscape. By contrast, splicing gene mutations drove expansion only later in life, whereas TET2-mutant clones emerged across all ages. Finally, we show that mutations driving faster clonal growth carry a higher risk of malignant progression. Our findings characterize the lifelong natural history of clonal haematopoiesis and give fundamental insights into the interactions between somatic mutation, ageing and clonal selection., A long-term study of 385 human donors reports that driver gene mutations and age determine the lifelong dynamics of clonal haematopoiesis","container-title":"Nature","DOI":"10.1038/s41586-022-04785-z","ISSN":"0028-0836","issue":"7913","journalAbbreviation":"Nature","note":"PMID: 35650444\nPMCID: PMC9177423","page":"335-342","source":"PubMed Central","title":"The longitudinal dynamics and natural history of clonal haematopoiesis","URL":"https://www.ncbi.nlm.nih.gov/pmc/articles/PMC9177423/","volume":"606","author":[{"family":"Fabre","given":"Margarete A."},{"family":"Almeida","given":"José Guilherme","non-dropping-particle":"de"},{"family":"Fiorillo","given":"Edoardo"},{"family":"Mitchell","given":"Emily"},{"family":"Damaskou","given":"Aristi"},{"family":"Rak","given":"Justyna"},{"family":"Orrù","given":"Valeria"},{"family":"Marongiu","given":"Michele"},{"family":"Chapman","given":"Michael Spencer"},{"family":"Vijayabaskar","given":"M. S."},{"family":"Baxter","given":"Joanna"},{"family":"Hardy","given":"Claire"},{"family":"Abascal","given":"Federico"},{"family":"Williams","given":"Nicholas"},{"family":"Nangalia","given":"Jyoti"},{"family":"Martincorena","given":"Iñigo"},{"family":"Campbell","given":"Peter J."},{"family":"McKinney","given":"Eoin F."},{"family":"Cucca","given":"Francesco"},{"family":"Gerstung","given":"Moritz"},{"family":"Vassiliou","given":"George S."}],"accessed":{"date-parts":[["2025",3,12]]},"issued":{"date-parts":[["2022"]]}}}],"schema":"https://github.com/citation-style-language/schema/raw/master/csl-citation.json"} </w:instrText>
      </w:r>
      <w:r w:rsidRPr="001A484B">
        <w:fldChar w:fldCharType="separate"/>
      </w:r>
      <w:r w:rsidRPr="001A484B" w:rsidR="00502345">
        <w:rPr>
          <w:vertAlign w:val="superscript"/>
        </w:rPr>
        <w:t>1–5</w:t>
      </w:r>
      <w:r w:rsidRPr="001A484B">
        <w:fldChar w:fldCharType="end"/>
      </w:r>
      <w:r w:rsidRPr="001A484B" w:rsidR="00945619">
        <w:t>.</w:t>
      </w:r>
    </w:p>
    <w:p w:rsidRPr="001A484B" w:rsidR="000631EF" w:rsidP="001A484B" w:rsidRDefault="000631EF" w14:paraId="4B3CEB6C" w14:textId="77777777"/>
    <w:p w:rsidRPr="001A484B" w:rsidR="000631EF" w:rsidP="001A484B" w:rsidRDefault="00510FEB" w14:paraId="7B205AF5" w14:textId="537CD066">
      <w:r w:rsidRPr="001A484B">
        <w:t xml:space="preserve">The colony-forming unit (CFU) assay is a well-established </w:t>
      </w:r>
      <w:r w:rsidRPr="00437611">
        <w:rPr>
          <w:i/>
          <w:iCs/>
        </w:rPr>
        <w:t>in vitro</w:t>
      </w:r>
      <w:r w:rsidRPr="001A484B">
        <w:t xml:space="preserve"> technique for evaluating the differentiation potential of hematopoietic stem and progenitor cells (HSPCs). Originally developed as a short-term assay to measure the proliferative and differentiation capacity of hematopoietic progenitors</w:t>
      </w:r>
      <w:r w:rsidRPr="001A484B">
        <w:fldChar w:fldCharType="begin"/>
      </w:r>
      <w:r w:rsidRPr="001A484B" w:rsidR="00502345">
        <w:instrText xml:space="preserve"> ADDIN ZOTERO_ITEM CSL_CITATION {"citationID":"ksHLCrZb","properties":{"formattedCitation":"\\super 6\\uc0\\u8211{}8\\nosupersub{}","plainCitation":"6–8","noteIndex":0},"citationItems":[{"id":2295,"uris":["http://zotero.org/groups/5570791/items/T2EPNQMS"],"itemData":{"id":2295,"type":"article-journal","abstract":"Hematopoiesis arguably provides the most well-defined role of stem cells in tissue development, maintenance, and repair, largely because of the experimental methods developed over decades of investigation. Assays of hematopoietic stem and progenitor cell potential were developed in the late 1950s-1960s with the first reports of in vivo transplantation into lethally irradiated recipients (Ford et al., 1956; McCulloch and Till, 1960) and clonal growth of hematopoietic bone marrow cells in vitro (Bradley and Metcalf, 1966). These two major assays have undergone substantial refinement but remain the foundation for defining hematopoietic stem cell biology. Here, we provide a brief overview of methods commonly used to analyze hematopoietic stem and progenitor cell content in mice, discuss the limitations of these assays, and provide an in-depth review of the limiting dilution assay (Szilvassy et al., 1990), the best single assay for quantitating HSC content.","container-title":"Cell Stem Cell","DOI":"10.1016/j.stem.2007.08.016","ISSN":"1875-9777","issue":"3","journalAbbreviation":"Cell Stem Cell","language":"eng","note":"PMID: 18371361","page":"263-270","source":"PubMed","title":"Limiting factors in murine hematopoietic stem cell assays","volume":"1","author":[{"family":"Purton","given":"Louise E."},{"family":"Scadden","given":"David T."}],"issued":{"date-parts":[["2007",9,13]]}},"label":"page"},{"id":2287,"uris":["http://zotero.org/groups/5570791/items/G7KUL4TI"],"itemData":{"id":2287,"type":"article-journal","abstract":"Stem cells are special cells with the distinctive capability to self-renew, forming a new pool of undifferentiated stem cells. They are also able to differentiate into lineage-specific cell types that are specialized and matured. Thus, stem cells are considered as the building blocks of tissues and organs in which they reside. Among the many types of stem cells, hematopoietic stem cells (HSCs) are the most studied adult stem cells and are considered as a promising source of cells for applications in the clinical and basic sciences. Historically, research on HSCs was initiated in the 1940s, where in a groundbreaking experiment, intravenously injected bone marrow (BM) cells prevented the death of irradiated mice by restoring blood cell production. Since then, HSCs have been studied and utilized in medical therapies and research for over several decades. Over time, more sophisticated tools have been developed to evaluate the behaviour of specifically purified subsets of hematopoietic cells that have the capacity to produce blood cells. One of the established tools is the colony-forming units (CFUs) assay. This assay facilitates the identification, enumeration, and analysis of colonies formed by differentiated hematopoietic stem and progenitor cells (HSPCs) from myeloid, erythroid and lymphoid lineages. Hence, the CFUs assay is a fundamental in vitro platform that allows functional studies on the lineage potential of an individual HSPCs. The outcomes of such studies are crucial in providing critical insights into hematopoiesis. In this review, we explore the fundamental discoveries concerning the CFUs assay by covering the following aspects: (i) the historical overview of the CFUs assay for the study of clonal hematopoiesis involving multilineage potential of HSPCs, (ii) its use in various experimental models comprising humans, mice/rodents, zebrafish and induced pluripotent stem cells (iPSCs) and (iii) research gaps and future direction concerning the role of CFUs assay in clinical and basic sciences. Overall, the CFUs assay confers a transformative platform for a better understanding of HSPCs biology in governing hematopoiesis.","container-title":"PeerJ","DOI":"10.7717/peerj.18854","ISSN":"2167-8359","journalAbbreviation":"PeerJ","language":"eng","note":"PMID: 39897489\nPMCID: PMC11786707","page":"e18854","source":"PubMed","title":"Hematopoietic stem cell discovery: unveiling the historical and future perspective of colony-forming units assay","title-short":"Hematopoietic stem cell discovery","volume":"13","author":[{"family":"Yusoff","given":"Nur Afizah"},{"family":"Abd Hamid","given":"Zariyantey"},{"family":"Budin","given":"Siti Balkis"},{"family":"Taib","given":"Izatus Shima"}],"issued":{"date-parts":[["2025"]]}},"label":"page"},{"id":2315,"uris":["http://zotero.org/groups/5570791/items/R4GLDWNL"],"itemData":{"id":2315,"type":"article-journal","abstract":"Clonogenic assay or colony formation assay is an in vitro cell survival assay based on the ability of a single cell to grow into a colony. The colony is defined to consist of at least 50 cells. The assay essentially tests every cell in the population for its ability to undergo \"unlimited\" division. Clonogenic assay is the method of choice to determine cell reproductive death after treatment with ionizing radiation, but can also be used to determine the effectiveness of other cytotoxic agents. Only a fraction of seeded cells retains the capacity to produce colonies. Before or after treatment, cells are seeded out in appropriate dilutions to form colonies in 1-3 weeks. Colonies are fixed with glutaraldehyde (6.0% v/v), stained with crystal violet (0.5% w/v) and counted using a stereomicroscope. A method for the analysis of radiation dose-survival curves is included.","container-title":"Nature Protocols","DOI":"10.1038/nprot.2006.339","ISSN":"1750-2799","issue":"5","journalAbbreviation":"Nat Protoc","language":"eng","note":"PMID: 17406473","page":"2315-2319","source":"PubMed","title":"Clonogenic assay of cells in vitro","volume":"1","author":[{"family":"Franken","given":"Nicolaas A. P."},{"family":"Rodermond","given":"Hans M."},{"family":"Stap","given":"Jan"},{"family":"Haveman","given":"Jaap"},{"family":"Bree","given":"Chris","non-dropping-particle":"van"}],"issued":{"date-parts":[["2006"]]}}}],"schema":"https://github.com/citation-style-language/schema/raw/master/csl-citation.json"} </w:instrText>
      </w:r>
      <w:r w:rsidRPr="001A484B">
        <w:fldChar w:fldCharType="separate"/>
      </w:r>
      <w:r w:rsidRPr="001A484B" w:rsidR="00502345">
        <w:rPr>
          <w:vertAlign w:val="superscript"/>
        </w:rPr>
        <w:t>6–8</w:t>
      </w:r>
      <w:r w:rsidRPr="001A484B">
        <w:fldChar w:fldCharType="end"/>
      </w:r>
      <w:r w:rsidRPr="001A484B" w:rsidR="00945619">
        <w:t>,</w:t>
      </w:r>
      <w:r w:rsidRPr="001A484B">
        <w:t xml:space="preserve"> the CFU assay has since become a widely used tool in both clinical and experimental hematology</w:t>
      </w:r>
      <w:r w:rsidRPr="001A484B">
        <w:fldChar w:fldCharType="begin"/>
      </w:r>
      <w:r w:rsidRPr="001A484B" w:rsidR="00502345">
        <w:instrText xml:space="preserve"> ADDIN ZOTERO_ITEM CSL_CITATION {"citationID":"a6GYvvsh","properties":{"formattedCitation":"\\super 9\\nosupersub{}","plainCitation":"9","noteIndex":0},"citationItems":[{"id":2317,"uris":["http://zotero.org/groups/5570791/items/Z69FVQ7E"],"itemData":{"id":2317,"type":"article-journal","abstract":"We aimed to establish a fluorescence intensity-based colony area sweeping method by selecting the area of highest viability among patient-derived cancer cells (PDC) which has high tumor heterogeneity. Five gastric cancer cell lines and PDCs were screened with 24 small molecule compounds using a 3D micropillar/microwell chip. 100 tumor cells per well were immobilized in alginate, treated with the compounds, and then stained and scanned for viable cells. Dose response curves and IC50 values were obtained based on total or selected area intensity based on fluorescence. Unlike homogeneous cell lines, PDC comprised of debris and low-viability cells, which resulted in an inaccurate estimation of cell viability using total fluorescence intensity as determined by high IC50 values. However, the IC50 of these cells was lower and accurate when calculated based on the selected-colony-area method that eliminated the intensity offset associated with the heterogeneous nature of PDC. The selected-colony-area method was optimized to accurately predict drug response in micropillar environment using heterogeneous nature of PDCs.","container-title":"PLoS ONE","DOI":"10.1371/journal.pone.0215080","ISSN":"1932-6203","issue":"4","journalAbbreviation":"PLoS One","note":"PMID: 30995234\nPMCID: PMC6469764","page":"e0215080","source":"PubMed Central","title":"Selective colony area method for heterogeneous patient-derived tumor cell lines in anti-cancer drug screening system","URL":"https://pmc.ncbi.nlm.nih.gov/articles/PMC6469764/","volume":"14","author":[{"family":"Cho","given":"Jang Ho"},{"family":"Kim","given":"Ju-Sun"},{"family":"Kim","given":"Seung Tae"},{"family":"Hong","given":"Jung Yong"},{"family":"Park","given":"Joon Oh"},{"family":"Park","given":"Young Suk"},{"family":"Nam","given":"Do-Hyun"},{"family":"Lee","given":"Dong Woo"},{"family":"Lee","given":"Jeeyun"}],"accessed":{"date-parts":[["2026",3,4]]},"issued":{"date-parts":[["2019",4,17]]}}}],"schema":"https://github.com/citation-style-language/schema/raw/master/csl-citation.json"} </w:instrText>
      </w:r>
      <w:r w:rsidRPr="001A484B">
        <w:fldChar w:fldCharType="separate"/>
      </w:r>
      <w:r w:rsidRPr="001A484B" w:rsidR="00502345">
        <w:rPr>
          <w:vertAlign w:val="superscript"/>
        </w:rPr>
        <w:t>9</w:t>
      </w:r>
      <w:r w:rsidRPr="001A484B">
        <w:fldChar w:fldCharType="end"/>
      </w:r>
      <w:r w:rsidRPr="001A484B" w:rsidR="00945619">
        <w:t>.</w:t>
      </w:r>
      <w:r w:rsidRPr="001A484B">
        <w:t xml:space="preserve"> In preclinical laboratory settings, the assay is frequently used to assess the impact of genetic perturbations or candidate therapeutics on hematopoietic differentiation. Within the context of MDS and AML research, CFU assays provide a functional readout for understanding how molecular and genetic alterations influence the differentiation capacity of patient-derived bone marrow or peripheral blood cells.</w:t>
      </w:r>
    </w:p>
    <w:p w:rsidRPr="001A484B" w:rsidR="000631EF" w:rsidP="001A484B" w:rsidRDefault="000631EF" w14:paraId="234E6935" w14:textId="77777777"/>
    <w:p w:rsidRPr="001A484B" w:rsidR="000631EF" w:rsidP="001A484B" w:rsidRDefault="00510FEB" w14:paraId="1226E801" w14:textId="3CA0DA6E">
      <w:r w:rsidRPr="001A484B">
        <w:t>The CFU assay involves culturing HSPCs in a methylcellulose-based semisolid medium supplemented with defined growth factors that support lineage-specific expansion and differentiation. Under these conditions, progenitor cells proliferate and give rise to discrete colonies</w:t>
      </w:r>
      <w:r w:rsidRPr="001A484B" w:rsidR="00B64D34">
        <w:t>,</w:t>
      </w:r>
      <w:r w:rsidRPr="001A484B">
        <w:t xml:space="preserve"> which can be morphologically classified according to lineage identity. </w:t>
      </w:r>
      <w:r w:rsidRPr="001A484B" w:rsidR="00AC4CEF">
        <w:t xml:space="preserve">A commercially available methylcellulose-based semisolid medium optimized for erythroid and myeloid differentiation is utilized in this protocol. The medium </w:t>
      </w:r>
      <w:r w:rsidRPr="001A484B">
        <w:t>contains a combination of cytokines</w:t>
      </w:r>
      <w:r w:rsidRPr="001A484B" w:rsidR="00B64D34">
        <w:t>,</w:t>
      </w:r>
      <w:r w:rsidRPr="001A484B">
        <w:t xml:space="preserve"> including interleukin-3 (IL-3), interleukin-6 (IL-6), stem cell factor (SCF), erythropoietin (EPO), granulocyte colony-stimulating factor (G-CSF), and granulocyte-macrophage colony-stimulating factor (GM-CSF). Together, these factors support the growth of erythroid progenitors such as </w:t>
      </w:r>
      <w:r w:rsidRPr="001A484B" w:rsidR="0018268C">
        <w:t xml:space="preserve">colony-forming unit-erythroid (CFU-E) and </w:t>
      </w:r>
      <w:r w:rsidRPr="001A484B">
        <w:t>burst-forming unit-erythroid (BFU-E), myeloid granulocyte-macrophage progenitors (CFU-GM)</w:t>
      </w:r>
      <w:r w:rsidRPr="001A484B" w:rsidR="00106CDA">
        <w:t>, and m</w:t>
      </w:r>
      <w:r w:rsidRPr="001A484B">
        <w:t>ultipotent progenitors such as</w:t>
      </w:r>
      <w:r w:rsidRPr="001A484B" w:rsidR="0053018A">
        <w:t xml:space="preserve"> granulocyte, </w:t>
      </w:r>
      <w:r w:rsidRPr="001A484B" w:rsidR="000C6047">
        <w:t>erythrocyte, monocyte, megakaryocyte progenitors (</w:t>
      </w:r>
      <w:r w:rsidRPr="001A484B">
        <w:t>CFU-GEMM</w:t>
      </w:r>
      <w:r w:rsidRPr="001A484B" w:rsidR="00106CDA">
        <w:fldChar w:fldCharType="begin"/>
      </w:r>
      <w:r w:rsidRPr="001A484B" w:rsidR="00DC4DEA">
        <w:instrText xml:space="preserve"> ADDIN ZOTERO_ITEM CSL_CITATION {"citationID":"GTmD0qlf","properties":{"formattedCitation":"\\super 10,11\\nosupersub{}","plainCitation":"10,11","noteIndex":0},"citationItems":[{"id":2392,"uris":["http://zotero.org/groups/5570791/items/TD5774BP"],"itemData":{"id":2392,"type":"article-journal","abstract":"To study the role of different cytokine combinations on the proliferation and differentiation of highly purified primitive progenitor cells, a serum-free liquid culture system was used in combination with phenotypic and functional analysis of the cells produced in culture. CD34+ CD45RAlo CD71lo cells, purified from umbilical cord blood by flow cytometry and cell sorting, were selected for this study because of their high content of clonogenic cells (34%), particularly multipotent progenitors (CFU-MIX, 12% of all cells). Four cytokine combinations were tested: (1) mast cell growth factor (MGF; a c-kit ligand) and interleukin-6 (IL-6); (2) MGF, IL-6, IL-3, and erythropoietin (Epo); (3) MGF, IL-6, granulocyte-macrophage colony-stimulating factor (GM-CSF)/IL-3 fusion protein (FP), macrophage colony-stimulating factor (M-CSF), and granulocyte-CSF (G-CSF); and (4) MGF, IL-6, FP, M-CSF, G-CSF, and Epo. Maximum numbers of erythroid progenitors (BFU-E, up to 55-fold increase) and mature erythroid cells were observed in the presence of MGF, IL-6, IL-3, and Epo, whereas maximum levels of myeloid progenitors (CFU-C, up to 70-fold increase) and mature myeloid cells were found in cultures supplemented with MGF, IL-6, FP, M-CSF, and G-CSF. When MGF, IL-6, FP, M-CSF, G-CSF, and Epo were present, maximum levels of both erythroid and myeloid progenitors and their progeny were observed. These results indicate that specific cytokine combinations can act directly on primitive hematopoietic cells resulting in significant expansion of progenitor cell numbers and influencing their overall patterns of proliferation and differentiation. Furthermore, the observations presented in this study suggest that the cytokine combinations used were unable to bias lineage commitment of multipotent progenitors, but rather had a permissive effect on the development of lineage-restricted clonogenic cells.","container-title":"Blood","ISSN":"0006-4971","issue":"12","journalAbbreviation":"Blood","language":"eng","note":"PMID: 7685200","page":"3252-3258","source":"PubMed","title":"Cytokine-induced selective expansion and maturation of erythroid versus myeloid progenitors from purified cord blood precursor cells","volume":"81","author":[{"family":"Mayani","given":"H."},{"family":"Dragowska","given":"W."},{"family":"Lansdorp","given":"P. M."}],"issued":{"date-parts":[["1993",6,15]]}},"label":"page"},{"id":2399,"uris":["http://zotero.org/groups/5570791/items/ZQW2WTW4"],"itemData":{"id":2399,"type":"document","call-number":"28404","note":"version 4.6.0","title":"Human Colony-Forming  Unit (CFU) Assays Using  MethoCult™","author":[{"family":"STEMCELL TECHNOLOGIES","given":""}]}}],"schema":"https://github.com/citation-style-language/schema/raw/master/csl-citation.json"} </w:instrText>
      </w:r>
      <w:r w:rsidRPr="001A484B" w:rsidR="00106CDA">
        <w:fldChar w:fldCharType="separate"/>
      </w:r>
      <w:r w:rsidRPr="001A484B" w:rsidR="00DC4DEA">
        <w:rPr>
          <w:vertAlign w:val="superscript"/>
        </w:rPr>
        <w:t>10,11</w:t>
      </w:r>
      <w:r w:rsidRPr="001A484B" w:rsidR="00106CDA">
        <w:fldChar w:fldCharType="end"/>
      </w:r>
      <w:r w:rsidRPr="001A484B" w:rsidR="00106CDA">
        <w:t>.</w:t>
      </w:r>
    </w:p>
    <w:p w:rsidRPr="001A484B" w:rsidR="000631EF" w:rsidP="001A484B" w:rsidRDefault="000631EF" w14:paraId="799F285B" w14:textId="77777777"/>
    <w:p w:rsidRPr="001A484B" w:rsidR="000631EF" w:rsidP="001A484B" w:rsidRDefault="00510FEB" w14:paraId="69DC1B86" w14:textId="137B8897">
      <w:r w:rsidRPr="001A484B">
        <w:t xml:space="preserve">Despite its broad utility, </w:t>
      </w:r>
      <w:r w:rsidRPr="001A484B" w:rsidR="00AC4CEF">
        <w:t>the above-mentioned semisolid medium</w:t>
      </w:r>
      <w:r w:rsidRPr="001A484B">
        <w:t xml:space="preserve"> is limited in its differentiation </w:t>
      </w:r>
      <w:r w:rsidRPr="001A484B">
        <w:lastRenderedPageBreak/>
        <w:t xml:space="preserve">capacity, as it does not adequately support differentiation of megakaryocytes and platelets. For these applications, more specialized formulations </w:t>
      </w:r>
      <w:r w:rsidRPr="001A484B" w:rsidR="00B86F77">
        <w:t xml:space="preserve">containing platelet </w:t>
      </w:r>
      <w:r w:rsidRPr="001A484B" w:rsidR="00E14145">
        <w:t xml:space="preserve">growth factors </w:t>
      </w:r>
      <w:r w:rsidRPr="001A484B">
        <w:t>are more appropriate</w:t>
      </w:r>
      <w:r w:rsidRPr="001A484B" w:rsidR="00975D16">
        <w:t>;</w:t>
      </w:r>
      <w:r w:rsidRPr="001A484B">
        <w:t xml:space="preserve"> however</w:t>
      </w:r>
      <w:r w:rsidRPr="001A484B" w:rsidR="00975D16">
        <w:t>, they</w:t>
      </w:r>
      <w:r w:rsidRPr="001A484B">
        <w:t xml:space="preserve"> </w:t>
      </w:r>
      <w:r w:rsidRPr="001A484B" w:rsidR="00616316">
        <w:t xml:space="preserve">are </w:t>
      </w:r>
      <w:r w:rsidRPr="001A484B">
        <w:t>out of scope for</w:t>
      </w:r>
      <w:r w:rsidRPr="001A484B" w:rsidR="00DF359D">
        <w:t xml:space="preserve"> t</w:t>
      </w:r>
      <w:r w:rsidRPr="001A484B" w:rsidR="00C32A25">
        <w:t xml:space="preserve">he </w:t>
      </w:r>
      <w:r w:rsidRPr="001A484B">
        <w:t>outlined protocol. Overall, through careful selection of media formulation combined with morphological assessment and downstream analyses such as flow cytometry, researchers can effectively evaluate</w:t>
      </w:r>
      <w:r w:rsidRPr="001A484B" w:rsidR="00055721">
        <w:t xml:space="preserve"> drug sensitivity through analysis of</w:t>
      </w:r>
      <w:r w:rsidRPr="001A484B">
        <w:t xml:space="preserve"> lineage commitment and differentiation potential</w:t>
      </w:r>
      <w:r w:rsidRPr="001A484B" w:rsidR="00870DEA">
        <w:fldChar w:fldCharType="begin"/>
      </w:r>
      <w:r w:rsidRPr="001A484B" w:rsidR="00DC4DEA">
        <w:instrText xml:space="preserve"> ADDIN ZOTERO_ITEM CSL_CITATION {"citationID":"p4NUVJBw","properties":{"formattedCitation":"\\super 12\\nosupersub{}","plainCitation":"12","noteIndex":0},"citationItems":[{"id":2394,"uris":["http://zotero.org/groups/5570791/items/ZYJCK3CM"],"itemData":{"id":2394,"type":"article-journal","abstract":"Predictive in vitro hematotoxicity assays using human cells will provide estimation of tolerable level and aid considerably the development of agents with greater therapeutic activity and less toxicity. Human hematopoietic cells can be derived from three sources: human bone marrow by sternal or femoral aspiration, mobilized peripheral blood, or umbilical cord blood samples collected from placentas after deliveries. Because of the difficulties to have a continuous supply of bone marrow cells from normal human donors and the related ethical problems, we performed a study to compare the sensitivity of human bone marrow cells (h-BMC) and human cord blood cells (h-CBC) to chemicals in order to confirm if h-CBC can readily replace bone marrow cells in checking the sensitivity of GM-CFU progenitors to drugs as preliminarily reported in literature. Our results showed that the prediction of IC50 values in human model is quite similar by using h-BMC or h-CBC. On the contrary, the type of medium influenced in a significant way the ICs determination of some drugs.","container-title":"Experimental Hematology","DOI":"10.1016/s0301-472x(99)00107-1","ISSN":"0301-472X","issue":"11","journalAbbreviation":"Exp Hematol","language":"eng","note":"PMID: 10560906","page":"1593-1598","source":"PubMed","title":"Comparison of in vitro drug-sensitivity of human granulocyte-macrophage progenitors from two different origins: umbilical cord blood and bone marrow","title-short":"Comparison of in vitro drug-sensitivity of human granulocyte-macrophage progenitors from two different origins","volume":"27","author":[{"family":"Gribaldo","given":"L."},{"family":"Casati","given":"S."},{"family":"Castoldi","given":"A. F."},{"family":"Pessina","given":"A."}],"issued":{"date-parts":[["1999",11]]}}}],"schema":"https://github.com/citation-style-language/schema/raw/master/csl-citation.json"} </w:instrText>
      </w:r>
      <w:r w:rsidRPr="001A484B" w:rsidR="00870DEA">
        <w:fldChar w:fldCharType="separate"/>
      </w:r>
      <w:r w:rsidRPr="001A484B" w:rsidR="00DC4DEA">
        <w:rPr>
          <w:vertAlign w:val="superscript"/>
        </w:rPr>
        <w:t>12</w:t>
      </w:r>
      <w:r w:rsidRPr="001A484B" w:rsidR="00870DEA">
        <w:fldChar w:fldCharType="end"/>
      </w:r>
      <w:r w:rsidRPr="001A484B" w:rsidR="00870DEA">
        <w:t>.</w:t>
      </w:r>
    </w:p>
    <w:p w:rsidRPr="001A484B" w:rsidR="000631EF" w:rsidP="001A484B" w:rsidRDefault="000631EF" w14:paraId="3C18D63F" w14:textId="77777777"/>
    <w:p w:rsidRPr="001A484B" w:rsidR="000631EF" w:rsidP="001A484B" w:rsidRDefault="00510FEB" w14:paraId="14AF1401" w14:textId="1B71942A">
      <w:r w:rsidRPr="001A484B">
        <w:t xml:space="preserve">In this study, the CFU assay is used to investigate the therapeutic potential of combination therapies for </w:t>
      </w:r>
      <w:r w:rsidRPr="001A484B" w:rsidR="00975D16">
        <w:t xml:space="preserve">the </w:t>
      </w:r>
      <w:r w:rsidRPr="001A484B">
        <w:t>treatment of relapsed/refractory high-risk MDS. Pyrimethamine is a clinically approved antifolate used to treat toxoplasmosis and parasitic malaria, and has recently been studied as an anti-cancer agent</w:t>
      </w:r>
      <w:r w:rsidRPr="001A484B">
        <w:fldChar w:fldCharType="begin"/>
      </w:r>
      <w:r w:rsidRPr="001A484B" w:rsidR="00DC4DEA">
        <w:instrText xml:space="preserve"> ADDIN ZOTERO_ITEM CSL_CITATION {"citationID":"7Qnz5pkc","properties":{"formattedCitation":"\\super 13\\uc0\\u8211{}15\\nosupersub{}","plainCitation":"13–15","noteIndex":0},"citationItems":[{"id":2377,"uris":["http://zotero.org/groups/5570791/items/62JXGYCM"],"itemData":{"id":2377,"type":"article-journal","abstract":"Pharmacological inhibition of dihydrofolate reductase (DHFR) is an established approach for treating a variety of human diseases, including foreign infections and cancer. However, treatment with classic DHFR inhibitors, such as methotrexate (MTX), are associated with negative side-effects and resistance mechanisms that have prompted the search for alternatives. The DHFR inhibitor pyrimethamine (Pyr) has compelling anti-cancer activity in in vivo models, but lacks potency compared to MTX, thereby requiring higher concentrations to induce therapeutic responses. The purpose of this work was to investigate structural analogues of Pyr to improve its in vitro and cellular activity. A series of 36 Pyr analogues were synthesized and tested in a sequence of in vitro and cell-based assays to monitor their DHFR inhibitory activity, cellular target engagement, and impact on breast cancer cell viability. Ten top compounds were identified, two of which stood out as potential lead candidates, 32 and 34. These functionalized Pyr analogues potently engaged DHFR in cells, at concentrations as low as 1 nM and represent promising DHFR inhibitors that could be further explored as potential anti-cancer agents.","container-title":"European Journal of Medicinal Chemistry","DOI":"10.1016/j.ejmech.2023.115971","ISSN":"0223-5234","journalAbbreviation":"European Journal of Medicinal Chemistry","page":"115971","source":"ScienceDirect","title":"Investigating the anti-cancer potential of pyrimethamine analogues through a modern chemical biology lens","URL":"https://www.sciencedirect.com/science/article/pii/S0223523423009388","volume":"264","author":[{"family":"Brown","given":"Jennifer I."},{"family":"Persaud","given":"Rosanne"},{"family":"Iliev","given":"Petar"},{"family":"Karmacharya","given":"Ujjwala"},{"family":"Attarha","given":"Sanaz"},{"family":"Sahile","given":"Henok"},{"family":"Olsen","given":"Jonas E."},{"family":"Hanke","given":"Danielle"},{"family":"Idowu","given":"Temilolu"},{"family":"Frank","given":"David A."},{"family":"Frankel","given":"Adam"},{"family":"Williams","given":"Karla C."},{"family":"Page","given":"Brent D. G."}],"accessed":{"date-parts":[["2026",3,16]]},"issued":{"date-parts":[["2024",1,15]]}}},{"id":2385,"uris":["http://zotero.org/groups/5570791/items/NCAZQGF2"],"itemData":{"id":2385,"type":"article-journal","abstract":"Pyrimethamine (Pyr), an antimalarial drug that targeting plasmodium dihydrofolate reductase (pDHFR), has been proved to have antitumor activity. However, its direct target on cancer cells remains unclear. Methotrexate (MTX) is a widely used anticancer drug that blocks human dihydrofolate reductase (hDHFR). In this work, we examined the anticancer effects of Pyr in vitro and in vivo Our results showed that hDHFR and pDHFR have similar secondary and three-dimensional structures and that Pyr can inhibit the activity of hDHFR in lung cancer cells. Although Pyr and MTX can inhibit the proliferation of lung cancer cells by targeting DHFR, only Pyr can inhibit the epithelial-mesenchymal transition (EMT), metastasis and invasion of lung cancer cells. These results indicated that hDHFR is not the only target of Pyr. We further found that thymidine phosphorylase (TP), an enzyme that is closely associated with the EMT of cancer cells, is also a target protein of Pyr. The data retrieved from the Cancer Genome Atlas (TCGA) database revealed that TP overexpression is associated with poor prognosis of patients with lung cancer. In conclusion, Pyr plays a dual role in antitumor proliferation and metastasis by targeting DHFR and TP. Pyr may have potential clinical applications for the treatment of lung cancer.","container-title":"Molecular Cancer Therapeutics","DOI":"10.1158/1535-7163.MCT-18-0936","ISSN":"1538-8514","issue":"3","journalAbbreviation":"Mol Cancer Ther","language":"eng","note":"PMID: 30642883","page":"541-555","source":"PubMed","title":"Antimalarial Drug Pyrimethamine Plays a Dual Role in Antitumor Proliferation and Metastasis through Targeting DHFR and TP","volume":"18","author":[{"family":"Liu","given":"Huijuan"},{"family":"Qin","given":"Yuan"},{"family":"Zhai","given":"Denghui"},{"family":"Zhang","given":"Qiang"},{"family":"Gu","given":"Ju"},{"family":"Tang","given":"Yuanhao"},{"family":"Yang","given":"Jiahuan"},{"family":"Li","given":"Kun"},{"family":"Yang","given":"Lan"},{"family":"Chen","given":"Shuang"},{"family":"Zhong","given":"Weilong"},{"family":"Meng","given":"Jing"},{"family":"Liu","given":"Yanrong"},{"family":"Sun","given":"Tao"},{"family":"Yang","given":"Cheng"}],"issued":{"date-parts":[["2019",3]]}}},{"id":2381,"uris":["http://zotero.org/groups/5570791/items/LJALEC8F"],"itemData":{"id":2381,"type":"article-journal","abstract":"The transcription factor signal activator and transducer or transcription (STAT3), which regulates genes controlling proliferation, survival, and invasion, is activated inappropriately in many human cancers, including breast cancer. Activation of STAT3 can lead to both malignant cellular behavior and suppression of immune cell function in the tumor microenvironment. Through a chemical-biology screen, pyrimethamine (PYR), an FDA approved anti-microbial drug, was identified as an inhibitor of STAT3 function at concentrations known to be achieved safely in humans. We report that PYR shows therapeutic activity in two independent mouse models of breast cancer, with both direct tumor inhibitory and immune stimulatory effects. PYR-inhibited STAT3 activity in TUBO and TM40D-MB metastatic breast cancer cells in vitro and inhibited tumor cell proliferation and invasion into Matrigel basement membrane matrix. In tumor-transplanted mice, PYR had both direct and indirect tumor inhibitory effects. Tumor-bearing mice treated with PYR showed reduced STAT3 activation in tumor cells, attenuated tumor growth, and reduced tumor-associated inflammation. In addition, expression of Lamp1 by tumor infiltrating CD8+ T cells was elevated, indicating enhanced release of cytotoxic granules. These findings suggest that PYR may have beneficial effects in the treatment of breast cancer.","container-title":"Cancer Immunology, Immunotherapy","DOI":"10.1007/s00262-017-2057-0","ISSN":"1432-0851","issue":"1","journalAbbreviation":"Cancer Immunol Immunother","language":"en","page":"13-23","source":"Springer Link","title":"The STAT3 inhibitor pyrimethamine displays anti-cancer and immune stimulatory effects in murine models of breast cancer","URL":"https://doi.org/10.1007/s00262-017-2057-0","volume":"67","author":[{"family":"Khan","given":"Mohammad W."},{"family":"Saadalla","given":"Abdulrahman"},{"family":"Ewida","given":"Ahmed H."},{"family":"Al-Katranji","given":"Khalid"},{"family":"Al-Saoudi","given":"Ghadier"},{"family":"Giaccone","given":"Zachary T."},{"family":"Gounari","given":"Fotini"},{"family":"Zhang","given":"Ming"},{"family":"Frank","given":"David A."},{"family":"Khazaie","given":"Khashayarsha"}],"accessed":{"date-parts":[["2026",3,16]]},"issued":{"date-parts":[["2018",1,1]]}}}],"schema":"https://github.com/citation-style-language/schema/raw/master/csl-citation.json"} </w:instrText>
      </w:r>
      <w:r w:rsidRPr="001A484B">
        <w:fldChar w:fldCharType="separate"/>
      </w:r>
      <w:r w:rsidRPr="001A484B" w:rsidR="00DC4DEA">
        <w:rPr>
          <w:vertAlign w:val="superscript"/>
        </w:rPr>
        <w:t>13–15</w:t>
      </w:r>
      <w:r w:rsidRPr="001A484B">
        <w:fldChar w:fldCharType="end"/>
      </w:r>
      <w:r w:rsidRPr="001A484B" w:rsidR="00945619">
        <w:t>.</w:t>
      </w:r>
      <w:r w:rsidRPr="001A484B">
        <w:t xml:space="preserve"> </w:t>
      </w:r>
      <w:r w:rsidRPr="001A484B" w:rsidR="00B50B9A">
        <w:t xml:space="preserve">Recent studies have </w:t>
      </w:r>
      <w:r w:rsidRPr="001A484B">
        <w:t>demonstrated that pyrimethamine treatment may act through inhibition of key pathways that regulate de novo pyrimidine synthesis</w:t>
      </w:r>
      <w:r w:rsidRPr="001A484B">
        <w:fldChar w:fldCharType="begin"/>
      </w:r>
      <w:r w:rsidRPr="001A484B" w:rsidR="00DC4DEA">
        <w:instrText xml:space="preserve"> ADDIN ZOTERO_ITEM CSL_CITATION {"citationID":"KbL8u2Co","properties":{"formattedCitation":"\\super 16\\nosupersub{}","plainCitation":"16","noteIndex":0},"citationItems":[{"id":2376,"uris":["http://zotero.org/groups/5570791/items/8YWXVYSI"],"itemData":{"id":2376,"type":"article-journal","abstract":"The DNA hypomethylating agents (HMAs) 5-azacitidine and decitabine are the backbone of disease modifying therapy in myelodysplastic syndromes (MDS). Resistance to therapy often develops by upregulation of de novo pyrimidine synthesis, which competes directly with the DNMT1-depleting nucleotide Aza-dCTP by building natural cytidines and deoxycytidines from amino acid building blocks. Inhibition of de novo pyrimidine synthesis can restore sensitivity of leukemic stem cells to therapy. Here we demonstrate that pyrimethamine (PYR), a Food and Drug Administration–approved antiparasitic, antifolate agent causes apoptosis in multiple leukemic cell lines, has synergy with venetoclax (Ven) and additive effect with HMA’s in HMA and Ven-resistant leukemic cell lines as well as murine models. It increases differentiation of stem and progenitor populations in primary samples of patients with MDS and is able to directly inhibit de novo pyrimidine synthesis thereby overcoming one of the primary mechanisms of HMA resistance. In combination with Ven, it also downregulates multiple enzymes implicated in pyrimidine synthesis.","container-title":"Experimental Hematology","DOI":"10.1016/j.exphem.2026.105382","ISSN":"0301-472X","journalAbbreviation":"Experimental Hematology","page":"105382","source":"ScienceDirect","title":"Pyrimethamine overcomes resistance to hypomethylating agents by reducing de novo pyrimidine synthesis","URL":"https://www.sciencedirect.com/science/article/pii/S0301472X26000159","author":[{"family":"Rivera-Peña","given":"Bianca"},{"family":"Chakraborty","given":"Samarpana"},{"family":"Shi","given":"Yang"},{"family":"Zhang","given":"Hui"},{"family":"Desai","given":"Sudhamsh Reddy"},{"family":"Patel","given":"Prachiben P."},{"family":"Sun","given":"Yan"},{"family":"Zhao","given":"Rongbao"},{"family":"Choudhary","given":"Gaurav"},{"family":"Mitchell","given":"Shanisha Gordon"},{"family":"Pradhan","given":"Kith"},{"family":"Zhang","given":"Jinghang"},{"family":"Zhang","given":"Xiaoyi"},{"family":"Fu","given":"Bowen"},{"family":"Lopez","given":"Reinaldo"},{"family":"Tošić","given":"Isidora"},{"family":"Aluri","given":"Srinivas"},{"family":"Schinke","given":"Carolina"},{"family":"Wysota","given":"Michael"},{"family":"King","given":"Zoe"},{"family":"Varshavsky","given":"Asya"},{"family":"Feld","given":"Jonathan"},{"family":"Carbajal","given":"Milagros"},{"family":"Ramachandra","given":"Nandini"},{"family":"Verma","given":"Amit"},{"family":"Goldfinger","given":"Mendel"},{"family":"Sidoli","given":"Simone"},{"family":"Frank","given":"David A."},{"family":"Saunthararajah","given":"Yogen"},{"family":"Shastri","given":"Aditi"}],"accessed":{"date-parts":[["2026",3,16]]},"issued":{"date-parts":[["2026",1,31]]}}}],"schema":"https://github.com/citation-style-language/schema/raw/master/csl-citation.json"} </w:instrText>
      </w:r>
      <w:r w:rsidRPr="001A484B">
        <w:fldChar w:fldCharType="separate"/>
      </w:r>
      <w:r w:rsidRPr="001A484B" w:rsidR="00DC4DEA">
        <w:rPr>
          <w:vertAlign w:val="superscript"/>
        </w:rPr>
        <w:t>16</w:t>
      </w:r>
      <w:r w:rsidRPr="001A484B">
        <w:fldChar w:fldCharType="end"/>
      </w:r>
      <w:r w:rsidRPr="001A484B" w:rsidR="00945619">
        <w:t>.</w:t>
      </w:r>
      <w:r w:rsidRPr="001A484B">
        <w:t xml:space="preserve"> Here</w:t>
      </w:r>
      <w:r w:rsidRPr="001A484B" w:rsidR="00B50B9A">
        <w:t xml:space="preserve"> in this protocol, CFU assays are</w:t>
      </w:r>
      <w:r w:rsidRPr="001A484B">
        <w:t xml:space="preserve"> utilize</w:t>
      </w:r>
      <w:r w:rsidRPr="001A484B" w:rsidR="00B50B9A">
        <w:t>d</w:t>
      </w:r>
      <w:r w:rsidRPr="001A484B">
        <w:t xml:space="preserve"> to investigate the clinical efficacy of pyrimethamine as single-agent therapy and as a combination therapy with </w:t>
      </w:r>
      <w:proofErr w:type="spellStart"/>
      <w:r w:rsidRPr="001A484B">
        <w:t>Venetoclax</w:t>
      </w:r>
      <w:proofErr w:type="spellEnd"/>
      <w:r w:rsidRPr="001A484B" w:rsidR="001461FB">
        <w:t>, which is a current frontline therapy for MDS and AML treatment</w:t>
      </w:r>
      <w:r w:rsidRPr="001A484B" w:rsidR="001461FB">
        <w:fldChar w:fldCharType="begin"/>
      </w:r>
      <w:r w:rsidRPr="001A484B" w:rsidR="00DC4DEA">
        <w:instrText xml:space="preserve"> ADDIN ZOTERO_ITEM CSL_CITATION {"citationID":"ybPmsjJx","properties":{"formattedCitation":"\\super 17,18\\nosupersub{}","plainCitation":"17,18","noteIndex":0},"citationItems":[{"id":1117,"uris":["http://zotero.org/groups/5570791/items/M8NKMQCG"],"itemData":{"id":1117,"type":"article-journal","abstract":"BACKGROUND: Elderly patients (aged ≥65 years) with acute myeloid leukaemia have poor outcomes and no effective standard-of-care therapy exists. Treatment with hypomethylating agents such as azacitidine and decitabine is common, but responses are modest and typically short-lived. The oral anti-apoptotic B-cell lymphoma 2 protein inhibitor, venetoclax, has shown promising single-agent activity in patients with relapsed or refractory acute myeloid leukaemia and preclinical data suggested synergy between hypomethylating agents and venetoclax, which led to this combination phase 1b study.\nMETHODS: Previously untreated patients aged 65 years and over with acute myeloid leukaemia who were ineligible for standard induction therapy were enrolled into this non-randomised, open-label, phase 1b study. Patients were required to have an Eastern Cooperative Oncology Group performance status of 0-2 and either intermediate-risk or poor-risk cytogenetics. Patients were enrolled into one of three groups for the dose-escalation phase of this study: group A (venetoclax and intravenous decitabine 20 mg/m2 [days 1-5 of each 28-day cycle]), group B (venetoclax and subcutaneous or intravenous azacitidine 75 mg/m2 [days 1-7 of each 28-day cycle]), and group C (a venetoclax and decitabine substudy with the oral CYP3A inhibitor posaconazole, 300 mg twice on cycle 1, day 21, and 300 mg once daily from cycle 1, days 22-28, to assess its effect on venetoclax pharmacokinetics). Dose escalation followed a standard 3 + 3 design with at least three evaluable patients enrolled per cohort; daily target doses of venetoclax for groups A and B were 400 mg (cohort 1), 800 mg (cohorts 2 and 3), and 1200 mg (cohort 4), and 400 mg for group C. The primary endpoints were the safety and pharmacokinetics of venetoclax plus decitabine or azacitidine, and to determine the maximum tolerated dose and recommended phase 2 dose. Secondary endpoints included the preliminary anti-leukaemic activity of venetoclax with decitabine or azacitidine through the analysis of overall response, duration of response, and overall survival. We analysed safety, pharmacokinetics, and anti-leukaemic activity in all patients who received one or more venetoclax doses. The expansion phase of the study is ongoing but is closed to accrual. This trial is registered with ClinicalTrials.gov, number NCT02203773.\nFINDINGS: 57 patients were enrolled in the study. 23 patients in group A and 22 patients in group B were enrolled between Nov 19, 2014, and Dec 15, 2015, and 12 patients in group C were enrolled between June 14, 2015, and Jan 16, 2016. As of data cutoff on June 15, 2016, the most common grade 3-4 treatment-emergent adverse events were thrombocytopenia (27 [47%] of 57 patients; nine in group A, 13 in group B, and five in group C), febrile neutropenia (24 [42%] of 57; 11 in group A, ten in group B, and three in group C), and neutropenia (23 [40%] of 57; 12 in group A, eight in group B, and three in group C). The most common serious treatment-emergent adverse event in groups A and B was febrile neutropenia (seven [30%] of 23 patients vs seven [32%] of 22), whereas in group C it was lung infection (four [33%] of 12 patients). 49 (86%) of 57 patients had treatment-related adverse events; the most common in groups A and B included nausea (12 [52%] patients vs seven [32%] patients), fatigue (six [26%] patients vs seven [32%]), and decreased neutrophil count (six [26%] patients vs six [27%]), whereas in group C the most common were nausea (seven [58%] of 12 patients), leucopenia (six [50%]), vomiting (five [42%]), and decreased platelet count (five [42%]). The maximum tolerated dose was not reached. The recommended phase 2 dose was 400 mg once a day or 800 mg with an interrupted dosing schedule (safety expansion). In total, four (7%) of 57 patients had died within 30 days of the first venetoclax dose caused by sepsis (group B), bacteraemia (group A), lung infection (group C), and respiratory failure (group A). Tumour lysis syndrome was not observed. Decitabine and azacitidine did not substantially affect venetoclax exposures. Overall, 35 (61%; 95% CI 47·6-74·0) of 57 patients achieved complete remission or complete remission with incomplete marrow recovery. In groups A and B, 27 (60%; 95% CI 44·3-74·3) of 45 patients had complete remission or complete remission with incomplete marrow recovery.\nINTERPRETATION: Venetoclax plus hypomethylating agent therapy seems to be a novel, well-tolerated regimen with promising activity in this underserved patient population. Evaluation of expansion cohorts is ongoing at 400 mg and 800 mg doses using both hypomethylating agent combinations.\nFUNDING: AbbVie and Genentech.","container-title":"The Lancet. Oncology","DOI":"10.1016/S1470-2045(18)30010-X","ISSN":"1474-5488","issue":"2","journalAbbreviation":"Lancet Oncol","language":"eng","note":"PMID: 29339097","page":"216-228","source":"PubMed","title":"Safety and preliminary efficacy of venetoclax with decitabine or azacitidine in elderly patients with previously untreated acute myeloid leukaemia: a non-randomised, open-label, phase 1b study","title-short":"Safety and preliminary efficacy of venetoclax with decitabine or azacitidine in elderly patients with previously untreated acute myeloid leukaemia","volume":"19","author":[{"family":"DiNardo","given":"Courtney D."},{"family":"Pratz","given":"Keith W."},{"family":"Letai","given":"Anthony"},{"family":"Jonas","given":"Brian A."},{"family":"Wei","given":"Andrew H."},{"family":"Thirman","given":"Michael"},{"family":"Arellano","given":"Martha"},{"family":"Frattini","given":"Mark G."},{"family":"Kantarjian","given":"Hagop"},{"family":"Popovic","given":"Relja"},{"family":"Chyla","given":"Brenda"},{"family":"Xu","given":"Tu"},{"family":"Dunbar","given":"Martin"},{"family":"Agarwal","given":"Suresh K."},{"family":"Humerickhouse","given":"Rod"},{"family":"Mabry","given":"Mack"},{"family":"Potluri","given":"Jalaja"},{"family":"Konopleva","given":"Marina"},{"family":"Pollyea","given":"Daniel A."}],"issued":{"date-parts":[["2018",2]]}}},{"id":1116,"uris":["http://zotero.org/groups/5570791/items/IQDBKULG"],"itemData":{"id":1116,"type":"article-journal","abstract":"We present a phase II, single-arm study evaluating 800 mg daily venetoclax, a highly selective, oral small-molecule B-cell leukemia/lymphoma-2 (BCL2) inhibitor in patients with high-risk relapsed/refractory acute myelogenous leukemia (AML) or unfit for intensive chemotherapy. Responses were evaluated following revised International Working Group (IWG) criteria. The overall response rate was 19%; an additional 19% of patients demonstrated antileukemic activity not meeting IWG criteria (partial bone marrow response and incomplete hematologic recovery). Twelve (38%) patients had isocitrate dehydrogenase 1/2 mutations, of whom 4 (33%) achieved complete response or complete response with incomplete blood count recovery. Six (19%) patients had BCL2-sensitive protein index at screening, which correlated with time on study. BH3 profiling was consistent with on-target BCL2 inhibition and identified potential resistance mechanisms. Common adverse events included nausea, diarrhea and vomiting (all grades), and febrile neutropenia and hypokalemia (grade 3/4). Venetoclax demonstrated activity and acceptable tolerability in patients with AML and adverse features.\nSIGNIFICANCE: Venetoclax monotherapy demonstrated clinical activity in patients with AML (relapsed/refractory or unfit for intensive chemotherapy) with a tolerable safety profile in this phase II study. Predictive markers of response consistent with BCL2 dependence were identified. Clinical and preclinical findings provide a compelling rationale to evaluate venetoclax combined with other agents in AML. Cancer Discov; 6(10); 1106-17. ©2016 AACRSee related commentary by Pullarkat and Newman, p. 1082This article is highlighted in the In This Issue feature, p. 1069.","container-title":"Cancer Discovery","DOI":"10.1158/2159-8290.CD-16-0313","ISSN":"2159-8290","issue":"10","journalAbbreviation":"Cancer Discov","language":"eng","note":"PMID: 27520294\nPMCID: PMC5436271","page":"1106-1117","source":"PubMed","title":"Efficacy and Biological Correlates of Response in a Phase II Study of Venetoclax Monotherapy in Patients with Acute Myelogenous Leukemia","volume":"6","author":[{"family":"Konopleva","given":"Marina"},{"family":"Pollyea","given":"Daniel A."},{"family":"Potluri","given":"Jalaja"},{"family":"Chyla","given":"Brenda"},{"family":"Hogdal","given":"Leah"},{"family":"Busman","given":"Todd"},{"family":"McKeegan","given":"Evelyn"},{"family":"Salem","given":"Ahmed Hamed"},{"family":"Zhu","given":"Ming"},{"family":"Ricker","given":"Justin L."},{"family":"Blum","given":"William"},{"family":"DiNardo","given":"Courtney D."},{"family":"Kadia","given":"Tapan"},{"family":"Dunbar","given":"Martin"},{"family":"Kirby","given":"Rachel"},{"family":"Falotico","given":"Nancy"},{"family":"Leverson","given":"Joel"},{"family":"Humerickhouse","given":"Rod"},{"family":"Mabry","given":"Mack"},{"family":"Stone","given":"Richard"},{"family":"Kantarjian","given":"Hagop"},{"family":"Letai","given":"Anthony"}],"issued":{"date-parts":[["2016",10]]}}}],"schema":"https://github.com/citation-style-language/schema/raw/master/csl-citation.json"} </w:instrText>
      </w:r>
      <w:r w:rsidRPr="001A484B" w:rsidR="001461FB">
        <w:fldChar w:fldCharType="separate"/>
      </w:r>
      <w:r w:rsidRPr="001A484B" w:rsidR="00DC4DEA">
        <w:rPr>
          <w:vertAlign w:val="superscript"/>
        </w:rPr>
        <w:t>17,18</w:t>
      </w:r>
      <w:r w:rsidRPr="001A484B" w:rsidR="001461FB">
        <w:fldChar w:fldCharType="end"/>
      </w:r>
      <w:r w:rsidRPr="001A484B">
        <w:t>.</w:t>
      </w:r>
    </w:p>
    <w:p w:rsidRPr="001A484B" w:rsidR="000631EF" w:rsidP="001A484B" w:rsidRDefault="000631EF" w14:paraId="1B9F20FD" w14:textId="77777777"/>
    <w:p w:rsidRPr="001A484B" w:rsidR="000631EF" w:rsidP="001A484B" w:rsidRDefault="00510FEB" w14:paraId="42C14D59" w14:textId="0094FCCE">
      <w:r w:rsidRPr="001A484B">
        <w:t>Despite its widespread utility, the CFU assay presents several technical limitations. Colony identification and classification rely heavily on morphological criteria, which can introduce variability between observers and across research centers</w:t>
      </w:r>
      <w:r w:rsidRPr="001A484B" w:rsidR="00B4421C">
        <w:rPr>
          <w:vertAlign w:val="superscript"/>
        </w:rPr>
        <w:fldChar w:fldCharType="begin"/>
      </w:r>
      <w:r w:rsidRPr="001A484B" w:rsidR="00DC4DEA">
        <w:rPr>
          <w:vertAlign w:val="superscript"/>
        </w:rPr>
        <w:instrText xml:space="preserve"> ADDIN ZOTERO_ITEM CSL_CITATION {"citationID":"yKojFnDG","properties":{"formattedCitation":"\\super 6,19\\uc0\\u8211{}21\\nosupersub{}","plainCitation":"6,19–21","noteIndex":0},"citationItems":[{"id":2295,"uris":["http://zotero.org/groups/5570791/items/T2EPNQMS"],"itemData":{"id":2295,"type":"article-journal","abstract":"Hematopoiesis arguably provides the most well-defined role of stem cells in tissue development, maintenance, and repair, largely because of the experimental methods developed over decades of investigation. Assays of hematopoietic stem and progenitor cell potential were developed in the late 1950s-1960s with the first reports of in vivo transplantation into lethally irradiated recipients (Ford et al., 1956; McCulloch and Till, 1960) and clonal growth of hematopoietic bone marrow cells in vitro (Bradley and Metcalf, 1966). These two major assays have undergone substantial refinement but remain the foundation for defining hematopoietic stem cell biology. Here, we provide a brief overview of methods commonly used to analyze hematopoietic stem and progenitor cell content in mice, discuss the limitations of these assays, and provide an in-depth review of the limiting dilution assay (Szilvassy et al., 1990), the best single assay for quantitating HSC content.","container-title":"Cell Stem Cell","DOI":"10.1016/j.stem.2007.08.016","ISSN":"1875-9777","issue":"3","journalAbbreviation":"Cell Stem Cell","language":"eng","note":"PMID: 18371361","page":"263-270","source":"PubMed","title":"Limiting factors in murine hematopoietic stem cell assays","volume":"1","author":[{"family":"Purton","given":"Louise E."},{"family":"Scadden","given":"David T."}],"issued":{"date-parts":[["2007",9,13]]}},"label":"page"},{"id":2309,"uris":["http://zotero.org/groups/5570791/items/4HR83VIJ"],"itemData":{"id":2309,"type":"article-journal","abstract":"The results for colony forming unit granulocyte-macrophage (CFU-GM) assays vary substantially between centres. It is possible that colony counting is largely responsible for this discrepancy. In order to examine this exclusively from the many factors that make up the CFU-GM assay, we performed a colony counting exercise involving 11 laboratories. Two-way analysis of variance showed a highly significant difference (P =0 .0001) in the counts obtained from the centres. One centre was found to score consistently high and two others scored consistently low numbers of colonies. This suggests that identification of colonies is a major source of variation between centres.","container-title":"British Journal of Haematology","DOI":"10.1046/j.1365-2141.1997.492695.x","ISSN":"1365-2141","issue":"2","language":"en","note":"_eprint: https://onlinelibrary.wiley.com/doi/pdf/10.1046/j.1365-2141.1997.492695.x","page":"481-484","source":"Wiley Online Library","title":"Colony counting is a major source of variation in CFU-GM results between centres","URL":"https://onlinelibrary.wiley.com/doi/abs/10.1046/j.1365-2141.1997.492695.x","volume":"97","author":[{"family":"Armstrong Lumley","given":"Matthew"},{"family":"Burgess","given":"Robert"},{"family":"Billingham","given":"Lucinda Jane"},{"family":"McDonald","given":"Dorothy Faith"},{"family":"Milligan","given":"Donald William"}],"accessed":{"date-parts":[["2026",3,3]]},"issued":{"date-parts":[["1997"]]}}},{"id":2307,"uris":["http://zotero.org/groups/5570791/items/3MKZ636X"],"itemData":{"id":2307,"type":"article-journal","abstract":"With the aim of developing a standardized program of clonogenic cultures, a multicenter intercomparative study of human CFU-GM, BFU-E and CFU-GEMM cultures was conducted. Aliquots of fresh mononuclear cord blood cells, as well as uniform culture materials and instructions for cell culture and for colony scoring were distributed to 28 national laboratories involved in hematopoietic research and transplantation. High inter-laboratory coefficients of variation (CV) in the reported number of progenitors were found in our first intercomparative study (range 67–231%). To investigate the relevance of colony scoring in variations of the reported colony numbers, participants were invited to attend a meeting where a single culture dish was scored. In this case, the CVs ranged from 31% to 81%. A subsequent intercomparative assay was then conducted, and significant reductions in the inter-laboratory CVs were obtained with respect to the first study (CVs for colonies grown with two different media: CFU-GMs, 48% and 55%; BFU-Es, 70% and 62%; CFU-GEMMs, 70% and 51%; respectively). In most instances CVs were not significantly different from those obtained in the single plate scoring study, suggesting that the scoring process was the most relevant parameter accounting for variations in the reported colony numbers.","container-title":"Bone Marrow Transplantation","DOI":"10.1038/sj.bmt.1701577","ISSN":"1476-5365","issue":"4","journalAbbreviation":"Bone Marrow Transplant","language":"en","license":"1999 Macmillan Publishers Limited","note":"publisher: Nature Publishing Group","page":"373-380","source":"www.nature.com","title":"Conclusions of a national multicenter intercomparative study of in vitro cultures of human hematopoietic progenitors","URL":"https://www.nature.com/articles/1701577","volume":"23","author":[{"family":"Lamana","given":"M."},{"family":"Albella","given":"B."},{"family":"Rodríguez","given":"F."},{"family":"Regidor","given":"C."},{"family":"Bueren","given":"J. A."}],"accessed":{"date-parts":[["2026",3,3]]},"issued":{"date-parts":[["1999",2]]}}},{"id":2312,"uris":["http://zotero.org/groups/5570791/items/M3PLYB77"],"itemData":{"id":2312,"type":"article-journal","abstract":"BACKGROUND: Understanding the variability in results obtained by multiple laboratories is important because cord blood units are distributed worldwide for transplantation. STUDY DESIGN AND METHODS: Four exercises were conducted by multiple laboratories to assess assay variability on nucleated cell (NC), mononuclear cell (MNC) by hematology analyzers [HAs], and CD34+ cell (flow cytometry) measurements. Exercise 1 was an intralaboratory exercise in which the reproducibility of cell measurements was determined. Exercises 2 and 3 involved the shipment of identical processed cord blood samples. In Exercise 2, laboratory-specific methods were utilized. In Exercise 3, two commercial CD34+ cell methods (Stem-Kit and TruCOUNT) were used. In Exercise 4, CD34+ cell levels were determined on repetitive regating of identical list-mode files. RESULTS: Intralaboratory reproducibility was highest for NC measurements and lowest for CD34+ cell measurements. In Exercise 2, all laboratories except one utilized HA with an impedance technology and determined comparable results for NC and MNC levels, whereas the other laboratory utilized a HA with an optical counting method. Substantial variation was observed on measuring CD34+ cells with ranges of 32 to 141, 32 to 66, and 25 to 116 CD34+ cells per µL for the three identical samples. In Exercise 3, on the use of one specific commercial assay, the ranges of CD34+ levels were 214 to 411 and 62 to 178 cells per µL for the two identical samples. Nearly all participating laboratories determined comparable CD34+ levels on the use of identical list-mode files. CONCLUSION: These studies indicate that substantial variability in CD34+ cell levels were determined with flow cytometry. The variability in NC and MNC levels was minimal with HA methodology.","container-title":"Transfusion","DOI":"10.1111/j.1537-2995.2006.00758.x","ISSN":"1537-2995","issue":"4","language":"en","note":"_eprint: https://onlinelibrary.wiley.com/doi/pdf/10.1111/j.1537-2995.2006.00758.x","page":"507-515","source":"Wiley Online Library","title":"Multiple-laboratory comparison of in vitro assays utilized to characterize hematopoietic cells in cord blood","URL":"https://onlinelibrary.wiley.com/doi/abs/10.1111/j.1537-2995.2006.00758.x","volume":"46","author":[{"family":"Moroff","given":"Gary"},{"family":"Eichler","given":"Hermann"},{"family":"Brand","given":"Anneke"},{"family":"Kekomäki","given":"Riitta"},{"family":"Kurtz","given":"James"},{"family":"Letowska","given":"Magdalena"},{"family":"Pamphilon","given":"Derwood"},{"family":"Read","given":"Elizabeth J."},{"family":"Lecchi","given":"Lucilla","suffix":"Laura Porretti"},{"family":"Reems","given":"Jo-Anna"},{"family":"Sacher","given":"Ronald"},{"family":"Seetharaman","given":"Shalini"},{"family":"Takahashi","given":"Tsuneo A."},{"family":"Collaborative","given":"Biomedical Excellence for Safer Transfusion (BEST)"}],"accessed":{"date-parts":[["2026",3,3]]},"issued":{"date-parts":[["2006"]]}}}],"schema":"https://github.com/citation-style-language/schema/raw/master/csl-citation.json"} </w:instrText>
      </w:r>
      <w:r w:rsidRPr="001A484B" w:rsidR="00B4421C">
        <w:rPr>
          <w:vertAlign w:val="superscript"/>
        </w:rPr>
        <w:fldChar w:fldCharType="separate"/>
      </w:r>
      <w:r w:rsidRPr="001A484B" w:rsidR="00DC4DEA">
        <w:rPr>
          <w:vertAlign w:val="superscript"/>
        </w:rPr>
        <w:t>6,19–21</w:t>
      </w:r>
      <w:r w:rsidRPr="001A484B" w:rsidR="00B4421C">
        <w:fldChar w:fldCharType="end"/>
      </w:r>
      <w:r w:rsidRPr="001A484B" w:rsidR="00945619">
        <w:t>.</w:t>
      </w:r>
      <w:r w:rsidRPr="001A484B">
        <w:t xml:space="preserve"> Additionally, patient-derived samples from individuals with MDS or AML often exhibit reduced cell viability, increased fragility, and heterogeneity, which can complicate colony formation and downstream analyses</w:t>
      </w:r>
      <w:r w:rsidRPr="001A484B">
        <w:rPr>
          <w:vertAlign w:val="superscript"/>
        </w:rPr>
        <w:fldChar w:fldCharType="begin"/>
      </w:r>
      <w:r w:rsidRPr="001A484B" w:rsidR="00502345">
        <w:rPr>
          <w:vertAlign w:val="superscript"/>
        </w:rPr>
        <w:instrText xml:space="preserve"> ADDIN ZOTERO_ITEM CSL_CITATION {"citationID":"lGpddAiB","properties":{"formattedCitation":"\\super 9\\nosupersub{}","plainCitation":"9","noteIndex":0},"citationItems":[{"id":2317,"uris":["http://zotero.org/groups/5570791/items/Z69FVQ7E"],"itemData":{"id":2317,"type":"article-journal","abstract":"We aimed to establish a fluorescence intensity-based colony area sweeping method by selecting the area of highest viability among patient-derived cancer cells (PDC) which has high tumor heterogeneity. Five gastric cancer cell lines and PDCs were screened with 24 small molecule compounds using a 3D micropillar/microwell chip. 100 tumor cells per well were immobilized in alginate, treated with the compounds, and then stained and scanned for viable cells. Dose response curves and IC50 values were obtained based on total or selected area intensity based on fluorescence. Unlike homogeneous cell lines, PDC comprised of debris and low-viability cells, which resulted in an inaccurate estimation of cell viability using total fluorescence intensity as determined by high IC50 values. However, the IC50 of these cells was lower and accurate when calculated based on the selected-colony-area method that eliminated the intensity offset associated with the heterogeneous nature of PDC. The selected-colony-area method was optimized to accurately predict drug response in micropillar environment using heterogeneous nature of PDCs.","container-title":"PLoS ONE","DOI":"10.1371/journal.pone.0215080","ISSN":"1932-6203","issue":"4","journalAbbreviation":"PLoS One","note":"PMID: 30995234\nPMCID: PMC6469764","page":"e0215080","source":"PubMed Central","title":"Selective colony area method for heterogeneous patient-derived tumor cell lines in anti-cancer drug screening system","URL":"https://pmc.ncbi.nlm.nih.gov/articles/PMC6469764/","volume":"14","author":[{"family":"Cho","given":"Jang Ho"},{"family":"Kim","given":"Ju-Sun"},{"family":"Kim","given":"Seung Tae"},{"family":"Hong","given":"Jung Yong"},{"family":"Park","given":"Joon Oh"},{"family":"Park","given":"Young Suk"},{"family":"Nam","given":"Do-Hyun"},{"family":"Lee","given":"Dong Woo"},{"family":"Lee","given":"Jeeyun"}],"accessed":{"date-parts":[["2026",3,4]]},"issued":{"date-parts":[["2019",4,17]]}}}],"schema":"https://github.com/citation-style-language/schema/raw/master/csl-citation.json"} </w:instrText>
      </w:r>
      <w:r w:rsidRPr="001A484B">
        <w:rPr>
          <w:vertAlign w:val="superscript"/>
        </w:rPr>
        <w:fldChar w:fldCharType="separate"/>
      </w:r>
      <w:r w:rsidRPr="001A484B" w:rsidR="00502345">
        <w:rPr>
          <w:vertAlign w:val="superscript"/>
        </w:rPr>
        <w:t>9</w:t>
      </w:r>
      <w:r w:rsidRPr="001A484B">
        <w:fldChar w:fldCharType="end"/>
      </w:r>
      <w:r w:rsidRPr="001A484B" w:rsidR="00945619">
        <w:t>.</w:t>
      </w:r>
      <w:r w:rsidRPr="001A484B">
        <w:t xml:space="preserve"> Preparation of colonies for further characterization, including flow cytometry, may therefore require careful handling to preserve cell integrity. The absence of standardized procedures for colony identification, counting, and downstream analysis further contributes to variability across studies. These technical considerations highlight the need for standardized procedures optimized specifically for patient-derived hematopoietic samples.</w:t>
      </w:r>
    </w:p>
    <w:p w:rsidRPr="001A484B" w:rsidR="000631EF" w:rsidP="001A484B" w:rsidRDefault="000631EF" w14:paraId="0CC11518" w14:textId="77777777"/>
    <w:p w:rsidRPr="001A484B" w:rsidR="006E4797" w:rsidP="001A484B" w:rsidRDefault="00B50B9A" w14:paraId="48BA6B0A" w14:textId="27ADCEA9">
      <w:r w:rsidRPr="001A484B">
        <w:t>T</w:t>
      </w:r>
      <w:r w:rsidRPr="001A484B" w:rsidR="00510FEB">
        <w:t>his protocol</w:t>
      </w:r>
      <w:r w:rsidRPr="001A484B">
        <w:t xml:space="preserve"> ou</w:t>
      </w:r>
      <w:r w:rsidRPr="001A484B" w:rsidR="00510FEB">
        <w:t>tline</w:t>
      </w:r>
      <w:r w:rsidRPr="001A484B">
        <w:t>s</w:t>
      </w:r>
      <w:r w:rsidRPr="001A484B" w:rsidR="00510FEB">
        <w:t xml:space="preserve"> an optimized workflow for performing CFU assays using </w:t>
      </w:r>
      <w:r w:rsidRPr="001A484B" w:rsidR="00B242A3">
        <w:t xml:space="preserve">mononuclear cells derived from </w:t>
      </w:r>
      <w:r w:rsidRPr="001A484B" w:rsidR="00510FEB">
        <w:t xml:space="preserve">primary bone marrow </w:t>
      </w:r>
      <w:r w:rsidRPr="001A484B" w:rsidR="00872BFC">
        <w:t xml:space="preserve">or </w:t>
      </w:r>
      <w:r w:rsidRPr="001A484B" w:rsidR="00510FEB">
        <w:t xml:space="preserve">peripheral blood specimens </w:t>
      </w:r>
      <w:r w:rsidRPr="001A484B" w:rsidR="00B242A3">
        <w:t xml:space="preserve">of </w:t>
      </w:r>
      <w:r w:rsidRPr="001A484B" w:rsidR="00510FEB">
        <w:t>patients with hematologic malignancies. The approach focuses on practical strategies for handling sensitive patient-derived cells, establishing reliable culture conditions, and implementing consistent criteria for colony identification and quantification. By providing detailed methodological guidance and emphasizing reproducible analysis practices, this protocol aims to facilitate more reliable evaluation of hematopoietic differentiation and therapeutic response in preclinical studies of MDS and AML.</w:t>
      </w:r>
    </w:p>
    <w:p w:rsidRPr="001A484B" w:rsidR="000631EF" w:rsidP="001A484B" w:rsidRDefault="000631EF" w14:paraId="221C4907" w14:textId="77777777">
      <w:pPr>
        <w:rPr>
          <w:b/>
        </w:rPr>
      </w:pPr>
    </w:p>
    <w:p w:rsidRPr="001A484B" w:rsidR="006E4797" w:rsidP="001A484B" w:rsidRDefault="00510FEB" w14:paraId="32A92E82" w14:textId="2D00BC4F">
      <w:pPr>
        <w:rPr>
          <w:color w:val="808080"/>
        </w:rPr>
      </w:pPr>
      <w:r w:rsidRPr="001A484B">
        <w:rPr>
          <w:b/>
        </w:rPr>
        <w:t>PROTOCOL:</w:t>
      </w:r>
    </w:p>
    <w:p w:rsidRPr="001A484B" w:rsidR="006A3703" w:rsidP="001A484B" w:rsidRDefault="007D0BA4" w14:paraId="6A2BF0B6" w14:textId="09203C39">
      <w:r w:rsidRPr="001A484B">
        <w:t>This study utilize</w:t>
      </w:r>
      <w:r w:rsidRPr="001A484B" w:rsidR="001454F0">
        <w:t>s</w:t>
      </w:r>
      <w:r w:rsidRPr="001A484B">
        <w:t xml:space="preserve"> de-identified </w:t>
      </w:r>
      <w:r w:rsidRPr="001A484B" w:rsidR="00AC38D1">
        <w:t>human biospecimens obtained from a biobank under an Institutional Review Board–approved protocol, “Molecular Biology of Benign and Malignant Hematological Disorders” (IRB Protocol #200536), at Albert Einstein College of Medicine/Montefiore Medical Center. All procedures were conducted in accordance with institutional ethics guideline</w:t>
      </w:r>
      <w:r w:rsidRPr="001A484B" w:rsidR="006A3703">
        <w:t>s</w:t>
      </w:r>
      <w:r w:rsidRPr="001A484B" w:rsidR="00AC38D1">
        <w:t xml:space="preserve">. </w:t>
      </w:r>
      <w:r w:rsidRPr="001A484B" w:rsidR="00510FEB">
        <w:t xml:space="preserve">All </w:t>
      </w:r>
      <w:r w:rsidRPr="001A484B" w:rsidR="00826D82">
        <w:t>reagents and equipment</w:t>
      </w:r>
      <w:r w:rsidRPr="001A484B" w:rsidR="00510FEB">
        <w:t xml:space="preserve"> are listed in the </w:t>
      </w:r>
      <w:r w:rsidRPr="001A484B" w:rsidR="00510FEB">
        <w:rPr>
          <w:b/>
          <w:bCs/>
        </w:rPr>
        <w:t>Table of Materials</w:t>
      </w:r>
      <w:r w:rsidRPr="001A484B" w:rsidR="00510FEB">
        <w:t>.</w:t>
      </w:r>
      <w:r w:rsidRPr="001A484B" w:rsidR="00510FEB">
        <w:rPr>
          <w:i/>
          <w:iCs/>
        </w:rPr>
        <w:t xml:space="preserve"> </w:t>
      </w:r>
    </w:p>
    <w:p w:rsidRPr="001A484B" w:rsidR="000369F7" w:rsidP="001A484B" w:rsidRDefault="000369F7" w14:paraId="1A498D1F" w14:textId="77777777"/>
    <w:p w:rsidRPr="001A484B" w:rsidR="000369F7" w:rsidP="001A484B" w:rsidRDefault="00510FEB" w14:paraId="12B7A1A0" w14:textId="77777777">
      <w:pPr>
        <w:numPr>
          <w:ilvl w:val="0"/>
          <w:numId w:val="23"/>
        </w:numPr>
        <w:ind w:left="0" w:firstLine="0"/>
        <w:rPr>
          <w:b/>
          <w:bCs/>
        </w:rPr>
      </w:pPr>
      <w:r w:rsidRPr="001A484B">
        <w:rPr>
          <w:b/>
          <w:bCs/>
        </w:rPr>
        <w:t>Preparation of patient-derived bone marrow or peripheral blood mononuclear cells</w:t>
      </w:r>
    </w:p>
    <w:p w:rsidRPr="001A484B" w:rsidR="000369F7" w:rsidP="001A484B" w:rsidRDefault="000369F7" w14:paraId="29C035EB" w14:textId="77777777">
      <w:pPr>
        <w:rPr>
          <w:b/>
          <w:bCs/>
        </w:rPr>
      </w:pPr>
    </w:p>
    <w:p w:rsidRPr="001A484B" w:rsidR="00D34686" w:rsidP="001A484B" w:rsidRDefault="00510FEB" w14:paraId="0F020E26" w14:textId="058362D2">
      <w:r w:rsidRPr="001A484B">
        <w:t>NOTE: According to common patient-sample handling guidelines, it is recommended to wear a full-length lab coat and tear-resistant laboratory disposable gloves and to work under a laboratory cell culture hood for personal protection from bloodborne pathogen exposure. All pipette tips and serological pipettes that come into contact with patient cells should be soaked in a 10% bleach solution for at least 30 mi</w:t>
      </w:r>
      <w:r w:rsidRPr="001A484B" w:rsidR="00ED1389">
        <w:t>n</w:t>
      </w:r>
      <w:r w:rsidRPr="001A484B">
        <w:t xml:space="preserve"> prior to disposal in biohazard waste.</w:t>
      </w:r>
    </w:p>
    <w:p w:rsidRPr="001A484B" w:rsidR="00A233A2" w:rsidP="001A484B" w:rsidRDefault="006D3A8E" w14:paraId="2AA1B4FB" w14:textId="55789E43">
      <w:pPr>
        <w:pStyle w:val="ListParagraph"/>
        <w:spacing w:after="0" w:line="240" w:lineRule="auto"/>
        <w:ind w:left="0"/>
        <w:jc w:val="both"/>
        <w:rPr>
          <w:rFonts w:ascii="Calibri" w:hAnsi="Calibri" w:cs="Calibri"/>
          <w:i/>
          <w:iCs/>
          <w:sz w:val="24"/>
          <w:szCs w:val="24"/>
        </w:rPr>
      </w:pPr>
      <w:r w:rsidRPr="001A484B">
        <w:rPr>
          <w:rFonts w:ascii="Calibri" w:hAnsi="Calibri" w:cs="Calibri"/>
          <w:sz w:val="24"/>
          <w:szCs w:val="24"/>
        </w:rPr>
        <w:t xml:space="preserve"> </w:t>
      </w:r>
    </w:p>
    <w:p w:rsidRPr="001A484B" w:rsidR="002B4FD2" w:rsidP="001A484B" w:rsidRDefault="00ED1389" w14:paraId="1517C222" w14:textId="5F927BAE">
      <w:pPr>
        <w:pStyle w:val="ListParagraph"/>
        <w:numPr>
          <w:ilvl w:val="1"/>
          <w:numId w:val="44"/>
        </w:numPr>
        <w:spacing w:after="0" w:line="240" w:lineRule="auto"/>
        <w:ind w:left="0" w:firstLine="0"/>
        <w:jc w:val="both"/>
        <w:rPr>
          <w:rFonts w:ascii="Calibri" w:hAnsi="Calibri" w:cs="Calibri" w:eastAsiaTheme="minorEastAsia"/>
          <w:sz w:val="24"/>
          <w:szCs w:val="24"/>
        </w:rPr>
      </w:pPr>
      <w:r w:rsidRPr="001A484B">
        <w:rPr>
          <w:rFonts w:ascii="Calibri" w:hAnsi="Calibri" w:cs="Calibri" w:eastAsiaTheme="minorEastAsia"/>
          <w:sz w:val="24"/>
          <w:szCs w:val="24"/>
        </w:rPr>
        <w:t>Experimental preparation</w:t>
      </w:r>
    </w:p>
    <w:p w:rsidRPr="001A484B" w:rsidR="00ED1389" w:rsidP="001A484B" w:rsidRDefault="00ED1389" w14:paraId="3675E0D9" w14:textId="77777777">
      <w:pPr>
        <w:pStyle w:val="ListParagraph"/>
        <w:spacing w:after="0" w:line="240" w:lineRule="auto"/>
        <w:ind w:left="0"/>
        <w:jc w:val="both"/>
        <w:rPr>
          <w:rFonts w:ascii="Calibri" w:hAnsi="Calibri" w:cs="Calibri" w:eastAsiaTheme="minorEastAsia"/>
          <w:sz w:val="24"/>
          <w:szCs w:val="24"/>
        </w:rPr>
      </w:pPr>
    </w:p>
    <w:p w:rsidRPr="001A484B" w:rsidR="00A56AD1" w:rsidP="768DDF5C" w:rsidRDefault="00510FEB" w14:paraId="52C1BAC3" w14:textId="7ADFDEBA">
      <w:pPr>
        <w:pStyle w:val="ListParagraph"/>
        <w:numPr>
          <w:ilvl w:val="2"/>
          <w:numId w:val="52"/>
        </w:numPr>
        <w:spacing w:after="0" w:line="240" w:lineRule="auto"/>
        <w:ind w:left="0" w:firstLine="0"/>
        <w:jc w:val="both"/>
        <w:rPr>
          <w:rFonts w:ascii="Calibri" w:hAnsi="Calibri" w:eastAsia="宋体" w:cs="Calibri" w:eastAsiaTheme="minorEastAsia"/>
          <w:sz w:val="24"/>
          <w:szCs w:val="24"/>
          <w:highlight w:val="yellow"/>
        </w:rPr>
      </w:pPr>
      <w:r w:rsidRPr="768DDF5C" w:rsidR="00510FEB">
        <w:rPr>
          <w:rFonts w:ascii="Calibri" w:hAnsi="Calibri" w:eastAsia="宋体" w:cs="Calibri" w:eastAsiaTheme="minorEastAsia"/>
          <w:sz w:val="24"/>
          <w:szCs w:val="24"/>
          <w:highlight w:val="yellow"/>
        </w:rPr>
        <w:t>Warm IMDM</w:t>
      </w:r>
      <w:r w:rsidRPr="768DDF5C" w:rsidR="003A4F41">
        <w:rPr>
          <w:rFonts w:ascii="Calibri" w:hAnsi="Calibri" w:eastAsia="宋体" w:cs="Calibri" w:eastAsiaTheme="minorEastAsia"/>
          <w:sz w:val="24"/>
          <w:szCs w:val="24"/>
          <w:highlight w:val="yellow"/>
        </w:rPr>
        <w:t xml:space="preserve"> media</w:t>
      </w:r>
      <w:r w:rsidRPr="768DDF5C" w:rsidR="00510FEB">
        <w:rPr>
          <w:rFonts w:ascii="Calibri" w:hAnsi="Calibri" w:eastAsia="宋体" w:cs="Calibri" w:eastAsiaTheme="minorEastAsia"/>
          <w:sz w:val="24"/>
          <w:szCs w:val="24"/>
          <w:highlight w:val="yellow"/>
        </w:rPr>
        <w:t xml:space="preserve">, </w:t>
      </w:r>
      <w:r w:rsidRPr="768DDF5C" w:rsidR="009B71D0">
        <w:rPr>
          <w:rFonts w:ascii="Calibri" w:hAnsi="Calibri" w:eastAsia="宋体" w:cs="Calibri" w:eastAsiaTheme="minorEastAsia"/>
          <w:sz w:val="24"/>
          <w:szCs w:val="24"/>
          <w:highlight w:val="yellow"/>
        </w:rPr>
        <w:t>fetal bovine serum (</w:t>
      </w:r>
      <w:r w:rsidRPr="768DDF5C" w:rsidR="00510FEB">
        <w:rPr>
          <w:rFonts w:ascii="Calibri" w:hAnsi="Calibri" w:eastAsia="宋体" w:cs="Calibri" w:eastAsiaTheme="minorEastAsia"/>
          <w:sz w:val="24"/>
          <w:szCs w:val="24"/>
          <w:highlight w:val="yellow"/>
        </w:rPr>
        <w:t>FBS</w:t>
      </w:r>
      <w:r w:rsidRPr="768DDF5C" w:rsidR="009B71D0">
        <w:rPr>
          <w:rFonts w:ascii="Calibri" w:hAnsi="Calibri" w:eastAsia="宋体" w:cs="Calibri" w:eastAsiaTheme="minorEastAsia"/>
          <w:sz w:val="24"/>
          <w:szCs w:val="24"/>
          <w:highlight w:val="yellow"/>
        </w:rPr>
        <w:t>)</w:t>
      </w:r>
      <w:r w:rsidRPr="768DDF5C" w:rsidR="00510FEB">
        <w:rPr>
          <w:rFonts w:ascii="Calibri" w:hAnsi="Calibri" w:eastAsia="宋体" w:cs="Calibri" w:eastAsiaTheme="minorEastAsia"/>
          <w:sz w:val="24"/>
          <w:szCs w:val="24"/>
          <w:highlight w:val="yellow"/>
        </w:rPr>
        <w:t xml:space="preserve">, and </w:t>
      </w:r>
      <w:r w:rsidRPr="768DDF5C" w:rsidR="00972C1C">
        <w:rPr>
          <w:rFonts w:ascii="Calibri" w:hAnsi="Calibri" w:eastAsia="宋体" w:cs="Calibri" w:eastAsiaTheme="minorEastAsia"/>
          <w:sz w:val="24"/>
          <w:szCs w:val="24"/>
          <w:highlight w:val="yellow"/>
        </w:rPr>
        <w:t>p</w:t>
      </w:r>
      <w:r w:rsidRPr="768DDF5C" w:rsidR="00510FEB">
        <w:rPr>
          <w:rFonts w:ascii="Calibri" w:hAnsi="Calibri" w:eastAsia="宋体" w:cs="Calibri" w:eastAsiaTheme="minorEastAsia"/>
          <w:sz w:val="24"/>
          <w:szCs w:val="24"/>
          <w:highlight w:val="yellow"/>
        </w:rPr>
        <w:t>enicillin-</w:t>
      </w:r>
      <w:r w:rsidRPr="768DDF5C" w:rsidR="001E6614">
        <w:rPr>
          <w:rFonts w:ascii="Calibri" w:hAnsi="Calibri" w:eastAsia="宋体" w:cs="Calibri" w:eastAsiaTheme="minorEastAsia"/>
          <w:sz w:val="24"/>
          <w:szCs w:val="24"/>
          <w:highlight w:val="yellow"/>
        </w:rPr>
        <w:t xml:space="preserve">streptomycin </w:t>
      </w:r>
      <w:r w:rsidRPr="768DDF5C" w:rsidR="00510FEB">
        <w:rPr>
          <w:rFonts w:ascii="Calibri" w:hAnsi="Calibri" w:eastAsia="宋体" w:cs="Calibri" w:eastAsiaTheme="minorEastAsia"/>
          <w:sz w:val="24"/>
          <w:szCs w:val="24"/>
          <w:highlight w:val="yellow"/>
        </w:rPr>
        <w:t>(Pen-strep) antibiotics to 37</w:t>
      </w:r>
      <w:r w:rsidRPr="768DDF5C" w:rsidR="00961326">
        <w:rPr>
          <w:rFonts w:ascii="Calibri" w:hAnsi="Calibri" w:eastAsia="宋体" w:cs="Calibri" w:eastAsiaTheme="minorEastAsia"/>
          <w:sz w:val="24"/>
          <w:szCs w:val="24"/>
          <w:highlight w:val="yellow"/>
        </w:rPr>
        <w:t xml:space="preserve"> </w:t>
      </w:r>
      <w:r w:rsidRPr="768DDF5C" w:rsidR="00510FEB">
        <w:rPr>
          <w:rFonts w:ascii="Calibri" w:hAnsi="Calibri" w:eastAsia="宋体" w:cs="Calibri" w:eastAsiaTheme="minorEastAsia"/>
          <w:sz w:val="24"/>
          <w:szCs w:val="24"/>
          <w:highlight w:val="yellow"/>
        </w:rPr>
        <w:t>°C for at least 30 min.</w:t>
      </w:r>
      <w:r w:rsidRPr="768DDF5C" w:rsidR="00510FEB">
        <w:rPr>
          <w:rFonts w:ascii="Calibri" w:hAnsi="Calibri" w:eastAsia="宋体" w:cs="Calibri" w:eastAsiaTheme="minorEastAsia"/>
          <w:sz w:val="24"/>
          <w:szCs w:val="24"/>
        </w:rPr>
        <w:t xml:space="preserve"> </w:t>
      </w:r>
    </w:p>
    <w:p w:rsidRPr="001A484B" w:rsidR="00A56AD1" w:rsidP="768DDF5C" w:rsidRDefault="00A56AD1" w14:paraId="3CC07E4A" w14:textId="77777777">
      <w:pPr>
        <w:pStyle w:val="ListParagraph"/>
        <w:spacing w:after="0" w:line="240" w:lineRule="auto"/>
        <w:ind w:left="0"/>
        <w:jc w:val="both"/>
        <w:rPr>
          <w:rFonts w:ascii="Calibri" w:hAnsi="Calibri" w:cs="Calibri"/>
          <w:sz w:val="24"/>
          <w:szCs w:val="24"/>
          <w:highlight w:val="yellow"/>
        </w:rPr>
      </w:pPr>
    </w:p>
    <w:p w:rsidRPr="001A484B" w:rsidR="000369F7" w:rsidP="768DDF5C" w:rsidRDefault="00510FEB" w14:paraId="6689F472" w14:textId="063D2200">
      <w:pPr>
        <w:pStyle w:val="ListParagraph"/>
        <w:numPr>
          <w:ilvl w:val="2"/>
          <w:numId w:val="52"/>
        </w:numPr>
        <w:spacing w:after="0" w:line="240" w:lineRule="auto"/>
        <w:ind w:left="0" w:firstLine="0"/>
        <w:jc w:val="both"/>
        <w:rPr>
          <w:rFonts w:ascii="Calibri" w:hAnsi="Calibri" w:eastAsia="宋体" w:cs="Calibri" w:eastAsiaTheme="minorEastAsia"/>
          <w:sz w:val="24"/>
          <w:szCs w:val="24"/>
          <w:highlight w:val="yellow"/>
        </w:rPr>
      </w:pPr>
      <w:r w:rsidRPr="768DDF5C" w:rsidR="00510FEB">
        <w:rPr>
          <w:rFonts w:ascii="Calibri" w:hAnsi="Calibri" w:eastAsia="宋体" w:cs="Calibri" w:eastAsiaTheme="minorEastAsia"/>
          <w:sz w:val="24"/>
          <w:szCs w:val="24"/>
          <w:highlight w:val="yellow"/>
        </w:rPr>
        <w:t>Thaw semisolid media in 4</w:t>
      </w:r>
      <w:r w:rsidRPr="768DDF5C" w:rsidR="00EB09E4">
        <w:rPr>
          <w:rFonts w:ascii="Calibri" w:hAnsi="Calibri" w:eastAsia="宋体" w:cs="Calibri" w:eastAsiaTheme="minorEastAsia"/>
          <w:sz w:val="24"/>
          <w:szCs w:val="24"/>
          <w:highlight w:val="yellow"/>
        </w:rPr>
        <w:t xml:space="preserve"> </w:t>
      </w:r>
      <w:r w:rsidRPr="768DDF5C" w:rsidR="00510FEB">
        <w:rPr>
          <w:rFonts w:ascii="Calibri" w:hAnsi="Calibri" w:eastAsia="宋体" w:cs="Calibri" w:eastAsiaTheme="minorEastAsia"/>
          <w:sz w:val="24"/>
          <w:szCs w:val="24"/>
          <w:highlight w:val="yellow"/>
        </w:rPr>
        <w:t xml:space="preserve">°C overnight. On the day of plating, warm </w:t>
      </w:r>
      <w:r w:rsidRPr="768DDF5C" w:rsidR="00961326">
        <w:rPr>
          <w:rFonts w:ascii="Calibri" w:hAnsi="Calibri" w:eastAsia="宋体" w:cs="Calibri" w:eastAsiaTheme="minorEastAsia"/>
          <w:sz w:val="24"/>
          <w:szCs w:val="24"/>
          <w:highlight w:val="yellow"/>
        </w:rPr>
        <w:t xml:space="preserve">the </w:t>
      </w:r>
      <w:r w:rsidRPr="768DDF5C" w:rsidR="00510FEB">
        <w:rPr>
          <w:rFonts w:ascii="Calibri" w:hAnsi="Calibri" w:eastAsia="宋体" w:cs="Calibri" w:eastAsiaTheme="minorEastAsia"/>
          <w:sz w:val="24"/>
          <w:szCs w:val="24"/>
          <w:highlight w:val="yellow"/>
        </w:rPr>
        <w:t xml:space="preserve">bottle to room temperature </w:t>
      </w:r>
      <w:r w:rsidRPr="768DDF5C" w:rsidR="00EB09E4">
        <w:rPr>
          <w:rFonts w:ascii="Calibri" w:hAnsi="Calibri" w:eastAsia="宋体" w:cs="Calibri" w:eastAsiaTheme="minorEastAsia"/>
          <w:sz w:val="24"/>
          <w:szCs w:val="24"/>
          <w:highlight w:val="yellow"/>
        </w:rPr>
        <w:t xml:space="preserve">(RT) </w:t>
      </w:r>
      <w:r w:rsidRPr="768DDF5C" w:rsidR="00510FEB">
        <w:rPr>
          <w:rFonts w:ascii="Calibri" w:hAnsi="Calibri" w:eastAsia="宋体" w:cs="Calibri" w:eastAsiaTheme="minorEastAsia"/>
          <w:sz w:val="24"/>
          <w:szCs w:val="24"/>
          <w:highlight w:val="yellow"/>
        </w:rPr>
        <w:t>for at least 30 min.</w:t>
      </w:r>
      <w:r w:rsidRPr="768DDF5C" w:rsidR="00510FEB">
        <w:rPr>
          <w:rFonts w:ascii="Calibri" w:hAnsi="Calibri" w:eastAsia="宋体" w:cs="Calibri" w:eastAsiaTheme="minorEastAsia"/>
          <w:sz w:val="24"/>
          <w:szCs w:val="24"/>
        </w:rPr>
        <w:t xml:space="preserve"> </w:t>
      </w:r>
    </w:p>
    <w:p w:rsidRPr="001A484B" w:rsidR="003A4F41" w:rsidP="001A484B" w:rsidRDefault="003A4F41" w14:paraId="23485455" w14:textId="77777777">
      <w:pPr>
        <w:pStyle w:val="ListParagraph"/>
        <w:spacing w:after="0" w:line="240" w:lineRule="auto"/>
        <w:ind w:left="0"/>
        <w:jc w:val="both"/>
        <w:rPr>
          <w:rFonts w:ascii="Calibri" w:hAnsi="Calibri" w:cs="Calibri"/>
          <w:sz w:val="24"/>
          <w:szCs w:val="24"/>
        </w:rPr>
      </w:pPr>
    </w:p>
    <w:p w:rsidRPr="001A484B" w:rsidR="003A4F41" w:rsidP="001A484B" w:rsidRDefault="00510FEB" w14:paraId="1779567A" w14:textId="4283CFBE">
      <w:pPr>
        <w:pStyle w:val="ListParagraph"/>
        <w:numPr>
          <w:ilvl w:val="2"/>
          <w:numId w:val="52"/>
        </w:numPr>
        <w:spacing w:after="0" w:line="240" w:lineRule="auto"/>
        <w:ind w:left="0" w:firstLine="0"/>
        <w:jc w:val="both"/>
        <w:rPr>
          <w:rFonts w:ascii="Calibri" w:hAnsi="Calibri" w:cs="Calibri"/>
          <w:sz w:val="24"/>
          <w:szCs w:val="24"/>
        </w:rPr>
      </w:pPr>
      <w:r w:rsidRPr="001A484B">
        <w:rPr>
          <w:rFonts w:ascii="Calibri" w:hAnsi="Calibri" w:cs="Calibri" w:eastAsiaTheme="minorEastAsia"/>
          <w:sz w:val="24"/>
          <w:szCs w:val="24"/>
        </w:rPr>
        <w:t xml:space="preserve">Sterilize </w:t>
      </w:r>
      <w:r w:rsidRPr="001A484B" w:rsidR="00961326">
        <w:rPr>
          <w:rFonts w:ascii="Calibri" w:hAnsi="Calibri" w:cs="Calibri" w:eastAsiaTheme="minorEastAsia"/>
          <w:sz w:val="24"/>
          <w:szCs w:val="24"/>
        </w:rPr>
        <w:t xml:space="preserve">the </w:t>
      </w:r>
      <w:r w:rsidRPr="001A484B">
        <w:rPr>
          <w:rFonts w:ascii="Calibri" w:hAnsi="Calibri" w:cs="Calibri" w:eastAsiaTheme="minorEastAsia"/>
          <w:sz w:val="24"/>
          <w:szCs w:val="24"/>
        </w:rPr>
        <w:t xml:space="preserve">cell culture hood with UV sterilization for 15 min, then spray </w:t>
      </w:r>
      <w:r w:rsidRPr="001A484B" w:rsidR="00961326">
        <w:rPr>
          <w:rFonts w:ascii="Calibri" w:hAnsi="Calibri" w:cs="Calibri" w:eastAsiaTheme="minorEastAsia"/>
          <w:sz w:val="24"/>
          <w:szCs w:val="24"/>
        </w:rPr>
        <w:t xml:space="preserve">the </w:t>
      </w:r>
      <w:r w:rsidRPr="001A484B">
        <w:rPr>
          <w:rFonts w:ascii="Calibri" w:hAnsi="Calibri" w:cs="Calibri" w:eastAsiaTheme="minorEastAsia"/>
          <w:sz w:val="24"/>
          <w:szCs w:val="24"/>
        </w:rPr>
        <w:t>hood surfaces, pipettes, and tube racks with 70% ethanol (EtOH).</w:t>
      </w:r>
    </w:p>
    <w:p w:rsidRPr="001A484B" w:rsidR="003A4F41" w:rsidP="001A484B" w:rsidRDefault="003A4F41" w14:paraId="566C282F" w14:textId="77777777">
      <w:pPr>
        <w:pStyle w:val="ListParagraph"/>
        <w:spacing w:after="0" w:line="240" w:lineRule="auto"/>
        <w:ind w:left="0"/>
        <w:jc w:val="both"/>
        <w:rPr>
          <w:rFonts w:ascii="Calibri" w:hAnsi="Calibri" w:cs="Calibri"/>
          <w:sz w:val="24"/>
          <w:szCs w:val="24"/>
        </w:rPr>
      </w:pPr>
    </w:p>
    <w:p w:rsidRPr="001A484B" w:rsidR="0045506D" w:rsidP="768DDF5C" w:rsidRDefault="00510FEB" w14:paraId="77B7D0C2" w14:textId="78ED0B71">
      <w:pPr>
        <w:pStyle w:val="ListParagraph"/>
        <w:numPr>
          <w:ilvl w:val="2"/>
          <w:numId w:val="52"/>
        </w:numPr>
        <w:spacing w:after="0" w:line="240" w:lineRule="auto"/>
        <w:ind w:left="0" w:firstLine="0"/>
        <w:jc w:val="both"/>
        <w:rPr>
          <w:rFonts w:ascii="Calibri" w:hAnsi="Calibri" w:cs="Calibri"/>
          <w:sz w:val="24"/>
          <w:szCs w:val="24"/>
          <w:highlight w:val="yellow"/>
        </w:rPr>
      </w:pPr>
      <w:r w:rsidRPr="768DDF5C" w:rsidR="00510FEB">
        <w:rPr>
          <w:rFonts w:ascii="Calibri" w:hAnsi="Calibri" w:cs="Calibri"/>
          <w:sz w:val="24"/>
          <w:szCs w:val="24"/>
          <w:highlight w:val="yellow"/>
        </w:rPr>
        <w:t>Prepare a waste beaker containing 10% bleach solution large enough to collect contaminated pipette tips and serological pipettes.</w:t>
      </w:r>
      <w:r w:rsidRPr="768DDF5C" w:rsidR="00510FEB">
        <w:rPr>
          <w:rFonts w:ascii="Calibri" w:hAnsi="Calibri" w:cs="Calibri"/>
          <w:sz w:val="24"/>
          <w:szCs w:val="24"/>
        </w:rPr>
        <w:t xml:space="preserve"> </w:t>
      </w:r>
    </w:p>
    <w:p w:rsidRPr="001A484B" w:rsidR="00966F14" w:rsidP="001A484B" w:rsidRDefault="00966F14" w14:paraId="4EE72942" w14:textId="77777777">
      <w:pPr>
        <w:pStyle w:val="ListParagraph"/>
        <w:spacing w:after="0" w:line="240" w:lineRule="auto"/>
        <w:ind w:left="0"/>
        <w:jc w:val="both"/>
        <w:rPr>
          <w:rFonts w:ascii="Calibri" w:hAnsi="Calibri" w:cs="Calibri"/>
          <w:sz w:val="24"/>
          <w:szCs w:val="24"/>
        </w:rPr>
      </w:pPr>
    </w:p>
    <w:p w:rsidRPr="001A484B" w:rsidR="00AD34A8" w:rsidP="001A484B" w:rsidRDefault="00510FEB" w14:paraId="36DE522B" w14:textId="0B78FC43">
      <w:pPr>
        <w:pStyle w:val="ListParagraph"/>
        <w:numPr>
          <w:ilvl w:val="2"/>
          <w:numId w:val="52"/>
        </w:numPr>
        <w:spacing w:after="0" w:line="240" w:lineRule="auto"/>
        <w:ind w:left="0" w:firstLine="0"/>
        <w:jc w:val="both"/>
        <w:rPr>
          <w:rFonts w:ascii="Calibri" w:hAnsi="Calibri" w:cs="Calibri"/>
          <w:sz w:val="24"/>
          <w:szCs w:val="24"/>
        </w:rPr>
      </w:pPr>
      <w:r w:rsidRPr="001A484B">
        <w:rPr>
          <w:rFonts w:ascii="Calibri" w:hAnsi="Calibri" w:cs="Calibri"/>
          <w:sz w:val="24"/>
          <w:szCs w:val="24"/>
        </w:rPr>
        <w:t xml:space="preserve">Obtain bone marrow or peripheral blood mononuclear cells isolated through density gradient centrifugation methods. Cells can be used on the same day of collection or from frozen bio-banked samples. </w:t>
      </w:r>
    </w:p>
    <w:p w:rsidRPr="001A484B" w:rsidR="00AD34A8" w:rsidP="768DDF5C" w:rsidRDefault="00AD34A8" w14:paraId="0E66CD94" w14:textId="77777777">
      <w:pPr>
        <w:rPr>
          <w:highlight w:val="yellow"/>
        </w:rPr>
      </w:pPr>
    </w:p>
    <w:p w:rsidRPr="001A484B" w:rsidR="00576125" w:rsidP="768DDF5C" w:rsidRDefault="00510FEB" w14:paraId="5FFCC651" w14:textId="4A52BB80">
      <w:pPr>
        <w:pStyle w:val="ListParagraph"/>
        <w:numPr>
          <w:ilvl w:val="1"/>
          <w:numId w:val="35"/>
        </w:numPr>
        <w:spacing w:after="0" w:line="240" w:lineRule="auto"/>
        <w:ind w:left="0" w:firstLine="0"/>
        <w:jc w:val="both"/>
        <w:rPr>
          <w:rFonts w:ascii="Calibri" w:hAnsi="Calibri" w:cs="Calibri"/>
          <w:sz w:val="24"/>
          <w:szCs w:val="24"/>
          <w:highlight w:val="yellow"/>
        </w:rPr>
      </w:pPr>
      <w:r w:rsidRPr="768DDF5C" w:rsidR="00510FEB">
        <w:rPr>
          <w:rFonts w:ascii="Calibri" w:hAnsi="Calibri" w:cs="Calibri"/>
          <w:sz w:val="24"/>
          <w:szCs w:val="24"/>
          <w:highlight w:val="yellow"/>
        </w:rPr>
        <w:t>If samples are frozen, thaw them rapidly in a 37</w:t>
      </w:r>
      <w:r w:rsidRPr="768DDF5C" w:rsidR="001111EC">
        <w:rPr>
          <w:rFonts w:ascii="Calibri" w:hAnsi="Calibri" w:cs="Calibri"/>
          <w:sz w:val="24"/>
          <w:szCs w:val="24"/>
          <w:highlight w:val="yellow"/>
        </w:rPr>
        <w:t xml:space="preserve"> </w:t>
      </w:r>
      <w:r w:rsidRPr="768DDF5C" w:rsidR="00510FEB">
        <w:rPr>
          <w:rFonts w:ascii="Calibri" w:hAnsi="Calibri" w:cs="Calibri"/>
          <w:sz w:val="24"/>
          <w:szCs w:val="24"/>
          <w:highlight w:val="yellow"/>
        </w:rPr>
        <w:t>°C water bath until most of the ice has melted and only a small ice crystal remains. Immediately place the samples on ice after thawing.</w:t>
      </w:r>
      <w:r w:rsidRPr="768DDF5C" w:rsidR="00510FEB">
        <w:rPr>
          <w:rFonts w:ascii="Calibri" w:hAnsi="Calibri" w:cs="Calibri"/>
          <w:sz w:val="24"/>
          <w:szCs w:val="24"/>
        </w:rPr>
        <w:t xml:space="preserve"> </w:t>
      </w:r>
    </w:p>
    <w:p w:rsidRPr="001A484B" w:rsidR="000369F7" w:rsidP="001A484B" w:rsidRDefault="000369F7" w14:paraId="03BE224E" w14:textId="77777777">
      <w:pPr>
        <w:pStyle w:val="ListParagraph"/>
        <w:spacing w:after="0" w:line="240" w:lineRule="auto"/>
        <w:ind w:left="0"/>
        <w:contextualSpacing w:val="0"/>
        <w:jc w:val="both"/>
        <w:rPr>
          <w:rFonts w:ascii="Calibri" w:hAnsi="Calibri" w:cs="Calibri"/>
          <w:sz w:val="24"/>
          <w:szCs w:val="24"/>
        </w:rPr>
      </w:pPr>
    </w:p>
    <w:p w:rsidRPr="001A484B" w:rsidR="00551B47" w:rsidP="001A484B" w:rsidRDefault="00510FEB" w14:paraId="19B33AD0" w14:textId="7DBB8AA0">
      <w:r w:rsidRPr="001A484B">
        <w:t xml:space="preserve">NOTE: </w:t>
      </w:r>
      <w:r w:rsidRPr="001A484B" w:rsidR="00961326">
        <w:t>P</w:t>
      </w:r>
      <w:r w:rsidRPr="001A484B">
        <w:t xml:space="preserve">atient samples are very sensitive to thawing. It is important to thaw samples as quickly as possible and in batches to minimize cell death. </w:t>
      </w:r>
    </w:p>
    <w:p w:rsidRPr="001A484B" w:rsidR="000369F7" w:rsidP="001A484B" w:rsidRDefault="000369F7" w14:paraId="3C5C716B" w14:textId="77777777">
      <w:pPr>
        <w:rPr>
          <w:i/>
          <w:iCs/>
        </w:rPr>
      </w:pPr>
    </w:p>
    <w:p w:rsidRPr="001A484B" w:rsidR="0045506D" w:rsidP="768DDF5C" w:rsidRDefault="00510FEB" w14:paraId="5530E0F9" w14:textId="4C84D6FA">
      <w:pPr>
        <w:pStyle w:val="ListParagraph"/>
        <w:numPr>
          <w:ilvl w:val="1"/>
          <w:numId w:val="35"/>
        </w:numPr>
        <w:spacing w:after="0" w:line="240" w:lineRule="auto"/>
        <w:ind w:left="0" w:firstLine="0"/>
        <w:jc w:val="both"/>
        <w:rPr>
          <w:rFonts w:ascii="Calibri" w:hAnsi="Calibri" w:cs="Calibri"/>
          <w:sz w:val="24"/>
          <w:szCs w:val="24"/>
          <w:highlight w:val="yellow"/>
        </w:rPr>
      </w:pPr>
      <w:r w:rsidRPr="768DDF5C" w:rsidR="00510FEB">
        <w:rPr>
          <w:rFonts w:ascii="Calibri" w:hAnsi="Calibri" w:cs="Calibri"/>
          <w:sz w:val="24"/>
          <w:szCs w:val="24"/>
          <w:highlight w:val="yellow"/>
        </w:rPr>
        <w:t>Suspend cells in 5 mL warmed complete growth media (</w:t>
      </w:r>
      <w:r w:rsidRPr="768DDF5C" w:rsidR="00C65EC6">
        <w:rPr>
          <w:rFonts w:ascii="Calibri" w:hAnsi="Calibri" w:cs="Calibri"/>
          <w:sz w:val="24"/>
          <w:szCs w:val="24"/>
          <w:highlight w:val="yellow"/>
        </w:rPr>
        <w:t>IMDM</w:t>
      </w:r>
      <w:r w:rsidRPr="768DDF5C" w:rsidR="00510FEB">
        <w:rPr>
          <w:rFonts w:ascii="Calibri" w:hAnsi="Calibri" w:cs="Calibri"/>
          <w:sz w:val="24"/>
          <w:szCs w:val="24"/>
          <w:highlight w:val="yellow"/>
        </w:rPr>
        <w:t xml:space="preserve"> media supplemented with 4% FBS and 1% Pen-Strep).</w:t>
      </w:r>
      <w:r w:rsidRPr="768DDF5C" w:rsidR="00510FEB">
        <w:rPr>
          <w:rFonts w:ascii="Calibri" w:hAnsi="Calibri" w:cs="Calibri"/>
          <w:sz w:val="24"/>
          <w:szCs w:val="24"/>
        </w:rPr>
        <w:t xml:space="preserve"> </w:t>
      </w:r>
    </w:p>
    <w:p w:rsidRPr="001A484B" w:rsidR="008F779E" w:rsidP="001A484B" w:rsidRDefault="008F779E" w14:paraId="0C828F88" w14:textId="77777777">
      <w:pPr>
        <w:pStyle w:val="ListParagraph"/>
        <w:spacing w:after="0" w:line="240" w:lineRule="auto"/>
        <w:ind w:left="0"/>
        <w:jc w:val="both"/>
        <w:rPr>
          <w:rFonts w:ascii="Calibri" w:hAnsi="Calibri" w:cs="Calibri"/>
          <w:sz w:val="24"/>
          <w:szCs w:val="24"/>
        </w:rPr>
      </w:pPr>
    </w:p>
    <w:p w:rsidRPr="001A484B" w:rsidR="008F779E" w:rsidP="768DDF5C" w:rsidRDefault="004810E9" w14:paraId="799DF1EF" w14:textId="0496ED7F">
      <w:pPr>
        <w:pStyle w:val="ListParagraph"/>
        <w:numPr>
          <w:ilvl w:val="1"/>
          <w:numId w:val="35"/>
        </w:numPr>
        <w:spacing w:after="0" w:line="240" w:lineRule="auto"/>
        <w:ind w:left="0" w:firstLine="0"/>
        <w:jc w:val="both"/>
        <w:rPr>
          <w:rFonts w:ascii="Calibri" w:hAnsi="Calibri" w:cs="Calibri"/>
          <w:sz w:val="24"/>
          <w:szCs w:val="24"/>
          <w:highlight w:val="yellow"/>
        </w:rPr>
      </w:pPr>
      <w:r w:rsidRPr="768DDF5C" w:rsidR="004810E9">
        <w:rPr>
          <w:rFonts w:ascii="Calibri" w:hAnsi="Calibri" w:cs="Calibri"/>
          <w:sz w:val="24"/>
          <w:szCs w:val="24"/>
          <w:highlight w:val="yellow"/>
        </w:rPr>
        <w:t>Determine the</w:t>
      </w:r>
      <w:r w:rsidRPr="768DDF5C" w:rsidR="00510FEB">
        <w:rPr>
          <w:rFonts w:ascii="Calibri" w:hAnsi="Calibri" w:cs="Calibri"/>
          <w:sz w:val="24"/>
          <w:szCs w:val="24"/>
          <w:highlight w:val="yellow"/>
        </w:rPr>
        <w:t xml:space="preserve"> cell concentration and viability using AO/PI staining </w:t>
      </w:r>
      <w:r w:rsidRPr="768DDF5C" w:rsidR="00F46F05">
        <w:rPr>
          <w:rFonts w:ascii="Calibri" w:hAnsi="Calibri" w:cs="Calibri"/>
          <w:sz w:val="24"/>
          <w:szCs w:val="24"/>
          <w:highlight w:val="yellow"/>
        </w:rPr>
        <w:t xml:space="preserve">dye </w:t>
      </w:r>
      <w:r w:rsidRPr="768DDF5C" w:rsidR="00510FEB">
        <w:rPr>
          <w:rFonts w:ascii="Calibri" w:hAnsi="Calibri" w:cs="Calibri"/>
          <w:sz w:val="24"/>
          <w:szCs w:val="24"/>
          <w:highlight w:val="yellow"/>
        </w:rPr>
        <w:t>and a</w:t>
      </w:r>
      <w:r w:rsidRPr="768DDF5C" w:rsidR="004810E9">
        <w:rPr>
          <w:rFonts w:ascii="Calibri" w:hAnsi="Calibri" w:cs="Calibri"/>
          <w:sz w:val="24"/>
          <w:szCs w:val="24"/>
          <w:highlight w:val="yellow"/>
        </w:rPr>
        <w:t>n automated</w:t>
      </w:r>
      <w:r w:rsidRPr="768DDF5C" w:rsidR="00510FEB">
        <w:rPr>
          <w:rFonts w:ascii="Calibri" w:hAnsi="Calibri" w:cs="Calibri"/>
          <w:sz w:val="24"/>
          <w:szCs w:val="24"/>
          <w:highlight w:val="yellow"/>
        </w:rPr>
        <w:t xml:space="preserve"> cell counter.</w:t>
      </w:r>
      <w:r w:rsidRPr="768DDF5C" w:rsidR="00510FEB">
        <w:rPr>
          <w:rFonts w:ascii="Calibri" w:hAnsi="Calibri" w:cs="Calibri"/>
          <w:sz w:val="24"/>
          <w:szCs w:val="24"/>
        </w:rPr>
        <w:t xml:space="preserve"> </w:t>
      </w:r>
    </w:p>
    <w:p w:rsidRPr="001A484B" w:rsidR="004810E9" w:rsidP="001A484B" w:rsidRDefault="004810E9" w14:paraId="1DD7D31A" w14:textId="77777777">
      <w:pPr>
        <w:pStyle w:val="ListParagraph"/>
        <w:spacing w:after="0" w:line="240" w:lineRule="auto"/>
        <w:ind w:left="0"/>
        <w:jc w:val="both"/>
        <w:rPr>
          <w:rFonts w:ascii="Calibri" w:hAnsi="Calibri" w:cs="Calibri"/>
          <w:sz w:val="24"/>
          <w:szCs w:val="24"/>
        </w:rPr>
      </w:pPr>
    </w:p>
    <w:p w:rsidRPr="001A484B" w:rsidR="0045506D" w:rsidP="768DDF5C" w:rsidRDefault="00510FEB" w14:paraId="2955F37D" w14:textId="4281F190">
      <w:pPr>
        <w:pStyle w:val="ListParagraph"/>
        <w:numPr>
          <w:ilvl w:val="1"/>
          <w:numId w:val="35"/>
        </w:numPr>
        <w:spacing w:after="0" w:line="240" w:lineRule="auto"/>
        <w:ind w:left="0" w:firstLine="0"/>
        <w:jc w:val="both"/>
        <w:rPr>
          <w:rFonts w:ascii="Calibri" w:hAnsi="Calibri" w:cs="Calibri"/>
          <w:sz w:val="24"/>
          <w:szCs w:val="24"/>
          <w:highlight w:val="yellow"/>
        </w:rPr>
      </w:pPr>
      <w:r w:rsidRPr="768DDF5C" w:rsidR="00510FEB">
        <w:rPr>
          <w:rFonts w:ascii="Calibri" w:hAnsi="Calibri" w:cs="Calibri"/>
          <w:sz w:val="24"/>
          <w:szCs w:val="24"/>
          <w:highlight w:val="yellow"/>
        </w:rPr>
        <w:t xml:space="preserve">Centrifuge </w:t>
      </w:r>
      <w:r w:rsidRPr="768DDF5C" w:rsidR="004810E9">
        <w:rPr>
          <w:rFonts w:ascii="Calibri" w:hAnsi="Calibri" w:cs="Calibri"/>
          <w:sz w:val="24"/>
          <w:szCs w:val="24"/>
          <w:highlight w:val="yellow"/>
        </w:rPr>
        <w:t xml:space="preserve">the </w:t>
      </w:r>
      <w:r w:rsidRPr="768DDF5C" w:rsidR="00510FEB">
        <w:rPr>
          <w:rFonts w:ascii="Calibri" w:hAnsi="Calibri" w:cs="Calibri"/>
          <w:sz w:val="24"/>
          <w:szCs w:val="24"/>
          <w:highlight w:val="yellow"/>
        </w:rPr>
        <w:t xml:space="preserve">cells at 350 x </w:t>
      </w:r>
      <w:r w:rsidRPr="768DDF5C" w:rsidR="00510FEB">
        <w:rPr>
          <w:rFonts w:ascii="Calibri" w:hAnsi="Calibri" w:cs="Calibri"/>
          <w:i w:val="1"/>
          <w:iCs w:val="1"/>
          <w:sz w:val="24"/>
          <w:szCs w:val="24"/>
          <w:highlight w:val="yellow"/>
        </w:rPr>
        <w:t>g</w:t>
      </w:r>
      <w:r w:rsidRPr="768DDF5C" w:rsidR="00510FEB">
        <w:rPr>
          <w:rFonts w:ascii="Calibri" w:hAnsi="Calibri" w:cs="Calibri"/>
          <w:sz w:val="24"/>
          <w:szCs w:val="24"/>
          <w:highlight w:val="yellow"/>
        </w:rPr>
        <w:t xml:space="preserve"> for 5 min at </w:t>
      </w:r>
      <w:r w:rsidRPr="768DDF5C" w:rsidR="00577E09">
        <w:rPr>
          <w:rFonts w:ascii="Calibri" w:hAnsi="Calibri" w:cs="Calibri"/>
          <w:sz w:val="24"/>
          <w:szCs w:val="24"/>
          <w:highlight w:val="yellow"/>
        </w:rPr>
        <w:t>room temperature</w:t>
      </w:r>
      <w:r w:rsidRPr="768DDF5C" w:rsidR="00510FEB">
        <w:rPr>
          <w:rFonts w:ascii="Calibri" w:hAnsi="Calibri" w:cs="Calibri"/>
          <w:sz w:val="24"/>
          <w:szCs w:val="24"/>
          <w:highlight w:val="yellow"/>
        </w:rPr>
        <w:t xml:space="preserve"> to pellet </w:t>
      </w:r>
      <w:r w:rsidRPr="768DDF5C" w:rsidR="004810E9">
        <w:rPr>
          <w:rFonts w:ascii="Calibri" w:hAnsi="Calibri" w:cs="Calibri"/>
          <w:sz w:val="24"/>
          <w:szCs w:val="24"/>
          <w:highlight w:val="yellow"/>
        </w:rPr>
        <w:t xml:space="preserve">the </w:t>
      </w:r>
      <w:r w:rsidRPr="768DDF5C" w:rsidR="00510FEB">
        <w:rPr>
          <w:rFonts w:ascii="Calibri" w:hAnsi="Calibri" w:cs="Calibri"/>
          <w:sz w:val="24"/>
          <w:szCs w:val="24"/>
          <w:highlight w:val="yellow"/>
        </w:rPr>
        <w:t>cells. Discard supernatant.</w:t>
      </w:r>
      <w:r w:rsidRPr="768DDF5C" w:rsidR="00510FEB">
        <w:rPr>
          <w:rFonts w:ascii="Calibri" w:hAnsi="Calibri" w:cs="Calibri"/>
          <w:sz w:val="24"/>
          <w:szCs w:val="24"/>
        </w:rPr>
        <w:t xml:space="preserve"> </w:t>
      </w:r>
    </w:p>
    <w:p w:rsidRPr="001A484B" w:rsidR="008F779E" w:rsidP="768DDF5C" w:rsidRDefault="008F779E" w14:paraId="5EC4845E" w14:textId="77777777">
      <w:pPr>
        <w:pStyle w:val="ListParagraph"/>
        <w:spacing w:after="0" w:line="240" w:lineRule="auto"/>
        <w:ind w:left="0"/>
        <w:jc w:val="both"/>
        <w:rPr>
          <w:rFonts w:ascii="Calibri" w:hAnsi="Calibri" w:cs="Calibri"/>
          <w:sz w:val="24"/>
          <w:szCs w:val="24"/>
          <w:highlight w:val="yellow"/>
        </w:rPr>
      </w:pPr>
    </w:p>
    <w:p w:rsidRPr="001A484B" w:rsidR="0045506D" w:rsidP="768DDF5C" w:rsidRDefault="00510FEB" w14:paraId="038BCE17" w14:textId="38D626F1">
      <w:pPr>
        <w:pStyle w:val="ListParagraph"/>
        <w:numPr>
          <w:ilvl w:val="1"/>
          <w:numId w:val="35"/>
        </w:numPr>
        <w:spacing w:after="0" w:line="240" w:lineRule="auto"/>
        <w:ind w:left="0" w:firstLine="0"/>
        <w:jc w:val="both"/>
        <w:rPr>
          <w:rFonts w:ascii="Calibri" w:hAnsi="Calibri" w:cs="Calibri"/>
          <w:sz w:val="24"/>
          <w:szCs w:val="24"/>
          <w:highlight w:val="yellow"/>
        </w:rPr>
      </w:pPr>
      <w:r w:rsidRPr="768DDF5C" w:rsidR="00510FEB">
        <w:rPr>
          <w:rFonts w:ascii="Calibri" w:hAnsi="Calibri" w:cs="Calibri"/>
          <w:sz w:val="24"/>
          <w:szCs w:val="24"/>
          <w:highlight w:val="yellow"/>
        </w:rPr>
        <w:t xml:space="preserve">Resuspend cells in 5 mL sterile </w:t>
      </w:r>
      <w:r w:rsidRPr="768DDF5C" w:rsidR="003F629B">
        <w:rPr>
          <w:rFonts w:ascii="Calibri" w:hAnsi="Calibri" w:cs="Calibri"/>
          <w:sz w:val="24"/>
          <w:szCs w:val="24"/>
          <w:highlight w:val="yellow"/>
        </w:rPr>
        <w:t>D</w:t>
      </w:r>
      <w:r w:rsidRPr="768DDF5C" w:rsidR="001C17B8">
        <w:rPr>
          <w:rFonts w:ascii="Calibri" w:hAnsi="Calibri" w:cs="Calibri"/>
          <w:sz w:val="24"/>
          <w:szCs w:val="24"/>
          <w:highlight w:val="yellow"/>
        </w:rPr>
        <w:t xml:space="preserve">ulbecco’s </w:t>
      </w:r>
      <w:r w:rsidRPr="768DDF5C" w:rsidR="00415D01">
        <w:rPr>
          <w:rFonts w:ascii="Calibri" w:hAnsi="Calibri" w:cs="Calibri"/>
          <w:sz w:val="24"/>
          <w:szCs w:val="24"/>
          <w:highlight w:val="yellow"/>
        </w:rPr>
        <w:t>p</w:t>
      </w:r>
      <w:r w:rsidRPr="768DDF5C" w:rsidR="001C17B8">
        <w:rPr>
          <w:rFonts w:ascii="Calibri" w:hAnsi="Calibri" w:cs="Calibri"/>
          <w:sz w:val="24"/>
          <w:szCs w:val="24"/>
          <w:highlight w:val="yellow"/>
        </w:rPr>
        <w:t>hosphate-</w:t>
      </w:r>
      <w:r w:rsidRPr="768DDF5C" w:rsidR="00415D01">
        <w:rPr>
          <w:rFonts w:ascii="Calibri" w:hAnsi="Calibri" w:cs="Calibri"/>
          <w:sz w:val="24"/>
          <w:szCs w:val="24"/>
          <w:highlight w:val="yellow"/>
        </w:rPr>
        <w:t>b</w:t>
      </w:r>
      <w:r w:rsidRPr="768DDF5C" w:rsidR="001C17B8">
        <w:rPr>
          <w:rFonts w:ascii="Calibri" w:hAnsi="Calibri" w:cs="Calibri"/>
          <w:sz w:val="24"/>
          <w:szCs w:val="24"/>
          <w:highlight w:val="yellow"/>
        </w:rPr>
        <w:t xml:space="preserve">uffered </w:t>
      </w:r>
      <w:r w:rsidRPr="768DDF5C" w:rsidR="00415D01">
        <w:rPr>
          <w:rFonts w:ascii="Calibri" w:hAnsi="Calibri" w:cs="Calibri"/>
          <w:sz w:val="24"/>
          <w:szCs w:val="24"/>
          <w:highlight w:val="yellow"/>
        </w:rPr>
        <w:t>s</w:t>
      </w:r>
      <w:r w:rsidRPr="768DDF5C" w:rsidR="001C17B8">
        <w:rPr>
          <w:rFonts w:ascii="Calibri" w:hAnsi="Calibri" w:cs="Calibri"/>
          <w:sz w:val="24"/>
          <w:szCs w:val="24"/>
          <w:highlight w:val="yellow"/>
        </w:rPr>
        <w:t>aline (</w:t>
      </w:r>
      <w:r w:rsidRPr="768DDF5C" w:rsidR="00510FEB">
        <w:rPr>
          <w:rFonts w:ascii="Calibri" w:hAnsi="Calibri" w:cs="Calibri"/>
          <w:sz w:val="24"/>
          <w:szCs w:val="24"/>
          <w:highlight w:val="yellow"/>
        </w:rPr>
        <w:t>DPBS</w:t>
      </w:r>
      <w:r w:rsidRPr="768DDF5C" w:rsidR="001C17B8">
        <w:rPr>
          <w:rFonts w:ascii="Calibri" w:hAnsi="Calibri" w:cs="Calibri"/>
          <w:sz w:val="24"/>
          <w:szCs w:val="24"/>
          <w:highlight w:val="yellow"/>
        </w:rPr>
        <w:t>)</w:t>
      </w:r>
      <w:r w:rsidRPr="768DDF5C" w:rsidR="00510FEB">
        <w:rPr>
          <w:rFonts w:ascii="Calibri" w:hAnsi="Calibri" w:cs="Calibri"/>
          <w:sz w:val="24"/>
          <w:szCs w:val="24"/>
          <w:highlight w:val="yellow"/>
        </w:rPr>
        <w:t>. Repeat centrifugation to pellet cells and discard supernatant.</w:t>
      </w:r>
      <w:r w:rsidRPr="768DDF5C" w:rsidR="00510FEB">
        <w:rPr>
          <w:rFonts w:ascii="Calibri" w:hAnsi="Calibri" w:cs="Calibri"/>
          <w:sz w:val="24"/>
          <w:szCs w:val="24"/>
        </w:rPr>
        <w:t xml:space="preserve"> </w:t>
      </w:r>
    </w:p>
    <w:p w:rsidRPr="001A484B" w:rsidR="008F779E" w:rsidP="768DDF5C" w:rsidRDefault="008F779E" w14:paraId="612C39F3" w14:textId="77777777">
      <w:pPr>
        <w:pStyle w:val="ListParagraph"/>
        <w:spacing w:after="0" w:line="240" w:lineRule="auto"/>
        <w:ind w:left="0"/>
        <w:jc w:val="both"/>
        <w:rPr>
          <w:rFonts w:ascii="Calibri" w:hAnsi="Calibri" w:cs="Calibri"/>
          <w:sz w:val="24"/>
          <w:szCs w:val="24"/>
          <w:highlight w:val="yellow"/>
        </w:rPr>
      </w:pPr>
    </w:p>
    <w:p w:rsidRPr="001A484B" w:rsidR="000369F7" w:rsidP="768DDF5C" w:rsidRDefault="00510FEB" w14:paraId="6493834A" w14:textId="77777777">
      <w:pPr>
        <w:pStyle w:val="ListParagraph"/>
        <w:numPr>
          <w:ilvl w:val="1"/>
          <w:numId w:val="35"/>
        </w:numPr>
        <w:spacing w:after="0" w:line="240" w:lineRule="auto"/>
        <w:ind w:left="0" w:firstLine="0"/>
        <w:jc w:val="both"/>
        <w:rPr>
          <w:rFonts w:ascii="Calibri" w:hAnsi="Calibri" w:cs="Calibri"/>
          <w:sz w:val="24"/>
          <w:szCs w:val="24"/>
          <w:highlight w:val="yellow"/>
        </w:rPr>
      </w:pPr>
      <w:r w:rsidRPr="768DDF5C" w:rsidR="00510FEB">
        <w:rPr>
          <w:rFonts w:ascii="Calibri" w:hAnsi="Calibri" w:cs="Calibri"/>
          <w:sz w:val="24"/>
          <w:szCs w:val="24"/>
          <w:highlight w:val="yellow"/>
        </w:rPr>
        <w:t>Suspend cells in complete growth media to a concentration of 2 million live cells/</w:t>
      </w:r>
      <w:r w:rsidRPr="768DDF5C" w:rsidR="00510FEB">
        <w:rPr>
          <w:rFonts w:ascii="Calibri" w:hAnsi="Calibri" w:cs="Calibri"/>
          <w:sz w:val="24"/>
          <w:szCs w:val="24"/>
          <w:highlight w:val="yellow"/>
        </w:rPr>
        <w:t>mL.</w:t>
      </w:r>
      <w:r w:rsidRPr="768DDF5C" w:rsidR="00510FEB">
        <w:rPr>
          <w:rFonts w:ascii="Calibri" w:hAnsi="Calibri" w:cs="Calibri"/>
          <w:sz w:val="24"/>
          <w:szCs w:val="24"/>
          <w:highlight w:val="yellow"/>
        </w:rPr>
        <w:t xml:space="preserve"> Prepare enough cells for 100K cells/well of a 6-well plate.</w:t>
      </w:r>
      <w:r w:rsidRPr="768DDF5C" w:rsidR="00510FEB">
        <w:rPr>
          <w:rFonts w:ascii="Calibri" w:hAnsi="Calibri" w:cs="Calibri"/>
          <w:sz w:val="24"/>
          <w:szCs w:val="24"/>
        </w:rPr>
        <w:t xml:space="preserve"> </w:t>
      </w:r>
    </w:p>
    <w:p w:rsidRPr="001A484B" w:rsidR="000369F7" w:rsidP="001A484B" w:rsidRDefault="000369F7" w14:paraId="0A209F54" w14:textId="77777777"/>
    <w:p w:rsidRPr="001A484B" w:rsidR="000369F7" w:rsidP="001A484B" w:rsidRDefault="00510FEB" w14:paraId="208D0D25" w14:textId="77777777">
      <w:pPr>
        <w:numPr>
          <w:ilvl w:val="0"/>
          <w:numId w:val="23"/>
        </w:numPr>
        <w:ind w:left="0" w:firstLine="0"/>
        <w:rPr>
          <w:b/>
          <w:bCs/>
        </w:rPr>
      </w:pPr>
      <w:r w:rsidRPr="001A484B">
        <w:rPr>
          <w:b/>
          <w:bCs/>
        </w:rPr>
        <w:t xml:space="preserve">Drug preparation and treatment administration. </w:t>
      </w:r>
    </w:p>
    <w:p w:rsidRPr="001A484B" w:rsidR="000369F7" w:rsidP="001A484B" w:rsidRDefault="000369F7" w14:paraId="5E3DFDAF" w14:textId="77777777">
      <w:pPr>
        <w:rPr>
          <w:b/>
          <w:bCs/>
        </w:rPr>
      </w:pPr>
    </w:p>
    <w:p w:rsidRPr="001A484B" w:rsidR="000369F7" w:rsidP="001A484B" w:rsidRDefault="00510FEB" w14:paraId="0B3A1A17" w14:textId="2ED2300B">
      <w:r w:rsidRPr="001A484B">
        <w:t xml:space="preserve">NOTE: Pyrimethamine </w:t>
      </w:r>
      <w:r w:rsidRPr="001A484B" w:rsidR="00093571">
        <w:t xml:space="preserve">is </w:t>
      </w:r>
      <w:r w:rsidRPr="001A484B" w:rsidR="009C3062">
        <w:t>obtained</w:t>
      </w:r>
      <w:r w:rsidRPr="001A484B" w:rsidR="00490A78">
        <w:t xml:space="preserve"> as a</w:t>
      </w:r>
      <w:r w:rsidRPr="001A484B" w:rsidR="00093571">
        <w:t xml:space="preserve"> ly</w:t>
      </w:r>
      <w:r w:rsidRPr="001A484B" w:rsidR="007D0E18">
        <w:t>o</w:t>
      </w:r>
      <w:r w:rsidRPr="001A484B" w:rsidR="00093571">
        <w:t>p</w:t>
      </w:r>
      <w:r w:rsidRPr="001A484B" w:rsidR="007D0E18">
        <w:t>h</w:t>
      </w:r>
      <w:r w:rsidRPr="001A484B" w:rsidR="00093571">
        <w:t>ilized</w:t>
      </w:r>
      <w:r w:rsidRPr="001A484B" w:rsidR="00490A78">
        <w:t xml:space="preserve"> powder</w:t>
      </w:r>
      <w:r w:rsidRPr="001A484B" w:rsidR="00093571">
        <w:t xml:space="preserve"> and is </w:t>
      </w:r>
      <w:r w:rsidRPr="001A484B">
        <w:t>reconstituted in</w:t>
      </w:r>
      <w:r w:rsidRPr="001A484B" w:rsidR="00490A78">
        <w:t xml:space="preserve">-house </w:t>
      </w:r>
      <w:r w:rsidRPr="001A484B" w:rsidR="006954A7">
        <w:t>in</w:t>
      </w:r>
      <w:r w:rsidRPr="001A484B" w:rsidR="000F586B">
        <w:t xml:space="preserve"> </w:t>
      </w:r>
      <w:r w:rsidRPr="001A484B" w:rsidR="00996D44">
        <w:t>d</w:t>
      </w:r>
      <w:r w:rsidRPr="001A484B" w:rsidR="00292520">
        <w:t>i</w:t>
      </w:r>
      <w:r w:rsidRPr="001A484B" w:rsidR="000F586B">
        <w:t>methyl</w:t>
      </w:r>
      <w:r w:rsidRPr="001A484B" w:rsidR="00292520">
        <w:t xml:space="preserve"> sulfoxide (</w:t>
      </w:r>
      <w:r w:rsidRPr="001A484B">
        <w:t>DMSO</w:t>
      </w:r>
      <w:r w:rsidRPr="001A484B" w:rsidR="00292520">
        <w:t>)</w:t>
      </w:r>
      <w:r w:rsidRPr="001A484B">
        <w:t xml:space="preserve"> at a concentration of 100 mM</w:t>
      </w:r>
      <w:r w:rsidRPr="001A484B" w:rsidR="006954A7">
        <w:t xml:space="preserve">; aliquots are </w:t>
      </w:r>
      <w:r w:rsidRPr="001A484B">
        <w:t xml:space="preserve">stored </w:t>
      </w:r>
      <w:r w:rsidRPr="001A484B" w:rsidR="006954A7">
        <w:t>in</w:t>
      </w:r>
      <w:r w:rsidRPr="001A484B">
        <w:t xml:space="preserve"> −80</w:t>
      </w:r>
      <w:r w:rsidRPr="001A484B" w:rsidR="009C3062">
        <w:t xml:space="preserve"> </w:t>
      </w:r>
      <w:r w:rsidRPr="001A484B">
        <w:t xml:space="preserve">°C. </w:t>
      </w:r>
      <w:proofErr w:type="spellStart"/>
      <w:r w:rsidRPr="001A484B">
        <w:t>Venetoclax</w:t>
      </w:r>
      <w:proofErr w:type="spellEnd"/>
      <w:r w:rsidRPr="001A484B">
        <w:t xml:space="preserve"> </w:t>
      </w:r>
      <w:r w:rsidRPr="001A484B" w:rsidR="003B1911">
        <w:t>is purchased</w:t>
      </w:r>
      <w:r w:rsidRPr="001A484B" w:rsidR="00A90C1D">
        <w:t xml:space="preserve"> pre-dissolved</w:t>
      </w:r>
      <w:r w:rsidRPr="001A484B" w:rsidR="00490A78">
        <w:t xml:space="preserve"> </w:t>
      </w:r>
      <w:r w:rsidRPr="001A484B" w:rsidR="004A6C8B">
        <w:t xml:space="preserve">in DMSO </w:t>
      </w:r>
      <w:r w:rsidRPr="001A484B" w:rsidR="006954A7">
        <w:t>a</w:t>
      </w:r>
      <w:r w:rsidRPr="001A484B" w:rsidR="007211CE">
        <w:t>t</w:t>
      </w:r>
      <w:r w:rsidRPr="001A484B" w:rsidR="006954A7">
        <w:t xml:space="preserve"> a concentration of</w:t>
      </w:r>
      <w:r w:rsidRPr="001A484B">
        <w:t xml:space="preserve"> 10 mM </w:t>
      </w:r>
      <w:r w:rsidRPr="001A484B" w:rsidR="006954A7">
        <w:t xml:space="preserve">and is stored </w:t>
      </w:r>
      <w:r w:rsidRPr="001A484B" w:rsidR="00A90C1D">
        <w:t>in</w:t>
      </w:r>
      <w:r w:rsidRPr="001A484B">
        <w:t xml:space="preserve"> -20</w:t>
      </w:r>
      <w:r w:rsidRPr="001A484B" w:rsidR="002C34A0">
        <w:t xml:space="preserve"> </w:t>
      </w:r>
      <w:r w:rsidRPr="001A484B">
        <w:t xml:space="preserve">°C. For this experiment, </w:t>
      </w:r>
      <w:proofErr w:type="spellStart"/>
      <w:r w:rsidRPr="001A484B">
        <w:t>venetoclax</w:t>
      </w:r>
      <w:proofErr w:type="spellEnd"/>
      <w:r w:rsidRPr="001A484B">
        <w:t xml:space="preserve"> and pyrimethamine are administered as a single dose </w:t>
      </w:r>
      <w:r w:rsidRPr="001A484B">
        <w:rPr>
          <w:i/>
          <w:iCs/>
        </w:rPr>
        <w:t>via</w:t>
      </w:r>
      <w:r w:rsidRPr="001A484B">
        <w:t xml:space="preserve"> free</w:t>
      </w:r>
      <w:r w:rsidRPr="001A484B" w:rsidR="00B5728F">
        <w:t xml:space="preserve"> </w:t>
      </w:r>
      <w:r w:rsidRPr="001A484B">
        <w:t>uptake in parallel with a vehicle control DMSO treatment condition.</w:t>
      </w:r>
    </w:p>
    <w:p w:rsidRPr="001A484B" w:rsidR="00292520" w:rsidP="001A484B" w:rsidRDefault="00292520" w14:paraId="03D0E57E" w14:textId="77777777"/>
    <w:p w:rsidRPr="001A484B" w:rsidR="00292520" w:rsidP="001A484B" w:rsidRDefault="00510FEB" w14:paraId="5621AB59" w14:textId="3DCF10E2">
      <w:r w:rsidRPr="001A484B">
        <w:t xml:space="preserve">CAUTION: Pyrimethamine, </w:t>
      </w:r>
      <w:proofErr w:type="spellStart"/>
      <w:r w:rsidRPr="001A484B">
        <w:t>venetoclax</w:t>
      </w:r>
      <w:proofErr w:type="spellEnd"/>
      <w:r w:rsidRPr="001A484B">
        <w:t>, and DMSO are biohazardou</w:t>
      </w:r>
      <w:r w:rsidRPr="001A484B" w:rsidR="00BE3F86">
        <w:t>s agents</w:t>
      </w:r>
      <w:r w:rsidRPr="001A484B">
        <w:t>. Handle only under the hood</w:t>
      </w:r>
      <w:r w:rsidRPr="001A484B" w:rsidR="002C34A0">
        <w:t>,</w:t>
      </w:r>
      <w:r w:rsidRPr="001A484B" w:rsidR="008370D8">
        <w:t xml:space="preserve"> wearing PPE</w:t>
      </w:r>
      <w:r w:rsidRPr="001A484B" w:rsidR="002C34A0">
        <w:t>,</w:t>
      </w:r>
      <w:r w:rsidRPr="001A484B">
        <w:t xml:space="preserve"> and use with </w:t>
      </w:r>
      <w:r w:rsidRPr="001A484B" w:rsidR="008370D8">
        <w:t xml:space="preserve">extra </w:t>
      </w:r>
      <w:r w:rsidRPr="001A484B">
        <w:t>caution.</w:t>
      </w:r>
      <w:r w:rsidRPr="001A484B" w:rsidR="008370D8">
        <w:t xml:space="preserve"> </w:t>
      </w:r>
    </w:p>
    <w:p w:rsidRPr="001A484B" w:rsidR="000369F7" w:rsidP="001A484B" w:rsidRDefault="000369F7" w14:paraId="4F078CF7" w14:textId="77777777"/>
    <w:p w:rsidRPr="001A484B" w:rsidR="000369F7" w:rsidP="768DDF5C" w:rsidRDefault="00510FEB" w14:paraId="6FB7CACD" w14:textId="0D8E6413">
      <w:pPr>
        <w:numPr>
          <w:ilvl w:val="1"/>
          <w:numId w:val="23"/>
        </w:numPr>
        <w:ind w:left="0" w:firstLine="0"/>
        <w:rPr>
          <w:highlight w:val="yellow"/>
        </w:rPr>
      </w:pPr>
      <w:r w:rsidRPr="768DDF5C" w:rsidR="00510FEB">
        <w:rPr>
          <w:highlight w:val="yellow"/>
        </w:rPr>
        <w:t>On the day of plating, thaw drug aliquot on ice, vortex, and spin down at max-speed on a tabletop mini centrifuge for 30 s.</w:t>
      </w:r>
      <w:r w:rsidR="00510FEB">
        <w:rPr/>
        <w:t xml:space="preserve"> </w:t>
      </w:r>
    </w:p>
    <w:p w:rsidRPr="001A484B" w:rsidR="000369F7" w:rsidP="001A484B" w:rsidRDefault="000369F7" w14:paraId="78EC09F6" w14:textId="77777777"/>
    <w:p w:rsidRPr="001A484B" w:rsidR="000369F7" w:rsidP="768DDF5C" w:rsidRDefault="00510FEB" w14:paraId="12472D5D" w14:textId="276F0238">
      <w:pPr>
        <w:numPr>
          <w:ilvl w:val="1"/>
          <w:numId w:val="23"/>
        </w:numPr>
        <w:ind w:left="0" w:firstLine="0"/>
        <w:rPr>
          <w:highlight w:val="yellow"/>
        </w:rPr>
      </w:pPr>
      <w:r w:rsidRPr="768DDF5C" w:rsidR="00510FEB">
        <w:rPr>
          <w:highlight w:val="yellow"/>
        </w:rPr>
        <w:t>Vortex and mix a bottle of semisolid media vigorously until all components are homogenized. Leave undisturbed in the hood at room temperature for 30 min to allow bubbles to rise to the surface.</w:t>
      </w:r>
    </w:p>
    <w:p w:rsidRPr="001A484B" w:rsidR="000369F7" w:rsidP="768DDF5C" w:rsidRDefault="000369F7" w14:paraId="4FA3FA2A" w14:textId="77777777">
      <w:pPr>
        <w:rPr>
          <w:highlight w:val="yellow"/>
        </w:rPr>
      </w:pPr>
    </w:p>
    <w:p w:rsidRPr="001A484B" w:rsidR="000369F7" w:rsidP="768DDF5C" w:rsidRDefault="00510FEB" w14:paraId="60C0EBA2" w14:textId="567CAB1F">
      <w:pPr>
        <w:numPr>
          <w:ilvl w:val="1"/>
          <w:numId w:val="23"/>
        </w:numPr>
        <w:ind w:left="0" w:firstLine="0"/>
        <w:rPr>
          <w:highlight w:val="yellow"/>
        </w:rPr>
      </w:pPr>
      <w:r w:rsidRPr="768DDF5C" w:rsidR="00510FEB">
        <w:rPr>
          <w:highlight w:val="yellow"/>
        </w:rPr>
        <w:t>Prepare 3 mL aliquots of semisolid media in sterile 15 mL conical tubes. Allow tubes to remain undisturbed for 30 min to allow bubbles to rise to the surface. Extra semisolid media aliquots can be re-frozen and stored in -20</w:t>
      </w:r>
      <w:r w:rsidRPr="768DDF5C" w:rsidR="002C34A0">
        <w:rPr>
          <w:highlight w:val="yellow"/>
        </w:rPr>
        <w:t xml:space="preserve"> </w:t>
      </w:r>
      <w:r w:rsidRPr="768DDF5C" w:rsidR="00510FEB">
        <w:rPr>
          <w:highlight w:val="yellow"/>
        </w:rPr>
        <w:t>°C for later use.</w:t>
      </w:r>
      <w:r w:rsidR="00510FEB">
        <w:rPr/>
        <w:t xml:space="preserve"> </w:t>
      </w:r>
    </w:p>
    <w:p w:rsidRPr="001A484B" w:rsidR="000369F7" w:rsidP="001A484B" w:rsidRDefault="000369F7" w14:paraId="641C7F8A" w14:textId="77777777"/>
    <w:p w:rsidRPr="001A484B" w:rsidR="000369F7" w:rsidP="001A484B" w:rsidRDefault="00510FEB" w14:paraId="3455BB3B" w14:textId="2E4109DA">
      <w:pPr>
        <w:numPr>
          <w:ilvl w:val="1"/>
          <w:numId w:val="23"/>
        </w:numPr>
        <w:ind w:left="0" w:firstLine="0"/>
        <w:rPr/>
      </w:pPr>
      <w:r w:rsidRPr="768DDF5C" w:rsidR="00510FEB">
        <w:rPr>
          <w:highlight w:val="yellow"/>
        </w:rPr>
        <w:t xml:space="preserve">Add no more than 10 </w:t>
      </w:r>
      <w:r w:rsidRPr="768DDF5C" w:rsidR="001E0D03">
        <w:rPr>
          <w:highlight w:val="yellow"/>
        </w:rPr>
        <w:t>μ</w:t>
      </w:r>
      <w:r w:rsidRPr="768DDF5C" w:rsidR="00510FEB">
        <w:rPr>
          <w:highlight w:val="yellow"/>
        </w:rPr>
        <w:t>L</w:t>
      </w:r>
      <w:r w:rsidRPr="768DDF5C" w:rsidR="00510FEB">
        <w:rPr>
          <w:highlight w:val="yellow"/>
        </w:rPr>
        <w:t xml:space="preserve"> of drug volume to the semisolid media.</w:t>
      </w:r>
      <w:r w:rsidR="00510FEB">
        <w:rPr/>
        <w:t xml:space="preserve"> For this experiment, </w:t>
      </w:r>
      <w:r w:rsidR="000C322C">
        <w:rPr/>
        <w:t>v</w:t>
      </w:r>
      <w:r w:rsidR="00510FEB">
        <w:rPr/>
        <w:t>enetoclax</w:t>
      </w:r>
      <w:r w:rsidR="00510FEB">
        <w:rPr/>
        <w:t xml:space="preserve"> </w:t>
      </w:r>
      <w:r w:rsidR="004B5FB5">
        <w:rPr/>
        <w:t xml:space="preserve">and pyrimethamine concentrations are adjusted according to empirically determined </w:t>
      </w:r>
      <w:r w:rsidR="004567F3">
        <w:rPr/>
        <w:t xml:space="preserve">synergistic </w:t>
      </w:r>
      <w:r w:rsidR="004B5FB5">
        <w:rPr/>
        <w:t>conditions</w:t>
      </w:r>
      <w:r w:rsidR="00510FEB">
        <w:rPr/>
        <w:t>. To a vehicle control group, add equivalent volumes of DMSO. Prepare duplicate 3</w:t>
      </w:r>
      <w:r w:rsidR="002C34A0">
        <w:rPr/>
        <w:t xml:space="preserve"> </w:t>
      </w:r>
      <w:r w:rsidR="00510FEB">
        <w:rPr/>
        <w:t xml:space="preserve">mL aliquots for each condition. </w:t>
      </w:r>
    </w:p>
    <w:p w:rsidRPr="001A484B" w:rsidR="000369F7" w:rsidP="001A484B" w:rsidRDefault="000369F7" w14:paraId="57FCA810" w14:textId="77777777"/>
    <w:p w:rsidRPr="001A484B" w:rsidR="000369F7" w:rsidP="001A484B" w:rsidRDefault="00510FEB" w14:paraId="12C861A8" w14:textId="4F9707FB">
      <w:r w:rsidRPr="001A484B">
        <w:t xml:space="preserve">NOTE: </w:t>
      </w:r>
      <w:r w:rsidRPr="001A484B" w:rsidR="002C34A0">
        <w:t>I</w:t>
      </w:r>
      <w:r w:rsidRPr="001A484B">
        <w:t xml:space="preserve">t is important to keep the volume of drug added negligible so that it does not affect the final concentration of drug in the semisolid media. </w:t>
      </w:r>
    </w:p>
    <w:p w:rsidRPr="001A484B" w:rsidR="000369F7" w:rsidP="001A484B" w:rsidRDefault="000369F7" w14:paraId="2C571677" w14:textId="77777777"/>
    <w:p w:rsidRPr="001A484B" w:rsidR="000369F7" w:rsidP="768DDF5C" w:rsidRDefault="00510FEB" w14:paraId="2405A20F" w14:textId="5FA21C9F">
      <w:pPr>
        <w:numPr>
          <w:ilvl w:val="1"/>
          <w:numId w:val="23"/>
        </w:numPr>
        <w:ind w:left="0" w:firstLine="0"/>
        <w:rPr>
          <w:highlight w:val="yellow"/>
        </w:rPr>
      </w:pPr>
      <w:r w:rsidRPr="768DDF5C" w:rsidR="00510FEB">
        <w:rPr>
          <w:highlight w:val="yellow"/>
        </w:rPr>
        <w:t>Vortex media in 4</w:t>
      </w:r>
      <w:r w:rsidRPr="768DDF5C" w:rsidR="002C34A0">
        <w:rPr>
          <w:highlight w:val="yellow"/>
        </w:rPr>
        <w:t>–</w:t>
      </w:r>
      <w:r w:rsidRPr="768DDF5C" w:rsidR="00510FEB">
        <w:rPr>
          <w:highlight w:val="yellow"/>
        </w:rPr>
        <w:t>5 short bursts to fully incorporate the drug into the media.</w:t>
      </w:r>
    </w:p>
    <w:p w:rsidRPr="001A484B" w:rsidR="000369F7" w:rsidP="001A484B" w:rsidRDefault="000369F7" w14:paraId="0726D03A" w14:textId="77777777"/>
    <w:p w:rsidRPr="001A484B" w:rsidR="000369F7" w:rsidP="001A484B" w:rsidRDefault="00510FEB" w14:paraId="770EEC13" w14:textId="4B4EF35C">
      <w:r w:rsidRPr="001A484B">
        <w:t xml:space="preserve">NOTE: Do not hold cell mixture on the </w:t>
      </w:r>
      <w:proofErr w:type="spellStart"/>
      <w:r w:rsidRPr="001A484B">
        <w:t>vortexor</w:t>
      </w:r>
      <w:proofErr w:type="spellEnd"/>
      <w:r w:rsidRPr="001A484B">
        <w:t xml:space="preserve"> for extended periods of time, as this could cause cell death. </w:t>
      </w:r>
    </w:p>
    <w:p w:rsidRPr="001A484B" w:rsidR="000369F7" w:rsidP="001A484B" w:rsidRDefault="000369F7" w14:paraId="12839F26" w14:textId="77777777">
      <w:pPr>
        <w:rPr>
          <w:i/>
          <w:iCs/>
        </w:rPr>
      </w:pPr>
    </w:p>
    <w:p w:rsidRPr="001A484B" w:rsidR="000369F7" w:rsidP="768DDF5C" w:rsidRDefault="00510FEB" w14:paraId="5E7D2D39" w14:textId="13A93E6B">
      <w:pPr>
        <w:numPr>
          <w:ilvl w:val="1"/>
          <w:numId w:val="23"/>
        </w:numPr>
        <w:ind w:left="0" w:firstLine="0"/>
        <w:rPr>
          <w:highlight w:val="yellow"/>
        </w:rPr>
      </w:pPr>
      <w:r w:rsidRPr="768DDF5C" w:rsidR="00510FEB">
        <w:rPr>
          <w:highlight w:val="yellow"/>
        </w:rPr>
        <w:t xml:space="preserve">Add 100 </w:t>
      </w:r>
      <w:r w:rsidRPr="768DDF5C" w:rsidR="004C4603">
        <w:rPr>
          <w:highlight w:val="yellow"/>
        </w:rPr>
        <w:t>μ</w:t>
      </w:r>
      <w:r w:rsidRPr="768DDF5C" w:rsidR="00510FEB">
        <w:rPr>
          <w:highlight w:val="yellow"/>
        </w:rPr>
        <w:t>L</w:t>
      </w:r>
      <w:r w:rsidRPr="768DDF5C" w:rsidR="00510FEB">
        <w:rPr>
          <w:highlight w:val="yellow"/>
        </w:rPr>
        <w:t xml:space="preserve"> of cells or </w:t>
      </w:r>
      <w:r w:rsidRPr="768DDF5C" w:rsidR="002C34A0">
        <w:rPr>
          <w:highlight w:val="yellow"/>
        </w:rPr>
        <w:t xml:space="preserve">an </w:t>
      </w:r>
      <w:r w:rsidRPr="768DDF5C" w:rsidR="00510FEB">
        <w:rPr>
          <w:highlight w:val="yellow"/>
        </w:rPr>
        <w:t>equivalent volume of 2</w:t>
      </w:r>
      <w:r w:rsidRPr="768DDF5C" w:rsidR="00BA5CDC">
        <w:rPr>
          <w:highlight w:val="yellow"/>
        </w:rPr>
        <w:t>,</w:t>
      </w:r>
      <w:r w:rsidRPr="768DDF5C" w:rsidR="00510FEB">
        <w:rPr>
          <w:highlight w:val="yellow"/>
        </w:rPr>
        <w:t>00</w:t>
      </w:r>
      <w:r w:rsidRPr="768DDF5C" w:rsidR="00986BC1">
        <w:rPr>
          <w:highlight w:val="yellow"/>
        </w:rPr>
        <w:t>,000</w:t>
      </w:r>
      <w:r w:rsidRPr="768DDF5C" w:rsidR="00510FEB">
        <w:rPr>
          <w:highlight w:val="yellow"/>
        </w:rPr>
        <w:t xml:space="preserve"> cells to the 3 mL aliquots of semisolid media. Vortex mixture in short bursts until fully incorporated/ homogenized.</w:t>
      </w:r>
      <w:r w:rsidR="00510FEB">
        <w:rPr/>
        <w:t xml:space="preserve"> </w:t>
      </w:r>
    </w:p>
    <w:p w:rsidRPr="001A484B" w:rsidR="000369F7" w:rsidP="001A484B" w:rsidRDefault="000369F7" w14:paraId="033CDB4C" w14:textId="77777777"/>
    <w:p w:rsidRPr="001A484B" w:rsidR="000369F7" w:rsidP="768DDF5C" w:rsidRDefault="00510FEB" w14:paraId="50B5A230" w14:textId="64602CDF">
      <w:pPr>
        <w:numPr>
          <w:ilvl w:val="1"/>
          <w:numId w:val="23"/>
        </w:numPr>
        <w:ind w:left="0" w:firstLine="0"/>
        <w:rPr>
          <w:highlight w:val="yellow"/>
        </w:rPr>
      </w:pPr>
      <w:r w:rsidRPr="768DDF5C" w:rsidR="00510FEB">
        <w:rPr>
          <w:highlight w:val="yellow"/>
        </w:rPr>
        <w:t>Attach a blunt-end 16</w:t>
      </w:r>
      <w:r w:rsidRPr="768DDF5C" w:rsidR="006E7F23">
        <w:rPr>
          <w:highlight w:val="yellow"/>
        </w:rPr>
        <w:t xml:space="preserve"> G</w:t>
      </w:r>
      <w:r w:rsidRPr="768DDF5C" w:rsidR="00510FEB">
        <w:rPr>
          <w:highlight w:val="yellow"/>
        </w:rPr>
        <w:t xml:space="preserve"> needle to a 3</w:t>
      </w:r>
      <w:r w:rsidRPr="768DDF5C" w:rsidR="00E233E0">
        <w:rPr>
          <w:highlight w:val="yellow"/>
        </w:rPr>
        <w:t xml:space="preserve"> </w:t>
      </w:r>
      <w:r w:rsidRPr="768DDF5C" w:rsidR="00510FEB">
        <w:rPr>
          <w:highlight w:val="yellow"/>
        </w:rPr>
        <w:t>mL syringe and drop the needle and syringe into the cell mixture. Leave undisturbed for 30 min to allow bubbles to rise to the surface.</w:t>
      </w:r>
      <w:r w:rsidR="00510FEB">
        <w:rPr/>
        <w:t xml:space="preserve"> </w:t>
      </w:r>
    </w:p>
    <w:p w:rsidRPr="001A484B" w:rsidR="000369F7" w:rsidP="001A484B" w:rsidRDefault="000369F7" w14:paraId="631BF264" w14:textId="77777777"/>
    <w:p w:rsidRPr="001A484B" w:rsidR="000369F7" w:rsidP="001A484B" w:rsidRDefault="00510FEB" w14:paraId="422EC6D6" w14:textId="77777777">
      <w:pPr>
        <w:numPr>
          <w:ilvl w:val="0"/>
          <w:numId w:val="23"/>
        </w:numPr>
        <w:ind w:left="0" w:firstLine="0"/>
        <w:rPr>
          <w:b/>
          <w:bCs/>
        </w:rPr>
      </w:pPr>
      <w:r w:rsidRPr="001A484B">
        <w:rPr>
          <w:b/>
          <w:bCs/>
        </w:rPr>
        <w:lastRenderedPageBreak/>
        <w:t xml:space="preserve">Plating of drug-treated cell suspension. </w:t>
      </w:r>
    </w:p>
    <w:p w:rsidRPr="001A484B" w:rsidR="000369F7" w:rsidP="768DDF5C" w:rsidRDefault="000369F7" w14:paraId="178ED7C9" w14:textId="77777777">
      <w:pPr>
        <w:rPr>
          <w:b w:val="1"/>
          <w:bCs w:val="1"/>
          <w:highlight w:val="yellow"/>
        </w:rPr>
      </w:pPr>
    </w:p>
    <w:p w:rsidRPr="001A484B" w:rsidR="000369F7" w:rsidP="768DDF5C" w:rsidRDefault="00510FEB" w14:paraId="5DF8FDE7" w14:textId="4E8F9153">
      <w:pPr>
        <w:numPr>
          <w:ilvl w:val="1"/>
          <w:numId w:val="23"/>
        </w:numPr>
        <w:ind w:left="0" w:firstLine="0"/>
        <w:rPr>
          <w:highlight w:val="yellow"/>
        </w:rPr>
      </w:pPr>
      <w:r w:rsidRPr="768DDF5C" w:rsidR="00510FEB">
        <w:rPr>
          <w:highlight w:val="yellow"/>
        </w:rPr>
        <w:t xml:space="preserve">Using </w:t>
      </w:r>
      <w:r w:rsidRPr="768DDF5C" w:rsidR="00011A88">
        <w:rPr>
          <w:highlight w:val="yellow"/>
        </w:rPr>
        <w:t xml:space="preserve">a </w:t>
      </w:r>
      <w:r w:rsidRPr="768DDF5C" w:rsidR="00510FEB">
        <w:rPr>
          <w:highlight w:val="yellow"/>
        </w:rPr>
        <w:t xml:space="preserve">submerged needle and syringe, take up </w:t>
      </w:r>
      <w:r w:rsidRPr="768DDF5C" w:rsidR="00011A88">
        <w:rPr>
          <w:highlight w:val="yellow"/>
        </w:rPr>
        <w:t xml:space="preserve">the </w:t>
      </w:r>
      <w:r w:rsidRPr="768DDF5C" w:rsidR="00510FEB">
        <w:rPr>
          <w:highlight w:val="yellow"/>
        </w:rPr>
        <w:t>cell and drug mixture</w:t>
      </w:r>
      <w:r w:rsidRPr="768DDF5C" w:rsidR="00011A88">
        <w:rPr>
          <w:highlight w:val="yellow"/>
        </w:rPr>
        <w:t>,</w:t>
      </w:r>
      <w:r w:rsidRPr="768DDF5C" w:rsidR="00510FEB">
        <w:rPr>
          <w:highlight w:val="yellow"/>
        </w:rPr>
        <w:t xml:space="preserve"> being careful not to </w:t>
      </w:r>
      <w:r w:rsidRPr="768DDF5C" w:rsidR="00454E5F">
        <w:rPr>
          <w:highlight w:val="yellow"/>
        </w:rPr>
        <w:t>aspirate</w:t>
      </w:r>
      <w:r w:rsidRPr="768DDF5C" w:rsidR="00510FEB">
        <w:rPr>
          <w:highlight w:val="yellow"/>
        </w:rPr>
        <w:t xml:space="preserve"> any air bubbles. Wait 3</w:t>
      </w:r>
      <w:r w:rsidRPr="768DDF5C" w:rsidR="00011A88">
        <w:rPr>
          <w:highlight w:val="yellow"/>
        </w:rPr>
        <w:t>–</w:t>
      </w:r>
      <w:r w:rsidRPr="768DDF5C" w:rsidR="00510FEB">
        <w:rPr>
          <w:highlight w:val="yellow"/>
        </w:rPr>
        <w:t xml:space="preserve">5 min, </w:t>
      </w:r>
      <w:r w:rsidRPr="768DDF5C" w:rsidR="00011A88">
        <w:rPr>
          <w:highlight w:val="yellow"/>
        </w:rPr>
        <w:t>then take up the remaining mixture that has collected on</w:t>
      </w:r>
      <w:r w:rsidRPr="768DDF5C" w:rsidR="00510FEB">
        <w:rPr>
          <w:highlight w:val="yellow"/>
        </w:rPr>
        <w:t xml:space="preserve"> the sides of the 15</w:t>
      </w:r>
      <w:r w:rsidRPr="768DDF5C" w:rsidR="00E233E0">
        <w:rPr>
          <w:highlight w:val="yellow"/>
        </w:rPr>
        <w:t xml:space="preserve"> </w:t>
      </w:r>
      <w:r w:rsidRPr="768DDF5C" w:rsidR="00510FEB">
        <w:rPr>
          <w:highlight w:val="yellow"/>
        </w:rPr>
        <w:t>mL conical tube.</w:t>
      </w:r>
      <w:r w:rsidR="00510FEB">
        <w:rPr/>
        <w:t xml:space="preserve"> </w:t>
      </w:r>
    </w:p>
    <w:p w:rsidRPr="001A484B" w:rsidR="000369F7" w:rsidP="001A484B" w:rsidRDefault="000369F7" w14:paraId="3431767D" w14:textId="77777777"/>
    <w:p w:rsidRPr="001A484B" w:rsidR="000369F7" w:rsidP="768DDF5C" w:rsidRDefault="00510FEB" w14:paraId="689B5EA4" w14:textId="7F433FE9">
      <w:pPr>
        <w:numPr>
          <w:ilvl w:val="1"/>
          <w:numId w:val="23"/>
        </w:numPr>
        <w:ind w:left="0" w:firstLine="0"/>
        <w:rPr>
          <w:highlight w:val="yellow"/>
        </w:rPr>
      </w:pPr>
      <w:r w:rsidRPr="768DDF5C" w:rsidR="00510FEB">
        <w:rPr>
          <w:highlight w:val="yellow"/>
        </w:rPr>
        <w:t xml:space="preserve">In a sterile 6-well plate, add the cell mixture dropwise, alternating large drops between 2 wells of an outer column of the plate. Spread </w:t>
      </w:r>
      <w:r w:rsidRPr="768DDF5C" w:rsidR="005C5998">
        <w:rPr>
          <w:highlight w:val="yellow"/>
        </w:rPr>
        <w:t xml:space="preserve">the </w:t>
      </w:r>
      <w:r w:rsidRPr="768DDF5C" w:rsidR="00510FEB">
        <w:rPr>
          <w:highlight w:val="yellow"/>
        </w:rPr>
        <w:t>mixture</w:t>
      </w:r>
      <w:r w:rsidRPr="768DDF5C" w:rsidR="001B0249">
        <w:rPr>
          <w:highlight w:val="yellow"/>
        </w:rPr>
        <w:t xml:space="preserve"> by gently </w:t>
      </w:r>
      <w:r w:rsidRPr="768DDF5C" w:rsidR="006C56C1">
        <w:rPr>
          <w:highlight w:val="yellow"/>
        </w:rPr>
        <w:t>tilting the plate in circular motions</w:t>
      </w:r>
      <w:r w:rsidRPr="768DDF5C" w:rsidR="00510FEB">
        <w:rPr>
          <w:highlight w:val="yellow"/>
        </w:rPr>
        <w:t xml:space="preserve"> to evenly cover the entirety of the bottom of the wells. These two wells constitute technical replicates.</w:t>
      </w:r>
      <w:r w:rsidR="00510FEB">
        <w:rPr/>
        <w:t xml:space="preserve"> </w:t>
      </w:r>
    </w:p>
    <w:p w:rsidRPr="001A484B" w:rsidR="000369F7" w:rsidP="001A484B" w:rsidRDefault="000369F7" w14:paraId="2B8AB37D" w14:textId="77777777"/>
    <w:p w:rsidRPr="001A484B" w:rsidR="000369F7" w:rsidP="768DDF5C" w:rsidRDefault="00510FEB" w14:paraId="03148A32" w14:textId="2A9D6072">
      <w:pPr>
        <w:rPr>
          <w:highlight w:val="yellow"/>
        </w:rPr>
      </w:pPr>
      <w:r w:rsidRPr="768DDF5C" w:rsidR="00510FEB">
        <w:rPr>
          <w:highlight w:val="yellow"/>
        </w:rPr>
        <w:t xml:space="preserve">NOTE: </w:t>
      </w:r>
      <w:r w:rsidRPr="768DDF5C" w:rsidR="00011A88">
        <w:rPr>
          <w:highlight w:val="yellow"/>
        </w:rPr>
        <w:t>I</w:t>
      </w:r>
      <w:r w:rsidRPr="768DDF5C" w:rsidR="00510FEB">
        <w:rPr>
          <w:highlight w:val="yellow"/>
        </w:rPr>
        <w:t>f bubbles form or are accidentally added to the wells, use a pipette filter tip to gently pop or move the bubbles to the plate edge. Any large bubbles left in the plate can affect the growth of colonies.</w:t>
      </w:r>
      <w:r w:rsidR="00510FEB">
        <w:rPr/>
        <w:t xml:space="preserve"> </w:t>
      </w:r>
    </w:p>
    <w:p w:rsidRPr="001A484B" w:rsidR="000369F7" w:rsidP="001A484B" w:rsidRDefault="000369F7" w14:paraId="46065417" w14:textId="77777777">
      <w:pPr>
        <w:rPr>
          <w:i/>
          <w:iCs/>
        </w:rPr>
      </w:pPr>
    </w:p>
    <w:p w:rsidRPr="001A484B" w:rsidR="000369F7" w:rsidP="768DDF5C" w:rsidRDefault="00510FEB" w14:paraId="7BD4CB79" w14:textId="45284A98">
      <w:pPr>
        <w:numPr>
          <w:ilvl w:val="1"/>
          <w:numId w:val="23"/>
        </w:numPr>
        <w:ind w:left="0" w:firstLine="0"/>
        <w:rPr>
          <w:highlight w:val="yellow"/>
        </w:rPr>
      </w:pPr>
      <w:r w:rsidRPr="768DDF5C" w:rsidR="00510FEB">
        <w:rPr>
          <w:highlight w:val="yellow"/>
        </w:rPr>
        <w:t xml:space="preserve">Add </w:t>
      </w:r>
      <w:r w:rsidRPr="768DDF5C" w:rsidR="00F63985">
        <w:rPr>
          <w:highlight w:val="yellow"/>
        </w:rPr>
        <w:t xml:space="preserve">the </w:t>
      </w:r>
      <w:r w:rsidRPr="768DDF5C" w:rsidR="00510FEB">
        <w:rPr>
          <w:highlight w:val="yellow"/>
        </w:rPr>
        <w:t>colony assay mixture only to the outer columns of the 6-well plate. To the center column, add 5 mL of sterile water to each well.</w:t>
      </w:r>
      <w:r w:rsidR="00510FEB">
        <w:rPr/>
        <w:t xml:space="preserve"> Adding water to the wells will ensure that enough moisture is present to keep</w:t>
      </w:r>
      <w:r w:rsidR="00E3454A">
        <w:rPr/>
        <w:t xml:space="preserve"> the</w:t>
      </w:r>
      <w:r w:rsidR="00510FEB">
        <w:rPr/>
        <w:t xml:space="preserve"> </w:t>
      </w:r>
      <w:r w:rsidR="00E3454A">
        <w:rPr/>
        <w:t>s</w:t>
      </w:r>
      <w:r w:rsidR="00510FEB">
        <w:rPr/>
        <w:t>emisolid med</w:t>
      </w:r>
      <w:r w:rsidR="000935A8">
        <w:rPr/>
        <w:t>ium</w:t>
      </w:r>
      <w:r w:rsidR="00510FEB">
        <w:rPr/>
        <w:t xml:space="preserve"> from drying up.</w:t>
      </w:r>
      <w:r w:rsidR="00510FEB">
        <w:rPr/>
        <w:t xml:space="preserve"> </w:t>
      </w:r>
    </w:p>
    <w:p w:rsidRPr="001A484B" w:rsidR="000369F7" w:rsidP="001A484B" w:rsidRDefault="000369F7" w14:paraId="2D8EDEFD" w14:textId="77777777"/>
    <w:p w:rsidRPr="001A484B" w:rsidR="000369F7" w:rsidP="001A484B" w:rsidRDefault="00510FEB" w14:paraId="5D0D5777" w14:textId="5DE923AC">
      <w:pPr>
        <w:numPr>
          <w:ilvl w:val="1"/>
          <w:numId w:val="23"/>
        </w:numPr>
        <w:ind w:left="0" w:firstLine="0"/>
        <w:rPr/>
      </w:pPr>
      <w:r w:rsidRPr="768DDF5C" w:rsidR="00510FEB">
        <w:rPr>
          <w:highlight w:val="yellow"/>
        </w:rPr>
        <w:t xml:space="preserve">Incubate </w:t>
      </w:r>
      <w:r w:rsidRPr="768DDF5C" w:rsidR="00011A88">
        <w:rPr>
          <w:highlight w:val="yellow"/>
        </w:rPr>
        <w:t xml:space="preserve">the </w:t>
      </w:r>
      <w:r w:rsidRPr="768DDF5C" w:rsidR="00510FEB">
        <w:rPr>
          <w:highlight w:val="yellow"/>
        </w:rPr>
        <w:t xml:space="preserve">plate in </w:t>
      </w:r>
      <w:r w:rsidRPr="768DDF5C" w:rsidR="00011A88">
        <w:rPr>
          <w:highlight w:val="yellow"/>
        </w:rPr>
        <w:t xml:space="preserve">a </w:t>
      </w:r>
      <w:r w:rsidRPr="768DDF5C" w:rsidR="00510FEB">
        <w:rPr>
          <w:highlight w:val="yellow"/>
        </w:rPr>
        <w:t>37</w:t>
      </w:r>
      <w:r w:rsidRPr="768DDF5C" w:rsidR="001111EC">
        <w:rPr>
          <w:highlight w:val="yellow"/>
        </w:rPr>
        <w:t xml:space="preserve"> </w:t>
      </w:r>
      <w:r w:rsidRPr="768DDF5C" w:rsidR="00510FEB">
        <w:rPr>
          <w:highlight w:val="yellow"/>
        </w:rPr>
        <w:t>°C incubator with 5% CO</w:t>
      </w:r>
      <w:r w:rsidRPr="768DDF5C" w:rsidR="00510FEB">
        <w:rPr>
          <w:highlight w:val="yellow"/>
          <w:vertAlign w:val="subscript"/>
        </w:rPr>
        <w:t>2</w:t>
      </w:r>
      <w:r w:rsidRPr="768DDF5C" w:rsidR="00510FEB">
        <w:rPr>
          <w:highlight w:val="yellow"/>
        </w:rPr>
        <w:t>.</w:t>
      </w:r>
      <w:r w:rsidR="00510FEB">
        <w:rPr/>
        <w:t xml:space="preserve"> Monitor cell growth and water levels 2</w:t>
      </w:r>
      <w:r w:rsidR="00011A88">
        <w:rPr/>
        <w:t>x</w:t>
      </w:r>
      <w:r w:rsidR="00510FEB">
        <w:rPr/>
        <w:t>/week. Cells should form colonies visible by eye at around 7</w:t>
      </w:r>
      <w:r w:rsidR="00E233E0">
        <w:rPr/>
        <w:t xml:space="preserve"> </w:t>
      </w:r>
      <w:r w:rsidR="00510FEB">
        <w:rPr/>
        <w:t>days post-plating, and plates should reach 75</w:t>
      </w:r>
      <w:r w:rsidR="00EC5852">
        <w:rPr/>
        <w:t>%–</w:t>
      </w:r>
      <w:r w:rsidR="00510FEB">
        <w:rPr/>
        <w:t>80% confluency somewhere between 14</w:t>
      </w:r>
      <w:r w:rsidR="00EC5852">
        <w:rPr/>
        <w:t>–</w:t>
      </w:r>
      <w:r w:rsidR="00510FEB">
        <w:rPr/>
        <w:t>21 days post-plating.</w:t>
      </w:r>
    </w:p>
    <w:p w:rsidRPr="001A484B" w:rsidR="000369F7" w:rsidP="001A484B" w:rsidRDefault="000369F7" w14:paraId="63E15BFA" w14:textId="77777777"/>
    <w:p w:rsidRPr="001A484B" w:rsidR="000369F7" w:rsidP="001A484B" w:rsidRDefault="00510FEB" w14:paraId="5792674D" w14:textId="2D276E22">
      <w:pPr>
        <w:numPr>
          <w:ilvl w:val="0"/>
          <w:numId w:val="23"/>
        </w:numPr>
        <w:ind w:left="0" w:firstLine="0"/>
        <w:rPr>
          <w:b/>
          <w:bCs/>
        </w:rPr>
      </w:pPr>
      <w:r w:rsidRPr="001A484B">
        <w:rPr>
          <w:b/>
          <w:bCs/>
        </w:rPr>
        <w:t xml:space="preserve">Colony </w:t>
      </w:r>
      <w:r w:rsidRPr="001A484B" w:rsidR="00A73A8D">
        <w:rPr>
          <w:b/>
          <w:bCs/>
        </w:rPr>
        <w:t xml:space="preserve">imaging and </w:t>
      </w:r>
      <w:r w:rsidRPr="001A484B">
        <w:rPr>
          <w:b/>
          <w:bCs/>
        </w:rPr>
        <w:t>counting</w:t>
      </w:r>
    </w:p>
    <w:p w:rsidRPr="001A484B" w:rsidR="000369F7" w:rsidP="001A484B" w:rsidRDefault="000369F7" w14:paraId="2691DAE1" w14:textId="77777777">
      <w:pPr>
        <w:rPr>
          <w:b/>
          <w:bCs/>
        </w:rPr>
      </w:pPr>
    </w:p>
    <w:p w:rsidRPr="001A484B" w:rsidR="000369F7" w:rsidP="001A484B" w:rsidRDefault="00510FEB" w14:paraId="44869E6A" w14:textId="232A5C27">
      <w:r w:rsidRPr="001A484B">
        <w:t xml:space="preserve">NOTE: </w:t>
      </w:r>
      <w:r w:rsidRPr="001A484B" w:rsidR="007626C4">
        <w:t>This protocol describes parameters that are validated for</w:t>
      </w:r>
      <w:r w:rsidRPr="001A484B" w:rsidR="00633A97">
        <w:t xml:space="preserve"> use on the EVOS M7000 imaging system. These settings may need to be optimized or adapted for compatibility with other</w:t>
      </w:r>
      <w:r w:rsidRPr="001A484B" w:rsidR="00E3590B">
        <w:t xml:space="preserve"> plate</w:t>
      </w:r>
      <w:r w:rsidRPr="001A484B" w:rsidR="00633A97">
        <w:t xml:space="preserve"> imaging systems. </w:t>
      </w:r>
      <w:r w:rsidRPr="001A484B">
        <w:t xml:space="preserve"> </w:t>
      </w:r>
    </w:p>
    <w:p w:rsidRPr="001A484B" w:rsidR="000369F7" w:rsidP="001A484B" w:rsidRDefault="000369F7" w14:paraId="7B781694" w14:textId="77777777">
      <w:pPr>
        <w:rPr>
          <w:b/>
          <w:bCs/>
          <w:i/>
          <w:iCs/>
        </w:rPr>
      </w:pPr>
    </w:p>
    <w:p w:rsidRPr="001A484B" w:rsidR="000369F7" w:rsidP="001A484B" w:rsidRDefault="00510FEB" w14:paraId="4907364F" w14:textId="77777777">
      <w:pPr>
        <w:numPr>
          <w:ilvl w:val="1"/>
          <w:numId w:val="23"/>
        </w:numPr>
        <w:ind w:left="0" w:firstLine="0"/>
      </w:pPr>
      <w:r w:rsidRPr="001A484B">
        <w:t xml:space="preserve">Remove the protective light filter cover from the microscope platform. Turn on the microscope and open the associated software program. </w:t>
      </w:r>
    </w:p>
    <w:p w:rsidRPr="001A484B" w:rsidR="000369F7" w:rsidP="001A484B" w:rsidRDefault="000369F7" w14:paraId="34BB48FF" w14:textId="77777777"/>
    <w:p w:rsidRPr="001A484B" w:rsidR="000369F7" w:rsidP="768DDF5C" w:rsidRDefault="00510FEB" w14:paraId="0FEC1F61" w14:textId="77777777">
      <w:pPr>
        <w:numPr>
          <w:ilvl w:val="1"/>
          <w:numId w:val="23"/>
        </w:numPr>
        <w:ind w:left="0" w:firstLine="0"/>
        <w:rPr>
          <w:highlight w:val="yellow"/>
        </w:rPr>
      </w:pPr>
      <w:r w:rsidRPr="768DDF5C" w:rsidR="00510FEB">
        <w:rPr>
          <w:highlight w:val="yellow"/>
        </w:rPr>
        <w:t>Insert a light diffuser into the top lens of the microscope apparatus.</w:t>
      </w:r>
      <w:r w:rsidR="00510FEB">
        <w:rPr/>
        <w:t xml:space="preserve"> </w:t>
      </w:r>
    </w:p>
    <w:p w:rsidRPr="001A484B" w:rsidR="000369F7" w:rsidP="001A484B" w:rsidRDefault="000369F7" w14:paraId="707C7D50" w14:textId="77777777"/>
    <w:p w:rsidRPr="001A484B" w:rsidR="000369F7" w:rsidP="001A484B" w:rsidRDefault="00510FEB" w14:paraId="72E0654A" w14:textId="77777777">
      <w:pPr>
        <w:numPr>
          <w:ilvl w:val="1"/>
          <w:numId w:val="23"/>
        </w:numPr>
        <w:ind w:left="0" w:firstLine="0"/>
      </w:pPr>
      <w:r w:rsidRPr="001A484B">
        <w:t xml:space="preserve">Insert the plate position onto the platform such that well A1 is in the top left corner. </w:t>
      </w:r>
    </w:p>
    <w:p w:rsidRPr="001A484B" w:rsidR="000369F7" w:rsidP="001A484B" w:rsidRDefault="000369F7" w14:paraId="259AB235" w14:textId="77777777"/>
    <w:p w:rsidRPr="001A484B" w:rsidR="000369F7" w:rsidP="001A484B" w:rsidRDefault="00510FEB" w14:paraId="3AB36B81" w14:textId="549D73F9">
      <w:pPr>
        <w:numPr>
          <w:ilvl w:val="1"/>
          <w:numId w:val="23"/>
        </w:numPr>
        <w:ind w:left="0" w:firstLine="0"/>
      </w:pPr>
      <w:r w:rsidRPr="001A484B">
        <w:t>In the imaging software,</w:t>
      </w:r>
      <w:r w:rsidRPr="001A484B" w:rsidR="008165A5">
        <w:t xml:space="preserve"> </w:t>
      </w:r>
      <w:r w:rsidRPr="001A484B">
        <w:t xml:space="preserve">input the following </w:t>
      </w:r>
      <w:r w:rsidRPr="001A484B" w:rsidR="00481B6D">
        <w:t xml:space="preserve">focus </w:t>
      </w:r>
      <w:r w:rsidRPr="001A484B">
        <w:t xml:space="preserve">settings: </w:t>
      </w:r>
    </w:p>
    <w:p w:rsidRPr="001A484B" w:rsidR="000369F7" w:rsidP="001A484B" w:rsidRDefault="000369F7" w14:paraId="102FFBF3" w14:textId="77777777"/>
    <w:p w:rsidRPr="001A484B" w:rsidR="000369F7" w:rsidP="001A484B" w:rsidRDefault="008165A5" w14:paraId="1BE142B7" w14:textId="4A907C77">
      <w:pPr>
        <w:pStyle w:val="ListParagraph"/>
        <w:numPr>
          <w:ilvl w:val="2"/>
          <w:numId w:val="53"/>
        </w:numPr>
        <w:spacing w:after="0" w:line="240" w:lineRule="auto"/>
        <w:ind w:left="0" w:firstLine="0"/>
        <w:jc w:val="both"/>
        <w:rPr>
          <w:rFonts w:ascii="Calibri" w:hAnsi="Calibri" w:cs="Calibri"/>
          <w:sz w:val="24"/>
          <w:szCs w:val="24"/>
        </w:rPr>
      </w:pPr>
      <w:r w:rsidRPr="001A484B">
        <w:rPr>
          <w:rFonts w:ascii="Calibri" w:hAnsi="Calibri" w:cs="Calibri"/>
          <w:sz w:val="24"/>
          <w:szCs w:val="24"/>
        </w:rPr>
        <w:t xml:space="preserve">Select the vessel to be imaged. In this protocol, a 6-well plate is used. </w:t>
      </w:r>
    </w:p>
    <w:p w:rsidRPr="001A484B" w:rsidR="000369F7" w:rsidP="001A484B" w:rsidRDefault="000369F7" w14:paraId="2BC92B1E" w14:textId="77777777"/>
    <w:p w:rsidRPr="001A484B" w:rsidR="000369F7" w:rsidP="768DDF5C" w:rsidRDefault="008165A5" w14:paraId="5F87E00F" w14:textId="290DFA4D">
      <w:pPr>
        <w:pStyle w:val="ListParagraph"/>
        <w:numPr>
          <w:ilvl w:val="2"/>
          <w:numId w:val="53"/>
        </w:numPr>
        <w:spacing w:after="0" w:line="240" w:lineRule="auto"/>
        <w:ind w:left="0" w:firstLine="0"/>
        <w:jc w:val="both"/>
        <w:rPr>
          <w:rFonts w:ascii="Calibri" w:hAnsi="Calibri" w:cs="Calibri"/>
          <w:sz w:val="24"/>
          <w:szCs w:val="24"/>
          <w:highlight w:val="yellow"/>
        </w:rPr>
      </w:pPr>
      <w:r w:rsidRPr="768DDF5C" w:rsidR="008165A5">
        <w:rPr>
          <w:rFonts w:ascii="Calibri" w:hAnsi="Calibri" w:cs="Calibri"/>
          <w:sz w:val="24"/>
          <w:szCs w:val="24"/>
          <w:highlight w:val="yellow"/>
        </w:rPr>
        <w:t xml:space="preserve">Set the objective to </w:t>
      </w:r>
      <w:r w:rsidRPr="768DDF5C" w:rsidR="008165A5">
        <w:rPr>
          <w:rFonts w:ascii="Calibri" w:hAnsi="Calibri" w:cs="Calibri"/>
          <w:b w:val="1"/>
          <w:bCs w:val="1"/>
          <w:sz w:val="24"/>
          <w:szCs w:val="24"/>
          <w:highlight w:val="yellow"/>
        </w:rPr>
        <w:t>4X</w:t>
      </w:r>
      <w:r w:rsidRPr="768DDF5C" w:rsidR="008165A5">
        <w:rPr>
          <w:rFonts w:ascii="Calibri" w:hAnsi="Calibri" w:cs="Calibri"/>
          <w:sz w:val="24"/>
          <w:szCs w:val="24"/>
          <w:highlight w:val="yellow"/>
        </w:rPr>
        <w:t>.</w:t>
      </w:r>
    </w:p>
    <w:p w:rsidRPr="001A484B" w:rsidR="000369F7" w:rsidP="768DDF5C" w:rsidRDefault="000369F7" w14:paraId="7AAB8832" w14:textId="77777777">
      <w:pPr>
        <w:rPr>
          <w:highlight w:val="yellow"/>
        </w:rPr>
      </w:pPr>
    </w:p>
    <w:p w:rsidRPr="001A484B" w:rsidR="000369F7" w:rsidP="768DDF5C" w:rsidRDefault="008165A5" w14:paraId="2194E3D2" w14:textId="6DF9F2A8">
      <w:pPr>
        <w:pStyle w:val="ListParagraph"/>
        <w:numPr>
          <w:ilvl w:val="2"/>
          <w:numId w:val="53"/>
        </w:numPr>
        <w:spacing w:after="0" w:line="240" w:lineRule="auto"/>
        <w:ind w:left="0" w:firstLine="0"/>
        <w:jc w:val="both"/>
        <w:rPr>
          <w:rFonts w:ascii="Calibri" w:hAnsi="Calibri" w:cs="Calibri"/>
          <w:sz w:val="24"/>
          <w:szCs w:val="24"/>
          <w:highlight w:val="yellow"/>
        </w:rPr>
      </w:pPr>
      <w:r w:rsidRPr="768DDF5C" w:rsidR="008165A5">
        <w:rPr>
          <w:rFonts w:ascii="Calibri" w:hAnsi="Calibri" w:cs="Calibri"/>
          <w:sz w:val="24"/>
          <w:szCs w:val="24"/>
          <w:highlight w:val="yellow"/>
        </w:rPr>
        <w:t xml:space="preserve">Select the light source as </w:t>
      </w:r>
      <w:r w:rsidRPr="768DDF5C" w:rsidR="008165A5">
        <w:rPr>
          <w:rFonts w:ascii="Calibri" w:hAnsi="Calibri" w:cs="Calibri"/>
          <w:b w:val="1"/>
          <w:bCs w:val="1"/>
          <w:sz w:val="24"/>
          <w:szCs w:val="24"/>
          <w:highlight w:val="yellow"/>
        </w:rPr>
        <w:t>Trans</w:t>
      </w:r>
      <w:r w:rsidRPr="768DDF5C" w:rsidR="008165A5">
        <w:rPr>
          <w:rFonts w:ascii="Calibri" w:hAnsi="Calibri" w:cs="Calibri"/>
          <w:sz w:val="24"/>
          <w:szCs w:val="24"/>
          <w:highlight w:val="yellow"/>
        </w:rPr>
        <w:t xml:space="preserve"> or switch the microscope to brightfield mode.</w:t>
      </w:r>
      <w:r w:rsidRPr="768DDF5C" w:rsidR="008165A5">
        <w:rPr>
          <w:rFonts w:ascii="Calibri" w:hAnsi="Calibri" w:cs="Calibri"/>
          <w:sz w:val="24"/>
          <w:szCs w:val="24"/>
        </w:rPr>
        <w:t xml:space="preserve"> </w:t>
      </w:r>
    </w:p>
    <w:p w:rsidRPr="001A484B" w:rsidR="000369F7" w:rsidP="768DDF5C" w:rsidRDefault="000369F7" w14:paraId="67F4BA4A" w14:textId="77777777">
      <w:pPr>
        <w:rPr>
          <w:highlight w:val="yellow"/>
        </w:rPr>
      </w:pPr>
    </w:p>
    <w:p w:rsidRPr="001A484B" w:rsidR="000369F7" w:rsidP="768DDF5C" w:rsidRDefault="00510FEB" w14:paraId="329BA245" w14:textId="50E02A66">
      <w:pPr>
        <w:pStyle w:val="ListParagraph"/>
        <w:numPr>
          <w:ilvl w:val="2"/>
          <w:numId w:val="53"/>
        </w:numPr>
        <w:spacing w:after="0" w:line="240" w:lineRule="auto"/>
        <w:ind w:left="0" w:firstLine="0"/>
        <w:jc w:val="both"/>
        <w:rPr>
          <w:rFonts w:ascii="Calibri" w:hAnsi="Calibri" w:cs="Calibri"/>
          <w:sz w:val="24"/>
          <w:szCs w:val="24"/>
          <w:highlight w:val="yellow"/>
        </w:rPr>
      </w:pPr>
      <w:r w:rsidRPr="768DDF5C" w:rsidR="00510FEB">
        <w:rPr>
          <w:rFonts w:ascii="Calibri" w:hAnsi="Calibri" w:cs="Calibri"/>
          <w:sz w:val="24"/>
          <w:szCs w:val="24"/>
          <w:highlight w:val="yellow"/>
        </w:rPr>
        <w:t xml:space="preserve">Turn on the </w:t>
      </w:r>
      <w:r w:rsidRPr="768DDF5C" w:rsidR="008165A5">
        <w:rPr>
          <w:rFonts w:ascii="Calibri" w:hAnsi="Calibri" w:cs="Calibri"/>
          <w:sz w:val="24"/>
          <w:szCs w:val="24"/>
          <w:highlight w:val="yellow"/>
        </w:rPr>
        <w:t xml:space="preserve">microscope </w:t>
      </w:r>
      <w:r w:rsidRPr="768DDF5C" w:rsidR="00510FEB">
        <w:rPr>
          <w:rFonts w:ascii="Calibri" w:hAnsi="Calibri" w:cs="Calibri"/>
          <w:sz w:val="24"/>
          <w:szCs w:val="24"/>
          <w:highlight w:val="yellow"/>
        </w:rPr>
        <w:t xml:space="preserve">light and manually adjust the light intensity using the coarse slider. </w:t>
      </w:r>
      <w:r w:rsidRPr="768DDF5C" w:rsidR="008165A5">
        <w:rPr>
          <w:rFonts w:ascii="Calibri" w:hAnsi="Calibri" w:cs="Calibri"/>
          <w:sz w:val="24"/>
          <w:szCs w:val="24"/>
          <w:highlight w:val="yellow"/>
        </w:rPr>
        <w:t>For the instrument used in this protocol, t</w:t>
      </w:r>
      <w:r w:rsidRPr="768DDF5C" w:rsidR="00510FEB">
        <w:rPr>
          <w:rFonts w:ascii="Calibri" w:hAnsi="Calibri" w:cs="Calibri"/>
          <w:sz w:val="24"/>
          <w:szCs w:val="24"/>
          <w:highlight w:val="yellow"/>
        </w:rPr>
        <w:t>he optimal range for imaging colonies is around 0.03.</w:t>
      </w:r>
      <w:r w:rsidRPr="768DDF5C" w:rsidR="00510FEB">
        <w:rPr>
          <w:rFonts w:ascii="Calibri" w:hAnsi="Calibri" w:cs="Calibri"/>
          <w:sz w:val="24"/>
          <w:szCs w:val="24"/>
        </w:rPr>
        <w:t xml:space="preserve"> </w:t>
      </w:r>
    </w:p>
    <w:p w:rsidRPr="001A484B" w:rsidR="000369F7" w:rsidP="768DDF5C" w:rsidRDefault="000369F7" w14:paraId="17ACEE6F" w14:textId="77777777">
      <w:pPr>
        <w:rPr>
          <w:highlight w:val="yellow"/>
        </w:rPr>
      </w:pPr>
    </w:p>
    <w:p w:rsidRPr="001A484B" w:rsidR="00481B6D" w:rsidP="768DDF5C" w:rsidRDefault="008165A5" w14:paraId="4A8117FB" w14:textId="03171F01">
      <w:pPr>
        <w:pStyle w:val="ListParagraph"/>
        <w:numPr>
          <w:ilvl w:val="2"/>
          <w:numId w:val="53"/>
        </w:numPr>
        <w:spacing w:after="0" w:line="240" w:lineRule="auto"/>
        <w:ind w:left="0" w:firstLine="0"/>
        <w:jc w:val="both"/>
        <w:rPr>
          <w:rFonts w:ascii="Calibri" w:hAnsi="Calibri" w:cs="Calibri"/>
          <w:sz w:val="24"/>
          <w:szCs w:val="24"/>
          <w:highlight w:val="yellow"/>
        </w:rPr>
      </w:pPr>
      <w:r w:rsidRPr="768DDF5C" w:rsidR="008165A5">
        <w:rPr>
          <w:rFonts w:ascii="Calibri" w:hAnsi="Calibri" w:cs="Calibri"/>
          <w:sz w:val="24"/>
          <w:szCs w:val="24"/>
          <w:highlight w:val="yellow"/>
        </w:rPr>
        <w:t xml:space="preserve">If there is an </w:t>
      </w:r>
      <w:r w:rsidRPr="768DDF5C" w:rsidR="00510FEB">
        <w:rPr>
          <w:rFonts w:ascii="Calibri" w:hAnsi="Calibri" w:cs="Calibri"/>
          <w:sz w:val="24"/>
          <w:szCs w:val="24"/>
          <w:highlight w:val="yellow"/>
        </w:rPr>
        <w:t>autofocus</w:t>
      </w:r>
      <w:r w:rsidRPr="768DDF5C" w:rsidR="008165A5">
        <w:rPr>
          <w:rFonts w:ascii="Calibri" w:hAnsi="Calibri" w:cs="Calibri"/>
          <w:sz w:val="24"/>
          <w:szCs w:val="24"/>
          <w:highlight w:val="yellow"/>
        </w:rPr>
        <w:t xml:space="preserve"> feature on the instrument, use it</w:t>
      </w:r>
      <w:r w:rsidRPr="768DDF5C" w:rsidR="00510FEB">
        <w:rPr>
          <w:rFonts w:ascii="Calibri" w:hAnsi="Calibri" w:cs="Calibri"/>
          <w:sz w:val="24"/>
          <w:szCs w:val="24"/>
          <w:highlight w:val="yellow"/>
        </w:rPr>
        <w:t xml:space="preserve"> </w:t>
      </w:r>
      <w:r w:rsidRPr="768DDF5C" w:rsidR="006C7C2D">
        <w:rPr>
          <w:rFonts w:ascii="Calibri" w:hAnsi="Calibri" w:cs="Calibri"/>
          <w:sz w:val="24"/>
          <w:szCs w:val="24"/>
          <w:highlight w:val="yellow"/>
        </w:rPr>
        <w:t xml:space="preserve">to </w:t>
      </w:r>
      <w:r w:rsidRPr="768DDF5C" w:rsidR="00510FEB">
        <w:rPr>
          <w:rFonts w:ascii="Calibri" w:hAnsi="Calibri" w:cs="Calibri"/>
          <w:sz w:val="24"/>
          <w:szCs w:val="24"/>
          <w:highlight w:val="yellow"/>
        </w:rPr>
        <w:t>adjust the focus. If needed, adjust the focus</w:t>
      </w:r>
      <w:r w:rsidRPr="768DDF5C" w:rsidR="008165A5">
        <w:rPr>
          <w:rFonts w:ascii="Calibri" w:hAnsi="Calibri" w:cs="Calibri"/>
          <w:sz w:val="24"/>
          <w:szCs w:val="24"/>
          <w:highlight w:val="yellow"/>
        </w:rPr>
        <w:t xml:space="preserve"> further using the</w:t>
      </w:r>
      <w:r w:rsidRPr="768DDF5C" w:rsidR="00510FEB">
        <w:rPr>
          <w:rFonts w:ascii="Calibri" w:hAnsi="Calibri" w:cs="Calibri"/>
          <w:sz w:val="24"/>
          <w:szCs w:val="24"/>
          <w:highlight w:val="yellow"/>
        </w:rPr>
        <w:t xml:space="preserve"> manual</w:t>
      </w:r>
      <w:r w:rsidRPr="768DDF5C" w:rsidR="008165A5">
        <w:rPr>
          <w:rFonts w:ascii="Calibri" w:hAnsi="Calibri" w:cs="Calibri"/>
          <w:sz w:val="24"/>
          <w:szCs w:val="24"/>
          <w:highlight w:val="yellow"/>
        </w:rPr>
        <w:t xml:space="preserve"> </w:t>
      </w:r>
      <w:r w:rsidRPr="768DDF5C" w:rsidR="00510FEB">
        <w:rPr>
          <w:rFonts w:ascii="Calibri" w:hAnsi="Calibri" w:cs="Calibri"/>
          <w:sz w:val="24"/>
          <w:szCs w:val="24"/>
          <w:highlight w:val="yellow"/>
        </w:rPr>
        <w:t>fine focus</w:t>
      </w:r>
      <w:r w:rsidRPr="768DDF5C" w:rsidR="008165A5">
        <w:rPr>
          <w:rFonts w:ascii="Calibri" w:hAnsi="Calibri" w:cs="Calibri"/>
          <w:sz w:val="24"/>
          <w:szCs w:val="24"/>
          <w:highlight w:val="yellow"/>
        </w:rPr>
        <w:t xml:space="preserve"> settings.</w:t>
      </w:r>
      <w:r w:rsidRPr="768DDF5C" w:rsidR="008165A5">
        <w:rPr>
          <w:rFonts w:ascii="Calibri" w:hAnsi="Calibri" w:cs="Calibri"/>
          <w:sz w:val="24"/>
          <w:szCs w:val="24"/>
        </w:rPr>
        <w:t xml:space="preserve"> </w:t>
      </w:r>
    </w:p>
    <w:p w:rsidRPr="001A484B" w:rsidR="00481B6D" w:rsidP="001A484B" w:rsidRDefault="00481B6D" w14:paraId="4752769A" w14:textId="77777777"/>
    <w:p w:rsidRPr="001A484B" w:rsidR="00481B6D" w:rsidP="001A484B" w:rsidRDefault="00EB6F4C" w14:paraId="66164FA4" w14:textId="4C96A382">
      <w:pPr>
        <w:numPr>
          <w:ilvl w:val="1"/>
          <w:numId w:val="23"/>
        </w:numPr>
        <w:ind w:left="0" w:firstLine="0"/>
      </w:pPr>
      <w:r w:rsidRPr="001A484B">
        <w:t>Input the following automated image capture settings:</w:t>
      </w:r>
    </w:p>
    <w:p w:rsidRPr="001A484B" w:rsidR="00EB6F4C" w:rsidP="001A484B" w:rsidRDefault="00EB6F4C" w14:paraId="7017E2B3" w14:textId="77777777"/>
    <w:p w:rsidRPr="001A484B" w:rsidR="00EB6F4C" w:rsidP="001A484B" w:rsidRDefault="00EB6F4C" w14:paraId="33B0EC58" w14:textId="0038C9EF">
      <w:pPr>
        <w:pStyle w:val="ListParagraph"/>
        <w:numPr>
          <w:ilvl w:val="2"/>
          <w:numId w:val="54"/>
        </w:numPr>
        <w:spacing w:after="0" w:line="240" w:lineRule="auto"/>
        <w:ind w:left="0" w:firstLine="0"/>
        <w:jc w:val="both"/>
        <w:rPr>
          <w:rFonts w:ascii="Calibri" w:hAnsi="Calibri" w:cs="Calibri"/>
          <w:sz w:val="24"/>
          <w:szCs w:val="24"/>
        </w:rPr>
      </w:pPr>
      <w:r w:rsidRPr="001A484B">
        <w:rPr>
          <w:rFonts w:ascii="Calibri" w:hAnsi="Calibri" w:cs="Calibri"/>
          <w:sz w:val="24"/>
          <w:szCs w:val="24"/>
        </w:rPr>
        <w:t>Select the entire well area to be imaged in each well.</w:t>
      </w:r>
    </w:p>
    <w:p w:rsidRPr="001A484B" w:rsidR="00EB6F4C" w:rsidP="768DDF5C" w:rsidRDefault="00EB6F4C" w14:paraId="096820BC" w14:textId="77777777">
      <w:pPr>
        <w:rPr>
          <w:highlight w:val="yellow"/>
        </w:rPr>
      </w:pPr>
    </w:p>
    <w:p w:rsidRPr="001A484B" w:rsidR="00EB6F4C" w:rsidP="768DDF5C" w:rsidRDefault="00EB6F4C" w14:paraId="780BCB44" w14:textId="218CDD11">
      <w:pPr>
        <w:pStyle w:val="ListParagraph"/>
        <w:numPr>
          <w:ilvl w:val="2"/>
          <w:numId w:val="54"/>
        </w:numPr>
        <w:spacing w:after="0" w:line="240" w:lineRule="auto"/>
        <w:ind w:left="0" w:firstLine="0"/>
        <w:jc w:val="both"/>
        <w:rPr>
          <w:rFonts w:ascii="Calibri" w:hAnsi="Calibri" w:cs="Calibri"/>
          <w:sz w:val="24"/>
          <w:szCs w:val="24"/>
          <w:highlight w:val="yellow"/>
        </w:rPr>
      </w:pPr>
      <w:r w:rsidRPr="768DDF5C" w:rsidR="00EB6F4C">
        <w:rPr>
          <w:rFonts w:ascii="Calibri" w:hAnsi="Calibri" w:cs="Calibri"/>
          <w:sz w:val="24"/>
          <w:szCs w:val="24"/>
          <w:highlight w:val="yellow"/>
        </w:rPr>
        <w:t>Select the automated image capture to begin from the center of the well and spiral outward toward the edges of the well.</w:t>
      </w:r>
      <w:r w:rsidRPr="768DDF5C" w:rsidR="00EB6F4C">
        <w:rPr>
          <w:rFonts w:ascii="Calibri" w:hAnsi="Calibri" w:cs="Calibri"/>
          <w:sz w:val="24"/>
          <w:szCs w:val="24"/>
        </w:rPr>
        <w:t xml:space="preserve"> </w:t>
      </w:r>
    </w:p>
    <w:p w:rsidRPr="001A484B" w:rsidR="00EB6F4C" w:rsidP="001A484B" w:rsidRDefault="00EB6F4C" w14:paraId="5BE24604" w14:textId="77777777"/>
    <w:p w:rsidRPr="001A484B" w:rsidR="00EB6F4C" w:rsidP="768DDF5C" w:rsidRDefault="00EB6F4C" w14:paraId="6DCB9678" w14:textId="5AB138E4">
      <w:pPr>
        <w:pStyle w:val="ListParagraph"/>
        <w:numPr>
          <w:ilvl w:val="2"/>
          <w:numId w:val="54"/>
        </w:numPr>
        <w:spacing w:after="0" w:line="240" w:lineRule="auto"/>
        <w:ind w:left="0" w:firstLine="0"/>
        <w:jc w:val="both"/>
        <w:rPr>
          <w:rFonts w:ascii="Calibri" w:hAnsi="Calibri" w:cs="Calibri"/>
          <w:sz w:val="24"/>
          <w:szCs w:val="24"/>
          <w:highlight w:val="yellow"/>
        </w:rPr>
      </w:pPr>
      <w:r w:rsidRPr="768DDF5C" w:rsidR="00EB6F4C">
        <w:rPr>
          <w:rFonts w:ascii="Calibri" w:hAnsi="Calibri" w:cs="Calibri"/>
          <w:sz w:val="24"/>
          <w:szCs w:val="24"/>
          <w:highlight w:val="yellow"/>
        </w:rPr>
        <w:t>Select autofocus settings such that the instrument re-focuses in each well.</w:t>
      </w:r>
      <w:r w:rsidRPr="768DDF5C" w:rsidR="00EB6F4C">
        <w:rPr>
          <w:rFonts w:ascii="Calibri" w:hAnsi="Calibri" w:cs="Calibri"/>
          <w:sz w:val="24"/>
          <w:szCs w:val="24"/>
        </w:rPr>
        <w:t xml:space="preserve"> </w:t>
      </w:r>
    </w:p>
    <w:p w:rsidRPr="001A484B" w:rsidR="00EB6F4C" w:rsidP="001A484B" w:rsidRDefault="00EB6F4C" w14:paraId="48F16E0B" w14:textId="77777777"/>
    <w:p w:rsidRPr="001A484B" w:rsidR="00EB6F4C" w:rsidP="768DDF5C" w:rsidRDefault="00EB6F4C" w14:paraId="394B6A65" w14:textId="4E0FC8B4">
      <w:pPr>
        <w:pStyle w:val="ListParagraph"/>
        <w:numPr>
          <w:ilvl w:val="2"/>
          <w:numId w:val="54"/>
        </w:numPr>
        <w:spacing w:after="0" w:line="240" w:lineRule="auto"/>
        <w:ind w:left="0" w:firstLine="0"/>
        <w:jc w:val="both"/>
        <w:rPr>
          <w:rFonts w:ascii="Calibri" w:hAnsi="Calibri" w:cs="Calibri"/>
          <w:sz w:val="24"/>
          <w:szCs w:val="24"/>
          <w:highlight w:val="yellow"/>
        </w:rPr>
      </w:pPr>
      <w:r w:rsidRPr="768DDF5C" w:rsidR="00EB6F4C">
        <w:rPr>
          <w:rFonts w:ascii="Calibri" w:hAnsi="Calibri" w:cs="Calibri"/>
          <w:sz w:val="24"/>
          <w:szCs w:val="24"/>
          <w:highlight w:val="yellow"/>
        </w:rPr>
        <w:t>Select for the raw images in each well to be tiled/merged together.</w:t>
      </w:r>
    </w:p>
    <w:p w:rsidRPr="001A484B" w:rsidR="00EB6F4C" w:rsidP="768DDF5C" w:rsidRDefault="00EB6F4C" w14:paraId="75827679" w14:textId="77777777">
      <w:pPr>
        <w:rPr>
          <w:highlight w:val="yellow"/>
        </w:rPr>
      </w:pPr>
    </w:p>
    <w:p w:rsidRPr="001A484B" w:rsidR="00EB6F4C" w:rsidP="001A484B" w:rsidRDefault="00EB6F4C" w14:paraId="5728626E" w14:textId="0E8E45DE">
      <w:pPr>
        <w:pStyle w:val="ListParagraph"/>
        <w:numPr>
          <w:ilvl w:val="2"/>
          <w:numId w:val="54"/>
        </w:numPr>
        <w:spacing w:after="0" w:line="240" w:lineRule="auto"/>
        <w:ind w:left="0" w:firstLine="0"/>
        <w:jc w:val="both"/>
        <w:rPr>
          <w:rFonts w:ascii="Calibri" w:hAnsi="Calibri" w:cs="Calibri"/>
          <w:sz w:val="24"/>
          <w:szCs w:val="24"/>
        </w:rPr>
      </w:pPr>
      <w:r w:rsidRPr="768DDF5C" w:rsidR="00EB6F4C">
        <w:rPr>
          <w:rFonts w:ascii="Calibri" w:hAnsi="Calibri" w:cs="Calibri"/>
          <w:sz w:val="24"/>
          <w:szCs w:val="24"/>
          <w:highlight w:val="yellow"/>
        </w:rPr>
        <w:t>Select for the images to be inverted horizontally and vertically.</w:t>
      </w:r>
      <w:r w:rsidRPr="768DDF5C" w:rsidR="00EB6F4C">
        <w:rPr>
          <w:rFonts w:ascii="Calibri" w:hAnsi="Calibri" w:cs="Calibri"/>
          <w:sz w:val="24"/>
          <w:szCs w:val="24"/>
        </w:rPr>
        <w:t xml:space="preserve"> </w:t>
      </w:r>
    </w:p>
    <w:p w:rsidRPr="001A484B" w:rsidR="00EB6F4C" w:rsidP="001A484B" w:rsidRDefault="00EB6F4C" w14:paraId="241FBE73" w14:textId="77777777"/>
    <w:p w:rsidRPr="001A484B" w:rsidR="00EB6F4C" w:rsidP="001A484B" w:rsidRDefault="00EB6F4C" w14:paraId="72065868" w14:textId="6A6F0868">
      <w:pPr>
        <w:pStyle w:val="ListParagraph"/>
        <w:numPr>
          <w:ilvl w:val="2"/>
          <w:numId w:val="54"/>
        </w:numPr>
        <w:spacing w:after="0" w:line="240" w:lineRule="auto"/>
        <w:ind w:left="0" w:firstLine="0"/>
        <w:jc w:val="both"/>
        <w:rPr>
          <w:rFonts w:ascii="Calibri" w:hAnsi="Calibri" w:cs="Calibri"/>
          <w:sz w:val="24"/>
          <w:szCs w:val="24"/>
        </w:rPr>
      </w:pPr>
      <w:r w:rsidRPr="001A484B">
        <w:rPr>
          <w:rFonts w:ascii="Calibri" w:hAnsi="Calibri" w:cs="Calibri"/>
          <w:sz w:val="24"/>
          <w:szCs w:val="24"/>
        </w:rPr>
        <w:t>Select</w:t>
      </w:r>
      <w:r w:rsidRPr="001A484B" w:rsidR="0090094F">
        <w:rPr>
          <w:rFonts w:ascii="Calibri" w:hAnsi="Calibri" w:cs="Calibri"/>
          <w:sz w:val="24"/>
          <w:szCs w:val="24"/>
        </w:rPr>
        <w:t xml:space="preserve"> </w:t>
      </w:r>
      <w:r w:rsidRPr="001A484B" w:rsidR="00A05DF5">
        <w:rPr>
          <w:rFonts w:ascii="Calibri" w:hAnsi="Calibri" w:cs="Calibri"/>
          <w:sz w:val="24"/>
          <w:szCs w:val="24"/>
        </w:rPr>
        <w:t>data saving settings to collect</w:t>
      </w:r>
      <w:r w:rsidRPr="001A484B">
        <w:rPr>
          <w:rFonts w:ascii="Calibri" w:hAnsi="Calibri" w:cs="Calibri"/>
          <w:sz w:val="24"/>
          <w:szCs w:val="24"/>
        </w:rPr>
        <w:t xml:space="preserve"> “tiled image” and “merged image”</w:t>
      </w:r>
    </w:p>
    <w:p w:rsidRPr="001A484B" w:rsidR="000369F7" w:rsidP="001A484B" w:rsidRDefault="000369F7" w14:paraId="36C4B17A" w14:textId="77777777"/>
    <w:p w:rsidRPr="001A484B" w:rsidR="000369F7" w:rsidP="768DDF5C" w:rsidRDefault="00EB6F4C" w14:paraId="32D95396" w14:textId="7F7826BD">
      <w:pPr>
        <w:pStyle w:val="ListParagraph"/>
        <w:numPr>
          <w:ilvl w:val="2"/>
          <w:numId w:val="54"/>
        </w:numPr>
        <w:spacing w:after="0" w:line="240" w:lineRule="auto"/>
        <w:ind w:left="0" w:firstLine="0"/>
        <w:jc w:val="both"/>
        <w:rPr>
          <w:rFonts w:ascii="Calibri" w:hAnsi="Calibri" w:cs="Calibri"/>
          <w:b w:val="1"/>
          <w:bCs w:val="1"/>
          <w:sz w:val="24"/>
          <w:szCs w:val="24"/>
          <w:highlight w:val="yellow"/>
        </w:rPr>
      </w:pPr>
      <w:r w:rsidRPr="768DDF5C" w:rsidR="00EB6F4C">
        <w:rPr>
          <w:rFonts w:ascii="Calibri" w:hAnsi="Calibri" w:cs="Calibri"/>
          <w:sz w:val="24"/>
          <w:szCs w:val="24"/>
          <w:highlight w:val="yellow"/>
        </w:rPr>
        <w:t>Run the automated plate scan</w:t>
      </w:r>
      <w:r w:rsidRPr="768DDF5C" w:rsidR="00E01965">
        <w:rPr>
          <w:rFonts w:ascii="Calibri" w:hAnsi="Calibri" w:cs="Calibri"/>
          <w:sz w:val="24"/>
          <w:szCs w:val="24"/>
          <w:highlight w:val="yellow"/>
        </w:rPr>
        <w:t xml:space="preserve">. </w:t>
      </w:r>
      <w:r w:rsidRPr="768DDF5C" w:rsidR="00510FEB">
        <w:rPr>
          <w:rFonts w:ascii="Calibri" w:hAnsi="Calibri" w:cs="Calibri"/>
          <w:sz w:val="24"/>
          <w:szCs w:val="24"/>
        </w:rPr>
        <w:t xml:space="preserve">The instrument </w:t>
      </w:r>
      <w:r w:rsidRPr="768DDF5C" w:rsidR="00EB6F4C">
        <w:rPr>
          <w:rFonts w:ascii="Calibri" w:hAnsi="Calibri" w:cs="Calibri"/>
          <w:sz w:val="24"/>
          <w:szCs w:val="24"/>
        </w:rPr>
        <w:t xml:space="preserve">used in this protocol </w:t>
      </w:r>
      <w:r w:rsidRPr="768DDF5C" w:rsidR="00510FEB">
        <w:rPr>
          <w:rFonts w:ascii="Calibri" w:hAnsi="Calibri" w:cs="Calibri"/>
          <w:sz w:val="24"/>
          <w:szCs w:val="24"/>
        </w:rPr>
        <w:t>will run at a speed of 1.5 min</w:t>
      </w:r>
      <w:r w:rsidRPr="768DDF5C" w:rsidR="003B64AD">
        <w:rPr>
          <w:rFonts w:ascii="Calibri" w:hAnsi="Calibri" w:cs="Calibri"/>
          <w:sz w:val="24"/>
          <w:szCs w:val="24"/>
        </w:rPr>
        <w:t>/</w:t>
      </w:r>
      <w:r w:rsidRPr="768DDF5C" w:rsidR="00510FEB">
        <w:rPr>
          <w:rFonts w:ascii="Calibri" w:hAnsi="Calibri" w:cs="Calibri"/>
          <w:sz w:val="24"/>
          <w:szCs w:val="24"/>
        </w:rPr>
        <w:t>well.</w:t>
      </w:r>
      <w:r w:rsidRPr="768DDF5C" w:rsidR="00510FEB">
        <w:rPr>
          <w:rFonts w:ascii="Calibri" w:hAnsi="Calibri" w:cs="Calibri"/>
          <w:sz w:val="24"/>
          <w:szCs w:val="24"/>
        </w:rPr>
        <w:t xml:space="preserve"> </w:t>
      </w:r>
    </w:p>
    <w:p w:rsidRPr="001A484B" w:rsidR="000369F7" w:rsidP="001A484B" w:rsidRDefault="000369F7" w14:paraId="56687928" w14:textId="77777777">
      <w:pPr>
        <w:rPr>
          <w:b/>
          <w:bCs/>
        </w:rPr>
      </w:pPr>
    </w:p>
    <w:p w:rsidRPr="001A484B" w:rsidR="000369F7" w:rsidP="001A484B" w:rsidRDefault="00510FEB" w14:paraId="00FCE14E" w14:textId="77777777">
      <w:pPr>
        <w:pStyle w:val="ListParagraph"/>
        <w:numPr>
          <w:ilvl w:val="2"/>
          <w:numId w:val="54"/>
        </w:numPr>
        <w:spacing w:after="0" w:line="240" w:lineRule="auto"/>
        <w:ind w:left="0" w:firstLine="0"/>
        <w:jc w:val="both"/>
        <w:rPr>
          <w:rFonts w:ascii="Calibri" w:hAnsi="Calibri" w:cs="Calibri"/>
          <w:b/>
          <w:bCs/>
          <w:sz w:val="24"/>
          <w:szCs w:val="24"/>
        </w:rPr>
      </w:pPr>
      <w:r w:rsidRPr="001A484B">
        <w:rPr>
          <w:rFonts w:ascii="Calibri" w:hAnsi="Calibri" w:cs="Calibri"/>
          <w:sz w:val="24"/>
          <w:szCs w:val="24"/>
        </w:rPr>
        <w:t xml:space="preserve">Remove the plate, place the protective filter cover over the microscope platform, switch off the microscope, and close the software. </w:t>
      </w:r>
    </w:p>
    <w:p w:rsidRPr="001A484B" w:rsidR="004E0DBE" w:rsidP="001A484B" w:rsidRDefault="004E0DBE" w14:paraId="79A77E4C" w14:textId="77777777">
      <w:pPr>
        <w:rPr>
          <w:b/>
          <w:bCs/>
        </w:rPr>
      </w:pPr>
    </w:p>
    <w:p w:rsidRPr="001A484B" w:rsidR="004E0DBE" w:rsidP="768DDF5C" w:rsidRDefault="004E0DBE" w14:paraId="362890C0" w14:textId="277247E7">
      <w:pPr>
        <w:pStyle w:val="ListParagraph"/>
        <w:numPr>
          <w:ilvl w:val="2"/>
          <w:numId w:val="54"/>
        </w:numPr>
        <w:spacing w:after="0" w:line="240" w:lineRule="auto"/>
        <w:ind w:left="0" w:firstLine="0"/>
        <w:jc w:val="both"/>
        <w:rPr>
          <w:rFonts w:ascii="Calibri" w:hAnsi="Calibri" w:cs="Calibri"/>
          <w:b w:val="1"/>
          <w:bCs w:val="1"/>
          <w:sz w:val="24"/>
          <w:szCs w:val="24"/>
          <w:highlight w:val="yellow"/>
        </w:rPr>
      </w:pPr>
      <w:r w:rsidRPr="768DDF5C" w:rsidR="004E0DBE">
        <w:rPr>
          <w:rFonts w:ascii="Calibri" w:hAnsi="Calibri" w:cs="Calibri"/>
          <w:sz w:val="24"/>
          <w:szCs w:val="24"/>
          <w:highlight w:val="yellow"/>
        </w:rPr>
        <w:t>Following imaging, count</w:t>
      </w:r>
      <w:r w:rsidRPr="768DDF5C" w:rsidR="008D7D75">
        <w:rPr>
          <w:rFonts w:ascii="Calibri" w:hAnsi="Calibri" w:cs="Calibri"/>
          <w:sz w:val="24"/>
          <w:szCs w:val="24"/>
          <w:highlight w:val="yellow"/>
        </w:rPr>
        <w:t xml:space="preserve"> total</w:t>
      </w:r>
      <w:r w:rsidRPr="768DDF5C" w:rsidR="00E55B07">
        <w:rPr>
          <w:rFonts w:ascii="Calibri" w:hAnsi="Calibri" w:cs="Calibri"/>
          <w:sz w:val="24"/>
          <w:szCs w:val="24"/>
          <w:highlight w:val="yellow"/>
        </w:rPr>
        <w:t xml:space="preserve"> </w:t>
      </w:r>
      <w:r w:rsidRPr="768DDF5C" w:rsidR="004E0DBE">
        <w:rPr>
          <w:rFonts w:ascii="Calibri" w:hAnsi="Calibri" w:cs="Calibri"/>
          <w:sz w:val="24"/>
          <w:szCs w:val="24"/>
          <w:highlight w:val="yellow"/>
        </w:rPr>
        <w:t>individual colonies</w:t>
      </w:r>
      <w:r w:rsidRPr="768DDF5C" w:rsidR="008D7D75">
        <w:rPr>
          <w:rFonts w:ascii="Calibri" w:hAnsi="Calibri" w:cs="Calibri"/>
          <w:sz w:val="24"/>
          <w:szCs w:val="24"/>
          <w:highlight w:val="yellow"/>
        </w:rPr>
        <w:t xml:space="preserve"> </w:t>
      </w:r>
      <w:r w:rsidRPr="768DDF5C" w:rsidR="007E15DB">
        <w:rPr>
          <w:rFonts w:ascii="Calibri" w:hAnsi="Calibri" w:cs="Calibri"/>
          <w:sz w:val="24"/>
          <w:szCs w:val="24"/>
          <w:highlight w:val="yellow"/>
        </w:rPr>
        <w:t xml:space="preserve">as well as myeloid and erythroid subtypes </w:t>
      </w:r>
      <w:r w:rsidRPr="768DDF5C" w:rsidR="008D7D75">
        <w:rPr>
          <w:rFonts w:ascii="Calibri" w:hAnsi="Calibri" w:cs="Calibri"/>
          <w:sz w:val="24"/>
          <w:szCs w:val="24"/>
          <w:highlight w:val="yellow"/>
        </w:rPr>
        <w:t>in each well</w:t>
      </w:r>
      <w:r w:rsidRPr="768DDF5C" w:rsidR="004E0DBE">
        <w:rPr>
          <w:rFonts w:ascii="Calibri" w:hAnsi="Calibri" w:cs="Calibri"/>
          <w:sz w:val="24"/>
          <w:szCs w:val="24"/>
          <w:highlight w:val="yellow"/>
        </w:rPr>
        <w:t xml:space="preserve"> </w:t>
      </w:r>
      <w:r w:rsidRPr="768DDF5C" w:rsidR="000F4695">
        <w:rPr>
          <w:rFonts w:ascii="Calibri" w:hAnsi="Calibri" w:cs="Calibri"/>
          <w:sz w:val="24"/>
          <w:szCs w:val="24"/>
          <w:highlight w:val="yellow"/>
        </w:rPr>
        <w:t>manually</w:t>
      </w:r>
      <w:r w:rsidRPr="768DDF5C" w:rsidR="00923790">
        <w:rPr>
          <w:rFonts w:ascii="Calibri" w:hAnsi="Calibri" w:cs="Calibri"/>
          <w:sz w:val="24"/>
          <w:szCs w:val="24"/>
          <w:highlight w:val="yellow"/>
        </w:rPr>
        <w:t xml:space="preserve"> </w:t>
      </w:r>
      <w:r w:rsidRPr="768DDF5C" w:rsidR="000F4695">
        <w:rPr>
          <w:rFonts w:ascii="Calibri" w:hAnsi="Calibri" w:cs="Calibri"/>
          <w:sz w:val="24"/>
          <w:szCs w:val="24"/>
          <w:highlight w:val="yellow"/>
        </w:rPr>
        <w:t>using</w:t>
      </w:r>
      <w:r w:rsidRPr="768DDF5C" w:rsidR="00923790">
        <w:rPr>
          <w:rFonts w:ascii="Calibri" w:hAnsi="Calibri" w:cs="Calibri"/>
          <w:sz w:val="24"/>
          <w:szCs w:val="24"/>
          <w:highlight w:val="yellow"/>
        </w:rPr>
        <w:t xml:space="preserve"> the tiled</w:t>
      </w:r>
      <w:r w:rsidRPr="768DDF5C" w:rsidR="00331ED1">
        <w:rPr>
          <w:rFonts w:ascii="Calibri" w:hAnsi="Calibri" w:cs="Calibri"/>
          <w:sz w:val="24"/>
          <w:szCs w:val="24"/>
          <w:highlight w:val="yellow"/>
        </w:rPr>
        <w:t xml:space="preserve"> merged</w:t>
      </w:r>
      <w:r w:rsidRPr="768DDF5C" w:rsidR="00923790">
        <w:rPr>
          <w:rFonts w:ascii="Calibri" w:hAnsi="Calibri" w:cs="Calibri"/>
          <w:sz w:val="24"/>
          <w:szCs w:val="24"/>
          <w:highlight w:val="yellow"/>
        </w:rPr>
        <w:t xml:space="preserve"> </w:t>
      </w:r>
      <w:r w:rsidRPr="768DDF5C" w:rsidR="008D7D75">
        <w:rPr>
          <w:rFonts w:ascii="Calibri" w:hAnsi="Calibri" w:cs="Calibri"/>
          <w:sz w:val="24"/>
          <w:szCs w:val="24"/>
          <w:highlight w:val="yellow"/>
        </w:rPr>
        <w:t xml:space="preserve">well </w:t>
      </w:r>
      <w:r w:rsidRPr="768DDF5C" w:rsidR="00923790">
        <w:rPr>
          <w:rFonts w:ascii="Calibri" w:hAnsi="Calibri" w:cs="Calibri"/>
          <w:sz w:val="24"/>
          <w:szCs w:val="24"/>
          <w:highlight w:val="yellow"/>
        </w:rPr>
        <w:t>images.</w:t>
      </w:r>
      <w:r w:rsidRPr="768DDF5C" w:rsidR="00923790">
        <w:rPr>
          <w:rFonts w:ascii="Calibri" w:hAnsi="Calibri" w:cs="Calibri"/>
          <w:sz w:val="24"/>
          <w:szCs w:val="24"/>
        </w:rPr>
        <w:t xml:space="preserve"> </w:t>
      </w:r>
    </w:p>
    <w:p w:rsidRPr="001A484B" w:rsidR="00A73A8D" w:rsidP="001A484B" w:rsidRDefault="00A73A8D" w14:paraId="23448383" w14:textId="77777777">
      <w:pPr>
        <w:rPr>
          <w:b/>
          <w:bCs/>
        </w:rPr>
      </w:pPr>
    </w:p>
    <w:p w:rsidRPr="001A484B" w:rsidR="00A73A8D" w:rsidP="001A484B" w:rsidRDefault="00C3129D" w14:paraId="72DBD60F" w14:textId="6A54C75E">
      <w:pPr>
        <w:numPr>
          <w:ilvl w:val="1"/>
          <w:numId w:val="23"/>
        </w:numPr>
        <w:ind w:left="0" w:firstLine="0"/>
        <w:rPr>
          <w:b/>
          <w:bCs/>
        </w:rPr>
      </w:pPr>
      <w:r w:rsidRPr="001A484B">
        <w:t>Define colonies acco</w:t>
      </w:r>
      <w:r w:rsidRPr="001A484B" w:rsidR="00AE4F11">
        <w:t xml:space="preserve">rding to the following morphology </w:t>
      </w:r>
      <w:r w:rsidRPr="001A484B" w:rsidR="00890754">
        <w:t xml:space="preserve">characterization: </w:t>
      </w:r>
    </w:p>
    <w:p w:rsidRPr="001A484B" w:rsidR="00890754" w:rsidP="001A484B" w:rsidRDefault="00890754" w14:paraId="2155D28F" w14:textId="77777777">
      <w:pPr>
        <w:rPr>
          <w:b/>
          <w:bCs/>
        </w:rPr>
      </w:pPr>
    </w:p>
    <w:p w:rsidRPr="001A484B" w:rsidR="007E15DB" w:rsidP="001A484B" w:rsidRDefault="00232C04" w14:paraId="7F5D0DE2" w14:textId="5532A80F">
      <w:pPr>
        <w:pStyle w:val="ListParagraph"/>
        <w:numPr>
          <w:ilvl w:val="2"/>
          <w:numId w:val="55"/>
        </w:numPr>
        <w:spacing w:after="0" w:line="240" w:lineRule="auto"/>
        <w:ind w:left="0" w:firstLine="0"/>
        <w:jc w:val="both"/>
        <w:rPr>
          <w:rFonts w:ascii="Calibri" w:hAnsi="Calibri" w:cs="Calibri"/>
          <w:sz w:val="24"/>
          <w:szCs w:val="24"/>
        </w:rPr>
      </w:pPr>
      <w:r w:rsidRPr="001A484B">
        <w:rPr>
          <w:rFonts w:ascii="Calibri" w:hAnsi="Calibri" w:cs="Calibri"/>
          <w:sz w:val="24"/>
          <w:szCs w:val="24"/>
        </w:rPr>
        <w:t>Consider a</w:t>
      </w:r>
      <w:r w:rsidRPr="001A484B" w:rsidR="007E15DB">
        <w:rPr>
          <w:rFonts w:ascii="Calibri" w:hAnsi="Calibri" w:cs="Calibri"/>
          <w:sz w:val="24"/>
          <w:szCs w:val="24"/>
        </w:rPr>
        <w:t xml:space="preserve">n individual colony or colony cluster distinct when it is far enough from another cell </w:t>
      </w:r>
      <w:r w:rsidRPr="001A484B" w:rsidR="00E01965">
        <w:rPr>
          <w:rFonts w:ascii="Calibri" w:hAnsi="Calibri" w:cs="Calibri"/>
          <w:sz w:val="24"/>
          <w:szCs w:val="24"/>
        </w:rPr>
        <w:t>population</w:t>
      </w:r>
      <w:r w:rsidRPr="001A484B">
        <w:rPr>
          <w:rFonts w:ascii="Calibri" w:hAnsi="Calibri" w:cs="Calibri"/>
          <w:sz w:val="24"/>
          <w:szCs w:val="24"/>
        </w:rPr>
        <w:t>,</w:t>
      </w:r>
      <w:r w:rsidRPr="001A484B" w:rsidR="007E15DB">
        <w:rPr>
          <w:rFonts w:ascii="Calibri" w:hAnsi="Calibri" w:cs="Calibri"/>
          <w:sz w:val="24"/>
          <w:szCs w:val="24"/>
        </w:rPr>
        <w:t xml:space="preserve"> a distance equal to its own length. Populations that are within this distance limit are grouped into one colony count.</w:t>
      </w:r>
    </w:p>
    <w:p w:rsidRPr="001A484B" w:rsidR="007E15DB" w:rsidP="001A484B" w:rsidRDefault="007E15DB" w14:paraId="0FC5699C" w14:textId="77777777"/>
    <w:p w:rsidRPr="001A484B" w:rsidR="00890754" w:rsidP="001A484B" w:rsidRDefault="000732E0" w14:paraId="7A5C49EE" w14:textId="3C3210D5">
      <w:pPr>
        <w:pStyle w:val="ListParagraph"/>
        <w:numPr>
          <w:ilvl w:val="2"/>
          <w:numId w:val="55"/>
        </w:numPr>
        <w:spacing w:after="0" w:line="240" w:lineRule="auto"/>
        <w:ind w:left="0" w:firstLine="0"/>
        <w:jc w:val="both"/>
        <w:rPr>
          <w:rFonts w:ascii="Calibri" w:hAnsi="Calibri" w:cs="Calibri"/>
          <w:sz w:val="24"/>
          <w:szCs w:val="24"/>
        </w:rPr>
      </w:pPr>
      <w:r w:rsidRPr="001A484B">
        <w:rPr>
          <w:rFonts w:ascii="Calibri" w:hAnsi="Calibri" w:cs="Calibri"/>
          <w:sz w:val="24"/>
          <w:szCs w:val="24"/>
        </w:rPr>
        <w:t>Ensure that the e</w:t>
      </w:r>
      <w:r w:rsidRPr="001A484B" w:rsidR="00056199">
        <w:rPr>
          <w:rFonts w:ascii="Calibri" w:hAnsi="Calibri" w:cs="Calibri"/>
          <w:sz w:val="24"/>
          <w:szCs w:val="24"/>
        </w:rPr>
        <w:t xml:space="preserve">rythroid colonies are </w:t>
      </w:r>
      <w:r w:rsidRPr="001A484B" w:rsidR="00DD1853">
        <w:rPr>
          <w:rFonts w:ascii="Calibri" w:hAnsi="Calibri" w:cs="Calibri"/>
          <w:sz w:val="24"/>
          <w:szCs w:val="24"/>
        </w:rPr>
        <w:t xml:space="preserve">deeply pigmented and appear dark red in color. These colonies appear as densely </w:t>
      </w:r>
      <w:r w:rsidRPr="001A484B" w:rsidR="00C56F33">
        <w:rPr>
          <w:rFonts w:ascii="Calibri" w:hAnsi="Calibri" w:cs="Calibri"/>
          <w:sz w:val="24"/>
          <w:szCs w:val="24"/>
        </w:rPr>
        <w:t xml:space="preserve">growing </w:t>
      </w:r>
      <w:r w:rsidRPr="001A484B" w:rsidR="00DD1853">
        <w:rPr>
          <w:rFonts w:ascii="Calibri" w:hAnsi="Calibri" w:cs="Calibri"/>
          <w:sz w:val="24"/>
          <w:szCs w:val="24"/>
        </w:rPr>
        <w:t>single</w:t>
      </w:r>
      <w:r w:rsidRPr="001A484B" w:rsidR="007948EA">
        <w:rPr>
          <w:rFonts w:ascii="Calibri" w:hAnsi="Calibri" w:cs="Calibri"/>
          <w:sz w:val="24"/>
          <w:szCs w:val="24"/>
        </w:rPr>
        <w:t xml:space="preserve"> populations </w:t>
      </w:r>
      <w:r w:rsidRPr="001A484B" w:rsidR="00DD1853">
        <w:rPr>
          <w:rFonts w:ascii="Calibri" w:hAnsi="Calibri" w:cs="Calibri"/>
          <w:sz w:val="24"/>
          <w:szCs w:val="24"/>
        </w:rPr>
        <w:t xml:space="preserve">or clusters with clearly defined edges. </w:t>
      </w:r>
      <w:r w:rsidRPr="001A484B" w:rsidR="007D744B">
        <w:rPr>
          <w:rFonts w:ascii="Calibri" w:hAnsi="Calibri" w:cs="Calibri"/>
          <w:sz w:val="24"/>
          <w:szCs w:val="24"/>
        </w:rPr>
        <w:t>Small</w:t>
      </w:r>
      <w:r w:rsidRPr="001A484B" w:rsidR="00486C39">
        <w:rPr>
          <w:rFonts w:ascii="Calibri" w:hAnsi="Calibri" w:cs="Calibri"/>
          <w:sz w:val="24"/>
          <w:szCs w:val="24"/>
        </w:rPr>
        <w:t xml:space="preserve">er erythroid colonies consisting of slow-growing </w:t>
      </w:r>
      <w:r w:rsidRPr="001A484B" w:rsidR="00351773">
        <w:rPr>
          <w:rFonts w:ascii="Calibri" w:hAnsi="Calibri" w:cs="Calibri"/>
          <w:sz w:val="24"/>
          <w:szCs w:val="24"/>
        </w:rPr>
        <w:t xml:space="preserve">immature cell </w:t>
      </w:r>
      <w:r w:rsidRPr="001A484B" w:rsidR="00486C39">
        <w:rPr>
          <w:rFonts w:ascii="Calibri" w:hAnsi="Calibri" w:cs="Calibri"/>
          <w:sz w:val="24"/>
          <w:szCs w:val="24"/>
        </w:rPr>
        <w:t xml:space="preserve">populations </w:t>
      </w:r>
      <w:r w:rsidRPr="001A484B" w:rsidR="00F64082">
        <w:rPr>
          <w:rFonts w:ascii="Calibri" w:hAnsi="Calibri" w:cs="Calibri"/>
          <w:sz w:val="24"/>
          <w:szCs w:val="24"/>
        </w:rPr>
        <w:t>are classified as</w:t>
      </w:r>
      <w:r w:rsidRPr="001A484B" w:rsidR="00191564">
        <w:rPr>
          <w:rFonts w:ascii="Calibri" w:hAnsi="Calibri" w:cs="Calibri"/>
          <w:sz w:val="24"/>
          <w:szCs w:val="24"/>
        </w:rPr>
        <w:t xml:space="preserve"> </w:t>
      </w:r>
      <w:r w:rsidRPr="001A484B" w:rsidR="00283819">
        <w:rPr>
          <w:rFonts w:ascii="Calibri" w:hAnsi="Calibri" w:cs="Calibri"/>
          <w:sz w:val="24"/>
          <w:szCs w:val="24"/>
        </w:rPr>
        <w:t xml:space="preserve">CFU-E. </w:t>
      </w:r>
      <w:r w:rsidRPr="001A484B" w:rsidR="00F64082">
        <w:rPr>
          <w:rFonts w:ascii="Calibri" w:hAnsi="Calibri" w:cs="Calibri"/>
          <w:sz w:val="24"/>
          <w:szCs w:val="24"/>
        </w:rPr>
        <w:t xml:space="preserve">Larger colonies with more </w:t>
      </w:r>
      <w:r w:rsidRPr="001A484B" w:rsidR="00351773">
        <w:rPr>
          <w:rFonts w:ascii="Calibri" w:hAnsi="Calibri" w:cs="Calibri"/>
          <w:sz w:val="24"/>
          <w:szCs w:val="24"/>
        </w:rPr>
        <w:t xml:space="preserve">mature </w:t>
      </w:r>
      <w:r w:rsidRPr="001A484B" w:rsidR="00F64082">
        <w:rPr>
          <w:rFonts w:ascii="Calibri" w:hAnsi="Calibri" w:cs="Calibri"/>
          <w:sz w:val="24"/>
          <w:szCs w:val="24"/>
        </w:rPr>
        <w:t xml:space="preserve">populations are classified as </w:t>
      </w:r>
      <w:r w:rsidRPr="001A484B" w:rsidR="00191564">
        <w:rPr>
          <w:rFonts w:ascii="Calibri" w:hAnsi="Calibri" w:cs="Calibri"/>
          <w:sz w:val="24"/>
          <w:szCs w:val="24"/>
        </w:rPr>
        <w:t>BFU-E.</w:t>
      </w:r>
    </w:p>
    <w:p w:rsidRPr="001A484B" w:rsidR="00206C5B" w:rsidP="001A484B" w:rsidRDefault="00206C5B" w14:paraId="483FB49A" w14:textId="77777777"/>
    <w:p w:rsidRPr="001A484B" w:rsidR="00C56F33" w:rsidP="001A484B" w:rsidRDefault="00370DF4" w14:paraId="4760E694" w14:textId="39750305">
      <w:pPr>
        <w:pStyle w:val="ListParagraph"/>
        <w:numPr>
          <w:ilvl w:val="2"/>
          <w:numId w:val="55"/>
        </w:numPr>
        <w:spacing w:after="0" w:line="240" w:lineRule="auto"/>
        <w:ind w:left="0" w:firstLine="0"/>
        <w:jc w:val="both"/>
        <w:rPr>
          <w:rFonts w:ascii="Calibri" w:hAnsi="Calibri" w:cs="Calibri"/>
          <w:sz w:val="24"/>
          <w:szCs w:val="24"/>
        </w:rPr>
      </w:pPr>
      <w:r w:rsidRPr="001A484B">
        <w:rPr>
          <w:rFonts w:ascii="Calibri" w:hAnsi="Calibri" w:cs="Calibri"/>
          <w:sz w:val="24"/>
          <w:szCs w:val="24"/>
        </w:rPr>
        <w:t>Check that the m</w:t>
      </w:r>
      <w:r w:rsidRPr="001A484B" w:rsidR="00C56F33">
        <w:rPr>
          <w:rFonts w:ascii="Calibri" w:hAnsi="Calibri" w:cs="Calibri"/>
          <w:sz w:val="24"/>
          <w:szCs w:val="24"/>
        </w:rPr>
        <w:t xml:space="preserve">yeloid colonies contain cells </w:t>
      </w:r>
      <w:r w:rsidRPr="001A484B" w:rsidR="000732E0">
        <w:rPr>
          <w:rFonts w:ascii="Calibri" w:hAnsi="Calibri" w:cs="Calibri"/>
          <w:sz w:val="24"/>
          <w:szCs w:val="24"/>
        </w:rPr>
        <w:t>that</w:t>
      </w:r>
      <w:r w:rsidRPr="001A484B" w:rsidR="00C56F33">
        <w:rPr>
          <w:rFonts w:ascii="Calibri" w:hAnsi="Calibri" w:cs="Calibri"/>
          <w:sz w:val="24"/>
          <w:szCs w:val="24"/>
        </w:rPr>
        <w:t xml:space="preserve"> appear more translucent and are lighter in color. Myeloid colonies are more dispersed and do not contain clearly defined edges. </w:t>
      </w:r>
      <w:r w:rsidRPr="001A484B" w:rsidR="00206C5B">
        <w:rPr>
          <w:rFonts w:ascii="Calibri" w:hAnsi="Calibri" w:cs="Calibri"/>
          <w:sz w:val="24"/>
          <w:szCs w:val="24"/>
        </w:rPr>
        <w:t xml:space="preserve">Myeloid </w:t>
      </w:r>
      <w:r w:rsidRPr="001A484B" w:rsidR="00206C5B">
        <w:rPr>
          <w:rFonts w:ascii="Calibri" w:hAnsi="Calibri" w:cs="Calibri"/>
          <w:sz w:val="24"/>
          <w:szCs w:val="24"/>
        </w:rPr>
        <w:lastRenderedPageBreak/>
        <w:t xml:space="preserve">colonies tend to grow </w:t>
      </w:r>
      <w:r w:rsidRPr="001A484B" w:rsidR="008A6B96">
        <w:rPr>
          <w:rFonts w:ascii="Calibri" w:hAnsi="Calibri" w:cs="Calibri"/>
          <w:sz w:val="24"/>
          <w:szCs w:val="24"/>
        </w:rPr>
        <w:t xml:space="preserve">more often </w:t>
      </w:r>
      <w:r w:rsidRPr="001A484B" w:rsidR="00206C5B">
        <w:rPr>
          <w:rFonts w:ascii="Calibri" w:hAnsi="Calibri" w:cs="Calibri"/>
          <w:sz w:val="24"/>
          <w:szCs w:val="24"/>
        </w:rPr>
        <w:t xml:space="preserve">as </w:t>
      </w:r>
      <w:r w:rsidRPr="001A484B" w:rsidR="00CC7D58">
        <w:rPr>
          <w:rFonts w:ascii="Calibri" w:hAnsi="Calibri" w:cs="Calibri"/>
          <w:sz w:val="24"/>
          <w:szCs w:val="24"/>
        </w:rPr>
        <w:t>single populations rather than clusters, although occasionally clusters may be seen.</w:t>
      </w:r>
      <w:r w:rsidRPr="001A484B" w:rsidR="0014632F">
        <w:rPr>
          <w:rFonts w:ascii="Calibri" w:hAnsi="Calibri" w:cs="Calibri"/>
          <w:sz w:val="24"/>
          <w:szCs w:val="24"/>
        </w:rPr>
        <w:t xml:space="preserve"> In both cases, myeloid colonies are classified as </w:t>
      </w:r>
      <w:r w:rsidRPr="001A484B" w:rsidR="00DA72CE">
        <w:rPr>
          <w:rFonts w:ascii="Calibri" w:hAnsi="Calibri" w:cs="Calibri"/>
          <w:sz w:val="24"/>
          <w:szCs w:val="24"/>
        </w:rPr>
        <w:t>CFU-</w:t>
      </w:r>
      <w:r w:rsidRPr="001A484B" w:rsidR="007B0E48">
        <w:rPr>
          <w:rFonts w:ascii="Calibri" w:hAnsi="Calibri" w:cs="Calibri"/>
          <w:sz w:val="24"/>
          <w:szCs w:val="24"/>
        </w:rPr>
        <w:t xml:space="preserve">GM. </w:t>
      </w:r>
    </w:p>
    <w:p w:rsidRPr="001A484B" w:rsidR="00206C5B" w:rsidP="001A484B" w:rsidRDefault="00206C5B" w14:paraId="64CCC4CF" w14:textId="77777777"/>
    <w:p w:rsidRPr="001A484B" w:rsidR="00C56F33" w:rsidP="001A484B" w:rsidRDefault="00370DF4" w14:paraId="3AFE7425" w14:textId="6B399953">
      <w:pPr>
        <w:pStyle w:val="ListParagraph"/>
        <w:numPr>
          <w:ilvl w:val="2"/>
          <w:numId w:val="55"/>
        </w:numPr>
        <w:spacing w:after="0" w:line="240" w:lineRule="auto"/>
        <w:ind w:left="0" w:firstLine="0"/>
        <w:jc w:val="both"/>
        <w:rPr>
          <w:rFonts w:ascii="Calibri" w:hAnsi="Calibri" w:cs="Calibri"/>
          <w:sz w:val="24"/>
          <w:szCs w:val="24"/>
        </w:rPr>
      </w:pPr>
      <w:r w:rsidRPr="001A484B">
        <w:rPr>
          <w:rFonts w:ascii="Calibri" w:hAnsi="Calibri" w:cs="Calibri"/>
          <w:sz w:val="24"/>
          <w:szCs w:val="24"/>
        </w:rPr>
        <w:t>Classify the m</w:t>
      </w:r>
      <w:r w:rsidRPr="001A484B" w:rsidR="00C56F33">
        <w:rPr>
          <w:rFonts w:ascii="Calibri" w:hAnsi="Calibri" w:cs="Calibri"/>
          <w:sz w:val="24"/>
          <w:szCs w:val="24"/>
        </w:rPr>
        <w:t xml:space="preserve">ixed colonies </w:t>
      </w:r>
      <w:r w:rsidRPr="001A484B">
        <w:rPr>
          <w:rFonts w:ascii="Calibri" w:hAnsi="Calibri" w:cs="Calibri"/>
          <w:sz w:val="24"/>
          <w:szCs w:val="24"/>
        </w:rPr>
        <w:t xml:space="preserve">that </w:t>
      </w:r>
      <w:r w:rsidRPr="001A484B" w:rsidR="00C56F33">
        <w:rPr>
          <w:rFonts w:ascii="Calibri" w:hAnsi="Calibri" w:cs="Calibri"/>
          <w:sz w:val="24"/>
          <w:szCs w:val="24"/>
        </w:rPr>
        <w:t>contain both erythroid and myeloid subtypes</w:t>
      </w:r>
      <w:r w:rsidRPr="001A484B" w:rsidR="00FF7323">
        <w:rPr>
          <w:rFonts w:ascii="Calibri" w:hAnsi="Calibri" w:cs="Calibri"/>
          <w:sz w:val="24"/>
          <w:szCs w:val="24"/>
        </w:rPr>
        <w:t xml:space="preserve"> as </w:t>
      </w:r>
      <w:r w:rsidRPr="001A484B" w:rsidR="003C5F80">
        <w:rPr>
          <w:rFonts w:ascii="Calibri" w:hAnsi="Calibri" w:cs="Calibri"/>
          <w:sz w:val="24"/>
          <w:szCs w:val="24"/>
        </w:rPr>
        <w:t>CFU-GEMM.</w:t>
      </w:r>
    </w:p>
    <w:p w:rsidRPr="001A484B" w:rsidR="000369F7" w:rsidP="001A484B" w:rsidRDefault="000369F7" w14:paraId="005C24C9" w14:textId="77777777">
      <w:pPr>
        <w:rPr>
          <w:b/>
          <w:bCs/>
        </w:rPr>
      </w:pPr>
    </w:p>
    <w:p w:rsidRPr="001A484B" w:rsidR="0037703E" w:rsidP="001A484B" w:rsidRDefault="00510FEB" w14:paraId="364AC2EE" w14:textId="6E039FC2">
      <w:pPr>
        <w:numPr>
          <w:ilvl w:val="0"/>
          <w:numId w:val="23"/>
        </w:numPr>
        <w:ind w:left="0" w:firstLine="0"/>
        <w:rPr>
          <w:b/>
          <w:bCs/>
        </w:rPr>
      </w:pPr>
      <w:r w:rsidRPr="001A484B">
        <w:rPr>
          <w:b/>
          <w:bCs/>
        </w:rPr>
        <w:t xml:space="preserve">Cell harvesting and freezing for downstream analysis </w:t>
      </w:r>
      <w:r w:rsidRPr="001A484B">
        <w:rPr>
          <w:b/>
          <w:bCs/>
          <w:i/>
          <w:iCs/>
        </w:rPr>
        <w:t>via</w:t>
      </w:r>
      <w:r w:rsidRPr="001A484B">
        <w:rPr>
          <w:b/>
          <w:bCs/>
        </w:rPr>
        <w:t xml:space="preserve"> flow cytometry</w:t>
      </w:r>
    </w:p>
    <w:p w:rsidRPr="001A484B" w:rsidR="0037703E" w:rsidP="001A484B" w:rsidRDefault="0037703E" w14:paraId="124A7ED4" w14:textId="77777777">
      <w:pPr>
        <w:rPr>
          <w:b/>
          <w:bCs/>
        </w:rPr>
      </w:pPr>
    </w:p>
    <w:p w:rsidRPr="001A484B" w:rsidR="0037703E" w:rsidP="001A484B" w:rsidRDefault="004C4A87" w14:paraId="4DE14AC1" w14:textId="49910CA7">
      <w:pPr>
        <w:numPr>
          <w:ilvl w:val="1"/>
          <w:numId w:val="23"/>
        </w:numPr>
        <w:ind w:left="0" w:firstLine="0"/>
        <w:rPr>
          <w:b/>
          <w:bCs/>
        </w:rPr>
      </w:pPr>
      <w:r w:rsidRPr="001A484B">
        <w:t>Perform the steps below p</w:t>
      </w:r>
      <w:r w:rsidRPr="001A484B" w:rsidR="00510FEB">
        <w:t xml:space="preserve">rior to starting: </w:t>
      </w:r>
    </w:p>
    <w:p w:rsidRPr="001A484B" w:rsidR="0037703E" w:rsidP="001A484B" w:rsidRDefault="0037703E" w14:paraId="5DCE0C97" w14:textId="77777777">
      <w:pPr>
        <w:rPr>
          <w:b/>
          <w:bCs/>
        </w:rPr>
      </w:pPr>
    </w:p>
    <w:p w:rsidRPr="001A484B" w:rsidR="000369F7" w:rsidP="001A484B" w:rsidRDefault="00DB0C8E" w14:paraId="4D922270" w14:textId="45085DE0">
      <w:pPr>
        <w:numPr>
          <w:ilvl w:val="2"/>
          <w:numId w:val="46"/>
        </w:numPr>
        <w:ind w:left="0" w:firstLine="0"/>
        <w:rPr>
          <w:b/>
          <w:bCs/>
        </w:rPr>
      </w:pPr>
      <w:r w:rsidRPr="001A484B">
        <w:t>Prepare and w</w:t>
      </w:r>
      <w:r w:rsidRPr="001A484B" w:rsidR="00510FEB">
        <w:t xml:space="preserve">arm </w:t>
      </w:r>
      <w:r w:rsidRPr="001A484B" w:rsidR="001D2DDB">
        <w:t>fluorescence-activated cell sorting buffer (</w:t>
      </w:r>
      <w:r w:rsidRPr="001A484B" w:rsidR="00510FEB">
        <w:t>FACS buffer</w:t>
      </w:r>
      <w:r w:rsidRPr="001A484B" w:rsidR="001D2DDB">
        <w:t xml:space="preserve">, composed of </w:t>
      </w:r>
      <w:r w:rsidRPr="001A484B" w:rsidR="00510FEB">
        <w:t xml:space="preserve">DPBS/4% FBS) and freezing media (FBS/10% DMSO) in </w:t>
      </w:r>
      <w:r w:rsidRPr="001A484B" w:rsidR="00CF391C">
        <w:t xml:space="preserve">a </w:t>
      </w:r>
      <w:r w:rsidRPr="001A484B" w:rsidR="00510FEB">
        <w:t>37</w:t>
      </w:r>
      <w:r w:rsidRPr="001A484B" w:rsidR="00473FC1">
        <w:t xml:space="preserve"> </w:t>
      </w:r>
      <w:r w:rsidRPr="001A484B" w:rsidR="00510FEB">
        <w:t xml:space="preserve">°C water bath for at least 30 min. </w:t>
      </w:r>
    </w:p>
    <w:p w:rsidRPr="001A484B" w:rsidR="000369F7" w:rsidP="001A484B" w:rsidRDefault="000369F7" w14:paraId="7A401002" w14:textId="77777777">
      <w:pPr>
        <w:rPr>
          <w:b/>
          <w:bCs/>
        </w:rPr>
      </w:pPr>
    </w:p>
    <w:p w:rsidRPr="001A484B" w:rsidR="000369F7" w:rsidP="768DDF5C" w:rsidRDefault="00510FEB" w14:paraId="06B30E19" w14:textId="1E592A58">
      <w:pPr>
        <w:numPr>
          <w:ilvl w:val="1"/>
          <w:numId w:val="23"/>
        </w:numPr>
        <w:ind w:left="0" w:firstLine="0"/>
        <w:rPr>
          <w:b w:val="1"/>
          <w:bCs w:val="1"/>
          <w:highlight w:val="yellow"/>
        </w:rPr>
      </w:pPr>
      <w:r w:rsidRPr="768DDF5C" w:rsidR="00510FEB">
        <w:rPr>
          <w:highlight w:val="yellow"/>
        </w:rPr>
        <w:t xml:space="preserve">Add 5 mL of warmed FACS buffer to the surface of each well. Incubate plates for at least 30 min in </w:t>
      </w:r>
      <w:r w:rsidRPr="768DDF5C" w:rsidR="00CF391C">
        <w:rPr>
          <w:highlight w:val="yellow"/>
        </w:rPr>
        <w:t xml:space="preserve">a </w:t>
      </w:r>
      <w:r w:rsidRPr="768DDF5C" w:rsidR="00510FEB">
        <w:rPr>
          <w:highlight w:val="yellow"/>
        </w:rPr>
        <w:t>37</w:t>
      </w:r>
      <w:r w:rsidRPr="768DDF5C" w:rsidR="00473FC1">
        <w:rPr>
          <w:highlight w:val="yellow"/>
        </w:rPr>
        <w:t xml:space="preserve"> </w:t>
      </w:r>
      <w:r w:rsidRPr="768DDF5C" w:rsidR="00510FEB">
        <w:rPr>
          <w:highlight w:val="yellow"/>
        </w:rPr>
        <w:t xml:space="preserve">°C incubator to dissolve </w:t>
      </w:r>
      <w:r w:rsidRPr="768DDF5C" w:rsidR="00CF391C">
        <w:rPr>
          <w:highlight w:val="yellow"/>
        </w:rPr>
        <w:t xml:space="preserve">the </w:t>
      </w:r>
      <w:r w:rsidRPr="768DDF5C" w:rsidR="00510FEB">
        <w:rPr>
          <w:highlight w:val="yellow"/>
        </w:rPr>
        <w:t>semisolid media.</w:t>
      </w:r>
      <w:r w:rsidR="00510FEB">
        <w:rPr/>
        <w:t xml:space="preserve"> </w:t>
      </w:r>
    </w:p>
    <w:p w:rsidRPr="001A484B" w:rsidR="000369F7" w:rsidP="001A484B" w:rsidRDefault="000369F7" w14:paraId="1E3081D1" w14:textId="77777777">
      <w:pPr>
        <w:rPr>
          <w:b/>
          <w:bCs/>
        </w:rPr>
      </w:pPr>
    </w:p>
    <w:p w:rsidRPr="001A484B" w:rsidR="000369F7" w:rsidP="768DDF5C" w:rsidRDefault="00510FEB" w14:paraId="45F0F343" w14:textId="77777777">
      <w:pPr>
        <w:numPr>
          <w:ilvl w:val="1"/>
          <w:numId w:val="23"/>
        </w:numPr>
        <w:ind w:left="0" w:firstLine="0"/>
        <w:rPr>
          <w:highlight w:val="yellow"/>
        </w:rPr>
      </w:pPr>
      <w:r w:rsidRPr="768DDF5C" w:rsidR="00510FEB">
        <w:rPr>
          <w:highlight w:val="yellow"/>
        </w:rPr>
        <w:t>Thoroughly resuspend cells using a 5 mL pipette and transfer to a sterile 50 mL conical tube.</w:t>
      </w:r>
      <w:r w:rsidR="00510FEB">
        <w:rPr/>
        <w:t xml:space="preserve"> </w:t>
      </w:r>
    </w:p>
    <w:p w:rsidRPr="001A484B" w:rsidR="000369F7" w:rsidP="768DDF5C" w:rsidRDefault="000369F7" w14:paraId="47B11DFE" w14:textId="77777777">
      <w:pPr>
        <w:rPr>
          <w:highlight w:val="yellow"/>
        </w:rPr>
      </w:pPr>
    </w:p>
    <w:p w:rsidRPr="001A484B" w:rsidR="000369F7" w:rsidP="768DDF5C" w:rsidRDefault="00510FEB" w14:paraId="70D86C24" w14:textId="3E47B562">
      <w:pPr>
        <w:numPr>
          <w:ilvl w:val="1"/>
          <w:numId w:val="23"/>
        </w:numPr>
        <w:ind w:left="0" w:firstLine="0"/>
        <w:rPr>
          <w:highlight w:val="yellow"/>
        </w:rPr>
      </w:pPr>
      <w:r w:rsidRPr="768DDF5C" w:rsidR="00510FEB">
        <w:rPr>
          <w:highlight w:val="yellow"/>
        </w:rPr>
        <w:t xml:space="preserve">Using 5 mL of warmed FACS buffer, wash each well 3 times and transfer </w:t>
      </w:r>
      <w:r w:rsidRPr="768DDF5C" w:rsidR="00CF391C">
        <w:rPr>
          <w:highlight w:val="yellow"/>
        </w:rPr>
        <w:t xml:space="preserve">the </w:t>
      </w:r>
      <w:r w:rsidRPr="768DDF5C" w:rsidR="00510FEB">
        <w:rPr>
          <w:highlight w:val="yellow"/>
        </w:rPr>
        <w:t>entire volume to the 50 mL conical tube.</w:t>
      </w:r>
      <w:r w:rsidR="00510FEB">
        <w:rPr/>
        <w:t xml:space="preserve"> </w:t>
      </w:r>
    </w:p>
    <w:p w:rsidRPr="001A484B" w:rsidR="000369F7" w:rsidP="001A484B" w:rsidRDefault="000369F7" w14:paraId="39B99D3C" w14:textId="77777777"/>
    <w:p w:rsidRPr="001A484B" w:rsidR="000369F7" w:rsidP="001A484B" w:rsidRDefault="00510FEB" w14:paraId="20D1DFE4" w14:textId="6327823D">
      <w:pPr>
        <w:numPr>
          <w:ilvl w:val="1"/>
          <w:numId w:val="23"/>
        </w:numPr>
        <w:ind w:left="0" w:firstLine="0"/>
        <w:rPr/>
      </w:pPr>
      <w:r w:rsidRPr="768DDF5C" w:rsidR="00510FEB">
        <w:rPr>
          <w:highlight w:val="yellow"/>
        </w:rPr>
        <w:t>Resuspend cells we</w:t>
      </w:r>
      <w:r w:rsidRPr="768DDF5C" w:rsidR="00510FEB">
        <w:rPr>
          <w:highlight w:val="yellow"/>
        </w:rPr>
        <w:t xml:space="preserve">ll by </w:t>
      </w:r>
      <w:r w:rsidRPr="768DDF5C" w:rsidR="00510FEB">
        <w:rPr>
          <w:highlight w:val="yellow"/>
        </w:rPr>
        <w:t>vortexing</w:t>
      </w:r>
      <w:r w:rsidRPr="768DDF5C" w:rsidR="00510FEB">
        <w:rPr>
          <w:highlight w:val="yellow"/>
        </w:rPr>
        <w:t xml:space="preserve"> in 4</w:t>
      </w:r>
      <w:r w:rsidRPr="768DDF5C" w:rsidR="00CF391C">
        <w:rPr>
          <w:highlight w:val="yellow"/>
        </w:rPr>
        <w:t>–</w:t>
      </w:r>
      <w:r w:rsidRPr="768DDF5C" w:rsidR="00510FEB">
        <w:rPr>
          <w:highlight w:val="yellow"/>
        </w:rPr>
        <w:t>5 short bursts, then centrifuge at 400</w:t>
      </w:r>
      <w:r w:rsidRPr="768DDF5C" w:rsidR="00E230A7">
        <w:rPr>
          <w:highlight w:val="yellow"/>
        </w:rPr>
        <w:t xml:space="preserve"> </w:t>
      </w:r>
      <w:r w:rsidRPr="768DDF5C" w:rsidR="00CF391C">
        <w:rPr>
          <w:highlight w:val="yellow"/>
        </w:rPr>
        <w:t xml:space="preserve">x </w:t>
      </w:r>
      <w:r w:rsidRPr="768DDF5C" w:rsidR="00E230A7">
        <w:rPr>
          <w:i w:val="1"/>
          <w:iCs w:val="1"/>
          <w:highlight w:val="yellow"/>
        </w:rPr>
        <w:t>g</w:t>
      </w:r>
      <w:r w:rsidRPr="768DDF5C" w:rsidR="00510FEB">
        <w:rPr>
          <w:highlight w:val="yellow"/>
        </w:rPr>
        <w:t xml:space="preserve"> for 10 min at RT to pellet cells.</w:t>
      </w:r>
      <w:r w:rsidRPr="768DDF5C" w:rsidR="00510FEB">
        <w:rPr>
          <w:highlight w:val="yellow"/>
        </w:rPr>
        <w:t xml:space="preserve"> If</w:t>
      </w:r>
      <w:r w:rsidRPr="768DDF5C" w:rsidR="00111EA6">
        <w:rPr>
          <w:highlight w:val="yellow"/>
        </w:rPr>
        <w:t xml:space="preserve"> the </w:t>
      </w:r>
      <w:r w:rsidRPr="768DDF5C" w:rsidR="00510FEB">
        <w:rPr>
          <w:highlight w:val="yellow"/>
        </w:rPr>
        <w:t xml:space="preserve">pellet is not visible after centrifugation, </w:t>
      </w:r>
      <w:r w:rsidRPr="768DDF5C" w:rsidR="008B015C">
        <w:rPr>
          <w:highlight w:val="yellow"/>
        </w:rPr>
        <w:t>the cells remain</w:t>
      </w:r>
      <w:r w:rsidRPr="768DDF5C" w:rsidR="00510FEB">
        <w:rPr>
          <w:highlight w:val="yellow"/>
        </w:rPr>
        <w:t xml:space="preserve"> suspended in semisoli</w:t>
      </w:r>
      <w:r w:rsidRPr="768DDF5C" w:rsidR="00510FEB">
        <w:rPr>
          <w:highlight w:val="yellow"/>
        </w:rPr>
        <w:t>d media.</w:t>
      </w:r>
      <w:r w:rsidRPr="768DDF5C" w:rsidR="00510FEB">
        <w:rPr>
          <w:highlight w:val="yellow"/>
        </w:rPr>
        <w:t xml:space="preserve"> </w:t>
      </w:r>
      <w:r w:rsidRPr="768DDF5C" w:rsidR="00111EA6">
        <w:rPr>
          <w:highlight w:val="yellow"/>
        </w:rPr>
        <w:t>Without aspi</w:t>
      </w:r>
      <w:r w:rsidRPr="768DDF5C" w:rsidR="00111EA6">
        <w:rPr>
          <w:highlight w:val="yellow"/>
        </w:rPr>
        <w:t>rating, a</w:t>
      </w:r>
      <w:r w:rsidRPr="768DDF5C" w:rsidR="00510FEB">
        <w:rPr>
          <w:highlight w:val="yellow"/>
        </w:rPr>
        <w:t>dd</w:t>
      </w:r>
      <w:r w:rsidRPr="768DDF5C" w:rsidR="00A72C43">
        <w:rPr>
          <w:highlight w:val="yellow"/>
        </w:rPr>
        <w:t xml:space="preserve"> an extra</w:t>
      </w:r>
      <w:r w:rsidRPr="768DDF5C" w:rsidR="00510FEB">
        <w:rPr>
          <w:highlight w:val="yellow"/>
        </w:rPr>
        <w:t xml:space="preserve"> 10</w:t>
      </w:r>
      <w:r w:rsidRPr="768DDF5C" w:rsidR="008B015C">
        <w:rPr>
          <w:highlight w:val="yellow"/>
        </w:rPr>
        <w:t>–</w:t>
      </w:r>
      <w:r w:rsidRPr="768DDF5C" w:rsidR="00510FEB">
        <w:rPr>
          <w:highlight w:val="yellow"/>
        </w:rPr>
        <w:t>15 mL DPBS to</w:t>
      </w:r>
      <w:r w:rsidRPr="768DDF5C" w:rsidR="00111EA6">
        <w:rPr>
          <w:highlight w:val="yellow"/>
        </w:rPr>
        <w:t xml:space="preserve"> the</w:t>
      </w:r>
      <w:r w:rsidRPr="768DDF5C" w:rsidR="00510FEB">
        <w:rPr>
          <w:highlight w:val="yellow"/>
        </w:rPr>
        <w:t xml:space="preserve"> tube </w:t>
      </w:r>
      <w:r w:rsidRPr="768DDF5C" w:rsidR="006E70E4">
        <w:rPr>
          <w:highlight w:val="yellow"/>
        </w:rPr>
        <w:t xml:space="preserve">to further dilute the semisolid medium </w:t>
      </w:r>
      <w:r w:rsidRPr="768DDF5C" w:rsidR="00510FEB">
        <w:rPr>
          <w:highlight w:val="yellow"/>
        </w:rPr>
        <w:t>and resuspend well. If necessary, incubate at 37</w:t>
      </w:r>
      <w:r w:rsidRPr="768DDF5C" w:rsidR="005412BA">
        <w:rPr>
          <w:highlight w:val="yellow"/>
        </w:rPr>
        <w:t xml:space="preserve"> </w:t>
      </w:r>
      <w:r w:rsidRPr="768DDF5C" w:rsidR="00510FEB">
        <w:rPr>
          <w:highlight w:val="yellow"/>
        </w:rPr>
        <w:t>°C for 10</w:t>
      </w:r>
      <w:r w:rsidRPr="768DDF5C" w:rsidR="008B015C">
        <w:rPr>
          <w:highlight w:val="yellow"/>
        </w:rPr>
        <w:t>–</w:t>
      </w:r>
      <w:r w:rsidRPr="768DDF5C" w:rsidR="00510FEB">
        <w:rPr>
          <w:highlight w:val="yellow"/>
        </w:rPr>
        <w:t xml:space="preserve">15 min to fully dissolve </w:t>
      </w:r>
      <w:r w:rsidRPr="768DDF5C" w:rsidR="006E70E4">
        <w:rPr>
          <w:highlight w:val="yellow"/>
        </w:rPr>
        <w:t xml:space="preserve">the </w:t>
      </w:r>
      <w:r w:rsidRPr="768DDF5C" w:rsidR="00510FEB">
        <w:rPr>
          <w:highlight w:val="yellow"/>
        </w:rPr>
        <w:t>media, then pellet cells again.</w:t>
      </w:r>
      <w:r w:rsidRPr="768DDF5C" w:rsidR="00510FEB">
        <w:rPr>
          <w:i w:val="1"/>
          <w:iCs w:val="1"/>
        </w:rPr>
        <w:t xml:space="preserve"> </w:t>
      </w:r>
    </w:p>
    <w:p w:rsidRPr="001A484B" w:rsidR="000369F7" w:rsidP="001A484B" w:rsidRDefault="000369F7" w14:paraId="2E86E02E" w14:textId="77777777"/>
    <w:p w:rsidRPr="001A484B" w:rsidR="000369F7" w:rsidP="768DDF5C" w:rsidRDefault="00510FEB" w14:paraId="075320F4" w14:textId="08B03509">
      <w:pPr>
        <w:numPr>
          <w:ilvl w:val="1"/>
          <w:numId w:val="23"/>
        </w:numPr>
        <w:ind w:left="0" w:firstLine="0"/>
        <w:rPr>
          <w:highlight w:val="yellow"/>
        </w:rPr>
      </w:pPr>
      <w:r w:rsidRPr="768DDF5C" w:rsidR="00510FEB">
        <w:rPr>
          <w:highlight w:val="yellow"/>
        </w:rPr>
        <w:t xml:space="preserve">Aspirate </w:t>
      </w:r>
      <w:r w:rsidRPr="768DDF5C" w:rsidR="008B015C">
        <w:rPr>
          <w:highlight w:val="yellow"/>
        </w:rPr>
        <w:t xml:space="preserve">the </w:t>
      </w:r>
      <w:r w:rsidRPr="768DDF5C" w:rsidR="00510FEB">
        <w:rPr>
          <w:highlight w:val="yellow"/>
        </w:rPr>
        <w:t xml:space="preserve">supernatant and resuspend </w:t>
      </w:r>
      <w:r w:rsidRPr="768DDF5C" w:rsidR="008B015C">
        <w:rPr>
          <w:highlight w:val="yellow"/>
        </w:rPr>
        <w:t xml:space="preserve">the </w:t>
      </w:r>
      <w:r w:rsidRPr="768DDF5C" w:rsidR="00510FEB">
        <w:rPr>
          <w:highlight w:val="yellow"/>
        </w:rPr>
        <w:t>cells in 10 mL FACS buffer. Centrifuge at 400</w:t>
      </w:r>
      <w:r w:rsidRPr="768DDF5C" w:rsidR="002E7046">
        <w:rPr>
          <w:highlight w:val="yellow"/>
        </w:rPr>
        <w:t xml:space="preserve"> </w:t>
      </w:r>
      <w:r w:rsidRPr="768DDF5C" w:rsidR="008B015C">
        <w:rPr>
          <w:highlight w:val="yellow"/>
        </w:rPr>
        <w:t xml:space="preserve">x </w:t>
      </w:r>
      <w:r w:rsidRPr="768DDF5C" w:rsidR="00510FEB">
        <w:rPr>
          <w:i w:val="1"/>
          <w:iCs w:val="1"/>
          <w:highlight w:val="yellow"/>
        </w:rPr>
        <w:t>g</w:t>
      </w:r>
      <w:r w:rsidRPr="768DDF5C" w:rsidR="00510FEB">
        <w:rPr>
          <w:highlight w:val="yellow"/>
        </w:rPr>
        <w:t xml:space="preserve"> for 10 min at RT to pellet cells.</w:t>
      </w:r>
      <w:r w:rsidR="00510FEB">
        <w:rPr/>
        <w:t xml:space="preserve"> </w:t>
      </w:r>
    </w:p>
    <w:p w:rsidRPr="001A484B" w:rsidR="000369F7" w:rsidP="768DDF5C" w:rsidRDefault="000369F7" w14:paraId="1B23D4C2" w14:textId="77777777">
      <w:pPr>
        <w:rPr>
          <w:highlight w:val="yellow"/>
        </w:rPr>
      </w:pPr>
    </w:p>
    <w:p w:rsidRPr="001A484B" w:rsidR="000369F7" w:rsidP="768DDF5C" w:rsidRDefault="00510FEB" w14:paraId="48A5DF15" w14:textId="04B0478E">
      <w:pPr>
        <w:numPr>
          <w:ilvl w:val="1"/>
          <w:numId w:val="23"/>
        </w:numPr>
        <w:ind w:left="0" w:firstLine="0"/>
        <w:rPr>
          <w:highlight w:val="yellow"/>
        </w:rPr>
      </w:pPr>
      <w:r w:rsidRPr="768DDF5C" w:rsidR="00510FEB">
        <w:rPr>
          <w:highlight w:val="yellow"/>
        </w:rPr>
        <w:t>Resuspend cells in freezing media and aliquot 3 million cells/cryovial. Freeze vials in a controlled-rate freezing container at -</w:t>
      </w:r>
      <w:r w:rsidRPr="768DDF5C" w:rsidR="00780590">
        <w:rPr>
          <w:highlight w:val="yellow"/>
        </w:rPr>
        <w:t>8</w:t>
      </w:r>
      <w:r w:rsidRPr="768DDF5C" w:rsidR="00510FEB">
        <w:rPr>
          <w:highlight w:val="yellow"/>
        </w:rPr>
        <w:t>0</w:t>
      </w:r>
      <w:r w:rsidRPr="768DDF5C" w:rsidR="005412BA">
        <w:rPr>
          <w:highlight w:val="yellow"/>
        </w:rPr>
        <w:t xml:space="preserve"> </w:t>
      </w:r>
      <w:r w:rsidRPr="768DDF5C" w:rsidR="00510FEB">
        <w:rPr>
          <w:highlight w:val="yellow"/>
        </w:rPr>
        <w:t>°C for 24 h</w:t>
      </w:r>
      <w:r w:rsidRPr="768DDF5C" w:rsidR="00211291">
        <w:rPr>
          <w:highlight w:val="yellow"/>
        </w:rPr>
        <w:t xml:space="preserve"> to achieve 1</w:t>
      </w:r>
      <w:r w:rsidRPr="768DDF5C" w:rsidR="00021667">
        <w:rPr>
          <w:highlight w:val="yellow"/>
        </w:rPr>
        <w:t xml:space="preserve"> </w:t>
      </w:r>
      <w:r w:rsidRPr="768DDF5C" w:rsidR="00211291">
        <w:rPr>
          <w:highlight w:val="yellow"/>
        </w:rPr>
        <w:t>°C / min cooling rate</w:t>
      </w:r>
      <w:r w:rsidRPr="768DDF5C" w:rsidR="00510FEB">
        <w:rPr>
          <w:highlight w:val="yellow"/>
        </w:rPr>
        <w:t>.</w:t>
      </w:r>
    </w:p>
    <w:p w:rsidRPr="001A484B" w:rsidR="000369F7" w:rsidP="768DDF5C" w:rsidRDefault="000369F7" w14:paraId="1E6C02D8" w14:textId="77777777">
      <w:pPr>
        <w:rPr>
          <w:highlight w:val="yellow"/>
        </w:rPr>
      </w:pPr>
    </w:p>
    <w:p w:rsidRPr="001A484B" w:rsidR="000369F7" w:rsidP="768DDF5C" w:rsidRDefault="00510FEB" w14:paraId="30B5E69F" w14:textId="77777777">
      <w:pPr>
        <w:numPr>
          <w:ilvl w:val="1"/>
          <w:numId w:val="23"/>
        </w:numPr>
        <w:ind w:left="0" w:firstLine="0"/>
        <w:rPr>
          <w:highlight w:val="yellow"/>
        </w:rPr>
      </w:pPr>
      <w:r w:rsidRPr="768DDF5C" w:rsidR="00510FEB">
        <w:rPr>
          <w:highlight w:val="yellow"/>
        </w:rPr>
        <w:t>Transfer cryovials to liquid nitrogen storage as soon as possible.</w:t>
      </w:r>
      <w:r w:rsidR="00510FEB">
        <w:rPr/>
        <w:t xml:space="preserve"> </w:t>
      </w:r>
    </w:p>
    <w:p w:rsidRPr="001A484B" w:rsidR="002E7046" w:rsidP="001A484B" w:rsidRDefault="002E7046" w14:paraId="6D232706" w14:textId="77777777"/>
    <w:p w:rsidRPr="001A484B" w:rsidR="000369F7" w:rsidP="001A484B" w:rsidRDefault="00510FEB" w14:paraId="099C98F6" w14:textId="0C2C42C7">
      <w:r w:rsidRPr="001A484B">
        <w:t xml:space="preserve">NOTE: </w:t>
      </w:r>
      <w:r w:rsidRPr="001A484B" w:rsidR="00021667">
        <w:t>S</w:t>
      </w:r>
      <w:r w:rsidRPr="001A484B">
        <w:t>amples kept at -20</w:t>
      </w:r>
      <w:r w:rsidRPr="001A484B" w:rsidR="006E70E4">
        <w:t xml:space="preserve"> </w:t>
      </w:r>
      <w:r w:rsidRPr="001A484B">
        <w:t xml:space="preserve">°C for long periods of time will have reduced viability. It is important to move cells to liquid nitrogen for long-term storage. </w:t>
      </w:r>
    </w:p>
    <w:p w:rsidRPr="001A484B" w:rsidR="006E4797" w:rsidP="001A484B" w:rsidRDefault="006E4797" w14:paraId="4015356B" w14:textId="54BA4A7F">
      <w:pPr>
        <w:rPr>
          <w:b/>
        </w:rPr>
      </w:pPr>
    </w:p>
    <w:p w:rsidRPr="001A484B" w:rsidR="006E4797" w:rsidP="001A484B" w:rsidRDefault="00510FEB" w14:paraId="08AF3300" w14:textId="6F86F98D">
      <w:pPr>
        <w:pBdr>
          <w:top w:val="nil"/>
          <w:left w:val="nil"/>
          <w:bottom w:val="nil"/>
          <w:right w:val="nil"/>
          <w:between w:val="nil"/>
        </w:pBdr>
        <w:rPr>
          <w:b/>
          <w:color w:val="000000"/>
        </w:rPr>
      </w:pPr>
      <w:r w:rsidRPr="001A484B">
        <w:rPr>
          <w:b/>
          <w:color w:val="000000"/>
        </w:rPr>
        <w:t>RESULTS:</w:t>
      </w:r>
    </w:p>
    <w:p w:rsidRPr="001A484B" w:rsidR="00077464" w:rsidP="001A484B" w:rsidRDefault="00077464" w14:paraId="5CA3178A" w14:textId="77777777">
      <w:pPr>
        <w:pBdr>
          <w:top w:val="nil"/>
          <w:left w:val="nil"/>
          <w:bottom w:val="nil"/>
          <w:right w:val="nil"/>
          <w:between w:val="nil"/>
        </w:pBdr>
        <w:rPr>
          <w:color w:val="808080"/>
        </w:rPr>
      </w:pPr>
    </w:p>
    <w:p w:rsidRPr="001A484B" w:rsidR="001E7123" w:rsidP="001A484B" w:rsidRDefault="008E61A4" w14:paraId="014AF10C" w14:textId="795BB214">
      <w:r w:rsidRPr="001A484B">
        <w:rPr>
          <w:b/>
          <w:bCs/>
        </w:rPr>
        <w:t xml:space="preserve">Figure 1 </w:t>
      </w:r>
      <w:r w:rsidRPr="001A484B">
        <w:t xml:space="preserve">illustrates the colony assay pipeline from patient sample isolation through analysis of colony counts and colony morphology. </w:t>
      </w:r>
      <w:r w:rsidRPr="001A484B">
        <w:rPr>
          <w:b/>
          <w:bCs/>
        </w:rPr>
        <w:t>Figure 2</w:t>
      </w:r>
      <w:r w:rsidRPr="001A484B">
        <w:t xml:space="preserve"> display</w:t>
      </w:r>
      <w:r w:rsidRPr="001A484B" w:rsidR="00FF55BA">
        <w:t>s</w:t>
      </w:r>
      <w:r w:rsidRPr="001A484B">
        <w:t xml:space="preserve"> key settings for imaging colonies on </w:t>
      </w:r>
      <w:r w:rsidRPr="001A484B" w:rsidR="0041032F">
        <w:t>a</w:t>
      </w:r>
      <w:r w:rsidRPr="001A484B">
        <w:t xml:space="preserve"> brightfield microscope</w:t>
      </w:r>
      <w:r w:rsidRPr="001A484B" w:rsidR="00E01965">
        <w:t xml:space="preserve">. </w:t>
      </w:r>
      <w:r w:rsidRPr="001A484B" w:rsidR="00510FEB">
        <w:rPr>
          <w:b/>
          <w:bCs/>
        </w:rPr>
        <w:t xml:space="preserve">Figure 3 </w:t>
      </w:r>
      <w:r w:rsidRPr="001A484B" w:rsidR="00510FEB">
        <w:t>and</w:t>
      </w:r>
      <w:r w:rsidRPr="001A484B" w:rsidR="00510FEB">
        <w:rPr>
          <w:b/>
          <w:bCs/>
        </w:rPr>
        <w:t xml:space="preserve"> Figure 4</w:t>
      </w:r>
      <w:r w:rsidRPr="001A484B" w:rsidR="00510FEB">
        <w:t xml:space="preserve"> show representative images of colony formation </w:t>
      </w:r>
      <w:r w:rsidRPr="001A484B" w:rsidR="00A625DE">
        <w:lastRenderedPageBreak/>
        <w:t xml:space="preserve">from a single </w:t>
      </w:r>
      <w:r w:rsidRPr="001A484B" w:rsidR="00716E01">
        <w:t>patient-derived sample at 13 days post-</w:t>
      </w:r>
      <w:r w:rsidRPr="001A484B" w:rsidR="00510FEB">
        <w:t xml:space="preserve">plating. In </w:t>
      </w:r>
      <w:r w:rsidRPr="001A484B" w:rsidR="00510FEB">
        <w:rPr>
          <w:b/>
          <w:bCs/>
        </w:rPr>
        <w:t>Figure 3</w:t>
      </w:r>
      <w:r w:rsidRPr="001A484B" w:rsidR="00510FEB">
        <w:t>, colonies are imaged using</w:t>
      </w:r>
      <w:r w:rsidRPr="001A484B" w:rsidR="00716E01">
        <w:t xml:space="preserve"> </w:t>
      </w:r>
      <w:r w:rsidRPr="001A484B" w:rsidR="00C632BD">
        <w:t>an automated fluorescence imaging system</w:t>
      </w:r>
      <w:r w:rsidRPr="001A484B" w:rsidR="00510FEB">
        <w:t>. The images are scored by manually counting colonies according to morphology</w:t>
      </w:r>
      <w:r w:rsidRPr="001A484B" w:rsidR="00E01965">
        <w:t xml:space="preserve">. </w:t>
      </w:r>
      <w:r w:rsidRPr="001A484B" w:rsidR="00510FEB">
        <w:rPr>
          <w:b/>
          <w:bCs/>
        </w:rPr>
        <w:t>Figure 3A</w:t>
      </w:r>
      <w:r w:rsidRPr="001A484B" w:rsidR="00510FEB">
        <w:t xml:space="preserve"> shows the comparison of control DMSO-treated cells with pyrimethamine as a single agent, </w:t>
      </w:r>
      <w:proofErr w:type="spellStart"/>
      <w:r w:rsidRPr="001A484B" w:rsidR="00510FEB">
        <w:t>venetoclax</w:t>
      </w:r>
      <w:proofErr w:type="spellEnd"/>
      <w:r w:rsidRPr="001A484B" w:rsidR="00510FEB">
        <w:t xml:space="preserve"> as a single agent, and combination treatment conditions. Enumerated counts shown in </w:t>
      </w:r>
      <w:r w:rsidRPr="001A484B" w:rsidR="00510FEB">
        <w:rPr>
          <w:b/>
          <w:bCs/>
        </w:rPr>
        <w:t xml:space="preserve">Figure 3B </w:t>
      </w:r>
      <w:r w:rsidRPr="001A484B" w:rsidR="00510FEB">
        <w:t>show fewer overall colonies in the pyrimethamine single</w:t>
      </w:r>
      <w:r w:rsidRPr="001A484B" w:rsidR="00C632BD">
        <w:t>-</w:t>
      </w:r>
      <w:r w:rsidRPr="001A484B" w:rsidR="00510FEB">
        <w:t>agent treatment and a</w:t>
      </w:r>
      <w:r w:rsidRPr="001A484B" w:rsidR="00AC38D1">
        <w:t xml:space="preserve"> combinatorial </w:t>
      </w:r>
      <w:r w:rsidRPr="001A484B" w:rsidR="00510FEB">
        <w:t xml:space="preserve">effect with </w:t>
      </w:r>
      <w:proofErr w:type="spellStart"/>
      <w:r w:rsidRPr="001A484B" w:rsidR="00510FEB">
        <w:t>venetoclax</w:t>
      </w:r>
      <w:proofErr w:type="spellEnd"/>
      <w:r w:rsidRPr="001A484B" w:rsidR="00510FEB">
        <w:t xml:space="preserve">, suggesting that monotherapy or combination therapy </w:t>
      </w:r>
      <w:r w:rsidRPr="001A484B" w:rsidR="00AC38D1">
        <w:t>m</w:t>
      </w:r>
      <w:r w:rsidRPr="001A484B" w:rsidR="004239DB">
        <w:t xml:space="preserve">ight </w:t>
      </w:r>
      <w:r w:rsidRPr="001A484B" w:rsidR="00AC38D1">
        <w:t xml:space="preserve">be a promising </w:t>
      </w:r>
      <w:r w:rsidRPr="001A484B" w:rsidR="00510FEB">
        <w:t xml:space="preserve">strategy to </w:t>
      </w:r>
      <w:r w:rsidRPr="001A484B" w:rsidR="00AC38D1">
        <w:t xml:space="preserve">reduce </w:t>
      </w:r>
      <w:r w:rsidRPr="001A484B" w:rsidR="00510FEB">
        <w:t>leukemic blast</w:t>
      </w:r>
      <w:r w:rsidRPr="001A484B" w:rsidR="00AC38D1">
        <w:t xml:space="preserve"> proliferation </w:t>
      </w:r>
      <w:r w:rsidRPr="001A484B" w:rsidR="00510FEB">
        <w:t xml:space="preserve">and inhibit malignant growth </w:t>
      </w:r>
      <w:r w:rsidRPr="001A484B" w:rsidR="00AC38D1">
        <w:t xml:space="preserve">in this individual </w:t>
      </w:r>
      <w:r w:rsidRPr="001A484B" w:rsidR="00510FEB">
        <w:t xml:space="preserve">patient. </w:t>
      </w:r>
      <w:r w:rsidRPr="001A484B" w:rsidR="00AC38D1">
        <w:t>To validate</w:t>
      </w:r>
      <w:r w:rsidRPr="001A484B" w:rsidR="00413C9F">
        <w:t xml:space="preserve"> the combined treatment effects</w:t>
      </w:r>
      <w:r w:rsidRPr="001A484B" w:rsidR="00AC38D1">
        <w:t xml:space="preserve"> further, multiple patients have</w:t>
      </w:r>
      <w:r w:rsidRPr="001A484B" w:rsidR="00413C9F">
        <w:t xml:space="preserve"> similarly</w:t>
      </w:r>
      <w:r w:rsidRPr="001A484B" w:rsidR="00AC38D1">
        <w:t xml:space="preserve"> been assessed for response to </w:t>
      </w:r>
      <w:proofErr w:type="spellStart"/>
      <w:r w:rsidRPr="001A484B" w:rsidR="00AC38D1">
        <w:t>Venetoclax</w:t>
      </w:r>
      <w:proofErr w:type="spellEnd"/>
      <w:r w:rsidRPr="001A484B" w:rsidR="00AC38D1">
        <w:t xml:space="preserve"> and/or pyrimethamine-based treatment</w:t>
      </w:r>
      <w:r w:rsidRPr="001A484B" w:rsidR="00AC38D1">
        <w:fldChar w:fldCharType="begin"/>
      </w:r>
      <w:r w:rsidRPr="001A484B" w:rsidR="00DC4DEA">
        <w:instrText xml:space="preserve"> ADDIN ZOTERO_ITEM CSL_CITATION {"citationID":"0IuEscjp","properties":{"formattedCitation":"\\super 16\\nosupersub{}","plainCitation":"16","noteIndex":0},"citationItems":[{"id":2376,"uris":["http://zotero.org/groups/5570791/items/8YWXVYSI"],"itemData":{"id":2376,"type":"article-journal","abstract":"The DNA hypomethylating agents (HMAs) 5-azacitidine and decitabine are the backbone of disease modifying therapy in myelodysplastic syndromes (MDS). Resistance to therapy often develops by upregulation of de novo pyrimidine synthesis, which competes directly with the DNMT1-depleting nucleotide Aza-dCTP by building natural cytidines and deoxycytidines from amino acid building blocks. Inhibition of de novo pyrimidine synthesis can restore sensitivity of leukemic stem cells to therapy. Here we demonstrate that pyrimethamine (PYR), a Food and Drug Administration–approved antiparasitic, antifolate agent causes apoptosis in multiple leukemic cell lines, has synergy with venetoclax (Ven) and additive effect with HMA’s in HMA and Ven-resistant leukemic cell lines as well as murine models. It increases differentiation of stem and progenitor populations in primary samples of patients with MDS and is able to directly inhibit de novo pyrimidine synthesis thereby overcoming one of the primary mechanisms of HMA resistance. In combination with Ven, it also downregulates multiple enzymes implicated in pyrimidine synthesis.","container-title":"Experimental Hematology","DOI":"10.1016/j.exphem.2026.105382","ISSN":"0301-472X","journalAbbreviation":"Experimental Hematology","page":"105382","source":"ScienceDirect","title":"Pyrimethamine overcomes resistance to hypomethylating agents by reducing de novo pyrimidine synthesis","URL":"https://www.sciencedirect.com/science/article/pii/S0301472X26000159","author":[{"family":"Rivera-Peña","given":"Bianca"},{"family":"Chakraborty","given":"Samarpana"},{"family":"Shi","given":"Yang"},{"family":"Zhang","given":"Hui"},{"family":"Desai","given":"Sudhamsh Reddy"},{"family":"Patel","given":"Prachiben P."},{"family":"Sun","given":"Yan"},{"family":"Zhao","given":"Rongbao"},{"family":"Choudhary","given":"Gaurav"},{"family":"Mitchell","given":"Shanisha Gordon"},{"family":"Pradhan","given":"Kith"},{"family":"Zhang","given":"Jinghang"},{"family":"Zhang","given":"Xiaoyi"},{"family":"Fu","given":"Bowen"},{"family":"Lopez","given":"Reinaldo"},{"family":"Tošić","given":"Isidora"},{"family":"Aluri","given":"Srinivas"},{"family":"Schinke","given":"Carolina"},{"family":"Wysota","given":"Michael"},{"family":"King","given":"Zoe"},{"family":"Varshavsky","given":"Asya"},{"family":"Feld","given":"Jonathan"},{"family":"Carbajal","given":"Milagros"},{"family":"Ramachandra","given":"Nandini"},{"family":"Verma","given":"Amit"},{"family":"Goldfinger","given":"Mendel"},{"family":"Sidoli","given":"Simone"},{"family":"Frank","given":"David A."},{"family":"Saunthararajah","given":"Yogen"},{"family":"Shastri","given":"Aditi"}],"accessed":{"date-parts":[["2026",3,16]]},"issued":{"date-parts":[["2026",1,31]]}}}],"schema":"https://github.com/citation-style-language/schema/raw/master/csl-citation.json"} </w:instrText>
      </w:r>
      <w:r w:rsidRPr="001A484B" w:rsidR="00AC38D1">
        <w:fldChar w:fldCharType="separate"/>
      </w:r>
      <w:r w:rsidRPr="001A484B" w:rsidR="00DC4DEA">
        <w:rPr>
          <w:vertAlign w:val="superscript"/>
        </w:rPr>
        <w:t>16</w:t>
      </w:r>
      <w:r w:rsidRPr="001A484B" w:rsidR="00AC38D1">
        <w:fldChar w:fldCharType="end"/>
      </w:r>
      <w:r w:rsidRPr="001A484B" w:rsidR="00AC38D1">
        <w:t xml:space="preserve">. </w:t>
      </w:r>
      <w:r w:rsidRPr="001A484B" w:rsidR="00510FEB">
        <w:t xml:space="preserve">Further analysis </w:t>
      </w:r>
      <w:r w:rsidRPr="001A484B" w:rsidR="00510FEB">
        <w:rPr>
          <w:i/>
          <w:iCs/>
        </w:rPr>
        <w:t>via</w:t>
      </w:r>
      <w:r w:rsidRPr="001A484B" w:rsidR="00510FEB">
        <w:t xml:space="preserve"> flow cytometry can be done to assess the differentiation capacities of the cells that formed colonies to characterize the drugs’ effects in a more granular way. </w:t>
      </w:r>
      <w:r w:rsidRPr="001A484B" w:rsidR="009414A2">
        <w:t>It is important to note tha</w:t>
      </w:r>
      <w:r w:rsidRPr="001A484B" w:rsidR="00544B6D">
        <w:t xml:space="preserve">t absolute </w:t>
      </w:r>
      <w:r w:rsidRPr="001A484B" w:rsidR="009414A2">
        <w:t xml:space="preserve">erythroid/myeloid counts </w:t>
      </w:r>
      <w:r w:rsidRPr="001A484B" w:rsidR="00924FA7">
        <w:t>can have</w:t>
      </w:r>
      <w:r w:rsidRPr="001A484B" w:rsidR="00544B6D">
        <w:t xml:space="preserve"> considerable</w:t>
      </w:r>
      <w:r w:rsidRPr="001A484B" w:rsidR="00924FA7">
        <w:t xml:space="preserve"> inter-patient and inter-disease variability. </w:t>
      </w:r>
      <w:r w:rsidRPr="001A484B" w:rsidR="00544B6D">
        <w:t xml:space="preserve">When </w:t>
      </w:r>
      <w:r w:rsidRPr="001A484B" w:rsidR="002C629F">
        <w:t>analyzing colony</w:t>
      </w:r>
      <w:r w:rsidRPr="001A484B" w:rsidR="00544B6D">
        <w:t xml:space="preserve"> </w:t>
      </w:r>
      <w:r w:rsidRPr="001A484B" w:rsidR="00113511">
        <w:t>counts</w:t>
      </w:r>
      <w:r w:rsidRPr="001A484B" w:rsidR="002C629F">
        <w:t xml:space="preserve"> across different </w:t>
      </w:r>
      <w:r w:rsidRPr="001A484B" w:rsidR="00113511">
        <w:t xml:space="preserve">patients or disease stages (MDS or AML), it </w:t>
      </w:r>
      <w:r w:rsidRPr="001A484B" w:rsidR="00673408">
        <w:t xml:space="preserve">is </w:t>
      </w:r>
      <w:r w:rsidRPr="001A484B" w:rsidR="00B360E2">
        <w:t>encouraged</w:t>
      </w:r>
      <w:r w:rsidRPr="001A484B" w:rsidR="00673408">
        <w:t xml:space="preserve"> to </w:t>
      </w:r>
      <w:r w:rsidRPr="001A484B" w:rsidR="00B360E2">
        <w:t xml:space="preserve">compare </w:t>
      </w:r>
      <w:r w:rsidRPr="001A484B" w:rsidR="00673408">
        <w:t>the</w:t>
      </w:r>
      <w:r w:rsidRPr="001A484B" w:rsidR="0023796A">
        <w:t xml:space="preserve"> relative </w:t>
      </w:r>
      <w:r w:rsidRPr="001A484B" w:rsidR="00673408">
        <w:t>change</w:t>
      </w:r>
      <w:r w:rsidRPr="001A484B" w:rsidR="0023796A">
        <w:t xml:space="preserve">s </w:t>
      </w:r>
      <w:r w:rsidRPr="001A484B" w:rsidR="00673408">
        <w:t xml:space="preserve">in </w:t>
      </w:r>
      <w:r w:rsidRPr="001A484B" w:rsidR="00B360E2">
        <w:t xml:space="preserve">erythroid/myeloid </w:t>
      </w:r>
      <w:r w:rsidRPr="001A484B" w:rsidR="00673408">
        <w:t xml:space="preserve">colony </w:t>
      </w:r>
      <w:r w:rsidRPr="001A484B" w:rsidR="00C31FCD">
        <w:t>abundance</w:t>
      </w:r>
      <w:r w:rsidRPr="001A484B" w:rsidR="0023796A">
        <w:t xml:space="preserve"> in drug-</w:t>
      </w:r>
      <w:r w:rsidRPr="001A484B" w:rsidR="00B360E2">
        <w:t>treated</w:t>
      </w:r>
      <w:r w:rsidRPr="001A484B" w:rsidR="0023796A">
        <w:t xml:space="preserve"> </w:t>
      </w:r>
      <w:r w:rsidRPr="001A484B" w:rsidR="0023796A">
        <w:rPr>
          <w:i/>
          <w:iCs/>
        </w:rPr>
        <w:t>vs</w:t>
      </w:r>
      <w:r w:rsidRPr="001A484B" w:rsidR="0023796A">
        <w:t>. vehicle control-treated</w:t>
      </w:r>
      <w:r w:rsidRPr="001A484B" w:rsidR="00B360E2">
        <w:t xml:space="preserve"> samples </w:t>
      </w:r>
      <w:r w:rsidRPr="001A484B" w:rsidR="00821004">
        <w:t>rather than comparing absolute counts between patient</w:t>
      </w:r>
      <w:r w:rsidRPr="001A484B" w:rsidR="0023796A">
        <w:t>s</w:t>
      </w:r>
      <w:r w:rsidRPr="001A484B" w:rsidR="00821004">
        <w:t xml:space="preserve">. </w:t>
      </w:r>
    </w:p>
    <w:p w:rsidRPr="001A484B" w:rsidR="001E7123" w:rsidP="001A484B" w:rsidRDefault="001E7123" w14:paraId="330DFA7B" w14:textId="77777777"/>
    <w:p w:rsidRPr="001A484B" w:rsidR="001E7123" w:rsidP="001A484B" w:rsidRDefault="00510FEB" w14:paraId="3A4EFF1A" w14:textId="7339C85A">
      <w:r w:rsidRPr="001A484B">
        <w:rPr>
          <w:b/>
          <w:bCs/>
        </w:rPr>
        <w:t>Figure 4A</w:t>
      </w:r>
      <w:r w:rsidRPr="001A484B">
        <w:t xml:space="preserve"> shows representative images of myeloid colonies taken using </w:t>
      </w:r>
      <w:r w:rsidRPr="001A484B" w:rsidR="00C43AA7">
        <w:t xml:space="preserve">an inverted fluorescence microscope </w:t>
      </w:r>
      <w:r w:rsidRPr="001A484B">
        <w:t>at 4</w:t>
      </w:r>
      <w:r w:rsidRPr="001A484B" w:rsidR="00C43AA7">
        <w:t>x</w:t>
      </w:r>
      <w:r w:rsidRPr="001A484B">
        <w:t xml:space="preserve"> magnification.</w:t>
      </w:r>
      <w:r w:rsidRPr="001A484B" w:rsidR="00DD697D">
        <w:t xml:space="preserve"> This imaging system provides high</w:t>
      </w:r>
      <w:r w:rsidRPr="001A484B" w:rsidR="002B4878">
        <w:t>-resolution</w:t>
      </w:r>
      <w:r w:rsidRPr="001A484B" w:rsidR="00DD697D">
        <w:t xml:space="preserve"> images of single colonies at </w:t>
      </w:r>
      <w:r w:rsidRPr="001A484B" w:rsidR="00434665">
        <w:t>4</w:t>
      </w:r>
      <w:r w:rsidRPr="001A484B" w:rsidR="00C43AA7">
        <w:t>x</w:t>
      </w:r>
      <w:r w:rsidRPr="001A484B" w:rsidR="00434665">
        <w:t xml:space="preserve"> magnification</w:t>
      </w:r>
      <w:r w:rsidRPr="001A484B" w:rsidR="002B4878">
        <w:t xml:space="preserve">. For </w:t>
      </w:r>
      <w:r w:rsidRPr="001A484B" w:rsidR="00363C6F">
        <w:t xml:space="preserve">the purposes of this protocol, images from the above imaging system are included solely for illustrative purposes to </w:t>
      </w:r>
      <w:r w:rsidRPr="001A484B" w:rsidR="00AA46F0">
        <w:t xml:space="preserve">clearly </w:t>
      </w:r>
      <w:r w:rsidRPr="001A484B" w:rsidR="00B344C0">
        <w:t xml:space="preserve">visualize </w:t>
      </w:r>
      <w:r w:rsidRPr="001A484B" w:rsidR="00363C6F">
        <w:t xml:space="preserve">colony morphology </w:t>
      </w:r>
      <w:r w:rsidRPr="001A484B" w:rsidR="00B344C0">
        <w:t xml:space="preserve">and define subtype </w:t>
      </w:r>
      <w:r w:rsidRPr="001A484B" w:rsidR="00363C6F">
        <w:t>characterization</w:t>
      </w:r>
      <w:r w:rsidRPr="001A484B" w:rsidR="00B344C0">
        <w:t xml:space="preserve"> methods</w:t>
      </w:r>
      <w:r w:rsidRPr="001A484B" w:rsidR="00363C6F">
        <w:t>.</w:t>
      </w:r>
      <w:r w:rsidRPr="001A484B" w:rsidR="00AA46F0">
        <w:t xml:space="preserve"> </w:t>
      </w:r>
      <w:r w:rsidRPr="001A484B" w:rsidR="007C25EF">
        <w:t xml:space="preserve">Myeloid colonies appear as </w:t>
      </w:r>
      <w:r w:rsidRPr="001A484B" w:rsidR="000A5FBD">
        <w:t xml:space="preserve">dispersed </w:t>
      </w:r>
      <w:r w:rsidRPr="001A484B" w:rsidR="001F7DE9">
        <w:t>clusters</w:t>
      </w:r>
      <w:r w:rsidRPr="001A484B" w:rsidR="000A5FBD">
        <w:t xml:space="preserve"> with</w:t>
      </w:r>
      <w:r w:rsidRPr="001A484B" w:rsidR="00FA600F">
        <w:t xml:space="preserve">out clearly </w:t>
      </w:r>
      <w:r w:rsidRPr="001A484B" w:rsidR="000A5FBD">
        <w:t xml:space="preserve">defined edges, and </w:t>
      </w:r>
      <w:r w:rsidRPr="001A484B" w:rsidR="00FA600F">
        <w:t>are typically more translucent and</w:t>
      </w:r>
      <w:r w:rsidRPr="001A484B" w:rsidR="000A5FBD">
        <w:t xml:space="preserve"> less pigmented</w:t>
      </w:r>
      <w:r w:rsidRPr="001A484B" w:rsidR="009A5CFF">
        <w:t xml:space="preserve"> </w:t>
      </w:r>
      <w:r w:rsidRPr="001A484B">
        <w:t>(</w:t>
      </w:r>
      <w:r w:rsidRPr="001A484B">
        <w:rPr>
          <w:b/>
          <w:bCs/>
        </w:rPr>
        <w:t>Figure 4A</w:t>
      </w:r>
      <w:r w:rsidRPr="001A484B">
        <w:t xml:space="preserve">). </w:t>
      </w:r>
      <w:r w:rsidRPr="001A484B" w:rsidR="000A5FBD">
        <w:t xml:space="preserve">Erythroid colonies appear as more defined, </w:t>
      </w:r>
      <w:r w:rsidRPr="001A484B" w:rsidR="00247B46">
        <w:t xml:space="preserve">dense colonies </w:t>
      </w:r>
      <w:r w:rsidRPr="001A484B" w:rsidR="009A5CFF">
        <w:t xml:space="preserve">or colony clusters </w:t>
      </w:r>
      <w:r w:rsidRPr="001A484B" w:rsidR="00247B46">
        <w:t>with red or dark pigmentation and clear</w:t>
      </w:r>
      <w:r w:rsidRPr="001A484B" w:rsidR="009A5CFF">
        <w:t xml:space="preserve">, defined </w:t>
      </w:r>
      <w:r w:rsidRPr="001A484B" w:rsidR="00247B46">
        <w:t>edges</w:t>
      </w:r>
      <w:r w:rsidRPr="001A484B" w:rsidR="001F7DE9">
        <w:t xml:space="preserve"> </w:t>
      </w:r>
      <w:r w:rsidRPr="001A484B">
        <w:t>(</w:t>
      </w:r>
      <w:r w:rsidRPr="001A484B">
        <w:rPr>
          <w:b/>
          <w:bCs/>
        </w:rPr>
        <w:t>Figure 4B</w:t>
      </w:r>
      <w:r w:rsidRPr="001A484B">
        <w:t>). If colonies overlap, they are categorized as mixed, multipotent progenitor colonies or “GEMM” (</w:t>
      </w:r>
      <w:r w:rsidRPr="001A484B">
        <w:rPr>
          <w:b/>
          <w:bCs/>
        </w:rPr>
        <w:t>Figure 4C</w:t>
      </w:r>
      <w:r w:rsidRPr="001A484B">
        <w:t xml:space="preserve">). A truly distinct colony should be a distance away from surrounding colonies equal to its own length to be counted. For example, </w:t>
      </w:r>
      <w:r w:rsidRPr="001A484B" w:rsidR="008437F8">
        <w:t xml:space="preserve">populations in </w:t>
      </w:r>
      <w:r w:rsidRPr="001A484B">
        <w:t xml:space="preserve">the right-most image in </w:t>
      </w:r>
      <w:r w:rsidRPr="001A484B">
        <w:rPr>
          <w:b/>
          <w:bCs/>
        </w:rPr>
        <w:t>Figure 4C</w:t>
      </w:r>
      <w:r w:rsidRPr="001A484B">
        <w:t xml:space="preserve"> </w:t>
      </w:r>
      <w:r w:rsidRPr="001A484B" w:rsidR="008437F8">
        <w:t xml:space="preserve">are </w:t>
      </w:r>
      <w:r w:rsidRPr="001A484B">
        <w:t xml:space="preserve">scored as 2 colonies, while the right-most images in </w:t>
      </w:r>
      <w:r w:rsidRPr="001A484B" w:rsidR="00D42C6A">
        <w:rPr>
          <w:b/>
          <w:bCs/>
        </w:rPr>
        <w:t>F</w:t>
      </w:r>
      <w:r w:rsidRPr="001A484B">
        <w:rPr>
          <w:b/>
          <w:bCs/>
        </w:rPr>
        <w:t>igure 4</w:t>
      </w:r>
      <w:proofErr w:type="gramStart"/>
      <w:r w:rsidRPr="001A484B">
        <w:rPr>
          <w:b/>
          <w:bCs/>
        </w:rPr>
        <w:t>A</w:t>
      </w:r>
      <w:r w:rsidRPr="001A484B" w:rsidR="00D42C6A">
        <w:rPr>
          <w:b/>
          <w:bCs/>
        </w:rPr>
        <w:t>,</w:t>
      </w:r>
      <w:r w:rsidRPr="001A484B">
        <w:rPr>
          <w:b/>
          <w:bCs/>
        </w:rPr>
        <w:t>B</w:t>
      </w:r>
      <w:proofErr w:type="gramEnd"/>
      <w:r w:rsidRPr="001A484B">
        <w:t xml:space="preserve"> are </w:t>
      </w:r>
      <w:r w:rsidRPr="001A484B" w:rsidR="00D6002C">
        <w:t xml:space="preserve">each </w:t>
      </w:r>
      <w:r w:rsidRPr="001A484B">
        <w:t>scored as a singular colony</w:t>
      </w:r>
      <w:r w:rsidRPr="001A484B" w:rsidR="00E01965">
        <w:t xml:space="preserve">. </w:t>
      </w:r>
      <w:r w:rsidRPr="001A484B">
        <w:t xml:space="preserve">Using a combined system of colony counting and morphology assessment, it is possible to gather information on the general differentiated state of the erythroid and myeloid progenitors. </w:t>
      </w:r>
      <w:r w:rsidRPr="001A484B" w:rsidR="00253B21">
        <w:t xml:space="preserve">The </w:t>
      </w:r>
      <w:r w:rsidRPr="001A484B">
        <w:t xml:space="preserve">left and right images in </w:t>
      </w:r>
      <w:r w:rsidRPr="001A484B">
        <w:rPr>
          <w:b/>
          <w:bCs/>
        </w:rPr>
        <w:t>Figure 4B</w:t>
      </w:r>
      <w:r w:rsidRPr="001A484B">
        <w:t xml:space="preserve"> are larger and</w:t>
      </w:r>
      <w:r w:rsidRPr="001A484B" w:rsidR="00955889">
        <w:t>/or contain more cell cluster populations</w:t>
      </w:r>
      <w:r w:rsidRPr="001A484B">
        <w:t xml:space="preserve"> than the smaller erythroid colony in the center image; for this reason, they would be scored as b</w:t>
      </w:r>
      <w:r w:rsidRPr="001A484B" w:rsidR="003D2E39">
        <w:t>urst</w:t>
      </w:r>
      <w:r w:rsidRPr="001A484B">
        <w:t xml:space="preserve">-forming units, or </w:t>
      </w:r>
      <w:r w:rsidRPr="001A484B" w:rsidR="00283819">
        <w:t>“</w:t>
      </w:r>
      <w:r w:rsidRPr="001A484B">
        <w:t>BFU-E</w:t>
      </w:r>
      <w:r w:rsidRPr="001A484B" w:rsidR="00283819">
        <w:t>”</w:t>
      </w:r>
      <w:r w:rsidRPr="001A484B" w:rsidR="00253B21">
        <w:t>. However, t</w:t>
      </w:r>
      <w:r w:rsidRPr="001A484B">
        <w:t>he center image</w:t>
      </w:r>
      <w:r w:rsidRPr="001A484B" w:rsidR="00283819">
        <w:t xml:space="preserve"> in </w:t>
      </w:r>
      <w:r w:rsidRPr="001A484B" w:rsidR="00D42C6A">
        <w:rPr>
          <w:b/>
          <w:bCs/>
        </w:rPr>
        <w:t>F</w:t>
      </w:r>
      <w:r w:rsidRPr="001A484B" w:rsidR="00283819">
        <w:rPr>
          <w:b/>
          <w:bCs/>
        </w:rPr>
        <w:t>igure 4B</w:t>
      </w:r>
      <w:r w:rsidRPr="001A484B" w:rsidR="003D2E39">
        <w:t xml:space="preserve"> </w:t>
      </w:r>
      <w:r w:rsidRPr="001A484B" w:rsidR="00955889">
        <w:t>shows a smaller colony</w:t>
      </w:r>
      <w:r w:rsidRPr="001A484B" w:rsidR="00D42C6A">
        <w:t>,</w:t>
      </w:r>
      <w:r w:rsidRPr="001A484B" w:rsidR="00955889">
        <w:t xml:space="preserve"> which</w:t>
      </w:r>
      <w:r w:rsidRPr="001A484B">
        <w:t xml:space="preserve"> would be scored as a colony-forming unit or </w:t>
      </w:r>
      <w:r w:rsidRPr="001A484B" w:rsidR="00283819">
        <w:t>“</w:t>
      </w:r>
      <w:r w:rsidRPr="001A484B">
        <w:t>CFU-E</w:t>
      </w:r>
      <w:r w:rsidRPr="001A484B" w:rsidR="00283819">
        <w:t>”</w:t>
      </w:r>
      <w:r w:rsidRPr="001A484B">
        <w:t xml:space="preserve">. </w:t>
      </w:r>
      <w:r w:rsidRPr="001A484B">
        <w:rPr>
          <w:b/>
          <w:bCs/>
        </w:rPr>
        <w:t>Figure 4C</w:t>
      </w:r>
      <w:r w:rsidRPr="001A484B">
        <w:t xml:space="preserve"> represents mixed colonies or </w:t>
      </w:r>
      <w:r w:rsidRPr="001A484B" w:rsidR="00283819">
        <w:t>“</w:t>
      </w:r>
      <w:r w:rsidRPr="001A484B">
        <w:t>GEMM</w:t>
      </w:r>
      <w:r w:rsidRPr="001A484B" w:rsidR="00283819">
        <w:t>”</w:t>
      </w:r>
      <w:r w:rsidRPr="001A484B">
        <w:t xml:space="preserve">. Note that the colonies are closer in distance than their respective sizes to be counted as </w:t>
      </w:r>
      <w:r w:rsidRPr="001A484B" w:rsidR="006843D7">
        <w:t>mixed lineage</w:t>
      </w:r>
      <w:r w:rsidRPr="001A484B">
        <w:t xml:space="preserve">. </w:t>
      </w:r>
    </w:p>
    <w:p w:rsidRPr="001A484B" w:rsidR="006E4797" w:rsidP="001A484B" w:rsidRDefault="006E4797" w14:paraId="079B5679" w14:textId="77777777">
      <w:pPr>
        <w:rPr>
          <w:color w:val="808080"/>
        </w:rPr>
      </w:pPr>
    </w:p>
    <w:p w:rsidRPr="001A484B" w:rsidR="006E4797" w:rsidP="001A484B" w:rsidRDefault="00510FEB" w14:paraId="6D510784" w14:textId="28EB64F0">
      <w:pPr>
        <w:rPr>
          <w:color w:val="808080"/>
        </w:rPr>
      </w:pPr>
      <w:r w:rsidRPr="001A484B">
        <w:rPr>
          <w:b/>
        </w:rPr>
        <w:t>FIGURE LEGENDS:</w:t>
      </w:r>
    </w:p>
    <w:p w:rsidRPr="001A484B" w:rsidR="00690EB5" w:rsidP="001A484B" w:rsidRDefault="00690EB5" w14:paraId="27682335" w14:textId="77777777">
      <w:pPr>
        <w:rPr>
          <w:color w:val="808080"/>
        </w:rPr>
      </w:pPr>
    </w:p>
    <w:p w:rsidRPr="001A484B" w:rsidR="005177E2" w:rsidP="001A484B" w:rsidRDefault="00510FEB" w14:paraId="3C2E094D" w14:textId="42D2E9CB">
      <w:r w:rsidRPr="001A484B">
        <w:rPr>
          <w:b/>
          <w:bCs/>
        </w:rPr>
        <w:t>Figure 1</w:t>
      </w:r>
      <w:r w:rsidRPr="001A484B" w:rsidR="004B2367">
        <w:rPr>
          <w:b/>
          <w:bCs/>
        </w:rPr>
        <w:t xml:space="preserve">: </w:t>
      </w:r>
      <w:r w:rsidRPr="001A484B">
        <w:rPr>
          <w:b/>
          <w:bCs/>
        </w:rPr>
        <w:t xml:space="preserve">Schematic of patient-derived CFU assay for preclinical drug characterization. </w:t>
      </w:r>
      <w:r w:rsidRPr="001A484B">
        <w:t xml:space="preserve">This image shows a graphic schematic outlining the protocol. Bone marrow and peripheral blood samples are collected from patients or from a biobank, and mononuclear cells are isolated </w:t>
      </w:r>
      <w:r w:rsidRPr="001A484B">
        <w:rPr>
          <w:i/>
          <w:iCs/>
        </w:rPr>
        <w:t xml:space="preserve">via </w:t>
      </w:r>
      <w:r w:rsidRPr="001A484B">
        <w:t>gradient centrifugation. Drugs, then cells</w:t>
      </w:r>
      <w:r w:rsidRPr="001A484B" w:rsidR="004B2367">
        <w:t>,</w:t>
      </w:r>
      <w:r w:rsidRPr="001A484B">
        <w:t xml:space="preserve"> are mixed into semisolid media and plated using a blunt syringe in alternating droplets. Following colony formation, colonies are imaged </w:t>
      </w:r>
      <w:r w:rsidRPr="00614A84">
        <w:rPr>
          <w:i/>
          <w:iCs/>
        </w:rPr>
        <w:t xml:space="preserve">via </w:t>
      </w:r>
      <w:r w:rsidRPr="001A484B">
        <w:t xml:space="preserve">brightfield </w:t>
      </w:r>
      <w:r w:rsidRPr="001A484B">
        <w:lastRenderedPageBreak/>
        <w:t>microscopy</w:t>
      </w:r>
      <w:r w:rsidRPr="001A484B" w:rsidR="004B2367">
        <w:t>,</w:t>
      </w:r>
      <w:r w:rsidRPr="001A484B">
        <w:t xml:space="preserve"> and erythroid and myeloid colonies are scored and counted. </w:t>
      </w:r>
    </w:p>
    <w:p w:rsidRPr="001A484B" w:rsidR="005177E2" w:rsidP="001A484B" w:rsidRDefault="005177E2" w14:paraId="4D27A7B0" w14:textId="77777777"/>
    <w:p w:rsidRPr="001A484B" w:rsidR="005177E2" w:rsidP="001A484B" w:rsidRDefault="00510FEB" w14:paraId="0558E72E" w14:textId="4850200D">
      <w:r w:rsidRPr="001A484B">
        <w:rPr>
          <w:b/>
          <w:bCs/>
        </w:rPr>
        <w:t>Figure 2</w:t>
      </w:r>
      <w:r w:rsidRPr="001A484B" w:rsidR="00665328">
        <w:rPr>
          <w:b/>
          <w:bCs/>
        </w:rPr>
        <w:t>: Settings of the fluorescence imaging system</w:t>
      </w:r>
      <w:r w:rsidRPr="001A484B">
        <w:rPr>
          <w:b/>
          <w:bCs/>
        </w:rPr>
        <w:t xml:space="preserve">. </w:t>
      </w:r>
      <w:r w:rsidRPr="001A484B" w:rsidR="00641AA8">
        <w:t>(</w:t>
      </w:r>
      <w:r w:rsidRPr="001A484B">
        <w:rPr>
          <w:b/>
          <w:bCs/>
        </w:rPr>
        <w:t>A</w:t>
      </w:r>
      <w:r w:rsidRPr="001A484B" w:rsidR="00641AA8">
        <w:t>)</w:t>
      </w:r>
      <w:r w:rsidRPr="001A484B">
        <w:t xml:space="preserve"> shows focus settings for plate imaging. </w:t>
      </w:r>
      <w:r w:rsidRPr="001A484B" w:rsidR="00FA0A9B">
        <w:t>(</w:t>
      </w:r>
      <w:r w:rsidRPr="001A484B">
        <w:rPr>
          <w:b/>
          <w:bCs/>
        </w:rPr>
        <w:t>B</w:t>
      </w:r>
      <w:r w:rsidRPr="001A484B" w:rsidR="00FA0A9B">
        <w:t>)</w:t>
      </w:r>
      <w:r w:rsidRPr="001A484B">
        <w:t xml:space="preserve"> shows image capture automation settings. </w:t>
      </w:r>
      <w:r w:rsidRPr="001A484B" w:rsidR="00FA0A9B">
        <w:t>(</w:t>
      </w:r>
      <w:r w:rsidRPr="001A484B">
        <w:rPr>
          <w:b/>
          <w:bCs/>
        </w:rPr>
        <w:t>C</w:t>
      </w:r>
      <w:r w:rsidRPr="001A484B" w:rsidR="00FA0A9B">
        <w:t>)</w:t>
      </w:r>
      <w:r w:rsidRPr="001A484B">
        <w:t xml:space="preserve"> shows image saving settings. </w:t>
      </w:r>
      <w:r w:rsidRPr="001A484B" w:rsidR="00FA0A9B">
        <w:t>(</w:t>
      </w:r>
      <w:r w:rsidRPr="001A484B">
        <w:rPr>
          <w:b/>
          <w:bCs/>
        </w:rPr>
        <w:t>D</w:t>
      </w:r>
      <w:r w:rsidRPr="001A484B" w:rsidR="00FA0A9B">
        <w:t>)</w:t>
      </w:r>
      <w:r w:rsidRPr="001A484B">
        <w:t xml:space="preserve"> shows image run and saving settings. </w:t>
      </w:r>
    </w:p>
    <w:p w:rsidRPr="001A484B" w:rsidR="005177E2" w:rsidP="001A484B" w:rsidRDefault="005177E2" w14:paraId="3EA973D4" w14:textId="77777777"/>
    <w:p w:rsidRPr="001A484B" w:rsidR="005177E2" w:rsidP="001A484B" w:rsidRDefault="00510FEB" w14:paraId="05CD54A0" w14:textId="38EE1BCE">
      <w:r w:rsidRPr="001A484B">
        <w:rPr>
          <w:b/>
          <w:bCs/>
        </w:rPr>
        <w:t>Figure 3</w:t>
      </w:r>
      <w:r w:rsidRPr="001A484B" w:rsidR="00F137BF">
        <w:rPr>
          <w:b/>
          <w:bCs/>
        </w:rPr>
        <w:t xml:space="preserve">: </w:t>
      </w:r>
      <w:r w:rsidRPr="001A484B">
        <w:rPr>
          <w:b/>
          <w:bCs/>
        </w:rPr>
        <w:t xml:space="preserve">Myeloid/Erythroid colony counting and analysis. </w:t>
      </w:r>
      <w:r w:rsidRPr="001A484B" w:rsidR="00F137BF">
        <w:t>(</w:t>
      </w:r>
      <w:r w:rsidRPr="001A484B">
        <w:rPr>
          <w:b/>
          <w:bCs/>
        </w:rPr>
        <w:t>A</w:t>
      </w:r>
      <w:r w:rsidRPr="001A484B" w:rsidR="00F137BF">
        <w:t>)</w:t>
      </w:r>
      <w:r w:rsidRPr="001A484B">
        <w:t xml:space="preserve"> shows colony images taken </w:t>
      </w:r>
      <w:r w:rsidRPr="001A484B" w:rsidR="00413C9F">
        <w:t xml:space="preserve">on the </w:t>
      </w:r>
      <w:r w:rsidRPr="001A484B" w:rsidR="00F256A3">
        <w:t xml:space="preserve">fluorescence imaging </w:t>
      </w:r>
      <w:r w:rsidRPr="001A484B" w:rsidR="00413C9F">
        <w:t>system. The colony assay was performed using a single MDS patient sample</w:t>
      </w:r>
      <w:r w:rsidRPr="001A484B">
        <w:t xml:space="preserve">. </w:t>
      </w:r>
      <w:r w:rsidRPr="001A484B" w:rsidR="00F256A3">
        <w:t>(</w:t>
      </w:r>
      <w:r w:rsidRPr="001A484B">
        <w:rPr>
          <w:b/>
          <w:bCs/>
        </w:rPr>
        <w:t>B</w:t>
      </w:r>
      <w:r w:rsidRPr="001A484B" w:rsidR="00F256A3">
        <w:t>)</w:t>
      </w:r>
      <w:r w:rsidRPr="001A484B">
        <w:t xml:space="preserve"> </w:t>
      </w:r>
      <w:r w:rsidRPr="001A484B" w:rsidR="00413C9F">
        <w:t xml:space="preserve">shows quantification of colony counts from the same experiment. Data are presented as mean ± SD from </w:t>
      </w:r>
      <w:r w:rsidRPr="001A484B" w:rsidR="00FD56B0">
        <w:t>3</w:t>
      </w:r>
      <w:r w:rsidRPr="001A484B" w:rsidR="00413C9F">
        <w:t xml:space="preserve"> technical replicates per condition. Statistical analysis was performed using </w:t>
      </w:r>
      <w:r w:rsidRPr="001A484B" w:rsidR="006843D7">
        <w:t>one</w:t>
      </w:r>
      <w:r w:rsidRPr="001A484B" w:rsidR="00413C9F">
        <w:t>-way ANOVA on technical replicates from a single representative experiment. The experiment was independently repeated twice (n</w:t>
      </w:r>
      <w:r w:rsidRPr="001A484B" w:rsidR="00F256A3">
        <w:t xml:space="preserve"> </w:t>
      </w:r>
      <w:r w:rsidRPr="001A484B" w:rsidR="00413C9F">
        <w:t>=</w:t>
      </w:r>
      <w:r w:rsidRPr="001A484B" w:rsidR="00F256A3">
        <w:t xml:space="preserve"> </w:t>
      </w:r>
      <w:r w:rsidRPr="001A484B" w:rsidR="00413C9F">
        <w:t>2 biological replicates) with similar results</w:t>
      </w:r>
      <w:r w:rsidRPr="001A484B" w:rsidR="006C2981">
        <w:t>. (</w:t>
      </w:r>
      <w:r w:rsidRPr="001A484B" w:rsidR="006C2981">
        <w:rPr>
          <w:b/>
          <w:bCs/>
        </w:rPr>
        <w:t>B</w:t>
      </w:r>
      <w:r w:rsidRPr="001A484B" w:rsidR="006C2981">
        <w:t>) is adapted from Rivera-Peña</w:t>
      </w:r>
      <w:r w:rsidRPr="001A484B" w:rsidR="00630F63">
        <w:fldChar w:fldCharType="begin"/>
      </w:r>
      <w:r w:rsidRPr="001A484B" w:rsidR="00DC4DEA">
        <w:instrText xml:space="preserve"> ADDIN ZOTERO_ITEM CSL_CITATION {"citationID":"a4un4VRe","properties":{"formattedCitation":"\\super 16\\nosupersub{}","plainCitation":"16","noteIndex":0},"citationItems":[{"id":2376,"uris":["http://zotero.org/groups/5570791/items/8YWXVYSI"],"itemData":{"id":2376,"type":"article-journal","abstract":"The DNA hypomethylating agents (HMAs) 5-azacitidine and decitabine are the backbone of disease modifying therapy in myelodysplastic syndromes (MDS). Resistance to therapy often develops by upregulation of de novo pyrimidine synthesis, which competes directly with the DNMT1-depleting nucleotide Aza-dCTP by building natural cytidines and deoxycytidines from amino acid building blocks. Inhibition of de novo pyrimidine synthesis can restore sensitivity of leukemic stem cells to therapy. Here we demonstrate that pyrimethamine (PYR), a Food and Drug Administration–approved antiparasitic, antifolate agent causes apoptosis in multiple leukemic cell lines, has synergy with venetoclax (Ven) and additive effect with HMA’s in HMA and Ven-resistant leukemic cell lines as well as murine models. It increases differentiation of stem and progenitor populations in primary samples of patients with MDS and is able to directly inhibit de novo pyrimidine synthesis thereby overcoming one of the primary mechanisms of HMA resistance. In combination with Ven, it also downregulates multiple enzymes implicated in pyrimidine synthesis.","container-title":"Experimental Hematology","DOI":"10.1016/j.exphem.2026.105382","ISSN":"0301-472X","journalAbbreviation":"Experimental Hematology","page":"105382","source":"ScienceDirect","title":"Pyrimethamine overcomes resistance to hypomethylating agents by reducing de novo pyrimidine synthesis","URL":"https://www.sciencedirect.com/science/article/pii/S0301472X26000159","author":[{"family":"Rivera-Peña","given":"Bianca"},{"family":"Chakraborty","given":"Samarpana"},{"family":"Shi","given":"Yang"},{"family":"Zhang","given":"Hui"},{"family":"Desai","given":"Sudhamsh Reddy"},{"family":"Patel","given":"Prachiben P."},{"family":"Sun","given":"Yan"},{"family":"Zhao","given":"Rongbao"},{"family":"Choudhary","given":"Gaurav"},{"family":"Mitchell","given":"Shanisha Gordon"},{"family":"Pradhan","given":"Kith"},{"family":"Zhang","given":"Jinghang"},{"family":"Zhang","given":"Xiaoyi"},{"family":"Fu","given":"Bowen"},{"family":"Lopez","given":"Reinaldo"},{"family":"Tošić","given":"Isidora"},{"family":"Aluri","given":"Srinivas"},{"family":"Schinke","given":"Carolina"},{"family":"Wysota","given":"Michael"},{"family":"King","given":"Zoe"},{"family":"Varshavsky","given":"Asya"},{"family":"Feld","given":"Jonathan"},{"family":"Carbajal","given":"Milagros"},{"family":"Ramachandra","given":"Nandini"},{"family":"Verma","given":"Amit"},{"family":"Goldfinger","given":"Mendel"},{"family":"Sidoli","given":"Simone"},{"family":"Frank","given":"David A."},{"family":"Saunthararajah","given":"Yogen"},{"family":"Shastri","given":"Aditi"}],"accessed":{"date-parts":[["2026",3,16]]},"issued":{"date-parts":[["2026",1,31]]}}}],"schema":"https://github.com/citation-style-language/schema/raw/master/csl-citation.json"} </w:instrText>
      </w:r>
      <w:r w:rsidRPr="001A484B" w:rsidR="00630F63">
        <w:fldChar w:fldCharType="separate"/>
      </w:r>
      <w:r w:rsidRPr="001A484B" w:rsidR="00DC4DEA">
        <w:rPr>
          <w:vertAlign w:val="superscript"/>
        </w:rPr>
        <w:t>16</w:t>
      </w:r>
      <w:r w:rsidRPr="001A484B" w:rsidR="00630F63">
        <w:fldChar w:fldCharType="end"/>
      </w:r>
      <w:r w:rsidRPr="001A484B">
        <w:t xml:space="preserve">. </w:t>
      </w:r>
    </w:p>
    <w:p w:rsidRPr="001A484B" w:rsidR="005177E2" w:rsidP="001A484B" w:rsidRDefault="005177E2" w14:paraId="313431FA" w14:textId="77777777"/>
    <w:p w:rsidRPr="001A484B" w:rsidR="005177E2" w:rsidP="001A484B" w:rsidRDefault="00510FEB" w14:paraId="3A6E11F9" w14:textId="1C754B44">
      <w:r w:rsidRPr="001A484B">
        <w:rPr>
          <w:b/>
          <w:bCs/>
        </w:rPr>
        <w:t>Figure 4</w:t>
      </w:r>
      <w:r w:rsidRPr="001A484B" w:rsidR="007C2CC0">
        <w:rPr>
          <w:b/>
          <w:bCs/>
        </w:rPr>
        <w:t xml:space="preserve">: </w:t>
      </w:r>
      <w:r w:rsidRPr="001A484B">
        <w:rPr>
          <w:b/>
          <w:bCs/>
        </w:rPr>
        <w:t>Myeloid/Erythroid colony morphology</w:t>
      </w:r>
      <w:r w:rsidRPr="001A484B">
        <w:t xml:space="preserve">. </w:t>
      </w:r>
      <w:r w:rsidRPr="001A484B" w:rsidR="007C2CC0">
        <w:t>(</w:t>
      </w:r>
      <w:r w:rsidRPr="001A484B">
        <w:rPr>
          <w:b/>
          <w:bCs/>
        </w:rPr>
        <w:t>A</w:t>
      </w:r>
      <w:r w:rsidRPr="001A484B" w:rsidR="007C2CC0">
        <w:t>)</w:t>
      </w:r>
      <w:r w:rsidRPr="001A484B">
        <w:t xml:space="preserve"> shows representative myeloid colony morphology. </w:t>
      </w:r>
      <w:r w:rsidRPr="001A484B" w:rsidR="007C2CC0">
        <w:t>(</w:t>
      </w:r>
      <w:r w:rsidRPr="001A484B">
        <w:rPr>
          <w:b/>
          <w:bCs/>
        </w:rPr>
        <w:t>B</w:t>
      </w:r>
      <w:r w:rsidRPr="001A484B" w:rsidR="007C2CC0">
        <w:t>)</w:t>
      </w:r>
      <w:r w:rsidRPr="001A484B">
        <w:t xml:space="preserve"> shows erythroid colony morphology. </w:t>
      </w:r>
      <w:r w:rsidRPr="001A484B" w:rsidR="007C2CC0">
        <w:t>(</w:t>
      </w:r>
      <w:r w:rsidRPr="001A484B">
        <w:rPr>
          <w:b/>
          <w:bCs/>
        </w:rPr>
        <w:t>C</w:t>
      </w:r>
      <w:r w:rsidRPr="001A484B" w:rsidR="007C2CC0">
        <w:t>)</w:t>
      </w:r>
      <w:r w:rsidRPr="001A484B">
        <w:t xml:space="preserve"> shows mixed-lineage colony morphology. </w:t>
      </w:r>
      <w:r w:rsidRPr="001A484B" w:rsidR="007C2CC0">
        <w:t>Scale bars</w:t>
      </w:r>
      <w:r w:rsidRPr="001A484B" w:rsidR="00A71203">
        <w:t>: 100 µm.</w:t>
      </w:r>
    </w:p>
    <w:p w:rsidRPr="001A484B" w:rsidR="006E4797" w:rsidP="001A484B" w:rsidRDefault="006E4797" w14:paraId="32EAFD7D" w14:textId="77777777">
      <w:pPr>
        <w:rPr>
          <w:color w:val="808080"/>
        </w:rPr>
      </w:pPr>
    </w:p>
    <w:p w:rsidRPr="001A484B" w:rsidR="006E4797" w:rsidP="001A484B" w:rsidRDefault="00510FEB" w14:paraId="7C0B6465" w14:textId="111E58C0">
      <w:pPr>
        <w:rPr>
          <w:b/>
        </w:rPr>
      </w:pPr>
      <w:r w:rsidRPr="001A484B">
        <w:rPr>
          <w:b/>
        </w:rPr>
        <w:t>DISCUSSION:</w:t>
      </w:r>
    </w:p>
    <w:p w:rsidRPr="001A484B" w:rsidR="00E43388" w:rsidP="001A484B" w:rsidRDefault="00510FEB" w14:paraId="41AD528A" w14:textId="77777777">
      <w:r w:rsidRPr="001A484B">
        <w:t xml:space="preserve">The protocol described here outlines an optimized workflow for performing CFU assays using primary bone marrow and peripheral blood samples from patients, with particular attention to maintaining cell viability and ensuring reproducible colony growth. Several steps in the protocol are critical for achieving reliable colony formation when working with patient-derived samples. Rapid thawing of cryopreserved mononuclear cells followed by immediate cooling is essential for preserving cell viability, as prolonged thawing can substantially increase cell death in fragile primary samples. Gentle handling during washing and resuspension steps is equally important since excessive mechanical stress can reduce progenitor survival and negatively affect colony formation. </w:t>
      </w:r>
    </w:p>
    <w:p w:rsidRPr="001A484B" w:rsidR="00E43388" w:rsidP="001A484B" w:rsidRDefault="00E43388" w14:paraId="314448C2" w14:textId="77777777"/>
    <w:p w:rsidRPr="001A484B" w:rsidR="00E43388" w:rsidP="001A484B" w:rsidRDefault="00510FEB" w14:paraId="23A7FF0A" w14:textId="77777777">
      <w:r w:rsidRPr="001A484B">
        <w:t>Preparation of methylcellulose-based semisolid media also requires careful handling. Thorough mixing is necessary to homogenize cytokines and supplements within the medium, while allowing the mixture to rest prior to plating helps eliminate bubbles that may interfere with colony growth. In addition, uniform mixing of cells within the semisolid matrix is essential to ensure consistent plating density across technical replicates. Even distribution of cells throughout the medium minimizes variability in colony formation and improves reproducibility between experimental conditions.</w:t>
      </w:r>
    </w:p>
    <w:p w:rsidRPr="001A484B" w:rsidR="00E43388" w:rsidP="001A484B" w:rsidRDefault="00E43388" w14:paraId="7EEFDDD3" w14:textId="77777777"/>
    <w:p w:rsidRPr="001A484B" w:rsidR="00E43388" w:rsidP="001A484B" w:rsidRDefault="00510FEB" w14:paraId="531DD486" w14:textId="77777777">
      <w:r w:rsidRPr="001A484B">
        <w:t>Troubleshooting strategies are particularly important when colony formation is suboptimal. Reduced colony numbers may result from low initial cell viability, inaccurate cell counting, or insufficient mixing of cells within the semisolid matrix. In such cases, verifying cell viability prior to plating, adjusting cell density, or repeating the mixing step can improve experimental outcomes. In addition, incomplete dissolution of semisolid media during colony harvesting can interfere with downstream cell recovery; incubation with warmed buffer and gentle mixing can help fully dissolve the matrix prior to centrifugation.</w:t>
      </w:r>
    </w:p>
    <w:p w:rsidRPr="001A484B" w:rsidR="00E43388" w:rsidP="001A484B" w:rsidRDefault="00E43388" w14:paraId="3A6EEFAC" w14:textId="77777777"/>
    <w:p w:rsidRPr="001A484B" w:rsidR="00E43388" w:rsidP="001A484B" w:rsidRDefault="00510FEB" w14:paraId="4CED6EE7" w14:textId="5F56029C">
      <w:r w:rsidRPr="001A484B">
        <w:t xml:space="preserve">Besides those addressed in this protocol, the CFU assay has other unavoidable limitations that should be considered when interpreting results. CFU assays represent a simplified </w:t>
      </w:r>
      <w:r w:rsidRPr="00437611">
        <w:rPr>
          <w:i/>
          <w:iCs/>
        </w:rPr>
        <w:t>in vitro</w:t>
      </w:r>
      <w:r w:rsidRPr="001A484B">
        <w:t xml:space="preserve"> system that does not fully recapitulate the complex cellular interactions and microenvironmental cues present within the bone marrow niche</w:t>
      </w:r>
      <w:r w:rsidRPr="001A484B">
        <w:fldChar w:fldCharType="begin"/>
      </w:r>
      <w:r w:rsidRPr="001A484B" w:rsidR="00DC4DEA">
        <w:instrText xml:space="preserve"> ADDIN ZOTERO_ITEM CSL_CITATION {"citationID":"Of0QEz7s","properties":{"formattedCitation":"\\super 22\\nosupersub{}","plainCitation":"22","noteIndex":0},"citationItems":[{"id":2349,"uris":["http://zotero.org/groups/5570791/items/EBEYL7SA"],"itemData":{"id":2349,"type":"article-journal","abstract":"Niches are local tissue microenvironments that maintain and regulate stem cells. Haematopoiesis provides a model for understanding mammalian stem cells and their niches, but the haematopoietic stem cell (HSC) niche remains incompletely defined and beset by competing models. Recent progress has been made in elucidating the location and cellular components of the HSC niche in the bone marrow. The niche is perivascular, created partly by mesenchymal stromal cells and endothelial cells and often, but not always, located near trabecular bone. Outstanding questions concern the cellular complexity of the niche, the role of the endosteum and functional heterogeneity among perivascular microenvironments.","container-title":"Nature","DOI":"10.1038/nature12984","ISSN":"1476-4687","issue":"7483","journalAbbreviation":"Nature","language":"eng","note":"PMID: 24429631\nPMCID: PMC4514480","page":"327-334","source":"PubMed","title":"The bone marrow niche for haematopoietic stem cells","volume":"505","author":[{"family":"Morrison","given":"Sean J."},{"family":"Scadden","given":"David T."}],"issued":{"date-parts":[["2014",1,16]]}}}],"schema":"https://github.com/citation-style-language/schema/raw/master/csl-citation.json"} </w:instrText>
      </w:r>
      <w:r w:rsidRPr="001A484B">
        <w:fldChar w:fldCharType="separate"/>
      </w:r>
      <w:r w:rsidRPr="001A484B" w:rsidR="00DC4DEA">
        <w:rPr>
          <w:vertAlign w:val="superscript"/>
        </w:rPr>
        <w:t>22</w:t>
      </w:r>
      <w:r w:rsidRPr="001A484B">
        <w:fldChar w:fldCharType="end"/>
      </w:r>
      <w:r w:rsidRPr="001A484B">
        <w:t xml:space="preserve">. As a result, colony formation may not always reflect the full spectrum of hematopoietic behavior observed </w:t>
      </w:r>
      <w:r w:rsidRPr="001A484B">
        <w:rPr>
          <w:i/>
          <w:iCs/>
        </w:rPr>
        <w:t>in vivo</w:t>
      </w:r>
      <w:r w:rsidRPr="001A484B">
        <w:t>. Another limitation is the inherent variability of patient-derived samples, which may differ in cellular composition, viability, and colony-forming potential depending on disease type, stage, treatment history, and sample handling conditions</w:t>
      </w:r>
      <w:r w:rsidRPr="001A484B">
        <w:fldChar w:fldCharType="begin"/>
      </w:r>
      <w:r w:rsidRPr="001A484B" w:rsidR="00DC4DEA">
        <w:instrText xml:space="preserve"> ADDIN ZOTERO_ITEM CSL_CITATION {"citationID":"ESaUnkkS","properties":{"formattedCitation":"\\super 1,23\\nosupersub{}","plainCitation":"1,23","noteIndex":0},"citationItems":[{"id":1199,"uris":["http://zotero.org/groups/5570791/items/XLQIUTZB"],"itemData":{"id":1199,"type":"article-journal","abstract":"MDS is characterized by mutations in &gt;40 genes, a complex structure of gene-gene interactions and extensive subclonal diversification.\n            \n            \n              The total number of oncogenic mutations and early detection of subclonal mutations are significant prognostic variables in MDS.\n            \n          \n        , Myelodysplastic syndromes (MDS) are a heterogeneous group of chronic hematological malignancies characterized by dysplasia, ineffective hematopoiesis and a variable risk of progression to acute myeloid leukemia. Sequencing of MDS genomes has identified mutations in genes implicated in RNA splicing, DNA modification, chromatin regulation, and cell signaling. We sequenced 111 genes across 738 patients with MDS or closely related neoplasms (including chronic myelomonocytic leukemia and MDS–myeloproliferative neoplasms) to explore the role of acquired mutations in MDS biology and clinical phenotype. Seventy-eight percent of patients had 1 or more oncogenic mutations. We identify complex patterns of pairwise association between genes, indicative of epistatic interactions involving components of the spliceosome machinery and epigenetic modifiers. Coupled with inferences on subclonal mutations, these data suggest a hypothesis of genetic “predestination,” in which early driver mutations, typically affecting genes involved in RNA splicing, dictate future trajectories of disease evolution with distinct clinical phenotypes. Driver mutations had equivalent prognostic significance, whether clonal or subclonal, and leukemia-free survival deteriorated steadily as numbers of driver mutations increased. Thus, analysis of oncogenic mutations in large, well-characterized cohorts of patients illustrates the interconnections between the cancer genome and disease biology, with considerable potential for clinical application.","container-title":"Blood","DOI":"10.1182/blood-2013-08-518886","ISSN":"0006-4971","issue":"22","journalAbbreviation":"Blood","note":"PMID: 24030381\nPMCID: PMC3837510","page":"3616-3627","source":"PubMed Central","title":"Clinical and biological implications of driver mutations in myelodysplastic syndromes","URL":"https://www.ncbi.nlm.nih.gov/pmc/articles/PMC3837510/","volume":"122","author":[{"family":"Papaemmanuil","given":"Elli"},{"family":"Gerstung","given":"Moritz"},{"family":"Malcovati","given":"Luca"},{"family":"Tauro","given":"Sudhir"},{"family":"Gundem","given":"Gunes"},{"family":"Van Loo","given":"Peter"},{"family":"Yoon","given":"Chris J."},{"family":"Ellis","given":"Peter"},{"family":"Wedge","given":"David C."},{"family":"Pellagatti","given":"Andrea"},{"family":"Shlien","given":"Adam"},{"family":"Groves","given":"Michael John"},{"family":"Forbes","given":"Simon A."},{"family":"Raine","given":"Keiran"},{"family":"Hinton","given":"Jon"},{"family":"Mudie","given":"Laura J."},{"family":"McLaren","given":"Stuart"},{"family":"Hardy","given":"Claire"},{"family":"Latimer","given":"Calli"},{"family":"Della Porta","given":"Matteo G."},{"family":"O’Meara","given":"Sarah"},{"family":"Ambaglio","given":"Ilaria"},{"family":"Galli","given":"Anna"},{"family":"Butler","given":"Adam P."},{"family":"Walldin","given":"Gunilla"},{"family":"Teague","given":"Jon W."},{"family":"Quek","given":"Lynn"},{"family":"Sternberg","given":"Alex"},{"family":"Gambacorti-Passerini","given":"Carlo"},{"family":"Cross","given":"Nicholas C. P."},{"family":"Green","given":"Anthony R."},{"family":"Boultwood","given":"Jacqueline"},{"family":"Vyas","given":"Paresh"},{"family":"Hellstrom-Lindberg","given":"Eva"},{"family":"Bowen","given":"David"},{"family":"Cazzola","given":"Mario"},{"family":"Stratton","given":"Michael R."},{"family":"Campbell","given":"Peter J."}],"accessed":{"date-parts":[["2025",3,10]]},"issued":{"date-parts":[["2013",11,21]]}}},{"id":2353,"uris":["http://zotero.org/groups/5570791/items/6EGVWQ9R"],"itemData":{"id":2353,"type":"article-journal","abstract":"In acute myeloid leukaemia (AML), the cell of origin, nature and biological consequences of initiating lesions, and order of subsequent mutations remain poorly understood, as AML is typically diagnosed without observation of a pre-leukaemic phase. Here, highly purified haematopoietic stem cells (HSCs), progenitor and mature cell fractions from the blood of AML patients were found to contain recurrent DNMT3A mutations (DNMT3Amut) at high allele frequency, but without coincident NPM1 mutations (NPM1c) present in AML blasts. DNMT3Amut-bearing HSCs showed a multilineage repopulation advantage over non-mutated HSCs in xenografts, establishing their identity as pre-leukaemic HSCs. Pre-leukaemic HSCs were found in remission samples, indicating that they survive chemotherapy. Therefore DNMT3Amut arises early in AML evolution, probably in HSCs, leading to a clonally expanded pool of pre-leukaemic HSCs from which AML evolves. Our findings provide a paradigm for the detection and treatment of pre-leukaemic clones before the acquisition of additional genetic lesions engenders greater therapeutic resistance.","container-title":"Nature","DOI":"10.1038/nature13038","ISSN":"1476-4687","issue":"7488","language":"en","license":"2014 Springer Nature Limited","note":"publisher: Nature Publishing Group","page":"328-333","source":"www.nature.com","title":"Identification of pre-leukaemic haematopoietic stem cells in acute leukaemia","URL":"https://www.nature.com/articles/nature13038","volume":"506","author":[{"family":"Shlush","given":"Liran I."},{"family":"Zandi","given":"Sasan"},{"family":"Mitchell","given":"Amanda"},{"family":"Chen","given":"Weihsu Claire"},{"family":"Brandwein","given":"Joseph M."},{"family":"Gupta","given":"Vikas"},{"family":"Kennedy","given":"James A."},{"family":"Schimmer","given":"Aaron D."},{"family":"Schuh","given":"Andre C."},{"family":"Yee","given":"Karen W."},{"family":"McLeod","given":"Jessica L."},{"family":"Doedens","given":"Monica"},{"family":"Medeiros","given":"Jessie J. F."},{"family":"Marke","given":"Rene"},{"family":"Kim","given":"Hyeoung Joon"},{"family":"Lee","given":"Kwon"},{"family":"McPherson","given":"John D."},{"family":"Hudson","given":"Thomas J."},{"family":"Pan-Leukemia Gene Panel Consortium","given":"The HALT"},{"family":"Brown","given":"Andrew M. K."},{"family":"Yousif","given":"Fouad"},{"family":"Trinh","given":"Quang M."},{"family":"Stein","given":"Lincoln D."},{"family":"Minden","given":"Mark D."},{"family":"Wang","given":"Jean C. Y."},{"family":"Dick","given":"John E."}],"accessed":{"date-parts":[["2026",3,9]]},"issued":{"date-parts":[["2014",2]]}}}],"schema":"https://github.com/citation-style-language/schema/raw/master/csl-citation.json"} </w:instrText>
      </w:r>
      <w:r w:rsidRPr="001A484B">
        <w:fldChar w:fldCharType="separate"/>
      </w:r>
      <w:r w:rsidRPr="001A484B" w:rsidR="00DC4DEA">
        <w:rPr>
          <w:vertAlign w:val="superscript"/>
        </w:rPr>
        <w:t>1,23</w:t>
      </w:r>
      <w:r w:rsidRPr="001A484B">
        <w:fldChar w:fldCharType="end"/>
      </w:r>
      <w:r w:rsidRPr="001A484B">
        <w:t>.</w:t>
      </w:r>
      <w:r w:rsidRPr="001A484B" w:rsidR="001140D4">
        <w:t xml:space="preserve"> It is important to note that this protocol has provided representative data from a single patient at a single institution; independent validation in additional cohorts is required before reproducibility can be fully assessed.</w:t>
      </w:r>
    </w:p>
    <w:p w:rsidRPr="001A484B" w:rsidR="00E43388" w:rsidP="001A484B" w:rsidRDefault="00E43388" w14:paraId="4BC47074" w14:textId="77777777"/>
    <w:p w:rsidRPr="001A484B" w:rsidR="00E43388" w:rsidP="001A484B" w:rsidRDefault="00510FEB" w14:paraId="4A1AF87E" w14:textId="49F77399">
      <w:r w:rsidRPr="001A484B">
        <w:t>Nevertheless, CFU assays remain a powerful tool for assessing functional responses of hematopoietic progenitors to experimental perturbations. Compared with alternative approaches such as bulk proliferation assays or short-term viability measurements, CFU assays provide a direct readout of lineage-specific differentiation potential</w:t>
      </w:r>
      <w:r w:rsidRPr="001A484B">
        <w:fldChar w:fldCharType="begin"/>
      </w:r>
      <w:r w:rsidRPr="001A484B" w:rsidR="00DC4DEA">
        <w:instrText xml:space="preserve"> ADDIN ZOTERO_ITEM CSL_CITATION {"citationID":"tyKJE4L5","properties":{"formattedCitation":"\\super 24\\uc0\\u8211{}26\\nosupersub{}","plainCitation":"24–26","noteIndex":0},"citationItems":[{"id":2339,"uris":["http://zotero.org/groups/5570791/items/XESJ39ZQ"],"itemData":{"id":2339,"type":"article-journal","container-title":"Nature","DOI":"10.1038/197452a0","ISSN":"1476-4687","issue":"4866","language":"en","license":"1963 Springer Nature Limited","note":"publisher: Nature Publishing Group","page":"452-454","source":"www.nature.com","title":"Cytological Demonstration of the Clonal Nature of Spleen Colonies Derived from Transplanted Mouse Marrow Cells","URL":"https://www.nature.com/articles/197452a0","volume":"197","author":[{"family":"Becker","given":"A. J."},{"family":"McCULLOCH","given":"E. A."},{"family":"Till","given":"J. E."}],"accessed":{"date-parts":[["2026",3,9]]},"issued":{"date-parts":[["1963",2]]}}},{"id":2344,"uris":["http://zotero.org/groups/5570791/items/6HPYYN4G"],"itemData":{"id":2344,"type":"article-journal","container-title":"The Australian Journal of Experimental Biology and Medical Science","DOI":"10.1038/icb.1966.28","ISSN":"0004-945X","issue":"3","journalAbbreviation":"Aust J Exp Biol Med Sci","language":"eng","note":"PMID: 4164182","page":"287-299","source":"PubMed","title":"The growth of mouse bone marrow cells in vitro","volume":"44","author":[{"family":"Bradley","given":"T. R."},{"family":"Metcalf","given":"D."}],"issued":{"date-parts":[["1966",6]]}}},{"id":2346,"uris":["http://zotero.org/groups/5570791/items/7I8LKAH8"],"itemData":{"id":2346,"type":"article-journal","abstract":"Background\nWide acceptance of the colony-forming-unit (CFU) assay as a reliable potency test for stem cell products is hindered by poor inter-laboratory reproducibility. The goal of this study was to ascertain current laboratory practices for performing the CFU assay to identify practices that could be standardized to improve overall reproducibility.\n\nMaterials and Methods\nA survey to evaluate current laboratory practices for performing CFU assays was designed and internationally distributed.\n\nResults\nA total of 105 individuals initiated the survey, of which 68% perform CFU assays. A majority specified that an automated rather than a manual cell count was performed on pre-diluted aliquots of stem cell products. Viability testing methods employed a variety of stains and when multiple sites used the same viability stain the methods differed. Cell phenotype used to prepare working cell suspensions for inoculating the CFU assay differed among sites. Most respondents scored CFU assays between 14–16 days of incubation, but culture plates were read with a variety of different microscopes. Of 57 respondents, 42% had not performed a validation study or established assay linearity. Only 63% of laboratories had criteria for determining if a plate was overgrown with colonies.\n\nConclusion\nSurvey results revealed inconsistent inter-laboratory practices for performing the CFU assay. Moreover, the relatively low number of centers with validated CFU assays raises concerns about assay accuracy and emphasizes a need for the establishment of central standards. The survey results shed light on a number of steps of the methodology that could be targeted for standardization across laboratories.","container-title":"Cytotherapy","DOI":"10.1016/j.jcyt.2012.11.013","ISSN":"1465-3249","issue":"3","journalAbbreviation":"Cytotherapy","note":"PMID: 23579058\nPMCID: PMC5525552","page":"255-262","source":"PubMed Central","title":"Current practices and Prospects for Standardization of the Hematopoietic Colony-Forming-Unit (CFU) assay: A Report by the Cellular Therapy Team of the Biomedical Excellence for Safer Transfusion (BEST) Collaborative","title-short":"Current practices and Prospects for Standardization of the Hematopoietic Colony-Forming-Unit (CFU) assay","URL":"https://pmc.ncbi.nlm.nih.gov/articles/PMC5525552/","volume":"15","author":[{"family":"Pamphilon","given":"Derwood"},{"family":"Selogie","given":"Eileen"},{"family":"McKenna","given":"David"},{"family":"Cancelas-Peres","given":"Jose"},{"family":"Szczepiorkowski","given":"Zbigniew M."},{"family":"Sacher","given":"Ron"},{"family":"McMannis","given":"John"},{"family":"Eichler","given":"Hermann"},{"family":"Garritsen","given":"Henk"},{"family":"Takanashi","given":"Minoko"},{"family":"Watering","given":"Leo","non-dropping-particle":"van de"},{"family":"Stroncek","given":"David"},{"family":"Reems","given":"Jo-Anna"}],"accessed":{"date-parts":[["2026",3,9]]},"issued":{"date-parts":[["2013",3]]}}}],"schema":"https://github.com/citation-style-language/schema/raw/master/csl-citation.json"} </w:instrText>
      </w:r>
      <w:r w:rsidRPr="001A484B">
        <w:fldChar w:fldCharType="separate"/>
      </w:r>
      <w:r w:rsidRPr="001A484B" w:rsidR="00DC4DEA">
        <w:rPr>
          <w:vertAlign w:val="superscript"/>
        </w:rPr>
        <w:t>24–26</w:t>
      </w:r>
      <w:r w:rsidRPr="001A484B">
        <w:fldChar w:fldCharType="end"/>
      </w:r>
      <w:r w:rsidRPr="001A484B">
        <w:t xml:space="preserve">. This makes the assay particularly valuable for evaluating therapies aimed at restoring or modifying hematopoietic differentiation programs for myeloid and erythroid lineages. The ability to assess functional responses of patient-derived progenitor cells </w:t>
      </w:r>
      <w:r w:rsidRPr="00437611">
        <w:rPr>
          <w:i/>
          <w:iCs/>
        </w:rPr>
        <w:t>ex vivo</w:t>
      </w:r>
      <w:r w:rsidRPr="001A484B">
        <w:t xml:space="preserve"> also makes this method especially valuable for preclinical drug evaluation and translational research. </w:t>
      </w:r>
    </w:p>
    <w:p w:rsidRPr="001A484B" w:rsidR="00E43388" w:rsidP="001A484B" w:rsidRDefault="00E43388" w14:paraId="07BBD843" w14:textId="77777777"/>
    <w:p w:rsidRPr="001A484B" w:rsidR="00E43388" w:rsidP="001A484B" w:rsidRDefault="00510FEB" w14:paraId="4C6437B0" w14:textId="11716815">
      <w:r w:rsidRPr="001A484B">
        <w:t>Emerging approaches incorporating automated imaging and artificial intelligence–based analysis have the potential to address limitations of manual counting and scoring by enabling standardized, high-throughput, and reproducible colony detection and classification. Such tools can reduce user bias, improve accuracy, and generate permanent digital records for downstream analysis</w:t>
      </w:r>
      <w:r w:rsidRPr="001A484B" w:rsidR="00565065">
        <w:fldChar w:fldCharType="begin"/>
      </w:r>
      <w:r w:rsidRPr="001A484B" w:rsidR="00DC4DEA">
        <w:instrText xml:space="preserve"> ADDIN ZOTERO_ITEM CSL_CITATION {"citationID":"QDPP48DB","properties":{"formattedCitation":"\\super 27\\nosupersub{}","plainCitation":"27","noteIndex":0},"citationItems":[{"id":2390,"uris":["http://zotero.org/groups/5570791/items/QX5S6SMF"],"itemData":{"id":2390,"type":"article-journal","abstract":"Revolutionary advances in AI and deep learning in recent years have resulted in an upsurge of papers exploring applications within the biomedical field. Within stem cell research, promising results have been reported from analyses of microscopy images to, that is, distinguish between pluripotent stem cells and differentiated cell types derived from stem cells. In this work, we investigated the possibility of using a deep learning model to predict the differentiation stage of pluripotent stem cells undergoing differentiation toward hepatocytes, based on morphological features of cell cultures. We were able to achieve close to perfect classification of images from early and late time points during differentiation, and this aligned very well with the experimental validation of cell identity and function. Our results suggest that deep learning models can distinguish between different cell morphologies, and provide alternative means of semi-automated functional characterization of stem cell cultures., \nGraphical Abstract","container-title":"Stem Cells","DOI":"10.1093/stmcls/sxad049","ISSN":"1066-5099","issue":"9","journalAbbreviation":"Stem Cells","note":"PMID: 37357747\nPMCID: PMC10502778","page":"850-861","source":"PubMed Central","title":"Artificial Intelligence Supports Automated Characterization of Differentiated Human Pluripotent Stem Cells","URL":"https://pmc.ncbi.nlm.nih.gov/articles/PMC10502778/","volume":"41","author":[{"family":"Marzec-Schmidt","given":"Katarzyna"},{"family":"Ghosheh","given":"Nidal"},{"family":"Stahlschmidt","given":"Sören Richard"},{"family":"Küppers-Munther","given":"Barbara"},{"family":"Synnergren","given":"Jane"},{"family":"Ulfenborg","given":"Benjamin"}],"accessed":{"date-parts":[["2026",3,19]]},"issued":{"date-parts":[["2023",6,26]]}}}],"schema":"https://github.com/citation-style-language/schema/raw/master/csl-citation.json"} </w:instrText>
      </w:r>
      <w:r w:rsidRPr="001A484B" w:rsidR="00565065">
        <w:fldChar w:fldCharType="separate"/>
      </w:r>
      <w:r w:rsidRPr="001A484B" w:rsidR="00DC4DEA">
        <w:rPr>
          <w:vertAlign w:val="superscript"/>
        </w:rPr>
        <w:t>27</w:t>
      </w:r>
      <w:r w:rsidRPr="001A484B" w:rsidR="00565065">
        <w:fldChar w:fldCharType="end"/>
      </w:r>
      <w:r w:rsidRPr="001A484B" w:rsidR="00271B36">
        <w:t>.</w:t>
      </w:r>
      <w:r w:rsidRPr="001A484B">
        <w:t xml:space="preserve"> As these technologies continue to advance, integration of AI-assisted workflows may further enhance the scalability and rigor of CFU-based assays in both research and clinical settings.</w:t>
      </w:r>
    </w:p>
    <w:p w:rsidRPr="001A484B" w:rsidR="00E43388" w:rsidP="001A484B" w:rsidRDefault="00E43388" w14:paraId="3BB9415D" w14:textId="77777777"/>
    <w:p w:rsidRPr="001A484B" w:rsidR="006E4797" w:rsidP="001A484B" w:rsidRDefault="00510FEB" w14:paraId="0BEB38EC" w14:textId="4D0D723D">
      <w:r w:rsidRPr="001A484B">
        <w:t xml:space="preserve">In this study, the CFU assay is used to assess the effects of a pyrimidine-based therapy as a single agent and in combination with </w:t>
      </w:r>
      <w:proofErr w:type="spellStart"/>
      <w:r w:rsidRPr="001A484B">
        <w:t>venetoclax</w:t>
      </w:r>
      <w:proofErr w:type="spellEnd"/>
      <w:r w:rsidRPr="001A484B">
        <w:t>. By measuring colony formation following treatment, the assay enables functional evaluation of how novel therapies influence colony viability and progenitor cell differentiation in primary patient samples. Overall, this optimized CFU assay workflow provides a practical framework for studying hematopoietic differentiation in primary patient-derived samples and for evaluating candidate therapeutics targeting hematologic diseases.</w:t>
      </w:r>
    </w:p>
    <w:p w:rsidRPr="001A484B" w:rsidR="00E43388" w:rsidP="001A484B" w:rsidRDefault="00E43388" w14:paraId="56FF1C52" w14:textId="77777777">
      <w:pPr>
        <w:rPr>
          <w:color w:val="000000"/>
        </w:rPr>
      </w:pPr>
    </w:p>
    <w:p w:rsidRPr="001A484B" w:rsidR="006E4797" w:rsidP="001A484B" w:rsidRDefault="00510FEB" w14:paraId="59F37CC4" w14:textId="2AFCD5E8">
      <w:pPr>
        <w:pBdr>
          <w:top w:val="nil"/>
          <w:left w:val="nil"/>
          <w:bottom w:val="nil"/>
          <w:right w:val="nil"/>
          <w:between w:val="nil"/>
        </w:pBdr>
        <w:rPr>
          <w:color w:val="808080"/>
        </w:rPr>
      </w:pPr>
      <w:r w:rsidRPr="001A484B">
        <w:rPr>
          <w:b/>
          <w:color w:val="000000"/>
        </w:rPr>
        <w:t xml:space="preserve">ACKNOWLEDGMENTS: </w:t>
      </w:r>
    </w:p>
    <w:p w:rsidRPr="001A484B" w:rsidR="003025A3" w:rsidP="001A484B" w:rsidRDefault="00510FEB" w14:paraId="250CAAFF" w14:textId="01289F3D">
      <w:r w:rsidRPr="001A484B">
        <w:t>This work was supported by a pilot grant from the Einstein-Rockefeller-CUNY Center for AIDS Research, funded by the National Institutes of Health (NIH): P30 AI124414. The Einstein FACS Core Facility and shared instrument usage w</w:t>
      </w:r>
      <w:r w:rsidRPr="001A484B" w:rsidR="00426939">
        <w:t>ere</w:t>
      </w:r>
      <w:r w:rsidRPr="001A484B">
        <w:t xml:space="preserve"> supported by the following NIH grants: P30CA013330, S10OD026833</w:t>
      </w:r>
      <w:r w:rsidRPr="001A484B" w:rsidR="00426939">
        <w:t>,</w:t>
      </w:r>
      <w:r w:rsidRPr="001A484B">
        <w:t xml:space="preserve"> and S10OD032169.</w:t>
      </w:r>
    </w:p>
    <w:p w:rsidRPr="001A484B" w:rsidR="006E4797" w:rsidP="001A484B" w:rsidRDefault="006E4797" w14:paraId="25B2FBBD" w14:textId="77777777">
      <w:pPr>
        <w:rPr>
          <w:b/>
        </w:rPr>
      </w:pPr>
    </w:p>
    <w:p w:rsidRPr="001A484B" w:rsidR="006E4797" w:rsidP="001A484B" w:rsidRDefault="00510FEB" w14:paraId="5E703EBA" w14:textId="24E4EC08">
      <w:pPr>
        <w:pBdr>
          <w:top w:val="nil"/>
          <w:left w:val="nil"/>
          <w:bottom w:val="nil"/>
          <w:right w:val="nil"/>
          <w:between w:val="nil"/>
        </w:pBdr>
        <w:rPr>
          <w:color w:val="808080"/>
        </w:rPr>
      </w:pPr>
      <w:r w:rsidRPr="001A484B">
        <w:rPr>
          <w:b/>
          <w:color w:val="000000"/>
        </w:rPr>
        <w:t>DISCLOSURES:</w:t>
      </w:r>
    </w:p>
    <w:p w:rsidRPr="001A484B" w:rsidR="0005216F" w:rsidP="001A484B" w:rsidRDefault="00510FEB" w14:paraId="1829AC6A" w14:textId="77777777">
      <w:r w:rsidRPr="001A484B">
        <w:lastRenderedPageBreak/>
        <w:t xml:space="preserve">The authors have no other conflicts of interest to disclose. </w:t>
      </w:r>
    </w:p>
    <w:p w:rsidRPr="001A484B" w:rsidR="006E4797" w:rsidP="001A484B" w:rsidRDefault="006E4797" w14:paraId="4A7B0E5C" w14:textId="77777777">
      <w:pPr>
        <w:rPr>
          <w:color w:val="000000"/>
        </w:rPr>
      </w:pPr>
    </w:p>
    <w:p w:rsidRPr="001A484B" w:rsidR="006E4797" w:rsidP="001A484B" w:rsidRDefault="00510FEB" w14:paraId="6DE2B73C" w14:textId="25D30321">
      <w:pPr>
        <w:rPr>
          <w:b/>
          <w:color w:val="000000"/>
        </w:rPr>
      </w:pPr>
      <w:r w:rsidRPr="001A484B">
        <w:rPr>
          <w:b/>
        </w:rPr>
        <w:t>REFERENCES:</w:t>
      </w:r>
      <w:r w:rsidRPr="001A484B">
        <w:t xml:space="preserve"> </w:t>
      </w:r>
    </w:p>
    <w:p w:rsidRPr="001A484B" w:rsidR="00BA1316" w:rsidP="001A484B" w:rsidRDefault="00BA1316" w14:paraId="6DB82BE0" w14:textId="2900FFB8">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proofErr w:type="spellStart"/>
      <w:r w:rsidRPr="001A484B">
        <w:rPr>
          <w:rFonts w:ascii="Calibri" w:hAnsi="Calibri" w:eastAsia="Times New Roman" w:cs="Calibri"/>
          <w:sz w:val="24"/>
          <w:szCs w:val="24"/>
          <w:lang w:val="en-IN" w:eastAsia="en-IN"/>
        </w:rPr>
        <w:t>Papaemmanuil</w:t>
      </w:r>
      <w:proofErr w:type="spellEnd"/>
      <w:r w:rsidRPr="001A484B">
        <w:rPr>
          <w:rFonts w:ascii="Calibri" w:hAnsi="Calibri" w:eastAsia="Times New Roman" w:cs="Calibri"/>
          <w:sz w:val="24"/>
          <w:szCs w:val="24"/>
          <w:lang w:val="en-IN" w:eastAsia="en-IN"/>
        </w:rPr>
        <w:t xml:space="preserve"> E, Gerstung M, </w:t>
      </w:r>
      <w:proofErr w:type="spellStart"/>
      <w:r w:rsidRPr="001A484B">
        <w:rPr>
          <w:rFonts w:ascii="Calibri" w:hAnsi="Calibri" w:eastAsia="Times New Roman" w:cs="Calibri"/>
          <w:sz w:val="24"/>
          <w:szCs w:val="24"/>
          <w:lang w:val="en-IN" w:eastAsia="en-IN"/>
        </w:rPr>
        <w:t>Malcovati</w:t>
      </w:r>
      <w:proofErr w:type="spellEnd"/>
      <w:r w:rsidRPr="001A484B">
        <w:rPr>
          <w:rFonts w:ascii="Calibri" w:hAnsi="Calibri" w:eastAsia="Times New Roman" w:cs="Calibri"/>
          <w:sz w:val="24"/>
          <w:szCs w:val="24"/>
          <w:lang w:val="en-IN" w:eastAsia="en-IN"/>
        </w:rPr>
        <w:t xml:space="preserve"> L, Tauro S, </w:t>
      </w:r>
      <w:proofErr w:type="spellStart"/>
      <w:r w:rsidRPr="001A484B">
        <w:rPr>
          <w:rFonts w:ascii="Calibri" w:hAnsi="Calibri" w:eastAsia="Times New Roman" w:cs="Calibri"/>
          <w:sz w:val="24"/>
          <w:szCs w:val="24"/>
          <w:lang w:val="en-IN" w:eastAsia="en-IN"/>
        </w:rPr>
        <w:t>Gundem</w:t>
      </w:r>
      <w:proofErr w:type="spellEnd"/>
      <w:r w:rsidRPr="001A484B">
        <w:rPr>
          <w:rFonts w:ascii="Calibri" w:hAnsi="Calibri" w:eastAsia="Times New Roman" w:cs="Calibri"/>
          <w:sz w:val="24"/>
          <w:szCs w:val="24"/>
          <w:lang w:val="en-IN" w:eastAsia="en-IN"/>
        </w:rPr>
        <w:t xml:space="preserve"> G, Van Loo P, et al. Clinical and biological implications of driver mutations in myelodysplastic syndromes. Blood. 2013;122(22):3616-27. </w:t>
      </w:r>
    </w:p>
    <w:p w:rsidRPr="001A484B" w:rsidR="00BA1316" w:rsidP="001A484B" w:rsidRDefault="00BA1316" w14:paraId="4D7821E4" w14:textId="213770F0">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Desai P, Mencia-</w:t>
      </w:r>
      <w:proofErr w:type="spellStart"/>
      <w:r w:rsidRPr="001A484B">
        <w:rPr>
          <w:rFonts w:ascii="Calibri" w:hAnsi="Calibri" w:eastAsia="Times New Roman" w:cs="Calibri"/>
          <w:sz w:val="24"/>
          <w:szCs w:val="24"/>
          <w:lang w:val="en-IN" w:eastAsia="en-IN"/>
        </w:rPr>
        <w:t>Trinchant</w:t>
      </w:r>
      <w:proofErr w:type="spellEnd"/>
      <w:r w:rsidRPr="001A484B">
        <w:rPr>
          <w:rFonts w:ascii="Calibri" w:hAnsi="Calibri" w:eastAsia="Times New Roman" w:cs="Calibri"/>
          <w:sz w:val="24"/>
          <w:szCs w:val="24"/>
          <w:lang w:val="en-IN" w:eastAsia="en-IN"/>
        </w:rPr>
        <w:t xml:space="preserve"> N, Savenkov O, Simon MS, Cheang G, Lee S, et al. Somatic mutations precede acute myeloid </w:t>
      </w:r>
      <w:proofErr w:type="spellStart"/>
      <w:r w:rsidRPr="001A484B">
        <w:rPr>
          <w:rFonts w:ascii="Calibri" w:hAnsi="Calibri" w:eastAsia="Times New Roman" w:cs="Calibri"/>
          <w:sz w:val="24"/>
          <w:szCs w:val="24"/>
          <w:lang w:val="en-IN" w:eastAsia="en-IN"/>
        </w:rPr>
        <w:t>leukemia</w:t>
      </w:r>
      <w:proofErr w:type="spellEnd"/>
      <w:r w:rsidRPr="001A484B">
        <w:rPr>
          <w:rFonts w:ascii="Calibri" w:hAnsi="Calibri" w:eastAsia="Times New Roman" w:cs="Calibri"/>
          <w:sz w:val="24"/>
          <w:szCs w:val="24"/>
          <w:lang w:val="en-IN" w:eastAsia="en-IN"/>
        </w:rPr>
        <w:t xml:space="preserve"> years before diagnosis. Nat Med. 2018;24(7):1015-23. </w:t>
      </w:r>
    </w:p>
    <w:p w:rsidRPr="001A484B" w:rsidR="00BA1316" w:rsidP="001A484B" w:rsidRDefault="00BA1316" w14:paraId="14B908DD" w14:textId="386A2332">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Gaulin C, Kelemen K, Arana Yi C. Molecular pathways in clonal </w:t>
      </w:r>
      <w:proofErr w:type="spellStart"/>
      <w:r w:rsidRPr="001A484B">
        <w:rPr>
          <w:rFonts w:ascii="Calibri" w:hAnsi="Calibri" w:eastAsia="Times New Roman" w:cs="Calibri"/>
          <w:sz w:val="24"/>
          <w:szCs w:val="24"/>
          <w:lang w:val="en-IN" w:eastAsia="en-IN"/>
        </w:rPr>
        <w:t>hematopoiesis</w:t>
      </w:r>
      <w:proofErr w:type="spellEnd"/>
      <w:r w:rsidRPr="001A484B">
        <w:rPr>
          <w:rFonts w:ascii="Calibri" w:hAnsi="Calibri" w:eastAsia="Times New Roman" w:cs="Calibri"/>
          <w:sz w:val="24"/>
          <w:szCs w:val="24"/>
          <w:lang w:val="en-IN" w:eastAsia="en-IN"/>
        </w:rPr>
        <w:t xml:space="preserve">: from the acquisition of somatic mutations to transformation into hematologic neoplasm. Life (Basel). 2022;12(8):1135. </w:t>
      </w:r>
    </w:p>
    <w:p w:rsidRPr="001A484B" w:rsidR="00BA1316" w:rsidP="001A484B" w:rsidRDefault="00BA1316" w14:paraId="1995C261" w14:textId="09679269">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Menssen AJ, Walter MJ. Genetics of progression from MDS to secondary </w:t>
      </w:r>
      <w:proofErr w:type="spellStart"/>
      <w:r w:rsidRPr="001A484B">
        <w:rPr>
          <w:rFonts w:ascii="Calibri" w:hAnsi="Calibri" w:eastAsia="Times New Roman" w:cs="Calibri"/>
          <w:sz w:val="24"/>
          <w:szCs w:val="24"/>
          <w:lang w:val="en-IN" w:eastAsia="en-IN"/>
        </w:rPr>
        <w:t>leukemia</w:t>
      </w:r>
      <w:proofErr w:type="spellEnd"/>
      <w:r w:rsidRPr="001A484B">
        <w:rPr>
          <w:rFonts w:ascii="Calibri" w:hAnsi="Calibri" w:eastAsia="Times New Roman" w:cs="Calibri"/>
          <w:sz w:val="24"/>
          <w:szCs w:val="24"/>
          <w:lang w:val="en-IN" w:eastAsia="en-IN"/>
        </w:rPr>
        <w:t xml:space="preserve">. Blood. 2020;136(1):50-60. </w:t>
      </w:r>
    </w:p>
    <w:p w:rsidRPr="001A484B" w:rsidR="00BA1316" w:rsidP="001A484B" w:rsidRDefault="00BA1316" w14:paraId="214ED0A4" w14:textId="0F3E80F2">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Fabre MA, de Almeida JG, Fiorillo E, Mitchell E, </w:t>
      </w:r>
      <w:proofErr w:type="spellStart"/>
      <w:r w:rsidRPr="001A484B">
        <w:rPr>
          <w:rFonts w:ascii="Calibri" w:hAnsi="Calibri" w:eastAsia="Times New Roman" w:cs="Calibri"/>
          <w:sz w:val="24"/>
          <w:szCs w:val="24"/>
          <w:lang w:val="en-IN" w:eastAsia="en-IN"/>
        </w:rPr>
        <w:t>Damaskou</w:t>
      </w:r>
      <w:proofErr w:type="spellEnd"/>
      <w:r w:rsidRPr="001A484B">
        <w:rPr>
          <w:rFonts w:ascii="Calibri" w:hAnsi="Calibri" w:eastAsia="Times New Roman" w:cs="Calibri"/>
          <w:sz w:val="24"/>
          <w:szCs w:val="24"/>
          <w:lang w:val="en-IN" w:eastAsia="en-IN"/>
        </w:rPr>
        <w:t xml:space="preserve"> A, Rak J, et al. The longitudinal dynamics and natural history of clonal haematopoiesis. Nature. 2022;606(7913):335-42. </w:t>
      </w:r>
    </w:p>
    <w:p w:rsidRPr="001A484B" w:rsidR="00BA1316" w:rsidP="001A484B" w:rsidRDefault="00BA1316" w14:paraId="67A6EF67" w14:textId="2B6DEF26">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Purton LE, Scadden DT. Limiting factors in murine hematopoietic stem cell assays. Cell Stem Cell. 2007;1(3):263-70. </w:t>
      </w:r>
    </w:p>
    <w:p w:rsidRPr="001A484B" w:rsidR="00BA1316" w:rsidP="001A484B" w:rsidRDefault="00BA1316" w14:paraId="0A3B3BBB" w14:textId="52BB9B1A">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Yusoff NA, Abd Hamid Z, Budin SB, Taib IS. Hematopoietic stem cell discovery: unveiling the historical and future perspective of colony-forming </w:t>
      </w:r>
      <w:proofErr w:type="gramStart"/>
      <w:r w:rsidRPr="001A484B">
        <w:rPr>
          <w:rFonts w:ascii="Calibri" w:hAnsi="Calibri" w:eastAsia="Times New Roman" w:cs="Calibri"/>
          <w:sz w:val="24"/>
          <w:szCs w:val="24"/>
          <w:lang w:val="en-IN" w:eastAsia="en-IN"/>
        </w:rPr>
        <w:t>units</w:t>
      </w:r>
      <w:proofErr w:type="gramEnd"/>
      <w:r w:rsidRPr="001A484B">
        <w:rPr>
          <w:rFonts w:ascii="Calibri" w:hAnsi="Calibri" w:eastAsia="Times New Roman" w:cs="Calibri"/>
          <w:sz w:val="24"/>
          <w:szCs w:val="24"/>
          <w:lang w:val="en-IN" w:eastAsia="en-IN"/>
        </w:rPr>
        <w:t xml:space="preserve"> assay. </w:t>
      </w:r>
      <w:proofErr w:type="spellStart"/>
      <w:r w:rsidRPr="001A484B">
        <w:rPr>
          <w:rFonts w:ascii="Calibri" w:hAnsi="Calibri" w:eastAsia="Times New Roman" w:cs="Calibri"/>
          <w:sz w:val="24"/>
          <w:szCs w:val="24"/>
          <w:lang w:val="en-IN" w:eastAsia="en-IN"/>
        </w:rPr>
        <w:t>PeerJ</w:t>
      </w:r>
      <w:proofErr w:type="spellEnd"/>
      <w:r w:rsidRPr="001A484B">
        <w:rPr>
          <w:rFonts w:ascii="Calibri" w:hAnsi="Calibri" w:eastAsia="Times New Roman" w:cs="Calibri"/>
          <w:sz w:val="24"/>
          <w:szCs w:val="24"/>
          <w:lang w:val="en-IN" w:eastAsia="en-IN"/>
        </w:rPr>
        <w:t>. 2025;</w:t>
      </w:r>
      <w:proofErr w:type="gramStart"/>
      <w:r w:rsidRPr="001A484B">
        <w:rPr>
          <w:rFonts w:ascii="Calibri" w:hAnsi="Calibri" w:eastAsia="Times New Roman" w:cs="Calibri"/>
          <w:sz w:val="24"/>
          <w:szCs w:val="24"/>
          <w:lang w:val="en-IN" w:eastAsia="en-IN"/>
        </w:rPr>
        <w:t>13:e</w:t>
      </w:r>
      <w:proofErr w:type="gramEnd"/>
      <w:r w:rsidRPr="001A484B">
        <w:rPr>
          <w:rFonts w:ascii="Calibri" w:hAnsi="Calibri" w:eastAsia="Times New Roman" w:cs="Calibri"/>
          <w:sz w:val="24"/>
          <w:szCs w:val="24"/>
          <w:lang w:val="en-IN" w:eastAsia="en-IN"/>
        </w:rPr>
        <w:t xml:space="preserve">18854. </w:t>
      </w:r>
    </w:p>
    <w:p w:rsidRPr="001A484B" w:rsidR="00BA1316" w:rsidP="001A484B" w:rsidRDefault="00BA1316" w14:paraId="1D6F2B55" w14:textId="768A379A">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Franken NAP, </w:t>
      </w:r>
      <w:proofErr w:type="spellStart"/>
      <w:r w:rsidRPr="001A484B">
        <w:rPr>
          <w:rFonts w:ascii="Calibri" w:hAnsi="Calibri" w:eastAsia="Times New Roman" w:cs="Calibri"/>
          <w:sz w:val="24"/>
          <w:szCs w:val="24"/>
          <w:lang w:val="en-IN" w:eastAsia="en-IN"/>
        </w:rPr>
        <w:t>Rodermond</w:t>
      </w:r>
      <w:proofErr w:type="spellEnd"/>
      <w:r w:rsidRPr="001A484B">
        <w:rPr>
          <w:rFonts w:ascii="Calibri" w:hAnsi="Calibri" w:eastAsia="Times New Roman" w:cs="Calibri"/>
          <w:sz w:val="24"/>
          <w:szCs w:val="24"/>
          <w:lang w:val="en-IN" w:eastAsia="en-IN"/>
        </w:rPr>
        <w:t xml:space="preserve"> HM, Stap J, Haveman J, van Bree C. Clonogenic assay of cells </w:t>
      </w:r>
      <w:r w:rsidRPr="00437611">
        <w:rPr>
          <w:rFonts w:ascii="Calibri" w:hAnsi="Calibri" w:eastAsia="Times New Roman" w:cs="Calibri"/>
          <w:i/>
          <w:iCs/>
          <w:sz w:val="24"/>
          <w:szCs w:val="24"/>
          <w:lang w:val="en-IN" w:eastAsia="en-IN"/>
        </w:rPr>
        <w:t>in vitro</w:t>
      </w:r>
      <w:r w:rsidRPr="001A484B">
        <w:rPr>
          <w:rFonts w:ascii="Calibri" w:hAnsi="Calibri" w:eastAsia="Times New Roman" w:cs="Calibri"/>
          <w:sz w:val="24"/>
          <w:szCs w:val="24"/>
          <w:lang w:val="en-IN" w:eastAsia="en-IN"/>
        </w:rPr>
        <w:t xml:space="preserve">. Nat </w:t>
      </w:r>
      <w:proofErr w:type="spellStart"/>
      <w:r w:rsidRPr="001A484B">
        <w:rPr>
          <w:rFonts w:ascii="Calibri" w:hAnsi="Calibri" w:eastAsia="Times New Roman" w:cs="Calibri"/>
          <w:sz w:val="24"/>
          <w:szCs w:val="24"/>
          <w:lang w:val="en-IN" w:eastAsia="en-IN"/>
        </w:rPr>
        <w:t>Protoc</w:t>
      </w:r>
      <w:proofErr w:type="spellEnd"/>
      <w:r w:rsidRPr="001A484B">
        <w:rPr>
          <w:rFonts w:ascii="Calibri" w:hAnsi="Calibri" w:eastAsia="Times New Roman" w:cs="Calibri"/>
          <w:sz w:val="24"/>
          <w:szCs w:val="24"/>
          <w:lang w:val="en-IN" w:eastAsia="en-IN"/>
        </w:rPr>
        <w:t xml:space="preserve">. 2006;1(5):2315-9. </w:t>
      </w:r>
    </w:p>
    <w:p w:rsidRPr="001A484B" w:rsidR="00BA1316" w:rsidP="001A484B" w:rsidRDefault="00BA1316" w14:paraId="4CDE30C6" w14:textId="77AC1B26">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Cho JH, Kim JS, Kim ST, Hong JY, Park JO, Park YS, et al. Selective colony area method for heterogeneous patient-derived </w:t>
      </w:r>
      <w:proofErr w:type="spellStart"/>
      <w:r w:rsidRPr="001A484B">
        <w:rPr>
          <w:rFonts w:ascii="Calibri" w:hAnsi="Calibri" w:eastAsia="Times New Roman" w:cs="Calibri"/>
          <w:sz w:val="24"/>
          <w:szCs w:val="24"/>
          <w:lang w:val="en-IN" w:eastAsia="en-IN"/>
        </w:rPr>
        <w:t>tumor</w:t>
      </w:r>
      <w:proofErr w:type="spellEnd"/>
      <w:r w:rsidRPr="001A484B">
        <w:rPr>
          <w:rFonts w:ascii="Calibri" w:hAnsi="Calibri" w:eastAsia="Times New Roman" w:cs="Calibri"/>
          <w:sz w:val="24"/>
          <w:szCs w:val="24"/>
          <w:lang w:val="en-IN" w:eastAsia="en-IN"/>
        </w:rPr>
        <w:t xml:space="preserve"> cell lines in anti-cancer drug screening system. </w:t>
      </w:r>
      <w:proofErr w:type="spellStart"/>
      <w:r w:rsidRPr="001A484B">
        <w:rPr>
          <w:rFonts w:ascii="Calibri" w:hAnsi="Calibri" w:eastAsia="Times New Roman" w:cs="Calibri"/>
          <w:sz w:val="24"/>
          <w:szCs w:val="24"/>
          <w:lang w:val="en-IN" w:eastAsia="en-IN"/>
        </w:rPr>
        <w:t>PLoS</w:t>
      </w:r>
      <w:proofErr w:type="spellEnd"/>
      <w:r w:rsidRPr="001A484B">
        <w:rPr>
          <w:rFonts w:ascii="Calibri" w:hAnsi="Calibri" w:eastAsia="Times New Roman" w:cs="Calibri"/>
          <w:sz w:val="24"/>
          <w:szCs w:val="24"/>
          <w:lang w:val="en-IN" w:eastAsia="en-IN"/>
        </w:rPr>
        <w:t xml:space="preserve"> One. 2019;14(4</w:t>
      </w:r>
      <w:proofErr w:type="gramStart"/>
      <w:r w:rsidRPr="001A484B">
        <w:rPr>
          <w:rFonts w:ascii="Calibri" w:hAnsi="Calibri" w:eastAsia="Times New Roman" w:cs="Calibri"/>
          <w:sz w:val="24"/>
          <w:szCs w:val="24"/>
          <w:lang w:val="en-IN" w:eastAsia="en-IN"/>
        </w:rPr>
        <w:t>):e</w:t>
      </w:r>
      <w:proofErr w:type="gramEnd"/>
      <w:r w:rsidRPr="001A484B">
        <w:rPr>
          <w:rFonts w:ascii="Calibri" w:hAnsi="Calibri" w:eastAsia="Times New Roman" w:cs="Calibri"/>
          <w:sz w:val="24"/>
          <w:szCs w:val="24"/>
          <w:lang w:val="en-IN" w:eastAsia="en-IN"/>
        </w:rPr>
        <w:t xml:space="preserve">0215080. </w:t>
      </w:r>
    </w:p>
    <w:p w:rsidRPr="001A484B" w:rsidR="00BA1316" w:rsidP="001A484B" w:rsidRDefault="00BA1316" w14:paraId="0301EE0E" w14:textId="5506ADD4">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Mayani H, Dragowska W, </w:t>
      </w:r>
      <w:proofErr w:type="spellStart"/>
      <w:r w:rsidRPr="001A484B">
        <w:rPr>
          <w:rFonts w:ascii="Calibri" w:hAnsi="Calibri" w:eastAsia="Times New Roman" w:cs="Calibri"/>
          <w:sz w:val="24"/>
          <w:szCs w:val="24"/>
          <w:lang w:val="en-IN" w:eastAsia="en-IN"/>
        </w:rPr>
        <w:t>Lansdorp</w:t>
      </w:r>
      <w:proofErr w:type="spellEnd"/>
      <w:r w:rsidRPr="001A484B">
        <w:rPr>
          <w:rFonts w:ascii="Calibri" w:hAnsi="Calibri" w:eastAsia="Times New Roman" w:cs="Calibri"/>
          <w:sz w:val="24"/>
          <w:szCs w:val="24"/>
          <w:lang w:val="en-IN" w:eastAsia="en-IN"/>
        </w:rPr>
        <w:t xml:space="preserve"> PM. Cytokine-induced selective expansion and maturation of erythroid versus myeloid progenitors from purified cord blood precursor cells. Blood. 1993;81(12):3252-8. </w:t>
      </w:r>
    </w:p>
    <w:p w:rsidRPr="001A484B" w:rsidR="00BA1316" w:rsidP="001A484B" w:rsidRDefault="00BA1316" w14:paraId="7C16458E" w14:textId="72030102">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STEMCELL Technologies. Human colony-forming unit (CFU) assays using </w:t>
      </w:r>
      <w:proofErr w:type="spellStart"/>
      <w:r w:rsidRPr="001A484B">
        <w:rPr>
          <w:rFonts w:ascii="Calibri" w:hAnsi="Calibri" w:eastAsia="Times New Roman" w:cs="Calibri"/>
          <w:sz w:val="24"/>
          <w:szCs w:val="24"/>
          <w:lang w:val="en-IN" w:eastAsia="en-IN"/>
        </w:rPr>
        <w:t>MethoCult</w:t>
      </w:r>
      <w:proofErr w:type="spellEnd"/>
      <w:r w:rsidRPr="001A484B">
        <w:rPr>
          <w:rFonts w:ascii="Calibri" w:hAnsi="Calibri" w:eastAsia="Times New Roman" w:cs="Calibri"/>
          <w:sz w:val="24"/>
          <w:szCs w:val="24"/>
          <w:lang w:val="en-IN" w:eastAsia="en-IN"/>
        </w:rPr>
        <w:t xml:space="preserve">. Technical manual version 4.6.0. Vancouver (BC): STEMCELL Technologies; 2019. </w:t>
      </w:r>
    </w:p>
    <w:p w:rsidRPr="001A484B" w:rsidR="00BA1316" w:rsidP="001A484B" w:rsidRDefault="00BA1316" w14:paraId="7D775ACF" w14:textId="1D163E3D">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proofErr w:type="spellStart"/>
      <w:r w:rsidRPr="001A484B">
        <w:rPr>
          <w:rFonts w:ascii="Calibri" w:hAnsi="Calibri" w:eastAsia="Times New Roman" w:cs="Calibri"/>
          <w:sz w:val="24"/>
          <w:szCs w:val="24"/>
          <w:lang w:val="en-IN" w:eastAsia="en-IN"/>
        </w:rPr>
        <w:t>Gribaldo</w:t>
      </w:r>
      <w:proofErr w:type="spellEnd"/>
      <w:r w:rsidRPr="001A484B">
        <w:rPr>
          <w:rFonts w:ascii="Calibri" w:hAnsi="Calibri" w:eastAsia="Times New Roman" w:cs="Calibri"/>
          <w:sz w:val="24"/>
          <w:szCs w:val="24"/>
          <w:lang w:val="en-IN" w:eastAsia="en-IN"/>
        </w:rPr>
        <w:t xml:space="preserve"> L, Casati S, Castoldi AF, Pessina A. Comparison of </w:t>
      </w:r>
      <w:r w:rsidRPr="00437611">
        <w:rPr>
          <w:rFonts w:ascii="Calibri" w:hAnsi="Calibri" w:eastAsia="Times New Roman" w:cs="Calibri"/>
          <w:i/>
          <w:iCs/>
          <w:sz w:val="24"/>
          <w:szCs w:val="24"/>
          <w:lang w:val="en-IN" w:eastAsia="en-IN"/>
        </w:rPr>
        <w:t>in vitro</w:t>
      </w:r>
      <w:r w:rsidRPr="001A484B">
        <w:rPr>
          <w:rFonts w:ascii="Calibri" w:hAnsi="Calibri" w:eastAsia="Times New Roman" w:cs="Calibri"/>
          <w:sz w:val="24"/>
          <w:szCs w:val="24"/>
          <w:lang w:val="en-IN" w:eastAsia="en-IN"/>
        </w:rPr>
        <w:t xml:space="preserve"> drug-sensitivity of human granulocyte-macrophage progenitors from two different origins: umbilical cord blood and bone marrow. Exp </w:t>
      </w:r>
      <w:proofErr w:type="spellStart"/>
      <w:r w:rsidRPr="001A484B">
        <w:rPr>
          <w:rFonts w:ascii="Calibri" w:hAnsi="Calibri" w:eastAsia="Times New Roman" w:cs="Calibri"/>
          <w:sz w:val="24"/>
          <w:szCs w:val="24"/>
          <w:lang w:val="en-IN" w:eastAsia="en-IN"/>
        </w:rPr>
        <w:t>Hematol</w:t>
      </w:r>
      <w:proofErr w:type="spellEnd"/>
      <w:r w:rsidRPr="001A484B">
        <w:rPr>
          <w:rFonts w:ascii="Calibri" w:hAnsi="Calibri" w:eastAsia="Times New Roman" w:cs="Calibri"/>
          <w:sz w:val="24"/>
          <w:szCs w:val="24"/>
          <w:lang w:val="en-IN" w:eastAsia="en-IN"/>
        </w:rPr>
        <w:t xml:space="preserve">. 1999;27(11):1593-8. </w:t>
      </w:r>
    </w:p>
    <w:p w:rsidRPr="001A484B" w:rsidR="00BA1316" w:rsidP="001A484B" w:rsidRDefault="00BA1316" w14:paraId="66E3C2A4" w14:textId="52D15B45">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Brown JI, Persaud R, Iliev P, Karmacharya U, </w:t>
      </w:r>
      <w:proofErr w:type="spellStart"/>
      <w:r w:rsidRPr="001A484B">
        <w:rPr>
          <w:rFonts w:ascii="Calibri" w:hAnsi="Calibri" w:eastAsia="Times New Roman" w:cs="Calibri"/>
          <w:sz w:val="24"/>
          <w:szCs w:val="24"/>
          <w:lang w:val="en-IN" w:eastAsia="en-IN"/>
        </w:rPr>
        <w:t>Attarha</w:t>
      </w:r>
      <w:proofErr w:type="spellEnd"/>
      <w:r w:rsidRPr="001A484B">
        <w:rPr>
          <w:rFonts w:ascii="Calibri" w:hAnsi="Calibri" w:eastAsia="Times New Roman" w:cs="Calibri"/>
          <w:sz w:val="24"/>
          <w:szCs w:val="24"/>
          <w:lang w:val="en-IN" w:eastAsia="en-IN"/>
        </w:rPr>
        <w:t xml:space="preserve"> S, </w:t>
      </w:r>
      <w:proofErr w:type="spellStart"/>
      <w:r w:rsidRPr="001A484B">
        <w:rPr>
          <w:rFonts w:ascii="Calibri" w:hAnsi="Calibri" w:eastAsia="Times New Roman" w:cs="Calibri"/>
          <w:sz w:val="24"/>
          <w:szCs w:val="24"/>
          <w:lang w:val="en-IN" w:eastAsia="en-IN"/>
        </w:rPr>
        <w:t>Sahile</w:t>
      </w:r>
      <w:proofErr w:type="spellEnd"/>
      <w:r w:rsidRPr="001A484B">
        <w:rPr>
          <w:rFonts w:ascii="Calibri" w:hAnsi="Calibri" w:eastAsia="Times New Roman" w:cs="Calibri"/>
          <w:sz w:val="24"/>
          <w:szCs w:val="24"/>
          <w:lang w:val="en-IN" w:eastAsia="en-IN"/>
        </w:rPr>
        <w:t xml:space="preserve"> H, et al. Investigating the anti-cancer potential of pyrimethamine analogues through a modern chemical biology lens. </w:t>
      </w:r>
      <w:proofErr w:type="spellStart"/>
      <w:r w:rsidRPr="001A484B">
        <w:rPr>
          <w:rFonts w:ascii="Calibri" w:hAnsi="Calibri" w:eastAsia="Times New Roman" w:cs="Calibri"/>
          <w:sz w:val="24"/>
          <w:szCs w:val="24"/>
          <w:lang w:val="en-IN" w:eastAsia="en-IN"/>
        </w:rPr>
        <w:t>Eur</w:t>
      </w:r>
      <w:proofErr w:type="spellEnd"/>
      <w:r w:rsidRPr="001A484B">
        <w:rPr>
          <w:rFonts w:ascii="Calibri" w:hAnsi="Calibri" w:eastAsia="Times New Roman" w:cs="Calibri"/>
          <w:sz w:val="24"/>
          <w:szCs w:val="24"/>
          <w:lang w:val="en-IN" w:eastAsia="en-IN"/>
        </w:rPr>
        <w:t xml:space="preserve"> J Med Chem. </w:t>
      </w:r>
      <w:proofErr w:type="gramStart"/>
      <w:r w:rsidRPr="001A484B">
        <w:rPr>
          <w:rFonts w:ascii="Calibri" w:hAnsi="Calibri" w:eastAsia="Times New Roman" w:cs="Calibri"/>
          <w:sz w:val="24"/>
          <w:szCs w:val="24"/>
          <w:lang w:val="en-IN" w:eastAsia="en-IN"/>
        </w:rPr>
        <w:t>2024;264:115971</w:t>
      </w:r>
      <w:proofErr w:type="gramEnd"/>
      <w:r w:rsidRPr="001A484B">
        <w:rPr>
          <w:rFonts w:ascii="Calibri" w:hAnsi="Calibri" w:eastAsia="Times New Roman" w:cs="Calibri"/>
          <w:sz w:val="24"/>
          <w:szCs w:val="24"/>
          <w:lang w:val="en-IN" w:eastAsia="en-IN"/>
        </w:rPr>
        <w:t xml:space="preserve">. </w:t>
      </w:r>
    </w:p>
    <w:p w:rsidRPr="001A484B" w:rsidR="00BA1316" w:rsidP="001A484B" w:rsidRDefault="00BA1316" w14:paraId="4AAEE8C4" w14:textId="1F1F9D18">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Liu H, Qin Y, Zhai D, Zhang Q, Gu J, Tang Y, et al. Antimalarial drug pyrimethamine plays a dual role in antitumor proliferation and metastasis through targeting DHFR and TP. Mol Cancer Ther. 2019;18(3):541-55. </w:t>
      </w:r>
    </w:p>
    <w:p w:rsidRPr="001A484B" w:rsidR="00BA1316" w:rsidP="001A484B" w:rsidRDefault="00BA1316" w14:paraId="33248337" w14:textId="4B748217">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Khan MW, Saadalla A, </w:t>
      </w:r>
      <w:proofErr w:type="spellStart"/>
      <w:r w:rsidRPr="001A484B">
        <w:rPr>
          <w:rFonts w:ascii="Calibri" w:hAnsi="Calibri" w:eastAsia="Times New Roman" w:cs="Calibri"/>
          <w:sz w:val="24"/>
          <w:szCs w:val="24"/>
          <w:lang w:val="en-IN" w:eastAsia="en-IN"/>
        </w:rPr>
        <w:t>Ewida</w:t>
      </w:r>
      <w:proofErr w:type="spellEnd"/>
      <w:r w:rsidRPr="001A484B">
        <w:rPr>
          <w:rFonts w:ascii="Calibri" w:hAnsi="Calibri" w:eastAsia="Times New Roman" w:cs="Calibri"/>
          <w:sz w:val="24"/>
          <w:szCs w:val="24"/>
          <w:lang w:val="en-IN" w:eastAsia="en-IN"/>
        </w:rPr>
        <w:t xml:space="preserve"> AH, Al-</w:t>
      </w:r>
      <w:proofErr w:type="spellStart"/>
      <w:r w:rsidRPr="001A484B">
        <w:rPr>
          <w:rFonts w:ascii="Calibri" w:hAnsi="Calibri" w:eastAsia="Times New Roman" w:cs="Calibri"/>
          <w:sz w:val="24"/>
          <w:szCs w:val="24"/>
          <w:lang w:val="en-IN" w:eastAsia="en-IN"/>
        </w:rPr>
        <w:t>Katranji</w:t>
      </w:r>
      <w:proofErr w:type="spellEnd"/>
      <w:r w:rsidRPr="001A484B">
        <w:rPr>
          <w:rFonts w:ascii="Calibri" w:hAnsi="Calibri" w:eastAsia="Times New Roman" w:cs="Calibri"/>
          <w:sz w:val="24"/>
          <w:szCs w:val="24"/>
          <w:lang w:val="en-IN" w:eastAsia="en-IN"/>
        </w:rPr>
        <w:t xml:space="preserve"> K, Al-Saoudi G, Giaccone ZT, et al. The STAT3 inhibitor pyrimethamine displays anti-cancer and immune stimulatory effects in murine models of breast cancer. Cancer Immunol </w:t>
      </w:r>
      <w:proofErr w:type="spellStart"/>
      <w:r w:rsidRPr="001A484B">
        <w:rPr>
          <w:rFonts w:ascii="Calibri" w:hAnsi="Calibri" w:eastAsia="Times New Roman" w:cs="Calibri"/>
          <w:sz w:val="24"/>
          <w:szCs w:val="24"/>
          <w:lang w:val="en-IN" w:eastAsia="en-IN"/>
        </w:rPr>
        <w:t>Immunother</w:t>
      </w:r>
      <w:proofErr w:type="spellEnd"/>
      <w:r w:rsidRPr="001A484B">
        <w:rPr>
          <w:rFonts w:ascii="Calibri" w:hAnsi="Calibri" w:eastAsia="Times New Roman" w:cs="Calibri"/>
          <w:sz w:val="24"/>
          <w:szCs w:val="24"/>
          <w:lang w:val="en-IN" w:eastAsia="en-IN"/>
        </w:rPr>
        <w:t xml:space="preserve">. 2018;67(1):13-23. </w:t>
      </w:r>
    </w:p>
    <w:p w:rsidRPr="001A484B" w:rsidR="00BA1316" w:rsidP="001A484B" w:rsidRDefault="00BA1316" w14:paraId="1ACAB0EC" w14:textId="0B184768">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lastRenderedPageBreak/>
        <w:t xml:space="preserve">Rivera-Peña B, Chakraborty S, Shi Y, Zhang H, Desai SR, Patel PP, et al. Pyrimethamine overcomes resistance to hypomethylating agents by reducing de novo pyrimidine synthesis. Exp </w:t>
      </w:r>
      <w:proofErr w:type="spellStart"/>
      <w:r w:rsidRPr="001A484B">
        <w:rPr>
          <w:rFonts w:ascii="Calibri" w:hAnsi="Calibri" w:eastAsia="Times New Roman" w:cs="Calibri"/>
          <w:sz w:val="24"/>
          <w:szCs w:val="24"/>
          <w:lang w:val="en-IN" w:eastAsia="en-IN"/>
        </w:rPr>
        <w:t>Hematol</w:t>
      </w:r>
      <w:proofErr w:type="spellEnd"/>
      <w:r w:rsidRPr="001A484B">
        <w:rPr>
          <w:rFonts w:ascii="Calibri" w:hAnsi="Calibri" w:eastAsia="Times New Roman" w:cs="Calibri"/>
          <w:sz w:val="24"/>
          <w:szCs w:val="24"/>
          <w:lang w:val="en-IN" w:eastAsia="en-IN"/>
        </w:rPr>
        <w:t xml:space="preserve">. </w:t>
      </w:r>
      <w:proofErr w:type="gramStart"/>
      <w:r w:rsidRPr="001A484B">
        <w:rPr>
          <w:rFonts w:ascii="Calibri" w:hAnsi="Calibri" w:eastAsia="Times New Roman" w:cs="Calibri"/>
          <w:sz w:val="24"/>
          <w:szCs w:val="24"/>
          <w:lang w:val="en-IN" w:eastAsia="en-IN"/>
        </w:rPr>
        <w:t>2026;</w:t>
      </w:r>
      <w:r w:rsidRPr="001A484B" w:rsidR="00E971CF">
        <w:rPr>
          <w:rFonts w:ascii="Calibri" w:hAnsi="Calibri" w:eastAsia="Times New Roman" w:cs="Calibri"/>
          <w:sz w:val="24"/>
          <w:szCs w:val="24"/>
          <w:lang w:val="en-IN" w:eastAsia="en-IN"/>
        </w:rPr>
        <w:t>156</w:t>
      </w:r>
      <w:r w:rsidRPr="001A484B" w:rsidR="00BA5A50">
        <w:rPr>
          <w:rFonts w:ascii="Calibri" w:hAnsi="Calibri" w:eastAsia="Times New Roman" w:cs="Calibri"/>
          <w:sz w:val="24"/>
          <w:szCs w:val="24"/>
          <w:lang w:val="en-IN" w:eastAsia="en-IN"/>
        </w:rPr>
        <w:t>:</w:t>
      </w:r>
      <w:r w:rsidRPr="001A484B">
        <w:rPr>
          <w:rFonts w:ascii="Calibri" w:hAnsi="Calibri" w:eastAsia="Times New Roman" w:cs="Calibri"/>
          <w:sz w:val="24"/>
          <w:szCs w:val="24"/>
          <w:lang w:val="en-IN" w:eastAsia="en-IN"/>
        </w:rPr>
        <w:t>105382</w:t>
      </w:r>
      <w:proofErr w:type="gramEnd"/>
      <w:r w:rsidRPr="001A484B">
        <w:rPr>
          <w:rFonts w:ascii="Calibri" w:hAnsi="Calibri" w:eastAsia="Times New Roman" w:cs="Calibri"/>
          <w:sz w:val="24"/>
          <w:szCs w:val="24"/>
          <w:lang w:val="en-IN" w:eastAsia="en-IN"/>
        </w:rPr>
        <w:t xml:space="preserve">. </w:t>
      </w:r>
    </w:p>
    <w:p w:rsidRPr="001A484B" w:rsidR="00BA1316" w:rsidP="001A484B" w:rsidRDefault="00BA1316" w14:paraId="6CF1FC56" w14:textId="002FC910">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DiNardo CD, Pratz KW, </w:t>
      </w:r>
      <w:proofErr w:type="spellStart"/>
      <w:r w:rsidRPr="001A484B">
        <w:rPr>
          <w:rFonts w:ascii="Calibri" w:hAnsi="Calibri" w:eastAsia="Times New Roman" w:cs="Calibri"/>
          <w:sz w:val="24"/>
          <w:szCs w:val="24"/>
          <w:lang w:val="en-IN" w:eastAsia="en-IN"/>
        </w:rPr>
        <w:t>Letai</w:t>
      </w:r>
      <w:proofErr w:type="spellEnd"/>
      <w:r w:rsidRPr="001A484B">
        <w:rPr>
          <w:rFonts w:ascii="Calibri" w:hAnsi="Calibri" w:eastAsia="Times New Roman" w:cs="Calibri"/>
          <w:sz w:val="24"/>
          <w:szCs w:val="24"/>
          <w:lang w:val="en-IN" w:eastAsia="en-IN"/>
        </w:rPr>
        <w:t xml:space="preserve"> A, Jonas BA, Wei AH, Thirman M, et al. Safety and preliminary efficacy of </w:t>
      </w:r>
      <w:proofErr w:type="spellStart"/>
      <w:r w:rsidRPr="001A484B">
        <w:rPr>
          <w:rFonts w:ascii="Calibri" w:hAnsi="Calibri" w:eastAsia="Times New Roman" w:cs="Calibri"/>
          <w:sz w:val="24"/>
          <w:szCs w:val="24"/>
          <w:lang w:val="en-IN" w:eastAsia="en-IN"/>
        </w:rPr>
        <w:t>venetoclax</w:t>
      </w:r>
      <w:proofErr w:type="spellEnd"/>
      <w:r w:rsidRPr="001A484B">
        <w:rPr>
          <w:rFonts w:ascii="Calibri" w:hAnsi="Calibri" w:eastAsia="Times New Roman" w:cs="Calibri"/>
          <w:sz w:val="24"/>
          <w:szCs w:val="24"/>
          <w:lang w:val="en-IN" w:eastAsia="en-IN"/>
        </w:rPr>
        <w:t xml:space="preserve"> with decitabine or azacitidine in elderly patients with previously untreated acute myeloid leukaemia: a non-randomised, open-label, phase 1b study. Lancet Oncol. 2018;19(2):216-28. </w:t>
      </w:r>
    </w:p>
    <w:p w:rsidRPr="001A484B" w:rsidR="00BA1316" w:rsidP="001A484B" w:rsidRDefault="00BA1316" w14:paraId="1A6A6EB3" w14:textId="332497E2">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proofErr w:type="spellStart"/>
      <w:r w:rsidRPr="001A484B">
        <w:rPr>
          <w:rFonts w:ascii="Calibri" w:hAnsi="Calibri" w:eastAsia="Times New Roman" w:cs="Calibri"/>
          <w:sz w:val="24"/>
          <w:szCs w:val="24"/>
          <w:lang w:val="en-IN" w:eastAsia="en-IN"/>
        </w:rPr>
        <w:t>Konopleva</w:t>
      </w:r>
      <w:proofErr w:type="spellEnd"/>
      <w:r w:rsidRPr="001A484B">
        <w:rPr>
          <w:rFonts w:ascii="Calibri" w:hAnsi="Calibri" w:eastAsia="Times New Roman" w:cs="Calibri"/>
          <w:sz w:val="24"/>
          <w:szCs w:val="24"/>
          <w:lang w:val="en-IN" w:eastAsia="en-IN"/>
        </w:rPr>
        <w:t xml:space="preserve"> M, </w:t>
      </w:r>
      <w:proofErr w:type="spellStart"/>
      <w:r w:rsidRPr="001A484B">
        <w:rPr>
          <w:rFonts w:ascii="Calibri" w:hAnsi="Calibri" w:eastAsia="Times New Roman" w:cs="Calibri"/>
          <w:sz w:val="24"/>
          <w:szCs w:val="24"/>
          <w:lang w:val="en-IN" w:eastAsia="en-IN"/>
        </w:rPr>
        <w:t>Pollyea</w:t>
      </w:r>
      <w:proofErr w:type="spellEnd"/>
      <w:r w:rsidRPr="001A484B">
        <w:rPr>
          <w:rFonts w:ascii="Calibri" w:hAnsi="Calibri" w:eastAsia="Times New Roman" w:cs="Calibri"/>
          <w:sz w:val="24"/>
          <w:szCs w:val="24"/>
          <w:lang w:val="en-IN" w:eastAsia="en-IN"/>
        </w:rPr>
        <w:t xml:space="preserve"> DA, Potluri J, Chyla B, </w:t>
      </w:r>
      <w:proofErr w:type="spellStart"/>
      <w:r w:rsidRPr="001A484B">
        <w:rPr>
          <w:rFonts w:ascii="Calibri" w:hAnsi="Calibri" w:eastAsia="Times New Roman" w:cs="Calibri"/>
          <w:sz w:val="24"/>
          <w:szCs w:val="24"/>
          <w:lang w:val="en-IN" w:eastAsia="en-IN"/>
        </w:rPr>
        <w:t>Hogdal</w:t>
      </w:r>
      <w:proofErr w:type="spellEnd"/>
      <w:r w:rsidRPr="001A484B">
        <w:rPr>
          <w:rFonts w:ascii="Calibri" w:hAnsi="Calibri" w:eastAsia="Times New Roman" w:cs="Calibri"/>
          <w:sz w:val="24"/>
          <w:szCs w:val="24"/>
          <w:lang w:val="en-IN" w:eastAsia="en-IN"/>
        </w:rPr>
        <w:t xml:space="preserve"> L, Busman T, et al. Efficacy and biological correlates of response in a phase II study of </w:t>
      </w:r>
      <w:proofErr w:type="spellStart"/>
      <w:r w:rsidRPr="001A484B">
        <w:rPr>
          <w:rFonts w:ascii="Calibri" w:hAnsi="Calibri" w:eastAsia="Times New Roman" w:cs="Calibri"/>
          <w:sz w:val="24"/>
          <w:szCs w:val="24"/>
          <w:lang w:val="en-IN" w:eastAsia="en-IN"/>
        </w:rPr>
        <w:t>venetoclax</w:t>
      </w:r>
      <w:proofErr w:type="spellEnd"/>
      <w:r w:rsidRPr="001A484B">
        <w:rPr>
          <w:rFonts w:ascii="Calibri" w:hAnsi="Calibri" w:eastAsia="Times New Roman" w:cs="Calibri"/>
          <w:sz w:val="24"/>
          <w:szCs w:val="24"/>
          <w:lang w:val="en-IN" w:eastAsia="en-IN"/>
        </w:rPr>
        <w:t xml:space="preserve"> monotherapy in patients with acute myelogenous </w:t>
      </w:r>
      <w:proofErr w:type="spellStart"/>
      <w:r w:rsidRPr="001A484B">
        <w:rPr>
          <w:rFonts w:ascii="Calibri" w:hAnsi="Calibri" w:eastAsia="Times New Roman" w:cs="Calibri"/>
          <w:sz w:val="24"/>
          <w:szCs w:val="24"/>
          <w:lang w:val="en-IN" w:eastAsia="en-IN"/>
        </w:rPr>
        <w:t>leukemia</w:t>
      </w:r>
      <w:proofErr w:type="spellEnd"/>
      <w:r w:rsidRPr="001A484B">
        <w:rPr>
          <w:rFonts w:ascii="Calibri" w:hAnsi="Calibri" w:eastAsia="Times New Roman" w:cs="Calibri"/>
          <w:sz w:val="24"/>
          <w:szCs w:val="24"/>
          <w:lang w:val="en-IN" w:eastAsia="en-IN"/>
        </w:rPr>
        <w:t xml:space="preserve">. Cancer </w:t>
      </w:r>
      <w:proofErr w:type="spellStart"/>
      <w:r w:rsidRPr="001A484B">
        <w:rPr>
          <w:rFonts w:ascii="Calibri" w:hAnsi="Calibri" w:eastAsia="Times New Roman" w:cs="Calibri"/>
          <w:sz w:val="24"/>
          <w:szCs w:val="24"/>
          <w:lang w:val="en-IN" w:eastAsia="en-IN"/>
        </w:rPr>
        <w:t>Discov</w:t>
      </w:r>
      <w:proofErr w:type="spellEnd"/>
      <w:r w:rsidRPr="001A484B">
        <w:rPr>
          <w:rFonts w:ascii="Calibri" w:hAnsi="Calibri" w:eastAsia="Times New Roman" w:cs="Calibri"/>
          <w:sz w:val="24"/>
          <w:szCs w:val="24"/>
          <w:lang w:val="en-IN" w:eastAsia="en-IN"/>
        </w:rPr>
        <w:t xml:space="preserve">. 2016;6(10):1106-17. </w:t>
      </w:r>
    </w:p>
    <w:p w:rsidRPr="001A484B" w:rsidR="00BA1316" w:rsidP="001A484B" w:rsidRDefault="00BA1316" w14:paraId="00257B75" w14:textId="7E945BE6">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Armstrong Lumley M, Burgess R, Billingham LJ, McDonald DF, Milligan DW. Colony counting is a major source of variation in CFU-GM results between centres. Br J Haematol. 1997;97(2):481-4. </w:t>
      </w:r>
    </w:p>
    <w:p w:rsidRPr="001A484B" w:rsidR="00BA1316" w:rsidP="001A484B" w:rsidRDefault="00BA1316" w14:paraId="38FDF459" w14:textId="29E9261B">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Lamana M, </w:t>
      </w:r>
      <w:proofErr w:type="spellStart"/>
      <w:r w:rsidRPr="001A484B">
        <w:rPr>
          <w:rFonts w:ascii="Calibri" w:hAnsi="Calibri" w:eastAsia="Times New Roman" w:cs="Calibri"/>
          <w:sz w:val="24"/>
          <w:szCs w:val="24"/>
          <w:lang w:val="en-IN" w:eastAsia="en-IN"/>
        </w:rPr>
        <w:t>Albella</w:t>
      </w:r>
      <w:proofErr w:type="spellEnd"/>
      <w:r w:rsidRPr="001A484B">
        <w:rPr>
          <w:rFonts w:ascii="Calibri" w:hAnsi="Calibri" w:eastAsia="Times New Roman" w:cs="Calibri"/>
          <w:sz w:val="24"/>
          <w:szCs w:val="24"/>
          <w:lang w:val="en-IN" w:eastAsia="en-IN"/>
        </w:rPr>
        <w:t xml:space="preserve"> B, Rodríguez F, Regidor C, Bueren JA. Conclusions of a national </w:t>
      </w:r>
      <w:proofErr w:type="spellStart"/>
      <w:r w:rsidRPr="001A484B">
        <w:rPr>
          <w:rFonts w:ascii="Calibri" w:hAnsi="Calibri" w:eastAsia="Times New Roman" w:cs="Calibri"/>
          <w:sz w:val="24"/>
          <w:szCs w:val="24"/>
          <w:lang w:val="en-IN" w:eastAsia="en-IN"/>
        </w:rPr>
        <w:t>multicenter</w:t>
      </w:r>
      <w:proofErr w:type="spellEnd"/>
      <w:r w:rsidRPr="001A484B">
        <w:rPr>
          <w:rFonts w:ascii="Calibri" w:hAnsi="Calibri" w:eastAsia="Times New Roman" w:cs="Calibri"/>
          <w:sz w:val="24"/>
          <w:szCs w:val="24"/>
          <w:lang w:val="en-IN" w:eastAsia="en-IN"/>
        </w:rPr>
        <w:t xml:space="preserve"> </w:t>
      </w:r>
      <w:proofErr w:type="spellStart"/>
      <w:r w:rsidRPr="001A484B">
        <w:rPr>
          <w:rFonts w:ascii="Calibri" w:hAnsi="Calibri" w:eastAsia="Times New Roman" w:cs="Calibri"/>
          <w:sz w:val="24"/>
          <w:szCs w:val="24"/>
          <w:lang w:val="en-IN" w:eastAsia="en-IN"/>
        </w:rPr>
        <w:t>intercomparative</w:t>
      </w:r>
      <w:proofErr w:type="spellEnd"/>
      <w:r w:rsidRPr="001A484B">
        <w:rPr>
          <w:rFonts w:ascii="Calibri" w:hAnsi="Calibri" w:eastAsia="Times New Roman" w:cs="Calibri"/>
          <w:sz w:val="24"/>
          <w:szCs w:val="24"/>
          <w:lang w:val="en-IN" w:eastAsia="en-IN"/>
        </w:rPr>
        <w:t xml:space="preserve"> study of </w:t>
      </w:r>
      <w:r w:rsidRPr="00437611">
        <w:rPr>
          <w:rFonts w:ascii="Calibri" w:hAnsi="Calibri" w:eastAsia="Times New Roman" w:cs="Calibri"/>
          <w:i/>
          <w:iCs/>
          <w:sz w:val="24"/>
          <w:szCs w:val="24"/>
          <w:lang w:val="en-IN" w:eastAsia="en-IN"/>
        </w:rPr>
        <w:t>in vitro</w:t>
      </w:r>
      <w:r w:rsidRPr="001A484B">
        <w:rPr>
          <w:rFonts w:ascii="Calibri" w:hAnsi="Calibri" w:eastAsia="Times New Roman" w:cs="Calibri"/>
          <w:sz w:val="24"/>
          <w:szCs w:val="24"/>
          <w:lang w:val="en-IN" w:eastAsia="en-IN"/>
        </w:rPr>
        <w:t xml:space="preserve"> cultures of human hematopoietic progenitors. Bone Marrow Transplant. 1999;23(4):373-80. </w:t>
      </w:r>
    </w:p>
    <w:p w:rsidRPr="001A484B" w:rsidR="00BA1316" w:rsidP="001A484B" w:rsidRDefault="00BA1316" w14:paraId="0193C0B2" w14:textId="52C85ADE">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proofErr w:type="spellStart"/>
      <w:r w:rsidRPr="001A484B">
        <w:rPr>
          <w:rFonts w:ascii="Calibri" w:hAnsi="Calibri" w:eastAsia="Times New Roman" w:cs="Calibri"/>
          <w:sz w:val="24"/>
          <w:szCs w:val="24"/>
          <w:lang w:val="en-IN" w:eastAsia="en-IN"/>
        </w:rPr>
        <w:t>Moroff</w:t>
      </w:r>
      <w:proofErr w:type="spellEnd"/>
      <w:r w:rsidRPr="001A484B">
        <w:rPr>
          <w:rFonts w:ascii="Calibri" w:hAnsi="Calibri" w:eastAsia="Times New Roman" w:cs="Calibri"/>
          <w:sz w:val="24"/>
          <w:szCs w:val="24"/>
          <w:lang w:val="en-IN" w:eastAsia="en-IN"/>
        </w:rPr>
        <w:t xml:space="preserve"> G, Eichler H, Brand A, </w:t>
      </w:r>
      <w:proofErr w:type="spellStart"/>
      <w:r w:rsidRPr="001A484B">
        <w:rPr>
          <w:rFonts w:ascii="Calibri" w:hAnsi="Calibri" w:eastAsia="Times New Roman" w:cs="Calibri"/>
          <w:sz w:val="24"/>
          <w:szCs w:val="24"/>
          <w:lang w:val="en-IN" w:eastAsia="en-IN"/>
        </w:rPr>
        <w:t>Kekomäki</w:t>
      </w:r>
      <w:proofErr w:type="spellEnd"/>
      <w:r w:rsidRPr="001A484B">
        <w:rPr>
          <w:rFonts w:ascii="Calibri" w:hAnsi="Calibri" w:eastAsia="Times New Roman" w:cs="Calibri"/>
          <w:sz w:val="24"/>
          <w:szCs w:val="24"/>
          <w:lang w:val="en-IN" w:eastAsia="en-IN"/>
        </w:rPr>
        <w:t xml:space="preserve"> R, Kurtz J, </w:t>
      </w:r>
      <w:proofErr w:type="spellStart"/>
      <w:r w:rsidRPr="001A484B">
        <w:rPr>
          <w:rFonts w:ascii="Calibri" w:hAnsi="Calibri" w:eastAsia="Times New Roman" w:cs="Calibri"/>
          <w:sz w:val="24"/>
          <w:szCs w:val="24"/>
          <w:lang w:val="en-IN" w:eastAsia="en-IN"/>
        </w:rPr>
        <w:t>Letowska</w:t>
      </w:r>
      <w:proofErr w:type="spellEnd"/>
      <w:r w:rsidRPr="001A484B">
        <w:rPr>
          <w:rFonts w:ascii="Calibri" w:hAnsi="Calibri" w:eastAsia="Times New Roman" w:cs="Calibri"/>
          <w:sz w:val="24"/>
          <w:szCs w:val="24"/>
          <w:lang w:val="en-IN" w:eastAsia="en-IN"/>
        </w:rPr>
        <w:t xml:space="preserve"> M, et al. Multiple-laboratory comparison of </w:t>
      </w:r>
      <w:r w:rsidRPr="00437611">
        <w:rPr>
          <w:rFonts w:ascii="Calibri" w:hAnsi="Calibri" w:eastAsia="Times New Roman" w:cs="Calibri"/>
          <w:i/>
          <w:iCs/>
          <w:sz w:val="24"/>
          <w:szCs w:val="24"/>
          <w:lang w:val="en-IN" w:eastAsia="en-IN"/>
        </w:rPr>
        <w:t>in vitro</w:t>
      </w:r>
      <w:r w:rsidRPr="001A484B">
        <w:rPr>
          <w:rFonts w:ascii="Calibri" w:hAnsi="Calibri" w:eastAsia="Times New Roman" w:cs="Calibri"/>
          <w:sz w:val="24"/>
          <w:szCs w:val="24"/>
          <w:lang w:val="en-IN" w:eastAsia="en-IN"/>
        </w:rPr>
        <w:t xml:space="preserve"> assays utilized to characterize hematopoietic cells in cord blood. Transfusion. 2006;46(4):507-15. </w:t>
      </w:r>
    </w:p>
    <w:p w:rsidRPr="001A484B" w:rsidR="00BA1316" w:rsidP="001A484B" w:rsidRDefault="00BA1316" w14:paraId="1C541DAB" w14:textId="627CE285">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Morrison SJ, Scadden DT. The bone marrow niche for haematopoietic stem cells. Nature. 2014;505(7483):327-34. </w:t>
      </w:r>
    </w:p>
    <w:p w:rsidRPr="001A484B" w:rsidR="00BA1316" w:rsidP="001A484B" w:rsidRDefault="00BA1316" w14:paraId="6202FB04" w14:textId="4D062B8D">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proofErr w:type="spellStart"/>
      <w:r w:rsidRPr="001A484B">
        <w:rPr>
          <w:rFonts w:ascii="Calibri" w:hAnsi="Calibri" w:eastAsia="Times New Roman" w:cs="Calibri"/>
          <w:sz w:val="24"/>
          <w:szCs w:val="24"/>
          <w:lang w:val="en-IN" w:eastAsia="en-IN"/>
        </w:rPr>
        <w:t>Shlush</w:t>
      </w:r>
      <w:proofErr w:type="spellEnd"/>
      <w:r w:rsidRPr="001A484B">
        <w:rPr>
          <w:rFonts w:ascii="Calibri" w:hAnsi="Calibri" w:eastAsia="Times New Roman" w:cs="Calibri"/>
          <w:sz w:val="24"/>
          <w:szCs w:val="24"/>
          <w:lang w:val="en-IN" w:eastAsia="en-IN"/>
        </w:rPr>
        <w:t xml:space="preserve"> LI, Zandi S, Mitchell A, Chen WC, Brandwein JM, Gupta V, et al. Identification of pre-</w:t>
      </w:r>
      <w:proofErr w:type="spellStart"/>
      <w:r w:rsidRPr="001A484B">
        <w:rPr>
          <w:rFonts w:ascii="Calibri" w:hAnsi="Calibri" w:eastAsia="Times New Roman" w:cs="Calibri"/>
          <w:sz w:val="24"/>
          <w:szCs w:val="24"/>
          <w:lang w:val="en-IN" w:eastAsia="en-IN"/>
        </w:rPr>
        <w:t>leukaemic</w:t>
      </w:r>
      <w:proofErr w:type="spellEnd"/>
      <w:r w:rsidRPr="001A484B">
        <w:rPr>
          <w:rFonts w:ascii="Calibri" w:hAnsi="Calibri" w:eastAsia="Times New Roman" w:cs="Calibri"/>
          <w:sz w:val="24"/>
          <w:szCs w:val="24"/>
          <w:lang w:val="en-IN" w:eastAsia="en-IN"/>
        </w:rPr>
        <w:t xml:space="preserve"> haematopoietic stem cells in acute leukaemia. Nature. 2014;506(7488):328-33. </w:t>
      </w:r>
    </w:p>
    <w:p w:rsidRPr="001A484B" w:rsidR="00BA1316" w:rsidP="001A484B" w:rsidRDefault="00BA1316" w14:paraId="2764C240" w14:textId="13B799FE">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Becker AJ, McCulloch EA, Till JE. Cytological demonstration of the clonal nature of spleen colonies derived from transplanted mouse marrow cells. Nature. 1963;197(4866):452-4. </w:t>
      </w:r>
    </w:p>
    <w:p w:rsidRPr="001A484B" w:rsidR="00BA1316" w:rsidP="001A484B" w:rsidRDefault="00BA1316" w14:paraId="5F7CE1B9" w14:textId="3823BEB5">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r w:rsidRPr="001A484B">
        <w:rPr>
          <w:rFonts w:ascii="Calibri" w:hAnsi="Calibri" w:eastAsia="Times New Roman" w:cs="Calibri"/>
          <w:sz w:val="24"/>
          <w:szCs w:val="24"/>
          <w:lang w:val="en-IN" w:eastAsia="en-IN"/>
        </w:rPr>
        <w:t xml:space="preserve">Bradley TR, Metcalf D. The growth of mouse bone marrow cells </w:t>
      </w:r>
      <w:r w:rsidRPr="00437611">
        <w:rPr>
          <w:rFonts w:ascii="Calibri" w:hAnsi="Calibri" w:eastAsia="Times New Roman" w:cs="Calibri"/>
          <w:i/>
          <w:iCs/>
          <w:sz w:val="24"/>
          <w:szCs w:val="24"/>
          <w:lang w:val="en-IN" w:eastAsia="en-IN"/>
        </w:rPr>
        <w:t>in vitro</w:t>
      </w:r>
      <w:r w:rsidRPr="001A484B">
        <w:rPr>
          <w:rFonts w:ascii="Calibri" w:hAnsi="Calibri" w:eastAsia="Times New Roman" w:cs="Calibri"/>
          <w:sz w:val="24"/>
          <w:szCs w:val="24"/>
          <w:lang w:val="en-IN" w:eastAsia="en-IN"/>
        </w:rPr>
        <w:t xml:space="preserve">. </w:t>
      </w:r>
      <w:proofErr w:type="spellStart"/>
      <w:r w:rsidRPr="001A484B">
        <w:rPr>
          <w:rFonts w:ascii="Calibri" w:hAnsi="Calibri" w:eastAsia="Times New Roman" w:cs="Calibri"/>
          <w:sz w:val="24"/>
          <w:szCs w:val="24"/>
          <w:lang w:val="en-IN" w:eastAsia="en-IN"/>
        </w:rPr>
        <w:t>Aust</w:t>
      </w:r>
      <w:proofErr w:type="spellEnd"/>
      <w:r w:rsidRPr="001A484B">
        <w:rPr>
          <w:rFonts w:ascii="Calibri" w:hAnsi="Calibri" w:eastAsia="Times New Roman" w:cs="Calibri"/>
          <w:sz w:val="24"/>
          <w:szCs w:val="24"/>
          <w:lang w:val="en-IN" w:eastAsia="en-IN"/>
        </w:rPr>
        <w:t xml:space="preserve"> J Exp </w:t>
      </w:r>
      <w:proofErr w:type="spellStart"/>
      <w:r w:rsidRPr="001A484B">
        <w:rPr>
          <w:rFonts w:ascii="Calibri" w:hAnsi="Calibri" w:eastAsia="Times New Roman" w:cs="Calibri"/>
          <w:sz w:val="24"/>
          <w:szCs w:val="24"/>
          <w:lang w:val="en-IN" w:eastAsia="en-IN"/>
        </w:rPr>
        <w:t>Biol</w:t>
      </w:r>
      <w:proofErr w:type="spellEnd"/>
      <w:r w:rsidRPr="001A484B">
        <w:rPr>
          <w:rFonts w:ascii="Calibri" w:hAnsi="Calibri" w:eastAsia="Times New Roman" w:cs="Calibri"/>
          <w:sz w:val="24"/>
          <w:szCs w:val="24"/>
          <w:lang w:val="en-IN" w:eastAsia="en-IN"/>
        </w:rPr>
        <w:t xml:space="preserve"> Med Sci. 1966;44(3):287-99. </w:t>
      </w:r>
    </w:p>
    <w:p w:rsidRPr="001A484B" w:rsidR="00BA1316" w:rsidP="001A484B" w:rsidRDefault="00BA1316" w14:paraId="54EC5331" w14:textId="5CA36117">
      <w:pPr>
        <w:pStyle w:val="ListParagraph"/>
        <w:numPr>
          <w:ilvl w:val="0"/>
          <w:numId w:val="58"/>
        </w:numPr>
        <w:spacing w:after="0" w:line="240" w:lineRule="auto"/>
        <w:ind w:left="0" w:firstLine="0"/>
        <w:jc w:val="both"/>
        <w:rPr>
          <w:rFonts w:ascii="Calibri" w:hAnsi="Calibri" w:eastAsia="Times New Roman" w:cs="Calibri"/>
          <w:sz w:val="24"/>
          <w:szCs w:val="24"/>
          <w:lang w:val="en-IN" w:eastAsia="en-IN"/>
        </w:rPr>
      </w:pPr>
      <w:proofErr w:type="spellStart"/>
      <w:r w:rsidRPr="001A484B">
        <w:rPr>
          <w:rFonts w:ascii="Calibri" w:hAnsi="Calibri" w:eastAsia="Times New Roman" w:cs="Calibri"/>
          <w:sz w:val="24"/>
          <w:szCs w:val="24"/>
          <w:lang w:val="en-IN" w:eastAsia="en-IN"/>
        </w:rPr>
        <w:t>Pamphilon</w:t>
      </w:r>
      <w:proofErr w:type="spellEnd"/>
      <w:r w:rsidRPr="001A484B">
        <w:rPr>
          <w:rFonts w:ascii="Calibri" w:hAnsi="Calibri" w:eastAsia="Times New Roman" w:cs="Calibri"/>
          <w:sz w:val="24"/>
          <w:szCs w:val="24"/>
          <w:lang w:val="en-IN" w:eastAsia="en-IN"/>
        </w:rPr>
        <w:t xml:space="preserve"> D, </w:t>
      </w:r>
      <w:proofErr w:type="spellStart"/>
      <w:r w:rsidRPr="001A484B">
        <w:rPr>
          <w:rFonts w:ascii="Calibri" w:hAnsi="Calibri" w:eastAsia="Times New Roman" w:cs="Calibri"/>
          <w:sz w:val="24"/>
          <w:szCs w:val="24"/>
          <w:lang w:val="en-IN" w:eastAsia="en-IN"/>
        </w:rPr>
        <w:t>Selogie</w:t>
      </w:r>
      <w:proofErr w:type="spellEnd"/>
      <w:r w:rsidRPr="001A484B">
        <w:rPr>
          <w:rFonts w:ascii="Calibri" w:hAnsi="Calibri" w:eastAsia="Times New Roman" w:cs="Calibri"/>
          <w:sz w:val="24"/>
          <w:szCs w:val="24"/>
          <w:lang w:val="en-IN" w:eastAsia="en-IN"/>
        </w:rPr>
        <w:t xml:space="preserve"> E, McKenna D, Cancelas-Peres J, </w:t>
      </w:r>
      <w:proofErr w:type="spellStart"/>
      <w:r w:rsidRPr="001A484B">
        <w:rPr>
          <w:rFonts w:ascii="Calibri" w:hAnsi="Calibri" w:eastAsia="Times New Roman" w:cs="Calibri"/>
          <w:sz w:val="24"/>
          <w:szCs w:val="24"/>
          <w:lang w:val="en-IN" w:eastAsia="en-IN"/>
        </w:rPr>
        <w:t>Szczepiorkowski</w:t>
      </w:r>
      <w:proofErr w:type="spellEnd"/>
      <w:r w:rsidRPr="001A484B">
        <w:rPr>
          <w:rFonts w:ascii="Calibri" w:hAnsi="Calibri" w:eastAsia="Times New Roman" w:cs="Calibri"/>
          <w:sz w:val="24"/>
          <w:szCs w:val="24"/>
          <w:lang w:val="en-IN" w:eastAsia="en-IN"/>
        </w:rPr>
        <w:t xml:space="preserve"> ZM, Sacher R, et al. Current practices and prospects for standardization of the hematopoietic colony-forming-unit (CFU) assay: a report by the Cellular Therapy Team of the Biomedical Excellence for Safer Transfusion (BEST) Collaborative. </w:t>
      </w:r>
      <w:proofErr w:type="spellStart"/>
      <w:r w:rsidRPr="001A484B">
        <w:rPr>
          <w:rFonts w:ascii="Calibri" w:hAnsi="Calibri" w:eastAsia="Times New Roman" w:cs="Calibri"/>
          <w:sz w:val="24"/>
          <w:szCs w:val="24"/>
          <w:lang w:val="en-IN" w:eastAsia="en-IN"/>
        </w:rPr>
        <w:t>Cytotherapy</w:t>
      </w:r>
      <w:proofErr w:type="spellEnd"/>
      <w:r w:rsidRPr="001A484B">
        <w:rPr>
          <w:rFonts w:ascii="Calibri" w:hAnsi="Calibri" w:eastAsia="Times New Roman" w:cs="Calibri"/>
          <w:sz w:val="24"/>
          <w:szCs w:val="24"/>
          <w:lang w:val="en-IN" w:eastAsia="en-IN"/>
        </w:rPr>
        <w:t xml:space="preserve">. 2013;15(3):255-62. </w:t>
      </w:r>
    </w:p>
    <w:p w:rsidRPr="001A484B" w:rsidR="00BA1316" w:rsidP="001A484B" w:rsidRDefault="00BA1316" w14:paraId="6044D1B5" w14:textId="1A5326CE">
      <w:pPr>
        <w:pStyle w:val="ListParagraph"/>
        <w:numPr>
          <w:ilvl w:val="0"/>
          <w:numId w:val="58"/>
        </w:numPr>
        <w:spacing w:after="0" w:line="240" w:lineRule="auto"/>
        <w:ind w:left="0" w:firstLine="0"/>
        <w:jc w:val="both"/>
        <w:rPr>
          <w:rFonts w:ascii="Calibri" w:hAnsi="Calibri" w:cs="Calibri"/>
          <w:b/>
          <w:color w:val="EE0000"/>
          <w:sz w:val="24"/>
          <w:szCs w:val="24"/>
          <w:lang w:eastAsia="zh-CN"/>
        </w:rPr>
      </w:pPr>
      <w:r w:rsidRPr="001A484B">
        <w:rPr>
          <w:rFonts w:ascii="Calibri" w:hAnsi="Calibri" w:eastAsia="Times New Roman" w:cs="Calibri"/>
          <w:sz w:val="24"/>
          <w:szCs w:val="24"/>
          <w:lang w:val="en-IN" w:eastAsia="en-IN"/>
        </w:rPr>
        <w:t xml:space="preserve">Marzec-Schmidt K, </w:t>
      </w:r>
      <w:proofErr w:type="spellStart"/>
      <w:r w:rsidRPr="001A484B">
        <w:rPr>
          <w:rFonts w:ascii="Calibri" w:hAnsi="Calibri" w:eastAsia="Times New Roman" w:cs="Calibri"/>
          <w:sz w:val="24"/>
          <w:szCs w:val="24"/>
          <w:lang w:val="en-IN" w:eastAsia="en-IN"/>
        </w:rPr>
        <w:t>Ghosheh</w:t>
      </w:r>
      <w:proofErr w:type="spellEnd"/>
      <w:r w:rsidRPr="001A484B">
        <w:rPr>
          <w:rFonts w:ascii="Calibri" w:hAnsi="Calibri" w:eastAsia="Times New Roman" w:cs="Calibri"/>
          <w:sz w:val="24"/>
          <w:szCs w:val="24"/>
          <w:lang w:val="en-IN" w:eastAsia="en-IN"/>
        </w:rPr>
        <w:t xml:space="preserve"> N, Stahlschmidt SR, Küppers-Munther B, Synnergren J, </w:t>
      </w:r>
      <w:proofErr w:type="spellStart"/>
      <w:r w:rsidRPr="001A484B">
        <w:rPr>
          <w:rFonts w:ascii="Calibri" w:hAnsi="Calibri" w:eastAsia="Times New Roman" w:cs="Calibri"/>
          <w:sz w:val="24"/>
          <w:szCs w:val="24"/>
          <w:lang w:val="en-IN" w:eastAsia="en-IN"/>
        </w:rPr>
        <w:t>Ulfenborg</w:t>
      </w:r>
      <w:proofErr w:type="spellEnd"/>
      <w:r w:rsidRPr="001A484B">
        <w:rPr>
          <w:rFonts w:ascii="Calibri" w:hAnsi="Calibri" w:eastAsia="Times New Roman" w:cs="Calibri"/>
          <w:sz w:val="24"/>
          <w:szCs w:val="24"/>
          <w:lang w:val="en-IN" w:eastAsia="en-IN"/>
        </w:rPr>
        <w:t xml:space="preserve"> B. Artificial intelligence supports automated characterization of differentiated human pluripotent stem cells. Stem Cells. 2023;41(9):850-61.</w:t>
      </w:r>
    </w:p>
    <w:sectPr w:rsidRPr="001A484B" w:rsidR="00BA1316" w:rsidSect="0089328F">
      <w:headerReference w:type="even" r:id="rId12"/>
      <w:headerReference w:type="default" r:id="rId13"/>
      <w:footerReference w:type="even" r:id="rId14"/>
      <w:headerReference w:type="first" r:id="rId15"/>
      <w:pgSz w:w="12240" w:h="15840" w:orient="portrait"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3061" w:rsidRDefault="00913061" w14:paraId="01F8C0E8" w14:textId="77777777">
      <w:r>
        <w:separator/>
      </w:r>
    </w:p>
  </w:endnote>
  <w:endnote w:type="continuationSeparator" w:id="0">
    <w:p w:rsidR="00913061" w:rsidRDefault="00913061" w14:paraId="774974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6E4797" w14:paraId="7DE5172E" w14:textId="7777777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3061" w:rsidRDefault="00913061" w14:paraId="29C2F2C9" w14:textId="77777777">
      <w:r>
        <w:separator/>
      </w:r>
    </w:p>
  </w:footnote>
  <w:footnote w:type="continuationSeparator" w:id="0">
    <w:p w:rsidR="00913061" w:rsidRDefault="00913061" w14:paraId="1B49122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6E4797" w14:paraId="447547F0" w14:textId="7777777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4797" w:rsidRDefault="00510FEB" w14:paraId="0710A415" w14:textId="77777777">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6087" w:rsidRDefault="00B86087" w14:paraId="166EF599" w14:textId="53ACC27F">
    <w:pPr>
      <w:pBdr>
        <w:top w:val="nil"/>
        <w:left w:val="nil"/>
        <w:bottom w:val="nil"/>
        <w:right w:val="nil"/>
        <w:between w:val="nil"/>
      </w:pBdr>
      <w:tabs>
        <w:tab w:val="center" w:pos="4680"/>
        <w:tab w:val="right" w:pos="9360"/>
      </w:tabs>
      <w:jc w:val="right"/>
      <w:rPr>
        <w:b/>
        <w:noProof/>
        <w:color w:val="1F497D"/>
        <w:sz w:val="32"/>
        <w:szCs w:val="32"/>
      </w:rPr>
    </w:pPr>
  </w:p>
  <w:p w:rsidR="006E4797" w:rsidRDefault="006E4797" w14:paraId="09104647" w14:textId="312D825A">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141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135196"/>
    <w:multiLevelType w:val="multilevel"/>
    <w:tmpl w:val="18FE31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i w:val="0"/>
        <w:iCs w:val="0"/>
      </w:rPr>
    </w:lvl>
    <w:lvl w:ilvl="2">
      <w:start w:val="1"/>
      <w:numFmt w:val="lowerLetter"/>
      <w:lvlText w:val="%3."/>
      <w:lvlJc w:val="left"/>
      <w:pPr>
        <w:ind w:left="360" w:hanging="360"/>
      </w:pPr>
      <w:rPr>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CD0475E"/>
    <w:multiLevelType w:val="multilevel"/>
    <w:tmpl w:val="18FE31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i w:val="0"/>
        <w:iCs w:val="0"/>
      </w:rPr>
    </w:lvl>
    <w:lvl w:ilvl="2">
      <w:start w:val="1"/>
      <w:numFmt w:val="lowerLetter"/>
      <w:lvlText w:val="%3."/>
      <w:lvlJc w:val="left"/>
      <w:pPr>
        <w:ind w:left="360" w:hanging="360"/>
      </w:pPr>
      <w:rPr>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425637"/>
    <w:multiLevelType w:val="multilevel"/>
    <w:tmpl w:val="B3405602"/>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C73EC0"/>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FE15FCA"/>
    <w:multiLevelType w:val="hybridMultilevel"/>
    <w:tmpl w:val="4AAABC5E"/>
    <w:lvl w:ilvl="0" w:tplc="93884BE6">
      <w:start w:val="1"/>
      <w:numFmt w:val="bullet"/>
      <w:lvlText w:val=""/>
      <w:lvlJc w:val="left"/>
      <w:pPr>
        <w:ind w:left="360" w:hanging="360"/>
      </w:pPr>
      <w:rPr>
        <w:rFonts w:hint="default" w:ascii="Symbol" w:hAnsi="Symbol"/>
        <w:sz w:val="28"/>
        <w:szCs w:val="28"/>
      </w:rPr>
    </w:lvl>
    <w:lvl w:ilvl="1" w:tplc="450E9CC4" w:tentative="1">
      <w:start w:val="1"/>
      <w:numFmt w:val="bullet"/>
      <w:lvlText w:val="o"/>
      <w:lvlJc w:val="left"/>
      <w:pPr>
        <w:ind w:left="1440" w:hanging="360"/>
      </w:pPr>
      <w:rPr>
        <w:rFonts w:hint="default" w:ascii="Courier New" w:hAnsi="Courier New" w:cs="Courier New"/>
      </w:rPr>
    </w:lvl>
    <w:lvl w:ilvl="2" w:tplc="705607A6" w:tentative="1">
      <w:start w:val="1"/>
      <w:numFmt w:val="bullet"/>
      <w:lvlText w:val=""/>
      <w:lvlJc w:val="left"/>
      <w:pPr>
        <w:ind w:left="2160" w:hanging="360"/>
      </w:pPr>
      <w:rPr>
        <w:rFonts w:hint="default" w:ascii="Wingdings" w:hAnsi="Wingdings"/>
      </w:rPr>
    </w:lvl>
    <w:lvl w:ilvl="3" w:tplc="C56A1256" w:tentative="1">
      <w:start w:val="1"/>
      <w:numFmt w:val="bullet"/>
      <w:lvlText w:val=""/>
      <w:lvlJc w:val="left"/>
      <w:pPr>
        <w:ind w:left="2880" w:hanging="360"/>
      </w:pPr>
      <w:rPr>
        <w:rFonts w:hint="default" w:ascii="Symbol" w:hAnsi="Symbol"/>
      </w:rPr>
    </w:lvl>
    <w:lvl w:ilvl="4" w:tplc="D4C8B1FC" w:tentative="1">
      <w:start w:val="1"/>
      <w:numFmt w:val="bullet"/>
      <w:lvlText w:val="o"/>
      <w:lvlJc w:val="left"/>
      <w:pPr>
        <w:ind w:left="3600" w:hanging="360"/>
      </w:pPr>
      <w:rPr>
        <w:rFonts w:hint="default" w:ascii="Courier New" w:hAnsi="Courier New" w:cs="Courier New"/>
      </w:rPr>
    </w:lvl>
    <w:lvl w:ilvl="5" w:tplc="8BE09A9E" w:tentative="1">
      <w:start w:val="1"/>
      <w:numFmt w:val="bullet"/>
      <w:lvlText w:val=""/>
      <w:lvlJc w:val="left"/>
      <w:pPr>
        <w:ind w:left="4320" w:hanging="360"/>
      </w:pPr>
      <w:rPr>
        <w:rFonts w:hint="default" w:ascii="Wingdings" w:hAnsi="Wingdings"/>
      </w:rPr>
    </w:lvl>
    <w:lvl w:ilvl="6" w:tplc="09541978" w:tentative="1">
      <w:start w:val="1"/>
      <w:numFmt w:val="bullet"/>
      <w:lvlText w:val=""/>
      <w:lvlJc w:val="left"/>
      <w:pPr>
        <w:ind w:left="5040" w:hanging="360"/>
      </w:pPr>
      <w:rPr>
        <w:rFonts w:hint="default" w:ascii="Symbol" w:hAnsi="Symbol"/>
      </w:rPr>
    </w:lvl>
    <w:lvl w:ilvl="7" w:tplc="8E4A1CAC" w:tentative="1">
      <w:start w:val="1"/>
      <w:numFmt w:val="bullet"/>
      <w:lvlText w:val="o"/>
      <w:lvlJc w:val="left"/>
      <w:pPr>
        <w:ind w:left="5760" w:hanging="360"/>
      </w:pPr>
      <w:rPr>
        <w:rFonts w:hint="default" w:ascii="Courier New" w:hAnsi="Courier New" w:cs="Courier New"/>
      </w:rPr>
    </w:lvl>
    <w:lvl w:ilvl="8" w:tplc="65804504" w:tentative="1">
      <w:start w:val="1"/>
      <w:numFmt w:val="bullet"/>
      <w:lvlText w:val=""/>
      <w:lvlJc w:val="left"/>
      <w:pPr>
        <w:ind w:left="6480" w:hanging="360"/>
      </w:pPr>
      <w:rPr>
        <w:rFonts w:hint="default" w:ascii="Wingdings" w:hAnsi="Wingdings"/>
      </w:rPr>
    </w:lvl>
  </w:abstractNum>
  <w:abstractNum w:abstractNumId="6" w15:restartNumberingAfterBreak="0">
    <w:nsid w:val="133227B1"/>
    <w:multiLevelType w:val="hybridMultilevel"/>
    <w:tmpl w:val="E69A5FB6"/>
    <w:lvl w:ilvl="0" w:tplc="B188221C">
      <w:start w:val="1"/>
      <w:numFmt w:val="decimal"/>
      <w:lvlText w:val="%1."/>
      <w:lvlJc w:val="left"/>
      <w:pPr>
        <w:ind w:left="720" w:hanging="360"/>
      </w:pPr>
    </w:lvl>
    <w:lvl w:ilvl="1" w:tplc="CFD477C0" w:tentative="1">
      <w:start w:val="1"/>
      <w:numFmt w:val="lowerLetter"/>
      <w:lvlText w:val="%2."/>
      <w:lvlJc w:val="left"/>
      <w:pPr>
        <w:ind w:left="1440" w:hanging="360"/>
      </w:pPr>
    </w:lvl>
    <w:lvl w:ilvl="2" w:tplc="653AE02E" w:tentative="1">
      <w:start w:val="1"/>
      <w:numFmt w:val="lowerRoman"/>
      <w:lvlText w:val="%3."/>
      <w:lvlJc w:val="right"/>
      <w:pPr>
        <w:ind w:left="2160" w:hanging="180"/>
      </w:pPr>
    </w:lvl>
    <w:lvl w:ilvl="3" w:tplc="ECB6927E" w:tentative="1">
      <w:start w:val="1"/>
      <w:numFmt w:val="decimal"/>
      <w:lvlText w:val="%4."/>
      <w:lvlJc w:val="left"/>
      <w:pPr>
        <w:ind w:left="2880" w:hanging="360"/>
      </w:pPr>
    </w:lvl>
    <w:lvl w:ilvl="4" w:tplc="722A45F6" w:tentative="1">
      <w:start w:val="1"/>
      <w:numFmt w:val="lowerLetter"/>
      <w:lvlText w:val="%5."/>
      <w:lvlJc w:val="left"/>
      <w:pPr>
        <w:ind w:left="3600" w:hanging="360"/>
      </w:pPr>
    </w:lvl>
    <w:lvl w:ilvl="5" w:tplc="85F4853A" w:tentative="1">
      <w:start w:val="1"/>
      <w:numFmt w:val="lowerRoman"/>
      <w:lvlText w:val="%6."/>
      <w:lvlJc w:val="right"/>
      <w:pPr>
        <w:ind w:left="4320" w:hanging="180"/>
      </w:pPr>
    </w:lvl>
    <w:lvl w:ilvl="6" w:tplc="6C5EABF2" w:tentative="1">
      <w:start w:val="1"/>
      <w:numFmt w:val="decimal"/>
      <w:lvlText w:val="%7."/>
      <w:lvlJc w:val="left"/>
      <w:pPr>
        <w:ind w:left="5040" w:hanging="360"/>
      </w:pPr>
    </w:lvl>
    <w:lvl w:ilvl="7" w:tplc="CD92EEB8" w:tentative="1">
      <w:start w:val="1"/>
      <w:numFmt w:val="lowerLetter"/>
      <w:lvlText w:val="%8."/>
      <w:lvlJc w:val="left"/>
      <w:pPr>
        <w:ind w:left="5760" w:hanging="360"/>
      </w:pPr>
    </w:lvl>
    <w:lvl w:ilvl="8" w:tplc="C27CAEF8" w:tentative="1">
      <w:start w:val="1"/>
      <w:numFmt w:val="lowerRoman"/>
      <w:lvlText w:val="%9."/>
      <w:lvlJc w:val="right"/>
      <w:pPr>
        <w:ind w:left="6480" w:hanging="180"/>
      </w:pPr>
    </w:lvl>
  </w:abstractNum>
  <w:abstractNum w:abstractNumId="7" w15:restartNumberingAfterBreak="0">
    <w:nsid w:val="196E4D12"/>
    <w:multiLevelType w:val="multilevel"/>
    <w:tmpl w:val="FABCA1B6"/>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A008AB"/>
    <w:multiLevelType w:val="hybridMultilevel"/>
    <w:tmpl w:val="4C4450CE"/>
    <w:lvl w:ilvl="0" w:tplc="6298D1E4">
      <w:start w:val="1"/>
      <w:numFmt w:val="decimal"/>
      <w:lvlText w:val="%1."/>
      <w:lvlJc w:val="left"/>
      <w:pPr>
        <w:ind w:left="1020" w:hanging="360"/>
      </w:pPr>
    </w:lvl>
    <w:lvl w:ilvl="1" w:tplc="D36C7B6A">
      <w:start w:val="1"/>
      <w:numFmt w:val="decimal"/>
      <w:lvlText w:val="%2."/>
      <w:lvlJc w:val="left"/>
      <w:pPr>
        <w:ind w:left="1020" w:hanging="360"/>
      </w:pPr>
    </w:lvl>
    <w:lvl w:ilvl="2" w:tplc="039CCF44">
      <w:start w:val="1"/>
      <w:numFmt w:val="decimal"/>
      <w:lvlText w:val="%3."/>
      <w:lvlJc w:val="left"/>
      <w:pPr>
        <w:ind w:left="1020" w:hanging="360"/>
      </w:pPr>
    </w:lvl>
    <w:lvl w:ilvl="3" w:tplc="1D662994">
      <w:start w:val="1"/>
      <w:numFmt w:val="decimal"/>
      <w:lvlText w:val="%4."/>
      <w:lvlJc w:val="left"/>
      <w:pPr>
        <w:ind w:left="1020" w:hanging="360"/>
      </w:pPr>
    </w:lvl>
    <w:lvl w:ilvl="4" w:tplc="71F68A5E">
      <w:start w:val="1"/>
      <w:numFmt w:val="decimal"/>
      <w:lvlText w:val="%5."/>
      <w:lvlJc w:val="left"/>
      <w:pPr>
        <w:ind w:left="1020" w:hanging="360"/>
      </w:pPr>
    </w:lvl>
    <w:lvl w:ilvl="5" w:tplc="9DD44B28">
      <w:start w:val="1"/>
      <w:numFmt w:val="decimal"/>
      <w:lvlText w:val="%6."/>
      <w:lvlJc w:val="left"/>
      <w:pPr>
        <w:ind w:left="1020" w:hanging="360"/>
      </w:pPr>
    </w:lvl>
    <w:lvl w:ilvl="6" w:tplc="9FFE60CA">
      <w:start w:val="1"/>
      <w:numFmt w:val="decimal"/>
      <w:lvlText w:val="%7."/>
      <w:lvlJc w:val="left"/>
      <w:pPr>
        <w:ind w:left="1020" w:hanging="360"/>
      </w:pPr>
    </w:lvl>
    <w:lvl w:ilvl="7" w:tplc="AD900B5A">
      <w:start w:val="1"/>
      <w:numFmt w:val="decimal"/>
      <w:lvlText w:val="%8."/>
      <w:lvlJc w:val="left"/>
      <w:pPr>
        <w:ind w:left="1020" w:hanging="360"/>
      </w:pPr>
    </w:lvl>
    <w:lvl w:ilvl="8" w:tplc="CC1A7B02">
      <w:start w:val="1"/>
      <w:numFmt w:val="decimal"/>
      <w:lvlText w:val="%9."/>
      <w:lvlJc w:val="left"/>
      <w:pPr>
        <w:ind w:left="1020" w:hanging="360"/>
      </w:pPr>
    </w:lvl>
  </w:abstractNum>
  <w:abstractNum w:abstractNumId="9" w15:restartNumberingAfterBreak="0">
    <w:nsid w:val="21BA043A"/>
    <w:multiLevelType w:val="hybridMultilevel"/>
    <w:tmpl w:val="97EA5562"/>
    <w:lvl w:ilvl="0" w:tplc="1D06EB8C">
      <w:start w:val="1"/>
      <w:numFmt w:val="decimal"/>
      <w:lvlText w:val="%1."/>
      <w:lvlJc w:val="left"/>
      <w:pPr>
        <w:ind w:left="720" w:hanging="360"/>
      </w:pPr>
    </w:lvl>
    <w:lvl w:ilvl="1" w:tplc="F1088230" w:tentative="1">
      <w:start w:val="1"/>
      <w:numFmt w:val="lowerLetter"/>
      <w:lvlText w:val="%2."/>
      <w:lvlJc w:val="left"/>
      <w:pPr>
        <w:ind w:left="1440" w:hanging="360"/>
      </w:pPr>
    </w:lvl>
    <w:lvl w:ilvl="2" w:tplc="CF0A6012" w:tentative="1">
      <w:start w:val="1"/>
      <w:numFmt w:val="lowerRoman"/>
      <w:lvlText w:val="%3."/>
      <w:lvlJc w:val="right"/>
      <w:pPr>
        <w:ind w:left="2160" w:hanging="180"/>
      </w:pPr>
    </w:lvl>
    <w:lvl w:ilvl="3" w:tplc="00C4B3BE" w:tentative="1">
      <w:start w:val="1"/>
      <w:numFmt w:val="decimal"/>
      <w:lvlText w:val="%4."/>
      <w:lvlJc w:val="left"/>
      <w:pPr>
        <w:ind w:left="2880" w:hanging="360"/>
      </w:pPr>
    </w:lvl>
    <w:lvl w:ilvl="4" w:tplc="0CA450F0" w:tentative="1">
      <w:start w:val="1"/>
      <w:numFmt w:val="lowerLetter"/>
      <w:lvlText w:val="%5."/>
      <w:lvlJc w:val="left"/>
      <w:pPr>
        <w:ind w:left="3600" w:hanging="360"/>
      </w:pPr>
    </w:lvl>
    <w:lvl w:ilvl="5" w:tplc="65782F40" w:tentative="1">
      <w:start w:val="1"/>
      <w:numFmt w:val="lowerRoman"/>
      <w:lvlText w:val="%6."/>
      <w:lvlJc w:val="right"/>
      <w:pPr>
        <w:ind w:left="4320" w:hanging="180"/>
      </w:pPr>
    </w:lvl>
    <w:lvl w:ilvl="6" w:tplc="FAF2DAD0" w:tentative="1">
      <w:start w:val="1"/>
      <w:numFmt w:val="decimal"/>
      <w:lvlText w:val="%7."/>
      <w:lvlJc w:val="left"/>
      <w:pPr>
        <w:ind w:left="5040" w:hanging="360"/>
      </w:pPr>
    </w:lvl>
    <w:lvl w:ilvl="7" w:tplc="E9005408" w:tentative="1">
      <w:start w:val="1"/>
      <w:numFmt w:val="lowerLetter"/>
      <w:lvlText w:val="%8."/>
      <w:lvlJc w:val="left"/>
      <w:pPr>
        <w:ind w:left="5760" w:hanging="360"/>
      </w:pPr>
    </w:lvl>
    <w:lvl w:ilvl="8" w:tplc="078CD5A0" w:tentative="1">
      <w:start w:val="1"/>
      <w:numFmt w:val="lowerRoman"/>
      <w:lvlText w:val="%9."/>
      <w:lvlJc w:val="right"/>
      <w:pPr>
        <w:ind w:left="6480" w:hanging="180"/>
      </w:pPr>
    </w:lvl>
  </w:abstractNum>
  <w:abstractNum w:abstractNumId="10" w15:restartNumberingAfterBreak="0">
    <w:nsid w:val="22374221"/>
    <w:multiLevelType w:val="multilevel"/>
    <w:tmpl w:val="497A2F1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360" w:hanging="360"/>
      </w:pPr>
      <w:rPr>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40A5F44"/>
    <w:multiLevelType w:val="hybridMultilevel"/>
    <w:tmpl w:val="87FAFC60"/>
    <w:lvl w:ilvl="0" w:tplc="1E667B60">
      <w:start w:val="1"/>
      <w:numFmt w:val="decimal"/>
      <w:lvlText w:val="%1."/>
      <w:lvlJc w:val="left"/>
      <w:pPr>
        <w:ind w:left="720" w:hanging="360"/>
      </w:pPr>
    </w:lvl>
    <w:lvl w:ilvl="1" w:tplc="9F82EA50" w:tentative="1">
      <w:start w:val="1"/>
      <w:numFmt w:val="lowerLetter"/>
      <w:lvlText w:val="%2."/>
      <w:lvlJc w:val="left"/>
      <w:pPr>
        <w:ind w:left="1440" w:hanging="360"/>
      </w:pPr>
    </w:lvl>
    <w:lvl w:ilvl="2" w:tplc="B44A08F6" w:tentative="1">
      <w:start w:val="1"/>
      <w:numFmt w:val="lowerRoman"/>
      <w:lvlText w:val="%3."/>
      <w:lvlJc w:val="right"/>
      <w:pPr>
        <w:ind w:left="2160" w:hanging="180"/>
      </w:pPr>
    </w:lvl>
    <w:lvl w:ilvl="3" w:tplc="341A4504" w:tentative="1">
      <w:start w:val="1"/>
      <w:numFmt w:val="decimal"/>
      <w:lvlText w:val="%4."/>
      <w:lvlJc w:val="left"/>
      <w:pPr>
        <w:ind w:left="2880" w:hanging="360"/>
      </w:pPr>
    </w:lvl>
    <w:lvl w:ilvl="4" w:tplc="284AE43A" w:tentative="1">
      <w:start w:val="1"/>
      <w:numFmt w:val="lowerLetter"/>
      <w:lvlText w:val="%5."/>
      <w:lvlJc w:val="left"/>
      <w:pPr>
        <w:ind w:left="3600" w:hanging="360"/>
      </w:pPr>
    </w:lvl>
    <w:lvl w:ilvl="5" w:tplc="32880F10" w:tentative="1">
      <w:start w:val="1"/>
      <w:numFmt w:val="lowerRoman"/>
      <w:lvlText w:val="%6."/>
      <w:lvlJc w:val="right"/>
      <w:pPr>
        <w:ind w:left="4320" w:hanging="180"/>
      </w:pPr>
    </w:lvl>
    <w:lvl w:ilvl="6" w:tplc="212011BA" w:tentative="1">
      <w:start w:val="1"/>
      <w:numFmt w:val="decimal"/>
      <w:lvlText w:val="%7."/>
      <w:lvlJc w:val="left"/>
      <w:pPr>
        <w:ind w:left="5040" w:hanging="360"/>
      </w:pPr>
    </w:lvl>
    <w:lvl w:ilvl="7" w:tplc="6A34C46C" w:tentative="1">
      <w:start w:val="1"/>
      <w:numFmt w:val="lowerLetter"/>
      <w:lvlText w:val="%8."/>
      <w:lvlJc w:val="left"/>
      <w:pPr>
        <w:ind w:left="5760" w:hanging="360"/>
      </w:pPr>
    </w:lvl>
    <w:lvl w:ilvl="8" w:tplc="E47CFC16" w:tentative="1">
      <w:start w:val="1"/>
      <w:numFmt w:val="lowerRoman"/>
      <w:lvlText w:val="%9."/>
      <w:lvlJc w:val="right"/>
      <w:pPr>
        <w:ind w:left="6480" w:hanging="180"/>
      </w:p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hAnsi="Noto Sans Symbols" w:eastAsia="Noto Sans Symbols" w:cs="Noto Sans Symbols"/>
      </w:rPr>
    </w:lvl>
    <w:lvl w:ilvl="1">
      <w:start w:val="1"/>
      <w:numFmt w:val="bullet"/>
      <w:lvlText w:val="o"/>
      <w:lvlJc w:val="left"/>
      <w:pPr>
        <w:ind w:left="2520" w:hanging="360"/>
      </w:pPr>
      <w:rPr>
        <w:rFonts w:ascii="Courier New" w:hAnsi="Courier New" w:eastAsia="Courier New" w:cs="Courier New"/>
      </w:rPr>
    </w:lvl>
    <w:lvl w:ilvl="2">
      <w:start w:val="1"/>
      <w:numFmt w:val="bullet"/>
      <w:lvlText w:val="▪"/>
      <w:lvlJc w:val="left"/>
      <w:pPr>
        <w:ind w:left="3240" w:hanging="360"/>
      </w:pPr>
      <w:rPr>
        <w:rFonts w:ascii="Noto Sans Symbols" w:hAnsi="Noto Sans Symbols" w:eastAsia="Noto Sans Symbols" w:cs="Noto Sans Symbols"/>
      </w:rPr>
    </w:lvl>
    <w:lvl w:ilvl="3">
      <w:start w:val="1"/>
      <w:numFmt w:val="bullet"/>
      <w:lvlText w:val="●"/>
      <w:lvlJc w:val="left"/>
      <w:pPr>
        <w:ind w:left="3960" w:hanging="360"/>
      </w:pPr>
      <w:rPr>
        <w:rFonts w:ascii="Noto Sans Symbols" w:hAnsi="Noto Sans Symbols" w:eastAsia="Noto Sans Symbols" w:cs="Noto Sans Symbols"/>
      </w:rPr>
    </w:lvl>
    <w:lvl w:ilvl="4">
      <w:start w:val="1"/>
      <w:numFmt w:val="bullet"/>
      <w:lvlText w:val="o"/>
      <w:lvlJc w:val="left"/>
      <w:pPr>
        <w:ind w:left="4680" w:hanging="360"/>
      </w:pPr>
      <w:rPr>
        <w:rFonts w:ascii="Courier New" w:hAnsi="Courier New" w:eastAsia="Courier New" w:cs="Courier New"/>
      </w:rPr>
    </w:lvl>
    <w:lvl w:ilvl="5">
      <w:start w:val="1"/>
      <w:numFmt w:val="bullet"/>
      <w:lvlText w:val="▪"/>
      <w:lvlJc w:val="left"/>
      <w:pPr>
        <w:ind w:left="5400" w:hanging="360"/>
      </w:pPr>
      <w:rPr>
        <w:rFonts w:ascii="Noto Sans Symbols" w:hAnsi="Noto Sans Symbols" w:eastAsia="Noto Sans Symbols" w:cs="Noto Sans Symbols"/>
      </w:rPr>
    </w:lvl>
    <w:lvl w:ilvl="6">
      <w:start w:val="1"/>
      <w:numFmt w:val="bullet"/>
      <w:lvlText w:val="●"/>
      <w:lvlJc w:val="left"/>
      <w:pPr>
        <w:ind w:left="6120" w:hanging="360"/>
      </w:pPr>
      <w:rPr>
        <w:rFonts w:ascii="Noto Sans Symbols" w:hAnsi="Noto Sans Symbols" w:eastAsia="Noto Sans Symbols" w:cs="Noto Sans Symbols"/>
      </w:rPr>
    </w:lvl>
    <w:lvl w:ilvl="7">
      <w:start w:val="1"/>
      <w:numFmt w:val="bullet"/>
      <w:lvlText w:val="o"/>
      <w:lvlJc w:val="left"/>
      <w:pPr>
        <w:ind w:left="6840" w:hanging="360"/>
      </w:pPr>
      <w:rPr>
        <w:rFonts w:ascii="Courier New" w:hAnsi="Courier New" w:eastAsia="Courier New" w:cs="Courier New"/>
      </w:rPr>
    </w:lvl>
    <w:lvl w:ilvl="8">
      <w:start w:val="1"/>
      <w:numFmt w:val="bullet"/>
      <w:lvlText w:val="▪"/>
      <w:lvlJc w:val="left"/>
      <w:pPr>
        <w:ind w:left="7560" w:hanging="360"/>
      </w:pPr>
      <w:rPr>
        <w:rFonts w:ascii="Noto Sans Symbols" w:hAnsi="Noto Sans Symbols" w:eastAsia="Noto Sans Symbols" w:cs="Noto Sans Symbols"/>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 w15:restartNumberingAfterBreak="0">
    <w:nsid w:val="2C690322"/>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D1373D0"/>
    <w:multiLevelType w:val="hybridMultilevel"/>
    <w:tmpl w:val="64823644"/>
    <w:lvl w:ilvl="0" w:tplc="1EC2532A">
      <w:start w:val="1"/>
      <w:numFmt w:val="bullet"/>
      <w:lvlText w:val=""/>
      <w:lvlJc w:val="left"/>
      <w:pPr>
        <w:ind w:left="720" w:hanging="360"/>
      </w:pPr>
      <w:rPr>
        <w:rFonts w:hint="default" w:ascii="Symbol" w:hAnsi="Symbol"/>
      </w:rPr>
    </w:lvl>
    <w:lvl w:ilvl="1" w:tplc="C85608E0" w:tentative="1">
      <w:start w:val="1"/>
      <w:numFmt w:val="bullet"/>
      <w:lvlText w:val="o"/>
      <w:lvlJc w:val="left"/>
      <w:pPr>
        <w:ind w:left="1440" w:hanging="360"/>
      </w:pPr>
      <w:rPr>
        <w:rFonts w:hint="default" w:ascii="Courier New" w:hAnsi="Courier New" w:cs="Courier New"/>
      </w:rPr>
    </w:lvl>
    <w:lvl w:ilvl="2" w:tplc="D634177C" w:tentative="1">
      <w:start w:val="1"/>
      <w:numFmt w:val="bullet"/>
      <w:lvlText w:val=""/>
      <w:lvlJc w:val="left"/>
      <w:pPr>
        <w:ind w:left="2160" w:hanging="360"/>
      </w:pPr>
      <w:rPr>
        <w:rFonts w:hint="default" w:ascii="Wingdings" w:hAnsi="Wingdings"/>
      </w:rPr>
    </w:lvl>
    <w:lvl w:ilvl="3" w:tplc="55340E84" w:tentative="1">
      <w:start w:val="1"/>
      <w:numFmt w:val="bullet"/>
      <w:lvlText w:val=""/>
      <w:lvlJc w:val="left"/>
      <w:pPr>
        <w:ind w:left="2880" w:hanging="360"/>
      </w:pPr>
      <w:rPr>
        <w:rFonts w:hint="default" w:ascii="Symbol" w:hAnsi="Symbol"/>
      </w:rPr>
    </w:lvl>
    <w:lvl w:ilvl="4" w:tplc="35ECFD62" w:tentative="1">
      <w:start w:val="1"/>
      <w:numFmt w:val="bullet"/>
      <w:lvlText w:val="o"/>
      <w:lvlJc w:val="left"/>
      <w:pPr>
        <w:ind w:left="3600" w:hanging="360"/>
      </w:pPr>
      <w:rPr>
        <w:rFonts w:hint="default" w:ascii="Courier New" w:hAnsi="Courier New" w:cs="Courier New"/>
      </w:rPr>
    </w:lvl>
    <w:lvl w:ilvl="5" w:tplc="55CCD21A" w:tentative="1">
      <w:start w:val="1"/>
      <w:numFmt w:val="bullet"/>
      <w:lvlText w:val=""/>
      <w:lvlJc w:val="left"/>
      <w:pPr>
        <w:ind w:left="4320" w:hanging="360"/>
      </w:pPr>
      <w:rPr>
        <w:rFonts w:hint="default" w:ascii="Wingdings" w:hAnsi="Wingdings"/>
      </w:rPr>
    </w:lvl>
    <w:lvl w:ilvl="6" w:tplc="EE443728" w:tentative="1">
      <w:start w:val="1"/>
      <w:numFmt w:val="bullet"/>
      <w:lvlText w:val=""/>
      <w:lvlJc w:val="left"/>
      <w:pPr>
        <w:ind w:left="5040" w:hanging="360"/>
      </w:pPr>
      <w:rPr>
        <w:rFonts w:hint="default" w:ascii="Symbol" w:hAnsi="Symbol"/>
      </w:rPr>
    </w:lvl>
    <w:lvl w:ilvl="7" w:tplc="6C06C148" w:tentative="1">
      <w:start w:val="1"/>
      <w:numFmt w:val="bullet"/>
      <w:lvlText w:val="o"/>
      <w:lvlJc w:val="left"/>
      <w:pPr>
        <w:ind w:left="5760" w:hanging="360"/>
      </w:pPr>
      <w:rPr>
        <w:rFonts w:hint="default" w:ascii="Courier New" w:hAnsi="Courier New" w:cs="Courier New"/>
      </w:rPr>
    </w:lvl>
    <w:lvl w:ilvl="8" w:tplc="6E58986C" w:tentative="1">
      <w:start w:val="1"/>
      <w:numFmt w:val="bullet"/>
      <w:lvlText w:val=""/>
      <w:lvlJc w:val="left"/>
      <w:pPr>
        <w:ind w:left="6480" w:hanging="360"/>
      </w:pPr>
      <w:rPr>
        <w:rFonts w:hint="default" w:ascii="Wingdings" w:hAnsi="Wingdings"/>
      </w:rPr>
    </w:lvl>
  </w:abstractNum>
  <w:abstractNum w:abstractNumId="16" w15:restartNumberingAfterBreak="0">
    <w:nsid w:val="2D653E31"/>
    <w:multiLevelType w:val="multilevel"/>
    <w:tmpl w:val="39C8039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2DFA1D0A"/>
    <w:multiLevelType w:val="multilevel"/>
    <w:tmpl w:val="9420201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6A0ABD"/>
    <w:multiLevelType w:val="multilevel"/>
    <w:tmpl w:val="18FE31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i w:val="0"/>
        <w:iCs w:val="0"/>
      </w:rPr>
    </w:lvl>
    <w:lvl w:ilvl="2">
      <w:start w:val="1"/>
      <w:numFmt w:val="lowerLetter"/>
      <w:lvlText w:val="%3."/>
      <w:lvlJc w:val="left"/>
      <w:pPr>
        <w:ind w:left="360" w:hanging="360"/>
      </w:pPr>
      <w:rPr>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2E07ABC"/>
    <w:multiLevelType w:val="hybridMultilevel"/>
    <w:tmpl w:val="DF8229D0"/>
    <w:lvl w:ilvl="0" w:tplc="29A63698">
      <w:start w:val="1"/>
      <w:numFmt w:val="decimal"/>
      <w:lvlText w:val="%1."/>
      <w:lvlJc w:val="left"/>
      <w:pPr>
        <w:ind w:left="720" w:hanging="360"/>
      </w:pPr>
    </w:lvl>
    <w:lvl w:ilvl="1" w:tplc="DF685094" w:tentative="1">
      <w:start w:val="1"/>
      <w:numFmt w:val="lowerLetter"/>
      <w:lvlText w:val="%2."/>
      <w:lvlJc w:val="left"/>
      <w:pPr>
        <w:ind w:left="1440" w:hanging="360"/>
      </w:pPr>
    </w:lvl>
    <w:lvl w:ilvl="2" w:tplc="C23282DE" w:tentative="1">
      <w:start w:val="1"/>
      <w:numFmt w:val="lowerRoman"/>
      <w:lvlText w:val="%3."/>
      <w:lvlJc w:val="right"/>
      <w:pPr>
        <w:ind w:left="2160" w:hanging="180"/>
      </w:pPr>
    </w:lvl>
    <w:lvl w:ilvl="3" w:tplc="F84C449E" w:tentative="1">
      <w:start w:val="1"/>
      <w:numFmt w:val="decimal"/>
      <w:lvlText w:val="%4."/>
      <w:lvlJc w:val="left"/>
      <w:pPr>
        <w:ind w:left="2880" w:hanging="360"/>
      </w:pPr>
    </w:lvl>
    <w:lvl w:ilvl="4" w:tplc="EC146214" w:tentative="1">
      <w:start w:val="1"/>
      <w:numFmt w:val="lowerLetter"/>
      <w:lvlText w:val="%5."/>
      <w:lvlJc w:val="left"/>
      <w:pPr>
        <w:ind w:left="3600" w:hanging="360"/>
      </w:pPr>
    </w:lvl>
    <w:lvl w:ilvl="5" w:tplc="1868903A" w:tentative="1">
      <w:start w:val="1"/>
      <w:numFmt w:val="lowerRoman"/>
      <w:lvlText w:val="%6."/>
      <w:lvlJc w:val="right"/>
      <w:pPr>
        <w:ind w:left="4320" w:hanging="180"/>
      </w:pPr>
    </w:lvl>
    <w:lvl w:ilvl="6" w:tplc="84427BDE" w:tentative="1">
      <w:start w:val="1"/>
      <w:numFmt w:val="decimal"/>
      <w:lvlText w:val="%7."/>
      <w:lvlJc w:val="left"/>
      <w:pPr>
        <w:ind w:left="5040" w:hanging="360"/>
      </w:pPr>
    </w:lvl>
    <w:lvl w:ilvl="7" w:tplc="4FE697B2" w:tentative="1">
      <w:start w:val="1"/>
      <w:numFmt w:val="lowerLetter"/>
      <w:lvlText w:val="%8."/>
      <w:lvlJc w:val="left"/>
      <w:pPr>
        <w:ind w:left="5760" w:hanging="360"/>
      </w:pPr>
    </w:lvl>
    <w:lvl w:ilvl="8" w:tplc="FE2A461A" w:tentative="1">
      <w:start w:val="1"/>
      <w:numFmt w:val="lowerRoman"/>
      <w:lvlText w:val="%9."/>
      <w:lvlJc w:val="right"/>
      <w:pPr>
        <w:ind w:left="6480" w:hanging="180"/>
      </w:pPr>
    </w:lvl>
  </w:abstractNum>
  <w:abstractNum w:abstractNumId="20" w15:restartNumberingAfterBreak="0">
    <w:nsid w:val="32E818DD"/>
    <w:multiLevelType w:val="multilevel"/>
    <w:tmpl w:val="F1D6320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1" w15:restartNumberingAfterBreak="0">
    <w:nsid w:val="34776719"/>
    <w:multiLevelType w:val="multilevel"/>
    <w:tmpl w:val="CC2AEAE8"/>
    <w:lvl w:ilvl="0">
      <w:start w:val="1"/>
      <w:numFmt w:val="bullet"/>
      <w:lvlText w:val="●"/>
      <w:lvlJc w:val="left"/>
      <w:pPr>
        <w:ind w:left="900" w:hanging="360"/>
      </w:pPr>
      <w:rPr>
        <w:rFonts w:ascii="Noto Sans Symbols" w:hAnsi="Noto Sans Symbols" w:eastAsia="Noto Sans Symbols" w:cs="Noto Sans Symbols"/>
        <w:sz w:val="24"/>
        <w:szCs w:val="24"/>
      </w:rPr>
    </w:lvl>
    <w:lvl w:ilvl="1">
      <w:start w:val="1"/>
      <w:numFmt w:val="bullet"/>
      <w:lvlText w:val="o"/>
      <w:lvlJc w:val="left"/>
      <w:pPr>
        <w:ind w:left="1620" w:hanging="360"/>
      </w:pPr>
      <w:rPr>
        <w:rFonts w:ascii="Courier New" w:hAnsi="Courier New" w:eastAsia="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35163C2A"/>
    <w:multiLevelType w:val="multilevel"/>
    <w:tmpl w:val="18FE31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i w:val="0"/>
        <w:iCs w:val="0"/>
      </w:rPr>
    </w:lvl>
    <w:lvl w:ilvl="2">
      <w:start w:val="1"/>
      <w:numFmt w:val="lowerLetter"/>
      <w:lvlText w:val="%3."/>
      <w:lvlJc w:val="left"/>
      <w:pPr>
        <w:ind w:left="360" w:hanging="360"/>
      </w:pPr>
      <w:rPr>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73945E4"/>
    <w:multiLevelType w:val="hybridMultilevel"/>
    <w:tmpl w:val="1F44ECC4"/>
    <w:lvl w:ilvl="0" w:tplc="FFFFFFFF">
      <w:start w:val="1"/>
      <w:numFmt w:val="decimal"/>
      <w:lvlText w:val="%1."/>
      <w:lvlJc w:val="left"/>
      <w:pPr>
        <w:ind w:left="72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7AA244F"/>
    <w:multiLevelType w:val="multilevel"/>
    <w:tmpl w:val="4A3E837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391937C5"/>
    <w:multiLevelType w:val="hybridMultilevel"/>
    <w:tmpl w:val="9FE218C0"/>
    <w:lvl w:ilvl="0" w:tplc="AD74D7F2">
      <w:start w:val="1"/>
      <w:numFmt w:val="bullet"/>
      <w:lvlText w:val=""/>
      <w:lvlJc w:val="left"/>
      <w:pPr>
        <w:ind w:left="720" w:hanging="360"/>
      </w:pPr>
      <w:rPr>
        <w:rFonts w:hint="default" w:ascii="Symbol" w:hAnsi="Symbol"/>
      </w:rPr>
    </w:lvl>
    <w:lvl w:ilvl="1" w:tplc="093207D6" w:tentative="1">
      <w:start w:val="1"/>
      <w:numFmt w:val="bullet"/>
      <w:lvlText w:val="o"/>
      <w:lvlJc w:val="left"/>
      <w:pPr>
        <w:ind w:left="1440" w:hanging="360"/>
      </w:pPr>
      <w:rPr>
        <w:rFonts w:hint="default" w:ascii="Courier New" w:hAnsi="Courier New" w:cs="Courier New"/>
      </w:rPr>
    </w:lvl>
    <w:lvl w:ilvl="2" w:tplc="E6B651EA" w:tentative="1">
      <w:start w:val="1"/>
      <w:numFmt w:val="bullet"/>
      <w:lvlText w:val=""/>
      <w:lvlJc w:val="left"/>
      <w:pPr>
        <w:ind w:left="2160" w:hanging="360"/>
      </w:pPr>
      <w:rPr>
        <w:rFonts w:hint="default" w:ascii="Wingdings" w:hAnsi="Wingdings"/>
      </w:rPr>
    </w:lvl>
    <w:lvl w:ilvl="3" w:tplc="0DC8189E" w:tentative="1">
      <w:start w:val="1"/>
      <w:numFmt w:val="bullet"/>
      <w:lvlText w:val=""/>
      <w:lvlJc w:val="left"/>
      <w:pPr>
        <w:ind w:left="2880" w:hanging="360"/>
      </w:pPr>
      <w:rPr>
        <w:rFonts w:hint="default" w:ascii="Symbol" w:hAnsi="Symbol"/>
      </w:rPr>
    </w:lvl>
    <w:lvl w:ilvl="4" w:tplc="C4E28FB6" w:tentative="1">
      <w:start w:val="1"/>
      <w:numFmt w:val="bullet"/>
      <w:lvlText w:val="o"/>
      <w:lvlJc w:val="left"/>
      <w:pPr>
        <w:ind w:left="3600" w:hanging="360"/>
      </w:pPr>
      <w:rPr>
        <w:rFonts w:hint="default" w:ascii="Courier New" w:hAnsi="Courier New" w:cs="Courier New"/>
      </w:rPr>
    </w:lvl>
    <w:lvl w:ilvl="5" w:tplc="C7FA4144" w:tentative="1">
      <w:start w:val="1"/>
      <w:numFmt w:val="bullet"/>
      <w:lvlText w:val=""/>
      <w:lvlJc w:val="left"/>
      <w:pPr>
        <w:ind w:left="4320" w:hanging="360"/>
      </w:pPr>
      <w:rPr>
        <w:rFonts w:hint="default" w:ascii="Wingdings" w:hAnsi="Wingdings"/>
      </w:rPr>
    </w:lvl>
    <w:lvl w:ilvl="6" w:tplc="24CE43E6" w:tentative="1">
      <w:start w:val="1"/>
      <w:numFmt w:val="bullet"/>
      <w:lvlText w:val=""/>
      <w:lvlJc w:val="left"/>
      <w:pPr>
        <w:ind w:left="5040" w:hanging="360"/>
      </w:pPr>
      <w:rPr>
        <w:rFonts w:hint="default" w:ascii="Symbol" w:hAnsi="Symbol"/>
      </w:rPr>
    </w:lvl>
    <w:lvl w:ilvl="7" w:tplc="36AE3066" w:tentative="1">
      <w:start w:val="1"/>
      <w:numFmt w:val="bullet"/>
      <w:lvlText w:val="o"/>
      <w:lvlJc w:val="left"/>
      <w:pPr>
        <w:ind w:left="5760" w:hanging="360"/>
      </w:pPr>
      <w:rPr>
        <w:rFonts w:hint="default" w:ascii="Courier New" w:hAnsi="Courier New" w:cs="Courier New"/>
      </w:rPr>
    </w:lvl>
    <w:lvl w:ilvl="8" w:tplc="0F6E6466" w:tentative="1">
      <w:start w:val="1"/>
      <w:numFmt w:val="bullet"/>
      <w:lvlText w:val=""/>
      <w:lvlJc w:val="left"/>
      <w:pPr>
        <w:ind w:left="6480" w:hanging="360"/>
      </w:pPr>
      <w:rPr>
        <w:rFonts w:hint="default" w:ascii="Wingdings" w:hAnsi="Wingdings"/>
      </w:rPr>
    </w:lvl>
  </w:abstractNum>
  <w:abstractNum w:abstractNumId="26" w15:restartNumberingAfterBreak="0">
    <w:nsid w:val="399A7DE7"/>
    <w:multiLevelType w:val="multilevel"/>
    <w:tmpl w:val="2A685718"/>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C401C22"/>
    <w:multiLevelType w:val="hybridMultilevel"/>
    <w:tmpl w:val="DF8EE652"/>
    <w:lvl w:ilvl="0" w:tplc="FFFFFFFF">
      <w:start w:val="1"/>
      <w:numFmt w:val="decimal"/>
      <w:lvlText w:val="%1."/>
      <w:lvlJc w:val="left"/>
      <w:pPr>
        <w:ind w:left="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0C4A57"/>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04604FC"/>
    <w:multiLevelType w:val="multilevel"/>
    <w:tmpl w:val="BDF4D2C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408F0293"/>
    <w:multiLevelType w:val="hybridMultilevel"/>
    <w:tmpl w:val="FA6EDFA4"/>
    <w:lvl w:ilvl="0" w:tplc="27B01362">
      <w:start w:val="1"/>
      <w:numFmt w:val="bullet"/>
      <w:lvlText w:val=""/>
      <w:lvlJc w:val="left"/>
      <w:pPr>
        <w:ind w:left="720" w:hanging="360"/>
      </w:pPr>
      <w:rPr>
        <w:rFonts w:hint="default" w:ascii="Symbol" w:hAnsi="Symbol"/>
      </w:rPr>
    </w:lvl>
    <w:lvl w:ilvl="1" w:tplc="DA36EE70" w:tentative="1">
      <w:start w:val="1"/>
      <w:numFmt w:val="bullet"/>
      <w:lvlText w:val="o"/>
      <w:lvlJc w:val="left"/>
      <w:pPr>
        <w:ind w:left="1440" w:hanging="360"/>
      </w:pPr>
      <w:rPr>
        <w:rFonts w:hint="default" w:ascii="Courier New" w:hAnsi="Courier New" w:cs="Courier New"/>
      </w:rPr>
    </w:lvl>
    <w:lvl w:ilvl="2" w:tplc="CB2E5F34" w:tentative="1">
      <w:start w:val="1"/>
      <w:numFmt w:val="bullet"/>
      <w:lvlText w:val=""/>
      <w:lvlJc w:val="left"/>
      <w:pPr>
        <w:ind w:left="2160" w:hanging="360"/>
      </w:pPr>
      <w:rPr>
        <w:rFonts w:hint="default" w:ascii="Wingdings" w:hAnsi="Wingdings"/>
      </w:rPr>
    </w:lvl>
    <w:lvl w:ilvl="3" w:tplc="AEA80CE6" w:tentative="1">
      <w:start w:val="1"/>
      <w:numFmt w:val="bullet"/>
      <w:lvlText w:val=""/>
      <w:lvlJc w:val="left"/>
      <w:pPr>
        <w:ind w:left="2880" w:hanging="360"/>
      </w:pPr>
      <w:rPr>
        <w:rFonts w:hint="default" w:ascii="Symbol" w:hAnsi="Symbol"/>
      </w:rPr>
    </w:lvl>
    <w:lvl w:ilvl="4" w:tplc="2DF67F74" w:tentative="1">
      <w:start w:val="1"/>
      <w:numFmt w:val="bullet"/>
      <w:lvlText w:val="o"/>
      <w:lvlJc w:val="left"/>
      <w:pPr>
        <w:ind w:left="3600" w:hanging="360"/>
      </w:pPr>
      <w:rPr>
        <w:rFonts w:hint="default" w:ascii="Courier New" w:hAnsi="Courier New" w:cs="Courier New"/>
      </w:rPr>
    </w:lvl>
    <w:lvl w:ilvl="5" w:tplc="239CA1E2" w:tentative="1">
      <w:start w:val="1"/>
      <w:numFmt w:val="bullet"/>
      <w:lvlText w:val=""/>
      <w:lvlJc w:val="left"/>
      <w:pPr>
        <w:ind w:left="4320" w:hanging="360"/>
      </w:pPr>
      <w:rPr>
        <w:rFonts w:hint="default" w:ascii="Wingdings" w:hAnsi="Wingdings"/>
      </w:rPr>
    </w:lvl>
    <w:lvl w:ilvl="6" w:tplc="CC9AAFC4" w:tentative="1">
      <w:start w:val="1"/>
      <w:numFmt w:val="bullet"/>
      <w:lvlText w:val=""/>
      <w:lvlJc w:val="left"/>
      <w:pPr>
        <w:ind w:left="5040" w:hanging="360"/>
      </w:pPr>
      <w:rPr>
        <w:rFonts w:hint="default" w:ascii="Symbol" w:hAnsi="Symbol"/>
      </w:rPr>
    </w:lvl>
    <w:lvl w:ilvl="7" w:tplc="A20E6CDC" w:tentative="1">
      <w:start w:val="1"/>
      <w:numFmt w:val="bullet"/>
      <w:lvlText w:val="o"/>
      <w:lvlJc w:val="left"/>
      <w:pPr>
        <w:ind w:left="5760" w:hanging="360"/>
      </w:pPr>
      <w:rPr>
        <w:rFonts w:hint="default" w:ascii="Courier New" w:hAnsi="Courier New" w:cs="Courier New"/>
      </w:rPr>
    </w:lvl>
    <w:lvl w:ilvl="8" w:tplc="CE18F49E" w:tentative="1">
      <w:start w:val="1"/>
      <w:numFmt w:val="bullet"/>
      <w:lvlText w:val=""/>
      <w:lvlJc w:val="left"/>
      <w:pPr>
        <w:ind w:left="6480" w:hanging="360"/>
      </w:pPr>
      <w:rPr>
        <w:rFonts w:hint="default" w:ascii="Wingdings" w:hAnsi="Wingdings"/>
      </w:rPr>
    </w:lvl>
  </w:abstractNum>
  <w:abstractNum w:abstractNumId="31" w15:restartNumberingAfterBreak="0">
    <w:nsid w:val="41051B0B"/>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42AA3F0B"/>
    <w:multiLevelType w:val="multilevel"/>
    <w:tmpl w:val="87623B6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3" w15:restartNumberingAfterBreak="0">
    <w:nsid w:val="448013E4"/>
    <w:multiLevelType w:val="hybridMultilevel"/>
    <w:tmpl w:val="AC828FD6"/>
    <w:lvl w:ilvl="0" w:tplc="FFFFFFFF">
      <w:start w:val="1"/>
      <w:numFmt w:val="decimal"/>
      <w:lvlText w:val="%1."/>
      <w:lvlJc w:val="left"/>
      <w:pPr>
        <w:ind w:left="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F1265D"/>
    <w:multiLevelType w:val="multilevel"/>
    <w:tmpl w:val="D9624764"/>
    <w:lvl w:ilvl="0">
      <w:start w:val="1"/>
      <w:numFmt w:val="decimal"/>
      <w:lvlText w:val="%1"/>
      <w:lvlJc w:val="left"/>
      <w:pPr>
        <w:ind w:left="480" w:hanging="480"/>
      </w:pPr>
      <w:rPr>
        <w:rFonts w:hint="default"/>
        <w:b w:val="0"/>
        <w:bCs/>
        <w:color w:val="auto"/>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8C14CB2"/>
    <w:multiLevelType w:val="multilevel"/>
    <w:tmpl w:val="2E3C123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6" w15:restartNumberingAfterBreak="0">
    <w:nsid w:val="4EF66F12"/>
    <w:multiLevelType w:val="multilevel"/>
    <w:tmpl w:val="BA38A2F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7" w15:restartNumberingAfterBreak="0">
    <w:nsid w:val="50300AF8"/>
    <w:multiLevelType w:val="hybridMultilevel"/>
    <w:tmpl w:val="849CBA5C"/>
    <w:lvl w:ilvl="0" w:tplc="67B0301E">
      <w:start w:val="1"/>
      <w:numFmt w:val="bullet"/>
      <w:lvlText w:val="-"/>
      <w:lvlJc w:val="left"/>
      <w:pPr>
        <w:ind w:left="360" w:hanging="360"/>
      </w:pPr>
      <w:rPr>
        <w:rFonts w:hint="default" w:ascii="Calibri" w:hAnsi="Calibri" w:eastAsia="Calibri" w:cs="Calibri"/>
      </w:rPr>
    </w:lvl>
    <w:lvl w:ilvl="1" w:tplc="48C406FC" w:tentative="1">
      <w:start w:val="1"/>
      <w:numFmt w:val="bullet"/>
      <w:lvlText w:val="o"/>
      <w:lvlJc w:val="left"/>
      <w:pPr>
        <w:ind w:left="1080" w:hanging="360"/>
      </w:pPr>
      <w:rPr>
        <w:rFonts w:hint="default" w:ascii="Courier New" w:hAnsi="Courier New" w:cs="Courier New"/>
      </w:rPr>
    </w:lvl>
    <w:lvl w:ilvl="2" w:tplc="725A5BBE" w:tentative="1">
      <w:start w:val="1"/>
      <w:numFmt w:val="bullet"/>
      <w:lvlText w:val=""/>
      <w:lvlJc w:val="left"/>
      <w:pPr>
        <w:ind w:left="1800" w:hanging="360"/>
      </w:pPr>
      <w:rPr>
        <w:rFonts w:hint="default" w:ascii="Wingdings" w:hAnsi="Wingdings"/>
      </w:rPr>
    </w:lvl>
    <w:lvl w:ilvl="3" w:tplc="EC80A4F4" w:tentative="1">
      <w:start w:val="1"/>
      <w:numFmt w:val="bullet"/>
      <w:lvlText w:val=""/>
      <w:lvlJc w:val="left"/>
      <w:pPr>
        <w:ind w:left="2520" w:hanging="360"/>
      </w:pPr>
      <w:rPr>
        <w:rFonts w:hint="default" w:ascii="Symbol" w:hAnsi="Symbol"/>
      </w:rPr>
    </w:lvl>
    <w:lvl w:ilvl="4" w:tplc="BACE22DE" w:tentative="1">
      <w:start w:val="1"/>
      <w:numFmt w:val="bullet"/>
      <w:lvlText w:val="o"/>
      <w:lvlJc w:val="left"/>
      <w:pPr>
        <w:ind w:left="3240" w:hanging="360"/>
      </w:pPr>
      <w:rPr>
        <w:rFonts w:hint="default" w:ascii="Courier New" w:hAnsi="Courier New" w:cs="Courier New"/>
      </w:rPr>
    </w:lvl>
    <w:lvl w:ilvl="5" w:tplc="0D42E67A" w:tentative="1">
      <w:start w:val="1"/>
      <w:numFmt w:val="bullet"/>
      <w:lvlText w:val=""/>
      <w:lvlJc w:val="left"/>
      <w:pPr>
        <w:ind w:left="3960" w:hanging="360"/>
      </w:pPr>
      <w:rPr>
        <w:rFonts w:hint="default" w:ascii="Wingdings" w:hAnsi="Wingdings"/>
      </w:rPr>
    </w:lvl>
    <w:lvl w:ilvl="6" w:tplc="838067FA" w:tentative="1">
      <w:start w:val="1"/>
      <w:numFmt w:val="bullet"/>
      <w:lvlText w:val=""/>
      <w:lvlJc w:val="left"/>
      <w:pPr>
        <w:ind w:left="4680" w:hanging="360"/>
      </w:pPr>
      <w:rPr>
        <w:rFonts w:hint="default" w:ascii="Symbol" w:hAnsi="Symbol"/>
      </w:rPr>
    </w:lvl>
    <w:lvl w:ilvl="7" w:tplc="55A4F4E2" w:tentative="1">
      <w:start w:val="1"/>
      <w:numFmt w:val="bullet"/>
      <w:lvlText w:val="o"/>
      <w:lvlJc w:val="left"/>
      <w:pPr>
        <w:ind w:left="5400" w:hanging="360"/>
      </w:pPr>
      <w:rPr>
        <w:rFonts w:hint="default" w:ascii="Courier New" w:hAnsi="Courier New" w:cs="Courier New"/>
      </w:rPr>
    </w:lvl>
    <w:lvl w:ilvl="8" w:tplc="4E384F28" w:tentative="1">
      <w:start w:val="1"/>
      <w:numFmt w:val="bullet"/>
      <w:lvlText w:val=""/>
      <w:lvlJc w:val="left"/>
      <w:pPr>
        <w:ind w:left="6120" w:hanging="360"/>
      </w:pPr>
      <w:rPr>
        <w:rFonts w:hint="default" w:ascii="Wingdings" w:hAnsi="Wingdings"/>
      </w:rPr>
    </w:lvl>
  </w:abstractNum>
  <w:abstractNum w:abstractNumId="38" w15:restartNumberingAfterBreak="0">
    <w:nsid w:val="50FC11D4"/>
    <w:multiLevelType w:val="hybridMultilevel"/>
    <w:tmpl w:val="84D43CAC"/>
    <w:lvl w:ilvl="0" w:tplc="E38E6FA0">
      <w:start w:val="1"/>
      <w:numFmt w:val="bullet"/>
      <w:lvlText w:val=""/>
      <w:lvlJc w:val="left"/>
      <w:pPr>
        <w:ind w:left="360" w:hanging="360"/>
      </w:pPr>
      <w:rPr>
        <w:rFonts w:hint="default" w:ascii="Symbol" w:hAnsi="Symbol"/>
        <w:sz w:val="28"/>
        <w:szCs w:val="28"/>
      </w:rPr>
    </w:lvl>
    <w:lvl w:ilvl="1" w:tplc="C0563768" w:tentative="1">
      <w:start w:val="1"/>
      <w:numFmt w:val="bullet"/>
      <w:lvlText w:val="o"/>
      <w:lvlJc w:val="left"/>
      <w:pPr>
        <w:ind w:left="1080" w:hanging="360"/>
      </w:pPr>
      <w:rPr>
        <w:rFonts w:hint="default" w:ascii="Courier New" w:hAnsi="Courier New" w:cs="Courier New"/>
      </w:rPr>
    </w:lvl>
    <w:lvl w:ilvl="2" w:tplc="EE1E810A" w:tentative="1">
      <w:start w:val="1"/>
      <w:numFmt w:val="bullet"/>
      <w:lvlText w:val=""/>
      <w:lvlJc w:val="left"/>
      <w:pPr>
        <w:ind w:left="1800" w:hanging="360"/>
      </w:pPr>
      <w:rPr>
        <w:rFonts w:hint="default" w:ascii="Wingdings" w:hAnsi="Wingdings"/>
      </w:rPr>
    </w:lvl>
    <w:lvl w:ilvl="3" w:tplc="F1002192" w:tentative="1">
      <w:start w:val="1"/>
      <w:numFmt w:val="bullet"/>
      <w:lvlText w:val=""/>
      <w:lvlJc w:val="left"/>
      <w:pPr>
        <w:ind w:left="2520" w:hanging="360"/>
      </w:pPr>
      <w:rPr>
        <w:rFonts w:hint="default" w:ascii="Symbol" w:hAnsi="Symbol"/>
      </w:rPr>
    </w:lvl>
    <w:lvl w:ilvl="4" w:tplc="4456ED78" w:tentative="1">
      <w:start w:val="1"/>
      <w:numFmt w:val="bullet"/>
      <w:lvlText w:val="o"/>
      <w:lvlJc w:val="left"/>
      <w:pPr>
        <w:ind w:left="3240" w:hanging="360"/>
      </w:pPr>
      <w:rPr>
        <w:rFonts w:hint="default" w:ascii="Courier New" w:hAnsi="Courier New" w:cs="Courier New"/>
      </w:rPr>
    </w:lvl>
    <w:lvl w:ilvl="5" w:tplc="CF06BFEA" w:tentative="1">
      <w:start w:val="1"/>
      <w:numFmt w:val="bullet"/>
      <w:lvlText w:val=""/>
      <w:lvlJc w:val="left"/>
      <w:pPr>
        <w:ind w:left="3960" w:hanging="360"/>
      </w:pPr>
      <w:rPr>
        <w:rFonts w:hint="default" w:ascii="Wingdings" w:hAnsi="Wingdings"/>
      </w:rPr>
    </w:lvl>
    <w:lvl w:ilvl="6" w:tplc="171A88B0" w:tentative="1">
      <w:start w:val="1"/>
      <w:numFmt w:val="bullet"/>
      <w:lvlText w:val=""/>
      <w:lvlJc w:val="left"/>
      <w:pPr>
        <w:ind w:left="4680" w:hanging="360"/>
      </w:pPr>
      <w:rPr>
        <w:rFonts w:hint="default" w:ascii="Symbol" w:hAnsi="Symbol"/>
      </w:rPr>
    </w:lvl>
    <w:lvl w:ilvl="7" w:tplc="5B8EEC6C" w:tentative="1">
      <w:start w:val="1"/>
      <w:numFmt w:val="bullet"/>
      <w:lvlText w:val="o"/>
      <w:lvlJc w:val="left"/>
      <w:pPr>
        <w:ind w:left="5400" w:hanging="360"/>
      </w:pPr>
      <w:rPr>
        <w:rFonts w:hint="default" w:ascii="Courier New" w:hAnsi="Courier New" w:cs="Courier New"/>
      </w:rPr>
    </w:lvl>
    <w:lvl w:ilvl="8" w:tplc="8E4A34B4" w:tentative="1">
      <w:start w:val="1"/>
      <w:numFmt w:val="bullet"/>
      <w:lvlText w:val=""/>
      <w:lvlJc w:val="left"/>
      <w:pPr>
        <w:ind w:left="6120" w:hanging="360"/>
      </w:pPr>
      <w:rPr>
        <w:rFonts w:hint="default" w:ascii="Wingdings" w:hAnsi="Wingdings"/>
      </w:rPr>
    </w:lvl>
  </w:abstractNum>
  <w:abstractNum w:abstractNumId="39" w15:restartNumberingAfterBreak="0">
    <w:nsid w:val="534248E8"/>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5B5B7CF7"/>
    <w:multiLevelType w:val="multilevel"/>
    <w:tmpl w:val="A314B4C0"/>
    <w:lvl w:ilvl="0">
      <w:start w:val="1"/>
      <w:numFmt w:val="lowerLetter"/>
      <w:lvlText w:val="%1."/>
      <w:lvlJc w:val="left"/>
      <w:pPr>
        <w:ind w:left="72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5C9173BB"/>
    <w:multiLevelType w:val="multilevel"/>
    <w:tmpl w:val="18FE31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i w:val="0"/>
        <w:iCs w:val="0"/>
      </w:rPr>
    </w:lvl>
    <w:lvl w:ilvl="2">
      <w:start w:val="1"/>
      <w:numFmt w:val="lowerLetter"/>
      <w:lvlText w:val="%3."/>
      <w:lvlJc w:val="left"/>
      <w:pPr>
        <w:ind w:left="360" w:hanging="360"/>
      </w:pPr>
      <w:rPr>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616A5D0E"/>
    <w:multiLevelType w:val="multilevel"/>
    <w:tmpl w:val="FC6A3BF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360" w:hanging="36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67847AC9"/>
    <w:multiLevelType w:val="hybridMultilevel"/>
    <w:tmpl w:val="FA960120"/>
    <w:lvl w:ilvl="0" w:tplc="40090001">
      <w:numFmt w:val="bullet"/>
      <w:lvlText w:val=""/>
      <w:lvlJc w:val="left"/>
      <w:pPr>
        <w:ind w:left="720" w:hanging="360"/>
      </w:pPr>
      <w:rPr>
        <w:rFonts w:hint="default" w:ascii="Symbol" w:hAnsi="Symbol" w:eastAsia="Times New Roman" w:cs="Times New Roman"/>
      </w:rPr>
    </w:lvl>
    <w:lvl w:ilvl="1" w:tplc="40090003" w:tentative="1">
      <w:start w:val="1"/>
      <w:numFmt w:val="bullet"/>
      <w:lvlText w:val="o"/>
      <w:lvlJc w:val="left"/>
      <w:pPr>
        <w:ind w:left="1440" w:hanging="360"/>
      </w:pPr>
      <w:rPr>
        <w:rFonts w:hint="default" w:ascii="Courier New" w:hAnsi="Courier New" w:cs="Courier New"/>
      </w:rPr>
    </w:lvl>
    <w:lvl w:ilvl="2" w:tplc="40090005" w:tentative="1">
      <w:start w:val="1"/>
      <w:numFmt w:val="bullet"/>
      <w:lvlText w:val=""/>
      <w:lvlJc w:val="left"/>
      <w:pPr>
        <w:ind w:left="2160" w:hanging="360"/>
      </w:pPr>
      <w:rPr>
        <w:rFonts w:hint="default" w:ascii="Wingdings" w:hAnsi="Wingdings"/>
      </w:rPr>
    </w:lvl>
    <w:lvl w:ilvl="3" w:tplc="40090001" w:tentative="1">
      <w:start w:val="1"/>
      <w:numFmt w:val="bullet"/>
      <w:lvlText w:val=""/>
      <w:lvlJc w:val="left"/>
      <w:pPr>
        <w:ind w:left="2880" w:hanging="360"/>
      </w:pPr>
      <w:rPr>
        <w:rFonts w:hint="default" w:ascii="Symbol" w:hAnsi="Symbol"/>
      </w:rPr>
    </w:lvl>
    <w:lvl w:ilvl="4" w:tplc="40090003" w:tentative="1">
      <w:start w:val="1"/>
      <w:numFmt w:val="bullet"/>
      <w:lvlText w:val="o"/>
      <w:lvlJc w:val="left"/>
      <w:pPr>
        <w:ind w:left="3600" w:hanging="360"/>
      </w:pPr>
      <w:rPr>
        <w:rFonts w:hint="default" w:ascii="Courier New" w:hAnsi="Courier New" w:cs="Courier New"/>
      </w:rPr>
    </w:lvl>
    <w:lvl w:ilvl="5" w:tplc="40090005" w:tentative="1">
      <w:start w:val="1"/>
      <w:numFmt w:val="bullet"/>
      <w:lvlText w:val=""/>
      <w:lvlJc w:val="left"/>
      <w:pPr>
        <w:ind w:left="4320" w:hanging="360"/>
      </w:pPr>
      <w:rPr>
        <w:rFonts w:hint="default" w:ascii="Wingdings" w:hAnsi="Wingdings"/>
      </w:rPr>
    </w:lvl>
    <w:lvl w:ilvl="6" w:tplc="40090001" w:tentative="1">
      <w:start w:val="1"/>
      <w:numFmt w:val="bullet"/>
      <w:lvlText w:val=""/>
      <w:lvlJc w:val="left"/>
      <w:pPr>
        <w:ind w:left="5040" w:hanging="360"/>
      </w:pPr>
      <w:rPr>
        <w:rFonts w:hint="default" w:ascii="Symbol" w:hAnsi="Symbol"/>
      </w:rPr>
    </w:lvl>
    <w:lvl w:ilvl="7" w:tplc="40090003" w:tentative="1">
      <w:start w:val="1"/>
      <w:numFmt w:val="bullet"/>
      <w:lvlText w:val="o"/>
      <w:lvlJc w:val="left"/>
      <w:pPr>
        <w:ind w:left="5760" w:hanging="360"/>
      </w:pPr>
      <w:rPr>
        <w:rFonts w:hint="default" w:ascii="Courier New" w:hAnsi="Courier New" w:cs="Courier New"/>
      </w:rPr>
    </w:lvl>
    <w:lvl w:ilvl="8" w:tplc="40090005" w:tentative="1">
      <w:start w:val="1"/>
      <w:numFmt w:val="bullet"/>
      <w:lvlText w:val=""/>
      <w:lvlJc w:val="left"/>
      <w:pPr>
        <w:ind w:left="6480" w:hanging="360"/>
      </w:pPr>
      <w:rPr>
        <w:rFonts w:hint="default" w:ascii="Wingdings" w:hAnsi="Wingdings"/>
      </w:rPr>
    </w:lvl>
  </w:abstractNum>
  <w:abstractNum w:abstractNumId="44" w15:restartNumberingAfterBreak="0">
    <w:nsid w:val="68E55F7F"/>
    <w:multiLevelType w:val="multilevel"/>
    <w:tmpl w:val="9F1EEF5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
      <w:lvlJc w:val="left"/>
      <w:pPr>
        <w:ind w:left="1440" w:hanging="360"/>
      </w:pPr>
      <w:rPr>
        <w:rFonts w:ascii="Noto Sans Symbols" w:hAnsi="Noto Sans Symbols" w:eastAsia="Noto Sans Symbols" w:cs="Noto Sans Symbols"/>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5" w15:restartNumberingAfterBreak="0">
    <w:nsid w:val="6B5C73DA"/>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6C4555D5"/>
    <w:multiLevelType w:val="multilevel"/>
    <w:tmpl w:val="18FE31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i w:val="0"/>
        <w:iCs w:val="0"/>
      </w:rPr>
    </w:lvl>
    <w:lvl w:ilvl="2">
      <w:start w:val="1"/>
      <w:numFmt w:val="lowerLetter"/>
      <w:lvlText w:val="%3."/>
      <w:lvlJc w:val="left"/>
      <w:pPr>
        <w:ind w:left="360" w:hanging="360"/>
      </w:pPr>
      <w:rPr>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6F68292E"/>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6FB0770A"/>
    <w:multiLevelType w:val="multilevel"/>
    <w:tmpl w:val="063CAB7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9" w15:restartNumberingAfterBreak="0">
    <w:nsid w:val="70971957"/>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747B6BC2"/>
    <w:multiLevelType w:val="hybridMultilevel"/>
    <w:tmpl w:val="36F6EDBE"/>
    <w:lvl w:ilvl="0" w:tplc="2B002968">
      <w:start w:val="1"/>
      <w:numFmt w:val="bullet"/>
      <w:lvlText w:val=""/>
      <w:lvlJc w:val="left"/>
      <w:pPr>
        <w:ind w:left="720" w:hanging="360"/>
      </w:pPr>
      <w:rPr>
        <w:rFonts w:hint="default" w:ascii="Symbol" w:hAnsi="Symbol"/>
      </w:rPr>
    </w:lvl>
    <w:lvl w:ilvl="1" w:tplc="095EB076" w:tentative="1">
      <w:start w:val="1"/>
      <w:numFmt w:val="bullet"/>
      <w:lvlText w:val="o"/>
      <w:lvlJc w:val="left"/>
      <w:pPr>
        <w:ind w:left="1440" w:hanging="360"/>
      </w:pPr>
      <w:rPr>
        <w:rFonts w:hint="default" w:ascii="Courier New" w:hAnsi="Courier New" w:cs="Courier New"/>
      </w:rPr>
    </w:lvl>
    <w:lvl w:ilvl="2" w:tplc="1AFED9D8" w:tentative="1">
      <w:start w:val="1"/>
      <w:numFmt w:val="bullet"/>
      <w:lvlText w:val=""/>
      <w:lvlJc w:val="left"/>
      <w:pPr>
        <w:ind w:left="2160" w:hanging="360"/>
      </w:pPr>
      <w:rPr>
        <w:rFonts w:hint="default" w:ascii="Wingdings" w:hAnsi="Wingdings"/>
      </w:rPr>
    </w:lvl>
    <w:lvl w:ilvl="3" w:tplc="C0F038BE" w:tentative="1">
      <w:start w:val="1"/>
      <w:numFmt w:val="bullet"/>
      <w:lvlText w:val=""/>
      <w:lvlJc w:val="left"/>
      <w:pPr>
        <w:ind w:left="2880" w:hanging="360"/>
      </w:pPr>
      <w:rPr>
        <w:rFonts w:hint="default" w:ascii="Symbol" w:hAnsi="Symbol"/>
      </w:rPr>
    </w:lvl>
    <w:lvl w:ilvl="4" w:tplc="1930A640" w:tentative="1">
      <w:start w:val="1"/>
      <w:numFmt w:val="bullet"/>
      <w:lvlText w:val="o"/>
      <w:lvlJc w:val="left"/>
      <w:pPr>
        <w:ind w:left="3600" w:hanging="360"/>
      </w:pPr>
      <w:rPr>
        <w:rFonts w:hint="default" w:ascii="Courier New" w:hAnsi="Courier New" w:cs="Courier New"/>
      </w:rPr>
    </w:lvl>
    <w:lvl w:ilvl="5" w:tplc="58983A12" w:tentative="1">
      <w:start w:val="1"/>
      <w:numFmt w:val="bullet"/>
      <w:lvlText w:val=""/>
      <w:lvlJc w:val="left"/>
      <w:pPr>
        <w:ind w:left="4320" w:hanging="360"/>
      </w:pPr>
      <w:rPr>
        <w:rFonts w:hint="default" w:ascii="Wingdings" w:hAnsi="Wingdings"/>
      </w:rPr>
    </w:lvl>
    <w:lvl w:ilvl="6" w:tplc="1690001A" w:tentative="1">
      <w:start w:val="1"/>
      <w:numFmt w:val="bullet"/>
      <w:lvlText w:val=""/>
      <w:lvlJc w:val="left"/>
      <w:pPr>
        <w:ind w:left="5040" w:hanging="360"/>
      </w:pPr>
      <w:rPr>
        <w:rFonts w:hint="default" w:ascii="Symbol" w:hAnsi="Symbol"/>
      </w:rPr>
    </w:lvl>
    <w:lvl w:ilvl="7" w:tplc="57386574" w:tentative="1">
      <w:start w:val="1"/>
      <w:numFmt w:val="bullet"/>
      <w:lvlText w:val="o"/>
      <w:lvlJc w:val="left"/>
      <w:pPr>
        <w:ind w:left="5760" w:hanging="360"/>
      </w:pPr>
      <w:rPr>
        <w:rFonts w:hint="default" w:ascii="Courier New" w:hAnsi="Courier New" w:cs="Courier New"/>
      </w:rPr>
    </w:lvl>
    <w:lvl w:ilvl="8" w:tplc="A9908FEC" w:tentative="1">
      <w:start w:val="1"/>
      <w:numFmt w:val="bullet"/>
      <w:lvlText w:val=""/>
      <w:lvlJc w:val="left"/>
      <w:pPr>
        <w:ind w:left="6480" w:hanging="360"/>
      </w:pPr>
      <w:rPr>
        <w:rFonts w:hint="default" w:ascii="Wingdings" w:hAnsi="Wingdings"/>
      </w:rPr>
    </w:lvl>
  </w:abstractNum>
  <w:abstractNum w:abstractNumId="51" w15:restartNumberingAfterBreak="0">
    <w:nsid w:val="75C71D87"/>
    <w:multiLevelType w:val="multilevel"/>
    <w:tmpl w:val="FABCA1B6"/>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5F4DCC"/>
    <w:multiLevelType w:val="multilevel"/>
    <w:tmpl w:val="BE48574E"/>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980701F"/>
    <w:multiLevelType w:val="hybridMultilevel"/>
    <w:tmpl w:val="EDCE8ABC"/>
    <w:lvl w:ilvl="0" w:tplc="96C4638E">
      <w:start w:val="1"/>
      <w:numFmt w:val="decimal"/>
      <w:lvlText w:val="%1."/>
      <w:lvlJc w:val="left"/>
      <w:pPr>
        <w:ind w:left="720" w:hanging="360"/>
      </w:pPr>
    </w:lvl>
    <w:lvl w:ilvl="1" w:tplc="D18808DE" w:tentative="1">
      <w:start w:val="1"/>
      <w:numFmt w:val="lowerLetter"/>
      <w:lvlText w:val="%2."/>
      <w:lvlJc w:val="left"/>
      <w:pPr>
        <w:ind w:left="1440" w:hanging="360"/>
      </w:pPr>
    </w:lvl>
    <w:lvl w:ilvl="2" w:tplc="952658CC" w:tentative="1">
      <w:start w:val="1"/>
      <w:numFmt w:val="lowerRoman"/>
      <w:lvlText w:val="%3."/>
      <w:lvlJc w:val="right"/>
      <w:pPr>
        <w:ind w:left="2160" w:hanging="180"/>
      </w:pPr>
    </w:lvl>
    <w:lvl w:ilvl="3" w:tplc="06C86622" w:tentative="1">
      <w:start w:val="1"/>
      <w:numFmt w:val="decimal"/>
      <w:lvlText w:val="%4."/>
      <w:lvlJc w:val="left"/>
      <w:pPr>
        <w:ind w:left="2880" w:hanging="360"/>
      </w:pPr>
    </w:lvl>
    <w:lvl w:ilvl="4" w:tplc="94EEF308" w:tentative="1">
      <w:start w:val="1"/>
      <w:numFmt w:val="lowerLetter"/>
      <w:lvlText w:val="%5."/>
      <w:lvlJc w:val="left"/>
      <w:pPr>
        <w:ind w:left="3600" w:hanging="360"/>
      </w:pPr>
    </w:lvl>
    <w:lvl w:ilvl="5" w:tplc="2CDC52DA" w:tentative="1">
      <w:start w:val="1"/>
      <w:numFmt w:val="lowerRoman"/>
      <w:lvlText w:val="%6."/>
      <w:lvlJc w:val="right"/>
      <w:pPr>
        <w:ind w:left="4320" w:hanging="180"/>
      </w:pPr>
    </w:lvl>
    <w:lvl w:ilvl="6" w:tplc="101095B0" w:tentative="1">
      <w:start w:val="1"/>
      <w:numFmt w:val="decimal"/>
      <w:lvlText w:val="%7."/>
      <w:lvlJc w:val="left"/>
      <w:pPr>
        <w:ind w:left="5040" w:hanging="360"/>
      </w:pPr>
    </w:lvl>
    <w:lvl w:ilvl="7" w:tplc="E9B44D68" w:tentative="1">
      <w:start w:val="1"/>
      <w:numFmt w:val="lowerLetter"/>
      <w:lvlText w:val="%8."/>
      <w:lvlJc w:val="left"/>
      <w:pPr>
        <w:ind w:left="5760" w:hanging="360"/>
      </w:pPr>
    </w:lvl>
    <w:lvl w:ilvl="8" w:tplc="E67E0F8E" w:tentative="1">
      <w:start w:val="1"/>
      <w:numFmt w:val="lowerRoman"/>
      <w:lvlText w:val="%9."/>
      <w:lvlJc w:val="right"/>
      <w:pPr>
        <w:ind w:left="6480" w:hanging="180"/>
      </w:pPr>
    </w:lvl>
  </w:abstractNum>
  <w:abstractNum w:abstractNumId="54" w15:restartNumberingAfterBreak="0">
    <w:nsid w:val="798D5D4D"/>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7A671308"/>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7CE542EE"/>
    <w:multiLevelType w:val="multilevel"/>
    <w:tmpl w:val="3F66BB1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lowerLetter"/>
      <w:lvlText w:val="%3."/>
      <w:lvlJc w:val="left"/>
      <w:pPr>
        <w:ind w:left="72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7" w15:restartNumberingAfterBreak="0">
    <w:nsid w:val="7FC87FDD"/>
    <w:multiLevelType w:val="multilevel"/>
    <w:tmpl w:val="18FE31B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i w:val="0"/>
        <w:iCs w:val="0"/>
      </w:rPr>
    </w:lvl>
    <w:lvl w:ilvl="2">
      <w:start w:val="1"/>
      <w:numFmt w:val="lowerLetter"/>
      <w:lvlText w:val="%3."/>
      <w:lvlJc w:val="left"/>
      <w:pPr>
        <w:ind w:left="360" w:hanging="360"/>
      </w:pPr>
      <w:rPr>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752123839">
    <w:abstractNumId w:val="20"/>
  </w:num>
  <w:num w:numId="2" w16cid:durableId="1984042491">
    <w:abstractNumId w:val="32"/>
  </w:num>
  <w:num w:numId="3" w16cid:durableId="118914537">
    <w:abstractNumId w:val="48"/>
  </w:num>
  <w:num w:numId="4" w16cid:durableId="1932934919">
    <w:abstractNumId w:val="12"/>
  </w:num>
  <w:num w:numId="5" w16cid:durableId="584412448">
    <w:abstractNumId w:val="36"/>
  </w:num>
  <w:num w:numId="6" w16cid:durableId="1692337555">
    <w:abstractNumId w:val="44"/>
  </w:num>
  <w:num w:numId="7" w16cid:durableId="1668751632">
    <w:abstractNumId w:val="21"/>
  </w:num>
  <w:num w:numId="8" w16cid:durableId="1699504584">
    <w:abstractNumId w:val="29"/>
  </w:num>
  <w:num w:numId="9" w16cid:durableId="1471939920">
    <w:abstractNumId w:val="13"/>
  </w:num>
  <w:num w:numId="10" w16cid:durableId="1456294289">
    <w:abstractNumId w:val="24"/>
  </w:num>
  <w:num w:numId="11" w16cid:durableId="1090856223">
    <w:abstractNumId w:val="35"/>
  </w:num>
  <w:num w:numId="12" w16cid:durableId="347753210">
    <w:abstractNumId w:val="16"/>
  </w:num>
  <w:num w:numId="13" w16cid:durableId="62803357">
    <w:abstractNumId w:val="53"/>
  </w:num>
  <w:num w:numId="14" w16cid:durableId="571625102">
    <w:abstractNumId w:val="50"/>
  </w:num>
  <w:num w:numId="15" w16cid:durableId="1783526964">
    <w:abstractNumId w:val="19"/>
  </w:num>
  <w:num w:numId="16" w16cid:durableId="985014971">
    <w:abstractNumId w:val="11"/>
  </w:num>
  <w:num w:numId="17" w16cid:durableId="1511211528">
    <w:abstractNumId w:val="9"/>
  </w:num>
  <w:num w:numId="18" w16cid:durableId="1311205117">
    <w:abstractNumId w:val="30"/>
  </w:num>
  <w:num w:numId="19" w16cid:durableId="81266712">
    <w:abstractNumId w:val="15"/>
  </w:num>
  <w:num w:numId="20" w16cid:durableId="1802188761">
    <w:abstractNumId w:val="38"/>
  </w:num>
  <w:num w:numId="21" w16cid:durableId="225191431">
    <w:abstractNumId w:val="5"/>
  </w:num>
  <w:num w:numId="22" w16cid:durableId="475996718">
    <w:abstractNumId w:val="6"/>
  </w:num>
  <w:num w:numId="23" w16cid:durableId="1807358831">
    <w:abstractNumId w:val="42"/>
  </w:num>
  <w:num w:numId="24" w16cid:durableId="1043940761">
    <w:abstractNumId w:val="37"/>
  </w:num>
  <w:num w:numId="25" w16cid:durableId="193734662">
    <w:abstractNumId w:val="54"/>
  </w:num>
  <w:num w:numId="26" w16cid:durableId="1177502427">
    <w:abstractNumId w:val="3"/>
  </w:num>
  <w:num w:numId="27" w16cid:durableId="1427649508">
    <w:abstractNumId w:val="40"/>
  </w:num>
  <w:num w:numId="28" w16cid:durableId="491455789">
    <w:abstractNumId w:val="25"/>
  </w:num>
  <w:num w:numId="29" w16cid:durableId="98377721">
    <w:abstractNumId w:val="28"/>
  </w:num>
  <w:num w:numId="30" w16cid:durableId="948005746">
    <w:abstractNumId w:val="39"/>
  </w:num>
  <w:num w:numId="31" w16cid:durableId="595094134">
    <w:abstractNumId w:val="47"/>
  </w:num>
  <w:num w:numId="32" w16cid:durableId="362439830">
    <w:abstractNumId w:val="4"/>
  </w:num>
  <w:num w:numId="33" w16cid:durableId="402610208">
    <w:abstractNumId w:val="55"/>
  </w:num>
  <w:num w:numId="34" w16cid:durableId="326445651">
    <w:abstractNumId w:val="56"/>
  </w:num>
  <w:num w:numId="35" w16cid:durableId="1987972803">
    <w:abstractNumId w:val="2"/>
  </w:num>
  <w:num w:numId="36" w16cid:durableId="2054763933">
    <w:abstractNumId w:val="1"/>
  </w:num>
  <w:num w:numId="37" w16cid:durableId="223026759">
    <w:abstractNumId w:val="22"/>
  </w:num>
  <w:num w:numId="38" w16cid:durableId="1803688246">
    <w:abstractNumId w:val="46"/>
  </w:num>
  <w:num w:numId="39" w16cid:durableId="1237859162">
    <w:abstractNumId w:val="18"/>
  </w:num>
  <w:num w:numId="40" w16cid:durableId="765150798">
    <w:abstractNumId w:val="41"/>
  </w:num>
  <w:num w:numId="41" w16cid:durableId="255748316">
    <w:abstractNumId w:val="57"/>
  </w:num>
  <w:num w:numId="42" w16cid:durableId="143548595">
    <w:abstractNumId w:val="0"/>
  </w:num>
  <w:num w:numId="43" w16cid:durableId="1427266413">
    <w:abstractNumId w:val="14"/>
  </w:num>
  <w:num w:numId="44" w16cid:durableId="119687682">
    <w:abstractNumId w:val="49"/>
  </w:num>
  <w:num w:numId="45" w16cid:durableId="1987125319">
    <w:abstractNumId w:val="45"/>
  </w:num>
  <w:num w:numId="46" w16cid:durableId="1814525376">
    <w:abstractNumId w:val="10"/>
  </w:num>
  <w:num w:numId="47" w16cid:durableId="928999071">
    <w:abstractNumId w:val="8"/>
  </w:num>
  <w:num w:numId="48" w16cid:durableId="69888392">
    <w:abstractNumId w:val="33"/>
  </w:num>
  <w:num w:numId="49" w16cid:durableId="659427893">
    <w:abstractNumId w:val="23"/>
  </w:num>
  <w:num w:numId="50" w16cid:durableId="1548488712">
    <w:abstractNumId w:val="27"/>
  </w:num>
  <w:num w:numId="51" w16cid:durableId="669793963">
    <w:abstractNumId w:val="31"/>
  </w:num>
  <w:num w:numId="52" w16cid:durableId="1067263871">
    <w:abstractNumId w:val="17"/>
  </w:num>
  <w:num w:numId="53" w16cid:durableId="1855414241">
    <w:abstractNumId w:val="52"/>
  </w:num>
  <w:num w:numId="54" w16cid:durableId="777987476">
    <w:abstractNumId w:val="26"/>
  </w:num>
  <w:num w:numId="55" w16cid:durableId="600455169">
    <w:abstractNumId w:val="7"/>
  </w:num>
  <w:num w:numId="56" w16cid:durableId="1617329937">
    <w:abstractNumId w:val="51"/>
  </w:num>
  <w:num w:numId="57" w16cid:durableId="762919532">
    <w:abstractNumId w:val="43"/>
  </w:num>
  <w:num w:numId="58" w16cid:durableId="1317223712">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sFAMS0lsstAAAA"/>
  </w:docVars>
  <w:rsids>
    <w:rsidRoot w:val="006E4797"/>
    <w:rsid w:val="0000515B"/>
    <w:rsid w:val="00011457"/>
    <w:rsid w:val="00011A88"/>
    <w:rsid w:val="00013576"/>
    <w:rsid w:val="00013652"/>
    <w:rsid w:val="00021667"/>
    <w:rsid w:val="00021F4A"/>
    <w:rsid w:val="00027596"/>
    <w:rsid w:val="00031304"/>
    <w:rsid w:val="00031BC8"/>
    <w:rsid w:val="00034DD1"/>
    <w:rsid w:val="000369F7"/>
    <w:rsid w:val="00037EAB"/>
    <w:rsid w:val="0004355D"/>
    <w:rsid w:val="0005216F"/>
    <w:rsid w:val="000551D6"/>
    <w:rsid w:val="00055721"/>
    <w:rsid w:val="00056199"/>
    <w:rsid w:val="00057B67"/>
    <w:rsid w:val="00061E0E"/>
    <w:rsid w:val="000631EF"/>
    <w:rsid w:val="000732E0"/>
    <w:rsid w:val="0007506F"/>
    <w:rsid w:val="00076815"/>
    <w:rsid w:val="00077464"/>
    <w:rsid w:val="00081F44"/>
    <w:rsid w:val="00082A5F"/>
    <w:rsid w:val="000856DC"/>
    <w:rsid w:val="00086634"/>
    <w:rsid w:val="0009275D"/>
    <w:rsid w:val="00093571"/>
    <w:rsid w:val="000935A8"/>
    <w:rsid w:val="000A5FBD"/>
    <w:rsid w:val="000B41B6"/>
    <w:rsid w:val="000B6B99"/>
    <w:rsid w:val="000C322C"/>
    <w:rsid w:val="000C6047"/>
    <w:rsid w:val="000D249B"/>
    <w:rsid w:val="000D3211"/>
    <w:rsid w:val="000E2ABF"/>
    <w:rsid w:val="000E2D2B"/>
    <w:rsid w:val="000E3F21"/>
    <w:rsid w:val="000E4C51"/>
    <w:rsid w:val="000F4695"/>
    <w:rsid w:val="000F53A7"/>
    <w:rsid w:val="000F586B"/>
    <w:rsid w:val="001024D4"/>
    <w:rsid w:val="00106CDA"/>
    <w:rsid w:val="001111EC"/>
    <w:rsid w:val="00111EA6"/>
    <w:rsid w:val="00113511"/>
    <w:rsid w:val="001140D4"/>
    <w:rsid w:val="00116B18"/>
    <w:rsid w:val="00120688"/>
    <w:rsid w:val="00120E00"/>
    <w:rsid w:val="001312D2"/>
    <w:rsid w:val="001454F0"/>
    <w:rsid w:val="001461FB"/>
    <w:rsid w:val="0014632F"/>
    <w:rsid w:val="001470F2"/>
    <w:rsid w:val="00147600"/>
    <w:rsid w:val="00147CBA"/>
    <w:rsid w:val="0015327B"/>
    <w:rsid w:val="001624E4"/>
    <w:rsid w:val="00163308"/>
    <w:rsid w:val="00176864"/>
    <w:rsid w:val="00181A81"/>
    <w:rsid w:val="0018268C"/>
    <w:rsid w:val="0018412F"/>
    <w:rsid w:val="00184D1B"/>
    <w:rsid w:val="00191564"/>
    <w:rsid w:val="00194C04"/>
    <w:rsid w:val="00194CE8"/>
    <w:rsid w:val="001959A2"/>
    <w:rsid w:val="001A1CA1"/>
    <w:rsid w:val="001A3D0F"/>
    <w:rsid w:val="001A484B"/>
    <w:rsid w:val="001B0249"/>
    <w:rsid w:val="001C17B8"/>
    <w:rsid w:val="001D1578"/>
    <w:rsid w:val="001D2DDB"/>
    <w:rsid w:val="001E0D03"/>
    <w:rsid w:val="001E2F43"/>
    <w:rsid w:val="001E3488"/>
    <w:rsid w:val="001E6614"/>
    <w:rsid w:val="001E7123"/>
    <w:rsid w:val="001F143A"/>
    <w:rsid w:val="001F3109"/>
    <w:rsid w:val="001F7DE9"/>
    <w:rsid w:val="00206C5B"/>
    <w:rsid w:val="00210DD6"/>
    <w:rsid w:val="00211291"/>
    <w:rsid w:val="00211B6E"/>
    <w:rsid w:val="00214319"/>
    <w:rsid w:val="00216774"/>
    <w:rsid w:val="002269BA"/>
    <w:rsid w:val="00231F3E"/>
    <w:rsid w:val="0023296D"/>
    <w:rsid w:val="00232C04"/>
    <w:rsid w:val="00232DDC"/>
    <w:rsid w:val="0023796A"/>
    <w:rsid w:val="00247B46"/>
    <w:rsid w:val="00250AF9"/>
    <w:rsid w:val="00252077"/>
    <w:rsid w:val="00253B21"/>
    <w:rsid w:val="00271B36"/>
    <w:rsid w:val="00273EDD"/>
    <w:rsid w:val="00283819"/>
    <w:rsid w:val="00286EE9"/>
    <w:rsid w:val="00292520"/>
    <w:rsid w:val="002A4854"/>
    <w:rsid w:val="002B4809"/>
    <w:rsid w:val="002B4878"/>
    <w:rsid w:val="002B4FD2"/>
    <w:rsid w:val="002C34A0"/>
    <w:rsid w:val="002C629F"/>
    <w:rsid w:val="002C75D1"/>
    <w:rsid w:val="002D38F5"/>
    <w:rsid w:val="002E0B43"/>
    <w:rsid w:val="002E7046"/>
    <w:rsid w:val="002F1D9C"/>
    <w:rsid w:val="002F303A"/>
    <w:rsid w:val="002F6072"/>
    <w:rsid w:val="002F7CE7"/>
    <w:rsid w:val="003025A3"/>
    <w:rsid w:val="0031658E"/>
    <w:rsid w:val="003177FC"/>
    <w:rsid w:val="00331ED1"/>
    <w:rsid w:val="00333D4B"/>
    <w:rsid w:val="00345A90"/>
    <w:rsid w:val="00351087"/>
    <w:rsid w:val="00351773"/>
    <w:rsid w:val="00352628"/>
    <w:rsid w:val="003548DA"/>
    <w:rsid w:val="00356228"/>
    <w:rsid w:val="00356880"/>
    <w:rsid w:val="00363C6F"/>
    <w:rsid w:val="00370DF4"/>
    <w:rsid w:val="00372989"/>
    <w:rsid w:val="00373DC5"/>
    <w:rsid w:val="0037703E"/>
    <w:rsid w:val="00377D6F"/>
    <w:rsid w:val="003863D2"/>
    <w:rsid w:val="00387CDA"/>
    <w:rsid w:val="00396692"/>
    <w:rsid w:val="003A4F41"/>
    <w:rsid w:val="003A5297"/>
    <w:rsid w:val="003B1911"/>
    <w:rsid w:val="003B64AD"/>
    <w:rsid w:val="003B6C6C"/>
    <w:rsid w:val="003C5F80"/>
    <w:rsid w:val="003C7309"/>
    <w:rsid w:val="003D2E39"/>
    <w:rsid w:val="003D67E2"/>
    <w:rsid w:val="003E216E"/>
    <w:rsid w:val="003F050E"/>
    <w:rsid w:val="003F1C64"/>
    <w:rsid w:val="003F2884"/>
    <w:rsid w:val="003F629B"/>
    <w:rsid w:val="0040579A"/>
    <w:rsid w:val="00407D28"/>
    <w:rsid w:val="0041032F"/>
    <w:rsid w:val="00412F6C"/>
    <w:rsid w:val="00413C9F"/>
    <w:rsid w:val="00414ADE"/>
    <w:rsid w:val="00415D01"/>
    <w:rsid w:val="0041751F"/>
    <w:rsid w:val="004239DB"/>
    <w:rsid w:val="00426939"/>
    <w:rsid w:val="00434665"/>
    <w:rsid w:val="004361C8"/>
    <w:rsid w:val="00436F4D"/>
    <w:rsid w:val="00437611"/>
    <w:rsid w:val="0044125C"/>
    <w:rsid w:val="0044325B"/>
    <w:rsid w:val="0045461A"/>
    <w:rsid w:val="00454E5F"/>
    <w:rsid w:val="0045506D"/>
    <w:rsid w:val="004567F3"/>
    <w:rsid w:val="004620C9"/>
    <w:rsid w:val="00463202"/>
    <w:rsid w:val="00471E14"/>
    <w:rsid w:val="00473FC1"/>
    <w:rsid w:val="004810E9"/>
    <w:rsid w:val="00481B6D"/>
    <w:rsid w:val="004827FE"/>
    <w:rsid w:val="00486C39"/>
    <w:rsid w:val="00490A78"/>
    <w:rsid w:val="004939EE"/>
    <w:rsid w:val="004969D3"/>
    <w:rsid w:val="004A3FD4"/>
    <w:rsid w:val="004A63F3"/>
    <w:rsid w:val="004A6C8B"/>
    <w:rsid w:val="004B2367"/>
    <w:rsid w:val="004B5FB5"/>
    <w:rsid w:val="004C0985"/>
    <w:rsid w:val="004C4603"/>
    <w:rsid w:val="004C4A87"/>
    <w:rsid w:val="004D362E"/>
    <w:rsid w:val="004E0DBE"/>
    <w:rsid w:val="004E4957"/>
    <w:rsid w:val="004F494F"/>
    <w:rsid w:val="004F6AD9"/>
    <w:rsid w:val="00502345"/>
    <w:rsid w:val="00506ED4"/>
    <w:rsid w:val="00510FEB"/>
    <w:rsid w:val="00513CCF"/>
    <w:rsid w:val="00515D6C"/>
    <w:rsid w:val="00516914"/>
    <w:rsid w:val="005177E2"/>
    <w:rsid w:val="0053018A"/>
    <w:rsid w:val="005412BA"/>
    <w:rsid w:val="00544B6D"/>
    <w:rsid w:val="00551B47"/>
    <w:rsid w:val="00551D82"/>
    <w:rsid w:val="0055344F"/>
    <w:rsid w:val="00565065"/>
    <w:rsid w:val="005734D7"/>
    <w:rsid w:val="00575E55"/>
    <w:rsid w:val="00576125"/>
    <w:rsid w:val="00577E09"/>
    <w:rsid w:val="00585BF5"/>
    <w:rsid w:val="005A637B"/>
    <w:rsid w:val="005A6542"/>
    <w:rsid w:val="005C3428"/>
    <w:rsid w:val="005C5998"/>
    <w:rsid w:val="005C73EA"/>
    <w:rsid w:val="005D3A4B"/>
    <w:rsid w:val="005D435F"/>
    <w:rsid w:val="005E1EE7"/>
    <w:rsid w:val="005E383C"/>
    <w:rsid w:val="005F78F9"/>
    <w:rsid w:val="00604100"/>
    <w:rsid w:val="00614A84"/>
    <w:rsid w:val="00615035"/>
    <w:rsid w:val="00616316"/>
    <w:rsid w:val="006163FE"/>
    <w:rsid w:val="00620842"/>
    <w:rsid w:val="00622578"/>
    <w:rsid w:val="006239A1"/>
    <w:rsid w:val="00630F63"/>
    <w:rsid w:val="006327BA"/>
    <w:rsid w:val="0063282D"/>
    <w:rsid w:val="00633A97"/>
    <w:rsid w:val="00634672"/>
    <w:rsid w:val="00641AA8"/>
    <w:rsid w:val="0064469C"/>
    <w:rsid w:val="006450B3"/>
    <w:rsid w:val="00647209"/>
    <w:rsid w:val="006628DE"/>
    <w:rsid w:val="006639AB"/>
    <w:rsid w:val="00663B3F"/>
    <w:rsid w:val="00663CFB"/>
    <w:rsid w:val="00665328"/>
    <w:rsid w:val="00673408"/>
    <w:rsid w:val="00674AB1"/>
    <w:rsid w:val="006755EE"/>
    <w:rsid w:val="006824BF"/>
    <w:rsid w:val="00683506"/>
    <w:rsid w:val="006843D7"/>
    <w:rsid w:val="006901D3"/>
    <w:rsid w:val="00690EB5"/>
    <w:rsid w:val="00694950"/>
    <w:rsid w:val="006954A7"/>
    <w:rsid w:val="0069630B"/>
    <w:rsid w:val="0069755D"/>
    <w:rsid w:val="006A2FF8"/>
    <w:rsid w:val="006A3703"/>
    <w:rsid w:val="006A41D9"/>
    <w:rsid w:val="006A6821"/>
    <w:rsid w:val="006A7686"/>
    <w:rsid w:val="006B094A"/>
    <w:rsid w:val="006C2981"/>
    <w:rsid w:val="006C3D53"/>
    <w:rsid w:val="006C56C1"/>
    <w:rsid w:val="006C7C2D"/>
    <w:rsid w:val="006D2D17"/>
    <w:rsid w:val="006D3A8E"/>
    <w:rsid w:val="006D3F3A"/>
    <w:rsid w:val="006E4797"/>
    <w:rsid w:val="006E54AE"/>
    <w:rsid w:val="006E70E4"/>
    <w:rsid w:val="006E7C64"/>
    <w:rsid w:val="006E7F23"/>
    <w:rsid w:val="00702ADE"/>
    <w:rsid w:val="0070444F"/>
    <w:rsid w:val="00714BE0"/>
    <w:rsid w:val="00716E01"/>
    <w:rsid w:val="007211CE"/>
    <w:rsid w:val="00725EFC"/>
    <w:rsid w:val="00731096"/>
    <w:rsid w:val="00732C4D"/>
    <w:rsid w:val="00736371"/>
    <w:rsid w:val="00744E0D"/>
    <w:rsid w:val="007458EC"/>
    <w:rsid w:val="00747E77"/>
    <w:rsid w:val="00751D3D"/>
    <w:rsid w:val="007626C4"/>
    <w:rsid w:val="00780590"/>
    <w:rsid w:val="00782751"/>
    <w:rsid w:val="0079274A"/>
    <w:rsid w:val="00792D83"/>
    <w:rsid w:val="007948EA"/>
    <w:rsid w:val="007A4BBA"/>
    <w:rsid w:val="007B0E48"/>
    <w:rsid w:val="007B3B10"/>
    <w:rsid w:val="007B488F"/>
    <w:rsid w:val="007B72A4"/>
    <w:rsid w:val="007C25EF"/>
    <w:rsid w:val="007C2CC0"/>
    <w:rsid w:val="007C3F9D"/>
    <w:rsid w:val="007D0BA4"/>
    <w:rsid w:val="007D0E18"/>
    <w:rsid w:val="007D6BE0"/>
    <w:rsid w:val="007D744B"/>
    <w:rsid w:val="007E15DB"/>
    <w:rsid w:val="007F13E9"/>
    <w:rsid w:val="007F2030"/>
    <w:rsid w:val="007F5EB0"/>
    <w:rsid w:val="00800A2D"/>
    <w:rsid w:val="0080294E"/>
    <w:rsid w:val="0080765B"/>
    <w:rsid w:val="008130D5"/>
    <w:rsid w:val="008165A5"/>
    <w:rsid w:val="00821004"/>
    <w:rsid w:val="00824812"/>
    <w:rsid w:val="00826D82"/>
    <w:rsid w:val="00827DF8"/>
    <w:rsid w:val="00830CC7"/>
    <w:rsid w:val="00833B96"/>
    <w:rsid w:val="008370D8"/>
    <w:rsid w:val="008425A4"/>
    <w:rsid w:val="00842BCB"/>
    <w:rsid w:val="008437F8"/>
    <w:rsid w:val="008461C6"/>
    <w:rsid w:val="00847017"/>
    <w:rsid w:val="008518F2"/>
    <w:rsid w:val="0085421A"/>
    <w:rsid w:val="0085548D"/>
    <w:rsid w:val="00856E92"/>
    <w:rsid w:val="00870DEA"/>
    <w:rsid w:val="00872BFC"/>
    <w:rsid w:val="00875F14"/>
    <w:rsid w:val="0088663B"/>
    <w:rsid w:val="00890754"/>
    <w:rsid w:val="0089328F"/>
    <w:rsid w:val="00893478"/>
    <w:rsid w:val="008A4859"/>
    <w:rsid w:val="008A6B96"/>
    <w:rsid w:val="008A7A39"/>
    <w:rsid w:val="008B015C"/>
    <w:rsid w:val="008B11C2"/>
    <w:rsid w:val="008B2930"/>
    <w:rsid w:val="008B2D50"/>
    <w:rsid w:val="008B35D2"/>
    <w:rsid w:val="008B35FC"/>
    <w:rsid w:val="008B5594"/>
    <w:rsid w:val="008D293E"/>
    <w:rsid w:val="008D3910"/>
    <w:rsid w:val="008D7D75"/>
    <w:rsid w:val="008E19AC"/>
    <w:rsid w:val="008E61A4"/>
    <w:rsid w:val="008F11F2"/>
    <w:rsid w:val="008F779E"/>
    <w:rsid w:val="0090094F"/>
    <w:rsid w:val="00901C81"/>
    <w:rsid w:val="00904CD1"/>
    <w:rsid w:val="00907FAC"/>
    <w:rsid w:val="00911EF7"/>
    <w:rsid w:val="00913061"/>
    <w:rsid w:val="00916563"/>
    <w:rsid w:val="00921C85"/>
    <w:rsid w:val="009227BF"/>
    <w:rsid w:val="00923790"/>
    <w:rsid w:val="00924FA7"/>
    <w:rsid w:val="00936E08"/>
    <w:rsid w:val="009409EA"/>
    <w:rsid w:val="009414A2"/>
    <w:rsid w:val="00944DC7"/>
    <w:rsid w:val="00945619"/>
    <w:rsid w:val="00955889"/>
    <w:rsid w:val="00961326"/>
    <w:rsid w:val="00966F14"/>
    <w:rsid w:val="009718D7"/>
    <w:rsid w:val="00972C1C"/>
    <w:rsid w:val="00973980"/>
    <w:rsid w:val="00974EC8"/>
    <w:rsid w:val="00975D16"/>
    <w:rsid w:val="00985439"/>
    <w:rsid w:val="00986BC1"/>
    <w:rsid w:val="00987BC1"/>
    <w:rsid w:val="009907EC"/>
    <w:rsid w:val="00994F50"/>
    <w:rsid w:val="00996D44"/>
    <w:rsid w:val="009A2A62"/>
    <w:rsid w:val="009A4972"/>
    <w:rsid w:val="009A5CFF"/>
    <w:rsid w:val="009A6EF5"/>
    <w:rsid w:val="009B71D0"/>
    <w:rsid w:val="009C3062"/>
    <w:rsid w:val="009C7EF9"/>
    <w:rsid w:val="009D364A"/>
    <w:rsid w:val="009F09BD"/>
    <w:rsid w:val="00A05DF5"/>
    <w:rsid w:val="00A068CB"/>
    <w:rsid w:val="00A12CEA"/>
    <w:rsid w:val="00A1684A"/>
    <w:rsid w:val="00A233A2"/>
    <w:rsid w:val="00A274BC"/>
    <w:rsid w:val="00A27F7E"/>
    <w:rsid w:val="00A30445"/>
    <w:rsid w:val="00A32026"/>
    <w:rsid w:val="00A34AEB"/>
    <w:rsid w:val="00A35853"/>
    <w:rsid w:val="00A56AD1"/>
    <w:rsid w:val="00A61636"/>
    <w:rsid w:val="00A624BE"/>
    <w:rsid w:val="00A625DE"/>
    <w:rsid w:val="00A62C3B"/>
    <w:rsid w:val="00A71203"/>
    <w:rsid w:val="00A72C43"/>
    <w:rsid w:val="00A73A8D"/>
    <w:rsid w:val="00A750BD"/>
    <w:rsid w:val="00A80C43"/>
    <w:rsid w:val="00A90C1D"/>
    <w:rsid w:val="00A96210"/>
    <w:rsid w:val="00A96CBB"/>
    <w:rsid w:val="00AA3E93"/>
    <w:rsid w:val="00AA46F0"/>
    <w:rsid w:val="00AB4038"/>
    <w:rsid w:val="00AB5447"/>
    <w:rsid w:val="00AC38D1"/>
    <w:rsid w:val="00AC4CEF"/>
    <w:rsid w:val="00AD0655"/>
    <w:rsid w:val="00AD34A8"/>
    <w:rsid w:val="00AE41DF"/>
    <w:rsid w:val="00AE4F11"/>
    <w:rsid w:val="00AF719A"/>
    <w:rsid w:val="00B05D05"/>
    <w:rsid w:val="00B1484A"/>
    <w:rsid w:val="00B148A8"/>
    <w:rsid w:val="00B20ED8"/>
    <w:rsid w:val="00B242A3"/>
    <w:rsid w:val="00B344C0"/>
    <w:rsid w:val="00B360E2"/>
    <w:rsid w:val="00B36C96"/>
    <w:rsid w:val="00B4421C"/>
    <w:rsid w:val="00B50B9A"/>
    <w:rsid w:val="00B51458"/>
    <w:rsid w:val="00B52634"/>
    <w:rsid w:val="00B5728F"/>
    <w:rsid w:val="00B64D34"/>
    <w:rsid w:val="00B66177"/>
    <w:rsid w:val="00B67929"/>
    <w:rsid w:val="00B81064"/>
    <w:rsid w:val="00B86087"/>
    <w:rsid w:val="00B86F77"/>
    <w:rsid w:val="00B87681"/>
    <w:rsid w:val="00B96168"/>
    <w:rsid w:val="00BA1316"/>
    <w:rsid w:val="00BA5A50"/>
    <w:rsid w:val="00BA5CDC"/>
    <w:rsid w:val="00BB114B"/>
    <w:rsid w:val="00BB1BCC"/>
    <w:rsid w:val="00BB4CE6"/>
    <w:rsid w:val="00BB72E2"/>
    <w:rsid w:val="00BC005B"/>
    <w:rsid w:val="00BC318E"/>
    <w:rsid w:val="00BC4C99"/>
    <w:rsid w:val="00BC78E9"/>
    <w:rsid w:val="00BD3767"/>
    <w:rsid w:val="00BD4247"/>
    <w:rsid w:val="00BE18C5"/>
    <w:rsid w:val="00BE22A2"/>
    <w:rsid w:val="00BE2769"/>
    <w:rsid w:val="00BE3F86"/>
    <w:rsid w:val="00C03CCB"/>
    <w:rsid w:val="00C11D93"/>
    <w:rsid w:val="00C1732F"/>
    <w:rsid w:val="00C17D26"/>
    <w:rsid w:val="00C21E75"/>
    <w:rsid w:val="00C27C71"/>
    <w:rsid w:val="00C3100B"/>
    <w:rsid w:val="00C3129D"/>
    <w:rsid w:val="00C31FCD"/>
    <w:rsid w:val="00C32A25"/>
    <w:rsid w:val="00C331C5"/>
    <w:rsid w:val="00C366E0"/>
    <w:rsid w:val="00C433B2"/>
    <w:rsid w:val="00C43AA7"/>
    <w:rsid w:val="00C54707"/>
    <w:rsid w:val="00C54891"/>
    <w:rsid w:val="00C550F3"/>
    <w:rsid w:val="00C56F33"/>
    <w:rsid w:val="00C632BD"/>
    <w:rsid w:val="00C652D8"/>
    <w:rsid w:val="00C65EC6"/>
    <w:rsid w:val="00C70546"/>
    <w:rsid w:val="00C83A75"/>
    <w:rsid w:val="00C866C0"/>
    <w:rsid w:val="00C875D1"/>
    <w:rsid w:val="00CB1713"/>
    <w:rsid w:val="00CB1783"/>
    <w:rsid w:val="00CC1D41"/>
    <w:rsid w:val="00CC4662"/>
    <w:rsid w:val="00CC7BBD"/>
    <w:rsid w:val="00CC7D58"/>
    <w:rsid w:val="00CD393C"/>
    <w:rsid w:val="00CE0CD0"/>
    <w:rsid w:val="00CE34C3"/>
    <w:rsid w:val="00CF391C"/>
    <w:rsid w:val="00CF4133"/>
    <w:rsid w:val="00CF683A"/>
    <w:rsid w:val="00D07A90"/>
    <w:rsid w:val="00D231FC"/>
    <w:rsid w:val="00D2510B"/>
    <w:rsid w:val="00D302E9"/>
    <w:rsid w:val="00D34686"/>
    <w:rsid w:val="00D42C6A"/>
    <w:rsid w:val="00D5159E"/>
    <w:rsid w:val="00D56FCF"/>
    <w:rsid w:val="00D57F1F"/>
    <w:rsid w:val="00D6002C"/>
    <w:rsid w:val="00D661BB"/>
    <w:rsid w:val="00D8603F"/>
    <w:rsid w:val="00D86D57"/>
    <w:rsid w:val="00D87E12"/>
    <w:rsid w:val="00D959E7"/>
    <w:rsid w:val="00D96B81"/>
    <w:rsid w:val="00DA154A"/>
    <w:rsid w:val="00DA3C5C"/>
    <w:rsid w:val="00DA3FF4"/>
    <w:rsid w:val="00DA72CE"/>
    <w:rsid w:val="00DA76AD"/>
    <w:rsid w:val="00DB0C8E"/>
    <w:rsid w:val="00DB2669"/>
    <w:rsid w:val="00DC0E61"/>
    <w:rsid w:val="00DC18A7"/>
    <w:rsid w:val="00DC291A"/>
    <w:rsid w:val="00DC4DEA"/>
    <w:rsid w:val="00DD0D2A"/>
    <w:rsid w:val="00DD1853"/>
    <w:rsid w:val="00DD697D"/>
    <w:rsid w:val="00DF150C"/>
    <w:rsid w:val="00DF167A"/>
    <w:rsid w:val="00DF359D"/>
    <w:rsid w:val="00E00D22"/>
    <w:rsid w:val="00E01965"/>
    <w:rsid w:val="00E03054"/>
    <w:rsid w:val="00E14145"/>
    <w:rsid w:val="00E230A7"/>
    <w:rsid w:val="00E233E0"/>
    <w:rsid w:val="00E30B22"/>
    <w:rsid w:val="00E33524"/>
    <w:rsid w:val="00E3454A"/>
    <w:rsid w:val="00E3590B"/>
    <w:rsid w:val="00E35FAC"/>
    <w:rsid w:val="00E401D5"/>
    <w:rsid w:val="00E43388"/>
    <w:rsid w:val="00E44028"/>
    <w:rsid w:val="00E53BC2"/>
    <w:rsid w:val="00E541A2"/>
    <w:rsid w:val="00E55B07"/>
    <w:rsid w:val="00E57DE2"/>
    <w:rsid w:val="00E62FD3"/>
    <w:rsid w:val="00E66E0E"/>
    <w:rsid w:val="00E74A55"/>
    <w:rsid w:val="00E74E47"/>
    <w:rsid w:val="00E8203E"/>
    <w:rsid w:val="00E8348F"/>
    <w:rsid w:val="00E95C9A"/>
    <w:rsid w:val="00E971CF"/>
    <w:rsid w:val="00EA0E54"/>
    <w:rsid w:val="00EB09E4"/>
    <w:rsid w:val="00EB1E68"/>
    <w:rsid w:val="00EB6F4C"/>
    <w:rsid w:val="00EC0649"/>
    <w:rsid w:val="00EC2C72"/>
    <w:rsid w:val="00EC57F0"/>
    <w:rsid w:val="00EC5852"/>
    <w:rsid w:val="00ED1389"/>
    <w:rsid w:val="00ED79BC"/>
    <w:rsid w:val="00F1119E"/>
    <w:rsid w:val="00F137BF"/>
    <w:rsid w:val="00F22FB1"/>
    <w:rsid w:val="00F2320C"/>
    <w:rsid w:val="00F256A3"/>
    <w:rsid w:val="00F25D4C"/>
    <w:rsid w:val="00F36869"/>
    <w:rsid w:val="00F41DE1"/>
    <w:rsid w:val="00F46174"/>
    <w:rsid w:val="00F46F05"/>
    <w:rsid w:val="00F50278"/>
    <w:rsid w:val="00F511BF"/>
    <w:rsid w:val="00F63985"/>
    <w:rsid w:val="00F63B8D"/>
    <w:rsid w:val="00F64082"/>
    <w:rsid w:val="00F72213"/>
    <w:rsid w:val="00F75A57"/>
    <w:rsid w:val="00F77877"/>
    <w:rsid w:val="00F92525"/>
    <w:rsid w:val="00F97941"/>
    <w:rsid w:val="00FA0A9B"/>
    <w:rsid w:val="00FA271B"/>
    <w:rsid w:val="00FA3B53"/>
    <w:rsid w:val="00FA600F"/>
    <w:rsid w:val="00FA6C9C"/>
    <w:rsid w:val="00FB1C9D"/>
    <w:rsid w:val="00FB2346"/>
    <w:rsid w:val="00FC2192"/>
    <w:rsid w:val="00FD56B0"/>
    <w:rsid w:val="00FF4595"/>
    <w:rsid w:val="00FF55BA"/>
    <w:rsid w:val="00FF7323"/>
    <w:rsid w:val="04DB0054"/>
    <w:rsid w:val="1304CD10"/>
    <w:rsid w:val="17D63DB5"/>
    <w:rsid w:val="1ABB9ECC"/>
    <w:rsid w:val="498ABF3E"/>
    <w:rsid w:val="578C2940"/>
    <w:rsid w:val="5B5AE186"/>
    <w:rsid w:val="5DAE4D40"/>
    <w:rsid w:val="64F13C7A"/>
    <w:rsid w:val="6A799864"/>
    <w:rsid w:val="6BCD39D3"/>
    <w:rsid w:val="73FB2DC1"/>
    <w:rsid w:val="768DDF5C"/>
    <w:rsid w:val="788D0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EastAsia"/>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hAnsi="Cambria" w:eastAsia="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styleId="FooterChar" w:customStyle="1">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hAnsiTheme="minorHAnsi" w:eastAsia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styleId="CommentTextChar" w:customStyle="1">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styleId="CommentSubjectChar" w:customStyle="1">
    <w:name w:val="Comment Subject Char"/>
    <w:basedOn w:val="CommentTextChar"/>
    <w:link w:val="CommentSubject"/>
    <w:uiPriority w:val="99"/>
    <w:semiHidden/>
    <w:rsid w:val="008B2D50"/>
    <w:rPr>
      <w:b/>
      <w:bCs/>
      <w:sz w:val="20"/>
      <w:szCs w:val="20"/>
    </w:rPr>
  </w:style>
  <w:style w:type="character" w:styleId="cf01" w:customStyle="1">
    <w:name w:val="cf01"/>
    <w:basedOn w:val="DefaultParagraphFont"/>
    <w:rsid w:val="00516914"/>
    <w:rPr>
      <w:rFonts w:hint="default" w:ascii="Segoe UI" w:hAnsi="Segoe UI" w:cs="Segoe UI"/>
      <w:sz w:val="18"/>
      <w:szCs w:val="18"/>
    </w:rPr>
  </w:style>
  <w:style w:type="paragraph" w:styleId="Bibliography">
    <w:name w:val="Bibliography"/>
    <w:basedOn w:val="Normal"/>
    <w:next w:val="Normal"/>
    <w:uiPriority w:val="37"/>
    <w:unhideWhenUsed/>
    <w:rsid w:val="00AA3E93"/>
    <w:pPr>
      <w:tabs>
        <w:tab w:val="left" w:pos="384"/>
      </w:tabs>
      <w:spacing w:after="240"/>
      <w:ind w:left="384" w:hanging="384"/>
    </w:pPr>
  </w:style>
  <w:style w:type="paragraph" w:styleId="Header">
    <w:name w:val="header"/>
    <w:basedOn w:val="Normal"/>
    <w:link w:val="HeaderChar"/>
    <w:uiPriority w:val="99"/>
    <w:semiHidden/>
    <w:unhideWhenUsed/>
    <w:rsid w:val="002B4809"/>
    <w:pPr>
      <w:tabs>
        <w:tab w:val="center" w:pos="4680"/>
        <w:tab w:val="right" w:pos="9360"/>
      </w:tabs>
    </w:pPr>
  </w:style>
  <w:style w:type="character" w:styleId="HeaderChar" w:customStyle="1">
    <w:name w:val="Header Char"/>
    <w:basedOn w:val="DefaultParagraphFont"/>
    <w:link w:val="Header"/>
    <w:uiPriority w:val="99"/>
    <w:semiHidden/>
    <w:rsid w:val="002B4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mailto:jinghang.zhang@einsteinmed.edu" TargetMode="External" Id="rId8" /><Relationship Type="http://schemas.openxmlformats.org/officeDocument/2006/relationships/header" Target="header2.xml" Id="rId13" /><Relationship Type="http://schemas.openxmlformats.org/officeDocument/2006/relationships/settings" Target="settings.xml" Id="rId3" /><Relationship Type="http://schemas.openxmlformats.org/officeDocument/2006/relationships/hyperlink" Target="mailto:prachiben.patel@einsteinmed.edu" TargetMode="Externa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samarpana.chakraborty1@einsteinmed.edu" TargetMode="Externa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yperlink" Target="mailto:mariapia.riso@einsteinmed.edu" TargetMode="External" Id="rId10" /><Relationship Type="http://schemas.openxmlformats.org/officeDocument/2006/relationships/webSettings" Target="webSettings.xml" Id="rId4" /><Relationship Type="http://schemas.openxmlformats.org/officeDocument/2006/relationships/hyperlink" Target="mailto:ashastri@montefiore.org" TargetMode="Externa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Mariapia Riso</lastModifiedBy>
  <revision>2</revision>
  <dcterms:created xsi:type="dcterms:W3CDTF">2026-05-15T13:00:00.0000000Z</dcterms:created>
  <dcterms:modified xsi:type="dcterms:W3CDTF">2026-05-20T14:04:23.3267661Z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id="9P9oUBWZ"/&gt;&lt;style id="http://www.zotero.org/styles/nlm-citation-sequence-superscript" locale="en-US" hasBibliography="1" bibliographyStyleHasBeenSet="1"/&gt;&lt;prefs&gt;&lt;pref name="fieldType" value="Fiel</vt:lpwstr>
  </property>
  <property fmtid="{D5CDD505-2E9C-101B-9397-08002B2CF9AE}" pid="3" name="ZOTERO_PREF_2">
    <vt:lpwstr>d"/&gt;&lt;/prefs&gt;&lt;/data&gt;</vt:lpwstr>
  </property>
</Properties>
</file>