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AC052" w14:textId="77777777" w:rsidR="00D45FA9" w:rsidRPr="00593BA2" w:rsidRDefault="00D45FA9" w:rsidP="00092769">
      <w:pPr>
        <w:jc w:val="left"/>
        <w:rPr>
          <w:b/>
          <w:bCs/>
        </w:rPr>
      </w:pPr>
      <w:r w:rsidRPr="00593BA2">
        <w:rPr>
          <w:b/>
          <w:bCs/>
        </w:rPr>
        <w:t>TITLE:</w:t>
      </w:r>
    </w:p>
    <w:p w14:paraId="2B05F44E" w14:textId="63F67CF5" w:rsidR="004E6E84" w:rsidRPr="00593BA2" w:rsidRDefault="00000000" w:rsidP="00092769">
      <w:pPr>
        <w:jc w:val="left"/>
        <w:rPr>
          <w:color w:val="000000"/>
        </w:rPr>
      </w:pPr>
      <w:r w:rsidRPr="00593BA2">
        <w:fldChar w:fldCharType="begin"/>
      </w:r>
      <w:r w:rsidRPr="00593BA2">
        <w:instrText>ADDIN ZOTERO_ITEM CSL_CITATION {"citationID":"ihl3DUtV","properties":{"formattedCitation":"\\super 1\\nosupersub{}","plainCitation":"1","noteIndex":0},"citationItems":[{"id":293,"uris":["http://zotero.org/users/18011399/items/LU5AJZPP"],"itemData":{"id":293,"type":"article-journal","abstract":"Schizophrenia and autism are thought to result from the interaction between a susceptibility genotype and environmental risk factors. The offspring of women who experience infection while pregnant have an increased risk for these disorders. Maternal immune activation (MIA) in pregnant rodents produces offspring with abnormalities in behavior, histology, and gene expression that are reminiscent of schizophrenia and autism, making MIA a useful model of the disorders. However, the mechanism by which MIA causes long-term behavioral deficits in the offspring is unknown. Here we show that the cytokine interleukin-6 (IL-6) is critical for mediating the behavioral and transcriptional changes in the offspring. A single maternal injection of IL-6 on day 12.5 of mouse pregnancy causes prepulse inhibition (PPI) and latent inhibition (LI) deficits in the adult offspring. Moreover, coadministration of an anti-IL-6 antibody in the poly(I:C) model of MIA prevents the PPI, LI, and exploratory and social deficits caused by poly(I:C) and normalizes the associated changes in gene expression in the brains of adult offspring. Finally, MIA in IL-6 knock-out mice does not result in several of the behavioral changes seen in the offspring of wild-type mice after MIA. The identification of IL-6 as a key intermediary should aid in the molecular dissection of the pathways whereby MIA alters fetal brain development, which can shed new light on the pathophysiological mechanisms that predispose to schizophrenia and autism.","container-title":"The Journal of Neuroscience","DOI":"10.1523/JNEUROSCI.2178-07.2007","ISSN":"0270-6474, 1529-2401","issue":"40","journalAbbreviation":"J. Neurosci.","language":"en","license":"https://creativecommons.org/licenses/by-nc-sa/4.0/","page":"10695-10702","source":"DOI.org (Crossref)","title":"Maternal Immune Activation Alters Fetal Brain Development through Interleukin-6","volume":"27","author":[{"family":"Smith","given":"Stephen E. P."},{"family":"Li","given":"Jennifer"},{"family":"Garbett","given":"Krassimira"},{"family":"Mirnics","given":"Karoly"},{"family":"Patterson","given":"Paul H."}],"issued":{"date-parts":[["2007",10,3]]}}}],"schema":"https://github.com/citation-style-language/schema/raw/master/csl-citation.json"}</w:instrText>
      </w:r>
      <w:r>
        <w:fldChar w:fldCharType="separate"/>
      </w:r>
      <w:r w:rsidRPr="00593BA2">
        <w:fldChar w:fldCharType="end"/>
      </w:r>
      <w:r w:rsidRPr="00593BA2">
        <w:t xml:space="preserve">Microinjection of </w:t>
      </w:r>
      <w:r w:rsidR="000A04AE" w:rsidRPr="00593BA2">
        <w:t>In</w:t>
      </w:r>
      <w:r w:rsidRPr="00593BA2">
        <w:t xml:space="preserve">terleukin-6 into the </w:t>
      </w:r>
      <w:r w:rsidR="000A04AE" w:rsidRPr="00593BA2">
        <w:t>Blo</w:t>
      </w:r>
      <w:r w:rsidRPr="00593BA2">
        <w:t xml:space="preserve">odstream of TSC </w:t>
      </w:r>
      <w:r w:rsidR="000A04AE" w:rsidRPr="00593BA2">
        <w:t xml:space="preserve">Zebrafish Larvae </w:t>
      </w:r>
      <w:r w:rsidRPr="00593BA2">
        <w:t xml:space="preserve">to </w:t>
      </w:r>
      <w:r w:rsidR="000A04AE" w:rsidRPr="00593BA2">
        <w:t>S</w:t>
      </w:r>
      <w:r w:rsidRPr="00593BA2">
        <w:t xml:space="preserve">tudy </w:t>
      </w:r>
      <w:r w:rsidR="000A04AE" w:rsidRPr="00593BA2">
        <w:t>Neuropsychiatric Disorder-Like Behavior</w:t>
      </w:r>
      <w:r w:rsidR="00746CF7">
        <w:t>s</w:t>
      </w:r>
    </w:p>
    <w:p w14:paraId="6E138D95" w14:textId="77777777" w:rsidR="00D45FA9" w:rsidRPr="00593BA2" w:rsidRDefault="00D45FA9" w:rsidP="00092769">
      <w:pPr>
        <w:widowControl/>
        <w:textAlignment w:val="baseline"/>
        <w:rPr>
          <w:rFonts w:eastAsia="NSimSun"/>
          <w:kern w:val="2"/>
          <w:lang w:eastAsia="zh-CN" w:bidi="hi-IN"/>
        </w:rPr>
      </w:pPr>
      <w:bookmarkStart w:id="0" w:name="30j0zll"/>
      <w:bookmarkEnd w:id="0"/>
    </w:p>
    <w:p w14:paraId="73FDC630" w14:textId="1D3039EC" w:rsidR="00D45FA9" w:rsidRPr="00593BA2" w:rsidRDefault="00D45FA9" w:rsidP="00092769">
      <w:pPr>
        <w:widowControl/>
        <w:textAlignment w:val="baseline"/>
        <w:rPr>
          <w:rFonts w:eastAsia="NSimSun"/>
          <w:b/>
          <w:bCs/>
          <w:kern w:val="2"/>
          <w:lang w:eastAsia="zh-CN" w:bidi="hi-IN"/>
        </w:rPr>
      </w:pPr>
      <w:r w:rsidRPr="00593BA2">
        <w:rPr>
          <w:rFonts w:eastAsia="NSimSun"/>
          <w:b/>
          <w:bCs/>
          <w:kern w:val="2"/>
          <w:lang w:eastAsia="zh-CN" w:bidi="hi-IN"/>
        </w:rPr>
        <w:t>AUTHORS AND AFFILIATIONS:</w:t>
      </w:r>
    </w:p>
    <w:p w14:paraId="1E7A1441" w14:textId="614FED99" w:rsidR="004E6E84" w:rsidRPr="00593BA2" w:rsidRDefault="00000000" w:rsidP="00092769">
      <w:pPr>
        <w:widowControl/>
        <w:textAlignment w:val="baseline"/>
        <w:rPr>
          <w:rFonts w:eastAsia="NSimSun"/>
          <w:kern w:val="2"/>
          <w:lang w:eastAsia="zh-CN" w:bidi="hi-IN"/>
        </w:rPr>
      </w:pPr>
      <w:r w:rsidRPr="00593BA2">
        <w:rPr>
          <w:rFonts w:eastAsia="NSimSun"/>
          <w:kern w:val="2"/>
          <w:lang w:eastAsia="zh-CN" w:bidi="hi-IN"/>
        </w:rPr>
        <w:t>Shivani Dogra</w:t>
      </w:r>
      <w:r w:rsidRPr="00593BA2">
        <w:rPr>
          <w:rFonts w:eastAsia="NSimSun"/>
          <w:kern w:val="2"/>
          <w:vertAlign w:val="superscript"/>
          <w:lang w:eastAsia="zh-CN" w:bidi="hi-IN"/>
        </w:rPr>
        <w:t>1,2</w:t>
      </w:r>
      <w:r w:rsidRPr="00593BA2">
        <w:rPr>
          <w:rFonts w:eastAsia="NSimSun"/>
          <w:kern w:val="2"/>
          <w:lang w:eastAsia="zh-CN" w:bidi="hi-IN"/>
        </w:rPr>
        <w:t>, Justyna Zmorzynska</w:t>
      </w:r>
      <w:r w:rsidRPr="00593BA2">
        <w:rPr>
          <w:rFonts w:eastAsia="NSimSun"/>
          <w:kern w:val="2"/>
          <w:vertAlign w:val="superscript"/>
          <w:lang w:eastAsia="zh-CN" w:bidi="hi-IN"/>
        </w:rPr>
        <w:t>1</w:t>
      </w:r>
      <w:r w:rsidRPr="003B0CCA">
        <w:rPr>
          <w:rFonts w:eastAsia="NSimSun"/>
          <w:kern w:val="2"/>
          <w:vertAlign w:val="superscript"/>
          <w:lang w:eastAsia="zh-CN" w:bidi="hi-IN"/>
        </w:rPr>
        <w:t>*</w:t>
      </w:r>
    </w:p>
    <w:p w14:paraId="4C67B2C4" w14:textId="77777777" w:rsidR="004E6E84" w:rsidRPr="00593BA2" w:rsidRDefault="004E6E84" w:rsidP="00092769">
      <w:pPr>
        <w:widowControl/>
        <w:jc w:val="center"/>
        <w:textAlignment w:val="baseline"/>
        <w:rPr>
          <w:rFonts w:eastAsia="NSimSun"/>
          <w:kern w:val="2"/>
          <w:lang w:eastAsia="zh-CN" w:bidi="hi-IN"/>
        </w:rPr>
      </w:pPr>
    </w:p>
    <w:p w14:paraId="4141E909" w14:textId="525AF421" w:rsidR="004E6E84" w:rsidRPr="00593BA2" w:rsidRDefault="00000000" w:rsidP="00092769">
      <w:pPr>
        <w:widowControl/>
        <w:jc w:val="left"/>
        <w:textAlignment w:val="baseline"/>
        <w:rPr>
          <w:rFonts w:eastAsia="NSimSun"/>
          <w:kern w:val="2"/>
          <w:lang w:eastAsia="zh-CN" w:bidi="hi-IN"/>
        </w:rPr>
      </w:pPr>
      <w:r w:rsidRPr="00593BA2">
        <w:rPr>
          <w:rFonts w:eastAsia="NSimSun"/>
          <w:kern w:val="2"/>
          <w:vertAlign w:val="superscript"/>
          <w:lang w:eastAsia="zh-CN" w:bidi="hi-IN"/>
        </w:rPr>
        <w:t>1</w:t>
      </w:r>
      <w:r w:rsidRPr="00593BA2">
        <w:rPr>
          <w:rFonts w:eastAsia="NSimSun"/>
          <w:kern w:val="2"/>
          <w:lang w:eastAsia="zh-CN" w:bidi="hi-IN"/>
        </w:rPr>
        <w:t xml:space="preserve">Laboratory of </w:t>
      </w:r>
      <w:r w:rsidRPr="00593BA2">
        <w:rPr>
          <w:color w:val="000000"/>
          <w:kern w:val="2"/>
        </w:rPr>
        <w:t>Developmental</w:t>
      </w:r>
      <w:r w:rsidRPr="00593BA2">
        <w:rPr>
          <w:rFonts w:eastAsia="NSimSun"/>
          <w:kern w:val="2"/>
          <w:lang w:eastAsia="zh-CN" w:bidi="hi-IN"/>
        </w:rPr>
        <w:t xml:space="preserve"> Neurobiology, International Institute of Molecular </w:t>
      </w:r>
      <w:r w:rsidRPr="00593BA2">
        <w:rPr>
          <w:color w:val="000000"/>
          <w:kern w:val="2"/>
        </w:rPr>
        <w:t xml:space="preserve">Mechanisms and Machines, </w:t>
      </w:r>
      <w:proofErr w:type="spellStart"/>
      <w:r w:rsidRPr="00593BA2">
        <w:rPr>
          <w:color w:val="000000"/>
          <w:kern w:val="2"/>
        </w:rPr>
        <w:t>IMol</w:t>
      </w:r>
      <w:proofErr w:type="spellEnd"/>
      <w:r w:rsidRPr="00593BA2">
        <w:rPr>
          <w:color w:val="000000"/>
          <w:kern w:val="2"/>
        </w:rPr>
        <w:t>, Polish Academy of Sciences</w:t>
      </w:r>
      <w:r w:rsidRPr="00593BA2">
        <w:rPr>
          <w:rFonts w:eastAsia="NSimSun"/>
          <w:kern w:val="2"/>
          <w:lang w:eastAsia="zh-CN" w:bidi="hi-IN"/>
        </w:rPr>
        <w:t>, Warsaw, Poland</w:t>
      </w:r>
    </w:p>
    <w:p w14:paraId="1895E453" w14:textId="065475E6" w:rsidR="004E6E84" w:rsidRPr="00593BA2" w:rsidRDefault="00000000" w:rsidP="00092769">
      <w:pPr>
        <w:widowControl/>
        <w:jc w:val="left"/>
        <w:textAlignment w:val="baseline"/>
        <w:rPr>
          <w:rFonts w:eastAsia="NSimSun"/>
          <w:kern w:val="2"/>
          <w:lang w:eastAsia="zh-CN" w:bidi="hi-IN"/>
        </w:rPr>
      </w:pPr>
      <w:r w:rsidRPr="00593BA2">
        <w:rPr>
          <w:rFonts w:eastAsia="NSimSun"/>
          <w:kern w:val="2"/>
          <w:vertAlign w:val="superscript"/>
          <w:lang w:eastAsia="zh-CN" w:bidi="hi-IN"/>
        </w:rPr>
        <w:t>2</w:t>
      </w:r>
      <w:r w:rsidRPr="00593BA2">
        <w:rPr>
          <w:rFonts w:eastAsia="NSimSun"/>
          <w:kern w:val="2"/>
          <w:lang w:eastAsia="zh-CN" w:bidi="hi-IN"/>
        </w:rPr>
        <w:t>Warsaw-4-PhD doctoral school,</w:t>
      </w:r>
      <w:r w:rsidRPr="00593BA2">
        <w:t xml:space="preserve"> </w:t>
      </w:r>
      <w:r w:rsidRPr="00593BA2">
        <w:rPr>
          <w:rFonts w:eastAsia="NSimSun"/>
          <w:kern w:val="2"/>
          <w:lang w:eastAsia="zh-CN" w:bidi="hi-IN"/>
        </w:rPr>
        <w:t>International Institute of Molecular and Cell Biology in Warsaw, Poland</w:t>
      </w:r>
    </w:p>
    <w:p w14:paraId="3E4EA4D1" w14:textId="77777777" w:rsidR="000A04AE" w:rsidRPr="00593BA2" w:rsidRDefault="000A04AE" w:rsidP="00092769">
      <w:pPr>
        <w:widowControl/>
        <w:jc w:val="left"/>
        <w:textAlignment w:val="baseline"/>
        <w:rPr>
          <w:rFonts w:eastAsia="NSimSun"/>
          <w:kern w:val="2"/>
          <w:lang w:eastAsia="zh-CN" w:bidi="hi-IN"/>
        </w:rPr>
      </w:pPr>
    </w:p>
    <w:p w14:paraId="0A7C06B5" w14:textId="67009013" w:rsidR="000A04AE" w:rsidRPr="00593BA2" w:rsidRDefault="000A04AE" w:rsidP="00092769">
      <w:pPr>
        <w:widowControl/>
        <w:jc w:val="left"/>
        <w:textAlignment w:val="baseline"/>
        <w:rPr>
          <w:rFonts w:eastAsia="NSimSun"/>
          <w:kern w:val="2"/>
          <w:lang w:eastAsia="zh-CN" w:bidi="hi-IN"/>
        </w:rPr>
      </w:pPr>
      <w:r w:rsidRPr="00593BA2">
        <w:rPr>
          <w:rFonts w:eastAsia="NSimSun"/>
          <w:kern w:val="2"/>
          <w:lang w:eastAsia="zh-CN" w:bidi="hi-IN"/>
        </w:rPr>
        <w:t>Email address of the co-author:</w:t>
      </w:r>
    </w:p>
    <w:p w14:paraId="3546F418" w14:textId="08A5D71C" w:rsidR="000A04AE" w:rsidRPr="00593BA2" w:rsidRDefault="000A04AE" w:rsidP="00092769">
      <w:pPr>
        <w:widowControl/>
        <w:jc w:val="left"/>
        <w:textAlignment w:val="baseline"/>
        <w:rPr>
          <w:rFonts w:eastAsia="NSimSun"/>
          <w:kern w:val="2"/>
          <w:lang w:eastAsia="zh-CN" w:bidi="hi-IN"/>
        </w:rPr>
      </w:pPr>
      <w:r w:rsidRPr="00593BA2">
        <w:rPr>
          <w:rFonts w:eastAsia="NSimSun"/>
          <w:kern w:val="2"/>
          <w:lang w:eastAsia="zh-CN" w:bidi="hi-IN"/>
        </w:rPr>
        <w:t>Shivani Dogra</w:t>
      </w:r>
      <w:r w:rsidRPr="00593BA2">
        <w:rPr>
          <w:rFonts w:eastAsia="NSimSun"/>
          <w:kern w:val="2"/>
          <w:lang w:eastAsia="zh-CN" w:bidi="hi-IN"/>
        </w:rPr>
        <w:tab/>
      </w:r>
      <w:r w:rsidRPr="00593BA2">
        <w:rPr>
          <w:rStyle w:val="Hyperlink"/>
          <w:rFonts w:eastAsia="NSimSun"/>
          <w:kern w:val="2"/>
          <w:u w:val="none"/>
          <w:lang w:eastAsia="zh-CN" w:bidi="hi-IN"/>
        </w:rPr>
        <w:tab/>
      </w:r>
      <w:r w:rsidRPr="00593BA2">
        <w:rPr>
          <w:rStyle w:val="Hyperlink"/>
          <w:rFonts w:eastAsia="NSimSun"/>
          <w:kern w:val="2"/>
          <w:u w:val="none"/>
          <w:lang w:eastAsia="zh-CN" w:bidi="hi-IN"/>
        </w:rPr>
        <w:tab/>
      </w:r>
      <w:proofErr w:type="spellStart"/>
      <w:r w:rsidRPr="00593BA2">
        <w:rPr>
          <w:rFonts w:eastAsia="NSimSun"/>
          <w:kern w:val="2"/>
          <w:lang w:eastAsia="zh-CN" w:bidi="hi-IN"/>
        </w:rPr>
        <w:t>s.dogra@imol.institute</w:t>
      </w:r>
      <w:proofErr w:type="spellEnd"/>
    </w:p>
    <w:p w14:paraId="4AE02493" w14:textId="77777777" w:rsidR="000A04AE" w:rsidRPr="00593BA2" w:rsidRDefault="000A04AE" w:rsidP="00092769">
      <w:pPr>
        <w:widowControl/>
        <w:jc w:val="left"/>
        <w:textAlignment w:val="baseline"/>
        <w:rPr>
          <w:rFonts w:eastAsia="NSimSun"/>
          <w:kern w:val="2"/>
          <w:lang w:eastAsia="zh-CN" w:bidi="hi-IN"/>
        </w:rPr>
      </w:pPr>
    </w:p>
    <w:p w14:paraId="496506C3" w14:textId="713BBF36" w:rsidR="004E6E84" w:rsidRPr="00593BA2" w:rsidRDefault="00000000" w:rsidP="00092769">
      <w:pPr>
        <w:widowControl/>
        <w:jc w:val="left"/>
        <w:textAlignment w:val="baseline"/>
        <w:rPr>
          <w:rFonts w:eastAsia="NSimSun"/>
          <w:kern w:val="2"/>
          <w:lang w:eastAsia="zh-CN" w:bidi="hi-IN"/>
        </w:rPr>
      </w:pPr>
      <w:r w:rsidRPr="003B0CCA">
        <w:rPr>
          <w:rFonts w:eastAsia="NSimSun"/>
          <w:kern w:val="2"/>
          <w:vertAlign w:val="superscript"/>
          <w:lang w:eastAsia="zh-CN" w:bidi="hi-IN"/>
        </w:rPr>
        <w:t>*</w:t>
      </w:r>
      <w:r w:rsidRPr="00593BA2">
        <w:rPr>
          <w:rFonts w:eastAsia="NSimSun"/>
          <w:kern w:val="2"/>
          <w:lang w:eastAsia="zh-CN" w:bidi="hi-IN"/>
        </w:rPr>
        <w:t>Corresponding author</w:t>
      </w:r>
      <w:r w:rsidR="000A04AE" w:rsidRPr="00593BA2">
        <w:rPr>
          <w:rFonts w:eastAsia="NSimSun"/>
          <w:kern w:val="2"/>
          <w:lang w:eastAsia="zh-CN" w:bidi="hi-IN"/>
        </w:rPr>
        <w:t>:</w:t>
      </w:r>
    </w:p>
    <w:p w14:paraId="43C15309" w14:textId="56A72B79" w:rsidR="004E6E84" w:rsidRPr="00593BA2" w:rsidRDefault="000A04AE" w:rsidP="00092769">
      <w:pPr>
        <w:widowControl/>
        <w:jc w:val="left"/>
        <w:textAlignment w:val="baseline"/>
        <w:rPr>
          <w:rFonts w:eastAsia="Segoe UI"/>
          <w:color w:val="000000"/>
          <w:lang w:eastAsia="zh-CN" w:bidi="hi-IN"/>
        </w:rPr>
      </w:pPr>
      <w:r w:rsidRPr="00593BA2">
        <w:rPr>
          <w:rFonts w:eastAsia="NSimSun"/>
          <w:kern w:val="2"/>
          <w:lang w:eastAsia="zh-CN" w:bidi="hi-IN"/>
        </w:rPr>
        <w:t xml:space="preserve">Justyna </w:t>
      </w:r>
      <w:proofErr w:type="spellStart"/>
      <w:r w:rsidRPr="00593BA2">
        <w:rPr>
          <w:rFonts w:eastAsia="NSimSun"/>
          <w:kern w:val="2"/>
          <w:lang w:eastAsia="zh-CN" w:bidi="hi-IN"/>
        </w:rPr>
        <w:t>Zmorzynska</w:t>
      </w:r>
      <w:proofErr w:type="spellEnd"/>
      <w:r w:rsidRPr="00593BA2">
        <w:rPr>
          <w:color w:val="000000"/>
        </w:rPr>
        <w:tab/>
      </w:r>
      <w:r w:rsidRPr="00593BA2">
        <w:rPr>
          <w:color w:val="000000"/>
        </w:rPr>
        <w:tab/>
      </w:r>
      <w:hyperlink r:id="rId8">
        <w:r w:rsidR="004E6E84" w:rsidRPr="00593BA2">
          <w:rPr>
            <w:rFonts w:eastAsia="Segoe UI"/>
            <w:color w:val="000000"/>
            <w:lang w:eastAsia="zh-CN" w:bidi="hi-IN"/>
          </w:rPr>
          <w:t>j.zmorzynska@imol.institute</w:t>
        </w:r>
      </w:hyperlink>
    </w:p>
    <w:p w14:paraId="46CE3C28" w14:textId="77777777" w:rsidR="004E6E84" w:rsidRPr="00593BA2" w:rsidRDefault="004E6E84" w:rsidP="00092769">
      <w:pPr>
        <w:widowControl/>
        <w:jc w:val="left"/>
        <w:textAlignment w:val="baseline"/>
        <w:rPr>
          <w:color w:val="808080"/>
        </w:rPr>
      </w:pPr>
    </w:p>
    <w:p w14:paraId="70E6A62A" w14:textId="77777777" w:rsidR="004E6E84" w:rsidRPr="00593BA2" w:rsidRDefault="00000000" w:rsidP="00092769">
      <w:bookmarkStart w:id="1" w:name="kix.dnstqay1kwjl"/>
      <w:bookmarkEnd w:id="1"/>
      <w:r w:rsidRPr="00593BA2">
        <w:rPr>
          <w:b/>
        </w:rPr>
        <w:t>SUMMARY:</w:t>
      </w:r>
      <w:r w:rsidRPr="00593BA2">
        <w:t xml:space="preserve"> </w:t>
      </w:r>
    </w:p>
    <w:p w14:paraId="16C0ABFE" w14:textId="10D5CBDB" w:rsidR="004E6E84" w:rsidRPr="00593BA2" w:rsidRDefault="00000000" w:rsidP="00092769">
      <w:r w:rsidRPr="00593BA2">
        <w:t>To model how inflammatory signals influence neurodevelopment in genetically susceptible organisms, we present a protocol for microinjecting IL</w:t>
      </w:r>
      <w:r w:rsidR="000A04AE" w:rsidRPr="00593BA2">
        <w:t>-6 into the duct of Cuvier (common cardinal vein) of zebrafish larvae, enabling controlled induction of inflammation and assessment of its developmental impact in the context of tuberous sclerosis complex (TSC)</w:t>
      </w:r>
      <w:r w:rsidRPr="00593BA2">
        <w:t>.</w:t>
      </w:r>
    </w:p>
    <w:p w14:paraId="7892EE0F" w14:textId="77777777" w:rsidR="004E6E84" w:rsidRPr="00593BA2" w:rsidRDefault="004E6E84" w:rsidP="00092769"/>
    <w:p w14:paraId="37C3BDE5" w14:textId="77777777" w:rsidR="004E6E84" w:rsidRPr="00593BA2" w:rsidRDefault="00000000" w:rsidP="00092769">
      <w:pPr>
        <w:rPr>
          <w:color w:val="808080"/>
        </w:rPr>
      </w:pPr>
      <w:bookmarkStart w:id="2" w:name="3znysh7"/>
      <w:bookmarkEnd w:id="2"/>
      <w:r w:rsidRPr="00593BA2">
        <w:rPr>
          <w:b/>
        </w:rPr>
        <w:t>ABSTRACT:</w:t>
      </w:r>
      <w:r w:rsidRPr="00593BA2">
        <w:rPr>
          <w:color w:val="808080"/>
        </w:rPr>
        <w:t xml:space="preserve"> </w:t>
      </w:r>
    </w:p>
    <w:p w14:paraId="4877D7D7" w14:textId="6BD5391C" w:rsidR="004E6E84" w:rsidRPr="00593BA2" w:rsidRDefault="008E561A" w:rsidP="00092769">
      <w:r w:rsidRPr="00593BA2">
        <w:t>Patients with tuberous sclerosis complex (TSC1/TSC2 mutations) exhibit variable expressivity of autism spectrum disorder (ASD), and maternal immune activation is known to heighten ASD risk. Interleukin-6 (IL-6) is a pleiotropic cytokine with well-established roles in immune regulation, inflammation, and neuroinflammatory processes. It is produced by multiple immune cell types in response to infection or tissue injury, and is commonly characterized as a pro-inflammatory mediator. Notably, IL-6 can cross the blood-brain barrier and has been implicated in neuroinflammation and inflammation-associated neuropsychiatric conditions, including autism spectrum disorder (ASD) and intellectual disability (ID). Here, we describe a protocol to induce systemic inflammatory signaling in zebrafish by delivering IL</w:t>
      </w:r>
      <w:r w:rsidRPr="00593BA2">
        <w:noBreakHyphen/>
        <w:t>6 into the bloodstream through injection into the duct of Cuvier. This approach enables controlled and reproducible inflammatory response</w:t>
      </w:r>
      <w:r w:rsidR="000A04AE" w:rsidRPr="00593BA2">
        <w:t>s</w:t>
      </w:r>
      <w:r w:rsidRPr="00593BA2">
        <w:t xml:space="preserve"> to study inflammation-driven changes in early development. The protocol details the essential steps for IL-6 preparation, microinjection, and downstream experimental applications in zebrafish models of disease and neuroinflammation, including studies designed to probe gene-environment interactions. By enabling controlled induction of systemic inflammatory signaling, this approach provides a versatile platform for examining how genetic susceptibility and inflammatory exposures intersect to shape developmental outcomes.</w:t>
      </w:r>
    </w:p>
    <w:p w14:paraId="38A0200F" w14:textId="77777777" w:rsidR="004E6E84" w:rsidRPr="00593BA2" w:rsidRDefault="004E6E84" w:rsidP="00092769"/>
    <w:p w14:paraId="71FAA7D4" w14:textId="77777777" w:rsidR="004E6E84" w:rsidRPr="00593BA2" w:rsidRDefault="00000000" w:rsidP="00092769">
      <w:pPr>
        <w:rPr>
          <w:color w:val="808080"/>
        </w:rPr>
      </w:pPr>
      <w:bookmarkStart w:id="3" w:name="2et92p0"/>
      <w:bookmarkEnd w:id="3"/>
      <w:r w:rsidRPr="00593BA2">
        <w:rPr>
          <w:b/>
        </w:rPr>
        <w:t>INTRODUCTION:</w:t>
      </w:r>
      <w:r w:rsidRPr="00593BA2">
        <w:t xml:space="preserve"> </w:t>
      </w:r>
    </w:p>
    <w:p w14:paraId="409B4987" w14:textId="77777777" w:rsidR="004E6E84" w:rsidRPr="00593BA2" w:rsidRDefault="00000000" w:rsidP="00092769">
      <w:pPr>
        <w:rPr>
          <w:rFonts w:eastAsiaTheme="minorHAnsi"/>
        </w:rPr>
      </w:pPr>
      <w:r w:rsidRPr="00593BA2">
        <w:rPr>
          <w:rFonts w:eastAsiaTheme="minorHAnsi"/>
        </w:rPr>
        <w:t xml:space="preserve">Understanding how inflammatory signals shape early neurodevelopment is essential for </w:t>
      </w:r>
      <w:r w:rsidRPr="00593BA2">
        <w:rPr>
          <w:rFonts w:eastAsiaTheme="minorHAnsi"/>
        </w:rPr>
        <w:lastRenderedPageBreak/>
        <w:t>dissecting mechanisms underlying neurodevelopmental disorders, particularly in genetically susceptible contexts. The primary goal of this protocol is to provide a precise, reproducible approach for inducing systemic inflammatory signaling in zebrafish larvae through direct microinjection of interleukin</w:t>
      </w:r>
      <w:r w:rsidRPr="00593BA2">
        <w:rPr>
          <w:rFonts w:eastAsiaTheme="minorHAnsi"/>
        </w:rPr>
        <w:noBreakHyphen/>
        <w:t>6 (IL</w:t>
      </w:r>
      <w:r w:rsidRPr="00593BA2">
        <w:rPr>
          <w:rFonts w:eastAsiaTheme="minorHAnsi"/>
        </w:rPr>
        <w:noBreakHyphen/>
        <w:t>6) into the duct of Cuvier (the common cardinal vein).</w:t>
      </w:r>
    </w:p>
    <w:p w14:paraId="20608AAC" w14:textId="77777777" w:rsidR="004E6E84" w:rsidRPr="00593BA2" w:rsidRDefault="004E6E84" w:rsidP="00092769">
      <w:pPr>
        <w:rPr>
          <w:rFonts w:eastAsiaTheme="minorHAnsi"/>
        </w:rPr>
      </w:pPr>
    </w:p>
    <w:p w14:paraId="32B4BF07" w14:textId="3E94EE8E" w:rsidR="004E6E84" w:rsidRPr="00593BA2" w:rsidRDefault="00000000" w:rsidP="00092769">
      <w:pPr>
        <w:rPr>
          <w:rFonts w:eastAsiaTheme="minorHAnsi"/>
        </w:rPr>
      </w:pPr>
      <w:r w:rsidRPr="00593BA2">
        <w:rPr>
          <w:rFonts w:eastAsiaTheme="minorHAnsi"/>
        </w:rPr>
        <w:t xml:space="preserve">Tuberous </w:t>
      </w:r>
      <w:r w:rsidR="008E561A" w:rsidRPr="00593BA2">
        <w:rPr>
          <w:rFonts w:eastAsiaTheme="minorHAnsi"/>
        </w:rPr>
        <w:t xml:space="preserve">sclerosis complex </w:t>
      </w:r>
      <w:r w:rsidRPr="00593BA2">
        <w:rPr>
          <w:rFonts w:eastAsiaTheme="minorHAnsi"/>
        </w:rPr>
        <w:t xml:space="preserve">(TSC) exemplifies such gene–environment interactions. TSC is a rare genetic disorder caused by mutations in </w:t>
      </w:r>
      <w:r w:rsidRPr="00593BA2">
        <w:rPr>
          <w:rFonts w:eastAsiaTheme="minorHAnsi"/>
          <w:i/>
          <w:iCs/>
        </w:rPr>
        <w:t>TSC1</w:t>
      </w:r>
      <w:r w:rsidRPr="00593BA2">
        <w:rPr>
          <w:rFonts w:eastAsiaTheme="minorHAnsi"/>
        </w:rPr>
        <w:t xml:space="preserve"> or </w:t>
      </w:r>
      <w:r w:rsidRPr="00593BA2">
        <w:rPr>
          <w:rFonts w:eastAsiaTheme="minorHAnsi"/>
          <w:i/>
          <w:iCs/>
        </w:rPr>
        <w:t>TSC2</w:t>
      </w:r>
      <w:r w:rsidRPr="00593BA2">
        <w:rPr>
          <w:rFonts w:eastAsiaTheme="minorHAnsi"/>
        </w:rPr>
        <w:t xml:space="preserve">, which encode hamartin and tuberin, respectively, proteins that form a complex </w:t>
      </w:r>
      <w:r w:rsidR="008E561A" w:rsidRPr="00593BA2">
        <w:rPr>
          <w:rFonts w:eastAsiaTheme="minorHAnsi"/>
        </w:rPr>
        <w:t xml:space="preserve">that </w:t>
      </w:r>
      <w:r w:rsidRPr="00593BA2">
        <w:rPr>
          <w:rFonts w:eastAsiaTheme="minorHAnsi"/>
        </w:rPr>
        <w:t>normally suppresses mTORC1 signaling. Loss of this inhibition leads to hyperactivation of the mTORC1 pathway, resulting in abnormal cell growth and a broad spectrum of clinical manifestations, including autism spectrum disorder (ASD)</w:t>
      </w:r>
      <w:r w:rsidR="008E561A" w:rsidRPr="00593BA2">
        <w:rPr>
          <w:vertAlign w:val="superscript"/>
        </w:rPr>
        <w:t>1,2</w:t>
      </w:r>
      <w:r w:rsidRPr="00593BA2">
        <w:rPr>
          <w:rFonts w:eastAsiaTheme="minorHAnsi"/>
        </w:rPr>
        <w:t xml:space="preserve">. ASD is estimated to affect ~1.5% of individuals with an average diagnosis age of ~3 years in developed </w:t>
      </w:r>
      <w:r w:rsidR="008E561A" w:rsidRPr="00593BA2">
        <w:rPr>
          <w:rFonts w:eastAsiaTheme="minorHAnsi"/>
        </w:rPr>
        <w:t>countries</w:t>
      </w:r>
      <w:r w:rsidR="008E561A" w:rsidRPr="00593BA2">
        <w:rPr>
          <w:vertAlign w:val="superscript"/>
        </w:rPr>
        <w:t>3</w:t>
      </w:r>
      <w:r w:rsidRPr="00593BA2">
        <w:rPr>
          <w:rFonts w:eastAsiaTheme="minorHAnsi"/>
        </w:rPr>
        <w:t xml:space="preserve">. ASD is characterized by repetitive behaviors, impaired social interactions, and reduced cognitive </w:t>
      </w:r>
      <w:r w:rsidR="008E561A" w:rsidRPr="00593BA2">
        <w:rPr>
          <w:rFonts w:eastAsiaTheme="minorHAnsi"/>
        </w:rPr>
        <w:t>flexibility</w:t>
      </w:r>
      <w:r w:rsidR="008E561A" w:rsidRPr="00593BA2">
        <w:rPr>
          <w:vertAlign w:val="superscript"/>
        </w:rPr>
        <w:t>4</w:t>
      </w:r>
      <w:r w:rsidRPr="00593BA2">
        <w:rPr>
          <w:rFonts w:eastAsiaTheme="minorHAnsi"/>
        </w:rPr>
        <w:t xml:space="preserve">, and patients often present with additional neurobehavioral challenges such as anxiety, depression, or intellectual </w:t>
      </w:r>
      <w:r w:rsidR="008E561A" w:rsidRPr="00593BA2">
        <w:rPr>
          <w:rFonts w:eastAsiaTheme="minorHAnsi"/>
        </w:rPr>
        <w:t>disability</w:t>
      </w:r>
      <w:r w:rsidR="008E561A" w:rsidRPr="00593BA2">
        <w:rPr>
          <w:vertAlign w:val="superscript"/>
        </w:rPr>
        <w:t>3</w:t>
      </w:r>
      <w:r w:rsidRPr="00593BA2">
        <w:rPr>
          <w:rFonts w:eastAsiaTheme="minorHAnsi"/>
        </w:rPr>
        <w:t>. Notably, 40</w:t>
      </w:r>
      <w:r w:rsidR="008E561A" w:rsidRPr="00593BA2">
        <w:rPr>
          <w:rFonts w:eastAsiaTheme="minorHAnsi"/>
        </w:rPr>
        <w:t>%</w:t>
      </w:r>
      <w:r w:rsidRPr="00593BA2">
        <w:rPr>
          <w:rFonts w:eastAsiaTheme="minorHAnsi"/>
        </w:rPr>
        <w:t xml:space="preserve">–60% of individuals with TSC exhibit ASD-related </w:t>
      </w:r>
      <w:r w:rsidR="008E561A" w:rsidRPr="00593BA2">
        <w:rPr>
          <w:rFonts w:eastAsiaTheme="minorHAnsi"/>
        </w:rPr>
        <w:t>features</w:t>
      </w:r>
      <w:r w:rsidR="008E561A" w:rsidRPr="00593BA2">
        <w:rPr>
          <w:vertAlign w:val="superscript"/>
        </w:rPr>
        <w:t>2</w:t>
      </w:r>
      <w:r w:rsidRPr="00593BA2">
        <w:rPr>
          <w:rFonts w:eastAsiaTheme="minorHAnsi"/>
        </w:rPr>
        <w:t>, yet symptom severity varies widely – even among patients with similar mutations – suggesting that environmental factors modulate genetically driven risk.</w:t>
      </w:r>
    </w:p>
    <w:p w14:paraId="6AFD7F5C" w14:textId="77777777" w:rsidR="008E561A" w:rsidRPr="00593BA2" w:rsidRDefault="008E561A" w:rsidP="00092769">
      <w:pPr>
        <w:rPr>
          <w:rFonts w:eastAsiaTheme="minorHAnsi"/>
        </w:rPr>
      </w:pPr>
    </w:p>
    <w:p w14:paraId="400B33DA" w14:textId="7701696D" w:rsidR="004E6E84" w:rsidRPr="00593BA2" w:rsidRDefault="00000000" w:rsidP="00092769">
      <w:pPr>
        <w:rPr>
          <w:rFonts w:eastAsiaTheme="minorHAnsi"/>
        </w:rPr>
      </w:pPr>
      <w:r w:rsidRPr="00593BA2">
        <w:rPr>
          <w:rFonts w:eastAsiaTheme="minorHAnsi"/>
        </w:rPr>
        <w:t xml:space="preserve">One such factor is inflammation. Although the etiology of ASD remains largely unknown, neuroinflammation across multiple brain regions has long been </w:t>
      </w:r>
      <w:r w:rsidR="008E561A" w:rsidRPr="00593BA2">
        <w:rPr>
          <w:rFonts w:eastAsiaTheme="minorHAnsi"/>
        </w:rPr>
        <w:t>implicated</w:t>
      </w:r>
      <w:r w:rsidR="008E561A" w:rsidRPr="00593BA2">
        <w:rPr>
          <w:vertAlign w:val="superscript"/>
        </w:rPr>
        <w:t>5</w:t>
      </w:r>
      <w:r w:rsidRPr="00593BA2">
        <w:rPr>
          <w:rFonts w:eastAsiaTheme="minorHAnsi"/>
        </w:rPr>
        <w:t xml:space="preserve">. Increasing preclinical and clinical evidence indicates that fetal neuroinflammation triggered by maternal immune activation (MIA) and the resulting elevation of cytokine signaling may contribute significantly to the pathogenesis of </w:t>
      </w:r>
      <w:r w:rsidR="008E561A" w:rsidRPr="00593BA2">
        <w:rPr>
          <w:rFonts w:eastAsiaTheme="minorHAnsi"/>
        </w:rPr>
        <w:t>ASD</w:t>
      </w:r>
      <w:r w:rsidR="008E561A" w:rsidRPr="00593BA2">
        <w:rPr>
          <w:vertAlign w:val="superscript"/>
        </w:rPr>
        <w:t>6</w:t>
      </w:r>
      <w:r w:rsidRPr="00593BA2">
        <w:rPr>
          <w:rFonts w:eastAsia="Cambria"/>
        </w:rPr>
        <w:t xml:space="preserve">. Thus, modeling </w:t>
      </w:r>
      <w:r w:rsidRPr="00593BA2">
        <w:rPr>
          <w:rFonts w:eastAsiaTheme="minorHAnsi"/>
        </w:rPr>
        <w:t>inflammatory cytokine exposure in genetically susceptible systems, such as TSC, provides a powerful framework for probing how immune signals intersect with disrupted mTORC1 regulation to influence early brain development.</w:t>
      </w:r>
    </w:p>
    <w:p w14:paraId="48EEB3A5" w14:textId="77777777" w:rsidR="008E561A" w:rsidRPr="00593BA2" w:rsidRDefault="008E561A" w:rsidP="00092769">
      <w:pPr>
        <w:rPr>
          <w:rFonts w:eastAsia="Cambria"/>
        </w:rPr>
      </w:pPr>
    </w:p>
    <w:p w14:paraId="08D1164E" w14:textId="5FFD599F" w:rsidR="004E6E84" w:rsidRPr="00593BA2" w:rsidRDefault="00000000" w:rsidP="00092769">
      <w:pPr>
        <w:rPr>
          <w:rFonts w:eastAsiaTheme="minorHAnsi"/>
        </w:rPr>
      </w:pPr>
      <w:r w:rsidRPr="00593BA2">
        <w:rPr>
          <w:rFonts w:eastAsiaTheme="minorHAnsi"/>
        </w:rPr>
        <w:t>The rationale for developing this protocol stems from the growing recognition that cytokine</w:t>
      </w:r>
      <w:r w:rsidRPr="00593BA2">
        <w:rPr>
          <w:rFonts w:eastAsiaTheme="minorHAnsi"/>
        </w:rPr>
        <w:noBreakHyphen/>
        <w:t>mediated inflammation, including IL</w:t>
      </w:r>
      <w:r w:rsidR="00BD22A3" w:rsidRPr="00593BA2">
        <w:rPr>
          <w:rFonts w:eastAsiaTheme="minorHAnsi"/>
        </w:rPr>
        <w:t>-</w:t>
      </w:r>
      <w:r w:rsidRPr="00593BA2">
        <w:rPr>
          <w:rFonts w:eastAsiaTheme="minorHAnsi"/>
        </w:rPr>
        <w:t>6 signaling, can interact with genetic vulnerabilities to influence neurodevelopmental trajectories. Cytokines are low-molecular-weight glycoproteins that coordinate communication within the immune system. In ASD, multiple studies have consistently reported elevated levels of pro</w:t>
      </w:r>
      <w:r w:rsidRPr="00593BA2">
        <w:rPr>
          <w:rFonts w:eastAsiaTheme="minorHAnsi"/>
        </w:rPr>
        <w:noBreakHyphen/>
        <w:t>inflammatory cytokines</w:t>
      </w:r>
      <w:r w:rsidR="008E561A" w:rsidRPr="00593BA2">
        <w:rPr>
          <w:rFonts w:eastAsiaTheme="minorHAnsi"/>
        </w:rPr>
        <w:t>,</w:t>
      </w:r>
      <w:r w:rsidRPr="00593BA2">
        <w:rPr>
          <w:rFonts w:eastAsiaTheme="minorHAnsi"/>
        </w:rPr>
        <w:t xml:space="preserve"> including IL</w:t>
      </w:r>
      <w:r w:rsidRPr="00593BA2">
        <w:rPr>
          <w:rFonts w:eastAsiaTheme="minorHAnsi"/>
        </w:rPr>
        <w:noBreakHyphen/>
        <w:t xml:space="preserve">6 in peripheral </w:t>
      </w:r>
      <w:r w:rsidR="008E561A" w:rsidRPr="00593BA2">
        <w:rPr>
          <w:rFonts w:eastAsiaTheme="minorHAnsi"/>
        </w:rPr>
        <w:t>blood</w:t>
      </w:r>
      <w:r w:rsidR="008E561A" w:rsidRPr="00593BA2">
        <w:fldChar w:fldCharType="begin"/>
      </w:r>
      <w:r w:rsidR="008E561A" w:rsidRPr="00593BA2">
        <w:rPr>
          <w:rFonts w:eastAsia="Cambria"/>
        </w:rPr>
        <w:instrText>ADDIN ZOTERO_ITEM CSL_CITATION {"citationID":"OULsdsDL","properties":{"formattedCitation":"\\super 8\\uc0\\u8211{}11\\nosupersub{}","plainCitation":"8–11","noteIndex":0},"citationItems":[{"id":251,"uris":["http://zotero.org/users/18011399/items/S6J7IU7N"],"itemData":{"id":251,"type":"article-journal","abstract":"&lt;i&gt;Background/Aim:&lt;/i&gt; There is now some evidence that autism may be accompanied by abnormalities in the inflammatory response system (IRS). Products of the IRS, such as proinflammatory cytokines, may induce some of the behavioral symptoms of autism, such as social withdrawal, resistance to novelty and sleep disturbances. The main aim of the present study was to examine whether autism is accompanied by an activation of the IRS. &lt;i&gt;Methods:&lt;/i&gt; We measured the production of interleukin (IL)-6, IL-10, the IL-1 receptor antagonist (IL-1RA), interferon (IFN)-γ and tumor necrosis factor (TNF)-α by whole blood and the serum concentrations of IL-6, the IL-2 receptor (IL-2R) and IL-1RA. &lt;i&gt;Results:&lt;/i&gt; This study showed a significantly increased production of IFN-γ and IL-1RA and a trend toward a significantly increased production of IL-6 and TNF-α by whole blood of autistic children. There were no significant differences in the serum concentrations of IL-6, IL-2R and IL-1RA between autistic and normal children. &lt;i&gt;Conclusions:&lt;/i&gt; These results suggest that autism may be accompanied by an activation of the monocytic (increased IL-1RA) and Th-1-like (increased IFN-γ) arm of the IRS. It is hypothesized that increased production of proinflammatory cytokines could play a role in the pathophysiology of autism.","container-title":"Neuropsychobiology","DOI":"10.1159/000048665","ISSN":"0302-282X, 1423-0224","issue":"1","journalAbbreviation":"Neuropsychobiology","language":"en","license":"https://www.karger.com/Services/SiteLicenses","page":"1-6","source":"DOI.org (Crossref)","title":"Activation of the Inflammatory Response System in Autism","volume":"45","author":[{"family":"Croonenberghs","given":"Jan"},{"family":"Bosmans","given":"Eugene"},{"family":"Deboutte","given":"Dirk"},{"family":"Kenis","given":"Gunter"},{"family":"Maes","given":"Michael"}],"issued":{"date-parts":[["2002"]]}},"label":"page"},{"id":253,"uris":["http://zotero.org/users/18011399/items/RF7D6SLT"],"itemData":{"id":253,"type":"article-journal","abstract":"We discuss the rationale for a trial of a novel biological immunotherapy in schizophrenia (SCZ). Available antipsychotic treatments for SCZ are often limited by partial effectiveness and signiﬁcant side effects. The search for novel medications is of high priority. All current antipsychotics function primarily by blocking D2-type dopamine receptors. An emerging theory of SCZ postulates disturbances of cytokines and inﬂammatory mediators (i.e., the cytokine model), possibly originating in part from infectious exposures. Cytokines are one of the most important components of the immune system that orchestrate the response to infectious and other exogenous insults. Preclinical models of SCZ support a convergence between a role for certain cytokines in the pathophysiology of SCZ and major neurochemical postulates of the disorder, including the dopamine and glutamate hypotheses. Several cytokines are elevated in plasma in SCZ, and positron emission tomography studies have shown active inﬂammation in the brains of patients with psychosis. Treatment studies of anti-inﬂammatory agents, such as celecoxib and aspirin, in patients with SCZ have provided further support for neuroinﬂammation in this disorder. The development of approved biological therapies for autoimmune diseases provides new opportunities to target cytokine signaling directly as a novel treatment strategy in SCZ. In addition, advances in imaging, immunology, and psychopharmacology have paved the way for using measures of target engagement of neuroimmune components that would facilitate the identiﬁcation of patient subgroups who are most likely to beneﬁt from cytokine modulation.","container-title":"Biological Psychiatry","DOI":"10.1016/j.biopsych.2013.12.002","ISSN":"00063223","issue":"4","journalAbbreviation":"Biological Psychiatry","language":"en","license":"https://www.elsevier.com/tdm/userlicense/1.0/","page":"292-299","source":"DOI.org (Crossref)","title":"The Cytokine Model of Schizophrenia: Emerging Therapeutic Strategies","title-short":"The Cytokine Model of Schizophrenia","volume":"75","author":[{"family":"Girgis","given":"Ragy R."},{"family":"Kumar","given":"Samhita S."},{"family":"Brown","given":"Alan S."}],"issued":{"date-parts":[["2014",2]]}},"label":"page"},{"id":252,"uris":["http://zotero.org/users/18011399/items/YJU9XAI5"],"itemData":{"id":252,"type":"article-journal","abstract":"BACKGROUND: The identiﬁcation of an early biomarker for autism spectrum disorder (ASD) would improve the determination of risk, leading to earlier diagnosis and, potentially, earlier intervention and improved outcomes.\nMETHODS: Data were generated from the Early Markers for Autism study, a population-based case-control study of prenatal and neonatal biomarkers of ASD. Newborn bloodspots of children with ASD (n = 370), children with developmental delay (n = 140), and general population (GP) controls (n = 378) were analyzed for 42 different immune markers using a Luminex multiplex platform. Comparisons of immune marker concentrations between groups were examined using logistic regression and partial least squares discriminant analysis.\nRESULTS: Children with ASD had signiﬁcantly increased neonatal levels of interleukin-6 (IL-6) and IL-8 compared with GP controls. An increase in IL-8 was especially signiﬁcant in the ASD group with early onset compared with the GP group, with an adjusted odds ratio of 1.97 (95% conﬁdence interval, 1.39–2.83; p = .00014). In addition, children with ASD had signiﬁcantly elevated levels of eotaxin-1, interferon-g, and IL-12p70 relative to children with developmental delay. We observed no signiﬁcant differences in levels of immune markers between the developmental delay and GP groups.\nCONCLUSIONS: Elevated levels of some inﬂammatory markers in newborn bloodspots indicated a higher degree of immune activation at birth in children who were subsequently diagnosed with ASD. The data from this exploratory study suggest that with further expansion, the development of neonatal bloodspot testing for cytokine/chemokine levels might lead to the identiﬁcation of biomarkers that provide an accurate assessment of ASD risk at birth.","container-title":"Biological Psychiatry","DOI":"10.1016/j.biopsych.2019.04.037","ISSN":"00063223","issue":"4","journalAbbreviation":"Biological Psychiatry","language":"en","page":"255-264","source":"DOI.org (Crossref)","title":"An Exploratory Examination of Neonatal Cytokines and Chemokines as Predictors of Autism Risk: The Early Markers for Autism Study","title-short":"An Exploratory Examination of Neonatal Cytokines and Chemokines as Predictors of Autism Risk","volume":"86","author":[{"family":"Heuer","given":"Luke S."},{"family":"Croen","given":"Lisa A."},{"family":"Jones","given":"Karen L."},{"family":"Yoshida","given":"Cathleen K."},{"family":"Hansen","given":"Robin L."},{"family":"Yolken","given":"Robert"},{"family":"Zerbo","given":"Ousseny"},{"family":"DeLorenze","given":"Gerald"},{"family":"Kharrazi","given":"Martin"},{"family":"Ashwood","given":"Paul"},{"family":"Van De Water","given":"Judy"}],"issued":{"date-parts":[["2019",8]]}},"label":"page"},{"id":287,"uris":["http://zotero.org/users/18011399/items/IHR9Q566"],"itemData":{"id":287,"type":"article-journal","abstract":"Evidence suggests that cytokines may be one of the major factors inﬂuencing cognitive development in those with autism spectrum disorder (ASD). To shed light on the neural and cognitive mechanisms of ASD, we investigated the association between peripheral cytokine levels and cognitive proﬁles in children with ASD. The serum levels of 10 cytokines (granulocyte macrophage colony-stimulating factor, interferon (IFN)-γ, interleukin (IL)-1β, IL-2, IL-4, IL-5, IL-6, IL-8, IL-10, and tumor necrosis factor-α) were examined in 14 children with ASD using the Human Ultrasensitive Cytokine Magnetic 10-Plex Panel for the Luminex platform. The Wechsler Intelligence Scale for Children (WISC) was administered to each subject, and the relationships between WISC scores and serum levels of the cytokines were examined. The full-scale intelligence quotient (IQ) was signiﬁcantly negatively correlated with the levels of IL-6 (Spearman’s rank, p &lt; 0.0001, false discovery rate q &lt; 0.01). The levels of IL-6 and IFN-γ showed signiﬁcant negative correlations with the verbal comprehension index (p &lt; 0.001, q &lt; 0.01) and working memory index (p &lt; 0.01, q &lt; 0.05), respectively. No other cytokines were signiﬁcantly correlated with full-scale IQ or with any of the subscale scores of the WISC. The present results suggest negative correlations of IL-6 and IFN-γ levels with cognitive development of children with ASD. Our preliminary ﬁndings add to the evidence that cytokines may play a role in the neural development in ASD.","container-title":"Journal of Intelligence","DOI":"10.3390/jintelligence5020019","ISSN":"2079-3200","issue":"2","journalAbbreviation":"J. Intell.","language":"en","page":"19","source":"DOI.org (Crossref)","title":"Negative Correlation between Serum Cytokine Levels and Cognitive Abilities in Children with Autism Spectrum Disorder","volume":"5","author":[{"family":"Sasayama","given":"Daimei"},{"family":"Kurahashi","given":"Kana"},{"family":"Oda","given":"Kayoko"},{"family":"Yasaki","given":"Takehiko"},{"family":"Yamada","given":"Yoshiyuki"},{"family":"Sugiyama","given":"Nobuhiro"},{"family":"Inaba","given":"Yuji"},{"family":"Harada","given":"Yuzuru"},{"family":"Washizuka","given":"Shinsuke"},{"family":"Honda","given":"Hideo"}],"issued":{"date-parts":[["2017",5,8]]}},"label":"page"}],"schema":"https://github.com/citation-style-language/schema/raw/master/csl-citation.json"}</w:instrText>
      </w:r>
      <w:r w:rsidR="008E561A" w:rsidRPr="00593BA2">
        <w:rPr>
          <w:rFonts w:eastAsia="Cambria"/>
        </w:rPr>
        <w:fldChar w:fldCharType="separate"/>
      </w:r>
      <w:r w:rsidR="008E561A" w:rsidRPr="00593BA2">
        <w:rPr>
          <w:vertAlign w:val="superscript"/>
        </w:rPr>
        <w:t>7–10</w:t>
      </w:r>
      <w:r w:rsidR="008E561A" w:rsidRPr="00593BA2">
        <w:rPr>
          <w:rFonts w:eastAsia="Cambria"/>
        </w:rPr>
        <w:fldChar w:fldCharType="end"/>
      </w:r>
      <w:r w:rsidRPr="00593BA2">
        <w:rPr>
          <w:rFonts w:eastAsiaTheme="minorHAnsi"/>
        </w:rPr>
        <w:t>, supporting the hypothesis that dysregulated IL</w:t>
      </w:r>
      <w:r w:rsidRPr="00593BA2">
        <w:rPr>
          <w:rFonts w:eastAsiaTheme="minorHAnsi"/>
        </w:rPr>
        <w:noBreakHyphen/>
        <w:t>6 signaling may contribute to the neurodevelopmental and behavioral features characteristic of the disorder. IL-6 is a key mediator of immune activation produced by diverse immune cell types in response to infection or tissue damage. Because IL</w:t>
      </w:r>
      <w:r w:rsidRPr="00593BA2">
        <w:rPr>
          <w:rFonts w:eastAsiaTheme="minorHAnsi"/>
        </w:rPr>
        <w:noBreakHyphen/>
        <w:t>6 can cross the blood-brain barrier and directly influence neurons, astrocytes, and microglia, sustained elevation of this cytokine has been implicated in altering neurodevelopmental pathways, synaptic plasticity, and neuroimmune homeostasis –mechanisms increasingly explored in ASD pathophysiology</w:t>
      </w:r>
      <w:r w:rsidRPr="00593BA2">
        <w:fldChar w:fldCharType="begin"/>
      </w:r>
      <w:r w:rsidRPr="00593BA2">
        <w:rPr>
          <w:rFonts w:eastAsia="Cambria"/>
        </w:rPr>
        <w:instrText>ADDIN ZOTERO_ITEM CSL_CITATION {"citationID":"9uFyXwWP","properties":{"formattedCitation":"\\super 12,13\\nosupersub{}","plainCitation":"12,13","noteIndex":0},"citationItems":[{"id":283,"uris":["http://zotero.org/users/18011399/items/BZ2NAWYC"],"itemData":{"id":283,"type":"article-journal","abstract":"Interleukin-6 (IL-6) can alter brain function after peripheral administration, suggesting that it, like IL-1 ~, IL-1B and TNF-a, might be able to cross the blood-brain barrier (BBB). We used multiple-time regression analysis to measure the unidirectional influx constant (Ki) into brain of radioactively labeled murine and human IL-6 given i.v. Ki values ranged from 3.05 to 4.54 (10-4) ml/g/min and were inhibited by unlabeled IL-6 but not IL-la or TNF-a, showing that the transport system for IL-6 is distinct from those for IL-la and TNF-a. -0.2% of the dose injected i.v. entered each gram of brain. The capillary depletion method showed that most of the IL-6 taken up by brain entered the parenchyma. However, only ~ 16% of the radioactivity recovered eluted as intact I-IL-6 in brain and ~ 50% in CSF after chromatographic separation by HPLC/Sephadex. The efflux rate for IL-6 injected into the lateral ventricle of the brain suggests that it enters the blood with the reabsorption of CSF. These results suggest that blood-borne IL-6 can reach sites behind the BBB, but that susceptibility to enzymatic degradation may limit contact time within the CNS.","container-title":"Neuroscience Letters","DOI":"10.1016/0304-3940(94)90933-4","ISSN":"03043940","issue":"1-2","journalAbbreviation":"Neuroscience Letters","language":"en","license":"https://www.elsevier.com/tdm/userlicense/1.0/","page":"53-56","source":"DOI.org (Crossref)","title":"Penetration of interleukin-6 across the murine blood-brain barrier","volume":"179","author":[{"family":"Banks","given":"William A."},{"family":"Kastin","given":"Abba J."},{"family":"Gutierrez","given":"Enrique G."}],"issued":{"date-parts":[["1994",9]]}},"label":"page"},{"id":291,"uris":["http://zotero.org/users/18011399/items/789VIWYL"],"itemData":{"id":291,"type":"article-journal","abstract":"Maternal immune activation (MIA) during pregnancy has been implicated as a key environmental risk factor in autism spectrum disorder (ASD). Interferon-alpha (IFN-α), a type I interferon, may disrupt fetal neurodevelopment, yet its mechanistic impact remains insufficiently understood. This study explores the effects of maternal IFN-α exposure on neurobehavioral and neurobiological outcomes in a Wistar rat model. Pregnant rats received IFN-α on gestational day 10, and offspring were evaluated through behavioral assays, neurochemical analyses, and histopathological assessments. IFN-α exposure resulted in significant reductions in GABA, 5-HIAA, and GAD-67 levels, particularly in male offspring, indicating neurotransmitter dysregulation. Histologically, neuronal loss was observed in the hippocampal CA1 and CA3 regions and cerebellar Purkinje cells. Astrocyte activation, reflected by increased GFAP immunoreactivity, was prominent, suggesting a neuroinflammatory response. Additionally, reduced brain-derived neurotrophic factor (BDNF) and elevated tumor necrosis factor-alpha (TNF-α) levels support the presence of inflammation-induced synaptic dysfunction and impaired neuroplasticity. Behaviorally, male offspring exhibited reduced sociability and impaired social novelty recognition. Both sexes demonstrated deficits in motor coordination and exploratory activity. These findings align with core ASD phenotypes and underscore a heightened male vulnerability. Overall, the study provides compelling evidence that prenatal IFN-α exposure leads to persistent neuroimmune, neurochemical, and structural alterations resembling ASD. The results highlight the need for further research into immune-mediated neurodevelopmental disruptions and sex-specific vulnerabilities, offering potential pathways for preventive and therapeutic interventions targeting MIA-related risk mechanisms.","container-title":"Journal of Neuroimmune Pharmacology","DOI":"10.1007/s11481-025-10275-6","ISSN":"1557-1904","issue":"1","journalAbbreviation":"J Neuroimmune Pharmacol","language":"en","page":"4","source":"DOI.org (Crossref)","title":"Prenatal Interferon-Alpha Exposure Induces Autism-Like Neurobehavioral and Neurochemical Alterations in Male Offspring","volume":"21","author":[{"family":"Otkıran","given":"Güliz"},{"family":"Erdoğan","given":"Mümin Alper"},{"family":"Uyanıkgil","given":"Yiğit"},{"family":"Erbaş","given":"Oytun"}],"issued":{"date-parts":[["2026",1,3]]}},"label":"page"}],"schema":"https://github.com/citation-style-language/schema/raw/master/csl-citation.json"}</w:instrText>
      </w:r>
      <w:r w:rsidRPr="00593BA2">
        <w:rPr>
          <w:rFonts w:eastAsia="Cambria"/>
        </w:rPr>
        <w:fldChar w:fldCharType="separate"/>
      </w:r>
      <w:r w:rsidRPr="00593BA2">
        <w:rPr>
          <w:vertAlign w:val="superscript"/>
        </w:rPr>
        <w:t>1</w:t>
      </w:r>
      <w:r w:rsidR="008E561A" w:rsidRPr="00593BA2">
        <w:rPr>
          <w:vertAlign w:val="superscript"/>
        </w:rPr>
        <w:t>1</w:t>
      </w:r>
      <w:r w:rsidRPr="00593BA2">
        <w:rPr>
          <w:vertAlign w:val="superscript"/>
        </w:rPr>
        <w:t>,1</w:t>
      </w:r>
      <w:r w:rsidR="008E561A" w:rsidRPr="00593BA2">
        <w:rPr>
          <w:vertAlign w:val="superscript"/>
        </w:rPr>
        <w:t>2</w:t>
      </w:r>
      <w:r w:rsidRPr="00593BA2">
        <w:rPr>
          <w:rFonts w:eastAsia="Cambria"/>
        </w:rPr>
        <w:fldChar w:fldCharType="end"/>
      </w:r>
      <w:r w:rsidRPr="00593BA2">
        <w:rPr>
          <w:rFonts w:eastAsiaTheme="minorHAnsi"/>
        </w:rPr>
        <w:t>.</w:t>
      </w:r>
      <w:r w:rsidR="008E561A" w:rsidRPr="00593BA2">
        <w:rPr>
          <w:rFonts w:eastAsiaTheme="minorHAnsi"/>
        </w:rPr>
        <w:t xml:space="preserve"> </w:t>
      </w:r>
      <w:r w:rsidRPr="00593BA2">
        <w:rPr>
          <w:rFonts w:eastAsiaTheme="minorHAnsi"/>
        </w:rPr>
        <w:t>These links are further strengthened by MIA studies, where elevated maternal IL</w:t>
      </w:r>
      <w:r w:rsidRPr="00593BA2">
        <w:rPr>
          <w:rFonts w:eastAsiaTheme="minorHAnsi"/>
        </w:rPr>
        <w:noBreakHyphen/>
        <w:t>6 during pregnancy disrupts fetal brain development and increases ASD</w:t>
      </w:r>
      <w:r w:rsidRPr="00593BA2">
        <w:rPr>
          <w:rFonts w:eastAsiaTheme="minorHAnsi"/>
        </w:rPr>
        <w:noBreakHyphen/>
        <w:t>related risk</w:t>
      </w:r>
      <w:r w:rsidR="008E561A" w:rsidRPr="00593BA2">
        <w:rPr>
          <w:vertAlign w:val="superscript"/>
        </w:rPr>
        <w:t>13</w:t>
      </w:r>
      <w:r w:rsidRPr="00593BA2">
        <w:rPr>
          <w:rFonts w:eastAsiaTheme="minorHAnsi"/>
        </w:rPr>
        <w:t>. However, the existing vertebrate models often rely on systemic immune stimulation through pathogen</w:t>
      </w:r>
      <w:r w:rsidRPr="00593BA2">
        <w:rPr>
          <w:rFonts w:eastAsiaTheme="minorHAnsi"/>
        </w:rPr>
        <w:noBreakHyphen/>
        <w:t>associated molecules or maternal exposure paradigms, which can introduce variability, activate multiple immune pathways simultaneously, and limit the ability to isolate the specific contribution of IL</w:t>
      </w:r>
      <w:r w:rsidRPr="00593BA2">
        <w:rPr>
          <w:rFonts w:eastAsiaTheme="minorHAnsi"/>
        </w:rPr>
        <w:noBreakHyphen/>
        <w:t>6. Direct IL</w:t>
      </w:r>
      <w:r w:rsidRPr="00593BA2">
        <w:rPr>
          <w:rFonts w:eastAsiaTheme="minorHAnsi"/>
        </w:rPr>
        <w:noBreakHyphen/>
        <w:t xml:space="preserve">6 microinjection in zebrafish overcomes these limitations by enabling targeted manipulation of a </w:t>
      </w:r>
      <w:r w:rsidRPr="00593BA2">
        <w:rPr>
          <w:rFonts w:eastAsiaTheme="minorHAnsi"/>
        </w:rPr>
        <w:lastRenderedPageBreak/>
        <w:t>single cytokine within a transparent, genetically tractable organism.</w:t>
      </w:r>
    </w:p>
    <w:p w14:paraId="58515539" w14:textId="77777777" w:rsidR="004E6E84" w:rsidRPr="00593BA2" w:rsidRDefault="004E6E84" w:rsidP="00092769">
      <w:pPr>
        <w:rPr>
          <w:rFonts w:eastAsiaTheme="minorHAnsi"/>
        </w:rPr>
      </w:pPr>
    </w:p>
    <w:p w14:paraId="6BC060BE" w14:textId="0AFDE34E" w:rsidR="00BD22A3" w:rsidRPr="00593BA2" w:rsidRDefault="00000000" w:rsidP="00092769">
      <w:pPr>
        <w:rPr>
          <w:rFonts w:eastAsiaTheme="minorHAnsi"/>
        </w:rPr>
      </w:pPr>
      <w:r w:rsidRPr="00593BA2">
        <w:rPr>
          <w:rFonts w:eastAsiaTheme="minorHAnsi"/>
        </w:rPr>
        <w:t>Zebrafish offer several advantages for studying cytokine</w:t>
      </w:r>
      <w:r w:rsidRPr="00593BA2">
        <w:rPr>
          <w:rFonts w:eastAsiaTheme="minorHAnsi"/>
        </w:rPr>
        <w:noBreakHyphen/>
        <w:t>driven developmental effects. Their optical transparency allows real</w:t>
      </w:r>
      <w:r w:rsidRPr="00593BA2">
        <w:rPr>
          <w:rFonts w:eastAsiaTheme="minorHAnsi"/>
        </w:rPr>
        <w:noBreakHyphen/>
        <w:t>time visualization of immune and neural responses; their rapid development enables high</w:t>
      </w:r>
      <w:r w:rsidRPr="00593BA2">
        <w:rPr>
          <w:rFonts w:eastAsiaTheme="minorHAnsi"/>
        </w:rPr>
        <w:noBreakHyphen/>
        <w:t>throughput experimentation; and their conserved cytokine signaling pathways make them a powerful vertebrate model for dissecting inflammatory mechanisms</w:t>
      </w:r>
      <w:r w:rsidRPr="00593BA2">
        <w:fldChar w:fldCharType="begin"/>
      </w:r>
      <w:r w:rsidRPr="00593BA2">
        <w:rPr>
          <w:rFonts w:eastAsia="Cambria"/>
        </w:rPr>
        <w:instrText>ADDIN ZOTERO_ITEM CSL_CITATION {"citationID":"Z2CyJu6r","properties":{"formattedCitation":"\\super 14\\uc0\\u8211{}18\\nosupersub{}","plainCitation":"14–18","noteIndex":0},"citationItems":[{"id":272,"uris":["http://zotero.org/users/18011399/items/JE2K3NH8"],"itemData":{"id":272,"type":"article-journal","abstract":"Abstract\n            The field of neuropharmacology has not yet achieved a full understanding of how the brain transitions between states of consciousness and drug-induced unconsciousness, or anesthesia. Many small molecules are used to alter human consciousness, but the repertoire of underlying molecular targets, and thereby the genes, are incompletely understood. Here we describe a robust larval zebrafish model of anesthetic action, from sedation to general anesthesia. We use loss of movement under three different conditions, spontaneous movement, electrical stimulation or a tap, as a surrogate for sedation and general anesthesia, respectively. Using these behavioral patterns, we find that larval zebrafish respond to inhalational and IV anesthetics at concentrations similar to mammals. Additionally, known sedative drugs cause loss of spontaneous larval movement but not to the tap response. This robust, highly tractable vertebrate model can be used in the detection of genes and neural substrates involved in the transition from consciousness to unconsciousness.","container-title":"Scientific Reports","DOI":"10.1038/s41598-020-72669-1","ISSN":"2045-2322","issue":"1","journalAbbreviation":"Sci Rep","language":"en","page":"15789","source":"DOI.org (Crossref)","title":"A vertebrate model to reveal neural substrates underlying the transitions between conscious and unconscious states","volume":"10","author":[{"family":"Bedell","given":"Victoria M."},{"family":"Meng","given":"Qing C."},{"family":"Pack","given":"Michael A."},{"family":"Eckenhoff","given":"Roderic G."}],"issued":{"date-parts":[["2020",9,25]]}},"label":"page"},{"id":295,"uris":["http://zotero.org/users/18011399/items/87ZQFD8E"],"itemData":{"id":295,"type":"article-journal","abstract":"This study aims to demonstrate the applicability and importance of zebrafish (Danio rerio) model to study acute and chronic inflammatory responses induced by different stimuli: carrageenan phlogogen (nonimmune); acute infection by bacteria (immune); foreign body reaction (chronic inflammation by round glass coverslip implantation); reaction induced by xenotransplantation. In addition to the advantages of presenting low breeding cost, high prolificity, transparent embryos, high number of individuals belonging to the same spawning and high genetic similarity that favor translational responses to vertebrate organisms like humans, zebrafish proved to be an excellent tool, allowing the evaluation of edema formation, accumulation of inflammatory cells in the exudate, mediators, signaling pathways, gene expression and production of specific proteins. Our studies demonstrated the versatility of fish models to investigate the inflammatory response and its pathophysiology, essential for the successful development of studies to discover innovative pharmacological strategies.","container-title":"Biomedicine &amp; Pharmacotherapy","DOI":"10.1016/j.biopha.2021.112310","ISSN":"07533322","journalAbbreviation":"Biomedicine &amp; Pharmacotherapy","language":"en","page":"112310","source":"DOI.org (Crossref)","title":"Zebrafish as a model to study inflammation: A tool for drug discovery","title-short":"Zebrafish as a model to study inflammation","volume":"144","author":[{"family":"Belo","given":"Marco A.A."},{"family":"Oliveira","given":"Melque F."},{"family":"Oliveira","given":"Susana L."},{"family":"Aracati","given":"Mayumi F."},{"family":"Rodrigues","given":"Letícia F."},{"family":"Costa","given":"Camila C."},{"family":"Conde","given":"Gabriel"},{"family":"Gomes","given":"Juliana M.M."},{"family":"Prata","given":"Mariana N.L."},{"family":"Barra","given":"Ayslan"},{"family":"Valverde","given":"Thalita M."},{"family":"De Melo","given":"Daniela C."},{"family":"Eto","given":"Silas F."},{"family":"Fernandes","given":"Dayanne C."},{"family":"Romero","given":"Marina G.M.C."},{"family":"Corrêa Júnior","given":"José D."},{"family":"Silva","given":"Juliana O."},{"family":"Barros","given":"Andre L.B."},{"family":"Perez","given":"Andrea C."},{"family":"Charlie-Silva","given":"Ives"}],"issued":{"date-parts":[["2021",12]]}}},{"id":273,"uris":["http://zotero.org/users/18011399/items/2TR5MCD6"],"itemData":{"id":273,"type":"article-journal","abstract":"Hyperlipidemia is an abnormal elevation of lipid level in blood, which affects more than 100 million people in US. Zebraﬁsh has recently emerged as a model to study pathophysiology associated with hyperlipidemia. As a poikilotherm, the innate response toward a high fat diet regimen in zebraﬁsh is likely to be distinct from humans, and therefore, additional caution is warranted to appropriately interpret results obtained from zebraﬁsh model. However, to date, detailed comparative analyses on similarities and dissimilarities between zebraﬁsh and mammals, in particular, at molecular level, have not been reported yet. Here, we identiﬁed changes in hepatic speciﬁc transcriptomic proﬁles of zebraﬁsh fed with a high fat diet regimen and comparatively analyzed transcriptomic changes in zebraﬁsh and mice. While a number of previously identiﬁed risk factors for human hyperlipidemia has been upregulated in zebraﬁsh fed with a high fat diet regimen, zebraﬁsh hepatic transcriptome does not share high similarity with mice. Despite these differences, KEGG pathway analyses revealed that similar signaling pathways upregulated in zebraﬁsh and mice as a response to a high fat diet. Our data show that these two species may utilize species-speciﬁc set of genes to upregulate common signaling pathways, indicating evolutionary convergence between poikilotherm and homeotherm in regulating lipid metabolism and validating the use of zebraﬁsh as a model for human hyperlipidemia and associated diseases.","container-title":"Biochemical and Biophysical Research Communications","DOI":"10.1016/j.bbrc.2020.07.042","ISSN":"0006291X","issue":"4","journalAbbreviation":"Biochemical and Biophysical Research Communications","language":"en","page":"638-643","source":"DOI.org (Crossref)","title":"Comparison of transcriptomic changes between zebrafish and mice upon high fat diet reveals evolutionary convergence in lipid metabolism","volume":"530","author":[{"family":"Ka","given":"Jun"},{"family":"Pak","given":"Boryeong"},{"family":"Han","given":"Orjin"},{"family":"Lee","given":"Seungwon"},{"family":"Jin","given":"Suk-Won"}],"issued":{"date-parts":[["2020",10]]}},"label":"page"},{"id":271,"uris":["http://zotero.org/users/18011399/items/QR8WE46E"],"itemData":{"id":271,"type":"article-journal","abstract":"Zebraﬁsh (Danio rerio) is an ideal model for studying the mechanism of infectious disease and the interaction between host and pathogen. As a teleost, zebraﬁsh has developed a complete immune system which is similar to mammals. Moreover, the easy acquirement of large amounts of transparent embryos makes it a good candidate for gene manipulation and drug screening. In a zebraﬁsh infection model, all of the site, timing, and dose of the bacteria microinjection into the embryo are important factors that determine the bacterial infection of host. Here, we established a multi-site infection model in zebraﬁsh larvae of 36 hours post-fertilization (hpf) by microinjecting wild-type or GFP-expressing Staphylococcus aereus (S. aureus) with gradient burdens into different embryo sites including the pericardial cavity (PC), eye, the fourth hindbrain ventricle (4V), yolk circulation valley (YCV), caudal vein (CV), yolk body (YB), and Duct of Cuvier (DC) to resemble human infectious disease. With the combination of GFP-expressing S. aureus and transgenic zebraﬁsh Tg (coro1a: eGFP; lyz: Dsred) and Tg (lyz: Dsred) lines whose macrophages or neutrophils are ﬂuorescent labeled, we observed the dynamic process of bacterial infection by in vivo multicolored confocal ﬂuorescence imaging. Analyses of zebraﬁsh embryo survival, bacterial proliferation and myeloid cells phagocytosis show that the site- and dose-dependent differences exist in infection of different bacterial entry routes. This work provides a consideration for the future study of pathogenesis and host resistance through selection of multi-site infection model. More interaction mechanisms between pathogenic bacteria virulence factors and the immune responses of zebraﬁsh could be determined through zebraﬁsh multi-site infection model.","container-title":"Journal of Genetics and Genomics","DOI":"10.1016/j.jgg.2012.07.006","ISSN":"16738527","issue":"9","journalAbbreviation":"Journal of Genetics and Genomics","language":"en","page":"521-534","source":"DOI.org (Crossref)","title":"Establishment of Multi-Site Infection Model in Zebrafish Larvae for Studying Staphylococcus aureus Infectious Disease","volume":"39","author":[{"family":"Li","given":"Ya-juan"},{"family":"Hu","given":"Bing"}],"issued":{"date-parts":[["2012",9]]}},"label":"page"},{"id":270,"uris":["http://zotero.org/users/18011399/items/55XDNFWM"],"itemData":{"id":270,"type":"article-journal","abstract":"Abstract\n            The zebrafish (Danio rerio)/tumor xenograft model represents a powerful new model system in cancer. Here, we describe a novel exploitation of the zebrafish model to investigate tumor angiogenesis, a pivotal step in cancer progression and target for antitumor therapies. Human and murine tumor cell lines that express the angiogenic fibroblast growth factor (FGF) 2 and/or vascular endothelial growth factor (VEGF) induce the rapid formation of a new microvasculature when grafted close to the developing subintestinal vessels of zebrafish embryos at 48 h postfertilization. Instead, no angiogenic response was exerted by related cell clones defective in the production of these angiogenic growth factors. The newly formed blood vessels sprout from the subintestinal plexus of the zebrafish embryo, penetrate the tumor graft, and express the transcripts for the zebrafish orthologues of the early endothelial markers Fli-1, VEGF receptor-2 (VEGFR2/KDR), and VE-cadherin. Accordingly, green fluorescent protein–positive neovessels infiltrate the graft when tumor cells are injected in transgenic VEGFR2:G-RCFP zebrafish embryos that express green fluorescent protein under the control of the VEGFR2/KDR promoter. Systemic exposure of zebrafish embryos immediately after tumor cell injection to prototypic antiangiogenic inhibitors, including the FGF receptor tyrosine kinase inhibitor SU5402 and the VEGFR2/KDR tyrosine kinase inhibitor SU5416, suppresses tumor-induced angiogenesis without affecting normal blood vessel development. Accordingly, VE-cadherin gene inactivation by antisense morpholino oligonucleotide injection inhibits tumor neovascularization without affecting the development of intersegmental and subintestinal vessels. These data show that the zebrafish/tumor xenograft model represents a novel tool for investigating the neovascularization process exploitable for drug discovery and gene targeting in tumor angiogenesis. [Cancer Res 2007;67(7):2927–31]","container-title":"Cancer Research","DOI":"10.1158/0008-5472.CAN-06-4268","ISSN":"0008-5472, 1538-7445","issue":"7","language":"en","page":"2927-2931","source":"DOI.org (Crossref)","title":"Mammalian Tumor Xenografts Induce Neovascularization in Zebrafish Embryos","volume":"67","author":[{"family":"Nicoli","given":"Stefania"},{"family":"Ribatti","given":"Domenico"},{"family":"Cotelli","given":"Franco"},{"family":"Presta","given":"Marco"}],"issued":{"date-parts":[["2007",4,1]]}},"label":"page"}],"schema":"https://github.com/citation-style-language/schema/raw/master/csl-citation.json"}</w:instrText>
      </w:r>
      <w:r w:rsidRPr="00593BA2">
        <w:rPr>
          <w:rFonts w:eastAsia="Cambria"/>
        </w:rPr>
        <w:fldChar w:fldCharType="separate"/>
      </w:r>
      <w:r w:rsidRPr="00593BA2">
        <w:rPr>
          <w:vertAlign w:val="superscript"/>
        </w:rPr>
        <w:t>14–18</w:t>
      </w:r>
      <w:r w:rsidRPr="00593BA2">
        <w:rPr>
          <w:rFonts w:eastAsia="Cambria"/>
        </w:rPr>
        <w:fldChar w:fldCharType="end"/>
      </w:r>
      <w:r w:rsidRPr="00593BA2">
        <w:rPr>
          <w:rFonts w:eastAsiaTheme="minorHAnsi"/>
        </w:rPr>
        <w:t xml:space="preserve">. In experimental studies, it is necessary to deliver exogenous materials (bacteria, cancer cells, DNA, nanoparticles, etc.) into zebrafish larvae. One approach involves exposing larvae to a solution containing the material of interest, allowing passive uptake through the skin, gills, or gastrointestinal tract. The second and more direct method is microinjection, in which external materials are delivered into specific embryonic or larval compartments using fine glass needles </w:t>
      </w:r>
      <w:r w:rsidRPr="00593BA2">
        <w:fldChar w:fldCharType="begin"/>
      </w:r>
      <w:r w:rsidRPr="00593BA2">
        <w:rPr>
          <w:rFonts w:eastAsia="Cambria"/>
        </w:rPr>
        <w:instrText>ADDIN ZOTERO_ITEM CSL_CITATION {"citationID":"2GwDMDCk","properties":{"formattedCitation":"\\super 19\\uc0\\u8211{}21\\nosupersub{}","plainCitation":"19–21","noteIndex":0},"citationItems":[{"id":274,"uris":["http://zotero.org/users/18011399/items/GKXMMGT2"],"itemData":{"id":274,"type":"article-journal","abstract":"Graphene-family nanomaterials (GFNs) have been widely used in various ﬁelds due to their excellent properties. However, GFNs safety and environmental health have attracted more and more attentions and their potential toxic effects on organisms and the underlying mechanisms are still poorly understood. In this study, we utilized zebraﬁsh to evaluate the toxicity of Carboxyl graphene oxide (GO-COOH). Exposure of zebraﬁsh embryos to 10, 50 and 100 mg/L GO-COOH speciﬁcally induced neurodevelopmental abnormalities and altered tendency of locomotor in larval ﬁsh. Furthermore, GO-COOH exposure led to increase of AchE and ATPase activities and oxidative stress upregulation, and disrupted the expression of genes involved in neurodevelopment and neurotransmitter pathway. Interestingly, we found that Parkinson’s disease-related genes’ expression were disordered after GO-COOH treatment. Fullerenes and astaxanthin rescued the neurodevelopmental defects, tendency of locomotor and expression of Parkinson’s disease-related genes caused by GO-COOH through downregulating oxidative stress. Therefore, our results suggest that GO-COOH has the potential to induce neurotoxicity and Parkinson’s disease-like symptoms in zebraﬁsh larvae.","container-title":"Chemosphere","DOI":"10.1016/j.chemosphere.2020.128611","ISSN":"00456535","journalAbbreviation":"Chemosphere","language":"en","page":"128611","source":"DOI.org (Crossref)","title":"Carboxyl graphene oxide nanoparticles induce neurodevelopmental defects and locomotor disorders in zebrafish larvae","volume":"270","author":[{"family":"Cao","given":"Zigang"},{"family":"Su","given":"Meile"},{"family":"Wang","given":"Honglei"},{"family":"Zhou","given":"Liqun"},{"family":"Meng","given":"Zhen"},{"family":"Xiong","given":"Guanghua"},{"family":"Liao","given":"Xinjun"},{"family":"Lu","given":"Huiqiang"}],"issued":{"date-parts":[["2021",5]]}},"label":"page"},{"id":275,"uris":["http://zotero.org/users/18011399/items/4HM3KSEH"],"itemData":{"id":275,"type":"article-journal","abstract":"Abstract\n            \n              The plant-derived natural alkaloid berberine displays therapeutic potential to treat several pathological conditions, including dyslipidemias, diabetes and cardiovascular disorders. However, data on berberine effects during embryonic development are scarce and in part controversial. In this study, using zebrafish embryos as vertebrate experimental model, we address the effects of berberine treatment on cardiovascular system development and functionality. Starting from the observation that berberine induces developmental toxicity and pericardial edema in a time- and concentration-dependent manner, we found that treated embryos display cardiac looping defects and, at later stages, present an abnormal heart characterized by a stretched morphology and atrial endocardial/myocardial detachment. Furthermore, berberine affected cardiac functionality of the embryos, promoting bradycardia and reducing the cardiac output, the atrial shortening fraction percentage and the atrial stroke volume. We also found that, during development, berberine interferes with the angiogenic process, without altering vascular permeability. These alterations are associated with increased levels of vascular endothelial growth factor aa (\n              vegfaa)\n              mRNA, suggesting an important role for Vegfaa as mediator of berberine-induced cardiovascular defects. Altogether, these data indicate that berberine treatment during vertebrate development leads to an impairment of cardiovascular system morphogenesis and functionality, suggesting a note of caution in its use during pregnancy and lactation.","container-title":"Scientific Reports","DOI":"10.1038/s41598-020-73661-5","ISSN":"2045-2322","issue":"1","journalAbbreviation":"Sci Rep","language":"en","page":"17358","source":"DOI.org (Crossref)","title":"Exposure to the natural alkaloid Berberine affects cardiovascular system morphogenesis and functionality during zebrafish development","volume":"10","author":[{"family":"Martini","given":"Davide"},{"family":"Pucci","given":"Cecilia"},{"family":"Gabellini","given":"Chiara"},{"family":"Pellegrino","given":"Mario"},{"family":"Andreazzoli","given":"Massimiliano"}],"issued":{"date-parts":[["2020",10,15]]}},"label":"page"},{"id":279,"uris":["http://zotero.org/users/18011399/items/VZINADLJ"],"itemData":{"id":279,"type":"paper-conference","abstract":"Zebraﬁsh (Danio Rerio) larvae have long been an important model organism for biomedicine and drug discovery. It is difﬁcult to deliver the external materials into the circulatory system by conventional exposing administration, while vein microinjection is more efﬁcient but more challenging. In this paper, a robotic cardinal vein microinjection system was presented for zebraﬁsh larvae. The key points of injection pipette during penetration were analyzed, and their 3D positions were identiﬁed online by combining motion analysis and visual calibration. 3D path planning of the pipette tip was designed automatedly before injection. The injection system was evaluated by injecting green ﬂuorescent microspheres into 20 zebraﬁsh larvae. The experiment results show that the ﬂuorescent microspheres spread rapidly in the blood circulation system after injection, achieving a success rate of 85.0% and a survival rate of 94.1%. The superior performance provided by the system will signiﬁcantly facilitate tumor xenografts and canner studies on zebraﬁsh.","container-title":"2021 IEEE International Conference on Robotics and Automation (ICRA)","DOI":"10.1109/ICRA48506.2021.9561991","event-title":"2021 IEEE International Conference on Robotics and Automation (ICRA)","ISBN":"978-1-7281-9077-8","language":"en","license":"https://ieeexplore.ieee.org/Xplorehelp/downloads/license-information/IEEE.html","page":"1256-1262","publisher":"IEEE","publisher-place":"Xi'an, China","source":"DOI.org (Crossref)","title":"Robotic Cardinal Vein Microinjection of Zebrafish Larvae Based on 3D Positioning","URL":"https://ieeexplore.ieee.org/document/9561991/","author":[{"family":"Sun","given":"Mingzhu"},{"family":"Li","given":"Lu"},{"family":"Yao","given":"Yatong"},{"family":"Wang","given":"Yiwen"},{"family":"Gong","given":"Huiying"},{"family":"Gao","given":"Qian"},{"family":"Chen","given":"Dongyan"},{"family":"Zhao","given":"Xin"}],"accessed":{"date-parts":[["2026",3,19]]},"issued":{"date-parts":[["2021",5,30]]}},"label":"page"}],"schema":"https://github.com/citation-style-language/schema/raw/master/csl-citation.json"}</w:instrText>
      </w:r>
      <w:r w:rsidRPr="00593BA2">
        <w:rPr>
          <w:rFonts w:eastAsia="Cambria"/>
        </w:rPr>
        <w:fldChar w:fldCharType="separate"/>
      </w:r>
      <w:r w:rsidRPr="00593BA2">
        <w:rPr>
          <w:vertAlign w:val="superscript"/>
        </w:rPr>
        <w:t>19–21</w:t>
      </w:r>
      <w:r w:rsidRPr="00593BA2">
        <w:rPr>
          <w:rFonts w:eastAsia="Cambria"/>
        </w:rPr>
        <w:fldChar w:fldCharType="end"/>
      </w:r>
      <w:r w:rsidRPr="00593BA2">
        <w:rPr>
          <w:rFonts w:eastAsiaTheme="minorHAnsi"/>
        </w:rPr>
        <w:t>. Importantly, microinjection into the duct of Cuvier provides a reliable route for systemic delivery, ensuring rapid distribution of IL</w:t>
      </w:r>
      <w:r w:rsidRPr="00593BA2">
        <w:rPr>
          <w:rFonts w:eastAsiaTheme="minorHAnsi"/>
        </w:rPr>
        <w:noBreakHyphen/>
        <w:t>6 throughout the circulation without the confounding effects of whole</w:t>
      </w:r>
      <w:r w:rsidRPr="00593BA2">
        <w:rPr>
          <w:rFonts w:eastAsiaTheme="minorHAnsi"/>
        </w:rPr>
        <w:noBreakHyphen/>
        <w:t xml:space="preserve">organism immune stimulation. </w:t>
      </w:r>
    </w:p>
    <w:p w14:paraId="5A7A8E27" w14:textId="77777777" w:rsidR="00BD22A3" w:rsidRPr="00593BA2" w:rsidRDefault="00BD22A3" w:rsidP="00092769">
      <w:pPr>
        <w:rPr>
          <w:rFonts w:eastAsiaTheme="minorHAnsi"/>
        </w:rPr>
      </w:pPr>
    </w:p>
    <w:p w14:paraId="433F4FF6" w14:textId="082374A5" w:rsidR="004E6E84" w:rsidRPr="00593BA2" w:rsidRDefault="00000000" w:rsidP="00092769">
      <w:pPr>
        <w:rPr>
          <w:rFonts w:eastAsiaTheme="minorHAnsi"/>
        </w:rPr>
      </w:pPr>
      <w:r w:rsidRPr="00593BA2">
        <w:rPr>
          <w:rFonts w:eastAsiaTheme="minorHAnsi"/>
        </w:rPr>
        <w:t>In this protocol, we present a step-by-step procedure</w:t>
      </w:r>
      <w:r w:rsidR="005F553E" w:rsidRPr="00593BA2">
        <w:rPr>
          <w:rFonts w:eastAsiaTheme="minorHAnsi"/>
        </w:rPr>
        <w:t xml:space="preserve"> </w:t>
      </w:r>
      <w:r w:rsidRPr="00593BA2">
        <w:rPr>
          <w:rFonts w:eastAsiaTheme="minorHAnsi"/>
        </w:rPr>
        <w:t>from the preparation of injection syringes to the injections of IL-6 into the bloodstream via the duct of Cuvier of zebrafish larvae at 2 and 3 days post fertilization (</w:t>
      </w:r>
      <w:proofErr w:type="spellStart"/>
      <w:r w:rsidRPr="00593BA2">
        <w:rPr>
          <w:rFonts w:eastAsiaTheme="minorHAnsi"/>
        </w:rPr>
        <w:t>dpf</w:t>
      </w:r>
      <w:proofErr w:type="spellEnd"/>
      <w:r w:rsidRPr="00593BA2">
        <w:rPr>
          <w:rFonts w:eastAsiaTheme="minorHAnsi"/>
        </w:rPr>
        <w:t>). This method is particularly useful for researchers investigating how specific inflammatory cues influence early developmental processes, gene-environment interactions in models of neurodevelopmental or immune</w:t>
      </w:r>
      <w:r w:rsidRPr="00593BA2">
        <w:rPr>
          <w:rFonts w:eastAsiaTheme="minorHAnsi"/>
        </w:rPr>
        <w:noBreakHyphen/>
        <w:t xml:space="preserve">related disorders, the cellular and molecular consequences of cytokine exposure </w:t>
      </w:r>
      <w:r w:rsidRPr="00593BA2">
        <w:rPr>
          <w:rFonts w:eastAsiaTheme="minorHAnsi"/>
          <w:i/>
          <w:iCs/>
        </w:rPr>
        <w:t>in vivo</w:t>
      </w:r>
      <w:r w:rsidRPr="00593BA2">
        <w:rPr>
          <w:rFonts w:eastAsiaTheme="minorHAnsi"/>
        </w:rPr>
        <w:t>, or the interplay between genetic mutations and inflammatory signaling pathways. By offering a controlled, cytokine</w:t>
      </w:r>
      <w:r w:rsidRPr="00593BA2">
        <w:rPr>
          <w:rFonts w:eastAsiaTheme="minorHAnsi"/>
        </w:rPr>
        <w:noBreakHyphen/>
        <w:t>specific, and developmentally precise approach, this protocol provides a versatile platform for probing the mechanisms through which IL</w:t>
      </w:r>
      <w:r w:rsidRPr="00593BA2">
        <w:rPr>
          <w:rFonts w:eastAsiaTheme="minorHAnsi"/>
        </w:rPr>
        <w:noBreakHyphen/>
        <w:t>6 and related immune signals shape early immune, neural, and behavioral outcomes.</w:t>
      </w:r>
    </w:p>
    <w:p w14:paraId="6EEB6B8D" w14:textId="77777777" w:rsidR="004E6E84" w:rsidRPr="00593BA2" w:rsidRDefault="004E6E84" w:rsidP="00092769">
      <w:pPr>
        <w:rPr>
          <w:rFonts w:eastAsiaTheme="minorHAnsi"/>
        </w:rPr>
      </w:pPr>
    </w:p>
    <w:p w14:paraId="588A0299" w14:textId="77777777" w:rsidR="004E6E84" w:rsidRPr="00593BA2" w:rsidRDefault="00000000" w:rsidP="00092769">
      <w:r w:rsidRPr="00593BA2">
        <w:rPr>
          <w:b/>
        </w:rPr>
        <w:t>PROTOCOL:</w:t>
      </w:r>
      <w:r w:rsidRPr="00593BA2">
        <w:t xml:space="preserve"> </w:t>
      </w:r>
    </w:p>
    <w:p w14:paraId="2B82E863" w14:textId="247FBA79" w:rsidR="004E6E84" w:rsidRPr="00593BA2" w:rsidRDefault="00000000" w:rsidP="00092769">
      <w:pPr>
        <w:rPr>
          <w:iCs/>
        </w:rPr>
      </w:pPr>
      <w:r w:rsidRPr="00593BA2">
        <w:rPr>
          <w:iCs/>
        </w:rPr>
        <w:t xml:space="preserve">For the procedure described here, the </w:t>
      </w:r>
      <w:r w:rsidRPr="00593BA2">
        <w:rPr>
          <w:i/>
          <w:iCs/>
        </w:rPr>
        <w:t>tsc2</w:t>
      </w:r>
      <w:r w:rsidRPr="00593BA2">
        <w:rPr>
          <w:i/>
          <w:iCs/>
          <w:vertAlign w:val="superscript"/>
        </w:rPr>
        <w:t>vu242/+</w:t>
      </w:r>
      <w:r w:rsidRPr="00593BA2">
        <w:rPr>
          <w:iCs/>
        </w:rPr>
        <w:t xml:space="preserve"> zebrafish line was used</w:t>
      </w:r>
      <w:r w:rsidRPr="00593BA2">
        <w:fldChar w:fldCharType="begin"/>
      </w:r>
      <w:r w:rsidRPr="00593BA2">
        <w:rPr>
          <w:iCs/>
        </w:rPr>
        <w:instrText>ADDIN ZOTERO_ITEM CSL_CITATION {"citationID":"qYbo2Fzh","properties":{"formattedCitation":"\\super 22,23\\nosupersub{}","plainCitation":"22,23","noteIndex":0},"citationItems":[{"id":255,"uris":["http://zotero.org/users/18011399/items/9F9N8HRJ"],"itemData":{"id":255,"type":"article-journal","abstract":"Significance\n            Tuberous Sclerosis Complex (TSC) is a hereditary disease that presents with early brain malformations, childhood epilepsy, and TSC-associated neuropsychiatric disorders (TANDs). Cortical malformations arise in utero and have been linked to childhood epilepsy before. Externally developing zebrafish seem convenient to study elementary neurodevelopment; however, without the in-depth functional analysis, the Tsc2-deficient zebrafish cannot be used for studies of TANDs. Here, we found that Tsc2-deficient zebrafish recapitulated symptoms seen in TSC patients on anatomical and behavioral levels, including aberrant brain morphology, thinning of brain connections, epileptogenesis, and increased anxiety-like behavior, which was rescued by reducing TrkB signaling, revealing a potential drug target. Moreover, we show that commissural thinning cause aberrant regulation of anxiety, providing a link between brain anatomy and emotion.\n          , \n            Tuberous Sclerosis Complex (TSC) is a rare genetic disease that manifests with early symptoms, including cortical malformations, childhood epilepsy, and TSC-associated neuropsychiatric disorders (TANDs). Cortical malformations arise during embryonic development and have been linked to childhood epilepsy before, but the underlying mechanisms of this relationship remain insufficiently understood. Zebrafish have emerged as a convenient model to study elementary neurodevelopment; however, without in-depth functional analysis, the Tsc2-deficient zebrafish line cannot be used for studies of TANDs or new drug screening. In this study, we found that the lack of Tsc2 in zebrafish resulted in heterotopias and hyperactivation of the mTorC1 pathway in pallial regions, which are homologous to the mammalian cortex. We observed commissural thinning that was responsible for brain dysconnectivity, recapitulating TSC pathology in human patients. The lack of Tsc2 also delayed axonal development and caused aberrant tract fasciculation, corresponding to the abnormal expression of genes involved in axon navigation. The mutants underwent epileptogenesis that resulted in nonmotor seizures and exhibited increased anxiety-like behavior. We further mapped discrete parameters of locomotor activity to epilepsy-like and anxiety-like behaviors, which were rescued by reducing tyrosine receptor kinase B (TrkB) signaling. Moreover, in contrast to treatment with vigabatrin and rapamycin, TrkB inhibition rescued brain dysconnectivity and anxiety-like behavior. These data reveal that commissural thinning results in the aberrant regulation of anxiety, providing a mechanistic link between brain anatomy and human TANDs. Our findings also implicate TrkB signaling in the complex pathology of TSC and reveal a therapeutic target.","container-title":"Proceedings of the National Academy of Sciences","DOI":"10.1073/pnas.1910834117","ISSN":"0027-8424, 1091-6490","issue":"4","journalAbbreviation":"Proc. Natl. Acad. Sci. U.S.A.","language":"en","page":"2170-2179","source":"DOI.org (Crossref)","title":"TrkB hyperactivity contributes to brain dysconnectivity, epileptogenesis, and anxiety in zebrafish model of Tuberous Sclerosis Complex","volume":"117","author":[{"family":"Kedra","given":"Magdalena"},{"family":"Banasiak","given":"Katarzyna"},{"family":"Kisielewska","given":"Katarzyna"},{"family":"Wolinska-Niziol","given":"Lidia"},{"family":"Jaworski","given":"Jacek"},{"family":"Zmorzynska","given":"Justyna"}],"issued":{"date-parts":[["2020",1,28]]}},"label":"page"},{"id":256,"uris":["http://zotero.org/users/18011399/items/HLQZLWFJ"],"itemData":{"id":256,"type":"article-journal","abstract":"Tuberous sclerosis complex (TSC) is an autosomal dominant disease caused by mutations in either the TSC1 (encodes hamartin) or TSC2 (encodes tuberin) genes. Patients with TSC have hamartomas in various organs throughout the whole body, most notably in the brain, skin, eye, heart, kidney and lung. To study the development of hamartomas, we generated a zebrafish model of TSC featuring a nonsense mutation (vu242) in the tsc2 gene. This tsc2vu242 allele encodes a truncated Tuberin protein lacking the GAP domain, which is required for inhibition of Rheb and of the TOR kinase within TORC1. We show that tsc2vu242 is a recessive larval-lethal mutation that causes increased cell size in the brain and liver. Greatly elevated TORC1 signaling is observed in tsc2vu242/vu242 homozygous zebrafish, and is moderately increased in tsc2vu242/+ heterozygotes. Forebrain neurons are poorly organized in tsc2vu242/vu242 homozygous mutants, which have extensive gray and white matter disorganization and ectopically positioned cells. Genetic mosaic analyses demonstrate that tsc2 limits TORC1 signaling in a cell-autonomous manner. However, in chimeric animals, tsc2vu242/vu242 mutant cells also mislocalize wild-type host cells in the forebrain in a non-cell-autonomous manner. These results demonstrate a highly conserved role of tsc2 in zebrafish and establish a new animal model for studies of TSC. The finding of a non-cell-autonomous function of mutant cells might help explain the formation of brain hamartomas and cortical malformations in human TSC.","container-title":"Disease Models &amp; Mechanisms","DOI":"10.1242/dmm.005587","ISSN":"1754-8411, 1754-8403","issue":"2","language":"en","page":"255-267","source":"DOI.org (Crossref)","title":"Zebrafish model of tuberous sclerosis complex reveals cell-autonomous and non-cell-autonomous functions of mutant tuberin","volume":"4","author":[{"family":"Kim","given":"Seok-Hyung"},{"family":"Speirs","given":"Christina K."},{"family":"Solnica-Krezel","given":"Lilianna"},{"family":"Ess","given":"Kevin C."}],"issued":{"date-parts":[["2011",3,1]]}},"label":"page"}],"schema":"https://github.com/citation-style-language/schema/raw/master/csl-citation.json"}</w:instrText>
      </w:r>
      <w:r w:rsidRPr="00593BA2">
        <w:rPr>
          <w:iCs/>
        </w:rPr>
        <w:fldChar w:fldCharType="separate"/>
      </w:r>
      <w:r w:rsidRPr="00593BA2">
        <w:rPr>
          <w:vertAlign w:val="superscript"/>
        </w:rPr>
        <w:t>22,23</w:t>
      </w:r>
      <w:r w:rsidRPr="00593BA2">
        <w:rPr>
          <w:iCs/>
        </w:rPr>
        <w:fldChar w:fldCharType="end"/>
      </w:r>
      <w:r w:rsidRPr="00593BA2">
        <w:rPr>
          <w:iCs/>
        </w:rPr>
        <w:t xml:space="preserve">. All experiments performed were conducted in accordance with all relevant legislation, and no additional ethics committee approval is required specifically because the developmental stage used (&lt;5 </w:t>
      </w:r>
      <w:proofErr w:type="spellStart"/>
      <w:r w:rsidRPr="00593BA2">
        <w:rPr>
          <w:iCs/>
        </w:rPr>
        <w:t>dpf</w:t>
      </w:r>
      <w:proofErr w:type="spellEnd"/>
      <w:r w:rsidRPr="00593BA2">
        <w:rPr>
          <w:iCs/>
        </w:rPr>
        <w:t>) falls outside the scope of mandatory ethical review.</w:t>
      </w:r>
      <w:r w:rsidR="005F553E" w:rsidRPr="00593BA2">
        <w:rPr>
          <w:iCs/>
        </w:rPr>
        <w:t xml:space="preserve"> </w:t>
      </w:r>
      <w:r w:rsidR="005F553E" w:rsidRPr="00593BA2">
        <w:rPr>
          <w:b/>
          <w:bCs/>
          <w:iCs/>
        </w:rPr>
        <w:t>Figure 1</w:t>
      </w:r>
      <w:r w:rsidR="005F553E" w:rsidRPr="00593BA2">
        <w:rPr>
          <w:iCs/>
        </w:rPr>
        <w:t xml:space="preserve"> presents a schematic of the protocol.</w:t>
      </w:r>
    </w:p>
    <w:p w14:paraId="5819FA33" w14:textId="77777777" w:rsidR="004E6E84" w:rsidRPr="00593BA2" w:rsidRDefault="004E6E84" w:rsidP="00092769">
      <w:pPr>
        <w:rPr>
          <w:b/>
          <w:bCs/>
          <w:iCs/>
        </w:rPr>
      </w:pPr>
    </w:p>
    <w:p w14:paraId="77A0675E" w14:textId="1C49CE58" w:rsidR="004E6E84" w:rsidRPr="00593BA2" w:rsidRDefault="00000000" w:rsidP="008F5E68">
      <w:pPr>
        <w:pStyle w:val="ListParagraph"/>
        <w:numPr>
          <w:ilvl w:val="0"/>
          <w:numId w:val="1"/>
        </w:numPr>
        <w:spacing w:after="0" w:line="240" w:lineRule="auto"/>
        <w:ind w:left="0" w:firstLine="0"/>
        <w:rPr>
          <w:rFonts w:ascii="Calibri" w:hAnsi="Calibri" w:cs="Calibri"/>
          <w:b/>
          <w:bCs/>
          <w:iCs/>
          <w:sz w:val="24"/>
          <w:szCs w:val="24"/>
        </w:rPr>
      </w:pPr>
      <w:r w:rsidRPr="00593BA2">
        <w:rPr>
          <w:rFonts w:ascii="Calibri" w:hAnsi="Calibri" w:cs="Calibri"/>
          <w:b/>
          <w:bCs/>
          <w:iCs/>
          <w:sz w:val="24"/>
          <w:szCs w:val="24"/>
        </w:rPr>
        <w:t>Pulling of micropipettes</w:t>
      </w:r>
    </w:p>
    <w:p w14:paraId="5FAA701E" w14:textId="77777777" w:rsidR="004E6E84" w:rsidRPr="00593BA2" w:rsidRDefault="004E6E84" w:rsidP="00092769">
      <w:pPr>
        <w:rPr>
          <w:b/>
          <w:bCs/>
          <w:iCs/>
        </w:rPr>
      </w:pPr>
    </w:p>
    <w:p w14:paraId="289C0930" w14:textId="33147B7F"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Prepare microinjection needles from borosilicate glass capillaries using a micropipette puller, following established procedures</w:t>
      </w:r>
      <w:r w:rsidRPr="00593BA2">
        <w:rPr>
          <w:rFonts w:ascii="Calibri" w:hAnsi="Calibri" w:cs="Calibri"/>
          <w:sz w:val="24"/>
          <w:szCs w:val="24"/>
        </w:rPr>
        <w:fldChar w:fldCharType="begin"/>
      </w:r>
      <w:r w:rsidRPr="00593BA2">
        <w:rPr>
          <w:rFonts w:ascii="Calibri" w:hAnsi="Calibri" w:cs="Calibri"/>
          <w:iCs/>
          <w:sz w:val="24"/>
          <w:szCs w:val="24"/>
        </w:rPr>
        <w:instrText>ADDIN ZOTERO_ITEM CSL_CITATION {"citationID":"wSsfkZxg","properties":{"formattedCitation":"\\super 24\\nosupersub{}","plainCitation":"24","noteIndex":0},"citationItems":[{"id":"pmwY4Sau/AqAT8xTt","uris":["http://zotero.org/users/18011399/items/YDBDESTV"],"itemData":{"id":289,"type":"article-journal","abstract":"During development, the zebraﬁsh embryo relies on its yolk sac as a nutrient source. Here, we present a protocol for modifying the free fatty acid (FFA) and triacylglycerol (TAG) content of the zebraﬁsh yolk sac by microinjection. We describe steps for needle and injection mold preparation, FFA and TAG solution preparation, and microinjection. This protocol can elucidate how excesses of FFA and TAG affect development and modify the transcriptome of zebraﬁsh embryos.","container-title":"STAR Protocols","DOI":"10.1016/j.xpro.2024.103086","ISSN":"26661667","issue":"2","journalAbbreviation":"STAR Protocols","language":"en","page":"103086","source":"DOI.org (Crossref)","title":"Protocol for the microinjection of free fatty acids and triacylglycerol in zebrafish embryos","volume":"5","author":[{"family":"Konadu","given":"Bridget"},{"family":"Cox","given":"Carol K."},{"family":"Gibert","given":"Yann"}],"issued":{"date-parts":[["2024",6]]}}}],"schema":"https://github.com/citation-style-language/schema/raw/master/csl-citation.json"}</w:instrText>
      </w:r>
      <w:r w:rsidRPr="00593BA2">
        <w:rPr>
          <w:rFonts w:ascii="Calibri" w:hAnsi="Calibri" w:cs="Calibri"/>
          <w:iCs/>
          <w:sz w:val="24"/>
          <w:szCs w:val="24"/>
        </w:rPr>
        <w:fldChar w:fldCharType="separate"/>
      </w:r>
      <w:r w:rsidRPr="00593BA2">
        <w:rPr>
          <w:rFonts w:ascii="Calibri" w:hAnsi="Calibri" w:cs="Calibri"/>
          <w:sz w:val="24"/>
          <w:szCs w:val="24"/>
          <w:vertAlign w:val="superscript"/>
        </w:rPr>
        <w:t>24</w:t>
      </w:r>
      <w:r w:rsidRPr="00593BA2">
        <w:rPr>
          <w:rFonts w:ascii="Calibri" w:hAnsi="Calibri" w:cs="Calibri"/>
          <w:iCs/>
          <w:sz w:val="24"/>
          <w:szCs w:val="24"/>
        </w:rPr>
        <w:fldChar w:fldCharType="end"/>
      </w:r>
      <w:r w:rsidRPr="00593BA2">
        <w:rPr>
          <w:rFonts w:ascii="Calibri" w:hAnsi="Calibri" w:cs="Calibri"/>
          <w:iCs/>
          <w:sz w:val="24"/>
          <w:szCs w:val="24"/>
        </w:rPr>
        <w:t>.</w:t>
      </w:r>
    </w:p>
    <w:p w14:paraId="05194B8F" w14:textId="77777777" w:rsidR="004E6E84" w:rsidRPr="00593BA2" w:rsidRDefault="004E6E84" w:rsidP="00092769">
      <w:pPr>
        <w:rPr>
          <w:iCs/>
        </w:rPr>
      </w:pPr>
    </w:p>
    <w:p w14:paraId="36746D9D" w14:textId="2F97DDED"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Use 10 cm long borosilicate glass capillaries (1.0 mm outer diameter, thin-walled) and load them into a micropipette puller.</w:t>
      </w:r>
    </w:p>
    <w:p w14:paraId="2B9DF082" w14:textId="77777777" w:rsidR="004E6E84" w:rsidRPr="00593BA2" w:rsidRDefault="004E6E84" w:rsidP="00092769">
      <w:pPr>
        <w:rPr>
          <w:iCs/>
        </w:rPr>
      </w:pPr>
    </w:p>
    <w:p w14:paraId="65208836" w14:textId="702993C1"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Carefully position the capillary within the puller carriage, ensuring precise alignment within the designated groove, and secure it firmly using the instrument clamps to prevent movement during pulling.</w:t>
      </w:r>
    </w:p>
    <w:p w14:paraId="2C16696B" w14:textId="77777777" w:rsidR="004E6E84" w:rsidRPr="00593BA2" w:rsidRDefault="004E6E84" w:rsidP="00092769">
      <w:pPr>
        <w:rPr>
          <w:iCs/>
        </w:rPr>
      </w:pPr>
    </w:p>
    <w:p w14:paraId="72D6F3A0" w14:textId="061637F8"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lastRenderedPageBreak/>
        <w:t>Adjust the capillary so that it is centered within the heating filament, ensuring uniform heating along the region to be pulled for consistent needle formation.</w:t>
      </w:r>
    </w:p>
    <w:p w14:paraId="3B4D4573" w14:textId="77777777" w:rsidR="004E6E84" w:rsidRPr="00593BA2" w:rsidRDefault="004E6E84" w:rsidP="00092769">
      <w:pPr>
        <w:rPr>
          <w:iCs/>
        </w:rPr>
      </w:pPr>
    </w:p>
    <w:p w14:paraId="1E6E1E3A" w14:textId="3E7F5244"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Initiate the pull program using optimized parameters (e.g., for </w:t>
      </w:r>
      <w:r w:rsidR="00C20759" w:rsidRPr="00593BA2">
        <w:rPr>
          <w:rFonts w:ascii="Calibri" w:hAnsi="Calibri" w:cs="Calibri"/>
          <w:iCs/>
          <w:sz w:val="24"/>
          <w:szCs w:val="24"/>
        </w:rPr>
        <w:t xml:space="preserve">Stutter </w:t>
      </w:r>
      <w:r w:rsidRPr="00593BA2">
        <w:rPr>
          <w:rFonts w:ascii="Calibri" w:hAnsi="Calibri" w:cs="Calibri"/>
          <w:iCs/>
          <w:sz w:val="24"/>
          <w:szCs w:val="24"/>
        </w:rPr>
        <w:t>instrument use heat</w:t>
      </w:r>
      <w:r w:rsidR="00C20759" w:rsidRPr="00593BA2">
        <w:rPr>
          <w:rFonts w:ascii="Calibri" w:hAnsi="Calibri" w:cs="Calibri"/>
          <w:iCs/>
          <w:sz w:val="24"/>
          <w:szCs w:val="24"/>
        </w:rPr>
        <w:t>:</w:t>
      </w:r>
      <w:r w:rsidRPr="00593BA2">
        <w:rPr>
          <w:rFonts w:ascii="Calibri" w:hAnsi="Calibri" w:cs="Calibri"/>
          <w:iCs/>
          <w:sz w:val="24"/>
          <w:szCs w:val="24"/>
        </w:rPr>
        <w:t xml:space="preserve">  533, pull</w:t>
      </w:r>
      <w:r w:rsidR="00C20759" w:rsidRPr="00593BA2">
        <w:rPr>
          <w:rFonts w:ascii="Calibri" w:hAnsi="Calibri" w:cs="Calibri"/>
          <w:iCs/>
          <w:sz w:val="24"/>
          <w:szCs w:val="24"/>
        </w:rPr>
        <w:t>:</w:t>
      </w:r>
      <w:r w:rsidRPr="00593BA2">
        <w:rPr>
          <w:rFonts w:ascii="Calibri" w:hAnsi="Calibri" w:cs="Calibri"/>
          <w:iCs/>
          <w:sz w:val="24"/>
          <w:szCs w:val="24"/>
        </w:rPr>
        <w:t xml:space="preserve"> 50, velocity</w:t>
      </w:r>
      <w:r w:rsidR="00C20759" w:rsidRPr="00593BA2">
        <w:rPr>
          <w:rFonts w:ascii="Calibri" w:hAnsi="Calibri" w:cs="Calibri"/>
          <w:iCs/>
          <w:sz w:val="24"/>
          <w:szCs w:val="24"/>
        </w:rPr>
        <w:t>:</w:t>
      </w:r>
      <w:r w:rsidRPr="00593BA2">
        <w:rPr>
          <w:rFonts w:ascii="Calibri" w:hAnsi="Calibri" w:cs="Calibri"/>
          <w:iCs/>
          <w:sz w:val="24"/>
          <w:szCs w:val="24"/>
        </w:rPr>
        <w:t xml:space="preserve"> 60, delay</w:t>
      </w:r>
      <w:r w:rsidR="00C20759" w:rsidRPr="00593BA2">
        <w:rPr>
          <w:rFonts w:ascii="Calibri" w:hAnsi="Calibri" w:cs="Calibri"/>
          <w:iCs/>
          <w:sz w:val="24"/>
          <w:szCs w:val="24"/>
        </w:rPr>
        <w:t xml:space="preserve">: </w:t>
      </w:r>
      <w:r w:rsidRPr="00593BA2">
        <w:rPr>
          <w:rFonts w:ascii="Calibri" w:hAnsi="Calibri" w:cs="Calibri"/>
          <w:iCs/>
          <w:sz w:val="24"/>
          <w:szCs w:val="24"/>
        </w:rPr>
        <w:t>90, and pressure</w:t>
      </w:r>
      <w:r w:rsidR="00C20759" w:rsidRPr="00593BA2">
        <w:rPr>
          <w:rFonts w:ascii="Calibri" w:hAnsi="Calibri" w:cs="Calibri"/>
          <w:iCs/>
          <w:sz w:val="24"/>
          <w:szCs w:val="24"/>
        </w:rPr>
        <w:t>:</w:t>
      </w:r>
      <w:r w:rsidRPr="00593BA2">
        <w:rPr>
          <w:rFonts w:ascii="Calibri" w:hAnsi="Calibri" w:cs="Calibri"/>
          <w:iCs/>
          <w:sz w:val="24"/>
          <w:szCs w:val="24"/>
        </w:rPr>
        <w:t xml:space="preserve"> 200)  for generating fine-tipped microinjection needles.</w:t>
      </w:r>
    </w:p>
    <w:p w14:paraId="018A5B8F" w14:textId="77777777" w:rsidR="004E6E84" w:rsidRPr="00593BA2" w:rsidRDefault="004E6E84" w:rsidP="00092769">
      <w:pPr>
        <w:rPr>
          <w:iCs/>
        </w:rPr>
      </w:pPr>
    </w:p>
    <w:p w14:paraId="33E7312D" w14:textId="77777777" w:rsidR="004E6E84" w:rsidRPr="00593BA2" w:rsidRDefault="00000000" w:rsidP="00092769">
      <w:pPr>
        <w:rPr>
          <w:iCs/>
        </w:rPr>
      </w:pPr>
      <w:r w:rsidRPr="00593BA2">
        <w:rPr>
          <w:iCs/>
        </w:rPr>
        <w:t>CAUTION: Microneedles pulled from glass capillaries are fragile and can easily crack, clog, or develop irregular tip shapes that alter injection volume. Inspect each needle under a stereomicroscope before use, avoid touching the tip to hard surfaces, and replace needles immediately if resistance, leakage, or inconsistent droplet size is observed.</w:t>
      </w:r>
    </w:p>
    <w:p w14:paraId="475655FA" w14:textId="77777777" w:rsidR="004E6E84" w:rsidRPr="00593BA2" w:rsidRDefault="004E6E84" w:rsidP="00092769">
      <w:pPr>
        <w:rPr>
          <w:iCs/>
        </w:rPr>
      </w:pPr>
    </w:p>
    <w:p w14:paraId="562D39DD" w14:textId="72987555" w:rsidR="004E6E84" w:rsidRPr="00593BA2" w:rsidRDefault="00BD22A3" w:rsidP="00092769">
      <w:pPr>
        <w:rPr>
          <w:iCs/>
        </w:rPr>
      </w:pPr>
      <w:r w:rsidRPr="00593BA2">
        <w:rPr>
          <w:iCs/>
        </w:rPr>
        <w:t>NOTE: Following the pulling process, tapered needle tips are formed at both ends of the capillary. Prior to use, the tip should be carefully opened by gently breaking it with fine forceps under a stereomicroscope to achieve the desired aperture size for microinjection.</w:t>
      </w:r>
    </w:p>
    <w:p w14:paraId="2011B3F2" w14:textId="77777777" w:rsidR="004E6E84" w:rsidRPr="00593BA2" w:rsidRDefault="004E6E84" w:rsidP="00092769">
      <w:pPr>
        <w:rPr>
          <w:iCs/>
        </w:rPr>
      </w:pPr>
    </w:p>
    <w:p w14:paraId="62310A87" w14:textId="29D892C9" w:rsidR="004E6E84" w:rsidRPr="00593BA2" w:rsidRDefault="00000000" w:rsidP="008F5E68">
      <w:pPr>
        <w:pStyle w:val="ListParagraph"/>
        <w:numPr>
          <w:ilvl w:val="0"/>
          <w:numId w:val="1"/>
        </w:numPr>
        <w:spacing w:after="0" w:line="240" w:lineRule="auto"/>
        <w:ind w:left="0" w:firstLine="0"/>
        <w:rPr>
          <w:rFonts w:ascii="Calibri" w:hAnsi="Calibri" w:cs="Calibri"/>
          <w:b/>
          <w:bCs/>
          <w:iCs/>
          <w:sz w:val="24"/>
          <w:szCs w:val="24"/>
        </w:rPr>
      </w:pPr>
      <w:r w:rsidRPr="00593BA2">
        <w:rPr>
          <w:rFonts w:ascii="Calibri" w:hAnsi="Calibri" w:cs="Calibri"/>
          <w:b/>
          <w:bCs/>
          <w:iCs/>
          <w:sz w:val="24"/>
          <w:szCs w:val="24"/>
        </w:rPr>
        <w:t>Preparation of buffers and stock solution</w:t>
      </w:r>
    </w:p>
    <w:p w14:paraId="0E6DBF0D" w14:textId="77777777" w:rsidR="004E6E84" w:rsidRPr="00593BA2" w:rsidRDefault="004E6E84" w:rsidP="00092769">
      <w:pPr>
        <w:rPr>
          <w:b/>
          <w:bCs/>
          <w:iCs/>
        </w:rPr>
      </w:pPr>
    </w:p>
    <w:p w14:paraId="23471FAE" w14:textId="4BDE2761"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Prepare a 60× stock solution of E3 embryo medium (see </w:t>
      </w:r>
      <w:r w:rsidR="00C20759" w:rsidRPr="00593BA2">
        <w:rPr>
          <w:rFonts w:ascii="Calibri" w:hAnsi="Calibri" w:cs="Calibri"/>
          <w:b/>
          <w:bCs/>
          <w:iCs/>
          <w:sz w:val="24"/>
          <w:szCs w:val="24"/>
        </w:rPr>
        <w:t>Table 1</w:t>
      </w:r>
      <w:r w:rsidRPr="00593BA2">
        <w:rPr>
          <w:rFonts w:ascii="Calibri" w:hAnsi="Calibri" w:cs="Calibri"/>
          <w:iCs/>
          <w:sz w:val="24"/>
          <w:szCs w:val="24"/>
        </w:rPr>
        <w:t xml:space="preserve">). Sterilize the solution by autoclaving and store at 4 °C. For use, dilute the stock solution in </w:t>
      </w:r>
      <w:r w:rsidR="00C20759" w:rsidRPr="00593BA2">
        <w:rPr>
          <w:rFonts w:ascii="Calibri" w:hAnsi="Calibri" w:cs="Calibri"/>
          <w:iCs/>
          <w:sz w:val="24"/>
          <w:szCs w:val="24"/>
        </w:rPr>
        <w:t>ultrapure</w:t>
      </w:r>
      <w:r w:rsidRPr="00593BA2">
        <w:rPr>
          <w:rFonts w:ascii="Calibri" w:hAnsi="Calibri" w:cs="Calibri"/>
          <w:iCs/>
          <w:sz w:val="24"/>
          <w:szCs w:val="24"/>
        </w:rPr>
        <w:t xml:space="preserve"> water to obtain 1× E3 working solution.</w:t>
      </w:r>
    </w:p>
    <w:p w14:paraId="7A971466" w14:textId="77777777" w:rsidR="004E6E84" w:rsidRDefault="004E6E84" w:rsidP="00092769">
      <w:pPr>
        <w:rPr>
          <w:iCs/>
        </w:rPr>
      </w:pPr>
    </w:p>
    <w:p w14:paraId="28163858" w14:textId="377C27AB" w:rsidR="003B0CCA" w:rsidRDefault="003B0CCA" w:rsidP="00092769">
      <w:pPr>
        <w:rPr>
          <w:iCs/>
        </w:rPr>
      </w:pPr>
      <w:r>
        <w:rPr>
          <w:iCs/>
        </w:rPr>
        <w:t xml:space="preserve">NOTE: </w:t>
      </w:r>
      <w:r w:rsidRPr="00593BA2">
        <w:rPr>
          <w:iCs/>
        </w:rPr>
        <w:t>60× stock solution of E3 embryo medium</w:t>
      </w:r>
      <w:r>
        <w:rPr>
          <w:iCs/>
        </w:rPr>
        <w:t xml:space="preserve"> </w:t>
      </w:r>
      <w:r>
        <w:t>can be stored at 4 °C for long-term storage.</w:t>
      </w:r>
    </w:p>
    <w:p w14:paraId="2162C8E7" w14:textId="77777777" w:rsidR="003B0CCA" w:rsidRPr="00593BA2" w:rsidRDefault="003B0CCA" w:rsidP="00092769">
      <w:pPr>
        <w:rPr>
          <w:iCs/>
        </w:rPr>
      </w:pPr>
    </w:p>
    <w:p w14:paraId="10F6841E" w14:textId="25BDC871"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Prepare a 20x stock solution of tricaine (MS-222) as described in </w:t>
      </w:r>
      <w:r w:rsidR="00C20759" w:rsidRPr="00593BA2">
        <w:rPr>
          <w:rFonts w:ascii="Calibri" w:hAnsi="Calibri" w:cs="Calibri"/>
          <w:b/>
          <w:bCs/>
          <w:iCs/>
          <w:sz w:val="24"/>
          <w:szCs w:val="24"/>
        </w:rPr>
        <w:t>Table 1</w:t>
      </w:r>
      <w:r w:rsidRPr="00593BA2">
        <w:rPr>
          <w:rFonts w:ascii="Calibri" w:hAnsi="Calibri" w:cs="Calibri"/>
          <w:iCs/>
          <w:sz w:val="24"/>
          <w:szCs w:val="24"/>
        </w:rPr>
        <w:t>. Store the solution at 4</w:t>
      </w:r>
      <w:r w:rsidR="00C20759" w:rsidRPr="00593BA2">
        <w:rPr>
          <w:rFonts w:ascii="Calibri" w:hAnsi="Calibri" w:cs="Calibri"/>
          <w:iCs/>
          <w:sz w:val="24"/>
          <w:szCs w:val="24"/>
        </w:rPr>
        <w:t xml:space="preserve"> </w:t>
      </w:r>
      <w:r w:rsidRPr="00593BA2">
        <w:rPr>
          <w:rFonts w:ascii="Calibri" w:hAnsi="Calibri" w:cs="Calibri"/>
          <w:iCs/>
          <w:sz w:val="24"/>
          <w:szCs w:val="24"/>
        </w:rPr>
        <w:t>°C in the dark to prevent degradation. Prior to use, dilute to 1</w:t>
      </w:r>
      <w:r w:rsidR="00C20759" w:rsidRPr="00593BA2">
        <w:rPr>
          <w:rFonts w:ascii="Calibri" w:hAnsi="Calibri" w:cs="Calibri"/>
          <w:iCs/>
          <w:sz w:val="24"/>
          <w:szCs w:val="24"/>
        </w:rPr>
        <w:sym w:font="Symbol" w:char="F0B4"/>
      </w:r>
      <w:r w:rsidRPr="00593BA2">
        <w:rPr>
          <w:rFonts w:ascii="Calibri" w:hAnsi="Calibri" w:cs="Calibri"/>
          <w:iCs/>
          <w:sz w:val="24"/>
          <w:szCs w:val="24"/>
        </w:rPr>
        <w:t xml:space="preserve"> working concentration in E3 medium.</w:t>
      </w:r>
    </w:p>
    <w:p w14:paraId="5C373E80" w14:textId="77777777" w:rsidR="004E6E84" w:rsidRDefault="004E6E84" w:rsidP="00092769">
      <w:pPr>
        <w:rPr>
          <w:iCs/>
        </w:rPr>
      </w:pPr>
    </w:p>
    <w:p w14:paraId="6B59F049" w14:textId="77E86B5F" w:rsidR="003B0CCA" w:rsidRDefault="003B0CCA" w:rsidP="00092769">
      <w:pPr>
        <w:rPr>
          <w:iCs/>
        </w:rPr>
      </w:pPr>
      <w:r>
        <w:rPr>
          <w:iCs/>
        </w:rPr>
        <w:t xml:space="preserve">NOTE: </w:t>
      </w:r>
      <w:r>
        <w:t>Adjust the pH of tricaine stock solution to 7.5 using 1 M Tris pH 9.0. This solution can be aliquoted and kept in -20 °C (frozen) for long-term storage or stored at 4 °C. Tricaine degrades at RT and under light to a toxic compound.</w:t>
      </w:r>
    </w:p>
    <w:p w14:paraId="5A244C11" w14:textId="77777777" w:rsidR="003B0CCA" w:rsidRPr="00593BA2" w:rsidRDefault="003B0CCA" w:rsidP="00092769">
      <w:pPr>
        <w:rPr>
          <w:iCs/>
        </w:rPr>
      </w:pPr>
    </w:p>
    <w:p w14:paraId="4E6598E7" w14:textId="77777777" w:rsidR="004E6E84" w:rsidRPr="00593BA2" w:rsidRDefault="00000000" w:rsidP="00092769">
      <w:pPr>
        <w:rPr>
          <w:iCs/>
        </w:rPr>
      </w:pPr>
      <w:r w:rsidRPr="00593BA2">
        <w:rPr>
          <w:iCs/>
        </w:rPr>
        <w:t>CAUTION: Special care should be taken when using tricaine (MS</w:t>
      </w:r>
      <w:r w:rsidRPr="00593BA2">
        <w:rPr>
          <w:iCs/>
        </w:rPr>
        <w:noBreakHyphen/>
        <w:t>222) for anesthesia, as both under</w:t>
      </w:r>
      <w:r w:rsidRPr="00593BA2">
        <w:rPr>
          <w:iCs/>
        </w:rPr>
        <w:noBreakHyphen/>
        <w:t xml:space="preserve"> and over</w:t>
      </w:r>
      <w:r w:rsidRPr="00593BA2">
        <w:rPr>
          <w:iCs/>
        </w:rPr>
        <w:noBreakHyphen/>
        <w:t>exposure can adversely affect larval physiology and behavior. Excess exposure can depress cardiac function and alter later behavior, while insufficient anesthesia increases the risk of injury during mounting. Use only the minimal effective concentration and duration, and allow full recovery in fresh embryo medium before behavioral assays.</w:t>
      </w:r>
    </w:p>
    <w:p w14:paraId="2AA7BF0B" w14:textId="77777777" w:rsidR="004E6E84" w:rsidRPr="00593BA2" w:rsidRDefault="004E6E84" w:rsidP="00092769">
      <w:pPr>
        <w:rPr>
          <w:iCs/>
        </w:rPr>
      </w:pPr>
    </w:p>
    <w:p w14:paraId="0058DCC5" w14:textId="7CBF687F"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Prepare a 1% (w/v) agarose solution in E3 medium by heating until fully dissolved.</w:t>
      </w:r>
    </w:p>
    <w:p w14:paraId="6C1A27E3" w14:textId="77777777" w:rsidR="004E6E84" w:rsidRPr="00593BA2" w:rsidRDefault="004E6E84" w:rsidP="00092769">
      <w:pPr>
        <w:rPr>
          <w:iCs/>
        </w:rPr>
      </w:pPr>
    </w:p>
    <w:p w14:paraId="427923C1" w14:textId="0DCA304A" w:rsidR="004E6E84" w:rsidRPr="00593BA2" w:rsidRDefault="00BD22A3" w:rsidP="00092769">
      <w:pPr>
        <w:rPr>
          <w:iCs/>
        </w:rPr>
      </w:pPr>
      <w:r w:rsidRPr="00593BA2">
        <w:rPr>
          <w:iCs/>
        </w:rPr>
        <w:t>NOTE: If prepared in advance, the solution may be stored at 4</w:t>
      </w:r>
      <w:r w:rsidR="00C20759" w:rsidRPr="00593BA2">
        <w:rPr>
          <w:iCs/>
        </w:rPr>
        <w:t xml:space="preserve"> </w:t>
      </w:r>
      <w:r w:rsidRPr="00593BA2">
        <w:rPr>
          <w:iCs/>
        </w:rPr>
        <w:t>°C and reheated prior to use. On the day of the experiment, maintain the agarose in a liquid state at 55</w:t>
      </w:r>
      <w:r w:rsidR="00C20759" w:rsidRPr="00593BA2">
        <w:rPr>
          <w:iCs/>
        </w:rPr>
        <w:t>–</w:t>
      </w:r>
      <w:r w:rsidRPr="00593BA2">
        <w:rPr>
          <w:iCs/>
        </w:rPr>
        <w:t>60</w:t>
      </w:r>
      <w:r w:rsidR="00C20759" w:rsidRPr="00593BA2">
        <w:rPr>
          <w:iCs/>
        </w:rPr>
        <w:t xml:space="preserve"> </w:t>
      </w:r>
      <w:r w:rsidRPr="00593BA2">
        <w:rPr>
          <w:iCs/>
        </w:rPr>
        <w:t>°C to prevent premature solidification.</w:t>
      </w:r>
    </w:p>
    <w:p w14:paraId="3C5D87BE" w14:textId="77777777" w:rsidR="004E6E84" w:rsidRPr="00593BA2" w:rsidRDefault="004E6E84" w:rsidP="00092769">
      <w:pPr>
        <w:rPr>
          <w:iCs/>
        </w:rPr>
      </w:pPr>
    </w:p>
    <w:p w14:paraId="6B2D5BB0" w14:textId="63B9CF4A"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lastRenderedPageBreak/>
        <w:t xml:space="preserve">Prepare a 0.9% (w/v) NaCl solution and store at room temperature for up to </w:t>
      </w:r>
      <w:r w:rsidR="00C20759" w:rsidRPr="00593BA2">
        <w:rPr>
          <w:rFonts w:ascii="Calibri" w:hAnsi="Calibri" w:cs="Calibri"/>
          <w:iCs/>
          <w:sz w:val="24"/>
          <w:szCs w:val="24"/>
        </w:rPr>
        <w:t xml:space="preserve">1 </w:t>
      </w:r>
      <w:r w:rsidRPr="00593BA2">
        <w:rPr>
          <w:rFonts w:ascii="Calibri" w:hAnsi="Calibri" w:cs="Calibri"/>
          <w:iCs/>
          <w:sz w:val="24"/>
          <w:szCs w:val="24"/>
        </w:rPr>
        <w:t>week or at 4</w:t>
      </w:r>
      <w:r w:rsidR="00C20759" w:rsidRPr="00593BA2">
        <w:rPr>
          <w:rFonts w:ascii="Calibri" w:hAnsi="Calibri" w:cs="Calibri"/>
          <w:iCs/>
          <w:sz w:val="24"/>
          <w:szCs w:val="24"/>
        </w:rPr>
        <w:t xml:space="preserve"> </w:t>
      </w:r>
      <w:r w:rsidRPr="00593BA2">
        <w:rPr>
          <w:rFonts w:ascii="Calibri" w:hAnsi="Calibri" w:cs="Calibri"/>
          <w:iCs/>
          <w:sz w:val="24"/>
          <w:szCs w:val="24"/>
        </w:rPr>
        <w:t>°C for extended storage. Before use, equilibrate the solution to room temperature or incubate at 28.5</w:t>
      </w:r>
      <w:r w:rsidR="00C20759" w:rsidRPr="00593BA2">
        <w:rPr>
          <w:rFonts w:ascii="Calibri" w:hAnsi="Calibri" w:cs="Calibri"/>
          <w:iCs/>
          <w:sz w:val="24"/>
          <w:szCs w:val="24"/>
        </w:rPr>
        <w:t xml:space="preserve"> </w:t>
      </w:r>
      <w:r w:rsidRPr="00593BA2">
        <w:rPr>
          <w:rFonts w:ascii="Calibri" w:hAnsi="Calibri" w:cs="Calibri"/>
          <w:iCs/>
          <w:sz w:val="24"/>
          <w:szCs w:val="24"/>
        </w:rPr>
        <w:t>°C to match the physiological conditions of the embryos.</w:t>
      </w:r>
    </w:p>
    <w:p w14:paraId="46235CB5" w14:textId="77777777" w:rsidR="004E6E84" w:rsidRPr="00593BA2" w:rsidRDefault="004E6E84" w:rsidP="00092769">
      <w:pPr>
        <w:rPr>
          <w:iCs/>
        </w:rPr>
      </w:pPr>
    </w:p>
    <w:p w14:paraId="55A869A3" w14:textId="6A5242F7"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C2939">
        <w:rPr>
          <w:rFonts w:ascii="Calibri" w:hAnsi="Calibri" w:cs="Calibri"/>
          <w:iCs/>
          <w:sz w:val="24"/>
          <w:szCs w:val="24"/>
          <w:highlight w:val="yellow"/>
          <w:rPrChange w:id="4" w:author="Shivani Dogra" w:date="2026-05-21T14:18:00Z">
            <w:rPr>
              <w:rFonts w:ascii="Calibri" w:hAnsi="Calibri" w:cs="Calibri"/>
              <w:iCs/>
              <w:sz w:val="24"/>
              <w:szCs w:val="24"/>
            </w:rPr>
          </w:rPrChange>
        </w:rPr>
        <w:t xml:space="preserve">Prepare a 2 </w:t>
      </w:r>
      <w:proofErr w:type="spellStart"/>
      <w:r w:rsidRPr="00FC2939">
        <w:rPr>
          <w:rFonts w:ascii="Calibri" w:hAnsi="Calibri" w:cs="Calibri"/>
          <w:iCs/>
          <w:sz w:val="24"/>
          <w:szCs w:val="24"/>
          <w:highlight w:val="yellow"/>
          <w:rPrChange w:id="5" w:author="Shivani Dogra" w:date="2026-05-21T14:18:00Z">
            <w:rPr>
              <w:rFonts w:ascii="Calibri" w:hAnsi="Calibri" w:cs="Calibri"/>
              <w:iCs/>
              <w:sz w:val="24"/>
              <w:szCs w:val="24"/>
            </w:rPr>
          </w:rPrChange>
        </w:rPr>
        <w:t>pg</w:t>
      </w:r>
      <w:proofErr w:type="spellEnd"/>
      <w:r w:rsidRPr="00FC2939">
        <w:rPr>
          <w:rFonts w:ascii="Calibri" w:hAnsi="Calibri" w:cs="Calibri"/>
          <w:iCs/>
          <w:sz w:val="24"/>
          <w:szCs w:val="24"/>
          <w:highlight w:val="yellow"/>
          <w:rPrChange w:id="6" w:author="Shivani Dogra" w:date="2026-05-21T14:18:00Z">
            <w:rPr>
              <w:rFonts w:ascii="Calibri" w:hAnsi="Calibri" w:cs="Calibri"/>
              <w:iCs/>
              <w:sz w:val="24"/>
              <w:szCs w:val="24"/>
            </w:rPr>
          </w:rPrChange>
        </w:rPr>
        <w:t>/</w:t>
      </w:r>
      <w:proofErr w:type="spellStart"/>
      <w:r w:rsidRPr="00FC2939">
        <w:rPr>
          <w:rFonts w:ascii="Calibri" w:hAnsi="Calibri" w:cs="Calibri"/>
          <w:iCs/>
          <w:sz w:val="24"/>
          <w:szCs w:val="24"/>
          <w:highlight w:val="yellow"/>
          <w:rPrChange w:id="7" w:author="Shivani Dogra" w:date="2026-05-21T14:18:00Z">
            <w:rPr>
              <w:rFonts w:ascii="Calibri" w:hAnsi="Calibri" w:cs="Calibri"/>
              <w:iCs/>
              <w:sz w:val="24"/>
              <w:szCs w:val="24"/>
            </w:rPr>
          </w:rPrChange>
        </w:rPr>
        <w:t>nL</w:t>
      </w:r>
      <w:proofErr w:type="spellEnd"/>
      <w:r w:rsidRPr="00FC2939">
        <w:rPr>
          <w:rFonts w:ascii="Calibri" w:hAnsi="Calibri" w:cs="Calibri"/>
          <w:iCs/>
          <w:sz w:val="24"/>
          <w:szCs w:val="24"/>
          <w:highlight w:val="yellow"/>
          <w:rPrChange w:id="8" w:author="Shivani Dogra" w:date="2026-05-21T14:18:00Z">
            <w:rPr>
              <w:rFonts w:ascii="Calibri" w:hAnsi="Calibri" w:cs="Calibri"/>
              <w:iCs/>
              <w:sz w:val="24"/>
              <w:szCs w:val="24"/>
            </w:rPr>
          </w:rPrChange>
        </w:rPr>
        <w:t xml:space="preserve"> IL-6 solution in 0.9% NaCl.</w:t>
      </w:r>
      <w:r w:rsidRPr="00593BA2">
        <w:rPr>
          <w:rFonts w:ascii="Calibri" w:hAnsi="Calibri" w:cs="Calibri"/>
          <w:iCs/>
          <w:sz w:val="24"/>
          <w:szCs w:val="24"/>
        </w:rPr>
        <w:t xml:space="preserve"> Aliquot the solution to avoid repeated freeze-thaw cycles and store at -20</w:t>
      </w:r>
      <w:r w:rsidR="00C20759" w:rsidRPr="00593BA2">
        <w:rPr>
          <w:rFonts w:ascii="Calibri" w:hAnsi="Calibri" w:cs="Calibri"/>
          <w:iCs/>
          <w:sz w:val="24"/>
          <w:szCs w:val="24"/>
        </w:rPr>
        <w:t xml:space="preserve"> </w:t>
      </w:r>
      <w:r w:rsidRPr="00593BA2">
        <w:rPr>
          <w:rFonts w:ascii="Calibri" w:hAnsi="Calibri" w:cs="Calibri"/>
          <w:iCs/>
          <w:sz w:val="24"/>
          <w:szCs w:val="24"/>
        </w:rPr>
        <w:t>°C. Prior to use, thaw and bring the aliquot to room temperature.</w:t>
      </w:r>
    </w:p>
    <w:p w14:paraId="6BD27C1B" w14:textId="77777777" w:rsidR="00BD22A3" w:rsidRPr="00593BA2" w:rsidRDefault="00BD22A3" w:rsidP="008F5E68">
      <w:pPr>
        <w:pStyle w:val="ListParagraph"/>
        <w:spacing w:after="0" w:line="240" w:lineRule="auto"/>
        <w:ind w:left="0"/>
        <w:rPr>
          <w:rFonts w:ascii="Calibri" w:hAnsi="Calibri" w:cs="Calibri"/>
          <w:iCs/>
          <w:sz w:val="24"/>
          <w:szCs w:val="24"/>
        </w:rPr>
      </w:pPr>
    </w:p>
    <w:p w14:paraId="38E982E8" w14:textId="596BAA88"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Prepare </w:t>
      </w:r>
      <w:r w:rsidR="00C20759" w:rsidRPr="00593BA2">
        <w:rPr>
          <w:rFonts w:ascii="Calibri" w:hAnsi="Calibri" w:cs="Calibri"/>
          <w:iCs/>
          <w:sz w:val="24"/>
          <w:szCs w:val="24"/>
        </w:rPr>
        <w:t xml:space="preserve">a </w:t>
      </w:r>
      <w:r w:rsidRPr="00593BA2">
        <w:rPr>
          <w:rFonts w:ascii="Calibri" w:hAnsi="Calibri" w:cs="Calibri"/>
          <w:iCs/>
          <w:sz w:val="24"/>
          <w:szCs w:val="24"/>
        </w:rPr>
        <w:t>0.5</w:t>
      </w:r>
      <w:r w:rsidR="00C20759" w:rsidRPr="00593BA2">
        <w:rPr>
          <w:rFonts w:ascii="Calibri" w:hAnsi="Calibri" w:cs="Calibri"/>
          <w:iCs/>
          <w:sz w:val="24"/>
          <w:szCs w:val="24"/>
        </w:rPr>
        <w:t xml:space="preserve"> </w:t>
      </w:r>
      <w:r w:rsidRPr="00593BA2">
        <w:rPr>
          <w:rFonts w:ascii="Calibri" w:hAnsi="Calibri" w:cs="Calibri"/>
          <w:iCs/>
          <w:sz w:val="24"/>
          <w:szCs w:val="24"/>
        </w:rPr>
        <w:t xml:space="preserve">mg/mL working solution of </w:t>
      </w:r>
      <w:proofErr w:type="spellStart"/>
      <w:r w:rsidRPr="00593BA2">
        <w:rPr>
          <w:rFonts w:ascii="Calibri" w:hAnsi="Calibri" w:cs="Calibri"/>
          <w:iCs/>
          <w:sz w:val="24"/>
          <w:szCs w:val="24"/>
        </w:rPr>
        <w:t>pronase</w:t>
      </w:r>
      <w:proofErr w:type="spellEnd"/>
      <w:r w:rsidRPr="00593BA2">
        <w:rPr>
          <w:rFonts w:ascii="Calibri" w:hAnsi="Calibri" w:cs="Calibri"/>
          <w:iCs/>
          <w:sz w:val="24"/>
          <w:szCs w:val="24"/>
        </w:rPr>
        <w:t xml:space="preserve"> in E3 medium from </w:t>
      </w:r>
      <w:r w:rsidR="00C20759" w:rsidRPr="00593BA2">
        <w:rPr>
          <w:rFonts w:ascii="Calibri" w:hAnsi="Calibri" w:cs="Calibri"/>
          <w:iCs/>
          <w:sz w:val="24"/>
          <w:szCs w:val="24"/>
        </w:rPr>
        <w:t xml:space="preserve">a </w:t>
      </w:r>
      <w:r w:rsidRPr="00593BA2">
        <w:rPr>
          <w:rFonts w:ascii="Calibri" w:hAnsi="Calibri" w:cs="Calibri"/>
          <w:iCs/>
          <w:sz w:val="24"/>
          <w:szCs w:val="24"/>
        </w:rPr>
        <w:t>20</w:t>
      </w:r>
      <w:r w:rsidR="00C20759" w:rsidRPr="00593BA2">
        <w:rPr>
          <w:rFonts w:ascii="Calibri" w:hAnsi="Calibri" w:cs="Calibri"/>
          <w:iCs/>
          <w:sz w:val="24"/>
          <w:szCs w:val="24"/>
        </w:rPr>
        <w:t xml:space="preserve"> </w:t>
      </w:r>
      <w:r w:rsidRPr="00593BA2">
        <w:rPr>
          <w:rFonts w:ascii="Calibri" w:hAnsi="Calibri" w:cs="Calibri"/>
          <w:iCs/>
          <w:sz w:val="24"/>
          <w:szCs w:val="24"/>
        </w:rPr>
        <w:t xml:space="preserve">mg/mL stock solution prepared in </w:t>
      </w:r>
      <w:r w:rsidR="00C20759" w:rsidRPr="00593BA2">
        <w:rPr>
          <w:rFonts w:ascii="Calibri" w:hAnsi="Calibri" w:cs="Calibri"/>
          <w:iCs/>
          <w:sz w:val="24"/>
          <w:szCs w:val="24"/>
        </w:rPr>
        <w:t xml:space="preserve">ultrapure </w:t>
      </w:r>
      <w:r w:rsidRPr="00593BA2">
        <w:rPr>
          <w:rFonts w:ascii="Calibri" w:hAnsi="Calibri" w:cs="Calibri"/>
          <w:iCs/>
          <w:sz w:val="24"/>
          <w:szCs w:val="24"/>
        </w:rPr>
        <w:t>water</w:t>
      </w:r>
      <w:r w:rsidR="00C20759" w:rsidRPr="00593BA2">
        <w:rPr>
          <w:rFonts w:ascii="Calibri" w:hAnsi="Calibri" w:cs="Calibri"/>
          <w:iCs/>
          <w:sz w:val="24"/>
          <w:szCs w:val="24"/>
        </w:rPr>
        <w:t>.</w:t>
      </w:r>
    </w:p>
    <w:p w14:paraId="714FDF50" w14:textId="25FB6CCF" w:rsidR="004E6E84" w:rsidRPr="00593BA2" w:rsidRDefault="004E6E84" w:rsidP="00092769">
      <w:pPr>
        <w:rPr>
          <w:iCs/>
        </w:rPr>
      </w:pPr>
    </w:p>
    <w:p w14:paraId="2036E285" w14:textId="2980B30B" w:rsidR="004E6E84" w:rsidRPr="00593BA2" w:rsidRDefault="00000000" w:rsidP="008F5E68">
      <w:pPr>
        <w:pStyle w:val="ListParagraph"/>
        <w:numPr>
          <w:ilvl w:val="0"/>
          <w:numId w:val="1"/>
        </w:numPr>
        <w:spacing w:after="0" w:line="240" w:lineRule="auto"/>
        <w:ind w:left="0" w:firstLine="0"/>
        <w:rPr>
          <w:rFonts w:ascii="Calibri" w:hAnsi="Calibri" w:cs="Calibri"/>
          <w:b/>
          <w:bCs/>
          <w:iCs/>
          <w:sz w:val="24"/>
          <w:szCs w:val="24"/>
        </w:rPr>
      </w:pPr>
      <w:r w:rsidRPr="00593BA2">
        <w:rPr>
          <w:rFonts w:ascii="Calibri" w:hAnsi="Calibri" w:cs="Calibri"/>
          <w:b/>
          <w:bCs/>
          <w:iCs/>
          <w:sz w:val="24"/>
          <w:szCs w:val="24"/>
        </w:rPr>
        <w:t xml:space="preserve">Obtaining and raising embryos </w:t>
      </w:r>
      <w:r w:rsidR="00C20759" w:rsidRPr="00593BA2">
        <w:rPr>
          <w:rFonts w:ascii="Calibri" w:hAnsi="Calibri" w:cs="Calibri"/>
          <w:b/>
          <w:bCs/>
          <w:iCs/>
          <w:sz w:val="24"/>
          <w:szCs w:val="24"/>
        </w:rPr>
        <w:t xml:space="preserve">until </w:t>
      </w:r>
      <w:r w:rsidRPr="00593BA2">
        <w:rPr>
          <w:rFonts w:ascii="Calibri" w:hAnsi="Calibri" w:cs="Calibri"/>
          <w:b/>
          <w:bCs/>
          <w:iCs/>
          <w:sz w:val="24"/>
          <w:szCs w:val="24"/>
        </w:rPr>
        <w:t>2</w:t>
      </w:r>
      <w:r w:rsidR="00BD22A3" w:rsidRPr="00593BA2">
        <w:rPr>
          <w:rFonts w:ascii="Calibri" w:hAnsi="Calibri" w:cs="Calibri"/>
          <w:b/>
          <w:bCs/>
          <w:iCs/>
          <w:sz w:val="24"/>
          <w:szCs w:val="24"/>
        </w:rPr>
        <w:t xml:space="preserve"> </w:t>
      </w:r>
      <w:proofErr w:type="spellStart"/>
      <w:r w:rsidRPr="00593BA2">
        <w:rPr>
          <w:rFonts w:ascii="Calibri" w:hAnsi="Calibri" w:cs="Calibri"/>
          <w:b/>
          <w:bCs/>
          <w:iCs/>
          <w:sz w:val="24"/>
          <w:szCs w:val="24"/>
        </w:rPr>
        <w:t>dpf</w:t>
      </w:r>
      <w:proofErr w:type="spellEnd"/>
    </w:p>
    <w:p w14:paraId="749CD5DD" w14:textId="77777777" w:rsidR="004E6E84" w:rsidRPr="00593BA2" w:rsidRDefault="004E6E84" w:rsidP="00092769">
      <w:pPr>
        <w:rPr>
          <w:b/>
          <w:bCs/>
          <w:iCs/>
        </w:rPr>
      </w:pPr>
    </w:p>
    <w:p w14:paraId="3FC57F6A" w14:textId="49617633"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Set up group spawning by placing multiple </w:t>
      </w:r>
      <w:r w:rsidRPr="00593BA2">
        <w:rPr>
          <w:rFonts w:ascii="Calibri" w:hAnsi="Calibri" w:cs="Calibri"/>
          <w:i/>
          <w:iCs/>
          <w:sz w:val="24"/>
          <w:szCs w:val="24"/>
        </w:rPr>
        <w:t>tsc2</w:t>
      </w:r>
      <w:r w:rsidRPr="00593BA2">
        <w:rPr>
          <w:rFonts w:ascii="Calibri" w:hAnsi="Calibri" w:cs="Calibri"/>
          <w:i/>
          <w:iCs/>
          <w:sz w:val="24"/>
          <w:szCs w:val="24"/>
          <w:vertAlign w:val="superscript"/>
        </w:rPr>
        <w:t>vu242/vu242</w:t>
      </w:r>
      <w:r w:rsidRPr="00593BA2">
        <w:rPr>
          <w:rFonts w:ascii="Calibri" w:hAnsi="Calibri" w:cs="Calibri"/>
          <w:sz w:val="24"/>
          <w:szCs w:val="24"/>
        </w:rPr>
        <w:t xml:space="preserve"> </w:t>
      </w:r>
      <w:r w:rsidRPr="00593BA2">
        <w:rPr>
          <w:rFonts w:ascii="Calibri" w:hAnsi="Calibri" w:cs="Calibri"/>
          <w:iCs/>
          <w:sz w:val="24"/>
          <w:szCs w:val="24"/>
        </w:rPr>
        <w:t>adult zebrafish in a spawning tank.</w:t>
      </w:r>
    </w:p>
    <w:p w14:paraId="16B5D05D" w14:textId="77777777" w:rsidR="004E6E84" w:rsidRPr="00593BA2" w:rsidRDefault="004E6E84" w:rsidP="00092769">
      <w:pPr>
        <w:rPr>
          <w:iCs/>
        </w:rPr>
      </w:pPr>
    </w:p>
    <w:p w14:paraId="580744DE" w14:textId="3B006E20" w:rsidR="004E6E84" w:rsidRPr="00593BA2" w:rsidRDefault="00BD22A3" w:rsidP="00092769">
      <w:pPr>
        <w:rPr>
          <w:iCs/>
        </w:rPr>
      </w:pPr>
      <w:r w:rsidRPr="00593BA2">
        <w:rPr>
          <w:iCs/>
        </w:rPr>
        <w:t>NOTE: Males and females can be separated overnight using a divider to prevent premature spawning, with the divider removed the following morning to induce synchronized mating. Alternatively, fish may be maintained without a divider in a light-controlled environment, where the transition from dark (night) to light (morning) acts as a spawning cue.</w:t>
      </w:r>
    </w:p>
    <w:p w14:paraId="29E9E49F" w14:textId="77777777" w:rsidR="004E6E84" w:rsidRPr="00593BA2" w:rsidRDefault="004E6E84" w:rsidP="00092769">
      <w:pPr>
        <w:rPr>
          <w:iCs/>
        </w:rPr>
      </w:pPr>
    </w:p>
    <w:p w14:paraId="0CF477CA" w14:textId="5C78B97E"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On the following day, remove the divider (if used) and allow spawning to proceed for approximately 1 h.</w:t>
      </w:r>
    </w:p>
    <w:p w14:paraId="19A43390" w14:textId="77777777" w:rsidR="004E6E84" w:rsidRPr="00593BA2" w:rsidRDefault="004E6E84" w:rsidP="00092769">
      <w:pPr>
        <w:rPr>
          <w:iCs/>
        </w:rPr>
      </w:pPr>
    </w:p>
    <w:p w14:paraId="4B5AD11C" w14:textId="1E70EBE5"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Collect fertilized embryos promptly and transfer them to 100 mm Petri dishes containing 40 mL of E3 embryo medium, maintaining a density of no more than ~60 embryos per dish to ensure optimal development.</w:t>
      </w:r>
    </w:p>
    <w:p w14:paraId="7615090B" w14:textId="77777777" w:rsidR="004E6E84" w:rsidRPr="00593BA2" w:rsidRDefault="004E6E84" w:rsidP="00092769">
      <w:pPr>
        <w:rPr>
          <w:iCs/>
        </w:rPr>
      </w:pPr>
    </w:p>
    <w:p w14:paraId="2008DE17" w14:textId="07FBDA0C"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Incubate embryos at 28.5 °C under a controlled diurnal cycle of 14 h light and 10 h dark.</w:t>
      </w:r>
    </w:p>
    <w:p w14:paraId="0F3CCBD6" w14:textId="77777777" w:rsidR="004E6E84" w:rsidRPr="00593BA2" w:rsidRDefault="004E6E84" w:rsidP="00092769">
      <w:pPr>
        <w:rPr>
          <w:iCs/>
        </w:rPr>
      </w:pPr>
    </w:p>
    <w:p w14:paraId="2A647C0D" w14:textId="42686E41"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At 1 </w:t>
      </w:r>
      <w:proofErr w:type="spellStart"/>
      <w:r w:rsidR="005F553E" w:rsidRPr="00593BA2">
        <w:rPr>
          <w:rFonts w:ascii="Calibri" w:hAnsi="Calibri" w:cs="Calibri"/>
          <w:iCs/>
          <w:sz w:val="24"/>
          <w:szCs w:val="24"/>
        </w:rPr>
        <w:t>dpf</w:t>
      </w:r>
      <w:proofErr w:type="spellEnd"/>
      <w:r w:rsidR="005F553E" w:rsidRPr="00593BA2">
        <w:rPr>
          <w:rFonts w:ascii="Calibri" w:hAnsi="Calibri" w:cs="Calibri"/>
          <w:iCs/>
          <w:sz w:val="24"/>
          <w:szCs w:val="24"/>
        </w:rPr>
        <w:t xml:space="preserve"> </w:t>
      </w:r>
      <w:r w:rsidRPr="00593BA2">
        <w:rPr>
          <w:rFonts w:ascii="Calibri" w:hAnsi="Calibri" w:cs="Calibri"/>
          <w:iCs/>
          <w:sz w:val="24"/>
          <w:szCs w:val="24"/>
        </w:rPr>
        <w:t xml:space="preserve">and 2 </w:t>
      </w:r>
      <w:proofErr w:type="spellStart"/>
      <w:r w:rsidRPr="00593BA2">
        <w:rPr>
          <w:rFonts w:ascii="Calibri" w:hAnsi="Calibri" w:cs="Calibri"/>
          <w:iCs/>
          <w:sz w:val="24"/>
          <w:szCs w:val="24"/>
        </w:rPr>
        <w:t>dpf</w:t>
      </w:r>
      <w:proofErr w:type="spellEnd"/>
      <w:r w:rsidRPr="00593BA2">
        <w:rPr>
          <w:rFonts w:ascii="Calibri" w:hAnsi="Calibri" w:cs="Calibri"/>
          <w:iCs/>
          <w:sz w:val="24"/>
          <w:szCs w:val="24"/>
        </w:rPr>
        <w:t>, examine embryos under a stereomicroscope and remove dead embryos, unfertilized eggs, and debris to maintain culture quality.</w:t>
      </w:r>
    </w:p>
    <w:p w14:paraId="6BF7D81C" w14:textId="77777777" w:rsidR="004E6E84" w:rsidRPr="00593BA2" w:rsidRDefault="004E6E84" w:rsidP="00092769">
      <w:pPr>
        <w:rPr>
          <w:iCs/>
        </w:rPr>
      </w:pPr>
    </w:p>
    <w:p w14:paraId="3E1B1532" w14:textId="3B5A7DDE"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Replace the E3 medium with fresh solution to minimize waste accumulation and support normal embryonic development.</w:t>
      </w:r>
    </w:p>
    <w:p w14:paraId="3009000C" w14:textId="77777777" w:rsidR="004E6E84" w:rsidRPr="00593BA2" w:rsidRDefault="004E6E84" w:rsidP="00092769">
      <w:pPr>
        <w:rPr>
          <w:iCs/>
        </w:rPr>
      </w:pPr>
    </w:p>
    <w:p w14:paraId="6453A0E0" w14:textId="7EB237B1" w:rsidR="004E6E84" w:rsidRPr="00FC2939" w:rsidRDefault="00000000" w:rsidP="008F5E68">
      <w:pPr>
        <w:pStyle w:val="ListParagraph"/>
        <w:numPr>
          <w:ilvl w:val="0"/>
          <w:numId w:val="1"/>
        </w:numPr>
        <w:spacing w:after="0" w:line="240" w:lineRule="auto"/>
        <w:ind w:left="0" w:firstLine="0"/>
        <w:rPr>
          <w:rFonts w:ascii="Calibri" w:hAnsi="Calibri" w:cs="Calibri"/>
          <w:b/>
          <w:bCs/>
          <w:iCs/>
          <w:sz w:val="24"/>
          <w:szCs w:val="24"/>
          <w:highlight w:val="yellow"/>
          <w:rPrChange w:id="9" w:author="Shivani Dogra" w:date="2026-05-21T14:19:00Z">
            <w:rPr>
              <w:rFonts w:ascii="Calibri" w:hAnsi="Calibri" w:cs="Calibri"/>
              <w:b/>
              <w:bCs/>
              <w:iCs/>
              <w:sz w:val="24"/>
              <w:szCs w:val="24"/>
            </w:rPr>
          </w:rPrChange>
        </w:rPr>
      </w:pPr>
      <w:r w:rsidRPr="00FC2939">
        <w:rPr>
          <w:rFonts w:ascii="Calibri" w:hAnsi="Calibri" w:cs="Calibri"/>
          <w:b/>
          <w:bCs/>
          <w:iCs/>
          <w:sz w:val="24"/>
          <w:szCs w:val="24"/>
          <w:highlight w:val="yellow"/>
          <w:rPrChange w:id="10" w:author="Shivani Dogra" w:date="2026-05-21T14:19:00Z">
            <w:rPr>
              <w:rFonts w:ascii="Calibri" w:hAnsi="Calibri" w:cs="Calibri"/>
              <w:b/>
              <w:bCs/>
              <w:iCs/>
              <w:sz w:val="24"/>
              <w:szCs w:val="24"/>
            </w:rPr>
          </w:rPrChange>
        </w:rPr>
        <w:t>Preparation of agarose plates for microinjections and dechorionation</w:t>
      </w:r>
    </w:p>
    <w:p w14:paraId="774FAD61" w14:textId="77777777" w:rsidR="004E6E84" w:rsidRPr="00FC2939" w:rsidRDefault="004E6E84" w:rsidP="00092769">
      <w:pPr>
        <w:rPr>
          <w:b/>
          <w:bCs/>
          <w:iCs/>
          <w:highlight w:val="yellow"/>
          <w:rPrChange w:id="11" w:author="Shivani Dogra" w:date="2026-05-21T14:19:00Z">
            <w:rPr>
              <w:b/>
              <w:bCs/>
              <w:iCs/>
            </w:rPr>
          </w:rPrChange>
        </w:rPr>
      </w:pPr>
    </w:p>
    <w:p w14:paraId="46BB53AE" w14:textId="160F74B1"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12" w:author="Shivani Dogra" w:date="2026-05-21T14:19:00Z">
            <w:rPr>
              <w:rFonts w:ascii="Calibri" w:hAnsi="Calibri" w:cs="Calibri"/>
              <w:iCs/>
              <w:sz w:val="24"/>
              <w:szCs w:val="24"/>
            </w:rPr>
          </w:rPrChange>
        </w:rPr>
      </w:pPr>
      <w:r w:rsidRPr="00FC2939">
        <w:rPr>
          <w:rFonts w:ascii="Calibri" w:hAnsi="Calibri" w:cs="Calibri"/>
          <w:iCs/>
          <w:sz w:val="24"/>
          <w:szCs w:val="24"/>
          <w:highlight w:val="yellow"/>
          <w:rPrChange w:id="13" w:author="Shivani Dogra" w:date="2026-05-21T14:19:00Z">
            <w:rPr>
              <w:rFonts w:ascii="Calibri" w:hAnsi="Calibri" w:cs="Calibri"/>
              <w:iCs/>
              <w:sz w:val="24"/>
              <w:szCs w:val="24"/>
            </w:rPr>
          </w:rPrChange>
        </w:rPr>
        <w:t>Prepare a 1% (w/v) agarose solution in E3 medium and heat it until the agarose is completely dissolved and the solution becomes clear.</w:t>
      </w:r>
    </w:p>
    <w:p w14:paraId="1B86145A" w14:textId="77777777" w:rsidR="004E6E84" w:rsidRPr="00FC2939" w:rsidRDefault="004E6E84" w:rsidP="00092769">
      <w:pPr>
        <w:rPr>
          <w:iCs/>
          <w:highlight w:val="yellow"/>
          <w:rPrChange w:id="14" w:author="Shivani Dogra" w:date="2026-05-21T14:19:00Z">
            <w:rPr>
              <w:iCs/>
            </w:rPr>
          </w:rPrChange>
        </w:rPr>
      </w:pPr>
    </w:p>
    <w:p w14:paraId="01C787E2" w14:textId="69FC79A6"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15" w:author="Shivani Dogra" w:date="2026-05-21T14:19:00Z">
            <w:rPr>
              <w:rFonts w:ascii="Calibri" w:hAnsi="Calibri" w:cs="Calibri"/>
              <w:iCs/>
              <w:sz w:val="24"/>
              <w:szCs w:val="24"/>
            </w:rPr>
          </w:rPrChange>
        </w:rPr>
      </w:pPr>
      <w:r w:rsidRPr="00FC2939">
        <w:rPr>
          <w:rFonts w:ascii="Calibri" w:hAnsi="Calibri" w:cs="Calibri"/>
          <w:iCs/>
          <w:sz w:val="24"/>
          <w:szCs w:val="24"/>
          <w:highlight w:val="yellow"/>
          <w:rPrChange w:id="16" w:author="Shivani Dogra" w:date="2026-05-21T14:19:00Z">
            <w:rPr>
              <w:rFonts w:ascii="Calibri" w:hAnsi="Calibri" w:cs="Calibri"/>
              <w:iCs/>
              <w:sz w:val="24"/>
              <w:szCs w:val="24"/>
            </w:rPr>
          </w:rPrChange>
        </w:rPr>
        <w:t xml:space="preserve">Allow the solution to cool briefly,  then pour approximately 30 mL into a 100 mm Petri dish, ensuring </w:t>
      </w:r>
      <w:r w:rsidR="005F553E" w:rsidRPr="00FC2939">
        <w:rPr>
          <w:rFonts w:ascii="Calibri" w:hAnsi="Calibri" w:cs="Calibri"/>
          <w:iCs/>
          <w:sz w:val="24"/>
          <w:szCs w:val="24"/>
          <w:highlight w:val="yellow"/>
          <w:rPrChange w:id="17" w:author="Shivani Dogra" w:date="2026-05-21T14:19:00Z">
            <w:rPr>
              <w:rFonts w:ascii="Calibri" w:hAnsi="Calibri" w:cs="Calibri"/>
              <w:iCs/>
              <w:sz w:val="24"/>
              <w:szCs w:val="24"/>
            </w:rPr>
          </w:rPrChange>
        </w:rPr>
        <w:t xml:space="preserve">an </w:t>
      </w:r>
      <w:r w:rsidRPr="00FC2939">
        <w:rPr>
          <w:rFonts w:ascii="Calibri" w:hAnsi="Calibri" w:cs="Calibri"/>
          <w:iCs/>
          <w:sz w:val="24"/>
          <w:szCs w:val="24"/>
          <w:highlight w:val="yellow"/>
          <w:rPrChange w:id="18" w:author="Shivani Dogra" w:date="2026-05-21T14:19:00Z">
            <w:rPr>
              <w:rFonts w:ascii="Calibri" w:hAnsi="Calibri" w:cs="Calibri"/>
              <w:iCs/>
              <w:sz w:val="24"/>
              <w:szCs w:val="24"/>
            </w:rPr>
          </w:rPrChange>
        </w:rPr>
        <w:t>even layer across the surface.</w:t>
      </w:r>
    </w:p>
    <w:p w14:paraId="5EB48BA4" w14:textId="77777777" w:rsidR="004E6E84" w:rsidRPr="00FC2939" w:rsidRDefault="004E6E84" w:rsidP="00092769">
      <w:pPr>
        <w:rPr>
          <w:iCs/>
          <w:highlight w:val="yellow"/>
          <w:rPrChange w:id="19" w:author="Shivani Dogra" w:date="2026-05-21T14:19:00Z">
            <w:rPr>
              <w:iCs/>
            </w:rPr>
          </w:rPrChange>
        </w:rPr>
      </w:pPr>
    </w:p>
    <w:p w14:paraId="4F5E08AB" w14:textId="7B4813EA"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C2939">
        <w:rPr>
          <w:rFonts w:ascii="Calibri" w:hAnsi="Calibri" w:cs="Calibri"/>
          <w:iCs/>
          <w:sz w:val="24"/>
          <w:szCs w:val="24"/>
          <w:highlight w:val="yellow"/>
          <w:rPrChange w:id="20" w:author="Shivani Dogra" w:date="2026-05-21T14:19:00Z">
            <w:rPr>
              <w:rFonts w:ascii="Calibri" w:hAnsi="Calibri" w:cs="Calibri"/>
              <w:iCs/>
              <w:sz w:val="24"/>
              <w:szCs w:val="24"/>
            </w:rPr>
          </w:rPrChange>
        </w:rPr>
        <w:lastRenderedPageBreak/>
        <w:t>While the agarose is still liquid but beginning to solidify, gently place a silicone mold onto the surface to create uniform grooves.</w:t>
      </w:r>
      <w:r w:rsidRPr="00593BA2">
        <w:rPr>
          <w:rFonts w:ascii="Calibri" w:hAnsi="Calibri" w:cs="Calibri"/>
          <w:iCs/>
          <w:sz w:val="24"/>
          <w:szCs w:val="24"/>
        </w:rPr>
        <w:t xml:space="preserve"> </w:t>
      </w:r>
    </w:p>
    <w:p w14:paraId="657F5CCA" w14:textId="77777777" w:rsidR="004E6E84" w:rsidRPr="00593BA2" w:rsidRDefault="004E6E84" w:rsidP="00092769">
      <w:pPr>
        <w:rPr>
          <w:iCs/>
        </w:rPr>
      </w:pPr>
    </w:p>
    <w:p w14:paraId="621794F6" w14:textId="3021F904" w:rsidR="004E6E84" w:rsidRPr="00593BA2" w:rsidRDefault="00BD22A3" w:rsidP="00092769">
      <w:pPr>
        <w:rPr>
          <w:iCs/>
        </w:rPr>
      </w:pPr>
      <w:r w:rsidRPr="00593BA2">
        <w:rPr>
          <w:iCs/>
        </w:rPr>
        <w:t xml:space="preserve">NOTE: </w:t>
      </w:r>
      <w:r w:rsidR="005F553E" w:rsidRPr="00593BA2">
        <w:rPr>
          <w:iCs/>
        </w:rPr>
        <w:t>Here</w:t>
      </w:r>
      <w:r w:rsidRPr="00593BA2">
        <w:rPr>
          <w:iCs/>
        </w:rPr>
        <w:t>, silicone molds with pyramidal-shaped patterns (</w:t>
      </w:r>
      <w:r w:rsidRPr="00593BA2">
        <w:rPr>
          <w:b/>
          <w:bCs/>
          <w:iCs/>
        </w:rPr>
        <w:t xml:space="preserve">Figure </w:t>
      </w:r>
      <w:r w:rsidR="005F553E" w:rsidRPr="00593BA2">
        <w:rPr>
          <w:b/>
          <w:bCs/>
          <w:iCs/>
        </w:rPr>
        <w:t>2</w:t>
      </w:r>
      <w:r w:rsidRPr="00593BA2">
        <w:rPr>
          <w:iCs/>
        </w:rPr>
        <w:t xml:space="preserve">) are used to generate wells capable of retaining excess E3 during microinjection. These wells are designed to transiently </w:t>
      </w:r>
      <w:r w:rsidR="005F553E" w:rsidRPr="00593BA2">
        <w:rPr>
          <w:iCs/>
        </w:rPr>
        <w:t xml:space="preserve">provide </w:t>
      </w:r>
      <w:r w:rsidRPr="00593BA2">
        <w:rPr>
          <w:iCs/>
        </w:rPr>
        <w:t>stability during handling and injection by</w:t>
      </w:r>
      <w:r w:rsidR="005F553E" w:rsidRPr="00593BA2">
        <w:rPr>
          <w:iCs/>
        </w:rPr>
        <w:t xml:space="preserve"> </w:t>
      </w:r>
      <w:r w:rsidRPr="00593BA2">
        <w:rPr>
          <w:iCs/>
        </w:rPr>
        <w:t>maintaining sufficient moisture to prevent desiccation and ensure embryo viability for several minutes outside standard incubation conditions.</w:t>
      </w:r>
    </w:p>
    <w:p w14:paraId="3DBA8A91" w14:textId="77777777" w:rsidR="004E6E84" w:rsidRPr="00593BA2" w:rsidRDefault="004E6E84" w:rsidP="00092769">
      <w:pPr>
        <w:rPr>
          <w:iCs/>
        </w:rPr>
      </w:pPr>
    </w:p>
    <w:p w14:paraId="3862B76A" w14:textId="10553FA7"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Prepare agarose-coated Petri dishes for enzymatic dechorionation (50 mm diameter) by pouring approximately 5 mL of molten 1% (w/v) agarose solution and gently swirling the dish to evenly coat the surface</w:t>
      </w:r>
      <w:r w:rsidR="005F553E" w:rsidRPr="00593BA2">
        <w:rPr>
          <w:rFonts w:ascii="Calibri" w:hAnsi="Calibri" w:cs="Calibri"/>
          <w:iCs/>
          <w:sz w:val="24"/>
          <w:szCs w:val="24"/>
        </w:rPr>
        <w:t>.</w:t>
      </w:r>
    </w:p>
    <w:p w14:paraId="3E233613" w14:textId="77777777" w:rsidR="004E6E84" w:rsidRPr="00593BA2" w:rsidRDefault="004E6E84" w:rsidP="00092769">
      <w:pPr>
        <w:rPr>
          <w:iCs/>
        </w:rPr>
      </w:pPr>
    </w:p>
    <w:p w14:paraId="67DE4533" w14:textId="554D20AE"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Remove any excess agarose. </w:t>
      </w:r>
    </w:p>
    <w:p w14:paraId="5511AE9C" w14:textId="77777777" w:rsidR="004E6E84" w:rsidRPr="00593BA2" w:rsidRDefault="004E6E84" w:rsidP="00092769">
      <w:pPr>
        <w:rPr>
          <w:iCs/>
        </w:rPr>
      </w:pPr>
    </w:p>
    <w:p w14:paraId="226484E5" w14:textId="156C9655"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Allow the agarose to solidify at room temperature for 10–15 min. Once set, the dishes are ready for use in the enzymatic dechorionation of embryos.</w:t>
      </w:r>
    </w:p>
    <w:p w14:paraId="054B0017" w14:textId="77777777" w:rsidR="004E6E84" w:rsidRPr="00593BA2" w:rsidRDefault="004E6E84" w:rsidP="00092769">
      <w:pPr>
        <w:rPr>
          <w:iCs/>
        </w:rPr>
      </w:pPr>
    </w:p>
    <w:p w14:paraId="294F1CFE" w14:textId="2250DB37" w:rsidR="004E6E84" w:rsidRPr="00593BA2" w:rsidRDefault="00000000" w:rsidP="008F5E68">
      <w:pPr>
        <w:pStyle w:val="ListParagraph"/>
        <w:numPr>
          <w:ilvl w:val="0"/>
          <w:numId w:val="1"/>
        </w:numPr>
        <w:spacing w:after="0" w:line="240" w:lineRule="auto"/>
        <w:ind w:left="0" w:firstLine="0"/>
        <w:rPr>
          <w:rFonts w:ascii="Calibri" w:hAnsi="Calibri" w:cs="Calibri"/>
          <w:b/>
          <w:bCs/>
          <w:iCs/>
          <w:sz w:val="24"/>
          <w:szCs w:val="24"/>
        </w:rPr>
      </w:pPr>
      <w:r w:rsidRPr="00593BA2">
        <w:rPr>
          <w:rFonts w:ascii="Calibri" w:hAnsi="Calibri" w:cs="Calibri"/>
          <w:b/>
          <w:bCs/>
          <w:iCs/>
          <w:sz w:val="24"/>
          <w:szCs w:val="24"/>
        </w:rPr>
        <w:t xml:space="preserve">Enzymatic dechorionation of 2 </w:t>
      </w:r>
      <w:proofErr w:type="spellStart"/>
      <w:r w:rsidRPr="00593BA2">
        <w:rPr>
          <w:rFonts w:ascii="Calibri" w:hAnsi="Calibri" w:cs="Calibri"/>
          <w:b/>
          <w:bCs/>
          <w:iCs/>
          <w:sz w:val="24"/>
          <w:szCs w:val="24"/>
        </w:rPr>
        <w:t>dpf</w:t>
      </w:r>
      <w:proofErr w:type="spellEnd"/>
      <w:r w:rsidRPr="00593BA2">
        <w:rPr>
          <w:rFonts w:ascii="Calibri" w:hAnsi="Calibri" w:cs="Calibri"/>
          <w:b/>
          <w:bCs/>
          <w:iCs/>
          <w:sz w:val="24"/>
          <w:szCs w:val="24"/>
        </w:rPr>
        <w:t xml:space="preserve"> fish</w:t>
      </w:r>
    </w:p>
    <w:p w14:paraId="5B17FD4F" w14:textId="77777777" w:rsidR="004E6E84" w:rsidRPr="00593BA2" w:rsidRDefault="004E6E84" w:rsidP="00092769">
      <w:pPr>
        <w:rPr>
          <w:iCs/>
        </w:rPr>
      </w:pPr>
    </w:p>
    <w:p w14:paraId="425DB304" w14:textId="12F68435"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21" w:author="Shivani Dogra" w:date="2026-05-21T14:20:00Z">
            <w:rPr>
              <w:rFonts w:ascii="Calibri" w:hAnsi="Calibri" w:cs="Calibri"/>
              <w:iCs/>
              <w:sz w:val="24"/>
              <w:szCs w:val="24"/>
            </w:rPr>
          </w:rPrChange>
        </w:rPr>
      </w:pPr>
      <w:r w:rsidRPr="00FC2939">
        <w:rPr>
          <w:rFonts w:ascii="Calibri" w:hAnsi="Calibri" w:cs="Calibri"/>
          <w:iCs/>
          <w:sz w:val="24"/>
          <w:szCs w:val="24"/>
          <w:highlight w:val="yellow"/>
          <w:rPrChange w:id="22" w:author="Shivani Dogra" w:date="2026-05-21T14:20:00Z">
            <w:rPr>
              <w:rFonts w:ascii="Calibri" w:hAnsi="Calibri" w:cs="Calibri"/>
              <w:iCs/>
              <w:sz w:val="24"/>
              <w:szCs w:val="24"/>
            </w:rPr>
          </w:rPrChange>
        </w:rPr>
        <w:t xml:space="preserve">Transfer approximately 100 embryos in chorions at 2 </w:t>
      </w:r>
      <w:proofErr w:type="spellStart"/>
      <w:r w:rsidRPr="00FC2939">
        <w:rPr>
          <w:rFonts w:ascii="Calibri" w:hAnsi="Calibri" w:cs="Calibri"/>
          <w:iCs/>
          <w:sz w:val="24"/>
          <w:szCs w:val="24"/>
          <w:highlight w:val="yellow"/>
          <w:rPrChange w:id="23" w:author="Shivani Dogra" w:date="2026-05-21T14:20:00Z">
            <w:rPr>
              <w:rFonts w:ascii="Calibri" w:hAnsi="Calibri" w:cs="Calibri"/>
              <w:iCs/>
              <w:sz w:val="24"/>
              <w:szCs w:val="24"/>
            </w:rPr>
          </w:rPrChange>
        </w:rPr>
        <w:t>dpf</w:t>
      </w:r>
      <w:proofErr w:type="spellEnd"/>
      <w:r w:rsidRPr="00FC2939">
        <w:rPr>
          <w:rFonts w:ascii="Calibri" w:hAnsi="Calibri" w:cs="Calibri"/>
          <w:iCs/>
          <w:sz w:val="24"/>
          <w:szCs w:val="24"/>
          <w:highlight w:val="yellow"/>
          <w:rPrChange w:id="24" w:author="Shivani Dogra" w:date="2026-05-21T14:20:00Z">
            <w:rPr>
              <w:rFonts w:ascii="Calibri" w:hAnsi="Calibri" w:cs="Calibri"/>
              <w:iCs/>
              <w:sz w:val="24"/>
              <w:szCs w:val="24"/>
            </w:rPr>
          </w:rPrChange>
        </w:rPr>
        <w:t xml:space="preserve"> into a small (50 mm) agarose-coated Petri dish.</w:t>
      </w:r>
    </w:p>
    <w:p w14:paraId="1FA968D6" w14:textId="77777777" w:rsidR="004E6E84" w:rsidRPr="00593BA2" w:rsidRDefault="004E6E84" w:rsidP="00092769">
      <w:pPr>
        <w:rPr>
          <w:iCs/>
        </w:rPr>
      </w:pPr>
    </w:p>
    <w:p w14:paraId="41279F0D" w14:textId="163AAAB7"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Remove as much E3 medium as possible to minimize dilution of the enzymatic solution and ensure efficient dechorionation.</w:t>
      </w:r>
    </w:p>
    <w:p w14:paraId="280D903D" w14:textId="77777777" w:rsidR="004E6E84" w:rsidRPr="00593BA2" w:rsidRDefault="004E6E84" w:rsidP="00092769">
      <w:pPr>
        <w:rPr>
          <w:iCs/>
        </w:rPr>
      </w:pPr>
    </w:p>
    <w:p w14:paraId="2B6337D2" w14:textId="4A507FEB"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C2939">
        <w:rPr>
          <w:rFonts w:ascii="Calibri" w:hAnsi="Calibri" w:cs="Calibri"/>
          <w:iCs/>
          <w:sz w:val="24"/>
          <w:szCs w:val="24"/>
          <w:highlight w:val="yellow"/>
          <w:rPrChange w:id="25" w:author="Shivani Dogra" w:date="2026-05-21T14:20:00Z">
            <w:rPr>
              <w:rFonts w:ascii="Calibri" w:hAnsi="Calibri" w:cs="Calibri"/>
              <w:iCs/>
              <w:sz w:val="24"/>
              <w:szCs w:val="24"/>
            </w:rPr>
          </w:rPrChange>
        </w:rPr>
        <w:t xml:space="preserve">Add 4 mL of freshly prepared </w:t>
      </w:r>
      <w:proofErr w:type="spellStart"/>
      <w:r w:rsidRPr="00FC2939">
        <w:rPr>
          <w:rFonts w:ascii="Calibri" w:hAnsi="Calibri" w:cs="Calibri"/>
          <w:iCs/>
          <w:sz w:val="24"/>
          <w:szCs w:val="24"/>
          <w:highlight w:val="yellow"/>
          <w:rPrChange w:id="26" w:author="Shivani Dogra" w:date="2026-05-21T14:20:00Z">
            <w:rPr>
              <w:rFonts w:ascii="Calibri" w:hAnsi="Calibri" w:cs="Calibri"/>
              <w:iCs/>
              <w:sz w:val="24"/>
              <w:szCs w:val="24"/>
            </w:rPr>
          </w:rPrChange>
        </w:rPr>
        <w:t>pronase</w:t>
      </w:r>
      <w:proofErr w:type="spellEnd"/>
      <w:r w:rsidRPr="00FC2939">
        <w:rPr>
          <w:rFonts w:ascii="Calibri" w:hAnsi="Calibri" w:cs="Calibri"/>
          <w:iCs/>
          <w:sz w:val="24"/>
          <w:szCs w:val="24"/>
          <w:highlight w:val="yellow"/>
          <w:rPrChange w:id="27" w:author="Shivani Dogra" w:date="2026-05-21T14:20:00Z">
            <w:rPr>
              <w:rFonts w:ascii="Calibri" w:hAnsi="Calibri" w:cs="Calibri"/>
              <w:iCs/>
              <w:sz w:val="24"/>
              <w:szCs w:val="24"/>
            </w:rPr>
          </w:rPrChange>
        </w:rPr>
        <w:t xml:space="preserve"> solution</w:t>
      </w:r>
      <w:r w:rsidR="005F553E" w:rsidRPr="00FC2939">
        <w:rPr>
          <w:rFonts w:ascii="Calibri" w:hAnsi="Calibri" w:cs="Calibri"/>
          <w:iCs/>
          <w:sz w:val="24"/>
          <w:szCs w:val="24"/>
          <w:highlight w:val="yellow"/>
          <w:rPrChange w:id="28" w:author="Shivani Dogra" w:date="2026-05-21T14:20:00Z">
            <w:rPr>
              <w:rFonts w:ascii="Calibri" w:hAnsi="Calibri" w:cs="Calibri"/>
              <w:iCs/>
              <w:sz w:val="24"/>
              <w:szCs w:val="24"/>
            </w:rPr>
          </w:rPrChange>
        </w:rPr>
        <w:t xml:space="preserve"> (stock concentration: 20 mg/mL [prepared in ultrapure water], working concentration: 0.5 mg/mL [diluted in E3])</w:t>
      </w:r>
      <w:r w:rsidRPr="00FC2939">
        <w:rPr>
          <w:rFonts w:ascii="Calibri" w:hAnsi="Calibri" w:cs="Calibri"/>
          <w:iCs/>
          <w:sz w:val="24"/>
          <w:szCs w:val="24"/>
          <w:highlight w:val="yellow"/>
          <w:rPrChange w:id="29" w:author="Shivani Dogra" w:date="2026-05-21T14:20:00Z">
            <w:rPr>
              <w:rFonts w:ascii="Calibri" w:hAnsi="Calibri" w:cs="Calibri"/>
              <w:iCs/>
              <w:sz w:val="24"/>
              <w:szCs w:val="24"/>
            </w:rPr>
          </w:rPrChange>
        </w:rPr>
        <w:t xml:space="preserve"> to the dish, ensuring embryos are fully submerged.</w:t>
      </w:r>
    </w:p>
    <w:p w14:paraId="18614DF4" w14:textId="77777777" w:rsidR="004E6E84" w:rsidRPr="00593BA2" w:rsidRDefault="004E6E84" w:rsidP="00092769">
      <w:pPr>
        <w:rPr>
          <w:iCs/>
        </w:rPr>
      </w:pPr>
    </w:p>
    <w:p w14:paraId="67F85B3C" w14:textId="77777777" w:rsidR="004E6E84" w:rsidRPr="00593BA2" w:rsidRDefault="00000000" w:rsidP="00092769">
      <w:pPr>
        <w:rPr>
          <w:iCs/>
        </w:rPr>
      </w:pPr>
      <w:r w:rsidRPr="00593BA2">
        <w:rPr>
          <w:iCs/>
        </w:rPr>
        <w:t xml:space="preserve">CAUTION: </w:t>
      </w:r>
      <w:proofErr w:type="spellStart"/>
      <w:r w:rsidRPr="00593BA2">
        <w:rPr>
          <w:iCs/>
        </w:rPr>
        <w:t>Pronase</w:t>
      </w:r>
      <w:proofErr w:type="spellEnd"/>
      <w:r w:rsidRPr="00593BA2">
        <w:rPr>
          <w:iCs/>
        </w:rPr>
        <w:t xml:space="preserve"> treatment must be carefully controlled, as over</w:t>
      </w:r>
      <w:r w:rsidRPr="00593BA2">
        <w:rPr>
          <w:iCs/>
        </w:rPr>
        <w:noBreakHyphen/>
        <w:t>digestion can damage the larval tissues, leading to increased fragility during handling and potentially affecting survival or behavior. Use only the minimal effective exposure time, and rinse embryos thoroughly afterward to prevent continued enzymatic activity.</w:t>
      </w:r>
    </w:p>
    <w:p w14:paraId="3DD10595" w14:textId="77777777" w:rsidR="004E6E84" w:rsidRPr="00593BA2" w:rsidRDefault="004E6E84" w:rsidP="00092769">
      <w:pPr>
        <w:rPr>
          <w:iCs/>
        </w:rPr>
      </w:pPr>
    </w:p>
    <w:p w14:paraId="16CFF77A" w14:textId="7112874A"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30" w:author="Shivani Dogra" w:date="2026-05-21T14:20:00Z">
            <w:rPr>
              <w:rFonts w:ascii="Calibri" w:hAnsi="Calibri" w:cs="Calibri"/>
              <w:iCs/>
              <w:sz w:val="24"/>
              <w:szCs w:val="24"/>
            </w:rPr>
          </w:rPrChange>
        </w:rPr>
      </w:pPr>
      <w:r w:rsidRPr="00FC2939">
        <w:rPr>
          <w:rFonts w:ascii="Calibri" w:hAnsi="Calibri" w:cs="Calibri"/>
          <w:iCs/>
          <w:sz w:val="24"/>
          <w:szCs w:val="24"/>
          <w:highlight w:val="yellow"/>
          <w:rPrChange w:id="31" w:author="Shivani Dogra" w:date="2026-05-21T14:20:00Z">
            <w:rPr>
              <w:rFonts w:ascii="Calibri" w:hAnsi="Calibri" w:cs="Calibri"/>
              <w:iCs/>
              <w:sz w:val="24"/>
              <w:szCs w:val="24"/>
            </w:rPr>
          </w:rPrChange>
        </w:rPr>
        <w:t>Incubate at room temperature for 3</w:t>
      </w:r>
      <w:r w:rsidR="005F553E" w:rsidRPr="00FC2939">
        <w:rPr>
          <w:rFonts w:ascii="Calibri" w:hAnsi="Calibri" w:cs="Calibri"/>
          <w:iCs/>
          <w:sz w:val="24"/>
          <w:szCs w:val="24"/>
          <w:highlight w:val="yellow"/>
          <w:rPrChange w:id="32" w:author="Shivani Dogra" w:date="2026-05-21T14:20:00Z">
            <w:rPr>
              <w:rFonts w:ascii="Calibri" w:hAnsi="Calibri" w:cs="Calibri"/>
              <w:iCs/>
              <w:sz w:val="24"/>
              <w:szCs w:val="24"/>
            </w:rPr>
          </w:rPrChange>
        </w:rPr>
        <w:t>–</w:t>
      </w:r>
      <w:r w:rsidRPr="00FC2939">
        <w:rPr>
          <w:rFonts w:ascii="Calibri" w:hAnsi="Calibri" w:cs="Calibri"/>
          <w:iCs/>
          <w:sz w:val="24"/>
          <w:szCs w:val="24"/>
          <w:highlight w:val="yellow"/>
          <w:rPrChange w:id="33" w:author="Shivani Dogra" w:date="2026-05-21T14:20:00Z">
            <w:rPr>
              <w:rFonts w:ascii="Calibri" w:hAnsi="Calibri" w:cs="Calibri"/>
              <w:iCs/>
              <w:sz w:val="24"/>
              <w:szCs w:val="24"/>
            </w:rPr>
          </w:rPrChange>
        </w:rPr>
        <w:t>5 min, monitoring the release from chorions under a stereomicroscope.</w:t>
      </w:r>
    </w:p>
    <w:p w14:paraId="4355CEB3" w14:textId="77777777" w:rsidR="004E6E84" w:rsidRPr="00593BA2" w:rsidRDefault="004E6E84" w:rsidP="00092769">
      <w:pPr>
        <w:rPr>
          <w:iCs/>
        </w:rPr>
      </w:pPr>
    </w:p>
    <w:p w14:paraId="4DE77887" w14:textId="6EDD0982"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34" w:author="Shivani Dogra" w:date="2026-05-21T14:20:00Z">
            <w:rPr>
              <w:rFonts w:ascii="Calibri" w:hAnsi="Calibri" w:cs="Calibri"/>
              <w:iCs/>
              <w:sz w:val="24"/>
              <w:szCs w:val="24"/>
            </w:rPr>
          </w:rPrChange>
        </w:rPr>
      </w:pPr>
      <w:r w:rsidRPr="00FC2939">
        <w:rPr>
          <w:rFonts w:ascii="Calibri" w:hAnsi="Calibri" w:cs="Calibri"/>
          <w:iCs/>
          <w:sz w:val="24"/>
          <w:szCs w:val="24"/>
          <w:highlight w:val="yellow"/>
          <w:rPrChange w:id="35" w:author="Shivani Dogra" w:date="2026-05-21T14:20:00Z">
            <w:rPr>
              <w:rFonts w:ascii="Calibri" w:hAnsi="Calibri" w:cs="Calibri"/>
              <w:iCs/>
              <w:sz w:val="24"/>
              <w:szCs w:val="24"/>
            </w:rPr>
          </w:rPrChange>
        </w:rPr>
        <w:t>Gently rotate or swirl the dish intermittently to facilitate the enzymatic removal of chorions. Continue until the majority of embryos are released from their chorions.</w:t>
      </w:r>
    </w:p>
    <w:p w14:paraId="4407A22B" w14:textId="77777777" w:rsidR="004E6E84" w:rsidRPr="00593BA2" w:rsidRDefault="004E6E84" w:rsidP="00092769">
      <w:pPr>
        <w:rPr>
          <w:iCs/>
        </w:rPr>
      </w:pPr>
    </w:p>
    <w:p w14:paraId="73E51E44" w14:textId="4EA6A385" w:rsidR="004E6E84" w:rsidRPr="00593BA2" w:rsidRDefault="00BD22A3" w:rsidP="00092769">
      <w:pPr>
        <w:rPr>
          <w:iCs/>
        </w:rPr>
      </w:pPr>
      <w:r w:rsidRPr="00593BA2">
        <w:rPr>
          <w:iCs/>
        </w:rPr>
        <w:t>NOTE: Make sure th</w:t>
      </w:r>
      <w:r w:rsidR="005F553E" w:rsidRPr="00593BA2">
        <w:rPr>
          <w:iCs/>
        </w:rPr>
        <w:t>e naked embryos are always submerged in solution; otherwise, the yolk sac may rupture, resulting in the embryos' death</w:t>
      </w:r>
      <w:r w:rsidRPr="00593BA2">
        <w:rPr>
          <w:iCs/>
        </w:rPr>
        <w:t>.</w:t>
      </w:r>
    </w:p>
    <w:p w14:paraId="37C6FDF5" w14:textId="77777777" w:rsidR="004E6E84" w:rsidRPr="00593BA2" w:rsidRDefault="004E6E84" w:rsidP="00092769">
      <w:pPr>
        <w:rPr>
          <w:iCs/>
        </w:rPr>
      </w:pPr>
    </w:p>
    <w:p w14:paraId="68095F2B" w14:textId="564E34FC"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C2939">
        <w:rPr>
          <w:rFonts w:ascii="Calibri" w:hAnsi="Calibri" w:cs="Calibri"/>
          <w:iCs/>
          <w:sz w:val="24"/>
          <w:szCs w:val="24"/>
          <w:highlight w:val="yellow"/>
          <w:rPrChange w:id="36" w:author="Shivani Dogra" w:date="2026-05-21T14:21:00Z">
            <w:rPr>
              <w:rFonts w:ascii="Calibri" w:hAnsi="Calibri" w:cs="Calibri"/>
              <w:iCs/>
              <w:sz w:val="24"/>
              <w:szCs w:val="24"/>
            </w:rPr>
          </w:rPrChange>
        </w:rPr>
        <w:lastRenderedPageBreak/>
        <w:t>Once dechorionation is achieved, wash the embryos thoroughly by transferring them through 5</w:t>
      </w:r>
      <w:r w:rsidR="005F553E" w:rsidRPr="00FC2939">
        <w:rPr>
          <w:rFonts w:ascii="Calibri" w:hAnsi="Calibri" w:cs="Calibri"/>
          <w:iCs/>
          <w:sz w:val="24"/>
          <w:szCs w:val="24"/>
          <w:highlight w:val="yellow"/>
          <w:rPrChange w:id="37" w:author="Shivani Dogra" w:date="2026-05-21T14:21:00Z">
            <w:rPr>
              <w:rFonts w:ascii="Calibri" w:hAnsi="Calibri" w:cs="Calibri"/>
              <w:iCs/>
              <w:sz w:val="24"/>
              <w:szCs w:val="24"/>
            </w:rPr>
          </w:rPrChange>
        </w:rPr>
        <w:t>–</w:t>
      </w:r>
      <w:r w:rsidRPr="00FC2939">
        <w:rPr>
          <w:rFonts w:ascii="Calibri" w:hAnsi="Calibri" w:cs="Calibri"/>
          <w:iCs/>
          <w:sz w:val="24"/>
          <w:szCs w:val="24"/>
          <w:highlight w:val="yellow"/>
          <w:rPrChange w:id="38" w:author="Shivani Dogra" w:date="2026-05-21T14:21:00Z">
            <w:rPr>
              <w:rFonts w:ascii="Calibri" w:hAnsi="Calibri" w:cs="Calibri"/>
              <w:iCs/>
              <w:sz w:val="24"/>
              <w:szCs w:val="24"/>
            </w:rPr>
          </w:rPrChange>
        </w:rPr>
        <w:t>6 changes of fresh E3 medium</w:t>
      </w:r>
      <w:r w:rsidRPr="00593BA2">
        <w:rPr>
          <w:rFonts w:ascii="Calibri" w:hAnsi="Calibri" w:cs="Calibri"/>
          <w:iCs/>
          <w:sz w:val="24"/>
          <w:szCs w:val="24"/>
        </w:rPr>
        <w:t>.</w:t>
      </w:r>
    </w:p>
    <w:p w14:paraId="4A94D32E" w14:textId="77777777" w:rsidR="004E6E84" w:rsidRPr="00593BA2" w:rsidRDefault="004E6E84" w:rsidP="00092769">
      <w:pPr>
        <w:rPr>
          <w:iCs/>
        </w:rPr>
      </w:pPr>
    </w:p>
    <w:p w14:paraId="4A766E64" w14:textId="64888A1D" w:rsidR="004E6E84" w:rsidRPr="00593BA2" w:rsidRDefault="00BD22A3" w:rsidP="00092769">
      <w:pPr>
        <w:rPr>
          <w:iCs/>
        </w:rPr>
      </w:pPr>
      <w:r w:rsidRPr="00593BA2">
        <w:rPr>
          <w:iCs/>
        </w:rPr>
        <w:t xml:space="preserve">NOTE: </w:t>
      </w:r>
      <w:r w:rsidR="005F553E" w:rsidRPr="00593BA2">
        <w:rPr>
          <w:iCs/>
        </w:rPr>
        <w:t>Make sure the naked embryos are always submerged in solution; otherwise, the yolk sac may rupture, resulting in the embryos' death.</w:t>
      </w:r>
    </w:p>
    <w:p w14:paraId="3C75D4A2" w14:textId="77777777" w:rsidR="004E6E84" w:rsidRPr="00593BA2" w:rsidRDefault="004E6E84" w:rsidP="00092769">
      <w:pPr>
        <w:rPr>
          <w:iCs/>
        </w:rPr>
      </w:pPr>
    </w:p>
    <w:p w14:paraId="0F6B30AF" w14:textId="65275C2A"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39"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40" w:author="Shivani Dogra" w:date="2026-05-21T14:21:00Z">
            <w:rPr>
              <w:rFonts w:ascii="Calibri" w:hAnsi="Calibri" w:cs="Calibri"/>
              <w:iCs/>
              <w:sz w:val="24"/>
              <w:szCs w:val="24"/>
            </w:rPr>
          </w:rPrChange>
        </w:rPr>
        <w:t xml:space="preserve">Ensure that all chorions and </w:t>
      </w:r>
      <w:proofErr w:type="spellStart"/>
      <w:r w:rsidRPr="00FC2939">
        <w:rPr>
          <w:rFonts w:ascii="Calibri" w:hAnsi="Calibri" w:cs="Calibri"/>
          <w:iCs/>
          <w:sz w:val="24"/>
          <w:szCs w:val="24"/>
          <w:highlight w:val="yellow"/>
          <w:rPrChange w:id="41" w:author="Shivani Dogra" w:date="2026-05-21T14:21:00Z">
            <w:rPr>
              <w:rFonts w:ascii="Calibri" w:hAnsi="Calibri" w:cs="Calibri"/>
              <w:iCs/>
              <w:sz w:val="24"/>
              <w:szCs w:val="24"/>
            </w:rPr>
          </w:rPrChange>
        </w:rPr>
        <w:t>pronase</w:t>
      </w:r>
      <w:proofErr w:type="spellEnd"/>
      <w:r w:rsidRPr="00FC2939">
        <w:rPr>
          <w:rFonts w:ascii="Calibri" w:hAnsi="Calibri" w:cs="Calibri"/>
          <w:iCs/>
          <w:sz w:val="24"/>
          <w:szCs w:val="24"/>
          <w:highlight w:val="yellow"/>
          <w:rPrChange w:id="42" w:author="Shivani Dogra" w:date="2026-05-21T14:21:00Z">
            <w:rPr>
              <w:rFonts w:ascii="Calibri" w:hAnsi="Calibri" w:cs="Calibri"/>
              <w:iCs/>
              <w:sz w:val="24"/>
              <w:szCs w:val="24"/>
            </w:rPr>
          </w:rPrChange>
        </w:rPr>
        <w:t xml:space="preserve"> residues are removed to prevent damage to the larvae and to maintain optimal culture conditions.</w:t>
      </w:r>
    </w:p>
    <w:p w14:paraId="1E375748" w14:textId="77777777" w:rsidR="004E6E84" w:rsidRPr="00FC2939" w:rsidRDefault="004E6E84" w:rsidP="00092769">
      <w:pPr>
        <w:rPr>
          <w:iCs/>
          <w:highlight w:val="yellow"/>
          <w:rPrChange w:id="43" w:author="Shivani Dogra" w:date="2026-05-21T14:21:00Z">
            <w:rPr>
              <w:iCs/>
            </w:rPr>
          </w:rPrChange>
        </w:rPr>
      </w:pPr>
    </w:p>
    <w:p w14:paraId="7DB7153D" w14:textId="6BFD768F"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44"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45" w:author="Shivani Dogra" w:date="2026-05-21T14:21:00Z">
            <w:rPr>
              <w:rFonts w:ascii="Calibri" w:hAnsi="Calibri" w:cs="Calibri"/>
              <w:iCs/>
              <w:sz w:val="24"/>
              <w:szCs w:val="24"/>
            </w:rPr>
          </w:rPrChange>
        </w:rPr>
        <w:t xml:space="preserve">Transfer ~50 dechorionated larvae into a 100 mm Petri dish containing 40 mL of E3 medium using </w:t>
      </w:r>
      <w:r w:rsidR="005F553E" w:rsidRPr="00FC2939">
        <w:rPr>
          <w:rFonts w:ascii="Calibri" w:hAnsi="Calibri" w:cs="Calibri"/>
          <w:iCs/>
          <w:sz w:val="24"/>
          <w:szCs w:val="24"/>
          <w:highlight w:val="yellow"/>
          <w:rPrChange w:id="46" w:author="Shivani Dogra" w:date="2026-05-21T14:21:00Z">
            <w:rPr>
              <w:rFonts w:ascii="Calibri" w:hAnsi="Calibri" w:cs="Calibri"/>
              <w:iCs/>
              <w:sz w:val="24"/>
              <w:szCs w:val="24"/>
            </w:rPr>
          </w:rPrChange>
        </w:rPr>
        <w:t xml:space="preserve">a </w:t>
      </w:r>
      <w:r w:rsidRPr="00FC2939">
        <w:rPr>
          <w:rFonts w:ascii="Calibri" w:hAnsi="Calibri" w:cs="Calibri"/>
          <w:iCs/>
          <w:sz w:val="24"/>
          <w:szCs w:val="24"/>
          <w:highlight w:val="yellow"/>
          <w:rPrChange w:id="47" w:author="Shivani Dogra" w:date="2026-05-21T14:21:00Z">
            <w:rPr>
              <w:rFonts w:ascii="Calibri" w:hAnsi="Calibri" w:cs="Calibri"/>
              <w:iCs/>
              <w:sz w:val="24"/>
              <w:szCs w:val="24"/>
            </w:rPr>
          </w:rPrChange>
        </w:rPr>
        <w:t>glass Pasteur pipette.</w:t>
      </w:r>
    </w:p>
    <w:p w14:paraId="73B6B9F8" w14:textId="77777777" w:rsidR="004E6E84" w:rsidRPr="00FC2939" w:rsidRDefault="004E6E84" w:rsidP="00092769">
      <w:pPr>
        <w:rPr>
          <w:iCs/>
          <w:highlight w:val="yellow"/>
          <w:rPrChange w:id="48" w:author="Shivani Dogra" w:date="2026-05-21T14:21:00Z">
            <w:rPr>
              <w:iCs/>
            </w:rPr>
          </w:rPrChange>
        </w:rPr>
      </w:pPr>
    </w:p>
    <w:p w14:paraId="6390695B" w14:textId="0786C03A"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C2939">
        <w:rPr>
          <w:rFonts w:ascii="Calibri" w:hAnsi="Calibri" w:cs="Calibri"/>
          <w:iCs/>
          <w:sz w:val="24"/>
          <w:szCs w:val="24"/>
          <w:highlight w:val="yellow"/>
          <w:rPrChange w:id="49" w:author="Shivani Dogra" w:date="2026-05-21T14:21:00Z">
            <w:rPr>
              <w:rFonts w:ascii="Calibri" w:hAnsi="Calibri" w:cs="Calibri"/>
              <w:iCs/>
              <w:sz w:val="24"/>
              <w:szCs w:val="24"/>
            </w:rPr>
          </w:rPrChange>
        </w:rPr>
        <w:t>Maintain the larvae in these conditions until they are microinjected</w:t>
      </w:r>
      <w:r w:rsidRPr="00593BA2">
        <w:rPr>
          <w:rFonts w:ascii="Calibri" w:hAnsi="Calibri" w:cs="Calibri"/>
          <w:iCs/>
          <w:sz w:val="24"/>
          <w:szCs w:val="24"/>
        </w:rPr>
        <w:t>.</w:t>
      </w:r>
    </w:p>
    <w:p w14:paraId="3626B4A1" w14:textId="77777777" w:rsidR="004E6E84" w:rsidRPr="00593BA2" w:rsidRDefault="004E6E84" w:rsidP="00092769">
      <w:pPr>
        <w:rPr>
          <w:b/>
          <w:bCs/>
          <w:iCs/>
        </w:rPr>
      </w:pPr>
    </w:p>
    <w:p w14:paraId="05EC65E6" w14:textId="07A7E9DF" w:rsidR="004E6E84" w:rsidRPr="00FC2939" w:rsidRDefault="00000000" w:rsidP="008F5E68">
      <w:pPr>
        <w:pStyle w:val="ListParagraph"/>
        <w:numPr>
          <w:ilvl w:val="0"/>
          <w:numId w:val="1"/>
        </w:numPr>
        <w:spacing w:after="0" w:line="240" w:lineRule="auto"/>
        <w:ind w:left="0" w:firstLine="0"/>
        <w:rPr>
          <w:rFonts w:ascii="Calibri" w:hAnsi="Calibri" w:cs="Calibri"/>
          <w:b/>
          <w:bCs/>
          <w:iCs/>
          <w:sz w:val="24"/>
          <w:szCs w:val="24"/>
          <w:highlight w:val="yellow"/>
          <w:rPrChange w:id="50" w:author="Shivani Dogra" w:date="2026-05-21T14:21:00Z">
            <w:rPr>
              <w:rFonts w:ascii="Calibri" w:hAnsi="Calibri" w:cs="Calibri"/>
              <w:b/>
              <w:bCs/>
              <w:iCs/>
              <w:sz w:val="24"/>
              <w:szCs w:val="24"/>
            </w:rPr>
          </w:rPrChange>
        </w:rPr>
      </w:pPr>
      <w:r w:rsidRPr="00FC2939">
        <w:rPr>
          <w:rFonts w:ascii="Calibri" w:hAnsi="Calibri" w:cs="Calibri"/>
          <w:b/>
          <w:bCs/>
          <w:iCs/>
          <w:sz w:val="24"/>
          <w:szCs w:val="24"/>
          <w:highlight w:val="yellow"/>
          <w:rPrChange w:id="51" w:author="Shivani Dogra" w:date="2026-05-21T14:21:00Z">
            <w:rPr>
              <w:rFonts w:ascii="Calibri" w:hAnsi="Calibri" w:cs="Calibri"/>
              <w:b/>
              <w:bCs/>
              <w:iCs/>
              <w:sz w:val="24"/>
              <w:szCs w:val="24"/>
            </w:rPr>
          </w:rPrChange>
        </w:rPr>
        <w:t xml:space="preserve">Injecting </w:t>
      </w:r>
      <w:r w:rsidR="00BD22A3" w:rsidRPr="00FC2939">
        <w:rPr>
          <w:rFonts w:ascii="Calibri" w:hAnsi="Calibri" w:cs="Calibri"/>
          <w:b/>
          <w:bCs/>
          <w:iCs/>
          <w:sz w:val="24"/>
          <w:szCs w:val="24"/>
          <w:highlight w:val="yellow"/>
          <w:rPrChange w:id="52" w:author="Shivani Dogra" w:date="2026-05-21T14:21:00Z">
            <w:rPr>
              <w:rFonts w:ascii="Calibri" w:hAnsi="Calibri" w:cs="Calibri"/>
              <w:b/>
              <w:bCs/>
              <w:iCs/>
              <w:sz w:val="24"/>
              <w:szCs w:val="24"/>
            </w:rPr>
          </w:rPrChange>
        </w:rPr>
        <w:t>zebrafish embryos</w:t>
      </w:r>
    </w:p>
    <w:p w14:paraId="590DE120" w14:textId="77777777" w:rsidR="004E6E84" w:rsidRPr="00FC2939" w:rsidRDefault="004E6E84" w:rsidP="00092769">
      <w:pPr>
        <w:rPr>
          <w:b/>
          <w:bCs/>
          <w:iCs/>
          <w:highlight w:val="yellow"/>
          <w:rPrChange w:id="53" w:author="Shivani Dogra" w:date="2026-05-21T14:21:00Z">
            <w:rPr>
              <w:b/>
              <w:bCs/>
              <w:iCs/>
            </w:rPr>
          </w:rPrChange>
        </w:rPr>
      </w:pPr>
    </w:p>
    <w:p w14:paraId="048267CA" w14:textId="23BF4921"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54"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55" w:author="Shivani Dogra" w:date="2026-05-21T14:21:00Z">
            <w:rPr>
              <w:rFonts w:ascii="Calibri" w:hAnsi="Calibri" w:cs="Calibri"/>
              <w:iCs/>
              <w:sz w:val="24"/>
              <w:szCs w:val="24"/>
            </w:rPr>
          </w:rPrChange>
        </w:rPr>
        <w:t>Under a stereomicroscope (≥150× magnification), use fine forceps to carefully break the tip of the pulled glass capillary (</w:t>
      </w:r>
      <w:r w:rsidR="005F553E" w:rsidRPr="00FC2939">
        <w:rPr>
          <w:rFonts w:ascii="Calibri" w:hAnsi="Calibri" w:cs="Calibri"/>
          <w:iCs/>
          <w:sz w:val="24"/>
          <w:szCs w:val="24"/>
          <w:highlight w:val="yellow"/>
          <w:rPrChange w:id="56" w:author="Shivani Dogra" w:date="2026-05-21T14:21:00Z">
            <w:rPr>
              <w:rFonts w:ascii="Calibri" w:hAnsi="Calibri" w:cs="Calibri"/>
              <w:iCs/>
              <w:sz w:val="24"/>
              <w:szCs w:val="24"/>
            </w:rPr>
          </w:rPrChange>
        </w:rPr>
        <w:t xml:space="preserve">section </w:t>
      </w:r>
      <w:r w:rsidRPr="00FC2939">
        <w:rPr>
          <w:rFonts w:ascii="Calibri" w:hAnsi="Calibri" w:cs="Calibri"/>
          <w:iCs/>
          <w:sz w:val="24"/>
          <w:szCs w:val="24"/>
          <w:highlight w:val="yellow"/>
          <w:rPrChange w:id="57" w:author="Shivani Dogra" w:date="2026-05-21T14:21:00Z">
            <w:rPr>
              <w:rFonts w:ascii="Calibri" w:hAnsi="Calibri" w:cs="Calibri"/>
              <w:iCs/>
              <w:sz w:val="24"/>
              <w:szCs w:val="24"/>
            </w:rPr>
          </w:rPrChange>
        </w:rPr>
        <w:t>1), generating a micropipette with an opening of approximately 3 µm in diameter.</w:t>
      </w:r>
    </w:p>
    <w:p w14:paraId="19D457B9" w14:textId="77777777" w:rsidR="004E6E84" w:rsidRPr="00593BA2" w:rsidRDefault="004E6E84" w:rsidP="00092769">
      <w:pPr>
        <w:rPr>
          <w:iCs/>
        </w:rPr>
      </w:pPr>
    </w:p>
    <w:p w14:paraId="0236158C" w14:textId="5ED4D351" w:rsidR="004E6E84" w:rsidRPr="00593BA2" w:rsidRDefault="00BD22A3" w:rsidP="00092769">
      <w:pPr>
        <w:rPr>
          <w:iCs/>
        </w:rPr>
      </w:pPr>
      <w:r w:rsidRPr="00593BA2">
        <w:rPr>
          <w:iCs/>
        </w:rPr>
        <w:t>NOTE: A suitable micropipette can be recognized by ensuring th</w:t>
      </w:r>
      <w:r w:rsidR="005F553E" w:rsidRPr="00593BA2">
        <w:rPr>
          <w:iCs/>
        </w:rPr>
        <w:t>e tip is finely opened, without visible flattening or a large open surface at the tip</w:t>
      </w:r>
      <w:r w:rsidRPr="00593BA2">
        <w:rPr>
          <w:iCs/>
        </w:rPr>
        <w:t xml:space="preserve">. If the tip is broken too </w:t>
      </w:r>
      <w:r w:rsidR="005F553E" w:rsidRPr="00593BA2">
        <w:rPr>
          <w:iCs/>
        </w:rPr>
        <w:t>widely, it will not penetrate the fish skin effectively and may result in</w:t>
      </w:r>
      <w:r w:rsidRPr="00593BA2">
        <w:rPr>
          <w:iCs/>
        </w:rPr>
        <w:t xml:space="preserve"> poor or inconsistent injections. Therefore, tip opening should be performed carefully under a stereomicroscope at high magnification, ensuring </w:t>
      </w:r>
      <w:r w:rsidR="005F553E" w:rsidRPr="00593BA2">
        <w:rPr>
          <w:iCs/>
        </w:rPr>
        <w:t>a minimal,</w:t>
      </w:r>
      <w:r w:rsidRPr="00593BA2">
        <w:rPr>
          <w:iCs/>
        </w:rPr>
        <w:t xml:space="preserve"> controlled break at the very end of the capillary.</w:t>
      </w:r>
    </w:p>
    <w:p w14:paraId="6FE55E51" w14:textId="77777777" w:rsidR="004E6E84" w:rsidRPr="00593BA2" w:rsidRDefault="004E6E84" w:rsidP="00092769">
      <w:pPr>
        <w:rPr>
          <w:iCs/>
        </w:rPr>
      </w:pPr>
    </w:p>
    <w:p w14:paraId="4D604E0D" w14:textId="25BBC1DD"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58"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59" w:author="Shivani Dogra" w:date="2026-05-21T14:21:00Z">
            <w:rPr>
              <w:rFonts w:ascii="Calibri" w:hAnsi="Calibri" w:cs="Calibri"/>
              <w:iCs/>
              <w:sz w:val="24"/>
              <w:szCs w:val="24"/>
            </w:rPr>
          </w:rPrChange>
        </w:rPr>
        <w:t xml:space="preserve">Prepare injection solutions of 0.9% (w/v) NaCl (control) or IL-6 (2 </w:t>
      </w:r>
      <w:proofErr w:type="spellStart"/>
      <w:r w:rsidRPr="00FC2939">
        <w:rPr>
          <w:rFonts w:ascii="Calibri" w:hAnsi="Calibri" w:cs="Calibri"/>
          <w:iCs/>
          <w:sz w:val="24"/>
          <w:szCs w:val="24"/>
          <w:highlight w:val="yellow"/>
          <w:rPrChange w:id="60" w:author="Shivani Dogra" w:date="2026-05-21T14:21:00Z">
            <w:rPr>
              <w:rFonts w:ascii="Calibri" w:hAnsi="Calibri" w:cs="Calibri"/>
              <w:iCs/>
              <w:sz w:val="24"/>
              <w:szCs w:val="24"/>
            </w:rPr>
          </w:rPrChange>
        </w:rPr>
        <w:t>pg</w:t>
      </w:r>
      <w:proofErr w:type="spellEnd"/>
      <w:r w:rsidRPr="00FC2939">
        <w:rPr>
          <w:rFonts w:ascii="Calibri" w:hAnsi="Calibri" w:cs="Calibri"/>
          <w:iCs/>
          <w:sz w:val="24"/>
          <w:szCs w:val="24"/>
          <w:highlight w:val="yellow"/>
          <w:rPrChange w:id="61" w:author="Shivani Dogra" w:date="2026-05-21T14:21:00Z">
            <w:rPr>
              <w:rFonts w:ascii="Calibri" w:hAnsi="Calibri" w:cs="Calibri"/>
              <w:iCs/>
              <w:sz w:val="24"/>
              <w:szCs w:val="24"/>
            </w:rPr>
          </w:rPrChange>
        </w:rPr>
        <w:t>/</w:t>
      </w:r>
      <w:proofErr w:type="spellStart"/>
      <w:r w:rsidRPr="00FC2939">
        <w:rPr>
          <w:rFonts w:ascii="Calibri" w:hAnsi="Calibri" w:cs="Calibri"/>
          <w:iCs/>
          <w:sz w:val="24"/>
          <w:szCs w:val="24"/>
          <w:highlight w:val="yellow"/>
          <w:rPrChange w:id="62" w:author="Shivani Dogra" w:date="2026-05-21T14:21:00Z">
            <w:rPr>
              <w:rFonts w:ascii="Calibri" w:hAnsi="Calibri" w:cs="Calibri"/>
              <w:iCs/>
              <w:sz w:val="24"/>
              <w:szCs w:val="24"/>
            </w:rPr>
          </w:rPrChange>
        </w:rPr>
        <w:t>nL</w:t>
      </w:r>
      <w:proofErr w:type="spellEnd"/>
      <w:r w:rsidRPr="00FC2939">
        <w:rPr>
          <w:rFonts w:ascii="Calibri" w:hAnsi="Calibri" w:cs="Calibri"/>
          <w:iCs/>
          <w:sz w:val="24"/>
          <w:szCs w:val="24"/>
          <w:highlight w:val="yellow"/>
          <w:rPrChange w:id="63" w:author="Shivani Dogra" w:date="2026-05-21T14:21:00Z">
            <w:rPr>
              <w:rFonts w:ascii="Calibri" w:hAnsi="Calibri" w:cs="Calibri"/>
              <w:iCs/>
              <w:sz w:val="24"/>
              <w:szCs w:val="24"/>
            </w:rPr>
          </w:rPrChange>
        </w:rPr>
        <w:t>) in 0.9% NaCl and add 1 µL of 0.05% trypan blue to every 10 µL of solution to facilitate visualization during injection.</w:t>
      </w:r>
    </w:p>
    <w:p w14:paraId="029F269D" w14:textId="77777777" w:rsidR="004E6E84" w:rsidRPr="00593BA2" w:rsidRDefault="004E6E84" w:rsidP="00092769">
      <w:pPr>
        <w:rPr>
          <w:iCs/>
        </w:rPr>
      </w:pPr>
    </w:p>
    <w:p w14:paraId="2E98F901" w14:textId="2F09034B"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64"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65" w:author="Shivani Dogra" w:date="2026-05-21T14:21:00Z">
            <w:rPr>
              <w:rFonts w:ascii="Calibri" w:hAnsi="Calibri" w:cs="Calibri"/>
              <w:iCs/>
              <w:sz w:val="24"/>
              <w:szCs w:val="24"/>
            </w:rPr>
          </w:rPrChange>
        </w:rPr>
        <w:t xml:space="preserve">Backfill the prepared micropipette with ~3 µL of the injection solution using a </w:t>
      </w:r>
      <w:proofErr w:type="spellStart"/>
      <w:r w:rsidRPr="00FC2939">
        <w:rPr>
          <w:rFonts w:ascii="Calibri" w:hAnsi="Calibri" w:cs="Calibri"/>
          <w:iCs/>
          <w:sz w:val="24"/>
          <w:szCs w:val="24"/>
          <w:highlight w:val="yellow"/>
          <w:rPrChange w:id="66" w:author="Shivani Dogra" w:date="2026-05-21T14:21:00Z">
            <w:rPr>
              <w:rFonts w:ascii="Calibri" w:hAnsi="Calibri" w:cs="Calibri"/>
              <w:iCs/>
              <w:sz w:val="24"/>
              <w:szCs w:val="24"/>
            </w:rPr>
          </w:rPrChange>
        </w:rPr>
        <w:t>microloader</w:t>
      </w:r>
      <w:proofErr w:type="spellEnd"/>
      <w:r w:rsidRPr="00FC2939">
        <w:rPr>
          <w:rFonts w:ascii="Calibri" w:hAnsi="Calibri" w:cs="Calibri"/>
          <w:iCs/>
          <w:sz w:val="24"/>
          <w:szCs w:val="24"/>
          <w:highlight w:val="yellow"/>
          <w:rPrChange w:id="67" w:author="Shivani Dogra" w:date="2026-05-21T14:21:00Z">
            <w:rPr>
              <w:rFonts w:ascii="Calibri" w:hAnsi="Calibri" w:cs="Calibri"/>
              <w:iCs/>
              <w:sz w:val="24"/>
              <w:szCs w:val="24"/>
            </w:rPr>
          </w:rPrChange>
        </w:rPr>
        <w:t xml:space="preserve"> tip, ensuring no air bubbles are introduced.</w:t>
      </w:r>
    </w:p>
    <w:p w14:paraId="3D955609" w14:textId="77777777" w:rsidR="004E6E84" w:rsidRPr="00593BA2" w:rsidRDefault="004E6E84" w:rsidP="00092769">
      <w:pPr>
        <w:rPr>
          <w:iCs/>
        </w:rPr>
      </w:pPr>
    </w:p>
    <w:p w14:paraId="25126A5E" w14:textId="55F85105"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68"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69" w:author="Shivani Dogra" w:date="2026-05-21T14:21:00Z">
            <w:rPr>
              <w:rFonts w:ascii="Calibri" w:hAnsi="Calibri" w:cs="Calibri"/>
              <w:iCs/>
              <w:sz w:val="24"/>
              <w:szCs w:val="24"/>
            </w:rPr>
          </w:rPrChange>
        </w:rPr>
        <w:t>Secure the loaded micropipette into the capillary holder (</w:t>
      </w:r>
      <w:r w:rsidRPr="00FC2939">
        <w:rPr>
          <w:rFonts w:ascii="Calibri" w:hAnsi="Calibri" w:cs="Calibri"/>
          <w:b/>
          <w:bCs/>
          <w:iCs/>
          <w:sz w:val="24"/>
          <w:szCs w:val="24"/>
          <w:highlight w:val="yellow"/>
          <w:rPrChange w:id="70" w:author="Shivani Dogra" w:date="2026-05-21T14:21:00Z">
            <w:rPr>
              <w:rFonts w:ascii="Calibri" w:hAnsi="Calibri" w:cs="Calibri"/>
              <w:b/>
              <w:bCs/>
              <w:iCs/>
              <w:sz w:val="24"/>
              <w:szCs w:val="24"/>
            </w:rPr>
          </w:rPrChange>
        </w:rPr>
        <w:t xml:space="preserve">Figure </w:t>
      </w:r>
      <w:r w:rsidR="005F553E" w:rsidRPr="00FC2939">
        <w:rPr>
          <w:rFonts w:ascii="Calibri" w:hAnsi="Calibri" w:cs="Calibri"/>
          <w:b/>
          <w:bCs/>
          <w:iCs/>
          <w:sz w:val="24"/>
          <w:szCs w:val="24"/>
          <w:highlight w:val="yellow"/>
          <w:rPrChange w:id="71" w:author="Shivani Dogra" w:date="2026-05-21T14:21:00Z">
            <w:rPr>
              <w:rFonts w:ascii="Calibri" w:hAnsi="Calibri" w:cs="Calibri"/>
              <w:b/>
              <w:bCs/>
              <w:iCs/>
              <w:sz w:val="24"/>
              <w:szCs w:val="24"/>
            </w:rPr>
          </w:rPrChange>
        </w:rPr>
        <w:t>2</w:t>
      </w:r>
      <w:r w:rsidRPr="00FC2939">
        <w:rPr>
          <w:rFonts w:ascii="Calibri" w:hAnsi="Calibri" w:cs="Calibri"/>
          <w:iCs/>
          <w:sz w:val="24"/>
          <w:szCs w:val="24"/>
          <w:highlight w:val="yellow"/>
          <w:rPrChange w:id="72" w:author="Shivani Dogra" w:date="2026-05-21T14:21:00Z">
            <w:rPr>
              <w:rFonts w:ascii="Calibri" w:hAnsi="Calibri" w:cs="Calibri"/>
              <w:iCs/>
              <w:sz w:val="24"/>
              <w:szCs w:val="24"/>
            </w:rPr>
          </w:rPrChange>
        </w:rPr>
        <w:t>) connected to the microinjection system.</w:t>
      </w:r>
    </w:p>
    <w:p w14:paraId="4E875C7C" w14:textId="77777777" w:rsidR="004E6E84" w:rsidRPr="00FC2939" w:rsidRDefault="004E6E84" w:rsidP="00092769">
      <w:pPr>
        <w:rPr>
          <w:iCs/>
          <w:highlight w:val="yellow"/>
          <w:rPrChange w:id="73" w:author="Shivani Dogra" w:date="2026-05-21T14:21:00Z">
            <w:rPr>
              <w:iCs/>
            </w:rPr>
          </w:rPrChange>
        </w:rPr>
      </w:pPr>
    </w:p>
    <w:p w14:paraId="39F3CDB3" w14:textId="38B63401"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74"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75" w:author="Shivani Dogra" w:date="2026-05-21T14:21:00Z">
            <w:rPr>
              <w:rFonts w:ascii="Calibri" w:hAnsi="Calibri" w:cs="Calibri"/>
              <w:iCs/>
              <w:sz w:val="24"/>
              <w:szCs w:val="24"/>
            </w:rPr>
          </w:rPrChange>
        </w:rPr>
        <w:t>Place a small drop of mineral oil onto a calibration slide.</w:t>
      </w:r>
    </w:p>
    <w:p w14:paraId="59271EE6" w14:textId="77777777" w:rsidR="004E6E84" w:rsidRPr="00FC2939" w:rsidRDefault="004E6E84" w:rsidP="00092769">
      <w:pPr>
        <w:rPr>
          <w:iCs/>
          <w:highlight w:val="yellow"/>
          <w:rPrChange w:id="76" w:author="Shivani Dogra" w:date="2026-05-21T14:21:00Z">
            <w:rPr>
              <w:iCs/>
            </w:rPr>
          </w:rPrChange>
        </w:rPr>
      </w:pPr>
    </w:p>
    <w:p w14:paraId="4CD93359" w14:textId="6AA10554"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C2939">
        <w:rPr>
          <w:rFonts w:ascii="Calibri" w:hAnsi="Calibri" w:cs="Calibri"/>
          <w:iCs/>
          <w:sz w:val="24"/>
          <w:szCs w:val="24"/>
          <w:highlight w:val="yellow"/>
          <w:rPrChange w:id="77" w:author="Shivani Dogra" w:date="2026-05-21T14:21:00Z">
            <w:rPr>
              <w:rFonts w:ascii="Calibri" w:hAnsi="Calibri" w:cs="Calibri"/>
              <w:iCs/>
              <w:sz w:val="24"/>
              <w:szCs w:val="24"/>
            </w:rPr>
          </w:rPrChange>
        </w:rPr>
        <w:t>Calibrate the injection volume by expelling droplets into the mineral oil and measuring their diameter using a calibration slide (</w:t>
      </w:r>
      <w:r w:rsidRPr="00FC2939">
        <w:rPr>
          <w:rFonts w:ascii="Calibri" w:hAnsi="Calibri" w:cs="Calibri"/>
          <w:b/>
          <w:bCs/>
          <w:iCs/>
          <w:sz w:val="24"/>
          <w:szCs w:val="24"/>
          <w:highlight w:val="yellow"/>
          <w:rPrChange w:id="78" w:author="Shivani Dogra" w:date="2026-05-21T14:21:00Z">
            <w:rPr>
              <w:rFonts w:ascii="Calibri" w:hAnsi="Calibri" w:cs="Calibri"/>
              <w:b/>
              <w:bCs/>
              <w:iCs/>
              <w:sz w:val="24"/>
              <w:szCs w:val="24"/>
            </w:rPr>
          </w:rPrChange>
        </w:rPr>
        <w:t xml:space="preserve">Figure </w:t>
      </w:r>
      <w:r w:rsidR="005F553E" w:rsidRPr="00FC2939">
        <w:rPr>
          <w:rFonts w:ascii="Calibri" w:hAnsi="Calibri" w:cs="Calibri"/>
          <w:b/>
          <w:bCs/>
          <w:iCs/>
          <w:sz w:val="24"/>
          <w:szCs w:val="24"/>
          <w:highlight w:val="yellow"/>
          <w:rPrChange w:id="79" w:author="Shivani Dogra" w:date="2026-05-21T14:21:00Z">
            <w:rPr>
              <w:rFonts w:ascii="Calibri" w:hAnsi="Calibri" w:cs="Calibri"/>
              <w:b/>
              <w:bCs/>
              <w:iCs/>
              <w:sz w:val="24"/>
              <w:szCs w:val="24"/>
            </w:rPr>
          </w:rPrChange>
        </w:rPr>
        <w:t>2</w:t>
      </w:r>
      <w:r w:rsidRPr="00FC2939">
        <w:rPr>
          <w:rFonts w:ascii="Calibri" w:hAnsi="Calibri" w:cs="Calibri"/>
          <w:iCs/>
          <w:sz w:val="24"/>
          <w:szCs w:val="24"/>
          <w:highlight w:val="yellow"/>
          <w:rPrChange w:id="80" w:author="Shivani Dogra" w:date="2026-05-21T14:21:00Z">
            <w:rPr>
              <w:rFonts w:ascii="Calibri" w:hAnsi="Calibri" w:cs="Calibri"/>
              <w:iCs/>
              <w:sz w:val="24"/>
              <w:szCs w:val="24"/>
            </w:rPr>
          </w:rPrChange>
        </w:rPr>
        <w:t>) with a 0.01 mm scale. Adjust injection pressure (between 300</w:t>
      </w:r>
      <w:r w:rsidR="005F553E" w:rsidRPr="00FC2939">
        <w:rPr>
          <w:rFonts w:ascii="Calibri" w:hAnsi="Calibri" w:cs="Calibri"/>
          <w:iCs/>
          <w:sz w:val="24"/>
          <w:szCs w:val="24"/>
          <w:highlight w:val="yellow"/>
          <w:rPrChange w:id="81" w:author="Shivani Dogra" w:date="2026-05-21T14:21:00Z">
            <w:rPr>
              <w:rFonts w:ascii="Calibri" w:hAnsi="Calibri" w:cs="Calibri"/>
              <w:iCs/>
              <w:sz w:val="24"/>
              <w:szCs w:val="24"/>
            </w:rPr>
          </w:rPrChange>
        </w:rPr>
        <w:t>–</w:t>
      </w:r>
      <w:r w:rsidRPr="00FC2939">
        <w:rPr>
          <w:rFonts w:ascii="Calibri" w:hAnsi="Calibri" w:cs="Calibri"/>
          <w:iCs/>
          <w:sz w:val="24"/>
          <w:szCs w:val="24"/>
          <w:highlight w:val="yellow"/>
          <w:rPrChange w:id="82" w:author="Shivani Dogra" w:date="2026-05-21T14:21:00Z">
            <w:rPr>
              <w:rFonts w:ascii="Calibri" w:hAnsi="Calibri" w:cs="Calibri"/>
              <w:iCs/>
              <w:sz w:val="24"/>
              <w:szCs w:val="24"/>
            </w:rPr>
          </w:rPrChange>
        </w:rPr>
        <w:t xml:space="preserve">500 </w:t>
      </w:r>
      <w:proofErr w:type="spellStart"/>
      <w:r w:rsidRPr="00FC2939">
        <w:rPr>
          <w:rFonts w:ascii="Calibri" w:hAnsi="Calibri" w:cs="Calibri"/>
          <w:iCs/>
          <w:sz w:val="24"/>
          <w:szCs w:val="24"/>
          <w:highlight w:val="yellow"/>
          <w:rPrChange w:id="83" w:author="Shivani Dogra" w:date="2026-05-21T14:21:00Z">
            <w:rPr>
              <w:rFonts w:ascii="Calibri" w:hAnsi="Calibri" w:cs="Calibri"/>
              <w:iCs/>
              <w:sz w:val="24"/>
              <w:szCs w:val="24"/>
            </w:rPr>
          </w:rPrChange>
        </w:rPr>
        <w:t>hPa</w:t>
      </w:r>
      <w:proofErr w:type="spellEnd"/>
      <w:r w:rsidRPr="00FC2939">
        <w:rPr>
          <w:rFonts w:ascii="Calibri" w:hAnsi="Calibri" w:cs="Calibri"/>
          <w:iCs/>
          <w:sz w:val="24"/>
          <w:szCs w:val="24"/>
          <w:highlight w:val="yellow"/>
          <w:rPrChange w:id="84" w:author="Shivani Dogra" w:date="2026-05-21T14:21:00Z">
            <w:rPr>
              <w:rFonts w:ascii="Calibri" w:hAnsi="Calibri" w:cs="Calibri"/>
              <w:iCs/>
              <w:sz w:val="24"/>
              <w:szCs w:val="24"/>
            </w:rPr>
          </w:rPrChange>
        </w:rPr>
        <w:t xml:space="preserve">) to achieve a droplet volume of ~1 </w:t>
      </w:r>
      <w:proofErr w:type="spellStart"/>
      <w:r w:rsidRPr="00FC2939">
        <w:rPr>
          <w:rFonts w:ascii="Calibri" w:hAnsi="Calibri" w:cs="Calibri"/>
          <w:iCs/>
          <w:sz w:val="24"/>
          <w:szCs w:val="24"/>
          <w:highlight w:val="yellow"/>
          <w:rPrChange w:id="85" w:author="Shivani Dogra" w:date="2026-05-21T14:21:00Z">
            <w:rPr>
              <w:rFonts w:ascii="Calibri" w:hAnsi="Calibri" w:cs="Calibri"/>
              <w:iCs/>
              <w:sz w:val="24"/>
              <w:szCs w:val="24"/>
            </w:rPr>
          </w:rPrChange>
        </w:rPr>
        <w:t>nL</w:t>
      </w:r>
      <w:proofErr w:type="spellEnd"/>
      <w:r w:rsidRPr="00593BA2">
        <w:rPr>
          <w:rFonts w:ascii="Calibri" w:hAnsi="Calibri" w:cs="Calibri"/>
          <w:iCs/>
          <w:sz w:val="24"/>
          <w:szCs w:val="24"/>
        </w:rPr>
        <w:t>.</w:t>
      </w:r>
    </w:p>
    <w:p w14:paraId="4393B659" w14:textId="77777777" w:rsidR="004E6E84" w:rsidRPr="00593BA2" w:rsidRDefault="004E6E84" w:rsidP="00092769">
      <w:pPr>
        <w:rPr>
          <w:iCs/>
        </w:rPr>
      </w:pPr>
    </w:p>
    <w:p w14:paraId="14C74615" w14:textId="14208C28"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86" w:author="Shivani Dogra" w:date="2026-05-21T14:21:00Z">
            <w:rPr>
              <w:rFonts w:ascii="Calibri" w:hAnsi="Calibri" w:cs="Calibri"/>
              <w:iCs/>
              <w:sz w:val="24"/>
              <w:szCs w:val="24"/>
            </w:rPr>
          </w:rPrChange>
        </w:rPr>
      </w:pPr>
      <w:r w:rsidRPr="00FC2939">
        <w:rPr>
          <w:rFonts w:ascii="Calibri" w:hAnsi="Calibri" w:cs="Calibri"/>
          <w:iCs/>
          <w:sz w:val="24"/>
          <w:szCs w:val="24"/>
          <w:highlight w:val="yellow"/>
          <w:rPrChange w:id="87" w:author="Shivani Dogra" w:date="2026-05-21T14:21:00Z">
            <w:rPr>
              <w:rFonts w:ascii="Calibri" w:hAnsi="Calibri" w:cs="Calibri"/>
              <w:iCs/>
              <w:sz w:val="24"/>
              <w:szCs w:val="24"/>
            </w:rPr>
          </w:rPrChange>
        </w:rPr>
        <w:t>Add tricaine (MS-222) to the E3 medium containing larvae to a final concentration of 1</w:t>
      </w:r>
      <w:r w:rsidR="005F553E" w:rsidRPr="00FC2939">
        <w:rPr>
          <w:rFonts w:ascii="Calibri" w:hAnsi="Calibri" w:cs="Calibri"/>
          <w:iCs/>
          <w:sz w:val="24"/>
          <w:szCs w:val="24"/>
          <w:highlight w:val="yellow"/>
          <w:rPrChange w:id="88" w:author="Shivani Dogra" w:date="2026-05-21T14:21:00Z">
            <w:rPr>
              <w:rFonts w:ascii="Calibri" w:hAnsi="Calibri" w:cs="Calibri"/>
              <w:iCs/>
              <w:sz w:val="24"/>
              <w:szCs w:val="24"/>
            </w:rPr>
          </w:rPrChange>
        </w:rPr>
        <w:sym w:font="Symbol" w:char="F0B4"/>
      </w:r>
      <w:r w:rsidRPr="00FC2939">
        <w:rPr>
          <w:rFonts w:ascii="Calibri" w:hAnsi="Calibri" w:cs="Calibri"/>
          <w:iCs/>
          <w:sz w:val="24"/>
          <w:szCs w:val="24"/>
          <w:highlight w:val="yellow"/>
          <w:rPrChange w:id="89" w:author="Shivani Dogra" w:date="2026-05-21T14:21:00Z">
            <w:rPr>
              <w:rFonts w:ascii="Calibri" w:hAnsi="Calibri" w:cs="Calibri"/>
              <w:iCs/>
              <w:sz w:val="24"/>
              <w:szCs w:val="24"/>
            </w:rPr>
          </w:rPrChange>
        </w:rPr>
        <w:t xml:space="preserve"> for anesthesia. To minimize stress and ensure consistent sedation, use larvae in small batches.</w:t>
      </w:r>
    </w:p>
    <w:p w14:paraId="3BD84DA0" w14:textId="77777777" w:rsidR="004E6E84" w:rsidRPr="00593BA2" w:rsidRDefault="004E6E84" w:rsidP="00092769">
      <w:pPr>
        <w:rPr>
          <w:iCs/>
        </w:rPr>
      </w:pPr>
    </w:p>
    <w:p w14:paraId="7426BD3A" w14:textId="3FAD9580"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90" w:author="Shivani Dogra" w:date="2026-05-21T14:22:00Z">
            <w:rPr>
              <w:rFonts w:ascii="Calibri" w:hAnsi="Calibri" w:cs="Calibri"/>
              <w:iCs/>
              <w:sz w:val="24"/>
              <w:szCs w:val="24"/>
            </w:rPr>
          </w:rPrChange>
        </w:rPr>
      </w:pPr>
      <w:r w:rsidRPr="00FC2939">
        <w:rPr>
          <w:rFonts w:ascii="Calibri" w:hAnsi="Calibri" w:cs="Calibri"/>
          <w:iCs/>
          <w:sz w:val="24"/>
          <w:szCs w:val="24"/>
          <w:highlight w:val="yellow"/>
          <w:rPrChange w:id="91" w:author="Shivani Dogra" w:date="2026-05-21T14:22:00Z">
            <w:rPr>
              <w:rFonts w:ascii="Calibri" w:hAnsi="Calibri" w:cs="Calibri"/>
              <w:iCs/>
              <w:sz w:val="24"/>
              <w:szCs w:val="24"/>
            </w:rPr>
          </w:rPrChange>
        </w:rPr>
        <w:t xml:space="preserve">Transfer individual 2 </w:t>
      </w:r>
      <w:proofErr w:type="spellStart"/>
      <w:r w:rsidRPr="00FC2939">
        <w:rPr>
          <w:rFonts w:ascii="Calibri" w:hAnsi="Calibri" w:cs="Calibri"/>
          <w:iCs/>
          <w:sz w:val="24"/>
          <w:szCs w:val="24"/>
          <w:highlight w:val="yellow"/>
          <w:rPrChange w:id="92" w:author="Shivani Dogra" w:date="2026-05-21T14:22:00Z">
            <w:rPr>
              <w:rFonts w:ascii="Calibri" w:hAnsi="Calibri" w:cs="Calibri"/>
              <w:iCs/>
              <w:sz w:val="24"/>
              <w:szCs w:val="24"/>
            </w:rPr>
          </w:rPrChange>
        </w:rPr>
        <w:t>dpf</w:t>
      </w:r>
      <w:proofErr w:type="spellEnd"/>
      <w:r w:rsidRPr="00FC2939">
        <w:rPr>
          <w:rFonts w:ascii="Calibri" w:hAnsi="Calibri" w:cs="Calibri"/>
          <w:iCs/>
          <w:sz w:val="24"/>
          <w:szCs w:val="24"/>
          <w:highlight w:val="yellow"/>
          <w:rPrChange w:id="93" w:author="Shivani Dogra" w:date="2026-05-21T14:22:00Z">
            <w:rPr>
              <w:rFonts w:ascii="Calibri" w:hAnsi="Calibri" w:cs="Calibri"/>
              <w:iCs/>
              <w:sz w:val="24"/>
              <w:szCs w:val="24"/>
            </w:rPr>
          </w:rPrChange>
        </w:rPr>
        <w:t xml:space="preserve"> larvae onto a solidified agarose injection plate. Multiple larvae (e.g., up to 10) may be positioned per dish, depending on handling capacity.</w:t>
      </w:r>
    </w:p>
    <w:p w14:paraId="0D364C90" w14:textId="77777777" w:rsidR="004E6E84" w:rsidRPr="00FC2939" w:rsidRDefault="004E6E84" w:rsidP="00092769">
      <w:pPr>
        <w:rPr>
          <w:iCs/>
          <w:highlight w:val="yellow"/>
          <w:rPrChange w:id="94" w:author="Shivani Dogra" w:date="2026-05-21T14:22:00Z">
            <w:rPr>
              <w:iCs/>
            </w:rPr>
          </w:rPrChange>
        </w:rPr>
      </w:pPr>
    </w:p>
    <w:p w14:paraId="7723F8C4" w14:textId="014D2778"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95" w:author="Shivani Dogra" w:date="2026-05-21T14:22:00Z">
            <w:rPr>
              <w:rFonts w:ascii="Calibri" w:hAnsi="Calibri" w:cs="Calibri"/>
              <w:iCs/>
              <w:sz w:val="24"/>
              <w:szCs w:val="24"/>
            </w:rPr>
          </w:rPrChange>
        </w:rPr>
      </w:pPr>
      <w:r w:rsidRPr="00FC2939">
        <w:rPr>
          <w:rFonts w:ascii="Calibri" w:hAnsi="Calibri" w:cs="Calibri"/>
          <w:iCs/>
          <w:sz w:val="24"/>
          <w:szCs w:val="24"/>
          <w:highlight w:val="yellow"/>
          <w:rPrChange w:id="96" w:author="Shivani Dogra" w:date="2026-05-21T14:22:00Z">
            <w:rPr>
              <w:rFonts w:ascii="Calibri" w:hAnsi="Calibri" w:cs="Calibri"/>
              <w:iCs/>
              <w:sz w:val="24"/>
              <w:szCs w:val="24"/>
            </w:rPr>
          </w:rPrChange>
        </w:rPr>
        <w:t>Place the dish under the stereomicroscope. Using a glass pipette, gently orient each larva such that the duct of Cuvier is clearly visible and accessible.</w:t>
      </w:r>
    </w:p>
    <w:p w14:paraId="3A0B69D8" w14:textId="77777777" w:rsidR="004E6E84" w:rsidRPr="00FC2939" w:rsidRDefault="004E6E84" w:rsidP="00092769">
      <w:pPr>
        <w:rPr>
          <w:iCs/>
          <w:highlight w:val="yellow"/>
          <w:rPrChange w:id="97" w:author="Shivani Dogra" w:date="2026-05-21T14:22:00Z">
            <w:rPr>
              <w:iCs/>
            </w:rPr>
          </w:rPrChange>
        </w:rPr>
      </w:pPr>
    </w:p>
    <w:p w14:paraId="62E85A02" w14:textId="18F7E5EB" w:rsidR="004E6E84" w:rsidRPr="00FC2939" w:rsidRDefault="00BD22A3" w:rsidP="00092769">
      <w:pPr>
        <w:rPr>
          <w:iCs/>
          <w:highlight w:val="yellow"/>
          <w:rPrChange w:id="98" w:author="Shivani Dogra" w:date="2026-05-21T14:22:00Z">
            <w:rPr>
              <w:iCs/>
            </w:rPr>
          </w:rPrChange>
        </w:rPr>
      </w:pPr>
      <w:r w:rsidRPr="00FC2939">
        <w:rPr>
          <w:iCs/>
          <w:highlight w:val="yellow"/>
          <w:rPrChange w:id="99" w:author="Shivani Dogra" w:date="2026-05-21T14:22:00Z">
            <w:rPr>
              <w:iCs/>
            </w:rPr>
          </w:rPrChange>
        </w:rPr>
        <w:t>NOTE: When working with multiple larvae, ensure that the agarose surface remains hydrated by periodically adding drops of E3 medium containing tricaine (1</w:t>
      </w:r>
      <w:r w:rsidR="005F553E" w:rsidRPr="00FC2939">
        <w:rPr>
          <w:iCs/>
          <w:highlight w:val="yellow"/>
          <w:rPrChange w:id="100" w:author="Shivani Dogra" w:date="2026-05-21T14:22:00Z">
            <w:rPr>
              <w:iCs/>
            </w:rPr>
          </w:rPrChange>
        </w:rPr>
        <w:sym w:font="Symbol" w:char="F0B4"/>
      </w:r>
      <w:r w:rsidRPr="00FC2939">
        <w:rPr>
          <w:iCs/>
          <w:highlight w:val="yellow"/>
          <w:rPrChange w:id="101" w:author="Shivani Dogra" w:date="2026-05-21T14:22:00Z">
            <w:rPr>
              <w:iCs/>
            </w:rPr>
          </w:rPrChange>
        </w:rPr>
        <w:t>) to prevent desiccation.</w:t>
      </w:r>
    </w:p>
    <w:p w14:paraId="06D1F711" w14:textId="77777777" w:rsidR="004E6E84" w:rsidRPr="00FC2939" w:rsidRDefault="004E6E84" w:rsidP="00092769">
      <w:pPr>
        <w:rPr>
          <w:iCs/>
          <w:highlight w:val="yellow"/>
          <w:rPrChange w:id="102" w:author="Shivani Dogra" w:date="2026-05-21T14:22:00Z">
            <w:rPr>
              <w:iCs/>
            </w:rPr>
          </w:rPrChange>
        </w:rPr>
      </w:pPr>
    </w:p>
    <w:p w14:paraId="3FFFEFB6" w14:textId="165943A7"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103" w:author="Shivani Dogra" w:date="2026-05-21T14:22:00Z">
            <w:rPr>
              <w:rFonts w:ascii="Calibri" w:hAnsi="Calibri" w:cs="Calibri"/>
              <w:iCs/>
              <w:sz w:val="24"/>
              <w:szCs w:val="24"/>
            </w:rPr>
          </w:rPrChange>
        </w:rPr>
      </w:pPr>
      <w:r w:rsidRPr="00FC2939">
        <w:rPr>
          <w:rFonts w:ascii="Calibri" w:hAnsi="Calibri" w:cs="Calibri"/>
          <w:iCs/>
          <w:sz w:val="24"/>
          <w:szCs w:val="24"/>
          <w:highlight w:val="yellow"/>
          <w:rPrChange w:id="104" w:author="Shivani Dogra" w:date="2026-05-21T14:22:00Z">
            <w:rPr>
              <w:rFonts w:ascii="Calibri" w:hAnsi="Calibri" w:cs="Calibri"/>
              <w:iCs/>
              <w:sz w:val="24"/>
              <w:szCs w:val="24"/>
            </w:rPr>
          </w:rPrChange>
        </w:rPr>
        <w:t xml:space="preserve">Position the micropipette tip at the entry point of the duct of Cuvier (as shown in </w:t>
      </w:r>
      <w:r w:rsidRPr="00FC2939">
        <w:rPr>
          <w:rFonts w:ascii="Calibri" w:hAnsi="Calibri" w:cs="Calibri"/>
          <w:b/>
          <w:bCs/>
          <w:iCs/>
          <w:sz w:val="24"/>
          <w:szCs w:val="24"/>
          <w:highlight w:val="yellow"/>
          <w:rPrChange w:id="105" w:author="Shivani Dogra" w:date="2026-05-21T14:22:00Z">
            <w:rPr>
              <w:rFonts w:ascii="Calibri" w:hAnsi="Calibri" w:cs="Calibri"/>
              <w:b/>
              <w:bCs/>
              <w:iCs/>
              <w:sz w:val="24"/>
              <w:szCs w:val="24"/>
            </w:rPr>
          </w:rPrChange>
        </w:rPr>
        <w:t xml:space="preserve">Figure </w:t>
      </w:r>
      <w:r w:rsidR="005F553E" w:rsidRPr="00FC2939">
        <w:rPr>
          <w:rFonts w:ascii="Calibri" w:hAnsi="Calibri" w:cs="Calibri"/>
          <w:b/>
          <w:bCs/>
          <w:iCs/>
          <w:sz w:val="24"/>
          <w:szCs w:val="24"/>
          <w:highlight w:val="yellow"/>
          <w:rPrChange w:id="106" w:author="Shivani Dogra" w:date="2026-05-21T14:22:00Z">
            <w:rPr>
              <w:rFonts w:ascii="Calibri" w:hAnsi="Calibri" w:cs="Calibri"/>
              <w:b/>
              <w:bCs/>
              <w:iCs/>
              <w:sz w:val="24"/>
              <w:szCs w:val="24"/>
            </w:rPr>
          </w:rPrChange>
        </w:rPr>
        <w:t>3</w:t>
      </w:r>
      <w:r w:rsidRPr="00FC2939">
        <w:rPr>
          <w:rFonts w:ascii="Calibri" w:hAnsi="Calibri" w:cs="Calibri"/>
          <w:iCs/>
          <w:sz w:val="24"/>
          <w:szCs w:val="24"/>
          <w:highlight w:val="yellow"/>
          <w:rPrChange w:id="107" w:author="Shivani Dogra" w:date="2026-05-21T14:22:00Z">
            <w:rPr>
              <w:rFonts w:ascii="Calibri" w:hAnsi="Calibri" w:cs="Calibri"/>
              <w:iCs/>
              <w:sz w:val="24"/>
              <w:szCs w:val="24"/>
            </w:rPr>
          </w:rPrChange>
        </w:rPr>
        <w:t>), identifiable by tracking the blood cells moving toward the heart under the stereomicroscope.</w:t>
      </w:r>
    </w:p>
    <w:p w14:paraId="589BFD38" w14:textId="77777777" w:rsidR="004E6E84" w:rsidRPr="00FC2939" w:rsidRDefault="004E6E84" w:rsidP="00092769">
      <w:pPr>
        <w:rPr>
          <w:iCs/>
          <w:highlight w:val="yellow"/>
          <w:rPrChange w:id="108" w:author="Shivani Dogra" w:date="2026-05-21T14:22:00Z">
            <w:rPr>
              <w:iCs/>
            </w:rPr>
          </w:rPrChange>
        </w:rPr>
      </w:pPr>
    </w:p>
    <w:p w14:paraId="734E40F5" w14:textId="016284F2"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109" w:author="Shivani Dogra" w:date="2026-05-21T14:22:00Z">
            <w:rPr>
              <w:rFonts w:ascii="Calibri" w:hAnsi="Calibri" w:cs="Calibri"/>
              <w:iCs/>
              <w:sz w:val="24"/>
              <w:szCs w:val="24"/>
            </w:rPr>
          </w:rPrChange>
        </w:rPr>
      </w:pPr>
      <w:r w:rsidRPr="00FC2939">
        <w:rPr>
          <w:rFonts w:ascii="Calibri" w:hAnsi="Calibri" w:cs="Calibri"/>
          <w:iCs/>
          <w:sz w:val="24"/>
          <w:szCs w:val="24"/>
          <w:highlight w:val="yellow"/>
          <w:rPrChange w:id="110" w:author="Shivani Dogra" w:date="2026-05-21T14:22:00Z">
            <w:rPr>
              <w:rFonts w:ascii="Calibri" w:hAnsi="Calibri" w:cs="Calibri"/>
              <w:iCs/>
              <w:sz w:val="24"/>
              <w:szCs w:val="24"/>
            </w:rPr>
          </w:rPrChange>
        </w:rPr>
        <w:t xml:space="preserve">Inject two consecutive droplets (~1 </w:t>
      </w:r>
      <w:proofErr w:type="spellStart"/>
      <w:r w:rsidRPr="00FC2939">
        <w:rPr>
          <w:rFonts w:ascii="Calibri" w:hAnsi="Calibri" w:cs="Calibri"/>
          <w:iCs/>
          <w:sz w:val="24"/>
          <w:szCs w:val="24"/>
          <w:highlight w:val="yellow"/>
          <w:rPrChange w:id="111" w:author="Shivani Dogra" w:date="2026-05-21T14:22:00Z">
            <w:rPr>
              <w:rFonts w:ascii="Calibri" w:hAnsi="Calibri" w:cs="Calibri"/>
              <w:iCs/>
              <w:sz w:val="24"/>
              <w:szCs w:val="24"/>
            </w:rPr>
          </w:rPrChange>
        </w:rPr>
        <w:t>nL</w:t>
      </w:r>
      <w:proofErr w:type="spellEnd"/>
      <w:r w:rsidRPr="00FC2939">
        <w:rPr>
          <w:rFonts w:ascii="Calibri" w:hAnsi="Calibri" w:cs="Calibri"/>
          <w:iCs/>
          <w:sz w:val="24"/>
          <w:szCs w:val="24"/>
          <w:highlight w:val="yellow"/>
          <w:rPrChange w:id="112" w:author="Shivani Dogra" w:date="2026-05-21T14:22:00Z">
            <w:rPr>
              <w:rFonts w:ascii="Calibri" w:hAnsi="Calibri" w:cs="Calibri"/>
              <w:iCs/>
              <w:sz w:val="24"/>
              <w:szCs w:val="24"/>
            </w:rPr>
          </w:rPrChange>
        </w:rPr>
        <w:t xml:space="preserve"> each) of the prepared solution into the duct of Cuvier, with an interval of approximately 20 s between injections to allow proper distribution.</w:t>
      </w:r>
    </w:p>
    <w:p w14:paraId="1C1EDB43" w14:textId="77777777" w:rsidR="004E6E84" w:rsidRPr="00FC2939" w:rsidRDefault="004E6E84" w:rsidP="00092769">
      <w:pPr>
        <w:rPr>
          <w:iCs/>
          <w:highlight w:val="yellow"/>
          <w:rPrChange w:id="113" w:author="Shivani Dogra" w:date="2026-05-21T14:22:00Z">
            <w:rPr>
              <w:iCs/>
            </w:rPr>
          </w:rPrChange>
        </w:rPr>
      </w:pPr>
    </w:p>
    <w:p w14:paraId="66CE4E50" w14:textId="3B92DFB4"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114" w:author="Shivani Dogra" w:date="2026-05-21T14:22:00Z">
            <w:rPr>
              <w:rFonts w:ascii="Calibri" w:hAnsi="Calibri" w:cs="Calibri"/>
              <w:iCs/>
              <w:sz w:val="24"/>
              <w:szCs w:val="24"/>
            </w:rPr>
          </w:rPrChange>
        </w:rPr>
      </w:pPr>
      <w:r w:rsidRPr="00FC2939">
        <w:rPr>
          <w:rFonts w:ascii="Calibri" w:hAnsi="Calibri" w:cs="Calibri"/>
          <w:iCs/>
          <w:sz w:val="24"/>
          <w:szCs w:val="24"/>
          <w:highlight w:val="yellow"/>
          <w:rPrChange w:id="115" w:author="Shivani Dogra" w:date="2026-05-21T14:22:00Z">
            <w:rPr>
              <w:rFonts w:ascii="Calibri" w:hAnsi="Calibri" w:cs="Calibri"/>
              <w:iCs/>
              <w:sz w:val="24"/>
              <w:szCs w:val="24"/>
            </w:rPr>
          </w:rPrChange>
        </w:rPr>
        <w:t>Following injection, gently transfer the larvae from the agarose plate into a fresh 100 mm Petri dish containing 40 mL of E3 medium. Minimize mechanical stress during transfer.</w:t>
      </w:r>
    </w:p>
    <w:p w14:paraId="139F3D04" w14:textId="77777777" w:rsidR="004E6E84" w:rsidRPr="00FC2939" w:rsidRDefault="004E6E84" w:rsidP="00092769">
      <w:pPr>
        <w:rPr>
          <w:iCs/>
          <w:highlight w:val="yellow"/>
          <w:rPrChange w:id="116" w:author="Shivani Dogra" w:date="2026-05-21T14:22:00Z">
            <w:rPr>
              <w:iCs/>
            </w:rPr>
          </w:rPrChange>
        </w:rPr>
      </w:pPr>
    </w:p>
    <w:p w14:paraId="5EF46FC8" w14:textId="0C9CC12E" w:rsidR="004E6E84" w:rsidRPr="00FC2939" w:rsidRDefault="00000000" w:rsidP="008F5E68">
      <w:pPr>
        <w:pStyle w:val="ListParagraph"/>
        <w:numPr>
          <w:ilvl w:val="1"/>
          <w:numId w:val="1"/>
        </w:numPr>
        <w:spacing w:after="0" w:line="240" w:lineRule="auto"/>
        <w:ind w:left="0" w:firstLine="0"/>
        <w:rPr>
          <w:rFonts w:ascii="Calibri" w:hAnsi="Calibri" w:cs="Calibri"/>
          <w:iCs/>
          <w:sz w:val="24"/>
          <w:szCs w:val="24"/>
          <w:highlight w:val="yellow"/>
          <w:rPrChange w:id="117" w:author="Shivani Dogra" w:date="2026-05-21T14:22:00Z">
            <w:rPr>
              <w:rFonts w:ascii="Calibri" w:hAnsi="Calibri" w:cs="Calibri"/>
              <w:iCs/>
              <w:sz w:val="24"/>
              <w:szCs w:val="24"/>
            </w:rPr>
          </w:rPrChange>
        </w:rPr>
      </w:pPr>
      <w:r w:rsidRPr="00FC2939">
        <w:rPr>
          <w:rFonts w:ascii="Calibri" w:hAnsi="Calibri" w:cs="Calibri"/>
          <w:iCs/>
          <w:sz w:val="24"/>
          <w:szCs w:val="24"/>
          <w:highlight w:val="yellow"/>
          <w:rPrChange w:id="118" w:author="Shivani Dogra" w:date="2026-05-21T14:22:00Z">
            <w:rPr>
              <w:rFonts w:ascii="Calibri" w:hAnsi="Calibri" w:cs="Calibri"/>
              <w:iCs/>
              <w:sz w:val="24"/>
              <w:szCs w:val="24"/>
            </w:rPr>
          </w:rPrChange>
        </w:rPr>
        <w:t>Return the larvae to the incubator at 28.5 °C for recovery.</w:t>
      </w:r>
    </w:p>
    <w:p w14:paraId="627147BC" w14:textId="77777777" w:rsidR="004E6E84" w:rsidRPr="00593BA2" w:rsidRDefault="004E6E84" w:rsidP="00092769">
      <w:pPr>
        <w:rPr>
          <w:iCs/>
        </w:rPr>
      </w:pPr>
    </w:p>
    <w:p w14:paraId="2ED9EFB5" w14:textId="3C8DC31F"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F80991">
        <w:rPr>
          <w:rFonts w:ascii="Calibri" w:hAnsi="Calibri" w:cs="Calibri"/>
          <w:iCs/>
          <w:sz w:val="24"/>
          <w:szCs w:val="24"/>
          <w:highlight w:val="yellow"/>
          <w:rPrChange w:id="119" w:author="Shivani Dogra" w:date="2026-05-21T14:46:00Z">
            <w:rPr>
              <w:rFonts w:ascii="Calibri" w:hAnsi="Calibri" w:cs="Calibri"/>
              <w:iCs/>
              <w:sz w:val="24"/>
              <w:szCs w:val="24"/>
            </w:rPr>
          </w:rPrChange>
        </w:rPr>
        <w:t xml:space="preserve">On the following day (3 </w:t>
      </w:r>
      <w:proofErr w:type="spellStart"/>
      <w:r w:rsidRPr="00F80991">
        <w:rPr>
          <w:rFonts w:ascii="Calibri" w:hAnsi="Calibri" w:cs="Calibri"/>
          <w:iCs/>
          <w:sz w:val="24"/>
          <w:szCs w:val="24"/>
          <w:highlight w:val="yellow"/>
          <w:rPrChange w:id="120" w:author="Shivani Dogra" w:date="2026-05-21T14:46:00Z">
            <w:rPr>
              <w:rFonts w:ascii="Calibri" w:hAnsi="Calibri" w:cs="Calibri"/>
              <w:iCs/>
              <w:sz w:val="24"/>
              <w:szCs w:val="24"/>
            </w:rPr>
          </w:rPrChange>
        </w:rPr>
        <w:t>dpf</w:t>
      </w:r>
      <w:proofErr w:type="spellEnd"/>
      <w:r w:rsidRPr="00F80991">
        <w:rPr>
          <w:rFonts w:ascii="Calibri" w:hAnsi="Calibri" w:cs="Calibri"/>
          <w:iCs/>
          <w:sz w:val="24"/>
          <w:szCs w:val="24"/>
          <w:highlight w:val="yellow"/>
          <w:rPrChange w:id="121" w:author="Shivani Dogra" w:date="2026-05-21T14:46:00Z">
            <w:rPr>
              <w:rFonts w:ascii="Calibri" w:hAnsi="Calibri" w:cs="Calibri"/>
              <w:iCs/>
              <w:sz w:val="24"/>
              <w:szCs w:val="24"/>
            </w:rPr>
          </w:rPrChange>
        </w:rPr>
        <w:t>), repeat the microinjection procedure as described in steps 6.8–6.13</w:t>
      </w:r>
      <w:r w:rsidRPr="00593BA2">
        <w:rPr>
          <w:rFonts w:ascii="Calibri" w:hAnsi="Calibri" w:cs="Calibri"/>
          <w:iCs/>
          <w:sz w:val="24"/>
          <w:szCs w:val="24"/>
        </w:rPr>
        <w:t>.</w:t>
      </w:r>
    </w:p>
    <w:p w14:paraId="79CDC89E" w14:textId="77777777" w:rsidR="004E6E84" w:rsidRPr="00593BA2" w:rsidRDefault="004E6E84" w:rsidP="00092769">
      <w:pPr>
        <w:rPr>
          <w:iCs/>
        </w:rPr>
      </w:pPr>
    </w:p>
    <w:p w14:paraId="66965BBE" w14:textId="25835A26" w:rsidR="004E6E84" w:rsidRPr="00593BA2" w:rsidRDefault="00BD22A3" w:rsidP="00092769">
      <w:pPr>
        <w:rPr>
          <w:iCs/>
        </w:rPr>
      </w:pPr>
      <w:r w:rsidRPr="00593BA2">
        <w:rPr>
          <w:iCs/>
        </w:rPr>
        <w:t>NOTE: A single injection produces only short</w:t>
      </w:r>
      <w:r w:rsidRPr="00593BA2">
        <w:rPr>
          <w:iCs/>
        </w:rPr>
        <w:noBreakHyphen/>
        <w:t>lived signaling and no consistent behavioral response, whereas the second injection ensures sustained activation of inflammatory pathways across the early</w:t>
      </w:r>
      <w:r w:rsidRPr="00593BA2">
        <w:rPr>
          <w:iCs/>
        </w:rPr>
        <w:noBreakHyphen/>
        <w:t>larval developmental window relevant for neurodevelopment and produce</w:t>
      </w:r>
      <w:r w:rsidR="005F553E" w:rsidRPr="00593BA2">
        <w:rPr>
          <w:iCs/>
        </w:rPr>
        <w:t>s</w:t>
      </w:r>
      <w:r w:rsidRPr="00593BA2">
        <w:rPr>
          <w:iCs/>
        </w:rPr>
        <w:t xml:space="preserve"> behavioral changes as described in the Representative results section.</w:t>
      </w:r>
    </w:p>
    <w:p w14:paraId="0CA35221" w14:textId="77777777" w:rsidR="004E6E84" w:rsidRPr="00593BA2" w:rsidRDefault="004E6E84" w:rsidP="00092769">
      <w:pPr>
        <w:rPr>
          <w:iCs/>
        </w:rPr>
      </w:pPr>
    </w:p>
    <w:p w14:paraId="709273E2" w14:textId="3E5F7DDA" w:rsidR="004E6E84" w:rsidRPr="00593BA2" w:rsidRDefault="00000000" w:rsidP="008F5E68">
      <w:pPr>
        <w:pStyle w:val="ListParagraph"/>
        <w:numPr>
          <w:ilvl w:val="1"/>
          <w:numId w:val="1"/>
        </w:numPr>
        <w:spacing w:after="0" w:line="240" w:lineRule="auto"/>
        <w:ind w:left="0" w:firstLine="0"/>
        <w:rPr>
          <w:rFonts w:ascii="Calibri" w:hAnsi="Calibri" w:cs="Calibri"/>
          <w:iCs/>
          <w:sz w:val="24"/>
          <w:szCs w:val="24"/>
        </w:rPr>
      </w:pPr>
      <w:r w:rsidRPr="00593BA2">
        <w:rPr>
          <w:rFonts w:ascii="Calibri" w:hAnsi="Calibri" w:cs="Calibri"/>
          <w:iCs/>
          <w:sz w:val="24"/>
          <w:szCs w:val="24"/>
        </w:rPr>
        <w:t xml:space="preserve">At 5 </w:t>
      </w:r>
      <w:proofErr w:type="spellStart"/>
      <w:r w:rsidRPr="00593BA2">
        <w:rPr>
          <w:rFonts w:ascii="Calibri" w:hAnsi="Calibri" w:cs="Calibri"/>
          <w:iCs/>
          <w:sz w:val="24"/>
          <w:szCs w:val="24"/>
        </w:rPr>
        <w:t>dpf</w:t>
      </w:r>
      <w:proofErr w:type="spellEnd"/>
      <w:r w:rsidRPr="00593BA2">
        <w:rPr>
          <w:rFonts w:ascii="Calibri" w:hAnsi="Calibri" w:cs="Calibri"/>
          <w:iCs/>
          <w:sz w:val="24"/>
          <w:szCs w:val="24"/>
        </w:rPr>
        <w:t xml:space="preserve">, </w:t>
      </w:r>
      <w:r w:rsidR="005F553E" w:rsidRPr="00593BA2">
        <w:rPr>
          <w:rFonts w:ascii="Calibri" w:hAnsi="Calibri" w:cs="Calibri"/>
          <w:iCs/>
          <w:sz w:val="24"/>
          <w:szCs w:val="24"/>
        </w:rPr>
        <w:t xml:space="preserve">use the </w:t>
      </w:r>
      <w:r w:rsidRPr="00593BA2">
        <w:rPr>
          <w:rFonts w:ascii="Calibri" w:hAnsi="Calibri" w:cs="Calibri"/>
          <w:iCs/>
          <w:sz w:val="24"/>
          <w:szCs w:val="24"/>
        </w:rPr>
        <w:t>larvae for downstream applications, including behavioral assays, brain imaging, or immunofluorescence analysis.</w:t>
      </w:r>
    </w:p>
    <w:p w14:paraId="3D749246" w14:textId="77777777" w:rsidR="004E6E84" w:rsidRPr="00593BA2" w:rsidRDefault="004E6E84" w:rsidP="008F5E68">
      <w:pPr>
        <w:rPr>
          <w:color w:val="808080"/>
        </w:rPr>
      </w:pPr>
    </w:p>
    <w:p w14:paraId="3C1C53EF" w14:textId="77777777" w:rsidR="004E6E84" w:rsidRPr="00593BA2" w:rsidRDefault="00000000" w:rsidP="008F5E68">
      <w:pPr>
        <w:rPr>
          <w:color w:val="808080"/>
        </w:rPr>
      </w:pPr>
      <w:hyperlink r:id="rId9">
        <w:bookmarkStart w:id="122" w:name="3dy6vkm"/>
        <w:bookmarkEnd w:id="122"/>
        <w:r w:rsidR="004E6E84" w:rsidRPr="00593BA2">
          <w:rPr>
            <w:b/>
            <w:color w:val="000000"/>
          </w:rPr>
          <w:t>REPRESENTATIVE RESULTS</w:t>
        </w:r>
      </w:hyperlink>
      <w:r w:rsidR="004E6E84" w:rsidRPr="00593BA2">
        <w:rPr>
          <w:b/>
          <w:color w:val="000000"/>
        </w:rPr>
        <w:t>:</w:t>
      </w:r>
      <w:r w:rsidR="004E6E84" w:rsidRPr="00593BA2">
        <w:rPr>
          <w:color w:val="808080"/>
        </w:rPr>
        <w:t xml:space="preserve"> </w:t>
      </w:r>
    </w:p>
    <w:p w14:paraId="25DC288A" w14:textId="706BE005" w:rsidR="004E6E84" w:rsidRPr="00593BA2" w:rsidRDefault="00000000" w:rsidP="008F5E68">
      <w:pPr>
        <w:rPr>
          <w:rFonts w:eastAsiaTheme="minorHAnsi"/>
        </w:rPr>
      </w:pPr>
      <w:r w:rsidRPr="00593BA2">
        <w:rPr>
          <w:rFonts w:eastAsiaTheme="minorHAnsi"/>
        </w:rPr>
        <w:t>To evaluate the effects of IL</w:t>
      </w:r>
      <w:r w:rsidRPr="00593BA2">
        <w:rPr>
          <w:rFonts w:eastAsiaTheme="minorHAnsi"/>
        </w:rPr>
        <w:noBreakHyphen/>
        <w:t>6 microinjection on larval physiology and behavior, we compared IL</w:t>
      </w:r>
      <w:r w:rsidRPr="00593BA2">
        <w:rPr>
          <w:rFonts w:eastAsiaTheme="minorHAnsi"/>
        </w:rPr>
        <w:noBreakHyphen/>
        <w:t>6–injected larvae with NaCl</w:t>
      </w:r>
      <w:r w:rsidRPr="00593BA2">
        <w:rPr>
          <w:rFonts w:eastAsiaTheme="minorHAnsi"/>
        </w:rPr>
        <w:noBreakHyphen/>
        <w:t>injected controls across survival and two behavioral readouts commonly used to assess anxiety</w:t>
      </w:r>
      <w:r w:rsidRPr="00593BA2">
        <w:rPr>
          <w:rFonts w:eastAsiaTheme="minorHAnsi"/>
        </w:rPr>
        <w:noBreakHyphen/>
        <w:t>like and repetitive behaviors in zebrafish. IL</w:t>
      </w:r>
      <w:r w:rsidRPr="00593BA2">
        <w:rPr>
          <w:rFonts w:eastAsiaTheme="minorHAnsi"/>
        </w:rPr>
        <w:noBreakHyphen/>
        <w:t>6 microinjection did not affect larval viability compared to NaCl-injections (</w:t>
      </w:r>
      <w:r w:rsidRPr="00593BA2">
        <w:rPr>
          <w:rFonts w:eastAsiaTheme="minorHAnsi"/>
          <w:b/>
          <w:bCs/>
        </w:rPr>
        <w:t xml:space="preserve">Figure </w:t>
      </w:r>
      <w:r w:rsidR="005F553E" w:rsidRPr="00593BA2">
        <w:rPr>
          <w:rFonts w:eastAsiaTheme="minorHAnsi"/>
          <w:b/>
          <w:bCs/>
        </w:rPr>
        <w:t>4A</w:t>
      </w:r>
      <w:r w:rsidRPr="00593BA2">
        <w:rPr>
          <w:rFonts w:eastAsiaTheme="minorHAnsi"/>
        </w:rPr>
        <w:t xml:space="preserve">). Survival rates at 5 </w:t>
      </w:r>
      <w:proofErr w:type="spellStart"/>
      <w:r w:rsidRPr="00593BA2">
        <w:rPr>
          <w:rFonts w:eastAsiaTheme="minorHAnsi"/>
        </w:rPr>
        <w:t>dpf</w:t>
      </w:r>
      <w:proofErr w:type="spellEnd"/>
      <w:r w:rsidRPr="00593BA2">
        <w:rPr>
          <w:rFonts w:eastAsiaTheme="minorHAnsi"/>
        </w:rPr>
        <w:t xml:space="preserve"> were indistinguishable between IL</w:t>
      </w:r>
      <w:r w:rsidRPr="00593BA2">
        <w:rPr>
          <w:rFonts w:eastAsiaTheme="minorHAnsi"/>
        </w:rPr>
        <w:noBreakHyphen/>
        <w:t>6–injected and NaCl</w:t>
      </w:r>
      <w:r w:rsidRPr="00593BA2">
        <w:rPr>
          <w:rFonts w:eastAsiaTheme="minorHAnsi"/>
        </w:rPr>
        <w:noBreakHyphen/>
        <w:t xml:space="preserve">injected groups, indicating that the dosing regimen is well tolerated and does not introduce nonspecific toxicity. Microinjections themselves slightly reduced viability compared to </w:t>
      </w:r>
      <w:proofErr w:type="spellStart"/>
      <w:r w:rsidRPr="00593BA2">
        <w:rPr>
          <w:rFonts w:eastAsiaTheme="minorHAnsi"/>
        </w:rPr>
        <w:t>uninjected</w:t>
      </w:r>
      <w:proofErr w:type="spellEnd"/>
      <w:r w:rsidRPr="00593BA2">
        <w:rPr>
          <w:rFonts w:eastAsiaTheme="minorHAnsi"/>
        </w:rPr>
        <w:t xml:space="preserve"> siblings, indicating a modest handling</w:t>
      </w:r>
      <w:r w:rsidRPr="00593BA2">
        <w:rPr>
          <w:rFonts w:eastAsiaTheme="minorHAnsi"/>
        </w:rPr>
        <w:noBreakHyphen/>
        <w:t>related impact independent of IL</w:t>
      </w:r>
      <w:r w:rsidRPr="00593BA2">
        <w:rPr>
          <w:rFonts w:eastAsiaTheme="minorHAnsi"/>
        </w:rPr>
        <w:noBreakHyphen/>
        <w:t>6 exposure. This confirms that the protocol is suitable for downstream behavioral analyses.</w:t>
      </w:r>
    </w:p>
    <w:p w14:paraId="2414CE44" w14:textId="77777777" w:rsidR="005F553E" w:rsidRPr="00593BA2" w:rsidRDefault="005F553E" w:rsidP="008F5E68">
      <w:pPr>
        <w:rPr>
          <w:rFonts w:eastAsiaTheme="minorHAnsi"/>
        </w:rPr>
      </w:pPr>
    </w:p>
    <w:p w14:paraId="0A0BFC7E" w14:textId="0EEF33CF" w:rsidR="004E6E84" w:rsidRPr="00593BA2" w:rsidRDefault="00000000" w:rsidP="008F5E68">
      <w:pPr>
        <w:rPr>
          <w:rFonts w:eastAsiaTheme="minorHAnsi"/>
        </w:rPr>
      </w:pPr>
      <w:r w:rsidRPr="00593BA2">
        <w:rPr>
          <w:rFonts w:eastAsiaTheme="minorHAnsi"/>
        </w:rPr>
        <w:lastRenderedPageBreak/>
        <w:t xml:space="preserve">To validate that </w:t>
      </w:r>
      <w:r w:rsidR="005F553E" w:rsidRPr="00593BA2">
        <w:rPr>
          <w:rFonts w:eastAsiaTheme="minorHAnsi"/>
        </w:rPr>
        <w:t xml:space="preserve">the </w:t>
      </w:r>
      <w:r w:rsidRPr="00593BA2">
        <w:rPr>
          <w:rFonts w:eastAsiaTheme="minorHAnsi"/>
        </w:rPr>
        <w:t>IL</w:t>
      </w:r>
      <w:r w:rsidRPr="00593BA2">
        <w:rPr>
          <w:rFonts w:eastAsiaTheme="minorHAnsi"/>
        </w:rPr>
        <w:noBreakHyphen/>
        <w:t xml:space="preserve">6 microinjection paradigm induces a measurable inflammatory response at 5 </w:t>
      </w:r>
      <w:proofErr w:type="spellStart"/>
      <w:r w:rsidRPr="00593BA2">
        <w:rPr>
          <w:rFonts w:eastAsiaTheme="minorHAnsi"/>
        </w:rPr>
        <w:t>dpf</w:t>
      </w:r>
      <w:proofErr w:type="spellEnd"/>
      <w:r w:rsidRPr="00593BA2">
        <w:rPr>
          <w:rFonts w:eastAsiaTheme="minorHAnsi"/>
        </w:rPr>
        <w:t>, we quantified prostaglandin E2 (PGE2), a downstream mediator of cytokine</w:t>
      </w:r>
      <w:r w:rsidRPr="00593BA2">
        <w:rPr>
          <w:rFonts w:eastAsiaTheme="minorHAnsi"/>
        </w:rPr>
        <w:noBreakHyphen/>
        <w:t>driven inflammatory signaling</w:t>
      </w:r>
      <w:r w:rsidRPr="00593BA2">
        <w:fldChar w:fldCharType="begin"/>
      </w:r>
      <w:r w:rsidRPr="00593BA2">
        <w:rPr>
          <w:rFonts w:eastAsia="Cambria"/>
        </w:rPr>
        <w:instrText>ADDIN ZOTERO_ITEM CSL_CITATION {"citationID":"39nd9Ul4","properties":{"formattedCitation":"\\super 25\\nosupersub{}","plainCitation":"25","noteIndex":0},"citationItems":[{"id":297,"uris":["http://zotero.org/users/18011399/items/8ES75KDY"],"itemData":{"id":297,"type":"article-journal","container-title":"Nature Reviews Immunology","DOI":"10.1038/nri3843","ISSN":"1474-1733, 1474-1741","issue":"6","journalAbbreviation":"Nat Rev Immunol","language":"en","page":"335-349","source":"DOI.org (Crossref)","title":"Fever and the thermal regulation of immunity: the immune system feels the heat","title-short":"Fever and the thermal regulation of immunity","volume":"15","author":[{"family":"Evans","given":"Sharon S."},{"family":"Repasky","given":"Elizabeth A."},{"family":"Fisher","given":"Daniel T."}],"issued":{"date-parts":[["2015",6]]}}}],"schema":"https://github.com/citation-style-language/schema/raw/master/csl-citation.json"}</w:instrText>
      </w:r>
      <w:r w:rsidRPr="00593BA2">
        <w:rPr>
          <w:rFonts w:eastAsia="Cambria"/>
        </w:rPr>
        <w:fldChar w:fldCharType="separate"/>
      </w:r>
      <w:r w:rsidRPr="00593BA2">
        <w:rPr>
          <w:vertAlign w:val="superscript"/>
        </w:rPr>
        <w:t>25</w:t>
      </w:r>
      <w:r w:rsidRPr="00593BA2">
        <w:rPr>
          <w:rFonts w:eastAsia="Cambria"/>
        </w:rPr>
        <w:fldChar w:fldCharType="end"/>
      </w:r>
      <w:r w:rsidRPr="00593BA2">
        <w:rPr>
          <w:rFonts w:eastAsiaTheme="minorHAnsi"/>
        </w:rPr>
        <w:t>. The tsc2-/- homozygous mutants displayed elevated baseline PGE2 levels even without IL</w:t>
      </w:r>
      <w:r w:rsidRPr="00593BA2">
        <w:rPr>
          <w:rFonts w:eastAsiaTheme="minorHAnsi"/>
        </w:rPr>
        <w:noBreakHyphen/>
        <w:t>6 injection, significantly higher than their wild</w:t>
      </w:r>
      <w:r w:rsidRPr="00593BA2">
        <w:rPr>
          <w:rFonts w:eastAsiaTheme="minorHAnsi"/>
        </w:rPr>
        <w:noBreakHyphen/>
        <w:t>type (WT) tsc2+/+ siblings (</w:t>
      </w:r>
      <w:r w:rsidRPr="00593BA2">
        <w:rPr>
          <w:rFonts w:eastAsiaTheme="minorHAnsi"/>
          <w:b/>
          <w:bCs/>
        </w:rPr>
        <w:t xml:space="preserve">Figure </w:t>
      </w:r>
      <w:r w:rsidR="005F553E" w:rsidRPr="00593BA2">
        <w:rPr>
          <w:rFonts w:eastAsiaTheme="minorHAnsi"/>
          <w:b/>
          <w:bCs/>
        </w:rPr>
        <w:t>4B</w:t>
      </w:r>
      <w:r w:rsidRPr="00593BA2">
        <w:rPr>
          <w:rFonts w:eastAsiaTheme="minorHAnsi"/>
        </w:rPr>
        <w:t>). Heterozygous tsc2+/- mutants showed a modest, non</w:t>
      </w:r>
      <w:r w:rsidRPr="00593BA2">
        <w:rPr>
          <w:rFonts w:eastAsiaTheme="minorHAnsi"/>
        </w:rPr>
        <w:noBreakHyphen/>
        <w:t>significant increase in baseline PGE2 compared with WT larvae, but importantly, their PGE2 levels rose sharply following IL</w:t>
      </w:r>
      <w:r w:rsidRPr="00593BA2">
        <w:rPr>
          <w:rFonts w:eastAsiaTheme="minorHAnsi"/>
        </w:rPr>
        <w:noBreakHyphen/>
        <w:t>6 microinjection. This pattern is consistent with our goal of modeling gene × environment interactions: WT larvae remain largely unaffected by mild, transient IL</w:t>
      </w:r>
      <w:r w:rsidRPr="00593BA2">
        <w:rPr>
          <w:rFonts w:eastAsiaTheme="minorHAnsi"/>
        </w:rPr>
        <w:noBreakHyphen/>
        <w:t>6 exposure, whereas genetically susceptible tsc2+/- mutants exhibit a pronounced inflammatory response.</w:t>
      </w:r>
    </w:p>
    <w:p w14:paraId="1A9962C4" w14:textId="77777777" w:rsidR="005F553E" w:rsidRPr="00593BA2" w:rsidRDefault="005F553E" w:rsidP="008F5E68">
      <w:pPr>
        <w:rPr>
          <w:rFonts w:eastAsiaTheme="minorHAnsi"/>
        </w:rPr>
      </w:pPr>
    </w:p>
    <w:p w14:paraId="08E236C2" w14:textId="0CB70942" w:rsidR="004E6E84" w:rsidRPr="00593BA2" w:rsidRDefault="00000000" w:rsidP="008F5E68">
      <w:pPr>
        <w:rPr>
          <w:rFonts w:eastAsiaTheme="minorHAnsi"/>
        </w:rPr>
      </w:pPr>
      <w:r w:rsidRPr="00593BA2">
        <w:rPr>
          <w:rFonts w:eastAsiaTheme="minorHAnsi"/>
        </w:rPr>
        <w:t>In line with these genotype</w:t>
      </w:r>
      <w:r w:rsidRPr="00593BA2">
        <w:rPr>
          <w:rFonts w:eastAsiaTheme="minorHAnsi"/>
        </w:rPr>
        <w:noBreakHyphen/>
        <w:t>dependent differences in inflammatory tone, we next examined whether IL</w:t>
      </w:r>
      <w:r w:rsidRPr="00593BA2">
        <w:rPr>
          <w:rFonts w:eastAsiaTheme="minorHAnsi"/>
        </w:rPr>
        <w:noBreakHyphen/>
        <w:t>6–induced signaling translated into measurable behavioral changes in the open</w:t>
      </w:r>
      <w:r w:rsidRPr="00593BA2">
        <w:rPr>
          <w:rFonts w:eastAsiaTheme="minorHAnsi"/>
        </w:rPr>
        <w:noBreakHyphen/>
        <w:t>field assay. Open</w:t>
      </w:r>
      <w:r w:rsidRPr="00593BA2">
        <w:rPr>
          <w:rFonts w:eastAsiaTheme="minorHAnsi"/>
        </w:rPr>
        <w:noBreakHyphen/>
        <w:t xml:space="preserve">field test at 5 </w:t>
      </w:r>
      <w:proofErr w:type="spellStart"/>
      <w:r w:rsidRPr="00593BA2">
        <w:rPr>
          <w:rFonts w:eastAsiaTheme="minorHAnsi"/>
        </w:rPr>
        <w:t>dpf</w:t>
      </w:r>
      <w:proofErr w:type="spellEnd"/>
      <w:r w:rsidRPr="00593BA2">
        <w:rPr>
          <w:rFonts w:eastAsiaTheme="minorHAnsi"/>
        </w:rPr>
        <w:t xml:space="preserve"> (as previously described</w:t>
      </w:r>
      <w:r w:rsidRPr="00593BA2">
        <w:fldChar w:fldCharType="begin"/>
      </w:r>
      <w:r w:rsidRPr="00593BA2">
        <w:rPr>
          <w:rFonts w:eastAsia="Cambria"/>
        </w:rPr>
        <w:instrText>ADDIN ZOTERO_ITEM CSL_CITATION {"citationID":"WIl6AZpy","properties":{"formattedCitation":"\\super 26\\nosupersub{}","plainCitation":"26","noteIndex":0},"citationItems":[{"id":299,"uris":["http://zotero.org/users/18011399/items/6AIEP38F"],"itemData":{"id":299,"type":"article-journal","abstract":"Significance\n            Tuberous Sclerosis Complex (TSC) is a hereditary disease that presents with early brain malformations, childhood epilepsy, and TSC-associated neuropsychiatric disorders (TANDs). Cortical malformations arise in utero and have been linked to childhood epilepsy before. Externally developing zebrafish seem convenient to study elementary neurodevelopment; however, without the in-depth functional analysis, the Tsc2-deficient zebrafish cannot be used for studies of TANDs. Here, we found that Tsc2-deficient zebrafish recapitulated symptoms seen in TSC patients on anatomical and behavioral levels, including aberrant brain morphology, thinning of brain connections, epileptogenesis, and increased anxiety-like behavior, which was rescued by reducing TrkB signaling, revealing a potential drug target. Moreover, we show that commissural thinning cause aberrant regulation of anxiety, providing a link between brain anatomy and emotion.\n          , \n            Tuberous Sclerosis Complex (TSC) is a rare genetic disease that manifests with early symptoms, including cortical malformations, childhood epilepsy, and TSC-associated neuropsychiatric disorders (TANDs). Cortical malformations arise during embryonic development and have been linked to childhood epilepsy before, but the underlying mechanisms of this relationship remain insufficiently understood. Zebrafish have emerged as a convenient model to study elementary neurodevelopment; however, without in-depth functional analysis, the Tsc2-deficient zebrafish line cannot be used for studies of TANDs or new drug screening. In this study, we found that the lack of Tsc2 in zebrafish resulted in heterotopias and hyperactivation of the mTorC1 pathway in pallial regions, which are homologous to the mammalian cortex. We observed commissural thinning that was responsible for brain dysconnectivity, recapitulating TSC pathology in human patients. The lack of Tsc2 also delayed axonal development and caused aberrant tract fasciculation, corresponding to the abnormal expression of genes involved in axon navigation. The mutants underwent epileptogenesis that resulted in nonmotor seizures and exhibited increased anxiety-like behavior. We further mapped discrete parameters of locomotor activity to epilepsy-like and anxiety-like behaviors, which were rescued by reducing tyrosine receptor kinase B (TrkB) signaling. Moreover, in contrast to treatment with vigabatrin and rapamycin, TrkB inhibition rescued brain dysconnectivity and anxiety-like behavior. These data reveal that commissural thinning results in the aberrant regulation of anxiety, providing a mechanistic link between brain anatomy and human TANDs. Our findings also implicate TrkB signaling in the complex pathology of TSC and reveal a therapeutic target.","container-title":"Proceedings of the National Academy of Sciences","DOI":"10.1073/pnas.1910834117","ISSN":"0027-8424, 1091-6490","issue":"4","journalAbbreviation":"Proc. Natl. Acad. Sci. U.S.A.","language":"en","page":"2170-2179","source":"DOI.org (Crossref)","title":"TrkB hyperactivity contributes to brain dysconnectivity, epileptogenesis, and anxiety in zebrafish model of Tuberous Sclerosis Complex","volume":"117","author":[{"family":"Kedra","given":"Magdalena"},{"family":"Banasiak","given":"Katarzyna"},{"family":"Kisielewska","given":"Katarzyna"},{"family":"Wolinska-Niziol","given":"Lidia"},{"family":"Jaworski","given":"Jacek"},{"family":"Zmorzynska","given":"Justyna"}],"issued":{"date-parts":[["2020",1,28]]}}}],"schema":"https://github.com/citation-style-language/schema/raw/master/csl-citation.json"}</w:instrText>
      </w:r>
      <w:r w:rsidRPr="00593BA2">
        <w:rPr>
          <w:rFonts w:eastAsia="Cambria"/>
        </w:rPr>
        <w:fldChar w:fldCharType="separate"/>
      </w:r>
      <w:r w:rsidRPr="00593BA2">
        <w:rPr>
          <w:vertAlign w:val="superscript"/>
        </w:rPr>
        <w:t>2</w:t>
      </w:r>
      <w:r w:rsidR="00092769" w:rsidRPr="00593BA2">
        <w:rPr>
          <w:vertAlign w:val="superscript"/>
        </w:rPr>
        <w:t>2</w:t>
      </w:r>
      <w:r w:rsidRPr="00593BA2">
        <w:rPr>
          <w:rFonts w:eastAsia="Cambria"/>
        </w:rPr>
        <w:fldChar w:fldCharType="end"/>
      </w:r>
      <w:r w:rsidRPr="00593BA2">
        <w:rPr>
          <w:rFonts w:eastAsiaTheme="minorHAnsi"/>
        </w:rPr>
        <w:t>) revealed that tsc2 mutant larvae displayed increased anxiety</w:t>
      </w:r>
      <w:r w:rsidRPr="00593BA2">
        <w:rPr>
          <w:rFonts w:eastAsiaTheme="minorHAnsi"/>
        </w:rPr>
        <w:noBreakHyphen/>
        <w:t>like behavior compared with WT siblings (</w:t>
      </w:r>
      <w:r w:rsidRPr="00593BA2">
        <w:rPr>
          <w:rFonts w:eastAsiaTheme="minorHAnsi"/>
          <w:b/>
          <w:bCs/>
        </w:rPr>
        <w:t xml:space="preserve">Figure </w:t>
      </w:r>
      <w:r w:rsidR="005F553E" w:rsidRPr="00593BA2">
        <w:rPr>
          <w:rFonts w:eastAsiaTheme="minorHAnsi"/>
          <w:b/>
          <w:bCs/>
        </w:rPr>
        <w:t>4C</w:t>
      </w:r>
      <w:r w:rsidR="005F553E" w:rsidRPr="00593BA2">
        <w:rPr>
          <w:rFonts w:eastAsiaTheme="minorHAnsi"/>
        </w:rPr>
        <w:t xml:space="preserve">); </w:t>
      </w:r>
      <w:r w:rsidRPr="00593BA2">
        <w:rPr>
          <w:rFonts w:eastAsiaTheme="minorHAnsi"/>
        </w:rPr>
        <w:t>however, microinjections of IL6 did not affect this behavior. Specifically, tsc2+/- and tsc2-/- larvae spent significantly more time in the outer zone of the arena and exhibited reduced center exploration compared to tsc2+/+, consistent with established anxiety</w:t>
      </w:r>
      <w:r w:rsidRPr="00593BA2">
        <w:rPr>
          <w:rFonts w:eastAsiaTheme="minorHAnsi"/>
        </w:rPr>
        <w:noBreakHyphen/>
        <w:t>related phenotypes in zebrafish larvae.</w:t>
      </w:r>
    </w:p>
    <w:p w14:paraId="695B60CE" w14:textId="64EAEBD0" w:rsidR="004E6E84" w:rsidRPr="00593BA2" w:rsidRDefault="00000000" w:rsidP="008F5E68">
      <w:pPr>
        <w:rPr>
          <w:rFonts w:eastAsiaTheme="minorHAnsi"/>
        </w:rPr>
      </w:pPr>
      <w:r w:rsidRPr="00593BA2">
        <w:rPr>
          <w:rFonts w:eastAsiaTheme="minorHAnsi"/>
        </w:rPr>
        <w:t>IL</w:t>
      </w:r>
      <w:r w:rsidRPr="00593BA2">
        <w:rPr>
          <w:rFonts w:eastAsiaTheme="minorHAnsi"/>
        </w:rPr>
        <w:noBreakHyphen/>
        <w:t>6 injections increased repetitive, stereotyped swimming patterns</w:t>
      </w:r>
      <w:r w:rsidR="005F553E" w:rsidRPr="00593BA2">
        <w:rPr>
          <w:rFonts w:eastAsiaTheme="minorHAnsi"/>
        </w:rPr>
        <w:t>,</w:t>
      </w:r>
      <w:r w:rsidRPr="00593BA2">
        <w:rPr>
          <w:rFonts w:eastAsiaTheme="minorHAnsi"/>
        </w:rPr>
        <w:t xml:space="preserve"> particularly in tsc2+/- mutant larvae (</w:t>
      </w:r>
      <w:r w:rsidRPr="00593BA2">
        <w:rPr>
          <w:rFonts w:eastAsiaTheme="minorHAnsi"/>
          <w:b/>
          <w:bCs/>
        </w:rPr>
        <w:t xml:space="preserve">Figure </w:t>
      </w:r>
      <w:r w:rsidR="005F553E" w:rsidRPr="00593BA2">
        <w:rPr>
          <w:rFonts w:eastAsiaTheme="minorHAnsi"/>
          <w:b/>
          <w:bCs/>
        </w:rPr>
        <w:t>4D–</w:t>
      </w:r>
      <w:r w:rsidRPr="00593BA2">
        <w:rPr>
          <w:rFonts w:eastAsiaTheme="minorHAnsi"/>
          <w:b/>
          <w:bCs/>
        </w:rPr>
        <w:t>E</w:t>
      </w:r>
      <w:r w:rsidRPr="00593BA2">
        <w:rPr>
          <w:rFonts w:eastAsiaTheme="minorHAnsi"/>
        </w:rPr>
        <w:t>), a behavioral feature commonly used as an ASD</w:t>
      </w:r>
      <w:r w:rsidRPr="00593BA2">
        <w:rPr>
          <w:rFonts w:eastAsiaTheme="minorHAnsi"/>
        </w:rPr>
        <w:noBreakHyphen/>
        <w:t>relevant readout in zebrafish models</w:t>
      </w:r>
      <w:r w:rsidRPr="00593BA2">
        <w:fldChar w:fldCharType="begin"/>
      </w:r>
      <w:r w:rsidRPr="00593BA2">
        <w:rPr>
          <w:rFonts w:eastAsia="Cambria"/>
        </w:rPr>
        <w:instrText>ADDIN ZOTERO_ITEM CSL_CITATION {"citationID":"NZ4uta6B","properties":{"formattedCitation":"\\super 27\\nosupersub{}","plainCitation":"27","noteIndex":0},"citationItems":[{"id":301,"uris":["http://zotero.org/users/18011399/items/D23BMQ8Z"],"itemData":{"id":301,"type":"article-journal","abstract":"Abnormal repetitive behaviors (ARBs) are a prominent symptom of numerous human brain disorders and are commonly seen in rodent models as well. While rodent studies of ARBs continue to dominate the ﬁeld, mounting evidence suggests that zebraﬁsh (Danio rerio) also display ARB-like phenotypes and may therefore be a novel model organism for ARB research. In addition to clear practical research advantages as a model species, zebraﬁsh share high genetic and physiological homology to humans and rodents, including multiple ARB-related genes and robust behaviors relevant to ARB. Here, we discuss a wide spectrum of stereotypic repetitive behaviors in zebraﬁsh, data on their genetic and pharmacological modulation, and the overall translational relevance of ﬁsh ARBs to modeling human brain disorders. Overall, the zebraﬁsh is rapidly emerging as a new promising model to study ARBs and their underlying mechanisms.","container-title":"Behavioural Brain Research","DOI":"10.1016/j.bbr.2019.03.044","ISSN":"01664328","journalAbbreviation":"Behavioural Brain Research","language":"en","page":"101-110","source":"DOI.org (Crossref)","title":"Abnormal repetitive behaviors in zebrafish and their relevance to human brain disorders","volume":"367","author":[{"family":"Zabegalov","given":"Konstantin N."},{"family":"Khatsko","given":"Sergey L."},{"family":"Lakstygal","given":"Anton M."},{"family":"Demin","given":"Konstantin A."},{"family":"Cleal","given":"Madeleine"},{"family":"Fontana","given":"Barbara D."},{"family":"McBride","given":"Sebastian D."},{"family":"Harvey","given":"Brian H."},{"family":"De Abreu","given":"Murilo S."},{"family":"Parker","given":"Matthew O."},{"family":"Kalueff","given":"Allan V."}],"issued":{"date-parts":[["2019",7]]}}}],"schema":"https://github.com/citation-style-language/schema/raw/master/csl-citation.json"}</w:instrText>
      </w:r>
      <w:r w:rsidRPr="00593BA2">
        <w:rPr>
          <w:rFonts w:eastAsia="Cambria"/>
        </w:rPr>
        <w:fldChar w:fldCharType="separate"/>
      </w:r>
      <w:r w:rsidRPr="00593BA2">
        <w:rPr>
          <w:vertAlign w:val="superscript"/>
        </w:rPr>
        <w:t>2</w:t>
      </w:r>
      <w:r w:rsidR="00092769" w:rsidRPr="00593BA2">
        <w:rPr>
          <w:vertAlign w:val="superscript"/>
        </w:rPr>
        <w:t>6</w:t>
      </w:r>
      <w:r w:rsidRPr="00593BA2">
        <w:rPr>
          <w:rFonts w:eastAsia="Cambria"/>
        </w:rPr>
        <w:fldChar w:fldCharType="end"/>
      </w:r>
      <w:r w:rsidRPr="00593BA2">
        <w:rPr>
          <w:rFonts w:eastAsiaTheme="minorHAnsi"/>
        </w:rPr>
        <w:t xml:space="preserve">. Detailed quantification of repetitive looping </w:t>
      </w:r>
      <w:r w:rsidR="005F553E" w:rsidRPr="00593BA2">
        <w:rPr>
          <w:rFonts w:eastAsiaTheme="minorHAnsi"/>
        </w:rPr>
        <w:t xml:space="preserve">— </w:t>
      </w:r>
      <w:r w:rsidRPr="00593BA2">
        <w:rPr>
          <w:rFonts w:eastAsiaTheme="minorHAnsi"/>
        </w:rPr>
        <w:t xml:space="preserve">defined as three or more consecutive circular swims </w:t>
      </w:r>
      <w:r w:rsidR="005F553E" w:rsidRPr="00593BA2">
        <w:rPr>
          <w:rFonts w:eastAsiaTheme="minorHAnsi"/>
        </w:rPr>
        <w:t xml:space="preserve">— </w:t>
      </w:r>
      <w:r w:rsidRPr="00593BA2">
        <w:rPr>
          <w:rFonts w:eastAsiaTheme="minorHAnsi"/>
        </w:rPr>
        <w:t>revealed a significant increase in the proportion of IL</w:t>
      </w:r>
      <w:r w:rsidRPr="00593BA2">
        <w:rPr>
          <w:rFonts w:eastAsiaTheme="minorHAnsi"/>
        </w:rPr>
        <w:noBreakHyphen/>
        <w:t>6</w:t>
      </w:r>
      <w:r w:rsidR="005F553E" w:rsidRPr="00593BA2">
        <w:rPr>
          <w:rFonts w:eastAsiaTheme="minorHAnsi"/>
        </w:rPr>
        <w:t>-</w:t>
      </w:r>
      <w:r w:rsidRPr="00593BA2">
        <w:rPr>
          <w:rFonts w:eastAsiaTheme="minorHAnsi"/>
        </w:rPr>
        <w:t>injected tsc2+/- mutants exhibiting this behavior compared with NaCl</w:t>
      </w:r>
      <w:r w:rsidRPr="00593BA2">
        <w:rPr>
          <w:rFonts w:eastAsiaTheme="minorHAnsi"/>
        </w:rPr>
        <w:noBreakHyphen/>
        <w:t>injected controls. This selective enhancement of repetitive swimming in genetically susceptible larvae further supports a gene × environment interaction, in which mild inflammatory stimulation unmasks or amplifies ASD</w:t>
      </w:r>
      <w:r w:rsidRPr="00593BA2">
        <w:rPr>
          <w:rFonts w:eastAsiaTheme="minorHAnsi"/>
        </w:rPr>
        <w:noBreakHyphen/>
        <w:t>like behavioral tendencies specifically in the tsc2+/- mutant background.</w:t>
      </w:r>
    </w:p>
    <w:p w14:paraId="2B479F46" w14:textId="77777777" w:rsidR="004E6E84" w:rsidRPr="00593BA2" w:rsidRDefault="004E6E84" w:rsidP="008F5E68">
      <w:pPr>
        <w:rPr>
          <w:rFonts w:eastAsiaTheme="minorHAnsi"/>
        </w:rPr>
      </w:pPr>
    </w:p>
    <w:p w14:paraId="020B82D0" w14:textId="18A8E374" w:rsidR="008E561A" w:rsidRPr="00593BA2" w:rsidRDefault="005F553E" w:rsidP="008F5E68">
      <w:pPr>
        <w:rPr>
          <w:b/>
        </w:rPr>
      </w:pPr>
      <w:bookmarkStart w:id="123" w:name="1t3h5sf_kopia_1_kopia_1"/>
      <w:bookmarkEnd w:id="123"/>
      <w:r w:rsidRPr="00593BA2">
        <w:rPr>
          <w:b/>
        </w:rPr>
        <w:t>FIGURE AND TABLE LEGENDS</w:t>
      </w:r>
      <w:r w:rsidR="008E561A" w:rsidRPr="00593BA2">
        <w:rPr>
          <w:b/>
        </w:rPr>
        <w:t>:</w:t>
      </w:r>
    </w:p>
    <w:p w14:paraId="6617C887" w14:textId="3528C16D" w:rsidR="005F553E" w:rsidRPr="00593BA2" w:rsidRDefault="005F553E" w:rsidP="008F5E68">
      <w:pPr>
        <w:rPr>
          <w:b/>
        </w:rPr>
      </w:pPr>
      <w:r w:rsidRPr="00593BA2">
        <w:rPr>
          <w:b/>
        </w:rPr>
        <w:t>Figure 1: Schematic of the protocol.</w:t>
      </w:r>
    </w:p>
    <w:p w14:paraId="59BA2349" w14:textId="77777777" w:rsidR="005F553E" w:rsidRPr="00593BA2" w:rsidRDefault="005F553E" w:rsidP="008F5E68">
      <w:pPr>
        <w:rPr>
          <w:b/>
        </w:rPr>
      </w:pPr>
    </w:p>
    <w:p w14:paraId="14C52A31" w14:textId="5E0A546E" w:rsidR="008E561A" w:rsidRPr="00593BA2" w:rsidRDefault="008E561A" w:rsidP="008F5E68">
      <w:r w:rsidRPr="00593BA2">
        <w:rPr>
          <w:b/>
          <w:bCs/>
        </w:rPr>
        <w:t xml:space="preserve">Figure </w:t>
      </w:r>
      <w:r w:rsidR="005F553E" w:rsidRPr="00593BA2">
        <w:rPr>
          <w:b/>
          <w:bCs/>
        </w:rPr>
        <w:t>2:</w:t>
      </w:r>
      <w:r w:rsidRPr="00593BA2">
        <w:rPr>
          <w:b/>
          <w:bCs/>
        </w:rPr>
        <w:t xml:space="preserve"> Microinjection workstation setup</w:t>
      </w:r>
      <w:r w:rsidR="005F553E" w:rsidRPr="00593BA2">
        <w:t xml:space="preserve">. </w:t>
      </w:r>
      <w:r w:rsidRPr="00593BA2">
        <w:t>Schematic of the microinjection workstation used for larval zebrafish injections. (1) Glass micropipette mounted on the injector holder; (2) agarose-coated Petri dish with molded wells for larval positioning; (3) mineral oil for calibration; (4) trypan blue solution; (5) pulled glass needles; (6) calibration slide; (7) extended pipette tips; (8) Pasteur pipette; (9) Silicone mold.</w:t>
      </w:r>
    </w:p>
    <w:p w14:paraId="7C4B6155" w14:textId="77777777" w:rsidR="008E561A" w:rsidRPr="00593BA2" w:rsidRDefault="008E561A" w:rsidP="008F5E68"/>
    <w:p w14:paraId="1EBA9B03" w14:textId="602C4BEC" w:rsidR="008E561A" w:rsidRPr="00593BA2" w:rsidRDefault="008E561A" w:rsidP="008F5E68">
      <w:r w:rsidRPr="00593BA2">
        <w:rPr>
          <w:b/>
          <w:bCs/>
        </w:rPr>
        <w:t xml:space="preserve">Figure </w:t>
      </w:r>
      <w:r w:rsidR="005F553E" w:rsidRPr="00593BA2">
        <w:rPr>
          <w:b/>
          <w:bCs/>
        </w:rPr>
        <w:t>3:</w:t>
      </w:r>
      <w:r w:rsidRPr="00593BA2">
        <w:rPr>
          <w:b/>
          <w:bCs/>
        </w:rPr>
        <w:t xml:space="preserve"> Injection </w:t>
      </w:r>
      <w:r w:rsidR="005F553E" w:rsidRPr="00593BA2">
        <w:rPr>
          <w:b/>
          <w:bCs/>
        </w:rPr>
        <w:t>in</w:t>
      </w:r>
      <w:r w:rsidRPr="00593BA2">
        <w:rPr>
          <w:b/>
          <w:bCs/>
        </w:rPr>
        <w:t>to the duct of Cuvier.</w:t>
      </w:r>
      <w:r w:rsidR="005F553E" w:rsidRPr="00593BA2">
        <w:t xml:space="preserve"> (</w:t>
      </w:r>
      <w:r w:rsidRPr="00593BA2">
        <w:rPr>
          <w:b/>
          <w:bCs/>
        </w:rPr>
        <w:t>A</w:t>
      </w:r>
      <w:r w:rsidR="005F553E" w:rsidRPr="00593BA2">
        <w:t>)</w:t>
      </w:r>
      <w:r w:rsidRPr="00593BA2">
        <w:t xml:space="preserve"> Schematic representation of the duct of Cuvier (the common cardinal vein) injection site in larval zebrafish and representative open-field locomotor tracks at 5 </w:t>
      </w:r>
      <w:proofErr w:type="spellStart"/>
      <w:r w:rsidRPr="00593BA2">
        <w:t>dpf</w:t>
      </w:r>
      <w:proofErr w:type="spellEnd"/>
      <w:r w:rsidRPr="00593BA2">
        <w:t xml:space="preserve">. </w:t>
      </w:r>
      <w:r w:rsidR="005F553E" w:rsidRPr="00593BA2">
        <w:t>(</w:t>
      </w:r>
      <w:r w:rsidRPr="00593BA2">
        <w:rPr>
          <w:b/>
          <w:bCs/>
        </w:rPr>
        <w:t>B</w:t>
      </w:r>
      <w:r w:rsidR="005F553E" w:rsidRPr="00593BA2">
        <w:t xml:space="preserve">) </w:t>
      </w:r>
      <w:r w:rsidRPr="00593BA2">
        <w:t>Representative images of control (un-injected), and injections with NaCl, and IL-6.</w:t>
      </w:r>
      <w:r w:rsidR="00C0007B">
        <w:t xml:space="preserve"> Scale bar: 250 µm.</w:t>
      </w:r>
    </w:p>
    <w:p w14:paraId="33FA2854" w14:textId="77777777" w:rsidR="008E561A" w:rsidRPr="00593BA2" w:rsidRDefault="008E561A" w:rsidP="008F5E68"/>
    <w:p w14:paraId="7D4FC5C2" w14:textId="568D6B1D" w:rsidR="008E561A" w:rsidRPr="00593BA2" w:rsidRDefault="008E561A" w:rsidP="008F5E68">
      <w:r w:rsidRPr="00593BA2">
        <w:rPr>
          <w:b/>
          <w:bCs/>
        </w:rPr>
        <w:t xml:space="preserve">Figure </w:t>
      </w:r>
      <w:r w:rsidR="005F553E" w:rsidRPr="00593BA2">
        <w:rPr>
          <w:b/>
          <w:bCs/>
        </w:rPr>
        <w:t>4:</w:t>
      </w:r>
      <w:r w:rsidRPr="00593BA2">
        <w:rPr>
          <w:b/>
          <w:bCs/>
        </w:rPr>
        <w:t xml:space="preserve"> Representative results of gene x environment interaction using </w:t>
      </w:r>
      <w:r w:rsidR="005F553E" w:rsidRPr="00593BA2">
        <w:rPr>
          <w:b/>
          <w:bCs/>
        </w:rPr>
        <w:t xml:space="preserve">the </w:t>
      </w:r>
      <w:r w:rsidRPr="00593BA2">
        <w:rPr>
          <w:b/>
          <w:bCs/>
        </w:rPr>
        <w:t>tsc2 mutant line.</w:t>
      </w:r>
      <w:r w:rsidR="005F553E" w:rsidRPr="00593BA2">
        <w:t xml:space="preserve"> (</w:t>
      </w:r>
      <w:r w:rsidRPr="00593BA2">
        <w:rPr>
          <w:b/>
          <w:bCs/>
        </w:rPr>
        <w:t>A</w:t>
      </w:r>
      <w:r w:rsidR="005F553E" w:rsidRPr="00593BA2">
        <w:t>)</w:t>
      </w:r>
      <w:r w:rsidRPr="00593BA2">
        <w:t xml:space="preserve"> Survival rates (%) of </w:t>
      </w:r>
      <w:r w:rsidRPr="00593BA2">
        <w:rPr>
          <w:i/>
          <w:iCs/>
        </w:rPr>
        <w:t>tsc2</w:t>
      </w:r>
      <w:r w:rsidRPr="00593BA2">
        <w:rPr>
          <w:i/>
          <w:iCs/>
          <w:vertAlign w:val="superscript"/>
        </w:rPr>
        <w:t>vu242</w:t>
      </w:r>
      <w:r w:rsidRPr="00593BA2">
        <w:t xml:space="preserve"> larvae over the course of the experiment across control (</w:t>
      </w:r>
      <w:proofErr w:type="spellStart"/>
      <w:r w:rsidRPr="00593BA2">
        <w:t>uninjected</w:t>
      </w:r>
      <w:proofErr w:type="spellEnd"/>
      <w:r w:rsidRPr="00593BA2">
        <w:t xml:space="preserve">), NaCl-injected, and IL-6-injected groups. Data are presented as mean ± SEM at 5 </w:t>
      </w:r>
      <w:proofErr w:type="spellStart"/>
      <w:r w:rsidRPr="00593BA2">
        <w:t>dpf</w:t>
      </w:r>
      <w:proofErr w:type="spellEnd"/>
      <w:r w:rsidRPr="00593BA2">
        <w:t xml:space="preserve"> (n = 4 independent experimental replicates, each genotype </w:t>
      </w:r>
      <w:r w:rsidR="005F553E" w:rsidRPr="00593BA2">
        <w:sym w:font="Symbol" w:char="F0B4"/>
      </w:r>
      <w:r w:rsidRPr="00593BA2">
        <w:t xml:space="preserve"> treatment combination containing </w:t>
      </w:r>
      <w:r w:rsidRPr="00593BA2">
        <w:lastRenderedPageBreak/>
        <w:t>60</w:t>
      </w:r>
      <w:r w:rsidR="005F553E" w:rsidRPr="00593BA2">
        <w:t>–</w:t>
      </w:r>
      <w:r w:rsidRPr="00593BA2">
        <w:t xml:space="preserve">70 fish). Statistical analysis was performed using ANOVA followed by </w:t>
      </w:r>
      <w:r w:rsidR="005F553E" w:rsidRPr="00593BA2">
        <w:t>T</w:t>
      </w:r>
      <w:r w:rsidRPr="00593BA2">
        <w:t>ukey post</w:t>
      </w:r>
      <w:r w:rsidR="005F553E" w:rsidRPr="00593BA2">
        <w:t xml:space="preserve"> </w:t>
      </w:r>
      <w:r w:rsidRPr="00593BA2">
        <w:t>hoc test for pairwise comparison</w:t>
      </w:r>
      <w:r w:rsidR="005F553E" w:rsidRPr="00593BA2">
        <w:t>.</w:t>
      </w:r>
      <w:r w:rsidRPr="00593BA2">
        <w:t xml:space="preserve"> </w:t>
      </w:r>
      <w:r w:rsidR="005F553E" w:rsidRPr="00593BA2">
        <w:t>S</w:t>
      </w:r>
      <w:r w:rsidRPr="00593BA2">
        <w:t>ignificant differences were observed between control and IL-6-injected groups (p = 0.00150) and between control and NaCl-injected groups (p = 0.00243).</w:t>
      </w:r>
      <w:r w:rsidR="005F553E" w:rsidRPr="00593BA2">
        <w:t xml:space="preserve"> (</w:t>
      </w:r>
      <w:r w:rsidRPr="00593BA2">
        <w:rPr>
          <w:b/>
          <w:bCs/>
        </w:rPr>
        <w:t>B</w:t>
      </w:r>
      <w:r w:rsidR="005F553E" w:rsidRPr="00593BA2">
        <w:t>)</w:t>
      </w:r>
      <w:r w:rsidRPr="00593BA2">
        <w:t xml:space="preserve"> Boxplots representing PGE2 levels in the tsc2 mutants and siblings, measured at 5 </w:t>
      </w:r>
      <w:proofErr w:type="spellStart"/>
      <w:r w:rsidRPr="00593BA2">
        <w:t>dpf</w:t>
      </w:r>
      <w:proofErr w:type="spellEnd"/>
      <w:r w:rsidRPr="00593BA2">
        <w:t xml:space="preserve"> using </w:t>
      </w:r>
      <w:r w:rsidR="005F553E" w:rsidRPr="00593BA2">
        <w:t>an enzyme-linked immunosorbent assay (</w:t>
      </w:r>
      <w:r w:rsidRPr="00593BA2">
        <w:t>ELISA</w:t>
      </w:r>
      <w:r w:rsidR="005F553E" w:rsidRPr="00593BA2">
        <w:t>)</w:t>
      </w:r>
      <w:r w:rsidRPr="00593BA2">
        <w:t xml:space="preserve"> kit according to </w:t>
      </w:r>
      <w:r w:rsidR="005F553E" w:rsidRPr="00593BA2">
        <w:t xml:space="preserve">the </w:t>
      </w:r>
      <w:r w:rsidR="00FA434F" w:rsidRPr="00593BA2">
        <w:t>manufacturer</w:t>
      </w:r>
      <w:r w:rsidR="00FA434F">
        <w:t>'</w:t>
      </w:r>
      <w:r w:rsidR="00FA434F" w:rsidRPr="00593BA2">
        <w:t xml:space="preserve">s </w:t>
      </w:r>
      <w:r w:rsidRPr="00593BA2">
        <w:t>protocol (2-way ANOVA for genotype: F =  7.4503</w:t>
      </w:r>
      <w:r w:rsidR="005F553E" w:rsidRPr="00593BA2">
        <w:t xml:space="preserve">; </w:t>
      </w:r>
      <w:r w:rsidRPr="00593BA2">
        <w:rPr>
          <w:i/>
          <w:iCs/>
        </w:rPr>
        <w:t>P</w:t>
      </w:r>
      <w:r w:rsidRPr="00593BA2">
        <w:t xml:space="preserve"> = 0.01234). Each sample contains 20 heads (tails were used for genotyping). Dots in the boxplots represent biological replicates. </w:t>
      </w:r>
      <w:r w:rsidR="005F553E" w:rsidRPr="00593BA2">
        <w:t>(</w:t>
      </w:r>
      <w:r w:rsidRPr="00593BA2">
        <w:rPr>
          <w:b/>
          <w:bCs/>
        </w:rPr>
        <w:t>C</w:t>
      </w:r>
      <w:r w:rsidR="005F553E" w:rsidRPr="00593BA2">
        <w:t xml:space="preserve">) </w:t>
      </w:r>
      <w:r w:rsidRPr="00593BA2">
        <w:t xml:space="preserve">Boxplots of the results of the open-field test for tsc2 mutant fish showing relative time spent next to the walls for each genotype after injections with NaCl and IL6 and for </w:t>
      </w:r>
      <w:proofErr w:type="spellStart"/>
      <w:r w:rsidRPr="00593BA2">
        <w:t>uninjected</w:t>
      </w:r>
      <w:proofErr w:type="spellEnd"/>
      <w:r w:rsidRPr="00593BA2">
        <w:t xml:space="preserve"> controls (2-way ANOVA for genotype: F = 7.021</w:t>
      </w:r>
      <w:r w:rsidR="005F553E" w:rsidRPr="00593BA2">
        <w:t>;</w:t>
      </w:r>
      <w:r w:rsidRPr="00593BA2">
        <w:t xml:space="preserve"> </w:t>
      </w:r>
      <w:r w:rsidRPr="00593BA2">
        <w:rPr>
          <w:i/>
          <w:iCs/>
        </w:rPr>
        <w:t>P</w:t>
      </w:r>
      <w:r w:rsidRPr="00593BA2">
        <w:t xml:space="preserve"> = 0.00106). </w:t>
      </w:r>
      <w:r w:rsidR="005F553E" w:rsidRPr="00593BA2">
        <w:t>The open</w:t>
      </w:r>
      <w:r w:rsidRPr="00593BA2">
        <w:t xml:space="preserve">-field test was performed using </w:t>
      </w:r>
      <w:r w:rsidR="005F553E" w:rsidRPr="00593BA2">
        <w:t>an automated analysis chamber</w:t>
      </w:r>
      <w:r w:rsidR="005F553E" w:rsidRPr="00593BA2" w:rsidDel="005F553E">
        <w:t xml:space="preserve"> </w:t>
      </w:r>
      <w:r w:rsidR="005F553E" w:rsidRPr="00593BA2">
        <w:t>(</w:t>
      </w:r>
      <w:r w:rsidR="005F553E" w:rsidRPr="00593BA2">
        <w:rPr>
          <w:b/>
          <w:bCs/>
        </w:rPr>
        <w:t>Table of Materials</w:t>
      </w:r>
      <w:r w:rsidR="005F553E" w:rsidRPr="00593BA2">
        <w:t>)</w:t>
      </w:r>
      <w:r w:rsidRPr="00593BA2">
        <w:t xml:space="preserve"> according to the protocol reported </w:t>
      </w:r>
      <w:r w:rsidR="005F553E" w:rsidRPr="00593BA2">
        <w:t>previously</w:t>
      </w:r>
      <w:r w:rsidR="005F553E" w:rsidRPr="00593BA2">
        <w:rPr>
          <w:vertAlign w:val="superscript"/>
        </w:rPr>
        <w:t>2</w:t>
      </w:r>
      <w:r w:rsidR="00092769" w:rsidRPr="00593BA2">
        <w:rPr>
          <w:vertAlign w:val="superscript"/>
        </w:rPr>
        <w:t>2</w:t>
      </w:r>
      <w:r w:rsidRPr="00593BA2">
        <w:t xml:space="preserve">. </w:t>
      </w:r>
      <w:r w:rsidR="005F553E" w:rsidRPr="00593BA2">
        <w:t>(</w:t>
      </w:r>
      <w:r w:rsidRPr="00593BA2">
        <w:rPr>
          <w:b/>
          <w:bCs/>
        </w:rPr>
        <w:t>D</w:t>
      </w:r>
      <w:r w:rsidR="005F553E" w:rsidRPr="00593BA2">
        <w:t xml:space="preserve">) </w:t>
      </w:r>
      <w:r w:rsidRPr="00593BA2">
        <w:t xml:space="preserve">Exemplary figure showing random exploratory behavior after NaCl injection and repetitive looping after IL6 injections. </w:t>
      </w:r>
      <w:r w:rsidR="005F553E" w:rsidRPr="00593BA2">
        <w:t>(</w:t>
      </w:r>
      <w:r w:rsidRPr="00593BA2">
        <w:rPr>
          <w:b/>
          <w:bCs/>
        </w:rPr>
        <w:t>E</w:t>
      </w:r>
      <w:r w:rsidR="005F553E" w:rsidRPr="00593BA2">
        <w:t xml:space="preserve">) </w:t>
      </w:r>
      <w:r w:rsidRPr="00593BA2">
        <w:t xml:space="preserve">Boxplots representing </w:t>
      </w:r>
      <w:r w:rsidR="005F553E" w:rsidRPr="00593BA2">
        <w:t xml:space="preserve">the </w:t>
      </w:r>
      <w:r w:rsidRPr="00593BA2">
        <w:t xml:space="preserve">number of animals showing normal and repetitive looping behaviors for each tsc2 genotype after injection with NaCl or IL6 and for </w:t>
      </w:r>
      <w:proofErr w:type="spellStart"/>
      <w:r w:rsidRPr="00593BA2">
        <w:t>uninjected</w:t>
      </w:r>
      <w:proofErr w:type="spellEnd"/>
      <w:r w:rsidRPr="00593BA2">
        <w:t xml:space="preserve"> control fish (2-way ANOVA for genotype: F = 5.7615</w:t>
      </w:r>
      <w:r w:rsidR="005F553E" w:rsidRPr="00593BA2">
        <w:t xml:space="preserve">; </w:t>
      </w:r>
      <w:r w:rsidRPr="00593BA2">
        <w:rPr>
          <w:i/>
          <w:iCs/>
        </w:rPr>
        <w:t>P</w:t>
      </w:r>
      <w:r w:rsidRPr="00593BA2">
        <w:t xml:space="preserve"> = 0.005849). Three independent experimental replicates, each genotype </w:t>
      </w:r>
      <w:r w:rsidR="005F553E" w:rsidRPr="00593BA2">
        <w:sym w:font="Symbol" w:char="F0B4"/>
      </w:r>
      <w:r w:rsidRPr="00593BA2">
        <w:t xml:space="preserve"> treatment combination containing 60</w:t>
      </w:r>
      <w:r w:rsidR="005F553E" w:rsidRPr="00593BA2">
        <w:t>–</w:t>
      </w:r>
      <w:r w:rsidRPr="00593BA2">
        <w:t>70 fish were used for this.</w:t>
      </w:r>
    </w:p>
    <w:p w14:paraId="78629A16" w14:textId="77777777" w:rsidR="008E561A" w:rsidRPr="00593BA2" w:rsidRDefault="008E561A" w:rsidP="008F5E68"/>
    <w:p w14:paraId="2DF47A46" w14:textId="69B401B8" w:rsidR="005F553E" w:rsidRPr="00593BA2" w:rsidRDefault="005F553E" w:rsidP="008F5E68">
      <w:pPr>
        <w:rPr>
          <w:b/>
          <w:bCs/>
        </w:rPr>
      </w:pPr>
      <w:r w:rsidRPr="00593BA2">
        <w:rPr>
          <w:b/>
          <w:bCs/>
        </w:rPr>
        <w:t>Table 1: Composition of E3 and Tricaine solutions.</w:t>
      </w:r>
    </w:p>
    <w:p w14:paraId="42D18B0C" w14:textId="77777777" w:rsidR="005F553E" w:rsidRPr="00593BA2" w:rsidRDefault="005F553E" w:rsidP="008F5E68"/>
    <w:p w14:paraId="33A5BC22" w14:textId="77777777" w:rsidR="004E6E84" w:rsidRPr="00593BA2" w:rsidRDefault="00000000" w:rsidP="008F5E68">
      <w:pPr>
        <w:rPr>
          <w:b/>
        </w:rPr>
      </w:pPr>
      <w:bookmarkStart w:id="124" w:name="4d34og8"/>
      <w:bookmarkEnd w:id="124"/>
      <w:r w:rsidRPr="00593BA2">
        <w:rPr>
          <w:b/>
        </w:rPr>
        <w:t>DISCUSSION:</w:t>
      </w:r>
    </w:p>
    <w:p w14:paraId="1B6235CF" w14:textId="12B66370" w:rsidR="005F553E" w:rsidRPr="00593BA2" w:rsidRDefault="00000000" w:rsidP="008F5E68">
      <w:r w:rsidRPr="00593BA2">
        <w:t>As expected, tsc2 homozygous mutants displayed high baseline levels of anxiety</w:t>
      </w:r>
      <w:r w:rsidRPr="00593BA2">
        <w:noBreakHyphen/>
        <w:t>like, consistent with previously reported phenotypes</w:t>
      </w:r>
      <w:r w:rsidRPr="00593BA2">
        <w:fldChar w:fldCharType="begin"/>
      </w:r>
      <w:r w:rsidRPr="00593BA2">
        <w:instrText>ADDIN ZOTERO_ITEM CSL_CITATION {"citationID":"gwggSFUK","properties":{"formattedCitation":"\\super 26,28\\nosupersub{}","plainCitation":"26,28","noteIndex":0},"citationItems":[{"id":299,"uris":["http://zotero.org/users/18011399/items/6AIEP38F"],"itemData":{"id":299,"type":"article-journal","abstract":"Significance\n            Tuberous Sclerosis Complex (TSC) is a hereditary disease that presents with early brain malformations, childhood epilepsy, and TSC-associated neuropsychiatric disorders (TANDs). Cortical malformations arise in utero and have been linked to childhood epilepsy before. Externally developing zebrafish seem convenient to study elementary neurodevelopment; however, without the in-depth functional analysis, the Tsc2-deficient zebrafish cannot be used for studies of TANDs. Here, we found that Tsc2-deficient zebrafish recapitulated symptoms seen in TSC patients on anatomical and behavioral levels, including aberrant brain morphology, thinning of brain connections, epileptogenesis, and increased anxiety-like behavior, which was rescued by reducing TrkB signaling, revealing a potential drug target. Moreover, we show that commissural thinning cause aberrant regulation of anxiety, providing a link between brain anatomy and emotion.\n          , \n            Tuberous Sclerosis Complex (TSC) is a rare genetic disease that manifests with early symptoms, including cortical malformations, childhood epilepsy, and TSC-associated neuropsychiatric disorders (TANDs). Cortical malformations arise during embryonic development and have been linked to childhood epilepsy before, but the underlying mechanisms of this relationship remain insufficiently understood. Zebrafish have emerged as a convenient model to study elementary neurodevelopment; however, without in-depth functional analysis, the Tsc2-deficient zebrafish line cannot be used for studies of TANDs or new drug screening. In this study, we found that the lack of Tsc2 in zebrafish resulted in heterotopias and hyperactivation of the mTorC1 pathway in pallial regions, which are homologous to the mammalian cortex. We observed commissural thinning that was responsible for brain dysconnectivity, recapitulating TSC pathology in human patients. The lack of Tsc2 also delayed axonal development and caused aberrant tract fasciculation, corresponding to the abnormal expression of genes involved in axon navigation. The mutants underwent epileptogenesis that resulted in nonmotor seizures and exhibited increased anxiety-like behavior. We further mapped discrete parameters of locomotor activity to epilepsy-like and anxiety-like behaviors, which were rescued by reducing tyrosine receptor kinase B (TrkB) signaling. Moreover, in contrast to treatment with vigabatrin and rapamycin, TrkB inhibition rescued brain dysconnectivity and anxiety-like behavior. These data reveal that commissural thinning results in the aberrant regulation of anxiety, providing a mechanistic link between brain anatomy and human TANDs. Our findings also implicate TrkB signaling in the complex pathology of TSC and reveal a therapeutic target.","container-title":"Proceedings of the National Academy of Sciences","DOI":"10.1073/pnas.1910834117","ISSN":"0027-8424, 1091-6490","issue":"4","journalAbbreviation":"Proc. Natl. Acad. Sci. U.S.A.","language":"en","page":"2170-2179","source":"DOI.org (Crossref)","title":"TrkB hyperactivity contributes to brain dysconnectivity, epileptogenesis, and anxiety in zebrafish model of Tuberous Sclerosis Complex","volume":"117","author":[{"family":"Kedra","given":"Magdalena"},{"family":"Banasiak","given":"Katarzyna"},{"family":"Kisielewska","given":"Katarzyna"},{"family":"Wolinska-Niziol","given":"Lidia"},{"family":"Jaworski","given":"Jacek"},{"family":"Zmorzynska","given":"Justyna"}],"issued":{"date-parts":[["2020",1,28]]}},"label":"page"},{"id":303,"uris":["http://zotero.org/users/18011399/items/XL7CETHD"],"itemData":{"id":303,"type":"article-journal","abstract":"Tuberous sclerosis complex (TSC) is a rare, genetic disease caused by loss-of-function mutations in either TSC1 or TSC2. Patients with TSC are neurologically characterized by the presence of abnormal brain structure, intractable epilepsy and TSC-associated neuropsychiatric disorders. Given the lack of eﬀective long-term treatments for TSC, there is a need to gain greater insight into TSC-related pathophysiology and to identify and develop new treatments.","container-title":"Neurobiology of Disease","DOI":"10.1016/j.nbd.2017.09.004","ISSN":"09699961","journalAbbreviation":"Neurobiology of Disease","language":"en","page":"225-237","source":"DOI.org (Crossref)","title":"mTOR-related neuropathology in mutant tsc2 zebrafish: Phenotypic, transcriptomic and pharmacological analysis","title-short":"mTOR-related neuropathology in mutant tsc2 zebrafish","volume":"108","author":[{"family":"Scheldeman","given":"Chloë"},{"family":"Mills","given":"James D."},{"family":"Siekierska","given":"Aleksandra"},{"family":"Serra","given":"Ines"},{"family":"Copmans","given":"Daniëlle"},{"family":"Iyer","given":"Anand M."},{"family":"Whalley","given":"Benjamin J."},{"family":"Maes","given":"Jan"},{"family":"Jansen","given":"Anna C."},{"family":"Lagae","given":"Lieven"},{"family":"Aronica","given":"Eleonora"},{"family":"De Witte","given":"Peter A.M."}],"issued":{"date-parts":[["2017",12]]}},"label":"page"}],"schema":"https://github.com/citation-style-language/schema/raw/master/csl-citation.json"}</w:instrText>
      </w:r>
      <w:r w:rsidRPr="00593BA2">
        <w:fldChar w:fldCharType="separate"/>
      </w:r>
      <w:r w:rsidRPr="00593BA2">
        <w:rPr>
          <w:vertAlign w:val="superscript"/>
        </w:rPr>
        <w:t>2</w:t>
      </w:r>
      <w:r w:rsidR="00092769" w:rsidRPr="00593BA2">
        <w:rPr>
          <w:vertAlign w:val="superscript"/>
        </w:rPr>
        <w:t>2</w:t>
      </w:r>
      <w:r w:rsidRPr="00593BA2">
        <w:rPr>
          <w:vertAlign w:val="superscript"/>
        </w:rPr>
        <w:t>,2</w:t>
      </w:r>
      <w:r w:rsidR="00092769" w:rsidRPr="00593BA2">
        <w:rPr>
          <w:vertAlign w:val="superscript"/>
        </w:rPr>
        <w:t>7</w:t>
      </w:r>
      <w:r w:rsidRPr="00593BA2">
        <w:fldChar w:fldCharType="end"/>
      </w:r>
      <w:r w:rsidRPr="00593BA2">
        <w:t>. Because these larvae already exhibit severe behavioral abnormalities, IL</w:t>
      </w:r>
      <w:r w:rsidRPr="00593BA2">
        <w:noBreakHyphen/>
        <w:t>6 injection did not further exacerbate their phenotype. In contrast, tsc2 heterozygotes showed clear IL</w:t>
      </w:r>
      <w:r w:rsidRPr="00593BA2">
        <w:noBreakHyphen/>
        <w:t>6-induced changes. This selective sensitivity highlights the utility of this protocol for probing gene × environment interactions, where mild but prolonged inflammatory signaling interacts with underlying genetic vulnerability to shape neurobehavioral outcomes.</w:t>
      </w:r>
    </w:p>
    <w:p w14:paraId="478E6E2E" w14:textId="61C2AF50" w:rsidR="004E6E84" w:rsidRPr="00593BA2" w:rsidRDefault="00000000" w:rsidP="008F5E68">
      <w:r w:rsidRPr="00593BA2">
        <w:br/>
        <w:t>LPS exposure remains the most widely used inflammation</w:t>
      </w:r>
      <w:r w:rsidRPr="00593BA2">
        <w:noBreakHyphen/>
        <w:t>inducing paradigm in zebrafish and reliably produces a broad, robust immune response characterized by strong induction of pro</w:t>
      </w:r>
      <w:r w:rsidRPr="00593BA2">
        <w:noBreakHyphen/>
        <w:t>inflammatory cytokines, recruitment of innate immune cells, and dose</w:t>
      </w:r>
      <w:r w:rsidRPr="00593BA2">
        <w:noBreakHyphen/>
        <w:t>dependent mortality</w:t>
      </w:r>
      <w:r w:rsidRPr="00593BA2">
        <w:fldChar w:fldCharType="begin"/>
      </w:r>
      <w:r w:rsidRPr="00593BA2">
        <w:instrText>ADDIN ZOTERO_ITEM CSL_CITATION {"citationID":"MPIhNgt9","properties":{"formattedCitation":"\\super 29\\nosupersub{}","plainCitation":"29","noteIndex":0},"citationItems":[{"id":309,"uris":["http://zotero.org/users/18011399/items/NNYV7Y2V"],"itemData":{"id":309,"type":"article-journal","abstract":"Neuroinflammation is a common trigger of multiple neuropsychiatric disorders. Lipopolysaccharide (LPS) administration is widely used to induce systemic and neural inflammation in various in vivo animal models. Complementing rodent studies, the zebrafish emerges as a powerful model organism for studying complex neurobehavioral consequences of neuroinflammation. Here, adult fish received an intracerebroventricular injection of LPS and were assessed behaviorally in the novel tank, the zebrafish tail immobilization (ZTI) and the Ymaze tests for locomotor, affective and cognitive responses. We also performed neurochemical and neurogenomic profiling of zebrafish to assess their brain monoamine levels and the expression of selected cytokinerelated genes. Overall, LPS-treated zebrafish showed hypolocomotion in the novel tank test, reduced spontaneous alternation in the Y-maze and higher ZTI test immobility, suggesting affective and cognitive deficits, accompanied by elevated serotonin turnover and upregulated pro-inflammatory (Il1b, tnf) and anti-inflammatory (il10) cytokine genes. Collectively, these findings parallel rich rodent evidence of central LPS effects, and support zebrafish as a valuable model system for probing the interplay between neuroinflammation and psychiatric disorders, with a specific focus on evolutionarily conserved, shared mechanisms of CNS pathogenesis.","container-title":"Behavioural Brain Research","DOI":"10.1016/j.bbr.2025.115676","ISSN":"01664328","journalAbbreviation":"Behavioural Brain Research","language":"en","page":"115676","source":"DOI.org (Crossref)","title":"Effects of intracerebroventricular lipopolysaccharide administration on behavioral, neurochemical, and neurogenomic responses in adult zebrafish","volume":"493","author":[{"family":"Ilyin","given":"Nikita P."},{"family":"Galstyan","given":"David S."},{"family":"Zolotova","given":"Anastasia E."},{"family":"Golushko","given":"Nikita I."},{"family":"Tolkunova","given":"Varvara N."},{"family":"Daryna","given":"Saklakova"},{"family":"Martynov","given":"Daniil"},{"family":"Apukhtin","given":"Kirill V."},{"family":"Stewart","given":"Adam Michael"},{"family":"De Abreu","given":"Murilo S."},{"family":"Kalueff","given":"Allan V."}],"issued":{"date-parts":[["2025",9]]}}}],"schema":"https://github.com/citation-style-language/schema/raw/master/csl-citation.json"}</w:instrText>
      </w:r>
      <w:r w:rsidRPr="00593BA2">
        <w:fldChar w:fldCharType="separate"/>
      </w:r>
      <w:r w:rsidRPr="00593BA2">
        <w:rPr>
          <w:vertAlign w:val="superscript"/>
        </w:rPr>
        <w:t>2</w:t>
      </w:r>
      <w:r w:rsidR="00092769" w:rsidRPr="00593BA2">
        <w:rPr>
          <w:vertAlign w:val="superscript"/>
        </w:rPr>
        <w:t>8</w:t>
      </w:r>
      <w:r w:rsidRPr="00593BA2">
        <w:fldChar w:fldCharType="end"/>
      </w:r>
      <w:r w:rsidRPr="00593BA2">
        <w:t>. While powerful, LPS activates multiple Toll</w:t>
      </w:r>
      <w:r w:rsidRPr="00593BA2">
        <w:noBreakHyphen/>
        <w:t>like receptor pathways simultaneously</w:t>
      </w:r>
      <w:r w:rsidRPr="00593BA2">
        <w:fldChar w:fldCharType="begin"/>
      </w:r>
      <w:r w:rsidRPr="00593BA2">
        <w:instrText>ADDIN ZOTERO_ITEM CSL_CITATION {"citationID":"7KznBgKq","properties":{"formattedCitation":"\\super 29,30\\nosupersub{}","plainCitation":"29,30","noteIndex":0},"citationItems":[{"id":306,"uris":["http://zotero.org/users/18011399/items/US24QXKM"],"itemData":{"id":306,"type":"article-journal","abstract":"The LPS-TLR4 immune response is a critical mechanism in the body’s defense against Gram-negative bacterial infections, yet its dysregulation can lead to severe inflammatory diseases. Lipopolysaccharide (LPS), a pivotal pathogenassociated molecular pattern (PAMP) on the surface of gram-negative bacteria, is recognized by Toll-like receptor 4 (TLR4), initiating a complex cascade of immune responses. This review delves into the intricate molecular structures and protein–protein interactions that underpin the LPS-TLR4 signaling pathway, offering a comprehensive analysis of both extracellular recognition and intracellular signal transduction. We explore the roles of key molecules such as LBP, CD14, MD-2, and TLR4 in the initial recognition of LPS, followed by the downstream signaling pathways mediated by MyD88-dependent and MyD88-independent mechanisms. The MyD88-dependent pathway primarily activates NF-κB and AP-1, leading to macrophage M1 polarization and the release of pro-inflammatory cytokines, while the MyD88-independent pathway triggers IRF activation and type-I interferon production. By elucidating the structural basis and functional interactions of these signaling molecules, this review not only enhances our understanding of the LPS-TLR4 immune response but also highlights its implications in both infectious and non-infectious diseases. Our findings underscore the potential of targeting this pathway for therapeutic interventions, offering new avenues for the treatment of inflammatory and immune-related disorders.","container-title":"Cell Communication and Signaling","DOI":"10.1186/s12964-025-02149-4","ISSN":"1478-811X","issue":"1","journalAbbreviation":"Cell Commun Signal","language":"en","page":"142","source":"DOI.org (Crossref)","title":"An examination of the LPS-TLR4 immune response through the analysis of molecular structures and protein–protein interactions","volume":"23","author":[{"family":"Luo","given":"Ruiqin"},{"family":"Yao","given":"Yuexin"},{"family":"Chen","given":"Zhuo"},{"family":"Sun","given":"Xiaoming"}],"issued":{"date-parts":[["2025",3,18]]}},"label":"page"},{"id":307,"uris":["http://zotero.org/users/18011399/items/YDCBYLPU"],"itemData":{"id":307,"type":"article-journal","abstract":"Due to their evolutionary divergence from mammals, zebrafish (Zf, Danio rerio), which are frequently employed in biomedical research, provide a distinctive viewpoint on innate immune systems. The Toll-like receptor 4/myeloid differentiation factor 2/cluster of differentiation 14 (TLR4/MD-2/CD14) complex in mammals detects lipopolysaccharide (LPS), a crucial component of Gram-negative bacteria, and it causes potent inflammatory reactions through a Toll/interleukin-1 receptor domain-containing adapter-inducing interferon-β (TRIF)-dependent and myeloid differentiation primary response 88 (MyD88)-dependent pathways. However, key components of this system, such as a responsive TLR4 axis and a functional CD14 ortholog, are absent in Zf. The Zf species nevertheless reacts to LPS, which leads to research into other recognition systems. This review looks at a number of TLR4-independent processes in Zf, such as scavenger receptors (SRs) including scavenger receptor class B type 1 (SR-BI) and cluster of differentiation 36 (CD36), nucleotide-binding oligomerization domain-containing protein 1 (NOD1)-dependent cytosolic sensing, peptidoglycan recognition proteins (PGRPs), Complement Component 3 (C3), and caspase-1-like protein 2 (Caspy2)-mediated inflammasome activation. An alternative and flexible immune system that makes up for the lack of canonical TLR4 signaling is revealed by these mechanisms. Additionally, the discovery of lymphocyte antigen 96 (ly96), an ortholog of MD-2 found in Zf, suggests evolutionary similarity; however, as it is only functional in artificial systems, it demonstrates minimal overlap with mammalian MD-2 activity. Knowing these pathways provides important information for studying inflammation, infection, and immunological modulation in vertebrates using Zf as a model. It also clarifies the evolutionary flexibility of innate immune recognition.","container-title":"Genes","DOI":"10.3390/genes16091014","ISSN":"2073-4425","issue":"9","journalAbbreviation":"Genes","language":"en","page":"1014","source":"DOI.org (Crossref)","title":"Beyond TLR4 and Its Alternative Lipopolysaccharide (LPS) Sensing Pathways in Zebrafish","volume":"16","author":[{"family":"Grebennikova","given":"Dara V."},{"family":"Shandilya","given":"Umesh K."},{"family":"Karrow","given":"Niel A."}],"issued":{"date-parts":[["2025",8,27]]}},"label":"page"}],"schema":"https://github.com/citation-style-language/schema/raw/master/csl-citation.json"}</w:instrText>
      </w:r>
      <w:r w:rsidRPr="00593BA2">
        <w:fldChar w:fldCharType="separate"/>
      </w:r>
      <w:r w:rsidRPr="00593BA2">
        <w:rPr>
          <w:vertAlign w:val="superscript"/>
        </w:rPr>
        <w:t>2</w:t>
      </w:r>
      <w:r w:rsidR="00092769" w:rsidRPr="00593BA2">
        <w:rPr>
          <w:vertAlign w:val="superscript"/>
        </w:rPr>
        <w:t>8</w:t>
      </w:r>
      <w:r w:rsidR="005F553E" w:rsidRPr="00593BA2">
        <w:rPr>
          <w:vertAlign w:val="superscript"/>
        </w:rPr>
        <w:t>–</w:t>
      </w:r>
      <w:r w:rsidRPr="00593BA2">
        <w:rPr>
          <w:vertAlign w:val="superscript"/>
        </w:rPr>
        <w:t>3</w:t>
      </w:r>
      <w:r w:rsidR="00092769" w:rsidRPr="00593BA2">
        <w:rPr>
          <w:vertAlign w:val="superscript"/>
        </w:rPr>
        <w:t>0</w:t>
      </w:r>
      <w:r w:rsidRPr="00593BA2">
        <w:fldChar w:fldCharType="end"/>
      </w:r>
      <w:r w:rsidR="005F553E" w:rsidRPr="00593BA2">
        <w:t xml:space="preserve">, </w:t>
      </w:r>
      <w:r w:rsidRPr="00593BA2">
        <w:t>making it difficult to isolate the contribution of individual cytokines to downstream neurodevelopmental effects. In contrast, the IL</w:t>
      </w:r>
      <w:r w:rsidRPr="00593BA2">
        <w:noBreakHyphen/>
        <w:t>6 microinjection protocol described here provides a targeted and controlled approach by elevating a single cytokine known to be central in maternal immune activation. Importantly, IL</w:t>
      </w:r>
      <w:r w:rsidRPr="00593BA2">
        <w:noBreakHyphen/>
        <w:t>6 injections do not increase mortality relative to NaCl</w:t>
      </w:r>
      <w:r w:rsidRPr="00593BA2">
        <w:noBreakHyphen/>
        <w:t>injected controls, enabling behavioral and molecular phenotypes to be examined without confounding toxicity. Moreover, IL</w:t>
      </w:r>
      <w:r w:rsidRPr="00593BA2">
        <w:noBreakHyphen/>
        <w:t>6 microinjection produces specific downstream inflammatory signaling, as demonstrated by elevated PGE2 levels, and induces measurable behavioral changes- particularly increased repetitive swimming in tsc2 heterozygous larvae - where genetic susceptibility interacts with cytokine exposure. Together, these distinctions underscore that while LPS models global immune activation, IL</w:t>
      </w:r>
      <w:r w:rsidRPr="00593BA2">
        <w:noBreakHyphen/>
        <w:t>6 microinjection enables precise dissection of cytokine</w:t>
      </w:r>
      <w:r w:rsidRPr="00593BA2">
        <w:noBreakHyphen/>
        <w:t>specific mechanisms relevant to neurodevelopmental risk.</w:t>
      </w:r>
    </w:p>
    <w:p w14:paraId="43BE2E62" w14:textId="77777777" w:rsidR="005F553E" w:rsidRPr="00593BA2" w:rsidRDefault="005F553E" w:rsidP="008F5E68"/>
    <w:p w14:paraId="3E25B141" w14:textId="77777777" w:rsidR="004E6E84" w:rsidRPr="00593BA2" w:rsidRDefault="00000000" w:rsidP="008F5E68">
      <w:r w:rsidRPr="00593BA2">
        <w:t>The representative results presented here illustrate IL</w:t>
      </w:r>
      <w:r w:rsidRPr="00593BA2">
        <w:noBreakHyphen/>
        <w:t>6 effects in a tsc2</w:t>
      </w:r>
      <w:r w:rsidRPr="00593BA2">
        <w:noBreakHyphen/>
        <w:t>mutant background, but the protocol itself is broadly applicable. The method can be readily implemented in wild</w:t>
      </w:r>
      <w:r w:rsidRPr="00593BA2">
        <w:noBreakHyphen/>
        <w:t>type larvae or other genetic models to investigate how defined inflammatory cues intersect with diverse genetic contexts during early neurodevelopment. For applications beyond the tsc2 model, we recommend empirically determining the optimal IL</w:t>
      </w:r>
      <w:r w:rsidRPr="00593BA2">
        <w:noBreakHyphen/>
        <w:t>6 dose, as cytokine sensitivity and inflammatory thresholds may vary across genotypes and experimental aims.</w:t>
      </w:r>
    </w:p>
    <w:p w14:paraId="185A89F8" w14:textId="77777777" w:rsidR="005F553E" w:rsidRPr="00593BA2" w:rsidRDefault="005F553E" w:rsidP="008F5E68"/>
    <w:p w14:paraId="470DDC96" w14:textId="77777777" w:rsidR="004E6E84" w:rsidRPr="00593BA2" w:rsidRDefault="00000000" w:rsidP="008F5E68">
      <w:r w:rsidRPr="00593BA2">
        <w:t>A key technical consideration in this protocol is the consistency of injection volume, as the biological effects of IL</w:t>
      </w:r>
      <w:r w:rsidRPr="00593BA2">
        <w:noBreakHyphen/>
        <w:t xml:space="preserve">6 depend on accurate delivery of approximately 1 </w:t>
      </w:r>
      <w:proofErr w:type="spellStart"/>
      <w:r w:rsidRPr="00593BA2">
        <w:t>nL</w:t>
      </w:r>
      <w:proofErr w:type="spellEnd"/>
      <w:r w:rsidRPr="00593BA2">
        <w:t xml:space="preserve"> per injection. Variability in droplet size often arises from differences in needle aperture or injection pressure. If droplets are too small, gradually increasing the pressure or slightly widening the needle tip under high magnification typically restores proper flow. Conversely, droplets that exceed the intended volume usually indicate that the needle opening is too wide, in which case reducing pressure or preparing a new needle with a narrower tip is necessary. Maintaining precise injection volumes is essential, as deviations can alter inflammatory load and compromise reproducibility. Occasionally, users may encounter situations where no solution is expelled from the needle. This is most often due to air bubbles, debris, or blockages at the needle tip. Inspecting the needle under a stereomicroscope and checking the injector system for leaks or loose connections typically resolves the issue. Ensuring a clean, unobstructed needle tip is essential for consistent delivery and for preventing pressure buildup that could damage the larvae.</w:t>
      </w:r>
    </w:p>
    <w:p w14:paraId="5F664518" w14:textId="77777777" w:rsidR="005F553E" w:rsidRPr="00593BA2" w:rsidRDefault="005F553E" w:rsidP="008F5E68"/>
    <w:p w14:paraId="28AA77C9" w14:textId="77777777" w:rsidR="005F553E" w:rsidRPr="00593BA2" w:rsidRDefault="00000000" w:rsidP="008F5E68">
      <w:r w:rsidRPr="00593BA2">
        <w:t xml:space="preserve">Another important factor is the physiological tolerance of the injected volume. Larvae generally tolerate ~1 </w:t>
      </w:r>
      <w:proofErr w:type="spellStart"/>
      <w:r w:rsidRPr="00593BA2">
        <w:t>nL</w:t>
      </w:r>
      <w:proofErr w:type="spellEnd"/>
      <w:r w:rsidRPr="00593BA2">
        <w:t xml:space="preserve"> well, but larger volumes can increase mortality, particularly when multiple injections are performed across consecutive days. For experiments requiring repeated dosing, it is crucial to minimize mechanical stress, allow sufficient recovery time between injections, and adjust IL</w:t>
      </w:r>
      <w:r w:rsidRPr="00593BA2">
        <w:noBreakHyphen/>
        <w:t>6 concentration rather than volume to achieve the desired dose. These considerations help ensure that observed phenotypes reflect cytokine exposure rather than injection</w:t>
      </w:r>
      <w:r w:rsidRPr="00593BA2">
        <w:noBreakHyphen/>
        <w:t>related injury.</w:t>
      </w:r>
    </w:p>
    <w:p w14:paraId="79D43563" w14:textId="084DB878" w:rsidR="004E6E84" w:rsidRPr="00593BA2" w:rsidRDefault="00000000" w:rsidP="008F5E68">
      <w:r w:rsidRPr="00593BA2">
        <w:br/>
        <w:t>Finally, injection</w:t>
      </w:r>
      <w:r w:rsidRPr="00593BA2">
        <w:noBreakHyphen/>
        <w:t>related mortality can vary widely depending on user experience. While skilled users typically achieve mortality rates near 5%, inexperienced users may observe rates as high as 50%. Most losses stem from mechanical damage during mounting, incorrect needle placement, or accidental puncture of the yolk sac or surrounding tissues. Practicing the procedure on wild</w:t>
      </w:r>
      <w:r w:rsidRPr="00593BA2">
        <w:noBreakHyphen/>
        <w:t>type larvae before beginning experimental injections greatly improves consistency and reduces mortality. Proper positioning of larvae to clearly visualize the duct of Cuvier, combined with gentle handling during mounting and recovery, further minimizes procedural harm.</w:t>
      </w:r>
    </w:p>
    <w:p w14:paraId="5D11216E" w14:textId="77777777" w:rsidR="004E6E84" w:rsidRPr="00593BA2" w:rsidRDefault="004E6E84" w:rsidP="008F5E68"/>
    <w:p w14:paraId="4AECAE3A" w14:textId="77777777" w:rsidR="004E6E84" w:rsidRPr="00593BA2" w:rsidRDefault="00000000" w:rsidP="008F5E68">
      <w:bookmarkStart w:id="125" w:name="2s8eyo1"/>
      <w:bookmarkEnd w:id="125"/>
      <w:r w:rsidRPr="00593BA2">
        <w:rPr>
          <w:b/>
        </w:rPr>
        <w:t>ACKNOWLEDGMENTS:</w:t>
      </w:r>
      <w:r w:rsidRPr="00593BA2">
        <w:t xml:space="preserve"> </w:t>
      </w:r>
    </w:p>
    <w:p w14:paraId="4F46F518" w14:textId="2A086B68" w:rsidR="004E6E84" w:rsidRPr="00593BA2" w:rsidRDefault="00000000" w:rsidP="008F5E68">
      <w:r w:rsidRPr="00593BA2">
        <w:t xml:space="preserve">We thank Kevin Ess and Lilianna </w:t>
      </w:r>
      <w:proofErr w:type="spellStart"/>
      <w:r w:rsidRPr="00593BA2">
        <w:t>Solnica-Krezel</w:t>
      </w:r>
      <w:proofErr w:type="spellEnd"/>
      <w:r w:rsidRPr="00593BA2">
        <w:t xml:space="preserve"> (Vanderbilt University)  for </w:t>
      </w:r>
      <w:r w:rsidRPr="00593BA2">
        <w:rPr>
          <w:i/>
          <w:iCs/>
        </w:rPr>
        <w:t>tsc2</w:t>
      </w:r>
      <w:r w:rsidRPr="00593BA2">
        <w:rPr>
          <w:i/>
          <w:iCs/>
          <w:vertAlign w:val="superscript"/>
        </w:rPr>
        <w:t>vu242/+</w:t>
      </w:r>
      <w:r w:rsidRPr="00593BA2">
        <w:rPr>
          <w:vertAlign w:val="superscript"/>
        </w:rPr>
        <w:t xml:space="preserve"> </w:t>
      </w:r>
      <w:r w:rsidRPr="00593BA2">
        <w:t xml:space="preserve">fish and the IIMCB ZCF for assistance with the adult fish. This work was supported by the SONATA BIS grant no. 2023/50/E/NZ3/00252, a grant to JZ from </w:t>
      </w:r>
      <w:r w:rsidR="005F553E" w:rsidRPr="00593BA2">
        <w:t xml:space="preserve">the </w:t>
      </w:r>
      <w:r w:rsidRPr="00593BA2">
        <w:t xml:space="preserve">National Science Centre, Poland. </w:t>
      </w:r>
    </w:p>
    <w:p w14:paraId="4FE68C5E" w14:textId="77777777" w:rsidR="004E6E84" w:rsidRPr="00593BA2" w:rsidRDefault="004E6E84" w:rsidP="008F5E68">
      <w:pPr>
        <w:rPr>
          <w:color w:val="808080"/>
        </w:rPr>
      </w:pPr>
    </w:p>
    <w:p w14:paraId="59E3AE6D" w14:textId="77777777" w:rsidR="004E6E84" w:rsidRPr="00593BA2" w:rsidRDefault="00000000" w:rsidP="008F5E68">
      <w:pPr>
        <w:rPr>
          <w:b/>
        </w:rPr>
      </w:pPr>
      <w:bookmarkStart w:id="126" w:name="17dp8vu"/>
      <w:bookmarkEnd w:id="126"/>
      <w:r w:rsidRPr="00593BA2">
        <w:rPr>
          <w:b/>
        </w:rPr>
        <w:t xml:space="preserve">DISCLOSURES: </w:t>
      </w:r>
    </w:p>
    <w:p w14:paraId="464A529A" w14:textId="4552F3DA" w:rsidR="004E6E84" w:rsidRPr="00593BA2" w:rsidRDefault="005F553E" w:rsidP="008F5E68">
      <w:r w:rsidRPr="00593BA2">
        <w:lastRenderedPageBreak/>
        <w:t>The authors have nothing to disclose.</w:t>
      </w:r>
    </w:p>
    <w:p w14:paraId="2C4FB7F0" w14:textId="77777777" w:rsidR="004E6E84" w:rsidRPr="00593BA2" w:rsidRDefault="004E6E84" w:rsidP="008F5E68">
      <w:pPr>
        <w:rPr>
          <w:color w:val="808080"/>
        </w:rPr>
      </w:pPr>
    </w:p>
    <w:p w14:paraId="09502B70" w14:textId="77777777" w:rsidR="004E6E84" w:rsidRPr="00593BA2" w:rsidRDefault="00000000" w:rsidP="008F5E68">
      <w:bookmarkStart w:id="127" w:name="3rdcrjn"/>
      <w:bookmarkEnd w:id="127"/>
      <w:r w:rsidRPr="00593BA2">
        <w:rPr>
          <w:b/>
        </w:rPr>
        <w:t>REFERENCES:</w:t>
      </w:r>
      <w:r w:rsidRPr="00593BA2">
        <w:t xml:space="preserve"> </w:t>
      </w:r>
    </w:p>
    <w:p w14:paraId="1B87AB27"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Winden</w:t>
      </w:r>
      <w:proofErr w:type="spellEnd"/>
      <w:r w:rsidRPr="00593BA2">
        <w:rPr>
          <w:rFonts w:ascii="Calibri" w:hAnsi="Calibri" w:cs="Calibri"/>
        </w:rPr>
        <w:t xml:space="preserve">, K. et al. Tuberous sclerosis complex. </w:t>
      </w:r>
      <w:r w:rsidRPr="00593BA2">
        <w:rPr>
          <w:rStyle w:val="Emphasis"/>
          <w:rFonts w:ascii="Calibri" w:hAnsi="Calibri" w:cs="Calibri"/>
        </w:rPr>
        <w:t>Nat Rev Dis Primers.</w:t>
      </w:r>
      <w:r w:rsidRPr="00593BA2">
        <w:rPr>
          <w:rFonts w:ascii="Calibri" w:hAnsi="Calibri" w:cs="Calibri"/>
        </w:rPr>
        <w:t xml:space="preserve"> </w:t>
      </w:r>
      <w:r w:rsidRPr="00593BA2">
        <w:rPr>
          <w:rStyle w:val="Strong"/>
          <w:rFonts w:ascii="Calibri" w:hAnsi="Calibri" w:cs="Calibri"/>
        </w:rPr>
        <w:t>12</w:t>
      </w:r>
      <w:r w:rsidRPr="00593BA2">
        <w:rPr>
          <w:rFonts w:ascii="Calibri" w:hAnsi="Calibri" w:cs="Calibri"/>
        </w:rPr>
        <w:t>, 11 (2026).</w:t>
      </w:r>
    </w:p>
    <w:p w14:paraId="3EBDC6E4"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Ramani, R. et al. The clinical interface of tuberous sclerosis complex and autism spectrum disorder: insights and future directions. </w:t>
      </w:r>
      <w:r w:rsidRPr="00593BA2">
        <w:rPr>
          <w:rStyle w:val="Emphasis"/>
          <w:rFonts w:ascii="Calibri" w:hAnsi="Calibri" w:cs="Calibri"/>
        </w:rPr>
        <w:t>Neurol Sci.</w:t>
      </w:r>
      <w:r w:rsidRPr="00593BA2">
        <w:rPr>
          <w:rFonts w:ascii="Calibri" w:hAnsi="Calibri" w:cs="Calibri"/>
        </w:rPr>
        <w:t xml:space="preserve"> </w:t>
      </w:r>
      <w:r w:rsidRPr="00593BA2">
        <w:rPr>
          <w:rStyle w:val="Strong"/>
          <w:rFonts w:ascii="Calibri" w:hAnsi="Calibri" w:cs="Calibri"/>
        </w:rPr>
        <w:t>46</w:t>
      </w:r>
      <w:r w:rsidRPr="00593BA2">
        <w:rPr>
          <w:rFonts w:ascii="Calibri" w:hAnsi="Calibri" w:cs="Calibri"/>
        </w:rPr>
        <w:t xml:space="preserve"> (6), 2571–2580 (2025).</w:t>
      </w:r>
    </w:p>
    <w:p w14:paraId="1183FCDC"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Lyall, K. et al. The changing epidemiology of autism spectrum disorders. </w:t>
      </w:r>
      <w:r w:rsidRPr="00593BA2">
        <w:rPr>
          <w:rStyle w:val="Emphasis"/>
          <w:rFonts w:ascii="Calibri" w:hAnsi="Calibri" w:cs="Calibri"/>
        </w:rPr>
        <w:t>Annu Rev Public Health.</w:t>
      </w:r>
      <w:r w:rsidRPr="00593BA2">
        <w:rPr>
          <w:rFonts w:ascii="Calibri" w:hAnsi="Calibri" w:cs="Calibri"/>
        </w:rPr>
        <w:t xml:space="preserve"> </w:t>
      </w:r>
      <w:r w:rsidRPr="00593BA2">
        <w:rPr>
          <w:rStyle w:val="Strong"/>
          <w:rFonts w:ascii="Calibri" w:hAnsi="Calibri" w:cs="Calibri"/>
        </w:rPr>
        <w:t>38</w:t>
      </w:r>
      <w:r w:rsidRPr="00593BA2">
        <w:rPr>
          <w:rFonts w:ascii="Calibri" w:hAnsi="Calibri" w:cs="Calibri"/>
        </w:rPr>
        <w:t>, 81–102 (2017).</w:t>
      </w:r>
    </w:p>
    <w:p w14:paraId="0F884A35"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Nazeer, A., </w:t>
      </w:r>
      <w:proofErr w:type="spellStart"/>
      <w:r w:rsidRPr="00593BA2">
        <w:rPr>
          <w:rFonts w:ascii="Calibri" w:hAnsi="Calibri" w:cs="Calibri"/>
        </w:rPr>
        <w:t>Ghaziuddin</w:t>
      </w:r>
      <w:proofErr w:type="spellEnd"/>
      <w:r w:rsidRPr="00593BA2">
        <w:rPr>
          <w:rFonts w:ascii="Calibri" w:hAnsi="Calibri" w:cs="Calibri"/>
        </w:rPr>
        <w:t xml:space="preserve">, M. Autism spectrum disorders: clinical features and diagnosis. </w:t>
      </w:r>
      <w:proofErr w:type="spellStart"/>
      <w:r w:rsidRPr="00593BA2">
        <w:rPr>
          <w:rStyle w:val="Emphasis"/>
          <w:rFonts w:ascii="Calibri" w:hAnsi="Calibri" w:cs="Calibri"/>
        </w:rPr>
        <w:t>Pediatr</w:t>
      </w:r>
      <w:proofErr w:type="spellEnd"/>
      <w:r w:rsidRPr="00593BA2">
        <w:rPr>
          <w:rStyle w:val="Emphasis"/>
          <w:rFonts w:ascii="Calibri" w:hAnsi="Calibri" w:cs="Calibri"/>
        </w:rPr>
        <w:t xml:space="preserve"> Clin North Am.</w:t>
      </w:r>
      <w:r w:rsidRPr="00593BA2">
        <w:rPr>
          <w:rFonts w:ascii="Calibri" w:hAnsi="Calibri" w:cs="Calibri"/>
        </w:rPr>
        <w:t xml:space="preserve"> </w:t>
      </w:r>
      <w:r w:rsidRPr="00593BA2">
        <w:rPr>
          <w:rStyle w:val="Strong"/>
          <w:rFonts w:ascii="Calibri" w:hAnsi="Calibri" w:cs="Calibri"/>
        </w:rPr>
        <w:t>59</w:t>
      </w:r>
      <w:r w:rsidRPr="00593BA2">
        <w:rPr>
          <w:rFonts w:ascii="Calibri" w:hAnsi="Calibri" w:cs="Calibri"/>
        </w:rPr>
        <w:t>, 19–25 (2012).</w:t>
      </w:r>
    </w:p>
    <w:p w14:paraId="7A939543"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Kern, J. K., Geier, D. A., Sykes, L. K., Geier, M. R. Relevance of neuroinflammation and encephalitis in autism. </w:t>
      </w:r>
      <w:r w:rsidRPr="00593BA2">
        <w:rPr>
          <w:rStyle w:val="Emphasis"/>
          <w:rFonts w:ascii="Calibri" w:hAnsi="Calibri" w:cs="Calibri"/>
        </w:rPr>
        <w:t xml:space="preserve">Front Cell </w:t>
      </w:r>
      <w:proofErr w:type="spellStart"/>
      <w:r w:rsidRPr="00593BA2">
        <w:rPr>
          <w:rStyle w:val="Emphasis"/>
          <w:rFonts w:ascii="Calibri" w:hAnsi="Calibri" w:cs="Calibri"/>
        </w:rPr>
        <w:t>Neurosci</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9</w:t>
      </w:r>
      <w:r w:rsidRPr="00593BA2">
        <w:rPr>
          <w:rFonts w:ascii="Calibri" w:hAnsi="Calibri" w:cs="Calibri"/>
        </w:rPr>
        <w:t>, 519 (2016).</w:t>
      </w:r>
    </w:p>
    <w:p w14:paraId="0AD22C85"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Careaga</w:t>
      </w:r>
      <w:proofErr w:type="spellEnd"/>
      <w:r w:rsidRPr="00593BA2">
        <w:rPr>
          <w:rFonts w:ascii="Calibri" w:hAnsi="Calibri" w:cs="Calibri"/>
        </w:rPr>
        <w:t xml:space="preserve">, M., </w:t>
      </w:r>
      <w:proofErr w:type="spellStart"/>
      <w:r w:rsidRPr="00593BA2">
        <w:rPr>
          <w:rFonts w:ascii="Calibri" w:hAnsi="Calibri" w:cs="Calibri"/>
        </w:rPr>
        <w:t>Murai</w:t>
      </w:r>
      <w:proofErr w:type="spellEnd"/>
      <w:r w:rsidRPr="00593BA2">
        <w:rPr>
          <w:rFonts w:ascii="Calibri" w:hAnsi="Calibri" w:cs="Calibri"/>
        </w:rPr>
        <w:t xml:space="preserve">, T., Bauman, M. D. Maternal immune activation and autism spectrum disorder: from rodents to nonhuman and human primates. </w:t>
      </w:r>
      <w:r w:rsidRPr="00593BA2">
        <w:rPr>
          <w:rStyle w:val="Emphasis"/>
          <w:rFonts w:ascii="Calibri" w:hAnsi="Calibri" w:cs="Calibri"/>
        </w:rPr>
        <w:t>Biol Psychiatry.</w:t>
      </w:r>
      <w:r w:rsidRPr="00593BA2">
        <w:rPr>
          <w:rFonts w:ascii="Calibri" w:hAnsi="Calibri" w:cs="Calibri"/>
        </w:rPr>
        <w:t xml:space="preserve"> </w:t>
      </w:r>
      <w:r w:rsidRPr="00593BA2">
        <w:rPr>
          <w:rStyle w:val="Strong"/>
          <w:rFonts w:ascii="Calibri" w:hAnsi="Calibri" w:cs="Calibri"/>
        </w:rPr>
        <w:t>81</w:t>
      </w:r>
      <w:r w:rsidRPr="00593BA2">
        <w:rPr>
          <w:rFonts w:ascii="Calibri" w:hAnsi="Calibri" w:cs="Calibri"/>
        </w:rPr>
        <w:t xml:space="preserve"> (5), 391–401 (2017).</w:t>
      </w:r>
    </w:p>
    <w:p w14:paraId="3C02A37D"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Croonenberghs</w:t>
      </w:r>
      <w:proofErr w:type="spellEnd"/>
      <w:r w:rsidRPr="00593BA2">
        <w:rPr>
          <w:rFonts w:ascii="Calibri" w:hAnsi="Calibri" w:cs="Calibri"/>
        </w:rPr>
        <w:t xml:space="preserve">, J., Bosmans, E., </w:t>
      </w:r>
      <w:proofErr w:type="spellStart"/>
      <w:r w:rsidRPr="00593BA2">
        <w:rPr>
          <w:rFonts w:ascii="Calibri" w:hAnsi="Calibri" w:cs="Calibri"/>
        </w:rPr>
        <w:t>Deboutte</w:t>
      </w:r>
      <w:proofErr w:type="spellEnd"/>
      <w:r w:rsidRPr="00593BA2">
        <w:rPr>
          <w:rFonts w:ascii="Calibri" w:hAnsi="Calibri" w:cs="Calibri"/>
        </w:rPr>
        <w:t xml:space="preserve">, D., </w:t>
      </w:r>
      <w:proofErr w:type="spellStart"/>
      <w:r w:rsidRPr="00593BA2">
        <w:rPr>
          <w:rFonts w:ascii="Calibri" w:hAnsi="Calibri" w:cs="Calibri"/>
        </w:rPr>
        <w:t>Kenis</w:t>
      </w:r>
      <w:proofErr w:type="spellEnd"/>
      <w:r w:rsidRPr="00593BA2">
        <w:rPr>
          <w:rFonts w:ascii="Calibri" w:hAnsi="Calibri" w:cs="Calibri"/>
        </w:rPr>
        <w:t xml:space="preserve">, G., </w:t>
      </w:r>
      <w:proofErr w:type="spellStart"/>
      <w:r w:rsidRPr="00593BA2">
        <w:rPr>
          <w:rFonts w:ascii="Calibri" w:hAnsi="Calibri" w:cs="Calibri"/>
        </w:rPr>
        <w:t>Maes</w:t>
      </w:r>
      <w:proofErr w:type="spellEnd"/>
      <w:r w:rsidRPr="00593BA2">
        <w:rPr>
          <w:rFonts w:ascii="Calibri" w:hAnsi="Calibri" w:cs="Calibri"/>
        </w:rPr>
        <w:t xml:space="preserve">, M. Activation of the inflammatory response system in autism. </w:t>
      </w:r>
      <w:proofErr w:type="spellStart"/>
      <w:r w:rsidRPr="00593BA2">
        <w:rPr>
          <w:rStyle w:val="Emphasis"/>
          <w:rFonts w:ascii="Calibri" w:hAnsi="Calibri" w:cs="Calibri"/>
        </w:rPr>
        <w:t>Neuropsychobiology</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45</w:t>
      </w:r>
      <w:r w:rsidRPr="00593BA2">
        <w:rPr>
          <w:rFonts w:ascii="Calibri" w:hAnsi="Calibri" w:cs="Calibri"/>
        </w:rPr>
        <w:t>, 1–6 (2002).</w:t>
      </w:r>
    </w:p>
    <w:p w14:paraId="4C46BC97"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Girgis, R. R., Kumar, S. S., Brown, A. S. The cytokine model of schizophrenia: emerging therapeutic strategies. </w:t>
      </w:r>
      <w:r w:rsidRPr="00593BA2">
        <w:rPr>
          <w:rStyle w:val="Emphasis"/>
          <w:rFonts w:ascii="Calibri" w:hAnsi="Calibri" w:cs="Calibri"/>
        </w:rPr>
        <w:t>Biol Psychiatry.</w:t>
      </w:r>
      <w:r w:rsidRPr="00593BA2">
        <w:rPr>
          <w:rFonts w:ascii="Calibri" w:hAnsi="Calibri" w:cs="Calibri"/>
        </w:rPr>
        <w:t xml:space="preserve"> </w:t>
      </w:r>
      <w:r w:rsidRPr="00593BA2">
        <w:rPr>
          <w:rStyle w:val="Strong"/>
          <w:rFonts w:ascii="Calibri" w:hAnsi="Calibri" w:cs="Calibri"/>
        </w:rPr>
        <w:t>75</w:t>
      </w:r>
      <w:r w:rsidRPr="00593BA2">
        <w:rPr>
          <w:rFonts w:ascii="Calibri" w:hAnsi="Calibri" w:cs="Calibri"/>
        </w:rPr>
        <w:t xml:space="preserve"> (4), 292–299 (2014).</w:t>
      </w:r>
    </w:p>
    <w:p w14:paraId="50BDBFF3"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Heuer, L. S. et al. An exploratory examination of neonatal cytokines and chemokines as predictors of autism risk: the early markers for autism study. </w:t>
      </w:r>
      <w:r w:rsidRPr="00593BA2">
        <w:rPr>
          <w:rStyle w:val="Emphasis"/>
          <w:rFonts w:ascii="Calibri" w:hAnsi="Calibri" w:cs="Calibri"/>
        </w:rPr>
        <w:t>Biol Psychiatry.</w:t>
      </w:r>
      <w:r w:rsidRPr="00593BA2">
        <w:rPr>
          <w:rFonts w:ascii="Calibri" w:hAnsi="Calibri" w:cs="Calibri"/>
        </w:rPr>
        <w:t xml:space="preserve"> </w:t>
      </w:r>
      <w:r w:rsidRPr="00593BA2">
        <w:rPr>
          <w:rStyle w:val="Strong"/>
          <w:rFonts w:ascii="Calibri" w:hAnsi="Calibri" w:cs="Calibri"/>
        </w:rPr>
        <w:t>86</w:t>
      </w:r>
      <w:r w:rsidRPr="00593BA2">
        <w:rPr>
          <w:rFonts w:ascii="Calibri" w:hAnsi="Calibri" w:cs="Calibri"/>
        </w:rPr>
        <w:t xml:space="preserve"> (4), 255–264 (2019).</w:t>
      </w:r>
    </w:p>
    <w:p w14:paraId="1A79B7FA"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Sasayama, D. et al. Negative correlation between serum cytokine levels and cognitive abilities in children with autism spectrum disorder. </w:t>
      </w:r>
      <w:r w:rsidRPr="00593BA2">
        <w:rPr>
          <w:rStyle w:val="Emphasis"/>
          <w:rFonts w:ascii="Calibri" w:hAnsi="Calibri" w:cs="Calibri"/>
        </w:rPr>
        <w:t xml:space="preserve">J </w:t>
      </w:r>
      <w:proofErr w:type="spellStart"/>
      <w:r w:rsidRPr="00593BA2">
        <w:rPr>
          <w:rStyle w:val="Emphasis"/>
          <w:rFonts w:ascii="Calibri" w:hAnsi="Calibri" w:cs="Calibri"/>
        </w:rPr>
        <w:t>Intell</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 xml:space="preserve">5 </w:t>
      </w:r>
      <w:r w:rsidRPr="00593BA2">
        <w:rPr>
          <w:rStyle w:val="Strong"/>
          <w:rFonts w:ascii="Calibri" w:hAnsi="Calibri" w:cs="Calibri"/>
          <w:b w:val="0"/>
          <w:bCs w:val="0"/>
        </w:rPr>
        <w:t>(2)</w:t>
      </w:r>
      <w:r w:rsidRPr="00593BA2">
        <w:rPr>
          <w:rFonts w:ascii="Calibri" w:hAnsi="Calibri" w:cs="Calibri"/>
          <w:b/>
          <w:bCs/>
        </w:rPr>
        <w:t xml:space="preserve">, </w:t>
      </w:r>
      <w:r w:rsidRPr="00593BA2">
        <w:rPr>
          <w:rFonts w:ascii="Calibri" w:hAnsi="Calibri" w:cs="Calibri"/>
        </w:rPr>
        <w:t>19 (2017).</w:t>
      </w:r>
    </w:p>
    <w:p w14:paraId="4A93BE79"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Banks, W. A., </w:t>
      </w:r>
      <w:proofErr w:type="spellStart"/>
      <w:r w:rsidRPr="00593BA2">
        <w:rPr>
          <w:rFonts w:ascii="Calibri" w:hAnsi="Calibri" w:cs="Calibri"/>
        </w:rPr>
        <w:t>Kastin</w:t>
      </w:r>
      <w:proofErr w:type="spellEnd"/>
      <w:r w:rsidRPr="00593BA2">
        <w:rPr>
          <w:rFonts w:ascii="Calibri" w:hAnsi="Calibri" w:cs="Calibri"/>
        </w:rPr>
        <w:t xml:space="preserve">, A. J., Gutierrez, E. G. Penetration of interleukin-6 across the murine blood-brain barrier. </w:t>
      </w:r>
      <w:proofErr w:type="spellStart"/>
      <w:r w:rsidRPr="00593BA2">
        <w:rPr>
          <w:rStyle w:val="Emphasis"/>
          <w:rFonts w:ascii="Calibri" w:hAnsi="Calibri" w:cs="Calibri"/>
        </w:rPr>
        <w:t>Neurosci</w:t>
      </w:r>
      <w:proofErr w:type="spellEnd"/>
      <w:r w:rsidRPr="00593BA2">
        <w:rPr>
          <w:rStyle w:val="Emphasis"/>
          <w:rFonts w:ascii="Calibri" w:hAnsi="Calibri" w:cs="Calibri"/>
        </w:rPr>
        <w:t xml:space="preserve"> Lett.</w:t>
      </w:r>
      <w:r w:rsidRPr="00593BA2">
        <w:rPr>
          <w:rFonts w:ascii="Calibri" w:hAnsi="Calibri" w:cs="Calibri"/>
        </w:rPr>
        <w:t xml:space="preserve"> </w:t>
      </w:r>
      <w:r w:rsidRPr="00593BA2">
        <w:rPr>
          <w:rStyle w:val="Strong"/>
          <w:rFonts w:ascii="Calibri" w:hAnsi="Calibri" w:cs="Calibri"/>
        </w:rPr>
        <w:t>179</w:t>
      </w:r>
      <w:r w:rsidRPr="00593BA2">
        <w:rPr>
          <w:rFonts w:ascii="Calibri" w:hAnsi="Calibri" w:cs="Calibri"/>
        </w:rPr>
        <w:t xml:space="preserve"> (1–2), 53–56 (1994).</w:t>
      </w:r>
    </w:p>
    <w:p w14:paraId="20FEFAD4"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Otkıran</w:t>
      </w:r>
      <w:proofErr w:type="spellEnd"/>
      <w:r w:rsidRPr="00593BA2">
        <w:rPr>
          <w:rFonts w:ascii="Calibri" w:hAnsi="Calibri" w:cs="Calibri"/>
        </w:rPr>
        <w:t xml:space="preserve">, G., Erdoğan, M. A., </w:t>
      </w:r>
      <w:proofErr w:type="spellStart"/>
      <w:r w:rsidRPr="00593BA2">
        <w:rPr>
          <w:rFonts w:ascii="Calibri" w:hAnsi="Calibri" w:cs="Calibri"/>
        </w:rPr>
        <w:t>Uyanıkgil</w:t>
      </w:r>
      <w:proofErr w:type="spellEnd"/>
      <w:r w:rsidRPr="00593BA2">
        <w:rPr>
          <w:rFonts w:ascii="Calibri" w:hAnsi="Calibri" w:cs="Calibri"/>
        </w:rPr>
        <w:t xml:space="preserve">, Y., </w:t>
      </w:r>
      <w:proofErr w:type="spellStart"/>
      <w:r w:rsidRPr="00593BA2">
        <w:rPr>
          <w:rFonts w:ascii="Calibri" w:hAnsi="Calibri" w:cs="Calibri"/>
        </w:rPr>
        <w:t>Erbaş</w:t>
      </w:r>
      <w:proofErr w:type="spellEnd"/>
      <w:r w:rsidRPr="00593BA2">
        <w:rPr>
          <w:rFonts w:ascii="Calibri" w:hAnsi="Calibri" w:cs="Calibri"/>
        </w:rPr>
        <w:t xml:space="preserve">, O. Prenatal interferon-alpha exposure induces autism-like neurobehavioral and neurochemical alterations in male offspring. </w:t>
      </w:r>
      <w:r w:rsidRPr="00593BA2">
        <w:rPr>
          <w:rStyle w:val="Emphasis"/>
          <w:rFonts w:ascii="Calibri" w:hAnsi="Calibri" w:cs="Calibri"/>
        </w:rPr>
        <w:t xml:space="preserve">J Neuroimmune </w:t>
      </w:r>
      <w:proofErr w:type="spellStart"/>
      <w:r w:rsidRPr="00593BA2">
        <w:rPr>
          <w:rStyle w:val="Emphasis"/>
          <w:rFonts w:ascii="Calibri" w:hAnsi="Calibri" w:cs="Calibri"/>
        </w:rPr>
        <w:t>Pharmacol</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21</w:t>
      </w:r>
      <w:r w:rsidRPr="00593BA2">
        <w:rPr>
          <w:rFonts w:ascii="Calibri" w:hAnsi="Calibri" w:cs="Calibri"/>
        </w:rPr>
        <w:t>, 4 (2026).</w:t>
      </w:r>
    </w:p>
    <w:p w14:paraId="70E96CCE"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Smith, S. E. P., Li, J., Garbett, K., </w:t>
      </w:r>
      <w:proofErr w:type="spellStart"/>
      <w:r w:rsidRPr="00593BA2">
        <w:rPr>
          <w:rFonts w:ascii="Calibri" w:hAnsi="Calibri" w:cs="Calibri"/>
        </w:rPr>
        <w:t>Mirnics</w:t>
      </w:r>
      <w:proofErr w:type="spellEnd"/>
      <w:r w:rsidRPr="00593BA2">
        <w:rPr>
          <w:rFonts w:ascii="Calibri" w:hAnsi="Calibri" w:cs="Calibri"/>
        </w:rPr>
        <w:t xml:space="preserve">, K., Patterson, P. H. Maternal immune activation alters fetal brain development through interleukin-6. </w:t>
      </w:r>
      <w:r w:rsidRPr="00593BA2">
        <w:rPr>
          <w:rStyle w:val="Emphasis"/>
          <w:rFonts w:ascii="Calibri" w:hAnsi="Calibri" w:cs="Calibri"/>
        </w:rPr>
        <w:t xml:space="preserve">J </w:t>
      </w:r>
      <w:proofErr w:type="spellStart"/>
      <w:r w:rsidRPr="00593BA2">
        <w:rPr>
          <w:rStyle w:val="Emphasis"/>
          <w:rFonts w:ascii="Calibri" w:hAnsi="Calibri" w:cs="Calibri"/>
        </w:rPr>
        <w:t>Neurosci</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27</w:t>
      </w:r>
      <w:r w:rsidRPr="00593BA2">
        <w:rPr>
          <w:rFonts w:ascii="Calibri" w:hAnsi="Calibri" w:cs="Calibri"/>
        </w:rPr>
        <w:t xml:space="preserve"> (40), 10695–10702 (2007).</w:t>
      </w:r>
    </w:p>
    <w:p w14:paraId="46001A37"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Bedell, V. M., Meng, Q. C., Pack, M. A., </w:t>
      </w:r>
      <w:proofErr w:type="spellStart"/>
      <w:r w:rsidRPr="00593BA2">
        <w:rPr>
          <w:rFonts w:ascii="Calibri" w:hAnsi="Calibri" w:cs="Calibri"/>
        </w:rPr>
        <w:t>Eckenhoff</w:t>
      </w:r>
      <w:proofErr w:type="spellEnd"/>
      <w:r w:rsidRPr="00593BA2">
        <w:rPr>
          <w:rFonts w:ascii="Calibri" w:hAnsi="Calibri" w:cs="Calibri"/>
        </w:rPr>
        <w:t xml:space="preserve">, R. G. A vertebrate model to reveal neural substrates underlying the transitions between conscious and unconscious states. </w:t>
      </w:r>
      <w:r w:rsidRPr="00593BA2">
        <w:rPr>
          <w:rStyle w:val="Emphasis"/>
          <w:rFonts w:ascii="Calibri" w:hAnsi="Calibri" w:cs="Calibri"/>
        </w:rPr>
        <w:t>Sci Rep.</w:t>
      </w:r>
      <w:r w:rsidRPr="00593BA2">
        <w:rPr>
          <w:rFonts w:ascii="Calibri" w:hAnsi="Calibri" w:cs="Calibri"/>
        </w:rPr>
        <w:t xml:space="preserve"> </w:t>
      </w:r>
      <w:r w:rsidRPr="00593BA2">
        <w:rPr>
          <w:rStyle w:val="Strong"/>
          <w:rFonts w:ascii="Calibri" w:hAnsi="Calibri" w:cs="Calibri"/>
        </w:rPr>
        <w:t>10</w:t>
      </w:r>
      <w:r w:rsidRPr="00593BA2">
        <w:rPr>
          <w:rFonts w:ascii="Calibri" w:hAnsi="Calibri" w:cs="Calibri"/>
        </w:rPr>
        <w:t>, 15789 (2020).</w:t>
      </w:r>
    </w:p>
    <w:p w14:paraId="0CFA81BB"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Belo, M. A. A. et al. Zebrafish as a model to study inflammation: a tool for drug discovery. </w:t>
      </w:r>
      <w:r w:rsidRPr="00593BA2">
        <w:rPr>
          <w:rStyle w:val="Emphasis"/>
          <w:rFonts w:ascii="Calibri" w:hAnsi="Calibri" w:cs="Calibri"/>
        </w:rPr>
        <w:t xml:space="preserve">Biomed </w:t>
      </w:r>
      <w:proofErr w:type="spellStart"/>
      <w:r w:rsidRPr="00593BA2">
        <w:rPr>
          <w:rStyle w:val="Emphasis"/>
          <w:rFonts w:ascii="Calibri" w:hAnsi="Calibri" w:cs="Calibri"/>
        </w:rPr>
        <w:t>Pharmacother</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144</w:t>
      </w:r>
      <w:r w:rsidRPr="00593BA2">
        <w:rPr>
          <w:rFonts w:ascii="Calibri" w:hAnsi="Calibri" w:cs="Calibri"/>
        </w:rPr>
        <w:t>, 112310 (2021).</w:t>
      </w:r>
    </w:p>
    <w:p w14:paraId="014F9CEF"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Ka, J., Pak, B., Han, O., Lee, S., Jin, S.-W. Comparison of transcriptomic changes between zebrafish and mice upon high fat diet reveals evolutionary convergence in lipid metabolism. </w:t>
      </w:r>
      <w:proofErr w:type="spellStart"/>
      <w:r w:rsidRPr="00593BA2">
        <w:rPr>
          <w:rStyle w:val="Emphasis"/>
          <w:rFonts w:ascii="Calibri" w:hAnsi="Calibri" w:cs="Calibri"/>
        </w:rPr>
        <w:t>Biochem</w:t>
      </w:r>
      <w:proofErr w:type="spellEnd"/>
      <w:r w:rsidRPr="00593BA2">
        <w:rPr>
          <w:rStyle w:val="Emphasis"/>
          <w:rFonts w:ascii="Calibri" w:hAnsi="Calibri" w:cs="Calibri"/>
        </w:rPr>
        <w:t xml:space="preserve"> </w:t>
      </w:r>
      <w:proofErr w:type="spellStart"/>
      <w:r w:rsidRPr="00593BA2">
        <w:rPr>
          <w:rStyle w:val="Emphasis"/>
          <w:rFonts w:ascii="Calibri" w:hAnsi="Calibri" w:cs="Calibri"/>
        </w:rPr>
        <w:t>Biophys</w:t>
      </w:r>
      <w:proofErr w:type="spellEnd"/>
      <w:r w:rsidRPr="00593BA2">
        <w:rPr>
          <w:rStyle w:val="Emphasis"/>
          <w:rFonts w:ascii="Calibri" w:hAnsi="Calibri" w:cs="Calibri"/>
        </w:rPr>
        <w:t xml:space="preserve"> Res </w:t>
      </w:r>
      <w:proofErr w:type="spellStart"/>
      <w:r w:rsidRPr="00593BA2">
        <w:rPr>
          <w:rStyle w:val="Emphasis"/>
          <w:rFonts w:ascii="Calibri" w:hAnsi="Calibri" w:cs="Calibri"/>
        </w:rPr>
        <w:t>Commun</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530</w:t>
      </w:r>
      <w:r w:rsidRPr="00593BA2">
        <w:rPr>
          <w:rFonts w:ascii="Calibri" w:hAnsi="Calibri" w:cs="Calibri"/>
        </w:rPr>
        <w:t xml:space="preserve"> (4), 638–643 (2020).</w:t>
      </w:r>
    </w:p>
    <w:p w14:paraId="66442090"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Li, Y., Hu, B. Establishment of multi-site infection model in zebrafish larvae for studying </w:t>
      </w:r>
      <w:r w:rsidRPr="00593BA2">
        <w:rPr>
          <w:rStyle w:val="Emphasis"/>
          <w:rFonts w:ascii="Calibri" w:hAnsi="Calibri" w:cs="Calibri"/>
        </w:rPr>
        <w:t>Staphylococcus aureus</w:t>
      </w:r>
      <w:r w:rsidRPr="00593BA2">
        <w:rPr>
          <w:rFonts w:ascii="Calibri" w:hAnsi="Calibri" w:cs="Calibri"/>
        </w:rPr>
        <w:t xml:space="preserve"> infectious disease. </w:t>
      </w:r>
      <w:r w:rsidRPr="00593BA2">
        <w:rPr>
          <w:rStyle w:val="Emphasis"/>
          <w:rFonts w:ascii="Calibri" w:hAnsi="Calibri" w:cs="Calibri"/>
        </w:rPr>
        <w:t>J Genet Genomics.</w:t>
      </w:r>
      <w:r w:rsidRPr="00593BA2">
        <w:rPr>
          <w:rFonts w:ascii="Calibri" w:hAnsi="Calibri" w:cs="Calibri"/>
        </w:rPr>
        <w:t xml:space="preserve"> </w:t>
      </w:r>
      <w:r w:rsidRPr="00593BA2">
        <w:rPr>
          <w:rStyle w:val="Strong"/>
          <w:rFonts w:ascii="Calibri" w:hAnsi="Calibri" w:cs="Calibri"/>
        </w:rPr>
        <w:t>39</w:t>
      </w:r>
      <w:r w:rsidRPr="00593BA2">
        <w:rPr>
          <w:rFonts w:ascii="Calibri" w:hAnsi="Calibri" w:cs="Calibri"/>
        </w:rPr>
        <w:t xml:space="preserve"> (9), 521–534 (2012).</w:t>
      </w:r>
    </w:p>
    <w:p w14:paraId="5EA226CD"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Nicoli</w:t>
      </w:r>
      <w:proofErr w:type="spellEnd"/>
      <w:r w:rsidRPr="00593BA2">
        <w:rPr>
          <w:rFonts w:ascii="Calibri" w:hAnsi="Calibri" w:cs="Calibri"/>
        </w:rPr>
        <w:t xml:space="preserve">, S., </w:t>
      </w:r>
      <w:proofErr w:type="spellStart"/>
      <w:r w:rsidRPr="00593BA2">
        <w:rPr>
          <w:rFonts w:ascii="Calibri" w:hAnsi="Calibri" w:cs="Calibri"/>
        </w:rPr>
        <w:t>Ribatti</w:t>
      </w:r>
      <w:proofErr w:type="spellEnd"/>
      <w:r w:rsidRPr="00593BA2">
        <w:rPr>
          <w:rFonts w:ascii="Calibri" w:hAnsi="Calibri" w:cs="Calibri"/>
        </w:rPr>
        <w:t xml:space="preserve">, D., </w:t>
      </w:r>
      <w:proofErr w:type="spellStart"/>
      <w:r w:rsidRPr="00593BA2">
        <w:rPr>
          <w:rFonts w:ascii="Calibri" w:hAnsi="Calibri" w:cs="Calibri"/>
        </w:rPr>
        <w:t>Cotelli</w:t>
      </w:r>
      <w:proofErr w:type="spellEnd"/>
      <w:r w:rsidRPr="00593BA2">
        <w:rPr>
          <w:rFonts w:ascii="Calibri" w:hAnsi="Calibri" w:cs="Calibri"/>
        </w:rPr>
        <w:t xml:space="preserve">, F., </w:t>
      </w:r>
      <w:proofErr w:type="spellStart"/>
      <w:r w:rsidRPr="00593BA2">
        <w:rPr>
          <w:rFonts w:ascii="Calibri" w:hAnsi="Calibri" w:cs="Calibri"/>
        </w:rPr>
        <w:t>Presta</w:t>
      </w:r>
      <w:proofErr w:type="spellEnd"/>
      <w:r w:rsidRPr="00593BA2">
        <w:rPr>
          <w:rFonts w:ascii="Calibri" w:hAnsi="Calibri" w:cs="Calibri"/>
        </w:rPr>
        <w:t xml:space="preserve">, M. Mammalian tumor xenografts induce neovascularization in zebrafish embryos. </w:t>
      </w:r>
      <w:r w:rsidRPr="00593BA2">
        <w:rPr>
          <w:rStyle w:val="Emphasis"/>
          <w:rFonts w:ascii="Calibri" w:hAnsi="Calibri" w:cs="Calibri"/>
        </w:rPr>
        <w:t>Cancer Res.</w:t>
      </w:r>
      <w:r w:rsidRPr="00593BA2">
        <w:rPr>
          <w:rFonts w:ascii="Calibri" w:hAnsi="Calibri" w:cs="Calibri"/>
        </w:rPr>
        <w:t xml:space="preserve"> </w:t>
      </w:r>
      <w:r w:rsidRPr="00593BA2">
        <w:rPr>
          <w:rStyle w:val="Strong"/>
          <w:rFonts w:ascii="Calibri" w:hAnsi="Calibri" w:cs="Calibri"/>
        </w:rPr>
        <w:t>67</w:t>
      </w:r>
      <w:r w:rsidRPr="00593BA2">
        <w:rPr>
          <w:rFonts w:ascii="Calibri" w:hAnsi="Calibri" w:cs="Calibri"/>
        </w:rPr>
        <w:t xml:space="preserve"> (7), 2927–2931 (2007).</w:t>
      </w:r>
    </w:p>
    <w:p w14:paraId="0DB780C2"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lastRenderedPageBreak/>
        <w:t xml:space="preserve">Cao, Z. et al. Carboxyl graphene oxide nanoparticles induce neurodevelopmental defects and locomotor disorders in zebrafish larvae. </w:t>
      </w:r>
      <w:r w:rsidRPr="00593BA2">
        <w:rPr>
          <w:rStyle w:val="Emphasis"/>
          <w:rFonts w:ascii="Calibri" w:hAnsi="Calibri" w:cs="Calibri"/>
        </w:rPr>
        <w:t>Chemosphere.</w:t>
      </w:r>
      <w:r w:rsidRPr="00593BA2">
        <w:rPr>
          <w:rFonts w:ascii="Calibri" w:hAnsi="Calibri" w:cs="Calibri"/>
        </w:rPr>
        <w:t xml:space="preserve"> </w:t>
      </w:r>
      <w:r w:rsidRPr="00593BA2">
        <w:rPr>
          <w:rStyle w:val="Strong"/>
          <w:rFonts w:ascii="Calibri" w:hAnsi="Calibri" w:cs="Calibri"/>
        </w:rPr>
        <w:t>270</w:t>
      </w:r>
      <w:r w:rsidRPr="00593BA2">
        <w:rPr>
          <w:rFonts w:ascii="Calibri" w:hAnsi="Calibri" w:cs="Calibri"/>
        </w:rPr>
        <w:t>, 128611 (2021).</w:t>
      </w:r>
    </w:p>
    <w:p w14:paraId="53D356BC"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Martini, D., Pucci, C., </w:t>
      </w:r>
      <w:proofErr w:type="spellStart"/>
      <w:r w:rsidRPr="00593BA2">
        <w:rPr>
          <w:rFonts w:ascii="Calibri" w:hAnsi="Calibri" w:cs="Calibri"/>
        </w:rPr>
        <w:t>Gabellini</w:t>
      </w:r>
      <w:proofErr w:type="spellEnd"/>
      <w:r w:rsidRPr="00593BA2">
        <w:rPr>
          <w:rFonts w:ascii="Calibri" w:hAnsi="Calibri" w:cs="Calibri"/>
        </w:rPr>
        <w:t xml:space="preserve">, C., Pellegrino, M., </w:t>
      </w:r>
      <w:proofErr w:type="spellStart"/>
      <w:r w:rsidRPr="00593BA2">
        <w:rPr>
          <w:rFonts w:ascii="Calibri" w:hAnsi="Calibri" w:cs="Calibri"/>
        </w:rPr>
        <w:t>Andreazzoli</w:t>
      </w:r>
      <w:proofErr w:type="spellEnd"/>
      <w:r w:rsidRPr="00593BA2">
        <w:rPr>
          <w:rFonts w:ascii="Calibri" w:hAnsi="Calibri" w:cs="Calibri"/>
        </w:rPr>
        <w:t xml:space="preserve">, M. Exposure to the natural alkaloid berberine affects cardiovascular system morphogenesis and functionality during zebrafish development. </w:t>
      </w:r>
      <w:r w:rsidRPr="00593BA2">
        <w:rPr>
          <w:rStyle w:val="Emphasis"/>
          <w:rFonts w:ascii="Calibri" w:hAnsi="Calibri" w:cs="Calibri"/>
        </w:rPr>
        <w:t>Sci Rep.</w:t>
      </w:r>
      <w:r w:rsidRPr="00593BA2">
        <w:rPr>
          <w:rFonts w:ascii="Calibri" w:hAnsi="Calibri" w:cs="Calibri"/>
        </w:rPr>
        <w:t xml:space="preserve"> </w:t>
      </w:r>
      <w:r w:rsidRPr="00593BA2">
        <w:rPr>
          <w:rStyle w:val="Strong"/>
          <w:rFonts w:ascii="Calibri" w:hAnsi="Calibri" w:cs="Calibri"/>
        </w:rPr>
        <w:t>10</w:t>
      </w:r>
      <w:r w:rsidRPr="00593BA2">
        <w:rPr>
          <w:rFonts w:ascii="Calibri" w:hAnsi="Calibri" w:cs="Calibri"/>
        </w:rPr>
        <w:t>, 17358 (2020).</w:t>
      </w:r>
    </w:p>
    <w:p w14:paraId="6DB35657"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Sun, M. et al. Robotic cardinal vein microinjection of zebrafish larvae based on 3D positioning. </w:t>
      </w:r>
      <w:r w:rsidRPr="00593BA2">
        <w:rPr>
          <w:rStyle w:val="Emphasis"/>
          <w:rFonts w:ascii="Calibri" w:hAnsi="Calibri" w:cs="Calibri"/>
        </w:rPr>
        <w:t>2021 IEEE International Conference on Robotics and Automation (ICRA), Xi'an, China</w:t>
      </w:r>
      <w:r w:rsidRPr="00593BA2">
        <w:rPr>
          <w:rFonts w:ascii="Calibri" w:hAnsi="Calibri" w:cs="Calibri"/>
        </w:rPr>
        <w:t>. doi:10.1109/ICRA48506.2021.9561991 (2021).</w:t>
      </w:r>
    </w:p>
    <w:p w14:paraId="140444F7"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Kedra</w:t>
      </w:r>
      <w:proofErr w:type="spellEnd"/>
      <w:r w:rsidRPr="00593BA2">
        <w:rPr>
          <w:rFonts w:ascii="Calibri" w:hAnsi="Calibri" w:cs="Calibri"/>
        </w:rPr>
        <w:t xml:space="preserve">, M. et al. </w:t>
      </w:r>
      <w:proofErr w:type="spellStart"/>
      <w:r w:rsidRPr="00593BA2">
        <w:rPr>
          <w:rFonts w:ascii="Calibri" w:hAnsi="Calibri" w:cs="Calibri"/>
        </w:rPr>
        <w:t>TrkB</w:t>
      </w:r>
      <w:proofErr w:type="spellEnd"/>
      <w:r w:rsidRPr="00593BA2">
        <w:rPr>
          <w:rFonts w:ascii="Calibri" w:hAnsi="Calibri" w:cs="Calibri"/>
        </w:rPr>
        <w:t xml:space="preserve"> hyperactivity contributes to brain dysconnectivity, </w:t>
      </w:r>
      <w:proofErr w:type="spellStart"/>
      <w:r w:rsidRPr="00593BA2">
        <w:rPr>
          <w:rFonts w:ascii="Calibri" w:hAnsi="Calibri" w:cs="Calibri"/>
        </w:rPr>
        <w:t>epileptogenesis</w:t>
      </w:r>
      <w:proofErr w:type="spellEnd"/>
      <w:r w:rsidRPr="00593BA2">
        <w:rPr>
          <w:rFonts w:ascii="Calibri" w:hAnsi="Calibri" w:cs="Calibri"/>
        </w:rPr>
        <w:t xml:space="preserve">, and anxiety in zebrafish model of tuberous sclerosis complex. </w:t>
      </w:r>
      <w:r w:rsidRPr="00593BA2">
        <w:rPr>
          <w:rStyle w:val="Emphasis"/>
          <w:rFonts w:ascii="Calibri" w:hAnsi="Calibri" w:cs="Calibri"/>
        </w:rPr>
        <w:t xml:space="preserve">Proc Natl </w:t>
      </w:r>
      <w:proofErr w:type="spellStart"/>
      <w:r w:rsidRPr="00593BA2">
        <w:rPr>
          <w:rStyle w:val="Emphasis"/>
          <w:rFonts w:ascii="Calibri" w:hAnsi="Calibri" w:cs="Calibri"/>
        </w:rPr>
        <w:t>Acad</w:t>
      </w:r>
      <w:proofErr w:type="spellEnd"/>
      <w:r w:rsidRPr="00593BA2">
        <w:rPr>
          <w:rStyle w:val="Emphasis"/>
          <w:rFonts w:ascii="Calibri" w:hAnsi="Calibri" w:cs="Calibri"/>
        </w:rPr>
        <w:t xml:space="preserve"> Sci U S A.</w:t>
      </w:r>
      <w:r w:rsidRPr="00593BA2">
        <w:rPr>
          <w:rFonts w:ascii="Calibri" w:hAnsi="Calibri" w:cs="Calibri"/>
        </w:rPr>
        <w:t xml:space="preserve"> </w:t>
      </w:r>
      <w:r w:rsidRPr="00593BA2">
        <w:rPr>
          <w:rStyle w:val="Strong"/>
          <w:rFonts w:ascii="Calibri" w:hAnsi="Calibri" w:cs="Calibri"/>
        </w:rPr>
        <w:t>117</w:t>
      </w:r>
      <w:r w:rsidRPr="00593BA2">
        <w:rPr>
          <w:rFonts w:ascii="Calibri" w:hAnsi="Calibri" w:cs="Calibri"/>
        </w:rPr>
        <w:t xml:space="preserve"> (4), 2170–2179 (2020).</w:t>
      </w:r>
    </w:p>
    <w:p w14:paraId="02D666DD"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Kim, S.-H., Speirs, C. K., </w:t>
      </w:r>
      <w:proofErr w:type="spellStart"/>
      <w:r w:rsidRPr="00593BA2">
        <w:rPr>
          <w:rFonts w:ascii="Calibri" w:hAnsi="Calibri" w:cs="Calibri"/>
        </w:rPr>
        <w:t>Solnica-Krezel</w:t>
      </w:r>
      <w:proofErr w:type="spellEnd"/>
      <w:r w:rsidRPr="00593BA2">
        <w:rPr>
          <w:rFonts w:ascii="Calibri" w:hAnsi="Calibri" w:cs="Calibri"/>
        </w:rPr>
        <w:t xml:space="preserve">, L., Ess, K. C. Zebrafish model of tuberous sclerosis complex reveals cell-autonomous and non-cell-autonomous functions of mutant tuberin. </w:t>
      </w:r>
      <w:r w:rsidRPr="00593BA2">
        <w:rPr>
          <w:rStyle w:val="Emphasis"/>
          <w:rFonts w:ascii="Calibri" w:hAnsi="Calibri" w:cs="Calibri"/>
        </w:rPr>
        <w:t>Dis Model Mech.</w:t>
      </w:r>
      <w:r w:rsidRPr="00593BA2">
        <w:rPr>
          <w:rFonts w:ascii="Calibri" w:hAnsi="Calibri" w:cs="Calibri"/>
        </w:rPr>
        <w:t xml:space="preserve"> </w:t>
      </w:r>
      <w:r w:rsidRPr="00593BA2">
        <w:rPr>
          <w:rStyle w:val="Strong"/>
          <w:rFonts w:ascii="Calibri" w:hAnsi="Calibri" w:cs="Calibri"/>
        </w:rPr>
        <w:t>4</w:t>
      </w:r>
      <w:r w:rsidRPr="00593BA2">
        <w:rPr>
          <w:rFonts w:ascii="Calibri" w:hAnsi="Calibri" w:cs="Calibri"/>
        </w:rPr>
        <w:t xml:space="preserve"> (2), 255–267 (2011).</w:t>
      </w:r>
    </w:p>
    <w:p w14:paraId="7634E96C"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Konadu, B., Cox, C. K., </w:t>
      </w:r>
      <w:proofErr w:type="spellStart"/>
      <w:r w:rsidRPr="00593BA2">
        <w:rPr>
          <w:rFonts w:ascii="Calibri" w:hAnsi="Calibri" w:cs="Calibri"/>
        </w:rPr>
        <w:t>Gibert</w:t>
      </w:r>
      <w:proofErr w:type="spellEnd"/>
      <w:r w:rsidRPr="00593BA2">
        <w:rPr>
          <w:rFonts w:ascii="Calibri" w:hAnsi="Calibri" w:cs="Calibri"/>
        </w:rPr>
        <w:t xml:space="preserve">, Y. Protocol for the microinjection of free fatty acids and triacylglycerol in zebrafish embryos. </w:t>
      </w:r>
      <w:r w:rsidRPr="00593BA2">
        <w:rPr>
          <w:rStyle w:val="Emphasis"/>
          <w:rFonts w:ascii="Calibri" w:hAnsi="Calibri" w:cs="Calibri"/>
        </w:rPr>
        <w:t xml:space="preserve">STAR </w:t>
      </w:r>
      <w:proofErr w:type="spellStart"/>
      <w:r w:rsidRPr="00593BA2">
        <w:rPr>
          <w:rStyle w:val="Emphasis"/>
          <w:rFonts w:ascii="Calibri" w:hAnsi="Calibri" w:cs="Calibri"/>
        </w:rPr>
        <w:t>Protoc</w:t>
      </w:r>
      <w:proofErr w:type="spellEnd"/>
      <w:r w:rsidRPr="00593BA2">
        <w:rPr>
          <w:rStyle w:val="Emphasis"/>
          <w:rFonts w:ascii="Calibri" w:hAnsi="Calibri" w:cs="Calibri"/>
        </w:rPr>
        <w:t>.</w:t>
      </w:r>
      <w:r w:rsidRPr="00593BA2">
        <w:rPr>
          <w:rFonts w:ascii="Calibri" w:hAnsi="Calibri" w:cs="Calibri"/>
        </w:rPr>
        <w:t xml:space="preserve"> </w:t>
      </w:r>
      <w:r w:rsidRPr="00593BA2">
        <w:rPr>
          <w:rStyle w:val="Strong"/>
          <w:rFonts w:ascii="Calibri" w:hAnsi="Calibri" w:cs="Calibri"/>
        </w:rPr>
        <w:t>5</w:t>
      </w:r>
      <w:r w:rsidRPr="00593BA2">
        <w:rPr>
          <w:rFonts w:ascii="Calibri" w:hAnsi="Calibri" w:cs="Calibri"/>
        </w:rPr>
        <w:t xml:space="preserve"> (2), 103086 (2024).</w:t>
      </w:r>
    </w:p>
    <w:p w14:paraId="66EBDCD4"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Evans, S. S., </w:t>
      </w:r>
      <w:proofErr w:type="spellStart"/>
      <w:r w:rsidRPr="00593BA2">
        <w:rPr>
          <w:rFonts w:ascii="Calibri" w:hAnsi="Calibri" w:cs="Calibri"/>
        </w:rPr>
        <w:t>Repasky</w:t>
      </w:r>
      <w:proofErr w:type="spellEnd"/>
      <w:r w:rsidRPr="00593BA2">
        <w:rPr>
          <w:rFonts w:ascii="Calibri" w:hAnsi="Calibri" w:cs="Calibri"/>
        </w:rPr>
        <w:t xml:space="preserve">, E. A., Fisher, D. T. Fever and the thermal regulation of immunity: the immune system feels the heat. </w:t>
      </w:r>
      <w:r w:rsidRPr="00593BA2">
        <w:rPr>
          <w:rStyle w:val="Emphasis"/>
          <w:rFonts w:ascii="Calibri" w:hAnsi="Calibri" w:cs="Calibri"/>
        </w:rPr>
        <w:t>Nat Rev Immunol.</w:t>
      </w:r>
      <w:r w:rsidRPr="00593BA2">
        <w:rPr>
          <w:rFonts w:ascii="Calibri" w:hAnsi="Calibri" w:cs="Calibri"/>
        </w:rPr>
        <w:t xml:space="preserve"> </w:t>
      </w:r>
      <w:r w:rsidRPr="00593BA2">
        <w:rPr>
          <w:rStyle w:val="Strong"/>
          <w:rFonts w:ascii="Calibri" w:hAnsi="Calibri" w:cs="Calibri"/>
        </w:rPr>
        <w:t>15</w:t>
      </w:r>
      <w:r w:rsidRPr="00593BA2">
        <w:rPr>
          <w:rFonts w:ascii="Calibri" w:hAnsi="Calibri" w:cs="Calibri"/>
        </w:rPr>
        <w:t xml:space="preserve"> (6), 335–349 (2015).</w:t>
      </w:r>
    </w:p>
    <w:p w14:paraId="0183A6E2"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Zabegalov</w:t>
      </w:r>
      <w:proofErr w:type="spellEnd"/>
      <w:r w:rsidRPr="00593BA2">
        <w:rPr>
          <w:rFonts w:ascii="Calibri" w:hAnsi="Calibri" w:cs="Calibri"/>
        </w:rPr>
        <w:t xml:space="preserve">, K. N. et al. Abnormal repetitive behaviors in zebrafish and their relevance to human brain disorders. </w:t>
      </w:r>
      <w:proofErr w:type="spellStart"/>
      <w:r w:rsidRPr="00593BA2">
        <w:rPr>
          <w:rStyle w:val="Emphasis"/>
          <w:rFonts w:ascii="Calibri" w:hAnsi="Calibri" w:cs="Calibri"/>
        </w:rPr>
        <w:t>Behav</w:t>
      </w:r>
      <w:proofErr w:type="spellEnd"/>
      <w:r w:rsidRPr="00593BA2">
        <w:rPr>
          <w:rStyle w:val="Emphasis"/>
          <w:rFonts w:ascii="Calibri" w:hAnsi="Calibri" w:cs="Calibri"/>
        </w:rPr>
        <w:t xml:space="preserve"> Brain Res.</w:t>
      </w:r>
      <w:r w:rsidRPr="00593BA2">
        <w:rPr>
          <w:rFonts w:ascii="Calibri" w:hAnsi="Calibri" w:cs="Calibri"/>
        </w:rPr>
        <w:t xml:space="preserve"> </w:t>
      </w:r>
      <w:r w:rsidRPr="00593BA2">
        <w:rPr>
          <w:rStyle w:val="Strong"/>
          <w:rFonts w:ascii="Calibri" w:hAnsi="Calibri" w:cs="Calibri"/>
        </w:rPr>
        <w:t>367</w:t>
      </w:r>
      <w:r w:rsidRPr="00593BA2">
        <w:rPr>
          <w:rFonts w:ascii="Calibri" w:hAnsi="Calibri" w:cs="Calibri"/>
        </w:rPr>
        <w:t>, 101–110 (2019).</w:t>
      </w:r>
    </w:p>
    <w:p w14:paraId="32A5D4DD"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Scheldeman</w:t>
      </w:r>
      <w:proofErr w:type="spellEnd"/>
      <w:r w:rsidRPr="00593BA2">
        <w:rPr>
          <w:rFonts w:ascii="Calibri" w:hAnsi="Calibri" w:cs="Calibri"/>
        </w:rPr>
        <w:t xml:space="preserve">, C. et al. mTOR-related neuropathology in mutant tsc2 zebrafish: phenotypic, transcriptomic and pharmacological analysis. </w:t>
      </w:r>
      <w:proofErr w:type="spellStart"/>
      <w:r w:rsidRPr="00593BA2">
        <w:rPr>
          <w:rStyle w:val="Emphasis"/>
          <w:rFonts w:ascii="Calibri" w:hAnsi="Calibri" w:cs="Calibri"/>
        </w:rPr>
        <w:t>Neurobiol</w:t>
      </w:r>
      <w:proofErr w:type="spellEnd"/>
      <w:r w:rsidRPr="00593BA2">
        <w:rPr>
          <w:rStyle w:val="Emphasis"/>
          <w:rFonts w:ascii="Calibri" w:hAnsi="Calibri" w:cs="Calibri"/>
        </w:rPr>
        <w:t xml:space="preserve"> Dis.</w:t>
      </w:r>
      <w:r w:rsidRPr="00593BA2">
        <w:rPr>
          <w:rFonts w:ascii="Calibri" w:hAnsi="Calibri" w:cs="Calibri"/>
        </w:rPr>
        <w:t xml:space="preserve"> </w:t>
      </w:r>
      <w:r w:rsidRPr="00593BA2">
        <w:rPr>
          <w:rStyle w:val="Strong"/>
          <w:rFonts w:ascii="Calibri" w:hAnsi="Calibri" w:cs="Calibri"/>
        </w:rPr>
        <w:t>108</w:t>
      </w:r>
      <w:r w:rsidRPr="00593BA2">
        <w:rPr>
          <w:rFonts w:ascii="Calibri" w:hAnsi="Calibri" w:cs="Calibri"/>
        </w:rPr>
        <w:t>, 225–237 (2017).</w:t>
      </w:r>
    </w:p>
    <w:p w14:paraId="1EE3F4EF"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Ilyin, N. P. et al. Effects of intracerebroventricular lipopolysaccharide administration on behavioral, neurochemical, and </w:t>
      </w:r>
      <w:proofErr w:type="spellStart"/>
      <w:r w:rsidRPr="00593BA2">
        <w:rPr>
          <w:rFonts w:ascii="Calibri" w:hAnsi="Calibri" w:cs="Calibri"/>
        </w:rPr>
        <w:t>neurogenomic</w:t>
      </w:r>
      <w:proofErr w:type="spellEnd"/>
      <w:r w:rsidRPr="00593BA2">
        <w:rPr>
          <w:rFonts w:ascii="Calibri" w:hAnsi="Calibri" w:cs="Calibri"/>
        </w:rPr>
        <w:t xml:space="preserve"> responses in adult zebrafish. </w:t>
      </w:r>
      <w:proofErr w:type="spellStart"/>
      <w:r w:rsidRPr="00593BA2">
        <w:rPr>
          <w:rStyle w:val="Emphasis"/>
          <w:rFonts w:ascii="Calibri" w:hAnsi="Calibri" w:cs="Calibri"/>
        </w:rPr>
        <w:t>Behav</w:t>
      </w:r>
      <w:proofErr w:type="spellEnd"/>
      <w:r w:rsidRPr="00593BA2">
        <w:rPr>
          <w:rStyle w:val="Emphasis"/>
          <w:rFonts w:ascii="Calibri" w:hAnsi="Calibri" w:cs="Calibri"/>
        </w:rPr>
        <w:t xml:space="preserve"> Brain Res.</w:t>
      </w:r>
      <w:r w:rsidRPr="00593BA2">
        <w:rPr>
          <w:rFonts w:ascii="Calibri" w:hAnsi="Calibri" w:cs="Calibri"/>
        </w:rPr>
        <w:t xml:space="preserve"> </w:t>
      </w:r>
      <w:r w:rsidRPr="00593BA2">
        <w:rPr>
          <w:rStyle w:val="Strong"/>
          <w:rFonts w:ascii="Calibri" w:hAnsi="Calibri" w:cs="Calibri"/>
        </w:rPr>
        <w:t>493</w:t>
      </w:r>
      <w:r w:rsidRPr="00593BA2">
        <w:rPr>
          <w:rFonts w:ascii="Calibri" w:hAnsi="Calibri" w:cs="Calibri"/>
        </w:rPr>
        <w:t>, 115676 (2025).</w:t>
      </w:r>
    </w:p>
    <w:p w14:paraId="2A384137"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r w:rsidRPr="00593BA2">
        <w:rPr>
          <w:rFonts w:ascii="Calibri" w:hAnsi="Calibri" w:cs="Calibri"/>
        </w:rPr>
        <w:t xml:space="preserve">Luo, R., Yao, Y., Chen, Z., Sun, X. An examination of the LPS-TLR4 immune response through the analysis of molecular structures and protein-protein interactions. </w:t>
      </w:r>
      <w:r w:rsidRPr="00593BA2">
        <w:rPr>
          <w:rStyle w:val="Emphasis"/>
          <w:rFonts w:ascii="Calibri" w:hAnsi="Calibri" w:cs="Calibri"/>
        </w:rPr>
        <w:t xml:space="preserve">Cell </w:t>
      </w:r>
      <w:proofErr w:type="spellStart"/>
      <w:r w:rsidRPr="00593BA2">
        <w:rPr>
          <w:rStyle w:val="Emphasis"/>
          <w:rFonts w:ascii="Calibri" w:hAnsi="Calibri" w:cs="Calibri"/>
        </w:rPr>
        <w:t>Commun</w:t>
      </w:r>
      <w:proofErr w:type="spellEnd"/>
      <w:r w:rsidRPr="00593BA2">
        <w:rPr>
          <w:rStyle w:val="Emphasis"/>
          <w:rFonts w:ascii="Calibri" w:hAnsi="Calibri" w:cs="Calibri"/>
        </w:rPr>
        <w:t xml:space="preserve"> Signal.</w:t>
      </w:r>
      <w:r w:rsidRPr="00593BA2">
        <w:rPr>
          <w:rFonts w:ascii="Calibri" w:hAnsi="Calibri" w:cs="Calibri"/>
        </w:rPr>
        <w:t xml:space="preserve"> </w:t>
      </w:r>
      <w:r w:rsidRPr="00593BA2">
        <w:rPr>
          <w:rStyle w:val="Strong"/>
          <w:rFonts w:ascii="Calibri" w:hAnsi="Calibri" w:cs="Calibri"/>
        </w:rPr>
        <w:t>23</w:t>
      </w:r>
      <w:r w:rsidRPr="00593BA2">
        <w:rPr>
          <w:rFonts w:ascii="Calibri" w:hAnsi="Calibri" w:cs="Calibri"/>
        </w:rPr>
        <w:t>, 142 (2025).</w:t>
      </w:r>
    </w:p>
    <w:p w14:paraId="4B2AA8A5" w14:textId="77777777" w:rsidR="00092769" w:rsidRPr="00593BA2" w:rsidRDefault="00092769" w:rsidP="008F5E68">
      <w:pPr>
        <w:pStyle w:val="NormalWeb"/>
        <w:numPr>
          <w:ilvl w:val="0"/>
          <w:numId w:val="2"/>
        </w:numPr>
        <w:spacing w:before="0" w:beforeAutospacing="0" w:after="0" w:afterAutospacing="0"/>
        <w:ind w:left="0" w:firstLine="0"/>
        <w:jc w:val="both"/>
        <w:rPr>
          <w:rFonts w:ascii="Calibri" w:hAnsi="Calibri" w:cs="Calibri"/>
        </w:rPr>
      </w:pPr>
      <w:proofErr w:type="spellStart"/>
      <w:r w:rsidRPr="00593BA2">
        <w:rPr>
          <w:rFonts w:ascii="Calibri" w:hAnsi="Calibri" w:cs="Calibri"/>
        </w:rPr>
        <w:t>Grebennikova</w:t>
      </w:r>
      <w:proofErr w:type="spellEnd"/>
      <w:r w:rsidRPr="00593BA2">
        <w:rPr>
          <w:rFonts w:ascii="Calibri" w:hAnsi="Calibri" w:cs="Calibri"/>
        </w:rPr>
        <w:t xml:space="preserve">, D. V., Shandilya, U. K., </w:t>
      </w:r>
      <w:proofErr w:type="spellStart"/>
      <w:r w:rsidRPr="00593BA2">
        <w:rPr>
          <w:rFonts w:ascii="Calibri" w:hAnsi="Calibri" w:cs="Calibri"/>
        </w:rPr>
        <w:t>Karrow</w:t>
      </w:r>
      <w:proofErr w:type="spellEnd"/>
      <w:r w:rsidRPr="00593BA2">
        <w:rPr>
          <w:rFonts w:ascii="Calibri" w:hAnsi="Calibri" w:cs="Calibri"/>
        </w:rPr>
        <w:t xml:space="preserve">, N. A. Beyond TLR4 and its alternative lipopolysaccharide (LPS) sensing pathways in zebrafish. </w:t>
      </w:r>
      <w:r w:rsidRPr="00593BA2">
        <w:rPr>
          <w:rStyle w:val="Emphasis"/>
          <w:rFonts w:ascii="Calibri" w:hAnsi="Calibri" w:cs="Calibri"/>
        </w:rPr>
        <w:t>Genes.</w:t>
      </w:r>
      <w:r w:rsidRPr="00593BA2">
        <w:rPr>
          <w:rFonts w:ascii="Calibri" w:hAnsi="Calibri" w:cs="Calibri"/>
        </w:rPr>
        <w:t xml:space="preserve"> </w:t>
      </w:r>
      <w:r w:rsidRPr="00593BA2">
        <w:rPr>
          <w:rStyle w:val="Strong"/>
          <w:rFonts w:ascii="Calibri" w:hAnsi="Calibri" w:cs="Calibri"/>
        </w:rPr>
        <w:t>16</w:t>
      </w:r>
      <w:r w:rsidRPr="00593BA2">
        <w:rPr>
          <w:rFonts w:ascii="Calibri" w:hAnsi="Calibri" w:cs="Calibri"/>
        </w:rPr>
        <w:t xml:space="preserve"> (9) 1014 (2025).</w:t>
      </w:r>
    </w:p>
    <w:p w14:paraId="356E9B08" w14:textId="77777777" w:rsidR="004E6E84" w:rsidRPr="00A54613" w:rsidRDefault="004E6E84" w:rsidP="008F5E68">
      <w:pPr>
        <w:rPr>
          <w:color w:val="808080"/>
        </w:rPr>
      </w:pPr>
      <w:bookmarkStart w:id="128" w:name="1t3h5sf_kopia_1"/>
      <w:bookmarkEnd w:id="128"/>
    </w:p>
    <w:sectPr w:rsidR="004E6E84" w:rsidRPr="00A5461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0" w:gutter="0"/>
      <w:lnNumType w:countBy="1" w:distance="283" w:restart="continuous"/>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A0CD7" w14:textId="77777777" w:rsidR="00985706" w:rsidRDefault="00985706">
      <w:r>
        <w:separator/>
      </w:r>
    </w:p>
  </w:endnote>
  <w:endnote w:type="continuationSeparator" w:id="0">
    <w:p w14:paraId="3A1AFE40" w14:textId="77777777" w:rsidR="00985706" w:rsidRDefault="0098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119D" w14:textId="77777777" w:rsidR="00D45FA9" w:rsidRDefault="00D45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B4F51" w14:textId="77777777" w:rsidR="00D45FA9" w:rsidRDefault="00D45F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52C4" w14:textId="77777777" w:rsidR="00D45FA9" w:rsidRDefault="00D45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47E0B" w14:textId="77777777" w:rsidR="00985706" w:rsidRDefault="00985706">
      <w:r>
        <w:separator/>
      </w:r>
    </w:p>
  </w:footnote>
  <w:footnote w:type="continuationSeparator" w:id="0">
    <w:p w14:paraId="124171D5" w14:textId="77777777" w:rsidR="00985706" w:rsidRDefault="00985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8D23" w14:textId="77777777" w:rsidR="004E6E84" w:rsidRDefault="004E6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877A" w14:textId="77777777" w:rsidR="004E6E84"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F4FC1" w14:textId="03A92DD1" w:rsidR="004E6E84" w:rsidRDefault="004E6E84">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D0385"/>
    <w:multiLevelType w:val="multilevel"/>
    <w:tmpl w:val="49524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E44A1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0188469">
    <w:abstractNumId w:val="1"/>
  </w:num>
  <w:num w:numId="2" w16cid:durableId="11097402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ivani Dogra">
    <w15:presenceInfo w15:providerId="AD" w15:userId="S-1-5-21-891903995-1954382132-3677306373-13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hideSpellingErrors/>
  <w:hideGrammaticalErrors/>
  <w:proofState w:spelling="clean"/>
  <w:trackRevision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MrcwNjQxtzA1tTBU0lEKTi0uzszPAykwNK4FAIFA4bYtAAAA"/>
  </w:docVars>
  <w:rsids>
    <w:rsidRoot w:val="004E6E84"/>
    <w:rsid w:val="00092769"/>
    <w:rsid w:val="000A04AE"/>
    <w:rsid w:val="00107A7A"/>
    <w:rsid w:val="00127621"/>
    <w:rsid w:val="001715D9"/>
    <w:rsid w:val="001F0131"/>
    <w:rsid w:val="002B15C7"/>
    <w:rsid w:val="00354D12"/>
    <w:rsid w:val="003B0CCA"/>
    <w:rsid w:val="003B6904"/>
    <w:rsid w:val="003F0F9F"/>
    <w:rsid w:val="004B066E"/>
    <w:rsid w:val="004D34B1"/>
    <w:rsid w:val="004E6E84"/>
    <w:rsid w:val="00593BA2"/>
    <w:rsid w:val="005F553E"/>
    <w:rsid w:val="00723D57"/>
    <w:rsid w:val="00746CF7"/>
    <w:rsid w:val="00766DD7"/>
    <w:rsid w:val="00774F0A"/>
    <w:rsid w:val="007B037F"/>
    <w:rsid w:val="007F10D9"/>
    <w:rsid w:val="008575AF"/>
    <w:rsid w:val="008A5D4C"/>
    <w:rsid w:val="008E561A"/>
    <w:rsid w:val="008F0997"/>
    <w:rsid w:val="008F5E68"/>
    <w:rsid w:val="00902214"/>
    <w:rsid w:val="00971C34"/>
    <w:rsid w:val="00985706"/>
    <w:rsid w:val="009F6031"/>
    <w:rsid w:val="00A165A6"/>
    <w:rsid w:val="00A54613"/>
    <w:rsid w:val="00A6421F"/>
    <w:rsid w:val="00AC6481"/>
    <w:rsid w:val="00AE26B0"/>
    <w:rsid w:val="00BD22A3"/>
    <w:rsid w:val="00C0007B"/>
    <w:rsid w:val="00C20759"/>
    <w:rsid w:val="00C33AAB"/>
    <w:rsid w:val="00CB6F70"/>
    <w:rsid w:val="00D45FA9"/>
    <w:rsid w:val="00DB23FC"/>
    <w:rsid w:val="00DD6814"/>
    <w:rsid w:val="00E12DC0"/>
    <w:rsid w:val="00E402DD"/>
    <w:rsid w:val="00E4349D"/>
    <w:rsid w:val="00E4671E"/>
    <w:rsid w:val="00F46F72"/>
    <w:rsid w:val="00F80991"/>
    <w:rsid w:val="00FA434F"/>
    <w:rsid w:val="00FC293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0B41"/>
  <w15:docId w15:val="{D6FF32E4-E9D7-4E70-8012-8B78261F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qFormat/>
    <w:rsid w:val="00EB1E68"/>
    <w:rPr>
      <w:color w:val="605E5C"/>
      <w:shd w:val="clear" w:color="auto" w:fill="E1DFDD"/>
    </w:rPr>
  </w:style>
  <w:style w:type="character" w:customStyle="1" w:styleId="FooterChar">
    <w:name w:val="Footer Char"/>
    <w:basedOn w:val="DefaultParagraphFont"/>
    <w:link w:val="Footer"/>
    <w:uiPriority w:val="99"/>
    <w:qFormat/>
    <w:rsid w:val="00C11D93"/>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qFormat/>
    <w:rsid w:val="008B2D50"/>
    <w:rPr>
      <w:sz w:val="16"/>
      <w:szCs w:val="16"/>
    </w:rPr>
  </w:style>
  <w:style w:type="character" w:customStyle="1" w:styleId="CommentTextChar">
    <w:name w:val="Comment Text Char"/>
    <w:basedOn w:val="DefaultParagraphFont"/>
    <w:link w:val="CommentText"/>
    <w:uiPriority w:val="99"/>
    <w:qFormat/>
    <w:rsid w:val="008B2D50"/>
    <w:rPr>
      <w:sz w:val="20"/>
      <w:szCs w:val="20"/>
    </w:rPr>
  </w:style>
  <w:style w:type="character" w:customStyle="1" w:styleId="CommentSubjectChar">
    <w:name w:val="Comment Subject Char"/>
    <w:basedOn w:val="CommentTextChar"/>
    <w:link w:val="CommentSubject"/>
    <w:uiPriority w:val="99"/>
    <w:semiHidden/>
    <w:qFormat/>
    <w:rsid w:val="008B2D50"/>
    <w:rPr>
      <w:b/>
      <w:bCs/>
      <w:sz w:val="20"/>
      <w:szCs w:val="20"/>
    </w:rPr>
  </w:style>
  <w:style w:type="character" w:customStyle="1" w:styleId="cf01">
    <w:name w:val="cf01"/>
    <w:basedOn w:val="DefaultParagraphFont"/>
    <w:qFormat/>
    <w:rsid w:val="00516914"/>
    <w:rPr>
      <w:rFonts w:ascii="Segoe UI" w:hAnsi="Segoe UI" w:cs="Segoe UI"/>
      <w:sz w:val="18"/>
      <w:szCs w:val="18"/>
    </w:rPr>
  </w:style>
  <w:style w:type="paragraph" w:customStyle="1" w:styleId="Nagwek">
    <w:name w:val="Nagłówek"/>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ks">
    <w:name w:val="Indeks"/>
    <w:basedOn w:val="Normal"/>
    <w:qFormat/>
    <w:pPr>
      <w:suppressLineNumbers/>
    </w:pPr>
    <w:rPr>
      <w:rFonts w:cs="Lucida Sans"/>
    </w:rPr>
  </w:style>
  <w:style w:type="paragraph" w:customStyle="1" w:styleId="Nagwekuser">
    <w:name w:val="Nagłówek (user)"/>
    <w:basedOn w:val="Normal"/>
    <w:next w:val="BodyText"/>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
    <w:qFormat/>
    <w:pPr>
      <w:suppressLineNumbers/>
    </w:pPr>
    <w:rPr>
      <w:rFonts w:cs="Lucida Sans"/>
    </w:r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Gwkaistopkauser">
    <w:name w:val="Główka i stopka (user)"/>
    <w:basedOn w:val="Normal"/>
    <w:qFormat/>
  </w:style>
  <w:style w:type="paragraph" w:customStyle="1" w:styleId="Gwkaistopka">
    <w:name w:val="Główka i stopka"/>
    <w:basedOn w:val="Normal"/>
    <w:qFormat/>
  </w:style>
  <w:style w:type="paragraph" w:styleId="Footer">
    <w:name w:val="footer"/>
    <w:basedOn w:val="Normal"/>
    <w:link w:val="FooterChar"/>
    <w:uiPriority w:val="99"/>
    <w:unhideWhenUsed/>
    <w:rsid w:val="00C11D93"/>
    <w:pPr>
      <w:suppressLineNumbers/>
      <w:tabs>
        <w:tab w:val="center" w:pos="4680"/>
        <w:tab w:val="right" w:pos="9360"/>
      </w:tabs>
    </w:pPr>
  </w:style>
  <w:style w:type="paragraph" w:styleId="Revision">
    <w:name w:val="Revision"/>
    <w:uiPriority w:val="99"/>
    <w:semiHidden/>
    <w:qFormat/>
    <w:rsid w:val="000B41B6"/>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paragraph" w:styleId="CommentText">
    <w:name w:val="annotation text"/>
    <w:basedOn w:val="Normal"/>
    <w:link w:val="CommentTextChar"/>
    <w:uiPriority w:val="99"/>
    <w:unhideWhenUsed/>
    <w:rsid w:val="008B2D50"/>
    <w:rPr>
      <w:sz w:val="20"/>
      <w:szCs w:val="20"/>
    </w:rPr>
  </w:style>
  <w:style w:type="paragraph" w:styleId="CommentSubject">
    <w:name w:val="annotation subject"/>
    <w:basedOn w:val="CommentText"/>
    <w:next w:val="CommentText"/>
    <w:link w:val="CommentSubjectChar"/>
    <w:uiPriority w:val="99"/>
    <w:semiHidden/>
    <w:unhideWhenUsed/>
    <w:qFormat/>
    <w:rsid w:val="008B2D50"/>
    <w:rPr>
      <w:b/>
      <w:bCs/>
    </w:rPr>
  </w:style>
  <w:style w:type="paragraph" w:styleId="Header">
    <w:name w:val="header"/>
    <w:basedOn w:val="Gwkaistopkauser"/>
    <w:pPr>
      <w:suppressLineNumbers/>
    </w:pPr>
  </w:style>
  <w:style w:type="paragraph" w:customStyle="1" w:styleId="Zawartoramkiuser">
    <w:name w:val="Zawartość ramki (user)"/>
    <w:basedOn w:val="Normal"/>
    <w:qFormat/>
  </w:style>
  <w:style w:type="paragraph" w:customStyle="1" w:styleId="Komentarzuser">
    <w:name w:val="Komentarz (user)"/>
    <w:basedOn w:val="Normal"/>
    <w:qFormat/>
    <w:pPr>
      <w:spacing w:before="56"/>
      <w:ind w:left="57" w:right="57"/>
    </w:pPr>
    <w:rPr>
      <w:sz w:val="20"/>
      <w:szCs w:val="20"/>
    </w:rPr>
  </w:style>
  <w:style w:type="paragraph" w:customStyle="1" w:styleId="Zawartoramki">
    <w:name w:val="Zawartość ramki"/>
    <w:basedOn w:val="Normal"/>
    <w:qFormat/>
  </w:style>
  <w:style w:type="paragraph" w:customStyle="1" w:styleId="Komentarz">
    <w:name w:val="Komentarz"/>
    <w:basedOn w:val="Normal"/>
    <w:qFormat/>
    <w:pPr>
      <w:spacing w:before="56"/>
      <w:ind w:left="57" w:right="57"/>
    </w:pPr>
    <w:rPr>
      <w:sz w:val="20"/>
      <w:szCs w:val="20"/>
    </w:rPr>
  </w:style>
  <w:style w:type="paragraph" w:styleId="Bibliography">
    <w:name w:val="Bibliography"/>
    <w:basedOn w:val="Normal"/>
    <w:next w:val="Normal"/>
    <w:uiPriority w:val="37"/>
    <w:unhideWhenUsed/>
    <w:qFormat/>
    <w:rsid w:val="001B528D"/>
    <w:pPr>
      <w:tabs>
        <w:tab w:val="left" w:pos="384"/>
      </w:tabs>
      <w:spacing w:line="480" w:lineRule="auto"/>
      <w:ind w:left="384" w:hanging="384"/>
    </w:pPr>
  </w:style>
  <w:style w:type="numbering" w:customStyle="1" w:styleId="Bezlistyuser">
    <w:name w:val="Bez listy (user)"/>
    <w:uiPriority w:val="99"/>
    <w:semiHidden/>
    <w:unhideWhenUsed/>
    <w:qFormat/>
  </w:style>
  <w:style w:type="numbering" w:customStyle="1" w:styleId="Bezlisty">
    <w:name w:val="Bez listy"/>
    <w:uiPriority w:val="99"/>
    <w:semiHidden/>
    <w:unhideWhenUsed/>
    <w:qFormat/>
  </w:style>
  <w:style w:type="paragraph" w:styleId="NormalWeb">
    <w:name w:val="Normal (Web)"/>
    <w:basedOn w:val="Normal"/>
    <w:uiPriority w:val="99"/>
    <w:semiHidden/>
    <w:unhideWhenUsed/>
    <w:rsid w:val="00092769"/>
    <w:pPr>
      <w:widowControl/>
      <w:suppressAutoHyphens w:val="0"/>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092769"/>
    <w:rPr>
      <w:i/>
      <w:iCs/>
    </w:rPr>
  </w:style>
  <w:style w:type="character" w:styleId="Strong">
    <w:name w:val="Strong"/>
    <w:basedOn w:val="DefaultParagraphFont"/>
    <w:uiPriority w:val="22"/>
    <w:qFormat/>
    <w:rsid w:val="000927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zmorzynska@imol.institut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ove.com/video/6087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ECC31-93E7-4E47-8493-5C08DFD3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Pages>
  <Words>14914</Words>
  <Characters>85011</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dc:description/>
  <cp:lastModifiedBy>Shivani Dogra</cp:lastModifiedBy>
  <cp:revision>54</cp:revision>
  <cp:lastPrinted>2026-03-20T13:27:00Z</cp:lastPrinted>
  <dcterms:created xsi:type="dcterms:W3CDTF">2026-05-16T19:56:00Z</dcterms:created>
  <dcterms:modified xsi:type="dcterms:W3CDTF">2026-05-21T16:13:00Z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id="pmwY4Sau"/&gt;&lt;style id="http://www.zotero.org/styles/nature" hasBibliography="1" bibliographyStyleHasBeenSet="1"/&gt;&lt;prefs&gt;&lt;pref name="fieldType" value="Field"/&gt;&lt;/prefs&gt;&lt;/data&gt;</vt:lpwstr>
  </property>
</Properties>
</file>