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B929AA">
      <w:pPr>
        <w:pStyle w:val="6"/>
        <w:outlineLvl w:val="0"/>
        <w:rPr>
          <w:rFonts w:cstheme="minorHAnsi"/>
          <w:b/>
          <w:i w:val="0"/>
          <w:sz w:val="22"/>
          <w:szCs w:val="22"/>
        </w:rPr>
      </w:pPr>
    </w:p>
    <w:p w14:paraId="2D8055D2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71519</w:t>
      </w:r>
    </w:p>
    <w:p w14:paraId="2F6924E5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Kathyayani Sridharan</w:t>
      </w:r>
    </w:p>
    <w:p w14:paraId="6FB9233B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r>
        <w:fldChar w:fldCharType="begin"/>
      </w:r>
      <w:r>
        <w:instrText xml:space="preserve"> HYPERLINK "https://review.jove.com/account/file-uploader?src=21813343" </w:instrText>
      </w:r>
      <w:r>
        <w:fldChar w:fldCharType="separate"/>
      </w:r>
      <w:r>
        <w:rPr>
          <w:rStyle w:val="21"/>
          <w:rFonts w:eastAsia="Times New Roman" w:cstheme="minorHAnsi"/>
          <w:b/>
        </w:rPr>
        <w:t>https://review.jove.com/account/file-uploader?src=21813343</w:t>
      </w:r>
      <w:r>
        <w:rPr>
          <w:rStyle w:val="21"/>
          <w:rFonts w:eastAsia="Times New Roman" w:cstheme="minorHAnsi"/>
          <w:b/>
        </w:rPr>
        <w:fldChar w:fldCharType="end"/>
      </w:r>
    </w:p>
    <w:p w14:paraId="2C89778F">
      <w:pPr>
        <w:outlineLvl w:val="0"/>
        <w:rPr>
          <w:rFonts w:eastAsia="Times New Roman" w:cstheme="minorHAnsi"/>
          <w:b/>
        </w:rPr>
      </w:pPr>
    </w:p>
    <w:p w14:paraId="30BC7CCC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  <w:sz w:val="32"/>
          <w:szCs w:val="32"/>
        </w:rPr>
        <w:t>Laparoscopic Pyeloplasty via Transmesenteric Approach for Pediatric Ureteropelvic Junction Obstruction</w:t>
      </w:r>
    </w:p>
    <w:p w14:paraId="4A0C5B67">
      <w:pPr>
        <w:outlineLvl w:val="0"/>
        <w:rPr>
          <w:rFonts w:eastAsia="Times New Roman" w:cstheme="minorHAnsi"/>
          <w:b/>
        </w:rPr>
      </w:pPr>
    </w:p>
    <w:p w14:paraId="1E30A820">
      <w:pPr>
        <w:outlineLvl w:val="0"/>
        <w:rPr>
          <w:rFonts w:eastAsia="Times New Roman" w:cstheme="minorHAnsi"/>
          <w:b/>
        </w:rPr>
      </w:pPr>
    </w:p>
    <w:p w14:paraId="571B4839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7AB65EA">
      <w:pPr>
        <w:rPr>
          <w:lang w:eastAsia="zh-CN"/>
        </w:rPr>
      </w:pPr>
      <w:r>
        <w:t>Guijun Li¹, Ruiwen Hao², Liyun Wang³</w:t>
      </w:r>
    </w:p>
    <w:p w14:paraId="6571A463"/>
    <w:p w14:paraId="53BC56C3">
      <w:r>
        <w:t>¹Department of Pediatric Surgery, Peking University First Hospital, Ningxia Women and Children's Hospital (Ningxia Hui Autonomous Region Maternal and Child Health Hospital), Third Clinical Medical College of Ningxia Medical University.</w:t>
      </w:r>
    </w:p>
    <w:p w14:paraId="7B5946C9">
      <w:r>
        <w:t xml:space="preserve">²Department of General Surgery, Yanchi County People's Hospital. </w:t>
      </w:r>
    </w:p>
    <w:p w14:paraId="33CD999C">
      <w:pPr>
        <w:outlineLvl w:val="0"/>
        <w:rPr>
          <w:rFonts w:eastAsia="Times New Roman" w:cstheme="minorHAnsi"/>
          <w:b/>
          <w:sz w:val="28"/>
          <w:szCs w:val="28"/>
        </w:rPr>
      </w:pPr>
      <w:r>
        <w:t>³Department of Hepatobiliary Surgery, Ningxia Hui Autonomous Region People's Hospital, Third Clinical Medical College of Ningxia Medical University.</w:t>
      </w:r>
    </w:p>
    <w:p w14:paraId="74A3CDA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>
      <w:pPr>
        <w:widowControl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eastAsia="Times New Roman" w:cstheme="minorHAnsi"/>
            <w:color w:val="000000"/>
            <w:shd w:val="clear" w:color="auto" w:fill="FFFF00"/>
          </w:rPr>
        </w:sdtEndPr>
        <w:sdtContent>
          <w:r>
            <w:rPr>
              <w:rFonts w:hint="eastAsia" w:ascii="MS Gothic" w:hAnsi="MS Gothic" w:eastAsia="MS Gothic" w:cstheme="minorHAnsi"/>
              <w:iCs/>
              <w:color w:val="000000"/>
              <w:sz w:val="24"/>
              <w:szCs w:val="24"/>
              <w:shd w:val="clear" w:color="auto" w:fill="FFFF00"/>
              <w:lang w:val="en-US" w:eastAsia="en-US" w:bidi="ar-SA"/>
            </w:rPr>
            <w:t>☒</w:t>
          </w:r>
        </w:sdtContent>
      </w:sdt>
      <w:r>
        <w:rPr>
          <w:rFonts w:eastAsia="Times New Roman" w:cstheme="minorHAnsi"/>
          <w:color w:val="000000"/>
        </w:rPr>
        <w:t xml:space="preserve">   All author names and affiliations are correct </w:t>
      </w:r>
      <w:r>
        <w:rPr>
          <w:rFonts w:cstheme="minorHAnsi"/>
          <w:color w:val="000000"/>
        </w:rPr>
        <w:t>(city/state/country information not included in video title page)</w:t>
      </w:r>
      <w:r>
        <w:rPr>
          <w:rFonts w:eastAsia="Times New Roman" w:cstheme="minorHAnsi"/>
          <w:color w:val="000000"/>
        </w:rPr>
        <w:t xml:space="preserve">. </w:t>
      </w:r>
    </w:p>
    <w:p w14:paraId="0CF5E19E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>
      <w:pPr>
        <w:outlineLvl w:val="0"/>
        <w:rPr>
          <w:rFonts w:eastAsia="Times New Roman" w:cstheme="minorHAnsi"/>
        </w:rPr>
      </w:pPr>
    </w:p>
    <w:p w14:paraId="74288581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5196A52A">
      <w:pPr>
        <w:outlineLvl w:val="0"/>
        <w:rPr>
          <w:rFonts w:eastAsia="Times New Roman" w:cstheme="minorHAnsi"/>
        </w:rPr>
      </w:pPr>
      <w:bookmarkStart w:id="0" w:name="_Hlk25233958"/>
    </w:p>
    <w:p w14:paraId="64B6DB16">
      <w:pPr>
        <w:pStyle w:val="13"/>
        <w:widowControl/>
        <w:spacing w:beforeAutospacing="0" w:afterAutospacing="0"/>
        <w:jc w:val="both"/>
        <w:rPr>
          <w:rFonts w:cs="Calibri"/>
        </w:rPr>
      </w:pPr>
      <w:r>
        <w:rPr>
          <w:rFonts w:cs="Calibri"/>
        </w:rPr>
        <w:t>Liyun Wang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>wangliyun-1972@163.com</w:t>
      </w:r>
    </w:p>
    <w:p w14:paraId="70FFA58B">
      <w:pPr>
        <w:outlineLvl w:val="0"/>
        <w:rPr>
          <w:rFonts w:eastAsia="Times New Roman" w:cstheme="minorHAnsi"/>
        </w:rPr>
      </w:pPr>
    </w:p>
    <w:p w14:paraId="1B4B2D7A">
      <w:pPr>
        <w:outlineLvl w:val="0"/>
        <w:rPr>
          <w:rFonts w:eastAsia="Times New Roman" w:cstheme="minorHAnsi"/>
        </w:rPr>
      </w:pPr>
    </w:p>
    <w:bookmarkEnd w:id="0"/>
    <w:p w14:paraId="055B8CA7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p w14:paraId="12916965">
      <w:pPr>
        <w:outlineLvl w:val="0"/>
        <w:rPr>
          <w:rFonts w:cstheme="minorHAnsi"/>
          <w:b/>
          <w:sz w:val="22"/>
          <w:szCs w:val="22"/>
        </w:rPr>
      </w:pPr>
    </w:p>
    <w:p w14:paraId="6F84F159">
      <w:pPr>
        <w:outlineLvl w:val="0"/>
        <w:rPr>
          <w:rFonts w:cstheme="minorHAnsi"/>
          <w:b/>
          <w:sz w:val="22"/>
          <w:szCs w:val="22"/>
        </w:rPr>
      </w:pPr>
    </w:p>
    <w:p w14:paraId="0778A812">
      <w:pPr>
        <w:rPr>
          <w:rFonts w:eastAsia="宋体"/>
          <w:lang w:eastAsia="zh-CN"/>
        </w:rPr>
      </w:pPr>
      <w:r>
        <w:t>Guijun Li</w:t>
      </w:r>
      <w:r>
        <w:tab/>
      </w:r>
      <w:r>
        <w:tab/>
      </w:r>
      <w:r>
        <w:t>liguijun19781004@163.com</w:t>
      </w:r>
    </w:p>
    <w:p w14:paraId="3AD47429">
      <w:r>
        <w:t>Ruiwen Hao</w:t>
      </w:r>
      <w:r>
        <w:tab/>
      </w:r>
      <w:r>
        <w:tab/>
      </w:r>
      <w:r>
        <w:t>28083923@163.com</w:t>
      </w:r>
    </w:p>
    <w:p w14:paraId="03791686">
      <w:pPr>
        <w:pStyle w:val="13"/>
        <w:widowControl/>
        <w:spacing w:beforeAutospacing="0" w:afterAutospacing="0"/>
        <w:jc w:val="both"/>
        <w:rPr>
          <w:rFonts w:cs="Calibri"/>
        </w:rPr>
      </w:pPr>
      <w:r>
        <w:rPr>
          <w:rFonts w:cs="Calibri"/>
        </w:rPr>
        <w:t>Liyun Wang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>wangliyun-1972@163.com</w:t>
      </w:r>
    </w:p>
    <w:p w14:paraId="5A2BE33C">
      <w:pPr>
        <w:outlineLvl w:val="0"/>
        <w:rPr>
          <w:rFonts w:cstheme="minorHAnsi"/>
          <w:b/>
          <w:sz w:val="22"/>
          <w:szCs w:val="22"/>
        </w:rPr>
      </w:pPr>
    </w:p>
    <w:p w14:paraId="60B95108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1667ADCD">
      <w:pPr>
        <w:pStyle w:val="3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Author Questionnaire </w:t>
      </w:r>
    </w:p>
    <w:p w14:paraId="21405354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3BC9861F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EndPr>
          <w:rPr>
            <w:rFonts w:cstheme="minorHAnsi"/>
          </w:rPr>
        </w:sdtEndPr>
        <w:sdtContent>
          <w:r>
            <w:rPr>
              <w:rFonts w:hint="eastAsia" w:ascii="Arial" w:hAnsi="Arial" w:eastAsia="MS Gothic" w:cstheme="minorHAnsi"/>
              <w:iCs/>
              <w:color w:val="000000" w:themeColor="text1"/>
              <w:sz w:val="24"/>
              <w:szCs w:val="24"/>
              <w:lang w:val="en-US" w:eastAsia="en-US" w:bidi="ar-SA"/>
              <w14:textFill>
                <w14:solidFill>
                  <w14:schemeClr w14:val="tx1"/>
                </w14:solidFill>
              </w14:textFill>
            </w:rPr>
            <w:t>√</w:t>
          </w:r>
        </w:sdtContent>
      </w:sdt>
      <w:r>
        <w:rPr>
          <w:rFonts w:cstheme="minorHAnsi"/>
        </w:rPr>
        <w:t xml:space="preserve"> Correct </w:t>
      </w:r>
    </w:p>
    <w:p w14:paraId="3D2B2D7A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EndPr>
          <w:rPr>
            <w:rFonts w:cstheme="minorHAnsi"/>
          </w:rPr>
        </w:sdtEndPr>
        <w:sdtContent>
          <w:r>
            <w:rPr>
              <w:rFonts w:hint="eastAsia" w:ascii="MS Gothic" w:hAnsi="MS Gothic" w:eastAsia="MS Gothic" w:cstheme="minorHAnsi"/>
            </w:rPr>
            <w:t>☐</w:t>
          </w:r>
        </w:sdtContent>
      </w:sdt>
      <w:r>
        <w:rPr>
          <w:rFonts w:cstheme="minorHAnsi"/>
        </w:rPr>
        <w:t xml:space="preserve"> Incorrect </w:t>
      </w:r>
    </w:p>
    <w:p w14:paraId="4645B28C">
      <w:pPr>
        <w:spacing w:before="120"/>
        <w:rPr>
          <w:rFonts w:cstheme="minorHAnsi"/>
        </w:rPr>
      </w:pPr>
    </w:p>
    <w:p w14:paraId="30424AD9">
      <w:pPr>
        <w:spacing w:before="120"/>
        <w:ind w:left="216" w:hanging="216"/>
        <w:rPr>
          <w:rFonts w:eastAsia="Times New Roman" w:asciiTheme="majorHAnsi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>
        <w:rPr>
          <w:rFonts w:eastAsia="Times New Roman" w:asciiTheme="majorHAnsi" w:hAnsiTheme="majorHAnsi" w:cstheme="majorHAnsi"/>
          <w:b/>
        </w:rPr>
        <w:t xml:space="preserve">Interview statements: </w:t>
      </w:r>
      <w:r>
        <w:rPr>
          <w:rFonts w:eastAsia="Times New Roman" w:asciiTheme="majorHAnsi" w:hAnsiTheme="majorHAnsi" w:cstheme="majorHAnsi"/>
        </w:rPr>
        <w:t xml:space="preserve">Which interview statement filming option is the most appropriate for your group? </w:t>
      </w:r>
      <w:r>
        <w:rPr>
          <w:rFonts w:eastAsia="Times New Roman" w:asciiTheme="majorHAnsi" w:hAnsiTheme="majorHAnsi" w:cstheme="majorHAnsi"/>
          <w:b/>
          <w:bCs/>
        </w:rPr>
        <w:t>Please select one</w:t>
      </w:r>
      <w:r>
        <w:rPr>
          <w:rFonts w:eastAsia="Times New Roman" w:asciiTheme="majorHAnsi" w:hAnsiTheme="majorHAnsi" w:cstheme="majorHAnsi"/>
        </w:rPr>
        <w:t>.</w:t>
      </w:r>
    </w:p>
    <w:p w14:paraId="0E91BB30">
      <w:pPr>
        <w:rPr>
          <w:rFonts w:eastAsia="Times New Roman" w:cs="Calibri"/>
          <w:color w:val="222222"/>
        </w:rPr>
      </w:pPr>
    </w:p>
    <w:p w14:paraId="07C6EC6B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eastAsia="Times New Roman" w:cstheme="minorHAnsi"/>
            <w:color w:val="000000"/>
            <w:highlight w:val="yellow"/>
          </w:rPr>
        </w:sdtEndPr>
        <w:sdtContent>
          <w:r>
            <w:rPr>
              <w:rFonts w:hint="eastAsia" w:ascii="MS Gothic" w:hAnsi="MS Gothic" w:eastAsia="MS Gothic" w:cstheme="minorHAnsi"/>
              <w:iCs/>
              <w:color w:val="000000"/>
              <w:sz w:val="24"/>
              <w:szCs w:val="24"/>
              <w:highlight w:val="yellow"/>
              <w:lang w:val="en-US" w:eastAsia="en-US" w:bidi="ar-SA"/>
            </w:rPr>
            <w:t>☐</w:t>
          </w:r>
        </w:sdtContent>
      </w:sdt>
      <w:r>
        <w:rPr>
          <w:rFonts w:eastAsia="Times New Roman" w:cs="Calibri"/>
          <w:color w:val="222222"/>
        </w:rPr>
        <w:t xml:space="preserve"> </w:t>
      </w:r>
      <w:r>
        <w:rPr>
          <w:rFonts w:eastAsia="Times New Roman" w:cs="Calibri"/>
          <w:color w:val="222222"/>
        </w:rPr>
        <w:tab/>
      </w:r>
      <w:r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>
      <w:pPr>
        <w:ind w:firstLine="720"/>
        <w:rPr>
          <w:rFonts w:eastAsia="Times New Roman" w:cs="Calibri"/>
          <w:color w:val="222222"/>
        </w:rPr>
      </w:pPr>
    </w:p>
    <w:p w14:paraId="44EBF3D9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eastAsia="Times New Roman" w:cstheme="minorHAnsi"/>
            <w:color w:val="000000"/>
            <w:highlight w:val="yellow"/>
          </w:rPr>
        </w:sdtEndPr>
        <w:sdtContent>
          <w:r>
            <w:rPr>
              <w:rFonts w:hint="eastAsia" w:ascii="MS Gothic" w:hAnsi="MS Gothic" w:eastAsia="MS Gothic" w:cstheme="minorHAnsi"/>
              <w:iCs/>
              <w:color w:val="000000"/>
              <w:sz w:val="24"/>
              <w:szCs w:val="24"/>
              <w:highlight w:val="yellow"/>
              <w:lang w:val="en-US" w:eastAsia="en-US" w:bidi="ar-SA"/>
            </w:rPr>
            <w:t>☒</w:t>
          </w:r>
        </w:sdtContent>
      </w:sdt>
      <w:r>
        <w:rPr>
          <w:rFonts w:eastAsia="Times New Roman" w:cs="Calibri"/>
          <w:color w:val="222222"/>
        </w:rPr>
        <w:t xml:space="preserve"> </w:t>
      </w:r>
      <w:r>
        <w:rPr>
          <w:rFonts w:eastAsia="Times New Roman" w:cs="Calibri"/>
          <w:color w:val="222222"/>
        </w:rPr>
        <w:tab/>
      </w:r>
      <w:r>
        <w:rPr>
          <w:rFonts w:eastAsia="Times New Roman" w:cs="Calibri"/>
          <w:color w:val="222222"/>
        </w:rPr>
        <w:t xml:space="preserve">Interview Statements are read by JoVE’s voiceover talent. </w:t>
      </w:r>
    </w:p>
    <w:p w14:paraId="2AF6A17A">
      <w:pPr>
        <w:spacing w:before="120"/>
        <w:rPr>
          <w:rFonts w:eastAsia="Times New Roman" w:cstheme="minorHAnsi"/>
          <w:b/>
        </w:rPr>
      </w:pPr>
    </w:p>
    <w:p w14:paraId="1C68C2BA">
      <w:pPr>
        <w:spacing w:before="120"/>
        <w:rPr>
          <w:rFonts w:eastAsia="Times New Roman" w:cstheme="minorHAnsi"/>
          <w:b/>
        </w:rPr>
      </w:pPr>
    </w:p>
    <w:p w14:paraId="603B59C8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3. Proposed interview filming date:</w:t>
      </w:r>
      <w:r>
        <w:rPr>
          <w:rFonts w:ascii="Calibri" w:hAnsi="Calibri" w:cs="Calibri"/>
          <w:color w:val="222222"/>
        </w:rPr>
        <w:t xml:space="preserve"> Please indicate the </w:t>
      </w:r>
      <w:r>
        <w:rPr>
          <w:rFonts w:ascii="Calibri" w:hAnsi="Calibri" w:cs="Calibri"/>
          <w:color w:val="222222"/>
          <w:u w:val="single"/>
        </w:rPr>
        <w:t xml:space="preserve">proposed date that your group will </w:t>
      </w:r>
      <w:r>
        <w:rPr>
          <w:rFonts w:ascii="Calibri" w:hAnsi="Calibri" w:cs="Calibri"/>
          <w:b/>
          <w:bCs/>
          <w:color w:val="222222"/>
          <w:u w:val="single"/>
        </w:rPr>
        <w:t>self-film</w:t>
      </w:r>
      <w:r>
        <w:rPr>
          <w:rFonts w:ascii="Calibri" w:hAnsi="Calibri" w:cs="Calibri"/>
          <w:color w:val="222222"/>
        </w:rPr>
        <w:t xml:space="preserve"> interviews: </w:t>
      </w:r>
      <w:r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>
        <w:rPr>
          <w:rFonts w:ascii="Calibri" w:hAnsi="Calibri" w:cs="Calibri"/>
          <w:b/>
          <w:bCs/>
          <w:color w:val="222222"/>
          <w:highlight w:val="yellow"/>
        </w:rPr>
        <w:t>MM/DD/YYYY</w:t>
      </w:r>
      <w:r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>
      <w:pPr>
        <w:rPr>
          <w:rFonts w:ascii="Calibri" w:hAnsi="Calibri" w:cs="Calibri"/>
          <w:b/>
          <w:bCs/>
          <w:color w:val="222222"/>
        </w:rPr>
      </w:pPr>
    </w:p>
    <w:p w14:paraId="4D9A9953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 Interviews. Please wait until your script is finalized to begin the filming process. </w:t>
      </w:r>
    </w:p>
    <w:p w14:paraId="39B12072">
      <w:pPr>
        <w:rPr>
          <w:rFonts w:ascii="Calibri" w:hAnsi="Calibri" w:cs="Calibri"/>
          <w:color w:val="000000"/>
        </w:rPr>
      </w:pPr>
    </w:p>
    <w:p w14:paraId="5FC7E5A1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When you are ready to submit your video files, please contact our Content Manager, </w:t>
      </w:r>
      <w:r>
        <w:fldChar w:fldCharType="begin"/>
      </w:r>
      <w:r>
        <w:instrText xml:space="preserve"> HYPERLINK "mailto:utkarsh.khare@jove.com" \t "_blank" </w:instrText>
      </w:r>
      <w:r>
        <w:fldChar w:fldCharType="separate"/>
      </w:r>
      <w:r>
        <w:rPr>
          <w:rStyle w:val="21"/>
          <w:rFonts w:ascii="Calibri" w:hAnsi="Calibri" w:cs="Calibri"/>
        </w:rPr>
        <w:t>Utkarsh Khare</w:t>
      </w:r>
      <w:r>
        <w:rPr>
          <w:rStyle w:val="21"/>
          <w:rFonts w:ascii="Calibri" w:hAnsi="Calibri" w:cs="Calibri"/>
        </w:rPr>
        <w:fldChar w:fldCharType="end"/>
      </w:r>
      <w:r>
        <w:rPr>
          <w:rFonts w:ascii="Calibri" w:hAnsi="Calibri" w:cs="Calibri"/>
          <w:color w:val="000000"/>
        </w:rPr>
        <w:t xml:space="preserve">. </w:t>
      </w:r>
    </w:p>
    <w:p w14:paraId="685E1DF4">
      <w:pPr>
        <w:rPr>
          <w:rFonts w:cstheme="minorHAnsi"/>
          <w:b/>
          <w:sz w:val="22"/>
          <w:szCs w:val="22"/>
        </w:rPr>
      </w:pPr>
    </w:p>
    <w:p w14:paraId="3447CA8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EFF70" w:themeFill="background1" w:themeFillShade="E6"/>
        <w:rPr>
          <w:rFonts w:cstheme="minorHAnsi"/>
          <w:b/>
        </w:rPr>
      </w:pPr>
      <w:r>
        <w:rPr>
          <w:rFonts w:cstheme="minorHAnsi"/>
          <w:bCs/>
        </w:rPr>
        <w:t xml:space="preserve">To ensure that your </w:t>
      </w:r>
      <w:r>
        <w:rPr>
          <w:rFonts w:cstheme="minorHAnsi"/>
          <w:b/>
        </w:rPr>
        <w:t>script can be filmed in one day</w:t>
      </w:r>
      <w:r>
        <w:rPr>
          <w:rFonts w:cstheme="minorHAnsi"/>
          <w:bCs/>
        </w:rPr>
        <w:t>, the protocol sections are cumulatively restricted to</w:t>
      </w:r>
      <w:r>
        <w:rPr>
          <w:rFonts w:cstheme="minorHAnsi"/>
          <w:b/>
        </w:rPr>
        <w:t> </w:t>
      </w:r>
      <w:r>
        <w:rPr>
          <w:rFonts w:cstheme="minorHAnsi"/>
          <w:b/>
          <w:bCs/>
        </w:rPr>
        <w:t>55 shots</w:t>
      </w:r>
      <w:r>
        <w:rPr>
          <w:rFonts w:cstheme="minorHAnsi"/>
          <w:b/>
        </w:rPr>
        <w:t xml:space="preserve"> </w:t>
      </w:r>
      <w:r>
        <w:rPr>
          <w:rFonts w:cstheme="minorHAnsi"/>
          <w:bCs/>
        </w:rPr>
        <w:t>(shots are the 3-digit numbers like 2.1.1, 2.1.2…etc)</w:t>
      </w:r>
    </w:p>
    <w:p w14:paraId="67386C83">
      <w:pPr>
        <w:rPr>
          <w:rFonts w:cstheme="minorHAnsi"/>
          <w:b/>
          <w:sz w:val="22"/>
          <w:szCs w:val="22"/>
        </w:rPr>
      </w:pPr>
    </w:p>
    <w:p w14:paraId="7AA7BBC5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>
      <w:pPr>
        <w:rPr>
          <w:rFonts w:cstheme="minorHAnsi"/>
          <w:b/>
          <w:sz w:val="22"/>
          <w:szCs w:val="22"/>
        </w:rPr>
      </w:pPr>
    </w:p>
    <w:p w14:paraId="72F5C5E6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15</w:t>
      </w:r>
    </w:p>
    <w:p w14:paraId="5AAC9C6C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33</w:t>
      </w:r>
      <w:r>
        <w:rPr>
          <w:rFonts w:cstheme="minorHAnsi"/>
          <w:b/>
          <w:sz w:val="22"/>
          <w:szCs w:val="22"/>
        </w:rPr>
        <w:br w:type="page"/>
      </w:r>
    </w:p>
    <w:p w14:paraId="6C16C00A">
      <w:pPr>
        <w:pStyle w:val="2"/>
        <w:rPr>
          <w:rFonts w:cstheme="minorHAnsi"/>
        </w:rPr>
      </w:pPr>
      <w:r>
        <w:rPr>
          <w:rFonts w:cstheme="minorHAnsi"/>
        </w:rPr>
        <w:t xml:space="preserve">Interviews </w:t>
      </w:r>
    </w:p>
    <w:p w14:paraId="7E8076BA">
      <w:pPr>
        <w:rPr>
          <w:rFonts w:cstheme="minorHAnsi"/>
          <w:b/>
        </w:rPr>
      </w:pPr>
    </w:p>
    <w:p w14:paraId="0BD5FC3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Answers to these questions will become interview statements that you will deliver on camera.</w:t>
      </w:r>
    </w:p>
    <w:p w14:paraId="2B3A5FF7">
      <w:pPr>
        <w:numPr>
          <w:ilvl w:val="0"/>
          <w:numId w:val="1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>
        <w:rPr>
          <w:rFonts w:eastAsia="Times New Roman" w:cstheme="minorHAnsi"/>
          <w:b/>
          <w:color w:val="EE0000"/>
        </w:rPr>
        <w:t>1st REQUIRED</w:t>
      </w:r>
      <w:r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>
        <w:rPr>
          <w:rFonts w:eastAsia="Times New Roman" w:cstheme="minorHAnsi"/>
          <w:b/>
        </w:rPr>
        <w:t>1 additional question</w:t>
      </w:r>
      <w:r>
        <w:rPr>
          <w:rFonts w:eastAsia="Times New Roman" w:cstheme="minorHAnsi"/>
          <w:bCs/>
        </w:rPr>
        <w:t xml:space="preserve">; </w:t>
      </w:r>
      <w:r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 xml:space="preserve">. </w:t>
      </w:r>
      <w:r>
        <w:rPr>
          <w:rFonts w:eastAsia="Times New Roman" w:cstheme="minorHAnsi"/>
          <w:bCs/>
          <w:color w:val="EE0000"/>
        </w:rPr>
        <w:t>No more than 5</w:t>
      </w:r>
      <w:r>
        <w:rPr>
          <w:rFonts w:eastAsia="Times New Roman" w:cstheme="minorHAnsi"/>
          <w:bCs/>
        </w:rPr>
        <w:t xml:space="preserve"> interview statements will be included in the video.</w:t>
      </w:r>
    </w:p>
    <w:p w14:paraId="79805C38">
      <w:pPr>
        <w:numPr>
          <w:ilvl w:val="0"/>
          <w:numId w:val="1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Enter the </w:t>
      </w:r>
      <w:r>
        <w:rPr>
          <w:rFonts w:eastAsia="Times New Roman" w:cstheme="minorHAnsi"/>
          <w:b/>
        </w:rPr>
        <w:t>full name</w:t>
      </w:r>
      <w:r>
        <w:rPr>
          <w:rFonts w:eastAsia="Times New Roman" w:cstheme="minorHAnsi"/>
          <w:bCs/>
        </w:rPr>
        <w:t xml:space="preserve"> of the author who will deliver the statement.</w:t>
      </w:r>
    </w:p>
    <w:p w14:paraId="4C5EDA36">
      <w:pPr>
        <w:numPr>
          <w:ilvl w:val="0"/>
          <w:numId w:val="1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Speak </w:t>
      </w:r>
      <w:r>
        <w:rPr>
          <w:rFonts w:eastAsia="Times New Roman" w:cstheme="minorHAnsi"/>
        </w:rPr>
        <w:t>naturally</w:t>
      </w:r>
      <w:r>
        <w:rPr>
          <w:rFonts w:eastAsia="Times New Roman" w:cstheme="minorHAnsi"/>
          <w:bCs/>
        </w:rPr>
        <w:t xml:space="preserve"> and </w:t>
      </w:r>
      <w:r>
        <w:rPr>
          <w:rFonts w:eastAsia="Times New Roman" w:cstheme="minorHAnsi"/>
          <w:b/>
        </w:rPr>
        <w:t>avoid reading the lines</w:t>
      </w:r>
      <w:r>
        <w:rPr>
          <w:rFonts w:eastAsia="Times New Roman" w:cstheme="minorHAnsi"/>
          <w:bCs/>
        </w:rPr>
        <w:t>.</w:t>
      </w:r>
    </w:p>
    <w:p w14:paraId="6DE62BD8">
      <w:pPr>
        <w:numPr>
          <w:ilvl w:val="0"/>
          <w:numId w:val="1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 words or fewer</w:t>
      </w:r>
      <w:r>
        <w:rPr>
          <w:rFonts w:eastAsia="Times New Roman" w:cstheme="minorHAnsi"/>
          <w:bCs/>
        </w:rPr>
        <w:t>.</w:t>
      </w:r>
    </w:p>
    <w:p w14:paraId="322D02B1">
      <w:pPr>
        <w:numPr>
          <w:ilvl w:val="0"/>
          <w:numId w:val="1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>
      <w:pPr>
        <w:rPr>
          <w:rFonts w:cstheme="minorHAnsi"/>
          <w:color w:val="auto"/>
          <w:shd w:val="clear" w:color="auto" w:fill="FFFFFF"/>
        </w:rPr>
      </w:pPr>
    </w:p>
    <w:p w14:paraId="1F509A53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34085D25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>REQUIRED</w:t>
      </w:r>
      <w:r>
        <w:rPr>
          <w:rFonts w:cstheme="minorHAnsi"/>
          <w:color w:val="auto"/>
          <w:shd w:val="clear" w:color="auto" w:fill="FFFFFF"/>
        </w:rPr>
        <w:t>: Briefly describe the clinical case presented in this video and the treatment approach used.</w:t>
      </w:r>
      <w:r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3FEA194D">
      <w:pPr>
        <w:pStyle w:val="31"/>
        <w:numPr>
          <w:ilvl w:val="1"/>
          <w:numId w:val="2"/>
        </w:numPr>
        <w:spacing w:before="120"/>
        <w:contextualSpacing w:val="0"/>
        <w:rPr>
          <w:rFonts w:eastAsia="Times" w:asciiTheme="minorHAnsi" w:hAnsiTheme="minorHAnsi" w:cstheme="minorHAnsi"/>
          <w:iCs/>
          <w:color w:val="auto"/>
          <w:sz w:val="24"/>
          <w:szCs w:val="24"/>
          <w:shd w:val="clear" w:color="auto" w:fill="FFFFFF"/>
          <w:lang w:val="en-US" w:eastAsia="en-US" w:bidi="ar-SA"/>
        </w:rPr>
      </w:pPr>
      <w:sdt>
        <w:sdtPr>
          <w:rPr>
            <w:rStyle w:val="40"/>
            <w:rFonts w:eastAsia="Times" w:asciiTheme="minorHAnsi" w:hAnsiTheme="minorHAnsi" w:cstheme="minorHAnsi"/>
          </w:rPr>
          <w:id w:val="-770700773"/>
          <w:placeholder>
            <w:docPart w:val="74ED096B7FAB4A4DB687AD3FD3CDE683"/>
          </w:placeholder>
          <w:temporary/>
          <w:showingPlcHdr/>
          <w:text/>
        </w:sdtPr>
        <w:sdtEndPr>
          <w:rPr>
            <w:rStyle w:val="16"/>
            <w:rFonts w:eastAsia="Times" w:asciiTheme="minorHAnsi" w:hAnsiTheme="minorHAnsi" w:cstheme="minorHAnsi"/>
            <w:b w:val="0"/>
            <w:u w:val="none"/>
          </w:rPr>
        </w:sdtEndPr>
        <w:sdtContent>
          <w:r>
            <w:rPr>
              <w:rFonts w:eastAsia="Times New Roman" w:cstheme="minorHAnsi"/>
              <w:color w:val="808080"/>
              <w:shd w:val="clear" w:color="auto" w:fill="FFFF00"/>
            </w:rPr>
            <w:t>Enter full author name.</w:t>
          </w:r>
        </w:sdtContent>
      </w:sdt>
      <w:r>
        <w:rPr>
          <w:rStyle w:val="40"/>
          <w:rFonts w:eastAsia="Times" w:asciiTheme="minorHAnsi" w:hAnsiTheme="minorHAnsi" w:cstheme="minorHAnsi"/>
        </w:rPr>
        <w:t>:</w:t>
      </w:r>
      <w:r>
        <w:rPr>
          <w:rFonts w:cstheme="minorHAnsi"/>
        </w:rPr>
        <w:t xml:space="preserve"> </w:t>
      </w:r>
      <w:r>
        <w:rPr>
          <w:rFonts w:eastAsia="Times" w:asciiTheme="minorHAnsi" w:hAnsiTheme="minorHAnsi" w:cstheme="minorHAnsi"/>
          <w:iCs/>
          <w:color w:val="auto"/>
          <w:sz w:val="24"/>
          <w:szCs w:val="24"/>
          <w:shd w:val="clear" w:color="auto" w:fill="FFFFFF"/>
          <w:lang w:val="en-US" w:eastAsia="en-US" w:bidi="ar-SA"/>
        </w:rPr>
        <w:t xml:space="preserve">A </w:t>
      </w:r>
      <w:r>
        <w:rPr>
          <w:rFonts w:hint="eastAsia" w:cstheme="minorHAnsi"/>
          <w:iCs/>
          <w:color w:val="auto"/>
          <w:sz w:val="24"/>
          <w:szCs w:val="24"/>
          <w:shd w:val="clear" w:color="auto" w:fill="FFFFFF"/>
          <w:lang w:val="en-US" w:eastAsia="zh-CN" w:bidi="ar-SA"/>
        </w:rPr>
        <w:t>8</w:t>
      </w:r>
      <w:r>
        <w:rPr>
          <w:rFonts w:eastAsia="Times" w:asciiTheme="minorHAnsi" w:hAnsiTheme="minorHAnsi" w:cstheme="minorHAnsi"/>
          <w:iCs/>
          <w:color w:val="auto"/>
          <w:sz w:val="24"/>
          <w:szCs w:val="24"/>
          <w:shd w:val="clear" w:color="auto" w:fill="FFFFFF"/>
          <w:lang w:val="en-US" w:eastAsia="en-US" w:bidi="ar-SA"/>
        </w:rPr>
        <w:t>-year-old boy with left ureteropelvic junction obstruction underwent transmesenteric laparoscopic pyeloplasty.</w:t>
      </w:r>
    </w:p>
    <w:p w14:paraId="12D9760B">
      <w:pPr>
        <w:rPr>
          <w:rFonts w:eastAsia="Times New Roman" w:cstheme="minorHAnsi"/>
          <w:b/>
          <w:bCs/>
        </w:rPr>
      </w:pPr>
    </w:p>
    <w:p w14:paraId="3B923A05">
      <w:pPr>
        <w:rPr>
          <w:rFonts w:eastAsia="Times New Roman" w:cstheme="minorHAnsi"/>
        </w:rPr>
      </w:pPr>
      <w:r>
        <w:t>Explain why this treatment approach was selected for this particular case.</w:t>
      </w:r>
    </w:p>
    <w:p w14:paraId="73C8AA3B">
      <w:pPr>
        <w:pStyle w:val="31"/>
        <w:numPr>
          <w:ilvl w:val="1"/>
          <w:numId w:val="2"/>
        </w:numPr>
        <w:spacing w:before="120" w:after="240"/>
        <w:contextualSpacing w:val="0"/>
        <w:rPr>
          <w:rFonts w:eastAsia="Times" w:asciiTheme="minorHAnsi" w:hAnsiTheme="minorHAnsi" w:cstheme="minorHAnsi"/>
          <w:iCs/>
          <w:color w:val="auto"/>
          <w:sz w:val="24"/>
          <w:szCs w:val="24"/>
          <w:shd w:val="clear" w:color="auto" w:fill="FFFFFF"/>
          <w:lang w:val="en-US" w:eastAsia="en-US" w:bidi="ar-SA"/>
        </w:rPr>
      </w:pPr>
      <w:sdt>
        <w:sdtPr>
          <w:rPr>
            <w:rStyle w:val="40"/>
            <w:rFonts w:eastAsia="Times" w:asciiTheme="minorHAnsi" w:hAnsiTheme="minorHAnsi" w:cstheme="minorHAnsi"/>
          </w:rPr>
          <w:id w:val="1275596961"/>
          <w:placeholder>
            <w:docPart w:val="376E5E0421B7443BA2DAA9D8F2BCF503"/>
          </w:placeholder>
          <w:temporary/>
          <w:showingPlcHdr/>
          <w:text/>
        </w:sdtPr>
        <w:sdtEndPr>
          <w:rPr>
            <w:rStyle w:val="16"/>
            <w:rFonts w:eastAsia="Times" w:asciiTheme="minorHAnsi" w:hAnsiTheme="minorHAnsi" w:cstheme="minorHAnsi"/>
            <w:b w:val="0"/>
            <w:u w:val="none"/>
          </w:rPr>
        </w:sdtEndPr>
        <w:sdtContent>
          <w:r>
            <w:rPr>
              <w:rFonts w:eastAsia="Times New Roman" w:cstheme="minorHAnsi"/>
              <w:color w:val="808080"/>
              <w:shd w:val="clear" w:color="auto" w:fill="FFFF00"/>
            </w:rPr>
            <w:t>Enter full author name</w:t>
          </w:r>
        </w:sdtContent>
      </w:sdt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eastAsia="Times" w:asciiTheme="minorHAnsi" w:hAnsiTheme="minorHAnsi" w:cstheme="minorHAnsi"/>
          <w:iCs/>
          <w:color w:val="auto"/>
          <w:sz w:val="24"/>
          <w:szCs w:val="24"/>
          <w:shd w:val="clear" w:color="auto" w:fill="FFFFFF"/>
          <w:lang w:val="en-US" w:eastAsia="en-US" w:bidi="ar-SA"/>
        </w:rPr>
        <w:t>The transmesenteric approach provides direct access with minimal bowel manipulation and faster recovery.</w:t>
      </w:r>
    </w:p>
    <w:p w14:paraId="74378028">
      <w:pPr>
        <w:spacing w:before="120"/>
        <w:rPr>
          <w:rFonts w:eastAsia="Times New Roman" w:cstheme="minorHAnsi"/>
          <w:sz w:val="28"/>
          <w:szCs w:val="28"/>
        </w:rPr>
      </w:pPr>
      <w:r>
        <w:rPr>
          <w:rFonts w:cstheme="minorHAnsi"/>
          <w:color w:val="000000"/>
          <w:shd w:val="clear" w:color="auto" w:fill="FFFFFF"/>
        </w:rPr>
        <w:t xml:space="preserve">Describe any unique or rare clinical features observed in this case. </w:t>
      </w:r>
    </w:p>
    <w:p w14:paraId="103C7FF0">
      <w:pPr>
        <w:pStyle w:val="31"/>
        <w:numPr>
          <w:ilvl w:val="1"/>
          <w:numId w:val="2"/>
        </w:numPr>
        <w:spacing w:before="120" w:after="240"/>
        <w:contextualSpacing w:val="0"/>
        <w:rPr>
          <w:rFonts w:eastAsia="Times" w:asciiTheme="minorHAnsi" w:hAnsiTheme="minorHAnsi" w:cstheme="minorHAnsi"/>
          <w:iCs/>
          <w:color w:val="auto"/>
          <w:sz w:val="24"/>
          <w:szCs w:val="24"/>
          <w:shd w:val="clear" w:color="auto" w:fill="FFFFFF"/>
          <w:lang w:val="en-US" w:eastAsia="en-US" w:bidi="ar-SA"/>
        </w:rPr>
      </w:pPr>
      <w:sdt>
        <w:sdtPr>
          <w:rPr>
            <w:rStyle w:val="40"/>
            <w:rFonts w:eastAsia="Times" w:asciiTheme="minorHAnsi" w:hAnsiTheme="minorHAnsi" w:cstheme="minorHAnsi"/>
          </w:rPr>
          <w:id w:val="-646503195"/>
          <w:placeholder>
            <w:docPart w:val="38505937A9AC4BCC9A0F8F7E5B40EACF"/>
          </w:placeholder>
          <w:temporary/>
          <w:showingPlcHdr/>
          <w:text/>
        </w:sdtPr>
        <w:sdtEndPr>
          <w:rPr>
            <w:rStyle w:val="16"/>
            <w:rFonts w:eastAsia="Times" w:asciiTheme="minorHAnsi" w:hAnsiTheme="minorHAnsi" w:cstheme="minorHAnsi"/>
            <w:b w:val="0"/>
            <w:u w:val="none"/>
          </w:rPr>
        </w:sdtEndPr>
        <w:sdtContent>
          <w:r>
            <w:rPr>
              <w:rFonts w:eastAsia="Times New Roman" w:cstheme="minorHAnsi"/>
              <w:color w:val="808080"/>
              <w:shd w:val="clear" w:color="auto" w:fill="FFFF00"/>
            </w:rPr>
            <w:t>Enter full author name</w:t>
          </w:r>
        </w:sdtContent>
      </w:sdt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eastAsia="Times" w:asciiTheme="minorHAnsi" w:hAnsiTheme="minorHAnsi" w:cstheme="minorHAnsi"/>
          <w:iCs/>
          <w:color w:val="auto"/>
          <w:sz w:val="24"/>
          <w:szCs w:val="24"/>
          <w:shd w:val="clear" w:color="auto" w:fill="FFFFFF"/>
          <w:lang w:val="en-US" w:eastAsia="en-US" w:bidi="ar-SA"/>
        </w:rPr>
        <w:t>The thin and transparent mesentery in children allows easy identification of the dilated renal pelvis.</w:t>
      </w:r>
    </w:p>
    <w:p w14:paraId="7C04C1F9">
      <w:pPr>
        <w:rPr>
          <w:rFonts w:eastAsia="Times New Roman" w:cstheme="minorHAnsi"/>
          <w:b/>
          <w:bCs/>
        </w:rPr>
      </w:pPr>
    </w:p>
    <w:p w14:paraId="5D92589A">
      <w:pPr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25E028E">
      <w:pPr>
        <w:rPr>
          <w:rFonts w:eastAsia="Times New Roman" w:cstheme="minorHAnsi"/>
          <w:b/>
          <w:bCs/>
        </w:rPr>
      </w:pPr>
    </w:p>
    <w:p w14:paraId="7B94F007">
      <w:pPr>
        <w:rPr>
          <w:rFonts w:eastAsia="Times New Roman" w:cstheme="minorHAnsi"/>
          <w:sz w:val="28"/>
          <w:szCs w:val="28"/>
        </w:rPr>
      </w:pPr>
      <w:r>
        <w:t>Describe any important challenges or complications encountered during treatment and how they were managed</w:t>
      </w:r>
    </w:p>
    <w:p w14:paraId="1BC932B5">
      <w:pPr>
        <w:pStyle w:val="31"/>
        <w:numPr>
          <w:ilvl w:val="1"/>
          <w:numId w:val="2"/>
        </w:numPr>
        <w:spacing w:before="120"/>
        <w:contextualSpacing w:val="0"/>
        <w:rPr>
          <w:rFonts w:eastAsia="Times" w:cs="Calibri (Body)" w:asciiTheme="minorHAnsi" w:hAnsiTheme="minorHAnsi"/>
          <w:iCs/>
          <w:color w:val="000000" w:themeColor="text1"/>
          <w:sz w:val="24"/>
          <w:szCs w:val="24"/>
          <w:lang w:val="en-US" w:eastAsia="en-US" w:bidi="ar-SA"/>
          <w14:textFill>
            <w14:solidFill>
              <w14:schemeClr w14:val="tx1"/>
            </w14:solidFill>
          </w14:textFill>
        </w:rPr>
      </w:pPr>
      <w:sdt>
        <w:sdtPr>
          <w:rPr>
            <w:rStyle w:val="40"/>
            <w:rFonts w:eastAsia="Times" w:asciiTheme="minorHAnsi" w:hAnsiTheme="minorHAnsi" w:cstheme="minorHAnsi"/>
          </w:rPr>
          <w:id w:val="712321454"/>
          <w:placeholder>
            <w:docPart w:val="61CE8B82A7F64BBB90E6407AAB0CAA41"/>
          </w:placeholder>
          <w:temporary/>
          <w:showingPlcHdr/>
          <w:text/>
        </w:sdtPr>
        <w:sdtEndPr>
          <w:rPr>
            <w:rStyle w:val="16"/>
            <w:rFonts w:eastAsia="Times" w:asciiTheme="minorHAnsi" w:hAnsiTheme="minorHAnsi" w:cstheme="minorHAnsi"/>
            <w:b w:val="0"/>
            <w:u w:val="none"/>
          </w:rPr>
        </w:sdtEndPr>
        <w:sdtContent>
          <w:r>
            <w:rPr>
              <w:rFonts w:eastAsia="Times New Roman" w:cstheme="minorHAnsi"/>
              <w:color w:val="808080"/>
              <w:shd w:val="clear" w:color="auto" w:fill="FFFF00"/>
            </w:rPr>
            <w:t>Enter full author name</w:t>
          </w:r>
        </w:sdtContent>
      </w:sdt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eastAsia="Times" w:cs="Calibri (Body)" w:asciiTheme="minorHAnsi" w:hAnsiTheme="minorHAnsi"/>
          <w:iCs/>
          <w:color w:val="000000" w:themeColor="text1"/>
          <w:sz w:val="24"/>
          <w:szCs w:val="24"/>
          <w:lang w:val="en-US" w:eastAsia="en-US" w:bidi="ar-SA"/>
          <w14:textFill>
            <w14:solidFill>
              <w14:schemeClr w14:val="tx1"/>
            </w14:solidFill>
          </w14:textFill>
        </w:rPr>
        <w:t>Identifying the avascular window in the thin mesentery required careful vessel preservation to avoid bleeding.</w:t>
      </w:r>
    </w:p>
    <w:p w14:paraId="10AB0E77">
      <w:pPr>
        <w:rPr>
          <w:rFonts w:eastAsia="Times New Roman" w:cstheme="minorHAnsi"/>
        </w:rPr>
      </w:pPr>
    </w:p>
    <w:p w14:paraId="0D56B45D">
      <w:pPr>
        <w:rPr>
          <w:rFonts w:eastAsia="Times New Roman" w:cstheme="minorHAnsi"/>
          <w:sz w:val="28"/>
          <w:szCs w:val="28"/>
        </w:rPr>
      </w:pPr>
      <w:r>
        <w:rPr>
          <w:rFonts w:cstheme="minorHAnsi"/>
          <w:color w:val="000000"/>
          <w:shd w:val="clear" w:color="auto" w:fill="FFFFFF"/>
        </w:rPr>
        <w:t>Summarize the key clinical lessons or takeaways from this case for other clinicians</w:t>
      </w:r>
    </w:p>
    <w:p w14:paraId="5252120D">
      <w:pPr>
        <w:pStyle w:val="31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40"/>
            <w:rFonts w:eastAsia="Times" w:asciiTheme="minorHAnsi" w:hAnsiTheme="minorHAnsi" w:cstheme="minorHAnsi"/>
          </w:rPr>
          <w:id w:val="1341357373"/>
          <w:placeholder>
            <w:docPart w:val="B9618B9EDF6E437194E61896BF2FB77D"/>
          </w:placeholder>
          <w:temporary/>
          <w:showingPlcHdr/>
          <w:text/>
        </w:sdtPr>
        <w:sdtEndPr>
          <w:rPr>
            <w:rStyle w:val="16"/>
            <w:rFonts w:eastAsia="Times" w:asciiTheme="minorHAnsi" w:hAnsiTheme="minorHAnsi" w:cstheme="minorHAnsi"/>
            <w:b w:val="0"/>
            <w:u w:val="none"/>
          </w:rPr>
        </w:sdtEndPr>
        <w:sdtContent>
          <w:r>
            <w:rPr>
              <w:rFonts w:eastAsia="Times New Roman" w:cstheme="minorHAnsi"/>
              <w:color w:val="808080"/>
              <w:shd w:val="clear" w:color="auto" w:fill="FFFF00"/>
            </w:rPr>
            <w:t>Enter full author name</w:t>
          </w:r>
        </w:sdtContent>
      </w:sdt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hint="eastAsia" w:cstheme="minorHAnsi"/>
        </w:rPr>
        <w:t>Transmesenteric approach reduces bowel manipulation, shortens operative time, and lowers complication rates in children.</w:t>
      </w:r>
    </w:p>
    <w:p w14:paraId="318B5464">
      <w:pPr>
        <w:rPr>
          <w:rFonts w:eastAsia="Times New Roman" w:cstheme="minorHAnsi"/>
          <w:b/>
          <w:bCs/>
        </w:rPr>
      </w:pPr>
    </w:p>
    <w:p w14:paraId="493147BC">
      <w:pPr>
        <w:rPr>
          <w:rFonts w:eastAsia="Times New Roman" w:cstheme="minorHAnsi"/>
          <w:sz w:val="28"/>
          <w:szCs w:val="28"/>
        </w:rPr>
      </w:pPr>
      <w:r>
        <w:rPr>
          <w:rFonts w:cstheme="minorHAnsi"/>
          <w:color w:val="000000"/>
          <w:shd w:val="clear" w:color="auto" w:fill="FFFFFF"/>
        </w:rPr>
        <w:t>Describe how the patient’s condition has progressed following treatment.</w:t>
      </w:r>
    </w:p>
    <w:p w14:paraId="0299D51C">
      <w:pPr>
        <w:pStyle w:val="31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40"/>
            <w:rFonts w:eastAsia="Times" w:asciiTheme="minorHAnsi" w:hAnsiTheme="minorHAnsi" w:cstheme="minorHAnsi"/>
          </w:rPr>
          <w:id w:val="-747507936"/>
          <w:placeholder>
            <w:docPart w:val="BF4E848DEA2E455DA0F9F90192445676"/>
          </w:placeholder>
          <w:temporary/>
          <w:showingPlcHdr/>
          <w:text/>
        </w:sdtPr>
        <w:sdtEndPr>
          <w:rPr>
            <w:rStyle w:val="16"/>
            <w:rFonts w:eastAsia="Times" w:asciiTheme="minorHAnsi" w:hAnsiTheme="minorHAnsi" w:cstheme="minorHAnsi"/>
            <w:b w:val="0"/>
            <w:u w:val="none"/>
          </w:rPr>
        </w:sdtEndPr>
        <w:sdtContent>
          <w:r>
            <w:rPr>
              <w:rFonts w:eastAsia="Times New Roman" w:cstheme="minorHAnsi"/>
              <w:color w:val="808080"/>
              <w:shd w:val="clear" w:color="auto" w:fill="FFFF00"/>
            </w:rPr>
            <w:t>Enter full author name</w:t>
          </w:r>
        </w:sdtContent>
      </w:sdt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hint="eastAsia" w:cstheme="minorHAnsi"/>
        </w:rPr>
        <w:t>Hydronephrosis significantly improved, renal function recovered, and the patient remained symptom-free during follow-up.</w:t>
      </w:r>
    </w:p>
    <w:p w14:paraId="01F8159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Describe any further investigation or follow-up that would be relevant based on this case.</w:t>
      </w:r>
    </w:p>
    <w:p w14:paraId="0D8C7EE1">
      <w:pPr>
        <w:pStyle w:val="31"/>
        <w:numPr>
          <w:ilvl w:val="0"/>
          <w:numId w:val="3"/>
        </w:numPr>
        <w:spacing w:before="120"/>
        <w:rPr>
          <w:rFonts w:cstheme="minorHAnsi"/>
        </w:rPr>
      </w:pPr>
      <w:sdt>
        <w:sdtPr>
          <w:rPr>
            <w:rStyle w:val="40"/>
            <w:rFonts w:eastAsia="Times" w:asciiTheme="minorHAnsi" w:hAnsiTheme="minorHAnsi" w:cstheme="minorHAnsi"/>
          </w:rPr>
          <w:id w:val="964618564"/>
          <w:placeholder>
            <w:docPart w:val="0324AED6D5FF4A5B9F1AF04BF0EC5DE7"/>
          </w:placeholder>
          <w:temporary/>
          <w:showingPlcHdr/>
          <w:text/>
        </w:sdtPr>
        <w:sdtEndPr>
          <w:rPr>
            <w:rStyle w:val="16"/>
            <w:rFonts w:eastAsia="Times" w:cs="Calibri (Body)" w:asciiTheme="minorHAnsi" w:hAnsiTheme="minorHAnsi"/>
            <w:b w:val="0"/>
            <w:u w:val="none"/>
          </w:rPr>
        </w:sdtEndPr>
        <w:sdtContent>
          <w:r>
            <w:rPr>
              <w:shd w:val="clear" w:color="auto" w:fill="FFFF00"/>
            </w:rPr>
            <w:t>Enter full author name</w:t>
          </w:r>
        </w:sdtContent>
      </w:sdt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</w:p>
    <w:p w14:paraId="1665FD06">
      <w:pPr>
        <w:pStyle w:val="31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  <w:r>
        <w:rPr>
          <w:rFonts w:hint="eastAsia"/>
        </w:rPr>
        <w:t>Follow-up ultrasound at 6 weeks post-stent removal, then at 3, 6, 12, and 24 months postoperatively.</w:t>
      </w:r>
    </w:p>
    <w:p w14:paraId="5C250588">
      <w:pPr>
        <w:pStyle w:val="31"/>
        <w:spacing w:before="120" w:after="240"/>
        <w:ind w:left="360"/>
        <w:contextualSpacing w:val="0"/>
      </w:pP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 xml:space="preserve">This research has been approved by the </w:t>
      </w:r>
      <w:r>
        <w:t>Medical Ethics Committees</w:t>
      </w:r>
      <w:r>
        <w:rPr>
          <w:rFonts w:eastAsia="Times New Roman" w:cstheme="minorHAnsi"/>
        </w:rPr>
        <w:t xml:space="preserve"> at </w:t>
      </w:r>
      <w:r>
        <w:t xml:space="preserve">Peking University First Hospital and Ningxia Women and Children's Hospital. </w:t>
      </w:r>
    </w:p>
    <w:p w14:paraId="15F9733D">
      <w:pPr>
        <w:rPr>
          <w:b/>
          <w:bCs/>
          <w:sz w:val="36"/>
          <w:szCs w:val="36"/>
        </w:rPr>
      </w:pPr>
      <w:r>
        <w:rPr>
          <w:rFonts w:eastAsia="Times New Roman" w:cstheme="minorHAnsi"/>
          <w:b/>
          <w:highlight w:val="yellow"/>
        </w:rPr>
        <w:t>Authors:</w:t>
      </w:r>
      <w:r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Cs/>
          <w:highlight w:val="yellow"/>
        </w:rPr>
        <w:t>Please confirm whether the full name of the ethics board and the specific institution responsible for the ethical oversight of the study are appropriate.</w:t>
      </w:r>
    </w:p>
    <w:p w14:paraId="66D538A0">
      <w:pPr>
        <w:spacing w:before="120"/>
        <w:rPr>
          <w:rFonts w:eastAsia="Times New Roman" w:cstheme="minorHAnsi"/>
        </w:rPr>
      </w:pPr>
      <w:r>
        <w:rPr>
          <w:rFonts w:cstheme="minorHAnsi"/>
        </w:rPr>
        <w:br w:type="page"/>
      </w:r>
    </w:p>
    <w:p w14:paraId="1CEA460B">
      <w:pPr>
        <w:pStyle w:val="2"/>
        <w:rPr>
          <w:rFonts w:cstheme="minorHAnsi"/>
          <w:lang w:eastAsia="zh-TW"/>
        </w:rPr>
      </w:pPr>
      <w:r>
        <w:rPr>
          <w:rFonts w:cstheme="minorHAnsi"/>
        </w:rPr>
        <w:t xml:space="preserve">Protocol  </w:t>
      </w:r>
    </w:p>
    <w:p w14:paraId="2D662FB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>
        <w:rPr>
          <w:rFonts w:eastAsia="Times New Roman" w:cstheme="minorHAnsi"/>
          <w:b/>
        </w:rPr>
        <w:t xml:space="preserve">Please review this section to make sure that it accurately describes your protocol. Use </w:t>
      </w:r>
      <w:r>
        <w:rPr>
          <w:rFonts w:eastAsia="Times New Roman" w:cstheme="minorHAnsi"/>
          <w:b/>
          <w:u w:val="single"/>
        </w:rPr>
        <w:t>Track Changes</w:t>
      </w:r>
      <w:r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>
      <w:pPr>
        <w:pStyle w:val="31"/>
        <w:keepLines/>
        <w:numPr>
          <w:ilvl w:val="0"/>
          <w:numId w:val="4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The two-digit </w:t>
      </w:r>
      <w:r>
        <w:rPr>
          <w:rFonts w:eastAsia="Times New Roman" w:cstheme="minorHAnsi"/>
          <w:b/>
          <w:bCs/>
        </w:rPr>
        <w:t>steps</w:t>
      </w:r>
      <w:r>
        <w:rPr>
          <w:rFonts w:eastAsia="Times New Roman" w:cstheme="minorHAnsi"/>
        </w:rPr>
        <w:t xml:space="preserve"> (e.g., 2.1., 2.2.) are the narration.  </w:t>
      </w:r>
      <w:r>
        <w:rPr>
          <w:rFonts w:eastAsia="Times New Roman" w:cstheme="minorHAnsi"/>
          <w:b/>
          <w:bCs/>
        </w:rPr>
        <w:t>JoVE is responsible for the narration of the protocol and results.</w:t>
      </w:r>
    </w:p>
    <w:p w14:paraId="374F5F70">
      <w:pPr>
        <w:pStyle w:val="31"/>
        <w:keepLines/>
        <w:numPr>
          <w:ilvl w:val="0"/>
          <w:numId w:val="4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  <w:i/>
          <w:color w:val="FF0000"/>
        </w:rPr>
        <w:t xml:space="preserve">Red italics </w:t>
      </w:r>
      <w:r>
        <w:rPr>
          <w:rFonts w:eastAsia="Times New Roman" w:cstheme="minorHAnsi"/>
        </w:rPr>
        <w:t xml:space="preserve">are pronunciation guides indicating how the word will be spoken. </w:t>
      </w:r>
    </w:p>
    <w:p w14:paraId="7B0D2752">
      <w:pPr>
        <w:pStyle w:val="31"/>
        <w:keepLines/>
        <w:numPr>
          <w:ilvl w:val="0"/>
          <w:numId w:val="5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>Filming should take no more than 10 minutes per step. If a step takes more than 10 minutes, prepare the product for that step in advance.</w:t>
      </w:r>
    </w:p>
    <w:p w14:paraId="42AA7A9C">
      <w:pPr>
        <w:pStyle w:val="31"/>
        <w:keepLines/>
        <w:numPr>
          <w:ilvl w:val="0"/>
          <w:numId w:val="4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The three-digit </w:t>
      </w:r>
      <w:r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(e.g., 2.1.1., 2.2.2.) are the actions that </w:t>
      </w:r>
      <w:r>
        <w:rPr>
          <w:rFonts w:eastAsia="Times New Roman" w:cstheme="minorHAnsi"/>
          <w:u w:val="single"/>
        </w:rPr>
        <w:t>you/your videographer will capture</w:t>
      </w:r>
      <w:r>
        <w:rPr>
          <w:rFonts w:eastAsia="Times New Roman" w:cstheme="minorHAnsi"/>
        </w:rPr>
        <w:t xml:space="preserve">. </w:t>
      </w:r>
    </w:p>
    <w:p w14:paraId="713769B9">
      <w:pPr>
        <w:rPr>
          <w:rFonts w:cstheme="minorHAnsi"/>
        </w:rPr>
      </w:pPr>
    </w:p>
    <w:p w14:paraId="75DFC648">
      <w:pPr>
        <w:pStyle w:val="31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 xml:space="preserve">Stenotic Segment Exposure for Transmesenteric </w:t>
      </w:r>
      <w:r>
        <w:rPr>
          <w:rFonts w:hint="eastAsia"/>
          <w:b/>
          <w:bCs/>
          <w:lang w:eastAsia="zh-CN"/>
        </w:rPr>
        <w:t xml:space="preserve">Laparoscopic </w:t>
      </w:r>
      <w:r>
        <w:rPr>
          <w:b/>
          <w:bCs/>
          <w:lang w:eastAsia="zh-CN"/>
        </w:rPr>
        <w:t xml:space="preserve">Pyeloplasty </w:t>
      </w:r>
    </w:p>
    <w:p w14:paraId="753B71A2">
      <w:pPr>
        <w:pStyle w:val="31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>
          <w:rPr>
            <w:rFonts w:cstheme="minorHAnsi"/>
          </w:rPr>
        </w:sdtEndPr>
        <w:sdtContent>
          <w:r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>
      <w:pPr>
        <w:pStyle w:val="31"/>
        <w:spacing w:before="120"/>
        <w:ind w:left="360"/>
        <w:contextualSpacing w:val="0"/>
        <w:rPr>
          <w:rFonts w:cstheme="minorHAnsi"/>
        </w:rPr>
      </w:pPr>
    </w:p>
    <w:p w14:paraId="649FC835">
      <w:pPr>
        <w:widowControl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>
      <w:pPr>
        <w:pStyle w:val="31"/>
        <w:spacing w:before="120"/>
        <w:ind w:left="360"/>
        <w:contextualSpacing w:val="0"/>
        <w:rPr>
          <w:rFonts w:cstheme="minorHAnsi"/>
          <w:b/>
          <w:bCs/>
        </w:rPr>
      </w:pPr>
    </w:p>
    <w:p w14:paraId="1F549752">
      <w:pPr>
        <w:pStyle w:val="43"/>
        <w:numPr>
          <w:ilvl w:val="1"/>
          <w:numId w:val="2"/>
        </w:numPr>
        <w:rPr>
          <w:rFonts w:ascii="Calibri" w:hAnsi="Calibri" w:eastAsia="Times" w:cs="Calibri"/>
          <w:iCs w:val="0"/>
          <w:color w:val="000000" w:themeColor="text1"/>
          <w:sz w:val="24"/>
          <w:szCs w:val="24"/>
          <w:lang w:val="en-IN" w:eastAsia="en-US" w:bidi="ar-SA"/>
          <w14:textFill>
            <w14:solidFill>
              <w14:schemeClr w14:val="tx1"/>
            </w14:solidFill>
          </w14:textFill>
        </w:rPr>
      </w:pPr>
      <w:r>
        <w:t xml:space="preserve">To begin, a 5-millimeter trocar was inserted at the umbilicus under direct vision following a small skin incision </w:t>
      </w:r>
      <w:r>
        <w:rPr>
          <w:b/>
          <w:bCs/>
        </w:rPr>
        <w:t>[1]</w:t>
      </w:r>
      <w:r>
        <w:t xml:space="preserve">. Under laparoscopic guidance, two additional 3-millimeter trocars were placed </w:t>
      </w:r>
      <w:r>
        <w:rPr>
          <w:b/>
          <w:bCs/>
        </w:rPr>
        <w:t>[2]</w:t>
      </w:r>
      <w:r>
        <w:t xml:space="preserve">. </w:t>
      </w: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(</w:t>
      </w:r>
      <w:r>
        <w:rPr>
          <w:b/>
          <w:bCs/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Authors:</w:t>
      </w:r>
      <w:r>
        <w:rPr>
          <w:rFonts w:ascii="Calibri" w:hAnsi="Calibri" w:eastAsia="Times" w:cs="Calibri"/>
          <w:iCs w:val="0"/>
          <w:color w:val="000000" w:themeColor="text1"/>
          <w:sz w:val="24"/>
          <w:szCs w:val="24"/>
          <w:lang w:val="en-IN" w:eastAsia="en-US" w:bidi="ar-SA"/>
          <w14:textFill>
            <w14:solidFill>
              <w14:schemeClr w14:val="tx1"/>
            </w14:solidFill>
          </w14:textFill>
        </w:rPr>
        <w:t>Since laparoscopic recording was not activated during this step, no video footage of trocar placement is available. We will provide a postoperative photograph taken during wound dressing change to illustrate the precise locations of the three trocar placements (one 5-mm umbilical trocar and two additional 3-mm trocars) to supplement this section.</w:t>
      </w:r>
      <w:bookmarkStart w:id="3" w:name="_GoBack"/>
      <w:bookmarkEnd w:id="3"/>
    </w:p>
    <w:p w14:paraId="0B3DEB60">
      <w:pPr>
        <w:pStyle w:val="46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No video available — laparoscopic recording was not activated during trocar insertion.</w:t>
      </w:r>
    </w:p>
    <w:p w14:paraId="617B7965">
      <w:pPr>
        <w:pStyle w:val="46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No video available — laparoscopic recording was not activated during trocar insertion.</w:t>
      </w:r>
    </w:p>
    <w:p w14:paraId="58ED0862">
      <w:pPr>
        <w:pStyle w:val="43"/>
        <w:numPr>
          <w:ilvl w:val="1"/>
          <w:numId w:val="2"/>
        </w:numPr>
      </w:pPr>
      <w:r>
        <w:t xml:space="preserve">Following exploratory laparoscopy, the colon was gently retracted medially using atraumatic grasping forceps to expose the colonic mesentery </w:t>
      </w:r>
      <w:r>
        <w:rPr>
          <w:b/>
          <w:bCs/>
        </w:rPr>
        <w:t>[1]</w:t>
      </w:r>
      <w:r>
        <w:t xml:space="preserve">. A bulging mass indicative of the hydronephrotic left renal pelvis was visualized through the mesentery </w:t>
      </w:r>
      <w:r>
        <w:rPr>
          <w:b/>
          <w:bCs/>
        </w:rPr>
        <w:t>[2]</w:t>
      </w:r>
      <w:r>
        <w:t>.</w:t>
      </w:r>
    </w:p>
    <w:p w14:paraId="186778A3">
      <w:pPr>
        <w:pStyle w:val="46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2025-08-19_142830_VID001 00:00–00:07</w:t>
      </w:r>
    </w:p>
    <w:p w14:paraId="548BC14E">
      <w:pPr>
        <w:pStyle w:val="46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2025-08-19_142830_VID001 00:15–00:23</w:t>
      </w:r>
    </w:p>
    <w:p w14:paraId="1083C11A">
      <w:pPr>
        <w:pStyle w:val="43"/>
        <w:numPr>
          <w:ilvl w:val="1"/>
          <w:numId w:val="2"/>
        </w:numPr>
      </w:pPr>
      <w:r>
        <w:t xml:space="preserve">A 2-centimeter avascular window was created in the mesentery </w:t>
      </w:r>
      <w:r>
        <w:rPr>
          <w:b/>
          <w:bCs/>
        </w:rPr>
        <w:t>[1]</w:t>
      </w:r>
      <w:r>
        <w:t xml:space="preserve"> with careful identification and preservation of the underlying mesenteric vessels </w:t>
      </w:r>
      <w:r>
        <w:rPr>
          <w:b/>
          <w:bCs/>
        </w:rPr>
        <w:t>[2]</w:t>
      </w:r>
      <w:r>
        <w:t xml:space="preserve">. The retroperitoneal space was accessed through the mesenteric window </w:t>
      </w:r>
      <w:r>
        <w:rPr>
          <w:b/>
          <w:bCs/>
        </w:rPr>
        <w:t>[3]</w:t>
      </w:r>
      <w:r>
        <w:t>.</w:t>
      </w:r>
    </w:p>
    <w:p w14:paraId="2993CE46">
      <w:pPr>
        <w:pStyle w:val="46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2025-08-19_142830_VID001 00:40–00:42; 02:07–02:12</w:t>
      </w:r>
    </w:p>
    <w:p w14:paraId="265D2661">
      <w:pPr>
        <w:pStyle w:val="46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2025-08-19_142830_VID001 02:34–02:40</w:t>
      </w:r>
    </w:p>
    <w:p w14:paraId="5E960DA2">
      <w:pPr>
        <w:pStyle w:val="46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2025-08-19_142830_VID001 04:27–04:34</w:t>
      </w:r>
    </w:p>
    <w:p w14:paraId="3D95FB1C">
      <w:pPr>
        <w:pStyle w:val="43"/>
        <w:numPr>
          <w:ilvl w:val="1"/>
          <w:numId w:val="2"/>
        </w:numPr>
      </w:pPr>
      <w:r>
        <w:t xml:space="preserve">The perirenal fascia or Gerota's fascia was incised to identify the renal pelvis and proximal ureter </w:t>
      </w:r>
      <w:r>
        <w:rPr>
          <w:b/>
          <w:bCs/>
        </w:rPr>
        <w:t>[1]</w:t>
      </w:r>
      <w:r>
        <w:t xml:space="preserve">. Subsequently, the dilated renal pelvis and proximal ureter were mobilized and fully exposed </w:t>
      </w:r>
      <w:r>
        <w:rPr>
          <w:b/>
          <w:bCs/>
        </w:rPr>
        <w:t>[2]</w:t>
      </w:r>
      <w:r>
        <w:t>.</w:t>
      </w:r>
    </w:p>
    <w:p w14:paraId="3DCF334B">
      <w:pPr>
        <w:pStyle w:val="46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2025-08-19_142830_VID001 07:58–08:05</w:t>
      </w:r>
    </w:p>
    <w:p w14:paraId="24C6B477">
      <w:pPr>
        <w:pStyle w:val="31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LAB MEDIA: 2025-08-19_142830_VID001 08:18–08:25</w:t>
      </w:r>
    </w:p>
    <w:p w14:paraId="1F99A483">
      <w:pPr>
        <w:pStyle w:val="44"/>
        <w:numPr>
          <w:ilvl w:val="0"/>
          <w:numId w:val="2"/>
        </w:numPr>
        <w:rPr>
          <w:b/>
          <w:bCs/>
          <w:lang w:val="en-IN"/>
        </w:rPr>
      </w:pPr>
      <w:r>
        <w:rPr>
          <w:b/>
          <w:bCs/>
          <w:lang w:val="en-IN"/>
        </w:rPr>
        <w:t>Resection and Anastomosis of the Renal Pelvis and Proximal Ureter</w:t>
      </w:r>
    </w:p>
    <w:p w14:paraId="6080DECA">
      <w:pPr>
        <w:pStyle w:val="31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EndPr>
          <w:rPr>
            <w:rFonts w:cstheme="minorHAnsi"/>
          </w:rPr>
        </w:sdtEndPr>
        <w:sdtContent>
          <w:r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814FF29">
      <w:pPr>
        <w:pStyle w:val="43"/>
        <w:numPr>
          <w:ilvl w:val="1"/>
          <w:numId w:val="2"/>
        </w:numPr>
      </w:pPr>
      <w:r>
        <w:t xml:space="preserve">A 3-0 </w:t>
      </w:r>
      <w:r>
        <w:rPr>
          <w:i/>
          <w:iCs/>
          <w:color w:val="EE0000"/>
        </w:rPr>
        <w:t>(three-oh)</w:t>
      </w:r>
      <w:r>
        <w:t xml:space="preserve"> absorbable suture was placed at the body surface projection of the left renal pelvis </w:t>
      </w:r>
      <w:r>
        <w:rPr>
          <w:b/>
          <w:bCs/>
        </w:rPr>
        <w:t>[1]</w:t>
      </w:r>
      <w:r>
        <w:t xml:space="preserve">, and the superior pole of the renal pelvis was suspended to an appropriate height via traction </w:t>
      </w:r>
      <w:r>
        <w:rPr>
          <w:b/>
          <w:bCs/>
        </w:rPr>
        <w:t>[2]</w:t>
      </w:r>
      <w:r>
        <w:t>.</w:t>
      </w:r>
    </w:p>
    <w:p w14:paraId="788D8DA6">
      <w:pPr>
        <w:pStyle w:val="46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2025-08-19_142830_VID002 04:41–04:43; 05:07–05:11; 05:17–05:21</w:t>
      </w:r>
    </w:p>
    <w:p w14:paraId="69801DA0">
      <w:pPr>
        <w:pStyle w:val="46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2025-08-19_142830_VID002 05:32–05:34; 05:46–05:48; 05:59–06:03</w:t>
      </w:r>
    </w:p>
    <w:p w14:paraId="72FD7AEF">
      <w:pPr>
        <w:pStyle w:val="43"/>
        <w:numPr>
          <w:ilvl w:val="1"/>
          <w:numId w:val="2"/>
        </w:numPr>
      </w:pPr>
      <w:r>
        <w:t xml:space="preserve">The ureter was transversely incised immediately distal to the stenotic segment </w:t>
      </w:r>
      <w:r>
        <w:rPr>
          <w:b/>
          <w:bCs/>
        </w:rPr>
        <w:t>[1]</w:t>
      </w:r>
      <w:r>
        <w:t xml:space="preserve">, and the redundant renal pelvis was trimmed while maintaining a partial connection to preserve spatial orientation </w:t>
      </w:r>
      <w:r>
        <w:rPr>
          <w:b/>
          <w:bCs/>
        </w:rPr>
        <w:t>[2]</w:t>
      </w:r>
      <w:r>
        <w:t xml:space="preserve">. </w:t>
      </w: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(</w:t>
      </w:r>
      <w:r>
        <w:rPr>
          <w:b/>
          <w:bCs/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>Authors:</w:t>
      </w:r>
      <w:r>
        <w:rPr>
          <w:color w:val="000000" w:themeColor="text1"/>
          <w:highlight w:val="yellow"/>
          <w14:textFill>
            <w14:solidFill>
              <w14:schemeClr w14:val="tx1"/>
            </w14:solidFill>
          </w14:textFill>
        </w:rPr>
        <w:t xml:space="preserve"> </w:t>
      </w:r>
      <w:r>
        <w:t>We have reviewed the updated visual timestamps for step 3.2 (3.2.1 and 3.2.2) and confirm that they are</w:t>
      </w:r>
      <w:r>
        <w:rPr>
          <w:rFonts w:hint="eastAsia"/>
        </w:rPr>
        <w:t> appropriate for the corresponding narration. No inversion of the narration is needed.</w:t>
      </w:r>
    </w:p>
    <w:p w14:paraId="01620DAD">
      <w:pPr>
        <w:pStyle w:val="46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2025-08-19_142830_VID003 02:21–02:24; 02:41–02:43; 02:58–03:00; 03:59–04:03; 05:58–06:02; 06:29–06:33</w:t>
      </w:r>
    </w:p>
    <w:p w14:paraId="29B35A39">
      <w:pPr>
        <w:pStyle w:val="46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2025-08-19_142830_VID003 09:15–09:17; 09:25–09:28; 09:31–09:33</w:t>
      </w:r>
    </w:p>
    <w:p w14:paraId="60991546">
      <w:pPr>
        <w:pStyle w:val="43"/>
        <w:numPr>
          <w:ilvl w:val="1"/>
          <w:numId w:val="2"/>
        </w:numPr>
      </w:pPr>
      <w:r>
        <w:t xml:space="preserve">An approximately 1.5-centimeter longitudinal ureterotomy was performed along the dorsal aspect of the ureter </w:t>
      </w:r>
      <w:r>
        <w:rPr>
          <w:b/>
          <w:bCs/>
        </w:rPr>
        <w:t>[1]</w:t>
      </w:r>
      <w:r>
        <w:t xml:space="preserve">. A non-clamping anastomotic technique was employed, and everting sutures were placed with 5-0 </w:t>
      </w:r>
      <w:r>
        <w:rPr>
          <w:i/>
          <w:iCs/>
          <w:color w:val="EE0000"/>
        </w:rPr>
        <w:t>(five-oh)</w:t>
      </w:r>
      <w:r>
        <w:t xml:space="preserve"> absorbable sutures </w:t>
      </w:r>
      <w:r>
        <w:rPr>
          <w:b/>
          <w:bCs/>
        </w:rPr>
        <w:t>[2]</w:t>
      </w:r>
      <w:r>
        <w:t>.</w:t>
      </w:r>
    </w:p>
    <w:p w14:paraId="6BD1F83B">
      <w:pPr>
        <w:pStyle w:val="46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2025-08-19_142830_VID003 09:52–09:58; 10:22–10:25 </w:t>
      </w:r>
    </w:p>
    <w:p w14:paraId="712CD0D6">
      <w:pPr>
        <w:pStyle w:val="46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2025-08-19_142830_VID004 07:01–07:03; 07:09–07:12; 07:16–07:18</w:t>
      </w:r>
    </w:p>
    <w:p w14:paraId="5F54A70A">
      <w:pPr>
        <w:pStyle w:val="43"/>
        <w:numPr>
          <w:ilvl w:val="1"/>
          <w:numId w:val="2"/>
        </w:numPr>
      </w:pPr>
      <w:r>
        <w:t xml:space="preserve">The initial anastomotic suture was placed at the most dependent point of the renal pelvis along the renal axis, aligned precisely with the inferior extent of the longitudinal ureterotomy </w:t>
      </w:r>
      <w:r>
        <w:rPr>
          <w:b/>
          <w:bCs/>
        </w:rPr>
        <w:t>[1]</w:t>
      </w:r>
      <w:r>
        <w:t xml:space="preserve">. After placing the initial stitch, the anastomotic tension was assessed and confirmed to be satisfactory </w:t>
      </w:r>
      <w:r>
        <w:rPr>
          <w:b/>
          <w:bCs/>
        </w:rPr>
        <w:t>[2]</w:t>
      </w:r>
      <w:r>
        <w:t>.</w:t>
      </w:r>
    </w:p>
    <w:p w14:paraId="4D9909DE">
      <w:pPr>
        <w:pStyle w:val="46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2025-08-19_142830_VID004 08:20–08:24; 08:30–08:34; 08:48–08:52</w:t>
      </w:r>
    </w:p>
    <w:p w14:paraId="031C5E52">
      <w:pPr>
        <w:pStyle w:val="46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2025-08-19_142830_VID004 09:21–09:28</w:t>
      </w:r>
    </w:p>
    <w:p w14:paraId="725B2D01">
      <w:pPr>
        <w:pStyle w:val="43"/>
        <w:numPr>
          <w:ilvl w:val="1"/>
          <w:numId w:val="2"/>
        </w:numPr>
      </w:pPr>
      <w:r>
        <w:t xml:space="preserve">The posterior wall of the ureter and renal pelvis was anastomosed using a continuous suturing technique </w:t>
      </w:r>
      <w:r>
        <w:rPr>
          <w:b/>
          <w:bCs/>
        </w:rPr>
        <w:t>[1]</w:t>
      </w:r>
      <w:r>
        <w:t xml:space="preserve">. Subsequently, the remaining connecting portion of the renal pelvis was completely divided </w:t>
      </w:r>
      <w:r>
        <w:rPr>
          <w:b/>
          <w:bCs/>
        </w:rPr>
        <w:t>[2]</w:t>
      </w:r>
      <w:r>
        <w:t xml:space="preserve">, and the anterior wall was anastomosed in a similar continuous fashion </w:t>
      </w:r>
      <w:r>
        <w:rPr>
          <w:b/>
          <w:bCs/>
        </w:rPr>
        <w:t>[3]</w:t>
      </w:r>
      <w:r>
        <w:t>.</w:t>
      </w:r>
    </w:p>
    <w:p w14:paraId="2EDA6891">
      <w:pPr>
        <w:pStyle w:val="46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2025-08-19_142830_VID005 02:49–02:51; 02:59–03:02; 03:09–03:11; 03:15–03:19; 05:41–05:48</w:t>
      </w:r>
    </w:p>
    <w:p w14:paraId="0BEA4E22">
      <w:pPr>
        <w:pStyle w:val="46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2025-08-19_142830_VID005 06:55–07:04</w:t>
      </w:r>
    </w:p>
    <w:p w14:paraId="6448FFD8">
      <w:pPr>
        <w:pStyle w:val="31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LAB MEDIA: 2025-08-19_142830_VID005 09:07–09:10; 09:18–09:21; 09:30–09:35; 09:40–09:43</w:t>
      </w:r>
    </w:p>
    <w:p w14:paraId="5936EBCA">
      <w:pPr>
        <w:pStyle w:val="31"/>
        <w:spacing w:before="120"/>
        <w:ind w:left="1627"/>
        <w:contextualSpacing w:val="0"/>
        <w:rPr>
          <w:rFonts w:cstheme="minorHAnsi"/>
        </w:rPr>
      </w:pPr>
    </w:p>
    <w:p w14:paraId="30FA2004">
      <w:pPr>
        <w:pStyle w:val="31"/>
        <w:numPr>
          <w:ilvl w:val="0"/>
          <w:numId w:val="2"/>
        </w:numPr>
        <w:spacing w:before="120"/>
        <w:contextualSpacing w:val="0"/>
        <w:rPr>
          <w:rFonts w:cstheme="minorHAnsi"/>
        </w:rPr>
      </w:pPr>
      <w:r>
        <w:rPr>
          <w:rFonts w:hint="eastAsia" w:cstheme="minorHAnsi"/>
          <w:b/>
          <w:bCs/>
        </w:rPr>
        <w:t xml:space="preserve">Double-J (D-J) </w:t>
      </w:r>
      <w:r>
        <w:rPr>
          <w:rFonts w:cstheme="minorHAnsi"/>
          <w:b/>
          <w:bCs/>
        </w:rPr>
        <w:t>Ureteral Stent Insertion, Incision Closure, and Drainage</w:t>
      </w:r>
    </w:p>
    <w:p w14:paraId="7CBE4D9B">
      <w:pPr>
        <w:pStyle w:val="31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466397047"/>
          <w:placeholder>
            <w:docPart w:val="EE9DE94319A74D009E1C8518E6FB4B76"/>
          </w:placeholder>
          <w:temporary/>
          <w:showingPlcHdr/>
          <w:text/>
        </w:sdtPr>
        <w:sdtEndPr>
          <w:rPr>
            <w:rFonts w:cstheme="minorHAnsi"/>
          </w:rPr>
        </w:sdtEndPr>
        <w:sdtContent>
          <w:r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894E1AC">
      <w:pPr>
        <w:pStyle w:val="43"/>
        <w:numPr>
          <w:ilvl w:val="1"/>
          <w:numId w:val="2"/>
        </w:numPr>
      </w:pPr>
      <w:r>
        <w:t xml:space="preserve">A 6-French pneumoperitoneum needle was percutaneously inserted at the body surface projection of the left renal pelvis located below the left costal margin </w:t>
      </w:r>
      <w:r>
        <w:rPr>
          <w:b/>
          <w:bCs/>
        </w:rPr>
        <w:t>[1]</w:t>
      </w:r>
      <w:r>
        <w:t>.</w:t>
      </w:r>
    </w:p>
    <w:p w14:paraId="52A22953">
      <w:pPr>
        <w:pStyle w:val="46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2025-08-19_142830_VID006 02:41–02:43; 02:51–02:53; 02:55–02:57</w:t>
      </w:r>
    </w:p>
    <w:p w14:paraId="32182494">
      <w:pPr>
        <w:pStyle w:val="43"/>
        <w:numPr>
          <w:ilvl w:val="1"/>
          <w:numId w:val="2"/>
        </w:numPr>
      </w:pPr>
      <w:r>
        <w:t xml:space="preserve">A super-smooth guidewire and a double-J, or D-J </w:t>
      </w:r>
      <w:r>
        <w:rPr>
          <w:i/>
          <w:iCs/>
          <w:color w:val="EE0000"/>
        </w:rPr>
        <w:t>(D-J)</w:t>
      </w:r>
      <w:r>
        <w:t xml:space="preserve"> ureteral stent were introduced through the puncture site </w:t>
      </w:r>
      <w:r>
        <w:rPr>
          <w:b/>
          <w:bCs/>
        </w:rPr>
        <w:t>[1]</w:t>
      </w:r>
      <w:r>
        <w:t xml:space="preserve">. Under direct laparoscopic visualization, the D-J stent was placed in an antegrade fashion by advancing the distal end into the bladder </w:t>
      </w:r>
      <w:r>
        <w:rPr>
          <w:b/>
          <w:bCs/>
        </w:rPr>
        <w:t>[2]</w:t>
      </w:r>
      <w:r>
        <w:t xml:space="preserve"> and positioning the proximal end within the renal pelvis </w:t>
      </w:r>
      <w:r>
        <w:rPr>
          <w:b/>
          <w:bCs/>
        </w:rPr>
        <w:t>[3]</w:t>
      </w:r>
      <w:r>
        <w:t>.</w:t>
      </w:r>
    </w:p>
    <w:p w14:paraId="634009EB">
      <w:pPr>
        <w:pStyle w:val="46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2025-08-19_142830_VID006 03:22–03:27; 04:06–04:09</w:t>
      </w:r>
    </w:p>
    <w:p w14:paraId="2AC97981">
      <w:pPr>
        <w:pStyle w:val="46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2025-08-19_142830_VID006 05:05–05:09; 05:20–05:25; 05:35–05:42; 05:54–06:00</w:t>
      </w:r>
    </w:p>
    <w:p w14:paraId="0E470A61">
      <w:pPr>
        <w:pStyle w:val="46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2025-08-19_142830_VID006 06:06–06:14</w:t>
      </w:r>
    </w:p>
    <w:p w14:paraId="5665EDC6">
      <w:pPr>
        <w:pStyle w:val="43"/>
        <w:numPr>
          <w:ilvl w:val="1"/>
          <w:numId w:val="2"/>
        </w:numPr>
      </w:pPr>
      <w:r>
        <w:t xml:space="preserve">Successful placement was confirmed by visualizing the distal coil of the D-J stent entering the bladder along the ureteral course </w:t>
      </w:r>
      <w:r>
        <w:rPr>
          <w:b/>
          <w:bCs/>
        </w:rPr>
        <w:t>[1]</w:t>
      </w:r>
      <w:r>
        <w:t xml:space="preserve">. The renal pelvis was then irrigated </w:t>
      </w:r>
      <w:r>
        <w:rPr>
          <w:b/>
          <w:bCs/>
        </w:rPr>
        <w:t>[2]</w:t>
      </w:r>
      <w:r>
        <w:t xml:space="preserve">, and a meticulous inspection was performed to confirm the absence of active bleeding </w:t>
      </w:r>
      <w:r>
        <w:rPr>
          <w:b/>
          <w:bCs/>
        </w:rPr>
        <w:t>[3]</w:t>
      </w:r>
      <w:r>
        <w:t>.</w:t>
      </w:r>
    </w:p>
    <w:p w14:paraId="1F5FAA29">
      <w:pPr>
        <w:pStyle w:val="46"/>
        <w:numPr>
          <w:ilvl w:val="2"/>
          <w:numId w:val="2"/>
        </w:numPr>
        <w:rPr>
          <w:rFonts w:ascii="Calibri" w:hAnsi="Calibri" w:eastAsia="Times" w:cs="Calibri"/>
          <w:iCs w:val="0"/>
          <w:color w:val="7030A0"/>
          <w:sz w:val="24"/>
          <w:szCs w:val="24"/>
          <w:lang w:val="en-IN" w:eastAsia="en-US" w:bidi="ar-SA"/>
        </w:rPr>
      </w:pPr>
      <w:r>
        <w:rPr>
          <w:lang w:val="en-IN"/>
        </w:rPr>
        <w:t xml:space="preserve">LAB MEDIA: 2025-08-19_142830_VID008 00:43–00:48 </w:t>
      </w:r>
      <w:r>
        <w:rPr>
          <w:highlight w:val="yellow"/>
          <w:lang w:val="en-IN"/>
        </w:rPr>
        <w:t>(</w:t>
      </w:r>
      <w:r>
        <w:rPr>
          <w:b/>
          <w:bCs/>
          <w:highlight w:val="yellow"/>
          <w:lang w:val="en-IN"/>
        </w:rPr>
        <w:t>Authors:</w:t>
      </w:r>
      <w:r>
        <w:rPr>
          <w:highlight w:val="yellow"/>
          <w:lang w:val="en-IN"/>
        </w:rPr>
        <w:t xml:space="preserve"> </w:t>
      </w:r>
      <w:r>
        <w:rPr>
          <w:rFonts w:ascii="Calibri" w:hAnsi="Calibri" w:eastAsia="Times" w:cs="Calibri"/>
          <w:iCs w:val="0"/>
          <w:color w:val="7030A0"/>
          <w:sz w:val="24"/>
          <w:szCs w:val="24"/>
          <w:lang w:val="en-GB" w:eastAsia="en-US" w:bidi="ar-SA"/>
        </w:rPr>
        <w:t>We have reviewed the timestamp (VID008 00:43–00:48) for step 4.3.1 and confirm that it</w:t>
      </w:r>
      <w:r>
        <w:rPr>
          <w:rFonts w:hint="eastAsia" w:ascii="Calibri" w:hAnsi="Calibri" w:eastAsia="Times" w:cs="Calibri"/>
          <w:iCs w:val="0"/>
          <w:color w:val="7030A0"/>
          <w:sz w:val="24"/>
          <w:szCs w:val="24"/>
          <w:lang w:val="en-GB" w:eastAsia="en-US" w:bidi="ar-SA"/>
        </w:rPr>
        <w:t> appropriately showcases the distal coil of the D-J stent entering the bladder along the ureteral course. No revision is needed.</w:t>
      </w:r>
    </w:p>
    <w:p w14:paraId="340FA995">
      <w:pPr>
        <w:pStyle w:val="46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2025-08-19_142830_VID008 04:22–04:26; 04:29–04:32</w:t>
      </w:r>
    </w:p>
    <w:p w14:paraId="57E985EE">
      <w:pPr>
        <w:pStyle w:val="46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2025-08-19_142830_VID008 04:38–04:42; 04:45–04:50</w:t>
      </w:r>
    </w:p>
    <w:p w14:paraId="34C3DC45">
      <w:pPr>
        <w:pStyle w:val="43"/>
        <w:numPr>
          <w:ilvl w:val="1"/>
          <w:numId w:val="2"/>
        </w:numPr>
      </w:pPr>
      <w:r>
        <w:t xml:space="preserve">The previously preserved stenotic segment of the ureteropelvic junction was excised </w:t>
      </w:r>
      <w:r>
        <w:rPr>
          <w:b/>
          <w:bCs/>
        </w:rPr>
        <w:t>[1]</w:t>
      </w:r>
      <w:r>
        <w:t xml:space="preserve">. The anterior wall of the ureter and renal pelvis was then anastomosed to complete the ureteropelvic reconstruction </w:t>
      </w:r>
      <w:r>
        <w:rPr>
          <w:b/>
          <w:bCs/>
        </w:rPr>
        <w:t>[2]</w:t>
      </w:r>
      <w:r>
        <w:t>.</w:t>
      </w:r>
    </w:p>
    <w:p w14:paraId="58E6109E">
      <w:pPr>
        <w:pStyle w:val="46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2025-08-19_142830_VID007 01:49–01:58</w:t>
      </w:r>
    </w:p>
    <w:p w14:paraId="0D18572A">
      <w:pPr>
        <w:pStyle w:val="46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2025-08-19_142830_VID007 07:48–07:52; 08:19–08:23</w:t>
      </w:r>
    </w:p>
    <w:p w14:paraId="79D4B0F5">
      <w:pPr>
        <w:pStyle w:val="43"/>
        <w:numPr>
          <w:ilvl w:val="1"/>
          <w:numId w:val="2"/>
        </w:numPr>
      </w:pPr>
      <w:r>
        <w:t xml:space="preserve">The pneumoperitoneum pressure was reduced to confirm anastomotic integrity </w:t>
      </w:r>
      <w:r>
        <w:rPr>
          <w:b/>
          <w:bCs/>
        </w:rPr>
        <w:t>[1]</w:t>
      </w:r>
      <w:r>
        <w:t>.</w:t>
      </w:r>
    </w:p>
    <w:p w14:paraId="6F95AAE0">
      <w:pPr>
        <w:pStyle w:val="46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2025-08-19_142830_VID009 04:23–04:26; 04:37–04:45</w:t>
      </w:r>
    </w:p>
    <w:p w14:paraId="5BC94796">
      <w:pPr>
        <w:pStyle w:val="43"/>
        <w:numPr>
          <w:ilvl w:val="1"/>
          <w:numId w:val="2"/>
        </w:numPr>
      </w:pPr>
      <w:r>
        <w:t xml:space="preserve">The operative field was irrigated </w:t>
      </w:r>
      <w:r>
        <w:rPr>
          <w:b/>
          <w:bCs/>
        </w:rPr>
        <w:t>[1]</w:t>
      </w:r>
      <w:r>
        <w:t xml:space="preserve"> and the mesenteric incision was closed with a 4-0 </w:t>
      </w:r>
      <w:r>
        <w:rPr>
          <w:i/>
          <w:iCs/>
          <w:color w:val="EE0000"/>
        </w:rPr>
        <w:t>(four-oh)</w:t>
      </w:r>
      <w:r>
        <w:t xml:space="preserve"> absorbable suture </w:t>
      </w:r>
      <w:r>
        <w:rPr>
          <w:b/>
          <w:bCs/>
        </w:rPr>
        <w:t>[2]</w:t>
      </w:r>
      <w:r>
        <w:t xml:space="preserve">. An 18-French silicone drain was placed via the auxiliary port site, followed by incision closures and postoperative care </w:t>
      </w:r>
      <w:r>
        <w:rPr>
          <w:b/>
          <w:bCs/>
        </w:rPr>
        <w:t>[3]</w:t>
      </w:r>
      <w:r>
        <w:t>.</w:t>
      </w:r>
    </w:p>
    <w:p w14:paraId="53CC3B34">
      <w:pPr>
        <w:pStyle w:val="46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2025-08-19_142830_VID009 06:42–06:45; 07:04–07:08 </w:t>
      </w:r>
    </w:p>
    <w:p w14:paraId="5D082171">
      <w:pPr>
        <w:pStyle w:val="46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2025-08-19_142830_VID010 00:10–00:15; 00:32–00:36; 01:07–01:10</w:t>
      </w:r>
    </w:p>
    <w:p w14:paraId="126EFCFD">
      <w:pPr>
        <w:pStyle w:val="31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LAB MEDIA: 2025-08-19_142830_VID010 07:03–07:06; 07:12–07:15</w:t>
      </w:r>
    </w:p>
    <w:p w14:paraId="62176FB5">
      <w:pPr>
        <w:spacing w:before="120"/>
        <w:rPr>
          <w:rFonts w:cstheme="minorHAnsi"/>
        </w:rPr>
      </w:pPr>
    </w:p>
    <w:p w14:paraId="0C8D5726">
      <w:pPr>
        <w:spacing w:before="120"/>
        <w:rPr>
          <w:rFonts w:cstheme="minorHAnsi"/>
        </w:rPr>
      </w:pPr>
    </w:p>
    <w:p w14:paraId="4A968934">
      <w:pPr>
        <w:spacing w:before="120"/>
        <w:rPr>
          <w:rFonts w:cstheme="minorHAnsi"/>
        </w:rPr>
      </w:pPr>
    </w:p>
    <w:p w14:paraId="7BAE0E17">
      <w:pPr>
        <w:spacing w:before="120"/>
        <w:rPr>
          <w:rFonts w:cstheme="minorHAnsi"/>
        </w:rPr>
      </w:pPr>
      <w:r>
        <w:rPr>
          <w:rFonts w:cstheme="minorHAnsi"/>
        </w:rPr>
        <w:br w:type="page"/>
      </w:r>
    </w:p>
    <w:p w14:paraId="3AF598C5">
      <w:pPr>
        <w:pStyle w:val="2"/>
        <w:rPr>
          <w:rFonts w:cstheme="minorHAnsi"/>
        </w:rPr>
      </w:pPr>
      <w:r>
        <w:rPr>
          <w:rFonts w:cstheme="minorHAnsi"/>
        </w:rPr>
        <w:t>Results</w:t>
      </w:r>
    </w:p>
    <w:p w14:paraId="7AF29C6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86" w:right="8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>
      <w:pPr>
        <w:pStyle w:val="31"/>
        <w:keepLines/>
        <w:numPr>
          <w:ilvl w:val="0"/>
          <w:numId w:val="5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>
        <w:rPr>
          <w:rFonts w:eastAsia="Times New Roman" w:cstheme="minorHAnsi"/>
          <w:b/>
          <w:bCs/>
        </w:rPr>
        <w:t>does not have to record</w:t>
      </w:r>
      <w:r>
        <w:rPr>
          <w:rFonts w:eastAsia="Times New Roman" w:cstheme="minorHAnsi"/>
        </w:rPr>
        <w:t xml:space="preserve"> this section. It only includes the figures/tables from your manuscript (called LAB MEDIA). </w:t>
      </w:r>
    </w:p>
    <w:p w14:paraId="531AEC47">
      <w:pPr>
        <w:pStyle w:val="31"/>
        <w:keepLines/>
        <w:numPr>
          <w:ilvl w:val="0"/>
          <w:numId w:val="5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  <w:bCs/>
        </w:rPr>
        <w:t>Use Track Changes when making edits or revisions. Ensure the voiceover length is below 200 words. Current word count: 048.</w:t>
      </w:r>
    </w:p>
    <w:p w14:paraId="4AE74E16">
      <w:pPr>
        <w:pStyle w:val="31"/>
        <w:keepLines/>
        <w:numPr>
          <w:ilvl w:val="0"/>
          <w:numId w:val="5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  <w:bCs/>
        </w:rPr>
        <w:t xml:space="preserve">Please note that the video </w:t>
      </w:r>
      <w:r>
        <w:rPr>
          <w:rFonts w:eastAsia="Times New Roman" w:cstheme="minorHAnsi"/>
          <w:b/>
        </w:rPr>
        <w:t xml:space="preserve">cannot </w:t>
      </w:r>
      <w:r>
        <w:rPr>
          <w:rFonts w:eastAsia="Times New Roman" w:cstheme="minorHAnsi"/>
          <w:bCs/>
        </w:rPr>
        <w:t xml:space="preserve">include </w:t>
      </w:r>
      <w:r>
        <w:rPr>
          <w:rFonts w:eastAsia="Times New Roman" w:cstheme="minorHAnsi"/>
          <w:bCs/>
          <w:u w:val="single"/>
        </w:rPr>
        <w:t>voiceover without an accompanying visual</w:t>
      </w:r>
      <w:r>
        <w:rPr>
          <w:rFonts w:eastAsia="Times New Roman" w:cstheme="minorHAnsi"/>
          <w:bCs/>
        </w:rPr>
        <w:t>.</w:t>
      </w:r>
    </w:p>
    <w:p w14:paraId="26AB8A38">
      <w:pPr>
        <w:ind w:left="360"/>
        <w:outlineLvl w:val="0"/>
        <w:rPr>
          <w:rFonts w:cstheme="minorHAnsi"/>
          <w:lang w:eastAsia="zh-TW"/>
        </w:rPr>
      </w:pPr>
    </w:p>
    <w:p w14:paraId="1DE25339">
      <w:pPr>
        <w:pStyle w:val="31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>
      <w:pPr>
        <w:pStyle w:val="31"/>
        <w:spacing w:before="240"/>
        <w:ind w:left="360"/>
        <w:outlineLvl w:val="0"/>
        <w:rPr>
          <w:rFonts w:cstheme="minorHAnsi"/>
          <w:lang w:eastAsia="zh-TW"/>
        </w:rPr>
      </w:pPr>
    </w:p>
    <w:p w14:paraId="53F0F4A6">
      <w:pPr>
        <w:pStyle w:val="44"/>
        <w:numPr>
          <w:ilvl w:val="1"/>
          <w:numId w:val="2"/>
        </w:numPr>
        <w:rPr>
          <w:color w:val="7030A0"/>
          <w:lang w:val="en-IN"/>
        </w:rPr>
      </w:pPr>
      <w:r>
        <w:rPr>
          <w:color w:val="7030A0"/>
          <w:lang w:val="en-IN"/>
        </w:rPr>
        <w:t xml:space="preserve">Postoperative follow-up ultrasound findings showed </w:t>
      </w:r>
      <w:r>
        <w:rPr>
          <w:rFonts w:hint="eastAsia"/>
          <w:color w:val="7030A0"/>
          <w:lang w:eastAsia="zh-CN"/>
        </w:rPr>
        <w:t>mild left hydronephrosis</w:t>
      </w:r>
      <w:r>
        <w:rPr>
          <w:color w:val="7030A0"/>
          <w:lang w:eastAsia="zh-CN"/>
        </w:rPr>
        <w:t xml:space="preserve"> at one month follow-up </w:t>
      </w:r>
      <w:r>
        <w:rPr>
          <w:b/>
          <w:bCs/>
          <w:color w:val="7030A0"/>
          <w:lang w:eastAsia="zh-CN"/>
        </w:rPr>
        <w:t>[1]</w:t>
      </w:r>
      <w:r>
        <w:rPr>
          <w:color w:val="7030A0"/>
          <w:lang w:eastAsia="zh-CN"/>
        </w:rPr>
        <w:t xml:space="preserve">. At 5-month follow-up, mild left hydronephrosis with low renal pelvic tension </w:t>
      </w:r>
      <w:r>
        <w:rPr>
          <w:b/>
          <w:bCs/>
          <w:color w:val="7030A0"/>
          <w:lang w:eastAsia="zh-CN"/>
        </w:rPr>
        <w:t>[2]</w:t>
      </w:r>
      <w:r>
        <w:rPr>
          <w:color w:val="7030A0"/>
          <w:lang w:eastAsia="zh-CN"/>
        </w:rPr>
        <w:t xml:space="preserve"> and improved left renal cortical thickness compared with preoperative status were observed </w:t>
      </w:r>
      <w:r>
        <w:rPr>
          <w:b/>
          <w:bCs/>
          <w:color w:val="7030A0"/>
          <w:lang w:eastAsia="zh-CN"/>
        </w:rPr>
        <w:t>[3]</w:t>
      </w:r>
      <w:r>
        <w:rPr>
          <w:color w:val="7030A0"/>
          <w:lang w:eastAsia="zh-CN"/>
        </w:rPr>
        <w:t xml:space="preserve">. </w:t>
      </w:r>
    </w:p>
    <w:p w14:paraId="5DE65DD8">
      <w:pPr>
        <w:pStyle w:val="47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Figure 4A.</w:t>
      </w:r>
    </w:p>
    <w:p w14:paraId="69AB03A1">
      <w:pPr>
        <w:pStyle w:val="47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Figure 4B.</w:t>
      </w:r>
    </w:p>
    <w:p w14:paraId="60B7215C">
      <w:pPr>
        <w:pStyle w:val="47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4C. </w:t>
      </w:r>
    </w:p>
    <w:p w14:paraId="6C87B982">
      <w:pPr>
        <w:pStyle w:val="44"/>
        <w:numPr>
          <w:ilvl w:val="1"/>
          <w:numId w:val="2"/>
        </w:numPr>
        <w:rPr>
          <w:color w:val="7030A0"/>
          <w:lang w:val="en-IN"/>
        </w:rPr>
      </w:pPr>
      <w:r>
        <w:rPr>
          <w:color w:val="7030A0"/>
          <w:lang w:val="en-IN"/>
        </w:rPr>
        <w:t xml:space="preserve">The 9-month follow-up showed </w:t>
      </w:r>
      <w:r>
        <w:rPr>
          <w:rFonts w:hint="eastAsia"/>
          <w:color w:val="7030A0"/>
          <w:lang w:eastAsia="zh-CN"/>
        </w:rPr>
        <w:t>stable left hydronephrosis without evidence of progression</w:t>
      </w:r>
      <w:r>
        <w:rPr>
          <w:color w:val="7030A0"/>
          <w:lang w:eastAsia="zh-CN"/>
        </w:rPr>
        <w:t xml:space="preserve"> </w:t>
      </w:r>
      <w:r>
        <w:rPr>
          <w:b/>
          <w:bCs/>
          <w:color w:val="7030A0"/>
          <w:lang w:eastAsia="zh-CN"/>
        </w:rPr>
        <w:t>[1]</w:t>
      </w:r>
      <w:r>
        <w:rPr>
          <w:color w:val="7030A0"/>
          <w:lang w:eastAsia="zh-CN"/>
        </w:rPr>
        <w:t>.</w:t>
      </w:r>
    </w:p>
    <w:p w14:paraId="2DE4B06E">
      <w:pPr>
        <w:pStyle w:val="47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4D. </w:t>
      </w:r>
    </w:p>
    <w:p w14:paraId="39513DB5">
      <w:pPr>
        <w:pStyle w:val="44"/>
        <w:rPr>
          <w:lang w:val="en-IN"/>
        </w:rPr>
      </w:pPr>
      <w:r>
        <w:rPr>
          <w:highlight w:val="yellow"/>
          <w:lang w:val="en-IN"/>
        </w:rPr>
        <w:t>(</w:t>
      </w:r>
      <w:r>
        <w:rPr>
          <w:b/>
          <w:bCs/>
          <w:highlight w:val="yellow"/>
          <w:lang w:val="en-IN"/>
        </w:rPr>
        <w:t>Authors:</w:t>
      </w:r>
      <w:r>
        <w:rPr>
          <w:highlight w:val="yellow"/>
          <w:lang w:val="en-IN"/>
        </w:rPr>
        <w:t xml:space="preserve"> Please provide these ultrasound images with arrow pointer annotations to effectively show the described changes. Thank you for your help with this.)</w:t>
      </w:r>
    </w:p>
    <w:p w14:paraId="0E18B691">
      <w:pPr>
        <w:pStyle w:val="31"/>
        <w:spacing w:before="120"/>
        <w:ind w:left="360"/>
        <w:contextualSpacing w:val="0"/>
        <w:outlineLvl w:val="0"/>
        <w:rPr>
          <w:rFonts w:cstheme="minorHAnsi"/>
        </w:rPr>
      </w:pPr>
    </w:p>
    <w:p w14:paraId="65209EF5">
      <w:pPr>
        <w:rPr>
          <w:rFonts w:eastAsia="Times New Roman" w:cstheme="minorHAnsi"/>
          <w:sz w:val="52"/>
        </w:rPr>
      </w:pPr>
    </w:p>
    <w:p w14:paraId="00E4DD89">
      <w:pPr>
        <w:rPr>
          <w:rFonts w:cstheme="minorHAnsi"/>
          <w:sz w:val="22"/>
          <w:szCs w:val="22"/>
        </w:rPr>
      </w:pPr>
    </w:p>
    <w:sectPr>
      <w:headerReference r:id="rId3" w:type="default"/>
      <w:footerReference r:id="rId4" w:type="default"/>
      <w:footerReference r:id="rId5" w:type="even"/>
      <w:pgSz w:w="12240" w:h="15840"/>
      <w:pgMar w:top="1800" w:right="1440" w:bottom="1440" w:left="1440" w:header="720" w:footer="576" w:gutter="0"/>
      <w:cols w:space="720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">
    <w:altName w:val="宋体"/>
    <w:panose1 w:val="02020603050405020304"/>
    <w:charset w:val="86"/>
    <w:family w:val="roman"/>
    <w:pitch w:val="default"/>
    <w:sig w:usb0="00000000" w:usb1="00000000" w:usb2="00000009" w:usb3="00000000" w:csb0="000001FF" w:csb1="00000000"/>
  </w:font>
  <w:font w:name="Calibri (Body)">
    <w:altName w:val="Calibri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ucida Grande">
    <w:altName w:val="Segoe UI"/>
    <w:panose1 w:val="00000000000000000000"/>
    <w:charset w:val="00"/>
    <w:family w:val="swiss"/>
    <w:pitch w:val="default"/>
    <w:sig w:usb0="00000000" w:usb1="00000000" w:usb2="00000000" w:usb3="00000000" w:csb0="000001B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GJKHG F+ Helvetica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6ABD70">
    <w:pPr>
      <w:pStyle w:val="10"/>
      <w:tabs>
        <w:tab w:val="right" w:pos="9360"/>
        <w:tab w:val="clear" w:pos="864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>
      <w:rPr>
        <w:rFonts w:cstheme="minorHAnsi"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8"/>
      </w:rPr>
      <w:id w:val="1026840063"/>
      <w:docPartObj>
        <w:docPartGallery w:val="autotext"/>
      </w:docPartObj>
    </w:sdtPr>
    <w:sdtEndPr>
      <w:rPr>
        <w:rStyle w:val="18"/>
      </w:rPr>
    </w:sdtEndPr>
    <w:sdtContent>
      <w:p w14:paraId="5A938141">
        <w:pPr>
          <w:pStyle w:val="10"/>
          <w:framePr w:wrap="auto" w:vAnchor="text" w:hAnchor="margin" w:xAlign="right" w:y="1"/>
          <w:rPr>
            <w:rStyle w:val="18"/>
          </w:rPr>
        </w:pPr>
        <w:r>
          <w:rPr>
            <w:rStyle w:val="18"/>
          </w:rPr>
          <w:fldChar w:fldCharType="begin"/>
        </w:r>
        <w:r>
          <w:rPr>
            <w:rStyle w:val="18"/>
          </w:rPr>
          <w:instrText xml:space="preserve"> PAGE </w:instrText>
        </w:r>
        <w:r>
          <w:rPr>
            <w:rStyle w:val="18"/>
          </w:rPr>
          <w:fldChar w:fldCharType="end"/>
        </w:r>
      </w:p>
    </w:sdtContent>
  </w:sdt>
  <w:p w14:paraId="67D27EA4">
    <w:pPr>
      <w:pStyle w:val="10"/>
      <w:ind w:right="360"/>
    </w:pPr>
  </w:p>
  <w:p w14:paraId="1151463A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024144">
    <w:pPr>
      <w:pStyle w:val="11"/>
      <w:tabs>
        <w:tab w:val="center" w:pos="4680"/>
        <w:tab w:val="clear" w:pos="4320"/>
        <w:tab w:val="clear" w:pos="864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D94BE8"/>
    <w:multiLevelType w:val="multilevel"/>
    <w:tmpl w:val="19D94BE8"/>
    <w:lvl w:ilvl="0" w:tentative="0">
      <w:start w:val="1"/>
      <w:numFmt w:val="bullet"/>
      <w:lvlText w:val=""/>
      <w:lvlJc w:val="left"/>
      <w:pPr>
        <w:ind w:left="81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3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5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7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9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41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3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5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70" w:hanging="360"/>
      </w:pPr>
      <w:rPr>
        <w:rFonts w:hint="default" w:ascii="Wingdings" w:hAnsi="Wingdings"/>
      </w:rPr>
    </w:lvl>
  </w:abstractNum>
  <w:abstractNum w:abstractNumId="1">
    <w:nsid w:val="44B0543F"/>
    <w:multiLevelType w:val="multilevel"/>
    <w:tmpl w:val="44B0543F"/>
    <w:lvl w:ilvl="0" w:tentative="0">
      <w:start w:val="1"/>
      <w:numFmt w:val="bullet"/>
      <w:lvlText w:val=""/>
      <w:lvlJc w:val="left"/>
      <w:pPr>
        <w:ind w:left="81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3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5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7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9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41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3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5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70" w:hanging="360"/>
      </w:pPr>
      <w:rPr>
        <w:rFonts w:hint="default" w:ascii="Wingdings" w:hAnsi="Wingdings"/>
      </w:rPr>
    </w:lvl>
  </w:abstractNum>
  <w:abstractNum w:abstractNumId="2">
    <w:nsid w:val="4DD93927"/>
    <w:multiLevelType w:val="multilevel"/>
    <w:tmpl w:val="4DD93927"/>
    <w:lvl w:ilvl="0" w:tentative="0">
      <w:start w:val="1"/>
      <w:numFmt w:val="decimal"/>
      <w:lvlText w:val="%1.7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687795"/>
    <w:multiLevelType w:val="multilevel"/>
    <w:tmpl w:val="6D68779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Calibri" w:hAnsi="Calibri"/>
        <w:b/>
        <w:i w:val="0"/>
        <w:sz w:val="24"/>
      </w:rPr>
    </w:lvl>
    <w:lvl w:ilvl="1" w:tentative="0">
      <w:start w:val="1"/>
      <w:numFmt w:val="decimal"/>
      <w:lvlText w:val="%1.%2."/>
      <w:lvlJc w:val="left"/>
      <w:pPr>
        <w:ind w:left="907" w:hanging="547"/>
      </w:pPr>
      <w:rPr>
        <w:rFonts w:hint="default" w:ascii="Calibri" w:hAnsi="Calibri"/>
        <w:b w:val="0"/>
        <w:bCs w:val="0"/>
        <w:sz w:val="24"/>
      </w:rPr>
    </w:lvl>
    <w:lvl w:ilvl="2" w:tentative="0">
      <w:start w:val="1"/>
      <w:numFmt w:val="decimal"/>
      <w:lvlText w:val="%1.%2.%3."/>
      <w:lvlJc w:val="left"/>
      <w:pPr>
        <w:ind w:left="1627" w:hanging="720"/>
      </w:pPr>
      <w:rPr>
        <w:rFonts w:hint="default" w:ascii="Calibri" w:hAnsi="Calibri"/>
        <w:sz w:val="24"/>
      </w:rPr>
    </w:lvl>
    <w:lvl w:ilvl="3" w:tentative="0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7449656A"/>
    <w:multiLevelType w:val="multilevel"/>
    <w:tmpl w:val="7449656A"/>
    <w:lvl w:ilvl="0" w:tentative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ocumentProtection w:enforcement="0"/>
  <w:defaultTabStop w:val="720"/>
  <w:displayHorizontalDrawingGridEvery w:val="1"/>
  <w:displayVerticalDrawingGridEvery w:val="1"/>
  <w:doNotUseMarginsForDrawingGridOrigin w:val="1"/>
  <w:drawingGridHorizontalOrigin w:val="1800"/>
  <w:drawingGridVerticalOrigin w:val="1440"/>
  <w:doNotShadeFormData w:val="1"/>
  <w:noPunctuationKerning w:val="1"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352E2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A6585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5FB2"/>
    <w:rsid w:val="005162F4"/>
    <w:rsid w:val="0052184A"/>
    <w:rsid w:val="00524258"/>
    <w:rsid w:val="005301CB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36C6E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D33"/>
    <w:rsid w:val="007B3E0E"/>
    <w:rsid w:val="007B72C5"/>
    <w:rsid w:val="007D4222"/>
    <w:rsid w:val="007D61A8"/>
    <w:rsid w:val="007F2D75"/>
    <w:rsid w:val="007F48D4"/>
    <w:rsid w:val="00802635"/>
    <w:rsid w:val="00803863"/>
    <w:rsid w:val="00804C75"/>
    <w:rsid w:val="00806B1B"/>
    <w:rsid w:val="00817D9F"/>
    <w:rsid w:val="008210F9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5586D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DDE"/>
    <w:rsid w:val="00985F44"/>
    <w:rsid w:val="00987081"/>
    <w:rsid w:val="009901A9"/>
    <w:rsid w:val="00997611"/>
    <w:rsid w:val="009979E7"/>
    <w:rsid w:val="009A0E7C"/>
    <w:rsid w:val="009A2C33"/>
    <w:rsid w:val="009A3CBD"/>
    <w:rsid w:val="009A5B09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E6178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7729"/>
    <w:rsid w:val="00B6201D"/>
    <w:rsid w:val="00B653B7"/>
    <w:rsid w:val="00B66A14"/>
    <w:rsid w:val="00B7250F"/>
    <w:rsid w:val="00B7693A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81197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B769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1ABA"/>
    <w:rsid w:val="00F56A75"/>
    <w:rsid w:val="00F60B45"/>
    <w:rsid w:val="00F60C18"/>
    <w:rsid w:val="00F64FB6"/>
    <w:rsid w:val="00F70331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C776F"/>
    <w:rsid w:val="00FD1497"/>
    <w:rsid w:val="00FE059A"/>
    <w:rsid w:val="00FF34BC"/>
    <w:rsid w:val="00FF6C56"/>
    <w:rsid w:val="00FF754B"/>
    <w:rsid w:val="08BE356A"/>
    <w:rsid w:val="47D06C0B"/>
    <w:rsid w:val="6B16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3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99" w:semiHidden="0" w:name="annotation text"/>
    <w:lsdException w:qFormat="1" w:unhideWhenUsed="0" w:uiPriority="0" w:semiHidden="0" w:name="header"/>
    <w:lsdException w:qFormat="1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99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nhideWhenUsed="0" w:uiPriority="0" w:semiHidden="0" w:name="List Bullet 2"/>
    <w:lsdException w:uiPriority="0" w:name="List Bullet 3"/>
    <w:lsdException w:uiPriority="0" w:name="List Bullet 4"/>
    <w:lsdException w:unhideWhenUsed="0" w:uiPriority="0" w:semiHidden="0" w:name="List Bullet 5"/>
    <w:lsdException w:unhideWhenUsed="0" w:uiPriority="0" w:semiHidden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iPriority="99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iPriority="99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qFormat="1" w:uiPriority="99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qFormat="1" w:unhideWhenUsed="0" w:uiPriority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eastAsia="Times" w:cs="Calibri (Body)" w:asciiTheme="minorHAnsi" w:hAnsiTheme="minorHAnsi"/>
      <w:iCs/>
      <w:color w:val="000000" w:themeColor="text1"/>
      <w:sz w:val="24"/>
      <w:szCs w:val="24"/>
      <w:lang w:val="en-US" w:eastAsia="en-US" w:bidi="ar-SA"/>
      <w14:textFill>
        <w14:solidFill>
          <w14:schemeClr w14:val="tx1"/>
        </w14:solidFill>
      </w14:textFill>
    </w:rPr>
  </w:style>
  <w:style w:type="paragraph" w:styleId="2">
    <w:name w:val="heading 1"/>
    <w:basedOn w:val="1"/>
    <w:next w:val="1"/>
    <w:link w:val="39"/>
    <w:qFormat/>
    <w:uiPriority w:val="0"/>
    <w:pPr>
      <w:keepNext/>
      <w:pBdr>
        <w:bottom w:val="single" w:color="auto" w:sz="4" w:space="1"/>
      </w:pBdr>
      <w:spacing w:after="240"/>
      <w:jc w:val="center"/>
      <w:outlineLvl w:val="0"/>
    </w:pPr>
    <w:rPr>
      <w:rFonts w:eastAsia="Times New Roman"/>
      <w:sz w:val="52"/>
    </w:rPr>
  </w:style>
  <w:style w:type="paragraph" w:styleId="3">
    <w:name w:val="heading 2"/>
    <w:basedOn w:val="1"/>
    <w:next w:val="1"/>
    <w:qFormat/>
    <w:uiPriority w:val="0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9"/>
    <w:unhideWhenUsed/>
    <w:qFormat/>
    <w:uiPriority w:val="99"/>
    <w:rPr>
      <w:lang w:val="zh-CN" w:eastAsia="zh-CN"/>
    </w:rPr>
  </w:style>
  <w:style w:type="paragraph" w:styleId="5">
    <w:name w:val="Body Text 3"/>
    <w:basedOn w:val="1"/>
    <w:link w:val="23"/>
    <w:semiHidden/>
    <w:unhideWhenUsed/>
    <w:qFormat/>
    <w:uiPriority w:val="99"/>
    <w:pPr>
      <w:spacing w:after="120"/>
    </w:pPr>
    <w:rPr>
      <w:sz w:val="16"/>
      <w:szCs w:val="16"/>
      <w:lang w:val="zh-CN" w:eastAsia="zh-CN"/>
    </w:rPr>
  </w:style>
  <w:style w:type="paragraph" w:styleId="6">
    <w:name w:val="Body Text"/>
    <w:basedOn w:val="1"/>
    <w:link w:val="41"/>
    <w:qFormat/>
    <w:uiPriority w:val="0"/>
    <w:rPr>
      <w:i/>
    </w:rPr>
  </w:style>
  <w:style w:type="paragraph" w:styleId="7">
    <w:name w:val="Body Text Indent"/>
    <w:basedOn w:val="1"/>
    <w:link w:val="42"/>
    <w:qFormat/>
    <w:uiPriority w:val="0"/>
    <w:pPr>
      <w:ind w:left="360"/>
      <w:jc w:val="both"/>
    </w:pPr>
  </w:style>
  <w:style w:type="paragraph" w:styleId="8">
    <w:name w:val="Body Text Indent 2"/>
    <w:basedOn w:val="1"/>
    <w:qFormat/>
    <w:uiPriority w:val="0"/>
    <w:pPr>
      <w:ind w:left="720"/>
      <w:jc w:val="both"/>
    </w:pPr>
  </w:style>
  <w:style w:type="paragraph" w:styleId="9">
    <w:name w:val="Balloon Text"/>
    <w:basedOn w:val="1"/>
    <w:semiHidden/>
    <w:qFormat/>
    <w:uiPriority w:val="0"/>
    <w:rPr>
      <w:rFonts w:ascii="Lucida Grande" w:hAnsi="Lucida Grande"/>
      <w:sz w:val="18"/>
      <w:szCs w:val="18"/>
    </w:rPr>
  </w:style>
  <w:style w:type="paragraph" w:styleId="10">
    <w:name w:val="footer"/>
    <w:basedOn w:val="1"/>
    <w:link w:val="24"/>
    <w:unhideWhenUsed/>
    <w:qFormat/>
    <w:uiPriority w:val="99"/>
    <w:pPr>
      <w:tabs>
        <w:tab w:val="center" w:pos="4320"/>
        <w:tab w:val="right" w:pos="8640"/>
      </w:tabs>
    </w:pPr>
    <w:rPr>
      <w:lang w:val="zh-CN" w:eastAsia="zh-CN"/>
    </w:rPr>
  </w:style>
  <w:style w:type="paragraph" w:styleId="11">
    <w:name w:val="header"/>
    <w:basedOn w:val="1"/>
    <w:qFormat/>
    <w:uiPriority w:val="0"/>
    <w:pPr>
      <w:tabs>
        <w:tab w:val="center" w:pos="4320"/>
        <w:tab w:val="right" w:pos="8640"/>
      </w:tabs>
    </w:pPr>
  </w:style>
  <w:style w:type="paragraph" w:styleId="12">
    <w:name w:val="Body Text 2"/>
    <w:basedOn w:val="1"/>
    <w:qFormat/>
    <w:uiPriority w:val="0"/>
    <w:rPr>
      <w:sz w:val="32"/>
      <w:lang w:eastAsia="zh-TW"/>
    </w:rPr>
  </w:style>
  <w:style w:type="paragraph" w:styleId="13">
    <w:name w:val="Normal (Web)"/>
    <w:basedOn w:val="1"/>
    <w:qFormat/>
    <w:uiPriority w:val="0"/>
    <w:pPr>
      <w:widowControl w:val="0"/>
      <w:spacing w:beforeAutospacing="1" w:afterAutospacing="1"/>
    </w:pPr>
    <w:rPr>
      <w:rFonts w:ascii="Calibri" w:hAnsi="Calibri" w:eastAsia="Calibri" w:cs="Times New Roman"/>
      <w:iCs w:val="0"/>
      <w:color w:val="auto"/>
      <w:lang w:eastAsia="zh-CN"/>
    </w:rPr>
  </w:style>
  <w:style w:type="paragraph" w:styleId="14">
    <w:name w:val="annotation subject"/>
    <w:basedOn w:val="4"/>
    <w:next w:val="4"/>
    <w:link w:val="30"/>
    <w:semiHidden/>
    <w:unhideWhenUsed/>
    <w:qFormat/>
    <w:uiPriority w:val="99"/>
    <w:rPr>
      <w:b/>
      <w:bCs/>
    </w:r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page number"/>
    <w:basedOn w:val="16"/>
    <w:qFormat/>
    <w:uiPriority w:val="0"/>
  </w:style>
  <w:style w:type="character" w:styleId="19">
    <w:name w:val="FollowedHyperlink"/>
    <w:semiHidden/>
    <w:unhideWhenUsed/>
    <w:qFormat/>
    <w:uiPriority w:val="99"/>
    <w:rPr>
      <w:color w:val="800080"/>
      <w:u w:val="single"/>
    </w:rPr>
  </w:style>
  <w:style w:type="character" w:styleId="20">
    <w:name w:val="Emphasis"/>
    <w:qFormat/>
    <w:uiPriority w:val="0"/>
    <w:rPr>
      <w:i/>
    </w:rPr>
  </w:style>
  <w:style w:type="character" w:styleId="21">
    <w:name w:val="Hyperlink"/>
    <w:unhideWhenUsed/>
    <w:qFormat/>
    <w:uiPriority w:val="99"/>
    <w:rPr>
      <w:color w:val="0000FF"/>
      <w:u w:val="single"/>
    </w:rPr>
  </w:style>
  <w:style w:type="character" w:styleId="22">
    <w:name w:val="annotation reference"/>
    <w:semiHidden/>
    <w:unhideWhenUsed/>
    <w:qFormat/>
    <w:uiPriority w:val="99"/>
    <w:rPr>
      <w:sz w:val="18"/>
      <w:szCs w:val="18"/>
    </w:rPr>
  </w:style>
  <w:style w:type="character" w:customStyle="1" w:styleId="23">
    <w:name w:val="Body Text 3 Char"/>
    <w:link w:val="5"/>
    <w:semiHidden/>
    <w:qFormat/>
    <w:uiPriority w:val="99"/>
    <w:rPr>
      <w:sz w:val="16"/>
      <w:szCs w:val="16"/>
    </w:rPr>
  </w:style>
  <w:style w:type="character" w:customStyle="1" w:styleId="24">
    <w:name w:val="Footer Char"/>
    <w:link w:val="10"/>
    <w:qFormat/>
    <w:uiPriority w:val="99"/>
    <w:rPr>
      <w:sz w:val="24"/>
    </w:rPr>
  </w:style>
  <w:style w:type="paragraph" w:customStyle="1" w:styleId="25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Times New Roman" w:cs="GJKHG F+ Helvetica"/>
      <w:iCs/>
      <w:color w:val="000000"/>
      <w:sz w:val="24"/>
      <w:szCs w:val="24"/>
      <w:lang w:val="en-US" w:eastAsia="en-US" w:bidi="ar-SA"/>
    </w:rPr>
  </w:style>
  <w:style w:type="character" w:customStyle="1" w:styleId="26">
    <w:name w:val="Header Char"/>
    <w:basedOn w:val="16"/>
    <w:qFormat/>
    <w:uiPriority w:val="0"/>
  </w:style>
  <w:style w:type="character" w:customStyle="1" w:styleId="27">
    <w:name w:val="Book Title"/>
    <w:basedOn w:val="16"/>
    <w:qFormat/>
    <w:uiPriority w:val="0"/>
    <w:rPr>
      <w:rFonts w:ascii="Calibri" w:hAnsi="Calibri"/>
      <w:b/>
      <w:bCs/>
      <w:i/>
      <w:spacing w:val="5"/>
    </w:rPr>
  </w:style>
  <w:style w:type="paragraph" w:customStyle="1" w:styleId="28">
    <w:name w:val="TEXT OVER VIDEO"/>
    <w:basedOn w:val="1"/>
    <w:qFormat/>
    <w:uiPriority w:val="0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29">
    <w:name w:val="Comment Text Char"/>
    <w:link w:val="4"/>
    <w:qFormat/>
    <w:uiPriority w:val="99"/>
    <w:rPr>
      <w:sz w:val="24"/>
      <w:szCs w:val="24"/>
    </w:rPr>
  </w:style>
  <w:style w:type="character" w:customStyle="1" w:styleId="30">
    <w:name w:val="Comment Subject Char"/>
    <w:link w:val="14"/>
    <w:semiHidden/>
    <w:qFormat/>
    <w:uiPriority w:val="99"/>
    <w:rPr>
      <w:b/>
      <w:bCs/>
      <w:sz w:val="24"/>
      <w:szCs w:val="24"/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paragraph" w:customStyle="1" w:styleId="32">
    <w:name w:val="Revision"/>
    <w:hidden/>
    <w:semiHidden/>
    <w:qFormat/>
    <w:uiPriority w:val="0"/>
    <w:rPr>
      <w:rFonts w:eastAsia="Times" w:cs="Calibri (Body)" w:asciiTheme="minorHAnsi" w:hAnsiTheme="minorHAnsi"/>
      <w:iCs/>
      <w:color w:val="000000" w:themeColor="text1"/>
      <w:sz w:val="24"/>
      <w:szCs w:val="24"/>
      <w:lang w:val="en-US" w:eastAsia="en-US" w:bidi="ar-SA"/>
      <w14:textFill>
        <w14:solidFill>
          <w14:schemeClr w14:val="tx1"/>
        </w14:solidFill>
      </w14:textFill>
    </w:rPr>
  </w:style>
  <w:style w:type="character" w:customStyle="1" w:styleId="33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4">
    <w:name w:val="ArticleTitle"/>
    <w:basedOn w:val="16"/>
    <w:qFormat/>
    <w:uiPriority w:val="1"/>
    <w:rPr>
      <w:rFonts w:asciiTheme="minorHAnsi" w:hAnsiTheme="minorHAnsi"/>
      <w:b/>
      <w:sz w:val="32"/>
    </w:rPr>
  </w:style>
  <w:style w:type="character" w:styleId="35">
    <w:name w:val="Placeholder Text"/>
    <w:basedOn w:val="16"/>
    <w:semiHidden/>
    <w:qFormat/>
    <w:uiPriority w:val="0"/>
    <w:rPr>
      <w:color w:val="808080"/>
    </w:rPr>
  </w:style>
  <w:style w:type="character" w:customStyle="1" w:styleId="36">
    <w:name w:val="QuestionAnswer"/>
    <w:basedOn w:val="16"/>
    <w:qFormat/>
    <w:uiPriority w:val="1"/>
    <w:rPr>
      <w:rFonts w:ascii="Calibri" w:hAnsi="Calibri"/>
      <w:b/>
      <w:sz w:val="24"/>
    </w:rPr>
  </w:style>
  <w:style w:type="character" w:customStyle="1" w:styleId="37">
    <w:name w:val="BoldAnswer"/>
    <w:basedOn w:val="16"/>
    <w:qFormat/>
    <w:uiPriority w:val="1"/>
    <w:rPr>
      <w:rFonts w:ascii="Calibri" w:hAnsi="Calibri"/>
      <w:b/>
      <w:sz w:val="24"/>
    </w:rPr>
  </w:style>
  <w:style w:type="character" w:customStyle="1" w:styleId="38">
    <w:name w:val="Vid"/>
    <w:basedOn w:val="16"/>
    <w:qFormat/>
    <w:uiPriority w:val="1"/>
    <w:rPr>
      <w:rFonts w:asciiTheme="minorHAnsi" w:hAnsiTheme="minorHAnsi" w:cstheme="minorHAnsi"/>
      <w:i/>
      <w:color w:val="0070C0"/>
    </w:rPr>
  </w:style>
  <w:style w:type="character" w:customStyle="1" w:styleId="39">
    <w:name w:val="Heading 1 Char"/>
    <w:basedOn w:val="16"/>
    <w:link w:val="2"/>
    <w:qFormat/>
    <w:uiPriority w:val="0"/>
    <w:rPr>
      <w:rFonts w:ascii="Calibri" w:hAnsi="Calibri" w:eastAsia="Times New Roman"/>
      <w:sz w:val="52"/>
      <w:szCs w:val="24"/>
    </w:rPr>
  </w:style>
  <w:style w:type="character" w:customStyle="1" w:styleId="40">
    <w:name w:val="AuthorName"/>
    <w:basedOn w:val="16"/>
    <w:qFormat/>
    <w:uiPriority w:val="1"/>
    <w:rPr>
      <w:rFonts w:ascii="Calibri" w:hAnsi="Calibri" w:eastAsia="Times New Roman" w:cs="Calibri"/>
      <w:b/>
      <w:szCs w:val="24"/>
      <w:u w:val="single"/>
    </w:rPr>
  </w:style>
  <w:style w:type="character" w:customStyle="1" w:styleId="41">
    <w:name w:val="Body Text Char"/>
    <w:basedOn w:val="16"/>
    <w:link w:val="6"/>
    <w:qFormat/>
    <w:uiPriority w:val="0"/>
    <w:rPr>
      <w:rFonts w:ascii="Calibri" w:hAnsi="Calibri"/>
      <w:i/>
      <w:sz w:val="24"/>
    </w:rPr>
  </w:style>
  <w:style w:type="character" w:customStyle="1" w:styleId="42">
    <w:name w:val="Body Text Indent Char"/>
    <w:basedOn w:val="16"/>
    <w:link w:val="7"/>
    <w:qFormat/>
    <w:uiPriority w:val="0"/>
    <w:rPr>
      <w:rFonts w:asciiTheme="minorHAnsi" w:hAnsiTheme="minorHAnsi"/>
      <w:sz w:val="24"/>
    </w:rPr>
  </w:style>
  <w:style w:type="paragraph" w:customStyle="1" w:styleId="43">
    <w:name w:val="Narration"/>
    <w:basedOn w:val="44"/>
    <w:link w:val="45"/>
    <w:qFormat/>
    <w:uiPriority w:val="0"/>
    <w:rPr>
      <w:rFonts w:cs="Calibri"/>
      <w:color w:val="7030A0"/>
      <w:lang w:val="en-GB"/>
    </w:rPr>
  </w:style>
  <w:style w:type="paragraph" w:customStyle="1" w:styleId="44">
    <w:name w:val="Template Narration"/>
    <w:basedOn w:val="31"/>
    <w:link w:val="49"/>
    <w:qFormat/>
    <w:uiPriority w:val="0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character" w:customStyle="1" w:styleId="45">
    <w:name w:val="Narration Char"/>
    <w:basedOn w:val="16"/>
    <w:link w:val="43"/>
    <w:qFormat/>
    <w:uiPriority w:val="0"/>
    <w:rPr>
      <w:rFonts w:ascii="Calibri" w:hAnsi="Calibri" w:cs="Calibri"/>
      <w:color w:val="7030A0"/>
      <w:lang w:val="en-GB"/>
    </w:rPr>
  </w:style>
  <w:style w:type="paragraph" w:customStyle="1" w:styleId="46">
    <w:name w:val="Shot Description"/>
    <w:basedOn w:val="47"/>
    <w:link w:val="48"/>
    <w:qFormat/>
    <w:uiPriority w:val="0"/>
    <w:rPr>
      <w:rFonts w:cs="Calibri"/>
    </w:rPr>
  </w:style>
  <w:style w:type="paragraph" w:customStyle="1" w:styleId="47">
    <w:name w:val="Template Shot"/>
    <w:basedOn w:val="31"/>
    <w:qFormat/>
    <w:uiPriority w:val="0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48">
    <w:name w:val="Shot Description Char"/>
    <w:basedOn w:val="16"/>
    <w:link w:val="46"/>
    <w:qFormat/>
    <w:uiPriority w:val="0"/>
    <w:rPr>
      <w:rFonts w:ascii="Calibri" w:hAnsi="Calibri" w:cs="Calibri"/>
    </w:rPr>
  </w:style>
  <w:style w:type="character" w:customStyle="1" w:styleId="49">
    <w:name w:val="Template Narration Char"/>
    <w:basedOn w:val="16"/>
    <w:link w:val="44"/>
    <w:qFormat/>
    <w:uiPriority w:val="0"/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glossaryDocument" Target="glossary/document.xml"/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FA3B8336382D449FA0A5B8AA3E36D9A2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27B6F2D-3207-4A85-9DD4-D02B23940677}"/>
      </w:docPartPr>
      <w:docPartBody>
        <w:p w14:paraId="536C0A15">
          <w:pPr>
            <w:pStyle w:val="7"/>
          </w:pPr>
          <w:r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97DE0B1-2C6E-40F3-943A-3202FF6BB8DE}"/>
      </w:docPartPr>
      <w:docPartBody>
        <w:p w14:paraId="3AB4ED8B">
          <w:pPr>
            <w:pStyle w:val="8"/>
          </w:pPr>
          <w:r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4ED096B7FAB4A4DB687AD3FD3CDE683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553D023-9D6D-4341-AC2F-04103F2822E2}"/>
      </w:docPartPr>
      <w:docPartBody>
        <w:p w14:paraId="121FAFD2">
          <w:pPr>
            <w:pStyle w:val="23"/>
          </w:pPr>
          <w:r>
            <w:rPr>
              <w:rFonts w:eastAsia="Times New Roman" w:cstheme="minorHAnsi"/>
              <w:color w:val="808080"/>
              <w:shd w:val="clear" w:color="auto" w:fill="FFFF00"/>
            </w:rPr>
            <w:t>Enter full author name.</w:t>
          </w:r>
        </w:p>
      </w:docPartBody>
    </w:docPart>
    <w:docPart>
      <w:docPartPr>
        <w:name w:val="376E5E0421B7443BA2DAA9D8F2BCF503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E4DE393-762A-4759-BEE8-B4CF06A33B15}"/>
      </w:docPartPr>
      <w:docPartBody>
        <w:p w14:paraId="798CCE50">
          <w:pPr>
            <w:pStyle w:val="25"/>
          </w:pPr>
          <w:r>
            <w:rPr>
              <w:rFonts w:eastAsia="Times New Roman" w:cstheme="minorHAnsi"/>
              <w:color w:val="808080"/>
              <w:shd w:val="clear" w:color="auto" w:fill="FFFF00"/>
            </w:rPr>
            <w:t>Enter full author name</w:t>
          </w:r>
        </w:p>
      </w:docPartBody>
    </w:docPart>
    <w:docPart>
      <w:docPartPr>
        <w:name w:val="38505937A9AC4BCC9A0F8F7E5B40EACF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CC2A443-F672-41C5-874D-2A191C90ED73}"/>
      </w:docPartPr>
      <w:docPartBody>
        <w:p w14:paraId="4DF53CAA">
          <w:pPr>
            <w:pStyle w:val="27"/>
          </w:pPr>
          <w:r>
            <w:rPr>
              <w:rFonts w:eastAsia="Times New Roman" w:cstheme="minorHAnsi"/>
              <w:color w:val="808080"/>
              <w:shd w:val="clear" w:color="auto" w:fill="FFFF00"/>
            </w:rPr>
            <w:t>Enter full author name</w:t>
          </w:r>
        </w:p>
      </w:docPartBody>
    </w:docPart>
    <w:docPart>
      <w:docPartPr>
        <w:name w:val="61CE8B82A7F64BBB90E6407AAB0CAA41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909A256-1964-4B26-9961-1869B7C820DA}"/>
      </w:docPartPr>
      <w:docPartBody>
        <w:p w14:paraId="27FBE360">
          <w:pPr>
            <w:pStyle w:val="29"/>
          </w:pPr>
          <w:r>
            <w:rPr>
              <w:rFonts w:eastAsia="Times New Roman" w:cstheme="minorHAnsi"/>
              <w:color w:val="808080"/>
              <w:shd w:val="clear" w:color="auto" w:fill="FFFF00"/>
            </w:rPr>
            <w:t>Enter full author name</w:t>
          </w:r>
        </w:p>
      </w:docPartBody>
    </w:docPart>
    <w:docPart>
      <w:docPartPr>
        <w:name w:val="B9618B9EDF6E437194E61896BF2FB77D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414737D-3319-408B-8CAC-A809F26FE59E}"/>
      </w:docPartPr>
      <w:docPartBody>
        <w:p w14:paraId="3AAD2AE4">
          <w:pPr>
            <w:pStyle w:val="31"/>
          </w:pPr>
          <w:r>
            <w:rPr>
              <w:rFonts w:eastAsia="Times New Roman" w:cstheme="minorHAnsi"/>
              <w:color w:val="808080"/>
              <w:shd w:val="clear" w:color="auto" w:fill="FFFF00"/>
            </w:rPr>
            <w:t>Enter full author name</w:t>
          </w:r>
        </w:p>
      </w:docPartBody>
    </w:docPart>
    <w:docPart>
      <w:docPartPr>
        <w:name w:val="BF4E848DEA2E455DA0F9F90192445676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751C33B-2831-4189-81F1-7999E282C8C4}"/>
      </w:docPartPr>
      <w:docPartBody>
        <w:p w14:paraId="0A6EBF41">
          <w:pPr>
            <w:pStyle w:val="33"/>
          </w:pPr>
          <w:r>
            <w:rPr>
              <w:rFonts w:eastAsia="Times New Roman" w:cstheme="minorHAnsi"/>
              <w:color w:val="808080"/>
              <w:shd w:val="clear" w:color="auto" w:fill="FFFF00"/>
            </w:rPr>
            <w:t>Enter full author name</w:t>
          </w:r>
        </w:p>
      </w:docPartBody>
    </w:docPart>
    <w:docPart>
      <w:docPartPr>
        <w:name w:val="0324AED6D5FF4A5B9F1AF04BF0EC5DE7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41D0FD8-9479-4C58-83D6-717589B4EE48}"/>
      </w:docPartPr>
      <w:docPartBody>
        <w:p w14:paraId="78CA9EC9">
          <w:pPr>
            <w:pStyle w:val="35"/>
          </w:pPr>
          <w:r>
            <w:rPr>
              <w:rFonts w:eastAsia="Times New Roman" w:cstheme="minorHAnsi"/>
              <w:color w:val="808080"/>
              <w:shd w:val="clear" w:color="auto" w:fill="FFFF00"/>
            </w:rPr>
            <w:t>Enter full author name</w:t>
          </w:r>
        </w:p>
      </w:docPartBody>
    </w:docPart>
    <w:docPart>
      <w:docPartPr>
        <w:name w:val="EE9DE94319A74D009E1C8518E6FB4B76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D62AF7C-875A-4C9D-95B6-2BFBAC2FA292}"/>
      </w:docPartPr>
      <w:docPartBody>
        <w:p w14:paraId="42BBC401">
          <w:pPr>
            <w:pStyle w:val="38"/>
          </w:pPr>
          <w:r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E67"/>
    <w:rsid w:val="00026789"/>
    <w:rsid w:val="000300AB"/>
    <w:rsid w:val="00070497"/>
    <w:rsid w:val="00080902"/>
    <w:rsid w:val="00094D84"/>
    <w:rsid w:val="000C0A2C"/>
    <w:rsid w:val="000F2B8E"/>
    <w:rsid w:val="00186680"/>
    <w:rsid w:val="001F6C86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A5A87"/>
    <w:rsid w:val="004F4925"/>
    <w:rsid w:val="00510F54"/>
    <w:rsid w:val="00515FB2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D484D"/>
    <w:rsid w:val="008E1230"/>
    <w:rsid w:val="008F498E"/>
    <w:rsid w:val="00907CCA"/>
    <w:rsid w:val="009333F9"/>
    <w:rsid w:val="00937B16"/>
    <w:rsid w:val="009635FA"/>
    <w:rsid w:val="00985DDE"/>
    <w:rsid w:val="009F5127"/>
    <w:rsid w:val="00A3565A"/>
    <w:rsid w:val="00A464FD"/>
    <w:rsid w:val="00A4768E"/>
    <w:rsid w:val="00A5699C"/>
    <w:rsid w:val="00A74D32"/>
    <w:rsid w:val="00A93353"/>
    <w:rsid w:val="00AA0920"/>
    <w:rsid w:val="00AB4C13"/>
    <w:rsid w:val="00AE3AC6"/>
    <w:rsid w:val="00AE4A0C"/>
    <w:rsid w:val="00AF3EB7"/>
    <w:rsid w:val="00B1083B"/>
    <w:rsid w:val="00B20F8B"/>
    <w:rsid w:val="00B57729"/>
    <w:rsid w:val="00B9583C"/>
    <w:rsid w:val="00BA79A4"/>
    <w:rsid w:val="00BC264F"/>
    <w:rsid w:val="00BE41A6"/>
    <w:rsid w:val="00BE7565"/>
    <w:rsid w:val="00C931BB"/>
    <w:rsid w:val="00CB5D71"/>
    <w:rsid w:val="00CB754D"/>
    <w:rsid w:val="00CE402E"/>
    <w:rsid w:val="00CF0A70"/>
    <w:rsid w:val="00D2190A"/>
    <w:rsid w:val="00D332AD"/>
    <w:rsid w:val="00D75ED4"/>
    <w:rsid w:val="00DA10A3"/>
    <w:rsid w:val="00DA55E8"/>
    <w:rsid w:val="00DB15BE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77A9C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uiPriority="99" w:name="Normal Table"/>
    <w:lsdException w:qFormat="1" w:unhideWhenUsed="0" w:uiPriority="0" w:name="Placeholder Text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0"/>
    <w:rPr>
      <w:color w:val="808080"/>
    </w:rPr>
  </w:style>
  <w:style w:type="paragraph" w:customStyle="1" w:styleId="5">
    <w:name w:val="ED42545D3E612540A099E35CCBECFED52"/>
    <w:qFormat/>
    <w:uiPriority w:val="0"/>
    <w:rPr>
      <w:rFonts w:eastAsia="Times" w:cs="Calibri (Body)" w:asciiTheme="minorHAnsi" w:hAnsiTheme="minorHAnsi"/>
      <w:iCs/>
      <w:color w:val="000000" w:themeColor="text1"/>
      <w:sz w:val="24"/>
      <w:szCs w:val="24"/>
      <w:lang w:val="en-US" w:eastAsia="en-US" w:bidi="ar-SA"/>
      <w14:textFill>
        <w14:solidFill>
          <w14:schemeClr w14:val="tx1"/>
        </w14:solidFill>
      </w14:textFill>
    </w:rPr>
  </w:style>
  <w:style w:type="paragraph" w:customStyle="1" w:styleId="6">
    <w:name w:val="59F47C69DF64844CB1DBB3B0466B73122"/>
    <w:qFormat/>
    <w:uiPriority w:val="0"/>
    <w:rPr>
      <w:rFonts w:eastAsia="Times" w:cs="Calibri (Body)" w:asciiTheme="minorHAnsi" w:hAnsiTheme="minorHAnsi"/>
      <w:iCs/>
      <w:color w:val="000000" w:themeColor="text1"/>
      <w:sz w:val="24"/>
      <w:szCs w:val="24"/>
      <w:lang w:val="en-US" w:eastAsia="en-US" w:bidi="ar-SA"/>
      <w14:textFill>
        <w14:solidFill>
          <w14:schemeClr w14:val="tx1"/>
        </w14:solidFill>
      </w14:textFill>
    </w:rPr>
  </w:style>
  <w:style w:type="paragraph" w:customStyle="1" w:styleId="7">
    <w:name w:val="FA3B8336382D449FA0A5B8AA3E36D9A22"/>
    <w:qFormat/>
    <w:uiPriority w:val="0"/>
    <w:pPr>
      <w:ind w:left="720"/>
      <w:contextualSpacing/>
    </w:pPr>
    <w:rPr>
      <w:rFonts w:eastAsia="Times" w:cs="Calibri (Body)" w:asciiTheme="minorHAnsi" w:hAnsiTheme="minorHAnsi"/>
      <w:iCs/>
      <w:color w:val="000000" w:themeColor="text1"/>
      <w:sz w:val="24"/>
      <w:szCs w:val="24"/>
      <w:lang w:val="en-US" w:eastAsia="en-US" w:bidi="ar-SA"/>
      <w14:textFill>
        <w14:solidFill>
          <w14:schemeClr w14:val="tx1"/>
        </w14:solidFill>
      </w14:textFill>
    </w:rPr>
  </w:style>
  <w:style w:type="paragraph" w:customStyle="1" w:styleId="8">
    <w:name w:val="88FE67F0035D4E5B89056B72FD6616C92"/>
    <w:qFormat/>
    <w:uiPriority w:val="0"/>
    <w:pPr>
      <w:ind w:left="720"/>
      <w:contextualSpacing/>
    </w:pPr>
    <w:rPr>
      <w:rFonts w:eastAsia="Times" w:cs="Calibri (Body)" w:asciiTheme="minorHAnsi" w:hAnsiTheme="minorHAnsi"/>
      <w:iCs/>
      <w:color w:val="000000" w:themeColor="text1"/>
      <w:sz w:val="24"/>
      <w:szCs w:val="24"/>
      <w:lang w:val="en-US" w:eastAsia="en-US" w:bidi="ar-SA"/>
      <w14:textFill>
        <w14:solidFill>
          <w14:schemeClr w14:val="tx1"/>
        </w14:solidFill>
      </w14:textFill>
    </w:rPr>
  </w:style>
  <w:style w:type="paragraph" w:customStyle="1" w:styleId="9">
    <w:name w:val="EC727CA8CD754DE399B3225B3571D1D3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10">
    <w:name w:val="88B00D6EC8E24A03A52936E7242FBAF1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11">
    <w:name w:val="3CD6013B08B3489487178AC6A6792864"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12">
    <w:name w:val="441D340B762F40D28D48AEBB93660A62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13">
    <w:name w:val="C9727DB3B2654ADEA81B21B9B1532A45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14">
    <w:name w:val="1C49B76971F04497919154A2782E015B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15">
    <w:name w:val="139825C17F1942C5AD894A3A765209CB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16">
    <w:name w:val="CFF1F30756344791B263E32820F9D368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17">
    <w:name w:val="0442ED97FB3144DB8A29660CFCE7D005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18">
    <w:name w:val="86D7A1CD73054E7688AFC8F80B819DF8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19">
    <w:name w:val="D55C3FD1DDE94AECBEDDEB78CEA7DDFB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20">
    <w:name w:val="CD0BFC9FAFF145DDA5F1046E8A6A49F8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21">
    <w:name w:val="A71F1CB9F0D14978839B98FE8109F057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22">
    <w:name w:val="BD13AD436203493FB22964C793255B59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23">
    <w:name w:val="74ED096B7FAB4A4DB687AD3FD3CDE683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24">
    <w:name w:val="C162FA8982004F0BA6DE1E3E14B1C67C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25">
    <w:name w:val="376E5E0421B7443BA2DAA9D8F2BCF503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26">
    <w:name w:val="ADFA97C73A8149C48157DB749FE07AB8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27">
    <w:name w:val="38505937A9AC4BCC9A0F8F7E5B40EACF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28">
    <w:name w:val="E39C730C6C944C23B53DC7CC95044018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29">
    <w:name w:val="61CE8B82A7F64BBB90E6407AAB0CAA41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30">
    <w:name w:val="535FD570703B4A1EBEB74D064FCAAB78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31">
    <w:name w:val="B9618B9EDF6E437194E61896BF2FB77D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32">
    <w:name w:val="10D26EC94C724A208DF5AF8E1B216200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33">
    <w:name w:val="BF4E848DEA2E455DA0F9F90192445676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34">
    <w:name w:val="E98EC4D5909F49959DA363CB60C4DEF1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35">
    <w:name w:val="0324AED6D5FF4A5B9F1AF04BF0EC5DE7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36">
    <w:name w:val="AF9AEB3D5EA24E4A8B660A95DC9917BE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37">
    <w:name w:val="F369C76A79A845A4B545533309361A49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38">
    <w:name w:val="EE9DE94319A74D009E1C8518E6FB4B76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</w:style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UC Irvine</Company>
  <Pages>9</Pages>
  <Words>1627</Words>
  <Characters>10390</Characters>
  <Lines>96</Lines>
  <Paragraphs>27</Paragraphs>
  <TotalTime>104</TotalTime>
  <ScaleCrop>false</ScaleCrop>
  <LinksUpToDate>false</LinksUpToDate>
  <CharactersWithSpaces>11938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2023-06-29T06:34:00Z</dcterms:created>
  <dc:creator>Microsoft Office User</dc:creator>
  <cp:lastModifiedBy>lgj</cp:lastModifiedBy>
  <dcterms:modified xsi:type="dcterms:W3CDTF">2026-06-30T14:27:35Z</dcterms:modified>
  <dc:title>Name:                                                                                                                 Title of</dc:title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TemplateDocerSaveRecord">
    <vt:lpwstr>eyJoZGlkIjoiN2YzNjBkOTgyNWQ1YTMxYzM3MzMwNWFiODNmOWIzYWMiLCJ1c2VySWQiOiIzNzAyMjQ0MjYifQ==</vt:lpwstr>
  </property>
  <property fmtid="{D5CDD505-2E9C-101B-9397-08002B2CF9AE}" pid="4" name="KSOProductBuildVer">
    <vt:lpwstr>2052-12.1.0.26375</vt:lpwstr>
  </property>
  <property fmtid="{D5CDD505-2E9C-101B-9397-08002B2CF9AE}" pid="5" name="ICV">
    <vt:lpwstr>47715E7F181A413DA641CDDE129F5E80_12</vt:lpwstr>
  </property>
</Properties>
</file>