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0432C" w14:textId="77777777"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b/>
          <w:bCs/>
          <w:sz w:val="24"/>
          <w:szCs w:val="24"/>
        </w:rPr>
        <w:t>TITLE:</w:t>
      </w:r>
      <w:r w:rsidRPr="000B2233">
        <w:rPr>
          <w:rFonts w:ascii="Calibri" w:eastAsia="Calibri" w:hAnsi="Calibri" w:cs="Calibri"/>
          <w:sz w:val="24"/>
          <w:szCs w:val="24"/>
        </w:rPr>
        <w:t xml:space="preserve"> </w:t>
      </w:r>
    </w:p>
    <w:p w14:paraId="35A0F4F5" w14:textId="6B838F0A" w:rsidR="002865A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In Vivo Phenotyping of Dopaminergic Neurodegeneration in Zebrafish Larvae Using Behavioral Analysis and High-Content Imaging</w:t>
      </w:r>
    </w:p>
    <w:p w14:paraId="752A1DF9" w14:textId="77777777" w:rsidR="002865A8" w:rsidRPr="000B2233" w:rsidRDefault="002865A8" w:rsidP="000B2233">
      <w:pPr>
        <w:spacing w:line="0" w:lineRule="atLeast"/>
        <w:jc w:val="both"/>
        <w:rPr>
          <w:rFonts w:ascii="Calibri" w:eastAsia="Calibri" w:hAnsi="Calibri" w:cs="Calibri"/>
          <w:sz w:val="24"/>
          <w:szCs w:val="24"/>
        </w:rPr>
      </w:pPr>
    </w:p>
    <w:p w14:paraId="2F5FB2D2" w14:textId="4CEAFB8D" w:rsidR="00903C98" w:rsidRPr="000B2233" w:rsidRDefault="00645839" w:rsidP="000B2233">
      <w:pPr>
        <w:spacing w:line="0" w:lineRule="atLeast"/>
        <w:jc w:val="both"/>
        <w:rPr>
          <w:rFonts w:ascii="Calibri" w:eastAsia="Calibri" w:hAnsi="Calibri" w:cs="Calibri"/>
          <w:b/>
          <w:bCs/>
          <w:sz w:val="24"/>
          <w:szCs w:val="24"/>
        </w:rPr>
      </w:pPr>
      <w:r w:rsidRPr="000B2233">
        <w:rPr>
          <w:rFonts w:ascii="Calibri" w:eastAsia="Calibri" w:hAnsi="Calibri" w:cs="Calibri"/>
          <w:b/>
          <w:bCs/>
          <w:sz w:val="24"/>
          <w:szCs w:val="24"/>
        </w:rPr>
        <w:t xml:space="preserve">AUTHORS </w:t>
      </w:r>
      <w:r w:rsidR="002865A8" w:rsidRPr="000B2233">
        <w:rPr>
          <w:rFonts w:ascii="Calibri" w:eastAsia="Calibri" w:hAnsi="Calibri" w:cs="Calibri"/>
          <w:b/>
          <w:bCs/>
          <w:sz w:val="24"/>
          <w:szCs w:val="24"/>
        </w:rPr>
        <w:t>AND</w:t>
      </w:r>
      <w:r w:rsidRPr="000B2233">
        <w:rPr>
          <w:rFonts w:ascii="Calibri" w:eastAsia="Calibri" w:hAnsi="Calibri" w:cs="Calibri"/>
          <w:b/>
          <w:bCs/>
          <w:sz w:val="24"/>
          <w:szCs w:val="24"/>
        </w:rPr>
        <w:t xml:space="preserve"> AFFILIATIONS: </w:t>
      </w:r>
    </w:p>
    <w:p w14:paraId="055BF5D7" w14:textId="327B41FE"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Zoey He</w:t>
      </w:r>
      <w:r w:rsidRPr="000B2233">
        <w:rPr>
          <w:rFonts w:ascii="Calibri" w:eastAsia="Calibri" w:hAnsi="Calibri" w:cs="Calibri"/>
          <w:sz w:val="24"/>
          <w:szCs w:val="24"/>
          <w:vertAlign w:val="superscript"/>
        </w:rPr>
        <w:t>1,2</w:t>
      </w:r>
      <w:r w:rsidRPr="000B2233">
        <w:rPr>
          <w:rFonts w:ascii="Calibri" w:eastAsia="Calibri" w:hAnsi="Calibri" w:cs="Calibri"/>
          <w:sz w:val="24"/>
          <w:szCs w:val="24"/>
        </w:rPr>
        <w:t>, Ethan Chen</w:t>
      </w:r>
      <w:r w:rsidRPr="000B2233">
        <w:rPr>
          <w:rFonts w:ascii="Calibri" w:eastAsia="Calibri" w:hAnsi="Calibri" w:cs="Calibri"/>
          <w:sz w:val="24"/>
          <w:szCs w:val="24"/>
          <w:vertAlign w:val="superscript"/>
        </w:rPr>
        <w:t>1,2</w:t>
      </w:r>
      <w:r w:rsidRPr="000B2233">
        <w:rPr>
          <w:rFonts w:ascii="Calibri" w:eastAsia="Calibri" w:hAnsi="Calibri" w:cs="Calibri"/>
          <w:sz w:val="24"/>
          <w:szCs w:val="24"/>
        </w:rPr>
        <w:t>, Kira Yu</w:t>
      </w:r>
      <w:r w:rsidRPr="000B2233">
        <w:rPr>
          <w:rFonts w:ascii="Calibri" w:eastAsia="Calibri" w:hAnsi="Calibri" w:cs="Calibri"/>
          <w:sz w:val="24"/>
          <w:szCs w:val="24"/>
          <w:vertAlign w:val="superscript"/>
        </w:rPr>
        <w:t>1,2</w:t>
      </w:r>
      <w:r w:rsidRPr="000B2233">
        <w:rPr>
          <w:rFonts w:ascii="Calibri" w:eastAsia="Calibri" w:hAnsi="Calibri" w:cs="Calibri"/>
          <w:sz w:val="24"/>
          <w:szCs w:val="24"/>
        </w:rPr>
        <w:t xml:space="preserve">, </w:t>
      </w:r>
      <w:proofErr w:type="spellStart"/>
      <w:r w:rsidRPr="000B2233">
        <w:rPr>
          <w:rFonts w:ascii="Calibri" w:eastAsia="Calibri" w:hAnsi="Calibri" w:cs="Calibri"/>
          <w:sz w:val="24"/>
          <w:szCs w:val="24"/>
        </w:rPr>
        <w:t>Jaejoon</w:t>
      </w:r>
      <w:proofErr w:type="spellEnd"/>
      <w:r w:rsidRPr="000B2233">
        <w:rPr>
          <w:rFonts w:ascii="Calibri" w:eastAsia="Calibri" w:hAnsi="Calibri" w:cs="Calibri"/>
          <w:sz w:val="24"/>
          <w:szCs w:val="24"/>
        </w:rPr>
        <w:t xml:space="preserve"> Shim</w:t>
      </w:r>
      <w:r w:rsidRPr="000B2233">
        <w:rPr>
          <w:rFonts w:ascii="Calibri" w:eastAsia="Calibri" w:hAnsi="Calibri" w:cs="Calibri"/>
          <w:sz w:val="24"/>
          <w:szCs w:val="24"/>
          <w:vertAlign w:val="superscript"/>
        </w:rPr>
        <w:t>1,2</w:t>
      </w:r>
      <w:r w:rsidRPr="000B2233">
        <w:rPr>
          <w:rFonts w:ascii="Calibri" w:eastAsia="Calibri" w:hAnsi="Calibri" w:cs="Calibri"/>
          <w:sz w:val="24"/>
          <w:szCs w:val="24"/>
        </w:rPr>
        <w:t>, Matthew Kan</w:t>
      </w:r>
      <w:r w:rsidRPr="000B2233">
        <w:rPr>
          <w:rFonts w:ascii="Calibri" w:eastAsia="Calibri" w:hAnsi="Calibri" w:cs="Calibri"/>
          <w:sz w:val="24"/>
          <w:szCs w:val="24"/>
          <w:vertAlign w:val="superscript"/>
        </w:rPr>
        <w:t>1,2</w:t>
      </w:r>
      <w:r w:rsidRPr="000B2233">
        <w:rPr>
          <w:rFonts w:ascii="Calibri" w:eastAsia="Calibri" w:hAnsi="Calibri" w:cs="Calibri"/>
          <w:sz w:val="24"/>
          <w:szCs w:val="24"/>
        </w:rPr>
        <w:t xml:space="preserve">, </w:t>
      </w:r>
      <w:proofErr w:type="spellStart"/>
      <w:r w:rsidRPr="000B2233">
        <w:rPr>
          <w:rFonts w:ascii="Calibri" w:eastAsia="Calibri" w:hAnsi="Calibri" w:cs="Calibri"/>
          <w:sz w:val="24"/>
          <w:szCs w:val="24"/>
        </w:rPr>
        <w:t>Jichen</w:t>
      </w:r>
      <w:proofErr w:type="spellEnd"/>
      <w:r w:rsidRPr="000B2233">
        <w:rPr>
          <w:rFonts w:ascii="Calibri" w:eastAsia="Calibri" w:hAnsi="Calibri" w:cs="Calibri"/>
          <w:sz w:val="24"/>
          <w:szCs w:val="24"/>
        </w:rPr>
        <w:t xml:space="preserve"> Yang</w:t>
      </w:r>
      <w:r w:rsidRPr="000B2233">
        <w:rPr>
          <w:rFonts w:ascii="Calibri" w:eastAsia="Calibri" w:hAnsi="Calibri" w:cs="Calibri"/>
          <w:sz w:val="24"/>
          <w:szCs w:val="24"/>
          <w:vertAlign w:val="superscript"/>
        </w:rPr>
        <w:t>1,2</w:t>
      </w:r>
      <w:r w:rsidRPr="000B2233">
        <w:rPr>
          <w:rFonts w:ascii="Calibri" w:eastAsia="Calibri" w:hAnsi="Calibri" w:cs="Calibri"/>
          <w:sz w:val="24"/>
          <w:szCs w:val="24"/>
        </w:rPr>
        <w:t>, Gha-</w:t>
      </w:r>
      <w:proofErr w:type="spellStart"/>
      <w:r w:rsidRPr="000B2233">
        <w:rPr>
          <w:rFonts w:ascii="Calibri" w:eastAsia="Calibri" w:hAnsi="Calibri" w:cs="Calibri"/>
          <w:sz w:val="24"/>
          <w:szCs w:val="24"/>
        </w:rPr>
        <w:t>hyun</w:t>
      </w:r>
      <w:proofErr w:type="spellEnd"/>
      <w:r w:rsidRPr="000B2233">
        <w:rPr>
          <w:rFonts w:ascii="Calibri" w:eastAsia="Calibri" w:hAnsi="Calibri" w:cs="Calibri"/>
          <w:sz w:val="24"/>
          <w:szCs w:val="24"/>
        </w:rPr>
        <w:t xml:space="preserve"> Jeffrey Kim</w:t>
      </w:r>
      <w:r w:rsidRPr="000B2233">
        <w:rPr>
          <w:rFonts w:ascii="Calibri" w:eastAsia="Calibri" w:hAnsi="Calibri" w:cs="Calibri"/>
          <w:sz w:val="24"/>
          <w:szCs w:val="24"/>
          <w:vertAlign w:val="superscript"/>
        </w:rPr>
        <w:t>1,2</w:t>
      </w:r>
    </w:p>
    <w:p w14:paraId="73285DF7" w14:textId="77777777" w:rsidR="002865A8" w:rsidRPr="000B2233" w:rsidRDefault="002865A8" w:rsidP="000B2233">
      <w:pPr>
        <w:spacing w:line="0" w:lineRule="atLeast"/>
        <w:jc w:val="both"/>
        <w:rPr>
          <w:rFonts w:ascii="Calibri" w:eastAsia="Calibri" w:hAnsi="Calibri" w:cs="Calibri"/>
          <w:sz w:val="24"/>
          <w:szCs w:val="24"/>
        </w:rPr>
      </w:pPr>
    </w:p>
    <w:p w14:paraId="33F2DA86" w14:textId="4D2C9A25"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vertAlign w:val="superscript"/>
        </w:rPr>
        <w:t>1</w:t>
      </w:r>
      <w:r w:rsidRPr="000B2233">
        <w:rPr>
          <w:rFonts w:ascii="Calibri" w:eastAsia="Calibri" w:hAnsi="Calibri" w:cs="Calibri"/>
          <w:sz w:val="24"/>
          <w:szCs w:val="24"/>
        </w:rPr>
        <w:t>Department of Clinical Pharmacy Practice, UC Irvine School of Pharmacy and Pharmaceutical Sciences, Irvine, California, United States</w:t>
      </w:r>
    </w:p>
    <w:p w14:paraId="06B620F9" w14:textId="6978641E"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vertAlign w:val="superscript"/>
        </w:rPr>
        <w:t>2</w:t>
      </w:r>
      <w:r w:rsidRPr="000B2233">
        <w:rPr>
          <w:rFonts w:ascii="Calibri" w:eastAsia="Calibri" w:hAnsi="Calibri" w:cs="Calibri"/>
          <w:sz w:val="24"/>
          <w:szCs w:val="24"/>
        </w:rPr>
        <w:t>Robert A. Mah Molecular Innovation Center, University of California Irvine, Irvine, California, United States</w:t>
      </w:r>
    </w:p>
    <w:p w14:paraId="56DB9FAD" w14:textId="77777777" w:rsidR="002865A8" w:rsidRPr="000B2233" w:rsidRDefault="002865A8" w:rsidP="000B2233">
      <w:pPr>
        <w:spacing w:line="0" w:lineRule="atLeast"/>
        <w:jc w:val="both"/>
        <w:rPr>
          <w:rFonts w:ascii="Calibri" w:eastAsia="Calibri" w:hAnsi="Calibri" w:cs="Calibri"/>
          <w:sz w:val="24"/>
          <w:szCs w:val="24"/>
          <w:lang w:val="en-US" w:eastAsia="ko-KR"/>
        </w:rPr>
      </w:pPr>
    </w:p>
    <w:p w14:paraId="319A96E1" w14:textId="4833A84B" w:rsidR="002865A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E-mail addresses of the co-authors:</w:t>
      </w:r>
    </w:p>
    <w:p w14:paraId="34FE092A" w14:textId="39A64FEA" w:rsidR="002865A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 xml:space="preserve">Zoey He </w:t>
      </w:r>
      <w:r w:rsidRPr="000B2233">
        <w:rPr>
          <w:rFonts w:ascii="Calibri" w:eastAsia="Calibri" w:hAnsi="Calibri" w:cs="Calibri"/>
          <w:sz w:val="24"/>
          <w:szCs w:val="24"/>
        </w:rPr>
        <w:tab/>
      </w:r>
      <w:r w:rsidRPr="000B2233">
        <w:rPr>
          <w:rFonts w:ascii="Calibri" w:eastAsia="Calibri" w:hAnsi="Calibri" w:cs="Calibri"/>
          <w:sz w:val="24"/>
          <w:szCs w:val="24"/>
        </w:rPr>
        <w:tab/>
      </w:r>
      <w:r w:rsidRPr="000B2233">
        <w:rPr>
          <w:rFonts w:ascii="Calibri" w:eastAsia="Calibri" w:hAnsi="Calibri" w:cs="Calibri"/>
          <w:sz w:val="24"/>
          <w:szCs w:val="24"/>
        </w:rPr>
        <w:tab/>
        <w:t>(</w:t>
      </w:r>
      <w:hyperlink r:id="rId8" w:history="1">
        <w:r w:rsidR="002865A8" w:rsidRPr="000B2233">
          <w:rPr>
            <w:rStyle w:val="Hyperlink"/>
            <w:rFonts w:ascii="Calibri" w:eastAsia="Calibri" w:hAnsi="Calibri" w:cs="Calibri"/>
            <w:sz w:val="24"/>
            <w:szCs w:val="24"/>
          </w:rPr>
          <w:t>zoeyh2@uci.edu</w:t>
        </w:r>
      </w:hyperlink>
      <w:r w:rsidRPr="000B2233">
        <w:rPr>
          <w:rFonts w:ascii="Calibri" w:eastAsia="Calibri" w:hAnsi="Calibri" w:cs="Calibri"/>
          <w:sz w:val="24"/>
          <w:szCs w:val="24"/>
        </w:rPr>
        <w:t>)</w:t>
      </w:r>
    </w:p>
    <w:p w14:paraId="6CB3072C" w14:textId="41DDF2B2" w:rsidR="002865A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 xml:space="preserve">Ethan Chen </w:t>
      </w:r>
      <w:r w:rsidRPr="000B2233">
        <w:rPr>
          <w:rFonts w:ascii="Calibri" w:eastAsia="Calibri" w:hAnsi="Calibri" w:cs="Calibri"/>
          <w:sz w:val="24"/>
          <w:szCs w:val="24"/>
        </w:rPr>
        <w:tab/>
      </w:r>
      <w:r w:rsidRPr="000B2233">
        <w:rPr>
          <w:rFonts w:ascii="Calibri" w:eastAsia="Calibri" w:hAnsi="Calibri" w:cs="Calibri"/>
          <w:sz w:val="24"/>
          <w:szCs w:val="24"/>
        </w:rPr>
        <w:tab/>
      </w:r>
      <w:r w:rsidRPr="000B2233">
        <w:rPr>
          <w:rFonts w:ascii="Calibri" w:eastAsia="Calibri" w:hAnsi="Calibri" w:cs="Calibri"/>
          <w:sz w:val="24"/>
          <w:szCs w:val="24"/>
        </w:rPr>
        <w:tab/>
        <w:t>(</w:t>
      </w:r>
      <w:hyperlink r:id="rId9" w:history="1">
        <w:r w:rsidR="002865A8" w:rsidRPr="000B2233">
          <w:rPr>
            <w:rStyle w:val="Hyperlink"/>
            <w:rFonts w:ascii="Calibri" w:eastAsia="Calibri" w:hAnsi="Calibri" w:cs="Calibri"/>
            <w:sz w:val="24"/>
            <w:szCs w:val="24"/>
          </w:rPr>
          <w:t>chene21@uci.edu</w:t>
        </w:r>
      </w:hyperlink>
      <w:r w:rsidRPr="000B2233">
        <w:rPr>
          <w:rFonts w:ascii="Calibri" w:eastAsia="Calibri" w:hAnsi="Calibri" w:cs="Calibri"/>
          <w:sz w:val="24"/>
          <w:szCs w:val="24"/>
        </w:rPr>
        <w:t>)</w:t>
      </w:r>
    </w:p>
    <w:p w14:paraId="1D39EE0D" w14:textId="7627E80F" w:rsidR="002865A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 xml:space="preserve">Kira Yu </w:t>
      </w:r>
      <w:r w:rsidRPr="000B2233">
        <w:rPr>
          <w:rFonts w:ascii="Calibri" w:eastAsia="Calibri" w:hAnsi="Calibri" w:cs="Calibri"/>
          <w:sz w:val="24"/>
          <w:szCs w:val="24"/>
        </w:rPr>
        <w:tab/>
      </w:r>
      <w:r w:rsidRPr="000B2233">
        <w:rPr>
          <w:rFonts w:ascii="Calibri" w:eastAsia="Calibri" w:hAnsi="Calibri" w:cs="Calibri"/>
          <w:sz w:val="24"/>
          <w:szCs w:val="24"/>
        </w:rPr>
        <w:tab/>
      </w:r>
      <w:r w:rsidRPr="000B2233">
        <w:rPr>
          <w:rFonts w:ascii="Calibri" w:eastAsia="Calibri" w:hAnsi="Calibri" w:cs="Calibri"/>
          <w:sz w:val="24"/>
          <w:szCs w:val="24"/>
        </w:rPr>
        <w:tab/>
        <w:t>(</w:t>
      </w:r>
      <w:hyperlink r:id="rId10" w:history="1">
        <w:r w:rsidR="002865A8" w:rsidRPr="000B2233">
          <w:rPr>
            <w:rStyle w:val="Hyperlink"/>
            <w:rFonts w:ascii="Calibri" w:eastAsia="Calibri" w:hAnsi="Calibri" w:cs="Calibri"/>
            <w:sz w:val="24"/>
            <w:szCs w:val="24"/>
          </w:rPr>
          <w:t>kirary@uci.edu</w:t>
        </w:r>
      </w:hyperlink>
      <w:r w:rsidRPr="000B2233">
        <w:rPr>
          <w:rFonts w:ascii="Calibri" w:eastAsia="Calibri" w:hAnsi="Calibri" w:cs="Calibri"/>
          <w:sz w:val="24"/>
          <w:szCs w:val="24"/>
        </w:rPr>
        <w:t>)</w:t>
      </w:r>
    </w:p>
    <w:p w14:paraId="438504BF" w14:textId="4B779D41" w:rsidR="002865A8" w:rsidRPr="000B2233" w:rsidRDefault="00645839" w:rsidP="000B2233">
      <w:pPr>
        <w:spacing w:line="0" w:lineRule="atLeast"/>
        <w:jc w:val="both"/>
        <w:rPr>
          <w:rFonts w:ascii="Calibri" w:eastAsia="Calibri" w:hAnsi="Calibri" w:cs="Calibri"/>
          <w:sz w:val="24"/>
          <w:szCs w:val="24"/>
        </w:rPr>
      </w:pPr>
      <w:proofErr w:type="spellStart"/>
      <w:r w:rsidRPr="000B2233">
        <w:rPr>
          <w:rFonts w:ascii="Calibri" w:eastAsia="Calibri" w:hAnsi="Calibri" w:cs="Calibri"/>
          <w:sz w:val="24"/>
          <w:szCs w:val="24"/>
        </w:rPr>
        <w:t>Jaejoon</w:t>
      </w:r>
      <w:proofErr w:type="spellEnd"/>
      <w:r w:rsidRPr="000B2233">
        <w:rPr>
          <w:rFonts w:ascii="Calibri" w:eastAsia="Calibri" w:hAnsi="Calibri" w:cs="Calibri"/>
          <w:sz w:val="24"/>
          <w:szCs w:val="24"/>
        </w:rPr>
        <w:t xml:space="preserve"> Shim </w:t>
      </w:r>
      <w:r w:rsidRPr="000B2233">
        <w:rPr>
          <w:rFonts w:ascii="Calibri" w:eastAsia="Calibri" w:hAnsi="Calibri" w:cs="Calibri"/>
          <w:sz w:val="24"/>
          <w:szCs w:val="24"/>
        </w:rPr>
        <w:tab/>
      </w:r>
      <w:r w:rsidRPr="000B2233">
        <w:rPr>
          <w:rFonts w:ascii="Calibri" w:eastAsia="Calibri" w:hAnsi="Calibri" w:cs="Calibri"/>
          <w:sz w:val="24"/>
          <w:szCs w:val="24"/>
        </w:rPr>
        <w:tab/>
      </w:r>
      <w:r w:rsidRPr="000B2233">
        <w:rPr>
          <w:rFonts w:ascii="Calibri" w:eastAsia="Calibri" w:hAnsi="Calibri" w:cs="Calibri"/>
          <w:sz w:val="24"/>
          <w:szCs w:val="24"/>
        </w:rPr>
        <w:tab/>
        <w:t>(</w:t>
      </w:r>
      <w:hyperlink r:id="rId11" w:history="1">
        <w:r w:rsidR="002865A8" w:rsidRPr="000B2233">
          <w:rPr>
            <w:rStyle w:val="Hyperlink"/>
            <w:rFonts w:ascii="Calibri" w:eastAsia="Calibri" w:hAnsi="Calibri" w:cs="Calibri"/>
            <w:sz w:val="24"/>
            <w:szCs w:val="24"/>
          </w:rPr>
          <w:t>jaejoons@uci.edu</w:t>
        </w:r>
      </w:hyperlink>
      <w:r w:rsidRPr="000B2233">
        <w:rPr>
          <w:rFonts w:ascii="Calibri" w:eastAsia="Calibri" w:hAnsi="Calibri" w:cs="Calibri"/>
          <w:sz w:val="24"/>
          <w:szCs w:val="24"/>
        </w:rPr>
        <w:t>)</w:t>
      </w:r>
    </w:p>
    <w:p w14:paraId="630359B4" w14:textId="045AA5C2" w:rsidR="002865A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 xml:space="preserve">Matthew Kan </w:t>
      </w:r>
      <w:r w:rsidRPr="000B2233">
        <w:rPr>
          <w:rFonts w:ascii="Calibri" w:eastAsia="Calibri" w:hAnsi="Calibri" w:cs="Calibri"/>
          <w:sz w:val="24"/>
          <w:szCs w:val="24"/>
        </w:rPr>
        <w:tab/>
      </w:r>
      <w:r w:rsidRPr="000B2233">
        <w:rPr>
          <w:rFonts w:ascii="Calibri" w:eastAsia="Calibri" w:hAnsi="Calibri" w:cs="Calibri"/>
          <w:sz w:val="24"/>
          <w:szCs w:val="24"/>
        </w:rPr>
        <w:tab/>
      </w:r>
      <w:r w:rsidRPr="000B2233">
        <w:rPr>
          <w:rFonts w:ascii="Calibri" w:eastAsia="Calibri" w:hAnsi="Calibri" w:cs="Calibri"/>
          <w:sz w:val="24"/>
          <w:szCs w:val="24"/>
        </w:rPr>
        <w:tab/>
        <w:t>(</w:t>
      </w:r>
      <w:hyperlink r:id="rId12" w:history="1">
        <w:r w:rsidR="002865A8" w:rsidRPr="000B2233">
          <w:rPr>
            <w:rStyle w:val="Hyperlink"/>
            <w:rFonts w:ascii="Calibri" w:eastAsia="Calibri" w:hAnsi="Calibri" w:cs="Calibri"/>
            <w:sz w:val="24"/>
            <w:szCs w:val="24"/>
          </w:rPr>
          <w:t>mzkan@uci.edu</w:t>
        </w:r>
      </w:hyperlink>
      <w:r w:rsidRPr="000B2233">
        <w:rPr>
          <w:rFonts w:ascii="Calibri" w:eastAsia="Calibri" w:hAnsi="Calibri" w:cs="Calibri"/>
          <w:sz w:val="24"/>
          <w:szCs w:val="24"/>
        </w:rPr>
        <w:t>)</w:t>
      </w:r>
    </w:p>
    <w:p w14:paraId="35EF5BE7" w14:textId="58EE3DCF" w:rsidR="002865A8" w:rsidRPr="000B2233" w:rsidRDefault="00645839" w:rsidP="000B2233">
      <w:pPr>
        <w:spacing w:line="0" w:lineRule="atLeast"/>
        <w:jc w:val="both"/>
        <w:rPr>
          <w:rFonts w:ascii="Calibri" w:eastAsia="Calibri" w:hAnsi="Calibri" w:cs="Calibri"/>
          <w:sz w:val="24"/>
          <w:szCs w:val="24"/>
        </w:rPr>
      </w:pPr>
      <w:proofErr w:type="spellStart"/>
      <w:r w:rsidRPr="000B2233">
        <w:rPr>
          <w:rFonts w:ascii="Calibri" w:eastAsia="Calibri" w:hAnsi="Calibri" w:cs="Calibri"/>
          <w:sz w:val="24"/>
          <w:szCs w:val="24"/>
        </w:rPr>
        <w:t>Jichen</w:t>
      </w:r>
      <w:proofErr w:type="spellEnd"/>
      <w:r w:rsidRPr="000B2233">
        <w:rPr>
          <w:rFonts w:ascii="Calibri" w:eastAsia="Calibri" w:hAnsi="Calibri" w:cs="Calibri"/>
          <w:sz w:val="24"/>
          <w:szCs w:val="24"/>
        </w:rPr>
        <w:t xml:space="preserve"> Yang </w:t>
      </w:r>
      <w:r w:rsidRPr="000B2233">
        <w:rPr>
          <w:rFonts w:ascii="Calibri" w:eastAsia="Calibri" w:hAnsi="Calibri" w:cs="Calibri"/>
          <w:sz w:val="24"/>
          <w:szCs w:val="24"/>
        </w:rPr>
        <w:tab/>
      </w:r>
      <w:r w:rsidRPr="000B2233">
        <w:rPr>
          <w:rFonts w:ascii="Calibri" w:eastAsia="Calibri" w:hAnsi="Calibri" w:cs="Calibri"/>
          <w:sz w:val="24"/>
          <w:szCs w:val="24"/>
        </w:rPr>
        <w:tab/>
      </w:r>
      <w:r w:rsidRPr="000B2233">
        <w:rPr>
          <w:rFonts w:ascii="Calibri" w:eastAsia="Calibri" w:hAnsi="Calibri" w:cs="Calibri"/>
          <w:sz w:val="24"/>
          <w:szCs w:val="24"/>
        </w:rPr>
        <w:tab/>
        <w:t>(</w:t>
      </w:r>
      <w:hyperlink r:id="rId13" w:history="1">
        <w:r w:rsidR="002865A8" w:rsidRPr="000B2233">
          <w:rPr>
            <w:rStyle w:val="Hyperlink"/>
            <w:rFonts w:ascii="Calibri" w:eastAsia="Calibri" w:hAnsi="Calibri" w:cs="Calibri"/>
            <w:sz w:val="24"/>
            <w:szCs w:val="24"/>
          </w:rPr>
          <w:t>jicheny0304@gmail.com</w:t>
        </w:r>
      </w:hyperlink>
      <w:r w:rsidRPr="000B2233">
        <w:rPr>
          <w:rFonts w:ascii="Calibri" w:eastAsia="Calibri" w:hAnsi="Calibri" w:cs="Calibri"/>
          <w:sz w:val="24"/>
          <w:szCs w:val="24"/>
        </w:rPr>
        <w:t>)</w:t>
      </w:r>
    </w:p>
    <w:p w14:paraId="176B8A5E" w14:textId="77777777" w:rsidR="002865A8" w:rsidRPr="000B2233" w:rsidRDefault="002865A8" w:rsidP="000B2233">
      <w:pPr>
        <w:spacing w:line="0" w:lineRule="atLeast"/>
        <w:jc w:val="both"/>
        <w:rPr>
          <w:rFonts w:ascii="Calibri" w:eastAsia="Calibri" w:hAnsi="Calibri" w:cs="Calibri"/>
          <w:sz w:val="24"/>
          <w:szCs w:val="24"/>
        </w:rPr>
      </w:pPr>
    </w:p>
    <w:p w14:paraId="17A9E22C" w14:textId="2F66D7A4" w:rsidR="002865A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*Corresponding author:</w:t>
      </w:r>
    </w:p>
    <w:p w14:paraId="02B7C1A6" w14:textId="714A3C1D"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Gha-</w:t>
      </w:r>
      <w:proofErr w:type="spellStart"/>
      <w:r w:rsidRPr="000B2233">
        <w:rPr>
          <w:rFonts w:ascii="Calibri" w:eastAsia="Calibri" w:hAnsi="Calibri" w:cs="Calibri"/>
          <w:sz w:val="24"/>
          <w:szCs w:val="24"/>
        </w:rPr>
        <w:t>hyun</w:t>
      </w:r>
      <w:proofErr w:type="spellEnd"/>
      <w:r w:rsidRPr="000B2233">
        <w:rPr>
          <w:rFonts w:ascii="Calibri" w:eastAsia="Calibri" w:hAnsi="Calibri" w:cs="Calibri"/>
          <w:sz w:val="24"/>
          <w:szCs w:val="24"/>
        </w:rPr>
        <w:t xml:space="preserve"> Jeffrey Kim </w:t>
      </w:r>
      <w:r w:rsidR="002865A8" w:rsidRPr="000B2233">
        <w:rPr>
          <w:rFonts w:ascii="Calibri" w:eastAsia="Calibri" w:hAnsi="Calibri" w:cs="Calibri"/>
          <w:sz w:val="24"/>
          <w:szCs w:val="24"/>
        </w:rPr>
        <w:tab/>
      </w:r>
      <w:r w:rsidR="002865A8" w:rsidRPr="000B2233">
        <w:rPr>
          <w:rFonts w:ascii="Calibri" w:eastAsia="Calibri" w:hAnsi="Calibri" w:cs="Calibri"/>
          <w:sz w:val="24"/>
          <w:szCs w:val="24"/>
        </w:rPr>
        <w:tab/>
      </w:r>
      <w:r w:rsidRPr="000B2233">
        <w:rPr>
          <w:rFonts w:ascii="Calibri" w:eastAsia="Calibri" w:hAnsi="Calibri" w:cs="Calibri"/>
          <w:sz w:val="24"/>
          <w:szCs w:val="24"/>
        </w:rPr>
        <w:t>(</w:t>
      </w:r>
      <w:hyperlink r:id="rId14" w:history="1">
        <w:r w:rsidR="002865A8" w:rsidRPr="000B2233">
          <w:rPr>
            <w:rStyle w:val="Hyperlink"/>
            <w:rFonts w:ascii="Calibri" w:eastAsia="Calibri" w:hAnsi="Calibri" w:cs="Calibri"/>
            <w:sz w:val="24"/>
            <w:szCs w:val="24"/>
          </w:rPr>
          <w:t>jeffrey.kim@uci.edu</w:t>
        </w:r>
      </w:hyperlink>
      <w:r w:rsidR="002865A8" w:rsidRPr="000B2233">
        <w:rPr>
          <w:rFonts w:ascii="Calibri" w:eastAsia="Calibri" w:hAnsi="Calibri" w:cs="Calibri"/>
          <w:sz w:val="24"/>
          <w:szCs w:val="24"/>
        </w:rPr>
        <w:t xml:space="preserve">) </w:t>
      </w:r>
    </w:p>
    <w:p w14:paraId="5B23FC80" w14:textId="77777777" w:rsidR="002865A8" w:rsidRPr="000B2233" w:rsidRDefault="002865A8" w:rsidP="000B2233">
      <w:pPr>
        <w:spacing w:line="0" w:lineRule="atLeast"/>
        <w:jc w:val="both"/>
        <w:rPr>
          <w:rFonts w:ascii="Calibri" w:eastAsia="Calibri" w:hAnsi="Calibri" w:cs="Calibri"/>
          <w:sz w:val="24"/>
          <w:szCs w:val="24"/>
        </w:rPr>
      </w:pPr>
    </w:p>
    <w:p w14:paraId="65A56493" w14:textId="2C9B5F39"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b/>
          <w:bCs/>
          <w:sz w:val="24"/>
          <w:szCs w:val="24"/>
        </w:rPr>
        <w:t>KEYWORDS:</w:t>
      </w:r>
    </w:p>
    <w:p w14:paraId="15103E76" w14:textId="77777777"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 xml:space="preserve">zebrafish, Parkinson’s disease, dopaminergic neurons, neurodegeneration, </w:t>
      </w:r>
      <w:proofErr w:type="spellStart"/>
      <w:r w:rsidRPr="000B2233">
        <w:rPr>
          <w:rFonts w:ascii="Calibri" w:eastAsia="Calibri" w:hAnsi="Calibri" w:cs="Calibri"/>
          <w:sz w:val="24"/>
          <w:szCs w:val="24"/>
        </w:rPr>
        <w:t>nitroreductase</w:t>
      </w:r>
      <w:proofErr w:type="spellEnd"/>
      <w:r w:rsidRPr="000B2233">
        <w:rPr>
          <w:rFonts w:ascii="Calibri" w:eastAsia="Calibri" w:hAnsi="Calibri" w:cs="Calibri"/>
          <w:sz w:val="24"/>
          <w:szCs w:val="24"/>
        </w:rPr>
        <w:t xml:space="preserve">-metronidazole, </w:t>
      </w:r>
      <w:proofErr w:type="spellStart"/>
      <w:r w:rsidRPr="000B2233">
        <w:rPr>
          <w:rFonts w:ascii="Calibri" w:eastAsia="Calibri" w:hAnsi="Calibri" w:cs="Calibri"/>
          <w:sz w:val="24"/>
          <w:szCs w:val="24"/>
        </w:rPr>
        <w:t>chemogenetic</w:t>
      </w:r>
      <w:proofErr w:type="spellEnd"/>
      <w:r w:rsidRPr="000B2233">
        <w:rPr>
          <w:rFonts w:ascii="Calibri" w:eastAsia="Calibri" w:hAnsi="Calibri" w:cs="Calibri"/>
          <w:sz w:val="24"/>
          <w:szCs w:val="24"/>
        </w:rPr>
        <w:t xml:space="preserve"> ablation, locomotor behavior, high-throughput screening, neuroprotection, fluorescence imaging</w:t>
      </w:r>
    </w:p>
    <w:p w14:paraId="1DC73514" w14:textId="77777777" w:rsidR="002865A8" w:rsidRPr="000B2233" w:rsidRDefault="002865A8" w:rsidP="000B2233">
      <w:pPr>
        <w:spacing w:line="0" w:lineRule="atLeast"/>
        <w:jc w:val="both"/>
        <w:rPr>
          <w:rFonts w:ascii="Calibri" w:eastAsia="Calibri" w:hAnsi="Calibri" w:cs="Calibri"/>
          <w:sz w:val="24"/>
          <w:szCs w:val="24"/>
        </w:rPr>
      </w:pPr>
    </w:p>
    <w:p w14:paraId="2B38ED4A" w14:textId="7DD9F3DE"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b/>
          <w:bCs/>
          <w:sz w:val="24"/>
          <w:szCs w:val="24"/>
        </w:rPr>
        <w:t>SUMMARY:</w:t>
      </w:r>
      <w:r w:rsidRPr="000B2233">
        <w:rPr>
          <w:rFonts w:ascii="Calibri" w:eastAsia="Calibri" w:hAnsi="Calibri" w:cs="Calibri"/>
          <w:sz w:val="24"/>
          <w:szCs w:val="24"/>
        </w:rPr>
        <w:t xml:space="preserve"> </w:t>
      </w:r>
    </w:p>
    <w:p w14:paraId="41F4011B" w14:textId="72651FD4"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 xml:space="preserve">This protocol provides a standardized, high-throughput compound screening method using </w:t>
      </w:r>
      <w:r w:rsidRPr="000B2233">
        <w:rPr>
          <w:rFonts w:ascii="Calibri" w:eastAsia="Calibri" w:hAnsi="Calibri" w:cs="Calibri"/>
          <w:i/>
          <w:iCs/>
          <w:sz w:val="24"/>
          <w:szCs w:val="24"/>
        </w:rPr>
        <w:t>in vivo</w:t>
      </w:r>
      <w:r w:rsidRPr="000B2233">
        <w:rPr>
          <w:rFonts w:ascii="Calibri" w:eastAsia="Calibri" w:hAnsi="Calibri" w:cs="Calibri"/>
          <w:sz w:val="24"/>
          <w:szCs w:val="24"/>
        </w:rPr>
        <w:t xml:space="preserve"> zebrafish to quantify dopaminergic neuron loss and locomotor behavioral deficits, enabling efficient screening of neuroprotective compounds.</w:t>
      </w:r>
    </w:p>
    <w:p w14:paraId="3C68A2C7" w14:textId="77777777" w:rsidR="002865A8" w:rsidRPr="000B2233" w:rsidRDefault="002865A8" w:rsidP="000B2233">
      <w:pPr>
        <w:spacing w:line="0" w:lineRule="atLeast"/>
        <w:jc w:val="both"/>
        <w:rPr>
          <w:rFonts w:ascii="Calibri" w:eastAsia="Calibri" w:hAnsi="Calibri" w:cs="Calibri"/>
          <w:sz w:val="24"/>
          <w:szCs w:val="24"/>
        </w:rPr>
      </w:pPr>
    </w:p>
    <w:p w14:paraId="48DB3EC0" w14:textId="54E928C3"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b/>
          <w:bCs/>
          <w:sz w:val="24"/>
          <w:szCs w:val="24"/>
        </w:rPr>
        <w:t>ABSTRACT:</w:t>
      </w:r>
      <w:r w:rsidRPr="000B2233">
        <w:rPr>
          <w:rFonts w:ascii="Calibri" w:eastAsia="Calibri" w:hAnsi="Calibri" w:cs="Calibri"/>
          <w:sz w:val="24"/>
          <w:szCs w:val="24"/>
        </w:rPr>
        <w:t xml:space="preserve"> </w:t>
      </w:r>
    </w:p>
    <w:p w14:paraId="50BCA831" w14:textId="0BB6AAF1" w:rsidR="006A4577" w:rsidRPr="000B2233" w:rsidRDefault="00645839" w:rsidP="000B2233">
      <w:pPr>
        <w:spacing w:line="0" w:lineRule="atLeast"/>
        <w:jc w:val="both"/>
        <w:rPr>
          <w:rFonts w:ascii="Calibri" w:hAnsi="Calibri" w:cs="Calibri"/>
          <w:sz w:val="24"/>
          <w:szCs w:val="24"/>
        </w:rPr>
      </w:pPr>
      <w:r w:rsidRPr="000B2233">
        <w:rPr>
          <w:rFonts w:ascii="Calibri" w:hAnsi="Calibri" w:cs="Calibri"/>
          <w:sz w:val="24"/>
          <w:szCs w:val="24"/>
        </w:rPr>
        <w:t xml:space="preserve">Drug discovery research in neurodegeneration is constrained by the high cost and low throughput of traditional mammalian models. This bottleneck is particularly observed in Parkinson’s disease research, where rigorous and scalable dopaminergic </w:t>
      </w:r>
      <w:r w:rsidR="003453A3" w:rsidRPr="000B2233">
        <w:rPr>
          <w:rFonts w:ascii="Calibri" w:hAnsi="Calibri" w:cs="Calibri"/>
          <w:sz w:val="24"/>
          <w:szCs w:val="24"/>
        </w:rPr>
        <w:t xml:space="preserve">(DA) </w:t>
      </w:r>
      <w:r w:rsidRPr="000B2233">
        <w:rPr>
          <w:rFonts w:ascii="Calibri" w:hAnsi="Calibri" w:cs="Calibri"/>
          <w:sz w:val="24"/>
          <w:szCs w:val="24"/>
        </w:rPr>
        <w:t xml:space="preserve">neurodegeneration studies remain slow and resource intensive. To address this gap, we present a standardized, high-throughput phenotyping pipeline using a transgenic zebrafish model expressing </w:t>
      </w:r>
      <w:proofErr w:type="spellStart"/>
      <w:r w:rsidRPr="000B2233">
        <w:rPr>
          <w:rFonts w:ascii="Calibri" w:hAnsi="Calibri" w:cs="Calibri"/>
          <w:sz w:val="24"/>
          <w:szCs w:val="24"/>
        </w:rPr>
        <w:t>nitroreductase</w:t>
      </w:r>
      <w:proofErr w:type="spellEnd"/>
      <w:r w:rsidRPr="000B2233">
        <w:rPr>
          <w:rFonts w:ascii="Calibri" w:hAnsi="Calibri" w:cs="Calibri"/>
          <w:sz w:val="24"/>
          <w:szCs w:val="24"/>
        </w:rPr>
        <w:t xml:space="preserve"> in </w:t>
      </w:r>
      <w:r w:rsidR="003453A3" w:rsidRPr="000B2233">
        <w:rPr>
          <w:rFonts w:ascii="Calibri" w:hAnsi="Calibri" w:cs="Calibri"/>
          <w:sz w:val="24"/>
          <w:szCs w:val="24"/>
        </w:rPr>
        <w:t>DA</w:t>
      </w:r>
      <w:r w:rsidRPr="000B2233">
        <w:rPr>
          <w:rFonts w:ascii="Calibri" w:hAnsi="Calibri" w:cs="Calibri"/>
          <w:sz w:val="24"/>
          <w:szCs w:val="24"/>
        </w:rPr>
        <w:t xml:space="preserve"> neurons to study </w:t>
      </w:r>
      <w:r w:rsidR="003453A3" w:rsidRPr="000B2233">
        <w:rPr>
          <w:rFonts w:ascii="Calibri" w:hAnsi="Calibri" w:cs="Calibri"/>
          <w:sz w:val="24"/>
          <w:szCs w:val="24"/>
        </w:rPr>
        <w:t>DA</w:t>
      </w:r>
      <w:r w:rsidRPr="000B2233">
        <w:rPr>
          <w:rFonts w:ascii="Calibri" w:hAnsi="Calibri" w:cs="Calibri"/>
          <w:sz w:val="24"/>
          <w:szCs w:val="24"/>
        </w:rPr>
        <w:t xml:space="preserve"> neuron loss within five days post-fertilization. Zebrafish offer key advantages for translational neuroscience, including rapid larval development, optical transparency that enables </w:t>
      </w:r>
      <w:r w:rsidRPr="000B2233">
        <w:rPr>
          <w:rFonts w:ascii="Calibri" w:hAnsi="Calibri" w:cs="Calibri"/>
          <w:i/>
          <w:iCs/>
          <w:sz w:val="24"/>
          <w:szCs w:val="24"/>
        </w:rPr>
        <w:t>in vivo</w:t>
      </w:r>
      <w:r w:rsidRPr="000B2233">
        <w:rPr>
          <w:rFonts w:ascii="Calibri" w:hAnsi="Calibri" w:cs="Calibri"/>
          <w:sz w:val="24"/>
          <w:szCs w:val="24"/>
        </w:rPr>
        <w:t xml:space="preserve"> whole-brain imaging, strong conservation of Parkinson’s disease-relevant genes and pathways, and intact neural circuitry not accessible in cell culture models. Our protocol integrates </w:t>
      </w:r>
      <w:proofErr w:type="spellStart"/>
      <w:r w:rsidRPr="000B2233">
        <w:rPr>
          <w:rFonts w:ascii="Calibri" w:hAnsi="Calibri" w:cs="Calibri"/>
          <w:sz w:val="24"/>
          <w:szCs w:val="24"/>
        </w:rPr>
        <w:lastRenderedPageBreak/>
        <w:t>chemogenetic</w:t>
      </w:r>
      <w:proofErr w:type="spellEnd"/>
      <w:r w:rsidRPr="000B2233">
        <w:rPr>
          <w:rFonts w:ascii="Calibri" w:hAnsi="Calibri" w:cs="Calibri"/>
          <w:sz w:val="24"/>
          <w:szCs w:val="24"/>
        </w:rPr>
        <w:t xml:space="preserve"> ablation and high-content imaging to generate rapid datasets for screening. </w:t>
      </w:r>
      <w:r w:rsidR="003453A3" w:rsidRPr="000B2233">
        <w:rPr>
          <w:rFonts w:ascii="Calibri" w:hAnsi="Calibri" w:cs="Calibri"/>
          <w:sz w:val="24"/>
          <w:szCs w:val="24"/>
        </w:rPr>
        <w:t>DA</w:t>
      </w:r>
      <w:r w:rsidRPr="000B2233">
        <w:rPr>
          <w:rFonts w:ascii="Calibri" w:hAnsi="Calibri" w:cs="Calibri"/>
          <w:sz w:val="24"/>
          <w:szCs w:val="24"/>
        </w:rPr>
        <w:t xml:space="preserve"> neurons are selectively ablated using metronidazole (MTZ), producing specific and tunable neurodegeneration. MTZ treatment produces dose-dependent reductions in locomotion consistent with bradykinesia-like phenotypes, providing a robust behavioral correlate to </w:t>
      </w:r>
      <w:r w:rsidR="003453A3" w:rsidRPr="000B2233">
        <w:rPr>
          <w:rFonts w:ascii="Calibri" w:hAnsi="Calibri" w:cs="Calibri"/>
          <w:sz w:val="24"/>
          <w:szCs w:val="24"/>
        </w:rPr>
        <w:t>DA</w:t>
      </w:r>
      <w:r w:rsidRPr="000B2233">
        <w:rPr>
          <w:rFonts w:ascii="Calibri" w:hAnsi="Calibri" w:cs="Calibri"/>
          <w:sz w:val="24"/>
          <w:szCs w:val="24"/>
        </w:rPr>
        <w:t xml:space="preserve"> cell loss. Since Parkinson’s disease is fundamentally a motor disorder, we pair anatomical measurements with functional behavioral readouts. Locomotor activity is recorded directly in a plate and quantified using automated tracking, extracting metrics including total distance traveled, swim bout frequency, and burst initiation. Zebrafish provide an efficient and scalable model system in which hundreds of larvae can be assayed simultaneously with minimal handling. We optimized a high-throughput, plate-based drug screening protocol designed to minimize experimental variance in undergraduate research. This standardized, plate-based format for screening candidate compounds for neuroprotection or functional rescue ensures that data collected by different researchers remains statistically comparable and effective for identifying neuroprotective candidates, improving reproducibility. Together, this methodology provides a robust, scalable framework for neurodegeneration research.</w:t>
      </w:r>
    </w:p>
    <w:p w14:paraId="323AC309" w14:textId="2143EAAB" w:rsidR="00903C98" w:rsidRPr="000B2233" w:rsidRDefault="00903C98" w:rsidP="000B2233">
      <w:pPr>
        <w:spacing w:line="0" w:lineRule="atLeast"/>
        <w:jc w:val="both"/>
        <w:rPr>
          <w:rFonts w:ascii="Calibri" w:eastAsia="Calibri" w:hAnsi="Calibri" w:cs="Calibri"/>
          <w:sz w:val="24"/>
          <w:szCs w:val="24"/>
        </w:rPr>
      </w:pPr>
    </w:p>
    <w:p w14:paraId="1358F98D" w14:textId="77777777"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b/>
          <w:bCs/>
          <w:sz w:val="24"/>
          <w:szCs w:val="24"/>
        </w:rPr>
        <w:t>INTRODUCTION:</w:t>
      </w:r>
      <w:r w:rsidRPr="000B2233">
        <w:rPr>
          <w:rFonts w:ascii="Calibri" w:eastAsia="Calibri" w:hAnsi="Calibri" w:cs="Calibri"/>
          <w:sz w:val="24"/>
          <w:szCs w:val="24"/>
        </w:rPr>
        <w:t xml:space="preserve"> </w:t>
      </w:r>
    </w:p>
    <w:p w14:paraId="1169A4D9" w14:textId="167C550B" w:rsidR="006A4577" w:rsidRPr="000B2233" w:rsidRDefault="00645839" w:rsidP="000B2233">
      <w:pPr>
        <w:spacing w:line="0" w:lineRule="atLeast"/>
        <w:jc w:val="both"/>
        <w:rPr>
          <w:rFonts w:ascii="Calibri" w:eastAsia="Malgun Gothic" w:hAnsi="Calibri" w:cs="Calibri"/>
          <w:sz w:val="24"/>
          <w:szCs w:val="24"/>
          <w:lang w:val="en-US" w:eastAsia="ko-KR"/>
        </w:rPr>
      </w:pPr>
      <w:r w:rsidRPr="000B2233">
        <w:rPr>
          <w:rFonts w:ascii="Calibri" w:eastAsia="Malgun Gothic" w:hAnsi="Calibri" w:cs="Calibri"/>
          <w:sz w:val="24"/>
          <w:szCs w:val="24"/>
          <w:lang w:val="en-US" w:eastAsia="ko-KR"/>
        </w:rPr>
        <w:t>Drug discovery research in neurodegeneration faces a significant efficiency bottleneck due to the high cost and low throughput of traditional mammalian models</w:t>
      </w:r>
      <w:r w:rsidRPr="000B2233">
        <w:rPr>
          <w:rFonts w:ascii="Calibri" w:eastAsia="Malgun Gothic" w:hAnsi="Calibri" w:cs="Calibri"/>
          <w:sz w:val="24"/>
          <w:szCs w:val="24"/>
          <w:vertAlign w:val="superscript"/>
          <w:lang w:val="en-US" w:eastAsia="ko-KR"/>
        </w:rPr>
        <w:t>1,2</w:t>
      </w:r>
      <w:r w:rsidRPr="000B2233">
        <w:rPr>
          <w:rFonts w:ascii="Calibri" w:eastAsia="Malgun Gothic" w:hAnsi="Calibri" w:cs="Calibri"/>
          <w:sz w:val="24"/>
          <w:szCs w:val="24"/>
          <w:lang w:val="en-US" w:eastAsia="ko-KR"/>
        </w:rPr>
        <w:t xml:space="preserve">, requiring careful experimental planning and the use of a large workforce. </w:t>
      </w:r>
      <w:r w:rsidR="00C45AF3" w:rsidRPr="000B2233">
        <w:rPr>
          <w:rFonts w:ascii="Calibri" w:eastAsia="Malgun Gothic" w:hAnsi="Calibri" w:cs="Calibri"/>
          <w:sz w:val="24"/>
          <w:szCs w:val="24"/>
          <w:lang w:eastAsia="ko-KR"/>
        </w:rPr>
        <w:t xml:space="preserve">The overall goal of this method is to provide a standardized, high-throughput approach using the </w:t>
      </w:r>
      <w:proofErr w:type="spellStart"/>
      <w:proofErr w:type="gramStart"/>
      <w:r w:rsidR="00C45AF3" w:rsidRPr="000B2233">
        <w:rPr>
          <w:rFonts w:ascii="Calibri" w:eastAsia="Malgun Gothic" w:hAnsi="Calibri" w:cs="Calibri"/>
          <w:sz w:val="24"/>
          <w:szCs w:val="24"/>
          <w:lang w:eastAsia="ko-KR"/>
        </w:rPr>
        <w:t>Tg</w:t>
      </w:r>
      <w:proofErr w:type="spellEnd"/>
      <w:r w:rsidR="00C45AF3" w:rsidRPr="000B2233">
        <w:rPr>
          <w:rFonts w:ascii="Calibri" w:eastAsia="Malgun Gothic" w:hAnsi="Calibri" w:cs="Calibri"/>
          <w:sz w:val="24"/>
          <w:szCs w:val="24"/>
          <w:lang w:eastAsia="ko-KR"/>
        </w:rPr>
        <w:t>(th:Gal</w:t>
      </w:r>
      <w:proofErr w:type="gramEnd"/>
      <w:r w:rsidR="00C45AF3" w:rsidRPr="000B2233">
        <w:rPr>
          <w:rFonts w:ascii="Calibri" w:eastAsia="Malgun Gothic" w:hAnsi="Calibri" w:cs="Calibri"/>
          <w:sz w:val="24"/>
          <w:szCs w:val="24"/>
          <w:lang w:eastAsia="ko-KR"/>
        </w:rPr>
        <w:t xml:space="preserve">4; </w:t>
      </w:r>
      <w:proofErr w:type="gramStart"/>
      <w:r w:rsidR="00C45AF3" w:rsidRPr="000B2233">
        <w:rPr>
          <w:rFonts w:ascii="Calibri" w:eastAsia="Malgun Gothic" w:hAnsi="Calibri" w:cs="Calibri"/>
          <w:sz w:val="24"/>
          <w:szCs w:val="24"/>
          <w:lang w:eastAsia="ko-KR"/>
        </w:rPr>
        <w:t>UAS:NTR</w:t>
      </w:r>
      <w:proofErr w:type="gramEnd"/>
      <w:r w:rsidR="00C45AF3" w:rsidRPr="000B2233">
        <w:rPr>
          <w:rFonts w:ascii="Calibri" w:eastAsia="Malgun Gothic" w:hAnsi="Calibri" w:cs="Calibri"/>
          <w:sz w:val="24"/>
          <w:szCs w:val="24"/>
          <w:lang w:eastAsia="ko-KR"/>
        </w:rPr>
        <w:t>-</w:t>
      </w:r>
      <w:proofErr w:type="spellStart"/>
      <w:r w:rsidR="00C45AF3" w:rsidRPr="000B2233">
        <w:rPr>
          <w:rFonts w:ascii="Calibri" w:eastAsia="Malgun Gothic" w:hAnsi="Calibri" w:cs="Calibri"/>
          <w:sz w:val="24"/>
          <w:szCs w:val="24"/>
          <w:lang w:eastAsia="ko-KR"/>
        </w:rPr>
        <w:t>mCherry</w:t>
      </w:r>
      <w:proofErr w:type="spellEnd"/>
      <w:r w:rsidR="00C45AF3" w:rsidRPr="000B2233">
        <w:rPr>
          <w:rFonts w:ascii="Calibri" w:eastAsia="Malgun Gothic" w:hAnsi="Calibri" w:cs="Calibri"/>
          <w:sz w:val="24"/>
          <w:szCs w:val="24"/>
          <w:lang w:eastAsia="ko-KR"/>
        </w:rPr>
        <w:t>) transgenic zebrafish model</w:t>
      </w:r>
      <w:r w:rsidR="00D51043" w:rsidRPr="000B2233">
        <w:rPr>
          <w:rFonts w:ascii="Calibri" w:eastAsia="Malgun Gothic" w:hAnsi="Calibri" w:cs="Calibri"/>
          <w:sz w:val="24"/>
          <w:szCs w:val="24"/>
          <w:lang w:eastAsia="ko-KR"/>
        </w:rPr>
        <w:t xml:space="preserve"> </w:t>
      </w:r>
      <w:r w:rsidR="00C45AF3" w:rsidRPr="000B2233">
        <w:rPr>
          <w:rFonts w:ascii="Calibri" w:eastAsia="Malgun Gothic" w:hAnsi="Calibri" w:cs="Calibri"/>
          <w:sz w:val="24"/>
          <w:szCs w:val="24"/>
          <w:lang w:eastAsia="ko-KR"/>
        </w:rPr>
        <w:t xml:space="preserve">in which </w:t>
      </w:r>
      <w:proofErr w:type="spellStart"/>
      <w:r w:rsidR="00C45AF3" w:rsidRPr="000B2233">
        <w:rPr>
          <w:rFonts w:ascii="Calibri" w:eastAsia="Malgun Gothic" w:hAnsi="Calibri" w:cs="Calibri"/>
          <w:sz w:val="24"/>
          <w:szCs w:val="24"/>
          <w:lang w:eastAsia="ko-KR"/>
        </w:rPr>
        <w:t>nitroreductase-mCherry</w:t>
      </w:r>
      <w:proofErr w:type="spellEnd"/>
      <w:r w:rsidR="00C45AF3" w:rsidRPr="000B2233">
        <w:rPr>
          <w:rFonts w:ascii="Calibri" w:eastAsia="Malgun Gothic" w:hAnsi="Calibri" w:cs="Calibri"/>
          <w:sz w:val="24"/>
          <w:szCs w:val="24"/>
          <w:lang w:eastAsia="ko-KR"/>
        </w:rPr>
        <w:t xml:space="preserve"> is specifically expressed in dopaminergic</w:t>
      </w:r>
      <w:r w:rsidR="003453A3" w:rsidRPr="000B2233">
        <w:rPr>
          <w:rFonts w:ascii="Calibri" w:eastAsia="Malgun Gothic" w:hAnsi="Calibri" w:cs="Calibri"/>
          <w:sz w:val="24"/>
          <w:szCs w:val="24"/>
          <w:lang w:eastAsia="ko-KR"/>
        </w:rPr>
        <w:t xml:space="preserve"> (DA)</w:t>
      </w:r>
      <w:r w:rsidR="00C45AF3" w:rsidRPr="000B2233">
        <w:rPr>
          <w:rFonts w:ascii="Calibri" w:eastAsia="Malgun Gothic" w:hAnsi="Calibri" w:cs="Calibri"/>
          <w:sz w:val="24"/>
          <w:szCs w:val="24"/>
          <w:lang w:eastAsia="ko-KR"/>
        </w:rPr>
        <w:t xml:space="preserve"> neurons</w:t>
      </w:r>
      <w:r w:rsidR="00D51043" w:rsidRPr="000B2233">
        <w:rPr>
          <w:rFonts w:ascii="Calibri" w:eastAsia="Malgun Gothic" w:hAnsi="Calibri" w:cs="Calibri"/>
          <w:sz w:val="24"/>
          <w:szCs w:val="24"/>
          <w:lang w:eastAsia="ko-KR"/>
        </w:rPr>
        <w:t xml:space="preserve"> </w:t>
      </w:r>
      <w:r w:rsidR="00C45AF3" w:rsidRPr="000B2233">
        <w:rPr>
          <w:rFonts w:ascii="Calibri" w:eastAsia="Malgun Gothic" w:hAnsi="Calibri" w:cs="Calibri"/>
          <w:sz w:val="24"/>
          <w:szCs w:val="24"/>
          <w:lang w:eastAsia="ko-KR"/>
        </w:rPr>
        <w:t xml:space="preserve">to study </w:t>
      </w:r>
      <w:r w:rsidR="003453A3" w:rsidRPr="000B2233">
        <w:rPr>
          <w:rFonts w:ascii="Calibri" w:hAnsi="Calibri" w:cs="Calibri"/>
          <w:sz w:val="24"/>
          <w:szCs w:val="24"/>
        </w:rPr>
        <w:t>DA</w:t>
      </w:r>
      <w:r w:rsidR="00C45AF3" w:rsidRPr="000B2233">
        <w:rPr>
          <w:rFonts w:ascii="Calibri" w:eastAsia="Malgun Gothic" w:hAnsi="Calibri" w:cs="Calibri"/>
          <w:sz w:val="24"/>
          <w:szCs w:val="24"/>
          <w:lang w:eastAsia="ko-KR"/>
        </w:rPr>
        <w:t xml:space="preserve"> neuron loss and locomotion deficits.</w:t>
      </w:r>
      <w:r w:rsidR="00281AAC" w:rsidRPr="000B2233">
        <w:rPr>
          <w:rFonts w:ascii="Calibri" w:eastAsia="Malgun Gothic" w:hAnsi="Calibri" w:cs="Calibri"/>
          <w:sz w:val="24"/>
          <w:szCs w:val="24"/>
          <w:lang w:eastAsia="ko-KR"/>
        </w:rPr>
        <w:t xml:space="preserve"> </w:t>
      </w:r>
      <w:r w:rsidRPr="000B2233">
        <w:rPr>
          <w:rFonts w:ascii="Calibri" w:eastAsia="Malgun Gothic" w:hAnsi="Calibri" w:cs="Calibri"/>
          <w:sz w:val="24"/>
          <w:szCs w:val="24"/>
          <w:lang w:val="en-US" w:eastAsia="ko-KR"/>
        </w:rPr>
        <w:t>The rationale behind the use of this technique stems from the need for rigorous, scalable, and economically viable in vivo models for neurodegeneration research</w:t>
      </w:r>
      <w:r w:rsidRPr="000B2233">
        <w:rPr>
          <w:rFonts w:ascii="Calibri" w:eastAsia="Malgun Gothic" w:hAnsi="Calibri" w:cs="Calibri"/>
          <w:sz w:val="24"/>
          <w:szCs w:val="24"/>
          <w:vertAlign w:val="superscript"/>
          <w:lang w:val="en-US" w:eastAsia="ko-KR"/>
        </w:rPr>
        <w:t>3–5</w:t>
      </w:r>
      <w:r w:rsidRPr="000B2233">
        <w:rPr>
          <w:rFonts w:ascii="Calibri" w:eastAsia="Malgun Gothic" w:hAnsi="Calibri" w:cs="Calibri"/>
          <w:sz w:val="24"/>
          <w:szCs w:val="24"/>
          <w:lang w:val="en-US" w:eastAsia="ko-KR"/>
        </w:rPr>
        <w:t>. While in vitro cell cultures allow for rapid drug screening, they lack the intact neural circuitry and whole-organism context essential for translational relevance</w:t>
      </w:r>
      <w:r w:rsidRPr="000B2233">
        <w:rPr>
          <w:rFonts w:ascii="Calibri" w:eastAsia="Malgun Gothic" w:hAnsi="Calibri" w:cs="Calibri"/>
          <w:sz w:val="24"/>
          <w:szCs w:val="24"/>
          <w:vertAlign w:val="superscript"/>
          <w:lang w:val="en-US" w:eastAsia="ko-KR"/>
        </w:rPr>
        <w:t>6</w:t>
      </w:r>
      <w:r w:rsidRPr="000B2233">
        <w:rPr>
          <w:rFonts w:ascii="Calibri" w:eastAsia="Malgun Gothic" w:hAnsi="Calibri" w:cs="Calibri"/>
          <w:sz w:val="24"/>
          <w:szCs w:val="24"/>
          <w:lang w:val="en-US" w:eastAsia="ko-KR"/>
        </w:rPr>
        <w:t>. In contrast, rodent models provide excellent physiological context but are expensive and time-consuming for initial high-throughput screening of neuroprotective compounds</w:t>
      </w:r>
      <w:r w:rsidRPr="000B2233">
        <w:rPr>
          <w:rFonts w:ascii="Calibri" w:eastAsia="Malgun Gothic" w:hAnsi="Calibri" w:cs="Calibri"/>
          <w:sz w:val="24"/>
          <w:szCs w:val="24"/>
          <w:vertAlign w:val="superscript"/>
          <w:lang w:val="en-US" w:eastAsia="ko-KR"/>
        </w:rPr>
        <w:t>7,8</w:t>
      </w:r>
      <w:r w:rsidRPr="000B2233">
        <w:rPr>
          <w:rFonts w:ascii="Calibri" w:eastAsia="Malgun Gothic" w:hAnsi="Calibri" w:cs="Calibri"/>
          <w:sz w:val="24"/>
          <w:szCs w:val="24"/>
          <w:lang w:val="en-US" w:eastAsia="ko-KR"/>
        </w:rPr>
        <w:t>.</w:t>
      </w:r>
    </w:p>
    <w:p w14:paraId="1CE5D022" w14:textId="77777777" w:rsidR="006A4577" w:rsidRPr="000B2233" w:rsidRDefault="006A4577" w:rsidP="000B2233">
      <w:pPr>
        <w:spacing w:line="0" w:lineRule="atLeast"/>
        <w:jc w:val="both"/>
        <w:rPr>
          <w:rFonts w:ascii="Calibri" w:eastAsia="Malgun Gothic" w:hAnsi="Calibri" w:cs="Calibri"/>
          <w:sz w:val="24"/>
          <w:szCs w:val="24"/>
          <w:lang w:val="en-US" w:eastAsia="ko-KR"/>
        </w:rPr>
      </w:pPr>
    </w:p>
    <w:p w14:paraId="274EBF06" w14:textId="1B8894A6" w:rsidR="00903C98" w:rsidRPr="000B2233" w:rsidRDefault="00645839" w:rsidP="000B2233">
      <w:pPr>
        <w:spacing w:line="0" w:lineRule="atLeast"/>
        <w:jc w:val="both"/>
        <w:rPr>
          <w:rFonts w:ascii="Calibri" w:hAnsi="Calibri" w:cs="Calibri"/>
          <w:sz w:val="24"/>
          <w:szCs w:val="24"/>
        </w:rPr>
      </w:pPr>
      <w:r w:rsidRPr="000B2233">
        <w:rPr>
          <w:rFonts w:ascii="Calibri" w:eastAsia="Malgun Gothic" w:hAnsi="Calibri" w:cs="Calibri"/>
          <w:sz w:val="24"/>
          <w:szCs w:val="24"/>
          <w:lang w:val="en-US" w:eastAsia="ko-KR"/>
        </w:rPr>
        <w:t xml:space="preserve">Zebrafish possess rapid larval development, optical transparency that enables </w:t>
      </w:r>
      <w:r w:rsidRPr="000B2233">
        <w:rPr>
          <w:rFonts w:ascii="Calibri" w:eastAsia="Malgun Gothic" w:hAnsi="Calibri" w:cs="Calibri"/>
          <w:i/>
          <w:iCs/>
          <w:sz w:val="24"/>
          <w:szCs w:val="24"/>
          <w:lang w:val="en-US" w:eastAsia="ko-KR"/>
        </w:rPr>
        <w:t>in vivo</w:t>
      </w:r>
      <w:r w:rsidRPr="000B2233">
        <w:rPr>
          <w:rFonts w:ascii="Calibri" w:eastAsia="Malgun Gothic" w:hAnsi="Calibri" w:cs="Calibri"/>
          <w:sz w:val="24"/>
          <w:szCs w:val="24"/>
          <w:lang w:val="en-US" w:eastAsia="ko-KR"/>
        </w:rPr>
        <w:t xml:space="preserve"> whole-brain imaging, and strong genetic conservation of disease-relevant pathways, particularly related to neurodegeneration</w:t>
      </w:r>
      <w:r w:rsidRPr="000B2233">
        <w:rPr>
          <w:rFonts w:ascii="Calibri" w:eastAsia="Malgun Gothic" w:hAnsi="Calibri" w:cs="Calibri"/>
          <w:sz w:val="24"/>
          <w:szCs w:val="24"/>
          <w:vertAlign w:val="superscript"/>
          <w:lang w:val="en-US" w:eastAsia="ko-KR"/>
        </w:rPr>
        <w:t>9–11</w:t>
      </w:r>
      <w:r w:rsidRPr="000B2233">
        <w:rPr>
          <w:rFonts w:ascii="Calibri" w:eastAsia="Malgun Gothic" w:hAnsi="Calibri" w:cs="Calibri"/>
          <w:sz w:val="24"/>
          <w:szCs w:val="24"/>
          <w:lang w:val="en-US" w:eastAsia="ko-KR"/>
        </w:rPr>
        <w:t xml:space="preserve">. The protocol specifically integrates standardized husbandry, </w:t>
      </w:r>
      <w:proofErr w:type="spellStart"/>
      <w:r w:rsidRPr="000B2233">
        <w:rPr>
          <w:rFonts w:ascii="Calibri" w:eastAsia="Malgun Gothic" w:hAnsi="Calibri" w:cs="Calibri"/>
          <w:sz w:val="24"/>
          <w:szCs w:val="24"/>
          <w:lang w:val="en-US" w:eastAsia="ko-KR"/>
        </w:rPr>
        <w:t>chemogenetic</w:t>
      </w:r>
      <w:proofErr w:type="spellEnd"/>
      <w:r w:rsidRPr="000B2233">
        <w:rPr>
          <w:rFonts w:ascii="Calibri" w:eastAsia="Malgun Gothic" w:hAnsi="Calibri" w:cs="Calibri"/>
          <w:sz w:val="24"/>
          <w:szCs w:val="24"/>
          <w:lang w:val="en-US" w:eastAsia="ko-KR"/>
        </w:rPr>
        <w:t xml:space="preserve"> ablation via metronidazole (MTZ), and high-content imaging paired with functional behavioral tracking. Measuring locomotor activity directly provides a robust behavioral correlate to </w:t>
      </w:r>
      <w:r w:rsidR="003453A3" w:rsidRPr="000B2233">
        <w:rPr>
          <w:rFonts w:ascii="Calibri" w:eastAsia="Malgun Gothic" w:hAnsi="Calibri" w:cs="Calibri"/>
          <w:sz w:val="24"/>
          <w:szCs w:val="24"/>
          <w:lang w:val="en-US" w:eastAsia="ko-KR"/>
        </w:rPr>
        <w:t>DA</w:t>
      </w:r>
      <w:r w:rsidRPr="000B2233">
        <w:rPr>
          <w:rFonts w:ascii="Calibri" w:eastAsia="Malgun Gothic" w:hAnsi="Calibri" w:cs="Calibri"/>
          <w:sz w:val="24"/>
          <w:szCs w:val="24"/>
          <w:lang w:val="en-US" w:eastAsia="ko-KR"/>
        </w:rPr>
        <w:t xml:space="preserve"> neuronal loss, as dopamine neuron loss is tied to behavioral abnormalities</w:t>
      </w:r>
      <w:r w:rsidRPr="000B2233">
        <w:rPr>
          <w:rFonts w:ascii="Calibri" w:eastAsia="Malgun Gothic" w:hAnsi="Calibri" w:cs="Calibri"/>
          <w:sz w:val="24"/>
          <w:szCs w:val="24"/>
          <w:vertAlign w:val="superscript"/>
          <w:lang w:val="en-US" w:eastAsia="ko-KR"/>
        </w:rPr>
        <w:t>12–14</w:t>
      </w:r>
      <w:r w:rsidRPr="000B2233">
        <w:rPr>
          <w:rFonts w:ascii="Calibri" w:eastAsia="Malgun Gothic" w:hAnsi="Calibri" w:cs="Calibri"/>
          <w:sz w:val="24"/>
          <w:szCs w:val="24"/>
          <w:lang w:val="en-US" w:eastAsia="ko-KR"/>
        </w:rPr>
        <w:t>. The standardized, plate-based format minimizes experimental variance across operators, and the high throughput of the zebrafish larval system enables large sample sizes, together providing sufficient statistical power to detect neuroprotective effects. This makes the protocol well suited for applications requiring scalable and reproducible screening, including settings where investigator experience may vary.</w:t>
      </w:r>
    </w:p>
    <w:p w14:paraId="68E7547E" w14:textId="77777777" w:rsidR="006A4577" w:rsidRPr="000B2233" w:rsidRDefault="006A4577" w:rsidP="000B2233">
      <w:pPr>
        <w:spacing w:line="0" w:lineRule="atLeast"/>
        <w:jc w:val="both"/>
        <w:rPr>
          <w:rFonts w:ascii="Calibri" w:hAnsi="Calibri" w:cs="Calibri"/>
          <w:sz w:val="24"/>
          <w:szCs w:val="24"/>
        </w:rPr>
      </w:pPr>
    </w:p>
    <w:p w14:paraId="13031157" w14:textId="77777777"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b/>
          <w:bCs/>
          <w:sz w:val="24"/>
          <w:szCs w:val="24"/>
        </w:rPr>
        <w:t>PROTOCOL:</w:t>
      </w:r>
      <w:r w:rsidRPr="000B2233">
        <w:rPr>
          <w:rFonts w:ascii="Calibri" w:eastAsia="Calibri" w:hAnsi="Calibri" w:cs="Calibri"/>
          <w:sz w:val="24"/>
          <w:szCs w:val="24"/>
        </w:rPr>
        <w:t xml:space="preserve"> </w:t>
      </w:r>
    </w:p>
    <w:p w14:paraId="77BCE702" w14:textId="77777777"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 xml:space="preserve">All methods involving the use of vertebrate subjects were performed in compliance with the Institutional Animal Care and Use Committee guidelines (IACUC approval AUP-25-098). </w:t>
      </w:r>
    </w:p>
    <w:p w14:paraId="4C45DE2A" w14:textId="77777777" w:rsidR="00115419" w:rsidRPr="00DC0FA5" w:rsidRDefault="00115419" w:rsidP="000B2233">
      <w:pPr>
        <w:spacing w:line="0" w:lineRule="atLeast"/>
        <w:jc w:val="both"/>
        <w:rPr>
          <w:rFonts w:ascii="Calibri" w:hAnsi="Calibri" w:cs="Calibri"/>
          <w:sz w:val="24"/>
          <w:szCs w:val="24"/>
        </w:rPr>
      </w:pPr>
    </w:p>
    <w:p w14:paraId="3336773D" w14:textId="77777777" w:rsidR="00DC0FA5" w:rsidRPr="00DC0FA5" w:rsidRDefault="00DC0FA5" w:rsidP="00DC0FA5">
      <w:pPr>
        <w:spacing w:line="0" w:lineRule="atLeast"/>
        <w:jc w:val="both"/>
        <w:rPr>
          <w:rFonts w:ascii="Calibri" w:hAnsi="Calibri" w:cs="Calibri"/>
          <w:b/>
          <w:bCs/>
          <w:sz w:val="24"/>
          <w:szCs w:val="24"/>
        </w:rPr>
      </w:pPr>
      <w:r w:rsidRPr="00DC0FA5">
        <w:rPr>
          <w:rFonts w:ascii="Calibri" w:hAnsi="Calibri" w:cs="Calibri"/>
          <w:b/>
          <w:bCs/>
          <w:sz w:val="24"/>
          <w:szCs w:val="24"/>
        </w:rPr>
        <w:t>1. Zebrafish Husbandry</w:t>
      </w:r>
    </w:p>
    <w:p w14:paraId="4B8922D2" w14:textId="77777777" w:rsidR="00DC0FA5" w:rsidRPr="00DC0FA5" w:rsidRDefault="00DC0FA5" w:rsidP="00DC0FA5">
      <w:pPr>
        <w:spacing w:line="0" w:lineRule="atLeast"/>
        <w:jc w:val="both"/>
        <w:rPr>
          <w:rFonts w:ascii="Calibri" w:hAnsi="Calibri" w:cs="Calibri"/>
          <w:sz w:val="24"/>
          <w:szCs w:val="24"/>
        </w:rPr>
      </w:pPr>
    </w:p>
    <w:p w14:paraId="6709ACF3"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1.1. Maintain aquatic system conditions</w:t>
      </w:r>
    </w:p>
    <w:p w14:paraId="793CDE3C" w14:textId="77777777" w:rsidR="00DC0FA5" w:rsidRPr="00DC0FA5" w:rsidRDefault="00DC0FA5" w:rsidP="00DC0FA5">
      <w:pPr>
        <w:spacing w:line="0" w:lineRule="atLeast"/>
        <w:jc w:val="both"/>
        <w:rPr>
          <w:rFonts w:ascii="Calibri" w:hAnsi="Calibri" w:cs="Calibri"/>
          <w:sz w:val="24"/>
          <w:szCs w:val="24"/>
        </w:rPr>
      </w:pPr>
    </w:p>
    <w:p w14:paraId="2F269C95"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1.1.1. Maintain the recirculating aquatic system at 28.5°C (acceptable range: 26°C–30°C), pH 7.1–7.8, and conductivity 600–700 </w:t>
      </w:r>
      <w:proofErr w:type="spellStart"/>
      <w:r w:rsidRPr="00DC0FA5">
        <w:rPr>
          <w:rFonts w:ascii="Calibri" w:hAnsi="Calibri" w:cs="Calibri"/>
          <w:sz w:val="24"/>
          <w:szCs w:val="24"/>
        </w:rPr>
        <w:t>μS</w:t>
      </w:r>
      <w:proofErr w:type="spellEnd"/>
      <w:r w:rsidRPr="00DC0FA5">
        <w:rPr>
          <w:rFonts w:ascii="Calibri" w:hAnsi="Calibri" w:cs="Calibri"/>
          <w:sz w:val="24"/>
          <w:szCs w:val="24"/>
        </w:rPr>
        <w:t>/cm. Maintain adult zebrafish at a stocking density of approximately 5 fish/L in home tanks.</w:t>
      </w:r>
    </w:p>
    <w:p w14:paraId="7751D279" w14:textId="77777777" w:rsidR="00DC0FA5" w:rsidRPr="00DC0FA5" w:rsidRDefault="00DC0FA5" w:rsidP="00DC0FA5">
      <w:pPr>
        <w:spacing w:line="0" w:lineRule="atLeast"/>
        <w:jc w:val="both"/>
        <w:rPr>
          <w:rFonts w:ascii="Calibri" w:hAnsi="Calibri" w:cs="Calibri"/>
          <w:sz w:val="24"/>
          <w:szCs w:val="24"/>
        </w:rPr>
      </w:pPr>
    </w:p>
    <w:p w14:paraId="19045DB3"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1.1.2. Monitor ammonia, nitrite, and nitrate levels daily using a colorimetric aquarium water-quality test kit according to the manufacturer’s instructions. Maintain ammonia and nitrite at 0 ppm and nitrate between 10–20 ppm.</w:t>
      </w:r>
    </w:p>
    <w:p w14:paraId="578B6BAD" w14:textId="77777777" w:rsidR="00DC0FA5" w:rsidRPr="00DC0FA5" w:rsidRDefault="00DC0FA5" w:rsidP="00DC0FA5">
      <w:pPr>
        <w:spacing w:line="0" w:lineRule="atLeast"/>
        <w:jc w:val="both"/>
        <w:rPr>
          <w:rFonts w:ascii="Calibri" w:hAnsi="Calibri" w:cs="Calibri"/>
          <w:sz w:val="24"/>
          <w:szCs w:val="24"/>
        </w:rPr>
      </w:pPr>
    </w:p>
    <w:p w14:paraId="1AAEA8E9"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1.1.3. Perform water exchanges when ammonia or nitrite exceeds 0 ppm, nitrate exceeds 20 ppm, visible turbidity or debris is present, or pH/conductivity values fall outside the target ranges described in Step 1.1.1. Continue exchanges until ammonia and nitrite return to 0 ppm, nitrate returns to 10–20 ppm, and pH/conductivity values are restored to the target range.</w:t>
      </w:r>
    </w:p>
    <w:p w14:paraId="3992BD0D" w14:textId="77777777" w:rsidR="00DC0FA5" w:rsidRPr="00DC0FA5" w:rsidRDefault="00DC0FA5" w:rsidP="00DC0FA5">
      <w:pPr>
        <w:spacing w:line="0" w:lineRule="atLeast"/>
        <w:jc w:val="both"/>
        <w:rPr>
          <w:rFonts w:ascii="Calibri" w:hAnsi="Calibri" w:cs="Calibri"/>
          <w:sz w:val="24"/>
          <w:szCs w:val="24"/>
        </w:rPr>
      </w:pPr>
    </w:p>
    <w:p w14:paraId="4D6B5D5C"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1.1.4. Maintain a 14 h light:10 h dark cycle to synchronize circadian rhythm and breeding.</w:t>
      </w:r>
    </w:p>
    <w:p w14:paraId="2AE970C2" w14:textId="77777777" w:rsidR="00DC0FA5" w:rsidRPr="00DC0FA5" w:rsidRDefault="00DC0FA5" w:rsidP="00DC0FA5">
      <w:pPr>
        <w:spacing w:line="0" w:lineRule="atLeast"/>
        <w:jc w:val="both"/>
        <w:rPr>
          <w:rFonts w:ascii="Calibri" w:hAnsi="Calibri" w:cs="Calibri"/>
          <w:sz w:val="24"/>
          <w:szCs w:val="24"/>
        </w:rPr>
      </w:pPr>
    </w:p>
    <w:p w14:paraId="58979040"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1.2. Feed zebrafish at different developmental stages</w:t>
      </w:r>
    </w:p>
    <w:p w14:paraId="4985D5EB" w14:textId="77777777" w:rsidR="00DC0FA5" w:rsidRPr="00DC0FA5" w:rsidRDefault="00DC0FA5" w:rsidP="00DC0FA5">
      <w:pPr>
        <w:spacing w:line="0" w:lineRule="atLeast"/>
        <w:jc w:val="both"/>
        <w:rPr>
          <w:rFonts w:ascii="Calibri" w:hAnsi="Calibri" w:cs="Calibri"/>
          <w:sz w:val="24"/>
          <w:szCs w:val="24"/>
        </w:rPr>
      </w:pPr>
    </w:p>
    <w:p w14:paraId="2E6C7D13"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1.2.1. Feed adult fish 0.5 mm slow-sinking pellets twice daily. Standardize feeding by time-to-consumption and provide only the amount consumed within 3–5 min. Use the same pellet size and diet type consistently across experimental cohorts.</w:t>
      </w:r>
    </w:p>
    <w:p w14:paraId="1307208A" w14:textId="77777777" w:rsidR="00DC0FA5" w:rsidRPr="00DC0FA5" w:rsidRDefault="00DC0FA5" w:rsidP="00DC0FA5">
      <w:pPr>
        <w:spacing w:line="0" w:lineRule="atLeast"/>
        <w:jc w:val="both"/>
        <w:rPr>
          <w:rFonts w:ascii="Calibri" w:hAnsi="Calibri" w:cs="Calibri"/>
          <w:sz w:val="24"/>
          <w:szCs w:val="24"/>
        </w:rPr>
      </w:pPr>
    </w:p>
    <w:p w14:paraId="1378116C"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1.2.2. Feed larval fish Gemma Micro 75 ZF, or an equivalent larval zebrafish diet with an approximately 75 </w:t>
      </w:r>
      <w:proofErr w:type="spellStart"/>
      <w:r w:rsidRPr="00DC0FA5">
        <w:rPr>
          <w:rFonts w:ascii="Calibri" w:hAnsi="Calibri" w:cs="Calibri"/>
          <w:sz w:val="24"/>
          <w:szCs w:val="24"/>
        </w:rPr>
        <w:t>μm</w:t>
      </w:r>
      <w:proofErr w:type="spellEnd"/>
      <w:r w:rsidRPr="00DC0FA5">
        <w:rPr>
          <w:rFonts w:ascii="Calibri" w:hAnsi="Calibri" w:cs="Calibri"/>
          <w:sz w:val="24"/>
          <w:szCs w:val="24"/>
        </w:rPr>
        <w:t xml:space="preserve"> particle size, three times daily. Feed juvenile fish (1 month) Gemma Micro 150 ZF, or an equivalent zebrafish diet with an approximately 150 </w:t>
      </w:r>
      <w:proofErr w:type="spellStart"/>
      <w:r w:rsidRPr="00DC0FA5">
        <w:rPr>
          <w:rFonts w:ascii="Calibri" w:hAnsi="Calibri" w:cs="Calibri"/>
          <w:sz w:val="24"/>
          <w:szCs w:val="24"/>
        </w:rPr>
        <w:t>μm</w:t>
      </w:r>
      <w:proofErr w:type="spellEnd"/>
      <w:r w:rsidRPr="00DC0FA5">
        <w:rPr>
          <w:rFonts w:ascii="Calibri" w:hAnsi="Calibri" w:cs="Calibri"/>
          <w:sz w:val="24"/>
          <w:szCs w:val="24"/>
        </w:rPr>
        <w:t xml:space="preserve"> particle size, three times daily.</w:t>
      </w:r>
    </w:p>
    <w:p w14:paraId="0041140F" w14:textId="77777777" w:rsidR="00DC0FA5" w:rsidRPr="00DC0FA5" w:rsidRDefault="00DC0FA5" w:rsidP="00DC0FA5">
      <w:pPr>
        <w:spacing w:line="0" w:lineRule="atLeast"/>
        <w:jc w:val="both"/>
        <w:rPr>
          <w:rFonts w:ascii="Calibri" w:hAnsi="Calibri" w:cs="Calibri"/>
          <w:sz w:val="24"/>
          <w:szCs w:val="24"/>
        </w:rPr>
      </w:pPr>
    </w:p>
    <w:p w14:paraId="5BAB4349"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1.2.3. Substitute equivalent diets only if they are formulated for zebrafish larvae or juveniles, provide comparable particle size, and supply high-protein, nutrient-complete feed appropriate for the developmental stage.</w:t>
      </w:r>
    </w:p>
    <w:p w14:paraId="54413E6E" w14:textId="77777777" w:rsidR="00DC0FA5" w:rsidRPr="00DC0FA5" w:rsidRDefault="00DC0FA5" w:rsidP="00DC0FA5">
      <w:pPr>
        <w:spacing w:line="0" w:lineRule="atLeast"/>
        <w:jc w:val="both"/>
        <w:rPr>
          <w:rFonts w:ascii="Calibri" w:hAnsi="Calibri" w:cs="Calibri"/>
          <w:sz w:val="24"/>
          <w:szCs w:val="24"/>
        </w:rPr>
      </w:pPr>
    </w:p>
    <w:p w14:paraId="6604F44D"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1.2.4. Supplement larval and juvenile diets with freshly hatched live brine shrimp nauplii once daily at noon on weekdays. Hatch brine shrimp cysts in aerated salt water for 24–36 h according to the manufacturer’s instructions.</w:t>
      </w:r>
    </w:p>
    <w:p w14:paraId="671D0EDA" w14:textId="77777777" w:rsidR="00DC0FA5" w:rsidRPr="00DC0FA5" w:rsidRDefault="00DC0FA5" w:rsidP="00DC0FA5">
      <w:pPr>
        <w:spacing w:line="0" w:lineRule="atLeast"/>
        <w:jc w:val="both"/>
        <w:rPr>
          <w:rFonts w:ascii="Calibri" w:hAnsi="Calibri" w:cs="Calibri"/>
          <w:sz w:val="24"/>
          <w:szCs w:val="24"/>
        </w:rPr>
      </w:pPr>
    </w:p>
    <w:p w14:paraId="60CFBC13"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1.2.5. Collect actively swimming nauplii, rinse them with system water, and feed only the amount consumed within 5–10 min.</w:t>
      </w:r>
    </w:p>
    <w:p w14:paraId="1C6F20E9" w14:textId="77777777" w:rsidR="00DC0FA5" w:rsidRPr="00DC0FA5" w:rsidRDefault="00DC0FA5" w:rsidP="00DC0FA5">
      <w:pPr>
        <w:spacing w:line="0" w:lineRule="atLeast"/>
        <w:jc w:val="both"/>
        <w:rPr>
          <w:rFonts w:ascii="Calibri" w:hAnsi="Calibri" w:cs="Calibri"/>
          <w:sz w:val="24"/>
          <w:szCs w:val="24"/>
        </w:rPr>
      </w:pPr>
    </w:p>
    <w:p w14:paraId="6E4E55B8"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1.2.6. Avoid overfeeding, as excess feed elevates ammonia levels.</w:t>
      </w:r>
    </w:p>
    <w:p w14:paraId="4E3B7432" w14:textId="77777777" w:rsidR="00DC0FA5" w:rsidRPr="00DC0FA5" w:rsidRDefault="00DC0FA5" w:rsidP="00DC0FA5">
      <w:pPr>
        <w:spacing w:line="0" w:lineRule="atLeast"/>
        <w:jc w:val="both"/>
        <w:rPr>
          <w:rFonts w:ascii="Calibri" w:hAnsi="Calibri" w:cs="Calibri"/>
          <w:sz w:val="24"/>
          <w:szCs w:val="24"/>
        </w:rPr>
      </w:pPr>
    </w:p>
    <w:p w14:paraId="59E581D9"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lastRenderedPageBreak/>
        <w:t>NOTE: Remove uneaten food and visible debris daily by gentle siphoning. Inspect tanks for dead or unhealthy fish and clean tank surfaces or strainers when debris accumulation is observed. Maintain tank density, feeding, cleaning, and water-quality monitoring consistently across experimental cohorts. For additional details on zebrafish husbandry, developmental staging, brine shrimp culture, and long-term facility maintenance, refer to Westerfield</w:t>
      </w:r>
      <w:r w:rsidRPr="00DC0FA5">
        <w:rPr>
          <w:rFonts w:ascii="Calibri" w:hAnsi="Calibri" w:cs="Calibri"/>
          <w:sz w:val="24"/>
          <w:szCs w:val="24"/>
          <w:vertAlign w:val="superscript"/>
        </w:rPr>
        <w:t>15</w:t>
      </w:r>
      <w:r w:rsidRPr="00DC0FA5">
        <w:rPr>
          <w:rFonts w:ascii="Calibri" w:hAnsi="Calibri" w:cs="Calibri"/>
          <w:sz w:val="24"/>
          <w:szCs w:val="24"/>
        </w:rPr>
        <w:t xml:space="preserve"> and </w:t>
      </w:r>
      <w:proofErr w:type="spellStart"/>
      <w:r w:rsidRPr="00DC0FA5">
        <w:rPr>
          <w:rFonts w:ascii="Calibri" w:hAnsi="Calibri" w:cs="Calibri"/>
          <w:sz w:val="24"/>
          <w:szCs w:val="24"/>
        </w:rPr>
        <w:t>Avdesh</w:t>
      </w:r>
      <w:proofErr w:type="spellEnd"/>
      <w:r w:rsidRPr="00DC0FA5">
        <w:rPr>
          <w:rFonts w:ascii="Calibri" w:hAnsi="Calibri" w:cs="Calibri"/>
          <w:sz w:val="24"/>
          <w:szCs w:val="24"/>
        </w:rPr>
        <w:t xml:space="preserve"> et al.</w:t>
      </w:r>
      <w:r w:rsidRPr="00DC0FA5">
        <w:rPr>
          <w:rFonts w:ascii="Calibri" w:hAnsi="Calibri" w:cs="Calibri"/>
          <w:sz w:val="24"/>
          <w:szCs w:val="24"/>
          <w:vertAlign w:val="superscript"/>
        </w:rPr>
        <w:t>16</w:t>
      </w:r>
      <w:r w:rsidRPr="00DC0FA5">
        <w:rPr>
          <w:rFonts w:ascii="Calibri" w:hAnsi="Calibri" w:cs="Calibri"/>
          <w:sz w:val="24"/>
          <w:szCs w:val="24"/>
        </w:rPr>
        <w:t>.</w:t>
      </w:r>
    </w:p>
    <w:p w14:paraId="54B339F2" w14:textId="77777777" w:rsidR="00DC0FA5" w:rsidRPr="00DC0FA5" w:rsidRDefault="00DC0FA5" w:rsidP="00DC0FA5">
      <w:pPr>
        <w:spacing w:line="0" w:lineRule="atLeast"/>
        <w:jc w:val="both"/>
        <w:rPr>
          <w:rFonts w:ascii="Calibri" w:hAnsi="Calibri" w:cs="Calibri"/>
          <w:sz w:val="24"/>
          <w:szCs w:val="24"/>
        </w:rPr>
      </w:pPr>
    </w:p>
    <w:p w14:paraId="7AC2EA21" w14:textId="77777777" w:rsidR="00DC0FA5" w:rsidRPr="00DC0FA5" w:rsidRDefault="00DC0FA5" w:rsidP="00DC0FA5">
      <w:pPr>
        <w:spacing w:line="0" w:lineRule="atLeast"/>
        <w:jc w:val="both"/>
        <w:rPr>
          <w:rFonts w:ascii="Calibri" w:hAnsi="Calibri" w:cs="Calibri"/>
          <w:b/>
          <w:bCs/>
          <w:sz w:val="24"/>
          <w:szCs w:val="24"/>
        </w:rPr>
      </w:pPr>
      <w:r w:rsidRPr="00DC0FA5">
        <w:rPr>
          <w:rFonts w:ascii="Calibri" w:hAnsi="Calibri" w:cs="Calibri"/>
          <w:b/>
          <w:bCs/>
          <w:sz w:val="24"/>
          <w:szCs w:val="24"/>
        </w:rPr>
        <w:t>2. Embryo Collection, Reagent Preparation, and Transgenic Screening</w:t>
      </w:r>
    </w:p>
    <w:p w14:paraId="229CDF70" w14:textId="77777777" w:rsidR="00DC0FA5" w:rsidRPr="00DC0FA5" w:rsidRDefault="00DC0FA5" w:rsidP="00DC0FA5">
      <w:pPr>
        <w:spacing w:line="0" w:lineRule="atLeast"/>
        <w:jc w:val="both"/>
        <w:rPr>
          <w:rFonts w:ascii="Calibri" w:hAnsi="Calibri" w:cs="Calibri"/>
          <w:sz w:val="24"/>
          <w:szCs w:val="24"/>
        </w:rPr>
      </w:pPr>
    </w:p>
    <w:p w14:paraId="77349171"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2.1. Set up breeding crosses</w:t>
      </w:r>
    </w:p>
    <w:p w14:paraId="36BCA060" w14:textId="77777777" w:rsidR="00DC0FA5" w:rsidRPr="00DC0FA5" w:rsidRDefault="00DC0FA5" w:rsidP="00DC0FA5">
      <w:pPr>
        <w:spacing w:line="0" w:lineRule="atLeast"/>
        <w:jc w:val="both"/>
        <w:rPr>
          <w:rFonts w:ascii="Calibri" w:hAnsi="Calibri" w:cs="Calibri"/>
          <w:sz w:val="24"/>
          <w:szCs w:val="24"/>
        </w:rPr>
      </w:pPr>
    </w:p>
    <w:p w14:paraId="7D615452"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2.1.1. Assemble crossing tanks with a divider in the evening before embryo collection.</w:t>
      </w:r>
    </w:p>
    <w:p w14:paraId="19ECB8A4" w14:textId="77777777" w:rsidR="00DC0FA5" w:rsidRPr="00DC0FA5" w:rsidRDefault="00DC0FA5" w:rsidP="00DC0FA5">
      <w:pPr>
        <w:spacing w:line="0" w:lineRule="atLeast"/>
        <w:jc w:val="both"/>
        <w:rPr>
          <w:rFonts w:ascii="Calibri" w:hAnsi="Calibri" w:cs="Calibri"/>
          <w:sz w:val="24"/>
          <w:szCs w:val="24"/>
        </w:rPr>
      </w:pPr>
    </w:p>
    <w:p w14:paraId="29741FF4"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2.1.2. Place one male and two female zebrafish in each crossing tank, with males and females separated by the divider overnight.</w:t>
      </w:r>
    </w:p>
    <w:p w14:paraId="66FAAC34" w14:textId="77777777" w:rsidR="00DC0FA5" w:rsidRPr="00DC0FA5" w:rsidRDefault="00DC0FA5" w:rsidP="00DC0FA5">
      <w:pPr>
        <w:spacing w:line="0" w:lineRule="atLeast"/>
        <w:jc w:val="both"/>
        <w:rPr>
          <w:rFonts w:ascii="Calibri" w:hAnsi="Calibri" w:cs="Calibri"/>
          <w:sz w:val="24"/>
          <w:szCs w:val="24"/>
        </w:rPr>
      </w:pPr>
    </w:p>
    <w:p w14:paraId="39AD3B8E"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2.1.3. Remove the divider the following morning at the start of the light cycle and allow spawning for a fixed 2 h period. Collect embryos immediately after the spawning window to minimize developmental-stage variability.</w:t>
      </w:r>
    </w:p>
    <w:p w14:paraId="45D2894F" w14:textId="77777777" w:rsidR="00DC0FA5" w:rsidRPr="00DC0FA5" w:rsidRDefault="00DC0FA5" w:rsidP="00DC0FA5">
      <w:pPr>
        <w:spacing w:line="0" w:lineRule="atLeast"/>
        <w:jc w:val="both"/>
        <w:rPr>
          <w:rFonts w:ascii="Calibri" w:hAnsi="Calibri" w:cs="Calibri"/>
          <w:sz w:val="24"/>
          <w:szCs w:val="24"/>
        </w:rPr>
      </w:pPr>
    </w:p>
    <w:p w14:paraId="38EA638E"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2.2. Collect and incubate embryos</w:t>
      </w:r>
    </w:p>
    <w:p w14:paraId="12FA1FD9" w14:textId="77777777" w:rsidR="00DC0FA5" w:rsidRPr="00DC0FA5" w:rsidRDefault="00DC0FA5" w:rsidP="00DC0FA5">
      <w:pPr>
        <w:spacing w:line="0" w:lineRule="atLeast"/>
        <w:jc w:val="both"/>
        <w:rPr>
          <w:rFonts w:ascii="Calibri" w:hAnsi="Calibri" w:cs="Calibri"/>
          <w:sz w:val="24"/>
          <w:szCs w:val="24"/>
        </w:rPr>
      </w:pPr>
    </w:p>
    <w:p w14:paraId="20A47278"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2.2.1. Collect embryos by pouring tank water through a 400 </w:t>
      </w:r>
      <w:proofErr w:type="spellStart"/>
      <w:r w:rsidRPr="00DC0FA5">
        <w:rPr>
          <w:rFonts w:ascii="Calibri" w:hAnsi="Calibri" w:cs="Calibri"/>
          <w:sz w:val="24"/>
          <w:szCs w:val="24"/>
        </w:rPr>
        <w:t>μm</w:t>
      </w:r>
      <w:proofErr w:type="spellEnd"/>
      <w:r w:rsidRPr="00DC0FA5">
        <w:rPr>
          <w:rFonts w:ascii="Calibri" w:hAnsi="Calibri" w:cs="Calibri"/>
          <w:sz w:val="24"/>
          <w:szCs w:val="24"/>
        </w:rPr>
        <w:t xml:space="preserve"> mesh filter. Rinse embryos gently with system water or blue egg water (BEW) to remove debris, then transfer embryos to 100 mm Petri dishes using a disposable transfer pipette. Minimize handling and avoid exposing embryos to air for extended periods.</w:t>
      </w:r>
    </w:p>
    <w:p w14:paraId="5FC826A1" w14:textId="77777777" w:rsidR="00DC0FA5" w:rsidRPr="00DC0FA5" w:rsidRDefault="00DC0FA5" w:rsidP="00DC0FA5">
      <w:pPr>
        <w:spacing w:line="0" w:lineRule="atLeast"/>
        <w:jc w:val="both"/>
        <w:rPr>
          <w:rFonts w:ascii="Calibri" w:hAnsi="Calibri" w:cs="Calibri"/>
          <w:sz w:val="24"/>
          <w:szCs w:val="24"/>
        </w:rPr>
      </w:pPr>
    </w:p>
    <w:p w14:paraId="1C7EE1CE"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2.2.2. Transfer embryos to 100 mm Petri dishes containing 30 mL BEW at a density of 50–60 embryos per dish. Do not exceed 60 embryos per dish to maintain consistent development and oxygen availability.</w:t>
      </w:r>
    </w:p>
    <w:p w14:paraId="4AA96437" w14:textId="77777777" w:rsidR="00DC0FA5" w:rsidRPr="00DC0FA5" w:rsidRDefault="00DC0FA5" w:rsidP="00DC0FA5">
      <w:pPr>
        <w:spacing w:line="0" w:lineRule="atLeast"/>
        <w:jc w:val="both"/>
        <w:rPr>
          <w:rFonts w:ascii="Calibri" w:hAnsi="Calibri" w:cs="Calibri"/>
          <w:sz w:val="24"/>
          <w:szCs w:val="24"/>
        </w:rPr>
      </w:pPr>
    </w:p>
    <w:p w14:paraId="5F767DA7"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2.2.3. Incubate embryos at 28.5°C under a 14 h light:10 h dark cycle.</w:t>
      </w:r>
    </w:p>
    <w:p w14:paraId="5FBF4A2E" w14:textId="77777777" w:rsidR="00DC0FA5" w:rsidRPr="00DC0FA5" w:rsidRDefault="00DC0FA5" w:rsidP="00DC0FA5">
      <w:pPr>
        <w:spacing w:line="0" w:lineRule="atLeast"/>
        <w:jc w:val="both"/>
        <w:rPr>
          <w:rFonts w:ascii="Calibri" w:hAnsi="Calibri" w:cs="Calibri"/>
          <w:sz w:val="24"/>
          <w:szCs w:val="24"/>
        </w:rPr>
      </w:pPr>
    </w:p>
    <w:p w14:paraId="488DB0BC"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2.2.4. Remove unfertilized eggs and non-viable embryos daily.</w:t>
      </w:r>
    </w:p>
    <w:p w14:paraId="7EC1F6F5" w14:textId="77777777" w:rsidR="00DC0FA5" w:rsidRPr="00DC0FA5" w:rsidRDefault="00DC0FA5" w:rsidP="00DC0FA5">
      <w:pPr>
        <w:spacing w:line="0" w:lineRule="atLeast"/>
        <w:jc w:val="both"/>
        <w:rPr>
          <w:rFonts w:ascii="Calibri" w:hAnsi="Calibri" w:cs="Calibri"/>
          <w:sz w:val="24"/>
          <w:szCs w:val="24"/>
        </w:rPr>
      </w:pPr>
    </w:p>
    <w:p w14:paraId="722C0CF6"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NOTE: Prepare BEW using 60 mg </w:t>
      </w:r>
      <w:proofErr w:type="gramStart"/>
      <w:r w:rsidRPr="00DC0FA5">
        <w:rPr>
          <w:rFonts w:ascii="Calibri" w:hAnsi="Calibri" w:cs="Calibri"/>
          <w:sz w:val="24"/>
          <w:szCs w:val="24"/>
        </w:rPr>
        <w:t>Instant Ocean sea</w:t>
      </w:r>
      <w:proofErr w:type="gramEnd"/>
      <w:r w:rsidRPr="00DC0FA5">
        <w:rPr>
          <w:rFonts w:ascii="Calibri" w:hAnsi="Calibri" w:cs="Calibri"/>
          <w:sz w:val="24"/>
          <w:szCs w:val="24"/>
        </w:rPr>
        <w:t xml:space="preserve"> salt, 50 </w:t>
      </w:r>
      <w:proofErr w:type="spellStart"/>
      <w:r w:rsidRPr="00DC0FA5">
        <w:rPr>
          <w:rFonts w:ascii="Calibri" w:hAnsi="Calibri" w:cs="Calibri"/>
          <w:sz w:val="24"/>
          <w:szCs w:val="24"/>
        </w:rPr>
        <w:t>μL</w:t>
      </w:r>
      <w:proofErr w:type="spellEnd"/>
      <w:r w:rsidRPr="00DC0FA5">
        <w:rPr>
          <w:rFonts w:ascii="Calibri" w:hAnsi="Calibri" w:cs="Calibri"/>
          <w:sz w:val="24"/>
          <w:szCs w:val="24"/>
        </w:rPr>
        <w:t xml:space="preserve"> of 1% methylene blue, and 1 L of deionized water</w:t>
      </w:r>
      <w:r w:rsidRPr="00DC0FA5">
        <w:rPr>
          <w:rFonts w:ascii="Calibri" w:hAnsi="Calibri" w:cs="Calibri"/>
          <w:sz w:val="24"/>
          <w:szCs w:val="24"/>
          <w:vertAlign w:val="superscript"/>
        </w:rPr>
        <w:t>17</w:t>
      </w:r>
      <w:r w:rsidRPr="00DC0FA5">
        <w:rPr>
          <w:rFonts w:ascii="Calibri" w:hAnsi="Calibri" w:cs="Calibri"/>
          <w:sz w:val="24"/>
          <w:szCs w:val="24"/>
        </w:rPr>
        <w:t>.</w:t>
      </w:r>
    </w:p>
    <w:p w14:paraId="1EFA323B" w14:textId="77777777" w:rsidR="00DC0FA5" w:rsidRPr="00DC0FA5" w:rsidRDefault="00DC0FA5" w:rsidP="00DC0FA5">
      <w:pPr>
        <w:spacing w:line="0" w:lineRule="atLeast"/>
        <w:jc w:val="both"/>
        <w:rPr>
          <w:rFonts w:ascii="Calibri" w:hAnsi="Calibri" w:cs="Calibri"/>
          <w:sz w:val="24"/>
          <w:szCs w:val="24"/>
        </w:rPr>
      </w:pPr>
    </w:p>
    <w:p w14:paraId="7F65B475"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2.3. Prepare and apply 1-phenyl-2-thiourea (PTU) solution</w:t>
      </w:r>
    </w:p>
    <w:p w14:paraId="7BC8E117" w14:textId="77777777" w:rsidR="00DC0FA5" w:rsidRPr="00DC0FA5" w:rsidRDefault="00DC0FA5" w:rsidP="00DC0FA5">
      <w:pPr>
        <w:spacing w:line="0" w:lineRule="atLeast"/>
        <w:jc w:val="both"/>
        <w:rPr>
          <w:rFonts w:ascii="Calibri" w:hAnsi="Calibri" w:cs="Calibri"/>
          <w:sz w:val="24"/>
          <w:szCs w:val="24"/>
        </w:rPr>
      </w:pPr>
    </w:p>
    <w:p w14:paraId="64702178"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2.3.1. Prepare a 100 mM PTU stock solution in dimethyl sulfoxide (DMSO).</w:t>
      </w:r>
    </w:p>
    <w:p w14:paraId="3CC0EB03" w14:textId="77777777" w:rsidR="00DC0FA5" w:rsidRPr="00DC0FA5" w:rsidRDefault="00DC0FA5" w:rsidP="00DC0FA5">
      <w:pPr>
        <w:spacing w:line="0" w:lineRule="atLeast"/>
        <w:jc w:val="both"/>
        <w:rPr>
          <w:rFonts w:ascii="Calibri" w:hAnsi="Calibri" w:cs="Calibri"/>
          <w:sz w:val="24"/>
          <w:szCs w:val="24"/>
        </w:rPr>
      </w:pPr>
    </w:p>
    <w:p w14:paraId="50049394"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2.3.2. Store the PTU stock solution at 4°C protected from light.</w:t>
      </w:r>
    </w:p>
    <w:p w14:paraId="5A9E652A" w14:textId="77777777" w:rsidR="00DC0FA5" w:rsidRPr="00DC0FA5" w:rsidRDefault="00DC0FA5" w:rsidP="00DC0FA5">
      <w:pPr>
        <w:spacing w:line="0" w:lineRule="atLeast"/>
        <w:jc w:val="both"/>
        <w:rPr>
          <w:rFonts w:ascii="Calibri" w:hAnsi="Calibri" w:cs="Calibri"/>
          <w:sz w:val="24"/>
          <w:szCs w:val="24"/>
        </w:rPr>
      </w:pPr>
    </w:p>
    <w:p w14:paraId="099BD247"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lastRenderedPageBreak/>
        <w:t>2.3.3. At 24–36 h post-fertilization (</w:t>
      </w:r>
      <w:proofErr w:type="spellStart"/>
      <w:r w:rsidRPr="00DC0FA5">
        <w:rPr>
          <w:rFonts w:ascii="Calibri" w:hAnsi="Calibri" w:cs="Calibri"/>
          <w:sz w:val="24"/>
          <w:szCs w:val="24"/>
        </w:rPr>
        <w:t>hpf</w:t>
      </w:r>
      <w:proofErr w:type="spellEnd"/>
      <w:r w:rsidRPr="00DC0FA5">
        <w:rPr>
          <w:rFonts w:ascii="Calibri" w:hAnsi="Calibri" w:cs="Calibri"/>
          <w:sz w:val="24"/>
          <w:szCs w:val="24"/>
        </w:rPr>
        <w:t xml:space="preserve">), add 60 </w:t>
      </w:r>
      <w:proofErr w:type="spellStart"/>
      <w:r w:rsidRPr="00DC0FA5">
        <w:rPr>
          <w:rFonts w:ascii="Calibri" w:hAnsi="Calibri" w:cs="Calibri"/>
          <w:sz w:val="24"/>
          <w:szCs w:val="24"/>
        </w:rPr>
        <w:t>μL</w:t>
      </w:r>
      <w:proofErr w:type="spellEnd"/>
      <w:r w:rsidRPr="00DC0FA5">
        <w:rPr>
          <w:rFonts w:ascii="Calibri" w:hAnsi="Calibri" w:cs="Calibri"/>
          <w:sz w:val="24"/>
          <w:szCs w:val="24"/>
        </w:rPr>
        <w:t xml:space="preserve"> of PTU stock solution to each dish containing 30 mL BEW to achieve a final concentration of 200 </w:t>
      </w:r>
      <w:proofErr w:type="spellStart"/>
      <w:r w:rsidRPr="00DC0FA5">
        <w:rPr>
          <w:rFonts w:ascii="Calibri" w:hAnsi="Calibri" w:cs="Calibri"/>
          <w:sz w:val="24"/>
          <w:szCs w:val="24"/>
        </w:rPr>
        <w:t>μM</w:t>
      </w:r>
      <w:proofErr w:type="spellEnd"/>
      <w:r w:rsidRPr="00DC0FA5">
        <w:rPr>
          <w:rFonts w:ascii="Calibri" w:hAnsi="Calibri" w:cs="Calibri"/>
          <w:sz w:val="24"/>
          <w:szCs w:val="24"/>
        </w:rPr>
        <w:t>.</w:t>
      </w:r>
    </w:p>
    <w:p w14:paraId="39DEB55A" w14:textId="77777777" w:rsidR="00DC0FA5" w:rsidRPr="00DC0FA5" w:rsidRDefault="00DC0FA5" w:rsidP="00DC0FA5">
      <w:pPr>
        <w:spacing w:line="0" w:lineRule="atLeast"/>
        <w:jc w:val="both"/>
        <w:rPr>
          <w:rFonts w:ascii="Calibri" w:hAnsi="Calibri" w:cs="Calibri"/>
          <w:sz w:val="24"/>
          <w:szCs w:val="24"/>
        </w:rPr>
      </w:pPr>
    </w:p>
    <w:p w14:paraId="2FE00315"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2.3.4. Mix PTU by gently swirling the Petri dish in a circular motion 5–10 times. Avoid pipetting directly onto embryos to minimize mechanical stress.</w:t>
      </w:r>
    </w:p>
    <w:p w14:paraId="3FE2F7BF" w14:textId="77777777" w:rsidR="00DC0FA5" w:rsidRPr="00DC0FA5" w:rsidRDefault="00DC0FA5" w:rsidP="00DC0FA5">
      <w:pPr>
        <w:spacing w:line="0" w:lineRule="atLeast"/>
        <w:jc w:val="both"/>
        <w:rPr>
          <w:rFonts w:ascii="Calibri" w:hAnsi="Calibri" w:cs="Calibri"/>
          <w:sz w:val="24"/>
          <w:szCs w:val="24"/>
        </w:rPr>
      </w:pPr>
    </w:p>
    <w:p w14:paraId="0147404B"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CAUTION: PTU may cause respiratory and skin irritation. Handle with gloves and perform preparation in a well-ventilated area.</w:t>
      </w:r>
    </w:p>
    <w:p w14:paraId="257A31EC" w14:textId="77777777" w:rsidR="00DC0FA5" w:rsidRPr="00DC0FA5" w:rsidRDefault="00DC0FA5" w:rsidP="00DC0FA5">
      <w:pPr>
        <w:spacing w:line="0" w:lineRule="atLeast"/>
        <w:jc w:val="both"/>
        <w:rPr>
          <w:rFonts w:ascii="Calibri" w:hAnsi="Calibri" w:cs="Calibri"/>
          <w:sz w:val="24"/>
          <w:szCs w:val="24"/>
        </w:rPr>
      </w:pPr>
    </w:p>
    <w:p w14:paraId="5BD9F8CF"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2.4. Prepare tricaine anesthetic</w:t>
      </w:r>
    </w:p>
    <w:p w14:paraId="542B0CE1" w14:textId="77777777" w:rsidR="00DC0FA5" w:rsidRPr="00DC0FA5" w:rsidRDefault="00DC0FA5" w:rsidP="00DC0FA5">
      <w:pPr>
        <w:spacing w:line="0" w:lineRule="atLeast"/>
        <w:jc w:val="both"/>
        <w:rPr>
          <w:rFonts w:ascii="Calibri" w:hAnsi="Calibri" w:cs="Calibri"/>
          <w:sz w:val="24"/>
          <w:szCs w:val="24"/>
        </w:rPr>
      </w:pPr>
    </w:p>
    <w:p w14:paraId="1299F6A6"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2.4.1. Dissolve 400 mg tricaine </w:t>
      </w:r>
      <w:proofErr w:type="spellStart"/>
      <w:r w:rsidRPr="00DC0FA5">
        <w:rPr>
          <w:rFonts w:ascii="Calibri" w:hAnsi="Calibri" w:cs="Calibri"/>
          <w:sz w:val="24"/>
          <w:szCs w:val="24"/>
        </w:rPr>
        <w:t>methanesulfonate</w:t>
      </w:r>
      <w:proofErr w:type="spellEnd"/>
      <w:r w:rsidRPr="00DC0FA5">
        <w:rPr>
          <w:rFonts w:ascii="Calibri" w:hAnsi="Calibri" w:cs="Calibri"/>
          <w:sz w:val="24"/>
          <w:szCs w:val="24"/>
        </w:rPr>
        <w:t xml:space="preserve"> in 97.9 mL Milli-Q water.</w:t>
      </w:r>
    </w:p>
    <w:p w14:paraId="3797E8CA" w14:textId="77777777" w:rsidR="00DC0FA5" w:rsidRPr="00DC0FA5" w:rsidRDefault="00DC0FA5" w:rsidP="00DC0FA5">
      <w:pPr>
        <w:spacing w:line="0" w:lineRule="atLeast"/>
        <w:jc w:val="both"/>
        <w:rPr>
          <w:rFonts w:ascii="Calibri" w:hAnsi="Calibri" w:cs="Calibri"/>
          <w:sz w:val="24"/>
          <w:szCs w:val="24"/>
        </w:rPr>
      </w:pPr>
    </w:p>
    <w:p w14:paraId="59CA66D9"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2.4.2. Add 2.1 mL of 1 M Tris base (pH 9) to the solution.</w:t>
      </w:r>
    </w:p>
    <w:p w14:paraId="44D86807" w14:textId="77777777" w:rsidR="00DC0FA5" w:rsidRPr="00DC0FA5" w:rsidRDefault="00DC0FA5" w:rsidP="00DC0FA5">
      <w:pPr>
        <w:spacing w:line="0" w:lineRule="atLeast"/>
        <w:jc w:val="both"/>
        <w:rPr>
          <w:rFonts w:ascii="Calibri" w:hAnsi="Calibri" w:cs="Calibri"/>
          <w:sz w:val="24"/>
          <w:szCs w:val="24"/>
        </w:rPr>
      </w:pPr>
    </w:p>
    <w:p w14:paraId="3D1B9C2D"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2.4.3. Adjust the solution to pH 7.0 using 0.1 M sodium hydroxide or hydrochloric acid.</w:t>
      </w:r>
    </w:p>
    <w:p w14:paraId="674336B3" w14:textId="77777777" w:rsidR="00DC0FA5" w:rsidRPr="00DC0FA5" w:rsidRDefault="00DC0FA5" w:rsidP="00DC0FA5">
      <w:pPr>
        <w:spacing w:line="0" w:lineRule="atLeast"/>
        <w:jc w:val="both"/>
        <w:rPr>
          <w:rFonts w:ascii="Calibri" w:hAnsi="Calibri" w:cs="Calibri"/>
          <w:sz w:val="24"/>
          <w:szCs w:val="24"/>
        </w:rPr>
      </w:pPr>
    </w:p>
    <w:p w14:paraId="18964E64"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2.4.4. Aliquot the solution into labeled tubes and store at 4°C.</w:t>
      </w:r>
    </w:p>
    <w:p w14:paraId="594A123E" w14:textId="77777777" w:rsidR="00DC0FA5" w:rsidRPr="00DC0FA5" w:rsidRDefault="00DC0FA5" w:rsidP="00DC0FA5">
      <w:pPr>
        <w:spacing w:line="0" w:lineRule="atLeast"/>
        <w:jc w:val="both"/>
        <w:rPr>
          <w:rFonts w:ascii="Calibri" w:hAnsi="Calibri" w:cs="Calibri"/>
          <w:sz w:val="24"/>
          <w:szCs w:val="24"/>
        </w:rPr>
      </w:pPr>
    </w:p>
    <w:p w14:paraId="09AAAC0B"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2.4.5. Dilute the stock solution 1:25 to obtain a working concentration of 160 </w:t>
      </w:r>
      <w:proofErr w:type="spellStart"/>
      <w:r w:rsidRPr="00DC0FA5">
        <w:rPr>
          <w:rFonts w:ascii="Calibri" w:hAnsi="Calibri" w:cs="Calibri"/>
          <w:sz w:val="24"/>
          <w:szCs w:val="24"/>
        </w:rPr>
        <w:t>μg</w:t>
      </w:r>
      <w:proofErr w:type="spellEnd"/>
      <w:r w:rsidRPr="00DC0FA5">
        <w:rPr>
          <w:rFonts w:ascii="Calibri" w:hAnsi="Calibri" w:cs="Calibri"/>
          <w:sz w:val="24"/>
          <w:szCs w:val="24"/>
        </w:rPr>
        <w:t xml:space="preserve">/mL or dilute 1:100 to obtain 40 </w:t>
      </w:r>
      <w:proofErr w:type="spellStart"/>
      <w:r w:rsidRPr="00DC0FA5">
        <w:rPr>
          <w:rFonts w:ascii="Calibri" w:hAnsi="Calibri" w:cs="Calibri"/>
          <w:sz w:val="24"/>
          <w:szCs w:val="24"/>
        </w:rPr>
        <w:t>μg</w:t>
      </w:r>
      <w:proofErr w:type="spellEnd"/>
      <w:r w:rsidRPr="00DC0FA5">
        <w:rPr>
          <w:rFonts w:ascii="Calibri" w:hAnsi="Calibri" w:cs="Calibri"/>
          <w:sz w:val="24"/>
          <w:szCs w:val="24"/>
        </w:rPr>
        <w:t xml:space="preserve">/mL for </w:t>
      </w:r>
      <w:proofErr w:type="gramStart"/>
      <w:r w:rsidRPr="00DC0FA5">
        <w:rPr>
          <w:rFonts w:ascii="Calibri" w:hAnsi="Calibri" w:cs="Calibri"/>
          <w:sz w:val="24"/>
          <w:szCs w:val="24"/>
        </w:rPr>
        <w:t>low-dose</w:t>
      </w:r>
      <w:proofErr w:type="gramEnd"/>
      <w:r w:rsidRPr="00DC0FA5">
        <w:rPr>
          <w:rFonts w:ascii="Calibri" w:hAnsi="Calibri" w:cs="Calibri"/>
          <w:sz w:val="24"/>
          <w:szCs w:val="24"/>
        </w:rPr>
        <w:t xml:space="preserve"> applications</w:t>
      </w:r>
      <w:r w:rsidRPr="00DC0FA5">
        <w:rPr>
          <w:rFonts w:ascii="Calibri" w:hAnsi="Calibri" w:cs="Calibri"/>
          <w:sz w:val="24"/>
          <w:szCs w:val="24"/>
          <w:vertAlign w:val="superscript"/>
        </w:rPr>
        <w:t>18</w:t>
      </w:r>
      <w:r w:rsidRPr="00DC0FA5">
        <w:rPr>
          <w:rFonts w:ascii="Calibri" w:hAnsi="Calibri" w:cs="Calibri"/>
          <w:sz w:val="24"/>
          <w:szCs w:val="24"/>
        </w:rPr>
        <w:t>.</w:t>
      </w:r>
    </w:p>
    <w:p w14:paraId="7396DB77" w14:textId="77777777" w:rsidR="00DC0FA5" w:rsidRPr="00DC0FA5" w:rsidRDefault="00DC0FA5" w:rsidP="00DC0FA5">
      <w:pPr>
        <w:spacing w:line="0" w:lineRule="atLeast"/>
        <w:jc w:val="both"/>
        <w:rPr>
          <w:rFonts w:ascii="Calibri" w:hAnsi="Calibri" w:cs="Calibri"/>
          <w:sz w:val="24"/>
          <w:szCs w:val="24"/>
        </w:rPr>
      </w:pPr>
    </w:p>
    <w:p w14:paraId="7D6E4A48"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CAUTION: Tricaine </w:t>
      </w:r>
      <w:proofErr w:type="spellStart"/>
      <w:r w:rsidRPr="00DC0FA5">
        <w:rPr>
          <w:rFonts w:ascii="Calibri" w:hAnsi="Calibri" w:cs="Calibri"/>
          <w:sz w:val="24"/>
          <w:szCs w:val="24"/>
        </w:rPr>
        <w:t>methanesulfonate</w:t>
      </w:r>
      <w:proofErr w:type="spellEnd"/>
      <w:r w:rsidRPr="00DC0FA5">
        <w:rPr>
          <w:rFonts w:ascii="Calibri" w:hAnsi="Calibri" w:cs="Calibri"/>
          <w:sz w:val="24"/>
          <w:szCs w:val="24"/>
        </w:rPr>
        <w:t xml:space="preserve"> is a chemical anesthetic. Handle using appropriate personal protective equipment.</w:t>
      </w:r>
    </w:p>
    <w:p w14:paraId="0B249549" w14:textId="77777777" w:rsidR="00DC0FA5" w:rsidRPr="00DC0FA5" w:rsidRDefault="00DC0FA5" w:rsidP="00DC0FA5">
      <w:pPr>
        <w:spacing w:line="0" w:lineRule="atLeast"/>
        <w:jc w:val="both"/>
        <w:rPr>
          <w:rFonts w:ascii="Calibri" w:hAnsi="Calibri" w:cs="Calibri"/>
          <w:sz w:val="24"/>
          <w:szCs w:val="24"/>
        </w:rPr>
      </w:pPr>
    </w:p>
    <w:p w14:paraId="157FBF01"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2.5. Perform outcrossing</w:t>
      </w:r>
    </w:p>
    <w:p w14:paraId="60CF46A7" w14:textId="77777777" w:rsidR="00DC0FA5" w:rsidRPr="00DC0FA5" w:rsidRDefault="00DC0FA5" w:rsidP="00DC0FA5">
      <w:pPr>
        <w:spacing w:line="0" w:lineRule="atLeast"/>
        <w:jc w:val="both"/>
        <w:rPr>
          <w:rFonts w:ascii="Calibri" w:hAnsi="Calibri" w:cs="Calibri"/>
          <w:sz w:val="24"/>
          <w:szCs w:val="24"/>
        </w:rPr>
      </w:pPr>
    </w:p>
    <w:p w14:paraId="0AD664D7"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2.5.1. Outcross homozygous </w:t>
      </w:r>
      <w:proofErr w:type="spellStart"/>
      <w:proofErr w:type="gramStart"/>
      <w:r w:rsidRPr="00DC0FA5">
        <w:rPr>
          <w:rFonts w:ascii="Calibri" w:hAnsi="Calibri" w:cs="Calibri"/>
          <w:sz w:val="24"/>
          <w:szCs w:val="24"/>
        </w:rPr>
        <w:t>Tg</w:t>
      </w:r>
      <w:proofErr w:type="spellEnd"/>
      <w:r w:rsidRPr="00DC0FA5">
        <w:rPr>
          <w:rFonts w:ascii="Calibri" w:hAnsi="Calibri" w:cs="Calibri"/>
          <w:sz w:val="24"/>
          <w:szCs w:val="24"/>
        </w:rPr>
        <w:t>(th:Gal</w:t>
      </w:r>
      <w:proofErr w:type="gramEnd"/>
      <w:r w:rsidRPr="00DC0FA5">
        <w:rPr>
          <w:rFonts w:ascii="Calibri" w:hAnsi="Calibri" w:cs="Calibri"/>
          <w:sz w:val="24"/>
          <w:szCs w:val="24"/>
        </w:rPr>
        <w:t xml:space="preserve">4; </w:t>
      </w:r>
      <w:proofErr w:type="gramStart"/>
      <w:r w:rsidRPr="00DC0FA5">
        <w:rPr>
          <w:rFonts w:ascii="Calibri" w:hAnsi="Calibri" w:cs="Calibri"/>
          <w:sz w:val="24"/>
          <w:szCs w:val="24"/>
        </w:rPr>
        <w:t>UAS:NTR</w:t>
      </w:r>
      <w:proofErr w:type="gramEnd"/>
      <w:r w:rsidRPr="00DC0FA5">
        <w:rPr>
          <w:rFonts w:ascii="Calibri" w:hAnsi="Calibri" w:cs="Calibri"/>
          <w:sz w:val="24"/>
          <w:szCs w:val="24"/>
        </w:rPr>
        <w:t>-</w:t>
      </w:r>
      <w:proofErr w:type="spellStart"/>
      <w:r w:rsidRPr="00DC0FA5">
        <w:rPr>
          <w:rFonts w:ascii="Calibri" w:hAnsi="Calibri" w:cs="Calibri"/>
          <w:sz w:val="24"/>
          <w:szCs w:val="24"/>
        </w:rPr>
        <w:t>mCherry</w:t>
      </w:r>
      <w:proofErr w:type="spellEnd"/>
      <w:r w:rsidRPr="00DC0FA5">
        <w:rPr>
          <w:rFonts w:ascii="Calibri" w:hAnsi="Calibri" w:cs="Calibri"/>
          <w:sz w:val="24"/>
          <w:szCs w:val="24"/>
        </w:rPr>
        <w:t>) adults with AB wild-type zebrafish by placing one homozygous transgenic adult and one AB wild-type adult of the opposite sex in a crossing tank with a divider overnight. Remove the divider at the start of the light cycle and collect embryos after a fixed 2 h spawning window.</w:t>
      </w:r>
    </w:p>
    <w:p w14:paraId="5DE73C5C" w14:textId="77777777" w:rsidR="00DC0FA5" w:rsidRPr="00DC0FA5" w:rsidRDefault="00DC0FA5" w:rsidP="00DC0FA5">
      <w:pPr>
        <w:spacing w:line="0" w:lineRule="atLeast"/>
        <w:jc w:val="both"/>
        <w:rPr>
          <w:rFonts w:ascii="Calibri" w:hAnsi="Calibri" w:cs="Calibri"/>
          <w:sz w:val="24"/>
          <w:szCs w:val="24"/>
        </w:rPr>
      </w:pPr>
    </w:p>
    <w:p w14:paraId="0B036E5E"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2.6. Screen transgenic larvae</w:t>
      </w:r>
    </w:p>
    <w:p w14:paraId="1DADB091" w14:textId="77777777" w:rsidR="00DC0FA5" w:rsidRPr="00DC0FA5" w:rsidRDefault="00DC0FA5" w:rsidP="00DC0FA5">
      <w:pPr>
        <w:spacing w:line="0" w:lineRule="atLeast"/>
        <w:jc w:val="both"/>
        <w:rPr>
          <w:rFonts w:ascii="Calibri" w:hAnsi="Calibri" w:cs="Calibri"/>
          <w:sz w:val="24"/>
          <w:szCs w:val="24"/>
        </w:rPr>
      </w:pPr>
    </w:p>
    <w:p w14:paraId="2B5B68CB"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2.6.1. At 3 days post-fertilization (</w:t>
      </w:r>
      <w:proofErr w:type="spellStart"/>
      <w:r w:rsidRPr="00DC0FA5">
        <w:rPr>
          <w:rFonts w:ascii="Calibri" w:hAnsi="Calibri" w:cs="Calibri"/>
          <w:sz w:val="24"/>
          <w:szCs w:val="24"/>
        </w:rPr>
        <w:t>dpf</w:t>
      </w:r>
      <w:proofErr w:type="spellEnd"/>
      <w:r w:rsidRPr="00DC0FA5">
        <w:rPr>
          <w:rFonts w:ascii="Calibri" w:hAnsi="Calibri" w:cs="Calibri"/>
          <w:sz w:val="24"/>
          <w:szCs w:val="24"/>
        </w:rPr>
        <w:t xml:space="preserve">), anesthetize larvae using tricaine at a final concentration of 160 </w:t>
      </w:r>
      <w:proofErr w:type="spellStart"/>
      <w:r w:rsidRPr="00DC0FA5">
        <w:rPr>
          <w:rFonts w:ascii="Calibri" w:hAnsi="Calibri" w:cs="Calibri"/>
          <w:sz w:val="24"/>
          <w:szCs w:val="24"/>
        </w:rPr>
        <w:t>μg</w:t>
      </w:r>
      <w:proofErr w:type="spellEnd"/>
      <w:r w:rsidRPr="00DC0FA5">
        <w:rPr>
          <w:rFonts w:ascii="Calibri" w:hAnsi="Calibri" w:cs="Calibri"/>
          <w:sz w:val="24"/>
          <w:szCs w:val="24"/>
        </w:rPr>
        <w:t>/</w:t>
      </w:r>
      <w:proofErr w:type="spellStart"/>
      <w:r w:rsidRPr="00DC0FA5">
        <w:rPr>
          <w:rFonts w:ascii="Calibri" w:hAnsi="Calibri" w:cs="Calibri"/>
          <w:sz w:val="24"/>
          <w:szCs w:val="24"/>
        </w:rPr>
        <w:t>mL.</w:t>
      </w:r>
      <w:proofErr w:type="spellEnd"/>
    </w:p>
    <w:p w14:paraId="6CCFFD79" w14:textId="77777777" w:rsidR="00DC0FA5" w:rsidRPr="00DC0FA5" w:rsidRDefault="00DC0FA5" w:rsidP="00DC0FA5">
      <w:pPr>
        <w:spacing w:line="0" w:lineRule="atLeast"/>
        <w:jc w:val="both"/>
        <w:rPr>
          <w:rFonts w:ascii="Calibri" w:hAnsi="Calibri" w:cs="Calibri"/>
          <w:sz w:val="24"/>
          <w:szCs w:val="24"/>
        </w:rPr>
      </w:pPr>
    </w:p>
    <w:p w14:paraId="023C00F9"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2.6.2. Observe larvae under a fluorescence stereomicroscope using the </w:t>
      </w:r>
      <w:proofErr w:type="spellStart"/>
      <w:r w:rsidRPr="00DC0FA5">
        <w:rPr>
          <w:rFonts w:ascii="Calibri" w:hAnsi="Calibri" w:cs="Calibri"/>
          <w:sz w:val="24"/>
          <w:szCs w:val="24"/>
        </w:rPr>
        <w:t>mCherry</w:t>
      </w:r>
      <w:proofErr w:type="spellEnd"/>
      <w:r w:rsidRPr="00DC0FA5">
        <w:rPr>
          <w:rFonts w:ascii="Calibri" w:hAnsi="Calibri" w:cs="Calibri"/>
          <w:sz w:val="24"/>
          <w:szCs w:val="24"/>
        </w:rPr>
        <w:t xml:space="preserve"> filter set (excitation ~587 nm, emission ~610 nm). Use the same screening settings for all larvae within an experiment, including objective magnification, exposure time, gain, and illumination intensity.</w:t>
      </w:r>
    </w:p>
    <w:p w14:paraId="52FE073B" w14:textId="77777777" w:rsidR="00DC0FA5" w:rsidRPr="00DC0FA5" w:rsidRDefault="00DC0FA5" w:rsidP="00DC0FA5">
      <w:pPr>
        <w:spacing w:line="0" w:lineRule="atLeast"/>
        <w:jc w:val="both"/>
        <w:rPr>
          <w:rFonts w:ascii="Calibri" w:hAnsi="Calibri" w:cs="Calibri"/>
          <w:sz w:val="24"/>
          <w:szCs w:val="24"/>
        </w:rPr>
      </w:pPr>
    </w:p>
    <w:p w14:paraId="766833CE"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2.6.3. Set exposure and gain using a known positive transgenic larva so that DA neuron fluorescence is clearly visible without saturation, then maintain these settings for all remaining larvae in the experiment.</w:t>
      </w:r>
    </w:p>
    <w:p w14:paraId="169860B9" w14:textId="77777777" w:rsidR="00DC0FA5" w:rsidRPr="00DC0FA5" w:rsidRDefault="00DC0FA5" w:rsidP="00DC0FA5">
      <w:pPr>
        <w:spacing w:line="0" w:lineRule="atLeast"/>
        <w:jc w:val="both"/>
        <w:rPr>
          <w:rFonts w:ascii="Calibri" w:hAnsi="Calibri" w:cs="Calibri"/>
          <w:sz w:val="24"/>
          <w:szCs w:val="24"/>
        </w:rPr>
      </w:pPr>
    </w:p>
    <w:p w14:paraId="6EC3487C"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2.6.4. Confirm the presence of </w:t>
      </w:r>
      <w:proofErr w:type="spellStart"/>
      <w:r w:rsidRPr="00DC0FA5">
        <w:rPr>
          <w:rFonts w:ascii="Calibri" w:hAnsi="Calibri" w:cs="Calibri"/>
          <w:sz w:val="24"/>
          <w:szCs w:val="24"/>
        </w:rPr>
        <w:t>mCherry</w:t>
      </w:r>
      <w:proofErr w:type="spellEnd"/>
      <w:r w:rsidRPr="00DC0FA5">
        <w:rPr>
          <w:rFonts w:ascii="Calibri" w:hAnsi="Calibri" w:cs="Calibri"/>
          <w:sz w:val="24"/>
          <w:szCs w:val="24"/>
        </w:rPr>
        <w:t>-positive signal localized to DA neuron clusters in the ventral diencephalon between the eyes and slightly ventral to the midline (</w:t>
      </w:r>
      <w:r w:rsidRPr="00DC0FA5">
        <w:rPr>
          <w:rFonts w:ascii="Calibri" w:hAnsi="Calibri" w:cs="Calibri"/>
          <w:b/>
          <w:bCs/>
          <w:sz w:val="24"/>
          <w:szCs w:val="24"/>
        </w:rPr>
        <w:t>Figure 1A</w:t>
      </w:r>
      <w:r w:rsidRPr="00DC0FA5">
        <w:rPr>
          <w:rFonts w:ascii="Calibri" w:hAnsi="Calibri" w:cs="Calibri"/>
          <w:sz w:val="24"/>
          <w:szCs w:val="24"/>
        </w:rPr>
        <w:t>).</w:t>
      </w:r>
    </w:p>
    <w:p w14:paraId="54C0AE7D" w14:textId="77777777" w:rsidR="00DC0FA5" w:rsidRPr="00DC0FA5" w:rsidRDefault="00DC0FA5" w:rsidP="00DC0FA5">
      <w:pPr>
        <w:spacing w:line="0" w:lineRule="atLeast"/>
        <w:jc w:val="both"/>
        <w:rPr>
          <w:rFonts w:ascii="Calibri" w:hAnsi="Calibri" w:cs="Calibri"/>
          <w:sz w:val="24"/>
          <w:szCs w:val="24"/>
        </w:rPr>
      </w:pPr>
    </w:p>
    <w:p w14:paraId="7EF2CB8C"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[Place </w:t>
      </w:r>
      <w:r w:rsidRPr="00DC0FA5">
        <w:rPr>
          <w:rFonts w:ascii="Calibri" w:hAnsi="Calibri" w:cs="Calibri"/>
          <w:b/>
          <w:bCs/>
          <w:sz w:val="24"/>
          <w:szCs w:val="24"/>
        </w:rPr>
        <w:t>Figure 1</w:t>
      </w:r>
      <w:r w:rsidRPr="00DC0FA5">
        <w:rPr>
          <w:rFonts w:ascii="Calibri" w:hAnsi="Calibri" w:cs="Calibri"/>
          <w:sz w:val="24"/>
          <w:szCs w:val="24"/>
        </w:rPr>
        <w:t xml:space="preserve"> here]</w:t>
      </w:r>
    </w:p>
    <w:p w14:paraId="4377A768" w14:textId="77777777" w:rsidR="00DC0FA5" w:rsidRPr="00DC0FA5" w:rsidRDefault="00DC0FA5" w:rsidP="00DC0FA5">
      <w:pPr>
        <w:spacing w:line="0" w:lineRule="atLeast"/>
        <w:jc w:val="both"/>
        <w:rPr>
          <w:rFonts w:ascii="Calibri" w:hAnsi="Calibri" w:cs="Calibri"/>
          <w:sz w:val="24"/>
          <w:szCs w:val="24"/>
        </w:rPr>
      </w:pPr>
    </w:p>
    <w:p w14:paraId="605E09D6"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2.6.5. Identify positive larvae as those showing clearly detectable </w:t>
      </w:r>
      <w:proofErr w:type="spellStart"/>
      <w:r w:rsidRPr="00DC0FA5">
        <w:rPr>
          <w:rFonts w:ascii="Calibri" w:hAnsi="Calibri" w:cs="Calibri"/>
          <w:sz w:val="24"/>
          <w:szCs w:val="24"/>
        </w:rPr>
        <w:t>mCherry</w:t>
      </w:r>
      <w:proofErr w:type="spellEnd"/>
      <w:r w:rsidRPr="00DC0FA5">
        <w:rPr>
          <w:rFonts w:ascii="Calibri" w:hAnsi="Calibri" w:cs="Calibri"/>
          <w:sz w:val="24"/>
          <w:szCs w:val="24"/>
        </w:rPr>
        <w:t xml:space="preserve"> fluorescence in the expected DA neuron clusters of the ventral diencephalon. Classify larvae as negative if no </w:t>
      </w:r>
      <w:proofErr w:type="spellStart"/>
      <w:r w:rsidRPr="00DC0FA5">
        <w:rPr>
          <w:rFonts w:ascii="Calibri" w:hAnsi="Calibri" w:cs="Calibri"/>
          <w:sz w:val="24"/>
          <w:szCs w:val="24"/>
        </w:rPr>
        <w:t>mCherry</w:t>
      </w:r>
      <w:proofErr w:type="spellEnd"/>
      <w:r w:rsidRPr="00DC0FA5">
        <w:rPr>
          <w:rFonts w:ascii="Calibri" w:hAnsi="Calibri" w:cs="Calibri"/>
          <w:sz w:val="24"/>
          <w:szCs w:val="24"/>
        </w:rPr>
        <w:t xml:space="preserve"> signal is visible above background under the fixed screening settings, using non-transgenic or known negative larvae as background controls.</w:t>
      </w:r>
    </w:p>
    <w:p w14:paraId="12AC3468" w14:textId="77777777" w:rsidR="00DC0FA5" w:rsidRPr="00DC0FA5" w:rsidRDefault="00DC0FA5" w:rsidP="00DC0FA5">
      <w:pPr>
        <w:spacing w:line="0" w:lineRule="atLeast"/>
        <w:jc w:val="both"/>
        <w:rPr>
          <w:rFonts w:ascii="Calibri" w:hAnsi="Calibri" w:cs="Calibri"/>
          <w:sz w:val="24"/>
          <w:szCs w:val="24"/>
        </w:rPr>
      </w:pPr>
    </w:p>
    <w:p w14:paraId="73632F34"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NOTE: 3 </w:t>
      </w:r>
      <w:proofErr w:type="spellStart"/>
      <w:r w:rsidRPr="00DC0FA5">
        <w:rPr>
          <w:rFonts w:ascii="Calibri" w:hAnsi="Calibri" w:cs="Calibri"/>
          <w:sz w:val="24"/>
          <w:szCs w:val="24"/>
        </w:rPr>
        <w:t>dpf</w:t>
      </w:r>
      <w:proofErr w:type="spellEnd"/>
      <w:r w:rsidRPr="00DC0FA5">
        <w:rPr>
          <w:rFonts w:ascii="Calibri" w:hAnsi="Calibri" w:cs="Calibri"/>
          <w:sz w:val="24"/>
          <w:szCs w:val="24"/>
        </w:rPr>
        <w:t xml:space="preserve"> is the earliest stage at which DA neurons in the ventral diencephalon produce a reliable fluorescent signal for quantification.</w:t>
      </w:r>
    </w:p>
    <w:p w14:paraId="3F16CB49" w14:textId="77777777" w:rsidR="00DC0FA5" w:rsidRPr="00DC0FA5" w:rsidRDefault="00DC0FA5" w:rsidP="00DC0FA5">
      <w:pPr>
        <w:spacing w:line="0" w:lineRule="atLeast"/>
        <w:jc w:val="both"/>
        <w:rPr>
          <w:rFonts w:ascii="Calibri" w:hAnsi="Calibri" w:cs="Calibri"/>
          <w:sz w:val="24"/>
          <w:szCs w:val="24"/>
        </w:rPr>
      </w:pPr>
    </w:p>
    <w:p w14:paraId="688190D9" w14:textId="77777777" w:rsidR="00DC0FA5" w:rsidRPr="00DC0FA5" w:rsidRDefault="00DC0FA5" w:rsidP="00DC0FA5">
      <w:pPr>
        <w:spacing w:line="0" w:lineRule="atLeast"/>
        <w:jc w:val="both"/>
        <w:rPr>
          <w:rFonts w:ascii="Calibri" w:hAnsi="Calibri" w:cs="Calibri"/>
          <w:b/>
          <w:bCs/>
          <w:sz w:val="24"/>
          <w:szCs w:val="24"/>
        </w:rPr>
      </w:pPr>
      <w:r w:rsidRPr="00DC0FA5">
        <w:rPr>
          <w:rFonts w:ascii="Calibri" w:hAnsi="Calibri" w:cs="Calibri"/>
          <w:b/>
          <w:bCs/>
          <w:sz w:val="24"/>
          <w:szCs w:val="24"/>
        </w:rPr>
        <w:t xml:space="preserve">3. </w:t>
      </w:r>
      <w:proofErr w:type="spellStart"/>
      <w:r w:rsidRPr="00DC0FA5">
        <w:rPr>
          <w:rFonts w:ascii="Calibri" w:hAnsi="Calibri" w:cs="Calibri"/>
          <w:b/>
          <w:bCs/>
          <w:sz w:val="24"/>
          <w:szCs w:val="24"/>
        </w:rPr>
        <w:t>Chemogenetic</w:t>
      </w:r>
      <w:proofErr w:type="spellEnd"/>
      <w:r w:rsidRPr="00DC0FA5">
        <w:rPr>
          <w:rFonts w:ascii="Calibri" w:hAnsi="Calibri" w:cs="Calibri"/>
          <w:b/>
          <w:bCs/>
          <w:sz w:val="24"/>
          <w:szCs w:val="24"/>
        </w:rPr>
        <w:t xml:space="preserve"> Ablation and Fluorescence Imaging</w:t>
      </w:r>
    </w:p>
    <w:p w14:paraId="4D9ED329" w14:textId="77777777" w:rsidR="00DC0FA5" w:rsidRPr="00DC0FA5" w:rsidRDefault="00DC0FA5" w:rsidP="00DC0FA5">
      <w:pPr>
        <w:spacing w:line="0" w:lineRule="atLeast"/>
        <w:jc w:val="both"/>
        <w:rPr>
          <w:rFonts w:ascii="Calibri" w:hAnsi="Calibri" w:cs="Calibri"/>
          <w:sz w:val="24"/>
          <w:szCs w:val="24"/>
        </w:rPr>
      </w:pPr>
    </w:p>
    <w:p w14:paraId="6117AF2C"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3.1. Prepare agarose embedding medium</w:t>
      </w:r>
    </w:p>
    <w:p w14:paraId="64A81EAC" w14:textId="77777777" w:rsidR="00DC0FA5" w:rsidRPr="00DC0FA5" w:rsidRDefault="00DC0FA5" w:rsidP="00DC0FA5">
      <w:pPr>
        <w:spacing w:line="0" w:lineRule="atLeast"/>
        <w:jc w:val="both"/>
        <w:rPr>
          <w:rFonts w:ascii="Calibri" w:hAnsi="Calibri" w:cs="Calibri"/>
          <w:sz w:val="24"/>
          <w:szCs w:val="24"/>
        </w:rPr>
      </w:pPr>
    </w:p>
    <w:p w14:paraId="20AD97B6"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3.1.1. On the day of embedding at 4 </w:t>
      </w:r>
      <w:proofErr w:type="spellStart"/>
      <w:r w:rsidRPr="00DC0FA5">
        <w:rPr>
          <w:rFonts w:ascii="Calibri" w:hAnsi="Calibri" w:cs="Calibri"/>
          <w:sz w:val="24"/>
          <w:szCs w:val="24"/>
        </w:rPr>
        <w:t>dpf</w:t>
      </w:r>
      <w:proofErr w:type="spellEnd"/>
      <w:r w:rsidRPr="00DC0FA5">
        <w:rPr>
          <w:rFonts w:ascii="Calibri" w:hAnsi="Calibri" w:cs="Calibri"/>
          <w:sz w:val="24"/>
          <w:szCs w:val="24"/>
        </w:rPr>
        <w:t>, prepare 1.2% low melting point agarose (LMA) in Milli-Q water.</w:t>
      </w:r>
    </w:p>
    <w:p w14:paraId="3EA1D1D2" w14:textId="77777777" w:rsidR="00DC0FA5" w:rsidRPr="00DC0FA5" w:rsidRDefault="00DC0FA5" w:rsidP="00DC0FA5">
      <w:pPr>
        <w:spacing w:line="0" w:lineRule="atLeast"/>
        <w:jc w:val="both"/>
        <w:rPr>
          <w:rFonts w:ascii="Calibri" w:hAnsi="Calibri" w:cs="Calibri"/>
          <w:sz w:val="24"/>
          <w:szCs w:val="24"/>
        </w:rPr>
      </w:pPr>
    </w:p>
    <w:p w14:paraId="60FB41AD"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3.1.2. Heat the agarose solution in a microwave in short 5–10 s intervals, swirling gently between intervals, until the agarose is fully dissolved and the solution is clear. Avoid boiling over or prolonged heating, which can alter the final agarose concentration through evaporation.</w:t>
      </w:r>
    </w:p>
    <w:p w14:paraId="22136244" w14:textId="77777777" w:rsidR="00DC0FA5" w:rsidRPr="00DC0FA5" w:rsidRDefault="00DC0FA5" w:rsidP="00DC0FA5">
      <w:pPr>
        <w:spacing w:line="0" w:lineRule="atLeast"/>
        <w:jc w:val="both"/>
        <w:rPr>
          <w:rFonts w:ascii="Calibri" w:hAnsi="Calibri" w:cs="Calibri"/>
          <w:sz w:val="24"/>
          <w:szCs w:val="24"/>
        </w:rPr>
      </w:pPr>
    </w:p>
    <w:p w14:paraId="5CAD8B11"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3.1.3. Aliquot the agarose into 1.5 mL microcentrifuge tubes.</w:t>
      </w:r>
    </w:p>
    <w:p w14:paraId="08BCE624" w14:textId="77777777" w:rsidR="00DC0FA5" w:rsidRPr="00DC0FA5" w:rsidRDefault="00DC0FA5" w:rsidP="00DC0FA5">
      <w:pPr>
        <w:spacing w:line="0" w:lineRule="atLeast"/>
        <w:jc w:val="both"/>
        <w:rPr>
          <w:rFonts w:ascii="Calibri" w:hAnsi="Calibri" w:cs="Calibri"/>
          <w:sz w:val="24"/>
          <w:szCs w:val="24"/>
        </w:rPr>
      </w:pPr>
    </w:p>
    <w:p w14:paraId="51D5BA2F"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3.1.4. Melt aliquots at 70°C and equilibrate them in a 42°C heat block before use.</w:t>
      </w:r>
    </w:p>
    <w:p w14:paraId="0F548561" w14:textId="77777777" w:rsidR="00DC0FA5" w:rsidRPr="00DC0FA5" w:rsidRDefault="00DC0FA5" w:rsidP="00DC0FA5">
      <w:pPr>
        <w:spacing w:line="0" w:lineRule="atLeast"/>
        <w:jc w:val="both"/>
        <w:rPr>
          <w:rFonts w:ascii="Calibri" w:hAnsi="Calibri" w:cs="Calibri"/>
          <w:sz w:val="24"/>
          <w:szCs w:val="24"/>
        </w:rPr>
      </w:pPr>
    </w:p>
    <w:p w14:paraId="388D87B8"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3.1.5. Add 20 </w:t>
      </w:r>
      <w:proofErr w:type="spellStart"/>
      <w:r w:rsidRPr="00DC0FA5">
        <w:rPr>
          <w:rFonts w:ascii="Calibri" w:hAnsi="Calibri" w:cs="Calibri"/>
          <w:sz w:val="24"/>
          <w:szCs w:val="24"/>
        </w:rPr>
        <w:t>μL</w:t>
      </w:r>
      <w:proofErr w:type="spellEnd"/>
      <w:r w:rsidRPr="00DC0FA5">
        <w:rPr>
          <w:rFonts w:ascii="Calibri" w:hAnsi="Calibri" w:cs="Calibri"/>
          <w:sz w:val="24"/>
          <w:szCs w:val="24"/>
        </w:rPr>
        <w:t xml:space="preserve"> of tricaine stock solution (4 mg/mL) to each agarose aliquot to achieve a working concentration of approximately 40 </w:t>
      </w:r>
      <w:proofErr w:type="spellStart"/>
      <w:r w:rsidRPr="00DC0FA5">
        <w:rPr>
          <w:rFonts w:ascii="Calibri" w:hAnsi="Calibri" w:cs="Calibri"/>
          <w:sz w:val="24"/>
          <w:szCs w:val="24"/>
        </w:rPr>
        <w:t>μg</w:t>
      </w:r>
      <w:proofErr w:type="spellEnd"/>
      <w:r w:rsidRPr="00DC0FA5">
        <w:rPr>
          <w:rFonts w:ascii="Calibri" w:hAnsi="Calibri" w:cs="Calibri"/>
          <w:sz w:val="24"/>
          <w:szCs w:val="24"/>
        </w:rPr>
        <w:t>/</w:t>
      </w:r>
      <w:proofErr w:type="spellStart"/>
      <w:r w:rsidRPr="00DC0FA5">
        <w:rPr>
          <w:rFonts w:ascii="Calibri" w:hAnsi="Calibri" w:cs="Calibri"/>
          <w:sz w:val="24"/>
          <w:szCs w:val="24"/>
        </w:rPr>
        <w:t>mL.</w:t>
      </w:r>
      <w:proofErr w:type="spellEnd"/>
    </w:p>
    <w:p w14:paraId="289C8180" w14:textId="77777777" w:rsidR="00DC0FA5" w:rsidRPr="00DC0FA5" w:rsidRDefault="00DC0FA5" w:rsidP="00DC0FA5">
      <w:pPr>
        <w:spacing w:line="0" w:lineRule="atLeast"/>
        <w:jc w:val="both"/>
        <w:rPr>
          <w:rFonts w:ascii="Calibri" w:hAnsi="Calibri" w:cs="Calibri"/>
          <w:sz w:val="24"/>
          <w:szCs w:val="24"/>
        </w:rPr>
      </w:pPr>
    </w:p>
    <w:p w14:paraId="1720D54F"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3.1.6. Mix tricaine into the molten agarose by gently pipetting up and down 5–10 times using a P200 pipette. Avoid </w:t>
      </w:r>
      <w:proofErr w:type="spellStart"/>
      <w:r w:rsidRPr="00DC0FA5">
        <w:rPr>
          <w:rFonts w:ascii="Calibri" w:hAnsi="Calibri" w:cs="Calibri"/>
          <w:sz w:val="24"/>
          <w:szCs w:val="24"/>
        </w:rPr>
        <w:t>vortexing</w:t>
      </w:r>
      <w:proofErr w:type="spellEnd"/>
      <w:r w:rsidRPr="00DC0FA5">
        <w:rPr>
          <w:rFonts w:ascii="Calibri" w:hAnsi="Calibri" w:cs="Calibri"/>
          <w:sz w:val="24"/>
          <w:szCs w:val="24"/>
        </w:rPr>
        <w:t xml:space="preserve"> or introducing bubbles, as bubbles can interfere with larval positioning and imaging.</w:t>
      </w:r>
    </w:p>
    <w:p w14:paraId="61A3E7F4" w14:textId="77777777" w:rsidR="00DC0FA5" w:rsidRPr="00DC0FA5" w:rsidRDefault="00DC0FA5" w:rsidP="00DC0FA5">
      <w:pPr>
        <w:spacing w:line="0" w:lineRule="atLeast"/>
        <w:jc w:val="both"/>
        <w:rPr>
          <w:rFonts w:ascii="Calibri" w:hAnsi="Calibri" w:cs="Calibri"/>
          <w:sz w:val="24"/>
          <w:szCs w:val="24"/>
        </w:rPr>
      </w:pPr>
    </w:p>
    <w:p w14:paraId="68065494"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3.2. Anesthetize and embed larvae</w:t>
      </w:r>
    </w:p>
    <w:p w14:paraId="55E7A2E8" w14:textId="77777777" w:rsidR="00DC0FA5" w:rsidRPr="00DC0FA5" w:rsidRDefault="00DC0FA5" w:rsidP="00DC0FA5">
      <w:pPr>
        <w:spacing w:line="0" w:lineRule="atLeast"/>
        <w:jc w:val="both"/>
        <w:rPr>
          <w:rFonts w:ascii="Calibri" w:hAnsi="Calibri" w:cs="Calibri"/>
          <w:sz w:val="24"/>
          <w:szCs w:val="24"/>
        </w:rPr>
      </w:pPr>
    </w:p>
    <w:p w14:paraId="326182C3"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3.2.1. Add tricaine stock solution to the Petri dish containing 4 </w:t>
      </w:r>
      <w:proofErr w:type="spellStart"/>
      <w:r w:rsidRPr="00DC0FA5">
        <w:rPr>
          <w:rFonts w:ascii="Calibri" w:hAnsi="Calibri" w:cs="Calibri"/>
          <w:sz w:val="24"/>
          <w:szCs w:val="24"/>
        </w:rPr>
        <w:t>dpf</w:t>
      </w:r>
      <w:proofErr w:type="spellEnd"/>
      <w:r w:rsidRPr="00DC0FA5">
        <w:rPr>
          <w:rFonts w:ascii="Calibri" w:hAnsi="Calibri" w:cs="Calibri"/>
          <w:sz w:val="24"/>
          <w:szCs w:val="24"/>
        </w:rPr>
        <w:t xml:space="preserve"> larvae to achieve a final concentration of 160 </w:t>
      </w:r>
      <w:proofErr w:type="spellStart"/>
      <w:r w:rsidRPr="00DC0FA5">
        <w:rPr>
          <w:rFonts w:ascii="Calibri" w:hAnsi="Calibri" w:cs="Calibri"/>
          <w:sz w:val="24"/>
          <w:szCs w:val="24"/>
        </w:rPr>
        <w:t>μg</w:t>
      </w:r>
      <w:proofErr w:type="spellEnd"/>
      <w:r w:rsidRPr="00DC0FA5">
        <w:rPr>
          <w:rFonts w:ascii="Calibri" w:hAnsi="Calibri" w:cs="Calibri"/>
          <w:sz w:val="24"/>
          <w:szCs w:val="24"/>
        </w:rPr>
        <w:t>/</w:t>
      </w:r>
      <w:proofErr w:type="spellStart"/>
      <w:r w:rsidRPr="00DC0FA5">
        <w:rPr>
          <w:rFonts w:ascii="Calibri" w:hAnsi="Calibri" w:cs="Calibri"/>
          <w:sz w:val="24"/>
          <w:szCs w:val="24"/>
        </w:rPr>
        <w:t>mL.</w:t>
      </w:r>
      <w:proofErr w:type="spellEnd"/>
    </w:p>
    <w:p w14:paraId="61E23C91" w14:textId="77777777" w:rsidR="00DC0FA5" w:rsidRPr="00DC0FA5" w:rsidRDefault="00DC0FA5" w:rsidP="00DC0FA5">
      <w:pPr>
        <w:spacing w:line="0" w:lineRule="atLeast"/>
        <w:jc w:val="both"/>
        <w:rPr>
          <w:rFonts w:ascii="Calibri" w:hAnsi="Calibri" w:cs="Calibri"/>
          <w:sz w:val="24"/>
          <w:szCs w:val="24"/>
        </w:rPr>
      </w:pPr>
    </w:p>
    <w:p w14:paraId="3F3A7CB0"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3.2.2. Incubate larvae in tricaine for approximately 5 min, or until they show loss of spontaneous swimming and no response to gentle touch with a probe. Proceed with embedding only after this anesthesia endpoint is reached.</w:t>
      </w:r>
    </w:p>
    <w:p w14:paraId="41CE4900" w14:textId="77777777" w:rsidR="00DC0FA5" w:rsidRPr="00DC0FA5" w:rsidRDefault="00DC0FA5" w:rsidP="00DC0FA5">
      <w:pPr>
        <w:spacing w:line="0" w:lineRule="atLeast"/>
        <w:jc w:val="both"/>
        <w:rPr>
          <w:rFonts w:ascii="Calibri" w:hAnsi="Calibri" w:cs="Calibri"/>
          <w:sz w:val="24"/>
          <w:szCs w:val="24"/>
        </w:rPr>
      </w:pPr>
    </w:p>
    <w:p w14:paraId="21D34F68"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3.2.3. Trim the distal end of a P200 pipette tip using clean scissors or a sterile blade to create an opening of approximately 1.5 mm. Verify the opening size using a ruler or calibrated scale under a stereomicroscope before use. Discard tips with rough edges or openings that are too narrow for larvae to pass through without contact (</w:t>
      </w:r>
      <w:r w:rsidRPr="00DC0FA5">
        <w:rPr>
          <w:rFonts w:ascii="Calibri" w:hAnsi="Calibri" w:cs="Calibri"/>
          <w:b/>
          <w:bCs/>
          <w:sz w:val="24"/>
          <w:szCs w:val="24"/>
        </w:rPr>
        <w:t>Figure 1B</w:t>
      </w:r>
      <w:r w:rsidRPr="00DC0FA5">
        <w:rPr>
          <w:rFonts w:ascii="Calibri" w:hAnsi="Calibri" w:cs="Calibri"/>
          <w:sz w:val="24"/>
          <w:szCs w:val="24"/>
        </w:rPr>
        <w:t>).</w:t>
      </w:r>
    </w:p>
    <w:p w14:paraId="429A0A6B" w14:textId="77777777" w:rsidR="00DC0FA5" w:rsidRPr="00DC0FA5" w:rsidRDefault="00DC0FA5" w:rsidP="00DC0FA5">
      <w:pPr>
        <w:spacing w:line="0" w:lineRule="atLeast"/>
        <w:jc w:val="both"/>
        <w:rPr>
          <w:rFonts w:ascii="Calibri" w:hAnsi="Calibri" w:cs="Calibri"/>
          <w:sz w:val="24"/>
          <w:szCs w:val="24"/>
        </w:rPr>
      </w:pPr>
    </w:p>
    <w:p w14:paraId="2A8E8935"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3.2.4. Aspirate a single larva in minimal liquid using the modified pipette tip.</w:t>
      </w:r>
    </w:p>
    <w:p w14:paraId="39328408" w14:textId="77777777" w:rsidR="00DC0FA5" w:rsidRPr="00DC0FA5" w:rsidRDefault="00DC0FA5" w:rsidP="00DC0FA5">
      <w:pPr>
        <w:spacing w:line="0" w:lineRule="atLeast"/>
        <w:jc w:val="both"/>
        <w:rPr>
          <w:rFonts w:ascii="Calibri" w:hAnsi="Calibri" w:cs="Calibri"/>
          <w:sz w:val="24"/>
          <w:szCs w:val="24"/>
        </w:rPr>
      </w:pPr>
    </w:p>
    <w:p w14:paraId="61FFEF36"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3.2.5. Submerge the pipette tip into the agarose aliquot.</w:t>
      </w:r>
    </w:p>
    <w:p w14:paraId="3288CF52" w14:textId="77777777" w:rsidR="00DC0FA5" w:rsidRPr="00DC0FA5" w:rsidRDefault="00DC0FA5" w:rsidP="00DC0FA5">
      <w:pPr>
        <w:spacing w:line="0" w:lineRule="atLeast"/>
        <w:jc w:val="both"/>
        <w:rPr>
          <w:rFonts w:ascii="Calibri" w:hAnsi="Calibri" w:cs="Calibri"/>
          <w:sz w:val="24"/>
          <w:szCs w:val="24"/>
        </w:rPr>
      </w:pPr>
    </w:p>
    <w:p w14:paraId="45865B6C"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3.2.6. Dispense 40 </w:t>
      </w:r>
      <w:proofErr w:type="spellStart"/>
      <w:r w:rsidRPr="00DC0FA5">
        <w:rPr>
          <w:rFonts w:ascii="Calibri" w:hAnsi="Calibri" w:cs="Calibri"/>
          <w:sz w:val="24"/>
          <w:szCs w:val="24"/>
        </w:rPr>
        <w:t>μL</w:t>
      </w:r>
      <w:proofErr w:type="spellEnd"/>
      <w:r w:rsidRPr="00DC0FA5">
        <w:rPr>
          <w:rFonts w:ascii="Calibri" w:hAnsi="Calibri" w:cs="Calibri"/>
          <w:sz w:val="24"/>
          <w:szCs w:val="24"/>
        </w:rPr>
        <w:t xml:space="preserve"> of agarose containing one larva into one well of a flat-bottom 96-well plate. Use the same agarose volume for all wells within an experiment. If a different plate type is used, optimize the agarose volume before beginning the experiment and maintain the selected volume across all wells.</w:t>
      </w:r>
    </w:p>
    <w:p w14:paraId="4E6E27E2" w14:textId="77777777" w:rsidR="00DC0FA5" w:rsidRPr="00DC0FA5" w:rsidRDefault="00DC0FA5" w:rsidP="00DC0FA5">
      <w:pPr>
        <w:spacing w:line="0" w:lineRule="atLeast"/>
        <w:jc w:val="both"/>
        <w:rPr>
          <w:rFonts w:ascii="Calibri" w:hAnsi="Calibri" w:cs="Calibri"/>
          <w:sz w:val="24"/>
          <w:szCs w:val="24"/>
        </w:rPr>
      </w:pPr>
    </w:p>
    <w:p w14:paraId="72FCE749"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NOTE: Use flat-bottom plates to ensure consistent imaging. Optimize agarose volume based on plate geometry.</w:t>
      </w:r>
    </w:p>
    <w:p w14:paraId="6B41C1B8" w14:textId="77777777" w:rsidR="00DC0FA5" w:rsidRPr="00DC0FA5" w:rsidRDefault="00DC0FA5" w:rsidP="00DC0FA5">
      <w:pPr>
        <w:spacing w:line="0" w:lineRule="atLeast"/>
        <w:jc w:val="both"/>
        <w:rPr>
          <w:rFonts w:ascii="Calibri" w:hAnsi="Calibri" w:cs="Calibri"/>
          <w:sz w:val="24"/>
          <w:szCs w:val="24"/>
        </w:rPr>
      </w:pPr>
    </w:p>
    <w:p w14:paraId="54B1A6C1"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3.3. Orient and embed larvae</w:t>
      </w:r>
    </w:p>
    <w:p w14:paraId="3E571E25" w14:textId="77777777" w:rsidR="00DC0FA5" w:rsidRPr="00DC0FA5" w:rsidRDefault="00DC0FA5" w:rsidP="00DC0FA5">
      <w:pPr>
        <w:spacing w:line="0" w:lineRule="atLeast"/>
        <w:jc w:val="both"/>
        <w:rPr>
          <w:rFonts w:ascii="Calibri" w:hAnsi="Calibri" w:cs="Calibri"/>
          <w:sz w:val="24"/>
          <w:szCs w:val="24"/>
        </w:rPr>
      </w:pPr>
    </w:p>
    <w:p w14:paraId="2F2C37BA"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3.3.1. Place the plate under a stereomicroscope (dissection microscope).</w:t>
      </w:r>
    </w:p>
    <w:p w14:paraId="4E629C95" w14:textId="77777777" w:rsidR="00DC0FA5" w:rsidRPr="00DC0FA5" w:rsidRDefault="00DC0FA5" w:rsidP="00DC0FA5">
      <w:pPr>
        <w:spacing w:line="0" w:lineRule="atLeast"/>
        <w:jc w:val="both"/>
        <w:rPr>
          <w:rFonts w:ascii="Calibri" w:hAnsi="Calibri" w:cs="Calibri"/>
          <w:sz w:val="24"/>
          <w:szCs w:val="24"/>
        </w:rPr>
      </w:pPr>
    </w:p>
    <w:p w14:paraId="381DDAF1"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3.3.2. Use fine-tipped forceps or a 0.25 mm probe to orient the larva such that the ventral diencephalon faces the objective.</w:t>
      </w:r>
    </w:p>
    <w:p w14:paraId="6C652F15" w14:textId="77777777" w:rsidR="00DC0FA5" w:rsidRPr="00DC0FA5" w:rsidRDefault="00DC0FA5" w:rsidP="00DC0FA5">
      <w:pPr>
        <w:spacing w:line="0" w:lineRule="atLeast"/>
        <w:jc w:val="both"/>
        <w:rPr>
          <w:rFonts w:ascii="Calibri" w:hAnsi="Calibri" w:cs="Calibri"/>
          <w:sz w:val="24"/>
          <w:szCs w:val="24"/>
        </w:rPr>
      </w:pPr>
    </w:p>
    <w:p w14:paraId="00CC292D"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3.3.3. Position larvae dorsal side down for inverted microscopes or dorsal side up for upright microscopes.</w:t>
      </w:r>
    </w:p>
    <w:p w14:paraId="3354503B" w14:textId="77777777" w:rsidR="00DC0FA5" w:rsidRPr="00DC0FA5" w:rsidRDefault="00DC0FA5" w:rsidP="00DC0FA5">
      <w:pPr>
        <w:spacing w:line="0" w:lineRule="atLeast"/>
        <w:jc w:val="both"/>
        <w:rPr>
          <w:rFonts w:ascii="Calibri" w:hAnsi="Calibri" w:cs="Calibri"/>
          <w:sz w:val="24"/>
          <w:szCs w:val="24"/>
        </w:rPr>
      </w:pPr>
    </w:p>
    <w:p w14:paraId="4496B9B5"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3.3.4. Complete orientation within 1–2 min before agarose solidifies.</w:t>
      </w:r>
    </w:p>
    <w:p w14:paraId="655F24AA" w14:textId="77777777" w:rsidR="00DC0FA5" w:rsidRPr="00DC0FA5" w:rsidRDefault="00DC0FA5" w:rsidP="00DC0FA5">
      <w:pPr>
        <w:spacing w:line="0" w:lineRule="atLeast"/>
        <w:jc w:val="both"/>
        <w:rPr>
          <w:rFonts w:ascii="Calibri" w:hAnsi="Calibri" w:cs="Calibri"/>
          <w:sz w:val="24"/>
          <w:szCs w:val="24"/>
        </w:rPr>
      </w:pPr>
    </w:p>
    <w:p w14:paraId="0E0E7011" w14:textId="05BF8720"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3.3.5. </w:t>
      </w:r>
      <w:r w:rsidR="003F15EE" w:rsidRPr="003F15EE">
        <w:rPr>
          <w:rFonts w:ascii="Calibri" w:hAnsi="Calibri" w:cs="Calibri"/>
          <w:sz w:val="24"/>
          <w:szCs w:val="24"/>
        </w:rPr>
        <w:t>Embed one larva per well according to a predefined 96-well plate map. Reserve row A for vehicle controls, row H for MTZ-only controls, and assign rows B–G to candidate compound conditions or dose-response groups</w:t>
      </w:r>
      <w:r w:rsidRPr="00DC0FA5">
        <w:rPr>
          <w:rFonts w:ascii="Calibri" w:hAnsi="Calibri" w:cs="Calibri"/>
          <w:sz w:val="24"/>
          <w:szCs w:val="24"/>
        </w:rPr>
        <w:t xml:space="preserve">. Randomize compound placement within rows B–G when </w:t>
      </w:r>
      <w:proofErr w:type="gramStart"/>
      <w:r w:rsidRPr="00DC0FA5">
        <w:rPr>
          <w:rFonts w:ascii="Calibri" w:hAnsi="Calibri" w:cs="Calibri"/>
          <w:sz w:val="24"/>
          <w:szCs w:val="24"/>
        </w:rPr>
        <w:t>possible</w:t>
      </w:r>
      <w:proofErr w:type="gramEnd"/>
      <w:r w:rsidRPr="00DC0FA5">
        <w:rPr>
          <w:rFonts w:ascii="Calibri" w:hAnsi="Calibri" w:cs="Calibri"/>
          <w:sz w:val="24"/>
          <w:szCs w:val="24"/>
        </w:rPr>
        <w:t xml:space="preserve"> to reduce positional bias. Use the same plate map for baseline and post-treatment imaging.</w:t>
      </w:r>
    </w:p>
    <w:p w14:paraId="5AEDFBA4" w14:textId="77777777" w:rsidR="00DC0FA5" w:rsidRPr="00DC0FA5" w:rsidRDefault="00DC0FA5" w:rsidP="00DC0FA5">
      <w:pPr>
        <w:spacing w:line="0" w:lineRule="atLeast"/>
        <w:jc w:val="both"/>
        <w:rPr>
          <w:rFonts w:ascii="Calibri" w:hAnsi="Calibri" w:cs="Calibri"/>
          <w:sz w:val="24"/>
          <w:szCs w:val="24"/>
        </w:rPr>
      </w:pPr>
    </w:p>
    <w:p w14:paraId="76DB96A5"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3.3.6. After agarose solidification, add BEW without tricaine to each well to bring the final well volume to exactly 200 </w:t>
      </w:r>
      <w:proofErr w:type="spellStart"/>
      <w:r w:rsidRPr="00DC0FA5">
        <w:rPr>
          <w:rFonts w:ascii="Calibri" w:hAnsi="Calibri" w:cs="Calibri"/>
          <w:sz w:val="24"/>
          <w:szCs w:val="24"/>
        </w:rPr>
        <w:t>μL</w:t>
      </w:r>
      <w:proofErr w:type="spellEnd"/>
      <w:r w:rsidRPr="00DC0FA5">
        <w:rPr>
          <w:rFonts w:ascii="Calibri" w:hAnsi="Calibri" w:cs="Calibri"/>
          <w:sz w:val="24"/>
          <w:szCs w:val="24"/>
        </w:rPr>
        <w:t>. Use the same final volume for all wells within the plate to maintain consistent diffusion and treatment exposure.</w:t>
      </w:r>
    </w:p>
    <w:p w14:paraId="612F3080" w14:textId="77777777" w:rsidR="00DC0FA5" w:rsidRPr="00DC0FA5" w:rsidRDefault="00DC0FA5" w:rsidP="00DC0FA5">
      <w:pPr>
        <w:spacing w:line="0" w:lineRule="atLeast"/>
        <w:jc w:val="both"/>
        <w:rPr>
          <w:rFonts w:ascii="Calibri" w:hAnsi="Calibri" w:cs="Calibri"/>
          <w:sz w:val="24"/>
          <w:szCs w:val="24"/>
        </w:rPr>
      </w:pPr>
    </w:p>
    <w:p w14:paraId="6A648261"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3.4. Prepare MTZ treatment solutions</w:t>
      </w:r>
    </w:p>
    <w:p w14:paraId="2CEAA1F3" w14:textId="77777777" w:rsidR="00DC0FA5" w:rsidRPr="00DC0FA5" w:rsidRDefault="00DC0FA5" w:rsidP="00DC0FA5">
      <w:pPr>
        <w:spacing w:line="0" w:lineRule="atLeast"/>
        <w:jc w:val="both"/>
        <w:rPr>
          <w:rFonts w:ascii="Calibri" w:hAnsi="Calibri" w:cs="Calibri"/>
          <w:sz w:val="24"/>
          <w:szCs w:val="24"/>
        </w:rPr>
      </w:pPr>
    </w:p>
    <w:p w14:paraId="4053B188"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3.4.1. Prepare MTZ working solutions in BEW supplemented with 1% DMSO and 200 </w:t>
      </w:r>
      <w:proofErr w:type="spellStart"/>
      <w:r w:rsidRPr="00DC0FA5">
        <w:rPr>
          <w:rFonts w:ascii="Calibri" w:hAnsi="Calibri" w:cs="Calibri"/>
          <w:sz w:val="24"/>
          <w:szCs w:val="24"/>
        </w:rPr>
        <w:t>μM</w:t>
      </w:r>
      <w:proofErr w:type="spellEnd"/>
      <w:r w:rsidRPr="00DC0FA5">
        <w:rPr>
          <w:rFonts w:ascii="Calibri" w:hAnsi="Calibri" w:cs="Calibri"/>
          <w:sz w:val="24"/>
          <w:szCs w:val="24"/>
        </w:rPr>
        <w:t xml:space="preserve"> PTU. Add MTZ powder to the solution and vortex until no visible particles remain. Mix on a rocker or </w:t>
      </w:r>
      <w:r w:rsidRPr="00DC0FA5">
        <w:rPr>
          <w:rFonts w:ascii="Calibri" w:hAnsi="Calibri" w:cs="Calibri"/>
          <w:sz w:val="24"/>
          <w:szCs w:val="24"/>
        </w:rPr>
        <w:lastRenderedPageBreak/>
        <w:t>tube rotator protected from light for 15–30 min at room temperature. Confirm that the solution is clear and free of visible precipitate before use.</w:t>
      </w:r>
    </w:p>
    <w:p w14:paraId="65CE8878" w14:textId="77777777" w:rsidR="00DC0FA5" w:rsidRPr="00DC0FA5" w:rsidRDefault="00DC0FA5" w:rsidP="00DC0FA5">
      <w:pPr>
        <w:spacing w:line="0" w:lineRule="atLeast"/>
        <w:jc w:val="both"/>
        <w:rPr>
          <w:rFonts w:ascii="Calibri" w:hAnsi="Calibri" w:cs="Calibri"/>
          <w:sz w:val="24"/>
          <w:szCs w:val="24"/>
        </w:rPr>
      </w:pPr>
    </w:p>
    <w:p w14:paraId="3F564A2C"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3.4.2. Prepare concentrations of 3, 4.5, and 9 mM for dose-response optimization.</w:t>
      </w:r>
    </w:p>
    <w:p w14:paraId="6C684702" w14:textId="77777777" w:rsidR="00DC0FA5" w:rsidRPr="00DC0FA5" w:rsidRDefault="00DC0FA5" w:rsidP="00DC0FA5">
      <w:pPr>
        <w:spacing w:line="0" w:lineRule="atLeast"/>
        <w:jc w:val="both"/>
        <w:rPr>
          <w:rFonts w:ascii="Calibri" w:hAnsi="Calibri" w:cs="Calibri"/>
          <w:sz w:val="24"/>
          <w:szCs w:val="24"/>
        </w:rPr>
      </w:pPr>
    </w:p>
    <w:p w14:paraId="77790D70"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3.4.3. Prepare a vehicle control containing 1% DMSO in BEW with 200 </w:t>
      </w:r>
      <w:proofErr w:type="spellStart"/>
      <w:r w:rsidRPr="00DC0FA5">
        <w:rPr>
          <w:rFonts w:ascii="Calibri" w:hAnsi="Calibri" w:cs="Calibri"/>
          <w:sz w:val="24"/>
          <w:szCs w:val="24"/>
        </w:rPr>
        <w:t>μM</w:t>
      </w:r>
      <w:proofErr w:type="spellEnd"/>
      <w:r w:rsidRPr="00DC0FA5">
        <w:rPr>
          <w:rFonts w:ascii="Calibri" w:hAnsi="Calibri" w:cs="Calibri"/>
          <w:sz w:val="24"/>
          <w:szCs w:val="24"/>
        </w:rPr>
        <w:t xml:space="preserve"> PTU.</w:t>
      </w:r>
    </w:p>
    <w:p w14:paraId="7A05694F" w14:textId="77777777" w:rsidR="00DC0FA5" w:rsidRPr="00DC0FA5" w:rsidRDefault="00DC0FA5" w:rsidP="00DC0FA5">
      <w:pPr>
        <w:spacing w:line="0" w:lineRule="atLeast"/>
        <w:jc w:val="both"/>
        <w:rPr>
          <w:rFonts w:ascii="Calibri" w:hAnsi="Calibri" w:cs="Calibri"/>
          <w:sz w:val="24"/>
          <w:szCs w:val="24"/>
        </w:rPr>
      </w:pPr>
    </w:p>
    <w:p w14:paraId="3CA603FF"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3.4.4. Prepare only the validated MTZ concentration for routine screening after optimization.</w:t>
      </w:r>
    </w:p>
    <w:p w14:paraId="47F410B3" w14:textId="77777777" w:rsidR="00DC0FA5" w:rsidRPr="00DC0FA5" w:rsidRDefault="00DC0FA5" w:rsidP="00DC0FA5">
      <w:pPr>
        <w:spacing w:line="0" w:lineRule="atLeast"/>
        <w:jc w:val="both"/>
        <w:rPr>
          <w:rFonts w:ascii="Calibri" w:hAnsi="Calibri" w:cs="Calibri"/>
          <w:sz w:val="24"/>
          <w:szCs w:val="24"/>
        </w:rPr>
      </w:pPr>
    </w:p>
    <w:p w14:paraId="79316C4E"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CAUTION: MTZ is </w:t>
      </w:r>
      <w:proofErr w:type="gramStart"/>
      <w:r w:rsidRPr="00DC0FA5">
        <w:rPr>
          <w:rFonts w:ascii="Calibri" w:hAnsi="Calibri" w:cs="Calibri"/>
          <w:sz w:val="24"/>
          <w:szCs w:val="24"/>
        </w:rPr>
        <w:t>light-sensitive</w:t>
      </w:r>
      <w:proofErr w:type="gramEnd"/>
      <w:r w:rsidRPr="00DC0FA5">
        <w:rPr>
          <w:rFonts w:ascii="Calibri" w:hAnsi="Calibri" w:cs="Calibri"/>
          <w:sz w:val="24"/>
          <w:szCs w:val="24"/>
        </w:rPr>
        <w:t>. Prepare solutions fresh for each experiment, protect from light using foil, and do not reuse leftover solutions.</w:t>
      </w:r>
    </w:p>
    <w:p w14:paraId="7814DEE6" w14:textId="77777777" w:rsidR="00DC0FA5" w:rsidRPr="00DC0FA5" w:rsidRDefault="00DC0FA5" w:rsidP="00DC0FA5">
      <w:pPr>
        <w:spacing w:line="0" w:lineRule="atLeast"/>
        <w:jc w:val="both"/>
        <w:rPr>
          <w:rFonts w:ascii="Calibri" w:hAnsi="Calibri" w:cs="Calibri"/>
          <w:sz w:val="24"/>
          <w:szCs w:val="24"/>
        </w:rPr>
      </w:pPr>
    </w:p>
    <w:p w14:paraId="53B8136B"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NOTE: Maintain identical final DMSO concentrations across all treatment and control groups. Do not substitute alternative MTZ formulations.</w:t>
      </w:r>
    </w:p>
    <w:p w14:paraId="57CDBF12" w14:textId="77777777" w:rsidR="00DC0FA5" w:rsidRPr="00DC0FA5" w:rsidRDefault="00DC0FA5" w:rsidP="00DC0FA5">
      <w:pPr>
        <w:spacing w:line="0" w:lineRule="atLeast"/>
        <w:jc w:val="both"/>
        <w:rPr>
          <w:rFonts w:ascii="Calibri" w:hAnsi="Calibri" w:cs="Calibri"/>
          <w:sz w:val="24"/>
          <w:szCs w:val="24"/>
        </w:rPr>
      </w:pPr>
    </w:p>
    <w:p w14:paraId="0B27EF28"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3.5. Acquire pre-treatment fluorescence images</w:t>
      </w:r>
    </w:p>
    <w:p w14:paraId="160E8E4D" w14:textId="77777777" w:rsidR="00DC0FA5" w:rsidRPr="00DC0FA5" w:rsidRDefault="00DC0FA5" w:rsidP="00DC0FA5">
      <w:pPr>
        <w:spacing w:line="0" w:lineRule="atLeast"/>
        <w:jc w:val="both"/>
        <w:rPr>
          <w:rFonts w:ascii="Calibri" w:hAnsi="Calibri" w:cs="Calibri"/>
          <w:sz w:val="24"/>
          <w:szCs w:val="24"/>
        </w:rPr>
      </w:pPr>
    </w:p>
    <w:p w14:paraId="4775DF5D" w14:textId="764A38CF"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3.5.1. At 4 </w:t>
      </w:r>
      <w:proofErr w:type="spellStart"/>
      <w:r w:rsidRPr="00DC0FA5">
        <w:rPr>
          <w:rFonts w:ascii="Calibri" w:hAnsi="Calibri" w:cs="Calibri"/>
          <w:sz w:val="24"/>
          <w:szCs w:val="24"/>
        </w:rPr>
        <w:t>dpf</w:t>
      </w:r>
      <w:proofErr w:type="spellEnd"/>
      <w:r w:rsidRPr="00DC0FA5">
        <w:rPr>
          <w:rFonts w:ascii="Calibri" w:hAnsi="Calibri" w:cs="Calibri"/>
          <w:sz w:val="24"/>
          <w:szCs w:val="24"/>
        </w:rPr>
        <w:t>, after embedding, acquire baseline fluorescence images using a fluorescence microscope with a 20× objective (</w:t>
      </w:r>
      <w:r w:rsidRPr="00DC0FA5">
        <w:rPr>
          <w:rFonts w:ascii="Calibri" w:hAnsi="Calibri" w:cs="Calibri"/>
          <w:b/>
          <w:bCs/>
          <w:sz w:val="24"/>
          <w:szCs w:val="24"/>
        </w:rPr>
        <w:t>Figure 2</w:t>
      </w:r>
      <w:r w:rsidRPr="00DC0FA5">
        <w:rPr>
          <w:rFonts w:ascii="Calibri" w:hAnsi="Calibri" w:cs="Calibri"/>
          <w:sz w:val="24"/>
          <w:szCs w:val="24"/>
        </w:rPr>
        <w:t>).</w:t>
      </w:r>
    </w:p>
    <w:p w14:paraId="1006BFE4" w14:textId="77777777" w:rsidR="00DC0FA5" w:rsidRPr="00DC0FA5" w:rsidRDefault="00DC0FA5" w:rsidP="00DC0FA5">
      <w:pPr>
        <w:spacing w:line="0" w:lineRule="atLeast"/>
        <w:jc w:val="both"/>
        <w:rPr>
          <w:rFonts w:ascii="Calibri" w:hAnsi="Calibri" w:cs="Calibri"/>
          <w:sz w:val="24"/>
          <w:szCs w:val="24"/>
        </w:rPr>
      </w:pPr>
    </w:p>
    <w:p w14:paraId="6DFC3DC8"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[Place </w:t>
      </w:r>
      <w:r w:rsidRPr="00DC0FA5">
        <w:rPr>
          <w:rFonts w:ascii="Calibri" w:hAnsi="Calibri" w:cs="Calibri"/>
          <w:b/>
          <w:bCs/>
          <w:sz w:val="24"/>
          <w:szCs w:val="24"/>
        </w:rPr>
        <w:t>Figure 2</w:t>
      </w:r>
      <w:r w:rsidRPr="00DC0FA5">
        <w:rPr>
          <w:rFonts w:ascii="Calibri" w:hAnsi="Calibri" w:cs="Calibri"/>
          <w:sz w:val="24"/>
          <w:szCs w:val="24"/>
        </w:rPr>
        <w:t xml:space="preserve"> here]</w:t>
      </w:r>
    </w:p>
    <w:p w14:paraId="00DB0517" w14:textId="77777777" w:rsidR="00DC0FA5" w:rsidRPr="00DC0FA5" w:rsidRDefault="00DC0FA5" w:rsidP="00DC0FA5">
      <w:pPr>
        <w:spacing w:line="0" w:lineRule="atLeast"/>
        <w:jc w:val="both"/>
        <w:rPr>
          <w:rFonts w:ascii="Calibri" w:hAnsi="Calibri" w:cs="Calibri"/>
          <w:sz w:val="24"/>
          <w:szCs w:val="24"/>
        </w:rPr>
      </w:pPr>
    </w:p>
    <w:p w14:paraId="6D5EF854"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3.5.2. Image each well using the </w:t>
      </w:r>
      <w:proofErr w:type="spellStart"/>
      <w:r w:rsidRPr="00DC0FA5">
        <w:rPr>
          <w:rFonts w:ascii="Calibri" w:hAnsi="Calibri" w:cs="Calibri"/>
          <w:sz w:val="24"/>
          <w:szCs w:val="24"/>
        </w:rPr>
        <w:t>mCherry</w:t>
      </w:r>
      <w:proofErr w:type="spellEnd"/>
      <w:r w:rsidRPr="00DC0FA5">
        <w:rPr>
          <w:rFonts w:ascii="Calibri" w:hAnsi="Calibri" w:cs="Calibri"/>
          <w:sz w:val="24"/>
          <w:szCs w:val="24"/>
        </w:rPr>
        <w:t xml:space="preserve"> channel (excitation ~587 nm, emission ~610 nm).</w:t>
      </w:r>
    </w:p>
    <w:p w14:paraId="6F699876" w14:textId="77777777" w:rsidR="00DC0FA5" w:rsidRPr="00DC0FA5" w:rsidRDefault="00DC0FA5" w:rsidP="00DC0FA5">
      <w:pPr>
        <w:spacing w:line="0" w:lineRule="atLeast"/>
        <w:jc w:val="both"/>
        <w:rPr>
          <w:rFonts w:ascii="Calibri" w:hAnsi="Calibri" w:cs="Calibri"/>
          <w:sz w:val="24"/>
          <w:szCs w:val="24"/>
        </w:rPr>
      </w:pPr>
    </w:p>
    <w:p w14:paraId="410AEC77"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3.5.3. Use identical imaging settings for all wells within an experiment. Set exposure time, illumination intensity, and detector gain using a vehicle control larva so that the brightest DA neuron pixels reach approximately 70%–80% of the detector dynamic range without saturation. Record the final exposure time, illumination intensity, detector gain, objective, and acquisition profile, and maintain these settings for all baseline and post-treatment images.</w:t>
      </w:r>
    </w:p>
    <w:p w14:paraId="5B1E65F9" w14:textId="77777777" w:rsidR="00DC0FA5" w:rsidRPr="00DC0FA5" w:rsidRDefault="00DC0FA5" w:rsidP="00DC0FA5">
      <w:pPr>
        <w:spacing w:line="0" w:lineRule="atLeast"/>
        <w:jc w:val="both"/>
        <w:rPr>
          <w:rFonts w:ascii="Calibri" w:hAnsi="Calibri" w:cs="Calibri"/>
          <w:sz w:val="24"/>
          <w:szCs w:val="24"/>
        </w:rPr>
      </w:pPr>
    </w:p>
    <w:p w14:paraId="383AEC02"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3.5.4. Acquire all images within a single session when </w:t>
      </w:r>
      <w:proofErr w:type="gramStart"/>
      <w:r w:rsidRPr="00DC0FA5">
        <w:rPr>
          <w:rFonts w:ascii="Calibri" w:hAnsi="Calibri" w:cs="Calibri"/>
          <w:sz w:val="24"/>
          <w:szCs w:val="24"/>
        </w:rPr>
        <w:t>possible</w:t>
      </w:r>
      <w:proofErr w:type="gramEnd"/>
      <w:r w:rsidRPr="00DC0FA5">
        <w:rPr>
          <w:rFonts w:ascii="Calibri" w:hAnsi="Calibri" w:cs="Calibri"/>
          <w:sz w:val="24"/>
          <w:szCs w:val="24"/>
        </w:rPr>
        <w:t xml:space="preserve"> to minimize variability in lamp intensity or detector sensitivity across time points. For systems with automated stage control, use </w:t>
      </w:r>
      <w:proofErr w:type="spellStart"/>
      <w:r w:rsidRPr="00DC0FA5">
        <w:rPr>
          <w:rFonts w:ascii="Calibri" w:hAnsi="Calibri" w:cs="Calibri"/>
          <w:sz w:val="24"/>
          <w:szCs w:val="24"/>
        </w:rPr>
        <w:t>multiposition</w:t>
      </w:r>
      <w:proofErr w:type="spellEnd"/>
      <w:r w:rsidRPr="00DC0FA5">
        <w:rPr>
          <w:rFonts w:ascii="Calibri" w:hAnsi="Calibri" w:cs="Calibri"/>
          <w:sz w:val="24"/>
          <w:szCs w:val="24"/>
        </w:rPr>
        <w:t xml:space="preserve"> acquisition to maintain identical coordinates across imaging sessions.</w:t>
      </w:r>
    </w:p>
    <w:p w14:paraId="477CC771" w14:textId="77777777" w:rsidR="00DC0FA5" w:rsidRPr="00DC0FA5" w:rsidRDefault="00DC0FA5" w:rsidP="00DC0FA5">
      <w:pPr>
        <w:spacing w:line="0" w:lineRule="atLeast"/>
        <w:jc w:val="both"/>
        <w:rPr>
          <w:rFonts w:ascii="Calibri" w:hAnsi="Calibri" w:cs="Calibri"/>
          <w:sz w:val="24"/>
          <w:szCs w:val="24"/>
        </w:rPr>
      </w:pPr>
    </w:p>
    <w:p w14:paraId="18FC152B"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3.5.5. Save the acquisition profile for reuse during post-treatment imaging (Step 3.7) and in subsequent experiments.</w:t>
      </w:r>
    </w:p>
    <w:p w14:paraId="19C4C14E" w14:textId="77777777" w:rsidR="00DC0FA5" w:rsidRPr="00DC0FA5" w:rsidRDefault="00DC0FA5" w:rsidP="00DC0FA5">
      <w:pPr>
        <w:spacing w:line="0" w:lineRule="atLeast"/>
        <w:jc w:val="both"/>
        <w:rPr>
          <w:rFonts w:ascii="Calibri" w:hAnsi="Calibri" w:cs="Calibri"/>
          <w:sz w:val="24"/>
          <w:szCs w:val="24"/>
        </w:rPr>
      </w:pPr>
    </w:p>
    <w:p w14:paraId="2C388708"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NOTE: A 20× objective provides a balance between field of view and resolution for imaging the diencephalic DA neuron cluster.</w:t>
      </w:r>
    </w:p>
    <w:p w14:paraId="0FA11281" w14:textId="77777777" w:rsidR="00DC0FA5" w:rsidRPr="00DC0FA5" w:rsidRDefault="00DC0FA5" w:rsidP="00DC0FA5">
      <w:pPr>
        <w:spacing w:line="0" w:lineRule="atLeast"/>
        <w:jc w:val="both"/>
        <w:rPr>
          <w:rFonts w:ascii="Calibri" w:hAnsi="Calibri" w:cs="Calibri"/>
          <w:sz w:val="24"/>
          <w:szCs w:val="24"/>
        </w:rPr>
      </w:pPr>
    </w:p>
    <w:p w14:paraId="314F951D"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3.6. Apply MTZ treatment after baseline imaging</w:t>
      </w:r>
    </w:p>
    <w:p w14:paraId="5518407E" w14:textId="77777777" w:rsidR="00DC0FA5" w:rsidRPr="00DC0FA5" w:rsidRDefault="00DC0FA5" w:rsidP="00DC0FA5">
      <w:pPr>
        <w:spacing w:line="0" w:lineRule="atLeast"/>
        <w:jc w:val="both"/>
        <w:rPr>
          <w:rFonts w:ascii="Calibri" w:hAnsi="Calibri" w:cs="Calibri"/>
          <w:sz w:val="24"/>
          <w:szCs w:val="24"/>
        </w:rPr>
      </w:pPr>
    </w:p>
    <w:p w14:paraId="1E6EFC24"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3.6.1. Immediately after baseline imaging at 4 </w:t>
      </w:r>
      <w:proofErr w:type="spellStart"/>
      <w:r w:rsidRPr="00DC0FA5">
        <w:rPr>
          <w:rFonts w:ascii="Calibri" w:hAnsi="Calibri" w:cs="Calibri"/>
          <w:sz w:val="24"/>
          <w:szCs w:val="24"/>
        </w:rPr>
        <w:t>dpf</w:t>
      </w:r>
      <w:proofErr w:type="spellEnd"/>
      <w:r w:rsidRPr="00DC0FA5">
        <w:rPr>
          <w:rFonts w:ascii="Calibri" w:hAnsi="Calibri" w:cs="Calibri"/>
          <w:sz w:val="24"/>
          <w:szCs w:val="24"/>
        </w:rPr>
        <w:t xml:space="preserve">, add MTZ-containing solution or vehicle solution directly to each well to bring the final well volume to 200 </w:t>
      </w:r>
      <w:proofErr w:type="spellStart"/>
      <w:r w:rsidRPr="00DC0FA5">
        <w:rPr>
          <w:rFonts w:ascii="Calibri" w:hAnsi="Calibri" w:cs="Calibri"/>
          <w:sz w:val="24"/>
          <w:szCs w:val="24"/>
        </w:rPr>
        <w:t>μL</w:t>
      </w:r>
      <w:proofErr w:type="spellEnd"/>
      <w:r w:rsidRPr="00DC0FA5">
        <w:rPr>
          <w:rFonts w:ascii="Calibri" w:hAnsi="Calibri" w:cs="Calibri"/>
          <w:sz w:val="24"/>
          <w:szCs w:val="24"/>
        </w:rPr>
        <w:t>.</w:t>
      </w:r>
    </w:p>
    <w:p w14:paraId="22CBA6CE" w14:textId="77777777" w:rsidR="00DC0FA5" w:rsidRPr="00DC0FA5" w:rsidRDefault="00DC0FA5" w:rsidP="00DC0FA5">
      <w:pPr>
        <w:spacing w:line="0" w:lineRule="atLeast"/>
        <w:jc w:val="both"/>
        <w:rPr>
          <w:rFonts w:ascii="Calibri" w:hAnsi="Calibri" w:cs="Calibri"/>
          <w:sz w:val="24"/>
          <w:szCs w:val="24"/>
        </w:rPr>
      </w:pPr>
    </w:p>
    <w:p w14:paraId="79CAE960"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3.6.2. For compound-screening experiments, add candidate compounds together with MTZ at this step so that larvae are exposed to MTZ ± compound during the same 24 h treatment period.</w:t>
      </w:r>
    </w:p>
    <w:p w14:paraId="7867FF15" w14:textId="77777777" w:rsidR="00DC0FA5" w:rsidRPr="00DC0FA5" w:rsidRDefault="00DC0FA5" w:rsidP="00DC0FA5">
      <w:pPr>
        <w:spacing w:line="0" w:lineRule="atLeast"/>
        <w:jc w:val="both"/>
        <w:rPr>
          <w:rFonts w:ascii="Calibri" w:hAnsi="Calibri" w:cs="Calibri"/>
          <w:sz w:val="24"/>
          <w:szCs w:val="24"/>
        </w:rPr>
      </w:pPr>
    </w:p>
    <w:p w14:paraId="48B1C888"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3.6.3. Incubate plates at 28.5°C under a 14 h light:10 h dark cycle for 24 h, from 4 </w:t>
      </w:r>
      <w:proofErr w:type="spellStart"/>
      <w:r w:rsidRPr="00DC0FA5">
        <w:rPr>
          <w:rFonts w:ascii="Calibri" w:hAnsi="Calibri" w:cs="Calibri"/>
          <w:sz w:val="24"/>
          <w:szCs w:val="24"/>
        </w:rPr>
        <w:t>dpf</w:t>
      </w:r>
      <w:proofErr w:type="spellEnd"/>
      <w:r w:rsidRPr="00DC0FA5">
        <w:rPr>
          <w:rFonts w:ascii="Calibri" w:hAnsi="Calibri" w:cs="Calibri"/>
          <w:sz w:val="24"/>
          <w:szCs w:val="24"/>
        </w:rPr>
        <w:t xml:space="preserve"> to 5 </w:t>
      </w:r>
      <w:proofErr w:type="spellStart"/>
      <w:r w:rsidRPr="00DC0FA5">
        <w:rPr>
          <w:rFonts w:ascii="Calibri" w:hAnsi="Calibri" w:cs="Calibri"/>
          <w:sz w:val="24"/>
          <w:szCs w:val="24"/>
        </w:rPr>
        <w:t>dpf</w:t>
      </w:r>
      <w:proofErr w:type="spellEnd"/>
      <w:r w:rsidRPr="00DC0FA5">
        <w:rPr>
          <w:rFonts w:ascii="Calibri" w:hAnsi="Calibri" w:cs="Calibri"/>
          <w:sz w:val="24"/>
          <w:szCs w:val="24"/>
        </w:rPr>
        <w:t>.</w:t>
      </w:r>
    </w:p>
    <w:p w14:paraId="6766E5A4" w14:textId="77777777" w:rsidR="00DC0FA5" w:rsidRPr="00DC0FA5" w:rsidRDefault="00DC0FA5" w:rsidP="00DC0FA5">
      <w:pPr>
        <w:spacing w:line="0" w:lineRule="atLeast"/>
        <w:jc w:val="both"/>
        <w:rPr>
          <w:rFonts w:ascii="Calibri" w:hAnsi="Calibri" w:cs="Calibri"/>
          <w:sz w:val="24"/>
          <w:szCs w:val="24"/>
        </w:rPr>
      </w:pPr>
    </w:p>
    <w:p w14:paraId="7184B56B"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3.6.4. Avoid disturbing the plates during incubation.</w:t>
      </w:r>
    </w:p>
    <w:p w14:paraId="0B30B8D8" w14:textId="77777777" w:rsidR="00DC0FA5" w:rsidRPr="00DC0FA5" w:rsidRDefault="00DC0FA5" w:rsidP="00DC0FA5">
      <w:pPr>
        <w:spacing w:line="0" w:lineRule="atLeast"/>
        <w:jc w:val="both"/>
        <w:rPr>
          <w:rFonts w:ascii="Calibri" w:hAnsi="Calibri" w:cs="Calibri"/>
          <w:sz w:val="24"/>
          <w:szCs w:val="24"/>
        </w:rPr>
      </w:pPr>
    </w:p>
    <w:p w14:paraId="672FEA64"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NOTE: For dose-response experiments, evaluate additional incubation times (e.g., 12 and 48 h) to optimize treatment conditions.</w:t>
      </w:r>
    </w:p>
    <w:p w14:paraId="343FF9D0" w14:textId="77777777" w:rsidR="00DC0FA5" w:rsidRPr="00DC0FA5" w:rsidRDefault="00DC0FA5" w:rsidP="00DC0FA5">
      <w:pPr>
        <w:spacing w:line="0" w:lineRule="atLeast"/>
        <w:jc w:val="both"/>
        <w:rPr>
          <w:rFonts w:ascii="Calibri" w:hAnsi="Calibri" w:cs="Calibri"/>
          <w:sz w:val="24"/>
          <w:szCs w:val="24"/>
        </w:rPr>
      </w:pPr>
    </w:p>
    <w:p w14:paraId="155F613B"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PAUSE POINT: Plates can be maintained under incubation conditions for the defined treatment duration before proceeding to imaging.</w:t>
      </w:r>
    </w:p>
    <w:p w14:paraId="0721BE8C" w14:textId="77777777" w:rsidR="00DC0FA5" w:rsidRPr="00DC0FA5" w:rsidRDefault="00DC0FA5" w:rsidP="00DC0FA5">
      <w:pPr>
        <w:spacing w:line="0" w:lineRule="atLeast"/>
        <w:jc w:val="both"/>
        <w:rPr>
          <w:rFonts w:ascii="Calibri" w:hAnsi="Calibri" w:cs="Calibri"/>
          <w:sz w:val="24"/>
          <w:szCs w:val="24"/>
        </w:rPr>
      </w:pPr>
    </w:p>
    <w:p w14:paraId="3497B77C"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3.7. Acquire post-treatment fluorescence images</w:t>
      </w:r>
    </w:p>
    <w:p w14:paraId="3B66D37C" w14:textId="77777777" w:rsidR="00DC0FA5" w:rsidRPr="00DC0FA5" w:rsidRDefault="00DC0FA5" w:rsidP="00DC0FA5">
      <w:pPr>
        <w:spacing w:line="0" w:lineRule="atLeast"/>
        <w:jc w:val="both"/>
        <w:rPr>
          <w:rFonts w:ascii="Calibri" w:hAnsi="Calibri" w:cs="Calibri"/>
          <w:sz w:val="24"/>
          <w:szCs w:val="24"/>
        </w:rPr>
      </w:pPr>
    </w:p>
    <w:p w14:paraId="72CC01CD" w14:textId="2B3BE272"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3.7.1. At 5 </w:t>
      </w:r>
      <w:proofErr w:type="spellStart"/>
      <w:r w:rsidRPr="00DC0FA5">
        <w:rPr>
          <w:rFonts w:ascii="Calibri" w:hAnsi="Calibri" w:cs="Calibri"/>
          <w:sz w:val="24"/>
          <w:szCs w:val="24"/>
        </w:rPr>
        <w:t>dpf</w:t>
      </w:r>
      <w:proofErr w:type="spellEnd"/>
      <w:r w:rsidRPr="00DC0FA5">
        <w:rPr>
          <w:rFonts w:ascii="Calibri" w:hAnsi="Calibri" w:cs="Calibri"/>
          <w:sz w:val="24"/>
          <w:szCs w:val="24"/>
        </w:rPr>
        <w:t xml:space="preserve">, acquire post-treatment images using the identical microscope settings used for baseline imaging at 4 </w:t>
      </w:r>
      <w:proofErr w:type="spellStart"/>
      <w:r w:rsidRPr="00DC0FA5">
        <w:rPr>
          <w:rFonts w:ascii="Calibri" w:hAnsi="Calibri" w:cs="Calibri"/>
          <w:sz w:val="24"/>
          <w:szCs w:val="24"/>
        </w:rPr>
        <w:t>dpf</w:t>
      </w:r>
      <w:proofErr w:type="spellEnd"/>
      <w:r w:rsidRPr="00DC0FA5">
        <w:rPr>
          <w:rFonts w:ascii="Calibri" w:hAnsi="Calibri" w:cs="Calibri"/>
          <w:sz w:val="24"/>
          <w:szCs w:val="24"/>
        </w:rPr>
        <w:t>, including exposure time, illumination intensity, detector gain, objective, and acquisition profile (</w:t>
      </w:r>
      <w:r w:rsidRPr="00DC0FA5">
        <w:rPr>
          <w:rFonts w:ascii="Calibri" w:hAnsi="Calibri" w:cs="Calibri"/>
          <w:b/>
          <w:bCs/>
          <w:sz w:val="24"/>
          <w:szCs w:val="24"/>
        </w:rPr>
        <w:t>Figure 2</w:t>
      </w:r>
      <w:r w:rsidRPr="00DC0FA5">
        <w:rPr>
          <w:rFonts w:ascii="Calibri" w:hAnsi="Calibri" w:cs="Calibri"/>
          <w:sz w:val="24"/>
          <w:szCs w:val="24"/>
        </w:rPr>
        <w:t>).</w:t>
      </w:r>
    </w:p>
    <w:p w14:paraId="176E19CD" w14:textId="77777777" w:rsidR="00DC0FA5" w:rsidRPr="00DC0FA5" w:rsidRDefault="00DC0FA5" w:rsidP="00DC0FA5">
      <w:pPr>
        <w:spacing w:line="0" w:lineRule="atLeast"/>
        <w:jc w:val="both"/>
        <w:rPr>
          <w:rFonts w:ascii="Calibri" w:hAnsi="Calibri" w:cs="Calibri"/>
          <w:sz w:val="24"/>
          <w:szCs w:val="24"/>
        </w:rPr>
      </w:pPr>
    </w:p>
    <w:p w14:paraId="75E0788E"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3.7.2. Do not adjust exposure time, detector gain, illumination intensity, focus, objective, or acquisition settings between wells or between pre-treatment and post-treatment imaging sessions.</w:t>
      </w:r>
    </w:p>
    <w:p w14:paraId="3F7DCA6F" w14:textId="77777777" w:rsidR="00DC0FA5" w:rsidRPr="00DC0FA5" w:rsidRDefault="00DC0FA5" w:rsidP="00DC0FA5">
      <w:pPr>
        <w:spacing w:line="0" w:lineRule="atLeast"/>
        <w:jc w:val="both"/>
        <w:rPr>
          <w:rFonts w:ascii="Calibri" w:hAnsi="Calibri" w:cs="Calibri"/>
          <w:sz w:val="24"/>
          <w:szCs w:val="24"/>
        </w:rPr>
      </w:pPr>
    </w:p>
    <w:p w14:paraId="57CBDF10"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3.7.3. If the microscope was powered off between sessions, reload the saved acquisition profile and verify all settings against the recorded parameters before imaging.</w:t>
      </w:r>
    </w:p>
    <w:p w14:paraId="43394161" w14:textId="77777777" w:rsidR="00DC0FA5" w:rsidRPr="00DC0FA5" w:rsidRDefault="00DC0FA5" w:rsidP="00DC0FA5">
      <w:pPr>
        <w:spacing w:line="0" w:lineRule="atLeast"/>
        <w:jc w:val="both"/>
        <w:rPr>
          <w:rFonts w:ascii="Calibri" w:hAnsi="Calibri" w:cs="Calibri"/>
          <w:sz w:val="24"/>
          <w:szCs w:val="24"/>
        </w:rPr>
      </w:pPr>
    </w:p>
    <w:p w14:paraId="068DF48B"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3.7.4. Image wells in the same order used during baseline imaging when possible and acquire all post-treatment images within the same imaging session.</w:t>
      </w:r>
    </w:p>
    <w:p w14:paraId="0EEB24DB" w14:textId="77777777" w:rsidR="00DC0FA5" w:rsidRPr="00DC0FA5" w:rsidRDefault="00DC0FA5" w:rsidP="00DC0FA5">
      <w:pPr>
        <w:spacing w:line="0" w:lineRule="atLeast"/>
        <w:jc w:val="both"/>
        <w:rPr>
          <w:rFonts w:ascii="Calibri" w:hAnsi="Calibri" w:cs="Calibri"/>
          <w:sz w:val="24"/>
          <w:szCs w:val="24"/>
        </w:rPr>
      </w:pPr>
    </w:p>
    <w:p w14:paraId="6DF1AD6A"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3.7.5. This paired pre-treatment and post-treatment imaging design controls for inter-individual variability in baseline DA neuron fluorescence and ensures that changes in signal are attributable to treatment rather than acquisition differences.</w:t>
      </w:r>
    </w:p>
    <w:p w14:paraId="6B969CC3" w14:textId="77777777" w:rsidR="00DC0FA5" w:rsidRDefault="00DC0FA5" w:rsidP="00DC0FA5">
      <w:pPr>
        <w:spacing w:line="0" w:lineRule="atLeast"/>
        <w:jc w:val="both"/>
        <w:rPr>
          <w:rFonts w:ascii="Calibri" w:hAnsi="Calibri" w:cs="Calibri"/>
          <w:sz w:val="24"/>
          <w:szCs w:val="24"/>
        </w:rPr>
      </w:pPr>
    </w:p>
    <w:p w14:paraId="7FBC40C9" w14:textId="77777777" w:rsidR="00355C66" w:rsidRPr="007301FD" w:rsidRDefault="00355C66" w:rsidP="00355C66">
      <w:pPr>
        <w:spacing w:line="0" w:lineRule="atLeast"/>
        <w:jc w:val="both"/>
        <w:rPr>
          <w:rFonts w:ascii="Calibri" w:hAnsi="Calibri" w:cs="Calibri"/>
          <w:b/>
          <w:bCs/>
          <w:sz w:val="24"/>
          <w:szCs w:val="24"/>
          <w:highlight w:val="yellow"/>
        </w:rPr>
      </w:pPr>
      <w:r w:rsidRPr="007301FD">
        <w:rPr>
          <w:rFonts w:ascii="Calibri" w:hAnsi="Calibri" w:cs="Calibri"/>
          <w:b/>
          <w:bCs/>
          <w:sz w:val="24"/>
          <w:szCs w:val="24"/>
          <w:highlight w:val="yellow"/>
        </w:rPr>
        <w:t>4. High-Throughput Plate-Based Drug Screening</w:t>
      </w:r>
    </w:p>
    <w:p w14:paraId="740E6630" w14:textId="77777777" w:rsidR="00355C66" w:rsidRPr="007301FD" w:rsidRDefault="00355C66" w:rsidP="00355C66">
      <w:pPr>
        <w:spacing w:line="0" w:lineRule="atLeast"/>
        <w:jc w:val="both"/>
        <w:rPr>
          <w:rFonts w:ascii="Calibri" w:hAnsi="Calibri" w:cs="Calibri"/>
          <w:highlight w:val="yellow"/>
        </w:rPr>
      </w:pPr>
    </w:p>
    <w:p w14:paraId="67733359"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4.1. Generate and screen transgenic larvae</w:t>
      </w:r>
    </w:p>
    <w:p w14:paraId="4985DD89" w14:textId="77777777" w:rsidR="00355C66" w:rsidRPr="007301FD" w:rsidRDefault="00355C66" w:rsidP="00355C66">
      <w:pPr>
        <w:spacing w:line="0" w:lineRule="atLeast"/>
        <w:jc w:val="both"/>
        <w:rPr>
          <w:rFonts w:ascii="Calibri" w:hAnsi="Calibri" w:cs="Calibri"/>
          <w:highlight w:val="yellow"/>
        </w:rPr>
      </w:pPr>
    </w:p>
    <w:p w14:paraId="2F90A271"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4.1.1.</w:t>
      </w:r>
      <w:r w:rsidRPr="007301FD">
        <w:rPr>
          <w:rFonts w:ascii="Calibri" w:hAnsi="Calibri" w:cs="Calibri"/>
          <w:highlight w:val="yellow"/>
        </w:rPr>
        <w:t xml:space="preserve"> </w:t>
      </w:r>
      <w:r w:rsidRPr="007301FD">
        <w:rPr>
          <w:rFonts w:ascii="Calibri" w:hAnsi="Calibri" w:cs="Calibri"/>
          <w:sz w:val="24"/>
          <w:szCs w:val="24"/>
          <w:highlight w:val="yellow"/>
        </w:rPr>
        <w:t>Generate a new cohort of homozygous transgenic larvae.</w:t>
      </w:r>
    </w:p>
    <w:p w14:paraId="5AB4A270" w14:textId="77777777" w:rsidR="00355C66" w:rsidRPr="007301FD" w:rsidRDefault="00355C66" w:rsidP="00355C66">
      <w:pPr>
        <w:spacing w:line="0" w:lineRule="atLeast"/>
        <w:jc w:val="both"/>
        <w:rPr>
          <w:rFonts w:ascii="Calibri" w:hAnsi="Calibri" w:cs="Calibri"/>
          <w:sz w:val="24"/>
          <w:szCs w:val="24"/>
          <w:highlight w:val="yellow"/>
        </w:rPr>
      </w:pPr>
    </w:p>
    <w:p w14:paraId="5EC89746"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4.1.2.</w:t>
      </w:r>
      <w:r w:rsidRPr="007301FD">
        <w:rPr>
          <w:rFonts w:ascii="Calibri" w:hAnsi="Calibri" w:cs="Calibri"/>
          <w:highlight w:val="yellow"/>
        </w:rPr>
        <w:t xml:space="preserve"> </w:t>
      </w:r>
      <w:r w:rsidRPr="007301FD">
        <w:rPr>
          <w:rFonts w:ascii="Calibri" w:hAnsi="Calibri" w:cs="Calibri"/>
          <w:sz w:val="24"/>
          <w:szCs w:val="24"/>
          <w:highlight w:val="yellow"/>
        </w:rPr>
        <w:t>Collect embryos and raise them in BEW.</w:t>
      </w:r>
    </w:p>
    <w:p w14:paraId="50604A8B" w14:textId="77777777" w:rsidR="00355C66" w:rsidRPr="007301FD" w:rsidRDefault="00355C66" w:rsidP="00355C66">
      <w:pPr>
        <w:spacing w:line="0" w:lineRule="atLeast"/>
        <w:jc w:val="both"/>
        <w:rPr>
          <w:rFonts w:ascii="Calibri" w:hAnsi="Calibri" w:cs="Calibri"/>
          <w:sz w:val="24"/>
          <w:szCs w:val="24"/>
          <w:highlight w:val="yellow"/>
        </w:rPr>
      </w:pPr>
    </w:p>
    <w:p w14:paraId="1918A8D7"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4.1.3.</w:t>
      </w:r>
      <w:r w:rsidRPr="007301FD">
        <w:rPr>
          <w:rFonts w:ascii="Calibri" w:hAnsi="Calibri" w:cs="Calibri"/>
          <w:highlight w:val="yellow"/>
        </w:rPr>
        <w:t xml:space="preserve"> </w:t>
      </w:r>
      <w:r w:rsidRPr="007301FD">
        <w:rPr>
          <w:rFonts w:ascii="Calibri" w:hAnsi="Calibri" w:cs="Calibri"/>
          <w:sz w:val="24"/>
          <w:szCs w:val="24"/>
          <w:highlight w:val="yellow"/>
        </w:rPr>
        <w:t xml:space="preserve">Treat embryos with 200 </w:t>
      </w:r>
      <w:proofErr w:type="spellStart"/>
      <w:r w:rsidRPr="007301FD">
        <w:rPr>
          <w:rFonts w:ascii="Calibri" w:hAnsi="Calibri" w:cs="Calibri"/>
          <w:sz w:val="24"/>
          <w:szCs w:val="24"/>
          <w:highlight w:val="yellow"/>
        </w:rPr>
        <w:t>μM</w:t>
      </w:r>
      <w:proofErr w:type="spellEnd"/>
      <w:r w:rsidRPr="007301FD">
        <w:rPr>
          <w:rFonts w:ascii="Calibri" w:hAnsi="Calibri" w:cs="Calibri"/>
          <w:sz w:val="24"/>
          <w:szCs w:val="24"/>
          <w:highlight w:val="yellow"/>
        </w:rPr>
        <w:t xml:space="preserve"> PTU at 24–36 h post-fertilization (</w:t>
      </w:r>
      <w:proofErr w:type="spellStart"/>
      <w:r w:rsidRPr="007301FD">
        <w:rPr>
          <w:rFonts w:ascii="Calibri" w:hAnsi="Calibri" w:cs="Calibri"/>
          <w:sz w:val="24"/>
          <w:szCs w:val="24"/>
          <w:highlight w:val="yellow"/>
        </w:rPr>
        <w:t>hpf</w:t>
      </w:r>
      <w:proofErr w:type="spellEnd"/>
      <w:r w:rsidRPr="007301FD">
        <w:rPr>
          <w:rFonts w:ascii="Calibri" w:hAnsi="Calibri" w:cs="Calibri"/>
          <w:sz w:val="24"/>
          <w:szCs w:val="24"/>
          <w:highlight w:val="yellow"/>
        </w:rPr>
        <w:t>) as described in Step 2.3.</w:t>
      </w:r>
    </w:p>
    <w:p w14:paraId="6211FA9F" w14:textId="77777777" w:rsidR="00355C66" w:rsidRPr="007301FD" w:rsidRDefault="00355C66" w:rsidP="00355C66">
      <w:pPr>
        <w:spacing w:line="0" w:lineRule="atLeast"/>
        <w:jc w:val="both"/>
        <w:rPr>
          <w:rFonts w:ascii="Calibri" w:hAnsi="Calibri" w:cs="Calibri"/>
          <w:sz w:val="24"/>
          <w:szCs w:val="24"/>
          <w:highlight w:val="yellow"/>
        </w:rPr>
      </w:pPr>
    </w:p>
    <w:p w14:paraId="66C8A0A4"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lastRenderedPageBreak/>
        <w:t>4.1.4.</w:t>
      </w:r>
      <w:r w:rsidRPr="007301FD">
        <w:rPr>
          <w:rFonts w:ascii="Calibri" w:hAnsi="Calibri" w:cs="Calibri"/>
          <w:highlight w:val="yellow"/>
        </w:rPr>
        <w:t xml:space="preserve"> </w:t>
      </w:r>
      <w:r w:rsidRPr="007301FD">
        <w:rPr>
          <w:rFonts w:ascii="Calibri" w:hAnsi="Calibri" w:cs="Calibri"/>
          <w:sz w:val="24"/>
          <w:szCs w:val="24"/>
          <w:highlight w:val="yellow"/>
        </w:rPr>
        <w:t xml:space="preserve">At 3 </w:t>
      </w:r>
      <w:proofErr w:type="spellStart"/>
      <w:r w:rsidRPr="007301FD">
        <w:rPr>
          <w:rFonts w:ascii="Calibri" w:hAnsi="Calibri" w:cs="Calibri"/>
          <w:sz w:val="24"/>
          <w:szCs w:val="24"/>
          <w:highlight w:val="yellow"/>
        </w:rPr>
        <w:t>dpf</w:t>
      </w:r>
      <w:proofErr w:type="spellEnd"/>
      <w:r w:rsidRPr="007301FD">
        <w:rPr>
          <w:rFonts w:ascii="Calibri" w:hAnsi="Calibri" w:cs="Calibri"/>
          <w:sz w:val="24"/>
          <w:szCs w:val="24"/>
          <w:highlight w:val="yellow"/>
        </w:rPr>
        <w:t xml:space="preserve">, screen larvae using the </w:t>
      </w:r>
      <w:proofErr w:type="spellStart"/>
      <w:r w:rsidRPr="007301FD">
        <w:rPr>
          <w:rFonts w:ascii="Calibri" w:hAnsi="Calibri" w:cs="Calibri"/>
          <w:sz w:val="24"/>
          <w:szCs w:val="24"/>
          <w:highlight w:val="yellow"/>
        </w:rPr>
        <w:t>mCherry</w:t>
      </w:r>
      <w:proofErr w:type="spellEnd"/>
      <w:r w:rsidRPr="007301FD">
        <w:rPr>
          <w:rFonts w:ascii="Calibri" w:hAnsi="Calibri" w:cs="Calibri"/>
          <w:sz w:val="24"/>
          <w:szCs w:val="24"/>
          <w:highlight w:val="yellow"/>
        </w:rPr>
        <w:t xml:space="preserve"> channel with fixed microscope settings for all larvae within the experiment. Set exposure time, detector gain, and illumination intensity using a known positive larva to clearly detect DA neuron fluorescence without saturation, then keep these settings unchanged during screening.</w:t>
      </w:r>
    </w:p>
    <w:p w14:paraId="39C7AF96" w14:textId="77777777" w:rsidR="00355C66" w:rsidRPr="007301FD" w:rsidRDefault="00355C66" w:rsidP="00355C66">
      <w:pPr>
        <w:spacing w:line="0" w:lineRule="atLeast"/>
        <w:jc w:val="both"/>
        <w:rPr>
          <w:rFonts w:ascii="Calibri" w:hAnsi="Calibri" w:cs="Calibri"/>
          <w:sz w:val="24"/>
          <w:szCs w:val="24"/>
          <w:highlight w:val="yellow"/>
        </w:rPr>
      </w:pPr>
    </w:p>
    <w:p w14:paraId="3CA7D892"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4.1.5.</w:t>
      </w:r>
      <w:r w:rsidRPr="007301FD">
        <w:rPr>
          <w:rFonts w:ascii="Calibri" w:hAnsi="Calibri" w:cs="Calibri"/>
          <w:highlight w:val="yellow"/>
        </w:rPr>
        <w:t xml:space="preserve"> </w:t>
      </w:r>
      <w:r w:rsidRPr="007301FD">
        <w:rPr>
          <w:rFonts w:ascii="Calibri" w:hAnsi="Calibri" w:cs="Calibri"/>
          <w:sz w:val="24"/>
          <w:szCs w:val="24"/>
          <w:highlight w:val="yellow"/>
        </w:rPr>
        <w:t xml:space="preserve">Classify larvae as positive if clear </w:t>
      </w:r>
      <w:proofErr w:type="spellStart"/>
      <w:r w:rsidRPr="007301FD">
        <w:rPr>
          <w:rFonts w:ascii="Calibri" w:hAnsi="Calibri" w:cs="Calibri"/>
          <w:sz w:val="24"/>
          <w:szCs w:val="24"/>
          <w:highlight w:val="yellow"/>
        </w:rPr>
        <w:t>mCherry</w:t>
      </w:r>
      <w:proofErr w:type="spellEnd"/>
      <w:r w:rsidRPr="007301FD">
        <w:rPr>
          <w:rFonts w:ascii="Calibri" w:hAnsi="Calibri" w:cs="Calibri"/>
          <w:sz w:val="24"/>
          <w:szCs w:val="24"/>
          <w:highlight w:val="yellow"/>
        </w:rPr>
        <w:t xml:space="preserve"> fluorescence is visible in the expected DA neuron clusters of the ventral diencephalon under fixed screening settings. Discard larvae with no signal above background in this region or with weak, diffuse, or ectopic fluorescence.</w:t>
      </w:r>
    </w:p>
    <w:p w14:paraId="0E2C3308" w14:textId="77777777" w:rsidR="00355C66" w:rsidRPr="007301FD" w:rsidRDefault="00355C66" w:rsidP="00355C66">
      <w:pPr>
        <w:spacing w:line="0" w:lineRule="atLeast"/>
        <w:jc w:val="both"/>
        <w:rPr>
          <w:rFonts w:ascii="Calibri" w:hAnsi="Calibri" w:cs="Calibri"/>
          <w:sz w:val="24"/>
          <w:szCs w:val="24"/>
          <w:highlight w:val="yellow"/>
        </w:rPr>
      </w:pPr>
    </w:p>
    <w:p w14:paraId="50AE7327"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4.2. Embed larvae and acquire baseline images</w:t>
      </w:r>
    </w:p>
    <w:p w14:paraId="4F847051" w14:textId="77777777" w:rsidR="00355C66" w:rsidRPr="007301FD" w:rsidRDefault="00355C66" w:rsidP="00355C66">
      <w:pPr>
        <w:spacing w:line="0" w:lineRule="atLeast"/>
        <w:jc w:val="both"/>
        <w:rPr>
          <w:rFonts w:ascii="Calibri" w:hAnsi="Calibri" w:cs="Calibri"/>
          <w:highlight w:val="yellow"/>
        </w:rPr>
      </w:pPr>
    </w:p>
    <w:p w14:paraId="26D5A267"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4.2.1.</w:t>
      </w:r>
      <w:r w:rsidRPr="007301FD">
        <w:rPr>
          <w:rFonts w:ascii="Calibri" w:hAnsi="Calibri" w:cs="Calibri"/>
          <w:highlight w:val="yellow"/>
        </w:rPr>
        <w:t xml:space="preserve"> </w:t>
      </w:r>
      <w:r w:rsidRPr="007301FD">
        <w:rPr>
          <w:rFonts w:ascii="Calibri" w:hAnsi="Calibri" w:cs="Calibri"/>
          <w:sz w:val="24"/>
          <w:szCs w:val="24"/>
          <w:highlight w:val="yellow"/>
        </w:rPr>
        <w:t xml:space="preserve">At 4 </w:t>
      </w:r>
      <w:proofErr w:type="spellStart"/>
      <w:r w:rsidRPr="007301FD">
        <w:rPr>
          <w:rFonts w:ascii="Calibri" w:hAnsi="Calibri" w:cs="Calibri"/>
          <w:sz w:val="24"/>
          <w:szCs w:val="24"/>
          <w:highlight w:val="yellow"/>
        </w:rPr>
        <w:t>dpf</w:t>
      </w:r>
      <w:proofErr w:type="spellEnd"/>
      <w:r w:rsidRPr="007301FD">
        <w:rPr>
          <w:rFonts w:ascii="Calibri" w:hAnsi="Calibri" w:cs="Calibri"/>
          <w:sz w:val="24"/>
          <w:szCs w:val="24"/>
          <w:highlight w:val="yellow"/>
        </w:rPr>
        <w:t>, embed larvae in a 96-well plate as described in Steps 3.2–3.3, using one larva per well.</w:t>
      </w:r>
    </w:p>
    <w:p w14:paraId="6CC40E20" w14:textId="77777777" w:rsidR="00355C66" w:rsidRPr="007301FD" w:rsidRDefault="00355C66" w:rsidP="00355C66">
      <w:pPr>
        <w:spacing w:line="0" w:lineRule="atLeast"/>
        <w:jc w:val="both"/>
        <w:rPr>
          <w:rFonts w:ascii="Calibri" w:hAnsi="Calibri" w:cs="Calibri"/>
          <w:sz w:val="24"/>
          <w:szCs w:val="24"/>
          <w:highlight w:val="yellow"/>
        </w:rPr>
      </w:pPr>
    </w:p>
    <w:p w14:paraId="385ED11E"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4.2.2.</w:t>
      </w:r>
      <w:r w:rsidRPr="007301FD">
        <w:rPr>
          <w:rFonts w:ascii="Calibri" w:hAnsi="Calibri" w:cs="Calibri"/>
          <w:highlight w:val="yellow"/>
        </w:rPr>
        <w:t xml:space="preserve"> </w:t>
      </w:r>
      <w:r w:rsidRPr="007301FD">
        <w:rPr>
          <w:rFonts w:ascii="Calibri" w:hAnsi="Calibri" w:cs="Calibri"/>
          <w:sz w:val="24"/>
          <w:szCs w:val="24"/>
          <w:highlight w:val="yellow"/>
        </w:rPr>
        <w:t>Acquire pre-treatment baseline fluorescence images as described in Step 3.5.</w:t>
      </w:r>
    </w:p>
    <w:p w14:paraId="28895087" w14:textId="77777777" w:rsidR="00355C66" w:rsidRPr="007301FD" w:rsidRDefault="00355C66" w:rsidP="00355C66">
      <w:pPr>
        <w:spacing w:line="0" w:lineRule="atLeast"/>
        <w:jc w:val="both"/>
        <w:rPr>
          <w:rFonts w:ascii="Calibri" w:hAnsi="Calibri" w:cs="Calibri"/>
          <w:sz w:val="24"/>
          <w:szCs w:val="24"/>
          <w:highlight w:val="yellow"/>
        </w:rPr>
      </w:pPr>
    </w:p>
    <w:p w14:paraId="36E322B6"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4.3. Apply MTZ and candidate compounds</w:t>
      </w:r>
    </w:p>
    <w:p w14:paraId="42B76786" w14:textId="77777777" w:rsidR="00355C66" w:rsidRPr="007301FD" w:rsidRDefault="00355C66" w:rsidP="00355C66">
      <w:pPr>
        <w:spacing w:line="0" w:lineRule="atLeast"/>
        <w:jc w:val="both"/>
        <w:rPr>
          <w:rFonts w:ascii="Calibri" w:hAnsi="Calibri" w:cs="Calibri"/>
          <w:highlight w:val="yellow"/>
        </w:rPr>
      </w:pPr>
    </w:p>
    <w:p w14:paraId="110B5D7E"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4.3.1.</w:t>
      </w:r>
      <w:r w:rsidRPr="007301FD">
        <w:rPr>
          <w:rFonts w:ascii="Calibri" w:hAnsi="Calibri" w:cs="Calibri"/>
          <w:highlight w:val="yellow"/>
        </w:rPr>
        <w:t xml:space="preserve"> </w:t>
      </w:r>
      <w:r w:rsidRPr="007301FD">
        <w:rPr>
          <w:rFonts w:ascii="Calibri" w:hAnsi="Calibri" w:cs="Calibri"/>
          <w:sz w:val="24"/>
          <w:szCs w:val="24"/>
          <w:highlight w:val="yellow"/>
        </w:rPr>
        <w:t xml:space="preserve">After acquiring baseline fluorescence images at 4 </w:t>
      </w:r>
      <w:proofErr w:type="spellStart"/>
      <w:r w:rsidRPr="007301FD">
        <w:rPr>
          <w:rFonts w:ascii="Calibri" w:hAnsi="Calibri" w:cs="Calibri"/>
          <w:sz w:val="24"/>
          <w:szCs w:val="24"/>
          <w:highlight w:val="yellow"/>
        </w:rPr>
        <w:t>dpf</w:t>
      </w:r>
      <w:proofErr w:type="spellEnd"/>
      <w:r w:rsidRPr="007301FD">
        <w:rPr>
          <w:rFonts w:ascii="Calibri" w:hAnsi="Calibri" w:cs="Calibri"/>
          <w:sz w:val="24"/>
          <w:szCs w:val="24"/>
          <w:highlight w:val="yellow"/>
        </w:rPr>
        <w:t>, add treatment solutions directly to wells according to the plate map (</w:t>
      </w:r>
      <w:r w:rsidRPr="007301FD">
        <w:rPr>
          <w:rFonts w:ascii="Calibri" w:hAnsi="Calibri" w:cs="Calibri"/>
          <w:b/>
          <w:bCs/>
          <w:sz w:val="24"/>
          <w:szCs w:val="24"/>
          <w:highlight w:val="yellow"/>
        </w:rPr>
        <w:t>Figure 1C</w:t>
      </w:r>
      <w:r w:rsidRPr="007301FD">
        <w:rPr>
          <w:rFonts w:ascii="Calibri" w:hAnsi="Calibri" w:cs="Calibri"/>
          <w:sz w:val="24"/>
          <w:szCs w:val="24"/>
          <w:highlight w:val="yellow"/>
        </w:rPr>
        <w:t>).</w:t>
      </w:r>
    </w:p>
    <w:p w14:paraId="7C0E6E21" w14:textId="77777777" w:rsidR="00355C66" w:rsidRPr="007301FD" w:rsidRDefault="00355C66" w:rsidP="00355C66">
      <w:pPr>
        <w:spacing w:line="0" w:lineRule="atLeast"/>
        <w:jc w:val="both"/>
        <w:rPr>
          <w:rFonts w:ascii="Calibri" w:hAnsi="Calibri" w:cs="Calibri"/>
          <w:sz w:val="24"/>
          <w:szCs w:val="24"/>
          <w:highlight w:val="yellow"/>
        </w:rPr>
      </w:pPr>
    </w:p>
    <w:p w14:paraId="50A3F381"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4.3.2.</w:t>
      </w:r>
      <w:r w:rsidRPr="007301FD">
        <w:rPr>
          <w:rFonts w:ascii="Calibri" w:hAnsi="Calibri" w:cs="Calibri"/>
          <w:highlight w:val="yellow"/>
        </w:rPr>
        <w:t xml:space="preserve"> </w:t>
      </w:r>
      <w:r w:rsidRPr="007301FD">
        <w:rPr>
          <w:rFonts w:ascii="Calibri" w:hAnsi="Calibri" w:cs="Calibri"/>
          <w:sz w:val="24"/>
          <w:szCs w:val="24"/>
          <w:highlight w:val="yellow"/>
        </w:rPr>
        <w:t>For vehicle control wells, add BEW containing the same final DMSO concentration used in compound-treated wells.</w:t>
      </w:r>
    </w:p>
    <w:p w14:paraId="3CC17E18" w14:textId="77777777" w:rsidR="00355C66" w:rsidRPr="007301FD" w:rsidRDefault="00355C66" w:rsidP="00355C66">
      <w:pPr>
        <w:spacing w:line="0" w:lineRule="atLeast"/>
        <w:jc w:val="both"/>
        <w:rPr>
          <w:rFonts w:ascii="Calibri" w:hAnsi="Calibri" w:cs="Calibri"/>
          <w:sz w:val="24"/>
          <w:szCs w:val="24"/>
          <w:highlight w:val="yellow"/>
        </w:rPr>
      </w:pPr>
    </w:p>
    <w:p w14:paraId="660F3D93"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4.3.3.</w:t>
      </w:r>
      <w:r w:rsidRPr="007301FD">
        <w:rPr>
          <w:rFonts w:ascii="Calibri" w:hAnsi="Calibri" w:cs="Calibri"/>
          <w:highlight w:val="yellow"/>
        </w:rPr>
        <w:t xml:space="preserve"> </w:t>
      </w:r>
      <w:r w:rsidRPr="007301FD">
        <w:rPr>
          <w:rFonts w:ascii="Calibri" w:hAnsi="Calibri" w:cs="Calibri"/>
          <w:sz w:val="24"/>
          <w:szCs w:val="24"/>
          <w:highlight w:val="yellow"/>
        </w:rPr>
        <w:t>For MTZ-only control wells, add MTZ solution without candidate compound.</w:t>
      </w:r>
    </w:p>
    <w:p w14:paraId="71BA2EF4" w14:textId="77777777" w:rsidR="00355C66" w:rsidRPr="007301FD" w:rsidRDefault="00355C66" w:rsidP="00355C66">
      <w:pPr>
        <w:spacing w:line="0" w:lineRule="atLeast"/>
        <w:jc w:val="both"/>
        <w:rPr>
          <w:rFonts w:ascii="Calibri" w:hAnsi="Calibri" w:cs="Calibri"/>
          <w:sz w:val="24"/>
          <w:szCs w:val="24"/>
          <w:highlight w:val="yellow"/>
        </w:rPr>
      </w:pPr>
    </w:p>
    <w:p w14:paraId="0EA83ED4"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4.3.4.</w:t>
      </w:r>
      <w:r w:rsidRPr="007301FD">
        <w:rPr>
          <w:rFonts w:ascii="Calibri" w:hAnsi="Calibri" w:cs="Calibri"/>
          <w:highlight w:val="yellow"/>
        </w:rPr>
        <w:t xml:space="preserve"> </w:t>
      </w:r>
      <w:r w:rsidRPr="007301FD">
        <w:rPr>
          <w:rFonts w:ascii="Calibri" w:hAnsi="Calibri" w:cs="Calibri"/>
          <w:sz w:val="24"/>
          <w:szCs w:val="24"/>
          <w:highlight w:val="yellow"/>
        </w:rPr>
        <w:t>For compound-screening wells, add MTZ and candidate compound together so that larvae are exposed to both during the same 24 h treatment period.</w:t>
      </w:r>
    </w:p>
    <w:p w14:paraId="677F0BFA" w14:textId="77777777" w:rsidR="00355C66" w:rsidRPr="007301FD" w:rsidRDefault="00355C66" w:rsidP="00355C66">
      <w:pPr>
        <w:spacing w:line="0" w:lineRule="atLeast"/>
        <w:jc w:val="both"/>
        <w:rPr>
          <w:rFonts w:ascii="Calibri" w:hAnsi="Calibri" w:cs="Calibri"/>
          <w:sz w:val="24"/>
          <w:szCs w:val="24"/>
          <w:highlight w:val="yellow"/>
        </w:rPr>
      </w:pPr>
    </w:p>
    <w:p w14:paraId="0FFB622B"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4.3.5.</w:t>
      </w:r>
      <w:r w:rsidRPr="007301FD">
        <w:rPr>
          <w:rFonts w:ascii="Calibri" w:hAnsi="Calibri" w:cs="Calibri"/>
          <w:highlight w:val="yellow"/>
        </w:rPr>
        <w:t xml:space="preserve"> </w:t>
      </w:r>
      <w:r w:rsidRPr="007301FD">
        <w:rPr>
          <w:rFonts w:ascii="Calibri" w:hAnsi="Calibri" w:cs="Calibri"/>
          <w:sz w:val="24"/>
          <w:szCs w:val="24"/>
          <w:highlight w:val="yellow"/>
        </w:rPr>
        <w:t xml:space="preserve">For initial screening, use a single compound concentration, such as 10 </w:t>
      </w:r>
      <w:proofErr w:type="spellStart"/>
      <w:r w:rsidRPr="007301FD">
        <w:rPr>
          <w:rFonts w:ascii="Calibri" w:hAnsi="Calibri" w:cs="Calibri"/>
          <w:sz w:val="24"/>
          <w:szCs w:val="24"/>
          <w:highlight w:val="yellow"/>
        </w:rPr>
        <w:t>μM</w:t>
      </w:r>
      <w:proofErr w:type="spellEnd"/>
      <w:r w:rsidRPr="007301FD">
        <w:rPr>
          <w:rFonts w:ascii="Calibri" w:hAnsi="Calibri" w:cs="Calibri"/>
          <w:sz w:val="24"/>
          <w:szCs w:val="24"/>
          <w:highlight w:val="yellow"/>
        </w:rPr>
        <w:t>, unless compound-specific solubility, toxicity, or prior dose-response data indicate that a different concentration should be used.</w:t>
      </w:r>
    </w:p>
    <w:p w14:paraId="39F1D820" w14:textId="77777777" w:rsidR="00355C66" w:rsidRPr="007301FD" w:rsidRDefault="00355C66" w:rsidP="00355C66">
      <w:pPr>
        <w:spacing w:line="0" w:lineRule="atLeast"/>
        <w:jc w:val="both"/>
        <w:rPr>
          <w:rFonts w:ascii="Calibri" w:hAnsi="Calibri" w:cs="Calibri"/>
          <w:sz w:val="24"/>
          <w:szCs w:val="24"/>
          <w:highlight w:val="yellow"/>
        </w:rPr>
      </w:pPr>
    </w:p>
    <w:p w14:paraId="0DFD0890"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4.3.6.</w:t>
      </w:r>
      <w:r w:rsidRPr="007301FD">
        <w:rPr>
          <w:rFonts w:ascii="Calibri" w:hAnsi="Calibri" w:cs="Calibri"/>
          <w:highlight w:val="yellow"/>
        </w:rPr>
        <w:t xml:space="preserve"> </w:t>
      </w:r>
      <w:r w:rsidRPr="007301FD">
        <w:rPr>
          <w:rFonts w:ascii="Calibri" w:hAnsi="Calibri" w:cs="Calibri"/>
          <w:sz w:val="24"/>
          <w:szCs w:val="24"/>
          <w:highlight w:val="yellow"/>
        </w:rPr>
        <w:t xml:space="preserve">Adjust each well to a final volume of 200 </w:t>
      </w:r>
      <w:proofErr w:type="spellStart"/>
      <w:r w:rsidRPr="007301FD">
        <w:rPr>
          <w:rFonts w:ascii="Calibri" w:hAnsi="Calibri" w:cs="Calibri"/>
          <w:sz w:val="24"/>
          <w:szCs w:val="24"/>
          <w:highlight w:val="yellow"/>
        </w:rPr>
        <w:t>μL</w:t>
      </w:r>
      <w:proofErr w:type="spellEnd"/>
      <w:r w:rsidRPr="007301FD">
        <w:rPr>
          <w:rFonts w:ascii="Calibri" w:hAnsi="Calibri" w:cs="Calibri"/>
          <w:sz w:val="24"/>
          <w:szCs w:val="24"/>
          <w:highlight w:val="yellow"/>
        </w:rPr>
        <w:t>. Maintain identical final DMSO concentrations across all wells, including vehicle control, MTZ-only control, and MTZ plus compound wells.</w:t>
      </w:r>
    </w:p>
    <w:p w14:paraId="3F3E33FC" w14:textId="77777777" w:rsidR="00355C66" w:rsidRPr="007301FD" w:rsidRDefault="00355C66" w:rsidP="00355C66">
      <w:pPr>
        <w:spacing w:line="0" w:lineRule="atLeast"/>
        <w:jc w:val="both"/>
        <w:rPr>
          <w:rFonts w:ascii="Calibri" w:hAnsi="Calibri" w:cs="Calibri"/>
          <w:sz w:val="24"/>
          <w:szCs w:val="24"/>
          <w:highlight w:val="yellow"/>
        </w:rPr>
      </w:pPr>
    </w:p>
    <w:p w14:paraId="505D22D0"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4.3.7.</w:t>
      </w:r>
      <w:r w:rsidRPr="007301FD">
        <w:rPr>
          <w:rFonts w:ascii="Calibri" w:hAnsi="Calibri" w:cs="Calibri"/>
          <w:highlight w:val="yellow"/>
        </w:rPr>
        <w:t xml:space="preserve"> </w:t>
      </w:r>
      <w:r w:rsidRPr="007301FD">
        <w:rPr>
          <w:rFonts w:ascii="Calibri" w:hAnsi="Calibri" w:cs="Calibri"/>
          <w:sz w:val="24"/>
          <w:szCs w:val="24"/>
          <w:highlight w:val="yellow"/>
        </w:rPr>
        <w:t xml:space="preserve">Incubate plates at 28.5°C under a 14 h light:10 h dark cycle for 24 h, from 4 </w:t>
      </w:r>
      <w:proofErr w:type="spellStart"/>
      <w:r w:rsidRPr="007301FD">
        <w:rPr>
          <w:rFonts w:ascii="Calibri" w:hAnsi="Calibri" w:cs="Calibri"/>
          <w:sz w:val="24"/>
          <w:szCs w:val="24"/>
          <w:highlight w:val="yellow"/>
        </w:rPr>
        <w:t>dpf</w:t>
      </w:r>
      <w:proofErr w:type="spellEnd"/>
      <w:r w:rsidRPr="007301FD">
        <w:rPr>
          <w:rFonts w:ascii="Calibri" w:hAnsi="Calibri" w:cs="Calibri"/>
          <w:sz w:val="24"/>
          <w:szCs w:val="24"/>
          <w:highlight w:val="yellow"/>
        </w:rPr>
        <w:t xml:space="preserve"> to 5 </w:t>
      </w:r>
      <w:proofErr w:type="spellStart"/>
      <w:r w:rsidRPr="007301FD">
        <w:rPr>
          <w:rFonts w:ascii="Calibri" w:hAnsi="Calibri" w:cs="Calibri"/>
          <w:sz w:val="24"/>
          <w:szCs w:val="24"/>
          <w:highlight w:val="yellow"/>
        </w:rPr>
        <w:t>dpf</w:t>
      </w:r>
      <w:proofErr w:type="spellEnd"/>
      <w:r w:rsidRPr="007301FD">
        <w:rPr>
          <w:rFonts w:ascii="Calibri" w:hAnsi="Calibri" w:cs="Calibri"/>
          <w:sz w:val="24"/>
          <w:szCs w:val="24"/>
          <w:highlight w:val="yellow"/>
        </w:rPr>
        <w:t>.</w:t>
      </w:r>
    </w:p>
    <w:p w14:paraId="200D5E5B" w14:textId="77777777" w:rsidR="00355C66" w:rsidRPr="007301FD" w:rsidRDefault="00355C66" w:rsidP="00355C66">
      <w:pPr>
        <w:spacing w:line="0" w:lineRule="atLeast"/>
        <w:jc w:val="both"/>
        <w:rPr>
          <w:rFonts w:ascii="Calibri" w:hAnsi="Calibri" w:cs="Calibri"/>
          <w:sz w:val="24"/>
          <w:szCs w:val="24"/>
          <w:highlight w:val="yellow"/>
        </w:rPr>
      </w:pPr>
    </w:p>
    <w:p w14:paraId="3BE985E7" w14:textId="77777777" w:rsidR="00355C66" w:rsidRPr="007301FD" w:rsidRDefault="00355C66" w:rsidP="00355C66">
      <w:pPr>
        <w:spacing w:line="0" w:lineRule="atLeast"/>
        <w:jc w:val="both"/>
        <w:rPr>
          <w:rFonts w:ascii="Calibri" w:hAnsi="Calibri" w:cs="Calibri"/>
          <w:highlight w:val="yellow"/>
        </w:rPr>
      </w:pPr>
      <w:r w:rsidRPr="007301FD">
        <w:rPr>
          <w:rFonts w:ascii="Calibri" w:hAnsi="Calibri" w:cs="Calibri"/>
          <w:sz w:val="24"/>
          <w:szCs w:val="24"/>
          <w:highlight w:val="yellow"/>
        </w:rPr>
        <w:t>NOTE: This protocol does not include MTZ removal or washout before compound exposure. Candidate compounds are applied concurrently with MTZ immediately after baseline imaging.</w:t>
      </w:r>
    </w:p>
    <w:p w14:paraId="08C2B548" w14:textId="77777777" w:rsidR="00355C66" w:rsidRPr="007301FD" w:rsidRDefault="00355C66" w:rsidP="00355C66">
      <w:pPr>
        <w:spacing w:line="0" w:lineRule="atLeast"/>
        <w:jc w:val="both"/>
        <w:rPr>
          <w:rFonts w:ascii="Calibri" w:hAnsi="Calibri" w:cs="Calibri"/>
          <w:highlight w:val="yellow"/>
        </w:rPr>
      </w:pPr>
    </w:p>
    <w:p w14:paraId="30B12DC6"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4.4. Acquire post-treatment images and calculate fluorescence retention</w:t>
      </w:r>
    </w:p>
    <w:p w14:paraId="1835DBA0" w14:textId="77777777" w:rsidR="00355C66" w:rsidRPr="007301FD" w:rsidRDefault="00355C66" w:rsidP="00355C66">
      <w:pPr>
        <w:spacing w:line="0" w:lineRule="atLeast"/>
        <w:jc w:val="both"/>
        <w:rPr>
          <w:rFonts w:ascii="Calibri" w:hAnsi="Calibri" w:cs="Calibri"/>
          <w:highlight w:val="yellow"/>
        </w:rPr>
      </w:pPr>
    </w:p>
    <w:p w14:paraId="653742AB"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lastRenderedPageBreak/>
        <w:t>4.4.1.</w:t>
      </w:r>
      <w:r w:rsidRPr="007301FD">
        <w:rPr>
          <w:rFonts w:ascii="Calibri" w:hAnsi="Calibri" w:cs="Calibri"/>
          <w:highlight w:val="yellow"/>
        </w:rPr>
        <w:t xml:space="preserve"> </w:t>
      </w:r>
      <w:r w:rsidRPr="007301FD">
        <w:rPr>
          <w:rFonts w:ascii="Calibri" w:hAnsi="Calibri" w:cs="Calibri"/>
          <w:sz w:val="24"/>
          <w:szCs w:val="24"/>
          <w:highlight w:val="yellow"/>
        </w:rPr>
        <w:t xml:space="preserve">At 5 </w:t>
      </w:r>
      <w:proofErr w:type="spellStart"/>
      <w:r w:rsidRPr="007301FD">
        <w:rPr>
          <w:rFonts w:ascii="Calibri" w:hAnsi="Calibri" w:cs="Calibri"/>
          <w:sz w:val="24"/>
          <w:szCs w:val="24"/>
          <w:highlight w:val="yellow"/>
        </w:rPr>
        <w:t>dpf</w:t>
      </w:r>
      <w:proofErr w:type="spellEnd"/>
      <w:r w:rsidRPr="007301FD">
        <w:rPr>
          <w:rFonts w:ascii="Calibri" w:hAnsi="Calibri" w:cs="Calibri"/>
          <w:sz w:val="24"/>
          <w:szCs w:val="24"/>
          <w:highlight w:val="yellow"/>
        </w:rPr>
        <w:t xml:space="preserve">, acquire post-treatment fluorescence images using the identical acquisition settings used for baseline imaging at 4 </w:t>
      </w:r>
      <w:proofErr w:type="spellStart"/>
      <w:r w:rsidRPr="007301FD">
        <w:rPr>
          <w:rFonts w:ascii="Calibri" w:hAnsi="Calibri" w:cs="Calibri"/>
          <w:sz w:val="24"/>
          <w:szCs w:val="24"/>
          <w:highlight w:val="yellow"/>
        </w:rPr>
        <w:t>dpf</w:t>
      </w:r>
      <w:proofErr w:type="spellEnd"/>
      <w:r w:rsidRPr="007301FD">
        <w:rPr>
          <w:rFonts w:ascii="Calibri" w:hAnsi="Calibri" w:cs="Calibri"/>
          <w:sz w:val="24"/>
          <w:szCs w:val="24"/>
          <w:highlight w:val="yellow"/>
        </w:rPr>
        <w:t>.</w:t>
      </w:r>
    </w:p>
    <w:p w14:paraId="14058725" w14:textId="77777777" w:rsidR="00355C66" w:rsidRPr="007301FD" w:rsidRDefault="00355C66" w:rsidP="00355C66">
      <w:pPr>
        <w:spacing w:line="0" w:lineRule="atLeast"/>
        <w:jc w:val="both"/>
        <w:rPr>
          <w:rFonts w:ascii="Calibri" w:hAnsi="Calibri" w:cs="Calibri"/>
          <w:sz w:val="24"/>
          <w:szCs w:val="24"/>
          <w:highlight w:val="yellow"/>
        </w:rPr>
      </w:pPr>
    </w:p>
    <w:p w14:paraId="331E54EF"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4.4.2.</w:t>
      </w:r>
      <w:r w:rsidRPr="007301FD">
        <w:rPr>
          <w:rFonts w:ascii="Calibri" w:hAnsi="Calibri" w:cs="Calibri"/>
          <w:highlight w:val="yellow"/>
        </w:rPr>
        <w:t xml:space="preserve"> </w:t>
      </w:r>
      <w:r w:rsidRPr="007301FD">
        <w:rPr>
          <w:rFonts w:ascii="Calibri" w:hAnsi="Calibri" w:cs="Calibri"/>
          <w:sz w:val="24"/>
          <w:szCs w:val="24"/>
          <w:highlight w:val="yellow"/>
        </w:rPr>
        <w:t>Image wells in the same order used during baseline imaging whenever possible.</w:t>
      </w:r>
    </w:p>
    <w:p w14:paraId="2DAD1B09" w14:textId="77777777" w:rsidR="00355C66" w:rsidRPr="007301FD" w:rsidRDefault="00355C66" w:rsidP="00355C66">
      <w:pPr>
        <w:spacing w:line="0" w:lineRule="atLeast"/>
        <w:jc w:val="both"/>
        <w:rPr>
          <w:rFonts w:ascii="Calibri" w:hAnsi="Calibri" w:cs="Calibri"/>
          <w:sz w:val="24"/>
          <w:szCs w:val="24"/>
          <w:highlight w:val="yellow"/>
        </w:rPr>
      </w:pPr>
    </w:p>
    <w:p w14:paraId="64F2E350"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4.4.3.</w:t>
      </w:r>
      <w:r w:rsidRPr="007301FD">
        <w:rPr>
          <w:rFonts w:ascii="Calibri" w:hAnsi="Calibri" w:cs="Calibri"/>
          <w:highlight w:val="yellow"/>
        </w:rPr>
        <w:t xml:space="preserve"> </w:t>
      </w:r>
      <w:r w:rsidRPr="007301FD">
        <w:rPr>
          <w:rFonts w:ascii="Calibri" w:hAnsi="Calibri" w:cs="Calibri"/>
          <w:sz w:val="24"/>
          <w:szCs w:val="24"/>
          <w:highlight w:val="yellow"/>
        </w:rPr>
        <w:t>Calculate fluorescence retention for each larva as:</w:t>
      </w:r>
    </w:p>
    <w:p w14:paraId="550752FF" w14:textId="77777777" w:rsidR="00355C66" w:rsidRPr="007301FD" w:rsidRDefault="00355C66" w:rsidP="00355C66">
      <w:pPr>
        <w:spacing w:line="0" w:lineRule="atLeast"/>
        <w:jc w:val="both"/>
        <w:rPr>
          <w:rFonts w:ascii="Calibri" w:hAnsi="Calibri" w:cs="Calibri"/>
          <w:highlight w:val="yellow"/>
        </w:rPr>
      </w:pPr>
    </w:p>
    <w:p w14:paraId="1507DFCC" w14:textId="77777777" w:rsidR="00355C66" w:rsidRPr="007301FD" w:rsidRDefault="00355C66" w:rsidP="00355C66">
      <w:pPr>
        <w:spacing w:line="0" w:lineRule="atLeast"/>
        <w:jc w:val="both"/>
        <w:rPr>
          <w:rFonts w:ascii="Calibri" w:hAnsi="Calibri" w:cs="Calibri"/>
          <w:sz w:val="24"/>
          <w:szCs w:val="24"/>
          <w:highlight w:val="yellow"/>
        </w:rPr>
      </w:pPr>
      <m:oMathPara>
        <m:oMath>
          <m:r>
            <m:rPr>
              <m:sty m:val="p"/>
            </m:rPr>
            <w:rPr>
              <w:rFonts w:ascii="Cambria Math" w:hAnsi="Cambria Math" w:cs="Calibri"/>
              <w:highlight w:val="yellow"/>
            </w:rPr>
            <m:t xml:space="preserve">Fluorescence retention= </m:t>
          </m:r>
          <m:f>
            <m:fPr>
              <m:ctrlPr>
                <w:rPr>
                  <w:rFonts w:ascii="Cambria Math" w:eastAsiaTheme="minorHAnsi" w:hAnsi="Cambria Math" w:cs="Calibri"/>
                  <w:kern w:val="2"/>
                  <w:sz w:val="24"/>
                  <w:szCs w:val="24"/>
                  <w:highlight w:val="yellow"/>
                  <w:lang w:val="en-IN" w:eastAsia="en-US"/>
                  <w14:ligatures w14:val="standardContextual"/>
                </w:rPr>
              </m:ctrlPr>
            </m:fPr>
            <m:num>
              <m:r>
                <m:rPr>
                  <m:sty m:val="p"/>
                </m:rPr>
                <w:rPr>
                  <w:rFonts w:ascii="Cambria Math" w:hAnsi="Cambria Math" w:cs="Calibri"/>
                  <w:highlight w:val="yellow"/>
                </w:rPr>
                <m:t>IntDen at 5 dpf</m:t>
              </m:r>
            </m:num>
            <m:den>
              <m:r>
                <m:rPr>
                  <m:sty m:val="p"/>
                </m:rPr>
                <w:rPr>
                  <w:rFonts w:ascii="Cambria Math" w:hAnsi="Cambria Math" w:cs="Calibri"/>
                  <w:highlight w:val="yellow"/>
                </w:rPr>
                <m:t>IntDen at 4 dpf</m:t>
              </m:r>
            </m:den>
          </m:f>
        </m:oMath>
      </m:oMathPara>
    </w:p>
    <w:p w14:paraId="6A2162CF" w14:textId="77777777" w:rsidR="00355C66" w:rsidRPr="007301FD" w:rsidRDefault="00355C66" w:rsidP="00355C66">
      <w:pPr>
        <w:spacing w:line="0" w:lineRule="atLeast"/>
        <w:jc w:val="both"/>
        <w:rPr>
          <w:rFonts w:ascii="Calibri" w:hAnsi="Calibri" w:cs="Calibri"/>
          <w:sz w:val="24"/>
          <w:szCs w:val="24"/>
          <w:highlight w:val="yellow"/>
        </w:rPr>
      </w:pPr>
    </w:p>
    <w:p w14:paraId="1DD886E7"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4.4.4.</w:t>
      </w:r>
      <w:r w:rsidRPr="007301FD">
        <w:rPr>
          <w:rFonts w:ascii="Calibri" w:hAnsi="Calibri" w:cs="Calibri"/>
          <w:highlight w:val="yellow"/>
        </w:rPr>
        <w:t xml:space="preserve"> </w:t>
      </w:r>
      <w:r w:rsidRPr="007301FD">
        <w:rPr>
          <w:rFonts w:ascii="Calibri" w:hAnsi="Calibri" w:cs="Calibri"/>
          <w:sz w:val="24"/>
          <w:szCs w:val="24"/>
          <w:highlight w:val="yellow"/>
        </w:rPr>
        <w:t>Normalize fluorescence retention values to the mean vehicle control value from the same plate.</w:t>
      </w:r>
    </w:p>
    <w:p w14:paraId="16BC0E62" w14:textId="77777777" w:rsidR="00355C66" w:rsidRPr="007301FD" w:rsidRDefault="00355C66" w:rsidP="00355C66">
      <w:pPr>
        <w:spacing w:line="0" w:lineRule="atLeast"/>
        <w:jc w:val="both"/>
        <w:rPr>
          <w:rFonts w:ascii="Calibri" w:hAnsi="Calibri" w:cs="Calibri"/>
          <w:sz w:val="24"/>
          <w:szCs w:val="24"/>
          <w:highlight w:val="yellow"/>
        </w:rPr>
      </w:pPr>
    </w:p>
    <w:p w14:paraId="47807D7F"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4.4.5.</w:t>
      </w:r>
      <w:r w:rsidRPr="007301FD">
        <w:rPr>
          <w:rFonts w:ascii="Calibri" w:hAnsi="Calibri" w:cs="Calibri"/>
          <w:highlight w:val="yellow"/>
        </w:rPr>
        <w:t xml:space="preserve"> </w:t>
      </w:r>
      <w:r w:rsidRPr="007301FD">
        <w:rPr>
          <w:rFonts w:ascii="Calibri" w:hAnsi="Calibri" w:cs="Calibri"/>
          <w:sz w:val="24"/>
          <w:szCs w:val="24"/>
          <w:highlight w:val="yellow"/>
        </w:rPr>
        <w:t>Identify candidate protective compounds as those with fluorescence retention values significantly greater than the MTZ-only control.</w:t>
      </w:r>
    </w:p>
    <w:p w14:paraId="275B5E4F" w14:textId="77777777" w:rsidR="00355C66" w:rsidRPr="007301FD" w:rsidRDefault="00355C66" w:rsidP="00355C66">
      <w:pPr>
        <w:spacing w:line="0" w:lineRule="atLeast"/>
        <w:jc w:val="both"/>
        <w:rPr>
          <w:rFonts w:ascii="Calibri" w:hAnsi="Calibri" w:cs="Calibri"/>
          <w:sz w:val="24"/>
          <w:szCs w:val="24"/>
          <w:highlight w:val="yellow"/>
        </w:rPr>
      </w:pPr>
    </w:p>
    <w:p w14:paraId="773DC91F"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4.5. Identify hit compounds</w:t>
      </w:r>
    </w:p>
    <w:p w14:paraId="1859B4F5" w14:textId="77777777" w:rsidR="00355C66" w:rsidRPr="007301FD" w:rsidRDefault="00355C66" w:rsidP="00355C66">
      <w:pPr>
        <w:spacing w:line="0" w:lineRule="atLeast"/>
        <w:jc w:val="both"/>
        <w:rPr>
          <w:rFonts w:ascii="Calibri" w:hAnsi="Calibri" w:cs="Calibri"/>
          <w:highlight w:val="yellow"/>
        </w:rPr>
      </w:pPr>
    </w:p>
    <w:p w14:paraId="447FD6DF"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4.5.1.</w:t>
      </w:r>
      <w:r w:rsidRPr="007301FD">
        <w:rPr>
          <w:rFonts w:ascii="Calibri" w:hAnsi="Calibri" w:cs="Calibri"/>
          <w:highlight w:val="yellow"/>
        </w:rPr>
        <w:t xml:space="preserve"> </w:t>
      </w:r>
      <w:r w:rsidRPr="007301FD">
        <w:rPr>
          <w:rFonts w:ascii="Calibri" w:hAnsi="Calibri" w:cs="Calibri"/>
          <w:sz w:val="24"/>
          <w:szCs w:val="24"/>
          <w:highlight w:val="yellow"/>
        </w:rPr>
        <w:t>Identify hit compounds as those with fluorescence retention ratios significantly greater than the negative control (MTZ-only).</w:t>
      </w:r>
    </w:p>
    <w:p w14:paraId="776307DE" w14:textId="77777777" w:rsidR="00355C66" w:rsidRPr="007301FD" w:rsidRDefault="00355C66" w:rsidP="00355C66">
      <w:pPr>
        <w:spacing w:line="0" w:lineRule="atLeast"/>
        <w:jc w:val="both"/>
        <w:rPr>
          <w:rFonts w:ascii="Calibri" w:hAnsi="Calibri" w:cs="Calibri"/>
          <w:sz w:val="24"/>
          <w:szCs w:val="24"/>
          <w:highlight w:val="yellow"/>
        </w:rPr>
      </w:pPr>
    </w:p>
    <w:p w14:paraId="2D31CE34"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4.5.2.</w:t>
      </w:r>
      <w:r w:rsidRPr="007301FD">
        <w:rPr>
          <w:rFonts w:ascii="Calibri" w:hAnsi="Calibri" w:cs="Calibri"/>
          <w:highlight w:val="yellow"/>
        </w:rPr>
        <w:t xml:space="preserve"> </w:t>
      </w:r>
      <w:r w:rsidRPr="007301FD">
        <w:rPr>
          <w:rFonts w:ascii="Calibri" w:hAnsi="Calibri" w:cs="Calibri"/>
          <w:sz w:val="24"/>
          <w:szCs w:val="24"/>
          <w:highlight w:val="yellow"/>
        </w:rPr>
        <w:t>Perform statistical analysis using Welch’s t-test to compare MTZ-only controls with MTZ plus compound treatment groups.</w:t>
      </w:r>
    </w:p>
    <w:p w14:paraId="6AC072C9" w14:textId="77777777" w:rsidR="00355C66" w:rsidRPr="007301FD" w:rsidRDefault="00355C66" w:rsidP="00355C66">
      <w:pPr>
        <w:spacing w:line="0" w:lineRule="atLeast"/>
        <w:jc w:val="both"/>
        <w:rPr>
          <w:rFonts w:ascii="Calibri" w:hAnsi="Calibri" w:cs="Calibri"/>
          <w:sz w:val="24"/>
          <w:szCs w:val="24"/>
          <w:highlight w:val="yellow"/>
        </w:rPr>
      </w:pPr>
    </w:p>
    <w:p w14:paraId="74007750"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4.5.3.</w:t>
      </w:r>
      <w:r w:rsidRPr="007301FD">
        <w:rPr>
          <w:rFonts w:ascii="Calibri" w:hAnsi="Calibri" w:cs="Calibri"/>
          <w:highlight w:val="yellow"/>
        </w:rPr>
        <w:t xml:space="preserve"> </w:t>
      </w:r>
      <w:r w:rsidRPr="007301FD">
        <w:rPr>
          <w:rFonts w:ascii="Calibri" w:hAnsi="Calibri" w:cs="Calibri"/>
          <w:sz w:val="24"/>
          <w:szCs w:val="24"/>
          <w:highlight w:val="yellow"/>
        </w:rPr>
        <w:t>Validate hit compounds using independent biological replicates and dose-response assays. Confirm hits as compounds that reproducibly increase fluorescence retention relative to the MTZ-only control, with p &lt; 0.05 and no visible larval toxicity or abnormal morphology.</w:t>
      </w:r>
    </w:p>
    <w:p w14:paraId="50EE2049" w14:textId="77777777" w:rsidR="00355C66" w:rsidRPr="007301FD" w:rsidRDefault="00355C66" w:rsidP="00355C66">
      <w:pPr>
        <w:spacing w:line="0" w:lineRule="atLeast"/>
        <w:jc w:val="both"/>
        <w:rPr>
          <w:rFonts w:ascii="Calibri" w:hAnsi="Calibri" w:cs="Calibri"/>
          <w:sz w:val="24"/>
          <w:szCs w:val="24"/>
          <w:highlight w:val="yellow"/>
        </w:rPr>
      </w:pPr>
    </w:p>
    <w:p w14:paraId="5A5983D5" w14:textId="77777777" w:rsidR="00355C66" w:rsidRPr="007301FD" w:rsidRDefault="00355C66" w:rsidP="00355C66">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4.5.4.</w:t>
      </w:r>
      <w:r w:rsidRPr="007301FD">
        <w:rPr>
          <w:rFonts w:ascii="Calibri" w:hAnsi="Calibri" w:cs="Calibri"/>
          <w:highlight w:val="yellow"/>
        </w:rPr>
        <w:t xml:space="preserve"> </w:t>
      </w:r>
      <w:r w:rsidRPr="007301FD">
        <w:rPr>
          <w:rFonts w:ascii="Calibri" w:hAnsi="Calibri" w:cs="Calibri"/>
          <w:sz w:val="24"/>
          <w:szCs w:val="24"/>
          <w:highlight w:val="yellow"/>
        </w:rPr>
        <w:t>Advance validated hits to secondary assays such as locomotor behavioral analysis, dose-response validation, or independent biological replicate testing.</w:t>
      </w:r>
    </w:p>
    <w:p w14:paraId="37237120" w14:textId="77777777" w:rsidR="00355C66" w:rsidRPr="007301FD" w:rsidRDefault="00355C66" w:rsidP="00355C66">
      <w:pPr>
        <w:spacing w:line="0" w:lineRule="atLeast"/>
        <w:jc w:val="both"/>
        <w:rPr>
          <w:rFonts w:ascii="Calibri" w:hAnsi="Calibri" w:cs="Calibri"/>
          <w:sz w:val="24"/>
          <w:szCs w:val="24"/>
          <w:highlight w:val="yellow"/>
        </w:rPr>
      </w:pPr>
    </w:p>
    <w:p w14:paraId="59BCEDC7" w14:textId="65B79DEF" w:rsidR="00355C66" w:rsidRDefault="00355C66" w:rsidP="00355C66">
      <w:pPr>
        <w:spacing w:line="0" w:lineRule="atLeast"/>
        <w:jc w:val="both"/>
        <w:rPr>
          <w:rFonts w:ascii="Calibri" w:hAnsi="Calibri" w:cs="Calibri"/>
          <w:sz w:val="24"/>
          <w:szCs w:val="24"/>
        </w:rPr>
      </w:pPr>
      <w:r w:rsidRPr="007301FD">
        <w:rPr>
          <w:rFonts w:ascii="Calibri" w:hAnsi="Calibri" w:cs="Calibri"/>
          <w:sz w:val="24"/>
          <w:szCs w:val="24"/>
          <w:highlight w:val="yellow"/>
        </w:rPr>
        <w:t>NOTE: For compound library screens, calculate the Z-factor for each plate using positive and negative controls. A Z-factor &gt; 0.5 indicates a robust assay suitable for hit identification.</w:t>
      </w:r>
    </w:p>
    <w:p w14:paraId="30546A8B" w14:textId="77777777" w:rsidR="00355C66" w:rsidRPr="00DC0FA5" w:rsidRDefault="00355C66" w:rsidP="00DC0FA5">
      <w:pPr>
        <w:spacing w:line="0" w:lineRule="atLeast"/>
        <w:jc w:val="both"/>
        <w:rPr>
          <w:rFonts w:ascii="Calibri" w:hAnsi="Calibri" w:cs="Calibri"/>
          <w:sz w:val="24"/>
          <w:szCs w:val="24"/>
        </w:rPr>
      </w:pPr>
    </w:p>
    <w:p w14:paraId="0C08DC5B" w14:textId="77777777" w:rsidR="00DC0FA5" w:rsidRPr="007301FD" w:rsidRDefault="00DC0FA5" w:rsidP="00DC0FA5">
      <w:pPr>
        <w:spacing w:line="0" w:lineRule="atLeast"/>
        <w:jc w:val="both"/>
        <w:rPr>
          <w:rFonts w:ascii="Calibri" w:hAnsi="Calibri" w:cs="Calibri"/>
          <w:b/>
          <w:bCs/>
          <w:sz w:val="24"/>
          <w:szCs w:val="24"/>
          <w:highlight w:val="yellow"/>
        </w:rPr>
      </w:pPr>
      <w:r w:rsidRPr="007301FD">
        <w:rPr>
          <w:rFonts w:ascii="Calibri" w:hAnsi="Calibri" w:cs="Calibri"/>
          <w:b/>
          <w:bCs/>
          <w:sz w:val="24"/>
          <w:szCs w:val="24"/>
          <w:highlight w:val="yellow"/>
        </w:rPr>
        <w:t>5. Locomotor Behavioral Assessment</w:t>
      </w:r>
    </w:p>
    <w:p w14:paraId="4AFA37BF" w14:textId="77777777" w:rsidR="00DC0FA5" w:rsidRPr="007301FD" w:rsidRDefault="00DC0FA5" w:rsidP="00DC0FA5">
      <w:pPr>
        <w:spacing w:line="0" w:lineRule="atLeast"/>
        <w:jc w:val="both"/>
        <w:rPr>
          <w:rFonts w:ascii="Calibri" w:hAnsi="Calibri" w:cs="Calibri"/>
          <w:sz w:val="24"/>
          <w:szCs w:val="24"/>
          <w:highlight w:val="yellow"/>
        </w:rPr>
      </w:pPr>
    </w:p>
    <w:p w14:paraId="7C396610"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5.1. Assign larvae to treatment groups</w:t>
      </w:r>
    </w:p>
    <w:p w14:paraId="410D5F2F" w14:textId="77777777" w:rsidR="00DC0FA5" w:rsidRPr="007301FD" w:rsidRDefault="00DC0FA5" w:rsidP="00DC0FA5">
      <w:pPr>
        <w:spacing w:line="0" w:lineRule="atLeast"/>
        <w:jc w:val="both"/>
        <w:rPr>
          <w:rFonts w:ascii="Calibri" w:hAnsi="Calibri" w:cs="Calibri"/>
          <w:sz w:val="24"/>
          <w:szCs w:val="24"/>
          <w:highlight w:val="yellow"/>
        </w:rPr>
      </w:pPr>
    </w:p>
    <w:p w14:paraId="39097327"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 xml:space="preserve">5.1.1. At 4 </w:t>
      </w:r>
      <w:proofErr w:type="spellStart"/>
      <w:r w:rsidRPr="007301FD">
        <w:rPr>
          <w:rFonts w:ascii="Calibri" w:hAnsi="Calibri" w:cs="Calibri"/>
          <w:sz w:val="24"/>
          <w:szCs w:val="24"/>
          <w:highlight w:val="yellow"/>
        </w:rPr>
        <w:t>dpf</w:t>
      </w:r>
      <w:proofErr w:type="spellEnd"/>
      <w:r w:rsidRPr="007301FD">
        <w:rPr>
          <w:rFonts w:ascii="Calibri" w:hAnsi="Calibri" w:cs="Calibri"/>
          <w:sz w:val="24"/>
          <w:szCs w:val="24"/>
          <w:highlight w:val="yellow"/>
        </w:rPr>
        <w:t>, allocate larvae from each genotype into three treatment groups with at least 10 larvae per group: BEW only, DMSO vehicle control, and MTZ treatment.</w:t>
      </w:r>
    </w:p>
    <w:p w14:paraId="3A937A48" w14:textId="77777777" w:rsidR="00DC0FA5" w:rsidRPr="007301FD" w:rsidRDefault="00DC0FA5" w:rsidP="00DC0FA5">
      <w:pPr>
        <w:spacing w:line="0" w:lineRule="atLeast"/>
        <w:jc w:val="both"/>
        <w:rPr>
          <w:rFonts w:ascii="Calibri" w:hAnsi="Calibri" w:cs="Calibri"/>
          <w:sz w:val="24"/>
          <w:szCs w:val="24"/>
          <w:highlight w:val="yellow"/>
        </w:rPr>
      </w:pPr>
    </w:p>
    <w:p w14:paraId="46C6F133"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 xml:space="preserve">5.1.2. Assign groups as follows: (1) BEW only (untreated baseline), (2) 1% DMSO vehicle control, and (3) optimized MTZ concentration (4.5 mM in 1% DMSO/BEW with 200 </w:t>
      </w:r>
      <w:proofErr w:type="spellStart"/>
      <w:r w:rsidRPr="007301FD">
        <w:rPr>
          <w:rFonts w:ascii="Calibri" w:hAnsi="Calibri" w:cs="Calibri"/>
          <w:sz w:val="24"/>
          <w:szCs w:val="24"/>
          <w:highlight w:val="yellow"/>
        </w:rPr>
        <w:t>μM</w:t>
      </w:r>
      <w:proofErr w:type="spellEnd"/>
      <w:r w:rsidRPr="007301FD">
        <w:rPr>
          <w:rFonts w:ascii="Calibri" w:hAnsi="Calibri" w:cs="Calibri"/>
          <w:sz w:val="24"/>
          <w:szCs w:val="24"/>
          <w:highlight w:val="yellow"/>
        </w:rPr>
        <w:t xml:space="preserve"> PTU).</w:t>
      </w:r>
    </w:p>
    <w:p w14:paraId="59201196" w14:textId="77777777" w:rsidR="00DC0FA5" w:rsidRPr="007301FD" w:rsidRDefault="00DC0FA5" w:rsidP="00DC0FA5">
      <w:pPr>
        <w:spacing w:line="0" w:lineRule="atLeast"/>
        <w:jc w:val="both"/>
        <w:rPr>
          <w:rFonts w:ascii="Calibri" w:hAnsi="Calibri" w:cs="Calibri"/>
          <w:sz w:val="24"/>
          <w:szCs w:val="24"/>
          <w:highlight w:val="yellow"/>
        </w:rPr>
      </w:pPr>
    </w:p>
    <w:p w14:paraId="3E4F7C16"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lastRenderedPageBreak/>
        <w:t xml:space="preserve">5.1.3. Include AB wild-type larvae treated with vehicle or MTZ under identical conditions. Confirm NTR-dependent effects if MTZ reduces locomotion in </w:t>
      </w:r>
      <w:proofErr w:type="spellStart"/>
      <w:proofErr w:type="gramStart"/>
      <w:r w:rsidRPr="007301FD">
        <w:rPr>
          <w:rFonts w:ascii="Calibri" w:hAnsi="Calibri" w:cs="Calibri"/>
          <w:sz w:val="24"/>
          <w:szCs w:val="24"/>
          <w:highlight w:val="yellow"/>
        </w:rPr>
        <w:t>Tg</w:t>
      </w:r>
      <w:proofErr w:type="spellEnd"/>
      <w:r w:rsidRPr="007301FD">
        <w:rPr>
          <w:rFonts w:ascii="Calibri" w:hAnsi="Calibri" w:cs="Calibri"/>
          <w:sz w:val="24"/>
          <w:szCs w:val="24"/>
          <w:highlight w:val="yellow"/>
        </w:rPr>
        <w:t>(th:Gal</w:t>
      </w:r>
      <w:proofErr w:type="gramEnd"/>
      <w:r w:rsidRPr="007301FD">
        <w:rPr>
          <w:rFonts w:ascii="Calibri" w:hAnsi="Calibri" w:cs="Calibri"/>
          <w:sz w:val="24"/>
          <w:szCs w:val="24"/>
          <w:highlight w:val="yellow"/>
        </w:rPr>
        <w:t xml:space="preserve">4; </w:t>
      </w:r>
      <w:proofErr w:type="gramStart"/>
      <w:r w:rsidRPr="007301FD">
        <w:rPr>
          <w:rFonts w:ascii="Calibri" w:hAnsi="Calibri" w:cs="Calibri"/>
          <w:sz w:val="24"/>
          <w:szCs w:val="24"/>
          <w:highlight w:val="yellow"/>
        </w:rPr>
        <w:t>UAS:NTR</w:t>
      </w:r>
      <w:proofErr w:type="gramEnd"/>
      <w:r w:rsidRPr="007301FD">
        <w:rPr>
          <w:rFonts w:ascii="Calibri" w:hAnsi="Calibri" w:cs="Calibri"/>
          <w:sz w:val="24"/>
          <w:szCs w:val="24"/>
          <w:highlight w:val="yellow"/>
        </w:rPr>
        <w:t>-</w:t>
      </w:r>
      <w:proofErr w:type="spellStart"/>
      <w:r w:rsidRPr="007301FD">
        <w:rPr>
          <w:rFonts w:ascii="Calibri" w:hAnsi="Calibri" w:cs="Calibri"/>
          <w:sz w:val="24"/>
          <w:szCs w:val="24"/>
          <w:highlight w:val="yellow"/>
        </w:rPr>
        <w:t>mCherry</w:t>
      </w:r>
      <w:proofErr w:type="spellEnd"/>
      <w:r w:rsidRPr="007301FD">
        <w:rPr>
          <w:rFonts w:ascii="Calibri" w:hAnsi="Calibri" w:cs="Calibri"/>
          <w:sz w:val="24"/>
          <w:szCs w:val="24"/>
          <w:highlight w:val="yellow"/>
        </w:rPr>
        <w:t>) larvae but not in AB wild-type larvae.</w:t>
      </w:r>
    </w:p>
    <w:p w14:paraId="0A58349B" w14:textId="77777777" w:rsidR="00DC0FA5" w:rsidRPr="007301FD" w:rsidRDefault="00DC0FA5" w:rsidP="00DC0FA5">
      <w:pPr>
        <w:spacing w:line="0" w:lineRule="atLeast"/>
        <w:jc w:val="both"/>
        <w:rPr>
          <w:rFonts w:ascii="Calibri" w:hAnsi="Calibri" w:cs="Calibri"/>
          <w:sz w:val="24"/>
          <w:szCs w:val="24"/>
          <w:highlight w:val="yellow"/>
        </w:rPr>
      </w:pPr>
    </w:p>
    <w:p w14:paraId="74E6E543"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5.2. Perform treatment and plate larvae</w:t>
      </w:r>
    </w:p>
    <w:p w14:paraId="58F63C11" w14:textId="77777777" w:rsidR="00DC0FA5" w:rsidRPr="007301FD" w:rsidRDefault="00DC0FA5" w:rsidP="00DC0FA5">
      <w:pPr>
        <w:spacing w:line="0" w:lineRule="atLeast"/>
        <w:jc w:val="both"/>
        <w:rPr>
          <w:rFonts w:ascii="Calibri" w:hAnsi="Calibri" w:cs="Calibri"/>
          <w:sz w:val="24"/>
          <w:szCs w:val="24"/>
          <w:highlight w:val="yellow"/>
        </w:rPr>
      </w:pPr>
    </w:p>
    <w:p w14:paraId="796B3469"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 xml:space="preserve">5.2.1. Treat larvae for 24 h at 28.5°C using the conditions defined in Step 5.1.2: BEW only, 1% DMSO vehicle control, or 4.5 mM MTZ in 1% DMSO/BEW with 200 </w:t>
      </w:r>
      <w:proofErr w:type="spellStart"/>
      <w:r w:rsidRPr="007301FD">
        <w:rPr>
          <w:rFonts w:ascii="Calibri" w:hAnsi="Calibri" w:cs="Calibri"/>
          <w:sz w:val="24"/>
          <w:szCs w:val="24"/>
          <w:highlight w:val="yellow"/>
        </w:rPr>
        <w:t>μM</w:t>
      </w:r>
      <w:proofErr w:type="spellEnd"/>
      <w:r w:rsidRPr="007301FD">
        <w:rPr>
          <w:rFonts w:ascii="Calibri" w:hAnsi="Calibri" w:cs="Calibri"/>
          <w:sz w:val="24"/>
          <w:szCs w:val="24"/>
          <w:highlight w:val="yellow"/>
        </w:rPr>
        <w:t xml:space="preserve"> PTU.</w:t>
      </w:r>
    </w:p>
    <w:p w14:paraId="20C690FD" w14:textId="77777777" w:rsidR="00DC0FA5" w:rsidRPr="007301FD" w:rsidRDefault="00DC0FA5" w:rsidP="00DC0FA5">
      <w:pPr>
        <w:spacing w:line="0" w:lineRule="atLeast"/>
        <w:jc w:val="both"/>
        <w:rPr>
          <w:rFonts w:ascii="Calibri" w:hAnsi="Calibri" w:cs="Calibri"/>
          <w:sz w:val="24"/>
          <w:szCs w:val="24"/>
          <w:highlight w:val="yellow"/>
        </w:rPr>
      </w:pPr>
    </w:p>
    <w:p w14:paraId="7CB502AA"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5.2.2. Transfer five larvae into each well of a 6-well plate containing 2.5 mL fresh BEW using a wide-bore transfer pipette. Minimize carryover volume and handle larvae gently to avoid stress or injury.</w:t>
      </w:r>
    </w:p>
    <w:p w14:paraId="47341BE8" w14:textId="77777777" w:rsidR="00DC0FA5" w:rsidRPr="007301FD" w:rsidRDefault="00DC0FA5" w:rsidP="00DC0FA5">
      <w:pPr>
        <w:spacing w:line="0" w:lineRule="atLeast"/>
        <w:jc w:val="both"/>
        <w:rPr>
          <w:rFonts w:ascii="Calibri" w:hAnsi="Calibri" w:cs="Calibri"/>
          <w:sz w:val="24"/>
          <w:szCs w:val="24"/>
          <w:highlight w:val="yellow"/>
        </w:rPr>
      </w:pPr>
    </w:p>
    <w:p w14:paraId="351F7FB4"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NOTE: Using five larvae per well balances data yield and minimizes overcrowding. Higher densities increase path crossings and introduce tracking errors in behavioral analysis.</w:t>
      </w:r>
    </w:p>
    <w:p w14:paraId="1472EFDD" w14:textId="77777777" w:rsidR="00DC0FA5" w:rsidRPr="007301FD" w:rsidRDefault="00DC0FA5" w:rsidP="00DC0FA5">
      <w:pPr>
        <w:spacing w:line="0" w:lineRule="atLeast"/>
        <w:jc w:val="both"/>
        <w:rPr>
          <w:rFonts w:ascii="Calibri" w:hAnsi="Calibri" w:cs="Calibri"/>
          <w:sz w:val="24"/>
          <w:szCs w:val="24"/>
          <w:highlight w:val="yellow"/>
        </w:rPr>
      </w:pPr>
    </w:p>
    <w:p w14:paraId="1868B21A"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5.3. Set up illumination conditions</w:t>
      </w:r>
    </w:p>
    <w:p w14:paraId="0385477F" w14:textId="77777777" w:rsidR="00DC0FA5" w:rsidRPr="007301FD" w:rsidRDefault="00DC0FA5" w:rsidP="00DC0FA5">
      <w:pPr>
        <w:spacing w:line="0" w:lineRule="atLeast"/>
        <w:jc w:val="both"/>
        <w:rPr>
          <w:rFonts w:ascii="Calibri" w:hAnsi="Calibri" w:cs="Calibri"/>
          <w:sz w:val="24"/>
          <w:szCs w:val="24"/>
          <w:highlight w:val="yellow"/>
        </w:rPr>
      </w:pPr>
    </w:p>
    <w:p w14:paraId="2B148185"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5.3.1. Place the 6-well plate on a white LED light pad with uniform diffused illumination maintained at 25°C–28°C. Use the same light pad, brightness setting, and plate position for all recordings within an experiment (</w:t>
      </w:r>
      <w:r w:rsidRPr="007301FD">
        <w:rPr>
          <w:rFonts w:ascii="Calibri" w:hAnsi="Calibri" w:cs="Calibri"/>
          <w:b/>
          <w:bCs/>
          <w:sz w:val="24"/>
          <w:szCs w:val="24"/>
          <w:highlight w:val="yellow"/>
        </w:rPr>
        <w:t>Figure 3A</w:t>
      </w:r>
      <w:r w:rsidRPr="007301FD">
        <w:rPr>
          <w:rFonts w:ascii="Calibri" w:hAnsi="Calibri" w:cs="Calibri"/>
          <w:sz w:val="24"/>
          <w:szCs w:val="24"/>
          <w:highlight w:val="yellow"/>
        </w:rPr>
        <w:t>).</w:t>
      </w:r>
    </w:p>
    <w:p w14:paraId="4CB98F80" w14:textId="77777777" w:rsidR="00DC0FA5" w:rsidRPr="007301FD" w:rsidRDefault="00DC0FA5" w:rsidP="00DC0FA5">
      <w:pPr>
        <w:spacing w:line="0" w:lineRule="atLeast"/>
        <w:jc w:val="both"/>
        <w:rPr>
          <w:rFonts w:ascii="Calibri" w:hAnsi="Calibri" w:cs="Calibri"/>
          <w:sz w:val="24"/>
          <w:szCs w:val="24"/>
          <w:highlight w:val="yellow"/>
        </w:rPr>
      </w:pPr>
    </w:p>
    <w:p w14:paraId="05C30695"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 xml:space="preserve">[Place </w:t>
      </w:r>
      <w:r w:rsidRPr="007301FD">
        <w:rPr>
          <w:rFonts w:ascii="Calibri" w:hAnsi="Calibri" w:cs="Calibri"/>
          <w:b/>
          <w:bCs/>
          <w:sz w:val="24"/>
          <w:szCs w:val="24"/>
          <w:highlight w:val="yellow"/>
        </w:rPr>
        <w:t>Figure 3</w:t>
      </w:r>
      <w:r w:rsidRPr="007301FD">
        <w:rPr>
          <w:rFonts w:ascii="Calibri" w:hAnsi="Calibri" w:cs="Calibri"/>
          <w:sz w:val="24"/>
          <w:szCs w:val="24"/>
          <w:highlight w:val="yellow"/>
        </w:rPr>
        <w:t xml:space="preserve"> here]</w:t>
      </w:r>
    </w:p>
    <w:p w14:paraId="25E036E1" w14:textId="77777777" w:rsidR="00DC0FA5" w:rsidRPr="007301FD" w:rsidRDefault="00DC0FA5" w:rsidP="00DC0FA5">
      <w:pPr>
        <w:spacing w:line="0" w:lineRule="atLeast"/>
        <w:jc w:val="both"/>
        <w:rPr>
          <w:rFonts w:ascii="Calibri" w:hAnsi="Calibri" w:cs="Calibri"/>
          <w:sz w:val="24"/>
          <w:szCs w:val="24"/>
          <w:highlight w:val="yellow"/>
        </w:rPr>
      </w:pPr>
    </w:p>
    <w:p w14:paraId="25A62AC9"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5.3.2. Illuminate the plate from both below and above using diffused light sources to minimize shadows, glare, and reflections.</w:t>
      </w:r>
    </w:p>
    <w:p w14:paraId="72C41AB6" w14:textId="77777777" w:rsidR="00DC0FA5" w:rsidRPr="007301FD" w:rsidRDefault="00DC0FA5" w:rsidP="00DC0FA5">
      <w:pPr>
        <w:spacing w:line="0" w:lineRule="atLeast"/>
        <w:jc w:val="both"/>
        <w:rPr>
          <w:rFonts w:ascii="Calibri" w:hAnsi="Calibri" w:cs="Calibri"/>
          <w:sz w:val="24"/>
          <w:szCs w:val="24"/>
          <w:highlight w:val="yellow"/>
        </w:rPr>
      </w:pPr>
    </w:p>
    <w:p w14:paraId="6841B313"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5.4. Configure video recording setup</w:t>
      </w:r>
    </w:p>
    <w:p w14:paraId="3B7FBC97" w14:textId="77777777" w:rsidR="00DC0FA5" w:rsidRPr="007301FD" w:rsidRDefault="00DC0FA5" w:rsidP="00DC0FA5">
      <w:pPr>
        <w:spacing w:line="0" w:lineRule="atLeast"/>
        <w:jc w:val="both"/>
        <w:rPr>
          <w:rFonts w:ascii="Calibri" w:hAnsi="Calibri" w:cs="Calibri"/>
          <w:sz w:val="24"/>
          <w:szCs w:val="24"/>
          <w:highlight w:val="yellow"/>
        </w:rPr>
      </w:pPr>
    </w:p>
    <w:p w14:paraId="2E72BAC8"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5.4.1. Mount a high-resolution camera in a fixed top-down orientation above the plate using a stable support (e.g., tripod or arm mount) (</w:t>
      </w:r>
      <w:r w:rsidRPr="007301FD">
        <w:rPr>
          <w:rFonts w:ascii="Calibri" w:hAnsi="Calibri" w:cs="Calibri"/>
          <w:b/>
          <w:bCs/>
          <w:sz w:val="24"/>
          <w:szCs w:val="24"/>
          <w:highlight w:val="yellow"/>
        </w:rPr>
        <w:t>Figure 3B</w:t>
      </w:r>
      <w:r w:rsidRPr="007301FD">
        <w:rPr>
          <w:rFonts w:ascii="Calibri" w:hAnsi="Calibri" w:cs="Calibri"/>
          <w:sz w:val="24"/>
          <w:szCs w:val="24"/>
          <w:highlight w:val="yellow"/>
        </w:rPr>
        <w:t>).</w:t>
      </w:r>
    </w:p>
    <w:p w14:paraId="027460E7" w14:textId="77777777" w:rsidR="00DC0FA5" w:rsidRPr="007301FD" w:rsidRDefault="00DC0FA5" w:rsidP="00DC0FA5">
      <w:pPr>
        <w:spacing w:line="0" w:lineRule="atLeast"/>
        <w:jc w:val="both"/>
        <w:rPr>
          <w:rFonts w:ascii="Calibri" w:hAnsi="Calibri" w:cs="Calibri"/>
          <w:sz w:val="24"/>
          <w:szCs w:val="24"/>
          <w:highlight w:val="yellow"/>
        </w:rPr>
      </w:pPr>
    </w:p>
    <w:p w14:paraId="45B63404"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5.4.2. Place a ruler adjacent to the plate within the field of view for spatial calibration.</w:t>
      </w:r>
    </w:p>
    <w:p w14:paraId="79F65CD6" w14:textId="77777777" w:rsidR="00DC0FA5" w:rsidRPr="007301FD" w:rsidRDefault="00DC0FA5" w:rsidP="00DC0FA5">
      <w:pPr>
        <w:spacing w:line="0" w:lineRule="atLeast"/>
        <w:jc w:val="both"/>
        <w:rPr>
          <w:rFonts w:ascii="Calibri" w:hAnsi="Calibri" w:cs="Calibri"/>
          <w:sz w:val="24"/>
          <w:szCs w:val="24"/>
          <w:highlight w:val="yellow"/>
        </w:rPr>
      </w:pPr>
    </w:p>
    <w:p w14:paraId="7B547759"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5.4.3. Ensure that the camera is perpendicular to the plate surface to minimize parallax distortion.</w:t>
      </w:r>
    </w:p>
    <w:p w14:paraId="72738A0A" w14:textId="77777777" w:rsidR="00DC0FA5" w:rsidRPr="007301FD" w:rsidRDefault="00DC0FA5" w:rsidP="00DC0FA5">
      <w:pPr>
        <w:spacing w:line="0" w:lineRule="atLeast"/>
        <w:jc w:val="both"/>
        <w:rPr>
          <w:rFonts w:ascii="Calibri" w:hAnsi="Calibri" w:cs="Calibri"/>
          <w:sz w:val="24"/>
          <w:szCs w:val="24"/>
          <w:highlight w:val="yellow"/>
        </w:rPr>
      </w:pPr>
    </w:p>
    <w:p w14:paraId="55839373" w14:textId="77777777" w:rsidR="00DC0FA5" w:rsidRPr="007301FD" w:rsidRDefault="00DC0FA5" w:rsidP="00DC0FA5">
      <w:pPr>
        <w:spacing w:line="0" w:lineRule="atLeast"/>
        <w:jc w:val="both"/>
        <w:rPr>
          <w:rFonts w:ascii="Calibri" w:hAnsi="Calibri" w:cs="Calibri"/>
          <w:sz w:val="24"/>
          <w:szCs w:val="24"/>
          <w:highlight w:val="yellow"/>
        </w:rPr>
      </w:pPr>
      <w:r w:rsidRPr="007301FD">
        <w:rPr>
          <w:rFonts w:ascii="Calibri" w:hAnsi="Calibri" w:cs="Calibri"/>
          <w:sz w:val="24"/>
          <w:szCs w:val="24"/>
          <w:highlight w:val="yellow"/>
        </w:rPr>
        <w:t>5.5. Record locomotor activity</w:t>
      </w:r>
    </w:p>
    <w:p w14:paraId="33BC7952" w14:textId="77777777" w:rsidR="00DC0FA5" w:rsidRPr="007301FD" w:rsidRDefault="00DC0FA5" w:rsidP="00DC0FA5">
      <w:pPr>
        <w:spacing w:line="0" w:lineRule="atLeast"/>
        <w:jc w:val="both"/>
        <w:rPr>
          <w:rFonts w:ascii="Calibri" w:hAnsi="Calibri" w:cs="Calibri"/>
          <w:sz w:val="24"/>
          <w:szCs w:val="24"/>
          <w:highlight w:val="yellow"/>
        </w:rPr>
      </w:pPr>
    </w:p>
    <w:p w14:paraId="608710C2"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5.5.1. Conduct recordings during the light phase of the 14 h light:10 h dark cycle to minimize circadian variability.</w:t>
      </w:r>
    </w:p>
    <w:p w14:paraId="389AD7BD" w14:textId="77777777" w:rsidR="00DC0FA5" w:rsidRPr="00EC177C" w:rsidRDefault="00DC0FA5" w:rsidP="00DC0FA5">
      <w:pPr>
        <w:spacing w:line="0" w:lineRule="atLeast"/>
        <w:jc w:val="both"/>
        <w:rPr>
          <w:rFonts w:ascii="Calibri" w:hAnsi="Calibri" w:cs="Calibri"/>
          <w:sz w:val="24"/>
          <w:szCs w:val="24"/>
        </w:rPr>
      </w:pPr>
    </w:p>
    <w:p w14:paraId="275351C4"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5.5.2. Allow larvae to acclimate for 1 h before recording.</w:t>
      </w:r>
    </w:p>
    <w:p w14:paraId="42749974" w14:textId="77777777" w:rsidR="00DC0FA5" w:rsidRPr="00EC177C" w:rsidRDefault="00DC0FA5" w:rsidP="00DC0FA5">
      <w:pPr>
        <w:spacing w:line="0" w:lineRule="atLeast"/>
        <w:jc w:val="both"/>
        <w:rPr>
          <w:rFonts w:ascii="Calibri" w:hAnsi="Calibri" w:cs="Calibri"/>
          <w:sz w:val="24"/>
          <w:szCs w:val="24"/>
        </w:rPr>
      </w:pPr>
    </w:p>
    <w:p w14:paraId="0E2FDB66"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5.5.3. Record locomotor activity for 60 min.</w:t>
      </w:r>
    </w:p>
    <w:p w14:paraId="5D008CE1" w14:textId="77777777" w:rsidR="00DC0FA5" w:rsidRPr="00EC177C" w:rsidRDefault="00DC0FA5" w:rsidP="00DC0FA5">
      <w:pPr>
        <w:spacing w:line="0" w:lineRule="atLeast"/>
        <w:jc w:val="both"/>
        <w:rPr>
          <w:rFonts w:ascii="Calibri" w:hAnsi="Calibri" w:cs="Calibri"/>
          <w:sz w:val="24"/>
          <w:szCs w:val="24"/>
        </w:rPr>
      </w:pPr>
    </w:p>
    <w:p w14:paraId="79296FBF"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5.5.4. Do not disturb the setup during recording.</w:t>
      </w:r>
    </w:p>
    <w:p w14:paraId="45B0F4B0" w14:textId="77777777" w:rsidR="00DC0FA5" w:rsidRPr="00EC177C" w:rsidRDefault="00DC0FA5" w:rsidP="00DC0FA5">
      <w:pPr>
        <w:spacing w:line="0" w:lineRule="atLeast"/>
        <w:jc w:val="both"/>
        <w:rPr>
          <w:rFonts w:ascii="Calibri" w:hAnsi="Calibri" w:cs="Calibri"/>
          <w:sz w:val="24"/>
          <w:szCs w:val="24"/>
        </w:rPr>
      </w:pPr>
    </w:p>
    <w:p w14:paraId="30A7D8FB"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NOTE: Perform recordings at the same time of day across experiments to minimize circadian variability.</w:t>
      </w:r>
    </w:p>
    <w:p w14:paraId="323BF53E" w14:textId="77777777" w:rsidR="00DC0FA5" w:rsidRPr="00EC177C" w:rsidRDefault="00DC0FA5" w:rsidP="00DC0FA5">
      <w:pPr>
        <w:spacing w:line="0" w:lineRule="atLeast"/>
        <w:jc w:val="both"/>
        <w:rPr>
          <w:rFonts w:ascii="Calibri" w:hAnsi="Calibri" w:cs="Calibri"/>
          <w:sz w:val="24"/>
          <w:szCs w:val="24"/>
        </w:rPr>
      </w:pPr>
    </w:p>
    <w:p w14:paraId="413C201E"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5.6. Configure behavioral tracking software</w:t>
      </w:r>
    </w:p>
    <w:p w14:paraId="3AA8FB83" w14:textId="77777777" w:rsidR="00DC0FA5" w:rsidRPr="00EC177C" w:rsidRDefault="00DC0FA5" w:rsidP="00DC0FA5">
      <w:pPr>
        <w:spacing w:line="0" w:lineRule="atLeast"/>
        <w:jc w:val="both"/>
        <w:rPr>
          <w:rFonts w:ascii="Calibri" w:hAnsi="Calibri" w:cs="Calibri"/>
          <w:sz w:val="24"/>
          <w:szCs w:val="24"/>
        </w:rPr>
      </w:pPr>
    </w:p>
    <w:p w14:paraId="7FC5978B"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 xml:space="preserve">5.6.1. Import the recorded video into </w:t>
      </w:r>
      <w:proofErr w:type="spellStart"/>
      <w:r w:rsidRPr="00EC177C">
        <w:rPr>
          <w:rFonts w:ascii="Calibri" w:hAnsi="Calibri" w:cs="Calibri"/>
          <w:sz w:val="24"/>
          <w:szCs w:val="24"/>
        </w:rPr>
        <w:t>EthoVision</w:t>
      </w:r>
      <w:proofErr w:type="spellEnd"/>
      <w:r w:rsidRPr="00EC177C">
        <w:rPr>
          <w:rFonts w:ascii="Calibri" w:hAnsi="Calibri" w:cs="Calibri"/>
          <w:sz w:val="24"/>
          <w:szCs w:val="24"/>
        </w:rPr>
        <w:t xml:space="preserve"> XT (behavioral tracking software) (</w:t>
      </w:r>
      <w:r w:rsidRPr="00EC177C">
        <w:rPr>
          <w:rFonts w:ascii="Calibri" w:hAnsi="Calibri" w:cs="Calibri"/>
          <w:b/>
          <w:bCs/>
          <w:sz w:val="24"/>
          <w:szCs w:val="24"/>
        </w:rPr>
        <w:t>Figure 3C</w:t>
      </w:r>
      <w:r w:rsidRPr="00EC177C">
        <w:rPr>
          <w:rFonts w:ascii="Calibri" w:hAnsi="Calibri" w:cs="Calibri"/>
          <w:sz w:val="24"/>
          <w:szCs w:val="24"/>
        </w:rPr>
        <w:t>).</w:t>
      </w:r>
    </w:p>
    <w:p w14:paraId="5A53B039" w14:textId="77777777" w:rsidR="00DC0FA5" w:rsidRPr="00EC177C" w:rsidRDefault="00DC0FA5" w:rsidP="00DC0FA5">
      <w:pPr>
        <w:spacing w:line="0" w:lineRule="atLeast"/>
        <w:jc w:val="both"/>
        <w:rPr>
          <w:rFonts w:ascii="Calibri" w:hAnsi="Calibri" w:cs="Calibri"/>
          <w:sz w:val="24"/>
          <w:szCs w:val="24"/>
        </w:rPr>
      </w:pPr>
    </w:p>
    <w:p w14:paraId="579C56F1"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5.6.2. Configure the following settings: 6 arenas, 5 subjects per arena, center-point detection, distance in millimeters, and time in seconds.</w:t>
      </w:r>
    </w:p>
    <w:p w14:paraId="23C04C65" w14:textId="77777777" w:rsidR="00DC0FA5" w:rsidRPr="00EC177C" w:rsidRDefault="00DC0FA5" w:rsidP="00DC0FA5">
      <w:pPr>
        <w:spacing w:line="0" w:lineRule="atLeast"/>
        <w:jc w:val="both"/>
        <w:rPr>
          <w:rFonts w:ascii="Calibri" w:hAnsi="Calibri" w:cs="Calibri"/>
          <w:sz w:val="24"/>
          <w:szCs w:val="24"/>
        </w:rPr>
      </w:pPr>
    </w:p>
    <w:p w14:paraId="233F874D"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5.6.3. Calibrate the spatial scale using the ruler present in the video frame.</w:t>
      </w:r>
    </w:p>
    <w:p w14:paraId="573648D2" w14:textId="77777777" w:rsidR="00DC0FA5" w:rsidRPr="00EC177C" w:rsidRDefault="00DC0FA5" w:rsidP="00DC0FA5">
      <w:pPr>
        <w:spacing w:line="0" w:lineRule="atLeast"/>
        <w:jc w:val="both"/>
        <w:rPr>
          <w:rFonts w:ascii="Calibri" w:hAnsi="Calibri" w:cs="Calibri"/>
          <w:sz w:val="24"/>
          <w:szCs w:val="24"/>
        </w:rPr>
      </w:pPr>
    </w:p>
    <w:p w14:paraId="589494CD"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5.6.4. Define arena boundaries for each well, ensuring that each arena fully encompasses the well interior without extending beyond the well edges.</w:t>
      </w:r>
    </w:p>
    <w:p w14:paraId="571D679E" w14:textId="77777777" w:rsidR="00DC0FA5" w:rsidRPr="00EC177C" w:rsidRDefault="00DC0FA5" w:rsidP="00DC0FA5">
      <w:pPr>
        <w:spacing w:line="0" w:lineRule="atLeast"/>
        <w:jc w:val="both"/>
        <w:rPr>
          <w:rFonts w:ascii="Calibri" w:hAnsi="Calibri" w:cs="Calibri"/>
          <w:sz w:val="24"/>
          <w:szCs w:val="24"/>
        </w:rPr>
      </w:pPr>
    </w:p>
    <w:p w14:paraId="1E1D0EDD"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5.7. Optimize detection settings</w:t>
      </w:r>
    </w:p>
    <w:p w14:paraId="5BCFEE6E" w14:textId="77777777" w:rsidR="00DC0FA5" w:rsidRPr="00EC177C" w:rsidRDefault="00DC0FA5" w:rsidP="00DC0FA5">
      <w:pPr>
        <w:spacing w:line="0" w:lineRule="atLeast"/>
        <w:jc w:val="both"/>
        <w:rPr>
          <w:rFonts w:ascii="Calibri" w:hAnsi="Calibri" w:cs="Calibri"/>
          <w:sz w:val="24"/>
          <w:szCs w:val="24"/>
        </w:rPr>
      </w:pPr>
    </w:p>
    <w:p w14:paraId="52FACA00"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5.7.1. Generate a reference image using the software interface (Detection Settings → Reference Image → Start Learning).</w:t>
      </w:r>
    </w:p>
    <w:p w14:paraId="7A244C3F" w14:textId="77777777" w:rsidR="00DC0FA5" w:rsidRPr="00EC177C" w:rsidRDefault="00DC0FA5" w:rsidP="00DC0FA5">
      <w:pPr>
        <w:spacing w:line="0" w:lineRule="atLeast"/>
        <w:jc w:val="both"/>
        <w:rPr>
          <w:rFonts w:ascii="Calibri" w:hAnsi="Calibri" w:cs="Calibri"/>
          <w:sz w:val="24"/>
          <w:szCs w:val="24"/>
        </w:rPr>
      </w:pPr>
    </w:p>
    <w:p w14:paraId="5D8DFC74"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5.7.2. Adjust the detection threshold to ensure accurate tracking of all larvae without false detections.</w:t>
      </w:r>
    </w:p>
    <w:p w14:paraId="2B1AD9D0" w14:textId="77777777" w:rsidR="00DC0FA5" w:rsidRPr="00EC177C" w:rsidRDefault="00DC0FA5" w:rsidP="00DC0FA5">
      <w:pPr>
        <w:spacing w:line="0" w:lineRule="atLeast"/>
        <w:jc w:val="both"/>
        <w:rPr>
          <w:rFonts w:ascii="Calibri" w:hAnsi="Calibri" w:cs="Calibri"/>
          <w:sz w:val="24"/>
          <w:szCs w:val="24"/>
        </w:rPr>
      </w:pPr>
    </w:p>
    <w:p w14:paraId="4022DB14"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5.7.3. Run a short test acquisition (~2 min).</w:t>
      </w:r>
    </w:p>
    <w:p w14:paraId="143B51EE" w14:textId="77777777" w:rsidR="00DC0FA5" w:rsidRPr="00EC177C" w:rsidRDefault="00DC0FA5" w:rsidP="00DC0FA5">
      <w:pPr>
        <w:spacing w:line="0" w:lineRule="atLeast"/>
        <w:jc w:val="both"/>
        <w:rPr>
          <w:rFonts w:ascii="Calibri" w:hAnsi="Calibri" w:cs="Calibri"/>
          <w:sz w:val="24"/>
          <w:szCs w:val="24"/>
        </w:rPr>
      </w:pPr>
    </w:p>
    <w:p w14:paraId="42C2CBC3"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5.7.4. Inspect tracked paths visually before proceeding to full analysis. Confirm that all larvae are detected and that bubbles, debris, reflections, or well edges are not falsely identified as larvae.</w:t>
      </w:r>
    </w:p>
    <w:p w14:paraId="460FC970" w14:textId="77777777" w:rsidR="00DC0FA5" w:rsidRPr="00EC177C" w:rsidRDefault="00DC0FA5" w:rsidP="00DC0FA5">
      <w:pPr>
        <w:spacing w:line="0" w:lineRule="atLeast"/>
        <w:jc w:val="both"/>
        <w:rPr>
          <w:rFonts w:ascii="Calibri" w:hAnsi="Calibri" w:cs="Calibri"/>
          <w:sz w:val="24"/>
          <w:szCs w:val="24"/>
        </w:rPr>
      </w:pPr>
    </w:p>
    <w:p w14:paraId="66AFA01B"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NOTE: Common artifacts include edge tracking caused by oversized arenas, false detections from bubbles or debris, and loss of tracking during prolonged inactivity.</w:t>
      </w:r>
    </w:p>
    <w:p w14:paraId="7A9E2484" w14:textId="77777777" w:rsidR="00DC0FA5" w:rsidRPr="00EC177C" w:rsidRDefault="00DC0FA5" w:rsidP="00DC0FA5">
      <w:pPr>
        <w:spacing w:line="0" w:lineRule="atLeast"/>
        <w:jc w:val="both"/>
        <w:rPr>
          <w:rFonts w:ascii="Calibri" w:hAnsi="Calibri" w:cs="Calibri"/>
          <w:sz w:val="24"/>
          <w:szCs w:val="24"/>
        </w:rPr>
      </w:pPr>
    </w:p>
    <w:p w14:paraId="1FEBCDB2"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5.7.5. Exclude wells from analysis if persistent tracking failure, excessive path crossing, visible debris or bubbles, dead larvae, abnormal morphology, or larvae trapped at the well edge prevents reliable quantification.</w:t>
      </w:r>
    </w:p>
    <w:p w14:paraId="343EF550" w14:textId="77777777" w:rsidR="00DC0FA5" w:rsidRPr="00EC177C" w:rsidRDefault="00DC0FA5" w:rsidP="00DC0FA5">
      <w:pPr>
        <w:spacing w:line="0" w:lineRule="atLeast"/>
        <w:jc w:val="both"/>
        <w:rPr>
          <w:rFonts w:ascii="Calibri" w:hAnsi="Calibri" w:cs="Calibri"/>
          <w:sz w:val="24"/>
          <w:szCs w:val="24"/>
        </w:rPr>
      </w:pPr>
    </w:p>
    <w:p w14:paraId="6E55DB1F"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5.7.6. Apply the same exclusion criteria to all treatment groups before statistical analysis.</w:t>
      </w:r>
    </w:p>
    <w:p w14:paraId="6EC42507" w14:textId="77777777" w:rsidR="00DC0FA5" w:rsidRPr="00EC177C" w:rsidRDefault="00DC0FA5" w:rsidP="00DC0FA5">
      <w:pPr>
        <w:spacing w:line="0" w:lineRule="atLeast"/>
        <w:jc w:val="both"/>
        <w:rPr>
          <w:rFonts w:ascii="Calibri" w:hAnsi="Calibri" w:cs="Calibri"/>
          <w:sz w:val="24"/>
          <w:szCs w:val="24"/>
        </w:rPr>
      </w:pPr>
    </w:p>
    <w:p w14:paraId="75CD659E"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5.8. Perform full analysis and export data</w:t>
      </w:r>
    </w:p>
    <w:p w14:paraId="63C043C6" w14:textId="77777777" w:rsidR="00DC0FA5" w:rsidRPr="00EC177C" w:rsidRDefault="00DC0FA5" w:rsidP="00DC0FA5">
      <w:pPr>
        <w:spacing w:line="0" w:lineRule="atLeast"/>
        <w:jc w:val="both"/>
        <w:rPr>
          <w:rFonts w:ascii="Calibri" w:hAnsi="Calibri" w:cs="Calibri"/>
          <w:sz w:val="24"/>
          <w:szCs w:val="24"/>
        </w:rPr>
      </w:pPr>
    </w:p>
    <w:p w14:paraId="61F4F9FD"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5.8.1. Run the full acquisition.</w:t>
      </w:r>
    </w:p>
    <w:p w14:paraId="0E2750CE" w14:textId="77777777" w:rsidR="00DC0FA5" w:rsidRPr="00EC177C" w:rsidRDefault="00DC0FA5" w:rsidP="00DC0FA5">
      <w:pPr>
        <w:spacing w:line="0" w:lineRule="atLeast"/>
        <w:jc w:val="both"/>
        <w:rPr>
          <w:rFonts w:ascii="Calibri" w:hAnsi="Calibri" w:cs="Calibri"/>
          <w:sz w:val="24"/>
          <w:szCs w:val="24"/>
        </w:rPr>
      </w:pPr>
    </w:p>
    <w:p w14:paraId="1553A5E9"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lastRenderedPageBreak/>
        <w:t>5.8.2. Generate track visualizations and heatmaps (Analysis → Results → Tracks and Heatmaps).</w:t>
      </w:r>
    </w:p>
    <w:p w14:paraId="4510A287" w14:textId="77777777" w:rsidR="00DC0FA5" w:rsidRPr="00EC177C" w:rsidRDefault="00DC0FA5" w:rsidP="00DC0FA5">
      <w:pPr>
        <w:spacing w:line="0" w:lineRule="atLeast"/>
        <w:jc w:val="both"/>
        <w:rPr>
          <w:rFonts w:ascii="Calibri" w:hAnsi="Calibri" w:cs="Calibri"/>
          <w:sz w:val="24"/>
          <w:szCs w:val="24"/>
        </w:rPr>
      </w:pPr>
    </w:p>
    <w:p w14:paraId="2A37E871" w14:textId="77777777" w:rsidR="00DC0FA5" w:rsidRPr="00EC177C" w:rsidRDefault="00DC0FA5" w:rsidP="00DC0FA5">
      <w:pPr>
        <w:spacing w:line="0" w:lineRule="atLeast"/>
        <w:jc w:val="both"/>
        <w:rPr>
          <w:rFonts w:ascii="Calibri" w:hAnsi="Calibri" w:cs="Calibri"/>
          <w:sz w:val="24"/>
          <w:szCs w:val="24"/>
        </w:rPr>
      </w:pPr>
      <w:r w:rsidRPr="00EC177C">
        <w:rPr>
          <w:rFonts w:ascii="Calibri" w:hAnsi="Calibri" w:cs="Calibri"/>
          <w:sz w:val="24"/>
          <w:szCs w:val="24"/>
        </w:rPr>
        <w:t>5.8.3. Export the raw data spreadsheet containing per-subject metrics, including total distance traveled (mm), mean velocity (mm/s), and number of movement bouts.</w:t>
      </w:r>
    </w:p>
    <w:p w14:paraId="3DDCF0E5" w14:textId="77777777" w:rsidR="00DC0FA5" w:rsidRPr="00EC177C" w:rsidRDefault="00DC0FA5" w:rsidP="00DC0FA5">
      <w:pPr>
        <w:spacing w:line="0" w:lineRule="atLeast"/>
        <w:jc w:val="both"/>
        <w:rPr>
          <w:rFonts w:ascii="Calibri" w:hAnsi="Calibri" w:cs="Calibri"/>
          <w:sz w:val="24"/>
          <w:szCs w:val="24"/>
        </w:rPr>
      </w:pPr>
    </w:p>
    <w:p w14:paraId="601263B8" w14:textId="77777777" w:rsidR="00DC0FA5" w:rsidRPr="00DC0FA5" w:rsidRDefault="00DC0FA5" w:rsidP="00DC0FA5">
      <w:pPr>
        <w:spacing w:line="0" w:lineRule="atLeast"/>
        <w:jc w:val="both"/>
        <w:rPr>
          <w:rFonts w:ascii="Calibri" w:hAnsi="Calibri" w:cs="Calibri"/>
          <w:sz w:val="24"/>
          <w:szCs w:val="24"/>
        </w:rPr>
      </w:pPr>
      <w:r w:rsidRPr="00EC177C">
        <w:rPr>
          <w:rFonts w:ascii="Calibri" w:hAnsi="Calibri" w:cs="Calibri"/>
          <w:sz w:val="24"/>
          <w:szCs w:val="24"/>
        </w:rPr>
        <w:t>5.8.4. Use total distance traveled over 60 min as the primary locomotor endpoint (</w:t>
      </w:r>
      <w:r w:rsidRPr="00EC177C">
        <w:rPr>
          <w:rFonts w:ascii="Calibri" w:hAnsi="Calibri" w:cs="Calibri"/>
          <w:b/>
          <w:bCs/>
          <w:sz w:val="24"/>
          <w:szCs w:val="24"/>
        </w:rPr>
        <w:t>Figure 3D</w:t>
      </w:r>
      <w:r w:rsidRPr="00EC177C">
        <w:rPr>
          <w:rFonts w:ascii="Calibri" w:hAnsi="Calibri" w:cs="Calibri"/>
          <w:sz w:val="24"/>
          <w:szCs w:val="24"/>
        </w:rPr>
        <w:t>).</w:t>
      </w:r>
    </w:p>
    <w:p w14:paraId="3C888494" w14:textId="77777777" w:rsidR="00DC0FA5" w:rsidRPr="00DC0FA5" w:rsidRDefault="00DC0FA5" w:rsidP="00DC0FA5">
      <w:pPr>
        <w:spacing w:line="0" w:lineRule="atLeast"/>
        <w:jc w:val="both"/>
        <w:rPr>
          <w:rFonts w:ascii="Calibri" w:hAnsi="Calibri" w:cs="Calibri"/>
          <w:sz w:val="24"/>
          <w:szCs w:val="24"/>
        </w:rPr>
      </w:pPr>
    </w:p>
    <w:p w14:paraId="5C52E978" w14:textId="77777777" w:rsidR="00DC0FA5" w:rsidRPr="00DC0FA5" w:rsidRDefault="00DC0FA5" w:rsidP="00DC0FA5">
      <w:pPr>
        <w:spacing w:line="0" w:lineRule="atLeast"/>
        <w:jc w:val="both"/>
        <w:rPr>
          <w:rFonts w:ascii="Calibri" w:hAnsi="Calibri" w:cs="Calibri"/>
          <w:b/>
          <w:bCs/>
          <w:sz w:val="24"/>
          <w:szCs w:val="24"/>
        </w:rPr>
      </w:pPr>
      <w:r w:rsidRPr="00DC0FA5">
        <w:rPr>
          <w:rFonts w:ascii="Calibri" w:hAnsi="Calibri" w:cs="Calibri"/>
          <w:b/>
          <w:bCs/>
          <w:sz w:val="24"/>
          <w:szCs w:val="24"/>
        </w:rPr>
        <w:t>6. Data Analysis</w:t>
      </w:r>
    </w:p>
    <w:p w14:paraId="73D39A46" w14:textId="77777777" w:rsidR="00DC0FA5" w:rsidRPr="00DC0FA5" w:rsidRDefault="00DC0FA5" w:rsidP="00DC0FA5">
      <w:pPr>
        <w:spacing w:line="0" w:lineRule="atLeast"/>
        <w:jc w:val="both"/>
        <w:rPr>
          <w:rFonts w:ascii="Calibri" w:hAnsi="Calibri" w:cs="Calibri"/>
          <w:sz w:val="24"/>
          <w:szCs w:val="24"/>
        </w:rPr>
      </w:pPr>
    </w:p>
    <w:p w14:paraId="17D26F09"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6.1. Prepare images for analysis</w:t>
      </w:r>
    </w:p>
    <w:p w14:paraId="7EFA6CA1" w14:textId="77777777" w:rsidR="00DC0FA5" w:rsidRPr="00DC0FA5" w:rsidRDefault="00DC0FA5" w:rsidP="00DC0FA5">
      <w:pPr>
        <w:spacing w:line="0" w:lineRule="atLeast"/>
        <w:jc w:val="both"/>
        <w:rPr>
          <w:rFonts w:ascii="Calibri" w:hAnsi="Calibri" w:cs="Calibri"/>
          <w:sz w:val="24"/>
          <w:szCs w:val="24"/>
        </w:rPr>
      </w:pPr>
    </w:p>
    <w:p w14:paraId="68265DD0"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6.1.1. Open pre-treatment and post-treatment image pairs in Fiji (ImageJ, image analysis software).</w:t>
      </w:r>
    </w:p>
    <w:p w14:paraId="22E9E22F"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6.1.2. If images are acquired as Z-stacks, generate maximum intensity projections (Image → Stacks → Z Project → Max Intensity).</w:t>
      </w:r>
    </w:p>
    <w:p w14:paraId="0196F4F4" w14:textId="77777777" w:rsidR="00DC0FA5" w:rsidRPr="00DC0FA5" w:rsidRDefault="00DC0FA5" w:rsidP="00DC0FA5">
      <w:pPr>
        <w:spacing w:line="0" w:lineRule="atLeast"/>
        <w:jc w:val="both"/>
        <w:rPr>
          <w:rFonts w:ascii="Calibri" w:hAnsi="Calibri" w:cs="Calibri"/>
          <w:sz w:val="24"/>
          <w:szCs w:val="24"/>
        </w:rPr>
      </w:pPr>
    </w:p>
    <w:p w14:paraId="173FD9E2"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6.1.3. Adjust Brightness/Contrast using identical fixed display settings for all images within a dataset. Do not use auto-scaling for quantitative </w:t>
      </w:r>
      <w:proofErr w:type="gramStart"/>
      <w:r w:rsidRPr="00DC0FA5">
        <w:rPr>
          <w:rFonts w:ascii="Calibri" w:hAnsi="Calibri" w:cs="Calibri"/>
          <w:sz w:val="24"/>
          <w:szCs w:val="24"/>
        </w:rPr>
        <w:t>measurements, and</w:t>
      </w:r>
      <w:proofErr w:type="gramEnd"/>
      <w:r w:rsidRPr="00DC0FA5">
        <w:rPr>
          <w:rFonts w:ascii="Calibri" w:hAnsi="Calibri" w:cs="Calibri"/>
          <w:sz w:val="24"/>
          <w:szCs w:val="24"/>
        </w:rPr>
        <w:t xml:space="preserve"> perform fluorescence quantification on the original unadjusted images.</w:t>
      </w:r>
    </w:p>
    <w:p w14:paraId="07967126" w14:textId="77777777" w:rsidR="00DC0FA5" w:rsidRPr="00DC0FA5" w:rsidRDefault="00DC0FA5" w:rsidP="00DC0FA5">
      <w:pPr>
        <w:spacing w:line="0" w:lineRule="atLeast"/>
        <w:jc w:val="both"/>
        <w:rPr>
          <w:rFonts w:ascii="Calibri" w:hAnsi="Calibri" w:cs="Calibri"/>
          <w:sz w:val="24"/>
          <w:szCs w:val="24"/>
        </w:rPr>
      </w:pPr>
    </w:p>
    <w:p w14:paraId="317F66B5"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6.2. Define regions of interest (ROI)</w:t>
      </w:r>
    </w:p>
    <w:p w14:paraId="7F93E9CE" w14:textId="77777777" w:rsidR="00DC0FA5" w:rsidRPr="00DC0FA5" w:rsidRDefault="00DC0FA5" w:rsidP="00DC0FA5">
      <w:pPr>
        <w:spacing w:line="0" w:lineRule="atLeast"/>
        <w:jc w:val="both"/>
        <w:rPr>
          <w:rFonts w:ascii="Calibri" w:hAnsi="Calibri" w:cs="Calibri"/>
          <w:sz w:val="24"/>
          <w:szCs w:val="24"/>
        </w:rPr>
      </w:pPr>
    </w:p>
    <w:p w14:paraId="687D874C"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6.2.1. Use the polygon selection tool to draw an ROI around the diencephalic DA neuron cluster in the pre-treatment image. Define the ROI boundary using anatomical landmarks visible in the fluorescence image, including the medial edges of the eyes and the ventral midline of the diencephalon (</w:t>
      </w:r>
      <w:r w:rsidRPr="00DC0FA5">
        <w:rPr>
          <w:rFonts w:ascii="Calibri" w:hAnsi="Calibri" w:cs="Calibri"/>
          <w:b/>
          <w:bCs/>
          <w:sz w:val="24"/>
          <w:szCs w:val="24"/>
        </w:rPr>
        <w:t>Figure 2</w:t>
      </w:r>
      <w:r w:rsidRPr="00DC0FA5">
        <w:rPr>
          <w:rFonts w:ascii="Calibri" w:hAnsi="Calibri" w:cs="Calibri"/>
          <w:sz w:val="24"/>
          <w:szCs w:val="24"/>
        </w:rPr>
        <w:t>). Ensure that the ROI encompasses the entire DA neuron cluster without extending into adjacent fluorescent structures. For consistency across operators, save a representative ROI template and distribute it to all team members as a spatial reference.</w:t>
      </w:r>
    </w:p>
    <w:p w14:paraId="32BC4FCB" w14:textId="77777777" w:rsidR="00DC0FA5" w:rsidRPr="00DC0FA5" w:rsidRDefault="00DC0FA5" w:rsidP="00DC0FA5">
      <w:pPr>
        <w:spacing w:line="0" w:lineRule="atLeast"/>
        <w:jc w:val="both"/>
        <w:rPr>
          <w:rFonts w:ascii="Calibri" w:hAnsi="Calibri" w:cs="Calibri"/>
          <w:sz w:val="24"/>
          <w:szCs w:val="24"/>
        </w:rPr>
      </w:pPr>
    </w:p>
    <w:p w14:paraId="7D4DE8C6"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6.2.2. Press “t” to add the ROI to the ROI Manager.</w:t>
      </w:r>
    </w:p>
    <w:p w14:paraId="30E7DF74" w14:textId="77777777" w:rsidR="00DC0FA5" w:rsidRPr="00DC0FA5" w:rsidRDefault="00DC0FA5" w:rsidP="00DC0FA5">
      <w:pPr>
        <w:spacing w:line="0" w:lineRule="atLeast"/>
        <w:jc w:val="both"/>
        <w:rPr>
          <w:rFonts w:ascii="Calibri" w:hAnsi="Calibri" w:cs="Calibri"/>
          <w:sz w:val="24"/>
          <w:szCs w:val="24"/>
        </w:rPr>
      </w:pPr>
    </w:p>
    <w:p w14:paraId="4A7431CB"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6.2.3. Align pre-treatment and post-treatment images using anatomical landmarks, including the eyes and ventral diencephalon, before applying the ROI. Apply the same ROI to the matched post-treatment image only after confirming alignment.</w:t>
      </w:r>
    </w:p>
    <w:p w14:paraId="66A70B9D" w14:textId="77777777" w:rsidR="00DC0FA5" w:rsidRPr="00DC0FA5" w:rsidRDefault="00DC0FA5" w:rsidP="00DC0FA5">
      <w:pPr>
        <w:spacing w:line="0" w:lineRule="atLeast"/>
        <w:jc w:val="both"/>
        <w:rPr>
          <w:rFonts w:ascii="Calibri" w:hAnsi="Calibri" w:cs="Calibri"/>
          <w:sz w:val="24"/>
          <w:szCs w:val="24"/>
        </w:rPr>
      </w:pPr>
    </w:p>
    <w:p w14:paraId="31758231"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6.2.4. Save all ROIs for each plate to enable reproducibility and re-analysis.</w:t>
      </w:r>
    </w:p>
    <w:p w14:paraId="04106AD2" w14:textId="77777777" w:rsidR="00DC0FA5" w:rsidRPr="00DC0FA5" w:rsidRDefault="00DC0FA5" w:rsidP="00DC0FA5">
      <w:pPr>
        <w:spacing w:line="0" w:lineRule="atLeast"/>
        <w:jc w:val="both"/>
        <w:rPr>
          <w:rFonts w:ascii="Calibri" w:hAnsi="Calibri" w:cs="Calibri"/>
          <w:sz w:val="24"/>
          <w:szCs w:val="24"/>
        </w:rPr>
      </w:pPr>
    </w:p>
    <w:p w14:paraId="04DEA5AD"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6.3. Quantify fluorescence intensity</w:t>
      </w:r>
    </w:p>
    <w:p w14:paraId="6C8697D7" w14:textId="77777777" w:rsidR="00DC0FA5" w:rsidRPr="00DC0FA5" w:rsidRDefault="00DC0FA5" w:rsidP="00DC0FA5">
      <w:pPr>
        <w:spacing w:line="0" w:lineRule="atLeast"/>
        <w:jc w:val="both"/>
        <w:rPr>
          <w:rFonts w:ascii="Calibri" w:hAnsi="Calibri" w:cs="Calibri"/>
          <w:sz w:val="24"/>
          <w:szCs w:val="24"/>
        </w:rPr>
      </w:pPr>
    </w:p>
    <w:p w14:paraId="027C0394"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6.3.1. Configure measurement settings (Analyze → Set Measurements) and select “Area” and “Mean gray value.”</w:t>
      </w:r>
    </w:p>
    <w:p w14:paraId="6AA1EA9A" w14:textId="77777777" w:rsidR="00DC0FA5" w:rsidRPr="00DC0FA5" w:rsidRDefault="00DC0FA5" w:rsidP="00DC0FA5">
      <w:pPr>
        <w:spacing w:line="0" w:lineRule="atLeast"/>
        <w:jc w:val="both"/>
        <w:rPr>
          <w:rFonts w:ascii="Calibri" w:hAnsi="Calibri" w:cs="Calibri"/>
          <w:sz w:val="24"/>
          <w:szCs w:val="24"/>
        </w:rPr>
      </w:pPr>
    </w:p>
    <w:p w14:paraId="60B20BBC"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6.3.2. Measure each image (Analyze → Measure).</w:t>
      </w:r>
    </w:p>
    <w:p w14:paraId="29790A75" w14:textId="77777777" w:rsidR="00DC0FA5" w:rsidRPr="00DC0FA5" w:rsidRDefault="00DC0FA5" w:rsidP="00DC0FA5">
      <w:pPr>
        <w:spacing w:line="0" w:lineRule="atLeast"/>
        <w:jc w:val="both"/>
        <w:rPr>
          <w:rFonts w:ascii="Calibri" w:hAnsi="Calibri" w:cs="Calibri"/>
          <w:sz w:val="24"/>
          <w:szCs w:val="24"/>
        </w:rPr>
      </w:pPr>
    </w:p>
    <w:p w14:paraId="2392F835"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lastRenderedPageBreak/>
        <w:t xml:space="preserve">6.3.3. Measure background fluorescence from an adjacent non-neuronal region within the same image and subtract it from the DA neuron ROI measurement. Calculate background-corrected integrated density as: corrected </w:t>
      </w:r>
      <w:proofErr w:type="spellStart"/>
      <w:r w:rsidRPr="00DC0FA5">
        <w:rPr>
          <w:rFonts w:ascii="Calibri" w:hAnsi="Calibri" w:cs="Calibri"/>
          <w:sz w:val="24"/>
          <w:szCs w:val="24"/>
        </w:rPr>
        <w:t>IntDen</w:t>
      </w:r>
      <w:proofErr w:type="spellEnd"/>
      <w:r w:rsidRPr="00DC0FA5">
        <w:rPr>
          <w:rFonts w:ascii="Calibri" w:hAnsi="Calibri" w:cs="Calibri"/>
          <w:sz w:val="24"/>
          <w:szCs w:val="24"/>
        </w:rPr>
        <w:t xml:space="preserve"> = </w:t>
      </w:r>
      <w:proofErr w:type="spellStart"/>
      <w:r w:rsidRPr="00DC0FA5">
        <w:rPr>
          <w:rFonts w:ascii="Calibri" w:hAnsi="Calibri" w:cs="Calibri"/>
          <w:sz w:val="24"/>
          <w:szCs w:val="24"/>
        </w:rPr>
        <w:t>IntDenROI</w:t>
      </w:r>
      <w:proofErr w:type="spellEnd"/>
      <w:r w:rsidRPr="00DC0FA5">
        <w:rPr>
          <w:rFonts w:ascii="Calibri" w:hAnsi="Calibri" w:cs="Calibri"/>
          <w:sz w:val="24"/>
          <w:szCs w:val="24"/>
        </w:rPr>
        <w:t xml:space="preserve"> − (</w:t>
      </w:r>
      <w:proofErr w:type="spellStart"/>
      <w:r w:rsidRPr="00DC0FA5">
        <w:rPr>
          <w:rFonts w:ascii="Calibri" w:hAnsi="Calibri" w:cs="Calibri"/>
          <w:sz w:val="24"/>
          <w:szCs w:val="24"/>
        </w:rPr>
        <w:t>areaROI</w:t>
      </w:r>
      <w:proofErr w:type="spellEnd"/>
      <w:r w:rsidRPr="00DC0FA5">
        <w:rPr>
          <w:rFonts w:ascii="Calibri" w:hAnsi="Calibri" w:cs="Calibri"/>
          <w:sz w:val="24"/>
          <w:szCs w:val="24"/>
        </w:rPr>
        <w:t xml:space="preserve"> × mean background).</w:t>
      </w:r>
    </w:p>
    <w:p w14:paraId="5848CA97" w14:textId="77777777" w:rsidR="00DC0FA5" w:rsidRPr="00DC0FA5" w:rsidRDefault="00DC0FA5" w:rsidP="00DC0FA5">
      <w:pPr>
        <w:spacing w:line="0" w:lineRule="atLeast"/>
        <w:jc w:val="both"/>
        <w:rPr>
          <w:rFonts w:ascii="Calibri" w:hAnsi="Calibri" w:cs="Calibri"/>
          <w:sz w:val="24"/>
          <w:szCs w:val="24"/>
        </w:rPr>
      </w:pPr>
    </w:p>
    <w:p w14:paraId="7B90EBAD"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6.3.4. Calculate the fluorescence retention ratio for each larva as </w:t>
      </w:r>
      <w:proofErr w:type="spellStart"/>
      <w:r w:rsidRPr="00DC0FA5">
        <w:rPr>
          <w:rFonts w:ascii="Calibri" w:hAnsi="Calibri" w:cs="Calibri"/>
          <w:sz w:val="24"/>
          <w:szCs w:val="24"/>
        </w:rPr>
        <w:t>IntDen</w:t>
      </w:r>
      <w:proofErr w:type="spellEnd"/>
      <w:r w:rsidRPr="00DC0FA5">
        <w:rPr>
          <w:rFonts w:ascii="Calibri" w:hAnsi="Calibri" w:cs="Calibri"/>
          <w:sz w:val="24"/>
          <w:szCs w:val="24"/>
        </w:rPr>
        <w:t xml:space="preserve">(post-treatment) / </w:t>
      </w:r>
      <w:proofErr w:type="spellStart"/>
      <w:r w:rsidRPr="00DC0FA5">
        <w:rPr>
          <w:rFonts w:ascii="Calibri" w:hAnsi="Calibri" w:cs="Calibri"/>
          <w:sz w:val="24"/>
          <w:szCs w:val="24"/>
        </w:rPr>
        <w:t>IntDen</w:t>
      </w:r>
      <w:proofErr w:type="spellEnd"/>
      <w:r w:rsidRPr="00DC0FA5">
        <w:rPr>
          <w:rFonts w:ascii="Calibri" w:hAnsi="Calibri" w:cs="Calibri"/>
          <w:sz w:val="24"/>
          <w:szCs w:val="24"/>
        </w:rPr>
        <w:t>(pre-treatment).</w:t>
      </w:r>
    </w:p>
    <w:p w14:paraId="01AE507A" w14:textId="77777777" w:rsidR="00DC0FA5" w:rsidRPr="00DC0FA5" w:rsidRDefault="00DC0FA5" w:rsidP="00DC0FA5">
      <w:pPr>
        <w:spacing w:line="0" w:lineRule="atLeast"/>
        <w:jc w:val="both"/>
        <w:rPr>
          <w:rFonts w:ascii="Calibri" w:hAnsi="Calibri" w:cs="Calibri"/>
          <w:sz w:val="24"/>
          <w:szCs w:val="24"/>
        </w:rPr>
      </w:pPr>
    </w:p>
    <w:p w14:paraId="1751F8EB"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6.3.5. Normalize fluorescence retention ratios to the mean vehicle control value from the same plate. Calculate the vehicle control mean separately for each plate before comparing treatment groups</w:t>
      </w:r>
      <w:r w:rsidRPr="005668EA">
        <w:rPr>
          <w:rFonts w:ascii="Calibri" w:hAnsi="Calibri" w:cs="Calibri"/>
          <w:sz w:val="24"/>
          <w:szCs w:val="24"/>
          <w:vertAlign w:val="superscript"/>
        </w:rPr>
        <w:t>19</w:t>
      </w:r>
      <w:r w:rsidRPr="00DC0FA5">
        <w:rPr>
          <w:rFonts w:ascii="Calibri" w:hAnsi="Calibri" w:cs="Calibri"/>
          <w:sz w:val="24"/>
          <w:szCs w:val="24"/>
        </w:rPr>
        <w:t>.</w:t>
      </w:r>
    </w:p>
    <w:p w14:paraId="3EC70360" w14:textId="77777777" w:rsidR="00DC0FA5" w:rsidRPr="00DC0FA5" w:rsidRDefault="00DC0FA5" w:rsidP="00DC0FA5">
      <w:pPr>
        <w:spacing w:line="0" w:lineRule="atLeast"/>
        <w:jc w:val="both"/>
        <w:rPr>
          <w:rFonts w:ascii="Calibri" w:hAnsi="Calibri" w:cs="Calibri"/>
          <w:sz w:val="24"/>
          <w:szCs w:val="24"/>
        </w:rPr>
      </w:pPr>
    </w:p>
    <w:p w14:paraId="73D94699"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 xml:space="preserve">NOTE: For higher-throughput analysis, perform the same quantification using </w:t>
      </w:r>
      <w:proofErr w:type="spellStart"/>
      <w:r w:rsidRPr="00DC0FA5">
        <w:rPr>
          <w:rFonts w:ascii="Calibri" w:hAnsi="Calibri" w:cs="Calibri"/>
          <w:sz w:val="24"/>
          <w:szCs w:val="24"/>
        </w:rPr>
        <w:t>CellProfiler</w:t>
      </w:r>
      <w:proofErr w:type="spellEnd"/>
      <w:r w:rsidRPr="00DC0FA5">
        <w:rPr>
          <w:rFonts w:ascii="Calibri" w:hAnsi="Calibri" w:cs="Calibri"/>
          <w:sz w:val="24"/>
          <w:szCs w:val="24"/>
        </w:rPr>
        <w:t xml:space="preserve"> (image analysis software) with automated ROI detection</w:t>
      </w:r>
      <w:r w:rsidRPr="005668EA">
        <w:rPr>
          <w:rFonts w:ascii="Calibri" w:hAnsi="Calibri" w:cs="Calibri"/>
          <w:sz w:val="24"/>
          <w:szCs w:val="24"/>
          <w:vertAlign w:val="superscript"/>
        </w:rPr>
        <w:t>20</w:t>
      </w:r>
      <w:r w:rsidRPr="00DC0FA5">
        <w:rPr>
          <w:rFonts w:ascii="Calibri" w:hAnsi="Calibri" w:cs="Calibri"/>
          <w:sz w:val="24"/>
          <w:szCs w:val="24"/>
        </w:rPr>
        <w:t>.</w:t>
      </w:r>
    </w:p>
    <w:p w14:paraId="71765BC8" w14:textId="77777777" w:rsidR="00DC0FA5" w:rsidRPr="00DC0FA5" w:rsidRDefault="00DC0FA5" w:rsidP="00DC0FA5">
      <w:pPr>
        <w:spacing w:line="0" w:lineRule="atLeast"/>
        <w:jc w:val="both"/>
        <w:rPr>
          <w:rFonts w:ascii="Calibri" w:hAnsi="Calibri" w:cs="Calibri"/>
          <w:sz w:val="24"/>
          <w:szCs w:val="24"/>
        </w:rPr>
      </w:pPr>
    </w:p>
    <w:p w14:paraId="64ABFFC4"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6.4. Perform pairwise statistical analysis</w:t>
      </w:r>
    </w:p>
    <w:p w14:paraId="357FE2A3" w14:textId="77777777" w:rsidR="00DC0FA5" w:rsidRPr="00DC0FA5" w:rsidRDefault="00DC0FA5" w:rsidP="00DC0FA5">
      <w:pPr>
        <w:spacing w:line="0" w:lineRule="atLeast"/>
        <w:jc w:val="both"/>
        <w:rPr>
          <w:rFonts w:ascii="Calibri" w:hAnsi="Calibri" w:cs="Calibri"/>
          <w:sz w:val="24"/>
          <w:szCs w:val="24"/>
        </w:rPr>
      </w:pPr>
    </w:p>
    <w:p w14:paraId="0626584B"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6.4.1. For comparisons between one treatment group and one control group, perform an unpaired two-tailed Welch’s t-test, which does not assume equal variance between groups.</w:t>
      </w:r>
    </w:p>
    <w:p w14:paraId="0815D6E5" w14:textId="77777777" w:rsidR="00DC0FA5" w:rsidRPr="00DC0FA5" w:rsidRDefault="00DC0FA5" w:rsidP="00DC0FA5">
      <w:pPr>
        <w:spacing w:line="0" w:lineRule="atLeast"/>
        <w:jc w:val="both"/>
        <w:rPr>
          <w:rFonts w:ascii="Calibri" w:hAnsi="Calibri" w:cs="Calibri"/>
          <w:sz w:val="24"/>
          <w:szCs w:val="24"/>
        </w:rPr>
      </w:pPr>
    </w:p>
    <w:p w14:paraId="48E1B1A9"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6.4.2. Use this test when variance differs between groups.</w:t>
      </w:r>
    </w:p>
    <w:p w14:paraId="15696927" w14:textId="77777777" w:rsidR="00DC0FA5" w:rsidRPr="00DC0FA5" w:rsidRDefault="00DC0FA5" w:rsidP="00DC0FA5">
      <w:pPr>
        <w:spacing w:line="0" w:lineRule="atLeast"/>
        <w:jc w:val="both"/>
        <w:rPr>
          <w:rFonts w:ascii="Calibri" w:hAnsi="Calibri" w:cs="Calibri"/>
          <w:sz w:val="24"/>
          <w:szCs w:val="24"/>
        </w:rPr>
      </w:pPr>
    </w:p>
    <w:p w14:paraId="07F3BEF5"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6.5. Perform multi-group statistical analysis</w:t>
      </w:r>
    </w:p>
    <w:p w14:paraId="2CF182EA" w14:textId="77777777" w:rsidR="00DC0FA5" w:rsidRPr="00DC0FA5" w:rsidRDefault="00DC0FA5" w:rsidP="00DC0FA5">
      <w:pPr>
        <w:spacing w:line="0" w:lineRule="atLeast"/>
        <w:jc w:val="both"/>
        <w:rPr>
          <w:rFonts w:ascii="Calibri" w:hAnsi="Calibri" w:cs="Calibri"/>
          <w:sz w:val="24"/>
          <w:szCs w:val="24"/>
        </w:rPr>
      </w:pPr>
    </w:p>
    <w:p w14:paraId="4838108B"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6.5.1. Perform one-way ANOVA for experiments involving multiple treatment groups.</w:t>
      </w:r>
    </w:p>
    <w:p w14:paraId="29DF6D8E" w14:textId="77777777" w:rsidR="00DC0FA5" w:rsidRPr="00DC0FA5" w:rsidRDefault="00DC0FA5" w:rsidP="00DC0FA5">
      <w:pPr>
        <w:spacing w:line="0" w:lineRule="atLeast"/>
        <w:jc w:val="both"/>
        <w:rPr>
          <w:rFonts w:ascii="Calibri" w:hAnsi="Calibri" w:cs="Calibri"/>
          <w:sz w:val="24"/>
          <w:szCs w:val="24"/>
        </w:rPr>
      </w:pPr>
    </w:p>
    <w:p w14:paraId="7B7A97E1"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6.5.2. Apply Dunnett’s post hoc test to compare each treatment group with the control group using GraphPad Prism or equivalent statistical software.</w:t>
      </w:r>
    </w:p>
    <w:p w14:paraId="292194E4" w14:textId="77777777" w:rsidR="00DC0FA5" w:rsidRPr="00DC0FA5" w:rsidRDefault="00DC0FA5" w:rsidP="00DC0FA5">
      <w:pPr>
        <w:spacing w:line="0" w:lineRule="atLeast"/>
        <w:jc w:val="both"/>
        <w:rPr>
          <w:rFonts w:ascii="Calibri" w:hAnsi="Calibri" w:cs="Calibri"/>
          <w:sz w:val="24"/>
          <w:szCs w:val="24"/>
        </w:rPr>
      </w:pPr>
    </w:p>
    <w:p w14:paraId="0859B5F0"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6.6. Report statistical results</w:t>
      </w:r>
    </w:p>
    <w:p w14:paraId="74A57A1F" w14:textId="77777777" w:rsidR="00DC0FA5" w:rsidRPr="00DC0FA5" w:rsidRDefault="00DC0FA5" w:rsidP="00DC0FA5">
      <w:pPr>
        <w:spacing w:line="0" w:lineRule="atLeast"/>
        <w:jc w:val="both"/>
        <w:rPr>
          <w:rFonts w:ascii="Calibri" w:hAnsi="Calibri" w:cs="Calibri"/>
          <w:sz w:val="24"/>
          <w:szCs w:val="24"/>
        </w:rPr>
      </w:pPr>
    </w:p>
    <w:p w14:paraId="0B4AF179"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6.6.1. Set the significance threshold at α = 0.05.</w:t>
      </w:r>
    </w:p>
    <w:p w14:paraId="551E6C53" w14:textId="77777777" w:rsidR="00DC0FA5" w:rsidRPr="00DC0FA5" w:rsidRDefault="00DC0FA5" w:rsidP="00DC0FA5">
      <w:pPr>
        <w:spacing w:line="0" w:lineRule="atLeast"/>
        <w:jc w:val="both"/>
        <w:rPr>
          <w:rFonts w:ascii="Calibri" w:hAnsi="Calibri" w:cs="Calibri"/>
          <w:sz w:val="24"/>
          <w:szCs w:val="24"/>
        </w:rPr>
      </w:pPr>
    </w:p>
    <w:p w14:paraId="0B2E7CEE"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6.6.2. Report exact p-values rather than categorical thresholds.</w:t>
      </w:r>
    </w:p>
    <w:p w14:paraId="117B6299" w14:textId="77777777" w:rsidR="00DC0FA5" w:rsidRPr="00DC0FA5" w:rsidRDefault="00DC0FA5" w:rsidP="00DC0FA5">
      <w:pPr>
        <w:spacing w:line="0" w:lineRule="atLeast"/>
        <w:jc w:val="both"/>
        <w:rPr>
          <w:rFonts w:ascii="Calibri" w:hAnsi="Calibri" w:cs="Calibri"/>
          <w:sz w:val="24"/>
          <w:szCs w:val="24"/>
        </w:rPr>
      </w:pPr>
    </w:p>
    <w:p w14:paraId="45823A89"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6.6.3. Present data as mean ± standard error of the mean (SEM) with individual data points overlaid as scatter plots using GraphPad Prism or equivalent graphing software.</w:t>
      </w:r>
    </w:p>
    <w:p w14:paraId="300C6107" w14:textId="77777777" w:rsidR="00DC0FA5" w:rsidRPr="00DC0FA5" w:rsidRDefault="00DC0FA5" w:rsidP="00DC0FA5">
      <w:pPr>
        <w:spacing w:line="0" w:lineRule="atLeast"/>
        <w:jc w:val="both"/>
        <w:rPr>
          <w:rFonts w:ascii="Calibri" w:hAnsi="Calibri" w:cs="Calibri"/>
          <w:sz w:val="24"/>
          <w:szCs w:val="24"/>
        </w:rPr>
      </w:pPr>
    </w:p>
    <w:p w14:paraId="65F3196A" w14:textId="77777777" w:rsidR="00DC0FA5" w:rsidRPr="00DC0FA5" w:rsidRDefault="00DC0FA5" w:rsidP="00DC0FA5">
      <w:pPr>
        <w:spacing w:line="0" w:lineRule="atLeast"/>
        <w:jc w:val="both"/>
        <w:rPr>
          <w:rFonts w:ascii="Calibri" w:hAnsi="Calibri" w:cs="Calibri"/>
          <w:sz w:val="24"/>
          <w:szCs w:val="24"/>
        </w:rPr>
      </w:pPr>
      <w:r w:rsidRPr="00DC0FA5">
        <w:rPr>
          <w:rFonts w:ascii="Calibri" w:hAnsi="Calibri" w:cs="Calibri"/>
          <w:sz w:val="24"/>
          <w:szCs w:val="24"/>
        </w:rPr>
        <w:t>6.6.4. Report sample size (n), statistical test, test statistic, degrees of freedom, and exact p-value in the figure legends. For large datasets, include full statistical outputs in a supplementary table.</w:t>
      </w:r>
    </w:p>
    <w:p w14:paraId="3A22E979" w14:textId="77777777" w:rsidR="00DC0FA5" w:rsidRPr="00DC0FA5" w:rsidRDefault="00DC0FA5" w:rsidP="00DC0FA5">
      <w:pPr>
        <w:spacing w:line="0" w:lineRule="atLeast"/>
        <w:jc w:val="both"/>
        <w:rPr>
          <w:rFonts w:ascii="Calibri" w:hAnsi="Calibri" w:cs="Calibri"/>
          <w:sz w:val="24"/>
          <w:szCs w:val="24"/>
        </w:rPr>
      </w:pPr>
    </w:p>
    <w:p w14:paraId="7FB67E56" w14:textId="6863AB5C" w:rsidR="00EA7CAE" w:rsidRPr="00DC0FA5" w:rsidRDefault="00DC0FA5" w:rsidP="00DC0FA5">
      <w:pPr>
        <w:spacing w:line="0" w:lineRule="atLeast"/>
        <w:jc w:val="both"/>
        <w:rPr>
          <w:rFonts w:ascii="Calibri" w:eastAsia="Calibri" w:hAnsi="Calibri" w:cs="Calibri"/>
          <w:sz w:val="24"/>
          <w:szCs w:val="24"/>
        </w:rPr>
      </w:pPr>
      <w:r w:rsidRPr="00DC0FA5">
        <w:rPr>
          <w:rFonts w:ascii="Calibri" w:hAnsi="Calibri" w:cs="Calibri"/>
          <w:sz w:val="24"/>
          <w:szCs w:val="24"/>
        </w:rPr>
        <w:t>NOTE: For screening assays, calculate the Z-factor for each plate as Z = 1 − [3(</w:t>
      </w:r>
      <w:proofErr w:type="spellStart"/>
      <w:r w:rsidRPr="00DC0FA5">
        <w:rPr>
          <w:rFonts w:ascii="Calibri" w:hAnsi="Calibri" w:cs="Calibri"/>
          <w:sz w:val="24"/>
          <w:szCs w:val="24"/>
        </w:rPr>
        <w:t>σ</w:t>
      </w:r>
      <w:r w:rsidRPr="00265659">
        <w:rPr>
          <w:rFonts w:ascii="Calibri" w:hAnsi="Calibri" w:cs="Calibri"/>
          <w:sz w:val="24"/>
          <w:szCs w:val="24"/>
          <w:vertAlign w:val="subscript"/>
        </w:rPr>
        <w:t>p</w:t>
      </w:r>
      <w:proofErr w:type="spellEnd"/>
      <w:r w:rsidRPr="00DC0FA5">
        <w:rPr>
          <w:rFonts w:ascii="Calibri" w:hAnsi="Calibri" w:cs="Calibri"/>
          <w:sz w:val="24"/>
          <w:szCs w:val="24"/>
        </w:rPr>
        <w:t xml:space="preserve"> + </w:t>
      </w:r>
      <w:proofErr w:type="spellStart"/>
      <w:r w:rsidRPr="00DC0FA5">
        <w:rPr>
          <w:rFonts w:ascii="Calibri" w:hAnsi="Calibri" w:cs="Calibri"/>
          <w:sz w:val="24"/>
          <w:szCs w:val="24"/>
        </w:rPr>
        <w:t>σ</w:t>
      </w:r>
      <w:r w:rsidRPr="00265659">
        <w:rPr>
          <w:rFonts w:ascii="Calibri" w:hAnsi="Calibri" w:cs="Calibri"/>
          <w:sz w:val="24"/>
          <w:szCs w:val="24"/>
          <w:vertAlign w:val="subscript"/>
        </w:rPr>
        <w:t>n</w:t>
      </w:r>
      <w:proofErr w:type="spellEnd"/>
      <w:r w:rsidRPr="00DC0FA5">
        <w:rPr>
          <w:rFonts w:ascii="Calibri" w:hAnsi="Calibri" w:cs="Calibri"/>
          <w:sz w:val="24"/>
          <w:szCs w:val="24"/>
        </w:rPr>
        <w:t>)/|</w:t>
      </w:r>
      <w:proofErr w:type="spellStart"/>
      <w:r w:rsidRPr="00DC0FA5">
        <w:rPr>
          <w:rFonts w:ascii="Calibri" w:hAnsi="Calibri" w:cs="Calibri"/>
          <w:sz w:val="24"/>
          <w:szCs w:val="24"/>
        </w:rPr>
        <w:t>μ</w:t>
      </w:r>
      <w:r w:rsidRPr="00265659">
        <w:rPr>
          <w:rFonts w:ascii="Calibri" w:hAnsi="Calibri" w:cs="Calibri"/>
          <w:sz w:val="24"/>
          <w:szCs w:val="24"/>
          <w:vertAlign w:val="subscript"/>
        </w:rPr>
        <w:t>p</w:t>
      </w:r>
      <w:proofErr w:type="spellEnd"/>
      <w:r w:rsidRPr="00DC0FA5">
        <w:rPr>
          <w:rFonts w:ascii="Calibri" w:hAnsi="Calibri" w:cs="Calibri"/>
          <w:sz w:val="24"/>
          <w:szCs w:val="24"/>
        </w:rPr>
        <w:t xml:space="preserve"> − </w:t>
      </w:r>
      <w:proofErr w:type="spellStart"/>
      <w:r w:rsidRPr="00DC0FA5">
        <w:rPr>
          <w:rFonts w:ascii="Calibri" w:hAnsi="Calibri" w:cs="Calibri"/>
          <w:sz w:val="24"/>
          <w:szCs w:val="24"/>
        </w:rPr>
        <w:t>μ</w:t>
      </w:r>
      <w:r w:rsidRPr="00265659">
        <w:rPr>
          <w:rFonts w:ascii="Calibri" w:hAnsi="Calibri" w:cs="Calibri"/>
          <w:sz w:val="24"/>
          <w:szCs w:val="24"/>
          <w:vertAlign w:val="subscript"/>
        </w:rPr>
        <w:t>n</w:t>
      </w:r>
      <w:proofErr w:type="spellEnd"/>
      <w:r w:rsidRPr="00DC0FA5">
        <w:rPr>
          <w:rFonts w:ascii="Calibri" w:hAnsi="Calibri" w:cs="Calibri"/>
          <w:sz w:val="24"/>
          <w:szCs w:val="24"/>
        </w:rPr>
        <w:t xml:space="preserve">|], where </w:t>
      </w:r>
      <w:proofErr w:type="spellStart"/>
      <w:r w:rsidRPr="00DC0FA5">
        <w:rPr>
          <w:rFonts w:ascii="Calibri" w:hAnsi="Calibri" w:cs="Calibri"/>
          <w:sz w:val="24"/>
          <w:szCs w:val="24"/>
        </w:rPr>
        <w:t>σ</w:t>
      </w:r>
      <w:r w:rsidRPr="00265659">
        <w:rPr>
          <w:rFonts w:ascii="Calibri" w:hAnsi="Calibri" w:cs="Calibri"/>
          <w:sz w:val="24"/>
          <w:szCs w:val="24"/>
          <w:vertAlign w:val="subscript"/>
        </w:rPr>
        <w:t>p</w:t>
      </w:r>
      <w:proofErr w:type="spellEnd"/>
      <w:r w:rsidRPr="00DC0FA5">
        <w:rPr>
          <w:rFonts w:ascii="Calibri" w:hAnsi="Calibri" w:cs="Calibri"/>
          <w:sz w:val="24"/>
          <w:szCs w:val="24"/>
        </w:rPr>
        <w:t xml:space="preserve"> and </w:t>
      </w:r>
      <w:proofErr w:type="spellStart"/>
      <w:r w:rsidRPr="00DC0FA5">
        <w:rPr>
          <w:rFonts w:ascii="Calibri" w:hAnsi="Calibri" w:cs="Calibri"/>
          <w:sz w:val="24"/>
          <w:szCs w:val="24"/>
        </w:rPr>
        <w:t>μ</w:t>
      </w:r>
      <w:r w:rsidRPr="00265659">
        <w:rPr>
          <w:rFonts w:ascii="Calibri" w:hAnsi="Calibri" w:cs="Calibri"/>
          <w:sz w:val="24"/>
          <w:szCs w:val="24"/>
          <w:vertAlign w:val="subscript"/>
        </w:rPr>
        <w:t>p</w:t>
      </w:r>
      <w:proofErr w:type="spellEnd"/>
      <w:r w:rsidRPr="00DC0FA5">
        <w:rPr>
          <w:rFonts w:ascii="Calibri" w:hAnsi="Calibri" w:cs="Calibri"/>
          <w:sz w:val="24"/>
          <w:szCs w:val="24"/>
        </w:rPr>
        <w:t xml:space="preserve"> are the standard deviation and mean of the vehicle control group, and </w:t>
      </w:r>
      <w:proofErr w:type="spellStart"/>
      <w:r w:rsidRPr="00DC0FA5">
        <w:rPr>
          <w:rFonts w:ascii="Calibri" w:hAnsi="Calibri" w:cs="Calibri"/>
          <w:sz w:val="24"/>
          <w:szCs w:val="24"/>
        </w:rPr>
        <w:t>σ</w:t>
      </w:r>
      <w:r w:rsidRPr="00265659">
        <w:rPr>
          <w:rFonts w:ascii="Calibri" w:hAnsi="Calibri" w:cs="Calibri"/>
          <w:sz w:val="24"/>
          <w:szCs w:val="24"/>
          <w:vertAlign w:val="subscript"/>
        </w:rPr>
        <w:t>n</w:t>
      </w:r>
      <w:proofErr w:type="spellEnd"/>
      <w:r w:rsidRPr="00DC0FA5">
        <w:rPr>
          <w:rFonts w:ascii="Calibri" w:hAnsi="Calibri" w:cs="Calibri"/>
          <w:sz w:val="24"/>
          <w:szCs w:val="24"/>
        </w:rPr>
        <w:t xml:space="preserve"> and </w:t>
      </w:r>
      <w:proofErr w:type="spellStart"/>
      <w:r w:rsidRPr="00DC0FA5">
        <w:rPr>
          <w:rFonts w:ascii="Calibri" w:hAnsi="Calibri" w:cs="Calibri"/>
          <w:sz w:val="24"/>
          <w:szCs w:val="24"/>
        </w:rPr>
        <w:t>μ</w:t>
      </w:r>
      <w:r w:rsidRPr="00265659">
        <w:rPr>
          <w:rFonts w:ascii="Calibri" w:hAnsi="Calibri" w:cs="Calibri"/>
          <w:sz w:val="24"/>
          <w:szCs w:val="24"/>
          <w:vertAlign w:val="subscript"/>
        </w:rPr>
        <w:t>n</w:t>
      </w:r>
      <w:proofErr w:type="spellEnd"/>
      <w:r w:rsidRPr="00DC0FA5">
        <w:rPr>
          <w:rFonts w:ascii="Calibri" w:hAnsi="Calibri" w:cs="Calibri"/>
          <w:sz w:val="24"/>
          <w:szCs w:val="24"/>
        </w:rPr>
        <w:t xml:space="preserve"> are the standard deviation and mean of the MTZ-only control group. A Z-factor &gt; 0.5 is considered acceptable for screening.</w:t>
      </w:r>
    </w:p>
    <w:p w14:paraId="2A7467B2" w14:textId="77777777" w:rsidR="00720A34" w:rsidRPr="00720A34" w:rsidRDefault="00720A34" w:rsidP="000B2233">
      <w:pPr>
        <w:spacing w:line="0" w:lineRule="atLeast"/>
        <w:jc w:val="both"/>
        <w:rPr>
          <w:rFonts w:ascii="Calibri" w:eastAsia="Calibri" w:hAnsi="Calibri" w:cs="Calibri"/>
          <w:sz w:val="24"/>
          <w:szCs w:val="24"/>
        </w:rPr>
      </w:pPr>
    </w:p>
    <w:p w14:paraId="3D00432B" w14:textId="12DC59F9" w:rsidR="00187690" w:rsidRPr="000B2233" w:rsidRDefault="00EA7CAE" w:rsidP="000B2233">
      <w:pPr>
        <w:spacing w:line="0" w:lineRule="atLeast"/>
        <w:jc w:val="both"/>
        <w:rPr>
          <w:rFonts w:ascii="Calibri" w:eastAsia="Calibri" w:hAnsi="Calibri" w:cs="Calibri"/>
          <w:b/>
          <w:bCs/>
          <w:sz w:val="24"/>
          <w:szCs w:val="24"/>
        </w:rPr>
      </w:pPr>
      <w:r w:rsidRPr="000B2233">
        <w:rPr>
          <w:rFonts w:ascii="Calibri" w:eastAsia="Calibri" w:hAnsi="Calibri" w:cs="Calibri"/>
          <w:b/>
          <w:bCs/>
          <w:sz w:val="24"/>
          <w:szCs w:val="24"/>
        </w:rPr>
        <w:t>RESULTS:</w:t>
      </w:r>
      <w:bookmarkStart w:id="0" w:name="_fbgflf6a21x" w:colFirst="0" w:colLast="0"/>
      <w:bookmarkEnd w:id="0"/>
    </w:p>
    <w:p w14:paraId="7C48DA61" w14:textId="74446D3D" w:rsidR="00F642AE" w:rsidRPr="000B2233" w:rsidRDefault="00F642AE" w:rsidP="000B2233">
      <w:pPr>
        <w:spacing w:line="0" w:lineRule="atLeast"/>
        <w:jc w:val="both"/>
        <w:rPr>
          <w:rFonts w:ascii="Calibri" w:eastAsia="Calibri" w:hAnsi="Calibri" w:cs="Calibri"/>
          <w:b/>
          <w:bCs/>
          <w:sz w:val="24"/>
          <w:szCs w:val="24"/>
        </w:rPr>
      </w:pPr>
      <w:r w:rsidRPr="000B2233">
        <w:rPr>
          <w:rFonts w:ascii="Calibri" w:eastAsia="Calibri" w:hAnsi="Calibri" w:cs="Calibri"/>
          <w:b/>
          <w:bCs/>
          <w:sz w:val="24"/>
          <w:szCs w:val="24"/>
        </w:rPr>
        <w:t xml:space="preserve">MTZ </w:t>
      </w:r>
      <w:r w:rsidR="00EF776F" w:rsidRPr="000B2233">
        <w:rPr>
          <w:rFonts w:ascii="Calibri" w:eastAsia="Calibri" w:hAnsi="Calibri" w:cs="Calibri"/>
          <w:b/>
          <w:bCs/>
          <w:sz w:val="24"/>
          <w:szCs w:val="24"/>
        </w:rPr>
        <w:t xml:space="preserve">Treatment Produces Dose-Dependent Dopaminergic Neuron Loss </w:t>
      </w:r>
      <w:r w:rsidRPr="000B2233">
        <w:rPr>
          <w:rFonts w:ascii="Calibri" w:eastAsia="Calibri" w:hAnsi="Calibri" w:cs="Calibri"/>
          <w:b/>
          <w:bCs/>
          <w:sz w:val="24"/>
          <w:szCs w:val="24"/>
        </w:rPr>
        <w:t xml:space="preserve">and </w:t>
      </w:r>
      <w:r w:rsidR="00EF776F" w:rsidRPr="000B2233">
        <w:rPr>
          <w:rFonts w:ascii="Calibri" w:eastAsia="Calibri" w:hAnsi="Calibri" w:cs="Calibri"/>
          <w:b/>
          <w:bCs/>
          <w:sz w:val="24"/>
          <w:szCs w:val="24"/>
        </w:rPr>
        <w:t>Locomotor Impairment</w:t>
      </w:r>
    </w:p>
    <w:p w14:paraId="15C3030D" w14:textId="3EDD0D7E" w:rsidR="00EE5D84" w:rsidRPr="003C7318" w:rsidRDefault="003C7318" w:rsidP="000B2233">
      <w:pPr>
        <w:spacing w:line="0" w:lineRule="atLeast"/>
        <w:jc w:val="both"/>
        <w:rPr>
          <w:rFonts w:ascii="Calibri" w:eastAsia="Calibri" w:hAnsi="Calibri" w:cs="Calibri"/>
          <w:sz w:val="24"/>
          <w:szCs w:val="24"/>
          <w:lang w:val="en-IN"/>
        </w:rPr>
      </w:pPr>
      <w:r w:rsidRPr="003C7318">
        <w:rPr>
          <w:rFonts w:ascii="Calibri" w:eastAsia="Calibri" w:hAnsi="Calibri" w:cs="Calibri"/>
          <w:sz w:val="24"/>
          <w:szCs w:val="24"/>
          <w:lang w:val="en-IN"/>
        </w:rPr>
        <w:t xml:space="preserve">To determine the optimal parameters for MTZ-mediated ablation of DA neurons, fluorescence intensity, used as a proxy for DA neuron survival, and locomotor distance were evaluated across MTZ concentrations of 3, 4.5, and 9 mM following 24 h treatment. Each treatment group consisted of n = 10 individual </w:t>
      </w:r>
      <w:proofErr w:type="spellStart"/>
      <w:r w:rsidRPr="003C7318">
        <w:rPr>
          <w:rFonts w:ascii="Calibri" w:eastAsia="Calibri" w:hAnsi="Calibri" w:cs="Calibri"/>
          <w:sz w:val="24"/>
          <w:szCs w:val="24"/>
          <w:lang w:val="en-IN"/>
        </w:rPr>
        <w:t>Tg</w:t>
      </w:r>
      <w:proofErr w:type="spellEnd"/>
      <w:r w:rsidRPr="003C7318">
        <w:rPr>
          <w:rFonts w:ascii="Calibri" w:eastAsia="Calibri" w:hAnsi="Calibri" w:cs="Calibri"/>
          <w:sz w:val="24"/>
          <w:szCs w:val="24"/>
          <w:lang w:val="en-IN"/>
        </w:rPr>
        <w:t>(th:Gal4; UAS:NTR-</w:t>
      </w:r>
      <w:proofErr w:type="spellStart"/>
      <w:r w:rsidRPr="003C7318">
        <w:rPr>
          <w:rFonts w:ascii="Calibri" w:eastAsia="Calibri" w:hAnsi="Calibri" w:cs="Calibri"/>
          <w:sz w:val="24"/>
          <w:szCs w:val="24"/>
          <w:lang w:val="en-IN"/>
        </w:rPr>
        <w:t>mCherry</w:t>
      </w:r>
      <w:proofErr w:type="spellEnd"/>
      <w:r w:rsidRPr="003C7318">
        <w:rPr>
          <w:rFonts w:ascii="Calibri" w:eastAsia="Calibri" w:hAnsi="Calibri" w:cs="Calibri"/>
          <w:sz w:val="24"/>
          <w:szCs w:val="24"/>
          <w:lang w:val="en-IN"/>
        </w:rPr>
        <w:t xml:space="preserve">) larvae with a matched vehicle control group (1% DMSO in BEW with 200 </w:t>
      </w:r>
      <w:proofErr w:type="spellStart"/>
      <w:r w:rsidRPr="003C7318">
        <w:rPr>
          <w:rFonts w:ascii="Calibri" w:eastAsia="Calibri" w:hAnsi="Calibri" w:cs="Calibri"/>
          <w:sz w:val="24"/>
          <w:szCs w:val="24"/>
          <w:lang w:val="en-IN"/>
        </w:rPr>
        <w:t>μM</w:t>
      </w:r>
      <w:proofErr w:type="spellEnd"/>
      <w:r w:rsidRPr="003C7318">
        <w:rPr>
          <w:rFonts w:ascii="Calibri" w:eastAsia="Calibri" w:hAnsi="Calibri" w:cs="Calibri"/>
          <w:sz w:val="24"/>
          <w:szCs w:val="24"/>
          <w:lang w:val="en-IN"/>
        </w:rPr>
        <w:t xml:space="preserve"> PTU, n = 10). Larvae were derived from a single clutch collected from validated homozygous breeders. MTZ treatment produced a dose-dependent reduction in DA neuron fluorescence compared with vehicle-treated controls, as shown in representative fluorescence images (</w:t>
      </w:r>
      <w:r w:rsidRPr="003C7318">
        <w:rPr>
          <w:rFonts w:ascii="Calibri" w:eastAsia="Calibri" w:hAnsi="Calibri" w:cs="Calibri"/>
          <w:b/>
          <w:bCs/>
          <w:sz w:val="24"/>
          <w:szCs w:val="24"/>
          <w:lang w:val="en-IN"/>
        </w:rPr>
        <w:t>Figure 2</w:t>
      </w:r>
      <w:r w:rsidRPr="003C7318">
        <w:rPr>
          <w:rFonts w:ascii="Calibri" w:eastAsia="Calibri" w:hAnsi="Calibri" w:cs="Calibri"/>
          <w:sz w:val="24"/>
          <w:szCs w:val="24"/>
          <w:lang w:val="en-IN"/>
        </w:rPr>
        <w:t>) and fluorescence quantification (</w:t>
      </w:r>
      <w:r w:rsidRPr="003C7318">
        <w:rPr>
          <w:rFonts w:ascii="Calibri" w:eastAsia="Calibri" w:hAnsi="Calibri" w:cs="Calibri"/>
          <w:b/>
          <w:bCs/>
          <w:sz w:val="24"/>
          <w:szCs w:val="24"/>
          <w:lang w:val="en-IN"/>
        </w:rPr>
        <w:t>Figure 4B</w:t>
      </w:r>
      <w:r w:rsidRPr="003C7318">
        <w:rPr>
          <w:rFonts w:ascii="Calibri" w:eastAsia="Calibri" w:hAnsi="Calibri" w:cs="Calibri"/>
          <w:sz w:val="24"/>
          <w:szCs w:val="24"/>
          <w:lang w:val="en-IN"/>
        </w:rPr>
        <w:t xml:space="preserve">). </w:t>
      </w:r>
      <w:proofErr w:type="spellStart"/>
      <w:r w:rsidRPr="003C7318">
        <w:rPr>
          <w:rFonts w:ascii="Calibri" w:eastAsia="Calibri" w:hAnsi="Calibri" w:cs="Calibri"/>
          <w:sz w:val="24"/>
          <w:szCs w:val="24"/>
          <w:lang w:val="en-IN"/>
        </w:rPr>
        <w:t>Behavioral</w:t>
      </w:r>
      <w:proofErr w:type="spellEnd"/>
      <w:r w:rsidRPr="003C7318">
        <w:rPr>
          <w:rFonts w:ascii="Calibri" w:eastAsia="Calibri" w:hAnsi="Calibri" w:cs="Calibri"/>
          <w:sz w:val="24"/>
          <w:szCs w:val="24"/>
          <w:lang w:val="en-IN"/>
        </w:rPr>
        <w:t xml:space="preserve"> analysis demonstrated a corresponding dose-dependent reduction in total distance </w:t>
      </w:r>
      <w:proofErr w:type="spellStart"/>
      <w:r w:rsidRPr="003C7318">
        <w:rPr>
          <w:rFonts w:ascii="Calibri" w:eastAsia="Calibri" w:hAnsi="Calibri" w:cs="Calibri"/>
          <w:sz w:val="24"/>
          <w:szCs w:val="24"/>
          <w:lang w:val="en-IN"/>
        </w:rPr>
        <w:t>traveled</w:t>
      </w:r>
      <w:proofErr w:type="spellEnd"/>
      <w:r w:rsidRPr="003C7318">
        <w:rPr>
          <w:rFonts w:ascii="Calibri" w:eastAsia="Calibri" w:hAnsi="Calibri" w:cs="Calibri"/>
          <w:sz w:val="24"/>
          <w:szCs w:val="24"/>
          <w:lang w:val="en-IN"/>
        </w:rPr>
        <w:t xml:space="preserve"> following MTZ treatment (</w:t>
      </w:r>
      <w:r w:rsidRPr="003C7318">
        <w:rPr>
          <w:rFonts w:ascii="Calibri" w:eastAsia="Calibri" w:hAnsi="Calibri" w:cs="Calibri"/>
          <w:b/>
          <w:bCs/>
          <w:sz w:val="24"/>
          <w:szCs w:val="24"/>
          <w:lang w:val="en-IN"/>
        </w:rPr>
        <w:t>Figure 4A</w:t>
      </w:r>
      <w:r w:rsidRPr="003C7318">
        <w:rPr>
          <w:rFonts w:ascii="Calibri" w:eastAsia="Calibri" w:hAnsi="Calibri" w:cs="Calibri"/>
          <w:sz w:val="24"/>
          <w:szCs w:val="24"/>
          <w:lang w:val="en-IN"/>
        </w:rPr>
        <w:t>). Linear regression analysis further demonstrated concordance between fluorescence retention and locomotor output across treatment groups (</w:t>
      </w:r>
      <w:r w:rsidRPr="003C7318">
        <w:rPr>
          <w:rFonts w:ascii="Calibri" w:eastAsia="Calibri" w:hAnsi="Calibri" w:cs="Calibri"/>
          <w:b/>
          <w:bCs/>
          <w:sz w:val="24"/>
          <w:szCs w:val="24"/>
          <w:lang w:val="en-IN"/>
        </w:rPr>
        <w:t>Figure 4C</w:t>
      </w:r>
      <w:r w:rsidRPr="003C7318">
        <w:rPr>
          <w:rFonts w:ascii="Calibri" w:eastAsia="Calibri" w:hAnsi="Calibri" w:cs="Calibri"/>
          <w:sz w:val="24"/>
          <w:szCs w:val="24"/>
          <w:lang w:val="en-IN"/>
        </w:rPr>
        <w:t>).</w:t>
      </w:r>
      <w:r>
        <w:rPr>
          <w:rFonts w:ascii="Calibri" w:eastAsia="Calibri" w:hAnsi="Calibri" w:cs="Calibri"/>
          <w:sz w:val="24"/>
          <w:szCs w:val="24"/>
          <w:lang w:val="en-IN"/>
        </w:rPr>
        <w:t xml:space="preserve"> </w:t>
      </w:r>
      <w:r w:rsidRPr="003C7318">
        <w:rPr>
          <w:rFonts w:ascii="Calibri" w:eastAsia="Calibri" w:hAnsi="Calibri" w:cs="Calibri"/>
          <w:sz w:val="24"/>
          <w:szCs w:val="24"/>
          <w:lang w:val="en-IN"/>
        </w:rPr>
        <w:t xml:space="preserve">Based on these combined anatomical and </w:t>
      </w:r>
      <w:proofErr w:type="spellStart"/>
      <w:r w:rsidRPr="003C7318">
        <w:rPr>
          <w:rFonts w:ascii="Calibri" w:eastAsia="Calibri" w:hAnsi="Calibri" w:cs="Calibri"/>
          <w:sz w:val="24"/>
          <w:szCs w:val="24"/>
          <w:lang w:val="en-IN"/>
        </w:rPr>
        <w:t>behavioral</w:t>
      </w:r>
      <w:proofErr w:type="spellEnd"/>
      <w:r w:rsidRPr="003C7318">
        <w:rPr>
          <w:rFonts w:ascii="Calibri" w:eastAsia="Calibri" w:hAnsi="Calibri" w:cs="Calibri"/>
          <w:sz w:val="24"/>
          <w:szCs w:val="24"/>
          <w:lang w:val="en-IN"/>
        </w:rPr>
        <w:t xml:space="preserve"> outcomes, 4.5 mM MTZ for 24 h was selected as the optimized condition for downstream screening because it produced a robust but non-saturated phenotype suitable for detecting rescue effects. This MTZ concentration was also previously used for high-throughput screening of neuroprotective compounds in zebrafish DA neuron ablation models</w:t>
      </w:r>
      <w:r w:rsidRPr="003C7318">
        <w:rPr>
          <w:rFonts w:ascii="Calibri" w:eastAsia="Calibri" w:hAnsi="Calibri" w:cs="Calibri"/>
          <w:sz w:val="24"/>
          <w:szCs w:val="24"/>
          <w:vertAlign w:val="superscript"/>
          <w:lang w:val="en-IN"/>
        </w:rPr>
        <w:t>22</w:t>
      </w:r>
      <w:r w:rsidRPr="003C7318">
        <w:rPr>
          <w:rFonts w:ascii="Calibri" w:eastAsia="Calibri" w:hAnsi="Calibri" w:cs="Calibri"/>
          <w:sz w:val="24"/>
          <w:szCs w:val="24"/>
          <w:lang w:val="en-IN"/>
        </w:rPr>
        <w:t>.</w:t>
      </w:r>
    </w:p>
    <w:p w14:paraId="6C15891C" w14:textId="77777777" w:rsidR="00187690" w:rsidRPr="000B2233" w:rsidRDefault="00187690" w:rsidP="000B2233">
      <w:pPr>
        <w:spacing w:line="0" w:lineRule="atLeast"/>
        <w:jc w:val="both"/>
        <w:rPr>
          <w:rFonts w:ascii="Calibri" w:eastAsia="Calibri" w:hAnsi="Calibri" w:cs="Calibri"/>
          <w:sz w:val="24"/>
          <w:szCs w:val="24"/>
        </w:rPr>
      </w:pPr>
    </w:p>
    <w:p w14:paraId="1139E385" w14:textId="77777777" w:rsidR="00187690"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 xml:space="preserve">[Insert </w:t>
      </w:r>
      <w:r w:rsidRPr="003C7318">
        <w:rPr>
          <w:rFonts w:ascii="Calibri" w:eastAsia="Calibri" w:hAnsi="Calibri" w:cs="Calibri"/>
          <w:b/>
          <w:bCs/>
          <w:sz w:val="24"/>
          <w:szCs w:val="24"/>
        </w:rPr>
        <w:t>Figure 4</w:t>
      </w:r>
      <w:r w:rsidRPr="000B2233">
        <w:rPr>
          <w:rFonts w:ascii="Calibri" w:eastAsia="Calibri" w:hAnsi="Calibri" w:cs="Calibri"/>
          <w:sz w:val="24"/>
          <w:szCs w:val="24"/>
        </w:rPr>
        <w:t xml:space="preserve"> here]</w:t>
      </w:r>
    </w:p>
    <w:p w14:paraId="71BBC9F6" w14:textId="77777777" w:rsidR="00187690" w:rsidRPr="000B2233" w:rsidRDefault="00187690" w:rsidP="000B2233">
      <w:pPr>
        <w:spacing w:line="0" w:lineRule="atLeast"/>
        <w:jc w:val="both"/>
        <w:rPr>
          <w:rFonts w:ascii="Calibri" w:eastAsia="Calibri" w:hAnsi="Calibri" w:cs="Calibri"/>
          <w:sz w:val="24"/>
          <w:szCs w:val="24"/>
        </w:rPr>
      </w:pPr>
    </w:p>
    <w:p w14:paraId="30D49DED" w14:textId="71F019B0" w:rsidR="00677E38" w:rsidRPr="000B2233" w:rsidRDefault="007A0BB8" w:rsidP="000B2233">
      <w:pPr>
        <w:spacing w:line="0" w:lineRule="atLeast"/>
        <w:jc w:val="both"/>
        <w:rPr>
          <w:rFonts w:ascii="Calibri" w:hAnsi="Calibri" w:cs="Calibri"/>
          <w:sz w:val="24"/>
          <w:szCs w:val="24"/>
        </w:rPr>
      </w:pPr>
      <w:r w:rsidRPr="007A0BB8">
        <w:rPr>
          <w:rFonts w:ascii="Calibri" w:hAnsi="Calibri" w:cs="Calibri"/>
          <w:sz w:val="24"/>
          <w:szCs w:val="24"/>
        </w:rPr>
        <w:t>The optimized MTZ treatment condition was selected based on its ability to induce robust DA neuron loss while preserving overall larval development and gross morphology. Following 24 h treatment, 4.5 mM MTZ produced an approximately 60% reduction in DA neuron fluorescence relative to vehicle-treated controls (</w:t>
      </w:r>
      <w:r w:rsidRPr="007A0BB8">
        <w:rPr>
          <w:rFonts w:ascii="Calibri" w:hAnsi="Calibri" w:cs="Calibri"/>
          <w:b/>
          <w:bCs/>
          <w:sz w:val="24"/>
          <w:szCs w:val="24"/>
        </w:rPr>
        <w:t>Figure 4B</w:t>
      </w:r>
      <w:r w:rsidRPr="007A0BB8">
        <w:rPr>
          <w:rFonts w:ascii="Calibri" w:hAnsi="Calibri" w:cs="Calibri"/>
          <w:sz w:val="24"/>
          <w:szCs w:val="24"/>
        </w:rPr>
        <w:t>) together with a corresponding reduction in locomotor activity (</w:t>
      </w:r>
      <w:r w:rsidRPr="007A0BB8">
        <w:rPr>
          <w:rFonts w:ascii="Calibri" w:hAnsi="Calibri" w:cs="Calibri"/>
          <w:b/>
          <w:bCs/>
          <w:sz w:val="24"/>
          <w:szCs w:val="24"/>
        </w:rPr>
        <w:t>Figure 4A</w:t>
      </w:r>
      <w:r w:rsidRPr="007A0BB8">
        <w:rPr>
          <w:rFonts w:ascii="Calibri" w:hAnsi="Calibri" w:cs="Calibri"/>
          <w:sz w:val="24"/>
          <w:szCs w:val="24"/>
        </w:rPr>
        <w:t>). Importantly, larvae treated with 4.5 mM MTZ maintained normal gross morphology and did not show overt developmental abnormalities under brightfield inspection, supporting the interpretation that the observed behavioral deficits were associated with DA neuron ablation rather than generalized developmental toxicity.</w:t>
      </w:r>
    </w:p>
    <w:p w14:paraId="0321D20D" w14:textId="77777777" w:rsidR="00677E38" w:rsidRPr="000B2233" w:rsidRDefault="00677E38" w:rsidP="000B2233">
      <w:pPr>
        <w:spacing w:line="0" w:lineRule="atLeast"/>
        <w:jc w:val="both"/>
        <w:rPr>
          <w:rFonts w:ascii="Calibri" w:eastAsia="Calibri" w:hAnsi="Calibri" w:cs="Calibri"/>
          <w:sz w:val="24"/>
          <w:szCs w:val="24"/>
        </w:rPr>
      </w:pPr>
    </w:p>
    <w:p w14:paraId="158E0F39" w14:textId="49175790" w:rsidR="00187690" w:rsidRPr="000B2233" w:rsidRDefault="007A0BB8" w:rsidP="000B2233">
      <w:pPr>
        <w:spacing w:line="0" w:lineRule="atLeast"/>
        <w:jc w:val="both"/>
        <w:rPr>
          <w:rFonts w:ascii="Calibri" w:eastAsia="Calibri" w:hAnsi="Calibri" w:cs="Calibri"/>
          <w:sz w:val="24"/>
          <w:szCs w:val="24"/>
        </w:rPr>
      </w:pPr>
      <w:r w:rsidRPr="007A0BB8">
        <w:rPr>
          <w:rFonts w:ascii="Calibri" w:eastAsia="Calibri" w:hAnsi="Calibri" w:cs="Calibri"/>
          <w:sz w:val="24"/>
          <w:szCs w:val="24"/>
        </w:rPr>
        <w:t>With increasing MTZ exposure, fluorescence in the targeted DA neuron population decreased in a dose-dependent manner. Vehicle-treated control larvae maintained normal fluorescence in the DA neuron region, whereas MTZ-treated larvae showed a marked reduction in fluorescence due to ablation of NTR-expressing neurons. Compounds that reduce fluorescence loss relative to MTZ-only wells may indicate neuroprotective effects. Changes in fluorescence intensity across treatment groups therefore provide a rapid and quantitative method for comparing compound efficacy in vivo.</w:t>
      </w:r>
    </w:p>
    <w:p w14:paraId="02F656CF" w14:textId="77777777" w:rsidR="00187690" w:rsidRPr="000B2233" w:rsidRDefault="00187690" w:rsidP="000B2233">
      <w:pPr>
        <w:spacing w:line="0" w:lineRule="atLeast"/>
        <w:jc w:val="both"/>
        <w:rPr>
          <w:rFonts w:ascii="Calibri" w:eastAsia="Calibri" w:hAnsi="Calibri" w:cs="Calibri"/>
          <w:sz w:val="24"/>
          <w:szCs w:val="24"/>
        </w:rPr>
      </w:pPr>
    </w:p>
    <w:p w14:paraId="30D11B45" w14:textId="77777777" w:rsidR="003736D5" w:rsidRPr="003736D5" w:rsidRDefault="003736D5" w:rsidP="003736D5">
      <w:pPr>
        <w:spacing w:line="0" w:lineRule="atLeast"/>
        <w:jc w:val="both"/>
        <w:rPr>
          <w:rFonts w:ascii="Calibri" w:eastAsia="Calibri" w:hAnsi="Calibri" w:cs="Calibri"/>
          <w:sz w:val="24"/>
          <w:szCs w:val="24"/>
          <w:lang w:val="en-IN"/>
        </w:rPr>
      </w:pPr>
      <w:r w:rsidRPr="003736D5">
        <w:rPr>
          <w:rFonts w:ascii="Calibri" w:eastAsia="Calibri" w:hAnsi="Calibri" w:cs="Calibri"/>
          <w:sz w:val="24"/>
          <w:szCs w:val="24"/>
          <w:lang w:val="en-IN"/>
        </w:rPr>
        <w:t xml:space="preserve">Vehicle-treated control larvae retained fluorescence intensity and normal locomotor activity, confirming that the observed effects were specific to MTZ-mediated ablation rather than experimental handling or solvent exposure. The concurrent reduction in DA fluorescence and locomotor activity confirmed that the protocol successfully induced targeted neurodegeneration </w:t>
      </w:r>
      <w:r w:rsidRPr="003736D5">
        <w:rPr>
          <w:rFonts w:ascii="Calibri" w:eastAsia="Calibri" w:hAnsi="Calibri" w:cs="Calibri"/>
          <w:sz w:val="24"/>
          <w:szCs w:val="24"/>
          <w:lang w:val="en-IN"/>
        </w:rPr>
        <w:lastRenderedPageBreak/>
        <w:t xml:space="preserve">with functional </w:t>
      </w:r>
      <w:proofErr w:type="spellStart"/>
      <w:r w:rsidRPr="003736D5">
        <w:rPr>
          <w:rFonts w:ascii="Calibri" w:eastAsia="Calibri" w:hAnsi="Calibri" w:cs="Calibri"/>
          <w:sz w:val="24"/>
          <w:szCs w:val="24"/>
          <w:lang w:val="en-IN"/>
        </w:rPr>
        <w:t>behavioral</w:t>
      </w:r>
      <w:proofErr w:type="spellEnd"/>
      <w:r w:rsidRPr="003736D5">
        <w:rPr>
          <w:rFonts w:ascii="Calibri" w:eastAsia="Calibri" w:hAnsi="Calibri" w:cs="Calibri"/>
          <w:sz w:val="24"/>
          <w:szCs w:val="24"/>
          <w:lang w:val="en-IN"/>
        </w:rPr>
        <w:t xml:space="preserve"> consequences. This screening approach enables rapid testing of multiple compounds in a Parkinson’s disease-relevant zebrafish model</w:t>
      </w:r>
      <w:r w:rsidRPr="003736D5">
        <w:rPr>
          <w:rFonts w:ascii="Calibri" w:eastAsia="Calibri" w:hAnsi="Calibri" w:cs="Calibri"/>
          <w:sz w:val="24"/>
          <w:szCs w:val="24"/>
          <w:vertAlign w:val="superscript"/>
          <w:lang w:val="en-IN"/>
        </w:rPr>
        <w:t>21</w:t>
      </w:r>
      <w:r w:rsidRPr="003736D5">
        <w:rPr>
          <w:rFonts w:ascii="Calibri" w:eastAsia="Calibri" w:hAnsi="Calibri" w:cs="Calibri"/>
          <w:sz w:val="24"/>
          <w:szCs w:val="24"/>
          <w:lang w:val="en-IN"/>
        </w:rPr>
        <w:t>. Because larvae develop externally and require small treatment volumes, compound effects can be assessed within a few days in a 96-well format</w:t>
      </w:r>
      <w:r w:rsidRPr="003736D5">
        <w:rPr>
          <w:rFonts w:ascii="Calibri" w:eastAsia="Calibri" w:hAnsi="Calibri" w:cs="Calibri"/>
          <w:sz w:val="24"/>
          <w:szCs w:val="24"/>
          <w:vertAlign w:val="superscript"/>
          <w:lang w:val="en-IN"/>
        </w:rPr>
        <w:t>22</w:t>
      </w:r>
      <w:r w:rsidRPr="003736D5">
        <w:rPr>
          <w:rFonts w:ascii="Calibri" w:eastAsia="Calibri" w:hAnsi="Calibri" w:cs="Calibri"/>
          <w:sz w:val="24"/>
          <w:szCs w:val="24"/>
          <w:lang w:val="en-IN"/>
        </w:rPr>
        <w:t>. Compounds demonstrating protective effects in this assay can subsequently be prioritized for validation in secondary experimental models.</w:t>
      </w:r>
    </w:p>
    <w:p w14:paraId="43AA400F" w14:textId="77777777" w:rsidR="00187690" w:rsidRPr="000B2233" w:rsidRDefault="00187690" w:rsidP="000B2233">
      <w:pPr>
        <w:spacing w:line="0" w:lineRule="atLeast"/>
        <w:jc w:val="both"/>
        <w:rPr>
          <w:rFonts w:ascii="Calibri" w:eastAsia="Calibri" w:hAnsi="Calibri" w:cs="Calibri"/>
          <w:sz w:val="24"/>
          <w:szCs w:val="24"/>
        </w:rPr>
      </w:pPr>
    </w:p>
    <w:p w14:paraId="5910D964" w14:textId="177E276D" w:rsidR="00FC70F4" w:rsidRPr="000B2233" w:rsidRDefault="00645839" w:rsidP="000B2233">
      <w:pPr>
        <w:spacing w:line="0" w:lineRule="atLeast"/>
        <w:jc w:val="both"/>
        <w:rPr>
          <w:rFonts w:ascii="Calibri" w:eastAsia="Calibri" w:hAnsi="Calibri" w:cs="Calibri"/>
          <w:b/>
          <w:bCs/>
          <w:sz w:val="24"/>
          <w:szCs w:val="24"/>
        </w:rPr>
      </w:pPr>
      <w:r w:rsidRPr="000B2233">
        <w:rPr>
          <w:rFonts w:ascii="Calibri" w:eastAsia="Calibri" w:hAnsi="Calibri" w:cs="Calibri"/>
          <w:b/>
          <w:bCs/>
          <w:sz w:val="24"/>
          <w:szCs w:val="24"/>
        </w:rPr>
        <w:t>Expected Locomotion Behavioral Data</w:t>
      </w:r>
    </w:p>
    <w:p w14:paraId="2CED335F" w14:textId="5915011D" w:rsidR="00D86107" w:rsidRPr="000B2233" w:rsidRDefault="00230EA0" w:rsidP="000B2233">
      <w:pPr>
        <w:spacing w:line="0" w:lineRule="atLeast"/>
        <w:jc w:val="both"/>
        <w:rPr>
          <w:rFonts w:ascii="Calibri" w:eastAsia="Calibri" w:hAnsi="Calibri" w:cs="Calibri"/>
          <w:sz w:val="24"/>
          <w:szCs w:val="24"/>
        </w:rPr>
      </w:pPr>
      <w:r w:rsidRPr="00230EA0">
        <w:rPr>
          <w:rFonts w:ascii="Calibri" w:eastAsia="Calibri" w:hAnsi="Calibri" w:cs="Calibri"/>
          <w:sz w:val="24"/>
          <w:szCs w:val="24"/>
        </w:rPr>
        <w:t xml:space="preserve">Locomotor activity was recorded for 60 min and quantified as total distance traveled (cm) using </w:t>
      </w:r>
      <w:proofErr w:type="spellStart"/>
      <w:r w:rsidRPr="00230EA0">
        <w:rPr>
          <w:rFonts w:ascii="Calibri" w:eastAsia="Calibri" w:hAnsi="Calibri" w:cs="Calibri"/>
          <w:sz w:val="24"/>
          <w:szCs w:val="24"/>
        </w:rPr>
        <w:t>EthoVision</w:t>
      </w:r>
      <w:proofErr w:type="spellEnd"/>
      <w:r w:rsidRPr="00230EA0">
        <w:rPr>
          <w:rFonts w:ascii="Calibri" w:eastAsia="Calibri" w:hAnsi="Calibri" w:cs="Calibri"/>
          <w:sz w:val="24"/>
          <w:szCs w:val="24"/>
        </w:rPr>
        <w:t xml:space="preserve"> XT (</w:t>
      </w:r>
      <w:r w:rsidRPr="00230EA0">
        <w:rPr>
          <w:rFonts w:ascii="Calibri" w:eastAsia="Calibri" w:hAnsi="Calibri" w:cs="Calibri"/>
          <w:b/>
          <w:bCs/>
          <w:sz w:val="24"/>
          <w:szCs w:val="24"/>
        </w:rPr>
        <w:t>Figure 3</w:t>
      </w:r>
      <w:r w:rsidRPr="00230EA0">
        <w:rPr>
          <w:rFonts w:ascii="Calibri" w:eastAsia="Calibri" w:hAnsi="Calibri" w:cs="Calibri"/>
          <w:sz w:val="24"/>
          <w:szCs w:val="24"/>
        </w:rPr>
        <w:t xml:space="preserve">). Vehicle control larvae traveled a mean of 2100–2200 cm during the recording period. Larvae treated with 3 mM MTZ showed a modest reduction in total distance traveled (approximately 8%, Welch’s t-test, </w:t>
      </w:r>
      <w:r w:rsidRPr="00230EA0">
        <w:rPr>
          <w:rFonts w:ascii="Calibri" w:eastAsia="Calibri" w:hAnsi="Calibri" w:cs="Calibri"/>
          <w:i/>
          <w:iCs/>
          <w:sz w:val="24"/>
          <w:szCs w:val="24"/>
        </w:rPr>
        <w:t>p</w:t>
      </w:r>
      <w:r w:rsidRPr="00230EA0">
        <w:rPr>
          <w:rFonts w:ascii="Calibri" w:eastAsia="Calibri" w:hAnsi="Calibri" w:cs="Calibri"/>
          <w:sz w:val="24"/>
          <w:szCs w:val="24"/>
        </w:rPr>
        <w:t xml:space="preserve"> = 0.035), consistent with mild dopaminergic impairment. The 4.5 mM MTZ group showed an approximately 32% reduction in locomotor activity (</w:t>
      </w:r>
      <w:r w:rsidRPr="00230EA0">
        <w:rPr>
          <w:rFonts w:ascii="Calibri" w:eastAsia="Calibri" w:hAnsi="Calibri" w:cs="Calibri"/>
          <w:i/>
          <w:iCs/>
          <w:sz w:val="24"/>
          <w:szCs w:val="24"/>
        </w:rPr>
        <w:t>p</w:t>
      </w:r>
      <w:r w:rsidRPr="00230EA0">
        <w:rPr>
          <w:rFonts w:ascii="Calibri" w:eastAsia="Calibri" w:hAnsi="Calibri" w:cs="Calibri"/>
          <w:sz w:val="24"/>
          <w:szCs w:val="24"/>
        </w:rPr>
        <w:t xml:space="preserve"> = 0.0004), producing a robust behavioral deficit suitable for detecting rescue effects from candidate neuroprotective compounds. The 9 mM MTZ group showed an approximately 68% reduction in total distance traveled (</w:t>
      </w:r>
      <w:r w:rsidRPr="00230EA0">
        <w:rPr>
          <w:rFonts w:ascii="Calibri" w:eastAsia="Calibri" w:hAnsi="Calibri" w:cs="Calibri"/>
          <w:i/>
          <w:iCs/>
          <w:sz w:val="24"/>
          <w:szCs w:val="24"/>
        </w:rPr>
        <w:t>p</w:t>
      </w:r>
      <w:r w:rsidRPr="00230EA0">
        <w:rPr>
          <w:rFonts w:ascii="Calibri" w:eastAsia="Calibri" w:hAnsi="Calibri" w:cs="Calibri"/>
          <w:sz w:val="24"/>
          <w:szCs w:val="24"/>
        </w:rPr>
        <w:t xml:space="preserve"> &lt; 0.0001), with larvae exhibiting prolonged freezing behavior and near-complete loss of spontaneous swimming bouts (</w:t>
      </w:r>
      <w:r w:rsidRPr="00230EA0">
        <w:rPr>
          <w:rFonts w:ascii="Calibri" w:eastAsia="Calibri" w:hAnsi="Calibri" w:cs="Calibri"/>
          <w:b/>
          <w:bCs/>
          <w:sz w:val="24"/>
          <w:szCs w:val="24"/>
        </w:rPr>
        <w:t>Figure 4A</w:t>
      </w:r>
      <w:r w:rsidRPr="00230EA0">
        <w:rPr>
          <w:rFonts w:ascii="Calibri" w:eastAsia="Calibri" w:hAnsi="Calibri" w:cs="Calibri"/>
          <w:sz w:val="24"/>
          <w:szCs w:val="24"/>
        </w:rPr>
        <w:t xml:space="preserve">). Linear regression analysis across all treatment groups demonstrated concordance between relative fluorescence intensity and locomotor distance (R² = 0.704, </w:t>
      </w:r>
      <w:r w:rsidRPr="00230EA0">
        <w:rPr>
          <w:rFonts w:ascii="Calibri" w:eastAsia="Calibri" w:hAnsi="Calibri" w:cs="Calibri"/>
          <w:i/>
          <w:iCs/>
          <w:sz w:val="24"/>
          <w:szCs w:val="24"/>
        </w:rPr>
        <w:t>p</w:t>
      </w:r>
      <w:r w:rsidRPr="00230EA0">
        <w:rPr>
          <w:rFonts w:ascii="Calibri" w:eastAsia="Calibri" w:hAnsi="Calibri" w:cs="Calibri"/>
          <w:sz w:val="24"/>
          <w:szCs w:val="24"/>
        </w:rPr>
        <w:t xml:space="preserve"> &lt; 0.0001; </w:t>
      </w:r>
      <w:r w:rsidRPr="00230EA0">
        <w:rPr>
          <w:rFonts w:ascii="Calibri" w:eastAsia="Calibri" w:hAnsi="Calibri" w:cs="Calibri"/>
          <w:b/>
          <w:bCs/>
          <w:sz w:val="24"/>
          <w:szCs w:val="24"/>
        </w:rPr>
        <w:t>Figure 4C</w:t>
      </w:r>
      <w:r w:rsidRPr="00230EA0">
        <w:rPr>
          <w:rFonts w:ascii="Calibri" w:eastAsia="Calibri" w:hAnsi="Calibri" w:cs="Calibri"/>
          <w:sz w:val="24"/>
          <w:szCs w:val="24"/>
        </w:rPr>
        <w:t>), confirming that locomotor impairment is proportional to the degree of DA neuron loss.</w:t>
      </w:r>
    </w:p>
    <w:p w14:paraId="3361D895" w14:textId="77777777" w:rsidR="00FC70F4" w:rsidRPr="000B2233" w:rsidRDefault="00FC70F4" w:rsidP="000B2233">
      <w:pPr>
        <w:spacing w:line="0" w:lineRule="atLeast"/>
        <w:jc w:val="both"/>
        <w:rPr>
          <w:rFonts w:ascii="Calibri" w:eastAsia="Calibri" w:hAnsi="Calibri" w:cs="Calibri"/>
          <w:sz w:val="24"/>
          <w:szCs w:val="24"/>
        </w:rPr>
      </w:pPr>
    </w:p>
    <w:p w14:paraId="410CE780" w14:textId="27F6B92F" w:rsidR="00FC70F4" w:rsidRPr="000B2233" w:rsidRDefault="00451233" w:rsidP="000B2233">
      <w:pPr>
        <w:spacing w:line="0" w:lineRule="atLeast"/>
        <w:jc w:val="both"/>
        <w:rPr>
          <w:rFonts w:ascii="Calibri" w:eastAsia="Calibri" w:hAnsi="Calibri" w:cs="Calibri"/>
          <w:sz w:val="24"/>
          <w:szCs w:val="24"/>
        </w:rPr>
      </w:pPr>
      <w:r w:rsidRPr="00451233">
        <w:rPr>
          <w:rFonts w:ascii="Calibri" w:eastAsia="Calibri" w:hAnsi="Calibri" w:cs="Calibri"/>
          <w:sz w:val="24"/>
          <w:szCs w:val="24"/>
        </w:rPr>
        <w:t>The magnitude of locomotor impairment correlated with MTZ concentration. Larvae treated with 3 mM MTZ exhibited only a modest reduction in movement, whereas the 4.5 mM condition produced a reproducible Parkinson’s disease-like locomotor deficit that remained suitable for detecting rescue effects. At 9 mM MTZ, larvae exhibited near-complete immobility, which may reflect severe neurodegeneration and potential systemic toxicity. In our experiments, lower MTZ exposure produced smaller reductions in DA neuron fluorescence and locomotor activity, whereas 9 mM MTZ produced near-complete fluorescence loss together with marked locomotor suppression. Based on these observations, 4.5 mM MTZ for 24 h was selected as the optimized condition because it produced a robust but non-saturated phenotype suitable for identifying protective effects. Excessive MTZ exposure may lead to non-specific toxicity, including widespread tissue damage or lethality, which can confound interpretation of DA-specific effects.</w:t>
      </w:r>
    </w:p>
    <w:p w14:paraId="3165B306" w14:textId="65D0D0D1" w:rsidR="00903C98" w:rsidRPr="000B2233" w:rsidRDefault="00903C98" w:rsidP="000B2233">
      <w:pPr>
        <w:spacing w:line="0" w:lineRule="atLeast"/>
        <w:jc w:val="both"/>
        <w:rPr>
          <w:rFonts w:ascii="Calibri" w:eastAsia="Calibri" w:hAnsi="Calibri" w:cs="Calibri"/>
          <w:color w:val="000000"/>
          <w:sz w:val="24"/>
          <w:szCs w:val="24"/>
        </w:rPr>
      </w:pPr>
    </w:p>
    <w:p w14:paraId="6E478959" w14:textId="771D0BB4" w:rsidR="006A169B" w:rsidRPr="000B2233" w:rsidRDefault="00451233" w:rsidP="000B2233">
      <w:pPr>
        <w:spacing w:line="0" w:lineRule="atLeast"/>
        <w:jc w:val="both"/>
        <w:rPr>
          <w:rFonts w:ascii="Calibri" w:eastAsia="Calibri" w:hAnsi="Calibri" w:cs="Calibri"/>
          <w:color w:val="000000"/>
          <w:sz w:val="24"/>
          <w:szCs w:val="24"/>
        </w:rPr>
      </w:pPr>
      <w:r w:rsidRPr="00451233">
        <w:rPr>
          <w:rFonts w:ascii="Calibri" w:eastAsia="Calibri" w:hAnsi="Calibri" w:cs="Calibri"/>
          <w:color w:val="000000"/>
          <w:sz w:val="24"/>
          <w:szCs w:val="24"/>
        </w:rPr>
        <w:t xml:space="preserve">For investigators applying this protocol to compound screening, assay quality can be evaluated by calculating the Z-factor using the positive control group (vehicle control) and negative control group (MTZ only) from each screening plate. In our representative experiment, the fluorescence retention assay produced a Z-factor of 0.52, indicating a robust screening window suitable for hit identification. Within each biological replicate, a minimum of </w:t>
      </w:r>
      <w:r w:rsidRPr="00451233">
        <w:rPr>
          <w:rFonts w:ascii="Calibri" w:eastAsia="Calibri" w:hAnsi="Calibri" w:cs="Calibri"/>
          <w:i/>
          <w:iCs/>
          <w:color w:val="000000"/>
          <w:sz w:val="24"/>
          <w:szCs w:val="24"/>
        </w:rPr>
        <w:t>n</w:t>
      </w:r>
      <w:r w:rsidRPr="00451233">
        <w:rPr>
          <w:rFonts w:ascii="Calibri" w:eastAsia="Calibri" w:hAnsi="Calibri" w:cs="Calibri"/>
          <w:color w:val="000000"/>
          <w:sz w:val="24"/>
          <w:szCs w:val="24"/>
        </w:rPr>
        <w:t xml:space="preserve"> = 10 larvae per condition provided sufficient statistical power to detect an approximately 30% change in fluorescence retention at </w:t>
      </w:r>
      <w:r w:rsidRPr="00451233">
        <w:rPr>
          <w:rFonts w:ascii="Calibri" w:eastAsia="Calibri" w:hAnsi="Calibri" w:cs="Calibri"/>
          <w:i/>
          <w:iCs/>
          <w:color w:val="000000"/>
          <w:sz w:val="24"/>
          <w:szCs w:val="24"/>
        </w:rPr>
        <w:t>α</w:t>
      </w:r>
      <w:r w:rsidRPr="00451233">
        <w:rPr>
          <w:rFonts w:ascii="Calibri" w:eastAsia="Calibri" w:hAnsi="Calibri" w:cs="Calibri"/>
          <w:color w:val="000000"/>
          <w:sz w:val="24"/>
          <w:szCs w:val="24"/>
        </w:rPr>
        <w:t xml:space="preserve"> = 0.05 with &gt;80% power, based on the observed effect sizes and variance within this assay.</w:t>
      </w:r>
    </w:p>
    <w:p w14:paraId="647D87EC" w14:textId="77777777" w:rsidR="006A169B" w:rsidRPr="000B2233" w:rsidRDefault="006A169B" w:rsidP="000B2233">
      <w:pPr>
        <w:spacing w:line="0" w:lineRule="atLeast"/>
        <w:jc w:val="both"/>
        <w:rPr>
          <w:rFonts w:ascii="Calibri" w:eastAsia="Calibri" w:hAnsi="Calibri" w:cs="Calibri"/>
          <w:color w:val="000000"/>
          <w:sz w:val="24"/>
          <w:szCs w:val="24"/>
        </w:rPr>
      </w:pPr>
    </w:p>
    <w:p w14:paraId="28DB5491" w14:textId="5FA1BEF5" w:rsidR="00914EB8" w:rsidRPr="000B2233" w:rsidRDefault="00645839" w:rsidP="000B2233">
      <w:pPr>
        <w:spacing w:line="0" w:lineRule="atLeast"/>
        <w:jc w:val="both"/>
        <w:rPr>
          <w:rFonts w:ascii="Calibri" w:eastAsia="Calibri" w:hAnsi="Calibri" w:cs="Calibri"/>
          <w:sz w:val="24"/>
          <w:szCs w:val="24"/>
          <w:lang w:val="en-US" w:eastAsia="ko-KR"/>
        </w:rPr>
      </w:pPr>
      <w:r w:rsidRPr="000B2233">
        <w:rPr>
          <w:rFonts w:ascii="Calibri" w:eastAsia="Calibri" w:hAnsi="Calibri" w:cs="Calibri"/>
          <w:b/>
          <w:bCs/>
          <w:sz w:val="24"/>
          <w:szCs w:val="24"/>
        </w:rPr>
        <w:t>FIGURE LEGENDS:</w:t>
      </w:r>
      <w:r w:rsidRPr="000B2233">
        <w:rPr>
          <w:rFonts w:ascii="Calibri" w:eastAsia="Calibri" w:hAnsi="Calibri" w:cs="Calibri"/>
          <w:sz w:val="24"/>
          <w:szCs w:val="24"/>
        </w:rPr>
        <w:t xml:space="preserve"> </w:t>
      </w:r>
    </w:p>
    <w:p w14:paraId="43B2D184" w14:textId="5AA04A0E" w:rsidR="00213024" w:rsidRPr="00213024" w:rsidRDefault="00213024" w:rsidP="00213024">
      <w:pPr>
        <w:spacing w:line="0" w:lineRule="atLeast"/>
        <w:jc w:val="both"/>
        <w:rPr>
          <w:rFonts w:ascii="Calibri" w:hAnsi="Calibri" w:cs="Calibri"/>
          <w:b/>
          <w:bCs/>
          <w:sz w:val="24"/>
          <w:szCs w:val="24"/>
          <w:lang w:val="en-IN" w:eastAsia="ko-KR"/>
        </w:rPr>
      </w:pPr>
      <w:r w:rsidRPr="00213024">
        <w:rPr>
          <w:rFonts w:ascii="Calibri" w:hAnsi="Calibri" w:cs="Calibri"/>
          <w:b/>
          <w:bCs/>
          <w:sz w:val="24"/>
          <w:szCs w:val="24"/>
          <w:lang w:val="en-IN" w:eastAsia="ko-KR"/>
        </w:rPr>
        <w:t>Figure 1.</w:t>
      </w:r>
      <w:r>
        <w:rPr>
          <w:rFonts w:ascii="Calibri" w:hAnsi="Calibri" w:cs="Calibri"/>
          <w:b/>
          <w:bCs/>
          <w:sz w:val="24"/>
          <w:szCs w:val="24"/>
          <w:lang w:val="en-IN" w:eastAsia="ko-KR"/>
        </w:rPr>
        <w:t xml:space="preserve"> </w:t>
      </w:r>
      <w:r w:rsidRPr="00213024">
        <w:rPr>
          <w:rFonts w:ascii="Calibri" w:hAnsi="Calibri" w:cs="Calibri"/>
          <w:b/>
          <w:bCs/>
          <w:sz w:val="24"/>
          <w:szCs w:val="24"/>
          <w:lang w:val="en-IN" w:eastAsia="ko-KR"/>
        </w:rPr>
        <w:t>Transgenic screening, larval embedding, and plate design.</w:t>
      </w:r>
      <w:r>
        <w:rPr>
          <w:rFonts w:ascii="Calibri" w:hAnsi="Calibri" w:cs="Calibri"/>
          <w:sz w:val="24"/>
          <w:szCs w:val="24"/>
          <w:lang w:val="en-IN" w:eastAsia="ko-KR"/>
        </w:rPr>
        <w:t xml:space="preserve"> </w:t>
      </w:r>
      <w:r w:rsidRPr="00213024">
        <w:rPr>
          <w:rFonts w:ascii="Calibri" w:hAnsi="Calibri" w:cs="Calibri"/>
          <w:sz w:val="24"/>
          <w:szCs w:val="24"/>
          <w:lang w:val="en-IN" w:eastAsia="ko-KR"/>
        </w:rPr>
        <w:t>(</w:t>
      </w:r>
      <w:r w:rsidRPr="008B61C6">
        <w:rPr>
          <w:rFonts w:ascii="Calibri" w:hAnsi="Calibri" w:cs="Calibri"/>
          <w:b/>
          <w:bCs/>
          <w:sz w:val="24"/>
          <w:szCs w:val="24"/>
          <w:lang w:val="en-IN" w:eastAsia="ko-KR"/>
        </w:rPr>
        <w:t>A</w:t>
      </w:r>
      <w:r w:rsidRPr="00213024">
        <w:rPr>
          <w:rFonts w:ascii="Calibri" w:hAnsi="Calibri" w:cs="Calibri"/>
          <w:sz w:val="24"/>
          <w:szCs w:val="24"/>
          <w:lang w:val="en-IN" w:eastAsia="ko-KR"/>
        </w:rPr>
        <w:t>) Fluorescence image (</w:t>
      </w:r>
      <w:proofErr w:type="spellStart"/>
      <w:r w:rsidRPr="00213024">
        <w:rPr>
          <w:rFonts w:ascii="Calibri" w:hAnsi="Calibri" w:cs="Calibri"/>
          <w:sz w:val="24"/>
          <w:szCs w:val="24"/>
          <w:lang w:val="en-IN" w:eastAsia="ko-KR"/>
        </w:rPr>
        <w:t>mCherry</w:t>
      </w:r>
      <w:proofErr w:type="spellEnd"/>
      <w:r w:rsidRPr="00213024">
        <w:rPr>
          <w:rFonts w:ascii="Calibri" w:hAnsi="Calibri" w:cs="Calibri"/>
          <w:sz w:val="24"/>
          <w:szCs w:val="24"/>
          <w:lang w:val="en-IN" w:eastAsia="ko-KR"/>
        </w:rPr>
        <w:t xml:space="preserve"> channel, 4× objective) of a transgenic zebrafish larva expressing </w:t>
      </w:r>
      <w:proofErr w:type="spellStart"/>
      <w:r w:rsidRPr="00213024">
        <w:rPr>
          <w:rFonts w:ascii="Calibri" w:hAnsi="Calibri" w:cs="Calibri"/>
          <w:sz w:val="24"/>
          <w:szCs w:val="24"/>
          <w:lang w:val="en-IN" w:eastAsia="ko-KR"/>
        </w:rPr>
        <w:t>nitroreductase</w:t>
      </w:r>
      <w:proofErr w:type="spellEnd"/>
      <w:r w:rsidRPr="00213024">
        <w:rPr>
          <w:rFonts w:ascii="Calibri" w:hAnsi="Calibri" w:cs="Calibri"/>
          <w:sz w:val="24"/>
          <w:szCs w:val="24"/>
          <w:lang w:val="en-IN" w:eastAsia="ko-KR"/>
        </w:rPr>
        <w:t xml:space="preserve"> (NTR) in dopaminergic (DA) neurons, showing DA neuron clusters in the ventral diencephalon between </w:t>
      </w:r>
      <w:r w:rsidRPr="00213024">
        <w:rPr>
          <w:rFonts w:ascii="Calibri" w:hAnsi="Calibri" w:cs="Calibri"/>
          <w:sz w:val="24"/>
          <w:szCs w:val="24"/>
          <w:lang w:val="en-IN" w:eastAsia="ko-KR"/>
        </w:rPr>
        <w:lastRenderedPageBreak/>
        <w:t>the eyes. (</w:t>
      </w:r>
      <w:r w:rsidRPr="008B61C6">
        <w:rPr>
          <w:rFonts w:ascii="Calibri" w:hAnsi="Calibri" w:cs="Calibri"/>
          <w:b/>
          <w:bCs/>
          <w:sz w:val="24"/>
          <w:szCs w:val="24"/>
          <w:lang w:val="en-IN" w:eastAsia="ko-KR"/>
        </w:rPr>
        <w:t>B</w:t>
      </w:r>
      <w:r w:rsidRPr="00213024">
        <w:rPr>
          <w:rFonts w:ascii="Calibri" w:hAnsi="Calibri" w:cs="Calibri"/>
          <w:sz w:val="24"/>
          <w:szCs w:val="24"/>
          <w:lang w:val="en-IN" w:eastAsia="ko-KR"/>
        </w:rPr>
        <w:t>) Modified P200 pipette tips trimmed to approximately 1.5 mm openings, used for transferring larvae during agarose embedding. (</w:t>
      </w:r>
      <w:r w:rsidRPr="008B61C6">
        <w:rPr>
          <w:rFonts w:ascii="Calibri" w:hAnsi="Calibri" w:cs="Calibri"/>
          <w:b/>
          <w:bCs/>
          <w:sz w:val="24"/>
          <w:szCs w:val="24"/>
          <w:lang w:val="en-IN" w:eastAsia="ko-KR"/>
        </w:rPr>
        <w:t>C</w:t>
      </w:r>
      <w:r w:rsidRPr="00213024">
        <w:rPr>
          <w:rFonts w:ascii="Calibri" w:hAnsi="Calibri" w:cs="Calibri"/>
          <w:sz w:val="24"/>
          <w:szCs w:val="24"/>
          <w:lang w:val="en-IN" w:eastAsia="ko-KR"/>
        </w:rPr>
        <w:t>) Representative 96-well plate layout for high-throughput drug screening, including vehicle control, metronidazole (MTZ)-treated wells, and screening compound conditions.</w:t>
      </w:r>
    </w:p>
    <w:p w14:paraId="3E1C849A" w14:textId="5D1DE5B6" w:rsidR="00213024" w:rsidRPr="00213024" w:rsidRDefault="00213024" w:rsidP="00213024">
      <w:pPr>
        <w:spacing w:line="0" w:lineRule="atLeast"/>
        <w:jc w:val="both"/>
        <w:rPr>
          <w:rFonts w:ascii="Calibri" w:hAnsi="Calibri" w:cs="Calibri"/>
          <w:sz w:val="24"/>
          <w:szCs w:val="24"/>
          <w:lang w:val="en-IN" w:eastAsia="ko-KR"/>
        </w:rPr>
      </w:pPr>
    </w:p>
    <w:p w14:paraId="1AB94822" w14:textId="009336C7" w:rsidR="00213024" w:rsidRPr="00213024" w:rsidRDefault="00213024" w:rsidP="00213024">
      <w:pPr>
        <w:spacing w:line="0" w:lineRule="atLeast"/>
        <w:jc w:val="both"/>
        <w:rPr>
          <w:rFonts w:ascii="Calibri" w:hAnsi="Calibri" w:cs="Calibri"/>
          <w:b/>
          <w:bCs/>
          <w:sz w:val="24"/>
          <w:szCs w:val="24"/>
          <w:lang w:val="en-IN" w:eastAsia="ko-KR"/>
        </w:rPr>
      </w:pPr>
      <w:r w:rsidRPr="00213024">
        <w:rPr>
          <w:rFonts w:ascii="Calibri" w:hAnsi="Calibri" w:cs="Calibri"/>
          <w:b/>
          <w:bCs/>
          <w:sz w:val="24"/>
          <w:szCs w:val="24"/>
          <w:lang w:val="en-IN" w:eastAsia="ko-KR"/>
        </w:rPr>
        <w:t>Figure 2.</w:t>
      </w:r>
      <w:r>
        <w:rPr>
          <w:rFonts w:ascii="Calibri" w:hAnsi="Calibri" w:cs="Calibri"/>
          <w:b/>
          <w:bCs/>
          <w:sz w:val="24"/>
          <w:szCs w:val="24"/>
          <w:lang w:val="en-IN" w:eastAsia="ko-KR"/>
        </w:rPr>
        <w:t xml:space="preserve"> </w:t>
      </w:r>
      <w:r w:rsidRPr="00213024">
        <w:rPr>
          <w:rFonts w:ascii="Calibri" w:hAnsi="Calibri" w:cs="Calibri"/>
          <w:b/>
          <w:bCs/>
          <w:sz w:val="24"/>
          <w:szCs w:val="24"/>
          <w:lang w:val="en-IN" w:eastAsia="ko-KR"/>
        </w:rPr>
        <w:t>Dose-dependent reduction in DA neuron fluorescence following metronidazole treatment.</w:t>
      </w:r>
      <w:r>
        <w:rPr>
          <w:rFonts w:ascii="Calibri" w:hAnsi="Calibri" w:cs="Calibri"/>
          <w:sz w:val="24"/>
          <w:szCs w:val="24"/>
          <w:lang w:val="en-IN" w:eastAsia="ko-KR"/>
        </w:rPr>
        <w:t xml:space="preserve"> </w:t>
      </w:r>
      <w:r w:rsidRPr="00213024">
        <w:rPr>
          <w:rFonts w:ascii="Calibri" w:hAnsi="Calibri" w:cs="Calibri"/>
          <w:sz w:val="24"/>
          <w:szCs w:val="24"/>
          <w:lang w:val="en-IN" w:eastAsia="ko-KR"/>
        </w:rPr>
        <w:t>Representative fluorescence images (</w:t>
      </w:r>
      <w:proofErr w:type="spellStart"/>
      <w:r w:rsidRPr="00213024">
        <w:rPr>
          <w:rFonts w:ascii="Calibri" w:hAnsi="Calibri" w:cs="Calibri"/>
          <w:sz w:val="24"/>
          <w:szCs w:val="24"/>
          <w:lang w:val="en-IN" w:eastAsia="ko-KR"/>
        </w:rPr>
        <w:t>mCherry</w:t>
      </w:r>
      <w:proofErr w:type="spellEnd"/>
      <w:r w:rsidRPr="00213024">
        <w:rPr>
          <w:rFonts w:ascii="Calibri" w:hAnsi="Calibri" w:cs="Calibri"/>
          <w:sz w:val="24"/>
          <w:szCs w:val="24"/>
          <w:lang w:val="en-IN" w:eastAsia="ko-KR"/>
        </w:rPr>
        <w:t xml:space="preserve"> channel, 20× objective) of transgenic zebrafish larvae showing diencephalic DA neurons after 24 h treatment with varying concentrations of MTZ. Fluorescence intensity decreases in a dose-dependent manner, indicating successful </w:t>
      </w:r>
      <w:proofErr w:type="spellStart"/>
      <w:r w:rsidRPr="00213024">
        <w:rPr>
          <w:rFonts w:ascii="Calibri" w:hAnsi="Calibri" w:cs="Calibri"/>
          <w:sz w:val="24"/>
          <w:szCs w:val="24"/>
          <w:lang w:val="en-IN" w:eastAsia="ko-KR"/>
        </w:rPr>
        <w:t>chemogenetic</w:t>
      </w:r>
      <w:proofErr w:type="spellEnd"/>
      <w:r w:rsidRPr="00213024">
        <w:rPr>
          <w:rFonts w:ascii="Calibri" w:hAnsi="Calibri" w:cs="Calibri"/>
          <w:sz w:val="24"/>
          <w:szCs w:val="24"/>
          <w:lang w:val="en-IN" w:eastAsia="ko-KR"/>
        </w:rPr>
        <w:t xml:space="preserve"> ablation of NTR-expressing neurons. Scale bar = 50 </w:t>
      </w:r>
      <w:proofErr w:type="spellStart"/>
      <w:r w:rsidRPr="00213024">
        <w:rPr>
          <w:rFonts w:ascii="Calibri" w:hAnsi="Calibri" w:cs="Calibri"/>
          <w:sz w:val="24"/>
          <w:szCs w:val="24"/>
          <w:lang w:val="en-IN" w:eastAsia="ko-KR"/>
        </w:rPr>
        <w:t>μm</w:t>
      </w:r>
      <w:proofErr w:type="spellEnd"/>
      <w:r w:rsidRPr="00213024">
        <w:rPr>
          <w:rFonts w:ascii="Calibri" w:hAnsi="Calibri" w:cs="Calibri"/>
          <w:sz w:val="24"/>
          <w:szCs w:val="24"/>
          <w:lang w:val="en-IN" w:eastAsia="ko-KR"/>
        </w:rPr>
        <w:t>.</w:t>
      </w:r>
    </w:p>
    <w:p w14:paraId="511101FD" w14:textId="662262F3" w:rsidR="00213024" w:rsidRPr="00213024" w:rsidRDefault="00213024" w:rsidP="00213024">
      <w:pPr>
        <w:spacing w:line="0" w:lineRule="atLeast"/>
        <w:jc w:val="both"/>
        <w:rPr>
          <w:rFonts w:ascii="Calibri" w:hAnsi="Calibri" w:cs="Calibri"/>
          <w:sz w:val="24"/>
          <w:szCs w:val="24"/>
          <w:lang w:val="en-IN" w:eastAsia="ko-KR"/>
        </w:rPr>
      </w:pPr>
    </w:p>
    <w:p w14:paraId="794FAFA9" w14:textId="7F55F3A7" w:rsidR="00213024" w:rsidRPr="00213024" w:rsidRDefault="00213024" w:rsidP="00213024">
      <w:pPr>
        <w:spacing w:line="0" w:lineRule="atLeast"/>
        <w:jc w:val="both"/>
        <w:rPr>
          <w:rFonts w:ascii="Calibri" w:hAnsi="Calibri" w:cs="Calibri"/>
          <w:b/>
          <w:bCs/>
          <w:sz w:val="24"/>
          <w:szCs w:val="24"/>
          <w:lang w:val="en-IN" w:eastAsia="ko-KR"/>
        </w:rPr>
      </w:pPr>
      <w:r w:rsidRPr="00213024">
        <w:rPr>
          <w:rFonts w:ascii="Calibri" w:hAnsi="Calibri" w:cs="Calibri"/>
          <w:b/>
          <w:bCs/>
          <w:sz w:val="24"/>
          <w:szCs w:val="24"/>
          <w:lang w:val="en-IN" w:eastAsia="ko-KR"/>
        </w:rPr>
        <w:t>Figure 3.</w:t>
      </w:r>
      <w:r>
        <w:rPr>
          <w:rFonts w:ascii="Calibri" w:hAnsi="Calibri" w:cs="Calibri"/>
          <w:b/>
          <w:bCs/>
          <w:sz w:val="24"/>
          <w:szCs w:val="24"/>
          <w:lang w:val="en-IN" w:eastAsia="ko-KR"/>
        </w:rPr>
        <w:t xml:space="preserve"> </w:t>
      </w:r>
      <w:r w:rsidRPr="00213024">
        <w:rPr>
          <w:rFonts w:ascii="Calibri" w:hAnsi="Calibri" w:cs="Calibri"/>
          <w:b/>
          <w:bCs/>
          <w:sz w:val="24"/>
          <w:szCs w:val="24"/>
          <w:lang w:val="en-IN" w:eastAsia="ko-KR"/>
        </w:rPr>
        <w:t xml:space="preserve">Locomotor </w:t>
      </w:r>
      <w:proofErr w:type="spellStart"/>
      <w:r w:rsidRPr="00213024">
        <w:rPr>
          <w:rFonts w:ascii="Calibri" w:hAnsi="Calibri" w:cs="Calibri"/>
          <w:b/>
          <w:bCs/>
          <w:sz w:val="24"/>
          <w:szCs w:val="24"/>
          <w:lang w:val="en-IN" w:eastAsia="ko-KR"/>
        </w:rPr>
        <w:t>behavioral</w:t>
      </w:r>
      <w:proofErr w:type="spellEnd"/>
      <w:r w:rsidRPr="00213024">
        <w:rPr>
          <w:rFonts w:ascii="Calibri" w:hAnsi="Calibri" w:cs="Calibri"/>
          <w:b/>
          <w:bCs/>
          <w:sz w:val="24"/>
          <w:szCs w:val="24"/>
          <w:lang w:val="en-IN" w:eastAsia="ko-KR"/>
        </w:rPr>
        <w:t xml:space="preserve"> recording setup and analysis workflow.</w:t>
      </w:r>
      <w:r>
        <w:rPr>
          <w:rFonts w:ascii="Calibri" w:hAnsi="Calibri" w:cs="Calibri"/>
          <w:sz w:val="24"/>
          <w:szCs w:val="24"/>
          <w:lang w:val="en-IN" w:eastAsia="ko-KR"/>
        </w:rPr>
        <w:t xml:space="preserve"> </w:t>
      </w:r>
      <w:r w:rsidRPr="00213024">
        <w:rPr>
          <w:rFonts w:ascii="Calibri" w:hAnsi="Calibri" w:cs="Calibri"/>
          <w:sz w:val="24"/>
          <w:szCs w:val="24"/>
          <w:lang w:val="en-IN" w:eastAsia="ko-KR"/>
        </w:rPr>
        <w:t>(</w:t>
      </w:r>
      <w:r w:rsidRPr="008B61C6">
        <w:rPr>
          <w:rFonts w:ascii="Calibri" w:hAnsi="Calibri" w:cs="Calibri"/>
          <w:b/>
          <w:bCs/>
          <w:sz w:val="24"/>
          <w:szCs w:val="24"/>
          <w:lang w:val="en-IN" w:eastAsia="ko-KR"/>
        </w:rPr>
        <w:t>A</w:t>
      </w:r>
      <w:r w:rsidRPr="00213024">
        <w:rPr>
          <w:rFonts w:ascii="Calibri" w:hAnsi="Calibri" w:cs="Calibri"/>
          <w:sz w:val="24"/>
          <w:szCs w:val="24"/>
          <w:lang w:val="en-IN" w:eastAsia="ko-KR"/>
        </w:rPr>
        <w:t>) Experimental setup showing a 6-well plate containing zebrafish larvae positioned on a light pad with a ruler for spatial calibration and a temperature-controlled heat source for maintaining experimental conditions. (</w:t>
      </w:r>
      <w:r w:rsidRPr="008B61C6">
        <w:rPr>
          <w:rFonts w:ascii="Calibri" w:hAnsi="Calibri" w:cs="Calibri"/>
          <w:b/>
          <w:bCs/>
          <w:sz w:val="24"/>
          <w:szCs w:val="24"/>
          <w:lang w:val="en-IN" w:eastAsia="ko-KR"/>
        </w:rPr>
        <w:t>B</w:t>
      </w:r>
      <w:r w:rsidRPr="00213024">
        <w:rPr>
          <w:rFonts w:ascii="Calibri" w:hAnsi="Calibri" w:cs="Calibri"/>
          <w:sz w:val="24"/>
          <w:szCs w:val="24"/>
          <w:lang w:val="en-IN" w:eastAsia="ko-KR"/>
        </w:rPr>
        <w:t>) Video acquisition setup with a top-down camera used to record larval movement, with representative tracking overlay. (</w:t>
      </w:r>
      <w:r w:rsidRPr="008B61C6">
        <w:rPr>
          <w:rFonts w:ascii="Calibri" w:hAnsi="Calibri" w:cs="Calibri"/>
          <w:b/>
          <w:bCs/>
          <w:sz w:val="24"/>
          <w:szCs w:val="24"/>
          <w:lang w:val="en-IN" w:eastAsia="ko-KR"/>
        </w:rPr>
        <w:t>C</w:t>
      </w:r>
      <w:r w:rsidRPr="00213024">
        <w:rPr>
          <w:rFonts w:ascii="Calibri" w:hAnsi="Calibri" w:cs="Calibri"/>
          <w:sz w:val="24"/>
          <w:szCs w:val="24"/>
          <w:lang w:val="en-IN" w:eastAsia="ko-KR"/>
        </w:rPr>
        <w:t xml:space="preserve">) </w:t>
      </w:r>
      <w:proofErr w:type="spellStart"/>
      <w:r w:rsidRPr="00213024">
        <w:rPr>
          <w:rFonts w:ascii="Calibri" w:hAnsi="Calibri" w:cs="Calibri"/>
          <w:sz w:val="24"/>
          <w:szCs w:val="24"/>
          <w:lang w:val="en-IN" w:eastAsia="ko-KR"/>
        </w:rPr>
        <w:t>Behavioral</w:t>
      </w:r>
      <w:proofErr w:type="spellEnd"/>
      <w:r w:rsidRPr="00213024">
        <w:rPr>
          <w:rFonts w:ascii="Calibri" w:hAnsi="Calibri" w:cs="Calibri"/>
          <w:sz w:val="24"/>
          <w:szCs w:val="24"/>
          <w:lang w:val="en-IN" w:eastAsia="ko-KR"/>
        </w:rPr>
        <w:t xml:space="preserve"> tracking performed using </w:t>
      </w:r>
      <w:proofErr w:type="spellStart"/>
      <w:r w:rsidRPr="00213024">
        <w:rPr>
          <w:rFonts w:ascii="Calibri" w:hAnsi="Calibri" w:cs="Calibri"/>
          <w:sz w:val="24"/>
          <w:szCs w:val="24"/>
          <w:lang w:val="en-IN" w:eastAsia="ko-KR"/>
        </w:rPr>
        <w:t>EthoVision</w:t>
      </w:r>
      <w:proofErr w:type="spellEnd"/>
      <w:r w:rsidRPr="00213024">
        <w:rPr>
          <w:rFonts w:ascii="Calibri" w:hAnsi="Calibri" w:cs="Calibri"/>
          <w:sz w:val="24"/>
          <w:szCs w:val="24"/>
          <w:lang w:val="en-IN" w:eastAsia="ko-KR"/>
        </w:rPr>
        <w:t xml:space="preserve"> XT (</w:t>
      </w:r>
      <w:proofErr w:type="spellStart"/>
      <w:r w:rsidRPr="00213024">
        <w:rPr>
          <w:rFonts w:ascii="Calibri" w:hAnsi="Calibri" w:cs="Calibri"/>
          <w:sz w:val="24"/>
          <w:szCs w:val="24"/>
          <w:lang w:val="en-IN" w:eastAsia="ko-KR"/>
        </w:rPr>
        <w:t>behavioral</w:t>
      </w:r>
      <w:proofErr w:type="spellEnd"/>
      <w:r w:rsidRPr="00213024">
        <w:rPr>
          <w:rFonts w:ascii="Calibri" w:hAnsi="Calibri" w:cs="Calibri"/>
          <w:sz w:val="24"/>
          <w:szCs w:val="24"/>
          <w:lang w:val="en-IN" w:eastAsia="ko-KR"/>
        </w:rPr>
        <w:t xml:space="preserve"> tracking software), showing automated detection and tracking of larval movement. (</w:t>
      </w:r>
      <w:r w:rsidRPr="008B61C6">
        <w:rPr>
          <w:rFonts w:ascii="Calibri" w:hAnsi="Calibri" w:cs="Calibri"/>
          <w:b/>
          <w:bCs/>
          <w:sz w:val="24"/>
          <w:szCs w:val="24"/>
          <w:lang w:val="en-IN" w:eastAsia="ko-KR"/>
        </w:rPr>
        <w:t>D</w:t>
      </w:r>
      <w:r w:rsidRPr="00213024">
        <w:rPr>
          <w:rFonts w:ascii="Calibri" w:hAnsi="Calibri" w:cs="Calibri"/>
          <w:sz w:val="24"/>
          <w:szCs w:val="24"/>
          <w:lang w:val="en-IN" w:eastAsia="ko-KR"/>
        </w:rPr>
        <w:t xml:space="preserve">) Workflow summary outlining the steps from video acquisition to quantitative analysis of locomotor </w:t>
      </w:r>
      <w:proofErr w:type="spellStart"/>
      <w:r w:rsidRPr="00213024">
        <w:rPr>
          <w:rFonts w:ascii="Calibri" w:hAnsi="Calibri" w:cs="Calibri"/>
          <w:sz w:val="24"/>
          <w:szCs w:val="24"/>
          <w:lang w:val="en-IN" w:eastAsia="ko-KR"/>
        </w:rPr>
        <w:t>behavior</w:t>
      </w:r>
      <w:proofErr w:type="spellEnd"/>
      <w:r w:rsidRPr="00213024">
        <w:rPr>
          <w:rFonts w:ascii="Calibri" w:hAnsi="Calibri" w:cs="Calibri"/>
          <w:sz w:val="24"/>
          <w:szCs w:val="24"/>
          <w:lang w:val="en-IN" w:eastAsia="ko-KR"/>
        </w:rPr>
        <w:t>.</w:t>
      </w:r>
    </w:p>
    <w:p w14:paraId="0112D511" w14:textId="5A9634AF" w:rsidR="00213024" w:rsidRPr="00213024" w:rsidRDefault="00213024" w:rsidP="00213024">
      <w:pPr>
        <w:spacing w:line="0" w:lineRule="atLeast"/>
        <w:jc w:val="both"/>
        <w:rPr>
          <w:rFonts w:ascii="Calibri" w:hAnsi="Calibri" w:cs="Calibri"/>
          <w:sz w:val="24"/>
          <w:szCs w:val="24"/>
          <w:lang w:val="en-IN" w:eastAsia="ko-KR"/>
        </w:rPr>
      </w:pPr>
    </w:p>
    <w:p w14:paraId="4ECE51EB" w14:textId="1BD7A5E8" w:rsidR="00914EB8" w:rsidRPr="00213024" w:rsidRDefault="00213024" w:rsidP="000B2233">
      <w:pPr>
        <w:spacing w:line="0" w:lineRule="atLeast"/>
        <w:jc w:val="both"/>
        <w:rPr>
          <w:rStyle w:val="Strong"/>
          <w:rFonts w:ascii="Calibri" w:hAnsi="Calibri" w:cs="Calibri"/>
          <w:sz w:val="24"/>
          <w:szCs w:val="24"/>
          <w:lang w:val="en-IN" w:eastAsia="ko-KR"/>
        </w:rPr>
      </w:pPr>
      <w:r w:rsidRPr="00213024">
        <w:rPr>
          <w:rFonts w:ascii="Calibri" w:hAnsi="Calibri" w:cs="Calibri"/>
          <w:b/>
          <w:bCs/>
          <w:sz w:val="24"/>
          <w:szCs w:val="24"/>
          <w:lang w:val="en-IN" w:eastAsia="ko-KR"/>
        </w:rPr>
        <w:t>Figure 4.</w:t>
      </w:r>
      <w:r>
        <w:rPr>
          <w:rFonts w:ascii="Calibri" w:hAnsi="Calibri" w:cs="Calibri"/>
          <w:b/>
          <w:bCs/>
          <w:sz w:val="24"/>
          <w:szCs w:val="24"/>
          <w:lang w:val="en-IN" w:eastAsia="ko-KR"/>
        </w:rPr>
        <w:t xml:space="preserve"> </w:t>
      </w:r>
      <w:r w:rsidRPr="00213024">
        <w:rPr>
          <w:rFonts w:ascii="Calibri" w:hAnsi="Calibri" w:cs="Calibri"/>
          <w:b/>
          <w:bCs/>
          <w:sz w:val="24"/>
          <w:szCs w:val="24"/>
          <w:lang w:val="en-IN" w:eastAsia="ko-KR"/>
        </w:rPr>
        <w:t>Metronidazole treatment reduces locomotor activity and DA neuron fluorescence in a dose-dependent manner.</w:t>
      </w:r>
      <w:r>
        <w:rPr>
          <w:rFonts w:ascii="Calibri" w:hAnsi="Calibri" w:cs="Calibri"/>
          <w:sz w:val="24"/>
          <w:szCs w:val="24"/>
          <w:lang w:val="en-IN" w:eastAsia="ko-KR"/>
        </w:rPr>
        <w:t xml:space="preserve"> </w:t>
      </w:r>
      <w:r w:rsidRPr="00213024">
        <w:rPr>
          <w:rFonts w:ascii="Calibri" w:hAnsi="Calibri" w:cs="Calibri"/>
          <w:sz w:val="24"/>
          <w:szCs w:val="24"/>
          <w:lang w:val="en-IN" w:eastAsia="ko-KR"/>
        </w:rPr>
        <w:t>(</w:t>
      </w:r>
      <w:r w:rsidRPr="008B61C6">
        <w:rPr>
          <w:rFonts w:ascii="Calibri" w:hAnsi="Calibri" w:cs="Calibri"/>
          <w:b/>
          <w:bCs/>
          <w:sz w:val="24"/>
          <w:szCs w:val="24"/>
          <w:lang w:val="en-IN" w:eastAsia="ko-KR"/>
        </w:rPr>
        <w:t>A</w:t>
      </w:r>
      <w:r w:rsidRPr="00213024">
        <w:rPr>
          <w:rFonts w:ascii="Calibri" w:hAnsi="Calibri" w:cs="Calibri"/>
          <w:sz w:val="24"/>
          <w:szCs w:val="24"/>
          <w:lang w:val="en-IN" w:eastAsia="ko-KR"/>
        </w:rPr>
        <w:t xml:space="preserve">) Total distance </w:t>
      </w:r>
      <w:proofErr w:type="spellStart"/>
      <w:r w:rsidRPr="00213024">
        <w:rPr>
          <w:rFonts w:ascii="Calibri" w:hAnsi="Calibri" w:cs="Calibri"/>
          <w:sz w:val="24"/>
          <w:szCs w:val="24"/>
          <w:lang w:val="en-IN" w:eastAsia="ko-KR"/>
        </w:rPr>
        <w:t>traveled</w:t>
      </w:r>
      <w:proofErr w:type="spellEnd"/>
      <w:r w:rsidRPr="00213024">
        <w:rPr>
          <w:rFonts w:ascii="Calibri" w:hAnsi="Calibri" w:cs="Calibri"/>
          <w:sz w:val="24"/>
          <w:szCs w:val="24"/>
          <w:lang w:val="en-IN" w:eastAsia="ko-KR"/>
        </w:rPr>
        <w:t xml:space="preserve"> (cm) by transgenic zebrafish larvae following 24 h treatment with vehicle control or MTZ at 3, 4.5, and 9 </w:t>
      </w:r>
      <w:proofErr w:type="spellStart"/>
      <w:r w:rsidRPr="00213024">
        <w:rPr>
          <w:rFonts w:ascii="Calibri" w:hAnsi="Calibri" w:cs="Calibri"/>
          <w:sz w:val="24"/>
          <w:szCs w:val="24"/>
          <w:lang w:val="en-IN" w:eastAsia="ko-KR"/>
        </w:rPr>
        <w:t>mM.</w:t>
      </w:r>
      <w:proofErr w:type="spellEnd"/>
      <w:r w:rsidRPr="00213024">
        <w:rPr>
          <w:rFonts w:ascii="Calibri" w:hAnsi="Calibri" w:cs="Calibri"/>
          <w:sz w:val="24"/>
          <w:szCs w:val="24"/>
          <w:lang w:val="en-IN" w:eastAsia="ko-KR"/>
        </w:rPr>
        <w:t xml:space="preserve"> (</w:t>
      </w:r>
      <w:r w:rsidRPr="008B61C6">
        <w:rPr>
          <w:rFonts w:ascii="Calibri" w:hAnsi="Calibri" w:cs="Calibri"/>
          <w:b/>
          <w:bCs/>
          <w:sz w:val="24"/>
          <w:szCs w:val="24"/>
          <w:lang w:val="en-IN" w:eastAsia="ko-KR"/>
        </w:rPr>
        <w:t>B</w:t>
      </w:r>
      <w:r w:rsidRPr="00213024">
        <w:rPr>
          <w:rFonts w:ascii="Calibri" w:hAnsi="Calibri" w:cs="Calibri"/>
          <w:sz w:val="24"/>
          <w:szCs w:val="24"/>
          <w:lang w:val="en-IN" w:eastAsia="ko-KR"/>
        </w:rPr>
        <w:t>) Relative fluorescence intensity normalized to vehicle control for the same treatment groups. (</w:t>
      </w:r>
      <w:r w:rsidRPr="008B61C6">
        <w:rPr>
          <w:rFonts w:ascii="Calibri" w:hAnsi="Calibri" w:cs="Calibri"/>
          <w:b/>
          <w:bCs/>
          <w:sz w:val="24"/>
          <w:szCs w:val="24"/>
          <w:lang w:val="en-IN" w:eastAsia="ko-KR"/>
        </w:rPr>
        <w:t>C</w:t>
      </w:r>
      <w:r w:rsidRPr="00213024">
        <w:rPr>
          <w:rFonts w:ascii="Calibri" w:hAnsi="Calibri" w:cs="Calibri"/>
          <w:sz w:val="24"/>
          <w:szCs w:val="24"/>
          <w:lang w:val="en-IN" w:eastAsia="ko-KR"/>
        </w:rPr>
        <w:t>) Linear regression analysis of relative fluorescence intensity versus locomotor distance across all treatment groups, demonstrating correlation between structural and functional endpoints. Data are presented as mean ± standard error of the mean (SEM) with individual data points overlaid. Statistical significance was assessed using unpaired two-tailed Welch’s t-tests comparing each MTZ-treated group with its matched vehicle control group.</w:t>
      </w:r>
    </w:p>
    <w:p w14:paraId="4E16D803" w14:textId="77777777" w:rsidR="008474A1" w:rsidRPr="00213024" w:rsidRDefault="008474A1" w:rsidP="000B2233">
      <w:pPr>
        <w:spacing w:line="0" w:lineRule="atLeast"/>
        <w:jc w:val="both"/>
        <w:rPr>
          <w:rFonts w:ascii="Calibri" w:eastAsia="Calibri" w:hAnsi="Calibri" w:cs="Calibri"/>
          <w:color w:val="000000"/>
          <w:sz w:val="24"/>
          <w:szCs w:val="24"/>
        </w:rPr>
      </w:pPr>
    </w:p>
    <w:p w14:paraId="2591C36D" w14:textId="77777777" w:rsidR="00903C98" w:rsidRPr="000B2233" w:rsidRDefault="00645839" w:rsidP="000B2233">
      <w:pPr>
        <w:pStyle w:val="Heading2"/>
        <w:keepNext w:val="0"/>
        <w:keepLines w:val="0"/>
        <w:spacing w:before="0" w:after="0" w:line="0" w:lineRule="atLeast"/>
        <w:jc w:val="both"/>
        <w:rPr>
          <w:rFonts w:ascii="Calibri" w:eastAsia="Calibri" w:hAnsi="Calibri" w:cs="Calibri"/>
          <w:b/>
          <w:bCs/>
          <w:sz w:val="24"/>
          <w:szCs w:val="24"/>
        </w:rPr>
      </w:pPr>
      <w:r w:rsidRPr="000B2233">
        <w:rPr>
          <w:rFonts w:ascii="Calibri" w:eastAsia="Calibri" w:hAnsi="Calibri" w:cs="Calibri"/>
          <w:b/>
          <w:bCs/>
          <w:sz w:val="24"/>
          <w:szCs w:val="24"/>
        </w:rPr>
        <w:t>DISCUSSION:</w:t>
      </w:r>
    </w:p>
    <w:p w14:paraId="25A31FA6" w14:textId="77777777" w:rsidR="008177CF" w:rsidRDefault="008177CF" w:rsidP="008177CF">
      <w:pPr>
        <w:spacing w:line="0" w:lineRule="atLeast"/>
        <w:jc w:val="both"/>
        <w:rPr>
          <w:rFonts w:ascii="Calibri" w:eastAsia="Calibri" w:hAnsi="Calibri" w:cs="Calibri"/>
          <w:sz w:val="24"/>
          <w:szCs w:val="24"/>
          <w:lang w:val="en-US"/>
        </w:rPr>
      </w:pPr>
      <w:r w:rsidRPr="008177CF">
        <w:rPr>
          <w:rFonts w:ascii="Calibri" w:eastAsia="Calibri" w:hAnsi="Calibri" w:cs="Calibri"/>
          <w:sz w:val="24"/>
          <w:szCs w:val="24"/>
        </w:rPr>
        <w:t xml:space="preserve">This protocol offers a scalable, in vivo pipeline for quantifying DA neuronal loss and screening neuroprotective compounds using the NTR–MTZ </w:t>
      </w:r>
      <w:proofErr w:type="spellStart"/>
      <w:r w:rsidRPr="008177CF">
        <w:rPr>
          <w:rFonts w:ascii="Calibri" w:eastAsia="Calibri" w:hAnsi="Calibri" w:cs="Calibri"/>
          <w:sz w:val="24"/>
          <w:szCs w:val="24"/>
        </w:rPr>
        <w:t>chemogenetic</w:t>
      </w:r>
      <w:proofErr w:type="spellEnd"/>
      <w:r w:rsidRPr="008177CF">
        <w:rPr>
          <w:rFonts w:ascii="Calibri" w:eastAsia="Calibri" w:hAnsi="Calibri" w:cs="Calibri"/>
          <w:sz w:val="24"/>
          <w:szCs w:val="24"/>
        </w:rPr>
        <w:t xml:space="preserve"> system in transgenic zebrafish. The standardized, plate-based workflow was specifically developed for undergraduate research teams, where operator turnover is high and investigator experience varies between academic terms. Each step of the workflow has been structured to prioritize reproducibility and ease of training, enabling consistent execution across multiple users with minimal variability. This protocol advances existing zebrafish-based neurodegeneration methods by combining paired pre- and post-treatment DA neuron imaging with plate-based behavioral analysis in a standardized workflow, allowing structural neuron-loss measurements and functional locomotor outcomes to be compared within the same scalable screening platform. Using this workflow, one 96-well plate can be embedded and baseline imaged at 4 </w:t>
      </w:r>
      <w:proofErr w:type="spellStart"/>
      <w:r w:rsidRPr="008177CF">
        <w:rPr>
          <w:rFonts w:ascii="Calibri" w:eastAsia="Calibri" w:hAnsi="Calibri" w:cs="Calibri"/>
          <w:sz w:val="24"/>
          <w:szCs w:val="24"/>
        </w:rPr>
        <w:t>dpf</w:t>
      </w:r>
      <w:proofErr w:type="spellEnd"/>
      <w:r w:rsidRPr="008177CF">
        <w:rPr>
          <w:rFonts w:ascii="Calibri" w:eastAsia="Calibri" w:hAnsi="Calibri" w:cs="Calibri"/>
          <w:sz w:val="24"/>
          <w:szCs w:val="24"/>
        </w:rPr>
        <w:t xml:space="preserve">, treated for 24 h, and re-imaged at 5 </w:t>
      </w:r>
      <w:proofErr w:type="spellStart"/>
      <w:r w:rsidRPr="008177CF">
        <w:rPr>
          <w:rFonts w:ascii="Calibri" w:eastAsia="Calibri" w:hAnsi="Calibri" w:cs="Calibri"/>
          <w:sz w:val="24"/>
          <w:szCs w:val="24"/>
        </w:rPr>
        <w:t>dpf</w:t>
      </w:r>
      <w:proofErr w:type="spellEnd"/>
      <w:r w:rsidRPr="008177CF">
        <w:rPr>
          <w:rFonts w:ascii="Calibri" w:eastAsia="Calibri" w:hAnsi="Calibri" w:cs="Calibri"/>
          <w:sz w:val="24"/>
          <w:szCs w:val="24"/>
        </w:rPr>
        <w:t xml:space="preserve">. Embedding typically requires approximately 1 h per plate, fluorescence imaging requires </w:t>
      </w:r>
      <w:r w:rsidRPr="008177CF">
        <w:rPr>
          <w:rFonts w:ascii="Calibri" w:eastAsia="Calibri" w:hAnsi="Calibri" w:cs="Calibri"/>
          <w:sz w:val="24"/>
          <w:szCs w:val="24"/>
        </w:rPr>
        <w:lastRenderedPageBreak/>
        <w:t>approximately 1 h per plate per imaging session depending on microscope settings, and semi-automated fluorescence analysis requires approximately 3 h per plate after image acquisition.</w:t>
      </w:r>
    </w:p>
    <w:p w14:paraId="088C10FE" w14:textId="77777777" w:rsidR="008177CF" w:rsidRPr="008177CF" w:rsidRDefault="008177CF" w:rsidP="008177CF">
      <w:pPr>
        <w:spacing w:line="0" w:lineRule="atLeast"/>
        <w:jc w:val="both"/>
        <w:rPr>
          <w:rFonts w:ascii="Calibri" w:eastAsia="Calibri" w:hAnsi="Calibri" w:cs="Calibri"/>
          <w:color w:val="000000" w:themeColor="text1"/>
          <w:sz w:val="24"/>
          <w:szCs w:val="24"/>
          <w:lang w:val="en-US"/>
        </w:rPr>
      </w:pPr>
    </w:p>
    <w:p w14:paraId="6D34E5B2" w14:textId="245268D2" w:rsidR="000F3EED" w:rsidRPr="008177CF" w:rsidRDefault="008177CF" w:rsidP="008177CF">
      <w:pPr>
        <w:spacing w:line="0" w:lineRule="atLeast"/>
        <w:jc w:val="both"/>
        <w:rPr>
          <w:rFonts w:ascii="Calibri" w:eastAsia="Calibri" w:hAnsi="Calibri" w:cs="Calibri"/>
          <w:color w:val="000000" w:themeColor="text1"/>
          <w:sz w:val="24"/>
          <w:szCs w:val="24"/>
          <w:lang w:val="en-US"/>
        </w:rPr>
      </w:pPr>
      <w:r w:rsidRPr="008177CF">
        <w:rPr>
          <w:rFonts w:ascii="Calibri" w:hAnsi="Calibri" w:cs="Calibri"/>
          <w:color w:val="000000" w:themeColor="text1"/>
          <w:sz w:val="24"/>
          <w:szCs w:val="24"/>
        </w:rPr>
        <w:t>The behavioral assay uses five larvae per well to increase throughput while preserving a relatively large swimming arena for each recording. In this format, total distance traveled provides a robust group-level locomotor endpoint for comparing treatment conditions. Because multiple larvae are present in the same well, brief path crossings or transient identity assignment errors may occur, particularly during periods of high activity. To minimize this source of variability, all treatment groups are assayed at the same larval density, arena boundaries are manually verified, and tracking paths are visually inspected before full analysis. For studies requiring detailed individual trajectory analysis, such as bout structure, turn angle, freezing episodes, or social interaction-independent measurements, the assay can be adapted to a one-larva-per-well format.</w:t>
      </w:r>
    </w:p>
    <w:p w14:paraId="046D59AB" w14:textId="77777777" w:rsidR="008F094F" w:rsidRPr="008177CF" w:rsidRDefault="008F094F" w:rsidP="000B2233">
      <w:pPr>
        <w:spacing w:line="0" w:lineRule="atLeast"/>
        <w:jc w:val="both"/>
        <w:rPr>
          <w:rFonts w:ascii="Calibri" w:eastAsia="Calibri" w:hAnsi="Calibri" w:cs="Calibri"/>
          <w:color w:val="000000" w:themeColor="text1"/>
          <w:sz w:val="24"/>
          <w:szCs w:val="24"/>
        </w:rPr>
      </w:pPr>
    </w:p>
    <w:p w14:paraId="721597CF" w14:textId="3357A166" w:rsidR="008F094F" w:rsidRPr="000B2233" w:rsidRDefault="008177CF" w:rsidP="000B2233">
      <w:pPr>
        <w:spacing w:line="0" w:lineRule="atLeast"/>
        <w:jc w:val="both"/>
        <w:rPr>
          <w:rFonts w:ascii="Calibri" w:eastAsia="Calibri" w:hAnsi="Calibri" w:cs="Calibri"/>
          <w:sz w:val="24"/>
          <w:szCs w:val="24"/>
        </w:rPr>
      </w:pPr>
      <w:r w:rsidRPr="008177CF">
        <w:rPr>
          <w:rFonts w:ascii="Calibri" w:eastAsia="Calibri" w:hAnsi="Calibri" w:cs="Calibri"/>
          <w:color w:val="000000" w:themeColor="text1"/>
          <w:sz w:val="24"/>
          <w:szCs w:val="24"/>
        </w:rPr>
        <w:t xml:space="preserve">Reproducibility depends on strict adherence to several critical steps. Homozygous transgenic </w:t>
      </w:r>
      <w:r w:rsidRPr="008177CF">
        <w:rPr>
          <w:rFonts w:ascii="Calibri" w:eastAsia="Calibri" w:hAnsi="Calibri" w:cs="Calibri"/>
          <w:sz w:val="24"/>
          <w:szCs w:val="24"/>
        </w:rPr>
        <w:t xml:space="preserve">breeders must be validated to ensure uniform baseline fluorescence. PTU treatment must begin at 24–36 </w:t>
      </w:r>
      <w:proofErr w:type="spellStart"/>
      <w:r w:rsidRPr="008177CF">
        <w:rPr>
          <w:rFonts w:ascii="Calibri" w:eastAsia="Calibri" w:hAnsi="Calibri" w:cs="Calibri"/>
          <w:sz w:val="24"/>
          <w:szCs w:val="24"/>
        </w:rPr>
        <w:t>hpf</w:t>
      </w:r>
      <w:proofErr w:type="spellEnd"/>
      <w:r w:rsidRPr="008177CF">
        <w:rPr>
          <w:rFonts w:ascii="Calibri" w:eastAsia="Calibri" w:hAnsi="Calibri" w:cs="Calibri"/>
          <w:sz w:val="24"/>
          <w:szCs w:val="24"/>
        </w:rPr>
        <w:t xml:space="preserve"> to prevent pigmentation prior to imaging. MTZ solutions must be prepared fresh, protected from light, and maintained at a constant DMSO concentration across all groups. During imaging, consistent parameters, including objective, exposure time, detector gain, and ROI placement, are essential, as even minor variations in acquisition settings or focal depth can confound fluorescence quantification. During locomotor tracking, diffused lighting, stable temperature, and a controlled environment are required, as reflections, air bubbles, ambient noise, and circadian variation can generate artifacts that may be misinterpreted as treatment effects. Collectively, these parameters represent critical control points that determine the reliability and reproducibility of the assay.</w:t>
      </w:r>
    </w:p>
    <w:p w14:paraId="416DE439" w14:textId="77777777" w:rsidR="008F094F" w:rsidRPr="000B2233" w:rsidRDefault="008F094F" w:rsidP="000B2233">
      <w:pPr>
        <w:spacing w:line="0" w:lineRule="atLeast"/>
        <w:jc w:val="both"/>
        <w:rPr>
          <w:rFonts w:ascii="Calibri" w:eastAsia="Calibri" w:hAnsi="Calibri" w:cs="Calibri"/>
          <w:sz w:val="24"/>
          <w:szCs w:val="24"/>
        </w:rPr>
      </w:pPr>
    </w:p>
    <w:p w14:paraId="2FD93AA5" w14:textId="5346F692" w:rsidR="008F094F" w:rsidRPr="000B2233" w:rsidRDefault="008B0A0C" w:rsidP="000B2233">
      <w:pPr>
        <w:spacing w:line="0" w:lineRule="atLeast"/>
        <w:jc w:val="both"/>
        <w:rPr>
          <w:rFonts w:ascii="Calibri" w:eastAsia="Calibri" w:hAnsi="Calibri" w:cs="Calibri"/>
          <w:sz w:val="24"/>
          <w:szCs w:val="24"/>
        </w:rPr>
      </w:pPr>
      <w:r w:rsidRPr="008B0A0C">
        <w:rPr>
          <w:rFonts w:ascii="Calibri" w:eastAsia="Calibri" w:hAnsi="Calibri" w:cs="Calibri"/>
          <w:sz w:val="24"/>
          <w:szCs w:val="24"/>
        </w:rPr>
        <w:t>This protocol bridges a critical gap between in vitro assays, which lack whole-organism context, and mammalian models, which are often too slow and costly for initial compound screening</w:t>
      </w:r>
      <w:r w:rsidRPr="0007375A">
        <w:rPr>
          <w:rFonts w:ascii="Calibri" w:eastAsia="Calibri" w:hAnsi="Calibri" w:cs="Calibri"/>
          <w:sz w:val="24"/>
          <w:szCs w:val="24"/>
          <w:vertAlign w:val="superscript"/>
        </w:rPr>
        <w:t>23,24</w:t>
      </w:r>
      <w:r w:rsidRPr="008B0A0C">
        <w:rPr>
          <w:rFonts w:ascii="Calibri" w:eastAsia="Calibri" w:hAnsi="Calibri" w:cs="Calibri"/>
          <w:sz w:val="24"/>
          <w:szCs w:val="24"/>
        </w:rPr>
        <w:t>. The standardized plate-based format, use of validated transgenic lines, and inclusion of matched AB wild-type controls reduce operator-dependent variability and ensure that data collected across different users and experimental cohorts remain statistically comparable. Compared with traditional rodent-based neurodegeneration assays, the zebrafish platform substantially reduces experimental cost, animal housing requirements, and screening time while enabling higher-throughput compound evaluation. As a result, compounds identified through this pipeline can be prioritized for downstream validation in higher-order models, providing a cost-effective and time-efficient entry point into neurodegeneration drug discovery workflows.</w:t>
      </w:r>
    </w:p>
    <w:p w14:paraId="39C322D7" w14:textId="77777777" w:rsidR="005E13A7" w:rsidRPr="000B2233" w:rsidRDefault="005E13A7" w:rsidP="000B2233">
      <w:pPr>
        <w:spacing w:line="0" w:lineRule="atLeast"/>
        <w:jc w:val="both"/>
        <w:rPr>
          <w:rFonts w:ascii="Calibri" w:eastAsia="Calibri" w:hAnsi="Calibri" w:cs="Calibri"/>
          <w:sz w:val="24"/>
          <w:szCs w:val="24"/>
        </w:rPr>
      </w:pPr>
    </w:p>
    <w:p w14:paraId="11502343" w14:textId="1C95BD8E" w:rsidR="008B0A0C" w:rsidRPr="000B2233" w:rsidRDefault="008B0A0C" w:rsidP="008B0A0C">
      <w:pPr>
        <w:pStyle w:val="p1"/>
        <w:spacing w:before="0" w:beforeAutospacing="0" w:after="0" w:afterAutospacing="0" w:line="0" w:lineRule="atLeast"/>
        <w:jc w:val="both"/>
        <w:rPr>
          <w:rFonts w:ascii="Calibri" w:hAnsi="Calibri" w:cs="Calibri"/>
        </w:rPr>
      </w:pPr>
      <w:r w:rsidRPr="008B0A0C">
        <w:rPr>
          <w:rFonts w:ascii="Calibri" w:hAnsi="Calibri" w:cs="Calibri"/>
          <w:lang w:val="en"/>
        </w:rPr>
        <w:t xml:space="preserve">The NTR–MTZ system models acute dopaminergic neuron loss rather than the progressive neurodegeneration characteristic of Parkinson’s disease and does not reproduce features such as α-synuclein aggregation; therefore, compounds identified through this pipeline should be further validated in complementary models. The zebrafish posterior tuberculum contains DA neurons functionally analogous to the mammalian substantia nigra but differs in circuit organization, so locomotor readouts reflect global motor output rather than specific parkinsonian features. Higher MTZ concentrations or prolonged exposure may produce excessive ablation, larval stress, or nonspecific toxicity; therefore, MTZ dose and exposure duration should </w:t>
      </w:r>
      <w:r w:rsidRPr="008B0A0C">
        <w:rPr>
          <w:rFonts w:ascii="Calibri" w:hAnsi="Calibri" w:cs="Calibri"/>
          <w:lang w:val="en"/>
        </w:rPr>
        <w:lastRenderedPageBreak/>
        <w:t>be optimized before screening. Behavioral variability can arise from differences in circadian phase, ambient vibration, temperature fluctuation, or inconsistent acclimation time, all of which should be controlled across sessions.</w:t>
      </w:r>
      <w:r>
        <w:rPr>
          <w:rFonts w:ascii="Calibri" w:hAnsi="Calibri" w:cs="Calibri"/>
          <w:lang w:val="en"/>
        </w:rPr>
        <w:t xml:space="preserve"> </w:t>
      </w:r>
      <w:r w:rsidRPr="008B0A0C">
        <w:rPr>
          <w:rFonts w:ascii="Calibri" w:hAnsi="Calibri" w:cs="Calibri"/>
        </w:rPr>
        <w:t>Common troubleshooting issues include weak fluorescence signal, which typically results from incomplete homozygosity, suboptimal PTU timing, or imaging parameter drift between sessions. Inconsistent ablation across wells is most often caused by uneven MTZ distribution or light exposure during incubation. Tracking artifacts in the locomotor assay, such as false detections or lost tracks, can often be resolved by adjusting arena boundaries, reducing debris with fresh BEW, and verifying the detection threshold on a short test acquisition before beginning full recording. Larvae with mortality, abnormal morphology, or severe developmental delay should be excluded from analysis, as these outcomes may indicate compound toxicity, poor water quality, or handling stress.</w:t>
      </w:r>
    </w:p>
    <w:p w14:paraId="1EFAEC8E" w14:textId="77777777" w:rsidR="008B0A0C" w:rsidRDefault="008B0A0C" w:rsidP="000B2233">
      <w:pPr>
        <w:spacing w:line="0" w:lineRule="atLeast"/>
        <w:jc w:val="both"/>
        <w:rPr>
          <w:rFonts w:ascii="Calibri" w:eastAsia="Calibri" w:hAnsi="Calibri" w:cs="Calibri"/>
          <w:sz w:val="24"/>
          <w:szCs w:val="24"/>
        </w:rPr>
      </w:pPr>
    </w:p>
    <w:p w14:paraId="37601B68" w14:textId="77777777" w:rsidR="008B0A0C" w:rsidRPr="008B0A0C" w:rsidRDefault="008B0A0C" w:rsidP="008B0A0C">
      <w:pPr>
        <w:spacing w:line="0" w:lineRule="atLeast"/>
        <w:jc w:val="both"/>
        <w:rPr>
          <w:rFonts w:ascii="Calibri" w:eastAsia="Calibri" w:hAnsi="Calibri" w:cs="Calibri"/>
          <w:sz w:val="24"/>
          <w:szCs w:val="24"/>
          <w:lang w:val="en-IN"/>
        </w:rPr>
      </w:pPr>
      <w:r w:rsidRPr="008B0A0C">
        <w:rPr>
          <w:rFonts w:ascii="Calibri" w:eastAsia="Calibri" w:hAnsi="Calibri" w:cs="Calibri"/>
          <w:sz w:val="24"/>
          <w:szCs w:val="24"/>
          <w:lang w:val="en-IN"/>
        </w:rPr>
        <w:t xml:space="preserve">This protocol can be adapted to other neuronal populations by using alternative Gal4 driver lines or fluorescent reporter lines that label the cell type of interest. The same workflow can also be modified for other </w:t>
      </w:r>
      <w:proofErr w:type="spellStart"/>
      <w:r w:rsidRPr="008B0A0C">
        <w:rPr>
          <w:rFonts w:ascii="Calibri" w:eastAsia="Calibri" w:hAnsi="Calibri" w:cs="Calibri"/>
          <w:sz w:val="24"/>
          <w:szCs w:val="24"/>
          <w:lang w:val="en-IN"/>
        </w:rPr>
        <w:t>chemogenetic</w:t>
      </w:r>
      <w:proofErr w:type="spellEnd"/>
      <w:r w:rsidRPr="008B0A0C">
        <w:rPr>
          <w:rFonts w:ascii="Calibri" w:eastAsia="Calibri" w:hAnsi="Calibri" w:cs="Calibri"/>
          <w:sz w:val="24"/>
          <w:szCs w:val="24"/>
          <w:lang w:val="en-IN"/>
        </w:rPr>
        <w:t xml:space="preserve"> or genetic models of neurodegeneration, provided that baseline and post-treatment imaging conditions are kept consistent. For </w:t>
      </w:r>
      <w:proofErr w:type="spellStart"/>
      <w:r w:rsidRPr="008B0A0C">
        <w:rPr>
          <w:rFonts w:ascii="Calibri" w:eastAsia="Calibri" w:hAnsi="Calibri" w:cs="Calibri"/>
          <w:sz w:val="24"/>
          <w:szCs w:val="24"/>
          <w:lang w:val="en-IN"/>
        </w:rPr>
        <w:t>behavioral</w:t>
      </w:r>
      <w:proofErr w:type="spellEnd"/>
      <w:r w:rsidRPr="008B0A0C">
        <w:rPr>
          <w:rFonts w:ascii="Calibri" w:eastAsia="Calibri" w:hAnsi="Calibri" w:cs="Calibri"/>
          <w:sz w:val="24"/>
          <w:szCs w:val="24"/>
          <w:lang w:val="en-IN"/>
        </w:rPr>
        <w:t xml:space="preserve"> studies, the assay can be adapted to a one-larva-per-well format for individual tracking or combined with alternative readouts such as startle response, light–dark transition </w:t>
      </w:r>
      <w:proofErr w:type="spellStart"/>
      <w:r w:rsidRPr="008B0A0C">
        <w:rPr>
          <w:rFonts w:ascii="Calibri" w:eastAsia="Calibri" w:hAnsi="Calibri" w:cs="Calibri"/>
          <w:sz w:val="24"/>
          <w:szCs w:val="24"/>
          <w:lang w:val="en-IN"/>
        </w:rPr>
        <w:t>behavior</w:t>
      </w:r>
      <w:proofErr w:type="spellEnd"/>
      <w:r w:rsidRPr="008B0A0C">
        <w:rPr>
          <w:rFonts w:ascii="Calibri" w:eastAsia="Calibri" w:hAnsi="Calibri" w:cs="Calibri"/>
          <w:sz w:val="24"/>
          <w:szCs w:val="24"/>
          <w:lang w:val="en-IN"/>
        </w:rPr>
        <w:t xml:space="preserve">, or sleep–wake analysis. Image analysis can also be scaled using automated pipelines in </w:t>
      </w:r>
      <w:proofErr w:type="spellStart"/>
      <w:r w:rsidRPr="008B0A0C">
        <w:rPr>
          <w:rFonts w:ascii="Calibri" w:eastAsia="Calibri" w:hAnsi="Calibri" w:cs="Calibri"/>
          <w:sz w:val="24"/>
          <w:szCs w:val="24"/>
          <w:lang w:val="en-IN"/>
        </w:rPr>
        <w:t>CellProfiler</w:t>
      </w:r>
      <w:proofErr w:type="spellEnd"/>
      <w:r w:rsidRPr="008B0A0C">
        <w:rPr>
          <w:rFonts w:ascii="Calibri" w:eastAsia="Calibri" w:hAnsi="Calibri" w:cs="Calibri"/>
          <w:sz w:val="24"/>
          <w:szCs w:val="24"/>
          <w:lang w:val="en-IN"/>
        </w:rPr>
        <w:t>, Fiji macros, or machine-learning-based segmentation tools to reduce user bias and increase throughput. More broadly, this platform can be applied to early-stage neuroprotective compound screening, toxicity assessment, target validation, and prioritization of candidate therapeutics for follow-up testing in complementary disease models.</w:t>
      </w:r>
    </w:p>
    <w:p w14:paraId="09BBF8F0" w14:textId="77777777" w:rsidR="003B2040" w:rsidRPr="000B2233" w:rsidRDefault="003B2040" w:rsidP="000B2233">
      <w:pPr>
        <w:spacing w:line="0" w:lineRule="atLeast"/>
        <w:jc w:val="both"/>
        <w:rPr>
          <w:rFonts w:ascii="Calibri" w:eastAsia="Calibri" w:hAnsi="Calibri" w:cs="Calibri"/>
          <w:sz w:val="24"/>
          <w:szCs w:val="24"/>
        </w:rPr>
      </w:pPr>
    </w:p>
    <w:p w14:paraId="4938234C" w14:textId="77777777"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b/>
          <w:bCs/>
          <w:sz w:val="24"/>
          <w:szCs w:val="24"/>
        </w:rPr>
        <w:t>ACKNOWLEDGMENTS:</w:t>
      </w:r>
      <w:r w:rsidRPr="000B2233">
        <w:rPr>
          <w:rFonts w:ascii="Calibri" w:eastAsia="Calibri" w:hAnsi="Calibri" w:cs="Calibri"/>
          <w:sz w:val="24"/>
          <w:szCs w:val="24"/>
        </w:rPr>
        <w:t xml:space="preserve"> </w:t>
      </w:r>
    </w:p>
    <w:p w14:paraId="09AEFA99" w14:textId="31A65740"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 xml:space="preserve">We thank Dr. Su Guo (University of California, San Francisco) for providing the transgenic zebrafish, and Dr. Daeseok Eom, Dr. Michael Parsons, and Eddie Hallo (University of California, Irvine) for providing wild-type embryos and guidance on zebrafish husbandry and fish facility maintenance. We also thank the staff members of the Robert A. Mah Molecular Innovation Center and the Falling Leaves Innovation Building (University of California, Irvine) for providing infrastructure for the </w:t>
      </w:r>
      <w:proofErr w:type="gramStart"/>
      <w:r w:rsidRPr="000B2233">
        <w:rPr>
          <w:rFonts w:ascii="Calibri" w:eastAsia="Calibri" w:hAnsi="Calibri" w:cs="Calibri"/>
          <w:sz w:val="24"/>
          <w:szCs w:val="24"/>
        </w:rPr>
        <w:t>aquatics</w:t>
      </w:r>
      <w:proofErr w:type="gramEnd"/>
      <w:r w:rsidRPr="000B2233">
        <w:rPr>
          <w:rFonts w:ascii="Calibri" w:eastAsia="Calibri" w:hAnsi="Calibri" w:cs="Calibri"/>
          <w:sz w:val="24"/>
          <w:szCs w:val="24"/>
        </w:rPr>
        <w:t xml:space="preserve"> facility.</w:t>
      </w:r>
    </w:p>
    <w:p w14:paraId="48F76367" w14:textId="77777777" w:rsidR="006305F9" w:rsidRPr="000B2233" w:rsidRDefault="006305F9" w:rsidP="000B2233">
      <w:pPr>
        <w:spacing w:line="0" w:lineRule="atLeast"/>
        <w:jc w:val="both"/>
        <w:rPr>
          <w:rFonts w:ascii="Calibri" w:eastAsia="Calibri" w:hAnsi="Calibri" w:cs="Calibri"/>
          <w:sz w:val="24"/>
          <w:szCs w:val="24"/>
        </w:rPr>
      </w:pPr>
    </w:p>
    <w:p w14:paraId="18D066D9" w14:textId="77777777"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b/>
          <w:bCs/>
          <w:sz w:val="24"/>
          <w:szCs w:val="24"/>
        </w:rPr>
        <w:t>DISCLOSURES:</w:t>
      </w:r>
      <w:r w:rsidRPr="000B2233">
        <w:rPr>
          <w:rFonts w:ascii="Calibri" w:eastAsia="Calibri" w:hAnsi="Calibri" w:cs="Calibri"/>
          <w:sz w:val="24"/>
          <w:szCs w:val="24"/>
        </w:rPr>
        <w:t xml:space="preserve"> </w:t>
      </w:r>
    </w:p>
    <w:p w14:paraId="0E064D34" w14:textId="26EC64FB" w:rsidR="00903C98" w:rsidRPr="000B2233" w:rsidRDefault="00645839" w:rsidP="000B2233">
      <w:pPr>
        <w:spacing w:line="0" w:lineRule="atLeast"/>
        <w:jc w:val="both"/>
        <w:rPr>
          <w:rFonts w:ascii="Calibri" w:eastAsia="Calibri" w:hAnsi="Calibri" w:cs="Calibri"/>
          <w:sz w:val="24"/>
          <w:szCs w:val="24"/>
        </w:rPr>
      </w:pPr>
      <w:r w:rsidRPr="000B2233">
        <w:rPr>
          <w:rFonts w:ascii="Calibri" w:eastAsia="Calibri" w:hAnsi="Calibri" w:cs="Calibri"/>
          <w:sz w:val="24"/>
          <w:szCs w:val="24"/>
        </w:rPr>
        <w:t>The authors declare no financial conflicts of interest.</w:t>
      </w:r>
    </w:p>
    <w:p w14:paraId="5460DCD1" w14:textId="77777777" w:rsidR="006305F9" w:rsidRDefault="006305F9" w:rsidP="000B2233">
      <w:pPr>
        <w:spacing w:line="0" w:lineRule="atLeast"/>
        <w:jc w:val="both"/>
        <w:rPr>
          <w:rFonts w:ascii="Calibri" w:eastAsia="Calibri" w:hAnsi="Calibri" w:cs="Calibri"/>
          <w:sz w:val="24"/>
          <w:szCs w:val="24"/>
        </w:rPr>
      </w:pPr>
    </w:p>
    <w:p w14:paraId="749C4964" w14:textId="2636E275" w:rsidR="004115ED" w:rsidRPr="004115ED" w:rsidRDefault="004115ED" w:rsidP="000B2233">
      <w:pPr>
        <w:spacing w:line="0" w:lineRule="atLeast"/>
        <w:jc w:val="both"/>
        <w:rPr>
          <w:rFonts w:ascii="Calibri" w:eastAsia="Calibri" w:hAnsi="Calibri" w:cs="Calibri"/>
          <w:b/>
          <w:bCs/>
          <w:sz w:val="24"/>
          <w:szCs w:val="24"/>
        </w:rPr>
      </w:pPr>
      <w:r w:rsidRPr="004115ED">
        <w:rPr>
          <w:rFonts w:ascii="Calibri" w:eastAsia="Calibri" w:hAnsi="Calibri" w:cs="Calibri"/>
          <w:b/>
          <w:bCs/>
          <w:sz w:val="24"/>
          <w:szCs w:val="24"/>
        </w:rPr>
        <w:t>REFERENCES:</w:t>
      </w:r>
    </w:p>
    <w:p w14:paraId="0EEDF9F2" w14:textId="577B7A71"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Haynes EM, Ulland TK, </w:t>
      </w:r>
      <w:proofErr w:type="spellStart"/>
      <w:r w:rsidRPr="004115ED">
        <w:rPr>
          <w:rFonts w:ascii="Calibri" w:eastAsia="Calibri" w:hAnsi="Calibri" w:cs="Calibri"/>
          <w:sz w:val="24"/>
          <w:szCs w:val="24"/>
          <w:lang w:val="en-IN"/>
        </w:rPr>
        <w:t>Eliceiri</w:t>
      </w:r>
      <w:proofErr w:type="spellEnd"/>
      <w:r w:rsidRPr="004115ED">
        <w:rPr>
          <w:rFonts w:ascii="Calibri" w:eastAsia="Calibri" w:hAnsi="Calibri" w:cs="Calibri"/>
          <w:sz w:val="24"/>
          <w:szCs w:val="24"/>
          <w:lang w:val="en-IN"/>
        </w:rPr>
        <w:t xml:space="preserve"> KW. A model of discovery: the role of imaging established and emerging non-mammalian models in neuroscience. Front Mol </w:t>
      </w:r>
      <w:proofErr w:type="spellStart"/>
      <w:r w:rsidRPr="004115ED">
        <w:rPr>
          <w:rFonts w:ascii="Calibri" w:eastAsia="Calibri" w:hAnsi="Calibri" w:cs="Calibri"/>
          <w:sz w:val="24"/>
          <w:szCs w:val="24"/>
          <w:lang w:val="en-IN"/>
        </w:rPr>
        <w:t>Neurosci</w:t>
      </w:r>
      <w:proofErr w:type="spellEnd"/>
      <w:r w:rsidRPr="004115ED">
        <w:rPr>
          <w:rFonts w:ascii="Calibri" w:eastAsia="Calibri" w:hAnsi="Calibri" w:cs="Calibri"/>
          <w:sz w:val="24"/>
          <w:szCs w:val="24"/>
          <w:lang w:val="en-IN"/>
        </w:rPr>
        <w:t xml:space="preserve">. 2022;15:867010. </w:t>
      </w:r>
    </w:p>
    <w:p w14:paraId="5A9A6246" w14:textId="35773CE0"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Yang W, Chen X, Li S, Li XJ. Genetically modified large animal models for investigating neurodegenerative diseases. Cell </w:t>
      </w:r>
      <w:proofErr w:type="spellStart"/>
      <w:r w:rsidRPr="004115ED">
        <w:rPr>
          <w:rFonts w:ascii="Calibri" w:eastAsia="Calibri" w:hAnsi="Calibri" w:cs="Calibri"/>
          <w:sz w:val="24"/>
          <w:szCs w:val="24"/>
          <w:lang w:val="en-IN"/>
        </w:rPr>
        <w:t>Biosci</w:t>
      </w:r>
      <w:proofErr w:type="spellEnd"/>
      <w:r w:rsidRPr="004115ED">
        <w:rPr>
          <w:rFonts w:ascii="Calibri" w:eastAsia="Calibri" w:hAnsi="Calibri" w:cs="Calibri"/>
          <w:sz w:val="24"/>
          <w:szCs w:val="24"/>
          <w:lang w:val="en-IN"/>
        </w:rPr>
        <w:t xml:space="preserve">. 2021;11(1):218. </w:t>
      </w:r>
    </w:p>
    <w:p w14:paraId="6FB8FB75" w14:textId="1B0DFD12"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Dodiya R, </w:t>
      </w:r>
      <w:r w:rsidR="00390DD6">
        <w:rPr>
          <w:rFonts w:ascii="Calibri" w:eastAsia="Calibri" w:hAnsi="Calibri" w:cs="Calibri"/>
          <w:sz w:val="24"/>
          <w:szCs w:val="24"/>
          <w:lang w:val="en-IN"/>
        </w:rPr>
        <w:t>et al</w:t>
      </w:r>
      <w:r w:rsidRPr="004115ED">
        <w:rPr>
          <w:rFonts w:ascii="Calibri" w:eastAsia="Calibri" w:hAnsi="Calibri" w:cs="Calibri"/>
          <w:sz w:val="24"/>
          <w:szCs w:val="24"/>
          <w:lang w:val="en-IN"/>
        </w:rPr>
        <w:t xml:space="preserve">. Zebrafish-based Parkinson’s disease models: unveiling genetic mechanisms and therapeutic pathways. CNS </w:t>
      </w:r>
      <w:proofErr w:type="spellStart"/>
      <w:r w:rsidRPr="004115ED">
        <w:rPr>
          <w:rFonts w:ascii="Calibri" w:eastAsia="Calibri" w:hAnsi="Calibri" w:cs="Calibri"/>
          <w:sz w:val="24"/>
          <w:szCs w:val="24"/>
          <w:lang w:val="en-IN"/>
        </w:rPr>
        <w:t>Neurol</w:t>
      </w:r>
      <w:proofErr w:type="spellEnd"/>
      <w:r w:rsidRPr="004115ED">
        <w:rPr>
          <w:rFonts w:ascii="Calibri" w:eastAsia="Calibri" w:hAnsi="Calibri" w:cs="Calibri"/>
          <w:sz w:val="24"/>
          <w:szCs w:val="24"/>
          <w:lang w:val="en-IN"/>
        </w:rPr>
        <w:t xml:space="preserve"> </w:t>
      </w:r>
      <w:proofErr w:type="spellStart"/>
      <w:r w:rsidRPr="004115ED">
        <w:rPr>
          <w:rFonts w:ascii="Calibri" w:eastAsia="Calibri" w:hAnsi="Calibri" w:cs="Calibri"/>
          <w:sz w:val="24"/>
          <w:szCs w:val="24"/>
          <w:lang w:val="en-IN"/>
        </w:rPr>
        <w:t>Disord</w:t>
      </w:r>
      <w:proofErr w:type="spellEnd"/>
      <w:r w:rsidRPr="004115ED">
        <w:rPr>
          <w:rFonts w:ascii="Calibri" w:eastAsia="Calibri" w:hAnsi="Calibri" w:cs="Calibri"/>
          <w:sz w:val="24"/>
          <w:szCs w:val="24"/>
          <w:lang w:val="en-IN"/>
        </w:rPr>
        <w:t xml:space="preserve"> Drug Targets. 2025;24(12):900–920. </w:t>
      </w:r>
    </w:p>
    <w:p w14:paraId="2693A427" w14:textId="4A611E41"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Wasel O, Freeman JL. Chemical and genetic zebrafish models to define mechanisms of and treatments for dopaminergic neurodegeneration. Int J Mol Sci. 2020;21(17). </w:t>
      </w:r>
    </w:p>
    <w:p w14:paraId="090D2E55" w14:textId="3CEE296F"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lastRenderedPageBreak/>
        <w:t xml:space="preserve">Kozol RA, et al. Function over form: </w:t>
      </w:r>
      <w:proofErr w:type="spellStart"/>
      <w:r w:rsidRPr="004115ED">
        <w:rPr>
          <w:rFonts w:ascii="Calibri" w:eastAsia="Calibri" w:hAnsi="Calibri" w:cs="Calibri"/>
          <w:sz w:val="24"/>
          <w:szCs w:val="24"/>
          <w:lang w:val="en-IN"/>
        </w:rPr>
        <w:t>modeling</w:t>
      </w:r>
      <w:proofErr w:type="spellEnd"/>
      <w:r w:rsidRPr="004115ED">
        <w:rPr>
          <w:rFonts w:ascii="Calibri" w:eastAsia="Calibri" w:hAnsi="Calibri" w:cs="Calibri"/>
          <w:sz w:val="24"/>
          <w:szCs w:val="24"/>
          <w:lang w:val="en-IN"/>
        </w:rPr>
        <w:t xml:space="preserve"> groups of inherited neurological conditions in zebrafish. Front Mol </w:t>
      </w:r>
      <w:proofErr w:type="spellStart"/>
      <w:r w:rsidRPr="004115ED">
        <w:rPr>
          <w:rFonts w:ascii="Calibri" w:eastAsia="Calibri" w:hAnsi="Calibri" w:cs="Calibri"/>
          <w:sz w:val="24"/>
          <w:szCs w:val="24"/>
          <w:lang w:val="en-IN"/>
        </w:rPr>
        <w:t>Neurosci</w:t>
      </w:r>
      <w:proofErr w:type="spellEnd"/>
      <w:r w:rsidRPr="004115ED">
        <w:rPr>
          <w:rFonts w:ascii="Calibri" w:eastAsia="Calibri" w:hAnsi="Calibri" w:cs="Calibri"/>
          <w:sz w:val="24"/>
          <w:szCs w:val="24"/>
          <w:lang w:val="en-IN"/>
        </w:rPr>
        <w:t xml:space="preserve">. 2016;9:55. </w:t>
      </w:r>
    </w:p>
    <w:p w14:paraId="59B73544" w14:textId="46898AD9"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Jang H, Kim SH, Koh Y, Yoon KJ. Engineering brain organoids: toward mature neural circuitry with an intact cytoarchitecture. Int J Stem Cells. 2022;15(1):41–59. </w:t>
      </w:r>
    </w:p>
    <w:p w14:paraId="648348FE" w14:textId="41A489B9"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Vandamme TF. Use of rodents as models of human diseases. J Pharm </w:t>
      </w:r>
      <w:proofErr w:type="spellStart"/>
      <w:r w:rsidRPr="004115ED">
        <w:rPr>
          <w:rFonts w:ascii="Calibri" w:eastAsia="Calibri" w:hAnsi="Calibri" w:cs="Calibri"/>
          <w:sz w:val="24"/>
          <w:szCs w:val="24"/>
          <w:lang w:val="en-IN"/>
        </w:rPr>
        <w:t>Bioallied</w:t>
      </w:r>
      <w:proofErr w:type="spellEnd"/>
      <w:r w:rsidRPr="004115ED">
        <w:rPr>
          <w:rFonts w:ascii="Calibri" w:eastAsia="Calibri" w:hAnsi="Calibri" w:cs="Calibri"/>
          <w:sz w:val="24"/>
          <w:szCs w:val="24"/>
          <w:lang w:val="en-IN"/>
        </w:rPr>
        <w:t xml:space="preserve"> Sci. 2014;6(1):2–9. </w:t>
      </w:r>
    </w:p>
    <w:p w14:paraId="1B942991" w14:textId="06363C2E"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Malik N, et al. Compounds with species and cell type specific toxicity identified in a 2000 compound drug screen of neural stem cells and rat mixed cortical neurons. Neurotoxicology. 2014;45:192–200. </w:t>
      </w:r>
    </w:p>
    <w:p w14:paraId="1E0B6BBB" w14:textId="17AE24F5"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Hasani H, et al. Whole-brain imaging of freely-moving zebrafish. Front </w:t>
      </w:r>
      <w:proofErr w:type="spellStart"/>
      <w:r w:rsidRPr="004115ED">
        <w:rPr>
          <w:rFonts w:ascii="Calibri" w:eastAsia="Calibri" w:hAnsi="Calibri" w:cs="Calibri"/>
          <w:sz w:val="24"/>
          <w:szCs w:val="24"/>
          <w:lang w:val="en-IN"/>
        </w:rPr>
        <w:t>Neurosci</w:t>
      </w:r>
      <w:proofErr w:type="spellEnd"/>
      <w:r w:rsidRPr="004115ED">
        <w:rPr>
          <w:rFonts w:ascii="Calibri" w:eastAsia="Calibri" w:hAnsi="Calibri" w:cs="Calibri"/>
          <w:sz w:val="24"/>
          <w:szCs w:val="24"/>
          <w:lang w:val="en-IN"/>
        </w:rPr>
        <w:t xml:space="preserve">. 2023;17:1127574. </w:t>
      </w:r>
    </w:p>
    <w:p w14:paraId="3730A66C" w14:textId="4539490C"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Mattern K, von </w:t>
      </w:r>
      <w:proofErr w:type="spellStart"/>
      <w:r w:rsidRPr="004115ED">
        <w:rPr>
          <w:rFonts w:ascii="Calibri" w:eastAsia="Calibri" w:hAnsi="Calibri" w:cs="Calibri"/>
          <w:sz w:val="24"/>
          <w:szCs w:val="24"/>
          <w:lang w:val="en-IN"/>
        </w:rPr>
        <w:t>Trotha</w:t>
      </w:r>
      <w:proofErr w:type="spellEnd"/>
      <w:r w:rsidRPr="004115ED">
        <w:rPr>
          <w:rFonts w:ascii="Calibri" w:eastAsia="Calibri" w:hAnsi="Calibri" w:cs="Calibri"/>
          <w:sz w:val="24"/>
          <w:szCs w:val="24"/>
          <w:lang w:val="en-IN"/>
        </w:rPr>
        <w:t xml:space="preserve"> JW, Erfle P, Köster RW, Dietzel A. </w:t>
      </w:r>
      <w:proofErr w:type="spellStart"/>
      <w:r w:rsidRPr="004115ED">
        <w:rPr>
          <w:rFonts w:ascii="Calibri" w:eastAsia="Calibri" w:hAnsi="Calibri" w:cs="Calibri"/>
          <w:sz w:val="24"/>
          <w:szCs w:val="24"/>
          <w:lang w:val="en-IN"/>
        </w:rPr>
        <w:t>NeuroExaminer</w:t>
      </w:r>
      <w:proofErr w:type="spellEnd"/>
      <w:r w:rsidRPr="004115ED">
        <w:rPr>
          <w:rFonts w:ascii="Calibri" w:eastAsia="Calibri" w:hAnsi="Calibri" w:cs="Calibri"/>
          <w:sz w:val="24"/>
          <w:szCs w:val="24"/>
          <w:lang w:val="en-IN"/>
        </w:rPr>
        <w:t xml:space="preserve">: an all-glass microfluidic device for whole-brain in vivo imaging in zebrafish. Commun Biol. 2020;3(1):311. </w:t>
      </w:r>
    </w:p>
    <w:p w14:paraId="606D4DA1" w14:textId="268DBD72"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Panier T, et al. Fast functional imaging of multiple brain regions in intact zebrafish larvae using selective plane illumination microscopy. Front Neural Circuits. 2013;7:65. </w:t>
      </w:r>
    </w:p>
    <w:p w14:paraId="5C4815DE" w14:textId="7BFD5B85"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Noda S, </w:t>
      </w:r>
      <w:r w:rsidR="00390DD6">
        <w:rPr>
          <w:rFonts w:ascii="Calibri" w:eastAsia="Calibri" w:hAnsi="Calibri" w:cs="Calibri"/>
          <w:sz w:val="24"/>
          <w:szCs w:val="24"/>
          <w:lang w:val="en-IN"/>
        </w:rPr>
        <w:t>et al</w:t>
      </w:r>
      <w:r w:rsidRPr="004115ED">
        <w:rPr>
          <w:rFonts w:ascii="Calibri" w:eastAsia="Calibri" w:hAnsi="Calibri" w:cs="Calibri"/>
          <w:sz w:val="24"/>
          <w:szCs w:val="24"/>
          <w:lang w:val="en-IN"/>
        </w:rPr>
        <w:t xml:space="preserve">. Aging-related motor function and dopaminergic neuronal loss in C57BL/6 mice. Mol Brain. 2020;13(1):46. </w:t>
      </w:r>
    </w:p>
    <w:p w14:paraId="547BD391" w14:textId="1FBCBF4D"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Godoy R, </w:t>
      </w:r>
      <w:r w:rsidR="00390DD6">
        <w:rPr>
          <w:rFonts w:ascii="Calibri" w:eastAsia="Calibri" w:hAnsi="Calibri" w:cs="Calibri"/>
          <w:sz w:val="24"/>
          <w:szCs w:val="24"/>
          <w:lang w:val="en-IN"/>
        </w:rPr>
        <w:t>et al</w:t>
      </w:r>
      <w:r w:rsidRPr="004115ED">
        <w:rPr>
          <w:rFonts w:ascii="Calibri" w:eastAsia="Calibri" w:hAnsi="Calibri" w:cs="Calibri"/>
          <w:sz w:val="24"/>
          <w:szCs w:val="24"/>
          <w:lang w:val="en-IN"/>
        </w:rPr>
        <w:t xml:space="preserve">. </w:t>
      </w:r>
      <w:proofErr w:type="spellStart"/>
      <w:r w:rsidRPr="004115ED">
        <w:rPr>
          <w:rFonts w:ascii="Calibri" w:eastAsia="Calibri" w:hAnsi="Calibri" w:cs="Calibri"/>
          <w:sz w:val="24"/>
          <w:szCs w:val="24"/>
          <w:lang w:val="en-IN"/>
        </w:rPr>
        <w:t>Chemogenetic</w:t>
      </w:r>
      <w:proofErr w:type="spellEnd"/>
      <w:r w:rsidRPr="004115ED">
        <w:rPr>
          <w:rFonts w:ascii="Calibri" w:eastAsia="Calibri" w:hAnsi="Calibri" w:cs="Calibri"/>
          <w:sz w:val="24"/>
          <w:szCs w:val="24"/>
          <w:lang w:val="en-IN"/>
        </w:rPr>
        <w:t xml:space="preserve"> ablation of dopaminergic neurons leads to transient locomotor impairments in zebrafish larvae. J </w:t>
      </w:r>
      <w:proofErr w:type="spellStart"/>
      <w:r w:rsidRPr="004115ED">
        <w:rPr>
          <w:rFonts w:ascii="Calibri" w:eastAsia="Calibri" w:hAnsi="Calibri" w:cs="Calibri"/>
          <w:sz w:val="24"/>
          <w:szCs w:val="24"/>
          <w:lang w:val="en-IN"/>
        </w:rPr>
        <w:t>Neurochem</w:t>
      </w:r>
      <w:proofErr w:type="spellEnd"/>
      <w:r w:rsidRPr="004115ED">
        <w:rPr>
          <w:rFonts w:ascii="Calibri" w:eastAsia="Calibri" w:hAnsi="Calibri" w:cs="Calibri"/>
          <w:sz w:val="24"/>
          <w:szCs w:val="24"/>
          <w:lang w:val="en-IN"/>
        </w:rPr>
        <w:t xml:space="preserve">. 2015;135(2):249–260. </w:t>
      </w:r>
    </w:p>
    <w:p w14:paraId="2D704D6D" w14:textId="7E1DCB85"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Schallert T, Tillerson JL. Intervention strategies for degeneration of dopamine neurons in parkinsonism: optimizing </w:t>
      </w:r>
      <w:proofErr w:type="spellStart"/>
      <w:r w:rsidRPr="004115ED">
        <w:rPr>
          <w:rFonts w:ascii="Calibri" w:eastAsia="Calibri" w:hAnsi="Calibri" w:cs="Calibri"/>
          <w:sz w:val="24"/>
          <w:szCs w:val="24"/>
          <w:lang w:val="en-IN"/>
        </w:rPr>
        <w:t>behavioral</w:t>
      </w:r>
      <w:proofErr w:type="spellEnd"/>
      <w:r w:rsidRPr="004115ED">
        <w:rPr>
          <w:rFonts w:ascii="Calibri" w:eastAsia="Calibri" w:hAnsi="Calibri" w:cs="Calibri"/>
          <w:sz w:val="24"/>
          <w:szCs w:val="24"/>
          <w:lang w:val="en-IN"/>
        </w:rPr>
        <w:t xml:space="preserve"> assessment of outcome. Cent </w:t>
      </w:r>
      <w:proofErr w:type="spellStart"/>
      <w:r w:rsidRPr="004115ED">
        <w:rPr>
          <w:rFonts w:ascii="Calibri" w:eastAsia="Calibri" w:hAnsi="Calibri" w:cs="Calibri"/>
          <w:sz w:val="24"/>
          <w:szCs w:val="24"/>
          <w:lang w:val="en-IN"/>
        </w:rPr>
        <w:t>Nerv</w:t>
      </w:r>
      <w:proofErr w:type="spellEnd"/>
      <w:r w:rsidRPr="004115ED">
        <w:rPr>
          <w:rFonts w:ascii="Calibri" w:eastAsia="Calibri" w:hAnsi="Calibri" w:cs="Calibri"/>
          <w:sz w:val="24"/>
          <w:szCs w:val="24"/>
          <w:lang w:val="en-IN"/>
        </w:rPr>
        <w:t xml:space="preserve"> </w:t>
      </w:r>
      <w:proofErr w:type="spellStart"/>
      <w:r w:rsidRPr="004115ED">
        <w:rPr>
          <w:rFonts w:ascii="Calibri" w:eastAsia="Calibri" w:hAnsi="Calibri" w:cs="Calibri"/>
          <w:sz w:val="24"/>
          <w:szCs w:val="24"/>
          <w:lang w:val="en-IN"/>
        </w:rPr>
        <w:t>Syst</w:t>
      </w:r>
      <w:proofErr w:type="spellEnd"/>
      <w:r w:rsidRPr="004115ED">
        <w:rPr>
          <w:rFonts w:ascii="Calibri" w:eastAsia="Calibri" w:hAnsi="Calibri" w:cs="Calibri"/>
          <w:sz w:val="24"/>
          <w:szCs w:val="24"/>
          <w:lang w:val="en-IN"/>
        </w:rPr>
        <w:t xml:space="preserve"> Dis. 2000:131–151. </w:t>
      </w:r>
    </w:p>
    <w:p w14:paraId="485709B7" w14:textId="3BCC027E" w:rsidR="004115ED" w:rsidRPr="004115ED" w:rsidRDefault="00587A1B" w:rsidP="004115ED">
      <w:pPr>
        <w:pStyle w:val="ListParagraph"/>
        <w:numPr>
          <w:ilvl w:val="0"/>
          <w:numId w:val="6"/>
        </w:numPr>
        <w:spacing w:line="0" w:lineRule="atLeast"/>
        <w:jc w:val="both"/>
        <w:rPr>
          <w:rFonts w:ascii="Calibri" w:eastAsia="Calibri" w:hAnsi="Calibri" w:cs="Calibri"/>
          <w:sz w:val="24"/>
          <w:szCs w:val="24"/>
          <w:lang w:val="en-IN"/>
        </w:rPr>
      </w:pPr>
      <w:proofErr w:type="spellStart"/>
      <w:r w:rsidRPr="00587A1B">
        <w:rPr>
          <w:rFonts w:ascii="Calibri" w:eastAsia="Calibri" w:hAnsi="Calibri" w:cs="Calibri"/>
          <w:sz w:val="24"/>
          <w:szCs w:val="24"/>
        </w:rPr>
        <w:t>Westerfield</w:t>
      </w:r>
      <w:proofErr w:type="spellEnd"/>
      <w:r w:rsidRPr="00587A1B">
        <w:rPr>
          <w:rFonts w:ascii="Calibri" w:eastAsia="Calibri" w:hAnsi="Calibri" w:cs="Calibri"/>
          <w:sz w:val="24"/>
          <w:szCs w:val="24"/>
        </w:rPr>
        <w:t xml:space="preserve"> M</w:t>
      </w:r>
      <w:r>
        <w:rPr>
          <w:rFonts w:ascii="Calibri" w:eastAsia="Calibri" w:hAnsi="Calibri" w:cs="Calibri"/>
          <w:sz w:val="24"/>
          <w:szCs w:val="24"/>
        </w:rPr>
        <w:t xml:space="preserve">. </w:t>
      </w:r>
      <w:r w:rsidR="004115ED" w:rsidRPr="004115ED">
        <w:rPr>
          <w:rFonts w:ascii="Calibri" w:eastAsia="Calibri" w:hAnsi="Calibri" w:cs="Calibri"/>
          <w:sz w:val="24"/>
          <w:szCs w:val="24"/>
          <w:lang w:val="en-IN"/>
        </w:rPr>
        <w:t xml:space="preserve">The zebrafish book: a guide for the laboratory use of zebrafish (Danio rerio). 5th ed. Eugene (OR): University of Oregon Press; 2007. </w:t>
      </w:r>
    </w:p>
    <w:p w14:paraId="4E1C9762" w14:textId="7CD1E107"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proofErr w:type="spellStart"/>
      <w:r w:rsidRPr="004115ED">
        <w:rPr>
          <w:rFonts w:ascii="Calibri" w:eastAsia="Calibri" w:hAnsi="Calibri" w:cs="Calibri"/>
          <w:sz w:val="24"/>
          <w:szCs w:val="24"/>
          <w:lang w:val="en-IN"/>
        </w:rPr>
        <w:t>Avdesh</w:t>
      </w:r>
      <w:proofErr w:type="spellEnd"/>
      <w:r w:rsidRPr="004115ED">
        <w:rPr>
          <w:rFonts w:ascii="Calibri" w:eastAsia="Calibri" w:hAnsi="Calibri" w:cs="Calibri"/>
          <w:sz w:val="24"/>
          <w:szCs w:val="24"/>
          <w:lang w:val="en-IN"/>
        </w:rPr>
        <w:t xml:space="preserve"> A, et al. Regular care and maintenance of a zebrafish (Danio rerio) laboratory: an introduction. J Vis Exp. 2012;(69). </w:t>
      </w:r>
    </w:p>
    <w:p w14:paraId="39E865A4" w14:textId="412AB413"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proofErr w:type="spellStart"/>
      <w:r w:rsidRPr="004115ED">
        <w:rPr>
          <w:rFonts w:ascii="Calibri" w:eastAsia="Calibri" w:hAnsi="Calibri" w:cs="Calibri"/>
          <w:sz w:val="24"/>
          <w:szCs w:val="24"/>
          <w:lang w:val="en-IN"/>
        </w:rPr>
        <w:t>Nipu</w:t>
      </w:r>
      <w:proofErr w:type="spellEnd"/>
      <w:r w:rsidRPr="004115ED">
        <w:rPr>
          <w:rFonts w:ascii="Calibri" w:eastAsia="Calibri" w:hAnsi="Calibri" w:cs="Calibri"/>
          <w:sz w:val="24"/>
          <w:szCs w:val="24"/>
          <w:lang w:val="en-IN"/>
        </w:rPr>
        <w:t xml:space="preserve"> N, </w:t>
      </w:r>
      <w:r w:rsidR="00390DD6">
        <w:rPr>
          <w:rFonts w:ascii="Calibri" w:eastAsia="Calibri" w:hAnsi="Calibri" w:cs="Calibri"/>
          <w:sz w:val="24"/>
          <w:szCs w:val="24"/>
          <w:lang w:val="en-IN"/>
        </w:rPr>
        <w:t>et al</w:t>
      </w:r>
      <w:r w:rsidRPr="004115ED">
        <w:rPr>
          <w:rFonts w:ascii="Calibri" w:eastAsia="Calibri" w:hAnsi="Calibri" w:cs="Calibri"/>
          <w:sz w:val="24"/>
          <w:szCs w:val="24"/>
          <w:lang w:val="en-IN"/>
        </w:rPr>
        <w:t xml:space="preserve">. Methylene blue at recommended concentrations alters metabolism in early zebrafish development. Commun Biol. 2025;8(1):120. </w:t>
      </w:r>
    </w:p>
    <w:p w14:paraId="239012A8" w14:textId="72E242A1"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Ohnesorge N, </w:t>
      </w:r>
      <w:r w:rsidR="00390DD6">
        <w:rPr>
          <w:rFonts w:ascii="Calibri" w:eastAsia="Calibri" w:hAnsi="Calibri" w:cs="Calibri"/>
          <w:sz w:val="24"/>
          <w:szCs w:val="24"/>
          <w:lang w:val="en-IN"/>
        </w:rPr>
        <w:t>et al</w:t>
      </w:r>
      <w:r w:rsidRPr="004115ED">
        <w:rPr>
          <w:rFonts w:ascii="Calibri" w:eastAsia="Calibri" w:hAnsi="Calibri" w:cs="Calibri"/>
          <w:sz w:val="24"/>
          <w:szCs w:val="24"/>
          <w:lang w:val="en-IN"/>
        </w:rPr>
        <w:t xml:space="preserve">. Assessment of the effect of tricaine (MS-222)-induced </w:t>
      </w:r>
      <w:proofErr w:type="spellStart"/>
      <w:r w:rsidRPr="004115ED">
        <w:rPr>
          <w:rFonts w:ascii="Calibri" w:eastAsia="Calibri" w:hAnsi="Calibri" w:cs="Calibri"/>
          <w:sz w:val="24"/>
          <w:szCs w:val="24"/>
          <w:lang w:val="en-IN"/>
        </w:rPr>
        <w:t>anesthesia</w:t>
      </w:r>
      <w:proofErr w:type="spellEnd"/>
      <w:r w:rsidRPr="004115ED">
        <w:rPr>
          <w:rFonts w:ascii="Calibri" w:eastAsia="Calibri" w:hAnsi="Calibri" w:cs="Calibri"/>
          <w:sz w:val="24"/>
          <w:szCs w:val="24"/>
          <w:lang w:val="en-IN"/>
        </w:rPr>
        <w:t xml:space="preserve"> on brain-wide neuronal activity of zebrafish larvae. Front </w:t>
      </w:r>
      <w:proofErr w:type="spellStart"/>
      <w:r w:rsidRPr="004115ED">
        <w:rPr>
          <w:rFonts w:ascii="Calibri" w:eastAsia="Calibri" w:hAnsi="Calibri" w:cs="Calibri"/>
          <w:sz w:val="24"/>
          <w:szCs w:val="24"/>
          <w:lang w:val="en-IN"/>
        </w:rPr>
        <w:t>Neurosci</w:t>
      </w:r>
      <w:proofErr w:type="spellEnd"/>
      <w:r w:rsidRPr="004115ED">
        <w:rPr>
          <w:rFonts w:ascii="Calibri" w:eastAsia="Calibri" w:hAnsi="Calibri" w:cs="Calibri"/>
          <w:sz w:val="24"/>
          <w:szCs w:val="24"/>
          <w:lang w:val="en-IN"/>
        </w:rPr>
        <w:t xml:space="preserve">. 2024;18:1456322. </w:t>
      </w:r>
    </w:p>
    <w:p w14:paraId="692874D8" w14:textId="27A7B4FB"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Schroeder AB, </w:t>
      </w:r>
      <w:r w:rsidR="00390DD6">
        <w:rPr>
          <w:rFonts w:ascii="Calibri" w:eastAsia="Calibri" w:hAnsi="Calibri" w:cs="Calibri"/>
          <w:sz w:val="24"/>
          <w:szCs w:val="24"/>
          <w:lang w:val="en-IN"/>
        </w:rPr>
        <w:t>et al</w:t>
      </w:r>
      <w:r w:rsidRPr="004115ED">
        <w:rPr>
          <w:rFonts w:ascii="Calibri" w:eastAsia="Calibri" w:hAnsi="Calibri" w:cs="Calibri"/>
          <w:sz w:val="24"/>
          <w:szCs w:val="24"/>
          <w:lang w:val="en-IN"/>
        </w:rPr>
        <w:t xml:space="preserve">. The ImageJ ecosystem: open-source software for image visualization, processing, and analysis. Protein Sci. 2021;30(1):234–249. </w:t>
      </w:r>
    </w:p>
    <w:p w14:paraId="50177D0D" w14:textId="0F658172"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Stirling DR, </w:t>
      </w:r>
      <w:r w:rsidR="00390DD6">
        <w:rPr>
          <w:rFonts w:ascii="Calibri" w:eastAsia="Calibri" w:hAnsi="Calibri" w:cs="Calibri"/>
          <w:sz w:val="24"/>
          <w:szCs w:val="24"/>
          <w:lang w:val="en-IN"/>
        </w:rPr>
        <w:t>et al</w:t>
      </w:r>
      <w:r w:rsidRPr="004115ED">
        <w:rPr>
          <w:rFonts w:ascii="Calibri" w:eastAsia="Calibri" w:hAnsi="Calibri" w:cs="Calibri"/>
          <w:sz w:val="24"/>
          <w:szCs w:val="24"/>
          <w:lang w:val="en-IN"/>
        </w:rPr>
        <w:t xml:space="preserve">. </w:t>
      </w:r>
      <w:proofErr w:type="spellStart"/>
      <w:r w:rsidRPr="004115ED">
        <w:rPr>
          <w:rFonts w:ascii="Calibri" w:eastAsia="Calibri" w:hAnsi="Calibri" w:cs="Calibri"/>
          <w:sz w:val="24"/>
          <w:szCs w:val="24"/>
          <w:lang w:val="en-IN"/>
        </w:rPr>
        <w:t>CellProfiler</w:t>
      </w:r>
      <w:proofErr w:type="spellEnd"/>
      <w:r w:rsidRPr="004115ED">
        <w:rPr>
          <w:rFonts w:ascii="Calibri" w:eastAsia="Calibri" w:hAnsi="Calibri" w:cs="Calibri"/>
          <w:sz w:val="24"/>
          <w:szCs w:val="24"/>
          <w:lang w:val="en-IN"/>
        </w:rPr>
        <w:t xml:space="preserve"> 4: improvements in speed, utility and usability. BMC Bioinformatics. 2021;22(1):433. </w:t>
      </w:r>
    </w:p>
    <w:p w14:paraId="30253BDB" w14:textId="2B64A310"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Kim GHJ, et al. A zebrafish screen reveals renin-angiotensin system inhibitors as neuroprotective via mitochondrial restoration in dopamine neurons. </w:t>
      </w:r>
      <w:proofErr w:type="spellStart"/>
      <w:r w:rsidRPr="004115ED">
        <w:rPr>
          <w:rFonts w:ascii="Calibri" w:eastAsia="Calibri" w:hAnsi="Calibri" w:cs="Calibri"/>
          <w:sz w:val="24"/>
          <w:szCs w:val="24"/>
          <w:lang w:val="en-IN"/>
        </w:rPr>
        <w:t>eLife</w:t>
      </w:r>
      <w:proofErr w:type="spellEnd"/>
      <w:r w:rsidRPr="004115ED">
        <w:rPr>
          <w:rFonts w:ascii="Calibri" w:eastAsia="Calibri" w:hAnsi="Calibri" w:cs="Calibri"/>
          <w:sz w:val="24"/>
          <w:szCs w:val="24"/>
          <w:lang w:val="en-IN"/>
        </w:rPr>
        <w:t xml:space="preserve">. 2021;10. </w:t>
      </w:r>
    </w:p>
    <w:p w14:paraId="1F761C20" w14:textId="1A932752"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Kim GHJ, et al. In vivo dopamine neuron imaging-based small molecule screen identifies novel neuroprotective compounds and targets. Front </w:t>
      </w:r>
      <w:proofErr w:type="spellStart"/>
      <w:r w:rsidRPr="004115ED">
        <w:rPr>
          <w:rFonts w:ascii="Calibri" w:eastAsia="Calibri" w:hAnsi="Calibri" w:cs="Calibri"/>
          <w:sz w:val="24"/>
          <w:szCs w:val="24"/>
          <w:lang w:val="en-IN"/>
        </w:rPr>
        <w:t>Pharmacol</w:t>
      </w:r>
      <w:proofErr w:type="spellEnd"/>
      <w:r w:rsidRPr="004115ED">
        <w:rPr>
          <w:rFonts w:ascii="Calibri" w:eastAsia="Calibri" w:hAnsi="Calibri" w:cs="Calibri"/>
          <w:sz w:val="24"/>
          <w:szCs w:val="24"/>
          <w:lang w:val="en-IN"/>
        </w:rPr>
        <w:t xml:space="preserve">. 2022;13:837756. </w:t>
      </w:r>
    </w:p>
    <w:p w14:paraId="1121A9C1" w14:textId="10637EBC"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lang w:val="en-IN"/>
        </w:rPr>
      </w:pPr>
      <w:r w:rsidRPr="004115ED">
        <w:rPr>
          <w:rFonts w:ascii="Calibri" w:eastAsia="Calibri" w:hAnsi="Calibri" w:cs="Calibri"/>
          <w:sz w:val="24"/>
          <w:szCs w:val="24"/>
          <w:lang w:val="en-IN"/>
        </w:rPr>
        <w:t xml:space="preserve">Aponte PM, Gutierrez-Reinoso MA, Garcia-Herreros M. Bridging the gap: animal models in next-generation reproductive technologies for male fertility preservation. Life (Basel). 2023;14(1). </w:t>
      </w:r>
    </w:p>
    <w:p w14:paraId="5109A1FB" w14:textId="1C96AB21" w:rsidR="004115ED" w:rsidRPr="004115ED" w:rsidRDefault="004115ED" w:rsidP="004115ED">
      <w:pPr>
        <w:pStyle w:val="ListParagraph"/>
        <w:numPr>
          <w:ilvl w:val="0"/>
          <w:numId w:val="6"/>
        </w:numPr>
        <w:spacing w:line="0" w:lineRule="atLeast"/>
        <w:jc w:val="both"/>
        <w:rPr>
          <w:rFonts w:ascii="Calibri" w:eastAsia="Calibri" w:hAnsi="Calibri" w:cs="Calibri"/>
          <w:sz w:val="24"/>
          <w:szCs w:val="24"/>
        </w:rPr>
      </w:pPr>
      <w:r w:rsidRPr="004115ED">
        <w:rPr>
          <w:rFonts w:ascii="Calibri" w:eastAsia="Calibri" w:hAnsi="Calibri" w:cs="Calibri"/>
          <w:sz w:val="24"/>
          <w:szCs w:val="24"/>
          <w:lang w:val="en-IN"/>
        </w:rPr>
        <w:t xml:space="preserve">Fen W, et al. A review for cell-based screening methods in drug discovery. </w:t>
      </w:r>
      <w:proofErr w:type="spellStart"/>
      <w:r w:rsidRPr="004115ED">
        <w:rPr>
          <w:rFonts w:ascii="Calibri" w:eastAsia="Calibri" w:hAnsi="Calibri" w:cs="Calibri"/>
          <w:sz w:val="24"/>
          <w:szCs w:val="24"/>
          <w:lang w:val="en-IN"/>
        </w:rPr>
        <w:t>Biophys</w:t>
      </w:r>
      <w:proofErr w:type="spellEnd"/>
      <w:r w:rsidRPr="004115ED">
        <w:rPr>
          <w:rFonts w:ascii="Calibri" w:eastAsia="Calibri" w:hAnsi="Calibri" w:cs="Calibri"/>
          <w:sz w:val="24"/>
          <w:szCs w:val="24"/>
          <w:lang w:val="en-IN"/>
        </w:rPr>
        <w:t xml:space="preserve"> Rep. 2021;7(6):504–516.</w:t>
      </w:r>
    </w:p>
    <w:sectPr w:rsidR="004115ED" w:rsidRPr="004115ED">
      <w:footerReference w:type="default" r:id="rId15"/>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EE253" w14:textId="77777777" w:rsidR="004503E9" w:rsidRDefault="004503E9">
      <w:pPr>
        <w:spacing w:line="240" w:lineRule="auto"/>
      </w:pPr>
      <w:r>
        <w:separator/>
      </w:r>
    </w:p>
  </w:endnote>
  <w:endnote w:type="continuationSeparator" w:id="0">
    <w:p w14:paraId="12AA3E65" w14:textId="77777777" w:rsidR="004503E9" w:rsidRDefault="004503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D6EF110-44AC-0644-828A-2DBFB8805668}"/>
    <w:embedBold r:id="rId2" w:fontKey="{AB913E06-3EB1-5641-915E-16F5189B434E}"/>
  </w:font>
  <w:font w:name="Calibri">
    <w:panose1 w:val="020F0502020204030204"/>
    <w:charset w:val="00"/>
    <w:family w:val="swiss"/>
    <w:pitch w:val="variable"/>
    <w:sig w:usb0="E0002AFF" w:usb1="C000247B" w:usb2="00000009" w:usb3="00000000" w:csb0="000001FF" w:csb1="00000000"/>
    <w:embedRegular r:id="rId3" w:fontKey="{D56F56CF-7449-924E-92F2-E7BD92BC0CD2}"/>
    <w:embedBold r:id="rId4" w:fontKey="{DA55C2B8-CFBE-9143-A19B-79BA3D3FA4B3}"/>
    <w:embedItalic r:id="rId5" w:fontKey="{393CCBA5-09BE-8040-B176-66B99059CBA9}"/>
  </w:font>
  <w:font w:name="Courier New">
    <w:panose1 w:val="02070309020205020404"/>
    <w:charset w:val="00"/>
    <w:family w:val="modern"/>
    <w:pitch w:val="fixed"/>
    <w:sig w:usb0="E0002EFF" w:usb1="C0007843" w:usb2="00000009" w:usb3="00000000" w:csb0="000001FF" w:csb1="00000000"/>
    <w:embedRegular r:id="rId6" w:fontKey="{4197E93A-367C-9E42-911B-EE0E4621E853}"/>
  </w:font>
  <w:font w:name="Wingdings">
    <w:panose1 w:val="05000000000000000000"/>
    <w:charset w:val="4D"/>
    <w:family w:val="decorative"/>
    <w:pitch w:val="variable"/>
    <w:sig w:usb0="00000003" w:usb1="00000000" w:usb2="00000000" w:usb3="00000000" w:csb0="80000001" w:csb1="00000000"/>
    <w:embedRegular r:id="rId7" w:fontKey="{7090E43A-F03F-EC40-86EA-61387044B56C}"/>
  </w:font>
  <w:font w:name="Symbol">
    <w:panose1 w:val="05050102010706020507"/>
    <w:charset w:val="02"/>
    <w:family w:val="decorative"/>
    <w:pitch w:val="variable"/>
    <w:sig w:usb0="00000000" w:usb1="10000000" w:usb2="00000000" w:usb3="00000000" w:csb0="80000000" w:csb1="00000000"/>
    <w:embedRegular r:id="rId8" w:fontKey="{4D0517A6-A398-6640-93BB-6C2EEF5198F9}"/>
  </w:font>
  <w:font w:name="Arial">
    <w:panose1 w:val="020B0604020202020204"/>
    <w:charset w:val="00"/>
    <w:family w:val="swiss"/>
    <w:pitch w:val="variable"/>
    <w:sig w:usb0="E0002AFF" w:usb1="C0007843" w:usb2="00000009" w:usb3="00000000" w:csb0="000001FF" w:csb1="00000000"/>
    <w:embedRegular r:id="rId9" w:fontKey="{FFA7971B-89EE-D64A-82FE-9EBC58B959E0}"/>
    <w:embedBold r:id="rId10" w:fontKey="{106DA7BE-3D3B-7C4B-A58F-2E9D5DE3E5DA}"/>
    <w:embedItalic r:id="rId11" w:fontKey="{283C6298-BC13-F84F-860B-39C6E21D5645}"/>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embedRegular r:id="rId12" w:fontKey="{356AEA1C-4A26-1645-A275-EA2CBAF3F106}"/>
  </w:font>
  <w:font w:name="Cambria">
    <w:panose1 w:val="02040503050406030204"/>
    <w:charset w:val="00"/>
    <w:family w:val="roman"/>
    <w:pitch w:val="variable"/>
    <w:sig w:usb0="E00006FF" w:usb1="420024FF" w:usb2="02000000" w:usb3="00000000" w:csb0="0000019F" w:csb1="00000000"/>
    <w:embedRegular r:id="rId13" w:fontKey="{D85845E1-A064-A940-ABBC-0786E8B2A3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800630"/>
      <w:docPartObj>
        <w:docPartGallery w:val="Page Numbers (Bottom of Page)"/>
        <w:docPartUnique/>
      </w:docPartObj>
    </w:sdtPr>
    <w:sdtEndPr>
      <w:rPr>
        <w:rFonts w:ascii="Calibri" w:hAnsi="Calibri" w:cs="Calibri"/>
        <w:noProof/>
        <w:sz w:val="24"/>
        <w:szCs w:val="24"/>
      </w:rPr>
    </w:sdtEndPr>
    <w:sdtContent>
      <w:p w14:paraId="14EC1D3A" w14:textId="5D798BA8" w:rsidR="00DC0FA5" w:rsidRPr="00DC0FA5" w:rsidRDefault="00DC0FA5">
        <w:pPr>
          <w:pStyle w:val="Footer"/>
          <w:jc w:val="center"/>
          <w:rPr>
            <w:rFonts w:ascii="Calibri" w:hAnsi="Calibri" w:cs="Calibri"/>
            <w:sz w:val="24"/>
            <w:szCs w:val="24"/>
          </w:rPr>
        </w:pPr>
        <w:r w:rsidRPr="00DC0FA5">
          <w:rPr>
            <w:rFonts w:ascii="Calibri" w:hAnsi="Calibri" w:cs="Calibri"/>
            <w:sz w:val="24"/>
            <w:szCs w:val="24"/>
          </w:rPr>
          <w:fldChar w:fldCharType="begin"/>
        </w:r>
        <w:r w:rsidRPr="00DC0FA5">
          <w:rPr>
            <w:rFonts w:ascii="Calibri" w:hAnsi="Calibri" w:cs="Calibri"/>
            <w:sz w:val="24"/>
            <w:szCs w:val="24"/>
          </w:rPr>
          <w:instrText xml:space="preserve"> PAGE   \* MERGEFORMAT </w:instrText>
        </w:r>
        <w:r w:rsidRPr="00DC0FA5">
          <w:rPr>
            <w:rFonts w:ascii="Calibri" w:hAnsi="Calibri" w:cs="Calibri"/>
            <w:sz w:val="24"/>
            <w:szCs w:val="24"/>
          </w:rPr>
          <w:fldChar w:fldCharType="separate"/>
        </w:r>
        <w:r w:rsidRPr="00DC0FA5">
          <w:rPr>
            <w:rFonts w:ascii="Calibri" w:hAnsi="Calibri" w:cs="Calibri"/>
            <w:noProof/>
            <w:sz w:val="24"/>
            <w:szCs w:val="24"/>
          </w:rPr>
          <w:t>2</w:t>
        </w:r>
        <w:r w:rsidRPr="00DC0FA5">
          <w:rPr>
            <w:rFonts w:ascii="Calibri" w:hAnsi="Calibri" w:cs="Calibri"/>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999CE" w14:textId="77777777" w:rsidR="004503E9" w:rsidRDefault="004503E9">
      <w:pPr>
        <w:spacing w:line="240" w:lineRule="auto"/>
      </w:pPr>
      <w:r>
        <w:separator/>
      </w:r>
    </w:p>
  </w:footnote>
  <w:footnote w:type="continuationSeparator" w:id="0">
    <w:p w14:paraId="356950ED" w14:textId="77777777" w:rsidR="004503E9" w:rsidRDefault="004503E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E99"/>
    <w:multiLevelType w:val="multilevel"/>
    <w:tmpl w:val="2D9C463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18DF5BB2"/>
    <w:multiLevelType w:val="hybridMultilevel"/>
    <w:tmpl w:val="FAF2E308"/>
    <w:lvl w:ilvl="0" w:tplc="A0D20EC0">
      <w:start w:val="1"/>
      <w:numFmt w:val="decimal"/>
      <w:lvlText w:val="%1."/>
      <w:lvlJc w:val="left"/>
      <w:pPr>
        <w:ind w:left="360" w:hanging="360"/>
      </w:pPr>
    </w:lvl>
    <w:lvl w:ilvl="1" w:tplc="168A1C62" w:tentative="1">
      <w:start w:val="1"/>
      <w:numFmt w:val="lowerLetter"/>
      <w:lvlText w:val="%2."/>
      <w:lvlJc w:val="left"/>
      <w:pPr>
        <w:ind w:left="1080" w:hanging="360"/>
      </w:pPr>
    </w:lvl>
    <w:lvl w:ilvl="2" w:tplc="2B38493A" w:tentative="1">
      <w:start w:val="1"/>
      <w:numFmt w:val="lowerRoman"/>
      <w:lvlText w:val="%3."/>
      <w:lvlJc w:val="right"/>
      <w:pPr>
        <w:ind w:left="1800" w:hanging="180"/>
      </w:pPr>
    </w:lvl>
    <w:lvl w:ilvl="3" w:tplc="94FE3ED8" w:tentative="1">
      <w:start w:val="1"/>
      <w:numFmt w:val="decimal"/>
      <w:lvlText w:val="%4."/>
      <w:lvlJc w:val="left"/>
      <w:pPr>
        <w:ind w:left="2520" w:hanging="360"/>
      </w:pPr>
    </w:lvl>
    <w:lvl w:ilvl="4" w:tplc="7914736C" w:tentative="1">
      <w:start w:val="1"/>
      <w:numFmt w:val="lowerLetter"/>
      <w:lvlText w:val="%5."/>
      <w:lvlJc w:val="left"/>
      <w:pPr>
        <w:ind w:left="3240" w:hanging="360"/>
      </w:pPr>
    </w:lvl>
    <w:lvl w:ilvl="5" w:tplc="51163C1C" w:tentative="1">
      <w:start w:val="1"/>
      <w:numFmt w:val="lowerRoman"/>
      <w:lvlText w:val="%6."/>
      <w:lvlJc w:val="right"/>
      <w:pPr>
        <w:ind w:left="3960" w:hanging="180"/>
      </w:pPr>
    </w:lvl>
    <w:lvl w:ilvl="6" w:tplc="54C0BAF2" w:tentative="1">
      <w:start w:val="1"/>
      <w:numFmt w:val="decimal"/>
      <w:lvlText w:val="%7."/>
      <w:lvlJc w:val="left"/>
      <w:pPr>
        <w:ind w:left="4680" w:hanging="360"/>
      </w:pPr>
    </w:lvl>
    <w:lvl w:ilvl="7" w:tplc="8E1E851C" w:tentative="1">
      <w:start w:val="1"/>
      <w:numFmt w:val="lowerLetter"/>
      <w:lvlText w:val="%8."/>
      <w:lvlJc w:val="left"/>
      <w:pPr>
        <w:ind w:left="5400" w:hanging="360"/>
      </w:pPr>
    </w:lvl>
    <w:lvl w:ilvl="8" w:tplc="27066918" w:tentative="1">
      <w:start w:val="1"/>
      <w:numFmt w:val="lowerRoman"/>
      <w:lvlText w:val="%9."/>
      <w:lvlJc w:val="right"/>
      <w:pPr>
        <w:ind w:left="6120" w:hanging="180"/>
      </w:pPr>
    </w:lvl>
  </w:abstractNum>
  <w:abstractNum w:abstractNumId="2" w15:restartNumberingAfterBreak="0">
    <w:nsid w:val="29276BDA"/>
    <w:multiLevelType w:val="hybridMultilevel"/>
    <w:tmpl w:val="E3D87136"/>
    <w:lvl w:ilvl="0" w:tplc="4C78F380">
      <w:start w:val="1"/>
      <w:numFmt w:val="decimal"/>
      <w:lvlText w:val="%1."/>
      <w:lvlJc w:val="left"/>
      <w:pPr>
        <w:ind w:left="720" w:hanging="360"/>
      </w:pPr>
      <w:rPr>
        <w:rFonts w:hint="default"/>
      </w:rPr>
    </w:lvl>
    <w:lvl w:ilvl="1" w:tplc="F70AC328" w:tentative="1">
      <w:start w:val="1"/>
      <w:numFmt w:val="lowerLetter"/>
      <w:lvlText w:val="%2."/>
      <w:lvlJc w:val="left"/>
      <w:pPr>
        <w:ind w:left="1440" w:hanging="360"/>
      </w:pPr>
    </w:lvl>
    <w:lvl w:ilvl="2" w:tplc="78CA5910" w:tentative="1">
      <w:start w:val="1"/>
      <w:numFmt w:val="lowerRoman"/>
      <w:lvlText w:val="%3."/>
      <w:lvlJc w:val="right"/>
      <w:pPr>
        <w:ind w:left="2160" w:hanging="180"/>
      </w:pPr>
    </w:lvl>
    <w:lvl w:ilvl="3" w:tplc="391C3BEC" w:tentative="1">
      <w:start w:val="1"/>
      <w:numFmt w:val="decimal"/>
      <w:lvlText w:val="%4."/>
      <w:lvlJc w:val="left"/>
      <w:pPr>
        <w:ind w:left="2880" w:hanging="360"/>
      </w:pPr>
    </w:lvl>
    <w:lvl w:ilvl="4" w:tplc="1610E4C2" w:tentative="1">
      <w:start w:val="1"/>
      <w:numFmt w:val="lowerLetter"/>
      <w:lvlText w:val="%5."/>
      <w:lvlJc w:val="left"/>
      <w:pPr>
        <w:ind w:left="3600" w:hanging="360"/>
      </w:pPr>
    </w:lvl>
    <w:lvl w:ilvl="5" w:tplc="7CD456B4" w:tentative="1">
      <w:start w:val="1"/>
      <w:numFmt w:val="lowerRoman"/>
      <w:lvlText w:val="%6."/>
      <w:lvlJc w:val="right"/>
      <w:pPr>
        <w:ind w:left="4320" w:hanging="180"/>
      </w:pPr>
    </w:lvl>
    <w:lvl w:ilvl="6" w:tplc="D206AA54" w:tentative="1">
      <w:start w:val="1"/>
      <w:numFmt w:val="decimal"/>
      <w:lvlText w:val="%7."/>
      <w:lvlJc w:val="left"/>
      <w:pPr>
        <w:ind w:left="5040" w:hanging="360"/>
      </w:pPr>
    </w:lvl>
    <w:lvl w:ilvl="7" w:tplc="CFC44CDE" w:tentative="1">
      <w:start w:val="1"/>
      <w:numFmt w:val="lowerLetter"/>
      <w:lvlText w:val="%8."/>
      <w:lvlJc w:val="left"/>
      <w:pPr>
        <w:ind w:left="5760" w:hanging="360"/>
      </w:pPr>
    </w:lvl>
    <w:lvl w:ilvl="8" w:tplc="7156572C" w:tentative="1">
      <w:start w:val="1"/>
      <w:numFmt w:val="lowerRoman"/>
      <w:lvlText w:val="%9."/>
      <w:lvlJc w:val="right"/>
      <w:pPr>
        <w:ind w:left="6480" w:hanging="180"/>
      </w:pPr>
    </w:lvl>
  </w:abstractNum>
  <w:abstractNum w:abstractNumId="3" w15:restartNumberingAfterBreak="0">
    <w:nsid w:val="30BF3C4A"/>
    <w:multiLevelType w:val="hybridMultilevel"/>
    <w:tmpl w:val="95E8641E"/>
    <w:lvl w:ilvl="0" w:tplc="894465AA">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4F85B8A"/>
    <w:multiLevelType w:val="multilevel"/>
    <w:tmpl w:val="06B46F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D4A4DBF"/>
    <w:multiLevelType w:val="hybridMultilevel"/>
    <w:tmpl w:val="C06806C8"/>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6" w15:restartNumberingAfterBreak="0">
    <w:nsid w:val="7F4F58DA"/>
    <w:multiLevelType w:val="multilevel"/>
    <w:tmpl w:val="C7A0FB6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55852067">
    <w:abstractNumId w:val="0"/>
  </w:num>
  <w:num w:numId="2" w16cid:durableId="1701083582">
    <w:abstractNumId w:val="4"/>
  </w:num>
  <w:num w:numId="3" w16cid:durableId="86921890">
    <w:abstractNumId w:val="6"/>
  </w:num>
  <w:num w:numId="4" w16cid:durableId="870457261">
    <w:abstractNumId w:val="2"/>
  </w:num>
  <w:num w:numId="5" w16cid:durableId="1445659531">
    <w:abstractNumId w:val="1"/>
  </w:num>
  <w:num w:numId="6" w16cid:durableId="897205749">
    <w:abstractNumId w:val="5"/>
  </w:num>
  <w:num w:numId="7" w16cid:durableId="5133466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removePersonalInformation/>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B63"/>
    <w:rsid w:val="00020650"/>
    <w:rsid w:val="00022F5E"/>
    <w:rsid w:val="00030D93"/>
    <w:rsid w:val="00031436"/>
    <w:rsid w:val="00041D99"/>
    <w:rsid w:val="000515AC"/>
    <w:rsid w:val="00064A02"/>
    <w:rsid w:val="00072455"/>
    <w:rsid w:val="0007375A"/>
    <w:rsid w:val="00073983"/>
    <w:rsid w:val="000833BB"/>
    <w:rsid w:val="00083BB4"/>
    <w:rsid w:val="000A0E6E"/>
    <w:rsid w:val="000B2233"/>
    <w:rsid w:val="000B2D64"/>
    <w:rsid w:val="000B7C83"/>
    <w:rsid w:val="000C0FCC"/>
    <w:rsid w:val="000E74F2"/>
    <w:rsid w:val="000F3EED"/>
    <w:rsid w:val="000F4BF2"/>
    <w:rsid w:val="00115419"/>
    <w:rsid w:val="001205BE"/>
    <w:rsid w:val="00120E11"/>
    <w:rsid w:val="001236A2"/>
    <w:rsid w:val="0013565F"/>
    <w:rsid w:val="00141450"/>
    <w:rsid w:val="00174BF8"/>
    <w:rsid w:val="00187690"/>
    <w:rsid w:val="00192C1E"/>
    <w:rsid w:val="001935F6"/>
    <w:rsid w:val="001952DB"/>
    <w:rsid w:val="001B65CE"/>
    <w:rsid w:val="001C4562"/>
    <w:rsid w:val="001C5E4B"/>
    <w:rsid w:val="001D6045"/>
    <w:rsid w:val="001D7FAC"/>
    <w:rsid w:val="001E1527"/>
    <w:rsid w:val="00206EF3"/>
    <w:rsid w:val="00213024"/>
    <w:rsid w:val="00214E0D"/>
    <w:rsid w:val="002173A1"/>
    <w:rsid w:val="00217671"/>
    <w:rsid w:val="00230EA0"/>
    <w:rsid w:val="00232FD9"/>
    <w:rsid w:val="00233204"/>
    <w:rsid w:val="002336E5"/>
    <w:rsid w:val="002428B5"/>
    <w:rsid w:val="00265659"/>
    <w:rsid w:val="002679B3"/>
    <w:rsid w:val="002754F9"/>
    <w:rsid w:val="00281AAC"/>
    <w:rsid w:val="002865A8"/>
    <w:rsid w:val="00291E19"/>
    <w:rsid w:val="002B0233"/>
    <w:rsid w:val="002B13BE"/>
    <w:rsid w:val="002B58D0"/>
    <w:rsid w:val="002B6B25"/>
    <w:rsid w:val="002B75C3"/>
    <w:rsid w:val="002D39D5"/>
    <w:rsid w:val="002E06B2"/>
    <w:rsid w:val="002E659A"/>
    <w:rsid w:val="002F1A5A"/>
    <w:rsid w:val="00303F81"/>
    <w:rsid w:val="00313983"/>
    <w:rsid w:val="00316496"/>
    <w:rsid w:val="00325311"/>
    <w:rsid w:val="00343B71"/>
    <w:rsid w:val="003453A3"/>
    <w:rsid w:val="00352BA5"/>
    <w:rsid w:val="00355C66"/>
    <w:rsid w:val="003700C6"/>
    <w:rsid w:val="003736D5"/>
    <w:rsid w:val="00384705"/>
    <w:rsid w:val="00390DD6"/>
    <w:rsid w:val="003A6AEA"/>
    <w:rsid w:val="003B2040"/>
    <w:rsid w:val="003C56EC"/>
    <w:rsid w:val="003C6D77"/>
    <w:rsid w:val="003C7318"/>
    <w:rsid w:val="003D0F3B"/>
    <w:rsid w:val="003E76BF"/>
    <w:rsid w:val="003F15EE"/>
    <w:rsid w:val="003F233F"/>
    <w:rsid w:val="003F2F3B"/>
    <w:rsid w:val="004059ED"/>
    <w:rsid w:val="004113A1"/>
    <w:rsid w:val="004115ED"/>
    <w:rsid w:val="004144E5"/>
    <w:rsid w:val="0042054D"/>
    <w:rsid w:val="00423CFA"/>
    <w:rsid w:val="004259F4"/>
    <w:rsid w:val="00435C5D"/>
    <w:rsid w:val="0044799E"/>
    <w:rsid w:val="004503E9"/>
    <w:rsid w:val="00451233"/>
    <w:rsid w:val="0045443C"/>
    <w:rsid w:val="00454D59"/>
    <w:rsid w:val="0045754C"/>
    <w:rsid w:val="00463C9A"/>
    <w:rsid w:val="00472F64"/>
    <w:rsid w:val="0047579E"/>
    <w:rsid w:val="00475DA5"/>
    <w:rsid w:val="004779D3"/>
    <w:rsid w:val="0049475B"/>
    <w:rsid w:val="004A4467"/>
    <w:rsid w:val="004A4FA0"/>
    <w:rsid w:val="004A5A56"/>
    <w:rsid w:val="004C202A"/>
    <w:rsid w:val="004C2314"/>
    <w:rsid w:val="004E04F1"/>
    <w:rsid w:val="004E42CA"/>
    <w:rsid w:val="004E5224"/>
    <w:rsid w:val="004F79AF"/>
    <w:rsid w:val="005341B6"/>
    <w:rsid w:val="005360D9"/>
    <w:rsid w:val="00537FB5"/>
    <w:rsid w:val="00545EFC"/>
    <w:rsid w:val="00546A1B"/>
    <w:rsid w:val="0055064B"/>
    <w:rsid w:val="005521E6"/>
    <w:rsid w:val="005610BB"/>
    <w:rsid w:val="005668EA"/>
    <w:rsid w:val="0057014B"/>
    <w:rsid w:val="00571B33"/>
    <w:rsid w:val="0058007B"/>
    <w:rsid w:val="00581588"/>
    <w:rsid w:val="00587A1B"/>
    <w:rsid w:val="00591FE2"/>
    <w:rsid w:val="00592232"/>
    <w:rsid w:val="00592DA7"/>
    <w:rsid w:val="005948C3"/>
    <w:rsid w:val="0059736B"/>
    <w:rsid w:val="005B31EA"/>
    <w:rsid w:val="005C68B5"/>
    <w:rsid w:val="005E0D9B"/>
    <w:rsid w:val="005E13A7"/>
    <w:rsid w:val="005F746E"/>
    <w:rsid w:val="0060085F"/>
    <w:rsid w:val="00607401"/>
    <w:rsid w:val="006240FF"/>
    <w:rsid w:val="00625C68"/>
    <w:rsid w:val="006305F9"/>
    <w:rsid w:val="00633849"/>
    <w:rsid w:val="006348A4"/>
    <w:rsid w:val="00634DB7"/>
    <w:rsid w:val="00637E28"/>
    <w:rsid w:val="00645839"/>
    <w:rsid w:val="006507AB"/>
    <w:rsid w:val="00653A4C"/>
    <w:rsid w:val="00655B61"/>
    <w:rsid w:val="00657DEB"/>
    <w:rsid w:val="0066066E"/>
    <w:rsid w:val="00674F5A"/>
    <w:rsid w:val="00676379"/>
    <w:rsid w:val="00677E38"/>
    <w:rsid w:val="00687127"/>
    <w:rsid w:val="006900A4"/>
    <w:rsid w:val="006917FA"/>
    <w:rsid w:val="00692A64"/>
    <w:rsid w:val="006A1247"/>
    <w:rsid w:val="006A169B"/>
    <w:rsid w:val="006A4577"/>
    <w:rsid w:val="006B176C"/>
    <w:rsid w:val="006C7BAC"/>
    <w:rsid w:val="006E2C48"/>
    <w:rsid w:val="006F1D34"/>
    <w:rsid w:val="007043AC"/>
    <w:rsid w:val="00704B5D"/>
    <w:rsid w:val="00720A34"/>
    <w:rsid w:val="007301FD"/>
    <w:rsid w:val="00733AA4"/>
    <w:rsid w:val="007343B2"/>
    <w:rsid w:val="007656DE"/>
    <w:rsid w:val="00770DDB"/>
    <w:rsid w:val="00775F39"/>
    <w:rsid w:val="00776C07"/>
    <w:rsid w:val="00786F2C"/>
    <w:rsid w:val="00790F7D"/>
    <w:rsid w:val="00793488"/>
    <w:rsid w:val="00793F62"/>
    <w:rsid w:val="00797730"/>
    <w:rsid w:val="007A0BB8"/>
    <w:rsid w:val="007A2CB4"/>
    <w:rsid w:val="007A453A"/>
    <w:rsid w:val="007B6739"/>
    <w:rsid w:val="007C24D1"/>
    <w:rsid w:val="007C5828"/>
    <w:rsid w:val="007D1A43"/>
    <w:rsid w:val="007D79D1"/>
    <w:rsid w:val="007E6928"/>
    <w:rsid w:val="007F55EC"/>
    <w:rsid w:val="007F7194"/>
    <w:rsid w:val="008177CF"/>
    <w:rsid w:val="00831663"/>
    <w:rsid w:val="00844C53"/>
    <w:rsid w:val="008474A1"/>
    <w:rsid w:val="008666BB"/>
    <w:rsid w:val="00874CDF"/>
    <w:rsid w:val="00884482"/>
    <w:rsid w:val="00890999"/>
    <w:rsid w:val="008B0A0C"/>
    <w:rsid w:val="008B5D75"/>
    <w:rsid w:val="008B61C6"/>
    <w:rsid w:val="008C47AE"/>
    <w:rsid w:val="008E402A"/>
    <w:rsid w:val="008F0672"/>
    <w:rsid w:val="008F094F"/>
    <w:rsid w:val="00903C98"/>
    <w:rsid w:val="009065B1"/>
    <w:rsid w:val="00913E5E"/>
    <w:rsid w:val="00914EB8"/>
    <w:rsid w:val="009229D0"/>
    <w:rsid w:val="009265DC"/>
    <w:rsid w:val="0093062F"/>
    <w:rsid w:val="00933B77"/>
    <w:rsid w:val="009569B9"/>
    <w:rsid w:val="009611A0"/>
    <w:rsid w:val="0096438A"/>
    <w:rsid w:val="00964637"/>
    <w:rsid w:val="009C5F0A"/>
    <w:rsid w:val="009C6436"/>
    <w:rsid w:val="009C6C89"/>
    <w:rsid w:val="009C7ED8"/>
    <w:rsid w:val="009D2208"/>
    <w:rsid w:val="009D40B2"/>
    <w:rsid w:val="009E3FC4"/>
    <w:rsid w:val="009F233F"/>
    <w:rsid w:val="009F5188"/>
    <w:rsid w:val="00A06BA8"/>
    <w:rsid w:val="00A11A7A"/>
    <w:rsid w:val="00A146E3"/>
    <w:rsid w:val="00A41047"/>
    <w:rsid w:val="00A43612"/>
    <w:rsid w:val="00A438D8"/>
    <w:rsid w:val="00A44613"/>
    <w:rsid w:val="00A44B77"/>
    <w:rsid w:val="00A464CF"/>
    <w:rsid w:val="00A5754F"/>
    <w:rsid w:val="00A62A4B"/>
    <w:rsid w:val="00A642B0"/>
    <w:rsid w:val="00A71602"/>
    <w:rsid w:val="00A7533B"/>
    <w:rsid w:val="00A83B59"/>
    <w:rsid w:val="00A91338"/>
    <w:rsid w:val="00AA1F46"/>
    <w:rsid w:val="00AC2BE2"/>
    <w:rsid w:val="00AE0A9D"/>
    <w:rsid w:val="00B049F1"/>
    <w:rsid w:val="00B30A1B"/>
    <w:rsid w:val="00B3240A"/>
    <w:rsid w:val="00B34785"/>
    <w:rsid w:val="00B4181A"/>
    <w:rsid w:val="00B4697D"/>
    <w:rsid w:val="00B5147E"/>
    <w:rsid w:val="00B7032C"/>
    <w:rsid w:val="00B94801"/>
    <w:rsid w:val="00BC3E4A"/>
    <w:rsid w:val="00BD2CAF"/>
    <w:rsid w:val="00BD4E0E"/>
    <w:rsid w:val="00BD7DEB"/>
    <w:rsid w:val="00C05BF3"/>
    <w:rsid w:val="00C30B3B"/>
    <w:rsid w:val="00C37A84"/>
    <w:rsid w:val="00C45AF3"/>
    <w:rsid w:val="00C569AA"/>
    <w:rsid w:val="00C65163"/>
    <w:rsid w:val="00C6688B"/>
    <w:rsid w:val="00C70D7C"/>
    <w:rsid w:val="00C811DD"/>
    <w:rsid w:val="00C829FC"/>
    <w:rsid w:val="00C852BA"/>
    <w:rsid w:val="00C87F4D"/>
    <w:rsid w:val="00C93214"/>
    <w:rsid w:val="00CA338B"/>
    <w:rsid w:val="00CE4597"/>
    <w:rsid w:val="00CF2585"/>
    <w:rsid w:val="00CF7D60"/>
    <w:rsid w:val="00D022C5"/>
    <w:rsid w:val="00D22FC8"/>
    <w:rsid w:val="00D26E4E"/>
    <w:rsid w:val="00D3594A"/>
    <w:rsid w:val="00D36F98"/>
    <w:rsid w:val="00D40E06"/>
    <w:rsid w:val="00D43A94"/>
    <w:rsid w:val="00D51043"/>
    <w:rsid w:val="00D569FD"/>
    <w:rsid w:val="00D86107"/>
    <w:rsid w:val="00DA2C4A"/>
    <w:rsid w:val="00DA6FC0"/>
    <w:rsid w:val="00DA7D00"/>
    <w:rsid w:val="00DC0FA5"/>
    <w:rsid w:val="00DD23A5"/>
    <w:rsid w:val="00DE1B63"/>
    <w:rsid w:val="00E008FD"/>
    <w:rsid w:val="00E14309"/>
    <w:rsid w:val="00E1758D"/>
    <w:rsid w:val="00E3559D"/>
    <w:rsid w:val="00E66D0E"/>
    <w:rsid w:val="00E73D4E"/>
    <w:rsid w:val="00E95D2E"/>
    <w:rsid w:val="00EA58FE"/>
    <w:rsid w:val="00EA7CAE"/>
    <w:rsid w:val="00EB4855"/>
    <w:rsid w:val="00EC177C"/>
    <w:rsid w:val="00EC469F"/>
    <w:rsid w:val="00EC51BF"/>
    <w:rsid w:val="00ED0339"/>
    <w:rsid w:val="00ED2C63"/>
    <w:rsid w:val="00EE4540"/>
    <w:rsid w:val="00EE5D84"/>
    <w:rsid w:val="00EF0762"/>
    <w:rsid w:val="00EF6D39"/>
    <w:rsid w:val="00EF776F"/>
    <w:rsid w:val="00F061F9"/>
    <w:rsid w:val="00F224DC"/>
    <w:rsid w:val="00F323EF"/>
    <w:rsid w:val="00F376E4"/>
    <w:rsid w:val="00F52AE8"/>
    <w:rsid w:val="00F564B9"/>
    <w:rsid w:val="00F60E81"/>
    <w:rsid w:val="00F642AE"/>
    <w:rsid w:val="00F65BED"/>
    <w:rsid w:val="00F70117"/>
    <w:rsid w:val="00F71303"/>
    <w:rsid w:val="00F829DE"/>
    <w:rsid w:val="00F859B9"/>
    <w:rsid w:val="00FA613B"/>
    <w:rsid w:val="00FB46C8"/>
    <w:rsid w:val="00FB78C5"/>
    <w:rsid w:val="00FC3213"/>
    <w:rsid w:val="00FC70F4"/>
    <w:rsid w:val="00FD7DAF"/>
    <w:rsid w:val="00FE3BC0"/>
    <w:rsid w:val="00FE6AB5"/>
    <w:rsid w:val="00FF1D49"/>
    <w:rsid w:val="00FF63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D8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Batang"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LineNumber">
    <w:name w:val="line number"/>
    <w:basedOn w:val="DefaultParagraphFont"/>
    <w:uiPriority w:val="99"/>
    <w:semiHidden/>
    <w:unhideWhenUsed/>
    <w:rsid w:val="000B2D64"/>
  </w:style>
  <w:style w:type="paragraph" w:styleId="Header">
    <w:name w:val="header"/>
    <w:basedOn w:val="Normal"/>
    <w:link w:val="HeaderChar"/>
    <w:uiPriority w:val="99"/>
    <w:unhideWhenUsed/>
    <w:rsid w:val="000B2D64"/>
    <w:pPr>
      <w:tabs>
        <w:tab w:val="center" w:pos="4680"/>
        <w:tab w:val="right" w:pos="9360"/>
      </w:tabs>
      <w:spacing w:line="240" w:lineRule="auto"/>
    </w:pPr>
  </w:style>
  <w:style w:type="character" w:customStyle="1" w:styleId="HeaderChar">
    <w:name w:val="Header Char"/>
    <w:basedOn w:val="DefaultParagraphFont"/>
    <w:link w:val="Header"/>
    <w:uiPriority w:val="99"/>
    <w:rsid w:val="000B2D64"/>
  </w:style>
  <w:style w:type="paragraph" w:styleId="Footer">
    <w:name w:val="footer"/>
    <w:basedOn w:val="Normal"/>
    <w:link w:val="FooterChar"/>
    <w:uiPriority w:val="99"/>
    <w:unhideWhenUsed/>
    <w:rsid w:val="000B2D64"/>
    <w:pPr>
      <w:tabs>
        <w:tab w:val="center" w:pos="4680"/>
        <w:tab w:val="right" w:pos="9360"/>
      </w:tabs>
      <w:spacing w:line="240" w:lineRule="auto"/>
    </w:pPr>
  </w:style>
  <w:style w:type="character" w:customStyle="1" w:styleId="FooterChar">
    <w:name w:val="Footer Char"/>
    <w:basedOn w:val="DefaultParagraphFont"/>
    <w:link w:val="Footer"/>
    <w:uiPriority w:val="99"/>
    <w:rsid w:val="000B2D64"/>
  </w:style>
  <w:style w:type="character" w:styleId="Hyperlink">
    <w:name w:val="Hyperlink"/>
    <w:basedOn w:val="DefaultParagraphFont"/>
    <w:uiPriority w:val="99"/>
    <w:unhideWhenUsed/>
    <w:rsid w:val="00B3240A"/>
    <w:rPr>
      <w:color w:val="0000FF" w:themeColor="hyperlink"/>
      <w:u w:val="single"/>
    </w:rPr>
  </w:style>
  <w:style w:type="character" w:styleId="UnresolvedMention">
    <w:name w:val="Unresolved Mention"/>
    <w:basedOn w:val="DefaultParagraphFont"/>
    <w:uiPriority w:val="99"/>
    <w:semiHidden/>
    <w:unhideWhenUsed/>
    <w:rsid w:val="00B3240A"/>
    <w:rPr>
      <w:color w:val="605E5C"/>
      <w:shd w:val="clear" w:color="auto" w:fill="E1DFDD"/>
    </w:rPr>
  </w:style>
  <w:style w:type="paragraph" w:styleId="ListParagraph">
    <w:name w:val="List Paragraph"/>
    <w:basedOn w:val="Normal"/>
    <w:uiPriority w:val="34"/>
    <w:qFormat/>
    <w:rsid w:val="00F323EF"/>
    <w:pPr>
      <w:ind w:left="720"/>
      <w:contextualSpacing/>
    </w:pPr>
  </w:style>
  <w:style w:type="paragraph" w:styleId="NormalWeb">
    <w:name w:val="Normal (Web)"/>
    <w:basedOn w:val="Normal"/>
    <w:uiPriority w:val="99"/>
    <w:semiHidden/>
    <w:unhideWhenUsed/>
    <w:rsid w:val="00A5754F"/>
    <w:pPr>
      <w:spacing w:before="100" w:beforeAutospacing="1" w:after="100" w:afterAutospacing="1" w:line="240" w:lineRule="auto"/>
    </w:pPr>
    <w:rPr>
      <w:rFonts w:ascii="Times New Roman" w:eastAsiaTheme="minorEastAsia" w:hAnsi="Times New Roman" w:cs="Times New Roman"/>
      <w:sz w:val="24"/>
      <w:szCs w:val="24"/>
      <w:lang w:val="en-US" w:eastAsia="ko-KR"/>
    </w:rPr>
  </w:style>
  <w:style w:type="character" w:customStyle="1" w:styleId="csl-left-margin">
    <w:name w:val="csl-left-margin"/>
    <w:basedOn w:val="DefaultParagraphFont"/>
    <w:rsid w:val="00A5754F"/>
  </w:style>
  <w:style w:type="character" w:customStyle="1" w:styleId="csl-right-inline">
    <w:name w:val="csl-right-inline"/>
    <w:basedOn w:val="DefaultParagraphFont"/>
    <w:rsid w:val="00A5754F"/>
  </w:style>
  <w:style w:type="character" w:styleId="Strong">
    <w:name w:val="Strong"/>
    <w:basedOn w:val="DefaultParagraphFont"/>
    <w:uiPriority w:val="22"/>
    <w:qFormat/>
    <w:rsid w:val="001D7FAC"/>
    <w:rPr>
      <w:b/>
      <w:bCs/>
    </w:rPr>
  </w:style>
  <w:style w:type="character" w:styleId="CommentReference">
    <w:name w:val="annotation reference"/>
    <w:basedOn w:val="DefaultParagraphFont"/>
    <w:uiPriority w:val="99"/>
    <w:semiHidden/>
    <w:unhideWhenUsed/>
    <w:rsid w:val="002865A8"/>
    <w:rPr>
      <w:sz w:val="16"/>
      <w:szCs w:val="16"/>
    </w:rPr>
  </w:style>
  <w:style w:type="paragraph" w:styleId="CommentText">
    <w:name w:val="annotation text"/>
    <w:basedOn w:val="Normal"/>
    <w:link w:val="CommentTextChar"/>
    <w:uiPriority w:val="99"/>
    <w:semiHidden/>
    <w:unhideWhenUsed/>
    <w:rsid w:val="002865A8"/>
    <w:pPr>
      <w:spacing w:line="240" w:lineRule="auto"/>
    </w:pPr>
    <w:rPr>
      <w:sz w:val="20"/>
      <w:szCs w:val="20"/>
    </w:rPr>
  </w:style>
  <w:style w:type="character" w:customStyle="1" w:styleId="CommentTextChar">
    <w:name w:val="Comment Text Char"/>
    <w:basedOn w:val="DefaultParagraphFont"/>
    <w:link w:val="CommentText"/>
    <w:uiPriority w:val="99"/>
    <w:semiHidden/>
    <w:rsid w:val="002865A8"/>
    <w:rPr>
      <w:sz w:val="20"/>
      <w:szCs w:val="20"/>
    </w:rPr>
  </w:style>
  <w:style w:type="paragraph" w:styleId="CommentSubject">
    <w:name w:val="annotation subject"/>
    <w:basedOn w:val="CommentText"/>
    <w:next w:val="CommentText"/>
    <w:link w:val="CommentSubjectChar"/>
    <w:uiPriority w:val="99"/>
    <w:semiHidden/>
    <w:unhideWhenUsed/>
    <w:rsid w:val="002865A8"/>
    <w:rPr>
      <w:b/>
      <w:bCs/>
    </w:rPr>
  </w:style>
  <w:style w:type="character" w:customStyle="1" w:styleId="CommentSubjectChar">
    <w:name w:val="Comment Subject Char"/>
    <w:basedOn w:val="CommentTextChar"/>
    <w:link w:val="CommentSubject"/>
    <w:uiPriority w:val="99"/>
    <w:semiHidden/>
    <w:rsid w:val="002865A8"/>
    <w:rPr>
      <w:b/>
      <w:bCs/>
      <w:sz w:val="20"/>
      <w:szCs w:val="20"/>
    </w:rPr>
  </w:style>
  <w:style w:type="paragraph" w:styleId="Revision">
    <w:name w:val="Revision"/>
    <w:hidden/>
    <w:uiPriority w:val="99"/>
    <w:semiHidden/>
    <w:rsid w:val="00793488"/>
    <w:pPr>
      <w:spacing w:line="240" w:lineRule="auto"/>
    </w:pPr>
  </w:style>
  <w:style w:type="paragraph" w:customStyle="1" w:styleId="font-claude-response-body">
    <w:name w:val="font-claude-response-body"/>
    <w:basedOn w:val="Normal"/>
    <w:rsid w:val="009265DC"/>
    <w:pPr>
      <w:spacing w:before="100" w:beforeAutospacing="1" w:after="100" w:afterAutospacing="1" w:line="240" w:lineRule="auto"/>
    </w:pPr>
    <w:rPr>
      <w:rFonts w:ascii="Times New Roman" w:eastAsia="Times New Roman" w:hAnsi="Times New Roman" w:cs="Times New Roman"/>
      <w:sz w:val="24"/>
      <w:szCs w:val="24"/>
      <w:lang w:val="en-US" w:eastAsia="ko-KR"/>
    </w:rPr>
  </w:style>
  <w:style w:type="character" w:customStyle="1" w:styleId="ll-highlight-and-annotate">
    <w:name w:val="ll-highlight-and-annotate"/>
    <w:basedOn w:val="DefaultParagraphFont"/>
    <w:rsid w:val="003A6AEA"/>
  </w:style>
  <w:style w:type="paragraph" w:customStyle="1" w:styleId="p1">
    <w:name w:val="p1"/>
    <w:basedOn w:val="Normal"/>
    <w:rsid w:val="005E13A7"/>
    <w:pPr>
      <w:spacing w:before="100" w:beforeAutospacing="1" w:after="100" w:afterAutospacing="1" w:line="240" w:lineRule="auto"/>
    </w:pPr>
    <w:rPr>
      <w:rFonts w:ascii="Times New Roman" w:eastAsia="Times New Roman" w:hAnsi="Times New Roman" w:cs="Times New Roman"/>
      <w:sz w:val="24"/>
      <w:szCs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zoeyh2@uci.edu" TargetMode="External"/><Relationship Id="rId13" Type="http://schemas.openxmlformats.org/officeDocument/2006/relationships/hyperlink" Target="mailto:jicheny0304@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zkan@uci.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ejoons@uci.ed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kirary@uci.edu" TargetMode="External"/><Relationship Id="rId4" Type="http://schemas.openxmlformats.org/officeDocument/2006/relationships/settings" Target="settings.xml"/><Relationship Id="rId9" Type="http://schemas.openxmlformats.org/officeDocument/2006/relationships/hyperlink" Target="mailto:chene21@uci.edu" TargetMode="External"/><Relationship Id="rId14" Type="http://schemas.openxmlformats.org/officeDocument/2006/relationships/hyperlink" Target="mailto:jeffrey.kim@uci.ed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E01E46-E1E2-8243-9862-F8D2A93AAD00}">
  <we:reference id="wa200002534" version="7.0.0.1" store="en-001" storeType="omex"/>
  <we:alternateReferences>
    <we:reference id="WA200002534" version="7.0.0.1" store="WA200002534" storeType="omex"/>
  </we:alternateReferences>
  <we:properties>
    <we:property name="sciwheel-csl-items" value="[{&quot;title&quot;:&quot;Zebrafish as tools for drug discovery.&quot;,&quot;page&quot;:&quot;721-731&quot;,&quot;volume&quot;:&quot;14&quot;,&quot;issue&quot;:&quot;10&quot;,&quot;journalAbbreviation&quot;:&quot;Nat. Rev. Drug Discov.&quot;,&quot;id&quot;:&quot;755736&quot;,&quot;type&quot;:&quot;article-journal&quot;,&quot;container-title&quot;:&quot;Nature Reviews. Drug Discovery&quot;,&quot;container-title-short&quot;:&quot;Nat. Rev. Drug Discov.&quot;,&quot;abstract&quot;:&quot;The zebrafish has become a prominent vertebrate model for disease and has already contributed to several examples of successful phenotype-based drug discovery. For the zebrafish to become useful in drug development more broadly, key hurdles must be overcome, including a more comprehensive elucidation of the similarities and differences between human and zebrafish biology. Recent studies have begun to establish the capabilities and limitations of zebrafish for disease modelling, drug screening, target identification, pharmacology, and toxicology. As our understanding increases and as the technologies for manipulating zebrafish improve, it is hoped that the zebrafish will have a key role in accelerating the emergence of precision medicine.&quot;,&quot;author&quot;:[{&quot;family&quot;:&quot;MacRae&quot;,&quot;given&quot;:&quot;Calum A&quot;},{&quot;family&quot;:&quot;Peterson&quot;,&quot;given&quot;:&quot;Randall T&quot;}],&quot;issued&quot;:{&quot;date-parts&quot;:[[&quot;2015&quot;,&quot;10&quot;]]},&quot;DOI&quot;:&quot;10.1038/nrd4627&quot;,&quot;PMID&quot;:&quot;26361349&quot;,&quot;citation-label&quot;:&quot;755736&quot;},{&quot;title&quot;:&quot;Spawning Conditions Affect Clutch Probability and Size in Laboratory-Housed Zebrafish (Danio rerio)&quot;,&quot;page&quot;:&quot;47-58&quot;,&quot;volume&quot;:&quot;20&quot;,&quot;issue&quot;:&quot;1&quot;,&quot;journalAbbreviation&quot;:&quot;AJUR&quot;,&quot;id&quot;:&quot;18739072&quot;,&quot;type&quot;:&quot;article-journal&quot;,&quot;container-title&quot;:&quot;American journal of undergraduate research&quot;,&quot;container-title-short&quot;:&quot;AJUR&quot;,&quot;abstract&quot;:&quot;Zebrafish are common experimental models used in biological studies that are bred and raised in laboratory settings. Published studies, anecdotal evidence, and industry practices are variable and offer conflicting suggestions on maximizing reproductive success, particularly regarding sex ratios and segregating males and females before spawning. This study identified conditions that promote maximum reproductive success (clutch probability and average clutch size) in zebrafish. Clutch probability was higher when females were seven to ten months old and bred in groups with equal sex ratios and an artificial spawning substrate in the winter or spring. Clutch size was significantly larger when females were seven to ten months old, outnumbered by males, and bred with an artificial spawning substrate. Optional spawning substrates (marbles and plants) improved reproductive success, whereas other parameters had no impact. These data support the implementation of simple steps that reliably maximize reproductive success of laboratory zebrafish. KEYWORDS: Reproduction; Breeding; Seasonality; Behavior; Substrate; Sex Ratios; Captivity; Eggs&quot;,&quot;author&quot;:[{&quot;family&quot;:&quot;Anderson&quot;,&quot;given&quot;:&quot;Sydni&quot;},{&quot;family&quot;:&quot;Sipes&quot;,&quot;given&quot;:&quot;Elizabeth&quot;},{&quot;family&quot;:&quot;Franke&quot;,&quot;given&quot;:&quot;Megan&quot;},{&quot;family&quot;:&quot;Hammond-Weinberger&quot;,&quot;given&quot;:&quot;Dena&quot;}],&quot;issued&quot;:{&quot;date-parts&quot;:[[&quot;2023&quot;,&quot;6&quot;,&quot;30&quot;]]},&quot;DOI&quot;:&quot;10.33697/ajur.2023.079&quot;,&quot;citation-label&quot;:&quot;18739072&quot;},{&quot;title&quot;:&quot;The Zebrafish Book. A Guide for the Laboratory Use of Zebrafish (Danio rerio), 5th Edition&quot;,&quot;id&quot;:&quot;18739842&quot;,&quot;type&quot;:&quot;book&quot;,&quot;editor&quot;:[{&quot;family&quot;:&quot;Westerfield&quot;,&quot;given&quot;:&quot;M&quot;}],&quot;issued&quot;:{&quot;date-parts&quot;:[[&quot;2007&quot;]]},&quot;citation-label&quot;:&quot;18739842&quot;},{&quot;title&quot;:&quot;Regular Care and Maintenance of a Zebrafish (Danio rerio) Laboratory: An Introduction&quot;,&quot;issue&quot;:&quot;69&quot;,&quot;journalAbbreviation&quot;:&quot;JOVE&quot;,&quot;id&quot;:&quot;18739844&quot;,&quot;type&quot;:&quot;article-journal&quot;,&quot;container-title&quot;:&quot;JOVE&quot;,&quot;container-title-short&quot;:&quot;JOVE&quot;,&quot;author&quot;:[{&quot;family&quot;:&quot;Avdesh&quot;,&quot;given&quot;:&quot;Avdesh&quot;},{&quot;family&quot;:&quot;Chen&quot;,&quot;given&quot;:&quot;Mengqi&quot;},{&quot;family&quot;:&quot;Martin-Iverson&quot;,&quot;given&quot;:&quot;Mathew T.&quot;},{&quot;family&quot;:&quot;Mondal&quot;,&quot;given&quot;:&quot;Alinda&quot;},{&quot;family&quot;:&quot;Ong&quot;,&quot;given&quot;:&quot;Daniel&quot;},{&quot;family&quot;:&quot;Rainey-Smith&quot;,&quot;given&quot;:&quot;Stephanie&quot;},{&quot;family&quot;:&quot;Taddei&quot;,&quot;given&quot;:&quot;Kevin&quot;},{&quot;family&quot;:&quot;Lardelli&quot;,&quot;given&quot;:&quot;Michael&quot;},{&quot;family&quot;:&quot;Groth&quot;,&quot;given&quot;:&quot;David M.&quot;},{&quot;family&quot;:&quot;Verdile&quot;,&quot;given&quot;:&quot;Giuseppe&quot;},{&quot;family&quot;:&quot;Martins&quot;,&quot;given&quot;:&quot;Ralph N.&quot;}],&quot;issued&quot;:{&quot;date-parts&quot;:[[&quot;2012&quot;,&quot;11&quot;,&quot;18&quot;]]},&quot;DOI&quot;:&quot;10.3791/4196-v&quot;,&quot;citation-label&quot;:&quot;18739844&quot;},{&quot;title&quot;:&quot;A Model of Discovery: The Role of Imaging Established and Emerging Non-mammalian Models in Neuroscience.&quot;,&quot;page&quot;:&quot;867010&quot;,&quot;volume&quot;:&quot;15&quot;,&quot;journalAbbreviation&quot;:&quot;Front. Mol. Neurosci.&quot;,&quot;id&quot;:&quot;15397785&quot;,&quot;type&quot;:&quot;article-journal&quot;,&quot;container-title&quot;:&quot;Frontiers in Molecular Neuroscience&quot;,&quot;container-title-short&quot;:&quot;Front. Mol. Neurosci.&quot;,&quot;abstract&quot;:&quot;Rodents have been the dominant animal models in neurobiology and neurological disease research over the past 60 years. The prevalent use of rats and mice in neuroscience research has been driven by several key attributes including their organ physiology being more similar to humans, the availability of a broad variety of behavioral tests and genetic tools, and widely accessible reagents. However, despite the many advances in understanding neurobiology that have been achieved using rodent models, there remain key limitations in the questions that can be addressed in these and other mammalian models. In particular, in vivo imaging in mammals at the cell-resolution level remains technically difficult and demands large investments in time and cost. The simpler nervous systems of many non-mammalian models allow for precise mapping of circuits and even the whole brain with impressive subcellular resolution. The types of non-mammalian neuroscience models available spans vertebrates and non-vertebrates, so that an appropriate model for most cell biological questions in neurodegenerative disease likely exists. A push to diversify the models used in neuroscience research could help address current gaps in knowledge, complement existing rodent-based bodies of work, and bring new insight into our understanding of human disease. Moreover, there are inherent aspects of many non-mammalian models such as lifespan and tissue transparency that can make them specifically advantageous for neuroscience studies. Crispr/Cas9 gene editing and decreased cost of genome sequencing combined with advances in optical microscopy enhances the utility of new animal models to address specific questions. This review seeks to synthesize current knowledge of established and emerging non-mammalian model organisms with advances in cellular-resolution in vivo imaging techniques to suggest new approaches to understand neurodegeneration and neurobiological processes. We will summarize current tools and in vivo imaging approaches at the single cell scale that could help lead to increased consideration of non-mammalian models in neuroscience research.Copyright © 2022 Haynes, Ulland and Eliceiri.&quot;,&quot;author&quot;:[{&quot;family&quot;:&quot;Haynes&quot;,&quot;given&quot;:&quot;Elizabeth M&quot;},{&quot;family&quot;:&quot;Ulland&quot;,&quot;given&quot;:&quot;Tyler K&quot;},{&quot;family&quot;:&quot;Eliceiri&quot;,&quot;given&quot;:&quot;Kevin W&quot;}],&quot;issued&quot;:{&quot;date-parts&quot;:[[&quot;2022&quot;,&quot;4&quot;,&quot;14&quot;]]},&quot;DOI&quot;:&quot;10.3389/fnmol.2022.867010&quot;,&quot;PMID&quot;:&quot;35493325&quot;,&quot;PMCID&quot;:&quot;PMC9046975&quot;,&quot;citation-label&quot;:&quot;15397785&quot;},{&quot;title&quot;:&quot;Genetically modified large animal models for investigating neurodegenerative diseases.&quot;,&quot;page&quot;:&quot;218&quot;,&quot;volume&quot;:&quot;11&quot;,&quot;issue&quot;:&quot;1&quot;,&quot;journalAbbreviation&quot;:&quot;Cell Biosci.&quot;,&quot;id&quot;:&quot;14859904&quot;,&quot;type&quot;:&quot;article-journal&quot;,&quot;container-title&quot;:&quot;Cell &amp; bioscience&quot;,&quot;container-title-short&quot;:&quot;Cell Biosci.&quot;,&quot;abstract&quot;:&quot;Neurodegenerative diseases represent a large group of neurological disorders including Alzheimer's disease, amyotrophic lateral sclerosis, Parkinson's disease, and Huntington's disease. Although this group of diseases show heterogeneous clinical and pathological phenotypes, they share important pathological features characterized by the age-dependent and progressive degeneration of nerve cells that is caused by the accumulation of misfolded proteins. The association of genetic mutations with neurodegeneration diseases has enabled the establishment of various types of animal models that mimic genetic defects and have provided important insights into the pathogenesis. However, most of genetically modified rodent models lack the overt and selective neurodegeneration seen in the patient brains, making it difficult to use the small animal models to validate the effective treatment on neurodegeneration. Recent studies of pig and monkey models suggest that large animals can more faithfully recapitulate pathological features of neurodegenerative diseases. In this review, we discuss the important differences in animal models for modeling pathological features of neurodegenerative diseases, aiming to assist the use of animal models to better understand the pathogenesis and to develop effective therapeutic strategies.© 2021. The Author(s).&quot;,&quot;author&quot;:[{&quot;family&quot;:&quot;Yang&quot;,&quot;given&quot;:&quot;Weili&quot;},{&quot;family&quot;:&quot;Chen&quot;,&quot;given&quot;:&quot;Xiusheng&quot;},{&quot;family&quot;:&quot;Li&quot;,&quot;given&quot;:&quot;Shihua&quot;},{&quot;family&quot;:&quot;Li&quot;,&quot;given&quot;:&quot;Xiao-Jiang&quot;}],&quot;issued&quot;:{&quot;date-parts&quot;:[[&quot;2021&quot;,&quot;12&quot;,&quot;21&quot;]]},&quot;DOI&quot;:&quot;10.1186/s13578-021-00729-8&quot;,&quot;PMID&quot;:&quot;34933675&quot;,&quot;PMCID&quot;:&quot;PMC8690884&quot;,&quot;citation-label&quot;:&quot;14859904&quot;},{&quot;title&quot;:&quot;Engineering Brain Organoids: Toward Mature Neural Circuitry with an Intact Cytoarchitecture.&quot;,&quot;page&quot;:&quot;41-59&quot;,&quot;volume&quot;:&quot;15&quot;,&quot;issue&quot;:&quot;1&quot;,&quot;journalAbbreviation&quot;:&quot;Int. J. Stem Cells&quot;,&quot;id&quot;:&quot;13045654&quot;,&quot;type&quot;:&quot;article-journal&quot;,&quot;container-title&quot;:&quot;International journal of stem cells&quot;,&quot;container-title-short&quot;:&quot;Int. J. Stem Cells&quot;,&quot;abstract&quot;:&quot;The emergence of brain organoids as a model system has been a tremendously exciting development in the field of neuroscience. Brain organoids are a gateway to exploring the intricacies of human-specific neurogenesis that have so far eluded the neuroscience community. Regardless, current culture methods have a long way to go in terms of accuracy and reproducibility. To perfectly mimic the human brain, we need to recapitulate the complex in vivo context of the human fetal brain and achieve mature neural circuitry with an intact cytoarchitecture. In this review, we explore the major challenges facing the current brain organoid systems, potential technical breakthroughs to advance brain organoid techniques up to levels similar to an in vivo human developing brain, and the future prospects of this technology.&quot;,&quot;author&quot;:[{&quot;family&quot;:&quot;Jang&quot;,&quot;given&quot;:&quot;Hyunsoo&quot;},{&quot;family&quot;:&quot;Kim&quot;,&quot;given&quot;:&quot;Seo Hyun&quot;},{&quot;family&quot;:&quot;Koh&quot;,&quot;given&quot;:&quot;Youmin&quot;},{&quot;family&quot;:&quot;Yoon&quot;,&quot;given&quot;:&quot;Ki-Jun&quot;}],&quot;issued&quot;:{&quot;date-parts&quot;:[[&quot;2022&quot;,&quot;2&quot;,&quot;28&quot;]]},&quot;DOI&quot;:&quot;10.15283/ijsc22004&quot;,&quot;PMID&quot;:&quot;35220291&quot;,&quot;PMCID&quot;:&quot;PMC8889333&quot;,&quot;citation-label&quot;:&quot;13045654&quot;},{&quot;title&quot;:&quot;Whole-brain imaging of freely-moving zebrafish.&quot;,&quot;page&quot;:&quot;1127574&quot;,&quot;volume&quot;:&quot;17&quot;,&quot;journalAbbreviation&quot;:&quot;Front. Neurosci.&quot;,&quot;id&quot;:&quot;15029994&quot;,&quot;type&quot;:&quot;article-journal&quot;,&quot;container-title&quot;:&quot;Frontiers in Neuroscience&quot;,&quot;container-title-short&quot;:&quot;Front. Neurosci.&quot;,&quot;abstract&quot;:&quot;One of the holy grails of neuroscience is to record the activity of every neuron in the brain while an animal moves freely and performs complex behavioral tasks. While important steps forward have been taken recently in large-scale neural recording in rodent models, single neuron resolution across the entire mammalian brain remains elusive. In contrast the larval zebrafish offers great promise in this regard. Zebrafish are a vertebrate model with substantial homology to the mammalian brain, but their transparency allows whole-brain recordings of genetically-encoded fluorescent indicators at single-neuron resolution using optical microscopy techniques. Furthermore zebrafish begin to show a complex repertoire of natural behavior from an early age, including hunting small, fast-moving prey using visual cues. Until recently work to address the neural bases of these behaviors mostly relied on assays where the fish was immobilized under the microscope objective, and stimuli such as prey were presented virtually. However significant progress has recently been made in developing brain imaging techniques for zebrafish which are not immobilized. Here we discuss recent advances, focusing particularly on techniques based on light-field microscopy. We also draw attention to several important outstanding issues which remain to be addressed to increase the ecological validity of the results obtained.Copyright © 2023 Hasani, Sun, Zhu, Rong, Willomitzer, Amor, McConnell, Cossairt and Goodhill.&quot;,&quot;author&quot;:[{&quot;family&quot;:&quot;Hasani&quot;,&quot;given&quot;:&quot;Hamid&quot;},{&quot;family&quot;:&quot;Sun&quot;,&quot;given&quot;:&quot;Jipeng&quot;},{&quot;family&quot;:&quot;Zhu&quot;,&quot;given&quot;:&quot;Shuyu I&quot;},{&quot;family&quot;:&quot;Rong&quot;,&quot;given&quot;:&quot;Qiangzhou&quot;},{&quot;family&quot;:&quot;Willomitzer&quot;,&quot;given&quot;:&quot;Florian&quot;},{&quot;family&quot;:&quot;Amor&quot;,&quot;given&quot;:&quot;Rumelo&quot;},{&quot;family&quot;:&quot;McConnell&quot;,&quot;given&quot;:&quot;Gail&quot;},{&quot;family&quot;:&quot;Cossairt&quot;,&quot;given&quot;:&quot;Oliver&quot;},{&quot;family&quot;:&quot;Goodhill&quot;,&quot;given&quot;:&quot;Geoffrey J&quot;}],&quot;issued&quot;:{&quot;date-parts&quot;:[[&quot;2023&quot;,&quot;4&quot;,&quot;17&quot;]]},&quot;DOI&quot;:&quot;10.3389/fnins.2023.1127574&quot;,&quot;PMID&quot;:&quot;37139528&quot;,&quot;PMCID&quot;:&quot;PMC10150962&quot;,&quot;citation-label&quot;:&quot;15029994&quot;},{&quot;title&quot;:&quot;NeuroExaminer: an all-glass microfluidic device for whole-brain in vivo imaging in zebrafish.&quot;,&quot;page&quot;:&quot;311&quot;,&quot;volume&quot;:&quot;3&quot;,&quot;issue&quot;:&quot;1&quot;,&quot;journalAbbreviation&quot;:&quot;Commun. Biol.&quot;,&quot;id&quot;:&quot;9111339&quot;,&quot;type&quot;:&quot;article-journal&quot;,&quot;container-title&quot;:&quot;Communications Biology&quot;,&quot;container-title-short&quot;:&quot;Commun. Biol.&quot;,&quot;abstract&quot;:&quot;While microfluidics enables chemical stimuli application with high spatio-temporal precision, light-sheet microscopy allows rapid imaging of entire zebrafish brains with cellular resolution. Both techniques, however, have not been combined to monitor whole-brain neural activity yet. Unlike conventional microfluidics, we report here an all-glass device (NeuroExaminer) that is compatible with whole-brain in vivo imaging using light-sheet microscopy and can thus provide insights into brain function in health and disease.&quot;,&quot;author&quot;:[{&quot;family&quot;:&quot;Mattern&quot;,&quot;given&quot;:&quot;Kai&quot;},{&quot;family&quot;:&quot;von Trotha&quot;,&quot;given&quot;:&quot;Jakob William&quot;},{&quot;family&quot;:&quot;Erfle&quot;,&quot;given&quot;:&quot;Peer&quot;},{&quot;family&quot;:&quot;Köster&quot;,&quot;given&quot;:&quot;Reinhard Wolfgang&quot;},{&quot;family&quot;:&quot;Dietzel&quot;,&quot;given&quot;:&quot;Andreas&quot;}],&quot;issued&quot;:{&quot;date-parts&quot;:[[&quot;2020&quot;,&quot;6&quot;,&quot;16&quot;]]},&quot;DOI&quot;:&quot;10.1038/s42003-020-1029-7&quot;,&quot;PMID&quot;:&quot;32546816&quot;,&quot;PMCID&quot;:&quot;PMC7298014&quot;,&quot;citation-label&quot;:&quot;9111339&quot;},{&quot;title&quot;:&quot;Fast functional imaging of multiple brain regions in intact zebrafish larvae using selective plane illumination microscopy.&quot;,&quot;page&quot;:&quot;65&quot;,&quot;volume&quot;:&quot;7&quot;,&quot;journalAbbreviation&quot;:&quot;Front. Neural Circuits&quot;,&quot;id&quot;:&quot;3304167&quot;,&quot;type&quot;:&quot;article-journal&quot;,&quot;container-title&quot;:&quot;Frontiers in Neural Circuits&quot;,&quot;container-title-short&quot;:&quot;Front. Neural Circuits&quot;,&quot;abstract&quot;:&quot;The optical transparency and the small dimensions of zebrafish at the larval stage make it a vertebrate model of choice for brain-wide in-vivo functional imaging. However, current point-scanning imaging techniques, such as two-photon or confocal microscopy, impose a strong limit on acquisition speed which in turn sets the number of neurons that can be simultaneously recorded. At 5 Hz, this number is of the order of one thousand, i.e., approximately 1-2% of the brain. Here we demonstrate that this limitation can be greatly overcome by using Selective-plane Illumination Microscopy (SPIM). Zebrafish larvae expressing the genetically encoded calcium indicator GCaMP3 were illuminated with a scanned laser sheet and imaged with a camera whose optical axis was oriented orthogonally to the illumination plane. This optical sectioning approach was shown to permit functional imaging of a very large fraction of the brain volume of 5-9-day-old larvae with single- or near single-cell resolution. The spontaneous activity of up to 5,000 neurons was recorded at 20 Hz for 20-60 min. By rapidly scanning the specimen in the axial direction, the activity of 25,000 individual neurons from 5 different z-planes (approximately 30% of the entire brain) could be simultaneously monitored at 4 Hz. Compared to point-scanning techniques, this imaging strategy thus yields a ≃20-fold increase in data throughput (number of recorded neurons times acquisition rate) without compromising the signal-to-noise ratio (SNR). The extended field of view offered by the SPIM method allowed us to directly identify large scale ensembles of neurons, spanning several brain regions, that displayed correlated activity and were thus likely to participate in common neural processes. The benefits and limitations of SPIM for functional imaging in zebrafish as well as future developments are briefly discussed.&quot;,&quot;author&quot;:[{&quot;family&quot;:&quot;Panier&quot;,&quot;given&quot;:&quot;Thomas&quot;},{&quot;family&quot;:&quot;Romano&quot;,&quot;given&quot;:&quot;Sebastián A&quot;},{&quot;family&quot;:&quot;Olive&quot;,&quot;given&quot;:&quot;Raphaël&quot;},{&quot;family&quot;:&quot;Pietri&quot;,&quot;given&quot;:&quot;Thomas&quot;},{&quot;family&quot;:&quot;Sumbre&quot;,&quot;given&quot;:&quot;Germán&quot;},{&quot;family&quot;:&quot;Candelier&quot;,&quot;given&quot;:&quot;Raphaël&quot;},{&quot;family&quot;:&quot;Debrégeas&quot;,&quot;given&quot;:&quot;Georges&quot;}],&quot;issued&quot;:{&quot;date-parts&quot;:[[&quot;2013&quot;,&quot;4&quot;,&quot;9&quot;]]},&quot;DOI&quot;:&quot;10.3389/fncir.2013.00065&quot;,&quot;PMID&quot;:&quot;23576959&quot;,&quot;PMCID&quot;:&quot;PMC3620503&quot;,&quot;citation-label&quot;:&quot;3304167&quot;},{&quot;title&quot;:&quot;Zebrafish-Based Parkinson's Disease Models: Unveiling Genetic Mechanisms and Therapeutic Pathways.&quot;,&quot;page&quot;:&quot;900-920&quot;,&quot;volume&quot;:&quot;24&quot;,&quot;issue&quot;:&quot;12&quot;,&quot;journalAbbreviation&quot;:&quot;CNS Neurol. Disord. Drug Targets&quot;,&quot;id&quot;:&quot;18739858&quot;,&quot;type&quot;:&quot;article-journal&quot;,&quot;container-title&quot;:&quot;CNS &amp; Neurological Disorders Drug Targets&quot;,&quot;container-title-short&quot;:&quot;CNS Neurol. Disord. Drug Targets&quot;,&quot;abstract&quot;:&quot;The zebrafish (Danio rerio) is widely utilised as a live vertebrate model in research on neurological development and nervous system diseases. This species exhibits various distinctive attributes that render it well-suited for investigating neurological disorders such as Parkinson's disease (PD). Zebrafish and humans have a genetic similarity of around 70%, and approximately 84% of the genes associated with human diseases have zebrafish equivalents. The genetic similarities and presence of neurotransmitters like dopamine allow scientists to study PD genes and proteins. Zebrafish are often challenged with neurotoxins to induce Parkinsonian symptoms, allowing researchers to evaluate attendant biochemical pathways. Zebrafish can also repair damaged organs, increasing their potential value in PD research. Because of their regenerative capacity and genetic resemblance to humans, these species can be used to study dopamine neurodegeneration and prospective PD treatments. In addition to PD, zebrafish are helpful models for studying Huntington's disease, Alzheimer's disease, epilepsy, depression, schizophrenia, and anxiety disorders. This article emphasizes significant findings of relevance to PD using the zebrafish model, describing its challenges and benefits. The investigation of key genes, protein pathways, and neurotoxins provides the opportunity to facilitate understanding of the role of dopamine neurotransmitters in PD and expedite the development of potentially promising therapeutic strategies.Copyright© Bentham Science Publishers; For any queries, please email at epub@benthamscience.net.&quot;,&quot;author&quot;:[{&quot;family&quot;:&quot;Dodiya&quot;,&quot;given&quot;:&quot;Rohinee&quot;},{&quot;family&quot;:&quot;Sharma&quot;,&quot;given&quot;:&quot;Pratishtha&quot;},{&quot;family&quot;:&quot;Israni&quot;,&quot;given&quot;:&quot;Dipa&quot;},{&quot;family&quot;:&quot;Kamal&quot;,&quot;given&quot;:&quot;Mohammad Amjad&quot;},{&quot;family&quot;:&quot;Greig&quot;,&quot;given&quot;:&quot;Nigel H&quot;}],&quot;issued&quot;:{&quot;date-parts&quot;:[[&quot;2025&quot;]]},&quot;DOI&quot;:&quot;10.2174/0118715273367688250528122144&quot;,&quot;PMID&quot;:&quot;40511807&quot;,&quot;citation-label&quot;:&quot;18739858&quot;},{&quot;title&quot;:&quot;Chemical and genetic zebrafish models to define mechanisms of and treatments for dopaminergic neurodegeneration.&quot;,&quot;volume&quot;:&quot;21&quot;,&quot;issue&quot;:&quot;17&quot;,&quot;journalAbbreviation&quot;:&quot;Int. J. Mol. Sci.&quot;,&quot;id&quot;:&quot;12838306&quot;,&quot;type&quot;:&quot;article-journal&quot;,&quot;container-title&quot;:&quot;International Journal of Molecular Sciences&quot;,&quot;container-title-short&quot;:&quot;Int. J. Mol. Sci.&quot;,&quot;abstract&quot;:&quot;The zebrafish (Danio rerio) is routinely used in biological studies as a vertebrate model system that provides unique strengths allowing applications in studies of neurodevelopmental and neurodegenerative diseases. One specific advantage is that the neurotransmitter systems are highly conserved throughout vertebrate evolution, including between zebrafish and humans. Disruption of the dopaminergic signaling pathway is linked to multiple neurological disorders. One of the most common is Parkinson's disease, a neurodegenerative disease associated with the loss of dopaminergic neurons, among other neuropathological characteristics. In this review, the development of the zebrafish's dopaminergic system, focusing on genetic control of the dopaminergic system, is detailed. Second, neurotoxicant models used to study dopaminergic neuronal loss, including 1-methyl-4-phenyl-1,2,3,6-tetrahydropyridine (MPTP), the pesticides paraquat and rotenone, and 6-hydroxydopamine (6-OHDA), are described. Next, zebrafish genetic knockdown models of dj1, pink1, and prkn established for investigating mechanisms of Parkinson's disease are discussed. Chemical modulators of the dopaminergic system are also highlighted to showcase the applicability of the zebrafish to identify mechanisms and treatments for neurodegenerative diseases such as Parkinson's disease associated with the dopaminergic system.&quot;,&quot;author&quot;:[{&quot;family&quot;:&quot;Wasel&quot;,&quot;given&quot;:&quot;Ola&quot;},{&quot;family&quot;:&quot;Freeman&quot;,&quot;given&quot;:&quot;Jennifer L&quot;}],&quot;issued&quot;:{&quot;date-parts&quot;:[[&quot;2020&quot;,&quot;8&quot;,&quot;20&quot;]]},&quot;DOI&quot;:&quot;10.3390/ijms21175981&quot;,&quot;PMID&quot;:&quot;32825242&quot;,&quot;PMCID&quot;:&quot;PMC7503535&quot;,&quot;citation-label&quot;:&quot;12838306&quot;},{&quot;title&quot;:&quot;Function over form: modeling groups of inherited neurological conditions in zebrafish.&quot;,&quot;page&quot;:&quot;55&quot;,&quot;volume&quot;:&quot;9&quot;,&quot;journalAbbreviation&quot;:&quot;Front. Mol. Neurosci.&quot;,&quot;id&quot;:&quot;3492935&quot;,&quot;type&quot;:&quot;article-journal&quot;,&quot;container-title&quot;:&quot;Frontiers in Molecular Neuroscience&quot;,&quot;container-title-short&quot;:&quot;Front. Mol. Neurosci.&quot;,&quot;abstract&quot;:&quot;Zebrafish are a unique cell to behavior model for studying the basic biology of human inherited neurological conditions. Conserved vertebrate genetics and optical transparency provide in vivo access to the developing nervous system as well as high-throughput approaches for drug screens. Here we review zebrafish modeling for two broad groups of inherited conditions that each share genetic and molecular pathways and overlap phenotypically: neurodevelopmental disorders such as Autism Spectrum Disorders (ASD), Intellectual Disability (ID) and Schizophrenia (SCZ), and neurodegenerative diseases, such as Cerebellar Ataxia (CATX), Hereditary Spastic Paraplegia (HSP) and Charcot-Marie Tooth Disease (CMT). We also conduct a small meta-analysis of zebrafish orthologs of high confidence neurodevelopmental disorder and neurodegenerative disease genes by looking at duplication rates and relative protein sizes. In the past zebrafish genetic models of these neurodevelopmental disorders and neurodegenerative diseases have provided insight into cellular, circuit and behavioral level mechanisms contributing to these conditions. Moving forward, advances in genetic manipulation, live imaging of neuronal activity and automated high-throughput molecular screening promise to help delineate the mechanistic relationships between different types of neurological conditions and accelerate discovery of therapeutic strategies.&quot;,&quot;author&quot;:[{&quot;family&quot;:&quot;Kozol&quot;,&quot;given&quot;:&quot;Robert A&quot;},{&quot;family&quot;:&quot;Abrams&quot;,&quot;given&quot;:&quot;Alexander J&quot;},{&quot;family&quot;:&quot;James&quot;,&quot;given&quot;:&quot;David M&quot;},{&quot;family&quot;:&quot;Buglo&quot;,&quot;given&quot;:&quot;Elena&quot;},{&quot;family&quot;:&quot;Yan&quot;,&quot;given&quot;:&quot;Qing&quot;},{&quot;family&quot;:&quot;Dallman&quot;,&quot;given&quot;:&quot;Julia E&quot;}],&quot;issued&quot;:{&quot;date-parts&quot;:[[&quot;2016&quot;,&quot;7&quot;,&quot;7&quot;]]},&quot;DOI&quot;:&quot;10.3389/fnmol.2016.00055&quot;,&quot;PMID&quot;:&quot;27458342&quot;,&quot;PMCID&quot;:&quot;PMC4935692&quot;,&quot;citation-label&quot;:&quot;3492935&quot;},{&quot;title&quot;:&quot;Aging-related motor function and dopaminergic neuronal loss in C57BL/6 mice.&quot;,&quot;page&quot;:&quot;46&quot;,&quot;volume&quot;:&quot;13&quot;,&quot;issue&quot;:&quot;1&quot;,&quot;journalAbbreviation&quot;:&quot;Mol. Brain&quot;,&quot;id&quot;:&quot;8746205&quot;,&quot;type&quot;:&quot;article-journal&quot;,&quot;container-title&quot;:&quot;Molecular Brain&quot;,&quot;container-title-short&quot;:&quot;Mol. Brain&quot;,&quot;abstract&quot;:&quot;Aging-related dopaminergic neuronal loss and its motor phenotypes are well known. Excessive loss of dopaminergic neurons leads to Parkinson's disease (PD), the most common neurodegenerative disorder characterized by the loss of nigrostriatal dopamine-producing neurons. In mice, however, aging-related dopaminergic neuronal loss and its consequences for motor function are poorly understood. We observed the phenotype of wild-type C57BL/6 mice over an extended period of time. C57BL/6 mice exhibited age-dependent locomotor impairments, including hindlimb defects and the number of dopaminergic neurons decreased in aged mice, contributing to locomotor dysfunction. We observed a reduction in striatal dopamine levels in aged mice using high-performance liquid chromatography (HPLC). Thus, dopamine levels are affected by the loss of dopaminergic neurons. Furthermore, fragmented mitochondria were observed in dopaminergic neurons of aged mice but not in those of young mice. Aging-related dopaminergic neuronal loss and accumulation of damaged mitochondria may underlie the pathophysiology of aging.&quot;,&quot;author&quot;:[{&quot;family&quot;:&quot;Noda&quot;,&quot;given&quot;:&quot;Sachiko&quot;},{&quot;family&quot;:&quot;Sato&quot;,&quot;given&quot;:&quot;Shigeto&quot;},{&quot;family&quot;:&quot;Fukuda&quot;,&quot;given&quot;:&quot;Takahiro&quot;},{&quot;family&quot;:&quot;Tada&quot;,&quot;given&quot;:&quot;Norihiro&quot;},{&quot;family&quot;:&quot;Hattori&quot;,&quot;given&quot;:&quot;Nobutaka&quot;}],&quot;issued&quot;:{&quot;date-parts&quot;:[[&quot;2020&quot;,&quot;3&quot;,&quot;23&quot;]]},&quot;DOI&quot;:&quot;10.1186/s13041-020-00585-6&quot;,&quot;PMID&quot;:&quot;32293495&quot;,&quot;PMCID&quot;:&quot;PMC7092461&quot;,&quot;citation-label&quot;:&quot;8746205&quot;},{&quot;title&quot;:&quot;Chemogenetic ablation of dopaminergic neurons leads to transient locomotor impairments in zebrafish larvae.&quot;,&quot;page&quot;:&quot;249-260&quot;,&quot;volume&quot;:&quot;135&quot;,&quot;issue&quot;:&quot;2&quot;,&quot;journalAbbreviation&quot;:&quot;J. Neurochem.&quot;,&quot;id&quot;:&quot;858862&quot;,&quot;type&quot;:&quot;article-journal&quot;,&quot;container-title&quot;:&quot;Journal of Neurochemistry&quot;,&quot;container-title-short&quot;:&quot;J. Neurochem.&quot;,&quot;abstract&quot;:&quot;To determine the impact of a controlled loss of dopaminergic neurons on locomotor function, we generated transgenic zebrafish, Tg(dat:CFP-NTR), expressing a cyan fluorescent protein-nitroreductase fusion protein (CFP-NTR) under the control of dopamine transporter (dat) cis-regulatory elements. Embryonic and larval zebrafish express the transgene in several groups of dopaminergic neurons, notably in the olfactory bulb, telencephalon, diencephalon and caudal hypothalamus. Administration of the pro-drug metronidazole (Mtz) resulted in activation of caspase 3 in CFP-positive neurons and in a reduction in dat-positive cells by 5 days post-fertilization (dpf). Loss of neurons coincided with impairments in global locomotor parameters such as swimming distance, percentage of time spent moving, as well as changes in tail bend parameters such as time to maximal bend and angular velocity. Dopamine levels were transiently decreased following Mtz administration. Recovery of some of the locomotor parameters was observed by 7 dpf. However, the total numbers of dat-expressing neurons were still decreased at 7, 12, or 14 dpf, even though there was evidence for production of new dat-expressing cells. Tg(dat:CFP-NTR) zebrafish provide a model to correlate altered dopaminergic neuron numbers with locomotor function and to investigate factors influencing regeneration of dopaminergic neurons.© 2015 International Society for Neurochemistry.&quot;,&quot;author&quot;:[{&quot;family&quot;:&quot;Godoy&quot;,&quot;given&quot;:&quot;Rafael&quot;},{&quot;family&quot;:&quot;Noble&quot;,&quot;given&quot;:&quot;Sandra&quot;},{&quot;family&quot;:&quot;Yoon&quot;,&quot;given&quot;:&quot;Kevin&quot;},{&quot;family&quot;:&quot;Anisman&quot;,&quot;given&quot;:&quot;Hymie&quot;},{&quot;family&quot;:&quot;Ekker&quot;,&quot;given&quot;:&quot;Marc&quot;}],&quot;issued&quot;:{&quot;date-parts&quot;:[[&quot;2015&quot;,&quot;10&quot;]]},&quot;DOI&quot;:&quot;10.1111/jnc.13214&quot;,&quot;PMID&quot;:&quot;26118896&quot;,&quot;citation-label&quot;:&quot;858862&quot;},{&quot;title&quot;:&quot;Intervention strategies for degeneration of dopamine neurons in parkinsonism: optimizing behavioral assessment of outcome&quot;,&quot;publisher&quot;:&quot;Humana Press&quot;,&quot;page&quot;:&quot;131-151&quot;,&quot;id&quot;:&quot;13884355&quot;,&quot;type&quot;:&quot;chapter&quot;,&quot;container-title&quot;:&quot;Central Nervous System Diseases: Innovative Animal Models from Lab to Clinic&quot;,&quot;author&quot;:[{&quot;family&quot;:&quot;Schallert&quot;,&quot;given&quot;:&quot;Timothy&quot;},{&quot;family&quot;:&quot;Tillerson&quot;,&quot;given&quot;:&quot;Jennifer L.&quot;}],&quot;editor&quot;:[{&quot;family&quot;:&quot;Emerich&quot;,&quot;given&quot;:&quot;Dwaine F.&quot;},{&quot;family&quot;:&quot;Dean&quot;,&quot;given&quot;:&quot;Reginald L.&quot;},{&quot;family&quot;:&quot;Sanberg&quot;,&quot;given&quot;:&quot;Paul R.&quot;}],&quot;issued&quot;:{&quot;date-parts&quot;:[[&quot;2000&quot;]]},&quot;publisher-place&quot;:&quot;Totowa, NJ&quot;,&quot;DOI&quot;:&quot;10.1007/978-1-59259-691-1_8&quot;,&quot;ISBN&quot;:&quot;978-1-59259-691-1&quot;,&quot;citation-label&quot;:&quot;13884355&quot;},{&quot;title&quot;:&quot;A zebrafish screen reveals Renin-angiotensin system inhibitors as neuroprotective via mitochondrial restoration in dopamine neurons.&quot;,&quot;volume&quot;:&quot;10&quot;,&quot;journalAbbreviation&quot;:&quot;eLife&quot;,&quot;id&quot;:&quot;11754897&quot;,&quot;type&quot;:&quot;article-journal&quot;,&quot;container-title&quot;:&quot;eLife&quot;,&quot;container-title-short&quot;:&quot;eLife&quot;,&quot;abstract&quot;:&quot;Parkinson's disease (PD) is a common neurodegenerative disorder without effective disease-modifying therapeutics. Here, we establish a chemogenetic dopamine (DA) neuron ablation model in larval zebrafish with mitochondrial dysfunction and robustness suitable for high-content screening. We use this system to conduct an in vivo DA neuron imaging-based chemical screen and identify the Renin-Angiotensin-Aldosterone System (RAAS) inhibitors as significantly neuroprotective. Knockdown of the angiotensin receptor 1 (agtr1) in DA neurons reveals a cell-autonomous mechanism of neuroprotection. DA neuron-specific RNA-seq identifies mitochondrial pathway gene expression that is significantly restored by RAAS inhibitor treatment. The neuroprotective effect of RAAS inhibitors is further observed in a zebrafish Gaucher disease model and Drosophila pink1-deficient PD model. Finally, examination of clinical data reveals a significant effect of RAAS inhibitors in delaying PD progression. Our findings reveal the therapeutic potential and mechanisms of targeting the RAAS pathway for neuroprotection and demonstrate a salient approach that bridges basic science to translational medicine.© 2021, Kim et al.&quot;,&quot;author&quot;:[{&quot;family&quot;:&quot;Kim&quot;,&quot;given&quot;:&quot;Gha-Hyun J&quot;},{&quot;family&quot;:&quot;Mo&quot;,&quot;given&quot;:&quot;Han&quot;},{&quot;family&quot;:&quot;Liu&quot;,&quot;given&quot;:&quot;Harrison&quot;},{&quot;family&quot;:&quot;Wu&quot;,&quot;given&quot;:&quot;Zhihao&quot;},{&quot;family&quot;:&quot;Chen&quot;,&quot;given&quot;:&quot;Steven&quot;},{&quot;family&quot;:&quot;Zheng&quot;,&quot;given&quot;:&quot;Jiashun&quot;},{&quot;family&quot;:&quot;Zhao&quot;,&quot;given&quot;:&quot;Xiang&quot;},{&quot;family&quot;:&quot;Nucum&quot;,&quot;given&quot;:&quot;Daryl&quot;},{&quot;family&quot;:&quot;Shortland&quot;,&quot;given&quot;:&quot;James&quot;},{&quot;family&quot;:&quot;Peng&quot;,&quot;given&quot;:&quot;Longping&quot;},{&quot;family&quot;:&quot;Elepano&quot;,&quot;given&quot;:&quot;Mannuel&quot;},{&quot;family&quot;:&quot;Tang&quot;,&quot;given&quot;:&quot;Benjamin&quot;},{&quot;family&quot;:&quot;Olson&quot;,&quot;given&quot;:&quot;Steven&quot;},{&quot;family&quot;:&quot;Paras&quot;,&quot;given&quot;:&quot;Nick&quot;},{&quot;family&quot;:&quot;Li&quot;,&quot;given&quot;:&quot;Hao&quot;},{&quot;family&quot;:&quot;Renslo&quot;,&quot;given&quot;:&quot;Adam R&quot;},{&quot;family&quot;:&quot;Arkin&quot;,&quot;given&quot;:&quot;Michelle R&quot;},{&quot;family&quot;:&quot;Huang&quot;,&quot;given&quot;:&quot;Bo&quot;},{&quot;family&quot;:&quot;Lu&quot;,&quot;given&quot;:&quot;Bingwei&quot;},{&quot;family&quot;:&quot;Sirota&quot;,&quot;given&quot;:&quot;Marina&quot;},{&quot;family&quot;:&quot;Guo&quot;,&quot;given&quot;:&quot;Su&quot;}],&quot;issued&quot;:{&quot;date-parts&quot;:[[&quot;2021&quot;,&quot;9&quot;,&quot;22&quot;]]},&quot;DOI&quot;:&quot;10.7554/eLife.69795&quot;,&quot;PMID&quot;:&quot;34550070&quot;,&quot;PMCID&quot;:&quot;PMC8457844&quot;,&quot;citation-label&quot;:&quot;11754897&quot;},{&quot;title&quot;:&quot;In Vivo Dopamine Neuron Imaging-Based Small Molecule Screen Identifies Novel Neuroprotective Compounds and Targets.&quot;,&quot;page&quot;:&quot;837756&quot;,&quot;volume&quot;:&quot;13&quot;,&quot;journalAbbreviation&quot;:&quot;Front. Pharmacol.&quot;,&quot;id&quot;:&quot;17222199&quot;,&quot;type&quot;:&quot;article-journal&quot;,&quot;container-title&quot;:&quot;Frontiers in pharmacology&quot;,&quot;container-title-short&quot;:&quot;Front. Pharmacol.&quot;,&quot;abstract&quot;:&quot;Parkinson's disease (PD) is the second most common neurodegenerative disorder with prominent dopamine (DA) neuron degeneration. PD affects millions of people worldwide, but currently available therapies are limited to temporary relief of symptoms. As an effort to discover disease-modifying therapeutics, we have conducted a screen of 1,403 bioactive small molecule compounds using an in vivo whole organism screening assay in transgenic larval zebrafish. The transgenic model expresses the bacterial enzyme nitroreductase (NTR) driven by the tyrosine hydroxylase (th) promotor. NTR converts the commonly used antibiotic pro-drug metronidazole (MTZ) to the toxic nitroso radical form to induce DA neuronal loss. 57 compounds were identified with a brain health score (BHS) that was significantly improved compared to the MTZ treatment alone after FDR adjustment (padj&lt; 0.05). Independently, we curated the high throughput screening (HTS) data by annotating each compound with pharmaceutical classification, known mechanism of action, indication, IC50, and target. Using the Reactome database, we performed pathway analysis, which uncovered previously unknown pathways in addition to validating previously known pathways associated with PD. Non-topology-based pathway analysis of the screening data further identified apoptosis, estrogen hormone, dipeptidyl-peptidase 4, and opioid receptor Mu1 to be potentially significant pathways and targets involved in neuroprotection. A total of 12 compounds were examined with a secondary assay that imaged DA neurons before and after compound treatment. The z'-factor of this secondary assay was determined to be 0.58, suggesting it is an excellent assay for screening. Etodolac, nepafenac, aloperine, protionamide, and olmesartan showed significant neuroprotection and was also validated by blinded manual DA neuronal counting. To determine whether these compounds are broadly relevant for neuroprotection, we tested them on a conduritol-b-epoxide (CBE)-induced Gaucher disease (GD) model, in which the activity of glucocerebrosidase (GBA), a commonly known genetic risk factor for PD, was inhibited. Aloperine, olmesartan, and nepafenac showed significant protection of DA neurons in this assay. Together, this work, which combines high content whole organism in vivo imaging-based screen and bioinformatic pathway analysis of the screening dataset, delineates a previously uncharted approach for identifying hit-to-lead candidates and for implicating previously unknown pathways and targets involved in DA neuron protection.Copyright © 2022 Kim, Mo, Liu, Okorie, Chen, Zheng, Li, Arkin, Huang and Guo.&quot;,&quot;author&quot;:[{&quot;family&quot;:&quot;Kim&quot;,&quot;given&quot;:&quot;Gha-Hyun J&quot;},{&quot;family&quot;:&quot;Mo&quot;,&quot;given&quot;:&quot;Han&quot;},{&quot;family&quot;:&quot;Liu&quot;,&quot;given&quot;:&quot;Harrison&quot;},{&quot;family&quot;:&quot;Okorie&quot;,&quot;given&quot;:&quot;Meri&quot;},{&quot;family&quot;:&quot;Chen&quot;,&quot;given&quot;:&quot;Steven&quot;},{&quot;family&quot;:&quot;Zheng&quot;,&quot;given&quot;:&quot;Jiashun&quot;},{&quot;family&quot;:&quot;Li&quot;,&quot;given&quot;:&quot;Hao&quot;},{&quot;family&quot;:&quot;Arkin&quot;,&quot;given&quot;:&quot;Michelle&quot;},{&quot;family&quot;:&quot;Huang&quot;,&quot;given&quot;:&quot;Bo&quot;},{&quot;family&quot;:&quot;Guo&quot;,&quot;given&quot;:&quot;Su&quot;}],&quot;issued&quot;:{&quot;date-parts&quot;:[[&quot;2022&quot;,&quot;3&quot;,&quot;18&quot;]]},&quot;DOI&quot;:&quot;10.3389/fphar.2022.837756&quot;,&quot;PMID&quot;:&quot;35370735&quot;,&quot;PMCID&quot;:&quot;PMC8971663&quot;,&quot;citation-label&quot;:&quot;17222199&quot;},{&quot;title&quot;:&quot;Use of rodents as models of human diseases.&quot;,&quot;page&quot;:&quot;2-9&quot;,&quot;volume&quot;:&quot;6&quot;,&quot;issue&quot;:&quot;1&quot;,&quot;journalAbbreviation&quot;:&quot;J. Pharm. Bioallied Sci.&quot;,&quot;id&quot;:&quot;4081519&quot;,&quot;type&quot;:&quot;article-journal&quot;,&quot;container-title&quot;:&quot;Journal of pharmacy &amp; bioallied sciences&quot;,&quot;container-title-short&quot;:&quot;J. Pharm. Bioallied Sci.&quot;,&quot;abstract&quot;:&quot;Advances in molecular biology have significantly increased the understanding of the biology of different diseases. However, these discoveries have not yet been fully translated into improved treatments for patients with diseases such as cancers. One of the factors limiting the translation of knowledge from preclinical studies to the clinic has been the limitations of in vivo diseases models. In this brief review, we will discuss the advantages and disadvantages of rodent models that have been developed to simulate human pathologies, focusing in models that employ xenografts and genetic modification. Within the framework of genetically engineered mouse (GEM) models, we will review some of the current genetic strategies for modeling diseases in the mouse and the preclinical studies that have already been undertaken. We will also discuss how recent improvements in imaging technologies may increase the information derived from using these GEMs during early assessments of potential therapeutic pathways. Furthermore, it is interesting to note that one of the values of using a mouse model is the very rapid turnover rate of the animal, going through the process of birth to death in a very short timeframe relative to that of larger mammalian species.&quot;,&quot;author&quot;:[{&quot;family&quot;:&quot;Vandamme&quot;,&quot;given&quot;:&quot;Thierry F&quot;}],&quot;issued&quot;:{&quot;date-parts&quot;:[[&quot;2014&quot;,&quot;1&quot;]]},&quot;DOI&quot;:&quot;10.4103/0975-7406.124301&quot;,&quot;PMID&quot;:&quot;24459397&quot;,&quot;PMCID&quot;:&quot;PMC3895289&quot;,&quot;citation-label&quot;:&quot;4081519&quot;},{&quot;title&quot;:&quot;Compounds with species and cell type specific toxicity identified in a 2000 compound drug screen of neural stem cells and rat mixed cortical neurons.&quot;,&quot;page&quot;:&quot;192-200&quot;,&quot;volume&quot;:&quot;45&quot;,&quot;journalAbbreviation&quot;:&quot;Neurotoxicology&quot;,&quot;id&quot;:&quot;18740383&quot;,&quot;type&quot;:&quot;article-journal&quot;,&quot;container-title&quot;:&quot;Neurotoxicology&quot;,&quot;container-title-short&quot;:&quot;Neurotoxicology&quot;,&quot;abstract&quot;:&quot;Human primary neural tissue is a vital component for the quick and simple determination of chemical compound neurotoxicity in vitro. In particular, such tissue would be ideal for high-throughput screens that can be used to identify novel neurotoxic or neurotherapeutic compounds. We have previously established a high-throughput screening platform using human induced pluripotent stem cell (iPSC)-derived neural stem cells (NSCs) and neurons. In this study, we conducted a 2000 compound screen with human NSCs and rat cortical cells to identify compounds that are selectively toxic to each group. Approximately 100 of the tested compounds showed specific toxicity to human NSCs. A secondary screen of a small subset of compounds from the primary screen on human iPSCs, NSC-derived neurons, and fetal astrocytes validated the results from &gt;80% of these compounds with some showing cell specific toxicity. Amongst those compounds were several cardiac glycosides, all of which were selectively toxic to the human cells. As the screen was able to reliably identify neurotoxicants, many with species and cell-type specificity, this study demonstrates the feasibility of this NSC-driven platform for higher-throughput neurotoxicity screens.Published by Elsevier B.V.&quot;,&quot;author&quot;:[{&quot;family&quot;:&quot;Malik&quot;,&quot;given&quot;:&quot;Nasir&quot;},{&quot;family&quot;:&quot;Efthymiou&quot;,&quot;given&quot;:&quot;Anastasia G&quot;},{&quot;family&quot;:&quot;Mather&quot;,&quot;given&quot;:&quot;Karly&quot;},{&quot;family&quot;:&quot;Chester&quot;,&quot;given&quot;:&quot;Nathaniel&quot;},{&quot;family&quot;:&quot;Wang&quot;,&quot;given&quot;:&quot;Xiantao&quot;},{&quot;family&quot;:&quot;Nath&quot;,&quot;given&quot;:&quot;Avindra&quot;},{&quot;family&quot;:&quot;Rao&quot;,&quot;given&quot;:&quot;Mahendra S&quot;},{&quot;family&quot;:&quot;Steiner&quot;,&quot;given&quot;:&quot;Joseph P&quot;}],&quot;issued&quot;:{&quot;date-parts&quot;:[[&quot;2014&quot;,&quot;12&quot;]]},&quot;DOI&quot;:&quot;10.1016/j.neuro.2014.10.007&quot;,&quot;PMID&quot;:&quot;25454721&quot;,&quot;PMCID&quot;:&quot;PMC4302729&quot;,&quot;citation-label&quot;:&quot;18740383&quot;},{&quot;title&quot;:&quot;Methylene Blue Water for Embryos&quot;,&quot;id&quot;:&quot;18740388&quot;,&quot;type&quot;:&quot;article-journal&quot;,&quot;issued&quot;:{&quot;date-parts&quot;:[[]]},&quot;citation-label&quot;:&quot;18740388&quot;},{&quot;title&quot;:&quot;Assessment of the effect of tricaine (MS-222)-induced anesthesia on brain-wide neuronal activity of zebrafish (Danio rerio) larvae.&quot;,&quot;page&quot;:&quot;1456322&quot;,&quot;volume&quot;:&quot;18&quot;,&quot;journalAbbreviation&quot;:&quot;Front. Neurosci.&quot;,&quot;id&quot;:&quot;18740395&quot;,&quot;type&quot;:&quot;article-journal&quot;,&quot;container-title&quot;:&quot;Frontiers in Neuroscience&quot;,&quot;container-title-short&quot;:&quot;Front. Neurosci.&quot;,&quot;abstract&quot;:&quot;Fast and effective anesthesia is the key for refining many invasive procedures in fish and gaining reliable data. For fish as for all vertebrates, it is also required by European law to reduce pain, suffering, and distress to the unavoidable minimum in husbandry and experiments. The most often used substance to induce anesthesia in zebrafish is tricaine (MS-222). When properly prepared and dosed, tricaine causes rapid loss of mobility, balance and reaction to touch. These signs are interpreted as a stage of deep anesthesia although its effects on the central nervous system have not convincingly been shown. Therefore, it might be possible that tricaine first acts only on the periphery, resulting in a paralyzed instead of an anesthetized fish. This has severe implications for animals undergoing procedures. To investigate the effects of tricaine on the central nervous system, we used zebrafish larvae [Tg(elavl3:H2B-GCaMP6s)] at 4 days post fertilization (dpf), expressing a calcium indicator (GCaMP6s) in all neurons, that allows monitoring and quantifying the neuronal activity. After treating larvae with 168 mg/L tricaine, a rapid loss of neuronal activity in the forebrain was observed in confocal microscopy. In contrast, only mild effects were seen in the midbrain and hindbrain. In conclusion, the different larval brain areas showed differences in the sensitivity to tricaine treatment. The effects on the central nervous system are indicative of tricaine's anesthetic function and are consistent with behavioral observations of inactivity and unresponsiveness to touch.Copyright © 2024 Ohnesorge, Wilzopolski, Steinfath, Lewejohann, Banneke and Heinl.&quot;,&quot;author&quot;:[{&quot;family&quot;:&quot;Ohnesorge&quot;,&quot;given&quot;:&quot;Nils&quot;},{&quot;family&quot;:&quot;Wilzopolski&quot;,&quot;given&quot;:&quot;Jenny&quot;},{&quot;family&quot;:&quot;Steinfath&quot;,&quot;given&quot;:&quot;Matthias&quot;},{&quot;family&quot;:&quot;Lewejohann&quot;,&quot;given&quot;:&quot;Lars&quot;},{&quot;family&quot;:&quot;Banneke&quot;,&quot;given&quot;:&quot;Stefanie&quot;},{&quot;family&quot;:&quot;Heinl&quot;,&quot;given&quot;:&quot;Céline&quot;}],&quot;issued&quot;:{&quot;date-parts&quot;:[[&quot;2024&quot;,&quot;9&quot;,&quot;24&quot;]]},&quot;DOI&quot;:&quot;10.3389/fnins.2024.1456322&quot;,&quot;PMID&quot;:&quot;39381680&quot;,&quot;PMCID&quot;:&quot;PMC11458748&quot;,&quot;citation-label&quot;:&quot;18740395&quot;},{&quot;title&quot;:&quot;The ImageJ ecosystem: Open-source software for image visualization, processing, and analysis.&quot;,&quot;page&quot;:&quot;234-249&quot;,&quot;volume&quot;:&quot;30&quot;,&quot;issue&quot;:&quot;1&quot;,&quot;journalAbbreviation&quot;:&quot;Protein Sci.&quot;,&quot;id&quot;:&quot;12380509&quot;,&quot;type&quot;:&quot;article-journal&quot;,&quot;container-title&quot;:&quot;Protein Science&quot;,&quot;container-title-short&quot;:&quot;Protein Sci.&quot;,&quot;abstract&quot;:&quot;For decades, biologists have relied on software to visualize and interpret imaging data. As techniques for acquiring images increase in complexity, resulting in larger multidimensional datasets, imaging software must adapt. ImageJ is an open-source image analysis software platform that has aided researchers with a variety of image analysis applications, driven mainly by engaged and collaborative user and developer communities. The close collaboration between programmers and users has resulted in adaptations to accommodate new challenges in image analysis that address the needs of ImageJ's diverse user base. ImageJ consists of many components, some relevant primarily for developers and a vast collection of user-centric plugins. It is available in many forms, including the widely used Fiji distribution. We refer to this entire ImageJ codebase and community as the ImageJ ecosystem. Here we review the core features of this ecosystem and highlight how ImageJ has responded to imaging technology advancements with new plugins and tools in recent years. These plugins and tools have been developed to address user needs in several areas such as visualization, segmentation, and tracking of biological entities in large, complex datasets. Moreover, new capabilities for deep learning are being added to ImageJ, reflecting a shift in the bioimage analysis community towards exploiting artificial intelligence. These new tools have been facilitated by profound architectural changes to the ImageJ core brought about by the ImageJ2 project. Therefore, we also discuss the contributions of ImageJ2 to enhancing multidimensional image processing and interoperability in the ImageJ ecosystem.© 2020 The Protein Society.&quot;,&quot;author&quot;:[{&quot;family&quot;:&quot;Schroeder&quot;,&quot;given&quot;:&quot;Alexandra B&quot;},{&quot;family&quot;:&quot;Dobson&quot;,&quot;given&quot;:&quot;Ellen T A&quot;},{&quot;family&quot;:&quot;Rueden&quot;,&quot;given&quot;:&quot;Curtis T&quot;},{&quot;family&quot;:&quot;Tomancak&quot;,&quot;given&quot;:&quot;Pavel&quot;},{&quot;family&quot;:&quot;Jug&quot;,&quot;given&quot;:&quot;Florian&quot;},{&quot;family&quot;:&quot;Eliceiri&quot;,&quot;given&quot;:&quot;Kevin W&quot;}],&quot;issued&quot;:{&quot;date-parts&quot;:[[&quot;2021&quot;,&quot;1&quot;]]},&quot;DOI&quot;:&quot;10.1002/pro.3993&quot;,&quot;PMID&quot;:&quot;33166005&quot;,&quot;PMCID&quot;:&quot;PMC7737784&quot;,&quot;citation-label&quot;:&quot;12380509&quot;},{&quot;title&quot;:&quot;CellProfiler 4: improvements in speed, utility and usability.&quot;,&quot;page&quot;:&quot;433&quot;,&quot;volume&quot;:&quot;22&quot;,&quot;issue&quot;:&quot;1&quot;,&quot;journalAbbreviation&quot;:&quot;BMC Bioinformatics&quot;,&quot;id&quot;:&quot;12084249&quot;,&quot;type&quot;:&quot;article-journal&quot;,&quot;container-title&quot;:&quot;BMC Bioinformatics&quot;,&quot;container-title-short&quot;:&quot;BMC Bioinformatics&quot;,&quot;abstract&quot;:&quot;BACKGROUND: Imaging data contains a substantial amount of information which can be difficult to evaluate by eye. With the expansion of high throughput microscopy methodologies producing increasingly large datasets, automated and objective analysis of the resulting images is essential to effectively extract biological information from this data. CellProfiler is a free, open source image analysis program which enables researchers to generate modular pipelines with which to process microscopy images into interpretable measurements.RESULTS: Herein we describe CellProfiler 4, a new version of this software with expanded functionality. Based on user feedback, we have made several user interface refinements to improve the usability of the software. We introduced new modules to expand the capabilities of the software. We also evaluated performance and made targeted optimizations to reduce the time and cost associated with running common large-scale analysis pipelines.CONCLUSIONS: CellProfiler 4 provides significantly improved performance in complex workflows compared to previous versions. This release will ensure that researchers will have continued access to CellProfiler's powerful computational tools in the coming years.© 2021. The Author(s).&quot;,&quot;author&quot;:[{&quot;family&quot;:&quot;Stirling&quot;,&quot;given&quot;:&quot;David R&quot;},{&quot;family&quot;:&quot;Swain-Bowden&quot;,&quot;given&quot;:&quot;Madison J&quot;},{&quot;family&quot;:&quot;Lucas&quot;,&quot;given&quot;:&quot;Alice M&quot;},{&quot;family&quot;:&quot;Carpenter&quot;,&quot;given&quot;:&quot;Anne E&quot;},{&quot;family&quot;:&quot;Cimini&quot;,&quot;given&quot;:&quot;Beth A&quot;},{&quot;family&quot;:&quot;Goodman&quot;,&quot;given&quot;:&quot;Allen&quot;}],&quot;issued&quot;:{&quot;date-parts&quot;:[[&quot;2021&quot;,&quot;9&quot;,&quot;10&quot;]]},&quot;DOI&quot;:&quot;10.1186/s12859-021-04344-9&quot;,&quot;PMID&quot;:&quot;34507520&quot;,&quot;PMCID&quot;:&quot;PMC8431850&quot;,&quot;citation-label&quot;:&quot;12084249&quot;},{&quot;title&quot;:&quot;Bridging the Gap: Animal Models in Next-Generation Reproductive Technologies for Male Fertility Preservation.&quot;,&quot;volume&quot;:&quot;14&quot;,&quot;issue&quot;:&quot;1&quot;,&quot;journalAbbreviation&quot;:&quot;Life (Basel)&quot;,&quot;id&quot;:&quot;18740427&quot;,&quot;type&quot;:&quot;article-journal&quot;,&quot;container-title&quot;:&quot;Life (Basel, Switzerland)&quot;,&quot;container-title-short&quot;:&quot;Life (Basel)&quot;,&quot;abstract&quot;:&quot;This review aims to explore advanced reproductive technologies for male fertility preservation, underscoring the essential role that animal models have played in shaping these techniques through historical contexts and into modern applications. Rising infertility concerns have become more prevalent in human populations recently. The surge in male fertility issues has prompted advanced reproductive technologies, with animal models playing a pivotal role in their evolution. Historically, animal models have aided our understanding in the field, from early reproductive basic research to developing techniques like artificial insemination, multiple ovulation, and in vitro fertilization. The contemporary landscape of male fertility preservation encompasses techniques such as sperm cryopreservation, testicular sperm extraction, and intracytoplasmic sperm injection, among others. The relevance of animal models will undoubtedly bridge the gap between traditional methods and revolutionary next-generation reproductive techniques, fortifying our collective efforts in enhancing male fertility preservation strategies. While we possess extensive knowledge about spermatogenesis and its regulation, largely thanks to insights from animal models that paved the way for human infertility treatments, a pressing need remains to further understand specific infertility issues unique to humans. The primary aim of this review is to provide a comprehensive analysis of how animal models have influenced the development and refinement of advanced reproductive technologies for male fertility preservation, and to assess their future potential in bridging the gap between current practices and cutting-edge fertility techniques, particularly in addressing unique human male factor infertility.&quot;,&quot;author&quot;:[{&quot;family&quot;:&quot;Aponte&quot;,&quot;given&quot;:&quot;Pedro M&quot;},{&quot;family&quot;:&quot;Gutierrez-Reinoso&quot;,&quot;given&quot;:&quot;Miguel A&quot;},{&quot;family&quot;:&quot;Garcia-Herreros&quot;,&quot;given&quot;:&quot;Manuel&quot;}],&quot;issued&quot;:{&quot;date-parts&quot;:[[&quot;2023&quot;,&quot;12&quot;,&quot;21&quot;]]},&quot;DOI&quot;:&quot;10.3390/life14010017&quot;,&quot;PMID&quot;:&quot;38276265&quot;,&quot;PMCID&quot;:&quot;PMC10820126&quot;,&quot;citation-label&quot;:&quot;18740427&quot;},{&quot;title&quot;:&quot;A review for cell-based screening methods in drug discovery&quot;,&quot;page&quot;:&quot;504-516&quot;,&quot;volume&quot;:&quot;7&quot;,&quot;issue&quot;:&quot;6&quot;,&quot;journalAbbreviation&quot;:&quot;Biophys. Rep.&quot;,&quot;id&quot;:&quot;16210007&quot;,&quot;type&quot;:&quot;article-journal&quot;,&quot;container-title&quot;:&quot;Biophysics reports&quot;,&quot;container-title-short&quot;:&quot;Biophys. Rep.&quot;,&quot;abstract&quot;:&quot;With the biological relevance of the whole cells, low cost compared with animal experiments, a wide variety of cell-based screening platforms (cell-based assay, cell-based microfluidics, cell-based biosensor, cell-based chromatography) have been developed to address the challenges of drug discovery. In this review, we conclude the current advances in cell-based screening and summary the pros and cons of the platforms for different applications. Challenges and improvement strategies associated with cell-based methods are also discussed.© The Author(s) 2021.&quot;,&quot;author&quot;:[{&quot;family&quot;:&quot;Fen&quot;,&quot;given&quot;:&quot;Wei&quot;},{&quot;family&quot;:&quot;Sicen&quot;,&quot;given&quot;:&quot;Wang&quot;},{&quot;family&quot;:&quot;Xilan&quot;,&quot;given&quot;:&quot;Gou&quot;},{&quot;family&quot;:&quot;Health Science Center, School of Pharmacy, Xi’an Jiaotong University, Xi’an 710061, China&quot;}],&quot;issued&quot;:{&quot;date-parts&quot;:[[&quot;2021&quot;]]},&quot;DOI&quot;:&quot;10.52601/bpr.2021.210042&quot;,&quot;PMID&quot;:&quot;37288368&quot;,&quot;PMCID&quot;:&quot;PMC10210057&quot;,&quot;citation-label&quot;:&quot;16210007&quot;},{&quot;title&quot;:&quot;GENERAL METHODS FOR ZEBRAFISH CARE&quot;,&quot;accessed&quot;:{&quot;date-parts&quot;:[[&quot;2026&quot;,&quot;3&quot;,&quot;19&quot;]]},&quot;id&quot;:&quot;18741090&quot;,&quot;type&quot;:&quot;webpage&quot;,&quot;issued&quot;:{&quot;date-parts&quot;:[[]]},&quot;URL&quot;:&quot;https://zfin.org/zf_info/zfbook/chapt1/1.7.html&quot;,&quot;citation-label&quot;:&quot;18741090&quot;},{&quot;title&quot;:&quot;Methylene blue at recommended concentrations alters metabolism in early zebrafish development.&quot;,&quot;page&quot;:&quot;120&quot;,&quot;volume&quot;:&quot;8&quot;,&quot;issue&quot;:&quot;1&quot;,&quot;journalAbbreviation&quot;:&quot;Commun. Biol.&quot;,&quot;id&quot;:&quot;17607921&quot;,&quot;type&quot;:&quot;article-journal&quot;,&quot;container-title&quot;:&quot;Communications Biology&quot;,&quot;container-title-short&quot;:&quot;Commun. Biol.&quot;,&quot;abstract&quot;:&quot;Methylene blue (MB) is an antifungal agent widely used during critical stages of zebrafish development. Most guidelines recommend 0.00005% or 0.0001% of MB for embryo/larval rearing. The Organisation for Economic Co-operation and Development zebrafish embryo toxicity test guideline omits MB recommendations, leading to inconsistent MB use in zebrafish research. Because MB affects oxidative energy metabolism in vitro and in vivo, we investigate possible metabolic effects of recommended MB concentrations in developing zebrafish (1-5 days post-fertilization (dpf)). MB increases O2 consumption rate at 1 dpf, followed by an overall reduction in oxidative energy metabolism in post-hatch eleutheroembryos (4-5 dpf). Concomitantly, mitochondrial transcripts decrease in 1 and 4 dpf zebrafish. Our findings show that MB, at recommended husbandry concentrations, affects oxidative metabolism and can thus confound experiments. Since the zebrafish embryo/larval model is gaining traction as a high-throughput New Approach Methodology (NAM) for toxicity assessment, researchers should reconsider MB use.© 2025. The Author(s).&quot;,&quot;author&quot;:[{&quot;family&quot;:&quot;Nipu&quot;,&quot;given&quot;:&quot;Niepukolie&quot;},{&quot;family&quot;:&quot;Wei&quot;,&quot;given&quot;:&quot;Lai&quot;},{&quot;family&quot;:&quot;Hamilton&quot;,&quot;given&quot;:&quot;Lauren&quot;},{&quot;family&quot;:&quot;Lee&quot;,&quot;given&quot;:&quot;Hyojin&quot;},{&quot;family&quot;:&quot;Thomas&quot;,&quot;given&quot;:&quot;Jith&quot;},{&quot;family&quot;:&quot;Mennigen&quot;,&quot;given&quot;:&quot;Jan A&quot;}],&quot;issued&quot;:{&quot;date-parts&quot;:[[&quot;2025&quot;,&quot;1&quot;,&quot;25&quot;]]},&quot;DOI&quot;:&quot;10.1038/s42003-025-07471-8&quot;,&quot;PMID&quot;:&quot;39856203&quot;,&quot;PMCID&quot;:&quot;PMC11760885&quot;,&quot;citation-label&quot;:&quot;17607921&quot;}]"/>
    <we:property name="sciwheel-selectedStyle" value="{&quot;id&quot;:&quot;journal-of-visualized-experiments&quot;,&quot;name&quot;:&quot;Journal of Visualized Experiments - JoVE&quot;,&quot;bibText&quot;:[{&quot;maxoffset&quot;:2,&quot;entryspacing&quot;:0,&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lt;/div&gt;&lt;div class=\&quot;csl-right-inline\&quot;&gt;Accadia, T. &lt;i&gt;et al.&lt;/i&gt; Virgo: a laser interferometer to detect gravitational waves. &lt;i&gt;Journal of Instrumentation&lt;/i&gt;. &lt;b&gt;7&lt;/b&gt; (03), P03012–P03012, doi: 10.1088/1748-0221/7/03/P03012 (2012).&lt;/div&gt;\n  &lt;/div&gt;\n&quot;]],&quot;citationText&quot;:&quot;&lt;sup&gt;1&lt;/sup&gt;&quot;}"/>
    <we:property name="sciwheel-styles" value="[{&quot;id&quot;:&quot;american-medical-association&quot;,&quot;name&quot;:&quot;AMA (American Medical Association)&quot;},{&quot;id&quot;:&quot;apa 7th&quot;,&quot;name&quot;:&quot;APA (American Psychological Association) 7th Edition&quot;},{&quot;id&quot;:&quot;cell&quot;,&quot;name&quot;:&quot;Cell&quot;},{&quot;id&quot;:&quot;chicago-17th-edition&quot;,&quot;name&quot;:&quot;Chicago 17th Edition (author-date)&quot;},{&quot;id&quot;:&quot;cite-them-right-11th-edition-harvard&quot;,&quot;name&quot;:&quot;Cite Them Right 11th Edition - Harvard&quot;},{&quot;id&quot;:&quot;ieee&quot;,&quot;name&quot;:&quot;IEEE&quot;},{&quot;id&quot;:&quot;journal-of-visualized-experiments&quot;,&quot;name&quot;:&quot;Journal of Visualized Experiments - JoVE&quot;,&quot;bibText&quot;:[{&quot;maxoffset&quot;:2,&quot;entryspacing&quot;:0,&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lt;/div&gt;&lt;div class=\&quot;csl-right-inline\&quot;&gt;Accadia, T. &lt;i&gt;et al.&lt;/i&gt; Virgo: a laser interferometer to detect gravitational waves. &lt;i&gt;Journal of Instrumentation&lt;/i&gt;. &lt;b&gt;7&lt;/b&gt; (03), P03012–P03012, doi: 10.1088/1748-0221/7/03/P03012 (2012).&lt;/div&gt;\n  &lt;/div&gt;\n&quot;]],&quot;citationText&quot;:&quot;&lt;sup&gt;1&lt;/sup&gt;&quot;},{&quot;id&quot;:&quot;kth-royal-institute-of-technology-school-of-computer-science-and-communication-sv&quot;,&quot;name&quot;:&quot;KTH Royal Institute of Technology - School of Computer Science and Communication (Swedish) - KTH - CSC - Exjobb (Swedish)&quot;,&quot;bibText&quot;:[{&quot;maxoffset&quot;:0,&quot;entryspacing&quot;:0,&quot;linespacing&quot;:1,&quot;second-field-align&quot;:false,&quot;entry_ids&quot;:[[&quot;0&quot;]],&quot;bibliography_errors&quot;:[],&quot;done&quot;:false,&quot;hangingindent&quot;:true,&quot;bibstart&quot;:&quot;&lt;div class=\&quot;csl-bib-body\&quot;&gt;\n&quot;,&quot;bibend&quot;:&quot;&lt;/div&gt;&quot;},[&quot;  &lt;div class=\&quot;csl-entry\&quot;&gt;&lt;span style=\&quot;font-variant:small-caps;\&quot;&gt;Accadia, T.&lt;/span&gt;, &lt;span style=\&quot;font-variant:small-caps;\&quot;&gt;Acernese, F.&lt;/span&gt;, &lt;span style=\&quot;font-variant:small-caps;\&quot;&gt;Alshourbagy, M.&lt;/span&gt;, &lt;span style=\&quot;font-variant:small-caps;\&quot;&gt;Amico, P.&lt;/span&gt;, &lt;span style=\&quot;font-variant:small-caps;\&quot;&gt;Antonucci, F.&lt;/span&gt;, &lt;span style=\&quot;font-variant:small-caps;\&quot;&gt;Aoudia, S.&lt;/span&gt;, &lt;span style=\&quot;font-variant:small-caps;\&quot;&gt;Arnaud, N.&lt;/span&gt;, &lt;span style=\&quot;font-variant:small-caps;\&quot;&gt;Arnault, C.&lt;/span&gt;, &lt;span style=\&quot;font-variant:small-caps;\&quot;&gt;Arun, K.G.&lt;/span&gt;, &lt;span style=\&quot;font-variant:small-caps;\&quot;&gt;Astone, P.&lt;/span&gt;, &lt;span style=\&quot;font-variant:small-caps;\&quot;&gt;Avino, S.&lt;/span&gt;, &lt;span style=\&quot;font-variant:small-caps;\&quot;&gt;Babusci, D.&lt;/span&gt;, &lt;span style=\&quot;font-variant:small-caps;\&quot;&gt;Ballardin, G.&lt;/span&gt;, &lt;span style=\&quot;font-variant:small-caps;\&quot;&gt;Barone, F.&lt;/span&gt;, &lt;span style=\&quot;font-variant:small-caps;\&quot;&gt;Barrand, G.&lt;/span&gt;, &lt;span style=\&quot;font-variant:small-caps;\&quot;&gt;Barsotti, L.&lt;/span&gt;, &lt;span style=\&quot;font-variant:small-caps;\&quot;&gt;Barsuglia, M.&lt;/span&gt;, &lt;span style=\&quot;font-variant:small-caps;\&quot;&gt;Basti, A.&lt;/span&gt;, &lt;span style=\&quot;font-variant:small-caps;\&quot;&gt;Bauer, T.S.&lt;/span&gt;, &lt;span style=\&quot;font-variant:small-caps;\&quot;&gt;Beauville, F.&lt;/span&gt;, &lt;span style=\&quot;font-variant:small-caps;\&quot;&gt;Bebronne, M.&lt;/span&gt;, &lt;span style=\&quot;font-variant:small-caps;\&quot;&gt;Bejger, M.&lt;/span&gt;, &lt;span style=\&quot;font-variant:small-caps;\&quot;&gt;Beker, M.G.&lt;/span&gt;, &lt;span style=\&quot;font-variant:small-caps;\&quot;&gt;Bellachia, F.&lt;/span&gt;, &lt;span style=\&quot;font-variant:small-caps;\&quot;&gt;Belletoile, A.&lt;/span&gt;, &lt;span style=\&quot;font-variant:small-caps;\&quot;&gt;Beney, J.L.&lt;/span&gt;, &lt;span style=\&quot;font-variant:small-caps;\&quot;&gt;Bernardini, M.&lt;/span&gt;, &lt;span style=\&quot;font-variant:small-caps;\&quot;&gt;Bigotta, S.&lt;/span&gt;, &lt;span style=\&quot;font-variant:small-caps;\&quot;&gt;Bilhaut, R.&lt;/span&gt;, &lt;span style=\&quot;font-variant:small-caps;\&quot;&gt;Birindelli, S.&lt;/span&gt;, &lt;span style=\&quot;font-variant:small-caps;\&quot;&gt;Bitossi, M.&lt;/span&gt;, &lt;span style=\&quot;font-variant:small-caps;\&quot;&gt;Bizouard, M.A.&lt;/span&gt;, &lt;span style=\&quot;font-variant:small-caps;\&quot;&gt;Blom, M.&lt;/span&gt;, &lt;span style=\&quot;font-variant:small-caps;\&quot;&gt;Boccara, C.&lt;/span&gt;, &lt;span style=\&quot;font-variant:small-caps;\&quot;&gt;Boget, D.&lt;/span&gt;, &lt;span style=\&quot;font-variant:small-caps;\&quot;&gt;Bondu, F.&lt;/span&gt;, &lt;span style=\&quot;font-variant:small-caps;\&quot;&gt;Bonelli, L.&lt;/span&gt;, &lt;span style=\&quot;font-variant:small-caps;\&quot;&gt;Bonnand, R.&lt;/span&gt;, &lt;span style=\&quot;font-variant:small-caps;\&quot;&gt;Boschi, V.&lt;/span&gt;, &lt;span style=\&quot;font-variant:small-caps;\&quot;&gt;Bosi, L.&lt;/span&gt;, &lt;span style=\&quot;font-variant:small-caps;\&quot;&gt;Bouedo, T.&lt;/span&gt;, &lt;span style=\&quot;font-variant:small-caps;\&quot;&gt;Bouhou, B.&lt;/span&gt;, &lt;span style=\&quot;font-variant:small-caps;\&quot;&gt;Bozzi, A.&lt;/span&gt;, &lt;span style=\&quot;font-variant:small-caps;\&quot;&gt;Bracci, L.&lt;/span&gt;, &lt;span style=\&quot;font-variant:small-caps;\&quot;&gt;Braccini, S.&lt;/span&gt;, &lt;span style=\&quot;font-variant:small-caps;\&quot;&gt;Bradaschia, C.&lt;/span&gt;, &lt;span style=\&quot;font-variant:small-caps;\&quot;&gt;Branchesi, M.&lt;/span&gt;, &lt;span style=\&quot;font-variant:small-caps;\&quot;&gt;Briant, T.&lt;/span&gt;, &lt;span style=\&quot;font-variant:small-caps;\&quot;&gt;Brillet, A.&lt;/span&gt;, &lt;span style=\&quot;font-variant:small-caps;\&quot;&gt;Brisson, V.&lt;/span&gt;, &lt;span style=\&quot;font-variant:small-caps;\&quot;&gt;Brocco, L.&lt;/span&gt;, &lt;span style=\&quot;font-variant:small-caps;\&quot;&gt;Bulik, T.&lt;/span&gt;, &lt;span style=\&quot;font-variant:small-caps;\&quot;&gt;Bulten, H.J.&lt;/span&gt;, &lt;span style=\&quot;font-variant:small-caps;\&quot;&gt;Buskulic, D.&lt;/span&gt;, &lt;span style=\&quot;font-variant:small-caps;\&quot;&gt;Buy, C.&lt;/span&gt;, &lt;span style=\&quot;font-variant:small-caps;\&quot;&gt;Cagnoli, G.&lt;/span&gt;, &lt;span style=\&quot;font-variant:small-caps;\&quot;&gt;Calamai, G.&lt;/span&gt;, &lt;span style=\&quot;font-variant:small-caps;\&quot;&gt;Calloni, E.&lt;/span&gt;, &lt;span style=\&quot;font-variant:small-caps;\&quot;&gt;Campagna, E.&lt;/span&gt;, &lt;span style=\&quot;font-variant:small-caps;\&quot;&gt;Canuel, B.&lt;/span&gt;, &lt;span style=\&quot;font-variant:small-caps;\&quot;&gt;Carbognani, F.&lt;/span&gt;, &lt;span style=\&quot;font-variant:small-caps;\&quot;&gt;Carbone, L.&lt;/span&gt;, &lt;span style=\&quot;font-variant:small-caps;\&quot;&gt;Cavalier, F.&lt;/span&gt;, &lt;span style=\&quot;font-variant:small-caps;\&quot;&gt;Cavalieri, R.&lt;/span&gt;, &lt;span style=\&quot;font-variant:small-caps;\&quot;&gt;Cecchi, R.&lt;/span&gt;, &lt;span style=\&quot;font-variant:small-caps;\&quot;&gt;Cella, G.&lt;/span&gt;, &lt;span style=\&quot;font-variant:small-caps;\&quot;&gt;Cesarini, E.&lt;/span&gt;, &lt;span style=\&quot;font-variant:small-caps;\&quot;&gt;Chassande-Mottin, E.&lt;/span&gt;, &lt;span style=\&quot;font-variant:small-caps;\&quot;&gt;Chatterji, S.&lt;/span&gt;, &lt;span style=\&quot;font-variant:small-caps;\&quot;&gt;Chiche, R.&lt;/span&gt;, &lt;span style=\&quot;font-variant:small-caps;\&quot;&gt;Chincarini, A.&lt;/span&gt;, &lt;span style=\&quot;font-variant:small-caps;\&quot;&gt;Chiummo, A.&lt;/span&gt;, &lt;span style=\&quot;font-variant:small-caps;\&quot;&gt;Christensen, N.&lt;/span&gt;, &lt;span style=\&quot;font-variant:small-caps;\&quot;&gt;Clapson, A.C.&lt;/span&gt;, &lt;span style=\&quot;font-variant:small-caps;\&quot;&gt;Cleva, F.&lt;/span&gt;, &lt;span style=\&quot;font-variant:small-caps;\&quot;&gt;Coccia, E.&lt;/span&gt;, &lt;span style=\&quot;font-variant:small-caps;\&quot;&gt;Cohadon, P.-F.&lt;/span&gt;, &lt;span style=\&quot;font-variant:small-caps;\&quot;&gt;Colacino, C.N.&lt;/span&gt;, &lt;span style=\&quot;font-variant:small-caps;\&quot;&gt;Colas, J.&lt;/span&gt;, &lt;span style=\&quot;font-variant:small-caps;\&quot;&gt;Colla, A.&lt;/span&gt;, &lt;span style=\&quot;font-variant:small-caps;\&quot;&gt;Colombini, M.&lt;/span&gt;, &lt;span style=\&quot;font-variant:small-caps;\&quot;&gt;Conforto, G.&lt;/span&gt;, &lt;span style=\&quot;font-variant:small-caps;\&quot;&gt;Corsi, A.&lt;/span&gt;, &lt;span style=\&quot;font-variant:small-caps;\&quot;&gt;Cortese, S.&lt;/span&gt;, &lt;span style=\&quot;font-variant:small-caps;\&quot;&gt;Cottone, F.&lt;/span&gt;, &lt;span style=\&quot;font-variant:small-caps;\&quot;&gt;Coulon, J.-P.&lt;/span&gt;, &lt;span style=\&quot;font-variant:small-caps;\&quot;&gt;Cuoco, E.&lt;/span&gt;, &lt;span style=\&quot;font-variant:small-caps;\&quot;&gt;D’Antonio, S.&lt;/span&gt;, &lt;span style=\&quot;font-variant:small-caps;\&quot;&gt;Daguin, G.&lt;/span&gt;, &lt;span style=\&quot;font-variant:small-caps;\&quot;&gt;Dari, A.&lt;/span&gt;, &lt;span style=\&quot;font-variant:small-caps;\&quot;&gt;Dattilo, V.&lt;/span&gt;, &lt;span style=\&quot;font-variant:small-caps;\&quot;&gt;David, P.Y.&lt;/span&gt;, &lt;span style=\&quot;font-variant:small-caps;\&quot;&gt;Davier, M.&lt;/span&gt;, &lt;span style=\&quot;font-variant:small-caps;\&quot;&gt;Day, R.&lt;/span&gt;, &lt;span style=\&quot;font-variant:small-caps;\&quot;&gt;Debreczeni, G.&lt;/span&gt;, &lt;span style=\&quot;font-variant:small-caps;\&quot;&gt;Carolis, G.D.&lt;/span&gt;, &lt;span style=\&quot;font-variant:small-caps;\&quot;&gt;Dehamme, M.&lt;/span&gt;, &lt;span style=\&quot;font-variant:small-caps;\&quot;&gt;Fabbro, R.D.&lt;/span&gt;, &lt;span style=\&quot;font-variant:small-caps;\&quot;&gt;Pozzo, W.D.&lt;/span&gt;, &lt;span style=\&quot;font-variant:small-caps;\&quot;&gt;Prete, M. del&lt;/span&gt;, &lt;span style=\&quot;font-variant:small-caps;\&quot;&gt;Derome, L.&lt;/span&gt;, &lt;span style=\&quot;font-variant:small-caps;\&quot;&gt;Rosa, R.D.&lt;/span&gt;, &lt;span style=\&quot;font-variant:small-caps;\&quot;&gt;DeSalvo, R.&lt;/span&gt;, &lt;span style=\&quot;font-variant:small-caps;\&quot;&gt;Dialinas, M.&lt;/span&gt;, &lt;span style=\&quot;font-variant:small-caps;\&quot;&gt;Fiore, L.D.&lt;/span&gt;, &lt;span style=\&quot;font-variant:small-caps;\&quot;&gt;Lieto, A.D.&lt;/span&gt;, &lt;span style=\&quot;font-variant:small-caps;\&quot;&gt;Emilio, M.D.P.&lt;/span&gt;, &lt;span style=\&quot;font-variant:small-caps;\&quot;&gt;Virgilio, A.D.&lt;/span&gt;, &lt;span style=\&quot;font-variant:small-caps;\&quot;&gt;Dietz, A.&lt;/span&gt;, &lt;span style=\&quot;font-variant:small-caps;\&quot;&gt;Doets, M.&lt;/span&gt;, &lt;span style=\&quot;font-variant:small-caps;\&quot;&gt;Dominici, P.&lt;/span&gt;, &lt;span style=\&quot;font-variant:small-caps;\&quot;&gt;Dominjon, A.&lt;/span&gt;, &lt;span style=\&quot;font-variant:small-caps;\&quot;&gt;Drago, M.&lt;/span&gt;, &lt;span style=\&quot;font-variant:small-caps;\&quot;&gt;Drezen, C.&lt;/span&gt;, &lt;span style=\&quot;font-variant:small-caps;\&quot;&gt;Dujardin, B.&lt;/span&gt;, &lt;span style=\&quot;font-variant:small-caps;\&quot;&gt;Dulach, B.&lt;/span&gt;, &lt;span style=\&quot;font-variant:small-caps;\&quot;&gt;Eder, C.&lt;/span&gt;, &lt;span style=\&quot;font-variant:small-caps;\&quot;&gt;Eleuteri, A.&lt;/span&gt;, &lt;span style=\&quot;font-variant:small-caps;\&quot;&gt;Enard, D.&lt;/span&gt;, &lt;span style=\&quot;font-variant:small-caps;\&quot;&gt;Evans, M.&lt;/span&gt;, &lt;span style=\&quot;font-variant:small-caps;\&quot;&gt;Fabbroni, L.&lt;/span&gt;, &lt;span style=\&quot;font-variant:small-caps;\&quot;&gt;Fafone, V.&lt;/span&gt;, &lt;span style=\&quot;font-variant:small-caps;\&quot;&gt;Fang, H.&lt;/span&gt;, &lt;span style=\&quot;font-variant:small-caps;\&quot;&gt;Ferrante, I.&lt;/span&gt;, &lt;span style=\&quot;font-variant:small-caps;\&quot;&gt;Fidecaro, F.&lt;/span&gt;, &lt;span style=\&quot;font-variant:small-caps;\&quot;&gt;Fiori, I.&lt;/span&gt;, &lt;span style=\&quot;font-variant:small-caps;\&quot;&gt;Flaminio, R.&lt;/span&gt;, &lt;span style=\&quot;font-variant:small-caps;\&quot;&gt;Forest, D.&lt;/span&gt;, &lt;span style=\&quot;font-variant:small-caps;\&quot;&gt;Forte, L.A.&lt;/span&gt;, &lt;span style=\&quot;font-variant:small-caps;\&quot;&gt;Fournier, J.-D.&lt;/span&gt;, &lt;span style=\&quot;font-variant:small-caps;\&quot;&gt;Fournier, L.&lt;/span&gt;, &lt;span style=\&quot;font-variant:small-caps;\&quot;&gt;Franc, J.&lt;/span&gt;, &lt;span style=\&quot;font-variant:small-caps;\&quot;&gt;Francois, O.&lt;/span&gt;, &lt;span style=\&quot;font-variant:small-caps;\&quot;&gt;Frasca, S.&lt;/span&gt;, &lt;span style=\&quot;font-variant:small-caps;\&quot;&gt;Frasconi, F.&lt;/span&gt;, &lt;span style=\&quot;font-variant:small-caps;\&quot;&gt;Freise, A.&lt;/span&gt;, &lt;span style=\&quot;font-variant:small-caps;\&quot;&gt;Gaddi, A.&lt;/span&gt;, &lt;span style=\&quot;font-variant:small-caps;\&quot;&gt;Galimberti, M.&lt;/span&gt;, &lt;span style=\&quot;font-variant:small-caps;\&quot;&gt;Gammaitoni, L.&lt;/span&gt;, &lt;span style=\&quot;font-variant:small-caps;\&quot;&gt;Ganau, P.&lt;/span&gt;, &lt;span style=\&quot;font-variant:small-caps;\&quot;&gt;Garnier, C.&lt;/span&gt;, &lt;span style=\&quot;font-variant:small-caps;\&quot;&gt;Garufi, F.&lt;/span&gt;, &lt;span style=\&quot;font-variant:small-caps;\&quot;&gt;Gáspár, M.E.&lt;/span&gt;, &lt;span style=\&quot;font-variant:small-caps;\&quot;&gt;Gemme, G.&lt;/span&gt;, &lt;span style=\&quot;font-variant:small-caps;\&quot;&gt;Genin, E.&lt;/span&gt;, &lt;span style=\&quot;font-variant:small-caps;\&quot;&gt;Gennai, A.&lt;/span&gt;, &lt;span style=\&quot;font-variant:small-caps;\&quot;&gt;Gennaro, G.&lt;/span&gt;, &lt;span style=\&quot;font-variant:small-caps;\&quot;&gt;Giacobone, L.&lt;/span&gt;, &lt;span style=\&quot;font-variant:small-caps;\&quot;&gt;Giazotto, A.&lt;/span&gt;, &lt;span style=\&quot;font-variant:small-caps;\&quot;&gt;Giordano, G.&lt;/span&gt;, &lt;span style=\&quot;font-variant:small-caps;\&quot;&gt;Giordano, L.&lt;/span&gt;, &lt;span style=\&quot;font-variant:small-caps;\&quot;&gt;Girard, C.&lt;/span&gt;, &lt;span style=\&quot;font-variant:small-caps;\&quot;&gt;Gouaty, R.&lt;/span&gt;, &lt;span style=\&quot;font-variant:small-caps;\&quot;&gt;Grado, A.&lt;/span&gt;, &lt;span style=\&quot;font-variant:small-caps;\&quot;&gt;Granata, M.&lt;/span&gt;, &lt;span style=\&quot;font-variant:small-caps;\&quot;&gt;Granata, V.&lt;/span&gt;, &lt;span style=\&quot;font-variant:small-caps;\&quot;&gt;Grave, X.&lt;/span&gt;, &lt;span style=\&quot;font-variant:small-caps;\&quot;&gt;Greverie, C.&lt;/span&gt;, &lt;span style=\&quot;font-variant:small-caps;\&quot;&gt;Groenstege, H.&lt;/span&gt;, &lt;span style=\&quot;font-variant:small-caps;\&quot;&gt;Guidi, G.M.&lt;/span&gt;, &lt;span style=\&quot;font-variant:small-caps;\&quot;&gt;Hamdani, S.&lt;/span&gt;, &lt;span style=\&quot;font-variant:small-caps;\&quot;&gt;Hayau, J.-F.&lt;/span&gt;, &lt;span style=\&quot;font-variant:small-caps;\&quot;&gt;Hebri, S.&lt;/span&gt;, &lt;span style=\&quot;font-variant:small-caps;\&quot;&gt;Heidmann, A.&lt;/span&gt;, &lt;span style=\&quot;font-variant:small-caps;\&quot;&gt;Heitmann, H.&lt;/span&gt;, &lt;span style=\&quot;font-variant:small-caps;\&quot;&gt;Hello, P.&lt;/span&gt;, &lt;span style=\&quot;font-variant:small-caps;\&quot;&gt;Hemming, G.&lt;/span&gt;, &lt;span style=\&quot;font-variant:small-caps;\&quot;&gt;Hennes, E.&lt;/span&gt;, &lt;span style=\&quot;font-variant:small-caps;\&quot;&gt;Hermel, R.&lt;/span&gt;, &lt;span style=\&quot;font-variant:small-caps;\&quot;&gt;Heusse, P.&lt;/span&gt;, &lt;span style=\&quot;font-variant:small-caps;\&quot;&gt;Holloway, L.&lt;/span&gt;, &lt;span style=\&quot;font-variant:small-caps;\&quot;&gt;Huet, D.&lt;/span&gt;, &lt;span style=\&quot;font-variant:small-caps;\&quot;&gt;Iannarelli, M.&lt;/span&gt;, &lt;span style=\&quot;font-variant:small-caps;\&quot;&gt;Jaranowski, P.&lt;/span&gt;, &lt;span style=\&quot;font-variant:small-caps;\&quot;&gt;Jehanno, D.&lt;/span&gt;, &lt;span style=\&quot;font-variant:small-caps;\&quot;&gt;Journet, L.&lt;/span&gt;, &lt;span style=\&quot;font-variant:small-caps;\&quot;&gt;Karkar, S.&lt;/span&gt;, &lt;span style=\&quot;font-variant:small-caps;\&quot;&gt;Ketel, T.&lt;/span&gt;, &lt;span style=\&quot;font-variant:small-caps;\&quot;&gt;Voet, H.&lt;/span&gt;, &lt;span style=\&quot;font-variant:small-caps;\&quot;&gt;Kovalik, J.&lt;/span&gt;, &lt;span style=\&quot;font-variant:small-caps;\&quot;&gt;Kowalska, I.&lt;/span&gt;, &lt;span style=\&quot;font-variant:small-caps;\&quot;&gt;Kreckelbergh, S.&lt;/span&gt;, &lt;span style=\&quot;font-variant:small-caps;\&quot;&gt;Krolak, A.&lt;/span&gt;, &lt;span style=\&quot;font-variant:small-caps;\&quot;&gt;Lacotte, J.C.&lt;/span&gt;, &lt;span style=\&quot;font-variant:small-caps;\&quot;&gt;Lagrange, B.&lt;/span&gt;, &lt;span style=\&quot;font-variant:small-caps;\&quot;&gt;Penna, P.L.&lt;/span&gt;, &lt;span style=\&quot;font-variant:small-caps;\&quot;&gt;Laval, M.&lt;/span&gt;, &lt;span style=\&quot;font-variant:small-caps;\&quot;&gt;Marec, J.C.L.&lt;/span&gt;, &lt;span style=\&quot;font-variant:small-caps;\&quot;&gt;Leroy, N.&lt;/span&gt;, &lt;span style=\&quot;font-variant:small-caps;\&quot;&gt;Letendre, N.&lt;/span&gt;, &lt;span style=\&quot;font-variant:small-caps;\&quot;&gt;Li, T.G.F.&lt;/span&gt;, &lt;span style=\&quot;font-variant:small-caps;\&quot;&gt;Lieunard, B.&lt;/span&gt;, &lt;span style=\&quot;font-variant:small-caps;\&quot;&gt;Liguori, N.&lt;/span&gt;, &lt;span style=\&quot;font-variant:small-caps;\&quot;&gt;Lodygensky, O.&lt;/span&gt;, &lt;span style=\&quot;font-variant:small-caps;\&quot;&gt;Lopez, B.&lt;/span&gt;, &lt;span style=\&quot;font-variant:small-caps;\&quot;&gt;Lorenzini, M.&lt;/span&gt;, &lt;span style=\&quot;font-variant:small-caps;\&quot;&gt;Loriette, V.&lt;/span&gt;, &lt;span style=\&quot;font-variant:small-caps;\&quot;&gt;Losurdo, G.&lt;/span&gt;, &lt;span style=\&quot;font-variant:small-caps;\&quot;&gt;Loupias, M.&lt;/span&gt;, &lt;span style=\&quot;font-variant:small-caps;\&quot;&gt;Mackowski, J.M.&lt;/span&gt;, &lt;span style=\&quot;font-variant:small-caps;\&quot;&gt;Maiani, T.&lt;/span&gt;, &lt;span style=\&quot;font-variant:small-caps;\&quot;&gt;Majorana, E.&lt;/span&gt;, &lt;span style=\&quot;font-variant:small-caps;\&quot;&gt;Magazzù, C.&lt;/span&gt;, &lt;span style=\&quot;font-variant:small-caps;\&quot;&gt;Maksimovic, I.&lt;/span&gt;, &lt;span style=\&quot;font-variant:small-caps;\&quot;&gt;Malvezzi, V.&lt;/span&gt;, &lt;span style=\&quot;font-variant:small-caps;\&quot;&gt;Man, N.&lt;/span&gt;, &lt;span style=\&quot;font-variant:small-caps;\&quot;&gt;Mancini, S.&lt;/span&gt;, &lt;span style=\&quot;font-variant:small-caps;\&quot;&gt;Mansoux, B.&lt;/span&gt;, &lt;span style=\&quot;font-variant:small-caps;\&quot;&gt;Mantovani, M.&lt;/span&gt;, &lt;span style=\&quot;font-variant:small-caps;\&quot;&gt;Marchesoni, F.&lt;/span&gt;, &lt;span style=\&quot;font-variant:small-caps;\&quot;&gt;Marion, F.&lt;/span&gt;, &lt;span style=\&quot;font-variant:small-caps;\&quot;&gt;Marin, P.&lt;/span&gt;, &lt;span style=\&quot;font-variant:small-caps;\&quot;&gt;Marque, J.&lt;/span&gt;, &lt;span style=\&quot;font-variant:small-caps;\&quot;&gt;Martelli, F.&lt;/span&gt;, &lt;span style=\&quot;font-variant:small-caps;\&quot;&gt;Masserot, A.&lt;/span&gt;, &lt;span style=\&quot;font-variant:small-caps;\&quot;&gt;Massonnet, L.&lt;/span&gt;, &lt;span style=\&quot;font-variant:small-caps;\&quot;&gt;Matone, G.&lt;/span&gt;, &lt;span style=\&quot;font-variant:small-caps;\&quot;&gt;Matone, L.&lt;/span&gt;, &lt;span style=\&quot;font-variant:small-caps;\&quot;&gt;Mazzoni, M.&lt;/span&gt;, &lt;span style=\&quot;font-variant:small-caps;\&quot;&gt;Menzinger, F.&lt;/span&gt;, &lt;span style=\&quot;font-variant:small-caps;\&quot;&gt;Michel, C.&lt;/span&gt;, &lt;span style=\&quot;font-variant:small-caps;\&quot;&gt;Milano, L.&lt;/span&gt;, &lt;span style=\&quot;font-variant:small-caps;\&quot;&gt;Minenkov, Y.&lt;/span&gt;, &lt;span style=\&quot;font-variant:small-caps;\&quot;&gt;Mitra, S.&lt;/span&gt;, &lt;span style=\&quot;font-variant:small-caps;\&quot;&gt;Mohan, M.&lt;/span&gt;, &lt;span style=\&quot;font-variant:small-caps;\&quot;&gt;Montorio, J.-L.&lt;/span&gt;, &lt;span style=\&quot;font-variant:small-caps;\&quot;&gt;Morand, R.&lt;/span&gt;, &lt;span style=\&quot;font-variant:small-caps;\&quot;&gt;Moreau, F.&lt;/span&gt;, &lt;span style=\&quot;font-variant:small-caps;\&quot;&gt;Moreau, J.&lt;/span&gt;, &lt;span style=\&quot;font-variant:small-caps;\&quot;&gt;Morgado, N.&lt;/span&gt;, &lt;span style=\&quot;font-variant:small-caps;\&quot;&gt;Morgia, A.&lt;/span&gt;, &lt;span style=\&quot;font-variant:small-caps;\&quot;&gt;Mosca, S.&lt;/span&gt;, &lt;span style=\&quot;font-variant:small-caps;\&quot;&gt;Moscatelli, V.&lt;/span&gt;, &lt;span style=\&quot;font-variant:small-caps;\&quot;&gt;Mours, B.&lt;/span&gt;, &lt;span style=\&quot;font-variant:small-caps;\&quot;&gt;Mugnier, P.&lt;/span&gt;, &lt;span style=\&quot;font-variant:small-caps;\&quot;&gt;Mul, F.-A.&lt;/span&gt;, &lt;span style=\&quot;font-variant:small-caps;\&quot;&gt;Naticchioni, L.&lt;/span&gt;, &lt;span style=\&quot;font-variant:small-caps;\&quot;&gt;Neri, I.&lt;/span&gt;, &lt;span style=\&quot;font-variant:small-caps;\&quot;&gt;Nocera, F.&lt;/span&gt;, &lt;span style=\&quot;font-variant:small-caps;\&quot;&gt;Pacaud, E.&lt;/span&gt;, &lt;span style=\&quot;font-variant:small-caps;\&quot;&gt;Pagliaroli, G.&lt;/span&gt;, &lt;span style=\&quot;font-variant:small-caps;\&quot;&gt;Pai, A.&lt;/span&gt;, &lt;span style=\&quot;font-variant:small-caps;\&quot;&gt;Palladino, L.&lt;/span&gt;, &lt;span style=\&quot;font-variant:small-caps;\&quot;&gt;Palomba, C.&lt;/span&gt;, &lt;span style=\&quot;font-variant:small-caps;\&quot;&gt;Paoletti, F.&lt;/span&gt;, &lt;span style=\&quot;font-variant:small-caps;\&quot;&gt;Paoletti, R.&lt;/span&gt;, &lt;span style=\&quot;font-variant:small-caps;\&quot;&gt;Paoli, A.&lt;/span&gt;, &lt;span style=\&quot;font-variant:small-caps;\&quot;&gt;Pardi, S.&lt;/span&gt;, &lt;span style=\&quot;font-variant:small-caps;\&quot;&gt;Parguez, G.&lt;/span&gt;, &lt;span style=\&quot;font-variant:small-caps;\&quot;&gt;Parisi, M.&lt;/span&gt;, &lt;span style=\&quot;font-variant:small-caps;\&quot;&gt;Pasqualetti, A.&lt;/span&gt;, &lt;span style=\&quot;font-variant:small-caps;\&quot;&gt;Passaquieti, R.&lt;/span&gt;, &lt;span style=\&quot;font-variant:small-caps;\&quot;&gt;Passuello, D.&lt;/span&gt;, &lt;span style=\&quot;font-variant:small-caps;\&quot;&gt;Perciballi, M.&lt;/span&gt;, &lt;span style=\&quot;font-variant:small-caps;\&quot;&gt;Perniola, B.&lt;/span&gt;, &lt;span style=\&quot;font-variant:small-caps;\&quot;&gt;Persichetti, G.&lt;/span&gt;, &lt;span style=\&quot;font-variant:small-caps;\&quot;&gt;Petit, S.&lt;/span&gt;, &lt;span style=\&quot;font-variant:small-caps;\&quot;&gt;Pichot, M.&lt;/span&gt;, &lt;span style=\&quot;font-variant:small-caps;\&quot;&gt;Piergiovanni, F.&lt;/span&gt;, &lt;span style=\&quot;font-variant:small-caps;\&quot;&gt;Pietka, M.&lt;/span&gt;, &lt;span style=\&quot;font-variant:small-caps;\&quot;&gt;Pignard, R.&lt;/span&gt;, &lt;span style=\&quot;font-variant:small-caps;\&quot;&gt;Pinard, L.&lt;/span&gt;, &lt;span style=\&quot;font-variant:small-caps;\&quot;&gt;Poggiani, R.&lt;/span&gt;, &lt;span style=\&quot;font-variant:small-caps;\&quot;&gt;Popolizio, P.&lt;/span&gt;, &lt;span style=\&quot;font-variant:small-caps;\&quot;&gt;Pradier, T.&lt;/span&gt;, &lt;span style=\&quot;font-variant:small-caps;\&quot;&gt;Prato, M.&lt;/span&gt;, &lt;span style=\&quot;font-variant:small-caps;\&quot;&gt;Prodi, G.A.&lt;/span&gt;, &lt;span style=\&quot;font-variant:small-caps;\&quot;&gt;Punturo, M.&lt;/span&gt;, &lt;span style=\&quot;font-variant:small-caps;\&quot;&gt;Puppo, P.&lt;/span&gt;, &lt;span style=\&quot;font-variant:small-caps;\&quot;&gt;Qipiani, K.&lt;/span&gt;, &lt;span style=\&quot;font-variant:small-caps;\&quot;&gt;Rabaste, O.&lt;/span&gt;, &lt;span style=\&quot;font-variant:small-caps;\&quot;&gt;Rabeling, D.S.&lt;/span&gt;, &lt;span style=\&quot;font-variant:small-caps;\&quot;&gt;Rácz, I.&lt;/span&gt;, &lt;span style=\&quot;font-variant:small-caps;\&quot;&gt;Raffaelli, F.&lt;/span&gt;, &lt;span style=\&quot;font-variant:small-caps;\&quot;&gt;Rapagnani, P.&lt;/span&gt;, &lt;span style=\&quot;font-variant:small-caps;\&quot;&gt;Rapisarda, S.&lt;/span&gt;, &lt;span style=\&quot;font-variant:small-caps;\&quot;&gt;Re, V.&lt;/span&gt;, &lt;span style=\&quot;font-variant:small-caps;\&quot;&gt;Reboux, A.&lt;/span&gt;, &lt;span style=\&quot;font-variant:small-caps;\&quot;&gt;Regimbau, T.&lt;/span&gt;, &lt;span style=\&quot;font-variant:small-caps;\&quot;&gt;Reita, V.&lt;/span&gt;, &lt;span style=\&quot;font-variant:small-caps;\&quot;&gt;Remilleux, A.&lt;/span&gt;, &lt;span style=\&quot;font-variant:small-caps;\&quot;&gt;Ricci, F.&lt;/span&gt;, &lt;span style=\&quot;font-variant:small-caps;\&quot;&gt;Ricciardi, I.&lt;/span&gt;, &lt;span style=\&quot;font-variant:small-caps;\&quot;&gt;Richard, F.&lt;/span&gt;, &lt;span style=\&quot;font-variant:small-caps;\&quot;&gt;Ripepe, M.&lt;/span&gt;, &lt;span style=\&quot;font-variant:small-caps;\&quot;&gt;Robinet, F.&lt;/span&gt;, &lt;span style=\&quot;font-variant:small-caps;\&quot;&gt;Rocchi, A.&lt;/span&gt;, &lt;span style=\&quot;font-variant:small-caps;\&quot;&gt;Rolland, L.&lt;/span&gt;, &lt;span style=\&quot;font-variant:small-caps;\&quot;&gt;Romano, R.&lt;/span&gt;, &lt;span style=\&quot;font-variant:small-caps;\&quot;&gt;Rosińska, D.&lt;/span&gt;, &lt;span style=\&quot;font-variant:small-caps;\&quot;&gt;Roudier, P.&lt;/span&gt;, &lt;span style=\&quot;font-variant:small-caps;\&quot;&gt;Ruggi, P.&lt;/span&gt;, &lt;span style=\&quot;font-variant:small-caps;\&quot;&gt;Russo, G.&lt;/span&gt;, &lt;span style=\&quot;font-variant:small-caps;\&quot;&gt;Salconi, L.&lt;/span&gt;, &lt;span style=\&quot;font-variant:small-caps;\&quot;&gt;Sannibale, V.&lt;/span&gt;, &lt;span style=\&quot;font-variant:small-caps;\&quot;&gt;Sassolas, B.&lt;/span&gt;, &lt;span style=\&quot;font-variant:small-caps;\&quot;&gt;Sentenac, D.&lt;/span&gt;, &lt;span style=\&quot;font-variant:small-caps;\&quot;&gt;Solimeno, S.&lt;/span&gt;, &lt;span style=\&quot;font-variant:small-caps;\&quot;&gt;Sottile, R.&lt;/span&gt;, &lt;span style=\&quot;font-variant:small-caps;\&quot;&gt;Sperandio, L.&lt;/span&gt;, &lt;span style=\&quot;font-variant:small-caps;\&quot;&gt;Stanga, R.&lt;/span&gt;, &lt;span style=\&quot;font-variant:small-caps;\&quot;&gt;Sturani, R.&lt;/span&gt;, &lt;span style=\&quot;font-variant:small-caps;\&quot;&gt;Swinkels, B.&lt;/span&gt;, &lt;span style=\&quot;font-variant:small-caps;\&quot;&gt;Tacca, M.&lt;/span&gt;, &lt;span style=\&quot;font-variant:small-caps;\&quot;&gt;Taddei, R.&lt;/span&gt;, &lt;span style=\&quot;font-variant:small-caps;\&quot;&gt;Taffarello, L.&lt;/span&gt;, &lt;span style=\&quot;font-variant:small-caps;\&quot;&gt;Tarallo, M.&lt;/span&gt;, &lt;span style=\&quot;font-variant:small-caps;\&quot;&gt;Tissot, S.&lt;/span&gt;, &lt;span style=\&quot;font-variant:small-caps;\&quot;&gt;Toncelli, A.&lt;/span&gt;, &lt;span style=\&quot;font-variant:small-caps;\&quot;&gt;Tonelli, M.&lt;/span&gt;, &lt;span style=\&quot;font-variant:small-caps;\&quot;&gt;Torre, O.&lt;/span&gt;, &lt;span style=\&quot;font-variant:small-caps;\&quot;&gt;Tournefier, E.&lt;/span&gt;, &lt;span style=\&quot;font-variant:small-caps;\&quot;&gt;Travasso, F.&lt;/span&gt;, &lt;span style=\&quot;font-variant:small-caps;\&quot;&gt;Tremola, C.&lt;/span&gt;, &lt;span style=\&quot;font-variant:small-caps;\&quot;&gt;Turri, E.&lt;/span&gt;, &lt;span style=\&quot;font-variant:small-caps;\&quot;&gt;Vajente, G.&lt;/span&gt;, &lt;span style=\&quot;font-variant:small-caps;\&quot;&gt;Brand, J.F.J. van den&lt;/span&gt;, &lt;span style=\&quot;font-variant:small-caps;\&quot;&gt;Broeck, C.V.D.&lt;/span&gt;, &lt;span style=\&quot;font-variant:small-caps;\&quot;&gt;Putten, S. van der&lt;/span&gt;, &lt;span style=\&quot;font-variant:small-caps;\&quot;&gt;Vasuth, M.&lt;/span&gt;, &lt;span style=\&quot;font-variant:small-caps;\&quot;&gt;Vavoulidis, M.&lt;/span&gt;, &lt;span style=\&quot;font-variant:small-caps;\&quot;&gt;Vedovato, G.&lt;/span&gt;, &lt;span style=\&quot;font-variant:small-caps;\&quot;&gt;Verkindt, D.&lt;/span&gt;, &lt;span style=\&quot;font-variant:small-caps;\&quot;&gt;Vetrano, F.&lt;/span&gt;, &lt;span style=\&quot;font-variant:small-caps;\&quot;&gt;Véziant, O.&lt;/span&gt;, &lt;span style=\&quot;font-variant:small-caps;\&quot;&gt;Viceré, A.&lt;/span&gt;, &lt;span style=\&quot;font-variant:small-caps;\&quot;&gt;Vinet, J.-Y.&lt;/span&gt;, &lt;span style=\&quot;font-variant:small-caps;\&quot;&gt;Vilalte, S.&lt;/span&gt;, &lt;span style=\&quot;font-variant:small-caps;\&quot;&gt;Vitale, S.&lt;/span&gt;, &lt;span style=\&quot;font-variant:small-caps;\&quot;&gt;Vocca, H.&lt;/span&gt;, &lt;span style=\&quot;font-variant:small-caps;\&quot;&gt;Ward, R.L.&lt;/span&gt;, &lt;span style=\&quot;font-variant:small-caps;\&quot;&gt;Was, M.&lt;/span&gt;, &lt;span style=\&quot;font-variant:small-caps;\&quot;&gt;Yamamoto, K.&lt;/span&gt;, &lt;span style=\&quot;font-variant:small-caps;\&quot;&gt;Yvert, M.&lt;/span&gt;, &lt;span style=\&quot;font-variant:small-caps;\&quot;&gt;Zendri, J.-P.&lt;/span&gt;, and &lt;span style=\&quot;font-variant:small-caps;\&quot;&gt;Zhang, Z.&lt;/span&gt;, 2012. Virgo: a laser interferometer to detect gravitational waves. &lt;i&gt;Journal of Instrumentation&lt;/i&gt;, Vol. 7, Nr. 03, s. P03012–P03012.&lt;/div&gt;\n&quot;]],&quot;citationText&quot;:&quot;(Accadia et al., 2012)&quot;},{&quot;id&quot;:&quot;modern-language-association&quot;,&quot;name&quot;:&quot;MLA (Modern Language Association)&quot;},{&quot;id&quot;:&quot;national-library-of-medicine-grant-proposals&quot;,&quot;name&quot;:&quot;National Library of Medicine (Grant proposals with PMCID/PMID)&quot;},{&quot;id&quot;:&quot;nature&quot;,&quot;name&quot;:&quot;Nature&quot;},{&quot;id&quot;:&quot;science&quot;,&quot;name&quot;:&quot;Science&quot;},{&quot;id&quot;:&quot;vancouver&quot;,&quot;name&quot;:&quot;Vancouver&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634BD-8D60-4648-8E1F-F9092CE23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7822</Words>
  <Characters>44587</Characters>
  <Application>Microsoft Office Word</Application>
  <DocSecurity>0</DocSecurity>
  <Lines>371</Lines>
  <Paragraphs>104</Paragraphs>
  <ScaleCrop>false</ScaleCrop>
  <Company/>
  <LinksUpToDate>false</LinksUpToDate>
  <CharactersWithSpaces>52305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2026-06-06T06:37:00Z</dcterms:created>
  <dcterms:modified xsi:type="dcterms:W3CDTF">2026-06-06T06:37:00Z</dcterms:modified>
</cp:coreProperties>
</file>