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507C50" w14:textId="5648DACA" w:rsidR="006E4797" w:rsidRPr="00035D47" w:rsidRDefault="2102927C" w:rsidP="00035D47">
      <w:pPr>
        <w:pStyle w:val="Heading1"/>
        <w:spacing w:before="0" w:after="0"/>
        <w:rPr>
          <w:sz w:val="24"/>
          <w:szCs w:val="24"/>
        </w:rPr>
      </w:pPr>
      <w:r w:rsidRPr="00035D47">
        <w:rPr>
          <w:bCs/>
          <w:color w:val="000000" w:themeColor="text1"/>
          <w:sz w:val="24"/>
          <w:szCs w:val="24"/>
        </w:rPr>
        <w:t>TITLE</w:t>
      </w:r>
    </w:p>
    <w:p w14:paraId="44D21199" w14:textId="0CE098EC" w:rsidR="006E4797" w:rsidRDefault="2102927C" w:rsidP="00035D47">
      <w:pPr>
        <w:rPr>
          <w:b/>
          <w:bCs/>
          <w:color w:val="000000" w:themeColor="text1"/>
        </w:rPr>
      </w:pPr>
      <w:r w:rsidRPr="00035D47">
        <w:rPr>
          <w:b/>
          <w:bCs/>
          <w:color w:val="000000" w:themeColor="text1"/>
        </w:rPr>
        <w:t>Genome Editing in Primary Mammalian Cells via Electroporation of Editor RNA</w:t>
      </w:r>
    </w:p>
    <w:p w14:paraId="32E7F5E0" w14:textId="77777777" w:rsidR="00035D47" w:rsidRPr="00035D47" w:rsidRDefault="00035D47" w:rsidP="00035D47"/>
    <w:p w14:paraId="0A7C0460" w14:textId="40B10CE2" w:rsidR="006E4797" w:rsidRPr="00035D47" w:rsidRDefault="2102927C" w:rsidP="00035D47">
      <w:pPr>
        <w:pStyle w:val="Heading1"/>
        <w:spacing w:before="0" w:after="0"/>
        <w:rPr>
          <w:sz w:val="24"/>
          <w:szCs w:val="24"/>
        </w:rPr>
      </w:pPr>
      <w:r w:rsidRPr="00035D47">
        <w:rPr>
          <w:bCs/>
          <w:color w:val="000000" w:themeColor="text1"/>
          <w:sz w:val="24"/>
          <w:szCs w:val="24"/>
        </w:rPr>
        <w:t>AUTHORS AND AFFILIATIONS</w:t>
      </w:r>
    </w:p>
    <w:p w14:paraId="082A1489" w14:textId="5868D0E9" w:rsidR="006E4797" w:rsidRDefault="2102927C" w:rsidP="00035D47">
      <w:pPr>
        <w:rPr>
          <w:color w:val="000000" w:themeColor="text1"/>
        </w:rPr>
      </w:pPr>
      <w:r w:rsidRPr="00035D47">
        <w:rPr>
          <w:color w:val="000000" w:themeColor="text1"/>
        </w:rPr>
        <w:t xml:space="preserve">Maria Viskadourou¹, </w:t>
      </w:r>
      <w:r w:rsidR="00D82AAC" w:rsidRPr="00035D47">
        <w:rPr>
          <w:color w:val="000000" w:themeColor="text1"/>
        </w:rPr>
        <w:t xml:space="preserve">J. </w:t>
      </w:r>
      <w:r w:rsidRPr="00035D47">
        <w:rPr>
          <w:color w:val="000000" w:themeColor="text1"/>
        </w:rPr>
        <w:t>Noah Workman¹, Emma V. Burke¹, D.</w:t>
      </w:r>
      <w:r w:rsidR="007A5526" w:rsidRPr="00035D47">
        <w:rPr>
          <w:color w:val="000000" w:themeColor="text1"/>
        </w:rPr>
        <w:t xml:space="preserve"> Mark </w:t>
      </w:r>
      <w:r w:rsidRPr="00035D47">
        <w:rPr>
          <w:color w:val="000000" w:themeColor="text1"/>
        </w:rPr>
        <w:t>Eckley¹, Johannes Dohr¹, Gregory Newby¹⁻</w:t>
      </w:r>
      <w:r w:rsidR="00E96CD9">
        <w:rPr>
          <w:color w:val="000000" w:themeColor="text1"/>
          <w:vertAlign w:val="superscript"/>
        </w:rPr>
        <w:t>5</w:t>
      </w:r>
      <w:r w:rsidR="00035D47" w:rsidRPr="00035D47">
        <w:rPr>
          <w:color w:val="000000" w:themeColor="text1"/>
        </w:rPr>
        <w:t>*</w:t>
      </w:r>
    </w:p>
    <w:p w14:paraId="1E74A929" w14:textId="77777777" w:rsidR="00E96CD9" w:rsidRPr="00035D47" w:rsidRDefault="00E96CD9" w:rsidP="00035D47"/>
    <w:p w14:paraId="11013622" w14:textId="725B79D2" w:rsidR="006E4797" w:rsidRPr="00035D47" w:rsidRDefault="2102927C" w:rsidP="00035D47">
      <w:r w:rsidRPr="00035D47">
        <w:rPr>
          <w:color w:val="000000" w:themeColor="text1"/>
        </w:rPr>
        <w:t>¹Department of Genetic Medicine, Johns Hopkins University School of Medicine, Baltimore, MD, USA</w:t>
      </w:r>
    </w:p>
    <w:p w14:paraId="53485244" w14:textId="72D8D64C" w:rsidR="006E4797" w:rsidRPr="00035D47" w:rsidRDefault="2102927C" w:rsidP="00035D47">
      <w:r w:rsidRPr="00035D47">
        <w:rPr>
          <w:color w:val="000000" w:themeColor="text1"/>
        </w:rPr>
        <w:t>²Department of Biomedical Engineering, Johns Hopkins University School of Medicine, Baltimore, MD, USA</w:t>
      </w:r>
    </w:p>
    <w:p w14:paraId="57A48D54" w14:textId="0A13D6A7" w:rsidR="006E4797" w:rsidRPr="00035D47" w:rsidRDefault="2102927C" w:rsidP="00035D47">
      <w:r w:rsidRPr="00035D47">
        <w:rPr>
          <w:color w:val="000000" w:themeColor="text1"/>
        </w:rPr>
        <w:t>³Department of Molecular Biology and Genetics, Johns Hopkins University School of Medicine, Baltimore, MD, USA</w:t>
      </w:r>
    </w:p>
    <w:p w14:paraId="08AE5DDA" w14:textId="09E0F337" w:rsidR="006E4797" w:rsidRPr="00035D47" w:rsidRDefault="2102927C" w:rsidP="00035D47">
      <w:r w:rsidRPr="00035D47">
        <w:rPr>
          <w:color w:val="000000" w:themeColor="text1"/>
        </w:rPr>
        <w:t>⁴Department of Pediatrics, Johns Hopkins University School of Medicine, Baltimore, MD, USA</w:t>
      </w:r>
    </w:p>
    <w:p w14:paraId="78470584" w14:textId="278FE620" w:rsidR="006E4797" w:rsidRDefault="2102927C" w:rsidP="00035D47">
      <w:pPr>
        <w:rPr>
          <w:color w:val="000000" w:themeColor="text1"/>
        </w:rPr>
      </w:pPr>
      <w:r w:rsidRPr="00035D47">
        <w:rPr>
          <w:color w:val="000000" w:themeColor="text1"/>
        </w:rPr>
        <w:t xml:space="preserve">⁵Institute for </w:t>
      </w:r>
      <w:proofErr w:type="spellStart"/>
      <w:r w:rsidRPr="00035D47">
        <w:rPr>
          <w:color w:val="000000" w:themeColor="text1"/>
        </w:rPr>
        <w:t>NanoBioTechnology</w:t>
      </w:r>
      <w:proofErr w:type="spellEnd"/>
      <w:r w:rsidRPr="00035D47">
        <w:rPr>
          <w:color w:val="000000" w:themeColor="text1"/>
        </w:rPr>
        <w:t>, Johns Hopkins University, Baltimore, MD, USA</w:t>
      </w:r>
    </w:p>
    <w:p w14:paraId="5EE7556E" w14:textId="77777777" w:rsidR="00035D47" w:rsidRPr="00035D47" w:rsidRDefault="00035D47" w:rsidP="00035D47">
      <w:pPr>
        <w:rPr>
          <w:color w:val="000000" w:themeColor="text1"/>
        </w:rPr>
      </w:pPr>
    </w:p>
    <w:p w14:paraId="037E5005" w14:textId="1E1DC485" w:rsidR="00035D47" w:rsidRDefault="00035D47" w:rsidP="00035D47">
      <w:pPr>
        <w:rPr>
          <w:rFonts w:eastAsia="SimSun"/>
          <w:b/>
          <w:bCs/>
          <w:kern w:val="2"/>
          <w:lang w:eastAsia="zh-CN"/>
        </w:rPr>
      </w:pPr>
      <w:r w:rsidRPr="00002DEA">
        <w:rPr>
          <w:rFonts w:eastAsia="SimSun"/>
          <w:b/>
          <w:bCs/>
          <w:kern w:val="2"/>
          <w:lang w:eastAsia="zh-CN"/>
        </w:rPr>
        <w:t>EMAIL ADDRESSES OF CO-AUTHORS:</w:t>
      </w:r>
    </w:p>
    <w:p w14:paraId="433204D1" w14:textId="77777777" w:rsidR="00035D47" w:rsidRDefault="00035D47" w:rsidP="00035D47">
      <w:pPr>
        <w:rPr>
          <w:rFonts w:eastAsia="SimSun"/>
          <w:b/>
          <w:bCs/>
          <w:kern w:val="2"/>
          <w:lang w:eastAsia="zh-CN"/>
        </w:rPr>
      </w:pPr>
    </w:p>
    <w:p w14:paraId="4376885A" w14:textId="6C6D19BA" w:rsidR="00035D47" w:rsidRPr="00591FD3" w:rsidRDefault="00035D47" w:rsidP="00035D47">
      <w:pPr>
        <w:rPr>
          <w:color w:val="000000" w:themeColor="text1"/>
          <w:lang w:val="pt-BR"/>
        </w:rPr>
      </w:pPr>
      <w:r w:rsidRPr="02C33499">
        <w:rPr>
          <w:color w:val="000000" w:themeColor="text1"/>
          <w:lang w:val="pt-BR"/>
        </w:rPr>
        <w:t>Maria Viskadourou</w:t>
      </w:r>
      <w:r w:rsidRPr="00591FD3">
        <w:rPr>
          <w:lang w:val="pt-BR"/>
        </w:rPr>
        <w:tab/>
      </w:r>
      <w:r w:rsidRPr="00591FD3">
        <w:rPr>
          <w:lang w:val="pt-BR"/>
        </w:rPr>
        <w:tab/>
      </w:r>
      <w:r w:rsidRPr="02C33499">
        <w:rPr>
          <w:color w:val="000000" w:themeColor="text1"/>
          <w:lang w:val="pt-BR"/>
        </w:rPr>
        <w:t>(mviskad1@jhmi.edu)</w:t>
      </w:r>
    </w:p>
    <w:p w14:paraId="68D241A5" w14:textId="13622C74" w:rsidR="00035D47" w:rsidRPr="00591FD3" w:rsidRDefault="00035D47" w:rsidP="00035D47">
      <w:pPr>
        <w:rPr>
          <w:color w:val="000000" w:themeColor="text1"/>
          <w:lang w:val="es-ES"/>
        </w:rPr>
      </w:pPr>
      <w:r w:rsidRPr="02C33499">
        <w:rPr>
          <w:color w:val="000000" w:themeColor="text1"/>
          <w:lang w:val="es-ES"/>
        </w:rPr>
        <w:t>J. Noah Workman</w:t>
      </w:r>
      <w:r w:rsidRPr="00591FD3">
        <w:rPr>
          <w:lang w:val="es-ES"/>
        </w:rPr>
        <w:tab/>
      </w:r>
      <w:r w:rsidRPr="00591FD3">
        <w:rPr>
          <w:lang w:val="es-ES"/>
        </w:rPr>
        <w:tab/>
      </w:r>
      <w:r w:rsidRPr="02C33499">
        <w:rPr>
          <w:color w:val="000000" w:themeColor="text1"/>
          <w:lang w:val="es-ES"/>
        </w:rPr>
        <w:t>(jworkma7@jhmi.edu)</w:t>
      </w:r>
    </w:p>
    <w:p w14:paraId="3704B545" w14:textId="4302B7B1" w:rsidR="00035D47" w:rsidRPr="00591FD3" w:rsidRDefault="00035D47" w:rsidP="00035D47">
      <w:pPr>
        <w:rPr>
          <w:color w:val="000000" w:themeColor="text1"/>
          <w:lang w:val="fr-FR"/>
        </w:rPr>
      </w:pPr>
      <w:r w:rsidRPr="02C33499">
        <w:rPr>
          <w:color w:val="000000" w:themeColor="text1"/>
          <w:lang w:val="fr-FR"/>
        </w:rPr>
        <w:t>Emma V. Burke</w:t>
      </w:r>
      <w:r w:rsidRPr="00591FD3">
        <w:rPr>
          <w:lang w:val="fr-FR"/>
        </w:rPr>
        <w:tab/>
      </w:r>
      <w:r w:rsidRPr="00591FD3">
        <w:rPr>
          <w:lang w:val="fr-FR"/>
        </w:rPr>
        <w:tab/>
      </w:r>
      <w:r w:rsidRPr="02C33499">
        <w:rPr>
          <w:color w:val="000000" w:themeColor="text1"/>
          <w:lang w:val="fr-FR"/>
        </w:rPr>
        <w:t>(</w:t>
      </w:r>
      <w:r w:rsidRPr="02C33499">
        <w:rPr>
          <w:lang w:val="fr-FR"/>
        </w:rPr>
        <w:t>eburke19@jh.edu</w:t>
      </w:r>
      <w:r w:rsidRPr="02C33499">
        <w:rPr>
          <w:color w:val="000000" w:themeColor="text1"/>
          <w:lang w:val="fr-FR"/>
        </w:rPr>
        <w:t>)</w:t>
      </w:r>
    </w:p>
    <w:p w14:paraId="43CD6E33" w14:textId="4EDB8E42" w:rsidR="00035D47" w:rsidRDefault="00035D47" w:rsidP="00035D47">
      <w:pPr>
        <w:rPr>
          <w:color w:val="000000" w:themeColor="text1"/>
        </w:rPr>
      </w:pPr>
      <w:r w:rsidRPr="00035D47">
        <w:rPr>
          <w:color w:val="000000" w:themeColor="text1"/>
        </w:rPr>
        <w:t>D. Mark Eckley</w:t>
      </w:r>
      <w:r>
        <w:rPr>
          <w:color w:val="000000" w:themeColor="text1"/>
        </w:rPr>
        <w:tab/>
      </w:r>
      <w:r>
        <w:rPr>
          <w:color w:val="000000" w:themeColor="text1"/>
        </w:rPr>
        <w:tab/>
        <w:t>(</w:t>
      </w:r>
      <w:r w:rsidRPr="00035D47">
        <w:t>meckley1@jh.edu</w:t>
      </w:r>
      <w:r>
        <w:rPr>
          <w:color w:val="000000" w:themeColor="text1"/>
        </w:rPr>
        <w:t>)</w:t>
      </w:r>
    </w:p>
    <w:p w14:paraId="51F9865C" w14:textId="6B232888" w:rsidR="00035D47" w:rsidRDefault="00035D47" w:rsidP="00035D47">
      <w:r w:rsidRPr="00035D47">
        <w:rPr>
          <w:color w:val="000000" w:themeColor="text1"/>
        </w:rPr>
        <w:t>Johannes Dohr</w:t>
      </w:r>
      <w:r>
        <w:rPr>
          <w:color w:val="000000" w:themeColor="text1"/>
        </w:rPr>
        <w:tab/>
      </w:r>
      <w:r>
        <w:rPr>
          <w:color w:val="000000" w:themeColor="text1"/>
        </w:rPr>
        <w:tab/>
        <w:t>(</w:t>
      </w:r>
      <w:r w:rsidRPr="00035D47">
        <w:t>jdohr2@jh.edu</w:t>
      </w:r>
      <w:r>
        <w:t>)</w:t>
      </w:r>
    </w:p>
    <w:p w14:paraId="72779165" w14:textId="77777777" w:rsidR="00035D47" w:rsidRDefault="00035D47" w:rsidP="00035D47"/>
    <w:p w14:paraId="70A4CE9E" w14:textId="77777777" w:rsidR="00035D47" w:rsidRPr="00035D47" w:rsidRDefault="00035D47" w:rsidP="00035D47">
      <w:pPr>
        <w:rPr>
          <w:b/>
          <w:bCs/>
          <w:color w:val="000000" w:themeColor="text1"/>
        </w:rPr>
      </w:pPr>
      <w:r w:rsidRPr="00035D47">
        <w:rPr>
          <w:b/>
          <w:bCs/>
          <w:color w:val="000000" w:themeColor="text1"/>
        </w:rPr>
        <w:t>*CORRESPONDING AUTHORS</w:t>
      </w:r>
    </w:p>
    <w:p w14:paraId="3495AB40" w14:textId="77777777" w:rsidR="00035D47" w:rsidRDefault="00035D47" w:rsidP="00035D47">
      <w:pPr>
        <w:rPr>
          <w:color w:val="000000" w:themeColor="text1"/>
        </w:rPr>
      </w:pPr>
      <w:r w:rsidRPr="00035D47">
        <w:rPr>
          <w:color w:val="000000" w:themeColor="text1"/>
        </w:rPr>
        <w:t>Gregory Newby</w:t>
      </w:r>
      <w:r>
        <w:rPr>
          <w:color w:val="000000" w:themeColor="text1"/>
        </w:rPr>
        <w:t xml:space="preserve"> </w:t>
      </w:r>
      <w:r>
        <w:rPr>
          <w:color w:val="000000" w:themeColor="text1"/>
        </w:rPr>
        <w:tab/>
      </w:r>
      <w:r>
        <w:rPr>
          <w:color w:val="000000" w:themeColor="text1"/>
        </w:rPr>
        <w:tab/>
        <w:t>(</w:t>
      </w:r>
      <w:r w:rsidRPr="00035D47">
        <w:t>gnewby1@jh.edu</w:t>
      </w:r>
      <w:r>
        <w:t>)</w:t>
      </w:r>
    </w:p>
    <w:p w14:paraId="3F49839F" w14:textId="77777777" w:rsidR="00035D47" w:rsidRDefault="00035D47" w:rsidP="00035D47">
      <w:pPr>
        <w:rPr>
          <w:color w:val="000000" w:themeColor="text1"/>
        </w:rPr>
      </w:pPr>
    </w:p>
    <w:p w14:paraId="6EB9A5BC" w14:textId="77777777" w:rsidR="00035D47" w:rsidRPr="00035D47" w:rsidRDefault="00035D47" w:rsidP="00035D47"/>
    <w:p w14:paraId="0FA61B15" w14:textId="3A78743D" w:rsidR="006E4797" w:rsidRPr="00035D47" w:rsidRDefault="2102927C" w:rsidP="00035D47">
      <w:pPr>
        <w:pStyle w:val="Heading1"/>
        <w:spacing w:before="0" w:after="0"/>
        <w:rPr>
          <w:sz w:val="24"/>
          <w:szCs w:val="24"/>
        </w:rPr>
      </w:pPr>
      <w:r w:rsidRPr="00035D47">
        <w:rPr>
          <w:bCs/>
          <w:color w:val="000000" w:themeColor="text1"/>
          <w:sz w:val="24"/>
          <w:szCs w:val="24"/>
        </w:rPr>
        <w:t>SUMMARY</w:t>
      </w:r>
    </w:p>
    <w:p w14:paraId="325CF796" w14:textId="1DB44AF1" w:rsidR="006E4797" w:rsidRDefault="2102927C" w:rsidP="00035D47">
      <w:pPr>
        <w:rPr>
          <w:color w:val="000000" w:themeColor="text1"/>
        </w:rPr>
      </w:pPr>
      <w:r w:rsidRPr="02C33499">
        <w:rPr>
          <w:color w:val="000000" w:themeColor="text1"/>
        </w:rPr>
        <w:t>The delivery of genome editors as RNAs is a particularly potent means of modifying the genome</w:t>
      </w:r>
      <w:r w:rsidR="006318D8" w:rsidRPr="02C33499">
        <w:rPr>
          <w:color w:val="000000" w:themeColor="text1"/>
        </w:rPr>
        <w:t>s</w:t>
      </w:r>
      <w:r w:rsidRPr="02C33499">
        <w:rPr>
          <w:color w:val="000000" w:themeColor="text1"/>
        </w:rPr>
        <w:t xml:space="preserve"> </w:t>
      </w:r>
      <w:r w:rsidR="006318D8" w:rsidRPr="02C33499">
        <w:rPr>
          <w:color w:val="000000" w:themeColor="text1"/>
        </w:rPr>
        <w:t xml:space="preserve">of </w:t>
      </w:r>
      <w:r w:rsidRPr="02C33499">
        <w:rPr>
          <w:color w:val="000000" w:themeColor="text1"/>
        </w:rPr>
        <w:t xml:space="preserve">primary mammalian cells and cell lines. </w:t>
      </w:r>
      <w:r w:rsidR="004C09E5" w:rsidRPr="02C33499">
        <w:rPr>
          <w:color w:val="000000" w:themeColor="text1"/>
        </w:rPr>
        <w:t>The goal of this protocol is to deliver genome editors as mRNA into primary mammalian cells and cell lines, followed by targeted Illumina sequencing and analysis to quantify editing outcomes.</w:t>
      </w:r>
    </w:p>
    <w:p w14:paraId="24EBED2F" w14:textId="77777777" w:rsidR="00035D47" w:rsidRPr="00035D47" w:rsidRDefault="00035D47" w:rsidP="00035D47"/>
    <w:p w14:paraId="5909F7FE" w14:textId="713E93E3" w:rsidR="006E4797" w:rsidRPr="00035D47" w:rsidRDefault="2102927C" w:rsidP="00035D47">
      <w:pPr>
        <w:pStyle w:val="Heading1"/>
        <w:spacing w:before="0" w:after="0"/>
        <w:rPr>
          <w:sz w:val="24"/>
          <w:szCs w:val="24"/>
        </w:rPr>
      </w:pPr>
      <w:r w:rsidRPr="00035D47">
        <w:rPr>
          <w:bCs/>
          <w:color w:val="000000" w:themeColor="text1"/>
          <w:sz w:val="24"/>
          <w:szCs w:val="24"/>
        </w:rPr>
        <w:t>ABSTRACT</w:t>
      </w:r>
    </w:p>
    <w:p w14:paraId="11B29157" w14:textId="35DFD9C5" w:rsidR="006E4797" w:rsidRDefault="69DC8F38" w:rsidP="00035D47">
      <w:pPr>
        <w:rPr>
          <w:color w:val="000000" w:themeColor="text1"/>
        </w:rPr>
      </w:pPr>
      <w:r w:rsidRPr="5E2D72FC">
        <w:rPr>
          <w:color w:val="000000" w:themeColor="text1"/>
        </w:rPr>
        <w:t xml:space="preserve">CRISPR editors including nucleases, base editors, and prime editors can efficiently correct disease-causing genetic variants or disrupt target genes. </w:t>
      </w:r>
      <w:r w:rsidR="008D67BE">
        <w:rPr>
          <w:color w:val="000000" w:themeColor="text1"/>
        </w:rPr>
        <w:t>E</w:t>
      </w:r>
      <w:r w:rsidR="008D67BE" w:rsidRPr="5E2D72FC">
        <w:rPr>
          <w:color w:val="000000" w:themeColor="text1"/>
        </w:rPr>
        <w:t>diting outcomes are commonly evaluated in cultured primary cells, patient-derived cells, or engineered cell lines</w:t>
      </w:r>
      <w:r w:rsidR="008D67BE">
        <w:rPr>
          <w:color w:val="000000" w:themeColor="text1"/>
        </w:rPr>
        <w:t xml:space="preserve"> to study the impact of genetic variation or as a first step</w:t>
      </w:r>
      <w:r w:rsidR="008D67BE" w:rsidRPr="5E2D72FC">
        <w:rPr>
          <w:color w:val="000000" w:themeColor="text1"/>
        </w:rPr>
        <w:t xml:space="preserve"> </w:t>
      </w:r>
      <w:r w:rsidR="008D67BE">
        <w:rPr>
          <w:color w:val="000000" w:themeColor="text1"/>
        </w:rPr>
        <w:t>b</w:t>
      </w:r>
      <w:r w:rsidR="008D67BE" w:rsidRPr="5E2D72FC">
        <w:rPr>
          <w:color w:val="000000" w:themeColor="text1"/>
        </w:rPr>
        <w:t xml:space="preserve">efore </w:t>
      </w:r>
      <w:r w:rsidRPr="5E2D72FC">
        <w:rPr>
          <w:color w:val="000000" w:themeColor="text1"/>
        </w:rPr>
        <w:t>initiating animal studies or clinical translation</w:t>
      </w:r>
      <w:r w:rsidR="008D67BE">
        <w:rPr>
          <w:color w:val="000000" w:themeColor="text1"/>
        </w:rPr>
        <w:t>.</w:t>
      </w:r>
      <w:r w:rsidRPr="5E2D72FC">
        <w:rPr>
          <w:color w:val="000000" w:themeColor="text1"/>
        </w:rPr>
        <w:t xml:space="preserve"> Delivery </w:t>
      </w:r>
      <w:r w:rsidR="09D2DFC2" w:rsidRPr="5E2D72FC">
        <w:rPr>
          <w:color w:val="000000" w:themeColor="text1"/>
        </w:rPr>
        <w:t>of</w:t>
      </w:r>
      <w:r w:rsidRPr="5E2D72FC">
        <w:rPr>
          <w:color w:val="000000" w:themeColor="text1"/>
        </w:rPr>
        <w:t xml:space="preserve"> editor</w:t>
      </w:r>
      <w:r w:rsidR="09D2DFC2" w:rsidRPr="5E2D72FC">
        <w:rPr>
          <w:color w:val="000000" w:themeColor="text1"/>
        </w:rPr>
        <w:t>s</w:t>
      </w:r>
      <w:r w:rsidRPr="5E2D72FC">
        <w:rPr>
          <w:color w:val="000000" w:themeColor="text1"/>
        </w:rPr>
        <w:t xml:space="preserve"> </w:t>
      </w:r>
      <w:r w:rsidR="09D2DFC2" w:rsidRPr="5E2D72FC">
        <w:rPr>
          <w:color w:val="000000" w:themeColor="text1"/>
        </w:rPr>
        <w:t xml:space="preserve">as </w:t>
      </w:r>
      <w:r w:rsidRPr="5E2D72FC">
        <w:rPr>
          <w:color w:val="000000" w:themeColor="text1"/>
        </w:rPr>
        <w:t>mRNA together with synthetic guide RNAs</w:t>
      </w:r>
      <w:r w:rsidR="008D67BE">
        <w:rPr>
          <w:color w:val="000000" w:themeColor="text1"/>
        </w:rPr>
        <w:t xml:space="preserve"> into mammalian cells can</w:t>
      </w:r>
      <w:r w:rsidRPr="5E2D72FC">
        <w:rPr>
          <w:color w:val="000000" w:themeColor="text1"/>
        </w:rPr>
        <w:t xml:space="preserve"> improve editing efficiency relative to plasmid-based approaches</w:t>
      </w:r>
      <w:r w:rsidR="008D67BE">
        <w:rPr>
          <w:color w:val="000000" w:themeColor="text1"/>
        </w:rPr>
        <w:t xml:space="preserve"> and prevent issues such as DNA integration or off-target editing from sustained expression</w:t>
      </w:r>
      <w:r w:rsidRPr="5E2D72FC">
        <w:rPr>
          <w:color w:val="000000" w:themeColor="text1"/>
        </w:rPr>
        <w:t xml:space="preserve">. This article presents a workflow to  prepare genome editor mRNA by in vitro transcription (IVT), including co-transcriptional capping and chemically-modified nucleotides, electroporate editor mRNA and guide RNAs into primary </w:t>
      </w:r>
      <w:r w:rsidRPr="5E2D72FC">
        <w:rPr>
          <w:color w:val="000000" w:themeColor="text1"/>
        </w:rPr>
        <w:lastRenderedPageBreak/>
        <w:t>human fibroblasts, induced pluripotent stem cells (iPSCs), or lymphoblastoid cell lines (LCLs), and quantify editing outcomes by targeted amplicon sequencing on an Illumina platform followed by analysis using CRISPResso2. This workflow enables quantitative benchmarking of guide RNAs, electroporation parameters, and editor variants, and supports downstream applications including single-cell cloning, phenotypic assays, preclinical animal studies, and therapeutic development.</w:t>
      </w:r>
    </w:p>
    <w:p w14:paraId="3F8DF006" w14:textId="77777777" w:rsidR="00035D47" w:rsidRPr="00035D47" w:rsidRDefault="00035D47" w:rsidP="00035D47"/>
    <w:p w14:paraId="364ADD60" w14:textId="0FA69950" w:rsidR="006E4797" w:rsidRPr="00035D47" w:rsidRDefault="2102927C" w:rsidP="00035D47">
      <w:pPr>
        <w:pStyle w:val="Heading1"/>
        <w:spacing w:before="0" w:after="0"/>
        <w:rPr>
          <w:sz w:val="24"/>
          <w:szCs w:val="24"/>
        </w:rPr>
      </w:pPr>
      <w:r w:rsidRPr="00035D47">
        <w:rPr>
          <w:bCs/>
          <w:color w:val="000000" w:themeColor="text1"/>
          <w:sz w:val="24"/>
          <w:szCs w:val="24"/>
        </w:rPr>
        <w:t>INTRODUCTION</w:t>
      </w:r>
    </w:p>
    <w:p w14:paraId="2BBB2EF3" w14:textId="00264654" w:rsidR="006E4797" w:rsidRPr="00591FD3" w:rsidRDefault="69DC8F38" w:rsidP="5E2D72FC">
      <w:pPr>
        <w:rPr>
          <w:color w:val="000000" w:themeColor="text1"/>
          <w:vertAlign w:val="superscript"/>
        </w:rPr>
      </w:pPr>
      <w:r w:rsidRPr="5E2D72FC">
        <w:rPr>
          <w:color w:val="000000" w:themeColor="text1"/>
        </w:rPr>
        <w:t>Efficient genome editing in primary mammalian cells supports the generation of genetic models and the preclinical evaluation of candidate therapeutic strategies. Recent advances in CRISPR-based technologies, including base editing and prime editing, enable precise nucleotide modifications without introducing double-strand DNA breaks, thereby improving the purity of editing outcomes</w:t>
      </w:r>
      <w:proofErr w:type="gramStart"/>
      <w:r w:rsidRPr="5E2D72FC">
        <w:rPr>
          <w:color w:val="000000" w:themeColor="text1"/>
        </w:rPr>
        <w:t>¹</w:t>
      </w:r>
      <w:r w:rsidR="00B809EC">
        <w:rPr>
          <w:color w:val="000000" w:themeColor="text1"/>
        </w:rPr>
        <w:t>,</w:t>
      </w:r>
      <w:r w:rsidRPr="5E2D72FC">
        <w:rPr>
          <w:color w:val="000000" w:themeColor="text1"/>
        </w:rPr>
        <w:t>²</w:t>
      </w:r>
      <w:proofErr w:type="gramEnd"/>
      <w:r w:rsidRPr="5E2D72FC">
        <w:rPr>
          <w:color w:val="000000" w:themeColor="text1"/>
        </w:rPr>
        <w:t>. These technologies have been successfully applied in disease modeling and therapeutic genome editing studies, including strategies to correct variants that lead to sickle cell disease</w:t>
      </w:r>
      <w:r w:rsidR="6E04FDEE" w:rsidRPr="5E2D72FC">
        <w:rPr>
          <w:color w:val="000000" w:themeColor="text1"/>
        </w:rPr>
        <w:t>³</w:t>
      </w:r>
      <w:r w:rsidRPr="5E2D72FC">
        <w:rPr>
          <w:color w:val="000000" w:themeColor="text1"/>
        </w:rPr>
        <w:t xml:space="preserve"> </w:t>
      </w:r>
      <w:r w:rsidR="58A12656" w:rsidRPr="5E2D72FC">
        <w:rPr>
          <w:color w:val="000000" w:themeColor="text1"/>
        </w:rPr>
        <w:t>and cystic fibrosis</w:t>
      </w:r>
      <w:r w:rsidR="58A12656" w:rsidRPr="5E2D72FC">
        <w:rPr>
          <w:color w:val="000000" w:themeColor="text1"/>
          <w:vertAlign w:val="superscript"/>
        </w:rPr>
        <w:t>4</w:t>
      </w:r>
      <w:r w:rsidR="58A12656" w:rsidRPr="00591FD3">
        <w:rPr>
          <w:color w:val="000000" w:themeColor="text1"/>
        </w:rPr>
        <w:t>.</w:t>
      </w:r>
    </w:p>
    <w:p w14:paraId="70C5A9B3" w14:textId="77777777" w:rsidR="00035D47" w:rsidRPr="00035D47" w:rsidRDefault="00035D47" w:rsidP="00035D47"/>
    <w:p w14:paraId="6C16F5C6" w14:textId="2C8A2D84" w:rsidR="00A03659" w:rsidRDefault="69DC8F38" w:rsidP="2830268F">
      <w:pPr>
        <w:rPr>
          <w:color w:val="000000" w:themeColor="text1"/>
        </w:rPr>
      </w:pPr>
      <w:r w:rsidRPr="5E2D72FC">
        <w:rPr>
          <w:color w:val="000000" w:themeColor="text1"/>
        </w:rPr>
        <w:t>A particularly efficient strategy to deliver genome editing components to mammalian cells is electroporation of in vitro transcribed (IVT) mRNA encoding the editing enzyme combined with synthetic guide RNAs (gRNAs). Delivery of mRNA enables transient expression of genome editors, minimizing prolonged nuclease activity and reducing the likelihood of off-target editing events.</w:t>
      </w:r>
      <w:r w:rsidR="0AB06B9A" w:rsidRPr="5E2D72FC">
        <w:rPr>
          <w:color w:val="000000" w:themeColor="text1"/>
        </w:rPr>
        <w:t xml:space="preserve"> Advances in IVT technology have improved the efficiency, yield, and quality of mRNA synthesis</w:t>
      </w:r>
      <w:bookmarkStart w:id="0" w:name="_Hlk219224344"/>
      <w:r w:rsidR="00C56396" w:rsidRPr="00C56396">
        <w:rPr>
          <w:color w:val="000000" w:themeColor="text1"/>
          <w:vertAlign w:val="superscript"/>
        </w:rPr>
        <w:t>4</w:t>
      </w:r>
      <w:r w:rsidR="00B809EC" w:rsidRPr="00B809EC">
        <w:rPr>
          <w:vertAlign w:val="superscript"/>
        </w:rPr>
        <w:t>–</w:t>
      </w:r>
      <w:bookmarkEnd w:id="0"/>
      <w:r w:rsidR="00B809EC">
        <w:rPr>
          <w:color w:val="000000" w:themeColor="text1"/>
          <w:vertAlign w:val="superscript"/>
        </w:rPr>
        <w:t>6</w:t>
      </w:r>
      <w:r w:rsidR="0AB06B9A" w:rsidRPr="5E2D72FC">
        <w:rPr>
          <w:color w:val="000000" w:themeColor="text1"/>
        </w:rPr>
        <w:t xml:space="preserve">. </w:t>
      </w:r>
      <w:r w:rsidRPr="5E2D72FC">
        <w:rPr>
          <w:color w:val="000000" w:themeColor="text1"/>
        </w:rPr>
        <w:t xml:space="preserve"> </w:t>
      </w:r>
      <w:r w:rsidR="33C93047" w:rsidRPr="5E2D72FC">
        <w:rPr>
          <w:color w:val="000000" w:themeColor="text1"/>
        </w:rPr>
        <w:t>Plasmid</w:t>
      </w:r>
      <w:r w:rsidR="0AB06B9A" w:rsidRPr="5E2D72FC">
        <w:rPr>
          <w:color w:val="000000" w:themeColor="text1"/>
        </w:rPr>
        <w:t xml:space="preserve"> DNA templates</w:t>
      </w:r>
      <w:r w:rsidR="33C93047" w:rsidRPr="5E2D72FC">
        <w:rPr>
          <w:color w:val="000000" w:themeColor="text1"/>
        </w:rPr>
        <w:t xml:space="preserve"> and PCR-derived DNA templates are </w:t>
      </w:r>
      <w:r w:rsidR="0AB06B9A" w:rsidRPr="5E2D72FC">
        <w:rPr>
          <w:color w:val="000000" w:themeColor="text1"/>
        </w:rPr>
        <w:t>each</w:t>
      </w:r>
      <w:r w:rsidR="33C93047" w:rsidRPr="5E2D72FC">
        <w:rPr>
          <w:color w:val="000000" w:themeColor="text1"/>
        </w:rPr>
        <w:t xml:space="preserve"> commonly used</w:t>
      </w:r>
      <w:r w:rsidR="0AB06B9A" w:rsidRPr="5E2D72FC">
        <w:rPr>
          <w:color w:val="000000" w:themeColor="text1"/>
        </w:rPr>
        <w:t xml:space="preserve"> for</w:t>
      </w:r>
      <w:r w:rsidR="33C93047" w:rsidRPr="5E2D72FC">
        <w:rPr>
          <w:color w:val="000000" w:themeColor="text1"/>
        </w:rPr>
        <w:t xml:space="preserve"> in vitro transcription and each present distinct advantages and limitations. In this protocol, PCR-generated templates are preferred to avoid </w:t>
      </w:r>
      <w:r w:rsidR="0AB06B9A" w:rsidRPr="5E2D72FC">
        <w:rPr>
          <w:color w:val="000000" w:themeColor="text1"/>
        </w:rPr>
        <w:t>issues</w:t>
      </w:r>
      <w:r w:rsidR="33C93047" w:rsidRPr="5E2D72FC">
        <w:rPr>
          <w:color w:val="000000" w:themeColor="text1"/>
        </w:rPr>
        <w:t xml:space="preserve"> associated with propagating long poly(A) tracts in plasmids, which are prone to recombination and length variability. </w:t>
      </w:r>
      <w:r w:rsidR="0AB06B9A" w:rsidRPr="5E2D72FC">
        <w:rPr>
          <w:color w:val="000000" w:themeColor="text1"/>
        </w:rPr>
        <w:t xml:space="preserve">However, using PCR templates as described in this protocol does require an expensive reverse primer that harbors the </w:t>
      </w:r>
      <w:r w:rsidR="00FF157E" w:rsidRPr="5E2D72FC">
        <w:rPr>
          <w:color w:val="000000" w:themeColor="text1"/>
        </w:rPr>
        <w:t>120-nucleotide</w:t>
      </w:r>
      <w:r w:rsidR="0AB06B9A" w:rsidRPr="5E2D72FC">
        <w:rPr>
          <w:color w:val="000000" w:themeColor="text1"/>
        </w:rPr>
        <w:t xml:space="preserve"> poly(A) tail, and PCR may</w:t>
      </w:r>
      <w:r w:rsidR="155D9527" w:rsidRPr="5E2D72FC">
        <w:rPr>
          <w:color w:val="000000" w:themeColor="text1"/>
        </w:rPr>
        <w:t xml:space="preserve"> be more error prone than bacterial propagation of plasmids for sequences not encoded in the primers</w:t>
      </w:r>
      <w:r w:rsidR="0AB06B9A" w:rsidRPr="5E2D72FC">
        <w:rPr>
          <w:color w:val="000000" w:themeColor="text1"/>
        </w:rPr>
        <w:t xml:space="preserve">. </w:t>
      </w:r>
      <w:r w:rsidR="33C93047" w:rsidRPr="5E2D72FC">
        <w:rPr>
          <w:color w:val="000000" w:themeColor="text1"/>
        </w:rPr>
        <w:t xml:space="preserve">As an alternative, commercial providers such as </w:t>
      </w:r>
      <w:proofErr w:type="spellStart"/>
      <w:r w:rsidR="33C93047" w:rsidRPr="5E2D72FC">
        <w:rPr>
          <w:color w:val="000000" w:themeColor="text1"/>
        </w:rPr>
        <w:t>Elegen</w:t>
      </w:r>
      <w:proofErr w:type="spellEnd"/>
      <w:r w:rsidR="33C93047" w:rsidRPr="5E2D72FC">
        <w:rPr>
          <w:color w:val="000000" w:themeColor="text1"/>
        </w:rPr>
        <w:t xml:space="preserve"> </w:t>
      </w:r>
      <w:r w:rsidR="0091016F">
        <w:rPr>
          <w:color w:val="000000" w:themeColor="text1"/>
        </w:rPr>
        <w:t xml:space="preserve">and 4basebio </w:t>
      </w:r>
      <w:r w:rsidR="33C93047" w:rsidRPr="5E2D72FC">
        <w:rPr>
          <w:color w:val="000000" w:themeColor="text1"/>
        </w:rPr>
        <w:t>can supply high-fidelity DNA templates, offering a reliable</w:t>
      </w:r>
      <w:r w:rsidR="0AB06B9A" w:rsidRPr="5E2D72FC">
        <w:rPr>
          <w:color w:val="000000" w:themeColor="text1"/>
        </w:rPr>
        <w:t>, though</w:t>
      </w:r>
      <w:r w:rsidR="33C93047" w:rsidRPr="5E2D72FC">
        <w:rPr>
          <w:color w:val="000000" w:themeColor="text1"/>
        </w:rPr>
        <w:t xml:space="preserve"> more costly</w:t>
      </w:r>
      <w:r w:rsidR="0AB06B9A" w:rsidRPr="5E2D72FC">
        <w:rPr>
          <w:color w:val="000000" w:themeColor="text1"/>
        </w:rPr>
        <w:t xml:space="preserve">, </w:t>
      </w:r>
      <w:r w:rsidR="33C93047" w:rsidRPr="5E2D72FC">
        <w:rPr>
          <w:color w:val="000000" w:themeColor="text1"/>
        </w:rPr>
        <w:t>option for generating transcription templates.</w:t>
      </w:r>
      <w:r w:rsidR="33A758B7" w:rsidRPr="5E2D72FC">
        <w:rPr>
          <w:color w:val="000000" w:themeColor="text1"/>
        </w:rPr>
        <w:t xml:space="preserve"> </w:t>
      </w:r>
    </w:p>
    <w:p w14:paraId="1F14A25E" w14:textId="1FF3EEA5" w:rsidR="006E4797" w:rsidRPr="00035D47" w:rsidRDefault="33A758B7" w:rsidP="2830268F">
      <w:pPr>
        <w:rPr>
          <w:color w:val="000000" w:themeColor="text1"/>
        </w:rPr>
      </w:pPr>
      <w:r w:rsidRPr="5E2D72FC">
        <w:rPr>
          <w:color w:val="000000" w:themeColor="text1"/>
        </w:rPr>
        <w:t xml:space="preserve"> </w:t>
      </w:r>
    </w:p>
    <w:p w14:paraId="3F81310B" w14:textId="361DB592" w:rsidR="006E4797" w:rsidRDefault="0AB06B9A" w:rsidP="00035D47">
      <w:pPr>
        <w:rPr>
          <w:color w:val="000000" w:themeColor="text1"/>
        </w:rPr>
      </w:pPr>
      <w:r w:rsidRPr="5E2D72FC">
        <w:rPr>
          <w:color w:val="000000" w:themeColor="text1"/>
        </w:rPr>
        <w:t xml:space="preserve">Careful </w:t>
      </w:r>
      <w:r w:rsidR="69DC8F38" w:rsidRPr="5E2D72FC">
        <w:rPr>
          <w:color w:val="000000" w:themeColor="text1"/>
        </w:rPr>
        <w:t>guide RNA design is another critical component of successful genome editing experiments. Several computational tools have been developed to assist researchers in identifying optimal gRNA sequences based on predicted on-target efficiency and minimal off-target activity. Widely used platforms include CHOPCHOP and CRISPOR, which enable identification of guide sequences compatible with protospacer adjacent motif (PAM) requirements of Cas enzymes and provide scoring metrics to prioritize candidate guides with high predicted activity and specificity</w:t>
      </w:r>
      <w:r w:rsidR="00C56396">
        <w:rPr>
          <w:color w:val="000000" w:themeColor="text1"/>
          <w:vertAlign w:val="superscript"/>
        </w:rPr>
        <w:t>7</w:t>
      </w:r>
      <w:r w:rsidR="65E4F44C" w:rsidRPr="5E2D72FC">
        <w:rPr>
          <w:color w:val="000000" w:themeColor="text1"/>
          <w:vertAlign w:val="superscript"/>
        </w:rPr>
        <w:t>,</w:t>
      </w:r>
      <w:r w:rsidR="00C56396">
        <w:rPr>
          <w:color w:val="000000" w:themeColor="text1"/>
          <w:vertAlign w:val="superscript"/>
        </w:rPr>
        <w:t>8</w:t>
      </w:r>
      <w:r w:rsidR="69DC8F38" w:rsidRPr="5E2D72FC">
        <w:rPr>
          <w:color w:val="000000" w:themeColor="text1"/>
        </w:rPr>
        <w:t>. The fundamental principles and best practices for guide RNA design have been extensively described in the CRISPR literature</w:t>
      </w:r>
      <w:r w:rsidR="00C56396">
        <w:rPr>
          <w:color w:val="000000" w:themeColor="text1"/>
          <w:vertAlign w:val="superscript"/>
        </w:rPr>
        <w:t>9</w:t>
      </w:r>
      <w:r w:rsidR="69DC8F38" w:rsidRPr="5E2D72FC">
        <w:rPr>
          <w:color w:val="000000" w:themeColor="text1"/>
        </w:rPr>
        <w:t>.</w:t>
      </w:r>
    </w:p>
    <w:p w14:paraId="5983486A" w14:textId="77777777" w:rsidR="00035D47" w:rsidRPr="00035D47" w:rsidRDefault="00035D47" w:rsidP="00035D47"/>
    <w:p w14:paraId="580FC736" w14:textId="1DDB206B" w:rsidR="006E4797" w:rsidRDefault="69DC8F38" w:rsidP="00035D47">
      <w:pPr>
        <w:rPr>
          <w:color w:val="000000" w:themeColor="text1"/>
        </w:rPr>
      </w:pPr>
      <w:r w:rsidRPr="5E2D72FC">
        <w:rPr>
          <w:color w:val="000000" w:themeColor="text1"/>
        </w:rPr>
        <w:t xml:space="preserve">Electroporation is commonly used to deliver genome editing reagents to mammalian cells because it can achieve high delivery efficiency in cell types that are typically resistant to lipid-based transfection approaches. Electroporation transiently permeabilizes the cell membrane, allowing exogenous nucleic acids such as mRNA and gRNAs to enter the cytoplasm. Optimized </w:t>
      </w:r>
      <w:r w:rsidRPr="5E2D72FC">
        <w:rPr>
          <w:color w:val="000000" w:themeColor="text1"/>
        </w:rPr>
        <w:lastRenderedPageBreak/>
        <w:t xml:space="preserve">electroporation protocols have been developed for multiple mammalian cell types, including primary cells, fibroblasts, lymphoblastoid cell lines, and induced pluripotent stem </w:t>
      </w:r>
      <w:proofErr w:type="gramStart"/>
      <w:r w:rsidRPr="5E2D72FC">
        <w:rPr>
          <w:color w:val="000000" w:themeColor="text1"/>
        </w:rPr>
        <w:t>cells</w:t>
      </w:r>
      <w:r w:rsidR="180A8087" w:rsidRPr="5E2D72FC">
        <w:rPr>
          <w:color w:val="000000" w:themeColor="text1"/>
          <w:vertAlign w:val="superscript"/>
        </w:rPr>
        <w:t>1</w:t>
      </w:r>
      <w:r w:rsidR="00C56396">
        <w:rPr>
          <w:color w:val="000000" w:themeColor="text1"/>
          <w:vertAlign w:val="superscript"/>
        </w:rPr>
        <w:t>0</w:t>
      </w:r>
      <w:proofErr w:type="gramEnd"/>
      <w:r w:rsidRPr="5E2D72FC">
        <w:rPr>
          <w:color w:val="000000" w:themeColor="text1"/>
        </w:rPr>
        <w:t xml:space="preserve">. Commercial </w:t>
      </w:r>
      <w:r w:rsidR="69114A94" w:rsidRPr="5E2D72FC">
        <w:rPr>
          <w:color w:val="000000" w:themeColor="text1"/>
        </w:rPr>
        <w:t>electroporation</w:t>
      </w:r>
      <w:r w:rsidRPr="5E2D72FC">
        <w:rPr>
          <w:color w:val="000000" w:themeColor="text1"/>
        </w:rPr>
        <w:t xml:space="preserve"> platforms such as the Lonza 4D and </w:t>
      </w:r>
      <w:proofErr w:type="spellStart"/>
      <w:r w:rsidRPr="5E2D72FC">
        <w:rPr>
          <w:color w:val="000000" w:themeColor="text1"/>
        </w:rPr>
        <w:t>Amaxa</w:t>
      </w:r>
      <w:proofErr w:type="spellEnd"/>
      <w:r w:rsidRPr="5E2D72FC">
        <w:rPr>
          <w:color w:val="000000" w:themeColor="text1"/>
        </w:rPr>
        <w:t xml:space="preserve"> systems provide cell-type-specific programs and reagents designed to improve delivery efficiency while maintaining cell viability</w:t>
      </w:r>
      <w:r w:rsidR="6235BF7A" w:rsidRPr="5E2D72FC">
        <w:rPr>
          <w:color w:val="000000" w:themeColor="text1"/>
          <w:vertAlign w:val="superscript"/>
        </w:rPr>
        <w:t>1</w:t>
      </w:r>
      <w:r w:rsidR="00C56396">
        <w:rPr>
          <w:color w:val="000000" w:themeColor="text1"/>
          <w:vertAlign w:val="superscript"/>
        </w:rPr>
        <w:t>1</w:t>
      </w:r>
      <w:r w:rsidRPr="5E2D72FC">
        <w:rPr>
          <w:color w:val="000000" w:themeColor="text1"/>
        </w:rPr>
        <w:t xml:space="preserve">. High-throughput electroporation systems such as the </w:t>
      </w:r>
      <w:proofErr w:type="spellStart"/>
      <w:r w:rsidRPr="5E2D72FC">
        <w:rPr>
          <w:color w:val="000000" w:themeColor="text1"/>
        </w:rPr>
        <w:t>Amaxa</w:t>
      </w:r>
      <w:proofErr w:type="spellEnd"/>
      <w:r w:rsidRPr="5E2D72FC">
        <w:rPr>
          <w:color w:val="000000" w:themeColor="text1"/>
        </w:rPr>
        <w:t xml:space="preserve"> 96-well Shuttle platform further enable scalable genome editing experiments across multiple experimental conditions</w:t>
      </w:r>
      <w:r w:rsidR="2DA23EF6" w:rsidRPr="5E2D72FC">
        <w:rPr>
          <w:color w:val="000000" w:themeColor="text1"/>
          <w:vertAlign w:val="superscript"/>
        </w:rPr>
        <w:t>1</w:t>
      </w:r>
      <w:r w:rsidR="00C56396">
        <w:rPr>
          <w:color w:val="000000" w:themeColor="text1"/>
          <w:vertAlign w:val="superscript"/>
        </w:rPr>
        <w:t>2</w:t>
      </w:r>
      <w:r w:rsidRPr="5E2D72FC">
        <w:rPr>
          <w:color w:val="000000" w:themeColor="text1"/>
        </w:rPr>
        <w:t>.</w:t>
      </w:r>
      <w:r w:rsidR="00660EC5">
        <w:rPr>
          <w:color w:val="000000" w:themeColor="text1"/>
        </w:rPr>
        <w:t xml:space="preserve"> The Neon electroporation system is </w:t>
      </w:r>
      <w:r w:rsidR="00FA6982">
        <w:rPr>
          <w:color w:val="000000" w:themeColor="text1"/>
        </w:rPr>
        <w:t xml:space="preserve">also </w:t>
      </w:r>
      <w:r w:rsidR="007F0943">
        <w:rPr>
          <w:color w:val="000000" w:themeColor="text1"/>
        </w:rPr>
        <w:t xml:space="preserve">commonly </w:t>
      </w:r>
      <w:r w:rsidR="00FF157E">
        <w:rPr>
          <w:color w:val="000000" w:themeColor="text1"/>
        </w:rPr>
        <w:t>used but</w:t>
      </w:r>
      <w:r w:rsidR="00FA6982">
        <w:rPr>
          <w:color w:val="000000" w:themeColor="text1"/>
        </w:rPr>
        <w:t xml:space="preserve"> is not the focus of this protocol.</w:t>
      </w:r>
    </w:p>
    <w:p w14:paraId="0F48EA0C" w14:textId="77777777" w:rsidR="00035D47" w:rsidRPr="00035D47" w:rsidRDefault="00035D47" w:rsidP="00035D47"/>
    <w:p w14:paraId="09A3ECEA" w14:textId="66F220F7" w:rsidR="006E4797" w:rsidRDefault="69DC8F38" w:rsidP="00035D47">
      <w:pPr>
        <w:rPr>
          <w:color w:val="000000" w:themeColor="text1"/>
        </w:rPr>
      </w:pPr>
      <w:r w:rsidRPr="5E2D72FC">
        <w:rPr>
          <w:color w:val="000000" w:themeColor="text1"/>
        </w:rPr>
        <w:t>Following delivery of genome editing components, editing outcomes are typically assessed using targeted next-generation sequencing (NGS) of the genomic region surrounding the editing site. Sequencing libraries are generated by PCR amplification of the target locus, followed by indexing and high-throughput sequencing. The resulting sequencing reads are analyzed using specialized bioinformatic pipelines designed for genome editing experiments. In this protocol, editing outcomes are quantified using CRISPResso2, a widely used computational platform that enables detailed analysis of genome editing outcomes from sequencing data</w:t>
      </w:r>
      <w:r w:rsidR="6BEB8AD1" w:rsidRPr="5E2D72FC">
        <w:rPr>
          <w:color w:val="000000" w:themeColor="text1"/>
          <w:vertAlign w:val="superscript"/>
        </w:rPr>
        <w:t>1</w:t>
      </w:r>
      <w:r w:rsidR="00C56396">
        <w:rPr>
          <w:color w:val="000000" w:themeColor="text1"/>
          <w:vertAlign w:val="superscript"/>
        </w:rPr>
        <w:t>3</w:t>
      </w:r>
      <w:r w:rsidRPr="5E2D72FC">
        <w:rPr>
          <w:color w:val="000000" w:themeColor="text1"/>
        </w:rPr>
        <w:t>. CRISPResso2 aligns sequencing reads to a reference sequence and quantifies editing outcomes, including overall editing efficiency, insertion–deletion (indel) frequencies, precise nucleotide substitutions, and editing distributions across the target region. The software also provides graphical visualizations and statistical summaries that facilitate comparison between experimental conditions and optimization of editing parameters.</w:t>
      </w:r>
    </w:p>
    <w:p w14:paraId="1E6BC94B" w14:textId="77777777" w:rsidR="00035D47" w:rsidRPr="00035D47" w:rsidRDefault="00035D47" w:rsidP="00035D47"/>
    <w:p w14:paraId="34886392" w14:textId="6EB278F5" w:rsidR="006E4797" w:rsidRDefault="69DC8F38" w:rsidP="00035D47">
      <w:pPr>
        <w:rPr>
          <w:color w:val="000000" w:themeColor="text1"/>
        </w:rPr>
      </w:pPr>
      <w:r w:rsidRPr="5E2D72FC">
        <w:rPr>
          <w:color w:val="000000" w:themeColor="text1"/>
        </w:rPr>
        <w:t>Together, the integration of high-quality IVT mRNA production, optimized delivery by electroporation, and high-resolution sequencing analysis provides a robust workflow for evaluating genome editing strategies in vitro. This approach enables iterative optimization of editing efficiency, specificity, and experimental parameters prior to advancing genome editing strategies toward in vivo studies and potential therapeutic applications</w:t>
      </w:r>
      <w:r w:rsidR="00000ED0" w:rsidRPr="00000ED0">
        <w:rPr>
          <w:color w:val="000000" w:themeColor="text1"/>
          <w:vertAlign w:val="superscript"/>
        </w:rPr>
        <w:t>14–</w:t>
      </w:r>
      <w:r w:rsidR="00000ED0">
        <w:rPr>
          <w:color w:val="000000" w:themeColor="text1"/>
          <w:vertAlign w:val="superscript"/>
        </w:rPr>
        <w:t>1</w:t>
      </w:r>
      <w:r w:rsidR="00000ED0" w:rsidRPr="00000ED0">
        <w:rPr>
          <w:color w:val="000000" w:themeColor="text1"/>
          <w:vertAlign w:val="superscript"/>
        </w:rPr>
        <w:t>5</w:t>
      </w:r>
      <w:r w:rsidRPr="5E2D72FC">
        <w:rPr>
          <w:color w:val="000000" w:themeColor="text1"/>
        </w:rPr>
        <w:t>.</w:t>
      </w:r>
    </w:p>
    <w:p w14:paraId="42A682C0" w14:textId="77777777" w:rsidR="00035D47" w:rsidRPr="00035D47" w:rsidRDefault="00035D47" w:rsidP="00035D47"/>
    <w:p w14:paraId="71602A50" w14:textId="074ACDA4" w:rsidR="006E4797" w:rsidRPr="008B793B" w:rsidRDefault="2102927C" w:rsidP="008B793B">
      <w:pPr>
        <w:pStyle w:val="Heading1"/>
        <w:spacing w:before="0" w:after="0"/>
        <w:rPr>
          <w:sz w:val="24"/>
          <w:szCs w:val="24"/>
        </w:rPr>
      </w:pPr>
      <w:r w:rsidRPr="008B793B">
        <w:rPr>
          <w:bCs/>
          <w:color w:val="000000" w:themeColor="text1"/>
          <w:sz w:val="24"/>
          <w:szCs w:val="24"/>
        </w:rPr>
        <w:t>PROTOCOL</w:t>
      </w:r>
    </w:p>
    <w:p w14:paraId="6BD3B7C7" w14:textId="2C7E9C89" w:rsidR="006E4797" w:rsidRPr="008B793B" w:rsidRDefault="2102927C" w:rsidP="008B793B">
      <w:pPr>
        <w:pStyle w:val="Heading2"/>
        <w:numPr>
          <w:ilvl w:val="0"/>
          <w:numId w:val="29"/>
        </w:numPr>
        <w:rPr>
          <w:bCs/>
          <w:color w:val="000000" w:themeColor="text1"/>
        </w:rPr>
      </w:pPr>
      <w:r w:rsidRPr="008B793B">
        <w:rPr>
          <w:bCs/>
          <w:color w:val="000000" w:themeColor="text1"/>
        </w:rPr>
        <w:t xml:space="preserve">Preparation of </w:t>
      </w:r>
      <w:r w:rsidR="00DD0DF7" w:rsidRPr="008B793B">
        <w:t xml:space="preserve">high-quality </w:t>
      </w:r>
      <w:r w:rsidRPr="008B793B">
        <w:rPr>
          <w:bCs/>
          <w:color w:val="000000" w:themeColor="text1"/>
        </w:rPr>
        <w:t>editor mRNA by in vitro transcription (IVT)</w:t>
      </w:r>
    </w:p>
    <w:p w14:paraId="68E8E0A3" w14:textId="77777777" w:rsidR="00DD0DF7" w:rsidRPr="008B793B" w:rsidRDefault="00DD0DF7" w:rsidP="008B793B"/>
    <w:p w14:paraId="17FDC3F0" w14:textId="6D0E23F5" w:rsidR="00DD0DF7" w:rsidRPr="008B793B" w:rsidRDefault="00DD0DF7" w:rsidP="008B793B">
      <w:pPr>
        <w:pStyle w:val="ListParagraph"/>
        <w:numPr>
          <w:ilvl w:val="1"/>
          <w:numId w:val="29"/>
        </w:numPr>
        <w:spacing w:line="240" w:lineRule="auto"/>
        <w:jc w:val="both"/>
        <w:rPr>
          <w:rFonts w:ascii="Calibri" w:hAnsi="Calibri" w:cs="Calibri"/>
          <w:color w:val="000000" w:themeColor="text1"/>
          <w:sz w:val="24"/>
          <w:szCs w:val="24"/>
        </w:rPr>
      </w:pPr>
      <w:r w:rsidRPr="008B793B">
        <w:rPr>
          <w:rFonts w:ascii="Calibri" w:hAnsi="Calibri" w:cs="Calibri"/>
          <w:color w:val="000000" w:themeColor="text1"/>
          <w:sz w:val="24"/>
          <w:szCs w:val="24"/>
        </w:rPr>
        <w:t>Generate linear DNA templates by PCR.</w:t>
      </w:r>
    </w:p>
    <w:p w14:paraId="1285BF91" w14:textId="77777777" w:rsidR="00DD0DF7" w:rsidRPr="008B793B" w:rsidRDefault="00DD0DF7" w:rsidP="008B793B">
      <w:pPr>
        <w:pStyle w:val="ListParagraph"/>
        <w:spacing w:line="240" w:lineRule="auto"/>
        <w:ind w:left="792"/>
        <w:jc w:val="both"/>
        <w:rPr>
          <w:rFonts w:ascii="Calibri" w:hAnsi="Calibri" w:cs="Calibri"/>
          <w:color w:val="000000" w:themeColor="text1"/>
          <w:sz w:val="24"/>
          <w:szCs w:val="24"/>
        </w:rPr>
      </w:pPr>
    </w:p>
    <w:p w14:paraId="3816E13E" w14:textId="6B1CA656" w:rsidR="00DD0DF7" w:rsidRPr="008360D9" w:rsidRDefault="00DD0DF7" w:rsidP="008360D9">
      <w:pPr>
        <w:pStyle w:val="ListParagraph"/>
        <w:numPr>
          <w:ilvl w:val="2"/>
          <w:numId w:val="29"/>
        </w:numPr>
        <w:spacing w:after="0" w:line="240" w:lineRule="auto"/>
        <w:rPr>
          <w:rFonts w:ascii="Calibri" w:hAnsi="Calibri" w:cs="Calibri"/>
          <w:color w:val="000000" w:themeColor="text1"/>
          <w:sz w:val="24"/>
          <w:szCs w:val="24"/>
        </w:rPr>
      </w:pPr>
      <w:r w:rsidRPr="008360D9">
        <w:rPr>
          <w:rFonts w:ascii="Calibri" w:eastAsia="Cambria" w:hAnsi="Calibri" w:cs="Calibri"/>
          <w:bCs/>
          <w:color w:val="000000" w:themeColor="text1"/>
          <w:sz w:val="24"/>
          <w:szCs w:val="24"/>
        </w:rPr>
        <w:t>Use</w:t>
      </w:r>
      <w:r w:rsidRPr="008360D9">
        <w:rPr>
          <w:rFonts w:ascii="Calibri" w:hAnsi="Calibri" w:cs="Calibri"/>
          <w:color w:val="000000" w:themeColor="text1"/>
          <w:sz w:val="24"/>
          <w:szCs w:val="24"/>
        </w:rPr>
        <w:t xml:space="preserve"> a forward primer that corrects the T7 promoter.</w:t>
      </w:r>
    </w:p>
    <w:p w14:paraId="5F20D3E3" w14:textId="77777777" w:rsidR="00DD0DF7" w:rsidRPr="008360D9" w:rsidRDefault="00DD0DF7" w:rsidP="008360D9">
      <w:pPr>
        <w:pStyle w:val="ListParagraph"/>
        <w:spacing w:after="0" w:line="240" w:lineRule="auto"/>
        <w:ind w:left="1224"/>
        <w:rPr>
          <w:rFonts w:ascii="Calibri" w:hAnsi="Calibri" w:cs="Calibri"/>
          <w:color w:val="000000" w:themeColor="text1"/>
          <w:sz w:val="24"/>
          <w:szCs w:val="24"/>
        </w:rPr>
      </w:pPr>
    </w:p>
    <w:p w14:paraId="6441C607" w14:textId="2FE0D38F" w:rsidR="00DD0DF7" w:rsidRPr="008360D9" w:rsidRDefault="00DD0DF7" w:rsidP="008360D9">
      <w:pPr>
        <w:pStyle w:val="ListParagraph"/>
        <w:numPr>
          <w:ilvl w:val="2"/>
          <w:numId w:val="29"/>
        </w:numPr>
        <w:spacing w:after="0" w:line="240" w:lineRule="auto"/>
        <w:rPr>
          <w:rFonts w:ascii="Calibri" w:hAnsi="Calibri" w:cs="Calibri"/>
          <w:color w:val="000000" w:themeColor="text1"/>
          <w:sz w:val="24"/>
          <w:szCs w:val="24"/>
        </w:rPr>
      </w:pPr>
      <w:r w:rsidRPr="008360D9">
        <w:rPr>
          <w:rFonts w:ascii="Calibri" w:hAnsi="Calibri" w:cs="Calibri"/>
          <w:color w:val="000000" w:themeColor="text1"/>
          <w:sz w:val="24"/>
          <w:szCs w:val="24"/>
        </w:rPr>
        <w:t>Use a reverse primer that introduces a 120-nt poly(A)₁₂₀ tail to support efficient transcription and mRNA stability.</w:t>
      </w:r>
    </w:p>
    <w:p w14:paraId="00DA26CF" w14:textId="77777777" w:rsidR="00DD0DF7" w:rsidRPr="008360D9" w:rsidRDefault="00DD0DF7" w:rsidP="008360D9">
      <w:pPr>
        <w:pStyle w:val="ListParagraph"/>
        <w:spacing w:after="0" w:line="240" w:lineRule="auto"/>
        <w:ind w:left="1224"/>
        <w:rPr>
          <w:rFonts w:ascii="Calibri" w:hAnsi="Calibri" w:cs="Calibri"/>
          <w:color w:val="000000" w:themeColor="text1"/>
          <w:sz w:val="24"/>
          <w:szCs w:val="24"/>
        </w:rPr>
      </w:pPr>
    </w:p>
    <w:p w14:paraId="4A56E444" w14:textId="20D75B66" w:rsidR="00DD0DF7" w:rsidRPr="008360D9" w:rsidRDefault="00DD0DF7" w:rsidP="008360D9">
      <w:pPr>
        <w:pStyle w:val="ListParagraph"/>
        <w:numPr>
          <w:ilvl w:val="2"/>
          <w:numId w:val="29"/>
        </w:numPr>
        <w:spacing w:after="0" w:line="240" w:lineRule="auto"/>
        <w:rPr>
          <w:rFonts w:ascii="Calibri" w:hAnsi="Calibri" w:cs="Calibri"/>
          <w:color w:val="000000" w:themeColor="text1"/>
          <w:sz w:val="24"/>
          <w:szCs w:val="24"/>
        </w:rPr>
      </w:pPr>
      <w:r w:rsidRPr="008360D9">
        <w:rPr>
          <w:rFonts w:ascii="Calibri" w:hAnsi="Calibri" w:cs="Calibri"/>
          <w:color w:val="000000" w:themeColor="text1"/>
          <w:sz w:val="24"/>
          <w:szCs w:val="24"/>
        </w:rPr>
        <w:t>Use the PCR-based poly(A)-tailing approach instead of poly(A) polymerase to maintain uniformity between transcripts.</w:t>
      </w:r>
    </w:p>
    <w:p w14:paraId="39E6EA8F" w14:textId="77777777" w:rsidR="00DD0DF7" w:rsidRPr="008360D9" w:rsidRDefault="00DD0DF7" w:rsidP="008360D9">
      <w:pPr>
        <w:pStyle w:val="ListParagraph"/>
        <w:spacing w:after="0" w:line="240" w:lineRule="auto"/>
        <w:ind w:left="1224"/>
        <w:rPr>
          <w:rFonts w:ascii="Calibri" w:hAnsi="Calibri" w:cs="Calibri"/>
          <w:color w:val="000000" w:themeColor="text1"/>
          <w:sz w:val="24"/>
          <w:szCs w:val="24"/>
        </w:rPr>
      </w:pPr>
    </w:p>
    <w:p w14:paraId="027FE9DC" w14:textId="60084FB6" w:rsidR="00DD0DF7" w:rsidRPr="008360D9" w:rsidRDefault="00DD0DF7" w:rsidP="008360D9">
      <w:pPr>
        <w:pStyle w:val="ListParagraph"/>
        <w:numPr>
          <w:ilvl w:val="2"/>
          <w:numId w:val="29"/>
        </w:numPr>
        <w:spacing w:after="0" w:line="240" w:lineRule="auto"/>
        <w:rPr>
          <w:rFonts w:ascii="Calibri" w:hAnsi="Calibri" w:cs="Calibri"/>
          <w:color w:val="000000" w:themeColor="text1"/>
          <w:sz w:val="24"/>
          <w:szCs w:val="24"/>
        </w:rPr>
      </w:pPr>
      <w:r w:rsidRPr="008360D9">
        <w:rPr>
          <w:rFonts w:ascii="Calibri" w:hAnsi="Calibri" w:cs="Calibri"/>
          <w:color w:val="000000" w:themeColor="text1"/>
          <w:sz w:val="24"/>
          <w:szCs w:val="24"/>
        </w:rPr>
        <w:t xml:space="preserve">Incorporate N1-methyl-pseudouridine and </w:t>
      </w:r>
      <w:proofErr w:type="spellStart"/>
      <w:r w:rsidRPr="008360D9">
        <w:rPr>
          <w:rFonts w:ascii="Calibri" w:hAnsi="Calibri" w:cs="Calibri"/>
          <w:color w:val="000000" w:themeColor="text1"/>
          <w:sz w:val="24"/>
          <w:szCs w:val="24"/>
        </w:rPr>
        <w:t>CleanCap</w:t>
      </w:r>
      <w:proofErr w:type="spellEnd"/>
      <w:r w:rsidRPr="008360D9">
        <w:rPr>
          <w:rFonts w:ascii="Calibri" w:hAnsi="Calibri" w:cs="Calibri"/>
          <w:color w:val="000000" w:themeColor="text1"/>
          <w:sz w:val="24"/>
          <w:szCs w:val="24"/>
        </w:rPr>
        <w:t xml:space="preserve"> AG to improve mRNA translation and reduce innate immune activation¹–⁴ (</w:t>
      </w:r>
      <w:r w:rsidRPr="0075521C">
        <w:rPr>
          <w:rFonts w:ascii="Calibri" w:hAnsi="Calibri" w:cs="Calibri"/>
          <w:b/>
          <w:bCs/>
          <w:color w:val="000000" w:themeColor="text1"/>
          <w:sz w:val="24"/>
          <w:szCs w:val="24"/>
        </w:rPr>
        <w:t>Figure 1</w:t>
      </w:r>
      <w:r w:rsidRPr="008360D9">
        <w:rPr>
          <w:rFonts w:ascii="Calibri" w:hAnsi="Calibri" w:cs="Calibri"/>
          <w:color w:val="000000" w:themeColor="text1"/>
          <w:sz w:val="24"/>
          <w:szCs w:val="24"/>
        </w:rPr>
        <w:t>).</w:t>
      </w:r>
    </w:p>
    <w:p w14:paraId="533E0C71" w14:textId="77777777" w:rsidR="00DD0DF7" w:rsidRPr="008360D9" w:rsidRDefault="00DD0DF7" w:rsidP="008360D9">
      <w:pPr>
        <w:pStyle w:val="ListParagraph"/>
        <w:spacing w:after="0" w:line="240" w:lineRule="auto"/>
        <w:ind w:left="1224"/>
        <w:rPr>
          <w:rFonts w:ascii="Calibri" w:hAnsi="Calibri" w:cs="Calibri"/>
          <w:color w:val="000000" w:themeColor="text1"/>
          <w:sz w:val="24"/>
          <w:szCs w:val="24"/>
        </w:rPr>
      </w:pPr>
    </w:p>
    <w:p w14:paraId="003B58A5" w14:textId="2F405D0A" w:rsidR="00DD0DF7" w:rsidRPr="008360D9" w:rsidRDefault="00DD0DF7" w:rsidP="008360D9">
      <w:pPr>
        <w:pStyle w:val="ListParagraph"/>
        <w:numPr>
          <w:ilvl w:val="2"/>
          <w:numId w:val="29"/>
        </w:numPr>
        <w:spacing w:after="0" w:line="240" w:lineRule="auto"/>
        <w:rPr>
          <w:rFonts w:ascii="Calibri" w:hAnsi="Calibri" w:cs="Calibri"/>
          <w:color w:val="000000" w:themeColor="text1"/>
          <w:sz w:val="24"/>
          <w:szCs w:val="24"/>
        </w:rPr>
      </w:pPr>
      <w:r w:rsidRPr="008360D9">
        <w:rPr>
          <w:rFonts w:ascii="Calibri" w:hAnsi="Calibri" w:cs="Calibri"/>
          <w:color w:val="000000" w:themeColor="text1"/>
          <w:sz w:val="24"/>
          <w:szCs w:val="24"/>
        </w:rPr>
        <w:lastRenderedPageBreak/>
        <w:t>Deliver the resulting mRNA to cells using electroporation, as described below.</w:t>
      </w:r>
    </w:p>
    <w:p w14:paraId="7FC45C80" w14:textId="77777777" w:rsidR="00DD0DF7" w:rsidRPr="008B793B" w:rsidRDefault="00DD0DF7" w:rsidP="008360D9">
      <w:pPr>
        <w:rPr>
          <w:color w:val="000000" w:themeColor="text1"/>
        </w:rPr>
      </w:pPr>
      <w:r w:rsidRPr="008360D9">
        <w:rPr>
          <w:color w:val="000000" w:themeColor="text1"/>
        </w:rPr>
        <w:t>NOTE: Nanoparticle-based delivery</w:t>
      </w:r>
      <w:r w:rsidRPr="008B793B">
        <w:rPr>
          <w:color w:val="000000" w:themeColor="text1"/>
        </w:rPr>
        <w:t xml:space="preserve"> is not discussed in this protocol. </w:t>
      </w:r>
    </w:p>
    <w:p w14:paraId="25A23FE7" w14:textId="77777777" w:rsidR="00F30F1F" w:rsidRPr="008B793B" w:rsidRDefault="00F30F1F" w:rsidP="008B793B">
      <w:pPr>
        <w:rPr>
          <w:color w:val="000000" w:themeColor="text1"/>
        </w:rPr>
      </w:pPr>
    </w:p>
    <w:p w14:paraId="227F8733" w14:textId="2B1D91EF" w:rsidR="00035D47" w:rsidRPr="008B793B" w:rsidRDefault="00DD0DF7" w:rsidP="008B793B">
      <w:pPr>
        <w:rPr>
          <w:color w:val="000000" w:themeColor="text1"/>
        </w:rPr>
      </w:pPr>
      <w:r w:rsidRPr="008B793B">
        <w:rPr>
          <w:color w:val="000000" w:themeColor="text1"/>
        </w:rPr>
        <w:t>Caution: Perform all RNA steps using RNase-free consumables and work surfaces. Consider the listed mRNA editors and their different variants when selecting the appropriate editor for the intended genomic modification (</w:t>
      </w:r>
      <w:r w:rsidRPr="008B793B">
        <w:rPr>
          <w:b/>
          <w:bCs/>
          <w:color w:val="000000" w:themeColor="text1"/>
        </w:rPr>
        <w:t>Table 1</w:t>
      </w:r>
      <w:r w:rsidRPr="008B793B">
        <w:rPr>
          <w:color w:val="000000" w:themeColor="text1"/>
        </w:rPr>
        <w:t>).</w:t>
      </w:r>
    </w:p>
    <w:p w14:paraId="6812C6D0" w14:textId="77777777" w:rsidR="00035D47" w:rsidRPr="008B793B" w:rsidRDefault="00035D47" w:rsidP="008B793B"/>
    <w:p w14:paraId="7E1A208F" w14:textId="2D7382BA" w:rsidR="006E4797" w:rsidRPr="008B793B" w:rsidRDefault="2102927C" w:rsidP="008B793B">
      <w:pPr>
        <w:pStyle w:val="Heading3"/>
        <w:numPr>
          <w:ilvl w:val="0"/>
          <w:numId w:val="29"/>
        </w:numPr>
        <w:spacing w:before="0"/>
        <w:rPr>
          <w:rFonts w:ascii="Calibri" w:eastAsia="Calibri" w:hAnsi="Calibri" w:cs="Calibri"/>
          <w:bCs/>
          <w:color w:val="auto"/>
        </w:rPr>
      </w:pPr>
      <w:r w:rsidRPr="008B793B">
        <w:rPr>
          <w:rFonts w:ascii="Calibri" w:eastAsia="Calibri" w:hAnsi="Calibri" w:cs="Calibri"/>
          <w:bCs/>
          <w:color w:val="auto"/>
        </w:rPr>
        <w:t>Generate the linear DNA template</w:t>
      </w:r>
    </w:p>
    <w:p w14:paraId="2AC3307D" w14:textId="77777777" w:rsidR="00F30F1F" w:rsidRPr="008B793B" w:rsidRDefault="00F30F1F" w:rsidP="008B793B"/>
    <w:p w14:paraId="16502BFE" w14:textId="7718BC69" w:rsidR="00F30F1F" w:rsidRPr="008B793B" w:rsidRDefault="00670A29" w:rsidP="008B793B">
      <w:pPr>
        <w:pStyle w:val="ListParagraph"/>
        <w:numPr>
          <w:ilvl w:val="1"/>
          <w:numId w:val="29"/>
        </w:numPr>
        <w:spacing w:after="0" w:line="240" w:lineRule="auto"/>
        <w:rPr>
          <w:rFonts w:ascii="Calibri" w:hAnsi="Calibri" w:cs="Calibri"/>
          <w:color w:val="000000" w:themeColor="text1"/>
          <w:sz w:val="24"/>
          <w:szCs w:val="24"/>
        </w:rPr>
      </w:pPr>
      <w:r w:rsidRPr="008B793B">
        <w:rPr>
          <w:rFonts w:ascii="Calibri" w:hAnsi="Calibri" w:cs="Calibri"/>
          <w:color w:val="000000" w:themeColor="text1"/>
          <w:sz w:val="24"/>
          <w:szCs w:val="24"/>
        </w:rPr>
        <w:t>Amplify the editor coding sequence by PCR for 30 cycles using primers that introduce a functional T7 promoter upstream of the coding region and a poly(A) sequence downstream (</w:t>
      </w:r>
      <w:r w:rsidRPr="008B793B">
        <w:rPr>
          <w:rFonts w:ascii="Calibri" w:hAnsi="Calibri" w:cs="Calibri"/>
          <w:b/>
          <w:bCs/>
          <w:color w:val="000000" w:themeColor="text1"/>
          <w:sz w:val="24"/>
          <w:szCs w:val="24"/>
        </w:rPr>
        <w:t>Table 2</w:t>
      </w:r>
      <w:r w:rsidRPr="008B793B">
        <w:rPr>
          <w:rFonts w:ascii="Calibri" w:hAnsi="Calibri" w:cs="Calibri"/>
          <w:color w:val="000000" w:themeColor="text1"/>
          <w:sz w:val="24"/>
          <w:szCs w:val="24"/>
        </w:rPr>
        <w:t xml:space="preserve"> and </w:t>
      </w:r>
      <w:r w:rsidRPr="008B793B">
        <w:rPr>
          <w:rFonts w:ascii="Calibri" w:hAnsi="Calibri" w:cs="Calibri"/>
          <w:b/>
          <w:bCs/>
          <w:color w:val="000000" w:themeColor="text1"/>
          <w:sz w:val="24"/>
          <w:szCs w:val="24"/>
        </w:rPr>
        <w:t>Table 3</w:t>
      </w:r>
      <w:r w:rsidRPr="008B793B">
        <w:rPr>
          <w:rFonts w:ascii="Calibri" w:hAnsi="Calibri" w:cs="Calibri"/>
          <w:color w:val="000000" w:themeColor="text1"/>
          <w:sz w:val="24"/>
          <w:szCs w:val="24"/>
        </w:rPr>
        <w:t>).</w:t>
      </w:r>
    </w:p>
    <w:p w14:paraId="43092913" w14:textId="77777777" w:rsidR="00670A29" w:rsidRPr="008B793B" w:rsidRDefault="00670A29" w:rsidP="008360D9">
      <w:pPr>
        <w:pStyle w:val="ListParagraph"/>
        <w:spacing w:after="0" w:line="240" w:lineRule="auto"/>
        <w:ind w:left="792"/>
        <w:rPr>
          <w:rFonts w:ascii="Calibri" w:hAnsi="Calibri" w:cs="Calibri"/>
          <w:sz w:val="24"/>
          <w:szCs w:val="24"/>
        </w:rPr>
      </w:pPr>
    </w:p>
    <w:p w14:paraId="45C178EF" w14:textId="6411D4FE" w:rsidR="006E4797" w:rsidRPr="008B793B" w:rsidRDefault="69DC8F38" w:rsidP="008B793B">
      <w:pPr>
        <w:rPr>
          <w:color w:val="000000" w:themeColor="text1"/>
        </w:rPr>
      </w:pPr>
      <w:r w:rsidRPr="008B793B">
        <w:rPr>
          <w:color w:val="000000" w:themeColor="text1"/>
        </w:rPr>
        <w:t xml:space="preserve">NOTE: </w:t>
      </w:r>
      <w:r w:rsidR="20754CE4" w:rsidRPr="008B793B">
        <w:rPr>
          <w:color w:val="000000" w:themeColor="text1"/>
        </w:rPr>
        <w:t>The nucleotide sequence of the IVT template is underlined</w:t>
      </w:r>
      <w:r w:rsidR="0542B3DB" w:rsidRPr="008B793B">
        <w:rPr>
          <w:color w:val="000000" w:themeColor="text1"/>
        </w:rPr>
        <w:t xml:space="preserve"> in </w:t>
      </w:r>
      <w:r w:rsidR="0542B3DB" w:rsidRPr="008B793B">
        <w:rPr>
          <w:b/>
          <w:bCs/>
          <w:color w:val="000000" w:themeColor="text1"/>
        </w:rPr>
        <w:t>table 9</w:t>
      </w:r>
      <w:r w:rsidR="0542B3DB" w:rsidRPr="008B793B">
        <w:rPr>
          <w:color w:val="000000" w:themeColor="text1"/>
        </w:rPr>
        <w:t>.</w:t>
      </w:r>
      <w:r w:rsidR="20754CE4" w:rsidRPr="008B793B">
        <w:rPr>
          <w:color w:val="000000" w:themeColor="text1"/>
        </w:rPr>
        <w:t xml:space="preserve"> </w:t>
      </w:r>
    </w:p>
    <w:p w14:paraId="1D2CCF21" w14:textId="77777777" w:rsidR="00670A29" w:rsidRPr="008B793B" w:rsidRDefault="00670A29" w:rsidP="008B793B">
      <w:pPr>
        <w:pStyle w:val="Heading3"/>
        <w:spacing w:before="0"/>
        <w:ind w:left="792"/>
        <w:rPr>
          <w:rFonts w:ascii="Calibri" w:hAnsi="Calibri" w:cs="Calibri"/>
          <w:color w:val="000000" w:themeColor="text1"/>
        </w:rPr>
      </w:pPr>
    </w:p>
    <w:p w14:paraId="6D134484" w14:textId="765E3FCD" w:rsidR="00DD0DF7" w:rsidRPr="008B793B" w:rsidRDefault="2102927C" w:rsidP="008B793B">
      <w:pPr>
        <w:pStyle w:val="Heading3"/>
        <w:numPr>
          <w:ilvl w:val="1"/>
          <w:numId w:val="29"/>
        </w:numPr>
        <w:spacing w:before="0"/>
        <w:rPr>
          <w:rFonts w:ascii="Calibri" w:eastAsia="Calibri" w:hAnsi="Calibri" w:cs="Calibri"/>
          <w:b w:val="0"/>
          <w:color w:val="000000" w:themeColor="text1"/>
        </w:rPr>
      </w:pPr>
      <w:r w:rsidRPr="008B793B">
        <w:rPr>
          <w:rFonts w:ascii="Calibri" w:eastAsia="Calibri" w:hAnsi="Calibri" w:cs="Calibri"/>
          <w:b w:val="0"/>
          <w:color w:val="000000" w:themeColor="text1"/>
        </w:rPr>
        <w:t>Verify and purify the PCR product</w:t>
      </w:r>
    </w:p>
    <w:p w14:paraId="3AE1D19B" w14:textId="77777777" w:rsidR="00F30F1F" w:rsidRPr="008B793B" w:rsidRDefault="00F30F1F" w:rsidP="008B793B"/>
    <w:p w14:paraId="70D0CE8D" w14:textId="27A67B3D" w:rsidR="00F30F1F" w:rsidRPr="008B793B" w:rsidRDefault="00F30F1F" w:rsidP="008B793B">
      <w:pPr>
        <w:pStyle w:val="ListParagraph"/>
        <w:numPr>
          <w:ilvl w:val="2"/>
          <w:numId w:val="29"/>
        </w:numPr>
        <w:spacing w:after="0" w:line="240" w:lineRule="auto"/>
        <w:rPr>
          <w:rFonts w:ascii="Calibri" w:eastAsia="Cambria" w:hAnsi="Calibri" w:cs="Calibri"/>
          <w:bCs/>
          <w:color w:val="000000" w:themeColor="text1"/>
          <w:sz w:val="24"/>
          <w:szCs w:val="24"/>
        </w:rPr>
      </w:pPr>
      <w:r w:rsidRPr="008B793B">
        <w:rPr>
          <w:rFonts w:ascii="Calibri" w:eastAsia="Cambria" w:hAnsi="Calibri" w:cs="Calibri"/>
          <w:bCs/>
          <w:color w:val="000000" w:themeColor="text1"/>
          <w:sz w:val="24"/>
          <w:szCs w:val="24"/>
        </w:rPr>
        <w:t>Confirm generation of a pure amplicon using agarose gel electrophoresis.</w:t>
      </w:r>
    </w:p>
    <w:p w14:paraId="1590F64E" w14:textId="77777777" w:rsidR="00F30F1F" w:rsidRPr="008B793B" w:rsidRDefault="00F30F1F" w:rsidP="008B793B">
      <w:pPr>
        <w:rPr>
          <w:rFonts w:eastAsia="Cambria"/>
          <w:bCs/>
          <w:color w:val="000000" w:themeColor="text1"/>
        </w:rPr>
      </w:pPr>
    </w:p>
    <w:p w14:paraId="1ECE646E" w14:textId="0202169F" w:rsidR="00670A29" w:rsidRPr="008B793B" w:rsidRDefault="00F30F1F" w:rsidP="008B793B">
      <w:pPr>
        <w:pStyle w:val="ListParagraph"/>
        <w:numPr>
          <w:ilvl w:val="2"/>
          <w:numId w:val="29"/>
        </w:numPr>
        <w:spacing w:after="0" w:line="240" w:lineRule="auto"/>
        <w:rPr>
          <w:rFonts w:ascii="Calibri" w:eastAsia="Cambria" w:hAnsi="Calibri" w:cs="Calibri"/>
          <w:bCs/>
          <w:color w:val="000000" w:themeColor="text1"/>
          <w:sz w:val="24"/>
          <w:szCs w:val="24"/>
        </w:rPr>
      </w:pPr>
      <w:r w:rsidRPr="008B793B">
        <w:rPr>
          <w:rFonts w:ascii="Calibri" w:eastAsia="Cambria" w:hAnsi="Calibri" w:cs="Calibri"/>
          <w:bCs/>
          <w:color w:val="000000" w:themeColor="text1"/>
          <w:sz w:val="24"/>
          <w:szCs w:val="24"/>
        </w:rPr>
        <w:t>Purify the PCR product using a PCR cleanup kit</w:t>
      </w:r>
      <w:r w:rsidR="00E81E40">
        <w:rPr>
          <w:rFonts w:ascii="Calibri" w:eastAsia="Cambria" w:hAnsi="Calibri" w:cs="Calibri"/>
          <w:bCs/>
          <w:color w:val="000000" w:themeColor="text1"/>
          <w:sz w:val="24"/>
          <w:szCs w:val="24"/>
        </w:rPr>
        <w:t xml:space="preserve"> (</w:t>
      </w:r>
      <w:r w:rsidR="00E81E40" w:rsidRPr="00E81E40">
        <w:rPr>
          <w:rFonts w:ascii="Calibri" w:eastAsia="Cambria" w:hAnsi="Calibri" w:cs="Calibri"/>
          <w:b/>
          <w:color w:val="000000" w:themeColor="text1"/>
          <w:sz w:val="24"/>
          <w:szCs w:val="24"/>
        </w:rPr>
        <w:t>Table of Materials</w:t>
      </w:r>
      <w:r w:rsidR="00E81E40">
        <w:rPr>
          <w:rFonts w:ascii="Calibri" w:eastAsia="Cambria" w:hAnsi="Calibri" w:cs="Calibri"/>
          <w:bCs/>
          <w:color w:val="000000" w:themeColor="text1"/>
          <w:sz w:val="24"/>
          <w:szCs w:val="24"/>
        </w:rPr>
        <w:t>)</w:t>
      </w:r>
      <w:r w:rsidRPr="008B793B">
        <w:rPr>
          <w:rFonts w:ascii="Calibri" w:eastAsia="Cambria" w:hAnsi="Calibri" w:cs="Calibri"/>
          <w:bCs/>
          <w:color w:val="000000" w:themeColor="text1"/>
          <w:sz w:val="24"/>
          <w:szCs w:val="24"/>
        </w:rPr>
        <w:t>.</w:t>
      </w:r>
      <w:r w:rsidR="003A5B21" w:rsidRPr="008B793B">
        <w:rPr>
          <w:rFonts w:ascii="Calibri" w:eastAsia="Cambria" w:hAnsi="Calibri" w:cs="Calibri"/>
          <w:bCs/>
          <w:color w:val="000000" w:themeColor="text1"/>
          <w:sz w:val="24"/>
          <w:szCs w:val="24"/>
        </w:rPr>
        <w:t xml:space="preserve"> </w:t>
      </w:r>
      <w:r w:rsidR="00670A29" w:rsidRPr="008B793B">
        <w:rPr>
          <w:rFonts w:ascii="Calibri" w:eastAsia="Cambria" w:hAnsi="Calibri" w:cs="Calibri"/>
          <w:bCs/>
          <w:color w:val="000000" w:themeColor="text1"/>
          <w:sz w:val="24"/>
          <w:szCs w:val="24"/>
        </w:rPr>
        <w:t>Quantify the purified DNA using a fluorometric dsDNA assay.</w:t>
      </w:r>
      <w:r w:rsidR="003A5B21" w:rsidRPr="008B793B">
        <w:rPr>
          <w:rFonts w:ascii="Calibri" w:eastAsia="Cambria" w:hAnsi="Calibri" w:cs="Calibri"/>
          <w:bCs/>
          <w:color w:val="000000" w:themeColor="text1"/>
          <w:sz w:val="24"/>
          <w:szCs w:val="24"/>
        </w:rPr>
        <w:t xml:space="preserve"> </w:t>
      </w:r>
    </w:p>
    <w:p w14:paraId="6EEFA53A" w14:textId="77777777" w:rsidR="00670A29" w:rsidRPr="008B793B" w:rsidRDefault="00670A29" w:rsidP="008360D9">
      <w:pPr>
        <w:pStyle w:val="ListParagraph"/>
        <w:spacing w:after="0" w:line="240" w:lineRule="auto"/>
        <w:ind w:left="1224"/>
        <w:rPr>
          <w:rFonts w:ascii="Calibri" w:eastAsia="Cambria" w:hAnsi="Calibri" w:cs="Calibri"/>
          <w:bCs/>
          <w:color w:val="000000" w:themeColor="text1"/>
          <w:sz w:val="24"/>
          <w:szCs w:val="24"/>
        </w:rPr>
      </w:pPr>
    </w:p>
    <w:p w14:paraId="47C0FFD6" w14:textId="7AA29708" w:rsidR="00670A29" w:rsidRPr="008B793B" w:rsidRDefault="00670A29" w:rsidP="008B793B">
      <w:pPr>
        <w:rPr>
          <w:rFonts w:eastAsia="Cambria"/>
          <w:bCs/>
          <w:color w:val="000000" w:themeColor="text1"/>
        </w:rPr>
      </w:pPr>
      <w:r w:rsidRPr="008B793B">
        <w:rPr>
          <w:rFonts w:eastAsia="Cambria"/>
          <w:bCs/>
          <w:color w:val="000000" w:themeColor="text1"/>
        </w:rPr>
        <w:t>NOTE: If multiple bands or poor PCR product quality are observed, optimize the thermocycling conditions (</w:t>
      </w:r>
      <w:r w:rsidRPr="008B793B">
        <w:rPr>
          <w:rFonts w:eastAsia="Cambria"/>
          <w:b/>
          <w:color w:val="000000" w:themeColor="text1"/>
        </w:rPr>
        <w:t>Table 9</w:t>
      </w:r>
      <w:r w:rsidRPr="008B793B">
        <w:rPr>
          <w:rFonts w:eastAsia="Cambria"/>
          <w:bCs/>
          <w:color w:val="000000" w:themeColor="text1"/>
        </w:rPr>
        <w:t xml:space="preserve"> – Troubleshooting Table).</w:t>
      </w:r>
    </w:p>
    <w:p w14:paraId="10851619" w14:textId="77777777" w:rsidR="00F30F1F" w:rsidRPr="008B793B" w:rsidRDefault="00F30F1F" w:rsidP="008B793B">
      <w:pPr>
        <w:rPr>
          <w:rFonts w:eastAsia="Cambria"/>
          <w:bCs/>
          <w:color w:val="000000" w:themeColor="text1"/>
        </w:rPr>
      </w:pPr>
    </w:p>
    <w:p w14:paraId="20D05F59" w14:textId="067E74C7" w:rsidR="00F30F1F" w:rsidRPr="008B793B" w:rsidRDefault="00F30F1F" w:rsidP="008B793B">
      <w:pPr>
        <w:pStyle w:val="ListParagraph"/>
        <w:numPr>
          <w:ilvl w:val="2"/>
          <w:numId w:val="29"/>
        </w:numPr>
        <w:spacing w:after="0" w:line="240" w:lineRule="auto"/>
        <w:jc w:val="both"/>
        <w:rPr>
          <w:rFonts w:ascii="Calibri" w:eastAsia="Cambria" w:hAnsi="Calibri" w:cs="Calibri"/>
          <w:bCs/>
          <w:color w:val="000000" w:themeColor="text1"/>
          <w:sz w:val="24"/>
          <w:szCs w:val="24"/>
        </w:rPr>
      </w:pPr>
      <w:r w:rsidRPr="008B793B">
        <w:rPr>
          <w:rFonts w:ascii="Calibri" w:eastAsia="Cambria" w:hAnsi="Calibri" w:cs="Calibri"/>
          <w:bCs/>
          <w:color w:val="000000" w:themeColor="text1"/>
          <w:sz w:val="24"/>
          <w:szCs w:val="24"/>
        </w:rPr>
        <w:t>Quantify the purified DNA using a fluorometric dsDNA assay.</w:t>
      </w:r>
    </w:p>
    <w:p w14:paraId="5E276AB1" w14:textId="77777777" w:rsidR="003A5B21" w:rsidRPr="008B793B" w:rsidRDefault="003A5B21" w:rsidP="008B793B"/>
    <w:p w14:paraId="61662FBF" w14:textId="77777777" w:rsidR="003A5B21" w:rsidRPr="008B793B" w:rsidRDefault="003A5B21" w:rsidP="008B793B"/>
    <w:p w14:paraId="2A5AB002" w14:textId="2A9AE074" w:rsidR="007129DB" w:rsidRPr="008B793B" w:rsidRDefault="2102927C" w:rsidP="008B793B">
      <w:pPr>
        <w:pStyle w:val="Heading3"/>
        <w:numPr>
          <w:ilvl w:val="1"/>
          <w:numId w:val="29"/>
        </w:numPr>
        <w:spacing w:before="0"/>
        <w:rPr>
          <w:rFonts w:ascii="Calibri" w:eastAsia="Calibri" w:hAnsi="Calibri" w:cs="Calibri"/>
          <w:b w:val="0"/>
          <w:color w:val="000000" w:themeColor="text1"/>
        </w:rPr>
      </w:pPr>
      <w:r w:rsidRPr="008B793B">
        <w:rPr>
          <w:rFonts w:ascii="Calibri" w:eastAsia="Calibri" w:hAnsi="Calibri" w:cs="Calibri"/>
          <w:b w:val="0"/>
          <w:color w:val="000000" w:themeColor="text1"/>
        </w:rPr>
        <w:t>Assemble the IVT reaction.</w:t>
      </w:r>
    </w:p>
    <w:p w14:paraId="3651FEF4" w14:textId="77777777" w:rsidR="007129DB" w:rsidRPr="008B793B" w:rsidRDefault="007129DB" w:rsidP="008B793B"/>
    <w:p w14:paraId="541C2F58" w14:textId="52E94A0D" w:rsidR="003A5B21" w:rsidRPr="008B793B" w:rsidRDefault="003A5B21" w:rsidP="008B793B">
      <w:pPr>
        <w:pStyle w:val="ListParagraph"/>
        <w:numPr>
          <w:ilvl w:val="2"/>
          <w:numId w:val="29"/>
        </w:numPr>
        <w:spacing w:after="0" w:line="240" w:lineRule="auto"/>
        <w:jc w:val="both"/>
        <w:rPr>
          <w:rFonts w:ascii="Calibri" w:eastAsia="Calibri" w:hAnsi="Calibri" w:cs="Calibri"/>
          <w:b/>
          <w:color w:val="000000" w:themeColor="text1"/>
          <w:sz w:val="24"/>
          <w:szCs w:val="24"/>
        </w:rPr>
      </w:pPr>
      <w:r w:rsidRPr="008B793B">
        <w:rPr>
          <w:rFonts w:ascii="Calibri" w:eastAsia="Cambria" w:hAnsi="Calibri" w:cs="Calibri"/>
          <w:bCs/>
          <w:color w:val="000000" w:themeColor="text1"/>
          <w:sz w:val="24"/>
          <w:szCs w:val="24"/>
        </w:rPr>
        <w:t>Prepare</w:t>
      </w:r>
      <w:r w:rsidRPr="008B793B">
        <w:rPr>
          <w:rFonts w:ascii="Calibri" w:eastAsia="Calibri" w:hAnsi="Calibri" w:cs="Calibri"/>
          <w:color w:val="000000" w:themeColor="text1"/>
          <w:sz w:val="24"/>
          <w:szCs w:val="24"/>
        </w:rPr>
        <w:t xml:space="preserve"> the IVT reaction on ice using T7 RNA polymerase, NTPs, a cap analog for co-transcriptional capping, and N1-methyl-pseudouridine triphosphate as the uridine substitute to reduce innate immune activation¹˒⁵˒⁶.</w:t>
      </w:r>
    </w:p>
    <w:p w14:paraId="58511923" w14:textId="77777777" w:rsidR="003A5B21" w:rsidRPr="008B793B" w:rsidRDefault="003A5B21" w:rsidP="008B793B">
      <w:pPr>
        <w:pStyle w:val="Heading3"/>
        <w:spacing w:before="0"/>
        <w:rPr>
          <w:rFonts w:ascii="Calibri" w:eastAsia="Calibri" w:hAnsi="Calibri" w:cs="Calibri"/>
          <w:b w:val="0"/>
          <w:color w:val="000000" w:themeColor="text1"/>
        </w:rPr>
      </w:pPr>
    </w:p>
    <w:p w14:paraId="3A3E2935" w14:textId="5ACAAC76" w:rsidR="003A5B21" w:rsidRPr="008B793B" w:rsidRDefault="003A5B21" w:rsidP="008B793B">
      <w:pPr>
        <w:pStyle w:val="ListParagraph"/>
        <w:numPr>
          <w:ilvl w:val="2"/>
          <w:numId w:val="29"/>
        </w:numPr>
        <w:spacing w:after="0" w:line="240" w:lineRule="auto"/>
        <w:jc w:val="both"/>
        <w:rPr>
          <w:rFonts w:ascii="Calibri" w:eastAsia="Calibri" w:hAnsi="Calibri" w:cs="Calibri"/>
          <w:color w:val="000000" w:themeColor="text1"/>
          <w:sz w:val="24"/>
          <w:szCs w:val="24"/>
        </w:rPr>
      </w:pPr>
      <w:r w:rsidRPr="008B793B">
        <w:rPr>
          <w:rFonts w:ascii="Calibri" w:eastAsia="Calibri" w:hAnsi="Calibri" w:cs="Calibri"/>
          <w:color w:val="000000" w:themeColor="text1"/>
          <w:sz w:val="24"/>
          <w:szCs w:val="24"/>
        </w:rPr>
        <w:t xml:space="preserve">Prepare the IVT reaction mixture according to </w:t>
      </w:r>
      <w:r w:rsidRPr="0075521C">
        <w:rPr>
          <w:rFonts w:ascii="Calibri" w:eastAsia="Calibri" w:hAnsi="Calibri" w:cs="Calibri"/>
          <w:b/>
          <w:bCs/>
          <w:color w:val="000000" w:themeColor="text1"/>
          <w:sz w:val="24"/>
          <w:szCs w:val="24"/>
        </w:rPr>
        <w:t>Table 4.</w:t>
      </w:r>
      <w:r w:rsidRPr="008B793B">
        <w:rPr>
          <w:rFonts w:ascii="Calibri" w:eastAsia="Calibri" w:hAnsi="Calibri" w:cs="Calibri"/>
          <w:color w:val="000000" w:themeColor="text1"/>
          <w:sz w:val="24"/>
          <w:szCs w:val="24"/>
        </w:rPr>
        <w:t xml:space="preserve"> Use the annotated template sequence provided in Table 4. Assemble each transcription reaction in a final volume of 40 µL.</w:t>
      </w:r>
    </w:p>
    <w:p w14:paraId="7DBFB9C1" w14:textId="77777777" w:rsidR="003A5B21" w:rsidRPr="008B793B" w:rsidRDefault="003A5B21" w:rsidP="008B793B">
      <w:pPr>
        <w:pStyle w:val="ListParagraph"/>
        <w:spacing w:after="0" w:line="240" w:lineRule="auto"/>
        <w:ind w:left="1224"/>
        <w:rPr>
          <w:rFonts w:ascii="Calibri" w:eastAsia="Calibri" w:hAnsi="Calibri" w:cs="Calibri"/>
          <w:color w:val="000000" w:themeColor="text1"/>
          <w:sz w:val="24"/>
          <w:szCs w:val="24"/>
        </w:rPr>
      </w:pPr>
    </w:p>
    <w:p w14:paraId="301FA884" w14:textId="77777777" w:rsidR="007129DB" w:rsidRPr="008B793B" w:rsidRDefault="003A5B21" w:rsidP="008B793B">
      <w:pPr>
        <w:pStyle w:val="ListParagraph"/>
        <w:numPr>
          <w:ilvl w:val="2"/>
          <w:numId w:val="29"/>
        </w:numPr>
        <w:spacing w:after="0" w:line="240" w:lineRule="auto"/>
        <w:rPr>
          <w:rFonts w:ascii="Calibri" w:eastAsia="Calibri" w:hAnsi="Calibri" w:cs="Calibri"/>
          <w:color w:val="000000" w:themeColor="text1"/>
          <w:sz w:val="24"/>
          <w:szCs w:val="24"/>
        </w:rPr>
      </w:pPr>
      <w:r w:rsidRPr="008B793B">
        <w:rPr>
          <w:rFonts w:ascii="Calibri" w:eastAsia="Calibri" w:hAnsi="Calibri" w:cs="Calibri"/>
          <w:color w:val="000000" w:themeColor="text1"/>
          <w:sz w:val="24"/>
          <w:szCs w:val="24"/>
        </w:rPr>
        <w:t>Prepare 5–10 reaction tubes to generate sufficient mRNA for multiple experiments. Generate approximately 100 µg of mRNA from each 40 µL reaction.</w:t>
      </w:r>
    </w:p>
    <w:p w14:paraId="4F896EEA" w14:textId="77777777" w:rsidR="007129DB" w:rsidRPr="008B793B" w:rsidRDefault="007129DB" w:rsidP="008360D9">
      <w:pPr>
        <w:pStyle w:val="ListParagraph"/>
        <w:spacing w:line="240" w:lineRule="auto"/>
        <w:rPr>
          <w:rFonts w:ascii="Calibri" w:eastAsia="Calibri" w:hAnsi="Calibri" w:cs="Calibri"/>
          <w:color w:val="000000" w:themeColor="text1"/>
          <w:sz w:val="24"/>
          <w:szCs w:val="24"/>
        </w:rPr>
      </w:pPr>
    </w:p>
    <w:p w14:paraId="35D61851" w14:textId="3DE70072" w:rsidR="003A5B21" w:rsidRPr="008B793B" w:rsidRDefault="003A5B21" w:rsidP="008B793B">
      <w:pPr>
        <w:pStyle w:val="ListParagraph"/>
        <w:numPr>
          <w:ilvl w:val="2"/>
          <w:numId w:val="29"/>
        </w:numPr>
        <w:spacing w:after="0" w:line="240" w:lineRule="auto"/>
        <w:rPr>
          <w:rFonts w:ascii="Calibri" w:eastAsia="Calibri" w:hAnsi="Calibri" w:cs="Calibri"/>
          <w:color w:val="000000" w:themeColor="text1"/>
          <w:sz w:val="24"/>
          <w:szCs w:val="24"/>
        </w:rPr>
      </w:pPr>
      <w:r w:rsidRPr="008B793B">
        <w:rPr>
          <w:rFonts w:ascii="Calibri" w:eastAsia="Calibri" w:hAnsi="Calibri" w:cs="Calibri"/>
          <w:color w:val="000000" w:themeColor="text1"/>
          <w:sz w:val="24"/>
          <w:szCs w:val="24"/>
        </w:rPr>
        <w:t>Use a 10x preparation to obtain sufficient mRNA for approximately 1,000 electroporations.</w:t>
      </w:r>
    </w:p>
    <w:p w14:paraId="2D93BDF5" w14:textId="77777777" w:rsidR="003A5B21" w:rsidRPr="008B793B" w:rsidRDefault="003A5B21" w:rsidP="008B793B">
      <w:pPr>
        <w:pStyle w:val="Heading3"/>
        <w:spacing w:before="0"/>
        <w:rPr>
          <w:rFonts w:ascii="Calibri" w:eastAsia="Calibri" w:hAnsi="Calibri" w:cs="Calibri"/>
          <w:b w:val="0"/>
          <w:color w:val="000000" w:themeColor="text1"/>
        </w:rPr>
      </w:pPr>
    </w:p>
    <w:p w14:paraId="385F017A" w14:textId="77777777" w:rsidR="001205FC" w:rsidRPr="008B793B" w:rsidRDefault="001205FC" w:rsidP="008B793B">
      <w:pPr>
        <w:rPr>
          <w:color w:val="000000" w:themeColor="text1"/>
        </w:rPr>
      </w:pPr>
    </w:p>
    <w:p w14:paraId="2FC8872E" w14:textId="6CEA8F2A" w:rsidR="001205FC" w:rsidRPr="008B793B" w:rsidRDefault="001205FC" w:rsidP="008B793B">
      <w:pPr>
        <w:pStyle w:val="Heading3"/>
        <w:numPr>
          <w:ilvl w:val="1"/>
          <w:numId w:val="29"/>
        </w:numPr>
        <w:spacing w:before="0"/>
        <w:rPr>
          <w:rFonts w:ascii="Calibri" w:hAnsi="Calibri" w:cs="Calibri"/>
          <w:b w:val="0"/>
          <w:color w:val="000000" w:themeColor="text1"/>
        </w:rPr>
      </w:pPr>
      <w:r w:rsidRPr="008B793B">
        <w:rPr>
          <w:rFonts w:ascii="Calibri" w:eastAsia="Calibri" w:hAnsi="Calibri" w:cs="Calibri"/>
          <w:b w:val="0"/>
          <w:color w:val="000000" w:themeColor="text1"/>
        </w:rPr>
        <w:t>Transcribe</w:t>
      </w:r>
      <w:r w:rsidRPr="008B793B">
        <w:rPr>
          <w:rFonts w:ascii="Calibri" w:hAnsi="Calibri" w:cs="Calibri"/>
          <w:b w:val="0"/>
          <w:color w:val="000000" w:themeColor="text1"/>
        </w:rPr>
        <w:t xml:space="preserve"> the RNA</w:t>
      </w:r>
    </w:p>
    <w:p w14:paraId="3AF6ABBB" w14:textId="77777777" w:rsidR="001205FC" w:rsidRPr="008B793B" w:rsidRDefault="001205FC" w:rsidP="008B793B">
      <w:pPr>
        <w:rPr>
          <w:color w:val="000000" w:themeColor="text1"/>
        </w:rPr>
      </w:pPr>
    </w:p>
    <w:p w14:paraId="2426EB5E" w14:textId="6BF14AC9" w:rsidR="001205FC" w:rsidRPr="008B793B" w:rsidRDefault="001205FC" w:rsidP="008B793B">
      <w:pPr>
        <w:pStyle w:val="ListParagraph"/>
        <w:numPr>
          <w:ilvl w:val="2"/>
          <w:numId w:val="29"/>
        </w:numPr>
        <w:spacing w:after="0" w:line="240" w:lineRule="auto"/>
        <w:rPr>
          <w:rFonts w:ascii="Calibri" w:hAnsi="Calibri" w:cs="Calibri"/>
          <w:color w:val="000000" w:themeColor="text1"/>
          <w:sz w:val="24"/>
          <w:szCs w:val="24"/>
        </w:rPr>
      </w:pPr>
      <w:r w:rsidRPr="008B793B">
        <w:rPr>
          <w:rFonts w:ascii="Calibri" w:hAnsi="Calibri" w:cs="Calibri"/>
          <w:color w:val="000000" w:themeColor="text1"/>
          <w:sz w:val="24"/>
          <w:szCs w:val="24"/>
        </w:rPr>
        <w:t>Mix the IVT reaction thoroughly by pipetting. Incubate the reaction at 37 °C for 2 h.</w:t>
      </w:r>
    </w:p>
    <w:p w14:paraId="0420451A" w14:textId="77777777" w:rsidR="001205FC" w:rsidRPr="008B793B" w:rsidRDefault="001205FC" w:rsidP="008B793B">
      <w:pPr>
        <w:rPr>
          <w:color w:val="000000" w:themeColor="text1"/>
        </w:rPr>
      </w:pPr>
    </w:p>
    <w:p w14:paraId="6507A2A7" w14:textId="7D8341D4" w:rsidR="001205FC" w:rsidRPr="008B793B" w:rsidRDefault="001205FC" w:rsidP="008B793B">
      <w:pPr>
        <w:pStyle w:val="Heading3"/>
        <w:numPr>
          <w:ilvl w:val="1"/>
          <w:numId w:val="29"/>
        </w:numPr>
        <w:spacing w:before="0"/>
        <w:rPr>
          <w:rFonts w:ascii="Calibri" w:hAnsi="Calibri" w:cs="Calibri"/>
          <w:b w:val="0"/>
          <w:color w:val="000000" w:themeColor="text1"/>
        </w:rPr>
      </w:pPr>
      <w:proofErr w:type="gramStart"/>
      <w:r w:rsidRPr="008B793B">
        <w:rPr>
          <w:rFonts w:ascii="Calibri" w:hAnsi="Calibri" w:cs="Calibri"/>
          <w:b w:val="0"/>
          <w:color w:val="000000" w:themeColor="text1"/>
        </w:rPr>
        <w:t>Purify</w:t>
      </w:r>
      <w:proofErr w:type="gramEnd"/>
      <w:r w:rsidRPr="008B793B">
        <w:rPr>
          <w:rFonts w:ascii="Calibri" w:hAnsi="Calibri" w:cs="Calibri"/>
          <w:b w:val="0"/>
          <w:color w:val="000000" w:themeColor="text1"/>
        </w:rPr>
        <w:t xml:space="preserve"> the RNA</w:t>
      </w:r>
    </w:p>
    <w:p w14:paraId="70F7C0F3" w14:textId="77777777" w:rsidR="001205FC" w:rsidRPr="008B793B" w:rsidRDefault="001205FC" w:rsidP="008B793B">
      <w:pPr>
        <w:rPr>
          <w:color w:val="000000" w:themeColor="text1"/>
        </w:rPr>
      </w:pPr>
    </w:p>
    <w:p w14:paraId="6BB213C6" w14:textId="168C6C67" w:rsidR="001205FC" w:rsidRPr="008B793B" w:rsidRDefault="001205FC" w:rsidP="008360D9">
      <w:pPr>
        <w:pStyle w:val="ListParagraph"/>
        <w:numPr>
          <w:ilvl w:val="2"/>
          <w:numId w:val="29"/>
        </w:numPr>
        <w:spacing w:after="0" w:line="240" w:lineRule="auto"/>
        <w:rPr>
          <w:rFonts w:ascii="Calibri" w:hAnsi="Calibri" w:cs="Calibri"/>
          <w:color w:val="000000" w:themeColor="text1"/>
          <w:sz w:val="24"/>
          <w:szCs w:val="24"/>
        </w:rPr>
      </w:pPr>
      <w:r w:rsidRPr="008B793B">
        <w:rPr>
          <w:rFonts w:ascii="Calibri" w:hAnsi="Calibri" w:cs="Calibri"/>
          <w:color w:val="000000" w:themeColor="text1"/>
          <w:sz w:val="24"/>
          <w:szCs w:val="24"/>
        </w:rPr>
        <w:t>Add 7.5 M lithium chloride (LiCl) solution to the IVT reaction at a volume equal to one-half of the total reaction volume to achieve a final LiCl concentration of 2.5 M.</w:t>
      </w:r>
    </w:p>
    <w:p w14:paraId="29AD898B" w14:textId="77777777" w:rsidR="001205FC" w:rsidRPr="008B793B" w:rsidRDefault="001205FC" w:rsidP="008B793B">
      <w:pPr>
        <w:rPr>
          <w:color w:val="000000" w:themeColor="text1"/>
        </w:rPr>
      </w:pPr>
    </w:p>
    <w:p w14:paraId="018261A8" w14:textId="206B4E38" w:rsidR="001205FC" w:rsidRPr="008B793B" w:rsidRDefault="001205FC" w:rsidP="008B793B">
      <w:pPr>
        <w:pStyle w:val="ListParagraph"/>
        <w:numPr>
          <w:ilvl w:val="2"/>
          <w:numId w:val="29"/>
        </w:numPr>
        <w:spacing w:after="0" w:line="240" w:lineRule="auto"/>
        <w:jc w:val="both"/>
        <w:rPr>
          <w:rFonts w:ascii="Calibri" w:hAnsi="Calibri" w:cs="Calibri"/>
          <w:color w:val="000000" w:themeColor="text1"/>
          <w:sz w:val="24"/>
          <w:szCs w:val="24"/>
        </w:rPr>
      </w:pPr>
      <w:r w:rsidRPr="008B793B">
        <w:rPr>
          <w:rFonts w:ascii="Calibri" w:hAnsi="Calibri" w:cs="Calibri"/>
          <w:color w:val="000000" w:themeColor="text1"/>
          <w:sz w:val="24"/>
          <w:szCs w:val="24"/>
        </w:rPr>
        <w:t>For a 40 µL IVT reaction, add 20 µL of 7.5 M LiCl. Mix thoroughly by gentle pipetting and briefly centrifuge the tube to collect the contents at the bottom of the tube before incubation.</w:t>
      </w:r>
    </w:p>
    <w:p w14:paraId="01E91A70" w14:textId="77777777" w:rsidR="001205FC" w:rsidRPr="008B793B" w:rsidRDefault="001205FC" w:rsidP="008B793B">
      <w:pPr>
        <w:rPr>
          <w:color w:val="000000" w:themeColor="text1"/>
        </w:rPr>
      </w:pPr>
    </w:p>
    <w:p w14:paraId="66A7FB33" w14:textId="2F816C42" w:rsidR="001205FC" w:rsidRPr="008B793B" w:rsidRDefault="001205FC" w:rsidP="008B793B">
      <w:pPr>
        <w:pStyle w:val="Heading3"/>
        <w:numPr>
          <w:ilvl w:val="1"/>
          <w:numId w:val="29"/>
        </w:numPr>
        <w:spacing w:before="0"/>
        <w:rPr>
          <w:rFonts w:ascii="Calibri" w:hAnsi="Calibri" w:cs="Calibri"/>
          <w:b w:val="0"/>
          <w:color w:val="000000" w:themeColor="text1"/>
        </w:rPr>
      </w:pPr>
      <w:proofErr w:type="gramStart"/>
      <w:r w:rsidRPr="008B793B">
        <w:rPr>
          <w:rFonts w:ascii="Calibri" w:hAnsi="Calibri" w:cs="Calibri"/>
          <w:b w:val="0"/>
          <w:color w:val="000000" w:themeColor="text1"/>
        </w:rPr>
        <w:t>Resuspend</w:t>
      </w:r>
      <w:proofErr w:type="gramEnd"/>
      <w:r w:rsidRPr="008B793B">
        <w:rPr>
          <w:rFonts w:ascii="Calibri" w:hAnsi="Calibri" w:cs="Calibri"/>
          <w:b w:val="0"/>
          <w:color w:val="000000" w:themeColor="text1"/>
        </w:rPr>
        <w:t xml:space="preserve"> and quantify the RNA</w:t>
      </w:r>
    </w:p>
    <w:p w14:paraId="555CC7ED" w14:textId="77777777" w:rsidR="001205FC" w:rsidRPr="008B793B" w:rsidRDefault="001205FC" w:rsidP="008B793B">
      <w:pPr>
        <w:rPr>
          <w:color w:val="000000" w:themeColor="text1"/>
        </w:rPr>
      </w:pPr>
    </w:p>
    <w:p w14:paraId="636EAC02" w14:textId="12FF4E1F" w:rsidR="001205FC" w:rsidRDefault="001205FC" w:rsidP="008B793B">
      <w:pPr>
        <w:pStyle w:val="ListParagraph"/>
        <w:numPr>
          <w:ilvl w:val="2"/>
          <w:numId w:val="29"/>
        </w:numPr>
        <w:spacing w:after="0" w:line="240" w:lineRule="auto"/>
        <w:jc w:val="both"/>
        <w:rPr>
          <w:rFonts w:ascii="Calibri" w:hAnsi="Calibri" w:cs="Calibri"/>
          <w:color w:val="000000" w:themeColor="text1"/>
          <w:sz w:val="24"/>
          <w:szCs w:val="24"/>
        </w:rPr>
      </w:pPr>
      <w:r w:rsidRPr="008B793B">
        <w:rPr>
          <w:rFonts w:ascii="Calibri" w:hAnsi="Calibri" w:cs="Calibri"/>
          <w:color w:val="000000" w:themeColor="text1"/>
          <w:sz w:val="24"/>
          <w:szCs w:val="24"/>
        </w:rPr>
        <w:t>Resuspend the RNA in nuclease-free water. Quantify the RNA using a fluorometric RNA assay, aliquot the RNA, and store the aliquots at −80 °C</w:t>
      </w:r>
      <w:r w:rsidR="001167D1">
        <w:rPr>
          <w:rFonts w:ascii="Calibri" w:hAnsi="Calibri" w:cs="Calibri"/>
          <w:color w:val="000000" w:themeColor="text1"/>
          <w:sz w:val="24"/>
          <w:szCs w:val="24"/>
        </w:rPr>
        <w:t>.</w:t>
      </w:r>
    </w:p>
    <w:p w14:paraId="779827A0" w14:textId="3E6059B9" w:rsidR="001167D1" w:rsidRPr="008B793B" w:rsidRDefault="001167D1" w:rsidP="0075521C">
      <w:pPr>
        <w:pStyle w:val="ListParagraph"/>
        <w:spacing w:after="0" w:line="240" w:lineRule="auto"/>
        <w:ind w:left="1224"/>
        <w:jc w:val="both"/>
        <w:rPr>
          <w:rFonts w:ascii="Calibri" w:hAnsi="Calibri" w:cs="Calibri"/>
          <w:color w:val="000000" w:themeColor="text1"/>
          <w:sz w:val="24"/>
          <w:szCs w:val="24"/>
        </w:rPr>
      </w:pPr>
      <w:r>
        <w:rPr>
          <w:rFonts w:ascii="Calibri" w:hAnsi="Calibri" w:cs="Calibri"/>
          <w:color w:val="000000" w:themeColor="text1"/>
          <w:sz w:val="24"/>
          <w:szCs w:val="24"/>
        </w:rPr>
        <w:t xml:space="preserve">Pause point: </w:t>
      </w:r>
    </w:p>
    <w:p w14:paraId="27C9AB8F" w14:textId="77777777" w:rsidR="001205FC" w:rsidRPr="008B793B" w:rsidRDefault="001205FC" w:rsidP="008B793B">
      <w:pPr>
        <w:rPr>
          <w:color w:val="000000" w:themeColor="text1"/>
        </w:rPr>
      </w:pPr>
    </w:p>
    <w:p w14:paraId="7EC756D3" w14:textId="4A639602" w:rsidR="001205FC" w:rsidRPr="008B793B" w:rsidRDefault="001205FC" w:rsidP="008B793B">
      <w:pPr>
        <w:pStyle w:val="ListParagraph"/>
        <w:numPr>
          <w:ilvl w:val="2"/>
          <w:numId w:val="29"/>
        </w:numPr>
        <w:spacing w:after="0" w:line="240" w:lineRule="auto"/>
        <w:jc w:val="both"/>
        <w:rPr>
          <w:rFonts w:ascii="Calibri" w:hAnsi="Calibri" w:cs="Calibri"/>
          <w:color w:val="000000" w:themeColor="text1"/>
          <w:sz w:val="24"/>
          <w:szCs w:val="24"/>
        </w:rPr>
      </w:pPr>
      <w:r w:rsidRPr="008B793B">
        <w:rPr>
          <w:rFonts w:ascii="Calibri" w:hAnsi="Calibri" w:cs="Calibri"/>
          <w:color w:val="000000" w:themeColor="text1"/>
          <w:sz w:val="24"/>
          <w:szCs w:val="24"/>
        </w:rPr>
        <w:t>Resuspend the RNA by pipetting for 15–30 min. Prepare the mRNA at a final concentration of 2 µg</w:t>
      </w:r>
      <w:r w:rsidR="008400FF" w:rsidRPr="00DB4F6C">
        <w:rPr>
          <w:bCs/>
        </w:rPr>
        <w:t>·</w:t>
      </w:r>
      <w:r w:rsidRPr="008B793B">
        <w:rPr>
          <w:rFonts w:ascii="Calibri" w:hAnsi="Calibri" w:cs="Calibri"/>
          <w:color w:val="000000" w:themeColor="text1"/>
          <w:sz w:val="24"/>
          <w:szCs w:val="24"/>
        </w:rPr>
        <w:t>µL</w:t>
      </w:r>
      <w:r w:rsidR="008400FF" w:rsidRPr="008400FF">
        <w:rPr>
          <w:rFonts w:ascii="Calibri" w:hAnsi="Calibri" w:cs="Calibri"/>
          <w:color w:val="000000" w:themeColor="text1"/>
          <w:sz w:val="24"/>
          <w:szCs w:val="24"/>
          <w:vertAlign w:val="superscript"/>
        </w:rPr>
        <w:t>-1</w:t>
      </w:r>
      <w:r w:rsidRPr="008B793B">
        <w:rPr>
          <w:rFonts w:ascii="Calibri" w:hAnsi="Calibri" w:cs="Calibri"/>
          <w:color w:val="000000" w:themeColor="text1"/>
          <w:sz w:val="24"/>
          <w:szCs w:val="24"/>
        </w:rPr>
        <w:t>. Initially resuspend each reaction in 50 µL of nuclease-free water and dilute further after measuring the RNA concentration.</w:t>
      </w:r>
    </w:p>
    <w:p w14:paraId="405AE09A" w14:textId="77777777" w:rsidR="001205FC" w:rsidRPr="008B793B" w:rsidRDefault="001205FC" w:rsidP="008B793B">
      <w:pPr>
        <w:rPr>
          <w:color w:val="000000" w:themeColor="text1"/>
        </w:rPr>
      </w:pPr>
    </w:p>
    <w:p w14:paraId="796748D6" w14:textId="77777777" w:rsidR="001205FC" w:rsidRPr="008B793B" w:rsidRDefault="001205FC" w:rsidP="008B793B">
      <w:pPr>
        <w:rPr>
          <w:color w:val="000000" w:themeColor="text1"/>
        </w:rPr>
      </w:pPr>
      <w:r w:rsidRPr="008B793B">
        <w:rPr>
          <w:color w:val="000000" w:themeColor="text1"/>
        </w:rPr>
        <w:t>NOTE: Avoid repeated freeze-thaw cycles. Prepare single-use aliquots and discard unused thawed material. Prepare 12.5 µL aliquots for 8–20 electroporations per aliquot.</w:t>
      </w:r>
    </w:p>
    <w:p w14:paraId="0A62323B" w14:textId="77777777" w:rsidR="001205FC" w:rsidRPr="008B793B" w:rsidRDefault="001205FC" w:rsidP="008B793B">
      <w:pPr>
        <w:rPr>
          <w:color w:val="000000" w:themeColor="text1"/>
        </w:rPr>
      </w:pPr>
    </w:p>
    <w:p w14:paraId="742DB7E7" w14:textId="1322FEC4" w:rsidR="001205FC" w:rsidRPr="008B793B" w:rsidRDefault="001205FC" w:rsidP="008B793B">
      <w:pPr>
        <w:pStyle w:val="Heading3"/>
        <w:numPr>
          <w:ilvl w:val="1"/>
          <w:numId w:val="29"/>
        </w:numPr>
        <w:spacing w:before="0"/>
        <w:rPr>
          <w:rFonts w:ascii="Calibri" w:hAnsi="Calibri" w:cs="Calibri"/>
          <w:b w:val="0"/>
          <w:color w:val="000000" w:themeColor="text1"/>
        </w:rPr>
      </w:pPr>
      <w:r w:rsidRPr="008B793B">
        <w:rPr>
          <w:rFonts w:ascii="Calibri" w:hAnsi="Calibri" w:cs="Calibri"/>
          <w:b w:val="0"/>
          <w:color w:val="000000" w:themeColor="text1"/>
        </w:rPr>
        <w:tab/>
        <w:t>Assess RNA integrity</w:t>
      </w:r>
    </w:p>
    <w:p w14:paraId="18F51B25" w14:textId="77777777" w:rsidR="001205FC" w:rsidRPr="008B793B" w:rsidRDefault="001205FC" w:rsidP="008B793B">
      <w:pPr>
        <w:rPr>
          <w:color w:val="000000" w:themeColor="text1"/>
        </w:rPr>
      </w:pPr>
    </w:p>
    <w:p w14:paraId="0E1F2898" w14:textId="417D1CFD" w:rsidR="001205FC" w:rsidRPr="008B793B" w:rsidRDefault="001205FC" w:rsidP="008B793B">
      <w:pPr>
        <w:pStyle w:val="ListParagraph"/>
        <w:numPr>
          <w:ilvl w:val="2"/>
          <w:numId w:val="29"/>
        </w:numPr>
        <w:spacing w:after="0" w:line="240" w:lineRule="auto"/>
        <w:jc w:val="both"/>
        <w:rPr>
          <w:rFonts w:ascii="Calibri" w:hAnsi="Calibri" w:cs="Calibri"/>
          <w:color w:val="000000" w:themeColor="text1"/>
          <w:sz w:val="24"/>
          <w:szCs w:val="24"/>
        </w:rPr>
      </w:pPr>
      <w:r w:rsidRPr="008B793B">
        <w:rPr>
          <w:rFonts w:ascii="Calibri" w:hAnsi="Calibri" w:cs="Calibri"/>
          <w:color w:val="000000" w:themeColor="text1"/>
          <w:sz w:val="24"/>
          <w:szCs w:val="24"/>
        </w:rPr>
        <w:t>Assess RNA size and integrity by agarose gel electrophoresis or automated electrophoresis (</w:t>
      </w:r>
      <w:r w:rsidRPr="008B793B">
        <w:rPr>
          <w:rFonts w:ascii="Calibri" w:hAnsi="Calibri" w:cs="Calibri"/>
          <w:b/>
          <w:bCs/>
          <w:color w:val="000000" w:themeColor="text1"/>
          <w:sz w:val="24"/>
          <w:szCs w:val="24"/>
        </w:rPr>
        <w:t>Figure 2)</w:t>
      </w:r>
    </w:p>
    <w:p w14:paraId="5C651400" w14:textId="77777777" w:rsidR="001205FC" w:rsidRPr="008B793B" w:rsidRDefault="001205FC" w:rsidP="008B793B">
      <w:pPr>
        <w:rPr>
          <w:color w:val="000000" w:themeColor="text1"/>
        </w:rPr>
      </w:pPr>
    </w:p>
    <w:p w14:paraId="2CBD3A77" w14:textId="66912BF5" w:rsidR="001205FC" w:rsidRPr="008B793B" w:rsidRDefault="001205FC" w:rsidP="008B793B">
      <w:pPr>
        <w:pStyle w:val="ListParagraph"/>
        <w:numPr>
          <w:ilvl w:val="2"/>
          <w:numId w:val="29"/>
        </w:numPr>
        <w:spacing w:after="0" w:line="240" w:lineRule="auto"/>
        <w:jc w:val="both"/>
        <w:rPr>
          <w:rFonts w:ascii="Calibri" w:hAnsi="Calibri" w:cs="Calibri"/>
          <w:color w:val="000000" w:themeColor="text1"/>
          <w:sz w:val="24"/>
          <w:szCs w:val="24"/>
        </w:rPr>
      </w:pPr>
      <w:r w:rsidRPr="008B793B">
        <w:rPr>
          <w:rFonts w:ascii="Calibri" w:hAnsi="Calibri" w:cs="Calibri"/>
          <w:color w:val="000000" w:themeColor="text1"/>
          <w:sz w:val="24"/>
          <w:szCs w:val="24"/>
        </w:rPr>
        <w:t xml:space="preserve">Prepare a 0.8% agarose gel containing 10,000x diluted SYBR Gold. Use a single-stranded RNA ladder, such as the Millennium RNA Marker. </w:t>
      </w:r>
    </w:p>
    <w:p w14:paraId="7278A15F" w14:textId="77777777" w:rsidR="001205FC" w:rsidRPr="008B793B" w:rsidRDefault="001205FC" w:rsidP="008B793B">
      <w:pPr>
        <w:rPr>
          <w:color w:val="000000" w:themeColor="text1"/>
        </w:rPr>
      </w:pPr>
    </w:p>
    <w:p w14:paraId="0D437656" w14:textId="059B059A" w:rsidR="001205FC" w:rsidRPr="008B793B" w:rsidRDefault="001205FC" w:rsidP="008B793B">
      <w:pPr>
        <w:pStyle w:val="ListParagraph"/>
        <w:numPr>
          <w:ilvl w:val="2"/>
          <w:numId w:val="29"/>
        </w:numPr>
        <w:spacing w:after="0" w:line="240" w:lineRule="auto"/>
        <w:jc w:val="both"/>
        <w:rPr>
          <w:rFonts w:ascii="Calibri" w:hAnsi="Calibri" w:cs="Calibri"/>
          <w:color w:val="000000" w:themeColor="text1"/>
          <w:sz w:val="24"/>
          <w:szCs w:val="24"/>
        </w:rPr>
      </w:pPr>
      <w:r w:rsidRPr="008B793B">
        <w:rPr>
          <w:rFonts w:ascii="Calibri" w:hAnsi="Calibri" w:cs="Calibri"/>
          <w:color w:val="000000" w:themeColor="text1"/>
          <w:sz w:val="24"/>
          <w:szCs w:val="24"/>
        </w:rPr>
        <w:t>Denature the mRNA using 2x RNA Gel Loading Dye before loading the samples onto the gel.</w:t>
      </w:r>
    </w:p>
    <w:p w14:paraId="2BB4EF58" w14:textId="77777777" w:rsidR="007129DB" w:rsidRPr="008B793B" w:rsidRDefault="007129DB" w:rsidP="008B793B">
      <w:pPr>
        <w:pStyle w:val="ListParagraph"/>
        <w:spacing w:after="0" w:line="240" w:lineRule="auto"/>
        <w:jc w:val="both"/>
        <w:rPr>
          <w:rFonts w:ascii="Calibri" w:hAnsi="Calibri" w:cs="Calibri"/>
          <w:color w:val="000000" w:themeColor="text1"/>
          <w:sz w:val="24"/>
          <w:szCs w:val="24"/>
        </w:rPr>
      </w:pPr>
    </w:p>
    <w:p w14:paraId="47E9753A" w14:textId="77777777" w:rsidR="007129DB" w:rsidRPr="00A43875" w:rsidRDefault="007129DB" w:rsidP="00A43875">
      <w:pPr>
        <w:pStyle w:val="ListParagraph"/>
        <w:spacing w:after="0" w:line="240" w:lineRule="auto"/>
        <w:ind w:left="1224"/>
        <w:jc w:val="both"/>
        <w:rPr>
          <w:rFonts w:ascii="Calibri" w:hAnsi="Calibri" w:cs="Calibri"/>
          <w:color w:val="000000" w:themeColor="text1"/>
          <w:sz w:val="24"/>
          <w:szCs w:val="24"/>
        </w:rPr>
      </w:pPr>
    </w:p>
    <w:p w14:paraId="701F6B0D" w14:textId="5CFCA2A9" w:rsidR="001205FC" w:rsidRPr="00A43875" w:rsidRDefault="001205FC" w:rsidP="00A43875">
      <w:pPr>
        <w:pStyle w:val="Heading3"/>
        <w:numPr>
          <w:ilvl w:val="0"/>
          <w:numId w:val="29"/>
        </w:numPr>
        <w:spacing w:before="0"/>
        <w:rPr>
          <w:rFonts w:ascii="Calibri" w:hAnsi="Calibri" w:cs="Calibri"/>
          <w:b w:val="0"/>
          <w:color w:val="000000" w:themeColor="text1"/>
        </w:rPr>
      </w:pPr>
      <w:r w:rsidRPr="00A43875">
        <w:rPr>
          <w:rFonts w:ascii="Calibri" w:eastAsia="Calibri" w:hAnsi="Calibri" w:cs="Calibri"/>
          <w:b w:val="0"/>
          <w:color w:val="auto"/>
        </w:rPr>
        <w:t>Design</w:t>
      </w:r>
      <w:r w:rsidRPr="00A43875">
        <w:rPr>
          <w:rFonts w:ascii="Calibri" w:hAnsi="Calibri" w:cs="Calibri"/>
          <w:b w:val="0"/>
          <w:color w:val="000000" w:themeColor="text1"/>
        </w:rPr>
        <w:t xml:space="preserve"> and preparation of guide RNAs</w:t>
      </w:r>
    </w:p>
    <w:p w14:paraId="005AB934" w14:textId="77777777" w:rsidR="001205FC" w:rsidRPr="00A43875" w:rsidRDefault="001205FC" w:rsidP="00A43875">
      <w:pPr>
        <w:rPr>
          <w:color w:val="000000" w:themeColor="text1"/>
        </w:rPr>
      </w:pPr>
    </w:p>
    <w:p w14:paraId="0445CF43" w14:textId="5CEE60C8" w:rsidR="001205FC" w:rsidRDefault="00A43875" w:rsidP="00A43875">
      <w:pPr>
        <w:pStyle w:val="Heading3"/>
        <w:spacing w:before="0"/>
        <w:rPr>
          <w:rFonts w:ascii="Calibri" w:hAnsi="Calibri" w:cs="Calibri"/>
          <w:b w:val="0"/>
          <w:color w:val="000000" w:themeColor="text1"/>
        </w:rPr>
      </w:pPr>
      <w:r w:rsidRPr="00A43875">
        <w:rPr>
          <w:rFonts w:ascii="Calibri" w:hAnsi="Calibri" w:cs="Calibri"/>
          <w:b w:val="0"/>
          <w:color w:val="000000" w:themeColor="text1"/>
        </w:rPr>
        <w:lastRenderedPageBreak/>
        <w:t xml:space="preserve">NOTE: Identify protospacer adjacent motif (PAM) sequences within the target genomic locus and select guide RNAs that are compatible with the chosen editor and intended genomic modification. Guide RNA design platforms such as CHOPCHOP, CRISPOR, </w:t>
      </w:r>
      <w:proofErr w:type="spellStart"/>
      <w:r w:rsidRPr="00A43875">
        <w:rPr>
          <w:rFonts w:ascii="Calibri" w:hAnsi="Calibri" w:cs="Calibri"/>
          <w:b w:val="0"/>
          <w:color w:val="000000" w:themeColor="text1"/>
        </w:rPr>
        <w:t>CRISPRware</w:t>
      </w:r>
      <w:proofErr w:type="spellEnd"/>
      <w:r w:rsidRPr="00A43875">
        <w:rPr>
          <w:rFonts w:ascii="Calibri" w:hAnsi="Calibri" w:cs="Calibri"/>
          <w:b w:val="0"/>
          <w:color w:val="000000" w:themeColor="text1"/>
        </w:rPr>
        <w:t xml:space="preserve">, IDT Cas9 Checker, </w:t>
      </w:r>
      <w:proofErr w:type="spellStart"/>
      <w:r w:rsidRPr="00A43875">
        <w:rPr>
          <w:rFonts w:ascii="Calibri" w:hAnsi="Calibri" w:cs="Calibri"/>
          <w:b w:val="0"/>
          <w:color w:val="000000" w:themeColor="text1"/>
        </w:rPr>
        <w:t>Benchling</w:t>
      </w:r>
      <w:proofErr w:type="spellEnd"/>
      <w:r w:rsidRPr="00A43875">
        <w:rPr>
          <w:rFonts w:ascii="Calibri" w:hAnsi="Calibri" w:cs="Calibri"/>
          <w:b w:val="0"/>
          <w:color w:val="000000" w:themeColor="text1"/>
        </w:rPr>
        <w:t xml:space="preserve">, and </w:t>
      </w:r>
      <w:proofErr w:type="spellStart"/>
      <w:r w:rsidRPr="00A43875">
        <w:rPr>
          <w:rFonts w:ascii="Calibri" w:hAnsi="Calibri" w:cs="Calibri"/>
          <w:b w:val="0"/>
          <w:color w:val="000000" w:themeColor="text1"/>
        </w:rPr>
        <w:t>VectorBuilder</w:t>
      </w:r>
      <w:proofErr w:type="spellEnd"/>
      <w:r w:rsidRPr="00A43875">
        <w:rPr>
          <w:rFonts w:ascii="Calibri" w:hAnsi="Calibri" w:cs="Calibri"/>
          <w:b w:val="0"/>
          <w:color w:val="000000" w:themeColor="text1"/>
        </w:rPr>
        <w:t xml:space="preserve"> can be used to prioritize guide RNAs with favorable predicted activity and specificity⁶–⁹.</w:t>
      </w:r>
      <w:r w:rsidR="001205FC" w:rsidRPr="00A43875">
        <w:rPr>
          <w:rFonts w:ascii="Calibri" w:hAnsi="Calibri" w:cs="Calibri"/>
          <w:b w:val="0"/>
          <w:color w:val="000000" w:themeColor="text1"/>
        </w:rPr>
        <w:t xml:space="preserve"> </w:t>
      </w:r>
    </w:p>
    <w:p w14:paraId="1FAFA58F" w14:textId="77777777" w:rsidR="00A43875" w:rsidRPr="00A43875" w:rsidRDefault="00A43875" w:rsidP="00A43875"/>
    <w:p w14:paraId="26AF6427" w14:textId="1A00C352" w:rsidR="001205FC" w:rsidRPr="008B793B" w:rsidRDefault="001205FC" w:rsidP="008360D9">
      <w:pPr>
        <w:pStyle w:val="ListParagraph"/>
        <w:numPr>
          <w:ilvl w:val="1"/>
          <w:numId w:val="29"/>
        </w:numPr>
        <w:spacing w:after="0" w:line="240" w:lineRule="auto"/>
        <w:jc w:val="both"/>
        <w:rPr>
          <w:rFonts w:ascii="Calibri" w:hAnsi="Calibri" w:cs="Calibri"/>
          <w:color w:val="000000" w:themeColor="text1"/>
          <w:sz w:val="24"/>
          <w:szCs w:val="24"/>
        </w:rPr>
      </w:pPr>
      <w:r w:rsidRPr="008B793B">
        <w:rPr>
          <w:rFonts w:ascii="Calibri" w:hAnsi="Calibri" w:cs="Calibri"/>
          <w:color w:val="000000" w:themeColor="text1"/>
          <w:sz w:val="24"/>
          <w:szCs w:val="24"/>
        </w:rPr>
        <w:t>Identify PAM sites within the target genomic locus that are compatible with the selected nuclease variant, including NGN-compatible variants, using guide RNA design tools⁷–¹⁰.</w:t>
      </w:r>
    </w:p>
    <w:p w14:paraId="391D5119" w14:textId="77777777" w:rsidR="001205FC" w:rsidRPr="008B793B" w:rsidRDefault="001205FC" w:rsidP="008B793B">
      <w:pPr>
        <w:pStyle w:val="Heading3"/>
        <w:spacing w:before="0"/>
        <w:ind w:left="792"/>
        <w:rPr>
          <w:rFonts w:ascii="Calibri" w:hAnsi="Calibri" w:cs="Calibri"/>
          <w:b w:val="0"/>
          <w:color w:val="000000" w:themeColor="text1"/>
        </w:rPr>
      </w:pPr>
    </w:p>
    <w:p w14:paraId="7E99F764" w14:textId="576955A8" w:rsidR="001205FC" w:rsidRPr="008B793B" w:rsidRDefault="001205FC" w:rsidP="008B793B">
      <w:pPr>
        <w:pStyle w:val="Heading3"/>
        <w:numPr>
          <w:ilvl w:val="1"/>
          <w:numId w:val="29"/>
        </w:numPr>
        <w:spacing w:before="0"/>
        <w:rPr>
          <w:rFonts w:ascii="Calibri" w:hAnsi="Calibri" w:cs="Calibri"/>
          <w:b w:val="0"/>
          <w:color w:val="000000" w:themeColor="text1"/>
        </w:rPr>
      </w:pPr>
      <w:r w:rsidRPr="008B793B">
        <w:rPr>
          <w:rFonts w:ascii="Calibri" w:hAnsi="Calibri" w:cs="Calibri"/>
          <w:b w:val="0"/>
          <w:color w:val="000000" w:themeColor="text1"/>
        </w:rPr>
        <w:t xml:space="preserve">Select </w:t>
      </w:r>
      <w:proofErr w:type="gramStart"/>
      <w:r w:rsidRPr="008B793B">
        <w:rPr>
          <w:rFonts w:ascii="Calibri" w:hAnsi="Calibri" w:cs="Calibri"/>
          <w:b w:val="0"/>
          <w:color w:val="000000" w:themeColor="text1"/>
        </w:rPr>
        <w:t>guide</w:t>
      </w:r>
      <w:proofErr w:type="gramEnd"/>
      <w:r w:rsidRPr="008B793B">
        <w:rPr>
          <w:rFonts w:ascii="Calibri" w:hAnsi="Calibri" w:cs="Calibri"/>
          <w:b w:val="0"/>
          <w:color w:val="000000" w:themeColor="text1"/>
        </w:rPr>
        <w:t xml:space="preserve"> RNAs with high predicted on-target activity and low predicted off-target activity.</w:t>
      </w:r>
      <w:r w:rsidR="00DC04DD" w:rsidRPr="008B793B">
        <w:rPr>
          <w:rFonts w:ascii="Calibri" w:hAnsi="Calibri" w:cs="Calibri"/>
          <w:b w:val="0"/>
          <w:color w:val="000000" w:themeColor="text1"/>
        </w:rPr>
        <w:t xml:space="preserve"> </w:t>
      </w:r>
      <w:r w:rsidRPr="008B793B">
        <w:rPr>
          <w:rFonts w:ascii="Calibri" w:hAnsi="Calibri" w:cs="Calibri"/>
          <w:b w:val="0"/>
          <w:color w:val="000000" w:themeColor="text1"/>
        </w:rPr>
        <w:t>Confirm the editing window for the guide RNA.</w:t>
      </w:r>
    </w:p>
    <w:p w14:paraId="73B4A9BE" w14:textId="77777777" w:rsidR="001205FC" w:rsidRPr="008B793B" w:rsidRDefault="001205FC" w:rsidP="008B793B">
      <w:pPr>
        <w:pStyle w:val="Heading3"/>
        <w:spacing w:before="0"/>
        <w:ind w:left="792"/>
        <w:rPr>
          <w:rFonts w:ascii="Calibri" w:hAnsi="Calibri" w:cs="Calibri"/>
          <w:b w:val="0"/>
          <w:color w:val="000000" w:themeColor="text1"/>
        </w:rPr>
      </w:pPr>
    </w:p>
    <w:p w14:paraId="74E0C5F2" w14:textId="77777777" w:rsidR="001205FC" w:rsidRPr="008B793B" w:rsidRDefault="001205FC" w:rsidP="008B793B">
      <w:pPr>
        <w:pStyle w:val="Heading3"/>
        <w:numPr>
          <w:ilvl w:val="1"/>
          <w:numId w:val="29"/>
        </w:numPr>
        <w:spacing w:before="0"/>
        <w:rPr>
          <w:rFonts w:ascii="Calibri" w:hAnsi="Calibri" w:cs="Calibri"/>
          <w:b w:val="0"/>
          <w:color w:val="000000" w:themeColor="text1"/>
        </w:rPr>
      </w:pPr>
      <w:r w:rsidRPr="008B793B">
        <w:rPr>
          <w:rFonts w:ascii="Calibri" w:hAnsi="Calibri" w:cs="Calibri"/>
          <w:b w:val="0"/>
          <w:color w:val="000000" w:themeColor="text1"/>
        </w:rPr>
        <w:t>For base editing or prime editing applications, select guide RNAs that position the intended edit within the optimal activity window of the selected editor¹¹˒¹².</w:t>
      </w:r>
    </w:p>
    <w:p w14:paraId="6E16D2B7" w14:textId="77777777" w:rsidR="001205FC" w:rsidRPr="008B793B" w:rsidRDefault="001205FC" w:rsidP="008B793B">
      <w:pPr>
        <w:pStyle w:val="Heading3"/>
        <w:spacing w:before="0"/>
        <w:ind w:left="792"/>
        <w:rPr>
          <w:rFonts w:ascii="Calibri" w:hAnsi="Calibri" w:cs="Calibri"/>
          <w:b w:val="0"/>
          <w:color w:val="000000" w:themeColor="text1"/>
        </w:rPr>
      </w:pPr>
    </w:p>
    <w:p w14:paraId="67981888" w14:textId="6FAA2CE9" w:rsidR="001205FC" w:rsidRPr="008B793B" w:rsidRDefault="001205FC" w:rsidP="008B793B">
      <w:pPr>
        <w:pStyle w:val="Heading3"/>
        <w:numPr>
          <w:ilvl w:val="1"/>
          <w:numId w:val="29"/>
        </w:numPr>
        <w:spacing w:before="0"/>
        <w:rPr>
          <w:rFonts w:ascii="Calibri" w:hAnsi="Calibri" w:cs="Calibri"/>
          <w:b w:val="0"/>
          <w:color w:val="000000" w:themeColor="text1"/>
        </w:rPr>
      </w:pPr>
      <w:r w:rsidRPr="008B793B">
        <w:rPr>
          <w:rFonts w:ascii="Calibri" w:hAnsi="Calibri" w:cs="Calibri"/>
          <w:b w:val="0"/>
          <w:color w:val="000000" w:themeColor="text1"/>
        </w:rPr>
        <w:t>Obtain synthetic guide RNAs.</w:t>
      </w:r>
      <w:r w:rsidR="00DC04DD" w:rsidRPr="008B793B">
        <w:rPr>
          <w:rFonts w:ascii="Calibri" w:hAnsi="Calibri" w:cs="Calibri"/>
          <w:b w:val="0"/>
          <w:color w:val="000000" w:themeColor="text1"/>
        </w:rPr>
        <w:t xml:space="preserve"> </w:t>
      </w:r>
      <w:r w:rsidRPr="008B793B">
        <w:rPr>
          <w:rFonts w:ascii="Calibri" w:hAnsi="Calibri" w:cs="Calibri"/>
          <w:b w:val="0"/>
          <w:color w:val="000000" w:themeColor="text1"/>
        </w:rPr>
        <w:t>Use chemically modified synthetic single-guide RNAs (sgRNAs) or prime editing guide RNAs (</w:t>
      </w:r>
      <w:proofErr w:type="spellStart"/>
      <w:r w:rsidRPr="008B793B">
        <w:rPr>
          <w:rFonts w:ascii="Calibri" w:hAnsi="Calibri" w:cs="Calibri"/>
          <w:b w:val="0"/>
          <w:color w:val="000000" w:themeColor="text1"/>
        </w:rPr>
        <w:t>pegRNAs</w:t>
      </w:r>
      <w:proofErr w:type="spellEnd"/>
      <w:r w:rsidRPr="008B793B">
        <w:rPr>
          <w:rFonts w:ascii="Calibri" w:hAnsi="Calibri" w:cs="Calibri"/>
          <w:b w:val="0"/>
          <w:color w:val="000000" w:themeColor="text1"/>
        </w:rPr>
        <w:t>) to increase RNA stability and intracellular persistence.</w:t>
      </w:r>
    </w:p>
    <w:p w14:paraId="77CE0799" w14:textId="77777777" w:rsidR="001205FC" w:rsidRPr="008B793B" w:rsidRDefault="001205FC" w:rsidP="008B793B">
      <w:pPr>
        <w:pStyle w:val="Heading3"/>
        <w:spacing w:before="0"/>
        <w:ind w:left="792"/>
        <w:rPr>
          <w:rFonts w:ascii="Calibri" w:hAnsi="Calibri" w:cs="Calibri"/>
          <w:b w:val="0"/>
          <w:color w:val="000000" w:themeColor="text1"/>
        </w:rPr>
      </w:pPr>
    </w:p>
    <w:p w14:paraId="36067809" w14:textId="77777777" w:rsidR="001205FC" w:rsidRPr="008B793B" w:rsidRDefault="001205FC" w:rsidP="008B793B">
      <w:pPr>
        <w:pStyle w:val="Heading3"/>
        <w:numPr>
          <w:ilvl w:val="1"/>
          <w:numId w:val="29"/>
        </w:numPr>
        <w:spacing w:before="0"/>
        <w:rPr>
          <w:rFonts w:ascii="Calibri" w:hAnsi="Calibri" w:cs="Calibri"/>
          <w:b w:val="0"/>
          <w:color w:val="000000" w:themeColor="text1"/>
        </w:rPr>
      </w:pPr>
      <w:r w:rsidRPr="008B793B">
        <w:rPr>
          <w:rFonts w:ascii="Calibri" w:hAnsi="Calibri" w:cs="Calibri"/>
          <w:b w:val="0"/>
          <w:color w:val="000000" w:themeColor="text1"/>
        </w:rPr>
        <w:t>Resuspend the guide RNAs in nuclease-free water or TE buffer. Prepare 5 µL aliquots and store the aliquots at −80 °C.</w:t>
      </w:r>
    </w:p>
    <w:p w14:paraId="3137CA10" w14:textId="77777777" w:rsidR="001205FC" w:rsidRPr="008B793B" w:rsidRDefault="001205FC" w:rsidP="008B793B">
      <w:pPr>
        <w:pStyle w:val="Heading3"/>
        <w:spacing w:before="0"/>
        <w:ind w:left="792"/>
        <w:rPr>
          <w:rFonts w:ascii="Calibri" w:hAnsi="Calibri" w:cs="Calibri"/>
          <w:b w:val="0"/>
          <w:color w:val="000000" w:themeColor="text1"/>
        </w:rPr>
      </w:pPr>
    </w:p>
    <w:p w14:paraId="444F84A8" w14:textId="2A5F4990" w:rsidR="001205FC" w:rsidRPr="008B793B" w:rsidRDefault="001205FC" w:rsidP="008B793B">
      <w:pPr>
        <w:pStyle w:val="Heading3"/>
        <w:numPr>
          <w:ilvl w:val="0"/>
          <w:numId w:val="29"/>
        </w:numPr>
        <w:spacing w:before="0"/>
        <w:rPr>
          <w:rFonts w:ascii="Calibri" w:hAnsi="Calibri" w:cs="Calibri"/>
          <w:b w:val="0"/>
          <w:bCs/>
          <w:color w:val="000000" w:themeColor="text1"/>
        </w:rPr>
      </w:pPr>
      <w:r w:rsidRPr="008B793B">
        <w:rPr>
          <w:rFonts w:ascii="Calibri" w:hAnsi="Calibri" w:cs="Calibri"/>
          <w:b w:val="0"/>
          <w:bCs/>
          <w:color w:val="000000" w:themeColor="text1"/>
        </w:rPr>
        <w:t xml:space="preserve"> </w:t>
      </w:r>
      <w:r w:rsidRPr="008B793B">
        <w:rPr>
          <w:rFonts w:ascii="Calibri" w:eastAsia="Calibri" w:hAnsi="Calibri" w:cs="Calibri"/>
          <w:b w:val="0"/>
          <w:bCs/>
          <w:color w:val="auto"/>
        </w:rPr>
        <w:t>Cell</w:t>
      </w:r>
      <w:r w:rsidRPr="008B793B">
        <w:rPr>
          <w:rFonts w:ascii="Calibri" w:hAnsi="Calibri" w:cs="Calibri"/>
          <w:b w:val="0"/>
          <w:bCs/>
          <w:color w:val="000000" w:themeColor="text1"/>
        </w:rPr>
        <w:t xml:space="preserve"> culture preparation</w:t>
      </w:r>
    </w:p>
    <w:p w14:paraId="39A0E764" w14:textId="77777777" w:rsidR="001205FC" w:rsidRPr="008B793B" w:rsidRDefault="001205FC" w:rsidP="008B793B">
      <w:pPr>
        <w:rPr>
          <w:color w:val="000000" w:themeColor="text1"/>
        </w:rPr>
      </w:pPr>
    </w:p>
    <w:p w14:paraId="6CD9B04E" w14:textId="0C3A608F" w:rsidR="001205FC" w:rsidRPr="008B793B" w:rsidRDefault="008400FF" w:rsidP="008B793B">
      <w:pPr>
        <w:rPr>
          <w:color w:val="000000" w:themeColor="text1"/>
        </w:rPr>
      </w:pPr>
      <w:r>
        <w:rPr>
          <w:color w:val="000000" w:themeColor="text1"/>
        </w:rPr>
        <w:t xml:space="preserve">NOTE: </w:t>
      </w:r>
      <w:r w:rsidR="001205FC" w:rsidRPr="008B793B">
        <w:rPr>
          <w:color w:val="000000" w:themeColor="text1"/>
        </w:rPr>
        <w:t>This section describes the preparation of cells for electroporation. Assess cell integrity by microscopy and viability assays before electroporation. Use 2 × 10⁵–5 × 10⁵ cells per reaction with a viability greater than 85%. Wash the cells with phosphate-buffered saline (PBS) to remove serum and RNases</w:t>
      </w:r>
      <w:r w:rsidR="00FF157E" w:rsidRPr="008B793B">
        <w:rPr>
          <w:color w:val="000000" w:themeColor="text1"/>
        </w:rPr>
        <w:t xml:space="preserve"> </w:t>
      </w:r>
      <w:r w:rsidR="001205FC" w:rsidRPr="008B793B">
        <w:rPr>
          <w:color w:val="000000" w:themeColor="text1"/>
        </w:rPr>
        <w:t>and maintain the cells on ice in electroporation cuvettes until electroporation¹⁰˒¹¹.</w:t>
      </w:r>
    </w:p>
    <w:p w14:paraId="764D9D63" w14:textId="77777777" w:rsidR="001205FC" w:rsidRPr="008B793B" w:rsidRDefault="001205FC" w:rsidP="008B793B">
      <w:pPr>
        <w:rPr>
          <w:color w:val="000000" w:themeColor="text1"/>
        </w:rPr>
      </w:pPr>
    </w:p>
    <w:p w14:paraId="1A9BE550" w14:textId="5F5879C7" w:rsidR="001205FC" w:rsidRPr="008B793B" w:rsidRDefault="001205FC" w:rsidP="008B793B">
      <w:pPr>
        <w:pStyle w:val="Heading3"/>
        <w:numPr>
          <w:ilvl w:val="1"/>
          <w:numId w:val="29"/>
        </w:numPr>
        <w:spacing w:before="0"/>
        <w:rPr>
          <w:rFonts w:ascii="Calibri" w:hAnsi="Calibri" w:cs="Calibri"/>
          <w:b w:val="0"/>
          <w:color w:val="000000" w:themeColor="text1"/>
        </w:rPr>
      </w:pPr>
      <w:r w:rsidRPr="008B793B">
        <w:rPr>
          <w:rFonts w:ascii="Calibri" w:hAnsi="Calibri" w:cs="Calibri"/>
          <w:b w:val="0"/>
          <w:color w:val="000000" w:themeColor="text1"/>
        </w:rPr>
        <w:lastRenderedPageBreak/>
        <w:t>Culture the cells</w:t>
      </w:r>
    </w:p>
    <w:p w14:paraId="69B8FBC3" w14:textId="77777777" w:rsidR="001205FC" w:rsidRPr="008B793B" w:rsidRDefault="001205FC" w:rsidP="008B793B">
      <w:pPr>
        <w:pStyle w:val="Heading3"/>
        <w:spacing w:before="0"/>
        <w:ind w:left="792"/>
        <w:rPr>
          <w:rFonts w:ascii="Calibri" w:hAnsi="Calibri" w:cs="Calibri"/>
          <w:b w:val="0"/>
          <w:color w:val="000000" w:themeColor="text1"/>
        </w:rPr>
      </w:pPr>
    </w:p>
    <w:p w14:paraId="789F4F8A" w14:textId="77777777" w:rsidR="001205FC" w:rsidRPr="008B793B" w:rsidRDefault="001205FC" w:rsidP="008B793B">
      <w:pPr>
        <w:pStyle w:val="Heading3"/>
        <w:numPr>
          <w:ilvl w:val="1"/>
          <w:numId w:val="29"/>
        </w:numPr>
        <w:spacing w:before="0"/>
        <w:rPr>
          <w:rFonts w:ascii="Calibri" w:hAnsi="Calibri" w:cs="Calibri"/>
          <w:b w:val="0"/>
          <w:color w:val="000000" w:themeColor="text1"/>
        </w:rPr>
      </w:pPr>
      <w:r w:rsidRPr="008B793B">
        <w:rPr>
          <w:rFonts w:ascii="Calibri" w:hAnsi="Calibri" w:cs="Calibri"/>
          <w:b w:val="0"/>
          <w:color w:val="000000" w:themeColor="text1"/>
        </w:rPr>
        <w:t>Maintain the cells at 37 °C in 5% CO₂ until the cells reach the appropriate density for electroporation, typically 70%–80% confluency.</w:t>
      </w:r>
    </w:p>
    <w:p w14:paraId="12BB49F6" w14:textId="77777777" w:rsidR="001205FC" w:rsidRPr="008B793B" w:rsidRDefault="001205FC" w:rsidP="008B793B">
      <w:pPr>
        <w:pStyle w:val="Heading3"/>
        <w:spacing w:before="0"/>
        <w:ind w:left="792"/>
        <w:rPr>
          <w:rFonts w:ascii="Calibri" w:hAnsi="Calibri" w:cs="Calibri"/>
          <w:b w:val="0"/>
          <w:color w:val="000000" w:themeColor="text1"/>
        </w:rPr>
      </w:pPr>
    </w:p>
    <w:p w14:paraId="36111A57" w14:textId="1B8E1313" w:rsidR="001205FC" w:rsidRPr="008B793B" w:rsidRDefault="001205FC" w:rsidP="008B793B">
      <w:pPr>
        <w:pStyle w:val="Heading3"/>
        <w:numPr>
          <w:ilvl w:val="1"/>
          <w:numId w:val="29"/>
        </w:numPr>
        <w:spacing w:before="0"/>
        <w:rPr>
          <w:rFonts w:ascii="Calibri" w:hAnsi="Calibri" w:cs="Calibri"/>
          <w:b w:val="0"/>
          <w:color w:val="000000" w:themeColor="text1"/>
        </w:rPr>
      </w:pPr>
      <w:r w:rsidRPr="008B793B">
        <w:rPr>
          <w:rFonts w:ascii="Calibri" w:hAnsi="Calibri" w:cs="Calibri"/>
          <w:b w:val="0"/>
          <w:color w:val="000000" w:themeColor="text1"/>
        </w:rPr>
        <w:t>Prepare single-cell suspensions.</w:t>
      </w:r>
    </w:p>
    <w:p w14:paraId="492C4961" w14:textId="77777777" w:rsidR="001205FC" w:rsidRPr="008B793B" w:rsidRDefault="001205FC" w:rsidP="008B793B">
      <w:pPr>
        <w:pStyle w:val="Heading3"/>
        <w:spacing w:before="0"/>
        <w:ind w:left="792"/>
        <w:rPr>
          <w:rFonts w:ascii="Calibri" w:hAnsi="Calibri" w:cs="Calibri"/>
          <w:b w:val="0"/>
          <w:color w:val="000000" w:themeColor="text1"/>
        </w:rPr>
      </w:pPr>
    </w:p>
    <w:p w14:paraId="4307FCE8" w14:textId="77777777" w:rsidR="001205FC" w:rsidRPr="008B793B" w:rsidRDefault="001205FC" w:rsidP="008B793B">
      <w:pPr>
        <w:pStyle w:val="Heading3"/>
        <w:numPr>
          <w:ilvl w:val="1"/>
          <w:numId w:val="29"/>
        </w:numPr>
        <w:spacing w:before="0"/>
        <w:rPr>
          <w:rFonts w:ascii="Calibri" w:hAnsi="Calibri" w:cs="Calibri"/>
          <w:b w:val="0"/>
          <w:color w:val="000000" w:themeColor="text1"/>
        </w:rPr>
      </w:pPr>
      <w:r w:rsidRPr="008B793B">
        <w:rPr>
          <w:rFonts w:ascii="Calibri" w:hAnsi="Calibri" w:cs="Calibri"/>
          <w:b w:val="0"/>
          <w:color w:val="000000" w:themeColor="text1"/>
        </w:rPr>
        <w:t xml:space="preserve">Dissociate adherent cells using trypsin or a comparable cell detachment reagent. </w:t>
      </w:r>
    </w:p>
    <w:p w14:paraId="247E34FD" w14:textId="77777777" w:rsidR="001205FC" w:rsidRPr="008B793B" w:rsidRDefault="001205FC" w:rsidP="008B793B">
      <w:pPr>
        <w:pStyle w:val="Heading3"/>
        <w:spacing w:before="0"/>
        <w:ind w:left="792"/>
        <w:rPr>
          <w:rFonts w:ascii="Calibri" w:hAnsi="Calibri" w:cs="Calibri"/>
          <w:b w:val="0"/>
          <w:color w:val="000000" w:themeColor="text1"/>
        </w:rPr>
      </w:pPr>
    </w:p>
    <w:p w14:paraId="18C3862F" w14:textId="77777777" w:rsidR="001205FC" w:rsidRPr="008B793B" w:rsidRDefault="001205FC" w:rsidP="008B793B">
      <w:pPr>
        <w:pStyle w:val="Heading3"/>
        <w:numPr>
          <w:ilvl w:val="1"/>
          <w:numId w:val="29"/>
        </w:numPr>
        <w:spacing w:before="0"/>
        <w:rPr>
          <w:rFonts w:ascii="Calibri" w:hAnsi="Calibri" w:cs="Calibri"/>
          <w:b w:val="0"/>
          <w:color w:val="000000" w:themeColor="text1"/>
        </w:rPr>
      </w:pPr>
      <w:r w:rsidRPr="008B793B">
        <w:rPr>
          <w:rFonts w:ascii="Calibri" w:hAnsi="Calibri" w:cs="Calibri"/>
          <w:b w:val="0"/>
          <w:color w:val="000000" w:themeColor="text1"/>
        </w:rPr>
        <w:t>Pellet the cells at 1,000 × g for 5 min, wash the cells once with Dulbecco’s phosphate-buffered saline (DPBS), and centrifuge the cells again.</w:t>
      </w:r>
    </w:p>
    <w:p w14:paraId="1FFF7C5D" w14:textId="77777777" w:rsidR="001205FC" w:rsidRPr="008B793B" w:rsidRDefault="001205FC" w:rsidP="008B793B">
      <w:pPr>
        <w:pStyle w:val="Heading3"/>
        <w:spacing w:before="0"/>
        <w:ind w:left="792"/>
        <w:rPr>
          <w:rFonts w:ascii="Calibri" w:hAnsi="Calibri" w:cs="Calibri"/>
          <w:b w:val="0"/>
          <w:color w:val="000000" w:themeColor="text1"/>
        </w:rPr>
      </w:pPr>
    </w:p>
    <w:p w14:paraId="2752B39C" w14:textId="347E8D74" w:rsidR="001205FC" w:rsidRPr="008B793B" w:rsidRDefault="001205FC" w:rsidP="008B793B">
      <w:pPr>
        <w:pStyle w:val="Heading3"/>
        <w:numPr>
          <w:ilvl w:val="1"/>
          <w:numId w:val="29"/>
        </w:numPr>
        <w:spacing w:before="0"/>
        <w:rPr>
          <w:rFonts w:ascii="Calibri" w:hAnsi="Calibri" w:cs="Calibri"/>
          <w:b w:val="0"/>
          <w:color w:val="000000" w:themeColor="text1"/>
        </w:rPr>
      </w:pPr>
      <w:r w:rsidRPr="008B793B">
        <w:rPr>
          <w:rFonts w:ascii="Calibri" w:hAnsi="Calibri" w:cs="Calibri"/>
          <w:b w:val="0"/>
          <w:color w:val="000000" w:themeColor="text1"/>
        </w:rPr>
        <w:t>Count the cells and assess viability.</w:t>
      </w:r>
    </w:p>
    <w:p w14:paraId="2AC12783" w14:textId="77777777" w:rsidR="001205FC" w:rsidRPr="008B793B" w:rsidRDefault="001205FC" w:rsidP="008B793B">
      <w:pPr>
        <w:pStyle w:val="Heading3"/>
        <w:spacing w:before="0"/>
        <w:ind w:left="792"/>
        <w:rPr>
          <w:rFonts w:ascii="Calibri" w:hAnsi="Calibri" w:cs="Calibri"/>
          <w:b w:val="0"/>
          <w:color w:val="000000" w:themeColor="text1"/>
        </w:rPr>
      </w:pPr>
    </w:p>
    <w:p w14:paraId="4F159D23" w14:textId="77777777" w:rsidR="001205FC" w:rsidRPr="008B793B" w:rsidRDefault="001205FC" w:rsidP="008B793B">
      <w:pPr>
        <w:pStyle w:val="Heading3"/>
        <w:numPr>
          <w:ilvl w:val="1"/>
          <w:numId w:val="29"/>
        </w:numPr>
        <w:spacing w:before="0"/>
        <w:rPr>
          <w:rFonts w:ascii="Calibri" w:hAnsi="Calibri" w:cs="Calibri"/>
          <w:b w:val="0"/>
          <w:color w:val="000000" w:themeColor="text1"/>
        </w:rPr>
      </w:pPr>
      <w:r w:rsidRPr="008B793B">
        <w:rPr>
          <w:rFonts w:ascii="Calibri" w:hAnsi="Calibri" w:cs="Calibri"/>
          <w:b w:val="0"/>
          <w:color w:val="000000" w:themeColor="text1"/>
        </w:rPr>
        <w:t>Resuspend the cells at a density of approximately 0.5 × 10⁶–2 × 10⁶ cells/mL in DPBS. Count the cells and assess viability using a hemocytometer or cell counter.</w:t>
      </w:r>
    </w:p>
    <w:p w14:paraId="0B3A2BAC" w14:textId="77777777" w:rsidR="001205FC" w:rsidRPr="008B793B" w:rsidRDefault="001205FC" w:rsidP="008B793B">
      <w:pPr>
        <w:pStyle w:val="Heading3"/>
        <w:spacing w:before="0"/>
        <w:ind w:left="792"/>
        <w:rPr>
          <w:rFonts w:ascii="Calibri" w:hAnsi="Calibri" w:cs="Calibri"/>
          <w:b w:val="0"/>
          <w:color w:val="000000" w:themeColor="text1"/>
        </w:rPr>
      </w:pPr>
    </w:p>
    <w:p w14:paraId="51AA24CC" w14:textId="77777777" w:rsidR="001205FC" w:rsidRPr="008B793B" w:rsidRDefault="001205FC" w:rsidP="008B793B">
      <w:pPr>
        <w:pStyle w:val="Heading3"/>
        <w:numPr>
          <w:ilvl w:val="1"/>
          <w:numId w:val="29"/>
        </w:numPr>
        <w:spacing w:before="0"/>
        <w:rPr>
          <w:rFonts w:ascii="Calibri" w:hAnsi="Calibri" w:cs="Calibri"/>
          <w:b w:val="0"/>
          <w:color w:val="000000" w:themeColor="text1"/>
        </w:rPr>
      </w:pPr>
      <w:r w:rsidRPr="008B793B">
        <w:rPr>
          <w:rFonts w:ascii="Calibri" w:hAnsi="Calibri" w:cs="Calibri"/>
          <w:b w:val="0"/>
          <w:color w:val="000000" w:themeColor="text1"/>
        </w:rPr>
        <w:t>Proceed only if the cell viability is ≥ 85%.</w:t>
      </w:r>
    </w:p>
    <w:p w14:paraId="0752929C" w14:textId="77777777" w:rsidR="001205FC" w:rsidRPr="008B793B" w:rsidRDefault="001205FC" w:rsidP="008B793B">
      <w:pPr>
        <w:pStyle w:val="Heading3"/>
        <w:spacing w:before="0"/>
        <w:ind w:left="792"/>
        <w:rPr>
          <w:rFonts w:ascii="Calibri" w:hAnsi="Calibri" w:cs="Calibri"/>
          <w:b w:val="0"/>
          <w:color w:val="000000" w:themeColor="text1"/>
        </w:rPr>
      </w:pPr>
    </w:p>
    <w:p w14:paraId="7D4295D5" w14:textId="4F2C615E" w:rsidR="001205FC" w:rsidRPr="008B793B" w:rsidRDefault="001205FC" w:rsidP="008B793B">
      <w:pPr>
        <w:pStyle w:val="Heading3"/>
        <w:numPr>
          <w:ilvl w:val="1"/>
          <w:numId w:val="29"/>
        </w:numPr>
        <w:spacing w:before="0"/>
        <w:rPr>
          <w:rFonts w:ascii="Calibri" w:hAnsi="Calibri" w:cs="Calibri"/>
          <w:b w:val="0"/>
          <w:color w:val="000000" w:themeColor="text1"/>
        </w:rPr>
      </w:pPr>
      <w:r w:rsidRPr="008B793B">
        <w:rPr>
          <w:rFonts w:ascii="Calibri" w:hAnsi="Calibri" w:cs="Calibri"/>
          <w:b w:val="0"/>
          <w:color w:val="000000" w:themeColor="text1"/>
        </w:rPr>
        <w:t>Resuspend the cells in electroporation buffer.</w:t>
      </w:r>
      <w:r w:rsidR="007129DB" w:rsidRPr="008B793B">
        <w:rPr>
          <w:rFonts w:ascii="Calibri" w:hAnsi="Calibri" w:cs="Calibri"/>
          <w:b w:val="0"/>
          <w:color w:val="000000" w:themeColor="text1"/>
        </w:rPr>
        <w:t xml:space="preserve"> </w:t>
      </w:r>
      <w:r w:rsidRPr="008B793B">
        <w:rPr>
          <w:rFonts w:ascii="Calibri" w:hAnsi="Calibri" w:cs="Calibri"/>
          <w:b w:val="0"/>
          <w:color w:val="000000" w:themeColor="text1"/>
        </w:rPr>
        <w:t xml:space="preserve">Resuspend 2 × 10⁵ cells in 5 µL of cold electroporation buffer per reaction. </w:t>
      </w:r>
    </w:p>
    <w:p w14:paraId="109F797E" w14:textId="77777777" w:rsidR="007129DB" w:rsidRPr="008B793B" w:rsidRDefault="007129DB" w:rsidP="008B793B"/>
    <w:p w14:paraId="7E7B0409" w14:textId="77777777" w:rsidR="001205FC" w:rsidRPr="008B793B" w:rsidRDefault="001205FC" w:rsidP="008B793B">
      <w:pPr>
        <w:pStyle w:val="Heading3"/>
        <w:numPr>
          <w:ilvl w:val="1"/>
          <w:numId w:val="29"/>
        </w:numPr>
        <w:spacing w:before="0"/>
        <w:rPr>
          <w:rFonts w:ascii="Calibri" w:hAnsi="Calibri" w:cs="Calibri"/>
          <w:b w:val="0"/>
          <w:color w:val="000000" w:themeColor="text1"/>
        </w:rPr>
      </w:pPr>
      <w:r w:rsidRPr="008B793B">
        <w:rPr>
          <w:rFonts w:ascii="Calibri" w:hAnsi="Calibri" w:cs="Calibri"/>
          <w:b w:val="0"/>
          <w:color w:val="000000" w:themeColor="text1"/>
        </w:rPr>
        <w:t>Prepare the electroporation buffer with the supplement solution according to the manufacturer’s instructions immediately before use and maintain the buffer on ice.</w:t>
      </w:r>
    </w:p>
    <w:p w14:paraId="5056D09E" w14:textId="77777777" w:rsidR="001205FC" w:rsidRPr="008B793B" w:rsidRDefault="001205FC" w:rsidP="008B793B">
      <w:pPr>
        <w:pStyle w:val="Heading3"/>
        <w:spacing w:before="0"/>
        <w:ind w:left="792"/>
        <w:rPr>
          <w:rFonts w:ascii="Calibri" w:hAnsi="Calibri" w:cs="Calibri"/>
          <w:b w:val="0"/>
          <w:color w:val="000000" w:themeColor="text1"/>
        </w:rPr>
      </w:pPr>
    </w:p>
    <w:p w14:paraId="37EC595F" w14:textId="7E2CB80A" w:rsidR="001205FC" w:rsidRPr="008B793B" w:rsidRDefault="001205FC" w:rsidP="008B793B">
      <w:pPr>
        <w:pStyle w:val="ListParagraph"/>
        <w:numPr>
          <w:ilvl w:val="1"/>
          <w:numId w:val="29"/>
        </w:numPr>
        <w:spacing w:after="0" w:line="240" w:lineRule="auto"/>
        <w:rPr>
          <w:rFonts w:ascii="Calibri" w:hAnsi="Calibri" w:cs="Calibri"/>
          <w:color w:val="000000" w:themeColor="text1"/>
          <w:sz w:val="24"/>
          <w:szCs w:val="24"/>
        </w:rPr>
      </w:pPr>
      <w:r w:rsidRPr="008B793B">
        <w:rPr>
          <w:rFonts w:ascii="Calibri" w:hAnsi="Calibri" w:cs="Calibri"/>
          <w:color w:val="000000" w:themeColor="text1"/>
          <w:sz w:val="24"/>
          <w:szCs w:val="24"/>
        </w:rPr>
        <w:t>Keep the cells cold and proceed promptly.</w:t>
      </w:r>
      <w:r w:rsidR="007129DB" w:rsidRPr="008B793B">
        <w:rPr>
          <w:rFonts w:ascii="Calibri" w:hAnsi="Calibri" w:cs="Calibri"/>
          <w:b/>
          <w:color w:val="000000" w:themeColor="text1"/>
          <w:sz w:val="24"/>
          <w:szCs w:val="24"/>
        </w:rPr>
        <w:t xml:space="preserve"> </w:t>
      </w:r>
      <w:r w:rsidRPr="008B793B">
        <w:rPr>
          <w:rFonts w:ascii="Calibri" w:hAnsi="Calibri" w:cs="Calibri"/>
          <w:color w:val="000000" w:themeColor="text1"/>
          <w:sz w:val="24"/>
          <w:szCs w:val="24"/>
        </w:rPr>
        <w:t>Maintain the cells on ice and proceed immediately to electroporation setup.</w:t>
      </w:r>
    </w:p>
    <w:p w14:paraId="012D6330" w14:textId="77777777" w:rsidR="001205FC" w:rsidRPr="008B793B" w:rsidRDefault="001205FC" w:rsidP="008B793B">
      <w:pPr>
        <w:rPr>
          <w:color w:val="000000" w:themeColor="text1"/>
        </w:rPr>
      </w:pPr>
    </w:p>
    <w:p w14:paraId="4542DB77" w14:textId="167B64CE" w:rsidR="001205FC" w:rsidRPr="00EE2398" w:rsidRDefault="001205FC" w:rsidP="008B793B">
      <w:pPr>
        <w:pStyle w:val="Heading3"/>
        <w:numPr>
          <w:ilvl w:val="0"/>
          <w:numId w:val="29"/>
        </w:numPr>
        <w:spacing w:before="0"/>
        <w:rPr>
          <w:rFonts w:ascii="Calibri" w:hAnsi="Calibri" w:cs="Calibri"/>
          <w:color w:val="000000" w:themeColor="text1"/>
          <w:highlight w:val="yellow"/>
        </w:rPr>
      </w:pPr>
      <w:r w:rsidRPr="00EE2398">
        <w:rPr>
          <w:rFonts w:ascii="Calibri" w:hAnsi="Calibri" w:cs="Calibri"/>
          <w:b w:val="0"/>
          <w:bCs/>
          <w:color w:val="000000" w:themeColor="text1"/>
          <w:highlight w:val="yellow"/>
        </w:rPr>
        <w:t>Electroporation</w:t>
      </w:r>
    </w:p>
    <w:p w14:paraId="30EA3275" w14:textId="77777777" w:rsidR="001205FC" w:rsidRPr="00EE2398" w:rsidRDefault="001205FC" w:rsidP="008B793B">
      <w:pPr>
        <w:rPr>
          <w:color w:val="000000" w:themeColor="text1"/>
          <w:highlight w:val="yellow"/>
        </w:rPr>
      </w:pPr>
    </w:p>
    <w:p w14:paraId="239E89B9" w14:textId="2B277303" w:rsidR="001205FC" w:rsidRPr="00EE2398" w:rsidRDefault="008400FF" w:rsidP="008B793B">
      <w:pPr>
        <w:rPr>
          <w:color w:val="000000" w:themeColor="text1"/>
          <w:highlight w:val="yellow"/>
        </w:rPr>
      </w:pPr>
      <w:r w:rsidRPr="00EE2398">
        <w:rPr>
          <w:color w:val="000000" w:themeColor="text1"/>
          <w:highlight w:val="yellow"/>
        </w:rPr>
        <w:t xml:space="preserve">NOTE: </w:t>
      </w:r>
      <w:r w:rsidR="001205FC" w:rsidRPr="00EE2398">
        <w:rPr>
          <w:color w:val="000000" w:themeColor="text1"/>
          <w:highlight w:val="yellow"/>
        </w:rPr>
        <w:t>Prepare editing cargo in PCR strip tubes to facilitate multichannel pipetting. After electroporation, resuspend the cells in medium supplemented with CEPT cocktail to enhance cell survival¹².</w:t>
      </w:r>
    </w:p>
    <w:p w14:paraId="1416422C" w14:textId="77777777" w:rsidR="001205FC" w:rsidRPr="00EE2398" w:rsidRDefault="001205FC" w:rsidP="008B793B">
      <w:pPr>
        <w:rPr>
          <w:color w:val="000000" w:themeColor="text1"/>
          <w:highlight w:val="yellow"/>
        </w:rPr>
      </w:pPr>
    </w:p>
    <w:p w14:paraId="34F53BCC" w14:textId="0623E745" w:rsidR="001205FC" w:rsidRPr="00EE2398" w:rsidRDefault="001205FC" w:rsidP="008B793B">
      <w:pPr>
        <w:pStyle w:val="ListParagraph"/>
        <w:numPr>
          <w:ilvl w:val="1"/>
          <w:numId w:val="29"/>
        </w:numPr>
        <w:spacing w:line="240" w:lineRule="auto"/>
        <w:rPr>
          <w:rFonts w:ascii="Calibri" w:hAnsi="Calibri" w:cs="Calibri"/>
          <w:color w:val="000000" w:themeColor="text1"/>
          <w:sz w:val="24"/>
          <w:szCs w:val="24"/>
          <w:highlight w:val="yellow"/>
        </w:rPr>
      </w:pPr>
      <w:r w:rsidRPr="00EE2398">
        <w:rPr>
          <w:rFonts w:ascii="Calibri" w:hAnsi="Calibri" w:cs="Calibri"/>
          <w:color w:val="000000" w:themeColor="text1"/>
          <w:sz w:val="24"/>
          <w:szCs w:val="24"/>
          <w:highlight w:val="yellow"/>
        </w:rPr>
        <w:t>Prepare the RNA cargo.</w:t>
      </w:r>
    </w:p>
    <w:p w14:paraId="3F03C239" w14:textId="77777777" w:rsidR="001205FC" w:rsidRPr="00EE2398" w:rsidRDefault="001205FC" w:rsidP="008B793B">
      <w:pPr>
        <w:pStyle w:val="ListParagraph"/>
        <w:spacing w:after="0" w:line="240" w:lineRule="auto"/>
        <w:ind w:left="1224"/>
        <w:jc w:val="both"/>
        <w:rPr>
          <w:rFonts w:ascii="Calibri" w:hAnsi="Calibri" w:cs="Calibri"/>
          <w:color w:val="000000" w:themeColor="text1"/>
          <w:sz w:val="24"/>
          <w:szCs w:val="24"/>
          <w:highlight w:val="yellow"/>
        </w:rPr>
      </w:pPr>
    </w:p>
    <w:p w14:paraId="0E3ED8A1" w14:textId="4CE500C5" w:rsidR="001205FC" w:rsidRPr="00EE2398" w:rsidRDefault="001205FC" w:rsidP="008B793B">
      <w:pPr>
        <w:pStyle w:val="ListParagraph"/>
        <w:numPr>
          <w:ilvl w:val="2"/>
          <w:numId w:val="29"/>
        </w:numPr>
        <w:spacing w:after="0" w:line="240" w:lineRule="auto"/>
        <w:jc w:val="both"/>
        <w:rPr>
          <w:rFonts w:ascii="Calibri" w:hAnsi="Calibri" w:cs="Calibri"/>
          <w:color w:val="000000" w:themeColor="text1"/>
          <w:sz w:val="24"/>
          <w:szCs w:val="24"/>
          <w:highlight w:val="yellow"/>
        </w:rPr>
      </w:pPr>
      <w:r w:rsidRPr="00EE2398">
        <w:rPr>
          <w:rFonts w:ascii="Calibri" w:hAnsi="Calibri" w:cs="Calibri"/>
          <w:color w:val="000000" w:themeColor="text1"/>
          <w:sz w:val="24"/>
          <w:szCs w:val="24"/>
          <w:highlight w:val="yellow"/>
        </w:rPr>
        <w:t>Prepare the RNA cargo on ice by combining the editor mRNA and guide RNA(s) in electroporation buffer.</w:t>
      </w:r>
    </w:p>
    <w:p w14:paraId="1C095CC0" w14:textId="77777777" w:rsidR="001205FC" w:rsidRPr="00EE2398" w:rsidRDefault="001205FC" w:rsidP="008B793B">
      <w:pPr>
        <w:pStyle w:val="ListParagraph"/>
        <w:spacing w:after="0" w:line="240" w:lineRule="auto"/>
        <w:ind w:left="1224"/>
        <w:jc w:val="both"/>
        <w:rPr>
          <w:rFonts w:ascii="Calibri" w:hAnsi="Calibri" w:cs="Calibri"/>
          <w:color w:val="000000" w:themeColor="text1"/>
          <w:sz w:val="24"/>
          <w:szCs w:val="24"/>
          <w:highlight w:val="yellow"/>
        </w:rPr>
      </w:pPr>
    </w:p>
    <w:p w14:paraId="2E37F76F" w14:textId="4136772D" w:rsidR="001205FC" w:rsidRPr="00EE2398" w:rsidRDefault="001205FC" w:rsidP="008B793B">
      <w:pPr>
        <w:pStyle w:val="ListParagraph"/>
        <w:numPr>
          <w:ilvl w:val="2"/>
          <w:numId w:val="29"/>
        </w:numPr>
        <w:spacing w:after="0" w:line="240" w:lineRule="auto"/>
        <w:jc w:val="both"/>
        <w:rPr>
          <w:rFonts w:ascii="Calibri" w:hAnsi="Calibri" w:cs="Calibri"/>
          <w:color w:val="000000" w:themeColor="text1"/>
          <w:sz w:val="24"/>
          <w:szCs w:val="24"/>
          <w:highlight w:val="yellow"/>
        </w:rPr>
      </w:pPr>
      <w:r w:rsidRPr="00EE2398">
        <w:rPr>
          <w:rFonts w:ascii="Calibri" w:hAnsi="Calibri" w:cs="Calibri"/>
          <w:color w:val="000000" w:themeColor="text1"/>
          <w:sz w:val="24"/>
          <w:szCs w:val="24"/>
          <w:highlight w:val="yellow"/>
        </w:rPr>
        <w:t xml:space="preserve">For base editors and nucleases, prepare a final electroporation solution containing 1.5 µL (3 µg) of mRNA, 0.5 µL (50 </w:t>
      </w:r>
      <w:proofErr w:type="spellStart"/>
      <w:r w:rsidRPr="00EE2398">
        <w:rPr>
          <w:rFonts w:ascii="Calibri" w:hAnsi="Calibri" w:cs="Calibri"/>
          <w:color w:val="000000" w:themeColor="text1"/>
          <w:sz w:val="24"/>
          <w:szCs w:val="24"/>
          <w:highlight w:val="yellow"/>
        </w:rPr>
        <w:t>pmol</w:t>
      </w:r>
      <w:proofErr w:type="spellEnd"/>
      <w:r w:rsidRPr="00EE2398">
        <w:rPr>
          <w:rFonts w:ascii="Calibri" w:hAnsi="Calibri" w:cs="Calibri"/>
          <w:color w:val="000000" w:themeColor="text1"/>
          <w:sz w:val="24"/>
          <w:szCs w:val="24"/>
          <w:highlight w:val="yellow"/>
        </w:rPr>
        <w:t>) of guide RNA, and 15 µL of electroporation buffer per sample.</w:t>
      </w:r>
    </w:p>
    <w:p w14:paraId="341C3451" w14:textId="77777777" w:rsidR="001205FC" w:rsidRPr="00EE2398" w:rsidRDefault="001205FC" w:rsidP="008B793B">
      <w:pPr>
        <w:pStyle w:val="ListParagraph"/>
        <w:spacing w:after="0" w:line="240" w:lineRule="auto"/>
        <w:ind w:left="1224"/>
        <w:jc w:val="both"/>
        <w:rPr>
          <w:rFonts w:ascii="Calibri" w:hAnsi="Calibri" w:cs="Calibri"/>
          <w:color w:val="000000" w:themeColor="text1"/>
          <w:sz w:val="24"/>
          <w:szCs w:val="24"/>
          <w:highlight w:val="yellow"/>
        </w:rPr>
      </w:pPr>
    </w:p>
    <w:p w14:paraId="390FDCD8" w14:textId="77777777" w:rsidR="001205FC" w:rsidRPr="00EE2398" w:rsidRDefault="001205FC" w:rsidP="008B793B">
      <w:pPr>
        <w:pStyle w:val="ListParagraph"/>
        <w:numPr>
          <w:ilvl w:val="2"/>
          <w:numId w:val="29"/>
        </w:numPr>
        <w:spacing w:after="0" w:line="240" w:lineRule="auto"/>
        <w:jc w:val="both"/>
        <w:rPr>
          <w:rFonts w:ascii="Calibri" w:hAnsi="Calibri" w:cs="Calibri"/>
          <w:color w:val="000000" w:themeColor="text1"/>
          <w:sz w:val="24"/>
          <w:szCs w:val="24"/>
          <w:highlight w:val="yellow"/>
        </w:rPr>
      </w:pPr>
      <w:r w:rsidRPr="00EE2398">
        <w:rPr>
          <w:rFonts w:ascii="Calibri" w:hAnsi="Calibri" w:cs="Calibri"/>
          <w:color w:val="000000" w:themeColor="text1"/>
          <w:sz w:val="24"/>
          <w:szCs w:val="24"/>
          <w:highlight w:val="yellow"/>
        </w:rPr>
        <w:lastRenderedPageBreak/>
        <w:t xml:space="preserve">For prime editors, prepare a final electroporation solution containing 0.5 µL (1 µg) of mRNA, 1.5 µL (150 </w:t>
      </w:r>
      <w:proofErr w:type="spellStart"/>
      <w:r w:rsidRPr="00EE2398">
        <w:rPr>
          <w:rFonts w:ascii="Calibri" w:hAnsi="Calibri" w:cs="Calibri"/>
          <w:color w:val="000000" w:themeColor="text1"/>
          <w:sz w:val="24"/>
          <w:szCs w:val="24"/>
          <w:highlight w:val="yellow"/>
        </w:rPr>
        <w:t>pmol</w:t>
      </w:r>
      <w:proofErr w:type="spellEnd"/>
      <w:r w:rsidRPr="00EE2398">
        <w:rPr>
          <w:rFonts w:ascii="Calibri" w:hAnsi="Calibri" w:cs="Calibri"/>
          <w:color w:val="000000" w:themeColor="text1"/>
          <w:sz w:val="24"/>
          <w:szCs w:val="24"/>
          <w:highlight w:val="yellow"/>
        </w:rPr>
        <w:t>) of guide RNAs, and 15 µL of electroporation buffer per sample.</w:t>
      </w:r>
    </w:p>
    <w:p w14:paraId="30982702" w14:textId="77777777" w:rsidR="001205FC" w:rsidRPr="00EE2398" w:rsidRDefault="001205FC" w:rsidP="008B793B">
      <w:pPr>
        <w:pStyle w:val="ListParagraph"/>
        <w:spacing w:after="0" w:line="240" w:lineRule="auto"/>
        <w:ind w:left="1224"/>
        <w:jc w:val="both"/>
        <w:rPr>
          <w:rFonts w:ascii="Calibri" w:hAnsi="Calibri" w:cs="Calibri"/>
          <w:color w:val="000000" w:themeColor="text1"/>
          <w:sz w:val="24"/>
          <w:szCs w:val="24"/>
          <w:highlight w:val="yellow"/>
        </w:rPr>
      </w:pPr>
    </w:p>
    <w:p w14:paraId="581D37B7" w14:textId="77777777" w:rsidR="001205FC" w:rsidRPr="00EE2398" w:rsidRDefault="001205FC" w:rsidP="008B793B">
      <w:pPr>
        <w:pStyle w:val="ListParagraph"/>
        <w:numPr>
          <w:ilvl w:val="2"/>
          <w:numId w:val="29"/>
        </w:numPr>
        <w:spacing w:after="0" w:line="240" w:lineRule="auto"/>
        <w:jc w:val="both"/>
        <w:rPr>
          <w:rFonts w:ascii="Calibri" w:hAnsi="Calibri" w:cs="Calibri"/>
          <w:color w:val="000000" w:themeColor="text1"/>
          <w:sz w:val="24"/>
          <w:szCs w:val="24"/>
          <w:highlight w:val="yellow"/>
        </w:rPr>
      </w:pPr>
      <w:r w:rsidRPr="00EE2398">
        <w:rPr>
          <w:rFonts w:ascii="Calibri" w:hAnsi="Calibri" w:cs="Calibri"/>
          <w:color w:val="000000" w:themeColor="text1"/>
          <w:sz w:val="24"/>
          <w:szCs w:val="24"/>
          <w:highlight w:val="yellow"/>
        </w:rPr>
        <w:t>Prepare the RNA cargo solutions as a 1.2× master mix to compensate for volume loss during transfer and sample handling. Optimize the reagent volumes and ratios for each target site and editor variant as needed.</w:t>
      </w:r>
    </w:p>
    <w:p w14:paraId="73EF45F6" w14:textId="77777777" w:rsidR="001205FC" w:rsidRPr="00EE2398" w:rsidRDefault="001205FC" w:rsidP="008B793B">
      <w:pPr>
        <w:pStyle w:val="ListParagraph"/>
        <w:spacing w:line="240" w:lineRule="auto"/>
        <w:ind w:left="792"/>
        <w:rPr>
          <w:rFonts w:ascii="Calibri" w:hAnsi="Calibri" w:cs="Calibri"/>
          <w:color w:val="000000" w:themeColor="text1"/>
          <w:sz w:val="24"/>
          <w:szCs w:val="24"/>
          <w:highlight w:val="yellow"/>
        </w:rPr>
      </w:pPr>
    </w:p>
    <w:p w14:paraId="3D5BF071" w14:textId="4290F77F" w:rsidR="001205FC" w:rsidRPr="00EE2398" w:rsidRDefault="001205FC" w:rsidP="008B793B">
      <w:pPr>
        <w:pStyle w:val="ListParagraph"/>
        <w:numPr>
          <w:ilvl w:val="1"/>
          <w:numId w:val="29"/>
        </w:numPr>
        <w:spacing w:line="240" w:lineRule="auto"/>
        <w:rPr>
          <w:rFonts w:ascii="Calibri" w:hAnsi="Calibri" w:cs="Calibri"/>
          <w:color w:val="000000" w:themeColor="text1"/>
          <w:sz w:val="24"/>
          <w:szCs w:val="24"/>
          <w:highlight w:val="yellow"/>
        </w:rPr>
      </w:pPr>
      <w:r w:rsidRPr="00EE2398">
        <w:rPr>
          <w:rFonts w:ascii="Calibri" w:hAnsi="Calibri" w:cs="Calibri"/>
          <w:color w:val="000000" w:themeColor="text1"/>
          <w:sz w:val="24"/>
          <w:szCs w:val="24"/>
          <w:highlight w:val="yellow"/>
        </w:rPr>
        <w:t>Dispense the cells.</w:t>
      </w:r>
    </w:p>
    <w:p w14:paraId="0B24057B" w14:textId="77777777" w:rsidR="001205FC" w:rsidRPr="00EE2398" w:rsidRDefault="001205FC" w:rsidP="008B793B">
      <w:pPr>
        <w:pStyle w:val="ListParagraph"/>
        <w:spacing w:line="240" w:lineRule="auto"/>
        <w:ind w:left="792"/>
        <w:rPr>
          <w:rFonts w:ascii="Calibri" w:hAnsi="Calibri" w:cs="Calibri"/>
          <w:color w:val="000000" w:themeColor="text1"/>
          <w:sz w:val="24"/>
          <w:szCs w:val="24"/>
          <w:highlight w:val="yellow"/>
        </w:rPr>
      </w:pPr>
    </w:p>
    <w:p w14:paraId="7FF2FEC5" w14:textId="6F28B4D1" w:rsidR="001205FC" w:rsidRPr="00EE2398" w:rsidRDefault="001205FC" w:rsidP="008B793B">
      <w:pPr>
        <w:pStyle w:val="ListParagraph"/>
        <w:numPr>
          <w:ilvl w:val="2"/>
          <w:numId w:val="29"/>
        </w:numPr>
        <w:spacing w:after="0" w:line="240" w:lineRule="auto"/>
        <w:jc w:val="both"/>
        <w:rPr>
          <w:rFonts w:ascii="Calibri" w:hAnsi="Calibri" w:cs="Calibri"/>
          <w:color w:val="000000" w:themeColor="text1"/>
          <w:sz w:val="24"/>
          <w:szCs w:val="24"/>
          <w:highlight w:val="yellow"/>
        </w:rPr>
      </w:pPr>
      <w:r w:rsidRPr="00EE2398">
        <w:rPr>
          <w:rFonts w:ascii="Calibri" w:hAnsi="Calibri" w:cs="Calibri"/>
          <w:color w:val="000000" w:themeColor="text1"/>
          <w:sz w:val="24"/>
          <w:szCs w:val="24"/>
          <w:highlight w:val="yellow"/>
        </w:rPr>
        <w:t>Add 5 µL of the cell suspension to each electroporation well.</w:t>
      </w:r>
    </w:p>
    <w:p w14:paraId="2824C986" w14:textId="77777777" w:rsidR="001205FC" w:rsidRPr="00EE2398" w:rsidRDefault="001205FC" w:rsidP="008B793B">
      <w:pPr>
        <w:pStyle w:val="ListParagraph"/>
        <w:spacing w:after="0" w:line="240" w:lineRule="auto"/>
        <w:ind w:left="1224"/>
        <w:jc w:val="both"/>
        <w:rPr>
          <w:rFonts w:ascii="Calibri" w:hAnsi="Calibri" w:cs="Calibri"/>
          <w:color w:val="000000" w:themeColor="text1"/>
          <w:sz w:val="24"/>
          <w:szCs w:val="24"/>
          <w:highlight w:val="yellow"/>
        </w:rPr>
      </w:pPr>
    </w:p>
    <w:p w14:paraId="2653DA32" w14:textId="4E73A584" w:rsidR="001205FC" w:rsidRPr="00EE2398" w:rsidRDefault="001205FC" w:rsidP="008B793B">
      <w:pPr>
        <w:pStyle w:val="ListParagraph"/>
        <w:numPr>
          <w:ilvl w:val="2"/>
          <w:numId w:val="29"/>
        </w:numPr>
        <w:spacing w:after="0" w:line="240" w:lineRule="auto"/>
        <w:jc w:val="both"/>
        <w:rPr>
          <w:rFonts w:ascii="Calibri" w:hAnsi="Calibri" w:cs="Calibri"/>
          <w:color w:val="000000" w:themeColor="text1"/>
          <w:sz w:val="24"/>
          <w:szCs w:val="24"/>
          <w:highlight w:val="yellow"/>
        </w:rPr>
      </w:pPr>
      <w:r w:rsidRPr="00EE2398">
        <w:rPr>
          <w:rFonts w:ascii="Calibri" w:hAnsi="Calibri" w:cs="Calibri"/>
          <w:color w:val="000000" w:themeColor="text1"/>
          <w:sz w:val="24"/>
          <w:szCs w:val="24"/>
          <w:highlight w:val="yellow"/>
        </w:rPr>
        <w:t>Combine the RNA cargo and cells.</w:t>
      </w:r>
    </w:p>
    <w:p w14:paraId="79E672B2" w14:textId="77777777" w:rsidR="001205FC" w:rsidRPr="00EE2398" w:rsidRDefault="001205FC" w:rsidP="008B793B">
      <w:pPr>
        <w:pStyle w:val="ListParagraph"/>
        <w:spacing w:after="0" w:line="240" w:lineRule="auto"/>
        <w:ind w:left="1224"/>
        <w:jc w:val="both"/>
        <w:rPr>
          <w:rFonts w:ascii="Calibri" w:hAnsi="Calibri" w:cs="Calibri"/>
          <w:color w:val="000000" w:themeColor="text1"/>
          <w:sz w:val="24"/>
          <w:szCs w:val="24"/>
          <w:highlight w:val="yellow"/>
        </w:rPr>
      </w:pPr>
    </w:p>
    <w:p w14:paraId="18CB2242" w14:textId="77777777" w:rsidR="001205FC" w:rsidRPr="00EE2398" w:rsidRDefault="001205FC" w:rsidP="008400FF">
      <w:pPr>
        <w:pStyle w:val="ListParagraph"/>
        <w:numPr>
          <w:ilvl w:val="2"/>
          <w:numId w:val="29"/>
        </w:numPr>
        <w:spacing w:after="0" w:line="240" w:lineRule="auto"/>
        <w:jc w:val="both"/>
        <w:rPr>
          <w:rFonts w:ascii="Calibri" w:hAnsi="Calibri" w:cs="Calibri"/>
          <w:color w:val="000000" w:themeColor="text1"/>
          <w:sz w:val="24"/>
          <w:szCs w:val="24"/>
          <w:highlight w:val="yellow"/>
        </w:rPr>
      </w:pPr>
      <w:r w:rsidRPr="00EE2398">
        <w:rPr>
          <w:rFonts w:ascii="Calibri" w:hAnsi="Calibri" w:cs="Calibri"/>
          <w:color w:val="000000" w:themeColor="text1"/>
          <w:sz w:val="24"/>
          <w:szCs w:val="24"/>
          <w:highlight w:val="yellow"/>
        </w:rPr>
        <w:t>Add 17 µL of RNA cargo in electroporation buffer to 5 µL of cells. Mix the suspension by pipetting twice.</w:t>
      </w:r>
    </w:p>
    <w:p w14:paraId="43EE00BD" w14:textId="77777777" w:rsidR="001205FC" w:rsidRPr="00EE2398" w:rsidRDefault="001205FC" w:rsidP="0075521C">
      <w:pPr>
        <w:pStyle w:val="ListParagraph"/>
        <w:spacing w:line="240" w:lineRule="auto"/>
        <w:ind w:left="792"/>
        <w:jc w:val="both"/>
        <w:rPr>
          <w:rFonts w:ascii="Calibri" w:hAnsi="Calibri" w:cs="Calibri"/>
          <w:color w:val="000000" w:themeColor="text1"/>
          <w:sz w:val="24"/>
          <w:szCs w:val="24"/>
          <w:highlight w:val="yellow"/>
        </w:rPr>
      </w:pPr>
    </w:p>
    <w:p w14:paraId="1C9F266F" w14:textId="77777777" w:rsidR="001205FC" w:rsidRPr="00EE2398" w:rsidRDefault="001205FC" w:rsidP="0075521C">
      <w:pPr>
        <w:pStyle w:val="ListParagraph"/>
        <w:spacing w:line="240" w:lineRule="auto"/>
        <w:ind w:left="792"/>
        <w:jc w:val="both"/>
        <w:rPr>
          <w:rFonts w:ascii="Calibri" w:hAnsi="Calibri" w:cs="Calibri"/>
          <w:color w:val="000000" w:themeColor="text1"/>
          <w:sz w:val="24"/>
          <w:szCs w:val="24"/>
          <w:highlight w:val="yellow"/>
        </w:rPr>
      </w:pPr>
      <w:r w:rsidRPr="00EE2398">
        <w:rPr>
          <w:rFonts w:ascii="Calibri" w:hAnsi="Calibri" w:cs="Calibri"/>
          <w:color w:val="000000" w:themeColor="text1"/>
          <w:sz w:val="24"/>
          <w:szCs w:val="24"/>
          <w:highlight w:val="yellow"/>
        </w:rPr>
        <w:t>NOTE: Proceed rapidly after combining the cells and RNA cargo because RNases secreted by the cells can rapidly degrade the editor mRNA. Complete the electroporation within 2 min after mixing the cells and RNA cargo.</w:t>
      </w:r>
    </w:p>
    <w:p w14:paraId="209226A6" w14:textId="77777777" w:rsidR="001205FC" w:rsidRPr="00EE2398" w:rsidRDefault="001205FC" w:rsidP="008B793B">
      <w:pPr>
        <w:pStyle w:val="ListParagraph"/>
        <w:spacing w:line="240" w:lineRule="auto"/>
        <w:ind w:left="792"/>
        <w:rPr>
          <w:rFonts w:ascii="Calibri" w:hAnsi="Calibri" w:cs="Calibri"/>
          <w:color w:val="000000" w:themeColor="text1"/>
          <w:sz w:val="24"/>
          <w:szCs w:val="24"/>
          <w:highlight w:val="yellow"/>
        </w:rPr>
      </w:pPr>
    </w:p>
    <w:p w14:paraId="21E17C3B" w14:textId="45A1A5C0" w:rsidR="001205FC" w:rsidRPr="00EE2398" w:rsidRDefault="001205FC" w:rsidP="008B793B">
      <w:pPr>
        <w:pStyle w:val="ListParagraph"/>
        <w:numPr>
          <w:ilvl w:val="1"/>
          <w:numId w:val="29"/>
        </w:numPr>
        <w:spacing w:line="240" w:lineRule="auto"/>
        <w:rPr>
          <w:rFonts w:ascii="Calibri" w:hAnsi="Calibri" w:cs="Calibri"/>
          <w:color w:val="000000" w:themeColor="text1"/>
          <w:sz w:val="24"/>
          <w:szCs w:val="24"/>
          <w:highlight w:val="yellow"/>
        </w:rPr>
      </w:pPr>
      <w:r w:rsidRPr="00EE2398">
        <w:rPr>
          <w:rFonts w:ascii="Calibri" w:hAnsi="Calibri" w:cs="Calibri"/>
          <w:color w:val="000000" w:themeColor="text1"/>
          <w:sz w:val="24"/>
          <w:szCs w:val="24"/>
          <w:highlight w:val="yellow"/>
        </w:rPr>
        <w:t>Electroporate the cells.</w:t>
      </w:r>
    </w:p>
    <w:p w14:paraId="6267B9AD" w14:textId="77777777" w:rsidR="001205FC" w:rsidRPr="00EE2398" w:rsidRDefault="001205FC" w:rsidP="008B793B">
      <w:pPr>
        <w:pStyle w:val="ListParagraph"/>
        <w:spacing w:line="240" w:lineRule="auto"/>
        <w:ind w:left="792"/>
        <w:rPr>
          <w:rFonts w:ascii="Calibri" w:hAnsi="Calibri" w:cs="Calibri"/>
          <w:color w:val="000000" w:themeColor="text1"/>
          <w:sz w:val="24"/>
          <w:szCs w:val="24"/>
          <w:highlight w:val="yellow"/>
        </w:rPr>
      </w:pPr>
    </w:p>
    <w:p w14:paraId="404AFE4F" w14:textId="77777777" w:rsidR="001205FC" w:rsidRPr="00EE2398" w:rsidRDefault="001205FC" w:rsidP="008B793B">
      <w:pPr>
        <w:pStyle w:val="ListParagraph"/>
        <w:numPr>
          <w:ilvl w:val="2"/>
          <w:numId w:val="29"/>
        </w:numPr>
        <w:spacing w:after="0" w:line="240" w:lineRule="auto"/>
        <w:jc w:val="both"/>
        <w:rPr>
          <w:rFonts w:ascii="Calibri" w:hAnsi="Calibri" w:cs="Calibri"/>
          <w:color w:val="000000" w:themeColor="text1"/>
          <w:sz w:val="24"/>
          <w:szCs w:val="24"/>
          <w:highlight w:val="yellow"/>
        </w:rPr>
      </w:pPr>
      <w:r w:rsidRPr="00EE2398">
        <w:rPr>
          <w:rFonts w:ascii="Calibri" w:hAnsi="Calibri" w:cs="Calibri"/>
          <w:color w:val="000000" w:themeColor="text1"/>
          <w:sz w:val="24"/>
          <w:szCs w:val="24"/>
          <w:highlight w:val="yellow"/>
        </w:rPr>
        <w:t>Run the electroporation program optimized for the selected cell type (Table 5; Figure 2; Figure 3).</w:t>
      </w:r>
    </w:p>
    <w:p w14:paraId="180AFC16" w14:textId="77777777" w:rsidR="001205FC" w:rsidRPr="00EE2398" w:rsidRDefault="001205FC" w:rsidP="008B793B">
      <w:pPr>
        <w:pStyle w:val="ListParagraph"/>
        <w:spacing w:after="0" w:line="240" w:lineRule="auto"/>
        <w:ind w:left="792"/>
        <w:rPr>
          <w:rFonts w:ascii="Calibri" w:hAnsi="Calibri" w:cs="Calibri"/>
          <w:color w:val="000000" w:themeColor="text1"/>
          <w:sz w:val="24"/>
          <w:szCs w:val="24"/>
          <w:highlight w:val="yellow"/>
        </w:rPr>
      </w:pPr>
    </w:p>
    <w:p w14:paraId="24314BE2" w14:textId="6BC123C2" w:rsidR="001205FC" w:rsidRPr="00EE2398" w:rsidRDefault="001205FC" w:rsidP="008B793B">
      <w:pPr>
        <w:pStyle w:val="ListParagraph"/>
        <w:numPr>
          <w:ilvl w:val="2"/>
          <w:numId w:val="29"/>
        </w:numPr>
        <w:spacing w:after="0" w:line="240" w:lineRule="auto"/>
        <w:jc w:val="both"/>
        <w:rPr>
          <w:rFonts w:ascii="Calibri" w:hAnsi="Calibri" w:cs="Calibri"/>
          <w:color w:val="000000" w:themeColor="text1"/>
          <w:sz w:val="24"/>
          <w:szCs w:val="24"/>
          <w:highlight w:val="yellow"/>
        </w:rPr>
      </w:pPr>
      <w:r w:rsidRPr="00EE2398">
        <w:rPr>
          <w:rFonts w:ascii="Calibri" w:hAnsi="Calibri" w:cs="Calibri"/>
          <w:color w:val="000000" w:themeColor="text1"/>
          <w:sz w:val="24"/>
          <w:szCs w:val="24"/>
          <w:highlight w:val="yellow"/>
        </w:rPr>
        <w:t>Confirm pulse completion.</w:t>
      </w:r>
      <w:r w:rsidR="005719ED" w:rsidRPr="00EE2398">
        <w:rPr>
          <w:rFonts w:ascii="Calibri" w:hAnsi="Calibri" w:cs="Calibri"/>
          <w:color w:val="000000" w:themeColor="text1"/>
          <w:sz w:val="24"/>
          <w:szCs w:val="24"/>
          <w:highlight w:val="yellow"/>
        </w:rPr>
        <w:t xml:space="preserve"> </w:t>
      </w:r>
      <w:r w:rsidRPr="00EE2398">
        <w:rPr>
          <w:rFonts w:ascii="Calibri" w:hAnsi="Calibri" w:cs="Calibri"/>
          <w:color w:val="000000" w:themeColor="text1"/>
          <w:sz w:val="24"/>
          <w:szCs w:val="24"/>
          <w:highlight w:val="yellow"/>
        </w:rPr>
        <w:t>Confirm successful pulse delivery for each well using the instrument readout.</w:t>
      </w:r>
      <w:r w:rsidR="005719ED" w:rsidRPr="00EE2398">
        <w:rPr>
          <w:rFonts w:ascii="Calibri" w:hAnsi="Calibri" w:cs="Calibri"/>
          <w:color w:val="000000" w:themeColor="text1"/>
          <w:sz w:val="24"/>
          <w:szCs w:val="24"/>
          <w:highlight w:val="yellow"/>
        </w:rPr>
        <w:t xml:space="preserve"> </w:t>
      </w:r>
    </w:p>
    <w:p w14:paraId="1238D719" w14:textId="77777777" w:rsidR="001205FC" w:rsidRPr="00EE2398" w:rsidRDefault="001205FC" w:rsidP="008B793B">
      <w:pPr>
        <w:pStyle w:val="ListParagraph"/>
        <w:spacing w:after="0" w:line="240" w:lineRule="auto"/>
        <w:ind w:left="792"/>
        <w:rPr>
          <w:rFonts w:ascii="Calibri" w:hAnsi="Calibri" w:cs="Calibri"/>
          <w:color w:val="000000" w:themeColor="text1"/>
          <w:sz w:val="24"/>
          <w:szCs w:val="24"/>
          <w:highlight w:val="yellow"/>
        </w:rPr>
      </w:pPr>
    </w:p>
    <w:p w14:paraId="29A0A430" w14:textId="77777777" w:rsidR="001205FC" w:rsidRPr="00EE2398" w:rsidRDefault="001205FC" w:rsidP="008B793B">
      <w:pPr>
        <w:pStyle w:val="ListParagraph"/>
        <w:numPr>
          <w:ilvl w:val="1"/>
          <w:numId w:val="29"/>
        </w:numPr>
        <w:spacing w:after="0" w:line="240" w:lineRule="auto"/>
        <w:rPr>
          <w:rFonts w:ascii="Calibri" w:hAnsi="Calibri" w:cs="Calibri"/>
          <w:color w:val="000000" w:themeColor="text1"/>
          <w:sz w:val="24"/>
          <w:szCs w:val="24"/>
          <w:highlight w:val="yellow"/>
        </w:rPr>
      </w:pPr>
      <w:r w:rsidRPr="00EE2398">
        <w:rPr>
          <w:rFonts w:ascii="Calibri" w:hAnsi="Calibri" w:cs="Calibri"/>
          <w:color w:val="000000" w:themeColor="text1"/>
          <w:sz w:val="24"/>
          <w:szCs w:val="24"/>
          <w:highlight w:val="yellow"/>
        </w:rPr>
        <w:t>Immediately add 80 µL of pre-warmed recovery medium to each well. Allow the cells to recover undisturbed for 10 min.</w:t>
      </w:r>
    </w:p>
    <w:p w14:paraId="12C79191" w14:textId="77777777" w:rsidR="001205FC" w:rsidRPr="00EE2398" w:rsidRDefault="001205FC" w:rsidP="008B793B">
      <w:pPr>
        <w:pStyle w:val="ListParagraph"/>
        <w:spacing w:after="0" w:line="240" w:lineRule="auto"/>
        <w:ind w:left="792"/>
        <w:rPr>
          <w:rFonts w:ascii="Calibri" w:hAnsi="Calibri" w:cs="Calibri"/>
          <w:color w:val="000000" w:themeColor="text1"/>
          <w:sz w:val="24"/>
          <w:szCs w:val="24"/>
          <w:highlight w:val="yellow"/>
        </w:rPr>
      </w:pPr>
    </w:p>
    <w:p w14:paraId="0D283023" w14:textId="30BFF4DE" w:rsidR="001205FC" w:rsidRPr="00EE2398" w:rsidRDefault="001205FC" w:rsidP="008B793B">
      <w:pPr>
        <w:pStyle w:val="ListParagraph"/>
        <w:numPr>
          <w:ilvl w:val="1"/>
          <w:numId w:val="29"/>
        </w:numPr>
        <w:spacing w:after="0" w:line="240" w:lineRule="auto"/>
        <w:rPr>
          <w:rFonts w:ascii="Calibri" w:hAnsi="Calibri" w:cs="Calibri"/>
          <w:color w:val="000000" w:themeColor="text1"/>
          <w:sz w:val="24"/>
          <w:szCs w:val="24"/>
          <w:highlight w:val="yellow"/>
        </w:rPr>
      </w:pPr>
      <w:r w:rsidRPr="00EE2398">
        <w:rPr>
          <w:rFonts w:ascii="Calibri" w:hAnsi="Calibri" w:cs="Calibri"/>
          <w:color w:val="000000" w:themeColor="text1"/>
          <w:sz w:val="24"/>
          <w:szCs w:val="24"/>
          <w:highlight w:val="yellow"/>
        </w:rPr>
        <w:t>Plate the cells.</w:t>
      </w:r>
    </w:p>
    <w:p w14:paraId="59CB54A1" w14:textId="77777777" w:rsidR="001205FC" w:rsidRPr="00EE2398" w:rsidRDefault="001205FC" w:rsidP="008B793B">
      <w:pPr>
        <w:rPr>
          <w:color w:val="000000" w:themeColor="text1"/>
          <w:highlight w:val="yellow"/>
        </w:rPr>
      </w:pPr>
    </w:p>
    <w:p w14:paraId="687A7AE1" w14:textId="79662295" w:rsidR="001205FC" w:rsidRPr="00EE2398" w:rsidRDefault="001205FC" w:rsidP="008B793B">
      <w:pPr>
        <w:pStyle w:val="ListParagraph"/>
        <w:numPr>
          <w:ilvl w:val="2"/>
          <w:numId w:val="29"/>
        </w:numPr>
        <w:spacing w:after="0" w:line="240" w:lineRule="auto"/>
        <w:rPr>
          <w:rFonts w:ascii="Calibri" w:hAnsi="Calibri" w:cs="Calibri"/>
          <w:color w:val="000000" w:themeColor="text1"/>
          <w:sz w:val="24"/>
          <w:szCs w:val="24"/>
          <w:highlight w:val="yellow"/>
        </w:rPr>
      </w:pPr>
      <w:r w:rsidRPr="00EE2398">
        <w:rPr>
          <w:rFonts w:ascii="Calibri" w:hAnsi="Calibri" w:cs="Calibri"/>
          <w:color w:val="000000" w:themeColor="text1"/>
          <w:sz w:val="24"/>
          <w:szCs w:val="24"/>
          <w:highlight w:val="yellow"/>
        </w:rPr>
        <w:t>Transfer the cells to pre-equilibrated and appropriately coated culture plates. Incubate the cells at 37 °C in 5% CO₂.</w:t>
      </w:r>
    </w:p>
    <w:p w14:paraId="3DC8F423" w14:textId="77777777" w:rsidR="001205FC" w:rsidRPr="00EE2398" w:rsidRDefault="001205FC" w:rsidP="008B793B">
      <w:pPr>
        <w:rPr>
          <w:color w:val="000000" w:themeColor="text1"/>
          <w:highlight w:val="yellow"/>
        </w:rPr>
      </w:pPr>
    </w:p>
    <w:p w14:paraId="614AB9DB" w14:textId="603F882D" w:rsidR="001205FC" w:rsidRPr="00EE2398" w:rsidRDefault="001205FC" w:rsidP="008B793B">
      <w:pPr>
        <w:pStyle w:val="ListParagraph"/>
        <w:numPr>
          <w:ilvl w:val="2"/>
          <w:numId w:val="29"/>
        </w:numPr>
        <w:spacing w:after="0" w:line="240" w:lineRule="auto"/>
        <w:rPr>
          <w:rFonts w:ascii="Calibri" w:hAnsi="Calibri" w:cs="Calibri"/>
          <w:color w:val="000000" w:themeColor="text1"/>
          <w:sz w:val="24"/>
          <w:szCs w:val="24"/>
          <w:highlight w:val="yellow"/>
        </w:rPr>
      </w:pPr>
      <w:r w:rsidRPr="00EE2398">
        <w:rPr>
          <w:rFonts w:ascii="Calibri" w:hAnsi="Calibri" w:cs="Calibri"/>
          <w:color w:val="000000" w:themeColor="text1"/>
          <w:sz w:val="24"/>
          <w:szCs w:val="24"/>
          <w:highlight w:val="yellow"/>
        </w:rPr>
        <w:t>Examine the cells daily after plating to monitor cell health and recovery.</w:t>
      </w:r>
    </w:p>
    <w:p w14:paraId="0AC8E9EB" w14:textId="77777777" w:rsidR="001205FC" w:rsidRPr="00EE2398" w:rsidRDefault="001205FC" w:rsidP="008B793B">
      <w:pPr>
        <w:rPr>
          <w:color w:val="000000" w:themeColor="text1"/>
          <w:highlight w:val="yellow"/>
        </w:rPr>
      </w:pPr>
    </w:p>
    <w:p w14:paraId="58C28A4D" w14:textId="3203EF71" w:rsidR="001205FC" w:rsidRPr="00EE2398" w:rsidRDefault="001205FC" w:rsidP="008B793B">
      <w:pPr>
        <w:pStyle w:val="Heading3"/>
        <w:numPr>
          <w:ilvl w:val="0"/>
          <w:numId w:val="29"/>
        </w:numPr>
        <w:spacing w:before="0"/>
        <w:rPr>
          <w:rFonts w:ascii="Calibri" w:hAnsi="Calibri" w:cs="Calibri"/>
          <w:color w:val="000000" w:themeColor="text1"/>
          <w:highlight w:val="yellow"/>
        </w:rPr>
      </w:pPr>
      <w:r w:rsidRPr="00EE2398">
        <w:rPr>
          <w:rFonts w:ascii="Calibri" w:hAnsi="Calibri" w:cs="Calibri"/>
          <w:b w:val="0"/>
          <w:bCs/>
          <w:color w:val="000000" w:themeColor="text1"/>
          <w:highlight w:val="yellow"/>
        </w:rPr>
        <w:t>Genomic</w:t>
      </w:r>
      <w:r w:rsidRPr="00EE2398">
        <w:rPr>
          <w:rFonts w:ascii="Calibri" w:hAnsi="Calibri" w:cs="Calibri"/>
          <w:color w:val="000000" w:themeColor="text1"/>
          <w:highlight w:val="yellow"/>
        </w:rPr>
        <w:t xml:space="preserve"> </w:t>
      </w:r>
      <w:r w:rsidRPr="00EE2398">
        <w:rPr>
          <w:rFonts w:ascii="Calibri" w:hAnsi="Calibri" w:cs="Calibri"/>
          <w:b w:val="0"/>
          <w:bCs/>
          <w:color w:val="000000" w:themeColor="text1"/>
          <w:highlight w:val="yellow"/>
        </w:rPr>
        <w:t>DNA extraction</w:t>
      </w:r>
    </w:p>
    <w:p w14:paraId="3A409313" w14:textId="77777777" w:rsidR="001205FC" w:rsidRPr="00EE2398" w:rsidRDefault="001205FC" w:rsidP="008B793B">
      <w:pPr>
        <w:rPr>
          <w:color w:val="000000" w:themeColor="text1"/>
          <w:highlight w:val="yellow"/>
        </w:rPr>
      </w:pPr>
    </w:p>
    <w:p w14:paraId="5A571758" w14:textId="3823403A" w:rsidR="001205FC" w:rsidRPr="00EE2398" w:rsidRDefault="00473B20" w:rsidP="008B793B">
      <w:pPr>
        <w:rPr>
          <w:color w:val="000000" w:themeColor="text1"/>
          <w:highlight w:val="yellow"/>
        </w:rPr>
      </w:pPr>
      <w:r w:rsidRPr="00EE2398">
        <w:rPr>
          <w:color w:val="000000" w:themeColor="text1"/>
          <w:highlight w:val="yellow"/>
        </w:rPr>
        <w:t>NOTE: Ensure that genomic DNA is of sufficient quality and free of inhibitors prior to PCR amplification, as DNA quality can affect sequencing library preparation and accurate quantification of genome editing outcomes</w:t>
      </w:r>
      <w:r w:rsidR="001205FC" w:rsidRPr="00EE2398">
        <w:rPr>
          <w:color w:val="000000" w:themeColor="text1"/>
          <w:highlight w:val="yellow"/>
        </w:rPr>
        <w:t>⁹–¹¹.</w:t>
      </w:r>
    </w:p>
    <w:p w14:paraId="5A2763D5" w14:textId="77777777" w:rsidR="001205FC" w:rsidRPr="00EE2398" w:rsidRDefault="001205FC" w:rsidP="008B793B">
      <w:pPr>
        <w:rPr>
          <w:color w:val="000000" w:themeColor="text1"/>
          <w:highlight w:val="yellow"/>
        </w:rPr>
      </w:pPr>
    </w:p>
    <w:p w14:paraId="342DCC8E" w14:textId="635C323A" w:rsidR="001205FC" w:rsidRPr="00EE2398" w:rsidRDefault="001205FC" w:rsidP="008B793B">
      <w:pPr>
        <w:pStyle w:val="ListParagraph"/>
        <w:numPr>
          <w:ilvl w:val="1"/>
          <w:numId w:val="29"/>
        </w:numPr>
        <w:spacing w:after="0" w:line="240" w:lineRule="auto"/>
        <w:jc w:val="both"/>
        <w:rPr>
          <w:rFonts w:ascii="Calibri" w:hAnsi="Calibri" w:cs="Calibri"/>
          <w:color w:val="000000" w:themeColor="text1"/>
          <w:sz w:val="24"/>
          <w:szCs w:val="24"/>
          <w:highlight w:val="yellow"/>
        </w:rPr>
      </w:pPr>
      <w:r w:rsidRPr="00EE2398">
        <w:rPr>
          <w:rFonts w:ascii="Calibri" w:hAnsi="Calibri" w:cs="Calibri"/>
          <w:color w:val="000000" w:themeColor="text1"/>
          <w:sz w:val="24"/>
          <w:szCs w:val="24"/>
          <w:highlight w:val="yellow"/>
        </w:rPr>
        <w:t>Wash and harvest the cells.</w:t>
      </w:r>
    </w:p>
    <w:p w14:paraId="5C0D25D2" w14:textId="77777777" w:rsidR="001205FC" w:rsidRPr="00EE2398" w:rsidRDefault="001205FC" w:rsidP="008B793B">
      <w:pPr>
        <w:rPr>
          <w:color w:val="000000" w:themeColor="text1"/>
          <w:highlight w:val="yellow"/>
        </w:rPr>
      </w:pPr>
    </w:p>
    <w:p w14:paraId="7F70D901" w14:textId="11408BE2" w:rsidR="001205FC" w:rsidRPr="00EE2398" w:rsidRDefault="001205FC" w:rsidP="008B793B">
      <w:pPr>
        <w:pStyle w:val="ListParagraph"/>
        <w:numPr>
          <w:ilvl w:val="2"/>
          <w:numId w:val="29"/>
        </w:numPr>
        <w:spacing w:after="0" w:line="240" w:lineRule="auto"/>
        <w:jc w:val="both"/>
        <w:rPr>
          <w:rFonts w:ascii="Calibri" w:hAnsi="Calibri" w:cs="Calibri"/>
          <w:color w:val="000000" w:themeColor="text1"/>
          <w:sz w:val="24"/>
          <w:szCs w:val="24"/>
          <w:highlight w:val="yellow"/>
        </w:rPr>
      </w:pPr>
      <w:r w:rsidRPr="00EE2398">
        <w:rPr>
          <w:rFonts w:ascii="Calibri" w:hAnsi="Calibri" w:cs="Calibri"/>
          <w:color w:val="000000" w:themeColor="text1"/>
          <w:sz w:val="24"/>
          <w:szCs w:val="24"/>
          <w:highlight w:val="yellow"/>
        </w:rPr>
        <w:t>At least 2 days after electroporation, wash the cells once with Dulbecco’s phosphate-buffered saline (DPBS) and remove the buffer completely.</w:t>
      </w:r>
    </w:p>
    <w:p w14:paraId="2741F4E6" w14:textId="77777777" w:rsidR="001205FC" w:rsidRPr="00EE2398" w:rsidRDefault="001205FC" w:rsidP="008B793B">
      <w:pPr>
        <w:rPr>
          <w:color w:val="000000" w:themeColor="text1"/>
          <w:highlight w:val="yellow"/>
        </w:rPr>
      </w:pPr>
    </w:p>
    <w:p w14:paraId="285CE702" w14:textId="5569D21E" w:rsidR="001205FC" w:rsidRPr="00EE2398" w:rsidRDefault="001205FC" w:rsidP="008B793B">
      <w:pPr>
        <w:pStyle w:val="ListParagraph"/>
        <w:numPr>
          <w:ilvl w:val="2"/>
          <w:numId w:val="29"/>
        </w:numPr>
        <w:spacing w:after="0" w:line="240" w:lineRule="auto"/>
        <w:jc w:val="both"/>
        <w:rPr>
          <w:rFonts w:ascii="Calibri" w:hAnsi="Calibri" w:cs="Calibri"/>
          <w:color w:val="000000" w:themeColor="text1"/>
          <w:sz w:val="24"/>
          <w:szCs w:val="24"/>
          <w:highlight w:val="yellow"/>
        </w:rPr>
      </w:pPr>
      <w:r w:rsidRPr="00EE2398">
        <w:rPr>
          <w:rFonts w:ascii="Calibri" w:hAnsi="Calibri" w:cs="Calibri"/>
          <w:color w:val="000000" w:themeColor="text1"/>
          <w:sz w:val="24"/>
          <w:szCs w:val="24"/>
          <w:highlight w:val="yellow"/>
        </w:rPr>
        <w:t>Prepare incomplete lysis buffer by combining 10 mL of 1 M Tris-HCl (pH 8.0), 5 mL of 10% (</w:t>
      </w:r>
      <w:proofErr w:type="spellStart"/>
      <w:r w:rsidRPr="00EE2398">
        <w:rPr>
          <w:rFonts w:ascii="Calibri" w:hAnsi="Calibri" w:cs="Calibri"/>
          <w:color w:val="000000" w:themeColor="text1"/>
          <w:sz w:val="24"/>
          <w:szCs w:val="24"/>
          <w:highlight w:val="yellow"/>
        </w:rPr>
        <w:t>wt</w:t>
      </w:r>
      <w:proofErr w:type="spellEnd"/>
      <w:r w:rsidRPr="00EE2398">
        <w:rPr>
          <w:rFonts w:ascii="Calibri" w:hAnsi="Calibri" w:cs="Calibri"/>
          <w:color w:val="000000" w:themeColor="text1"/>
          <w:sz w:val="24"/>
          <w:szCs w:val="24"/>
          <w:highlight w:val="yellow"/>
        </w:rPr>
        <w:t>/vol) sodium dodecyl sulfate (SDS) solution, and nuclease-free water to a final volume of 1 L. Store the incomplete lysis buffer at room temperature for up to 6 months.</w:t>
      </w:r>
    </w:p>
    <w:p w14:paraId="0F170E32" w14:textId="77777777" w:rsidR="001205FC" w:rsidRPr="00EE2398" w:rsidRDefault="001205FC" w:rsidP="008B793B">
      <w:pPr>
        <w:rPr>
          <w:color w:val="000000" w:themeColor="text1"/>
          <w:highlight w:val="yellow"/>
        </w:rPr>
      </w:pPr>
    </w:p>
    <w:p w14:paraId="5972C24F" w14:textId="0664E096" w:rsidR="001205FC" w:rsidRPr="00EE2398" w:rsidRDefault="001205FC" w:rsidP="008B793B">
      <w:pPr>
        <w:pStyle w:val="ListParagraph"/>
        <w:numPr>
          <w:ilvl w:val="2"/>
          <w:numId w:val="29"/>
        </w:numPr>
        <w:spacing w:after="0" w:line="240" w:lineRule="auto"/>
        <w:jc w:val="both"/>
        <w:rPr>
          <w:rFonts w:ascii="Calibri" w:hAnsi="Calibri" w:cs="Calibri"/>
          <w:color w:val="000000" w:themeColor="text1"/>
          <w:sz w:val="24"/>
          <w:szCs w:val="24"/>
          <w:highlight w:val="yellow"/>
        </w:rPr>
      </w:pPr>
      <w:r w:rsidRPr="00EE2398">
        <w:rPr>
          <w:rFonts w:ascii="Calibri" w:hAnsi="Calibri" w:cs="Calibri"/>
          <w:color w:val="000000" w:themeColor="text1"/>
          <w:sz w:val="24"/>
          <w:szCs w:val="24"/>
          <w:highlight w:val="yellow"/>
        </w:rPr>
        <w:t>Immediately before use, prepare complete lysis buffer by adding proteinase K at a 1:1,000 (vol/vol) dilution to an aliquot of incomplete lysis buffer.</w:t>
      </w:r>
      <w:r w:rsidR="00F2339B" w:rsidRPr="00EE2398">
        <w:rPr>
          <w:rFonts w:ascii="Calibri" w:hAnsi="Calibri" w:cs="Calibri"/>
          <w:color w:val="000000" w:themeColor="text1"/>
          <w:sz w:val="24"/>
          <w:szCs w:val="24"/>
          <w:highlight w:val="yellow"/>
        </w:rPr>
        <w:t xml:space="preserve"> </w:t>
      </w:r>
      <w:r w:rsidRPr="00EE2398">
        <w:rPr>
          <w:rFonts w:ascii="Calibri" w:hAnsi="Calibri" w:cs="Calibri"/>
          <w:color w:val="000000" w:themeColor="text1"/>
          <w:sz w:val="24"/>
          <w:szCs w:val="24"/>
          <w:highlight w:val="yellow"/>
        </w:rPr>
        <w:t>Add the complete lysis buffer to the cells to initiate lysis.</w:t>
      </w:r>
    </w:p>
    <w:p w14:paraId="2295387A" w14:textId="77777777" w:rsidR="001205FC" w:rsidRPr="00EE2398" w:rsidRDefault="001205FC" w:rsidP="008B793B">
      <w:pPr>
        <w:rPr>
          <w:color w:val="000000" w:themeColor="text1"/>
          <w:highlight w:val="yellow"/>
        </w:rPr>
      </w:pPr>
    </w:p>
    <w:p w14:paraId="51A469C0" w14:textId="62FFB429" w:rsidR="001205FC" w:rsidRPr="00EE2398" w:rsidRDefault="001205FC" w:rsidP="008B793B">
      <w:pPr>
        <w:pStyle w:val="ListParagraph"/>
        <w:numPr>
          <w:ilvl w:val="1"/>
          <w:numId w:val="29"/>
        </w:numPr>
        <w:spacing w:after="0" w:line="240" w:lineRule="auto"/>
        <w:rPr>
          <w:rFonts w:ascii="Calibri" w:hAnsi="Calibri" w:cs="Calibri"/>
          <w:color w:val="000000" w:themeColor="text1"/>
          <w:sz w:val="24"/>
          <w:szCs w:val="24"/>
          <w:highlight w:val="yellow"/>
        </w:rPr>
      </w:pPr>
      <w:r w:rsidRPr="00EE2398">
        <w:rPr>
          <w:rFonts w:ascii="Calibri" w:hAnsi="Calibri" w:cs="Calibri"/>
          <w:color w:val="000000" w:themeColor="text1"/>
          <w:sz w:val="24"/>
          <w:szCs w:val="24"/>
          <w:highlight w:val="yellow"/>
        </w:rPr>
        <w:t>Digest the samples.</w:t>
      </w:r>
    </w:p>
    <w:p w14:paraId="2B79C4E4" w14:textId="77777777" w:rsidR="001205FC" w:rsidRPr="00EE2398" w:rsidRDefault="001205FC" w:rsidP="008B793B">
      <w:pPr>
        <w:rPr>
          <w:color w:val="000000" w:themeColor="text1"/>
          <w:highlight w:val="yellow"/>
        </w:rPr>
      </w:pPr>
    </w:p>
    <w:p w14:paraId="79832602" w14:textId="77777777" w:rsidR="001205FC" w:rsidRPr="00EE2398" w:rsidRDefault="001205FC" w:rsidP="008B793B">
      <w:pPr>
        <w:rPr>
          <w:color w:val="000000" w:themeColor="text1"/>
          <w:highlight w:val="yellow"/>
        </w:rPr>
      </w:pPr>
      <w:r w:rsidRPr="00EE2398">
        <w:rPr>
          <w:color w:val="000000" w:themeColor="text1"/>
          <w:highlight w:val="yellow"/>
        </w:rPr>
        <w:t>Incubate the samples at 37 °C for 60 min to complete cell lysis and proteinase K digestion.</w:t>
      </w:r>
    </w:p>
    <w:p w14:paraId="375609FF" w14:textId="77777777" w:rsidR="001205FC" w:rsidRPr="00EE2398" w:rsidRDefault="001205FC" w:rsidP="008B793B">
      <w:pPr>
        <w:rPr>
          <w:color w:val="000000" w:themeColor="text1"/>
          <w:highlight w:val="yellow"/>
        </w:rPr>
      </w:pPr>
    </w:p>
    <w:p w14:paraId="7ACA4B6F" w14:textId="06AF619D" w:rsidR="001205FC" w:rsidRPr="00EE2398" w:rsidRDefault="001205FC" w:rsidP="008B793B">
      <w:pPr>
        <w:pStyle w:val="ListParagraph"/>
        <w:numPr>
          <w:ilvl w:val="1"/>
          <w:numId w:val="29"/>
        </w:numPr>
        <w:spacing w:after="0" w:line="240" w:lineRule="auto"/>
        <w:rPr>
          <w:rFonts w:ascii="Calibri" w:hAnsi="Calibri" w:cs="Calibri"/>
          <w:color w:val="000000" w:themeColor="text1"/>
          <w:sz w:val="24"/>
          <w:szCs w:val="24"/>
          <w:highlight w:val="yellow"/>
        </w:rPr>
      </w:pPr>
      <w:r w:rsidRPr="00EE2398">
        <w:rPr>
          <w:rFonts w:ascii="Calibri" w:hAnsi="Calibri" w:cs="Calibri"/>
          <w:color w:val="000000" w:themeColor="text1"/>
          <w:sz w:val="24"/>
          <w:szCs w:val="24"/>
          <w:highlight w:val="yellow"/>
        </w:rPr>
        <w:t>Inactivate proteinase K.</w:t>
      </w:r>
    </w:p>
    <w:p w14:paraId="3DBCCC53" w14:textId="77777777" w:rsidR="001205FC" w:rsidRPr="00EE2398" w:rsidRDefault="001205FC" w:rsidP="008B793B">
      <w:pPr>
        <w:rPr>
          <w:color w:val="000000" w:themeColor="text1"/>
          <w:highlight w:val="yellow"/>
        </w:rPr>
      </w:pPr>
    </w:p>
    <w:p w14:paraId="0EF74E51" w14:textId="77777777" w:rsidR="001205FC" w:rsidRPr="00EE2398" w:rsidRDefault="001205FC" w:rsidP="008B793B">
      <w:pPr>
        <w:rPr>
          <w:color w:val="000000" w:themeColor="text1"/>
          <w:highlight w:val="yellow"/>
        </w:rPr>
      </w:pPr>
      <w:r w:rsidRPr="00EE2398">
        <w:rPr>
          <w:color w:val="000000" w:themeColor="text1"/>
          <w:highlight w:val="yellow"/>
        </w:rPr>
        <w:t>Transfer the lysates to PCR tubes or a 96-well PCR plate. Incubate the samples at 80 °C for 30 min to inactivate the proteinase K.</w:t>
      </w:r>
    </w:p>
    <w:p w14:paraId="40843BD0" w14:textId="77777777" w:rsidR="001205FC" w:rsidRPr="00EE2398" w:rsidRDefault="001205FC" w:rsidP="008B793B">
      <w:pPr>
        <w:rPr>
          <w:color w:val="000000" w:themeColor="text1"/>
          <w:highlight w:val="yellow"/>
        </w:rPr>
      </w:pPr>
    </w:p>
    <w:p w14:paraId="2BF771DB" w14:textId="114079E9" w:rsidR="001205FC" w:rsidRPr="00EE2398" w:rsidRDefault="001205FC" w:rsidP="008B793B">
      <w:pPr>
        <w:pStyle w:val="ListParagraph"/>
        <w:numPr>
          <w:ilvl w:val="1"/>
          <w:numId w:val="29"/>
        </w:numPr>
        <w:spacing w:after="0" w:line="240" w:lineRule="auto"/>
        <w:rPr>
          <w:rFonts w:ascii="Calibri" w:hAnsi="Calibri" w:cs="Calibri"/>
          <w:color w:val="000000" w:themeColor="text1"/>
          <w:sz w:val="24"/>
          <w:szCs w:val="24"/>
          <w:highlight w:val="yellow"/>
        </w:rPr>
      </w:pPr>
      <w:r w:rsidRPr="00EE2398">
        <w:rPr>
          <w:rFonts w:ascii="Calibri" w:hAnsi="Calibri" w:cs="Calibri"/>
          <w:color w:val="000000" w:themeColor="text1"/>
          <w:sz w:val="24"/>
          <w:szCs w:val="24"/>
          <w:highlight w:val="yellow"/>
        </w:rPr>
        <w:t>Store the lysates.</w:t>
      </w:r>
    </w:p>
    <w:p w14:paraId="4ED7A97C" w14:textId="77777777" w:rsidR="001205FC" w:rsidRPr="00EE2398" w:rsidRDefault="001205FC" w:rsidP="008B793B">
      <w:pPr>
        <w:rPr>
          <w:color w:val="000000" w:themeColor="text1"/>
          <w:highlight w:val="yellow"/>
        </w:rPr>
      </w:pPr>
    </w:p>
    <w:p w14:paraId="428DEC76" w14:textId="77777777" w:rsidR="001205FC" w:rsidRPr="00EE2398" w:rsidRDefault="001205FC" w:rsidP="008B793B">
      <w:pPr>
        <w:rPr>
          <w:color w:val="000000" w:themeColor="text1"/>
          <w:highlight w:val="yellow"/>
        </w:rPr>
      </w:pPr>
      <w:r w:rsidRPr="00EE2398">
        <w:rPr>
          <w:color w:val="000000" w:themeColor="text1"/>
          <w:highlight w:val="yellow"/>
        </w:rPr>
        <w:t>Store the lysates at −20 °C until PCR amplification.</w:t>
      </w:r>
    </w:p>
    <w:p w14:paraId="59B552B7" w14:textId="77777777" w:rsidR="001205FC" w:rsidRPr="00EE2398" w:rsidRDefault="001205FC" w:rsidP="008B793B">
      <w:pPr>
        <w:rPr>
          <w:color w:val="000000" w:themeColor="text1"/>
          <w:highlight w:val="yellow"/>
        </w:rPr>
      </w:pPr>
    </w:p>
    <w:p w14:paraId="1C332D3F" w14:textId="7191AA1F" w:rsidR="001205FC" w:rsidRPr="00EE2398" w:rsidRDefault="001205FC" w:rsidP="008B793B">
      <w:pPr>
        <w:pStyle w:val="Heading3"/>
        <w:numPr>
          <w:ilvl w:val="0"/>
          <w:numId w:val="29"/>
        </w:numPr>
        <w:spacing w:before="0"/>
        <w:rPr>
          <w:rFonts w:ascii="Calibri" w:hAnsi="Calibri" w:cs="Calibri"/>
          <w:color w:val="000000" w:themeColor="text1"/>
          <w:highlight w:val="yellow"/>
        </w:rPr>
      </w:pPr>
      <w:r w:rsidRPr="00EE2398">
        <w:rPr>
          <w:rFonts w:ascii="Calibri" w:hAnsi="Calibri" w:cs="Calibri"/>
          <w:color w:val="000000" w:themeColor="text1"/>
          <w:highlight w:val="yellow"/>
        </w:rPr>
        <w:t>Targeted amplicon sequencing for editing analysis</w:t>
      </w:r>
    </w:p>
    <w:p w14:paraId="7AD194B1" w14:textId="11428CF8" w:rsidR="001205FC" w:rsidRPr="00EE2398" w:rsidRDefault="00473B20" w:rsidP="008B793B">
      <w:pPr>
        <w:rPr>
          <w:color w:val="000000" w:themeColor="text1"/>
          <w:highlight w:val="yellow"/>
        </w:rPr>
      </w:pPr>
      <w:r w:rsidRPr="00EE2398">
        <w:rPr>
          <w:color w:val="000000" w:themeColor="text1"/>
          <w:highlight w:val="yellow"/>
        </w:rPr>
        <w:t>NOTE: Pool PCR products in equimolar amounts prior to sequencing. Approximately 10,000 sequencing reads per sample are generally sufficient for quantification of bulk genome editing outcomes.</w:t>
      </w:r>
    </w:p>
    <w:p w14:paraId="1E1D2705" w14:textId="77777777" w:rsidR="00473B20" w:rsidRPr="00EE2398" w:rsidRDefault="00473B20" w:rsidP="008B793B">
      <w:pPr>
        <w:rPr>
          <w:color w:val="000000" w:themeColor="text1"/>
          <w:highlight w:val="yellow"/>
        </w:rPr>
      </w:pPr>
    </w:p>
    <w:p w14:paraId="55424C13" w14:textId="64B8D83E" w:rsidR="001205FC" w:rsidRPr="00EE2398" w:rsidRDefault="001205FC" w:rsidP="008B793B">
      <w:pPr>
        <w:pStyle w:val="ListParagraph"/>
        <w:numPr>
          <w:ilvl w:val="1"/>
          <w:numId w:val="29"/>
        </w:numPr>
        <w:spacing w:after="0" w:line="240" w:lineRule="auto"/>
        <w:rPr>
          <w:rFonts w:ascii="Calibri" w:hAnsi="Calibri" w:cs="Calibri"/>
          <w:color w:val="000000" w:themeColor="text1"/>
          <w:sz w:val="24"/>
          <w:szCs w:val="24"/>
          <w:highlight w:val="yellow"/>
        </w:rPr>
      </w:pPr>
      <w:r w:rsidRPr="00EE2398">
        <w:rPr>
          <w:rFonts w:ascii="Calibri" w:hAnsi="Calibri" w:cs="Calibri"/>
          <w:color w:val="000000" w:themeColor="text1"/>
          <w:sz w:val="24"/>
          <w:szCs w:val="24"/>
          <w:highlight w:val="yellow"/>
        </w:rPr>
        <w:t xml:space="preserve">Design </w:t>
      </w:r>
      <w:r w:rsidR="00F910EA" w:rsidRPr="00EE2398">
        <w:rPr>
          <w:rFonts w:ascii="Calibri" w:hAnsi="Calibri" w:cs="Calibri"/>
          <w:color w:val="000000" w:themeColor="text1"/>
          <w:sz w:val="24"/>
          <w:szCs w:val="24"/>
          <w:highlight w:val="yellow"/>
        </w:rPr>
        <w:t xml:space="preserve">locus-specific </w:t>
      </w:r>
      <w:r w:rsidRPr="00EE2398">
        <w:rPr>
          <w:rFonts w:ascii="Calibri" w:hAnsi="Calibri" w:cs="Calibri"/>
          <w:color w:val="000000" w:themeColor="text1"/>
          <w:sz w:val="24"/>
          <w:szCs w:val="24"/>
          <w:highlight w:val="yellow"/>
        </w:rPr>
        <w:t>primers to generate approximately 300 bp amplicons spanning at least 25 bp upstream and 25 bp downstream of the edit site (</w:t>
      </w:r>
      <w:r w:rsidRPr="00EE2398">
        <w:rPr>
          <w:rFonts w:ascii="Calibri" w:hAnsi="Calibri" w:cs="Calibri"/>
          <w:b/>
          <w:bCs/>
          <w:color w:val="000000" w:themeColor="text1"/>
          <w:sz w:val="24"/>
          <w:szCs w:val="24"/>
          <w:highlight w:val="yellow"/>
        </w:rPr>
        <w:t>Table 8</w:t>
      </w:r>
      <w:r w:rsidRPr="00EE2398">
        <w:rPr>
          <w:rFonts w:ascii="Calibri" w:hAnsi="Calibri" w:cs="Calibri"/>
          <w:color w:val="000000" w:themeColor="text1"/>
          <w:sz w:val="24"/>
          <w:szCs w:val="24"/>
          <w:highlight w:val="yellow"/>
        </w:rPr>
        <w:t>).</w:t>
      </w:r>
    </w:p>
    <w:p w14:paraId="6B6D65D1" w14:textId="77777777" w:rsidR="001205FC" w:rsidRPr="00EE2398" w:rsidRDefault="001205FC" w:rsidP="008B793B">
      <w:pPr>
        <w:rPr>
          <w:color w:val="000000" w:themeColor="text1"/>
          <w:highlight w:val="yellow"/>
        </w:rPr>
      </w:pPr>
    </w:p>
    <w:p w14:paraId="1B447382" w14:textId="7FBF2AC3" w:rsidR="001205FC" w:rsidRPr="00EE2398" w:rsidRDefault="001205FC" w:rsidP="008B793B">
      <w:pPr>
        <w:pStyle w:val="ListParagraph"/>
        <w:numPr>
          <w:ilvl w:val="1"/>
          <w:numId w:val="29"/>
        </w:numPr>
        <w:spacing w:after="0" w:line="240" w:lineRule="auto"/>
        <w:rPr>
          <w:rFonts w:ascii="Calibri" w:hAnsi="Calibri" w:cs="Calibri"/>
          <w:color w:val="000000" w:themeColor="text1"/>
          <w:sz w:val="24"/>
          <w:szCs w:val="24"/>
          <w:highlight w:val="yellow"/>
        </w:rPr>
      </w:pPr>
      <w:r w:rsidRPr="00EE2398">
        <w:rPr>
          <w:rFonts w:ascii="Calibri" w:hAnsi="Calibri" w:cs="Calibri"/>
          <w:color w:val="000000" w:themeColor="text1"/>
          <w:sz w:val="24"/>
          <w:szCs w:val="24"/>
          <w:highlight w:val="yellow"/>
        </w:rPr>
        <w:t xml:space="preserve">Amplify the target genomic locus by </w:t>
      </w:r>
      <w:r w:rsidR="00F910EA" w:rsidRPr="00EE2398">
        <w:rPr>
          <w:rFonts w:ascii="Calibri" w:hAnsi="Calibri" w:cs="Calibri"/>
          <w:color w:val="000000" w:themeColor="text1"/>
          <w:sz w:val="24"/>
          <w:szCs w:val="24"/>
          <w:highlight w:val="yellow"/>
        </w:rPr>
        <w:t xml:space="preserve">performing </w:t>
      </w:r>
      <w:r w:rsidRPr="00EE2398">
        <w:rPr>
          <w:rFonts w:ascii="Calibri" w:hAnsi="Calibri" w:cs="Calibri"/>
          <w:color w:val="000000" w:themeColor="text1"/>
          <w:sz w:val="24"/>
          <w:szCs w:val="24"/>
          <w:highlight w:val="yellow"/>
        </w:rPr>
        <w:t>PCR</w:t>
      </w:r>
      <w:r w:rsidR="00F910EA" w:rsidRPr="00EE2398">
        <w:rPr>
          <w:rFonts w:ascii="Calibri" w:hAnsi="Calibri" w:cs="Calibri"/>
          <w:color w:val="000000" w:themeColor="text1"/>
          <w:sz w:val="24"/>
          <w:szCs w:val="24"/>
          <w:highlight w:val="yellow"/>
        </w:rPr>
        <w:t>1</w:t>
      </w:r>
      <w:r w:rsidRPr="00EE2398">
        <w:rPr>
          <w:rFonts w:ascii="Calibri" w:hAnsi="Calibri" w:cs="Calibri"/>
          <w:color w:val="000000" w:themeColor="text1"/>
          <w:sz w:val="24"/>
          <w:szCs w:val="24"/>
          <w:highlight w:val="yellow"/>
        </w:rPr>
        <w:t xml:space="preserve"> according to the conditions provided in </w:t>
      </w:r>
      <w:r w:rsidRPr="00EE2398">
        <w:rPr>
          <w:rFonts w:ascii="Calibri" w:hAnsi="Calibri" w:cs="Calibri"/>
          <w:b/>
          <w:bCs/>
          <w:color w:val="000000" w:themeColor="text1"/>
          <w:sz w:val="24"/>
          <w:szCs w:val="24"/>
          <w:highlight w:val="yellow"/>
        </w:rPr>
        <w:t>Table 6</w:t>
      </w:r>
      <w:r w:rsidR="007129DB" w:rsidRPr="00EE2398">
        <w:rPr>
          <w:rFonts w:ascii="Calibri" w:hAnsi="Calibri" w:cs="Calibri"/>
          <w:b/>
          <w:bCs/>
          <w:color w:val="000000" w:themeColor="text1"/>
          <w:sz w:val="24"/>
          <w:szCs w:val="24"/>
          <w:highlight w:val="yellow"/>
        </w:rPr>
        <w:t>, Table 7</w:t>
      </w:r>
      <w:r w:rsidRPr="00EE2398">
        <w:rPr>
          <w:rFonts w:ascii="Calibri" w:hAnsi="Calibri" w:cs="Calibri"/>
          <w:color w:val="000000" w:themeColor="text1"/>
          <w:sz w:val="24"/>
          <w:szCs w:val="24"/>
          <w:highlight w:val="yellow"/>
        </w:rPr>
        <w:t>.</w:t>
      </w:r>
    </w:p>
    <w:p w14:paraId="6C68F71C" w14:textId="77777777" w:rsidR="001205FC" w:rsidRPr="00EE2398" w:rsidRDefault="001205FC" w:rsidP="008B793B">
      <w:pPr>
        <w:rPr>
          <w:color w:val="000000" w:themeColor="text1"/>
          <w:highlight w:val="yellow"/>
        </w:rPr>
      </w:pPr>
    </w:p>
    <w:p w14:paraId="11DCD733" w14:textId="03852EC9" w:rsidR="001205FC" w:rsidRPr="00EE2398" w:rsidRDefault="001205FC" w:rsidP="008B793B">
      <w:pPr>
        <w:pStyle w:val="ListParagraph"/>
        <w:numPr>
          <w:ilvl w:val="1"/>
          <w:numId w:val="29"/>
        </w:numPr>
        <w:spacing w:line="240" w:lineRule="auto"/>
        <w:rPr>
          <w:rFonts w:ascii="Calibri" w:hAnsi="Calibri" w:cs="Calibri"/>
          <w:color w:val="000000" w:themeColor="text1"/>
          <w:sz w:val="24"/>
          <w:szCs w:val="24"/>
          <w:highlight w:val="yellow"/>
        </w:rPr>
      </w:pPr>
      <w:r w:rsidRPr="00EE2398">
        <w:rPr>
          <w:rFonts w:ascii="Calibri" w:hAnsi="Calibri" w:cs="Calibri"/>
          <w:color w:val="000000" w:themeColor="text1"/>
          <w:sz w:val="24"/>
          <w:szCs w:val="24"/>
          <w:highlight w:val="yellow"/>
        </w:rPr>
        <w:t>Add unique sample indices by PCR using the PCR1 product as the template. Perform 9 cycles of amplification according to the conditions provided in Table 8.</w:t>
      </w:r>
    </w:p>
    <w:p w14:paraId="0D1A8C5A" w14:textId="77777777" w:rsidR="001205FC" w:rsidRPr="00EE2398" w:rsidRDefault="001205FC" w:rsidP="008B793B">
      <w:pPr>
        <w:pStyle w:val="ListParagraph"/>
        <w:spacing w:line="240" w:lineRule="auto"/>
        <w:ind w:left="792"/>
        <w:rPr>
          <w:rFonts w:ascii="Calibri" w:hAnsi="Calibri" w:cs="Calibri"/>
          <w:color w:val="000000" w:themeColor="text1"/>
          <w:sz w:val="24"/>
          <w:szCs w:val="24"/>
          <w:highlight w:val="yellow"/>
        </w:rPr>
      </w:pPr>
    </w:p>
    <w:p w14:paraId="4E870521" w14:textId="0637212A" w:rsidR="001205FC" w:rsidRPr="00EE2398" w:rsidRDefault="001205FC" w:rsidP="008B793B">
      <w:pPr>
        <w:pStyle w:val="ListParagraph"/>
        <w:numPr>
          <w:ilvl w:val="1"/>
          <w:numId w:val="29"/>
        </w:numPr>
        <w:spacing w:line="240" w:lineRule="auto"/>
        <w:rPr>
          <w:rFonts w:ascii="Calibri" w:hAnsi="Calibri" w:cs="Calibri"/>
          <w:color w:val="000000" w:themeColor="text1"/>
          <w:sz w:val="24"/>
          <w:szCs w:val="24"/>
          <w:highlight w:val="yellow"/>
        </w:rPr>
      </w:pPr>
      <w:r w:rsidRPr="00EE2398">
        <w:rPr>
          <w:rFonts w:ascii="Calibri" w:hAnsi="Calibri" w:cs="Calibri"/>
          <w:color w:val="000000" w:themeColor="text1"/>
          <w:sz w:val="24"/>
          <w:szCs w:val="24"/>
          <w:highlight w:val="yellow"/>
        </w:rPr>
        <w:t>Run the PCR1 and PCR2 products on a 1.5% agarose gel to confirm the presence of single bands at the expected sizes.</w:t>
      </w:r>
    </w:p>
    <w:p w14:paraId="42916566" w14:textId="77777777" w:rsidR="001205FC" w:rsidRPr="00EE2398" w:rsidRDefault="001205FC" w:rsidP="008B793B">
      <w:pPr>
        <w:pStyle w:val="ListParagraph"/>
        <w:spacing w:line="240" w:lineRule="auto"/>
        <w:ind w:left="792"/>
        <w:rPr>
          <w:rFonts w:ascii="Calibri" w:hAnsi="Calibri" w:cs="Calibri"/>
          <w:color w:val="000000" w:themeColor="text1"/>
          <w:sz w:val="24"/>
          <w:szCs w:val="24"/>
          <w:highlight w:val="yellow"/>
        </w:rPr>
      </w:pPr>
    </w:p>
    <w:p w14:paraId="5EEBDDEF" w14:textId="6E1E8785" w:rsidR="001205FC" w:rsidRPr="00EE2398" w:rsidRDefault="001205FC" w:rsidP="008B793B">
      <w:pPr>
        <w:pStyle w:val="ListParagraph"/>
        <w:numPr>
          <w:ilvl w:val="1"/>
          <w:numId w:val="29"/>
        </w:numPr>
        <w:spacing w:line="240" w:lineRule="auto"/>
        <w:rPr>
          <w:rFonts w:ascii="Calibri" w:hAnsi="Calibri" w:cs="Calibri"/>
          <w:color w:val="000000" w:themeColor="text1"/>
          <w:sz w:val="24"/>
          <w:szCs w:val="24"/>
          <w:highlight w:val="yellow"/>
        </w:rPr>
      </w:pPr>
      <w:r w:rsidRPr="00EE2398">
        <w:rPr>
          <w:rFonts w:ascii="Calibri" w:hAnsi="Calibri" w:cs="Calibri"/>
          <w:color w:val="000000" w:themeColor="text1"/>
          <w:sz w:val="24"/>
          <w:szCs w:val="24"/>
          <w:highlight w:val="yellow"/>
        </w:rPr>
        <w:t>Pool the PCR2 products in equimolar amounts. Remove adapter dimers using bead-based cleanup or gel purification according to the conditions provided in Table 8.</w:t>
      </w:r>
    </w:p>
    <w:p w14:paraId="0A04423F" w14:textId="77777777" w:rsidR="001205FC" w:rsidRPr="00EE2398" w:rsidRDefault="001205FC" w:rsidP="008B793B">
      <w:pPr>
        <w:pStyle w:val="ListParagraph"/>
        <w:spacing w:line="240" w:lineRule="auto"/>
        <w:ind w:left="792"/>
        <w:rPr>
          <w:rFonts w:ascii="Calibri" w:hAnsi="Calibri" w:cs="Calibri"/>
          <w:color w:val="000000" w:themeColor="text1"/>
          <w:sz w:val="24"/>
          <w:szCs w:val="24"/>
          <w:highlight w:val="yellow"/>
        </w:rPr>
      </w:pPr>
    </w:p>
    <w:p w14:paraId="606E2B19" w14:textId="412C3660" w:rsidR="001205FC" w:rsidRPr="00EE2398" w:rsidRDefault="001205FC" w:rsidP="008B793B">
      <w:pPr>
        <w:pStyle w:val="ListParagraph"/>
        <w:numPr>
          <w:ilvl w:val="1"/>
          <w:numId w:val="29"/>
        </w:numPr>
        <w:spacing w:line="240" w:lineRule="auto"/>
        <w:rPr>
          <w:rFonts w:ascii="Calibri" w:hAnsi="Calibri" w:cs="Calibri"/>
          <w:color w:val="000000" w:themeColor="text1"/>
          <w:sz w:val="24"/>
          <w:szCs w:val="24"/>
          <w:highlight w:val="yellow"/>
        </w:rPr>
      </w:pPr>
      <w:r w:rsidRPr="00EE2398">
        <w:rPr>
          <w:rFonts w:ascii="Calibri" w:hAnsi="Calibri" w:cs="Calibri"/>
          <w:color w:val="000000" w:themeColor="text1"/>
          <w:sz w:val="24"/>
          <w:szCs w:val="24"/>
          <w:highlight w:val="yellow"/>
        </w:rPr>
        <w:t xml:space="preserve">Quantify the final pooled library using a fluorometric </w:t>
      </w:r>
      <w:proofErr w:type="gramStart"/>
      <w:r w:rsidRPr="00EE2398">
        <w:rPr>
          <w:rFonts w:ascii="Calibri" w:hAnsi="Calibri" w:cs="Calibri"/>
          <w:color w:val="000000" w:themeColor="text1"/>
          <w:sz w:val="24"/>
          <w:szCs w:val="24"/>
          <w:highlight w:val="yellow"/>
        </w:rPr>
        <w:t>dsDNA</w:t>
      </w:r>
      <w:proofErr w:type="gramEnd"/>
      <w:r w:rsidRPr="00EE2398">
        <w:rPr>
          <w:rFonts w:ascii="Calibri" w:hAnsi="Calibri" w:cs="Calibri"/>
          <w:color w:val="000000" w:themeColor="text1"/>
          <w:sz w:val="24"/>
          <w:szCs w:val="24"/>
          <w:highlight w:val="yellow"/>
        </w:rPr>
        <w:t xml:space="preserve"> assay. Assess the fragment size distribution by capillary electrophoresis.</w:t>
      </w:r>
    </w:p>
    <w:p w14:paraId="5360BDF6" w14:textId="77777777" w:rsidR="001205FC" w:rsidRPr="00EE2398" w:rsidRDefault="001205FC" w:rsidP="008B793B">
      <w:pPr>
        <w:pStyle w:val="ListParagraph"/>
        <w:spacing w:line="240" w:lineRule="auto"/>
        <w:ind w:left="792"/>
        <w:rPr>
          <w:rFonts w:ascii="Calibri" w:hAnsi="Calibri" w:cs="Calibri"/>
          <w:color w:val="000000" w:themeColor="text1"/>
          <w:sz w:val="24"/>
          <w:szCs w:val="24"/>
          <w:highlight w:val="yellow"/>
        </w:rPr>
      </w:pPr>
    </w:p>
    <w:p w14:paraId="41646839" w14:textId="0575733E" w:rsidR="001205FC" w:rsidRPr="00EE2398" w:rsidRDefault="001205FC" w:rsidP="008B793B">
      <w:pPr>
        <w:pStyle w:val="ListParagraph"/>
        <w:numPr>
          <w:ilvl w:val="1"/>
          <w:numId w:val="29"/>
        </w:numPr>
        <w:spacing w:line="240" w:lineRule="auto"/>
        <w:rPr>
          <w:rFonts w:ascii="Calibri" w:hAnsi="Calibri" w:cs="Calibri"/>
          <w:color w:val="000000" w:themeColor="text1"/>
          <w:sz w:val="24"/>
          <w:szCs w:val="24"/>
          <w:highlight w:val="yellow"/>
        </w:rPr>
      </w:pPr>
      <w:r w:rsidRPr="00EE2398">
        <w:rPr>
          <w:rFonts w:ascii="Calibri" w:hAnsi="Calibri" w:cs="Calibri"/>
          <w:color w:val="000000" w:themeColor="text1"/>
          <w:sz w:val="24"/>
          <w:szCs w:val="24"/>
          <w:highlight w:val="yellow"/>
        </w:rPr>
        <w:t xml:space="preserve">Sequence the libraries using single-end 300-cycle reads on an Illumina </w:t>
      </w:r>
      <w:proofErr w:type="spellStart"/>
      <w:r w:rsidRPr="00EE2398">
        <w:rPr>
          <w:rFonts w:ascii="Calibri" w:hAnsi="Calibri" w:cs="Calibri"/>
          <w:color w:val="000000" w:themeColor="text1"/>
          <w:sz w:val="24"/>
          <w:szCs w:val="24"/>
          <w:highlight w:val="yellow"/>
        </w:rPr>
        <w:t>MiSeq</w:t>
      </w:r>
      <w:proofErr w:type="spellEnd"/>
      <w:r w:rsidRPr="00EE2398">
        <w:rPr>
          <w:rFonts w:ascii="Calibri" w:hAnsi="Calibri" w:cs="Calibri"/>
          <w:color w:val="000000" w:themeColor="text1"/>
          <w:sz w:val="24"/>
          <w:szCs w:val="24"/>
          <w:highlight w:val="yellow"/>
        </w:rPr>
        <w:t xml:space="preserve"> instrument. Generate approximately 30,000 reads per sample for optimal analysis, although 10,000 reads per sample are sufficient for editing analysis¹³.</w:t>
      </w:r>
    </w:p>
    <w:p w14:paraId="3F7698A7" w14:textId="77777777" w:rsidR="005C1D01" w:rsidRPr="00EE2398" w:rsidRDefault="005C1D01" w:rsidP="008B793B">
      <w:pPr>
        <w:rPr>
          <w:color w:val="000000" w:themeColor="text1"/>
          <w:highlight w:val="yellow"/>
        </w:rPr>
      </w:pPr>
    </w:p>
    <w:p w14:paraId="43FF3517" w14:textId="1850EFBA" w:rsidR="001205FC" w:rsidRPr="00EE2398" w:rsidRDefault="001205FC" w:rsidP="008B793B">
      <w:pPr>
        <w:pStyle w:val="Heading3"/>
        <w:numPr>
          <w:ilvl w:val="0"/>
          <w:numId w:val="29"/>
        </w:numPr>
        <w:spacing w:before="0"/>
        <w:rPr>
          <w:rFonts w:ascii="Calibri" w:hAnsi="Calibri" w:cs="Calibri"/>
          <w:color w:val="000000" w:themeColor="text1"/>
          <w:highlight w:val="yellow"/>
        </w:rPr>
      </w:pPr>
      <w:r w:rsidRPr="00EE2398">
        <w:rPr>
          <w:rFonts w:ascii="Calibri" w:hAnsi="Calibri" w:cs="Calibri"/>
          <w:color w:val="000000" w:themeColor="text1"/>
          <w:highlight w:val="yellow"/>
        </w:rPr>
        <w:t>Analysis of genome editing outcomes</w:t>
      </w:r>
    </w:p>
    <w:p w14:paraId="30A479CA" w14:textId="77777777" w:rsidR="001205FC" w:rsidRPr="00EE2398" w:rsidRDefault="001205FC" w:rsidP="008B793B">
      <w:pPr>
        <w:rPr>
          <w:color w:val="000000" w:themeColor="text1"/>
          <w:highlight w:val="yellow"/>
        </w:rPr>
      </w:pPr>
    </w:p>
    <w:p w14:paraId="30E10A55" w14:textId="561573B5" w:rsidR="001205FC" w:rsidRPr="00EE2398" w:rsidRDefault="00A358AB" w:rsidP="008B793B">
      <w:pPr>
        <w:rPr>
          <w:color w:val="000000" w:themeColor="text1"/>
          <w:highlight w:val="yellow"/>
        </w:rPr>
      </w:pPr>
      <w:r w:rsidRPr="00EE2398">
        <w:rPr>
          <w:color w:val="000000" w:themeColor="text1"/>
          <w:highlight w:val="yellow"/>
        </w:rPr>
        <w:t>Note: CRISPResso2 analysis enables quantification of overall editing efficiency, nucleotide conversion frequencies, and insertion/deletion (indel) frequencies, and can be used to characterize editing outcomes across experimental conditions</w:t>
      </w:r>
      <w:r w:rsidR="001205FC" w:rsidRPr="00EE2398">
        <w:rPr>
          <w:color w:val="000000" w:themeColor="text1"/>
          <w:highlight w:val="yellow"/>
        </w:rPr>
        <w:t>¹⁷.</w:t>
      </w:r>
    </w:p>
    <w:p w14:paraId="4600CDF3" w14:textId="77777777" w:rsidR="001205FC" w:rsidRPr="00EE2398" w:rsidRDefault="001205FC" w:rsidP="008B793B">
      <w:pPr>
        <w:rPr>
          <w:color w:val="000000" w:themeColor="text1"/>
          <w:highlight w:val="yellow"/>
        </w:rPr>
      </w:pPr>
    </w:p>
    <w:p w14:paraId="27E9B387" w14:textId="0B496E5A" w:rsidR="001205FC" w:rsidRPr="00EE2398" w:rsidRDefault="001205FC" w:rsidP="008B793B">
      <w:pPr>
        <w:pStyle w:val="ListParagraph"/>
        <w:numPr>
          <w:ilvl w:val="1"/>
          <w:numId w:val="29"/>
        </w:numPr>
        <w:spacing w:after="0" w:line="240" w:lineRule="auto"/>
        <w:rPr>
          <w:rFonts w:ascii="Calibri" w:hAnsi="Calibri" w:cs="Calibri"/>
          <w:color w:val="000000" w:themeColor="text1"/>
          <w:sz w:val="24"/>
          <w:szCs w:val="24"/>
          <w:highlight w:val="yellow"/>
        </w:rPr>
      </w:pPr>
      <w:r w:rsidRPr="00EE2398">
        <w:rPr>
          <w:rFonts w:ascii="Calibri" w:hAnsi="Calibri" w:cs="Calibri"/>
          <w:color w:val="000000" w:themeColor="text1"/>
          <w:sz w:val="24"/>
          <w:szCs w:val="24"/>
          <w:highlight w:val="yellow"/>
        </w:rPr>
        <w:t>Demultiplex the sequencing data and organize the FASTQ files according to genomic locus and experimental condition.</w:t>
      </w:r>
    </w:p>
    <w:p w14:paraId="5B0F433B" w14:textId="77777777" w:rsidR="001205FC" w:rsidRPr="00EE2398" w:rsidRDefault="001205FC" w:rsidP="008B793B">
      <w:pPr>
        <w:rPr>
          <w:color w:val="000000" w:themeColor="text1"/>
          <w:highlight w:val="yellow"/>
        </w:rPr>
      </w:pPr>
    </w:p>
    <w:p w14:paraId="739316F5" w14:textId="6D6EAEA3" w:rsidR="001205FC" w:rsidRPr="00EE2398" w:rsidRDefault="001205FC" w:rsidP="008B793B">
      <w:pPr>
        <w:pStyle w:val="ListParagraph"/>
        <w:numPr>
          <w:ilvl w:val="1"/>
          <w:numId w:val="29"/>
        </w:numPr>
        <w:spacing w:after="0" w:line="240" w:lineRule="auto"/>
        <w:rPr>
          <w:rFonts w:ascii="Calibri" w:hAnsi="Calibri" w:cs="Calibri"/>
          <w:color w:val="000000" w:themeColor="text1"/>
          <w:sz w:val="24"/>
          <w:szCs w:val="24"/>
          <w:highlight w:val="yellow"/>
        </w:rPr>
      </w:pPr>
      <w:r w:rsidRPr="00EE2398">
        <w:rPr>
          <w:rFonts w:ascii="Calibri" w:hAnsi="Calibri" w:cs="Calibri"/>
          <w:color w:val="000000" w:themeColor="text1"/>
          <w:sz w:val="24"/>
          <w:szCs w:val="24"/>
          <w:highlight w:val="yellow"/>
        </w:rPr>
        <w:t>Install CRISPResso2 according to the instructions provided in the official repository.</w:t>
      </w:r>
    </w:p>
    <w:p w14:paraId="6CE49DC0" w14:textId="77777777" w:rsidR="001205FC" w:rsidRPr="00EE2398" w:rsidRDefault="001205FC" w:rsidP="008B793B">
      <w:pPr>
        <w:rPr>
          <w:color w:val="000000" w:themeColor="text1"/>
          <w:highlight w:val="yellow"/>
        </w:rPr>
      </w:pPr>
    </w:p>
    <w:p w14:paraId="4F26D1D2" w14:textId="2DF9CC28" w:rsidR="001205FC" w:rsidRPr="00EE2398" w:rsidRDefault="001205FC" w:rsidP="008B793B">
      <w:pPr>
        <w:pStyle w:val="ListParagraph"/>
        <w:numPr>
          <w:ilvl w:val="1"/>
          <w:numId w:val="29"/>
        </w:numPr>
        <w:spacing w:after="0" w:line="240" w:lineRule="auto"/>
        <w:rPr>
          <w:rFonts w:ascii="Calibri" w:hAnsi="Calibri" w:cs="Calibri"/>
          <w:color w:val="000000" w:themeColor="text1"/>
          <w:sz w:val="24"/>
          <w:szCs w:val="24"/>
          <w:highlight w:val="yellow"/>
        </w:rPr>
      </w:pPr>
      <w:r w:rsidRPr="00EE2398">
        <w:rPr>
          <w:rFonts w:ascii="Calibri" w:hAnsi="Calibri" w:cs="Calibri"/>
          <w:color w:val="000000" w:themeColor="text1"/>
          <w:sz w:val="24"/>
          <w:szCs w:val="24"/>
          <w:highlight w:val="yellow"/>
        </w:rPr>
        <w:t>Run CRISPResso2 batch analysis using batch files that specify the input FASTQ files and analysis parameters.</w:t>
      </w:r>
    </w:p>
    <w:p w14:paraId="1F4C49C5" w14:textId="77777777" w:rsidR="001205FC" w:rsidRPr="00EE2398" w:rsidRDefault="001205FC" w:rsidP="008B793B">
      <w:pPr>
        <w:rPr>
          <w:color w:val="000000" w:themeColor="text1"/>
          <w:highlight w:val="yellow"/>
        </w:rPr>
      </w:pPr>
    </w:p>
    <w:p w14:paraId="6C83BC09" w14:textId="798D12ED" w:rsidR="001205FC" w:rsidRPr="00EE2398" w:rsidRDefault="007801CE" w:rsidP="008B793B">
      <w:pPr>
        <w:pStyle w:val="ListParagraph"/>
        <w:numPr>
          <w:ilvl w:val="1"/>
          <w:numId w:val="29"/>
        </w:numPr>
        <w:spacing w:after="0" w:line="240" w:lineRule="auto"/>
        <w:rPr>
          <w:rFonts w:ascii="Calibri" w:hAnsi="Calibri" w:cs="Calibri"/>
          <w:color w:val="000000" w:themeColor="text1"/>
          <w:sz w:val="24"/>
          <w:szCs w:val="24"/>
          <w:highlight w:val="yellow"/>
        </w:rPr>
      </w:pPr>
      <w:r w:rsidRPr="00EE2398">
        <w:rPr>
          <w:rFonts w:ascii="Calibri" w:hAnsi="Calibri" w:cs="Calibri"/>
          <w:color w:val="000000" w:themeColor="text1"/>
          <w:sz w:val="24"/>
          <w:szCs w:val="24"/>
          <w:highlight w:val="yellow"/>
        </w:rPr>
        <w:t>To r</w:t>
      </w:r>
      <w:r w:rsidR="001205FC" w:rsidRPr="00EE2398">
        <w:rPr>
          <w:rFonts w:ascii="Calibri" w:hAnsi="Calibri" w:cs="Calibri"/>
          <w:color w:val="000000" w:themeColor="text1"/>
          <w:sz w:val="24"/>
          <w:szCs w:val="24"/>
          <w:highlight w:val="yellow"/>
        </w:rPr>
        <w:t>eview the reports</w:t>
      </w:r>
      <w:r w:rsidRPr="00EE2398">
        <w:rPr>
          <w:rFonts w:ascii="Calibri" w:hAnsi="Calibri" w:cs="Calibri"/>
          <w:color w:val="000000" w:themeColor="text1"/>
          <w:sz w:val="24"/>
          <w:szCs w:val="24"/>
          <w:highlight w:val="yellow"/>
        </w:rPr>
        <w:t xml:space="preserve">, </w:t>
      </w:r>
      <w:r w:rsidR="001205FC" w:rsidRPr="00EE2398">
        <w:rPr>
          <w:rFonts w:ascii="Calibri" w:hAnsi="Calibri" w:cs="Calibri"/>
          <w:color w:val="000000" w:themeColor="text1"/>
          <w:sz w:val="24"/>
          <w:szCs w:val="24"/>
          <w:highlight w:val="yellow"/>
        </w:rPr>
        <w:t>Open the HTML output report and confirm successful sample processing.</w:t>
      </w:r>
    </w:p>
    <w:p w14:paraId="14D1960A" w14:textId="77777777" w:rsidR="001205FC" w:rsidRPr="00EE2398" w:rsidRDefault="001205FC" w:rsidP="008B793B">
      <w:pPr>
        <w:rPr>
          <w:color w:val="000000" w:themeColor="text1"/>
          <w:highlight w:val="yellow"/>
        </w:rPr>
      </w:pPr>
    </w:p>
    <w:p w14:paraId="5D24DF15" w14:textId="73C05531" w:rsidR="001205FC" w:rsidRPr="00EE2398" w:rsidRDefault="001205FC" w:rsidP="008B793B">
      <w:pPr>
        <w:pStyle w:val="ListParagraph"/>
        <w:numPr>
          <w:ilvl w:val="1"/>
          <w:numId w:val="29"/>
        </w:numPr>
        <w:spacing w:after="0" w:line="240" w:lineRule="auto"/>
        <w:rPr>
          <w:rFonts w:ascii="Calibri" w:hAnsi="Calibri" w:cs="Calibri"/>
          <w:color w:val="000000" w:themeColor="text1"/>
          <w:sz w:val="24"/>
          <w:szCs w:val="24"/>
          <w:highlight w:val="yellow"/>
        </w:rPr>
      </w:pPr>
      <w:r w:rsidRPr="00EE2398">
        <w:rPr>
          <w:rFonts w:ascii="Calibri" w:hAnsi="Calibri" w:cs="Calibri"/>
          <w:color w:val="000000" w:themeColor="text1"/>
          <w:sz w:val="24"/>
          <w:szCs w:val="24"/>
          <w:highlight w:val="yellow"/>
        </w:rPr>
        <w:t>Extract quantitative outputs</w:t>
      </w:r>
      <w:r w:rsidR="003A29CA" w:rsidRPr="00EE2398">
        <w:rPr>
          <w:rFonts w:ascii="Calibri" w:hAnsi="Calibri" w:cs="Calibri"/>
          <w:color w:val="000000" w:themeColor="text1"/>
          <w:sz w:val="24"/>
          <w:szCs w:val="24"/>
          <w:highlight w:val="yellow"/>
        </w:rPr>
        <w:t xml:space="preserve"> like, </w:t>
      </w:r>
      <w:r w:rsidRPr="00EE2398">
        <w:rPr>
          <w:rFonts w:ascii="Calibri" w:hAnsi="Calibri" w:cs="Calibri"/>
          <w:color w:val="000000" w:themeColor="text1"/>
          <w:sz w:val="24"/>
          <w:szCs w:val="24"/>
          <w:highlight w:val="yellow"/>
        </w:rPr>
        <w:t>Extract the editing efficiency, nucleotide conversion frequencies, and insertion/deletion (indel) frequencies from the appropriate summary output files (</w:t>
      </w:r>
      <w:r w:rsidRPr="00EE2398">
        <w:rPr>
          <w:rFonts w:ascii="Calibri" w:hAnsi="Calibri" w:cs="Calibri"/>
          <w:b/>
          <w:bCs/>
          <w:color w:val="000000" w:themeColor="text1"/>
          <w:sz w:val="24"/>
          <w:szCs w:val="24"/>
          <w:highlight w:val="yellow"/>
        </w:rPr>
        <w:t>Table 8; Figure 4</w:t>
      </w:r>
      <w:r w:rsidRPr="00EE2398">
        <w:rPr>
          <w:rFonts w:ascii="Calibri" w:hAnsi="Calibri" w:cs="Calibri"/>
          <w:color w:val="000000" w:themeColor="text1"/>
          <w:sz w:val="24"/>
          <w:szCs w:val="24"/>
          <w:highlight w:val="yellow"/>
        </w:rPr>
        <w:t>).</w:t>
      </w:r>
    </w:p>
    <w:p w14:paraId="6A8F17AC" w14:textId="77777777" w:rsidR="001205FC" w:rsidRPr="00EE2398" w:rsidRDefault="001205FC" w:rsidP="008B793B">
      <w:pPr>
        <w:rPr>
          <w:color w:val="000000" w:themeColor="text1"/>
          <w:highlight w:val="yellow"/>
        </w:rPr>
      </w:pPr>
    </w:p>
    <w:p w14:paraId="6CF8F5AD" w14:textId="5A9B5989" w:rsidR="00035D47" w:rsidRPr="00EE2398" w:rsidRDefault="001205FC" w:rsidP="008B793B">
      <w:pPr>
        <w:pStyle w:val="ListParagraph"/>
        <w:numPr>
          <w:ilvl w:val="1"/>
          <w:numId w:val="29"/>
        </w:numPr>
        <w:spacing w:after="0" w:line="240" w:lineRule="auto"/>
        <w:rPr>
          <w:rFonts w:ascii="Calibri" w:hAnsi="Calibri" w:cs="Calibri"/>
          <w:sz w:val="24"/>
          <w:szCs w:val="24"/>
          <w:highlight w:val="yellow"/>
        </w:rPr>
      </w:pPr>
      <w:r w:rsidRPr="00EE2398">
        <w:rPr>
          <w:rFonts w:ascii="Calibri" w:hAnsi="Calibri" w:cs="Calibri"/>
          <w:color w:val="000000" w:themeColor="text1"/>
          <w:sz w:val="24"/>
          <w:szCs w:val="24"/>
          <w:highlight w:val="yellow"/>
        </w:rPr>
        <w:t xml:space="preserve">Export the quantitative output values for downstream plotting and </w:t>
      </w:r>
      <w:r w:rsidR="003D6779" w:rsidRPr="00EE2398">
        <w:rPr>
          <w:rFonts w:ascii="Calibri" w:hAnsi="Calibri" w:cs="Calibri"/>
          <w:sz w:val="24"/>
          <w:szCs w:val="24"/>
          <w:highlight w:val="yellow"/>
        </w:rPr>
        <w:t>data interpretation.</w:t>
      </w:r>
    </w:p>
    <w:p w14:paraId="07DC7A49" w14:textId="77777777" w:rsidR="00830671" w:rsidRPr="00035D47" w:rsidRDefault="00830671" w:rsidP="001205FC"/>
    <w:p w14:paraId="0FC03C25" w14:textId="27F2CFE8" w:rsidR="006E4797" w:rsidRDefault="2102927C" w:rsidP="00035D47">
      <w:pPr>
        <w:pStyle w:val="Heading1"/>
        <w:spacing w:before="0" w:after="0"/>
        <w:rPr>
          <w:color w:val="000000" w:themeColor="text1"/>
          <w:sz w:val="24"/>
          <w:szCs w:val="24"/>
        </w:rPr>
      </w:pPr>
      <w:r w:rsidRPr="2830268F">
        <w:rPr>
          <w:color w:val="000000" w:themeColor="text1"/>
          <w:sz w:val="24"/>
          <w:szCs w:val="24"/>
        </w:rPr>
        <w:t>RESULTS</w:t>
      </w:r>
      <w:r w:rsidR="00963FB9">
        <w:rPr>
          <w:color w:val="000000" w:themeColor="text1"/>
          <w:sz w:val="24"/>
          <w:szCs w:val="24"/>
        </w:rPr>
        <w:t>:</w:t>
      </w:r>
    </w:p>
    <w:p w14:paraId="25949CAE" w14:textId="77777777" w:rsidR="00963FB9" w:rsidRPr="00963FB9" w:rsidRDefault="00963FB9" w:rsidP="00963FB9"/>
    <w:p w14:paraId="472009C4" w14:textId="0F6BFF54" w:rsidR="009952DF" w:rsidRDefault="00342831" w:rsidP="2830268F">
      <w:pPr>
        <w:rPr>
          <w:color w:val="000000" w:themeColor="text1"/>
        </w:rPr>
      </w:pPr>
      <w:r>
        <w:rPr>
          <w:color w:val="000000" w:themeColor="text1"/>
        </w:rPr>
        <w:t>Using an efficient editor with an easily accessed test site in, such as the ABE8e</w:t>
      </w:r>
      <w:r w:rsidR="00624EA2">
        <w:rPr>
          <w:color w:val="000000" w:themeColor="text1"/>
        </w:rPr>
        <w:t xml:space="preserve"> base</w:t>
      </w:r>
      <w:r>
        <w:rPr>
          <w:color w:val="000000" w:themeColor="text1"/>
        </w:rPr>
        <w:t xml:space="preserve"> editor with the HEK3 control site, can often result in editing efficiencies above 90% if the delivery system is well-suited for the </w:t>
      </w:r>
      <w:r w:rsidR="00624EA2">
        <w:rPr>
          <w:color w:val="000000" w:themeColor="text1"/>
        </w:rPr>
        <w:t>cells used in the experiment</w:t>
      </w:r>
      <w:r>
        <w:rPr>
          <w:color w:val="000000" w:themeColor="text1"/>
        </w:rPr>
        <w:t>.</w:t>
      </w:r>
      <w:r w:rsidR="00624EA2">
        <w:rPr>
          <w:color w:val="000000" w:themeColor="text1"/>
        </w:rPr>
        <w:t xml:space="preserve"> </w:t>
      </w:r>
      <w:r w:rsidR="00445B26">
        <w:rPr>
          <w:color w:val="000000" w:themeColor="text1"/>
        </w:rPr>
        <w:t xml:space="preserve">Lower editing efficiencies may result if there are problems with the </w:t>
      </w:r>
      <w:r w:rsidR="00624EA2">
        <w:rPr>
          <w:color w:val="000000" w:themeColor="text1"/>
        </w:rPr>
        <w:t>editor mRNA, guide RNA, the target site, or the delivery conditions</w:t>
      </w:r>
      <w:r w:rsidR="00A27936">
        <w:rPr>
          <w:color w:val="000000" w:themeColor="text1"/>
        </w:rPr>
        <w:t xml:space="preserve"> that make any less well-suited to editing</w:t>
      </w:r>
      <w:r w:rsidR="00445B26">
        <w:rPr>
          <w:color w:val="000000" w:themeColor="text1"/>
        </w:rPr>
        <w:t>.</w:t>
      </w:r>
      <w:r w:rsidR="00624EA2">
        <w:rPr>
          <w:color w:val="000000" w:themeColor="text1"/>
        </w:rPr>
        <w:t xml:space="preserve"> Using Cas9 variants that access more versatile PAM sequences</w:t>
      </w:r>
      <w:r w:rsidR="009952DF">
        <w:rPr>
          <w:color w:val="000000" w:themeColor="text1"/>
        </w:rPr>
        <w:t xml:space="preserve"> but bind them less tightly</w:t>
      </w:r>
      <w:r w:rsidR="00624EA2">
        <w:rPr>
          <w:color w:val="000000" w:themeColor="text1"/>
        </w:rPr>
        <w:t xml:space="preserve"> or targeting editors to nucleotides that are outside their</w:t>
      </w:r>
      <w:r w:rsidR="009952DF">
        <w:rPr>
          <w:color w:val="000000" w:themeColor="text1"/>
        </w:rPr>
        <w:t xml:space="preserve"> ideal editing window, can reduce editing efficiency.</w:t>
      </w:r>
      <w:r w:rsidR="00F44732">
        <w:rPr>
          <w:color w:val="000000" w:themeColor="text1"/>
        </w:rPr>
        <w:t xml:space="preserve"> </w:t>
      </w:r>
      <w:r w:rsidR="00F44732" w:rsidRPr="00F44732">
        <w:rPr>
          <w:color w:val="000000" w:themeColor="text1"/>
        </w:rPr>
        <w:t xml:space="preserve">Successful IVT-generated editor mRNAs typically appear </w:t>
      </w:r>
      <w:r w:rsidR="00F44732" w:rsidRPr="00F44732">
        <w:rPr>
          <w:color w:val="000000" w:themeColor="text1"/>
        </w:rPr>
        <w:lastRenderedPageBreak/>
        <w:t>as a single predominant band with minimal smearing or low-molecular-weight degradation products, indicating high transcript integrity suitable for downstream electroporation (</w:t>
      </w:r>
      <w:r w:rsidR="00F44732" w:rsidRPr="0075521C">
        <w:rPr>
          <w:b/>
          <w:bCs/>
          <w:color w:val="000000" w:themeColor="text1"/>
        </w:rPr>
        <w:t>Figure 2</w:t>
      </w:r>
      <w:r w:rsidR="00F44732" w:rsidRPr="00F44732">
        <w:rPr>
          <w:color w:val="000000" w:themeColor="text1"/>
        </w:rPr>
        <w:t>).</w:t>
      </w:r>
    </w:p>
    <w:p w14:paraId="41A59731" w14:textId="77777777" w:rsidR="009952DF" w:rsidRDefault="009952DF" w:rsidP="2830268F">
      <w:pPr>
        <w:rPr>
          <w:color w:val="000000" w:themeColor="text1"/>
        </w:rPr>
      </w:pPr>
    </w:p>
    <w:p w14:paraId="0954D2E6" w14:textId="1C45C283" w:rsidR="009F28E7" w:rsidRDefault="2102927C" w:rsidP="2830268F">
      <w:pPr>
        <w:rPr>
          <w:color w:val="000000" w:themeColor="text1"/>
        </w:rPr>
      </w:pPr>
      <w:r w:rsidRPr="02C33499">
        <w:rPr>
          <w:color w:val="000000" w:themeColor="text1"/>
        </w:rPr>
        <w:t xml:space="preserve">After electroporation of editor mRNA and synthetic guide RNAs, </w:t>
      </w:r>
      <w:r w:rsidR="009F28E7" w:rsidRPr="02C33499">
        <w:rPr>
          <w:color w:val="000000" w:themeColor="text1"/>
        </w:rPr>
        <w:t xml:space="preserve">most </w:t>
      </w:r>
      <w:r w:rsidRPr="02C33499">
        <w:rPr>
          <w:color w:val="000000" w:themeColor="text1"/>
        </w:rPr>
        <w:t>cells recover within 24</w:t>
      </w:r>
      <w:r w:rsidR="00EA7F65" w:rsidRPr="00EA7F65">
        <w:t>–</w:t>
      </w:r>
      <w:r w:rsidRPr="02C33499">
        <w:rPr>
          <w:color w:val="000000" w:themeColor="text1"/>
        </w:rPr>
        <w:t>48 h and maintain their typical morphology with suitable electroporation program</w:t>
      </w:r>
      <w:r w:rsidR="00280C0D" w:rsidRPr="02C33499">
        <w:rPr>
          <w:color w:val="000000" w:themeColor="text1"/>
        </w:rPr>
        <w:t>s (</w:t>
      </w:r>
      <w:r w:rsidR="00280C0D" w:rsidRPr="02C33499">
        <w:rPr>
          <w:b/>
          <w:bCs/>
          <w:color w:val="000000" w:themeColor="text1"/>
        </w:rPr>
        <w:t xml:space="preserve">Figure </w:t>
      </w:r>
      <w:r w:rsidR="00544FB4">
        <w:rPr>
          <w:b/>
          <w:bCs/>
          <w:color w:val="000000" w:themeColor="text1"/>
        </w:rPr>
        <w:t>3</w:t>
      </w:r>
      <w:r w:rsidR="00280C0D" w:rsidRPr="02C33499">
        <w:rPr>
          <w:b/>
          <w:bCs/>
          <w:color w:val="000000" w:themeColor="text1"/>
        </w:rPr>
        <w:t>–</w:t>
      </w:r>
      <w:r w:rsidR="00544FB4">
        <w:rPr>
          <w:b/>
          <w:bCs/>
          <w:color w:val="000000" w:themeColor="text1"/>
        </w:rPr>
        <w:t>4</w:t>
      </w:r>
      <w:r w:rsidR="00280C0D" w:rsidRPr="02C33499">
        <w:rPr>
          <w:color w:val="000000" w:themeColor="text1"/>
        </w:rPr>
        <w:t>)</w:t>
      </w:r>
      <w:r w:rsidRPr="02C33499">
        <w:rPr>
          <w:color w:val="000000" w:themeColor="text1"/>
        </w:rPr>
        <w:t>.</w:t>
      </w:r>
      <w:r w:rsidR="72CB3E84" w:rsidRPr="02C33499">
        <w:rPr>
          <w:color w:val="000000" w:themeColor="text1"/>
        </w:rPr>
        <w:t xml:space="preserve"> Electroporation conditions should be tailored to the specific cell type, as different buffers can yield markedly different outcomes. </w:t>
      </w:r>
      <w:r w:rsidR="00DF4D5B">
        <w:rPr>
          <w:color w:val="000000" w:themeColor="text1"/>
        </w:rPr>
        <w:t xml:space="preserve">The online Lonza Knowledge Center </w:t>
      </w:r>
      <w:r w:rsidR="00FC7B62">
        <w:rPr>
          <w:color w:val="000000" w:themeColor="text1"/>
        </w:rPr>
        <w:t xml:space="preserve">makes recommendations for buffer and electroporation codes for common cell types, and Lonza offers separate optimization kits for cell lines and primary cells. </w:t>
      </w:r>
      <w:r w:rsidR="004A4562">
        <w:rPr>
          <w:color w:val="000000" w:themeColor="text1"/>
        </w:rPr>
        <w:t>E</w:t>
      </w:r>
      <w:r w:rsidR="72CB3E84" w:rsidRPr="02C33499">
        <w:rPr>
          <w:color w:val="000000" w:themeColor="text1"/>
        </w:rPr>
        <w:t xml:space="preserve">mpirical comparison of buffers </w:t>
      </w:r>
      <w:r w:rsidR="009F28E7" w:rsidRPr="02C33499">
        <w:rPr>
          <w:color w:val="000000" w:themeColor="text1"/>
        </w:rPr>
        <w:t>can help</w:t>
      </w:r>
      <w:r w:rsidR="72CB3E84" w:rsidRPr="02C33499">
        <w:rPr>
          <w:color w:val="000000" w:themeColor="text1"/>
        </w:rPr>
        <w:t xml:space="preserve"> identify optimal conditions for efficient </w:t>
      </w:r>
      <w:r w:rsidR="0097055B">
        <w:rPr>
          <w:color w:val="000000" w:themeColor="text1"/>
        </w:rPr>
        <w:t>delivery</w:t>
      </w:r>
      <w:r w:rsidR="72CB3E84" w:rsidRPr="02C33499">
        <w:rPr>
          <w:color w:val="000000" w:themeColor="text1"/>
        </w:rPr>
        <w:t>.</w:t>
      </w:r>
      <w:r w:rsidR="009F28E7" w:rsidRPr="02C33499">
        <w:rPr>
          <w:color w:val="000000" w:themeColor="text1"/>
        </w:rPr>
        <w:t xml:space="preserve"> </w:t>
      </w:r>
      <w:r w:rsidRPr="02C33499">
        <w:rPr>
          <w:color w:val="000000" w:themeColor="text1"/>
        </w:rPr>
        <w:t xml:space="preserve">Unsuitable programs </w:t>
      </w:r>
      <w:r w:rsidR="00A0338E">
        <w:rPr>
          <w:color w:val="000000" w:themeColor="text1"/>
        </w:rPr>
        <w:t xml:space="preserve">may lead to no delivery at all or </w:t>
      </w:r>
      <w:r w:rsidRPr="02C33499">
        <w:rPr>
          <w:color w:val="000000" w:themeColor="text1"/>
        </w:rPr>
        <w:t xml:space="preserve">can be </w:t>
      </w:r>
      <w:r w:rsidR="009F28E7" w:rsidRPr="02C33499">
        <w:rPr>
          <w:color w:val="000000" w:themeColor="text1"/>
        </w:rPr>
        <w:t xml:space="preserve">highly </w:t>
      </w:r>
      <w:r w:rsidRPr="02C33499">
        <w:rPr>
          <w:color w:val="000000" w:themeColor="text1"/>
        </w:rPr>
        <w:t>toxic to cells</w:t>
      </w:r>
      <w:r w:rsidR="009F28E7" w:rsidRPr="02C33499">
        <w:rPr>
          <w:color w:val="000000" w:themeColor="text1"/>
        </w:rPr>
        <w:t xml:space="preserve"> (losing over 50%</w:t>
      </w:r>
      <w:r w:rsidR="00A0338E">
        <w:rPr>
          <w:color w:val="000000" w:themeColor="text1"/>
        </w:rPr>
        <w:t xml:space="preserve"> or</w:t>
      </w:r>
      <w:r w:rsidR="00C77FDD">
        <w:rPr>
          <w:color w:val="000000" w:themeColor="text1"/>
        </w:rPr>
        <w:t xml:space="preserve"> preventing continuation of the cell cycle</w:t>
      </w:r>
      <w:r w:rsidR="009F28E7" w:rsidRPr="02C33499">
        <w:rPr>
          <w:color w:val="000000" w:themeColor="text1"/>
        </w:rPr>
        <w:t>)</w:t>
      </w:r>
      <w:r w:rsidRPr="02C33499">
        <w:rPr>
          <w:color w:val="000000" w:themeColor="text1"/>
        </w:rPr>
        <w:t xml:space="preserve">. </w:t>
      </w:r>
      <w:r w:rsidR="00F44732" w:rsidRPr="00F44732">
        <w:rPr>
          <w:color w:val="000000" w:themeColor="text1"/>
        </w:rPr>
        <w:t>Representative optimization experiments demonstrated substantial differences in editing outcomes across electroporation conditions, with some programs yielding high editing efficiencies while others produced minimal editing, highlighting the importance of empirical optimization for each cell type (</w:t>
      </w:r>
      <w:r w:rsidR="00F44732" w:rsidRPr="0075521C">
        <w:rPr>
          <w:b/>
          <w:bCs/>
          <w:color w:val="000000" w:themeColor="text1"/>
        </w:rPr>
        <w:t>Figure 3–4</w:t>
      </w:r>
      <w:r w:rsidR="00F44732" w:rsidRPr="00F44732">
        <w:rPr>
          <w:color w:val="000000" w:themeColor="text1"/>
        </w:rPr>
        <w:t>).</w:t>
      </w:r>
    </w:p>
    <w:p w14:paraId="2F546B6C" w14:textId="77777777" w:rsidR="009F28E7" w:rsidRDefault="009F28E7" w:rsidP="2830268F">
      <w:pPr>
        <w:rPr>
          <w:color w:val="000000" w:themeColor="text1"/>
        </w:rPr>
      </w:pPr>
    </w:p>
    <w:p w14:paraId="715949D2" w14:textId="3A0BBDCF" w:rsidR="006E4797" w:rsidRDefault="69DC8F38" w:rsidP="5E2D72FC">
      <w:pPr>
        <w:rPr>
          <w:color w:val="000000" w:themeColor="text1"/>
        </w:rPr>
      </w:pPr>
      <w:r w:rsidRPr="5E2D72FC">
        <w:rPr>
          <w:color w:val="000000" w:themeColor="text1"/>
        </w:rPr>
        <w:t>Across iPSCs, fibroblasts, and LCLs, targeted ampli</w:t>
      </w:r>
      <w:r w:rsidRPr="00624EA2">
        <w:rPr>
          <w:color w:val="000000" w:themeColor="text1"/>
        </w:rPr>
        <w:t xml:space="preserve">con sequencing followed by CRISPResso2 analysis </w:t>
      </w:r>
      <w:r w:rsidR="155D9527" w:rsidRPr="00624EA2">
        <w:rPr>
          <w:color w:val="000000" w:themeColor="text1"/>
        </w:rPr>
        <w:t xml:space="preserve">is used to </w:t>
      </w:r>
      <w:r w:rsidRPr="00624EA2">
        <w:rPr>
          <w:color w:val="000000" w:themeColor="text1"/>
        </w:rPr>
        <w:t>quantif</w:t>
      </w:r>
      <w:r w:rsidR="155D9527" w:rsidRPr="00624EA2">
        <w:rPr>
          <w:color w:val="000000" w:themeColor="text1"/>
        </w:rPr>
        <w:t>y</w:t>
      </w:r>
      <w:r w:rsidRPr="00624EA2">
        <w:rPr>
          <w:color w:val="000000" w:themeColor="text1"/>
        </w:rPr>
        <w:t xml:space="preserve"> editing efficiency and byproducts</w:t>
      </w:r>
      <w:r w:rsidR="41DA5711" w:rsidRPr="00624EA2">
        <w:rPr>
          <w:color w:val="000000" w:themeColor="text1"/>
        </w:rPr>
        <w:t xml:space="preserve"> (</w:t>
      </w:r>
      <w:r w:rsidR="41DA5711" w:rsidRPr="00624EA2">
        <w:rPr>
          <w:b/>
          <w:bCs/>
          <w:color w:val="000000" w:themeColor="text1"/>
        </w:rPr>
        <w:t>Figure 4</w:t>
      </w:r>
      <w:r w:rsidR="41DA5711" w:rsidRPr="00624EA2">
        <w:rPr>
          <w:color w:val="000000" w:themeColor="text1"/>
        </w:rPr>
        <w:t>)</w:t>
      </w:r>
      <w:r w:rsidRPr="00624EA2">
        <w:rPr>
          <w:color w:val="000000" w:themeColor="text1"/>
        </w:rPr>
        <w:t xml:space="preserve">. </w:t>
      </w:r>
      <w:r w:rsidR="155D9527" w:rsidRPr="00591FD3">
        <w:rPr>
          <w:rFonts w:asciiTheme="majorHAnsi" w:hAnsiTheme="majorHAnsi" w:cstheme="majorHAnsi"/>
          <w:color w:val="000000" w:themeColor="text1"/>
        </w:rPr>
        <w:t xml:space="preserve">Adenine </w:t>
      </w:r>
      <w:r w:rsidR="155D9527" w:rsidRPr="00591FD3">
        <w:rPr>
          <w:rFonts w:asciiTheme="majorHAnsi" w:eastAsia="Segoe UI" w:hAnsiTheme="majorHAnsi" w:cstheme="majorHAnsi"/>
        </w:rPr>
        <w:t>b</w:t>
      </w:r>
      <w:r w:rsidR="30743F92" w:rsidRPr="00591FD3">
        <w:rPr>
          <w:rFonts w:asciiTheme="majorHAnsi" w:eastAsia="Segoe UI" w:hAnsiTheme="majorHAnsi" w:cstheme="majorHAnsi"/>
        </w:rPr>
        <w:t xml:space="preserve">ase editing </w:t>
      </w:r>
      <w:r w:rsidR="155D9527" w:rsidRPr="00591FD3">
        <w:rPr>
          <w:rFonts w:asciiTheme="majorHAnsi" w:eastAsia="Segoe UI" w:hAnsiTheme="majorHAnsi" w:cstheme="majorHAnsi"/>
        </w:rPr>
        <w:t>of the HEK3 test locus is shown here (</w:t>
      </w:r>
      <w:r w:rsidR="155D9527" w:rsidRPr="00591FD3">
        <w:rPr>
          <w:rFonts w:asciiTheme="majorHAnsi" w:eastAsia="Segoe UI" w:hAnsiTheme="majorHAnsi" w:cstheme="majorHAnsi"/>
          <w:b/>
          <w:bCs/>
        </w:rPr>
        <w:t>Figure 4</w:t>
      </w:r>
      <w:r w:rsidR="155D9527" w:rsidRPr="00591FD3">
        <w:rPr>
          <w:rFonts w:asciiTheme="majorHAnsi" w:eastAsia="Segoe UI" w:hAnsiTheme="majorHAnsi" w:cstheme="majorHAnsi"/>
        </w:rPr>
        <w:t xml:space="preserve">), which </w:t>
      </w:r>
      <w:r w:rsidR="30743F92" w:rsidRPr="00591FD3">
        <w:rPr>
          <w:rFonts w:asciiTheme="majorHAnsi" w:eastAsia="Segoe UI" w:hAnsiTheme="majorHAnsi" w:cstheme="majorHAnsi"/>
        </w:rPr>
        <w:t xml:space="preserve">resulted in </w:t>
      </w:r>
      <w:r w:rsidR="155D9527" w:rsidRPr="00591FD3">
        <w:rPr>
          <w:rFonts w:asciiTheme="majorHAnsi" w:eastAsia="Segoe UI" w:hAnsiTheme="majorHAnsi" w:cstheme="majorHAnsi"/>
        </w:rPr>
        <w:t xml:space="preserve">the </w:t>
      </w:r>
      <w:r w:rsidR="30743F92" w:rsidRPr="00591FD3">
        <w:rPr>
          <w:rFonts w:asciiTheme="majorHAnsi" w:eastAsia="Segoe UI" w:hAnsiTheme="majorHAnsi" w:cstheme="majorHAnsi"/>
        </w:rPr>
        <w:t>intended nucleotide conversions with low indel frequencies in the analyzed samples</w:t>
      </w:r>
      <w:r w:rsidR="155D9527" w:rsidRPr="00591FD3">
        <w:rPr>
          <w:rFonts w:asciiTheme="majorHAnsi" w:eastAsia="Segoe UI" w:hAnsiTheme="majorHAnsi" w:cstheme="majorHAnsi"/>
        </w:rPr>
        <w:t>.</w:t>
      </w:r>
      <w:r w:rsidR="30743F92" w:rsidRPr="00591FD3">
        <w:rPr>
          <w:rFonts w:asciiTheme="majorHAnsi" w:hAnsiTheme="majorHAnsi" w:cstheme="majorHAnsi"/>
          <w:color w:val="000000" w:themeColor="text1"/>
        </w:rPr>
        <w:t xml:space="preserve"> </w:t>
      </w:r>
      <w:r w:rsidR="00F44732" w:rsidRPr="00F44732">
        <w:rPr>
          <w:rFonts w:asciiTheme="majorHAnsi" w:hAnsiTheme="majorHAnsi" w:cstheme="majorHAnsi"/>
          <w:color w:val="000000" w:themeColor="text1"/>
        </w:rPr>
        <w:t>CRISPResso2 analysis enables visualization of edited and unedited alleles at the target locus and facilitates quantification of intended nucleotide conversions, indel frequencies, and other editing byproducts, providing a comprehensive assessment of editing outcomes (</w:t>
      </w:r>
      <w:r w:rsidR="00F44732" w:rsidRPr="0075521C">
        <w:rPr>
          <w:rFonts w:asciiTheme="majorHAnsi" w:hAnsiTheme="majorHAnsi" w:cstheme="majorHAnsi"/>
          <w:b/>
          <w:bCs/>
          <w:color w:val="000000" w:themeColor="text1"/>
        </w:rPr>
        <w:t>Figure 5</w:t>
      </w:r>
      <w:r w:rsidR="00F44732" w:rsidRPr="00F44732">
        <w:rPr>
          <w:rFonts w:asciiTheme="majorHAnsi" w:hAnsiTheme="majorHAnsi" w:cstheme="majorHAnsi"/>
          <w:color w:val="000000" w:themeColor="text1"/>
        </w:rPr>
        <w:t>).</w:t>
      </w:r>
      <w:r w:rsidR="00F44732">
        <w:rPr>
          <w:rFonts w:asciiTheme="majorHAnsi" w:hAnsiTheme="majorHAnsi" w:cstheme="majorHAnsi"/>
          <w:color w:val="000000" w:themeColor="text1"/>
        </w:rPr>
        <w:t xml:space="preserve"> </w:t>
      </w:r>
      <w:r w:rsidR="6BE867C1" w:rsidRPr="00591FD3">
        <w:rPr>
          <w:rFonts w:asciiTheme="majorHAnsi" w:hAnsiTheme="majorHAnsi" w:cstheme="majorHAnsi"/>
          <w:color w:val="000000" w:themeColor="text1"/>
        </w:rPr>
        <w:t xml:space="preserve">Editing efficiency is quantified by measuring the frequency of this precise single-nucleotide substitution at the target site. </w:t>
      </w:r>
      <w:r w:rsidR="6BE867C1" w:rsidRPr="5E2D72FC">
        <w:rPr>
          <w:color w:val="000000" w:themeColor="text1"/>
        </w:rPr>
        <w:t xml:space="preserve">The HEK3 locus is used as a model locus due to its well-characterized editing profile and reproducibility across experimental systems, enabling robust evaluation of base editing performance under different conditions. </w:t>
      </w:r>
      <w:r w:rsidR="155D9527" w:rsidRPr="5E2D72FC">
        <w:rPr>
          <w:color w:val="000000" w:themeColor="text1"/>
        </w:rPr>
        <w:t>We recommend testing this guide as a positive control in human cells when optimizing new editing procedures.</w:t>
      </w:r>
      <w:r w:rsidR="6AF915DF" w:rsidRPr="5E2D72FC">
        <w:rPr>
          <w:color w:val="000000" w:themeColor="text1"/>
        </w:rPr>
        <w:t xml:space="preserve"> Base editing is typically enriched for intended nucleotide conversions with low indel frequencies, whereas prime editing yields a mixture of precise edits and low-frequency byproducts</w:t>
      </w:r>
      <w:proofErr w:type="gramStart"/>
      <w:r w:rsidR="6AF915DF" w:rsidRPr="5E2D72FC">
        <w:rPr>
          <w:color w:val="000000" w:themeColor="text1"/>
        </w:rPr>
        <w:t>³</w:t>
      </w:r>
      <w:r w:rsidR="00B809EC">
        <w:rPr>
          <w:vertAlign w:val="superscript"/>
        </w:rPr>
        <w:t>,</w:t>
      </w:r>
      <w:r w:rsidR="6AF915DF" w:rsidRPr="5E2D72FC">
        <w:rPr>
          <w:color w:val="000000" w:themeColor="text1"/>
        </w:rPr>
        <w:t>¹</w:t>
      </w:r>
      <w:proofErr w:type="gramEnd"/>
      <w:r w:rsidR="6AF915DF" w:rsidRPr="5E2D72FC">
        <w:rPr>
          <w:color w:val="000000" w:themeColor="text1"/>
        </w:rPr>
        <w:t>².</w:t>
      </w:r>
      <w:r w:rsidR="04E2BCC5" w:rsidRPr="5E2D72FC">
        <w:rPr>
          <w:color w:val="000000" w:themeColor="text1"/>
        </w:rPr>
        <w:t xml:space="preserve"> Editing efficiencies varied across conditions, with clear differences observed between cell types and electroporation programs</w:t>
      </w:r>
      <w:r w:rsidR="3658CF59" w:rsidRPr="5E2D72FC">
        <w:rPr>
          <w:color w:val="000000" w:themeColor="text1"/>
        </w:rPr>
        <w:t xml:space="preserve"> (</w:t>
      </w:r>
      <w:r w:rsidR="3658CF59" w:rsidRPr="00B809EC">
        <w:rPr>
          <w:b/>
          <w:bCs/>
          <w:color w:val="000000" w:themeColor="text1"/>
        </w:rPr>
        <w:t>Fig</w:t>
      </w:r>
      <w:r w:rsidR="00B809EC" w:rsidRPr="00B809EC">
        <w:rPr>
          <w:b/>
          <w:bCs/>
          <w:color w:val="000000" w:themeColor="text1"/>
        </w:rPr>
        <w:t>ure</w:t>
      </w:r>
      <w:r w:rsidR="3658CF59" w:rsidRPr="00B809EC">
        <w:rPr>
          <w:b/>
          <w:bCs/>
          <w:color w:val="000000" w:themeColor="text1"/>
        </w:rPr>
        <w:t xml:space="preserve"> </w:t>
      </w:r>
      <w:r w:rsidR="00544FB4">
        <w:rPr>
          <w:b/>
          <w:bCs/>
          <w:color w:val="000000" w:themeColor="text1"/>
        </w:rPr>
        <w:t>3</w:t>
      </w:r>
      <w:r w:rsidR="3658CF59" w:rsidRPr="00B809EC">
        <w:rPr>
          <w:b/>
          <w:bCs/>
          <w:color w:val="000000" w:themeColor="text1"/>
        </w:rPr>
        <w:t>-</w:t>
      </w:r>
      <w:r w:rsidR="00544FB4">
        <w:rPr>
          <w:b/>
          <w:bCs/>
          <w:color w:val="000000" w:themeColor="text1"/>
        </w:rPr>
        <w:t>4</w:t>
      </w:r>
      <w:r w:rsidR="3658CF59" w:rsidRPr="5E2D72FC">
        <w:rPr>
          <w:color w:val="000000" w:themeColor="text1"/>
        </w:rPr>
        <w:t>,)</w:t>
      </w:r>
      <w:r w:rsidR="04E2BCC5" w:rsidRPr="5E2D72FC">
        <w:rPr>
          <w:color w:val="000000" w:themeColor="text1"/>
        </w:rPr>
        <w:t>. These variations likely reflect differences in cellular uptake, viability, and DNA repair activity, as well as the influence of electroporation parameters on delivery efficiency. Collectively, these findings highlight the importance of cell type</w:t>
      </w:r>
      <w:r w:rsidR="0FEC3E80" w:rsidRPr="5E2D72FC">
        <w:rPr>
          <w:color w:val="000000" w:themeColor="text1"/>
        </w:rPr>
        <w:t>-</w:t>
      </w:r>
      <w:r w:rsidR="04E2BCC5" w:rsidRPr="5E2D72FC">
        <w:rPr>
          <w:color w:val="000000" w:themeColor="text1"/>
        </w:rPr>
        <w:t>specific optimization of electroporation settings to achieve consistent and maximal editing outcomes.</w:t>
      </w:r>
    </w:p>
    <w:p w14:paraId="0316FB8F" w14:textId="77777777" w:rsidR="00035D47" w:rsidRPr="00035D47" w:rsidRDefault="00035D47" w:rsidP="00035D47"/>
    <w:p w14:paraId="6950BACD" w14:textId="09BC01CC" w:rsidR="006E4797" w:rsidRPr="00035D47" w:rsidRDefault="2102927C" w:rsidP="00035D47">
      <w:pPr>
        <w:pStyle w:val="Heading1"/>
        <w:spacing w:before="0" w:after="0"/>
        <w:rPr>
          <w:sz w:val="24"/>
          <w:szCs w:val="24"/>
        </w:rPr>
      </w:pPr>
      <w:r w:rsidRPr="2830268F">
        <w:rPr>
          <w:color w:val="000000" w:themeColor="text1"/>
          <w:sz w:val="24"/>
          <w:szCs w:val="24"/>
        </w:rPr>
        <w:t>FIGURE AND TABLE LEGENDS</w:t>
      </w:r>
    </w:p>
    <w:p w14:paraId="1DB6117E" w14:textId="4B84BAF1" w:rsidR="006E4797" w:rsidRDefault="69DC8F38" w:rsidP="00035D47">
      <w:pPr>
        <w:rPr>
          <w:color w:val="000000" w:themeColor="text1"/>
        </w:rPr>
      </w:pPr>
      <w:r w:rsidRPr="5E2D72FC">
        <w:rPr>
          <w:b/>
          <w:bCs/>
          <w:color w:val="000000" w:themeColor="text1"/>
        </w:rPr>
        <w:t>Figure 1. Preparation of editor mRNA by in vitro transcription.</w:t>
      </w:r>
      <w:r w:rsidR="2102927C">
        <w:br/>
      </w:r>
      <w:r w:rsidR="3728BB0A" w:rsidRPr="5E2D72FC">
        <w:rPr>
          <w:color w:val="000000" w:themeColor="text1"/>
        </w:rPr>
        <w:t xml:space="preserve">Schematic overview of editor mRNA generation. (Step 1) Preparation of plasmid template containing the editor coding sequence and T7 promoter. (Step 2) PCR amplification to generate a linear DNA template. (Step 3) In vitro transcription using T7 RNA polymerase to synthesize capped mRNA. (Step 4) Purification of mRNA to remove template DNA, enzymes, and free nucleotides. </w:t>
      </w:r>
      <w:r w:rsidRPr="5E2D72FC">
        <w:rPr>
          <w:color w:val="000000" w:themeColor="text1"/>
        </w:rPr>
        <w:t>The resulting capped mRNA is suitable for downstream delivery into mammalian cells by electroporation or lipid nanoparticle.</w:t>
      </w:r>
    </w:p>
    <w:p w14:paraId="3704D984" w14:textId="66A9016F" w:rsidR="5E2D72FC" w:rsidRDefault="5E2D72FC" w:rsidP="5E2D72FC">
      <w:pPr>
        <w:rPr>
          <w:color w:val="000000" w:themeColor="text1"/>
        </w:rPr>
      </w:pPr>
    </w:p>
    <w:p w14:paraId="134E09BA" w14:textId="77777777" w:rsidR="009D1A2A" w:rsidRDefault="009D1A2A" w:rsidP="009D1A2A">
      <w:pPr>
        <w:rPr>
          <w:b/>
          <w:bCs/>
          <w:color w:val="000000" w:themeColor="text1"/>
        </w:rPr>
      </w:pPr>
      <w:r w:rsidRPr="00035D47">
        <w:rPr>
          <w:b/>
          <w:bCs/>
          <w:color w:val="000000" w:themeColor="text1"/>
        </w:rPr>
        <w:t xml:space="preserve">Figure </w:t>
      </w:r>
      <w:r>
        <w:rPr>
          <w:b/>
          <w:bCs/>
          <w:color w:val="000000" w:themeColor="text1"/>
        </w:rPr>
        <w:t>2</w:t>
      </w:r>
      <w:r w:rsidRPr="00035D47">
        <w:rPr>
          <w:b/>
          <w:bCs/>
          <w:color w:val="000000" w:themeColor="text1"/>
        </w:rPr>
        <w:t xml:space="preserve">. </w:t>
      </w:r>
      <w:r>
        <w:rPr>
          <w:b/>
          <w:bCs/>
          <w:color w:val="000000" w:themeColor="text1"/>
        </w:rPr>
        <w:t>Example image of mRNA gel electrophoresis</w:t>
      </w:r>
    </w:p>
    <w:p w14:paraId="33D7E768" w14:textId="02C717DB" w:rsidR="009D1A2A" w:rsidRDefault="00F92A2D" w:rsidP="009D1A2A">
      <w:pPr>
        <w:rPr>
          <w:color w:val="000000" w:themeColor="text1"/>
        </w:rPr>
      </w:pPr>
      <w:r>
        <w:rPr>
          <w:color w:val="000000" w:themeColor="text1"/>
        </w:rPr>
        <w:t>E</w:t>
      </w:r>
      <w:r w:rsidR="00126AE6">
        <w:rPr>
          <w:color w:val="000000" w:themeColor="text1"/>
        </w:rPr>
        <w:t xml:space="preserve">lectrophoresis </w:t>
      </w:r>
      <w:r w:rsidR="004C1B84">
        <w:rPr>
          <w:color w:val="000000" w:themeColor="text1"/>
        </w:rPr>
        <w:t xml:space="preserve">image of </w:t>
      </w:r>
      <w:r w:rsidR="00B26E91">
        <w:rPr>
          <w:color w:val="000000" w:themeColor="text1"/>
        </w:rPr>
        <w:t>three base editor mRNAs</w:t>
      </w:r>
      <w:r w:rsidR="00126AE6">
        <w:rPr>
          <w:color w:val="000000" w:themeColor="text1"/>
        </w:rPr>
        <w:t xml:space="preserve"> run on an agarose gel using SYBR gold stain. </w:t>
      </w:r>
      <w:r>
        <w:rPr>
          <w:color w:val="000000" w:themeColor="text1"/>
        </w:rPr>
        <w:t>The lack of substantial smearing or small bands indicates these mRNAs are of suitable quality.</w:t>
      </w:r>
    </w:p>
    <w:p w14:paraId="373E84B7" w14:textId="77777777" w:rsidR="009D1A2A" w:rsidRDefault="009D1A2A" w:rsidP="00035D47">
      <w:pPr>
        <w:rPr>
          <w:b/>
          <w:bCs/>
          <w:color w:val="000000" w:themeColor="text1"/>
        </w:rPr>
      </w:pPr>
    </w:p>
    <w:p w14:paraId="14446012" w14:textId="16B57316" w:rsidR="00114603" w:rsidRDefault="2102927C" w:rsidP="00035D47">
      <w:pPr>
        <w:rPr>
          <w:b/>
          <w:bCs/>
          <w:color w:val="000000" w:themeColor="text1"/>
        </w:rPr>
      </w:pPr>
      <w:r w:rsidRPr="00035D47">
        <w:rPr>
          <w:b/>
          <w:bCs/>
          <w:color w:val="000000" w:themeColor="text1"/>
        </w:rPr>
        <w:t xml:space="preserve">Figure </w:t>
      </w:r>
      <w:r w:rsidR="009D1A2A">
        <w:rPr>
          <w:b/>
          <w:bCs/>
          <w:color w:val="000000" w:themeColor="text1"/>
        </w:rPr>
        <w:t>3</w:t>
      </w:r>
      <w:r w:rsidRPr="00035D47">
        <w:rPr>
          <w:b/>
          <w:bCs/>
          <w:color w:val="000000" w:themeColor="text1"/>
        </w:rPr>
        <w:t>. Optimization of electroporation conditions for genome editing in induced pluripotent stem cells (iPSCs).</w:t>
      </w:r>
    </w:p>
    <w:p w14:paraId="7AFD9230" w14:textId="274F72B6" w:rsidR="006E4797" w:rsidRDefault="2102927C" w:rsidP="00035D47">
      <w:pPr>
        <w:rPr>
          <w:color w:val="000000" w:themeColor="text1"/>
        </w:rPr>
      </w:pPr>
      <w:r w:rsidRPr="00035D47">
        <w:rPr>
          <w:color w:val="000000" w:themeColor="text1"/>
        </w:rPr>
        <w:t xml:space="preserve">Editing efficiencies obtained under different electroporation conditions in iPSCs are shown. Cells were electroporated using multiple </w:t>
      </w:r>
      <w:r w:rsidR="00114603" w:rsidRPr="00035D47">
        <w:rPr>
          <w:color w:val="000000" w:themeColor="text1"/>
        </w:rPr>
        <w:t>buffers</w:t>
      </w:r>
      <w:r w:rsidRPr="00035D47">
        <w:rPr>
          <w:color w:val="000000" w:themeColor="text1"/>
        </w:rPr>
        <w:t xml:space="preserve"> and program combinations, including CB-150 buffer P4, CD-118 buffer P3, DN-100 buffer P3, DC-100 buffer P3, all on the Lonza 4D Nucleofection device. </w:t>
      </w:r>
      <w:r w:rsidR="00D45348">
        <w:rPr>
          <w:color w:val="000000" w:themeColor="text1"/>
        </w:rPr>
        <w:t>E</w:t>
      </w:r>
      <w:r w:rsidRPr="00035D47">
        <w:rPr>
          <w:color w:val="000000" w:themeColor="text1"/>
        </w:rPr>
        <w:t xml:space="preserve">diting </w:t>
      </w:r>
      <w:r w:rsidR="00D45348">
        <w:rPr>
          <w:color w:val="000000" w:themeColor="text1"/>
        </w:rPr>
        <w:t xml:space="preserve">was </w:t>
      </w:r>
      <w:r w:rsidR="00544FB4" w:rsidRPr="00544FB4">
        <w:rPr>
          <w:color w:val="000000" w:themeColor="text1"/>
        </w:rPr>
        <w:t>assessed</w:t>
      </w:r>
      <w:r w:rsidR="00D45348">
        <w:rPr>
          <w:color w:val="000000" w:themeColor="text1"/>
        </w:rPr>
        <w:t xml:space="preserve"> </w:t>
      </w:r>
      <w:r w:rsidRPr="00035D47">
        <w:rPr>
          <w:color w:val="000000" w:themeColor="text1"/>
        </w:rPr>
        <w:t xml:space="preserve">using the Neon electroporation device with parameters (1600 V, 20 </w:t>
      </w:r>
      <w:proofErr w:type="spellStart"/>
      <w:r w:rsidRPr="00035D47">
        <w:rPr>
          <w:color w:val="000000" w:themeColor="text1"/>
        </w:rPr>
        <w:t>ms</w:t>
      </w:r>
      <w:proofErr w:type="spellEnd"/>
      <w:r w:rsidRPr="00035D47">
        <w:rPr>
          <w:color w:val="000000" w:themeColor="text1"/>
        </w:rPr>
        <w:t xml:space="preserve">, 1 pulse). Editing efficiency was quantified by targeted sequencing analysis of the edited locus. </w:t>
      </w:r>
    </w:p>
    <w:p w14:paraId="5C769808" w14:textId="77777777" w:rsidR="00114603" w:rsidRPr="00035D47" w:rsidRDefault="00114603" w:rsidP="00035D47"/>
    <w:p w14:paraId="0D7183EE" w14:textId="483A5584" w:rsidR="006E4797" w:rsidRDefault="2102927C" w:rsidP="00035D47">
      <w:pPr>
        <w:rPr>
          <w:color w:val="000000" w:themeColor="text1"/>
        </w:rPr>
      </w:pPr>
      <w:r w:rsidRPr="00035D47">
        <w:rPr>
          <w:b/>
          <w:bCs/>
          <w:color w:val="000000" w:themeColor="text1"/>
        </w:rPr>
        <w:t xml:space="preserve">Figure </w:t>
      </w:r>
      <w:r w:rsidR="009D1A2A">
        <w:rPr>
          <w:b/>
          <w:bCs/>
          <w:color w:val="000000" w:themeColor="text1"/>
        </w:rPr>
        <w:t>4</w:t>
      </w:r>
      <w:r w:rsidRPr="00035D47">
        <w:rPr>
          <w:b/>
          <w:bCs/>
          <w:color w:val="000000" w:themeColor="text1"/>
        </w:rPr>
        <w:t>. Optimization of electroporation conditions for genome editing in fibroblasts.</w:t>
      </w:r>
      <w:r w:rsidR="006E4797" w:rsidRPr="00035D47">
        <w:br/>
      </w:r>
      <w:r w:rsidRPr="00035D47">
        <w:rPr>
          <w:color w:val="000000" w:themeColor="text1"/>
        </w:rPr>
        <w:t xml:space="preserve">Editing efficiency following electroporation </w:t>
      </w:r>
      <w:r w:rsidR="009D1173" w:rsidRPr="00035D47">
        <w:rPr>
          <w:color w:val="000000" w:themeColor="text1"/>
        </w:rPr>
        <w:t>using</w:t>
      </w:r>
      <w:r w:rsidRPr="00035D47">
        <w:rPr>
          <w:color w:val="000000" w:themeColor="text1"/>
        </w:rPr>
        <w:t xml:space="preserve"> different nucleofection programs. Fibroblasts were electroporated using multiple Lonza Nucleofector programs (CA-137, CM-138, DS-150, EH-100, EN-150, EO-114, and FF-113), and editing outcomes were quantified by targeted sequencing. </w:t>
      </w:r>
      <w:r w:rsidR="007C5AFB" w:rsidRPr="00935222">
        <w:t>Results are shown for two replicates (P2, P3). A negative control without editor delivery is included.</w:t>
      </w:r>
      <w:r w:rsidR="007C5AFB">
        <w:t xml:space="preserve"> </w:t>
      </w:r>
      <w:r w:rsidRPr="00035D47">
        <w:rPr>
          <w:color w:val="000000" w:themeColor="text1"/>
        </w:rPr>
        <w:t xml:space="preserve">Comparison of </w:t>
      </w:r>
      <w:r w:rsidR="009D1173" w:rsidRPr="00035D47">
        <w:rPr>
          <w:color w:val="000000" w:themeColor="text1"/>
        </w:rPr>
        <w:t>electroporation</w:t>
      </w:r>
      <w:r w:rsidRPr="00035D47">
        <w:rPr>
          <w:color w:val="000000" w:themeColor="text1"/>
        </w:rPr>
        <w:t xml:space="preserve"> codes highlights differences in editing efficiency across electroporation settings, enabling identification of optimal parameters for fibroblast genome editing.</w:t>
      </w:r>
    </w:p>
    <w:p w14:paraId="3F35E1C0" w14:textId="77777777" w:rsidR="007B3F0F" w:rsidRDefault="007B3F0F" w:rsidP="00035D47">
      <w:pPr>
        <w:rPr>
          <w:color w:val="000000" w:themeColor="text1"/>
        </w:rPr>
      </w:pPr>
    </w:p>
    <w:p w14:paraId="2B188E23" w14:textId="7C5F6556" w:rsidR="00114603" w:rsidRDefault="2102927C" w:rsidP="00035D47">
      <w:pPr>
        <w:rPr>
          <w:b/>
          <w:bCs/>
          <w:color w:val="000000" w:themeColor="text1"/>
        </w:rPr>
      </w:pPr>
      <w:r w:rsidRPr="00035D47">
        <w:rPr>
          <w:b/>
          <w:bCs/>
          <w:color w:val="000000" w:themeColor="text1"/>
        </w:rPr>
        <w:t xml:space="preserve">Figure </w:t>
      </w:r>
      <w:r w:rsidR="007B3F0F">
        <w:rPr>
          <w:b/>
          <w:bCs/>
          <w:color w:val="000000" w:themeColor="text1"/>
        </w:rPr>
        <w:t>5</w:t>
      </w:r>
      <w:r w:rsidRPr="00035D47">
        <w:rPr>
          <w:b/>
          <w:bCs/>
          <w:color w:val="000000" w:themeColor="text1"/>
        </w:rPr>
        <w:t>. Characterization of genome editing outcomes at the targeted locus.</w:t>
      </w:r>
    </w:p>
    <w:p w14:paraId="75A88BFF" w14:textId="51C1F595" w:rsidR="006E4797" w:rsidRDefault="2102927C" w:rsidP="00035D47">
      <w:pPr>
        <w:rPr>
          <w:color w:val="000000" w:themeColor="text1"/>
        </w:rPr>
      </w:pPr>
      <w:r w:rsidRPr="00035D47">
        <w:rPr>
          <w:color w:val="000000" w:themeColor="text1"/>
        </w:rPr>
        <w:t xml:space="preserve">Allele frequency table </w:t>
      </w:r>
      <w:r w:rsidR="00AA6A4D">
        <w:rPr>
          <w:color w:val="000000" w:themeColor="text1"/>
        </w:rPr>
        <w:t xml:space="preserve">output from CRISPResso2, which </w:t>
      </w:r>
      <w:r w:rsidRPr="00035D47">
        <w:rPr>
          <w:color w:val="000000" w:themeColor="text1"/>
        </w:rPr>
        <w:t>display</w:t>
      </w:r>
      <w:r w:rsidR="00AA6A4D">
        <w:rPr>
          <w:color w:val="000000" w:themeColor="text1"/>
        </w:rPr>
        <w:t>s</w:t>
      </w:r>
      <w:r w:rsidRPr="00035D47">
        <w:rPr>
          <w:color w:val="000000" w:themeColor="text1"/>
        </w:rPr>
        <w:t xml:space="preserve"> the relative abundance of edited and unedited alleles surrounding the sgRNA target region as determined by high-throughput sequencing analysis</w:t>
      </w:r>
      <w:r w:rsidR="00AA6A4D">
        <w:rPr>
          <w:color w:val="000000" w:themeColor="text1"/>
        </w:rPr>
        <w:t xml:space="preserve"> after editing</w:t>
      </w:r>
      <w:r w:rsidRPr="00035D47">
        <w:rPr>
          <w:color w:val="000000" w:themeColor="text1"/>
        </w:rPr>
        <w:t>.</w:t>
      </w:r>
      <w:r w:rsidR="00AA6A4D">
        <w:rPr>
          <w:color w:val="000000" w:themeColor="text1"/>
        </w:rPr>
        <w:t xml:space="preserve"> </w:t>
      </w:r>
      <w:r w:rsidR="00797DBB">
        <w:rPr>
          <w:color w:val="000000" w:themeColor="text1"/>
        </w:rPr>
        <w:t xml:space="preserve">Red annotations indicate the base editing window and the pre-existing heterozygous polymorphism present in the </w:t>
      </w:r>
      <w:r w:rsidR="006F34B0">
        <w:rPr>
          <w:color w:val="000000" w:themeColor="text1"/>
        </w:rPr>
        <w:t xml:space="preserve">cell line used. The guide RNA spacer sequence is underlined in gray. “Predicted cleavage position” shown by a dotted line is </w:t>
      </w:r>
      <w:r w:rsidR="00C249B9">
        <w:rPr>
          <w:color w:val="000000" w:themeColor="text1"/>
        </w:rPr>
        <w:t xml:space="preserve">shifted relative to the typical “PAM minus 3” position for SpCas9 due to the </w:t>
      </w:r>
      <w:r w:rsidR="00102D2A">
        <w:rPr>
          <w:color w:val="000000" w:themeColor="text1"/>
        </w:rPr>
        <w:t>modification of the window center</w:t>
      </w:r>
      <w:r w:rsidR="00337A58">
        <w:rPr>
          <w:color w:val="000000" w:themeColor="text1"/>
        </w:rPr>
        <w:t xml:space="preserve"> “</w:t>
      </w:r>
      <w:proofErr w:type="spellStart"/>
      <w:r w:rsidR="00337A58">
        <w:rPr>
          <w:color w:val="000000" w:themeColor="text1"/>
        </w:rPr>
        <w:t>wc</w:t>
      </w:r>
      <w:proofErr w:type="spellEnd"/>
      <w:r w:rsidR="00337A58">
        <w:rPr>
          <w:color w:val="000000" w:themeColor="text1"/>
        </w:rPr>
        <w:t>”</w:t>
      </w:r>
      <w:r w:rsidR="00102D2A">
        <w:rPr>
          <w:color w:val="000000" w:themeColor="text1"/>
        </w:rPr>
        <w:t xml:space="preserve"> in our analysis</w:t>
      </w:r>
      <w:r w:rsidR="007A51CE">
        <w:rPr>
          <w:color w:val="000000" w:themeColor="text1"/>
        </w:rPr>
        <w:t xml:space="preserve"> Batch File (example in </w:t>
      </w:r>
      <w:r w:rsidR="007A51CE" w:rsidRPr="00591FD3">
        <w:rPr>
          <w:b/>
          <w:bCs/>
          <w:color w:val="000000" w:themeColor="text1"/>
        </w:rPr>
        <w:t>Table 8</w:t>
      </w:r>
      <w:r w:rsidR="007A51CE">
        <w:rPr>
          <w:color w:val="000000" w:themeColor="text1"/>
        </w:rPr>
        <w:t>).</w:t>
      </w:r>
      <w:r w:rsidR="003F2345">
        <w:rPr>
          <w:color w:val="000000" w:themeColor="text1"/>
        </w:rPr>
        <w:t xml:space="preserve"> This does not actually shift the </w:t>
      </w:r>
      <w:r w:rsidR="00E824E1">
        <w:rPr>
          <w:color w:val="000000" w:themeColor="text1"/>
        </w:rPr>
        <w:t xml:space="preserve">true </w:t>
      </w:r>
      <w:r w:rsidR="003F2345">
        <w:rPr>
          <w:color w:val="000000" w:themeColor="text1"/>
        </w:rPr>
        <w:t xml:space="preserve">predicted cleavage location, but </w:t>
      </w:r>
      <w:r w:rsidR="00E824E1">
        <w:rPr>
          <w:color w:val="000000" w:themeColor="text1"/>
        </w:rPr>
        <w:t xml:space="preserve">the output is shown in this way to indicate that </w:t>
      </w:r>
      <w:r w:rsidR="00F53CBC">
        <w:rPr>
          <w:color w:val="000000" w:themeColor="text1"/>
        </w:rPr>
        <w:t xml:space="preserve">indels surrounding the dotted line within a window of 20 nucleotides will be assessed, capturing both indels centered at the true nick site as well as those centered at the </w:t>
      </w:r>
      <w:r w:rsidR="008F1A18">
        <w:rPr>
          <w:color w:val="000000" w:themeColor="text1"/>
        </w:rPr>
        <w:t>deaminated nucleotides.</w:t>
      </w:r>
    </w:p>
    <w:p w14:paraId="212EE326" w14:textId="77777777" w:rsidR="00114603" w:rsidRPr="00035D47" w:rsidRDefault="00114603" w:rsidP="00035D47"/>
    <w:p w14:paraId="6661C890" w14:textId="7EC7B954" w:rsidR="69DC8F38" w:rsidRDefault="69DC8F38" w:rsidP="5E2D72FC">
      <w:pPr>
        <w:rPr>
          <w:b/>
          <w:bCs/>
          <w:color w:val="000000" w:themeColor="text1"/>
        </w:rPr>
      </w:pPr>
      <w:r w:rsidRPr="5E2D72FC">
        <w:rPr>
          <w:b/>
          <w:bCs/>
          <w:color w:val="000000" w:themeColor="text1"/>
        </w:rPr>
        <w:t>Table 1.</w:t>
      </w:r>
      <w:r w:rsidR="41FD3451" w:rsidRPr="5E2D72FC">
        <w:rPr>
          <w:b/>
          <w:bCs/>
          <w:color w:val="000000" w:themeColor="text1"/>
        </w:rPr>
        <w:t xml:space="preserve"> </w:t>
      </w:r>
      <w:r w:rsidR="3AC968E6" w:rsidRPr="5E2D72FC">
        <w:rPr>
          <w:b/>
          <w:bCs/>
          <w:color w:val="000000" w:themeColor="text1"/>
        </w:rPr>
        <w:t>Editors and sequences used in this study</w:t>
      </w:r>
    </w:p>
    <w:p w14:paraId="73D162BE" w14:textId="544098B7" w:rsidR="00114603" w:rsidRPr="00035D47" w:rsidRDefault="00D45348" w:rsidP="00035D47">
      <w:r>
        <w:rPr>
          <w:color w:val="000000" w:themeColor="text1"/>
        </w:rPr>
        <w:t>Row</w:t>
      </w:r>
      <w:r w:rsidRPr="00591FD3">
        <w:rPr>
          <w:color w:val="000000" w:themeColor="text1"/>
        </w:rPr>
        <w:t xml:space="preserve"> </w:t>
      </w:r>
      <w:r w:rsidR="3AC968E6" w:rsidRPr="00591FD3">
        <w:rPr>
          <w:color w:val="000000" w:themeColor="text1"/>
        </w:rPr>
        <w:t xml:space="preserve">1. </w:t>
      </w:r>
      <w:r w:rsidR="41FD3451" w:rsidRPr="00591FD3">
        <w:rPr>
          <w:color w:val="000000" w:themeColor="text1"/>
        </w:rPr>
        <w:t>Genom</w:t>
      </w:r>
      <w:r w:rsidR="18CB4671" w:rsidRPr="5E2D72FC">
        <w:rPr>
          <w:color w:val="000000" w:themeColor="text1"/>
        </w:rPr>
        <w:t>e</w:t>
      </w:r>
      <w:r w:rsidR="41FD3451" w:rsidRPr="00591FD3">
        <w:rPr>
          <w:color w:val="000000" w:themeColor="text1"/>
        </w:rPr>
        <w:t xml:space="preserve"> </w:t>
      </w:r>
      <w:r w:rsidR="3DBAF4BB" w:rsidRPr="00591FD3">
        <w:rPr>
          <w:color w:val="000000" w:themeColor="text1"/>
        </w:rPr>
        <w:t>e</w:t>
      </w:r>
      <w:r w:rsidR="41FD3451" w:rsidRPr="00591FD3">
        <w:rPr>
          <w:color w:val="000000" w:themeColor="text1"/>
        </w:rPr>
        <w:t xml:space="preserve">ditors </w:t>
      </w:r>
      <w:r w:rsidR="0B307B48" w:rsidRPr="5E2D72FC">
        <w:rPr>
          <w:color w:val="000000" w:themeColor="text1"/>
        </w:rPr>
        <w:t xml:space="preserve">available on </w:t>
      </w:r>
      <w:proofErr w:type="spellStart"/>
      <w:r w:rsidR="0B307B48" w:rsidRPr="5E2D72FC">
        <w:rPr>
          <w:color w:val="000000" w:themeColor="text1"/>
        </w:rPr>
        <w:t>AddGene</w:t>
      </w:r>
      <w:proofErr w:type="spellEnd"/>
      <w:r w:rsidR="1678DD70" w:rsidRPr="5E2D72FC">
        <w:rPr>
          <w:color w:val="000000" w:themeColor="text1"/>
        </w:rPr>
        <w:t xml:space="preserve"> </w:t>
      </w:r>
      <w:r w:rsidR="41FD3451" w:rsidRPr="00591FD3">
        <w:rPr>
          <w:color w:val="000000" w:themeColor="text1"/>
        </w:rPr>
        <w:t xml:space="preserve">for </w:t>
      </w:r>
      <w:r w:rsidR="08617F2F" w:rsidRPr="5E2D72FC">
        <w:rPr>
          <w:color w:val="000000" w:themeColor="text1"/>
        </w:rPr>
        <w:t>in vitro transcription</w:t>
      </w:r>
      <w:r w:rsidR="21209E94" w:rsidRPr="5E2D72FC">
        <w:rPr>
          <w:color w:val="000000" w:themeColor="text1"/>
        </w:rPr>
        <w:t xml:space="preserve">. </w:t>
      </w:r>
      <w:r w:rsidR="6A70478C" w:rsidRPr="5E2D72FC">
        <w:rPr>
          <w:color w:val="000000" w:themeColor="text1"/>
        </w:rPr>
        <w:t xml:space="preserve">Names and </w:t>
      </w:r>
      <w:proofErr w:type="spellStart"/>
      <w:r w:rsidR="6A70478C" w:rsidRPr="5E2D72FC">
        <w:rPr>
          <w:color w:val="000000" w:themeColor="text1"/>
        </w:rPr>
        <w:t>Addgene</w:t>
      </w:r>
      <w:proofErr w:type="spellEnd"/>
      <w:r w:rsidR="6A70478C" w:rsidRPr="5E2D72FC">
        <w:rPr>
          <w:color w:val="000000" w:themeColor="text1"/>
        </w:rPr>
        <w:t xml:space="preserve"> IDs for plasmids </w:t>
      </w:r>
      <w:proofErr w:type="gramStart"/>
      <w:r w:rsidR="6A70478C" w:rsidRPr="5E2D72FC">
        <w:rPr>
          <w:color w:val="000000" w:themeColor="text1"/>
        </w:rPr>
        <w:t>available</w:t>
      </w:r>
      <w:proofErr w:type="gramEnd"/>
      <w:r w:rsidR="6A70478C" w:rsidRPr="5E2D72FC">
        <w:rPr>
          <w:color w:val="000000" w:themeColor="text1"/>
        </w:rPr>
        <w:t xml:space="preserve"> that are amenable to in vitro transcription as described in this protocol. </w:t>
      </w:r>
      <w:r>
        <w:rPr>
          <w:color w:val="000000" w:themeColor="text1"/>
        </w:rPr>
        <w:t xml:space="preserve">Row </w:t>
      </w:r>
      <w:r w:rsidR="6A70478C" w:rsidRPr="5E2D72FC">
        <w:rPr>
          <w:color w:val="000000" w:themeColor="text1"/>
        </w:rPr>
        <w:t>2. Sequences of guide RNA</w:t>
      </w:r>
      <w:r w:rsidR="5D2DFD43" w:rsidRPr="5E2D72FC">
        <w:rPr>
          <w:color w:val="000000" w:themeColor="text1"/>
        </w:rPr>
        <w:t xml:space="preserve"> spacers</w:t>
      </w:r>
      <w:r w:rsidR="6A70478C" w:rsidRPr="5E2D72FC">
        <w:rPr>
          <w:color w:val="000000" w:themeColor="text1"/>
        </w:rPr>
        <w:t xml:space="preserve"> used in t</w:t>
      </w:r>
      <w:r w:rsidR="4EABDFA5" w:rsidRPr="5E2D72FC">
        <w:rPr>
          <w:color w:val="000000" w:themeColor="text1"/>
        </w:rPr>
        <w:t xml:space="preserve">his study. </w:t>
      </w:r>
    </w:p>
    <w:p w14:paraId="1A2FFCCB" w14:textId="77777777" w:rsidR="00AC0A32" w:rsidRDefault="00AC0A32" w:rsidP="00035D47">
      <w:pPr>
        <w:rPr>
          <w:b/>
          <w:bCs/>
          <w:color w:val="000000" w:themeColor="text1"/>
        </w:rPr>
      </w:pPr>
    </w:p>
    <w:p w14:paraId="2C0F4A3B" w14:textId="6CDA9FC3" w:rsidR="00114603" w:rsidRDefault="2102927C" w:rsidP="00035D47">
      <w:pPr>
        <w:rPr>
          <w:b/>
          <w:bCs/>
          <w:color w:val="000000" w:themeColor="text1"/>
        </w:rPr>
      </w:pPr>
      <w:r w:rsidRPr="00035D47">
        <w:rPr>
          <w:b/>
          <w:bCs/>
          <w:color w:val="000000" w:themeColor="text1"/>
        </w:rPr>
        <w:t>Table 2. PCR reagents for amplification of the mRNA plasmid template.</w:t>
      </w:r>
    </w:p>
    <w:p w14:paraId="78542BD0" w14:textId="3A2E2BA3" w:rsidR="69DC8F38" w:rsidRDefault="00D45348" w:rsidP="5E2D72FC">
      <w:pPr>
        <w:rPr>
          <w:color w:val="000000" w:themeColor="text1"/>
        </w:rPr>
      </w:pPr>
      <w:r>
        <w:rPr>
          <w:color w:val="000000" w:themeColor="text1"/>
        </w:rPr>
        <w:t>The</w:t>
      </w:r>
      <w:r w:rsidR="69DC8F38" w:rsidRPr="5E2D72FC">
        <w:rPr>
          <w:color w:val="000000" w:themeColor="text1"/>
        </w:rPr>
        <w:t xml:space="preserve"> </w:t>
      </w:r>
      <w:r>
        <w:rPr>
          <w:color w:val="000000" w:themeColor="text1"/>
        </w:rPr>
        <w:t xml:space="preserve">list of </w:t>
      </w:r>
      <w:r w:rsidR="69DC8F38" w:rsidRPr="5E2D72FC">
        <w:rPr>
          <w:color w:val="000000" w:themeColor="text1"/>
        </w:rPr>
        <w:t>reagents and reaction components used for PCR amplification of the plasmid template to generate linear DNA for downstream applications</w:t>
      </w:r>
      <w:r w:rsidR="1E61B469" w:rsidRPr="5E2D72FC">
        <w:rPr>
          <w:color w:val="000000" w:themeColor="text1"/>
        </w:rPr>
        <w:t>, as well as the sequence of the forward and reverse transcription primers</w:t>
      </w:r>
      <w:r>
        <w:rPr>
          <w:color w:val="000000" w:themeColor="text1"/>
        </w:rPr>
        <w:t>.</w:t>
      </w:r>
    </w:p>
    <w:p w14:paraId="4F2C8502" w14:textId="77777777" w:rsidR="00114603" w:rsidRPr="00035D47" w:rsidRDefault="00114603" w:rsidP="00035D47"/>
    <w:p w14:paraId="0075FD9F" w14:textId="77777777" w:rsidR="00114603" w:rsidRDefault="2102927C" w:rsidP="00035D47">
      <w:pPr>
        <w:rPr>
          <w:b/>
          <w:bCs/>
          <w:color w:val="000000" w:themeColor="text1"/>
        </w:rPr>
      </w:pPr>
      <w:r w:rsidRPr="00035D47">
        <w:rPr>
          <w:b/>
          <w:bCs/>
          <w:color w:val="000000" w:themeColor="text1"/>
        </w:rPr>
        <w:lastRenderedPageBreak/>
        <w:t>Table 3. PCR cycling conditions for amplification of the mRNA template.</w:t>
      </w:r>
    </w:p>
    <w:p w14:paraId="3E12EAAD" w14:textId="6CA7323A" w:rsidR="006E4797" w:rsidRDefault="2102927C" w:rsidP="00035D47">
      <w:pPr>
        <w:rPr>
          <w:color w:val="000000" w:themeColor="text1"/>
        </w:rPr>
      </w:pPr>
      <w:r w:rsidRPr="00035D47">
        <w:rPr>
          <w:color w:val="000000" w:themeColor="text1"/>
        </w:rPr>
        <w:t>This table lists the thermocycling conditions used for PCR amplification of the mRNA template from the plasmid DNA prior to downstream applications.</w:t>
      </w:r>
    </w:p>
    <w:p w14:paraId="3A5A374B" w14:textId="77777777" w:rsidR="00114603" w:rsidRPr="00035D47" w:rsidRDefault="00114603" w:rsidP="00035D47"/>
    <w:p w14:paraId="3DCBE441" w14:textId="77777777" w:rsidR="00114603" w:rsidRDefault="2102927C" w:rsidP="00035D47">
      <w:pPr>
        <w:rPr>
          <w:b/>
          <w:bCs/>
          <w:color w:val="000000" w:themeColor="text1"/>
        </w:rPr>
      </w:pPr>
      <w:r w:rsidRPr="00035D47">
        <w:rPr>
          <w:b/>
          <w:bCs/>
          <w:color w:val="000000" w:themeColor="text1"/>
        </w:rPr>
        <w:t xml:space="preserve">Table 4. Reagents used for </w:t>
      </w:r>
      <w:r w:rsidRPr="000A23D0">
        <w:rPr>
          <w:b/>
          <w:bCs/>
          <w:i/>
          <w:iCs/>
          <w:color w:val="000000" w:themeColor="text1"/>
        </w:rPr>
        <w:t>in vitro</w:t>
      </w:r>
      <w:r w:rsidRPr="00035D47">
        <w:rPr>
          <w:b/>
          <w:bCs/>
          <w:color w:val="000000" w:themeColor="text1"/>
        </w:rPr>
        <w:t xml:space="preserve"> transcription (IVT) reactions.</w:t>
      </w:r>
    </w:p>
    <w:p w14:paraId="2DC6D9A8" w14:textId="43EE39C4" w:rsidR="69DC8F38" w:rsidRDefault="69DC8F38" w:rsidP="5E2D72FC">
      <w:pPr>
        <w:rPr>
          <w:color w:val="000000" w:themeColor="text1"/>
        </w:rPr>
      </w:pPr>
      <w:r w:rsidRPr="5E2D72FC">
        <w:rPr>
          <w:color w:val="000000" w:themeColor="text1"/>
        </w:rPr>
        <w:t>This table lists the reagents and reaction components used for in vitro transcription to synthesize editor mRNA from the linear DNA template.</w:t>
      </w:r>
      <w:r w:rsidR="00980F21">
        <w:rPr>
          <w:color w:val="000000" w:themeColor="text1"/>
        </w:rPr>
        <w:t xml:space="preserve"> An example template sequence (ABE8e) is shown with color-coded elements.</w:t>
      </w:r>
    </w:p>
    <w:p w14:paraId="3604800C" w14:textId="77777777" w:rsidR="00114603" w:rsidRPr="00035D47" w:rsidRDefault="00114603" w:rsidP="00035D47"/>
    <w:p w14:paraId="5D78AF45" w14:textId="77777777" w:rsidR="00114603" w:rsidRDefault="2102927C" w:rsidP="00035D47">
      <w:pPr>
        <w:rPr>
          <w:b/>
          <w:bCs/>
          <w:color w:val="000000" w:themeColor="text1"/>
        </w:rPr>
      </w:pPr>
      <w:r w:rsidRPr="00035D47">
        <w:rPr>
          <w:b/>
          <w:bCs/>
          <w:color w:val="000000" w:themeColor="text1"/>
        </w:rPr>
        <w:t>Table 5. Optimal electroporation programs for different mammalian cell types.</w:t>
      </w:r>
    </w:p>
    <w:p w14:paraId="4328065A" w14:textId="0D437CA6" w:rsidR="006E4797" w:rsidRDefault="2102927C" w:rsidP="00035D47">
      <w:pPr>
        <w:rPr>
          <w:color w:val="000000" w:themeColor="text1"/>
        </w:rPr>
      </w:pPr>
      <w:r w:rsidRPr="00035D47">
        <w:rPr>
          <w:color w:val="000000" w:themeColor="text1"/>
        </w:rPr>
        <w:t xml:space="preserve">This table lists the electroporation program codes and buffer conditions used for efficient delivery of editor mRNA and guide RNAs into different mammalian cell types. The listed </w:t>
      </w:r>
      <w:r w:rsidR="009D1173" w:rsidRPr="00035D47">
        <w:rPr>
          <w:color w:val="000000" w:themeColor="text1"/>
        </w:rPr>
        <w:t>electroporation</w:t>
      </w:r>
      <w:r w:rsidRPr="00035D47">
        <w:rPr>
          <w:color w:val="000000" w:themeColor="text1"/>
        </w:rPr>
        <w:t xml:space="preserve"> parameters were tested to identify conditions that maximize genome editing efficiency while maintaining cell viability. The same program may not work for each cell line or source of primary cells, so testing alternatives from this list is recommended if editing is initially unsuccessful.</w:t>
      </w:r>
    </w:p>
    <w:p w14:paraId="374A2DBB" w14:textId="77777777" w:rsidR="00114603" w:rsidRPr="00035D47" w:rsidRDefault="00114603" w:rsidP="00035D47"/>
    <w:p w14:paraId="7B14014E" w14:textId="77777777" w:rsidR="00114603" w:rsidRDefault="2102927C" w:rsidP="00035D47">
      <w:pPr>
        <w:rPr>
          <w:b/>
          <w:bCs/>
          <w:color w:val="000000" w:themeColor="text1"/>
        </w:rPr>
      </w:pPr>
      <w:r w:rsidRPr="00035D47">
        <w:rPr>
          <w:b/>
          <w:bCs/>
          <w:color w:val="000000" w:themeColor="text1"/>
        </w:rPr>
        <w:t xml:space="preserve">Table 6. PCR1 reagents for </w:t>
      </w:r>
      <w:proofErr w:type="spellStart"/>
      <w:r w:rsidRPr="00035D47">
        <w:rPr>
          <w:b/>
          <w:bCs/>
          <w:color w:val="000000" w:themeColor="text1"/>
        </w:rPr>
        <w:t>MiSeq</w:t>
      </w:r>
      <w:proofErr w:type="spellEnd"/>
      <w:r w:rsidRPr="00035D47">
        <w:rPr>
          <w:b/>
          <w:bCs/>
          <w:color w:val="000000" w:themeColor="text1"/>
        </w:rPr>
        <w:t xml:space="preserve"> library preparation.</w:t>
      </w:r>
    </w:p>
    <w:p w14:paraId="755EAF07" w14:textId="6564862A" w:rsidR="006E4797" w:rsidRDefault="2102927C" w:rsidP="00035D47">
      <w:pPr>
        <w:rPr>
          <w:color w:val="000000" w:themeColor="text1"/>
        </w:rPr>
      </w:pPr>
      <w:r w:rsidRPr="00035D47">
        <w:rPr>
          <w:color w:val="000000" w:themeColor="text1"/>
        </w:rPr>
        <w:t xml:space="preserve">This table lists the reagents and reaction components used in the first round of PCR (PCR1) to amplify genomic loci prior to indexing and preparation of sequencing libraries for </w:t>
      </w:r>
      <w:proofErr w:type="spellStart"/>
      <w:r w:rsidRPr="00035D47">
        <w:rPr>
          <w:color w:val="000000" w:themeColor="text1"/>
        </w:rPr>
        <w:t>MiSeq</w:t>
      </w:r>
      <w:proofErr w:type="spellEnd"/>
      <w:r w:rsidRPr="00035D47">
        <w:rPr>
          <w:color w:val="000000" w:themeColor="text1"/>
        </w:rPr>
        <w:t xml:space="preserve"> analysis.</w:t>
      </w:r>
    </w:p>
    <w:p w14:paraId="70D8A8B1" w14:textId="77777777" w:rsidR="00114603" w:rsidRPr="00035D47" w:rsidRDefault="00114603" w:rsidP="00035D47"/>
    <w:p w14:paraId="44C1E5C6" w14:textId="77777777" w:rsidR="00114603" w:rsidRDefault="2102927C" w:rsidP="00035D47">
      <w:pPr>
        <w:rPr>
          <w:b/>
          <w:bCs/>
          <w:color w:val="000000" w:themeColor="text1"/>
        </w:rPr>
      </w:pPr>
      <w:r w:rsidRPr="00035D47">
        <w:rPr>
          <w:b/>
          <w:bCs/>
          <w:color w:val="000000" w:themeColor="text1"/>
        </w:rPr>
        <w:t xml:space="preserve">Table 7. PCR1 cycling conditions for </w:t>
      </w:r>
      <w:proofErr w:type="spellStart"/>
      <w:r w:rsidRPr="00035D47">
        <w:rPr>
          <w:b/>
          <w:bCs/>
          <w:color w:val="000000" w:themeColor="text1"/>
        </w:rPr>
        <w:t>MiSeq</w:t>
      </w:r>
      <w:proofErr w:type="spellEnd"/>
      <w:r w:rsidRPr="00035D47">
        <w:rPr>
          <w:b/>
          <w:bCs/>
          <w:color w:val="000000" w:themeColor="text1"/>
        </w:rPr>
        <w:t xml:space="preserve"> library preparation.</w:t>
      </w:r>
    </w:p>
    <w:p w14:paraId="3F02B648" w14:textId="6D5CF2F5" w:rsidR="006E4797" w:rsidRDefault="2102927C" w:rsidP="00035D47">
      <w:pPr>
        <w:rPr>
          <w:color w:val="000000" w:themeColor="text1"/>
        </w:rPr>
      </w:pPr>
      <w:r w:rsidRPr="00035D47">
        <w:rPr>
          <w:color w:val="000000" w:themeColor="text1"/>
        </w:rPr>
        <w:t xml:space="preserve">This table lists the thermocycling conditions used during the first round of PCR (PCR1) to amplify target genomic regions prior to indexing and preparation of sequencing libraries for </w:t>
      </w:r>
      <w:proofErr w:type="spellStart"/>
      <w:r w:rsidRPr="00035D47">
        <w:rPr>
          <w:color w:val="000000" w:themeColor="text1"/>
        </w:rPr>
        <w:t>MiSeq</w:t>
      </w:r>
      <w:proofErr w:type="spellEnd"/>
      <w:r w:rsidRPr="00035D47">
        <w:rPr>
          <w:color w:val="000000" w:themeColor="text1"/>
        </w:rPr>
        <w:t xml:space="preserve"> analysis.</w:t>
      </w:r>
    </w:p>
    <w:p w14:paraId="3AEE4EFC" w14:textId="77777777" w:rsidR="00114603" w:rsidRPr="00035D47" w:rsidRDefault="00114603" w:rsidP="00035D47"/>
    <w:p w14:paraId="43B34B86" w14:textId="77777777" w:rsidR="00114603" w:rsidRDefault="2102927C" w:rsidP="00035D47">
      <w:pPr>
        <w:rPr>
          <w:b/>
          <w:bCs/>
          <w:color w:val="000000" w:themeColor="text1"/>
        </w:rPr>
      </w:pPr>
      <w:r w:rsidRPr="00035D47">
        <w:rPr>
          <w:b/>
          <w:bCs/>
          <w:color w:val="000000" w:themeColor="text1"/>
        </w:rPr>
        <w:t>Table 8. CRISPResso2 analysis parameters for quantification of genome editing outcomes.</w:t>
      </w:r>
    </w:p>
    <w:p w14:paraId="5B1A40D6" w14:textId="2B18906C" w:rsidR="69DC8F38" w:rsidRDefault="69DC8F38" w:rsidP="5E2D72FC">
      <w:pPr>
        <w:rPr>
          <w:color w:val="000000" w:themeColor="text1"/>
        </w:rPr>
      </w:pPr>
      <w:r w:rsidRPr="5E2D72FC">
        <w:rPr>
          <w:color w:val="000000" w:themeColor="text1"/>
        </w:rPr>
        <w:t xml:space="preserve">The first tab lists an example of the HTS1 primer design used for amplification of the target locus. The second tab provides an example of the indexing primers used during library preparation. The third tab illustrates an example of the indexing arrangement used to assign unique indices to each sample during sequencing. The fourth tab contains an example </w:t>
      </w:r>
      <w:r w:rsidR="09D2DFC2" w:rsidRPr="5E2D72FC">
        <w:rPr>
          <w:color w:val="000000" w:themeColor="text1"/>
        </w:rPr>
        <w:t>input batch file for</w:t>
      </w:r>
      <w:r w:rsidRPr="5E2D72FC">
        <w:rPr>
          <w:color w:val="000000" w:themeColor="text1"/>
        </w:rPr>
        <w:t xml:space="preserve"> CRISPResso</w:t>
      </w:r>
      <w:r w:rsidR="09D2DFC2" w:rsidRPr="5E2D72FC">
        <w:rPr>
          <w:color w:val="000000" w:themeColor="text1"/>
        </w:rPr>
        <w:t>2</w:t>
      </w:r>
      <w:r w:rsidRPr="5E2D72FC">
        <w:rPr>
          <w:color w:val="000000" w:themeColor="text1"/>
        </w:rPr>
        <w:t xml:space="preserve"> analysis, and the fifth tab provides an </w:t>
      </w:r>
      <w:r w:rsidR="09D2DFC2" w:rsidRPr="5E2D72FC">
        <w:rPr>
          <w:color w:val="000000" w:themeColor="text1"/>
        </w:rPr>
        <w:t xml:space="preserve">additional </w:t>
      </w:r>
      <w:r w:rsidRPr="5E2D72FC">
        <w:rPr>
          <w:color w:val="000000" w:themeColor="text1"/>
        </w:rPr>
        <w:t>example of a CRISPResso</w:t>
      </w:r>
      <w:r w:rsidR="09D2DFC2" w:rsidRPr="5E2D72FC">
        <w:rPr>
          <w:color w:val="000000" w:themeColor="text1"/>
        </w:rPr>
        <w:t>2</w:t>
      </w:r>
      <w:r w:rsidRPr="5E2D72FC">
        <w:rPr>
          <w:color w:val="000000" w:themeColor="text1"/>
        </w:rPr>
        <w:t xml:space="preserve"> analysis </w:t>
      </w:r>
      <w:r w:rsidR="09D2DFC2" w:rsidRPr="5E2D72FC">
        <w:rPr>
          <w:color w:val="000000" w:themeColor="text1"/>
        </w:rPr>
        <w:t xml:space="preserve">input </w:t>
      </w:r>
      <w:r w:rsidR="007A51CE">
        <w:rPr>
          <w:color w:val="000000" w:themeColor="text1"/>
        </w:rPr>
        <w:t>B</w:t>
      </w:r>
      <w:r w:rsidR="007A51CE" w:rsidRPr="5E2D72FC">
        <w:rPr>
          <w:color w:val="000000" w:themeColor="text1"/>
        </w:rPr>
        <w:t xml:space="preserve">atch </w:t>
      </w:r>
      <w:r w:rsidR="007A51CE">
        <w:rPr>
          <w:color w:val="000000" w:themeColor="text1"/>
        </w:rPr>
        <w:t>F</w:t>
      </w:r>
      <w:r w:rsidR="007A51CE" w:rsidRPr="5E2D72FC">
        <w:rPr>
          <w:color w:val="000000" w:themeColor="text1"/>
        </w:rPr>
        <w:t>ile</w:t>
      </w:r>
      <w:r w:rsidRPr="5E2D72FC">
        <w:rPr>
          <w:color w:val="000000" w:themeColor="text1"/>
        </w:rPr>
        <w:t>.</w:t>
      </w:r>
      <w:r w:rsidR="007A51CE">
        <w:rPr>
          <w:color w:val="000000" w:themeColor="text1"/>
        </w:rPr>
        <w:t xml:space="preserve"> Note that the window center “</w:t>
      </w:r>
      <w:proofErr w:type="spellStart"/>
      <w:r w:rsidR="007A51CE">
        <w:rPr>
          <w:color w:val="000000" w:themeColor="text1"/>
        </w:rPr>
        <w:t>wc</w:t>
      </w:r>
      <w:proofErr w:type="spellEnd"/>
      <w:r w:rsidR="007A51CE">
        <w:rPr>
          <w:color w:val="000000" w:themeColor="text1"/>
        </w:rPr>
        <w:t xml:space="preserve">” is adjusted for base editors to </w:t>
      </w:r>
      <w:r w:rsidR="00900CAC">
        <w:rPr>
          <w:color w:val="000000" w:themeColor="text1"/>
        </w:rPr>
        <w:t>facilitate detection of indels that are centered on the deaminated bases in addition to those centered on the nuclease cut or nick site.</w:t>
      </w:r>
    </w:p>
    <w:p w14:paraId="52FB642A" w14:textId="77777777" w:rsidR="00114603" w:rsidRPr="00035D47" w:rsidRDefault="00114603" w:rsidP="00035D47"/>
    <w:p w14:paraId="5BEA3FDC" w14:textId="77777777" w:rsidR="00114603" w:rsidRDefault="2102927C" w:rsidP="00035D47">
      <w:pPr>
        <w:rPr>
          <w:b/>
          <w:bCs/>
          <w:color w:val="000000" w:themeColor="text1"/>
        </w:rPr>
      </w:pPr>
      <w:r w:rsidRPr="00035D47">
        <w:rPr>
          <w:b/>
          <w:bCs/>
          <w:color w:val="000000" w:themeColor="text1"/>
        </w:rPr>
        <w:t>Table 9. Troubleshooting guide for key steps in the genome editing workflow.</w:t>
      </w:r>
    </w:p>
    <w:p w14:paraId="587C8A1F" w14:textId="1A072EB7" w:rsidR="006E4797" w:rsidRDefault="2102927C" w:rsidP="00035D47">
      <w:pPr>
        <w:rPr>
          <w:color w:val="000000" w:themeColor="text1"/>
        </w:rPr>
      </w:pPr>
      <w:r w:rsidRPr="00035D47">
        <w:rPr>
          <w:color w:val="000000" w:themeColor="text1"/>
        </w:rPr>
        <w:t xml:space="preserve">This table summarizes common technical issues that may arise during editor mRNA preparation by in vitro transcription (IVT), and </w:t>
      </w:r>
      <w:proofErr w:type="spellStart"/>
      <w:r w:rsidRPr="00035D47">
        <w:rPr>
          <w:color w:val="000000" w:themeColor="text1"/>
        </w:rPr>
        <w:t>MiSeq</w:t>
      </w:r>
      <w:proofErr w:type="spellEnd"/>
      <w:r w:rsidRPr="00035D47">
        <w:rPr>
          <w:color w:val="000000" w:themeColor="text1"/>
        </w:rPr>
        <w:t xml:space="preserve"> sequencing analysis. For each step of the workflow, potential problems, possible causes, and recommended solutions are provided to assist in optimizing editing efficiency and ensuring accurate detection of editing outcomes</w:t>
      </w:r>
      <w:r w:rsidR="00114603">
        <w:rPr>
          <w:color w:val="000000" w:themeColor="text1"/>
        </w:rPr>
        <w:t>.</w:t>
      </w:r>
    </w:p>
    <w:p w14:paraId="16C5BC1C" w14:textId="77777777" w:rsidR="00114603" w:rsidRPr="00035D47" w:rsidRDefault="00114603" w:rsidP="00035D47"/>
    <w:p w14:paraId="19774E3A" w14:textId="621D74A9" w:rsidR="006E4797" w:rsidRPr="00035D47" w:rsidRDefault="2102927C" w:rsidP="00035D47">
      <w:pPr>
        <w:pStyle w:val="Heading1"/>
        <w:spacing w:before="0" w:after="0"/>
        <w:rPr>
          <w:sz w:val="24"/>
          <w:szCs w:val="24"/>
        </w:rPr>
      </w:pPr>
      <w:r w:rsidRPr="00035D47">
        <w:rPr>
          <w:bCs/>
          <w:color w:val="000000" w:themeColor="text1"/>
          <w:sz w:val="24"/>
          <w:szCs w:val="24"/>
        </w:rPr>
        <w:t>DISCUSSION</w:t>
      </w:r>
    </w:p>
    <w:p w14:paraId="496EB026" w14:textId="46CE2DE8" w:rsidR="006E4797" w:rsidRDefault="69DC8F38" w:rsidP="2830268F">
      <w:pPr>
        <w:rPr>
          <w:color w:val="000000" w:themeColor="text1"/>
        </w:rPr>
      </w:pPr>
      <w:r w:rsidRPr="00035D47">
        <w:rPr>
          <w:color w:val="000000" w:themeColor="text1"/>
        </w:rPr>
        <w:t xml:space="preserve">This protocol provides a workflow for genome editing in primary mammalian cells using </w:t>
      </w:r>
      <w:r w:rsidRPr="00035D47">
        <w:rPr>
          <w:color w:val="000000" w:themeColor="text1"/>
        </w:rPr>
        <w:lastRenderedPageBreak/>
        <w:t xml:space="preserve">electroporation of editor mRNA and synthetic guide RNAs. Delivery as mRNA tends to yield more efficient editing relative to plasmid delivery, and mRNA tends to be simpler and more </w:t>
      </w:r>
      <w:r w:rsidR="00952F48">
        <w:rPr>
          <w:color w:val="000000" w:themeColor="text1"/>
        </w:rPr>
        <w:t>consistent between batches</w:t>
      </w:r>
      <w:r w:rsidRPr="00035D47">
        <w:rPr>
          <w:color w:val="000000" w:themeColor="text1"/>
        </w:rPr>
        <w:t xml:space="preserve"> relative to editor protein</w:t>
      </w:r>
      <w:r w:rsidR="530D5FD4" w:rsidRPr="00035D47">
        <w:rPr>
          <w:color w:val="000000" w:themeColor="text1"/>
        </w:rPr>
        <w:t xml:space="preserve"> or ribonucleoprotein</w:t>
      </w:r>
      <w:r w:rsidRPr="00035D47">
        <w:rPr>
          <w:color w:val="000000" w:themeColor="text1"/>
        </w:rPr>
        <w:t>.</w:t>
      </w:r>
      <w:r w:rsidR="47CC6C29" w:rsidRPr="00035D47">
        <w:rPr>
          <w:color w:val="000000" w:themeColor="text1"/>
        </w:rPr>
        <w:t xml:space="preserve"> When </w:t>
      </w:r>
      <w:r w:rsidR="0322B71E" w:rsidRPr="00035D47">
        <w:rPr>
          <w:color w:val="000000" w:themeColor="text1"/>
        </w:rPr>
        <w:t>mRNA and ribonucleoprotein forms of base editors have been compared head-to-head in</w:t>
      </w:r>
      <w:r w:rsidR="00952F48">
        <w:rPr>
          <w:color w:val="000000" w:themeColor="text1"/>
        </w:rPr>
        <w:t xml:space="preserve"> some</w:t>
      </w:r>
      <w:r w:rsidR="0322B71E" w:rsidRPr="00035D47">
        <w:rPr>
          <w:color w:val="000000" w:themeColor="text1"/>
        </w:rPr>
        <w:t xml:space="preserve"> prior work, mRNA has yielded better editing efficiency</w:t>
      </w:r>
      <w:r w:rsidR="0322B71E" w:rsidRPr="00591FD3">
        <w:rPr>
          <w:color w:val="000000" w:themeColor="text1"/>
          <w:vertAlign w:val="superscript"/>
        </w:rPr>
        <w:t>3</w:t>
      </w:r>
      <w:r w:rsidR="0322B71E" w:rsidRPr="00035D47">
        <w:rPr>
          <w:color w:val="000000" w:themeColor="text1"/>
        </w:rPr>
        <w:t>.</w:t>
      </w:r>
      <w:r w:rsidRPr="00035D47">
        <w:rPr>
          <w:color w:val="000000" w:themeColor="text1"/>
        </w:rPr>
        <w:t xml:space="preserve"> </w:t>
      </w:r>
      <w:r w:rsidR="75C8B107" w:rsidRPr="008A5CAC">
        <w:rPr>
          <w:color w:val="000000" w:themeColor="text1"/>
        </w:rPr>
        <w:t>Compared to plasmid or viral delivery methods, mRNA-based delivery enables transient expression and reduced risk of genomic integration, although it may require optimization for different cell types.</w:t>
      </w:r>
      <w:r w:rsidR="75C8B107">
        <w:rPr>
          <w:color w:val="000000" w:themeColor="text1"/>
        </w:rPr>
        <w:t xml:space="preserve"> </w:t>
      </w:r>
      <w:r w:rsidR="7F098047" w:rsidRPr="2830268F">
        <w:rPr>
          <w:color w:val="000000" w:themeColor="text1"/>
        </w:rPr>
        <w:t xml:space="preserve">In addition to lower editing efficiency, the use of plasmid DNA for genome editing carries a risk of random integration into the genome of target cells and </w:t>
      </w:r>
      <w:r w:rsidR="0FEC3E80">
        <w:rPr>
          <w:color w:val="000000" w:themeColor="text1"/>
        </w:rPr>
        <w:t xml:space="preserve">can </w:t>
      </w:r>
      <w:r w:rsidR="7F098047" w:rsidRPr="2830268F">
        <w:rPr>
          <w:color w:val="000000" w:themeColor="text1"/>
        </w:rPr>
        <w:t>increase</w:t>
      </w:r>
      <w:r w:rsidR="0FEC3E80">
        <w:rPr>
          <w:color w:val="000000" w:themeColor="text1"/>
        </w:rPr>
        <w:t xml:space="preserve"> the risk of</w:t>
      </w:r>
      <w:r w:rsidR="7F098047" w:rsidRPr="2830268F">
        <w:rPr>
          <w:color w:val="000000" w:themeColor="text1"/>
        </w:rPr>
        <w:t xml:space="preserve"> off-target editing due to prolonged expression</w:t>
      </w:r>
      <w:r w:rsidR="0FEC3E80">
        <w:rPr>
          <w:color w:val="000000" w:themeColor="text1"/>
        </w:rPr>
        <w:t xml:space="preserve"> of the editor</w:t>
      </w:r>
      <w:r w:rsidR="7F098047" w:rsidRPr="2830268F">
        <w:rPr>
          <w:color w:val="000000" w:themeColor="text1"/>
        </w:rPr>
        <w:t xml:space="preserve">. </w:t>
      </w:r>
      <w:r w:rsidRPr="00035D47">
        <w:rPr>
          <w:color w:val="000000" w:themeColor="text1"/>
        </w:rPr>
        <w:t>The combination of targeted amplicon sequencing and CRISPResso2 enables standardized quantification of editing efficiency and characterization of any allelic outcomes³</w:t>
      </w:r>
      <w:r w:rsidR="43C46D36">
        <w:rPr>
          <w:color w:val="000000" w:themeColor="text1"/>
        </w:rPr>
        <w:t>.</w:t>
      </w:r>
      <w:r w:rsidR="75C8B107" w:rsidRPr="008A5CAC">
        <w:rPr>
          <w:rFonts w:ascii="Segoe UI" w:hAnsi="Segoe UI" w:cs="Segoe UI"/>
          <w:color w:val="0D0D0D"/>
          <w:shd w:val="clear" w:color="auto" w:fill="FFFFFF"/>
        </w:rPr>
        <w:t xml:space="preserve"> </w:t>
      </w:r>
      <w:r w:rsidR="75C8B107">
        <w:rPr>
          <w:rFonts w:ascii="Segoe UI" w:hAnsi="Segoe UI" w:cs="Segoe UI"/>
          <w:color w:val="0D0D0D"/>
          <w:shd w:val="clear" w:color="auto" w:fill="FFFFFF"/>
        </w:rPr>
        <w:t> </w:t>
      </w:r>
    </w:p>
    <w:p w14:paraId="5057888B" w14:textId="77777777" w:rsidR="00114603" w:rsidRPr="00035D47" w:rsidRDefault="00114603" w:rsidP="00035D47"/>
    <w:p w14:paraId="6D14BAE6" w14:textId="027E058C" w:rsidR="006E4797" w:rsidRDefault="69DC8F38" w:rsidP="2830268F">
      <w:pPr>
        <w:rPr>
          <w:color w:val="000000" w:themeColor="text1"/>
        </w:rPr>
      </w:pPr>
      <w:r w:rsidRPr="5E2D72FC">
        <w:rPr>
          <w:color w:val="000000" w:themeColor="text1"/>
        </w:rPr>
        <w:t xml:space="preserve">Several factors are vital for success. </w:t>
      </w:r>
      <w:r w:rsidR="5458BCD3" w:rsidRPr="5E2D72FC">
        <w:rPr>
          <w:color w:val="000000" w:themeColor="text1"/>
        </w:rPr>
        <w:t xml:space="preserve">Critical steps in this protocol include maintaining RNA integrity through strict RNase-free handling, selecting optimal guide RNAs, and carefully optimizing electroporation conditions for each cell type. </w:t>
      </w:r>
      <w:r w:rsidRPr="5E2D72FC">
        <w:rPr>
          <w:color w:val="000000" w:themeColor="text1"/>
        </w:rPr>
        <w:t xml:space="preserve">RNA integrity and careful RNase control strongly influence outcomes, and guide RNA selection remains a primary determinant of efficiency and byproduct profiles. Electroporation settings require empirical optimization by cell type and some programs that yield high editing may also cause toxicity. </w:t>
      </w:r>
      <w:r w:rsidR="5458BCD3" w:rsidRPr="5E2D72FC">
        <w:rPr>
          <w:color w:val="000000" w:themeColor="text1"/>
        </w:rPr>
        <w:t xml:space="preserve">If low editing efficiency is observed, optimization of electroporation parameters, RNA quality, or guide RNA design should be considered. If excessive toxicity occurs, reducing electroporation strength or RNA input may improve cell viability. </w:t>
      </w:r>
      <w:r w:rsidR="006A5F6B" w:rsidRPr="006A5F6B">
        <w:rPr>
          <w:color w:val="000000" w:themeColor="text1"/>
        </w:rPr>
        <w:t>Additional optimization strategies include testing alternative electroporation buffers, modifying editor or guide RNA concentrations, and evaluating alternative electroporation programs tailored to the target cell type.</w:t>
      </w:r>
      <w:r w:rsidR="006A5F6B">
        <w:rPr>
          <w:color w:val="000000" w:themeColor="text1"/>
        </w:rPr>
        <w:t xml:space="preserve"> </w:t>
      </w:r>
      <w:r w:rsidRPr="5E2D72FC">
        <w:rPr>
          <w:color w:val="000000" w:themeColor="text1"/>
        </w:rPr>
        <w:t>This workflow provides a practical platform to benchmark editors</w:t>
      </w:r>
      <w:r w:rsidR="43C46D36" w:rsidRPr="5E2D72FC">
        <w:rPr>
          <w:color w:val="000000" w:themeColor="text1"/>
        </w:rPr>
        <w:t xml:space="preserve"> </w:t>
      </w:r>
      <w:r w:rsidRPr="5E2D72FC">
        <w:rPr>
          <w:color w:val="000000" w:themeColor="text1"/>
        </w:rPr>
        <w:t>and produce modified cells before downstream single-cell cloning, phenotyping, in vivo studies, or translational development.</w:t>
      </w:r>
      <w:r w:rsidR="75C8B107" w:rsidRPr="5E2D72FC">
        <w:rPr>
          <w:color w:val="000000" w:themeColor="text1"/>
        </w:rPr>
        <w:t xml:space="preserve"> </w:t>
      </w:r>
      <w:r w:rsidR="5FF3E36D" w:rsidRPr="5E2D72FC">
        <w:rPr>
          <w:color w:val="000000" w:themeColor="text1"/>
        </w:rPr>
        <w:t>This workflow is broadly applicable for evaluating genome editing strategies in primary cells, enabling systematic comparison of editing modalities across genomic contexts and cell types. It supports disease modeling through the introduction or correction of clinically relevant variants, as well as functional interrogation of coding and non-coding regulatory elements. In addition, it provides a platform for optimizing therapeutic editing approaches, including assessment of on-target efficiency, off-target activity, and editing durability. The workflow can also be used to screen and prioritize guide RNAs and editing systems, evaluate delivery strategies, and test patient-specific variants in a precision medicine framework. Collectively, it serves as a versatile bridge between basic genome biology, translational research, and preclinical development.</w:t>
      </w:r>
      <w:r w:rsidR="5458BCD3" w:rsidRPr="5E2D72FC">
        <w:rPr>
          <w:color w:val="000000" w:themeColor="text1"/>
        </w:rPr>
        <w:t xml:space="preserve"> A limitation of this method is that electroporation efficiency and cell viability can vary substantially between cell types, requiring empirical optimization. In addition, editing outcomes may depend on guide RNA design</w:t>
      </w:r>
      <w:r w:rsidR="58C0E631" w:rsidRPr="5E2D72FC">
        <w:rPr>
          <w:color w:val="000000" w:themeColor="text1"/>
        </w:rPr>
        <w:t xml:space="preserve"> and purity,</w:t>
      </w:r>
      <w:r w:rsidR="5458BCD3" w:rsidRPr="5E2D72FC">
        <w:rPr>
          <w:color w:val="000000" w:themeColor="text1"/>
        </w:rPr>
        <w:t xml:space="preserve"> and</w:t>
      </w:r>
      <w:r w:rsidR="20B6C472" w:rsidRPr="5E2D72FC">
        <w:rPr>
          <w:color w:val="000000" w:themeColor="text1"/>
        </w:rPr>
        <w:t xml:space="preserve"> the accessibility of the</w:t>
      </w:r>
      <w:r w:rsidR="5458BCD3" w:rsidRPr="5E2D72FC">
        <w:rPr>
          <w:color w:val="000000" w:themeColor="text1"/>
        </w:rPr>
        <w:t xml:space="preserve"> target locus, which may limit reproducibility across different experimental systems.</w:t>
      </w:r>
      <w:r w:rsidR="242C78AA" w:rsidRPr="5E2D72FC">
        <w:rPr>
          <w:color w:val="000000" w:themeColor="text1"/>
        </w:rPr>
        <w:t xml:space="preserve"> Despite these constraints, careful optimization of experimental parameters and guide design can mitigate variability, enabling reliable and reproducible application of this approach across diverse cellular systems.</w:t>
      </w:r>
    </w:p>
    <w:p w14:paraId="0FBFB055" w14:textId="77777777" w:rsidR="00114603" w:rsidRPr="00035D47" w:rsidRDefault="00114603" w:rsidP="00035D47"/>
    <w:p w14:paraId="499BE69F" w14:textId="2DB3D25F" w:rsidR="006E4797" w:rsidRPr="00035D47" w:rsidRDefault="2102927C" w:rsidP="00035D47">
      <w:pPr>
        <w:pStyle w:val="Heading1"/>
        <w:spacing w:before="0" w:after="0"/>
        <w:rPr>
          <w:sz w:val="24"/>
          <w:szCs w:val="24"/>
        </w:rPr>
      </w:pPr>
      <w:r w:rsidRPr="00035D47">
        <w:rPr>
          <w:bCs/>
          <w:color w:val="000000" w:themeColor="text1"/>
          <w:sz w:val="24"/>
          <w:szCs w:val="24"/>
        </w:rPr>
        <w:t>ACKNOWLEDGMENTS</w:t>
      </w:r>
    </w:p>
    <w:p w14:paraId="457859E6" w14:textId="63114B54" w:rsidR="006E4797" w:rsidRDefault="2102927C" w:rsidP="00035D47">
      <w:pPr>
        <w:rPr>
          <w:color w:val="000000" w:themeColor="text1"/>
        </w:rPr>
      </w:pPr>
      <w:r w:rsidRPr="00035D47">
        <w:rPr>
          <w:color w:val="000000" w:themeColor="text1"/>
        </w:rPr>
        <w:t xml:space="preserve">We thank Beatriz Olalla Sastre for helpful discussions relating to this protocol. This work was </w:t>
      </w:r>
      <w:r w:rsidRPr="00035D47">
        <w:rPr>
          <w:color w:val="000000" w:themeColor="text1"/>
        </w:rPr>
        <w:lastRenderedPageBreak/>
        <w:t xml:space="preserve">supported by the British Heart Foundation’s Big Beat Challenge award to </w:t>
      </w:r>
      <w:proofErr w:type="spellStart"/>
      <w:r w:rsidRPr="00035D47">
        <w:rPr>
          <w:color w:val="000000" w:themeColor="text1"/>
        </w:rPr>
        <w:t>CureHeart</w:t>
      </w:r>
      <w:proofErr w:type="spellEnd"/>
      <w:r w:rsidRPr="00035D47">
        <w:rPr>
          <w:color w:val="000000" w:themeColor="text1"/>
        </w:rPr>
        <w:t xml:space="preserve"> (award reference no. BBC/F/21/220106), the Cystic Fibrosis Foundation (award NEWBY23XX0), and the US National Institutes of Health (R00HL163805 and DP2OD038783 to G.A.N.).</w:t>
      </w:r>
    </w:p>
    <w:p w14:paraId="56C9B454" w14:textId="77777777" w:rsidR="00114603" w:rsidRPr="00035D47" w:rsidRDefault="00114603" w:rsidP="00035D47"/>
    <w:p w14:paraId="150994AB" w14:textId="248D6178" w:rsidR="006E4797" w:rsidRPr="00035D47" w:rsidRDefault="2102927C" w:rsidP="00035D47">
      <w:pPr>
        <w:pStyle w:val="Heading1"/>
        <w:spacing w:before="0" w:after="0"/>
        <w:rPr>
          <w:sz w:val="24"/>
          <w:szCs w:val="24"/>
        </w:rPr>
      </w:pPr>
      <w:r w:rsidRPr="00035D47">
        <w:rPr>
          <w:bCs/>
          <w:color w:val="000000" w:themeColor="text1"/>
          <w:sz w:val="24"/>
          <w:szCs w:val="24"/>
        </w:rPr>
        <w:t>DISCLOSURES</w:t>
      </w:r>
    </w:p>
    <w:p w14:paraId="71B42E68" w14:textId="7FDB721D" w:rsidR="006E4797" w:rsidRDefault="007A5526" w:rsidP="00035D47">
      <w:pPr>
        <w:rPr>
          <w:color w:val="000000" w:themeColor="text1"/>
        </w:rPr>
      </w:pPr>
      <w:r w:rsidRPr="00035D47">
        <w:rPr>
          <w:color w:val="000000" w:themeColor="text1"/>
        </w:rPr>
        <w:t xml:space="preserve">N.W. and E.V.B. have filed patent applications on genome editing technologies through Johns Hopkins University. </w:t>
      </w:r>
      <w:r w:rsidR="2102927C" w:rsidRPr="00035D47">
        <w:rPr>
          <w:color w:val="000000" w:themeColor="text1"/>
        </w:rPr>
        <w:t>G.A.N. has filed patent applications related to genome editing technologies through the Broad Institute and Johns Hopkins University.</w:t>
      </w:r>
      <w:r w:rsidRPr="00035D47">
        <w:rPr>
          <w:color w:val="000000" w:themeColor="text1"/>
        </w:rPr>
        <w:t xml:space="preserve"> </w:t>
      </w:r>
    </w:p>
    <w:p w14:paraId="719AC264" w14:textId="77777777" w:rsidR="007C5AFB" w:rsidRDefault="007C5AFB" w:rsidP="00035D47">
      <w:pPr>
        <w:rPr>
          <w:color w:val="000000" w:themeColor="text1"/>
        </w:rPr>
      </w:pPr>
    </w:p>
    <w:p w14:paraId="6F1EACC8" w14:textId="32E2CD43" w:rsidR="007C5AFB" w:rsidRPr="007C5AFB" w:rsidRDefault="007C5AFB" w:rsidP="00035D47">
      <w:pPr>
        <w:rPr>
          <w:b/>
          <w:bCs/>
          <w:color w:val="000000" w:themeColor="text1"/>
        </w:rPr>
      </w:pPr>
      <w:r w:rsidRPr="007C5AFB">
        <w:rPr>
          <w:b/>
          <w:bCs/>
          <w:color w:val="000000" w:themeColor="text1"/>
        </w:rPr>
        <w:t>Authors contribution:</w:t>
      </w:r>
    </w:p>
    <w:p w14:paraId="0F7CC6D7" w14:textId="372DD620" w:rsidR="007C5AFB" w:rsidRDefault="00341C89" w:rsidP="00EA7F65">
      <w:pPr>
        <w:rPr>
          <w:color w:val="000000" w:themeColor="text1"/>
        </w:rPr>
      </w:pPr>
      <w:r w:rsidRPr="02C33499">
        <w:rPr>
          <w:color w:val="000000" w:themeColor="text1"/>
        </w:rPr>
        <w:t xml:space="preserve">M.V., J.N.W., E.V.B, D.M.E., J.D., and G.A.N. each drafted separate sections of the text. M.V. assembled and edited the final text followed by edits from all authors. </w:t>
      </w:r>
    </w:p>
    <w:p w14:paraId="7EDED80A" w14:textId="77777777" w:rsidR="00830671" w:rsidRDefault="00830671" w:rsidP="00EA7F65">
      <w:pPr>
        <w:rPr>
          <w:color w:val="000000" w:themeColor="text1"/>
        </w:rPr>
      </w:pPr>
    </w:p>
    <w:p w14:paraId="539F87AD" w14:textId="2C3A88F3" w:rsidR="00830671" w:rsidRPr="00830671" w:rsidRDefault="00830671" w:rsidP="00830671">
      <w:pPr>
        <w:rPr>
          <w:b/>
          <w:bCs/>
          <w:color w:val="000000" w:themeColor="text1"/>
        </w:rPr>
      </w:pPr>
      <w:proofErr w:type="gramStart"/>
      <w:r w:rsidRPr="00830671">
        <w:rPr>
          <w:b/>
          <w:bCs/>
          <w:color w:val="000000" w:themeColor="text1"/>
        </w:rPr>
        <w:t>REFERENCES</w:t>
      </w:r>
      <w:proofErr w:type="gramEnd"/>
      <w:r>
        <w:rPr>
          <w:b/>
          <w:bCs/>
          <w:color w:val="000000" w:themeColor="text1"/>
        </w:rPr>
        <w:t>:</w:t>
      </w:r>
    </w:p>
    <w:p w14:paraId="65A08FA9" w14:textId="77777777" w:rsidR="00830671" w:rsidRPr="00830671" w:rsidRDefault="00830671" w:rsidP="00830671">
      <w:pPr>
        <w:pStyle w:val="ListParagraph"/>
        <w:numPr>
          <w:ilvl w:val="0"/>
          <w:numId w:val="31"/>
        </w:numPr>
        <w:spacing w:after="0" w:line="240" w:lineRule="auto"/>
        <w:jc w:val="both"/>
        <w:rPr>
          <w:rFonts w:ascii="Calibri" w:hAnsi="Calibri" w:cs="Calibri"/>
          <w:color w:val="000000" w:themeColor="text1"/>
          <w:sz w:val="24"/>
          <w:szCs w:val="24"/>
        </w:rPr>
      </w:pPr>
      <w:r w:rsidRPr="00830671">
        <w:rPr>
          <w:rFonts w:ascii="Calibri" w:hAnsi="Calibri" w:cs="Calibri"/>
          <w:color w:val="000000" w:themeColor="text1"/>
          <w:sz w:val="24"/>
          <w:szCs w:val="24"/>
        </w:rPr>
        <w:t xml:space="preserve">Gao H, Gao S, Kan G, </w:t>
      </w:r>
      <w:proofErr w:type="spellStart"/>
      <w:r w:rsidRPr="00830671">
        <w:rPr>
          <w:rFonts w:ascii="Calibri" w:hAnsi="Calibri" w:cs="Calibri"/>
          <w:color w:val="000000" w:themeColor="text1"/>
          <w:sz w:val="24"/>
          <w:szCs w:val="24"/>
        </w:rPr>
        <w:t>Valentovich</w:t>
      </w:r>
      <w:proofErr w:type="spellEnd"/>
      <w:r w:rsidRPr="00830671">
        <w:rPr>
          <w:rFonts w:ascii="Calibri" w:hAnsi="Calibri" w:cs="Calibri"/>
          <w:color w:val="000000" w:themeColor="text1"/>
          <w:sz w:val="24"/>
          <w:szCs w:val="24"/>
        </w:rPr>
        <w:t xml:space="preserve"> LN, An Y. Research progress of base editing and prime editing tools based on the CRISPR/Cas system. Mol Ther Nucleic Acids. 2025;36.</w:t>
      </w:r>
    </w:p>
    <w:p w14:paraId="5BB4465F" w14:textId="77777777" w:rsidR="00830671" w:rsidRPr="00830671" w:rsidRDefault="00830671" w:rsidP="00830671">
      <w:pPr>
        <w:pStyle w:val="ListParagraph"/>
        <w:numPr>
          <w:ilvl w:val="0"/>
          <w:numId w:val="31"/>
        </w:numPr>
        <w:spacing w:after="0" w:line="240" w:lineRule="auto"/>
        <w:jc w:val="both"/>
        <w:rPr>
          <w:rFonts w:ascii="Calibri" w:hAnsi="Calibri" w:cs="Calibri"/>
          <w:color w:val="000000" w:themeColor="text1"/>
          <w:sz w:val="24"/>
          <w:szCs w:val="24"/>
        </w:rPr>
      </w:pPr>
      <w:r w:rsidRPr="00830671">
        <w:rPr>
          <w:rFonts w:ascii="Calibri" w:hAnsi="Calibri" w:cs="Calibri"/>
          <w:color w:val="000000" w:themeColor="text1"/>
          <w:sz w:val="24"/>
          <w:szCs w:val="24"/>
        </w:rPr>
        <w:t xml:space="preserve">Chen PJ, Hussmann JA, Yan J, et al. Enhanced prime editing systems by manipulating cellular determinants of editing outcomes. Cell. 2021;184(22):5635–5652. </w:t>
      </w:r>
      <w:proofErr w:type="gramStart"/>
      <w:r w:rsidRPr="00830671">
        <w:rPr>
          <w:rFonts w:ascii="Calibri" w:hAnsi="Calibri" w:cs="Calibri"/>
          <w:color w:val="000000" w:themeColor="text1"/>
          <w:sz w:val="24"/>
          <w:szCs w:val="24"/>
        </w:rPr>
        <w:t>doi:10.1016/j.cell</w:t>
      </w:r>
      <w:proofErr w:type="gramEnd"/>
      <w:r w:rsidRPr="00830671">
        <w:rPr>
          <w:rFonts w:ascii="Calibri" w:hAnsi="Calibri" w:cs="Calibri"/>
          <w:color w:val="000000" w:themeColor="text1"/>
          <w:sz w:val="24"/>
          <w:szCs w:val="24"/>
        </w:rPr>
        <w:t>.2021.09.018.</w:t>
      </w:r>
    </w:p>
    <w:p w14:paraId="2DFC8DA5" w14:textId="77777777" w:rsidR="00830671" w:rsidRPr="00830671" w:rsidRDefault="00830671" w:rsidP="00830671">
      <w:pPr>
        <w:pStyle w:val="ListParagraph"/>
        <w:numPr>
          <w:ilvl w:val="0"/>
          <w:numId w:val="31"/>
        </w:numPr>
        <w:spacing w:after="0" w:line="240" w:lineRule="auto"/>
        <w:jc w:val="both"/>
        <w:rPr>
          <w:rFonts w:ascii="Calibri" w:hAnsi="Calibri" w:cs="Calibri"/>
          <w:color w:val="000000" w:themeColor="text1"/>
          <w:sz w:val="24"/>
          <w:szCs w:val="24"/>
        </w:rPr>
      </w:pPr>
      <w:r w:rsidRPr="00830671">
        <w:rPr>
          <w:rFonts w:ascii="Calibri" w:hAnsi="Calibri" w:cs="Calibri"/>
          <w:color w:val="000000" w:themeColor="text1"/>
          <w:sz w:val="24"/>
          <w:szCs w:val="24"/>
        </w:rPr>
        <w:t xml:space="preserve">Newby GA, Yen JS, Woodard KJ, et al. Base editing of </w:t>
      </w:r>
      <w:proofErr w:type="spellStart"/>
      <w:r w:rsidRPr="00830671">
        <w:rPr>
          <w:rFonts w:ascii="Calibri" w:hAnsi="Calibri" w:cs="Calibri"/>
          <w:color w:val="000000" w:themeColor="text1"/>
          <w:sz w:val="24"/>
          <w:szCs w:val="24"/>
        </w:rPr>
        <w:t>haematopoietic</w:t>
      </w:r>
      <w:proofErr w:type="spellEnd"/>
      <w:r w:rsidRPr="00830671">
        <w:rPr>
          <w:rFonts w:ascii="Calibri" w:hAnsi="Calibri" w:cs="Calibri"/>
          <w:color w:val="000000" w:themeColor="text1"/>
          <w:sz w:val="24"/>
          <w:szCs w:val="24"/>
        </w:rPr>
        <w:t xml:space="preserve"> stem cells rescues sickle cell disease in mice. Nature. 2022;595(7866):295–302. doi:10.1038/s41586-021-03609-w.</w:t>
      </w:r>
    </w:p>
    <w:p w14:paraId="4CD2B255" w14:textId="77777777" w:rsidR="00830671" w:rsidRPr="00830671" w:rsidRDefault="00830671" w:rsidP="00830671">
      <w:pPr>
        <w:pStyle w:val="ListParagraph"/>
        <w:numPr>
          <w:ilvl w:val="0"/>
          <w:numId w:val="31"/>
        </w:numPr>
        <w:spacing w:after="0" w:line="240" w:lineRule="auto"/>
        <w:jc w:val="both"/>
        <w:rPr>
          <w:rFonts w:ascii="Calibri" w:hAnsi="Calibri" w:cs="Calibri"/>
          <w:color w:val="000000" w:themeColor="text1"/>
          <w:sz w:val="24"/>
          <w:szCs w:val="24"/>
        </w:rPr>
      </w:pPr>
      <w:r w:rsidRPr="00830671">
        <w:rPr>
          <w:rFonts w:ascii="Calibri" w:hAnsi="Calibri" w:cs="Calibri"/>
          <w:color w:val="000000" w:themeColor="text1"/>
          <w:sz w:val="24"/>
          <w:szCs w:val="24"/>
        </w:rPr>
        <w:t xml:space="preserve">Sousa AA, </w:t>
      </w:r>
      <w:proofErr w:type="spellStart"/>
      <w:r w:rsidRPr="00830671">
        <w:rPr>
          <w:rFonts w:ascii="Calibri" w:hAnsi="Calibri" w:cs="Calibri"/>
          <w:color w:val="000000" w:themeColor="text1"/>
          <w:sz w:val="24"/>
          <w:szCs w:val="24"/>
        </w:rPr>
        <w:t>Hemez</w:t>
      </w:r>
      <w:proofErr w:type="spellEnd"/>
      <w:r w:rsidRPr="00830671">
        <w:rPr>
          <w:rFonts w:ascii="Calibri" w:hAnsi="Calibri" w:cs="Calibri"/>
          <w:color w:val="000000" w:themeColor="text1"/>
          <w:sz w:val="24"/>
          <w:szCs w:val="24"/>
        </w:rPr>
        <w:t xml:space="preserve"> C, Lei L, et al. Systematic optimization of prime editing for the efficient functional correction of CFTR F508del in human airway epithelial cells. Nat Biomed Eng. 2024;9(1):7. doi:10.1038/s41551-024-01233-3.</w:t>
      </w:r>
    </w:p>
    <w:p w14:paraId="4A1033FB" w14:textId="77777777" w:rsidR="00830671" w:rsidRPr="00830671" w:rsidRDefault="00830671" w:rsidP="00830671">
      <w:pPr>
        <w:pStyle w:val="ListParagraph"/>
        <w:numPr>
          <w:ilvl w:val="0"/>
          <w:numId w:val="31"/>
        </w:numPr>
        <w:spacing w:after="0" w:line="240" w:lineRule="auto"/>
        <w:jc w:val="both"/>
        <w:rPr>
          <w:rFonts w:ascii="Calibri" w:hAnsi="Calibri" w:cs="Calibri"/>
          <w:color w:val="000000" w:themeColor="text1"/>
          <w:sz w:val="24"/>
          <w:szCs w:val="24"/>
        </w:rPr>
      </w:pPr>
      <w:r w:rsidRPr="00EE2398">
        <w:rPr>
          <w:rFonts w:ascii="Calibri" w:hAnsi="Calibri" w:cs="Calibri"/>
          <w:color w:val="000000" w:themeColor="text1"/>
          <w:sz w:val="24"/>
          <w:szCs w:val="24"/>
          <w:lang w:val="fr-FR"/>
        </w:rPr>
        <w:t xml:space="preserve">Mayuranathan T, Newby GA, Feng R, et al. </w:t>
      </w:r>
      <w:r w:rsidRPr="00830671">
        <w:rPr>
          <w:rFonts w:ascii="Calibri" w:hAnsi="Calibri" w:cs="Calibri"/>
          <w:color w:val="000000" w:themeColor="text1"/>
          <w:sz w:val="24"/>
          <w:szCs w:val="24"/>
        </w:rPr>
        <w:t>Potent and uniform fetal hemoglobin induction via base editing. Nat Genet. 2023;55(7):1210–1217.</w:t>
      </w:r>
    </w:p>
    <w:p w14:paraId="6AA6FA80" w14:textId="77777777" w:rsidR="00830671" w:rsidRPr="00830671" w:rsidRDefault="00830671" w:rsidP="00830671">
      <w:pPr>
        <w:pStyle w:val="ListParagraph"/>
        <w:numPr>
          <w:ilvl w:val="0"/>
          <w:numId w:val="31"/>
        </w:numPr>
        <w:spacing w:after="0" w:line="240" w:lineRule="auto"/>
        <w:jc w:val="both"/>
        <w:rPr>
          <w:rFonts w:ascii="Calibri" w:hAnsi="Calibri" w:cs="Calibri"/>
          <w:color w:val="000000" w:themeColor="text1"/>
          <w:sz w:val="24"/>
          <w:szCs w:val="24"/>
        </w:rPr>
      </w:pPr>
      <w:r w:rsidRPr="00830671">
        <w:rPr>
          <w:rFonts w:ascii="Calibri" w:hAnsi="Calibri" w:cs="Calibri"/>
          <w:color w:val="000000" w:themeColor="text1"/>
          <w:sz w:val="24"/>
          <w:szCs w:val="24"/>
        </w:rPr>
        <w:t>He W, Zhang X, Zou Y, et al. Effective synthesis of high-integrity mRNA using in vitro transcription. Molecules. 2024;29(11).</w:t>
      </w:r>
    </w:p>
    <w:p w14:paraId="22E4E3EF" w14:textId="77777777" w:rsidR="00830671" w:rsidRPr="00830671" w:rsidRDefault="00830671" w:rsidP="00830671">
      <w:pPr>
        <w:pStyle w:val="ListParagraph"/>
        <w:numPr>
          <w:ilvl w:val="0"/>
          <w:numId w:val="31"/>
        </w:numPr>
        <w:spacing w:after="0" w:line="240" w:lineRule="auto"/>
        <w:jc w:val="both"/>
        <w:rPr>
          <w:rFonts w:ascii="Calibri" w:hAnsi="Calibri" w:cs="Calibri"/>
          <w:color w:val="000000" w:themeColor="text1"/>
          <w:sz w:val="24"/>
          <w:szCs w:val="24"/>
        </w:rPr>
      </w:pPr>
      <w:r w:rsidRPr="00EE2398">
        <w:rPr>
          <w:rFonts w:ascii="Calibri" w:hAnsi="Calibri" w:cs="Calibri"/>
          <w:color w:val="000000" w:themeColor="text1"/>
          <w:sz w:val="24"/>
          <w:szCs w:val="24"/>
          <w:lang w:val="fr-FR"/>
        </w:rPr>
        <w:t xml:space="preserve">Popova PG, Lagace MA, Tang G, Blakney AK. </w:t>
      </w:r>
      <w:r w:rsidRPr="00830671">
        <w:rPr>
          <w:rFonts w:ascii="Calibri" w:hAnsi="Calibri" w:cs="Calibri"/>
          <w:color w:val="000000" w:themeColor="text1"/>
          <w:sz w:val="24"/>
          <w:szCs w:val="24"/>
        </w:rPr>
        <w:t xml:space="preserve">Effect of in vitro transcription conditions on yield of high-quality messenger and self-amplifying RNA. </w:t>
      </w:r>
      <w:proofErr w:type="spellStart"/>
      <w:r w:rsidRPr="00830671">
        <w:rPr>
          <w:rFonts w:ascii="Calibri" w:hAnsi="Calibri" w:cs="Calibri"/>
          <w:color w:val="000000" w:themeColor="text1"/>
          <w:sz w:val="24"/>
          <w:szCs w:val="24"/>
        </w:rPr>
        <w:t>Eur</w:t>
      </w:r>
      <w:proofErr w:type="spellEnd"/>
      <w:r w:rsidRPr="00830671">
        <w:rPr>
          <w:rFonts w:ascii="Calibri" w:hAnsi="Calibri" w:cs="Calibri"/>
          <w:color w:val="000000" w:themeColor="text1"/>
          <w:sz w:val="24"/>
          <w:szCs w:val="24"/>
        </w:rPr>
        <w:t xml:space="preserve"> J Pharm </w:t>
      </w:r>
      <w:proofErr w:type="spellStart"/>
      <w:r w:rsidRPr="00830671">
        <w:rPr>
          <w:rFonts w:ascii="Calibri" w:hAnsi="Calibri" w:cs="Calibri"/>
          <w:color w:val="000000" w:themeColor="text1"/>
          <w:sz w:val="24"/>
          <w:szCs w:val="24"/>
        </w:rPr>
        <w:t>Biopharm</w:t>
      </w:r>
      <w:proofErr w:type="spellEnd"/>
      <w:r w:rsidRPr="00830671">
        <w:rPr>
          <w:rFonts w:ascii="Calibri" w:hAnsi="Calibri" w:cs="Calibri"/>
          <w:color w:val="000000" w:themeColor="text1"/>
          <w:sz w:val="24"/>
          <w:szCs w:val="24"/>
        </w:rPr>
        <w:t>. 2024;198.</w:t>
      </w:r>
    </w:p>
    <w:p w14:paraId="4208FCB9" w14:textId="77777777" w:rsidR="00830671" w:rsidRPr="00830671" w:rsidRDefault="00830671" w:rsidP="00830671">
      <w:pPr>
        <w:pStyle w:val="ListParagraph"/>
        <w:numPr>
          <w:ilvl w:val="0"/>
          <w:numId w:val="31"/>
        </w:numPr>
        <w:spacing w:after="0" w:line="240" w:lineRule="auto"/>
        <w:jc w:val="both"/>
        <w:rPr>
          <w:rFonts w:ascii="Calibri" w:hAnsi="Calibri" w:cs="Calibri"/>
          <w:color w:val="000000" w:themeColor="text1"/>
          <w:sz w:val="24"/>
          <w:szCs w:val="24"/>
        </w:rPr>
      </w:pPr>
      <w:r w:rsidRPr="00EE2398">
        <w:rPr>
          <w:rFonts w:ascii="Calibri" w:hAnsi="Calibri" w:cs="Calibri"/>
          <w:color w:val="000000" w:themeColor="text1"/>
          <w:sz w:val="24"/>
          <w:szCs w:val="24"/>
          <w:lang w:val="fr-FR"/>
        </w:rPr>
        <w:t xml:space="preserve">Zhang F, Wang Y, Wang X, et al. </w:t>
      </w:r>
      <w:r w:rsidRPr="00830671">
        <w:rPr>
          <w:rFonts w:ascii="Calibri" w:hAnsi="Calibri" w:cs="Calibri"/>
          <w:color w:val="000000" w:themeColor="text1"/>
          <w:sz w:val="24"/>
          <w:szCs w:val="24"/>
        </w:rPr>
        <w:t>RT-IVT method allows multiplex real-time quantification of in vitro transcriptional mRNA production. Commun Biol. 2023;6(1).</w:t>
      </w:r>
    </w:p>
    <w:p w14:paraId="6DD4282F" w14:textId="77777777" w:rsidR="00830671" w:rsidRPr="00830671" w:rsidRDefault="00830671" w:rsidP="00830671">
      <w:pPr>
        <w:pStyle w:val="ListParagraph"/>
        <w:numPr>
          <w:ilvl w:val="0"/>
          <w:numId w:val="31"/>
        </w:numPr>
        <w:spacing w:after="0" w:line="240" w:lineRule="auto"/>
        <w:jc w:val="both"/>
        <w:rPr>
          <w:rFonts w:ascii="Calibri" w:hAnsi="Calibri" w:cs="Calibri"/>
          <w:color w:val="000000" w:themeColor="text1"/>
          <w:sz w:val="24"/>
          <w:szCs w:val="24"/>
        </w:rPr>
      </w:pPr>
      <w:r w:rsidRPr="00830671">
        <w:rPr>
          <w:rFonts w:ascii="Calibri" w:hAnsi="Calibri" w:cs="Calibri"/>
          <w:color w:val="000000" w:themeColor="text1"/>
          <w:sz w:val="24"/>
          <w:szCs w:val="24"/>
        </w:rPr>
        <w:t>Montague TG, Cruz JM, Gagnon JA, Church GM, Valen E. CHOPCHOP: a CRISPR/Cas9 and TALEN web tool for genome editing. Nucleic Acids Res. 2014;42(W1)–W407.</w:t>
      </w:r>
    </w:p>
    <w:p w14:paraId="7F169140" w14:textId="77777777" w:rsidR="00830671" w:rsidRPr="00830671" w:rsidRDefault="00830671" w:rsidP="00830671">
      <w:pPr>
        <w:pStyle w:val="ListParagraph"/>
        <w:numPr>
          <w:ilvl w:val="0"/>
          <w:numId w:val="31"/>
        </w:numPr>
        <w:spacing w:after="0" w:line="240" w:lineRule="auto"/>
        <w:jc w:val="both"/>
        <w:rPr>
          <w:rFonts w:ascii="Calibri" w:hAnsi="Calibri" w:cs="Calibri"/>
          <w:color w:val="000000" w:themeColor="text1"/>
          <w:sz w:val="24"/>
          <w:szCs w:val="24"/>
        </w:rPr>
      </w:pPr>
      <w:proofErr w:type="spellStart"/>
      <w:r w:rsidRPr="00830671">
        <w:rPr>
          <w:rFonts w:ascii="Calibri" w:hAnsi="Calibri" w:cs="Calibri"/>
          <w:color w:val="000000" w:themeColor="text1"/>
          <w:sz w:val="24"/>
          <w:szCs w:val="24"/>
        </w:rPr>
        <w:t>Concordet</w:t>
      </w:r>
      <w:proofErr w:type="spellEnd"/>
      <w:r w:rsidRPr="00830671">
        <w:rPr>
          <w:rFonts w:ascii="Calibri" w:hAnsi="Calibri" w:cs="Calibri"/>
          <w:color w:val="000000" w:themeColor="text1"/>
          <w:sz w:val="24"/>
          <w:szCs w:val="24"/>
        </w:rPr>
        <w:t xml:space="preserve"> JP, Haeussler M. CRISPOR: intuitive guide selection for CRISPR/Cas9 genome editing experiments and screens. Nucleic Acids Res. 2018;46(W1)–W245.</w:t>
      </w:r>
    </w:p>
    <w:p w14:paraId="1FCF3FF5" w14:textId="77777777" w:rsidR="00830671" w:rsidRPr="00830671" w:rsidRDefault="00830671" w:rsidP="00830671">
      <w:pPr>
        <w:pStyle w:val="ListParagraph"/>
        <w:numPr>
          <w:ilvl w:val="0"/>
          <w:numId w:val="31"/>
        </w:numPr>
        <w:spacing w:after="0" w:line="240" w:lineRule="auto"/>
        <w:jc w:val="both"/>
        <w:rPr>
          <w:rFonts w:ascii="Calibri" w:hAnsi="Calibri" w:cs="Calibri"/>
          <w:color w:val="000000" w:themeColor="text1"/>
          <w:sz w:val="24"/>
          <w:szCs w:val="24"/>
        </w:rPr>
      </w:pPr>
      <w:r w:rsidRPr="00830671">
        <w:rPr>
          <w:rFonts w:ascii="Calibri" w:hAnsi="Calibri" w:cs="Calibri"/>
          <w:color w:val="000000" w:themeColor="text1"/>
          <w:sz w:val="24"/>
          <w:szCs w:val="24"/>
        </w:rPr>
        <w:t xml:space="preserve">Mohr SE, Hu Y, Ewen-Campen B, Housden BE, Viswanatha R, </w:t>
      </w:r>
      <w:proofErr w:type="spellStart"/>
      <w:r w:rsidRPr="00830671">
        <w:rPr>
          <w:rFonts w:ascii="Calibri" w:hAnsi="Calibri" w:cs="Calibri"/>
          <w:color w:val="000000" w:themeColor="text1"/>
          <w:sz w:val="24"/>
          <w:szCs w:val="24"/>
        </w:rPr>
        <w:t>Perrimon</w:t>
      </w:r>
      <w:proofErr w:type="spellEnd"/>
      <w:r w:rsidRPr="00830671">
        <w:rPr>
          <w:rFonts w:ascii="Calibri" w:hAnsi="Calibri" w:cs="Calibri"/>
          <w:color w:val="000000" w:themeColor="text1"/>
          <w:sz w:val="24"/>
          <w:szCs w:val="24"/>
        </w:rPr>
        <w:t xml:space="preserve"> N. CRISPR guide RNA design for research applications. FEBS J. 2016;283(17):3232–3245.</w:t>
      </w:r>
    </w:p>
    <w:p w14:paraId="6CD56FA5" w14:textId="77777777" w:rsidR="00830671" w:rsidRPr="00830671" w:rsidRDefault="00830671" w:rsidP="00830671">
      <w:pPr>
        <w:pStyle w:val="ListParagraph"/>
        <w:numPr>
          <w:ilvl w:val="0"/>
          <w:numId w:val="31"/>
        </w:numPr>
        <w:spacing w:after="0" w:line="240" w:lineRule="auto"/>
        <w:jc w:val="both"/>
        <w:rPr>
          <w:rFonts w:ascii="Calibri" w:hAnsi="Calibri" w:cs="Calibri"/>
          <w:color w:val="000000" w:themeColor="text1"/>
          <w:sz w:val="24"/>
          <w:szCs w:val="24"/>
        </w:rPr>
      </w:pPr>
      <w:r w:rsidRPr="00830671">
        <w:rPr>
          <w:rFonts w:ascii="Calibri" w:hAnsi="Calibri" w:cs="Calibri"/>
          <w:color w:val="000000" w:themeColor="text1"/>
          <w:sz w:val="24"/>
          <w:szCs w:val="24"/>
        </w:rPr>
        <w:t xml:space="preserve">Huang TP, Newby GA, Liu DR. Precision genome editing using cytosine and adenine base editors in mammalian cells. Nat </w:t>
      </w:r>
      <w:proofErr w:type="spellStart"/>
      <w:r w:rsidRPr="00830671">
        <w:rPr>
          <w:rFonts w:ascii="Calibri" w:hAnsi="Calibri" w:cs="Calibri"/>
          <w:color w:val="000000" w:themeColor="text1"/>
          <w:sz w:val="24"/>
          <w:szCs w:val="24"/>
        </w:rPr>
        <w:t>Protoc</w:t>
      </w:r>
      <w:proofErr w:type="spellEnd"/>
      <w:r w:rsidRPr="00830671">
        <w:rPr>
          <w:rFonts w:ascii="Calibri" w:hAnsi="Calibri" w:cs="Calibri"/>
          <w:color w:val="000000" w:themeColor="text1"/>
          <w:sz w:val="24"/>
          <w:szCs w:val="24"/>
        </w:rPr>
        <w:t>. 2021;16(2):1089–1106. doi:10.1038/s41596-020-00450-9.</w:t>
      </w:r>
    </w:p>
    <w:p w14:paraId="5328FE62" w14:textId="77777777" w:rsidR="00830671" w:rsidRPr="00830671" w:rsidRDefault="00830671" w:rsidP="00830671">
      <w:pPr>
        <w:pStyle w:val="ListParagraph"/>
        <w:numPr>
          <w:ilvl w:val="0"/>
          <w:numId w:val="31"/>
        </w:numPr>
        <w:spacing w:after="0" w:line="240" w:lineRule="auto"/>
        <w:jc w:val="both"/>
        <w:rPr>
          <w:rFonts w:ascii="Calibri" w:hAnsi="Calibri" w:cs="Calibri"/>
          <w:color w:val="000000" w:themeColor="text1"/>
          <w:sz w:val="24"/>
          <w:szCs w:val="24"/>
        </w:rPr>
      </w:pPr>
      <w:r w:rsidRPr="00830671">
        <w:rPr>
          <w:rFonts w:ascii="Calibri" w:hAnsi="Calibri" w:cs="Calibri"/>
          <w:color w:val="000000" w:themeColor="text1"/>
          <w:sz w:val="24"/>
          <w:szCs w:val="24"/>
        </w:rPr>
        <w:lastRenderedPageBreak/>
        <w:t xml:space="preserve">Doman JL, Sousa AA, Randolph PB, Chen PJ, Liu DR. Designing and executing prime editing experiments in mammalian cells. Nat </w:t>
      </w:r>
      <w:proofErr w:type="spellStart"/>
      <w:r w:rsidRPr="00830671">
        <w:rPr>
          <w:rFonts w:ascii="Calibri" w:hAnsi="Calibri" w:cs="Calibri"/>
          <w:color w:val="000000" w:themeColor="text1"/>
          <w:sz w:val="24"/>
          <w:szCs w:val="24"/>
        </w:rPr>
        <w:t>Protoc</w:t>
      </w:r>
      <w:proofErr w:type="spellEnd"/>
      <w:r w:rsidRPr="00830671">
        <w:rPr>
          <w:rFonts w:ascii="Calibri" w:hAnsi="Calibri" w:cs="Calibri"/>
          <w:color w:val="000000" w:themeColor="text1"/>
          <w:sz w:val="24"/>
          <w:szCs w:val="24"/>
        </w:rPr>
        <w:t>. 2023;18(6):1780–1818. doi:10.1038/s41596-022-00724-4.</w:t>
      </w:r>
    </w:p>
    <w:p w14:paraId="66B3CFBD" w14:textId="77777777" w:rsidR="00830671" w:rsidRPr="00830671" w:rsidRDefault="00830671" w:rsidP="00830671">
      <w:pPr>
        <w:pStyle w:val="ListParagraph"/>
        <w:numPr>
          <w:ilvl w:val="0"/>
          <w:numId w:val="31"/>
        </w:numPr>
        <w:spacing w:after="0" w:line="240" w:lineRule="auto"/>
        <w:jc w:val="both"/>
        <w:rPr>
          <w:rFonts w:ascii="Calibri" w:hAnsi="Calibri" w:cs="Calibri"/>
          <w:color w:val="000000" w:themeColor="text1"/>
          <w:sz w:val="24"/>
          <w:szCs w:val="24"/>
        </w:rPr>
      </w:pPr>
      <w:proofErr w:type="spellStart"/>
      <w:r w:rsidRPr="00830671">
        <w:rPr>
          <w:rFonts w:ascii="Calibri" w:hAnsi="Calibri" w:cs="Calibri"/>
          <w:color w:val="000000" w:themeColor="text1"/>
          <w:sz w:val="24"/>
          <w:szCs w:val="24"/>
        </w:rPr>
        <w:t>Chicaybam</w:t>
      </w:r>
      <w:proofErr w:type="spellEnd"/>
      <w:r w:rsidRPr="00830671">
        <w:rPr>
          <w:rFonts w:ascii="Calibri" w:hAnsi="Calibri" w:cs="Calibri"/>
          <w:color w:val="000000" w:themeColor="text1"/>
          <w:sz w:val="24"/>
          <w:szCs w:val="24"/>
        </w:rPr>
        <w:t xml:space="preserve"> L, Barcelos C, Peixoto B, et al. An efficient electroporation protocol for the genetic modification of mammalian cells. Front </w:t>
      </w:r>
      <w:proofErr w:type="spellStart"/>
      <w:r w:rsidRPr="00830671">
        <w:rPr>
          <w:rFonts w:ascii="Calibri" w:hAnsi="Calibri" w:cs="Calibri"/>
          <w:color w:val="000000" w:themeColor="text1"/>
          <w:sz w:val="24"/>
          <w:szCs w:val="24"/>
        </w:rPr>
        <w:t>Bioeng</w:t>
      </w:r>
      <w:proofErr w:type="spellEnd"/>
      <w:r w:rsidRPr="00830671">
        <w:rPr>
          <w:rFonts w:ascii="Calibri" w:hAnsi="Calibri" w:cs="Calibri"/>
          <w:color w:val="000000" w:themeColor="text1"/>
          <w:sz w:val="24"/>
          <w:szCs w:val="24"/>
        </w:rPr>
        <w:t xml:space="preserve"> </w:t>
      </w:r>
      <w:proofErr w:type="spellStart"/>
      <w:r w:rsidRPr="00830671">
        <w:rPr>
          <w:rFonts w:ascii="Calibri" w:hAnsi="Calibri" w:cs="Calibri"/>
          <w:color w:val="000000" w:themeColor="text1"/>
          <w:sz w:val="24"/>
          <w:szCs w:val="24"/>
        </w:rPr>
        <w:t>Biotechnol</w:t>
      </w:r>
      <w:proofErr w:type="spellEnd"/>
      <w:r w:rsidRPr="00830671">
        <w:rPr>
          <w:rFonts w:ascii="Calibri" w:hAnsi="Calibri" w:cs="Calibri"/>
          <w:color w:val="000000" w:themeColor="text1"/>
          <w:sz w:val="24"/>
          <w:szCs w:val="24"/>
        </w:rPr>
        <w:t xml:space="preserve">. </w:t>
      </w:r>
      <w:proofErr w:type="gramStart"/>
      <w:r w:rsidRPr="00830671">
        <w:rPr>
          <w:rFonts w:ascii="Calibri" w:hAnsi="Calibri" w:cs="Calibri"/>
          <w:color w:val="000000" w:themeColor="text1"/>
          <w:sz w:val="24"/>
          <w:szCs w:val="24"/>
        </w:rPr>
        <w:t>2017;4:99</w:t>
      </w:r>
      <w:proofErr w:type="gramEnd"/>
      <w:r w:rsidRPr="00830671">
        <w:rPr>
          <w:rFonts w:ascii="Calibri" w:hAnsi="Calibri" w:cs="Calibri"/>
          <w:color w:val="000000" w:themeColor="text1"/>
          <w:sz w:val="24"/>
          <w:szCs w:val="24"/>
        </w:rPr>
        <w:t>.</w:t>
      </w:r>
    </w:p>
    <w:p w14:paraId="336ED526" w14:textId="1B357335" w:rsidR="5E2D72FC" w:rsidRPr="00830671" w:rsidRDefault="00830671" w:rsidP="00830671">
      <w:pPr>
        <w:pStyle w:val="ListParagraph"/>
        <w:numPr>
          <w:ilvl w:val="0"/>
          <w:numId w:val="31"/>
        </w:numPr>
        <w:spacing w:after="0" w:line="240" w:lineRule="auto"/>
        <w:jc w:val="both"/>
        <w:rPr>
          <w:rFonts w:ascii="Calibri" w:hAnsi="Calibri" w:cs="Calibri"/>
          <w:color w:val="000000" w:themeColor="text1"/>
          <w:sz w:val="24"/>
          <w:szCs w:val="24"/>
        </w:rPr>
      </w:pPr>
      <w:r w:rsidRPr="00830671">
        <w:rPr>
          <w:rFonts w:ascii="Calibri" w:hAnsi="Calibri" w:cs="Calibri"/>
          <w:color w:val="000000" w:themeColor="text1"/>
          <w:sz w:val="24"/>
          <w:szCs w:val="24"/>
        </w:rPr>
        <w:t xml:space="preserve">Clement K, Rees H, </w:t>
      </w:r>
      <w:proofErr w:type="spellStart"/>
      <w:r w:rsidRPr="00830671">
        <w:rPr>
          <w:rFonts w:ascii="Calibri" w:hAnsi="Calibri" w:cs="Calibri"/>
          <w:color w:val="000000" w:themeColor="text1"/>
          <w:sz w:val="24"/>
          <w:szCs w:val="24"/>
        </w:rPr>
        <w:t>Canver</w:t>
      </w:r>
      <w:proofErr w:type="spellEnd"/>
      <w:r w:rsidRPr="00830671">
        <w:rPr>
          <w:rFonts w:ascii="Calibri" w:hAnsi="Calibri" w:cs="Calibri"/>
          <w:color w:val="000000" w:themeColor="text1"/>
          <w:sz w:val="24"/>
          <w:szCs w:val="24"/>
        </w:rPr>
        <w:t xml:space="preserve"> MC, et al. CRISPResso2 provides accurate and rapid genome editing sequence analysis. Nat </w:t>
      </w:r>
      <w:proofErr w:type="spellStart"/>
      <w:r w:rsidRPr="00830671">
        <w:rPr>
          <w:rFonts w:ascii="Calibri" w:hAnsi="Calibri" w:cs="Calibri"/>
          <w:color w:val="000000" w:themeColor="text1"/>
          <w:sz w:val="24"/>
          <w:szCs w:val="24"/>
        </w:rPr>
        <w:t>Biotechnol</w:t>
      </w:r>
      <w:proofErr w:type="spellEnd"/>
      <w:r w:rsidRPr="00830671">
        <w:rPr>
          <w:rFonts w:ascii="Calibri" w:hAnsi="Calibri" w:cs="Calibri"/>
          <w:color w:val="000000" w:themeColor="text1"/>
          <w:sz w:val="24"/>
          <w:szCs w:val="24"/>
        </w:rPr>
        <w:t>. 2019;37(3):224–230.</w:t>
      </w:r>
    </w:p>
    <w:sectPr w:rsidR="5E2D72FC" w:rsidRPr="00830671" w:rsidSect="00147CBA">
      <w:headerReference w:type="even" r:id="rId8"/>
      <w:headerReference w:type="default" r:id="rId9"/>
      <w:footerReference w:type="even" r:id="rId10"/>
      <w:headerReference w:type="first" r:id="rId11"/>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4084EC" w14:textId="77777777" w:rsidR="00C34A94" w:rsidRDefault="00C34A94">
      <w:r>
        <w:separator/>
      </w:r>
    </w:p>
  </w:endnote>
  <w:endnote w:type="continuationSeparator" w:id="0">
    <w:p w14:paraId="1FD62727" w14:textId="77777777" w:rsidR="00C34A94" w:rsidRDefault="00C34A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altName w:val="苹方-简"/>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2EC106" w14:textId="77777777" w:rsidR="00C34A94" w:rsidRDefault="00C34A94">
      <w:r>
        <w:separator/>
      </w:r>
    </w:p>
  </w:footnote>
  <w:footnote w:type="continuationSeparator" w:id="0">
    <w:p w14:paraId="61A4D024" w14:textId="77777777" w:rsidR="00C34A94" w:rsidRDefault="00C34A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6E4797" w:rsidRDefault="00551D82">
    <w:pPr>
      <w:pBdr>
        <w:top w:val="nil"/>
        <w:left w:val="nil"/>
        <w:bottom w:val="nil"/>
        <w:right w:val="nil"/>
        <w:between w:val="nil"/>
      </w:pBdr>
      <w:tabs>
        <w:tab w:val="center" w:pos="4680"/>
        <w:tab w:val="right" w:pos="9360"/>
        <w:tab w:val="left" w:pos="5724"/>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FF72C" w14:textId="6C84691E" w:rsidR="00991A53" w:rsidRDefault="00991A53">
    <w:pPr>
      <w:pStyle w:val="Header"/>
    </w:pPr>
  </w:p>
  <w:p w14:paraId="09104647" w14:textId="2F050510" w:rsidR="006E4797" w:rsidRDefault="006E4797">
    <w:pPr>
      <w:pBdr>
        <w:top w:val="nil"/>
        <w:left w:val="nil"/>
        <w:bottom w:val="nil"/>
        <w:right w:val="nil"/>
        <w:between w:val="nil"/>
      </w:pBdr>
      <w:tabs>
        <w:tab w:val="center" w:pos="4680"/>
        <w:tab w:val="right" w:pos="9360"/>
      </w:tabs>
      <w:jc w:val="right"/>
      <w:rPr>
        <w:b/>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C5123"/>
    <w:multiLevelType w:val="hybridMultilevel"/>
    <w:tmpl w:val="D45A375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0A92336F"/>
    <w:multiLevelType w:val="hybridMultilevel"/>
    <w:tmpl w:val="35EC2EC8"/>
    <w:lvl w:ilvl="0" w:tplc="0276C9F8">
      <w:start w:val="1"/>
      <w:numFmt w:val="decimal"/>
      <w:lvlText w:val="%1."/>
      <w:lvlJc w:val="left"/>
      <w:pPr>
        <w:ind w:left="720" w:hanging="360"/>
      </w:pPr>
    </w:lvl>
    <w:lvl w:ilvl="1" w:tplc="B4B07C2C">
      <w:start w:val="1"/>
      <w:numFmt w:val="lowerLetter"/>
      <w:lvlText w:val="%2."/>
      <w:lvlJc w:val="left"/>
      <w:pPr>
        <w:ind w:left="1440" w:hanging="360"/>
      </w:pPr>
    </w:lvl>
    <w:lvl w:ilvl="2" w:tplc="2EB0A69C">
      <w:start w:val="1"/>
      <w:numFmt w:val="lowerRoman"/>
      <w:lvlText w:val="%3."/>
      <w:lvlJc w:val="right"/>
      <w:pPr>
        <w:ind w:left="2160" w:hanging="180"/>
      </w:pPr>
    </w:lvl>
    <w:lvl w:ilvl="3" w:tplc="465CC048">
      <w:start w:val="1"/>
      <w:numFmt w:val="decimal"/>
      <w:lvlText w:val="%4."/>
      <w:lvlJc w:val="left"/>
      <w:pPr>
        <w:ind w:left="2880" w:hanging="360"/>
      </w:pPr>
    </w:lvl>
    <w:lvl w:ilvl="4" w:tplc="3A8424B4">
      <w:start w:val="1"/>
      <w:numFmt w:val="lowerLetter"/>
      <w:lvlText w:val="%5."/>
      <w:lvlJc w:val="left"/>
      <w:pPr>
        <w:ind w:left="3600" w:hanging="360"/>
      </w:pPr>
    </w:lvl>
    <w:lvl w:ilvl="5" w:tplc="93DCC4EA">
      <w:start w:val="1"/>
      <w:numFmt w:val="lowerRoman"/>
      <w:lvlText w:val="%6."/>
      <w:lvlJc w:val="right"/>
      <w:pPr>
        <w:ind w:left="4320" w:hanging="180"/>
      </w:pPr>
    </w:lvl>
    <w:lvl w:ilvl="6" w:tplc="C5A6F106">
      <w:start w:val="1"/>
      <w:numFmt w:val="decimal"/>
      <w:lvlText w:val="%7."/>
      <w:lvlJc w:val="left"/>
      <w:pPr>
        <w:ind w:left="5040" w:hanging="360"/>
      </w:pPr>
    </w:lvl>
    <w:lvl w:ilvl="7" w:tplc="2E6A0378">
      <w:start w:val="1"/>
      <w:numFmt w:val="lowerLetter"/>
      <w:lvlText w:val="%8."/>
      <w:lvlJc w:val="left"/>
      <w:pPr>
        <w:ind w:left="5760" w:hanging="360"/>
      </w:pPr>
    </w:lvl>
    <w:lvl w:ilvl="8" w:tplc="94786E70">
      <w:start w:val="1"/>
      <w:numFmt w:val="lowerRoman"/>
      <w:lvlText w:val="%9."/>
      <w:lvlJc w:val="right"/>
      <w:pPr>
        <w:ind w:left="6480" w:hanging="180"/>
      </w:pPr>
    </w:lvl>
  </w:abstractNum>
  <w:abstractNum w:abstractNumId="2" w15:restartNumberingAfterBreak="0">
    <w:nsid w:val="0C321193"/>
    <w:multiLevelType w:val="hybridMultilevel"/>
    <w:tmpl w:val="D1D6BC96"/>
    <w:lvl w:ilvl="0" w:tplc="6B5064E6">
      <w:start w:val="1"/>
      <w:numFmt w:val="decimal"/>
      <w:lvlText w:val="%1."/>
      <w:lvlJc w:val="left"/>
      <w:pPr>
        <w:ind w:left="720" w:hanging="360"/>
      </w:pPr>
    </w:lvl>
    <w:lvl w:ilvl="1" w:tplc="5D68EBD4">
      <w:start w:val="1"/>
      <w:numFmt w:val="lowerLetter"/>
      <w:lvlText w:val="%2."/>
      <w:lvlJc w:val="left"/>
      <w:pPr>
        <w:ind w:left="1440" w:hanging="360"/>
      </w:pPr>
    </w:lvl>
    <w:lvl w:ilvl="2" w:tplc="D2661084">
      <w:start w:val="1"/>
      <w:numFmt w:val="lowerRoman"/>
      <w:lvlText w:val="%3."/>
      <w:lvlJc w:val="right"/>
      <w:pPr>
        <w:ind w:left="2160" w:hanging="180"/>
      </w:pPr>
    </w:lvl>
    <w:lvl w:ilvl="3" w:tplc="E7AC37C6">
      <w:start w:val="1"/>
      <w:numFmt w:val="decimal"/>
      <w:lvlText w:val="%4."/>
      <w:lvlJc w:val="left"/>
      <w:pPr>
        <w:ind w:left="2880" w:hanging="360"/>
      </w:pPr>
    </w:lvl>
    <w:lvl w:ilvl="4" w:tplc="34E4933C">
      <w:start w:val="1"/>
      <w:numFmt w:val="lowerLetter"/>
      <w:lvlText w:val="%5."/>
      <w:lvlJc w:val="left"/>
      <w:pPr>
        <w:ind w:left="3600" w:hanging="360"/>
      </w:pPr>
    </w:lvl>
    <w:lvl w:ilvl="5" w:tplc="D8E0C150">
      <w:start w:val="1"/>
      <w:numFmt w:val="lowerRoman"/>
      <w:lvlText w:val="%6."/>
      <w:lvlJc w:val="right"/>
      <w:pPr>
        <w:ind w:left="4320" w:hanging="180"/>
      </w:pPr>
    </w:lvl>
    <w:lvl w:ilvl="6" w:tplc="CC881CEA">
      <w:start w:val="1"/>
      <w:numFmt w:val="decimal"/>
      <w:lvlText w:val="%7."/>
      <w:lvlJc w:val="left"/>
      <w:pPr>
        <w:ind w:left="5040" w:hanging="360"/>
      </w:pPr>
    </w:lvl>
    <w:lvl w:ilvl="7" w:tplc="7C7C1C0C">
      <w:start w:val="1"/>
      <w:numFmt w:val="lowerLetter"/>
      <w:lvlText w:val="%8."/>
      <w:lvlJc w:val="left"/>
      <w:pPr>
        <w:ind w:left="5760" w:hanging="360"/>
      </w:pPr>
    </w:lvl>
    <w:lvl w:ilvl="8" w:tplc="5DEA2C50">
      <w:start w:val="1"/>
      <w:numFmt w:val="lowerRoman"/>
      <w:lvlText w:val="%9."/>
      <w:lvlJc w:val="right"/>
      <w:pPr>
        <w:ind w:left="6480" w:hanging="180"/>
      </w:pPr>
    </w:lvl>
  </w:abstractNum>
  <w:abstractNum w:abstractNumId="3" w15:restartNumberingAfterBreak="0">
    <w:nsid w:val="0FE15FCA"/>
    <w:multiLevelType w:val="hybridMultilevel"/>
    <w:tmpl w:val="4AAABC5E"/>
    <w:lvl w:ilvl="0" w:tplc="0862F1EC">
      <w:start w:val="1"/>
      <w:numFmt w:val="bullet"/>
      <w:lvlText w:val=""/>
      <w:lvlJc w:val="left"/>
      <w:pPr>
        <w:ind w:left="360" w:hanging="360"/>
      </w:pPr>
      <w:rPr>
        <w:rFonts w:ascii="Symbol" w:hAnsi="Symbol"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3227B1"/>
    <w:multiLevelType w:val="hybridMultilevel"/>
    <w:tmpl w:val="E69A5F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BA043A"/>
    <w:multiLevelType w:val="hybridMultilevel"/>
    <w:tmpl w:val="97EA55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0A5F44"/>
    <w:multiLevelType w:val="hybridMultilevel"/>
    <w:tmpl w:val="87FAFC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8"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9" w15:restartNumberingAfterBreak="0">
    <w:nsid w:val="2AA06468"/>
    <w:multiLevelType w:val="multilevel"/>
    <w:tmpl w:val="6040D8EA"/>
    <w:lvl w:ilvl="0">
      <w:start w:val="1"/>
      <w:numFmt w:val="decimal"/>
      <w:lvlText w:val="%1."/>
      <w:lvlJc w:val="left"/>
      <w:pPr>
        <w:ind w:left="360" w:hanging="360"/>
      </w:pPr>
      <w:rPr>
        <w:rFonts w:ascii="Calibri" w:hAnsi="Calibri" w:cs="Calibri" w:hint="default"/>
        <w:b w:val="0"/>
        <w:bCs/>
      </w:rPr>
    </w:lvl>
    <w:lvl w:ilvl="1">
      <w:start w:val="1"/>
      <w:numFmt w:val="decimal"/>
      <w:lvlText w:val="%1.%2."/>
      <w:lvlJc w:val="left"/>
      <w:pPr>
        <w:ind w:left="792" w:hanging="432"/>
      </w:pPr>
      <w:rPr>
        <w:b w:val="0"/>
        <w:bCs/>
        <w:color w:val="auto"/>
      </w:rPr>
    </w:lvl>
    <w:lvl w:ilvl="2">
      <w:start w:val="1"/>
      <w:numFmt w:val="decimal"/>
      <w:lvlText w:val="%1.%2.%3."/>
      <w:lvlJc w:val="left"/>
      <w:pPr>
        <w:ind w:left="1224" w:hanging="504"/>
      </w:pPr>
      <w:rPr>
        <w:b w:val="0"/>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D1373D0"/>
    <w:multiLevelType w:val="hybridMultilevel"/>
    <w:tmpl w:val="64823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32E07ABC"/>
    <w:multiLevelType w:val="hybridMultilevel"/>
    <w:tmpl w:val="DF8229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5"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408F0293"/>
    <w:multiLevelType w:val="hybridMultilevel"/>
    <w:tmpl w:val="FA6ED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43247017"/>
    <w:multiLevelType w:val="hybridMultilevel"/>
    <w:tmpl w:val="7862AECE"/>
    <w:lvl w:ilvl="0" w:tplc="82DC90B2">
      <w:start w:val="1"/>
      <w:numFmt w:val="decimal"/>
      <w:lvlText w:val="%1."/>
      <w:lvlJc w:val="left"/>
      <w:pPr>
        <w:ind w:left="720" w:hanging="360"/>
      </w:pPr>
      <w:rPr>
        <w:rFonts w:hint="default"/>
        <w:color w:val="000000" w:themeColor="text1"/>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50FC11D4"/>
    <w:multiLevelType w:val="hybridMultilevel"/>
    <w:tmpl w:val="84D43CAC"/>
    <w:lvl w:ilvl="0" w:tplc="0862F1EC">
      <w:start w:val="1"/>
      <w:numFmt w:val="bullet"/>
      <w:lvlText w:val=""/>
      <w:lvlJc w:val="left"/>
      <w:pPr>
        <w:ind w:left="360" w:hanging="360"/>
      </w:pPr>
      <w:rPr>
        <w:rFonts w:ascii="Symbol" w:hAnsi="Symbol" w:hint="default"/>
        <w:sz w:val="28"/>
        <w:szCs w:val="2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57F04D3"/>
    <w:multiLevelType w:val="multilevel"/>
    <w:tmpl w:val="75441AB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747B6BC2"/>
    <w:multiLevelType w:val="hybridMultilevel"/>
    <w:tmpl w:val="36F6E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6CB1B72"/>
    <w:multiLevelType w:val="hybridMultilevel"/>
    <w:tmpl w:val="558404B6"/>
    <w:lvl w:ilvl="0" w:tplc="1B2601AE">
      <w:start w:val="1"/>
      <w:numFmt w:val="decimal"/>
      <w:lvlText w:val="%1."/>
      <w:lvlJc w:val="left"/>
      <w:pPr>
        <w:ind w:left="1020" w:hanging="360"/>
      </w:pPr>
    </w:lvl>
    <w:lvl w:ilvl="1" w:tplc="C0200E20">
      <w:start w:val="1"/>
      <w:numFmt w:val="decimal"/>
      <w:lvlText w:val="%2."/>
      <w:lvlJc w:val="left"/>
      <w:pPr>
        <w:ind w:left="1020" w:hanging="360"/>
      </w:pPr>
    </w:lvl>
    <w:lvl w:ilvl="2" w:tplc="3118DB64">
      <w:start w:val="1"/>
      <w:numFmt w:val="decimal"/>
      <w:lvlText w:val="%3."/>
      <w:lvlJc w:val="left"/>
      <w:pPr>
        <w:ind w:left="1020" w:hanging="360"/>
      </w:pPr>
    </w:lvl>
    <w:lvl w:ilvl="3" w:tplc="3E2A4182">
      <w:start w:val="1"/>
      <w:numFmt w:val="decimal"/>
      <w:lvlText w:val="%4."/>
      <w:lvlJc w:val="left"/>
      <w:pPr>
        <w:ind w:left="1020" w:hanging="360"/>
      </w:pPr>
    </w:lvl>
    <w:lvl w:ilvl="4" w:tplc="7994A9EE">
      <w:start w:val="1"/>
      <w:numFmt w:val="decimal"/>
      <w:lvlText w:val="%5."/>
      <w:lvlJc w:val="left"/>
      <w:pPr>
        <w:ind w:left="1020" w:hanging="360"/>
      </w:pPr>
    </w:lvl>
    <w:lvl w:ilvl="5" w:tplc="A99C56AA">
      <w:start w:val="1"/>
      <w:numFmt w:val="decimal"/>
      <w:lvlText w:val="%6."/>
      <w:lvlJc w:val="left"/>
      <w:pPr>
        <w:ind w:left="1020" w:hanging="360"/>
      </w:pPr>
    </w:lvl>
    <w:lvl w:ilvl="6" w:tplc="2EDAB79C">
      <w:start w:val="1"/>
      <w:numFmt w:val="decimal"/>
      <w:lvlText w:val="%7."/>
      <w:lvlJc w:val="left"/>
      <w:pPr>
        <w:ind w:left="1020" w:hanging="360"/>
      </w:pPr>
    </w:lvl>
    <w:lvl w:ilvl="7" w:tplc="8176F294">
      <w:start w:val="1"/>
      <w:numFmt w:val="decimal"/>
      <w:lvlText w:val="%8."/>
      <w:lvlJc w:val="left"/>
      <w:pPr>
        <w:ind w:left="1020" w:hanging="360"/>
      </w:pPr>
    </w:lvl>
    <w:lvl w:ilvl="8" w:tplc="C5F045FE">
      <w:start w:val="1"/>
      <w:numFmt w:val="decimal"/>
      <w:lvlText w:val="%9."/>
      <w:lvlJc w:val="left"/>
      <w:pPr>
        <w:ind w:left="1020" w:hanging="360"/>
      </w:pPr>
    </w:lvl>
  </w:abstractNum>
  <w:abstractNum w:abstractNumId="28" w15:restartNumberingAfterBreak="0">
    <w:nsid w:val="793EBCB1"/>
    <w:multiLevelType w:val="hybridMultilevel"/>
    <w:tmpl w:val="3B4AD0E8"/>
    <w:lvl w:ilvl="0" w:tplc="E4505D6A">
      <w:start w:val="1"/>
      <w:numFmt w:val="decimal"/>
      <w:lvlText w:val="%1."/>
      <w:lvlJc w:val="left"/>
      <w:pPr>
        <w:ind w:left="720" w:hanging="360"/>
      </w:pPr>
    </w:lvl>
    <w:lvl w:ilvl="1" w:tplc="372E71DC">
      <w:start w:val="1"/>
      <w:numFmt w:val="lowerLetter"/>
      <w:lvlText w:val="%2."/>
      <w:lvlJc w:val="left"/>
      <w:pPr>
        <w:ind w:left="1440" w:hanging="360"/>
      </w:pPr>
    </w:lvl>
    <w:lvl w:ilvl="2" w:tplc="71E86D22">
      <w:start w:val="1"/>
      <w:numFmt w:val="lowerRoman"/>
      <w:lvlText w:val="%3."/>
      <w:lvlJc w:val="right"/>
      <w:pPr>
        <w:ind w:left="2160" w:hanging="180"/>
      </w:pPr>
    </w:lvl>
    <w:lvl w:ilvl="3" w:tplc="30DA9BFE">
      <w:start w:val="1"/>
      <w:numFmt w:val="decimal"/>
      <w:lvlText w:val="%4."/>
      <w:lvlJc w:val="left"/>
      <w:pPr>
        <w:ind w:left="2880" w:hanging="360"/>
      </w:pPr>
    </w:lvl>
    <w:lvl w:ilvl="4" w:tplc="CB923824">
      <w:start w:val="1"/>
      <w:numFmt w:val="lowerLetter"/>
      <w:lvlText w:val="%5."/>
      <w:lvlJc w:val="left"/>
      <w:pPr>
        <w:ind w:left="3600" w:hanging="360"/>
      </w:pPr>
    </w:lvl>
    <w:lvl w:ilvl="5" w:tplc="14126ED2">
      <w:start w:val="1"/>
      <w:numFmt w:val="lowerRoman"/>
      <w:lvlText w:val="%6."/>
      <w:lvlJc w:val="right"/>
      <w:pPr>
        <w:ind w:left="4320" w:hanging="180"/>
      </w:pPr>
    </w:lvl>
    <w:lvl w:ilvl="6" w:tplc="D8D864E8">
      <w:start w:val="1"/>
      <w:numFmt w:val="decimal"/>
      <w:lvlText w:val="%7."/>
      <w:lvlJc w:val="left"/>
      <w:pPr>
        <w:ind w:left="5040" w:hanging="360"/>
      </w:pPr>
    </w:lvl>
    <w:lvl w:ilvl="7" w:tplc="9E664D64">
      <w:start w:val="1"/>
      <w:numFmt w:val="lowerLetter"/>
      <w:lvlText w:val="%8."/>
      <w:lvlJc w:val="left"/>
      <w:pPr>
        <w:ind w:left="5760" w:hanging="360"/>
      </w:pPr>
    </w:lvl>
    <w:lvl w:ilvl="8" w:tplc="81A86BC0">
      <w:start w:val="1"/>
      <w:numFmt w:val="lowerRoman"/>
      <w:lvlText w:val="%9."/>
      <w:lvlJc w:val="right"/>
      <w:pPr>
        <w:ind w:left="6480" w:hanging="180"/>
      </w:pPr>
    </w:lvl>
  </w:abstractNum>
  <w:abstractNum w:abstractNumId="29" w15:restartNumberingAfterBreak="0">
    <w:nsid w:val="7980701F"/>
    <w:multiLevelType w:val="hybridMultilevel"/>
    <w:tmpl w:val="EDCE8A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DA21F68"/>
    <w:multiLevelType w:val="hybridMultilevel"/>
    <w:tmpl w:val="C792C838"/>
    <w:lvl w:ilvl="0" w:tplc="80189B3E">
      <w:start w:val="1"/>
      <w:numFmt w:val="bullet"/>
      <w:lvlText w:val=""/>
      <w:lvlJc w:val="left"/>
      <w:pPr>
        <w:ind w:left="720" w:hanging="360"/>
      </w:pPr>
      <w:rPr>
        <w:rFonts w:ascii="Symbol" w:hAnsi="Symbol" w:hint="default"/>
      </w:rPr>
    </w:lvl>
    <w:lvl w:ilvl="1" w:tplc="0E1E0FBA">
      <w:start w:val="1"/>
      <w:numFmt w:val="bullet"/>
      <w:lvlText w:val="o"/>
      <w:lvlJc w:val="left"/>
      <w:pPr>
        <w:ind w:left="1440" w:hanging="360"/>
      </w:pPr>
      <w:rPr>
        <w:rFonts w:ascii="Courier New" w:hAnsi="Courier New" w:hint="default"/>
      </w:rPr>
    </w:lvl>
    <w:lvl w:ilvl="2" w:tplc="A20089DC">
      <w:start w:val="1"/>
      <w:numFmt w:val="bullet"/>
      <w:lvlText w:val=""/>
      <w:lvlJc w:val="left"/>
      <w:pPr>
        <w:ind w:left="2160" w:hanging="360"/>
      </w:pPr>
      <w:rPr>
        <w:rFonts w:ascii="Wingdings" w:hAnsi="Wingdings" w:hint="default"/>
      </w:rPr>
    </w:lvl>
    <w:lvl w:ilvl="3" w:tplc="62061E24">
      <w:start w:val="1"/>
      <w:numFmt w:val="bullet"/>
      <w:lvlText w:val=""/>
      <w:lvlJc w:val="left"/>
      <w:pPr>
        <w:ind w:left="2880" w:hanging="360"/>
      </w:pPr>
      <w:rPr>
        <w:rFonts w:ascii="Symbol" w:hAnsi="Symbol" w:hint="default"/>
      </w:rPr>
    </w:lvl>
    <w:lvl w:ilvl="4" w:tplc="9AE01B86">
      <w:start w:val="1"/>
      <w:numFmt w:val="bullet"/>
      <w:lvlText w:val="o"/>
      <w:lvlJc w:val="left"/>
      <w:pPr>
        <w:ind w:left="3600" w:hanging="360"/>
      </w:pPr>
      <w:rPr>
        <w:rFonts w:ascii="Courier New" w:hAnsi="Courier New" w:hint="default"/>
      </w:rPr>
    </w:lvl>
    <w:lvl w:ilvl="5" w:tplc="354AE480">
      <w:start w:val="1"/>
      <w:numFmt w:val="bullet"/>
      <w:lvlText w:val=""/>
      <w:lvlJc w:val="left"/>
      <w:pPr>
        <w:ind w:left="4320" w:hanging="360"/>
      </w:pPr>
      <w:rPr>
        <w:rFonts w:ascii="Wingdings" w:hAnsi="Wingdings" w:hint="default"/>
      </w:rPr>
    </w:lvl>
    <w:lvl w:ilvl="6" w:tplc="807CBA46">
      <w:start w:val="1"/>
      <w:numFmt w:val="bullet"/>
      <w:lvlText w:val=""/>
      <w:lvlJc w:val="left"/>
      <w:pPr>
        <w:ind w:left="5040" w:hanging="360"/>
      </w:pPr>
      <w:rPr>
        <w:rFonts w:ascii="Symbol" w:hAnsi="Symbol" w:hint="default"/>
      </w:rPr>
    </w:lvl>
    <w:lvl w:ilvl="7" w:tplc="B718A9C6">
      <w:start w:val="1"/>
      <w:numFmt w:val="bullet"/>
      <w:lvlText w:val="o"/>
      <w:lvlJc w:val="left"/>
      <w:pPr>
        <w:ind w:left="5760" w:hanging="360"/>
      </w:pPr>
      <w:rPr>
        <w:rFonts w:ascii="Courier New" w:hAnsi="Courier New" w:hint="default"/>
      </w:rPr>
    </w:lvl>
    <w:lvl w:ilvl="8" w:tplc="8170320E">
      <w:start w:val="1"/>
      <w:numFmt w:val="bullet"/>
      <w:lvlText w:val=""/>
      <w:lvlJc w:val="left"/>
      <w:pPr>
        <w:ind w:left="6480" w:hanging="360"/>
      </w:pPr>
      <w:rPr>
        <w:rFonts w:ascii="Wingdings" w:hAnsi="Wingdings" w:hint="default"/>
      </w:rPr>
    </w:lvl>
  </w:abstractNum>
  <w:num w:numId="1" w16cid:durableId="864057659">
    <w:abstractNumId w:val="28"/>
  </w:num>
  <w:num w:numId="2" w16cid:durableId="145513220">
    <w:abstractNumId w:val="1"/>
  </w:num>
  <w:num w:numId="3" w16cid:durableId="261841335">
    <w:abstractNumId w:val="2"/>
  </w:num>
  <w:num w:numId="4" w16cid:durableId="1804274393">
    <w:abstractNumId w:val="30"/>
  </w:num>
  <w:num w:numId="5" w16cid:durableId="1752123839">
    <w:abstractNumId w:val="13"/>
  </w:num>
  <w:num w:numId="6" w16cid:durableId="1984042491">
    <w:abstractNumId w:val="18"/>
  </w:num>
  <w:num w:numId="7" w16cid:durableId="118914537">
    <w:abstractNumId w:val="25"/>
  </w:num>
  <w:num w:numId="8" w16cid:durableId="1932934919">
    <w:abstractNumId w:val="7"/>
  </w:num>
  <w:num w:numId="9" w16cid:durableId="584412448">
    <w:abstractNumId w:val="21"/>
  </w:num>
  <w:num w:numId="10" w16cid:durableId="1692337555">
    <w:abstractNumId w:val="24"/>
  </w:num>
  <w:num w:numId="11" w16cid:durableId="1668751632">
    <w:abstractNumId w:val="14"/>
  </w:num>
  <w:num w:numId="12" w16cid:durableId="1699504584">
    <w:abstractNumId w:val="16"/>
  </w:num>
  <w:num w:numId="13" w16cid:durableId="1471939920">
    <w:abstractNumId w:val="8"/>
  </w:num>
  <w:num w:numId="14" w16cid:durableId="1456294289">
    <w:abstractNumId w:val="15"/>
  </w:num>
  <w:num w:numId="15" w16cid:durableId="1090856223">
    <w:abstractNumId w:val="20"/>
  </w:num>
  <w:num w:numId="16" w16cid:durableId="347753210">
    <w:abstractNumId w:val="11"/>
  </w:num>
  <w:num w:numId="17" w16cid:durableId="62803357">
    <w:abstractNumId w:val="29"/>
  </w:num>
  <w:num w:numId="18" w16cid:durableId="571625102">
    <w:abstractNumId w:val="26"/>
  </w:num>
  <w:num w:numId="19" w16cid:durableId="1783526964">
    <w:abstractNumId w:val="12"/>
  </w:num>
  <w:num w:numId="20" w16cid:durableId="985014971">
    <w:abstractNumId w:val="6"/>
  </w:num>
  <w:num w:numId="21" w16cid:durableId="1511211528">
    <w:abstractNumId w:val="5"/>
  </w:num>
  <w:num w:numId="22" w16cid:durableId="1311205117">
    <w:abstractNumId w:val="17"/>
  </w:num>
  <w:num w:numId="23" w16cid:durableId="81266712">
    <w:abstractNumId w:val="10"/>
  </w:num>
  <w:num w:numId="24" w16cid:durableId="1802188761">
    <w:abstractNumId w:val="22"/>
  </w:num>
  <w:num w:numId="25" w16cid:durableId="225191431">
    <w:abstractNumId w:val="3"/>
  </w:num>
  <w:num w:numId="26" w16cid:durableId="475996718">
    <w:abstractNumId w:val="4"/>
  </w:num>
  <w:num w:numId="27" w16cid:durableId="967008658">
    <w:abstractNumId w:val="27"/>
  </w:num>
  <w:num w:numId="28" w16cid:durableId="632832112">
    <w:abstractNumId w:val="19"/>
  </w:num>
  <w:num w:numId="29" w16cid:durableId="1973948167">
    <w:abstractNumId w:val="9"/>
  </w:num>
  <w:num w:numId="30" w16cid:durableId="1385761050">
    <w:abstractNumId w:val="23"/>
  </w:num>
  <w:num w:numId="31" w16cid:durableId="7252524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gFAEITzJ0tAAAA"/>
  </w:docVars>
  <w:rsids>
    <w:rsidRoot w:val="006E4797"/>
    <w:rsid w:val="00000ED0"/>
    <w:rsid w:val="0000515B"/>
    <w:rsid w:val="00011457"/>
    <w:rsid w:val="00013652"/>
    <w:rsid w:val="000137FD"/>
    <w:rsid w:val="00021F34"/>
    <w:rsid w:val="00034DD1"/>
    <w:rsid w:val="00035D47"/>
    <w:rsid w:val="0004355D"/>
    <w:rsid w:val="00056C7B"/>
    <w:rsid w:val="00057B67"/>
    <w:rsid w:val="00061E0E"/>
    <w:rsid w:val="0007506F"/>
    <w:rsid w:val="00076815"/>
    <w:rsid w:val="00081F44"/>
    <w:rsid w:val="00082A5F"/>
    <w:rsid w:val="00090BCB"/>
    <w:rsid w:val="000A23D0"/>
    <w:rsid w:val="000B41B6"/>
    <w:rsid w:val="000C3681"/>
    <w:rsid w:val="000D0C0E"/>
    <w:rsid w:val="000D6B5D"/>
    <w:rsid w:val="000E1670"/>
    <w:rsid w:val="000E2ABF"/>
    <w:rsid w:val="000E3F21"/>
    <w:rsid w:val="000E4C51"/>
    <w:rsid w:val="00102D2A"/>
    <w:rsid w:val="00114603"/>
    <w:rsid w:val="001167D1"/>
    <w:rsid w:val="001205FC"/>
    <w:rsid w:val="00120C22"/>
    <w:rsid w:val="00126AE6"/>
    <w:rsid w:val="0013643B"/>
    <w:rsid w:val="00144B82"/>
    <w:rsid w:val="00147CBA"/>
    <w:rsid w:val="0015327B"/>
    <w:rsid w:val="001624E4"/>
    <w:rsid w:val="00181A81"/>
    <w:rsid w:val="0018412F"/>
    <w:rsid w:val="00186FF1"/>
    <w:rsid w:val="00194C04"/>
    <w:rsid w:val="00194CE8"/>
    <w:rsid w:val="001959A2"/>
    <w:rsid w:val="001A1CA1"/>
    <w:rsid w:val="001A3D0F"/>
    <w:rsid w:val="001D1578"/>
    <w:rsid w:val="001E27DA"/>
    <w:rsid w:val="001F12E7"/>
    <w:rsid w:val="001F3109"/>
    <w:rsid w:val="00210DD6"/>
    <w:rsid w:val="00210E4C"/>
    <w:rsid w:val="00214319"/>
    <w:rsid w:val="00216774"/>
    <w:rsid w:val="0023296D"/>
    <w:rsid w:val="00232DDC"/>
    <w:rsid w:val="00243801"/>
    <w:rsid w:val="00252077"/>
    <w:rsid w:val="00272BF6"/>
    <w:rsid w:val="00273EDD"/>
    <w:rsid w:val="00280C0D"/>
    <w:rsid w:val="002A13A1"/>
    <w:rsid w:val="002B6A24"/>
    <w:rsid w:val="002E4572"/>
    <w:rsid w:val="0030CF96"/>
    <w:rsid w:val="00314FC6"/>
    <w:rsid w:val="0031658E"/>
    <w:rsid w:val="00337A58"/>
    <w:rsid w:val="00341C89"/>
    <w:rsid w:val="00342831"/>
    <w:rsid w:val="00345A90"/>
    <w:rsid w:val="00351087"/>
    <w:rsid w:val="00353576"/>
    <w:rsid w:val="003548DA"/>
    <w:rsid w:val="00356228"/>
    <w:rsid w:val="00356880"/>
    <w:rsid w:val="00357EF1"/>
    <w:rsid w:val="0036340B"/>
    <w:rsid w:val="00387CDA"/>
    <w:rsid w:val="003A29CA"/>
    <w:rsid w:val="003A5297"/>
    <w:rsid w:val="003A5B21"/>
    <w:rsid w:val="003C6226"/>
    <w:rsid w:val="003D6779"/>
    <w:rsid w:val="003D67E2"/>
    <w:rsid w:val="003E095A"/>
    <w:rsid w:val="003F2345"/>
    <w:rsid w:val="0040579A"/>
    <w:rsid w:val="00414ADE"/>
    <w:rsid w:val="0042542D"/>
    <w:rsid w:val="004266FA"/>
    <w:rsid w:val="004361C8"/>
    <w:rsid w:val="00436F4D"/>
    <w:rsid w:val="00444CC3"/>
    <w:rsid w:val="00445B26"/>
    <w:rsid w:val="004620C9"/>
    <w:rsid w:val="00473A09"/>
    <w:rsid w:val="00473B20"/>
    <w:rsid w:val="004830EA"/>
    <w:rsid w:val="00486D98"/>
    <w:rsid w:val="004917D3"/>
    <w:rsid w:val="004939EE"/>
    <w:rsid w:val="004969D3"/>
    <w:rsid w:val="004A4562"/>
    <w:rsid w:val="004C0659"/>
    <w:rsid w:val="004C0985"/>
    <w:rsid w:val="004C09E5"/>
    <w:rsid w:val="004C1B84"/>
    <w:rsid w:val="004D362E"/>
    <w:rsid w:val="004F0D9C"/>
    <w:rsid w:val="004F6AD9"/>
    <w:rsid w:val="00507166"/>
    <w:rsid w:val="00513CCF"/>
    <w:rsid w:val="00516914"/>
    <w:rsid w:val="00536A68"/>
    <w:rsid w:val="00544029"/>
    <w:rsid w:val="00544FB4"/>
    <w:rsid w:val="00547EFB"/>
    <w:rsid w:val="00551D82"/>
    <w:rsid w:val="0055344F"/>
    <w:rsid w:val="00563624"/>
    <w:rsid w:val="005719ED"/>
    <w:rsid w:val="005734D7"/>
    <w:rsid w:val="00575E55"/>
    <w:rsid w:val="00585BF5"/>
    <w:rsid w:val="00591FD3"/>
    <w:rsid w:val="005A3111"/>
    <w:rsid w:val="005A637B"/>
    <w:rsid w:val="005B47F7"/>
    <w:rsid w:val="005C1D01"/>
    <w:rsid w:val="005E1EE7"/>
    <w:rsid w:val="005F84E3"/>
    <w:rsid w:val="006022AB"/>
    <w:rsid w:val="00604100"/>
    <w:rsid w:val="0061439C"/>
    <w:rsid w:val="00615035"/>
    <w:rsid w:val="00620842"/>
    <w:rsid w:val="00622578"/>
    <w:rsid w:val="006239A1"/>
    <w:rsid w:val="00624EA2"/>
    <w:rsid w:val="006318D8"/>
    <w:rsid w:val="00634672"/>
    <w:rsid w:val="00637BD9"/>
    <w:rsid w:val="006454E4"/>
    <w:rsid w:val="00647209"/>
    <w:rsid w:val="00660EC5"/>
    <w:rsid w:val="00663941"/>
    <w:rsid w:val="00663CFB"/>
    <w:rsid w:val="00670A29"/>
    <w:rsid w:val="006755EE"/>
    <w:rsid w:val="006824BF"/>
    <w:rsid w:val="0069060A"/>
    <w:rsid w:val="006A21B5"/>
    <w:rsid w:val="006A5F6B"/>
    <w:rsid w:val="006A6821"/>
    <w:rsid w:val="006A6D9F"/>
    <w:rsid w:val="006C5FD6"/>
    <w:rsid w:val="006D659F"/>
    <w:rsid w:val="006E1186"/>
    <w:rsid w:val="006E4632"/>
    <w:rsid w:val="006E4797"/>
    <w:rsid w:val="006E7C64"/>
    <w:rsid w:val="006F27C6"/>
    <w:rsid w:val="006F34B0"/>
    <w:rsid w:val="006F6634"/>
    <w:rsid w:val="00702ADE"/>
    <w:rsid w:val="0070444F"/>
    <w:rsid w:val="007129DB"/>
    <w:rsid w:val="00714BE0"/>
    <w:rsid w:val="00736371"/>
    <w:rsid w:val="00751D3D"/>
    <w:rsid w:val="0075521C"/>
    <w:rsid w:val="00761C1F"/>
    <w:rsid w:val="007801CE"/>
    <w:rsid w:val="00797DBB"/>
    <w:rsid w:val="007A4BBA"/>
    <w:rsid w:val="007A51CE"/>
    <w:rsid w:val="007A5526"/>
    <w:rsid w:val="007B3F0F"/>
    <w:rsid w:val="007B488F"/>
    <w:rsid w:val="007B683E"/>
    <w:rsid w:val="007B72A4"/>
    <w:rsid w:val="007C5AFB"/>
    <w:rsid w:val="007D3061"/>
    <w:rsid w:val="007D6BE0"/>
    <w:rsid w:val="007D7655"/>
    <w:rsid w:val="007F0943"/>
    <w:rsid w:val="007F13E9"/>
    <w:rsid w:val="007F2030"/>
    <w:rsid w:val="007F5EB0"/>
    <w:rsid w:val="00800680"/>
    <w:rsid w:val="00830671"/>
    <w:rsid w:val="00833B96"/>
    <w:rsid w:val="008360D9"/>
    <w:rsid w:val="008400FF"/>
    <w:rsid w:val="008425A4"/>
    <w:rsid w:val="008461C6"/>
    <w:rsid w:val="0085421A"/>
    <w:rsid w:val="0085548D"/>
    <w:rsid w:val="008A0F82"/>
    <w:rsid w:val="008A4859"/>
    <w:rsid w:val="008A5CAC"/>
    <w:rsid w:val="008A7A39"/>
    <w:rsid w:val="008B2772"/>
    <w:rsid w:val="008B2D50"/>
    <w:rsid w:val="008B35D2"/>
    <w:rsid w:val="008B793B"/>
    <w:rsid w:val="008D293E"/>
    <w:rsid w:val="008D67BE"/>
    <w:rsid w:val="008E0CC9"/>
    <w:rsid w:val="008E19AC"/>
    <w:rsid w:val="008F1A18"/>
    <w:rsid w:val="00900CAC"/>
    <w:rsid w:val="00901C81"/>
    <w:rsid w:val="00902919"/>
    <w:rsid w:val="0091016F"/>
    <w:rsid w:val="00911EF7"/>
    <w:rsid w:val="00933E90"/>
    <w:rsid w:val="00936E08"/>
    <w:rsid w:val="009409EA"/>
    <w:rsid w:val="00952F48"/>
    <w:rsid w:val="00963FB9"/>
    <w:rsid w:val="0097055B"/>
    <w:rsid w:val="00980F21"/>
    <w:rsid w:val="00991A53"/>
    <w:rsid w:val="00994F50"/>
    <w:rsid w:val="009952DF"/>
    <w:rsid w:val="009D1173"/>
    <w:rsid w:val="009D1A2A"/>
    <w:rsid w:val="009F28E7"/>
    <w:rsid w:val="00A0338E"/>
    <w:rsid w:val="00A03659"/>
    <w:rsid w:val="00A153FD"/>
    <w:rsid w:val="00A1684A"/>
    <w:rsid w:val="00A23365"/>
    <w:rsid w:val="00A27936"/>
    <w:rsid w:val="00A35853"/>
    <w:rsid w:val="00A358AB"/>
    <w:rsid w:val="00A42E09"/>
    <w:rsid w:val="00A43875"/>
    <w:rsid w:val="00A61636"/>
    <w:rsid w:val="00A624BE"/>
    <w:rsid w:val="00A97647"/>
    <w:rsid w:val="00AA6A4D"/>
    <w:rsid w:val="00AA7255"/>
    <w:rsid w:val="00AB1A5F"/>
    <w:rsid w:val="00AB4038"/>
    <w:rsid w:val="00AB53A4"/>
    <w:rsid w:val="00AC0A32"/>
    <w:rsid w:val="00AC0C71"/>
    <w:rsid w:val="00AC284C"/>
    <w:rsid w:val="00AC518D"/>
    <w:rsid w:val="00AF1001"/>
    <w:rsid w:val="00AF5D69"/>
    <w:rsid w:val="00AF6DD2"/>
    <w:rsid w:val="00B048CD"/>
    <w:rsid w:val="00B11193"/>
    <w:rsid w:val="00B132CE"/>
    <w:rsid w:val="00B26E91"/>
    <w:rsid w:val="00B5155C"/>
    <w:rsid w:val="00B66177"/>
    <w:rsid w:val="00B809EC"/>
    <w:rsid w:val="00B81064"/>
    <w:rsid w:val="00B87681"/>
    <w:rsid w:val="00BC3DD0"/>
    <w:rsid w:val="00BD366B"/>
    <w:rsid w:val="00BD3767"/>
    <w:rsid w:val="00BE22A2"/>
    <w:rsid w:val="00BE2769"/>
    <w:rsid w:val="00C05446"/>
    <w:rsid w:val="00C11D93"/>
    <w:rsid w:val="00C249B9"/>
    <w:rsid w:val="00C27C71"/>
    <w:rsid w:val="00C312CA"/>
    <w:rsid w:val="00C34A94"/>
    <w:rsid w:val="00C366E0"/>
    <w:rsid w:val="00C550F3"/>
    <w:rsid w:val="00C56396"/>
    <w:rsid w:val="00C57A5D"/>
    <w:rsid w:val="00C652D8"/>
    <w:rsid w:val="00C77FDD"/>
    <w:rsid w:val="00C85E21"/>
    <w:rsid w:val="00C875D1"/>
    <w:rsid w:val="00CB1713"/>
    <w:rsid w:val="00CB1783"/>
    <w:rsid w:val="00CC2C04"/>
    <w:rsid w:val="00CD43DA"/>
    <w:rsid w:val="00CE064F"/>
    <w:rsid w:val="00CE3A12"/>
    <w:rsid w:val="00D050AC"/>
    <w:rsid w:val="00D07A90"/>
    <w:rsid w:val="00D2510B"/>
    <w:rsid w:val="00D41EC0"/>
    <w:rsid w:val="00D45348"/>
    <w:rsid w:val="00D4728B"/>
    <w:rsid w:val="00D57F1F"/>
    <w:rsid w:val="00D64785"/>
    <w:rsid w:val="00D661BB"/>
    <w:rsid w:val="00D82AAC"/>
    <w:rsid w:val="00D86D57"/>
    <w:rsid w:val="00D959E7"/>
    <w:rsid w:val="00DA154A"/>
    <w:rsid w:val="00DA3C5C"/>
    <w:rsid w:val="00DC04DD"/>
    <w:rsid w:val="00DC0E61"/>
    <w:rsid w:val="00DC18A7"/>
    <w:rsid w:val="00DD0D2A"/>
    <w:rsid w:val="00DD0DF7"/>
    <w:rsid w:val="00DD6612"/>
    <w:rsid w:val="00DF4D5B"/>
    <w:rsid w:val="00E0074C"/>
    <w:rsid w:val="00E03054"/>
    <w:rsid w:val="00E401D5"/>
    <w:rsid w:val="00E55F15"/>
    <w:rsid w:val="00E56345"/>
    <w:rsid w:val="00E81E40"/>
    <w:rsid w:val="00E81FA6"/>
    <w:rsid w:val="00E824E1"/>
    <w:rsid w:val="00E82F58"/>
    <w:rsid w:val="00E94E2E"/>
    <w:rsid w:val="00E96CD9"/>
    <w:rsid w:val="00EA7F65"/>
    <w:rsid w:val="00EB1E68"/>
    <w:rsid w:val="00EC0649"/>
    <w:rsid w:val="00EC176C"/>
    <w:rsid w:val="00EC57F0"/>
    <w:rsid w:val="00ED04C5"/>
    <w:rsid w:val="00EE2398"/>
    <w:rsid w:val="00F22FB1"/>
    <w:rsid w:val="00F2339B"/>
    <w:rsid w:val="00F30F1F"/>
    <w:rsid w:val="00F36869"/>
    <w:rsid w:val="00F41DE1"/>
    <w:rsid w:val="00F44732"/>
    <w:rsid w:val="00F511BF"/>
    <w:rsid w:val="00F53CBC"/>
    <w:rsid w:val="00F72213"/>
    <w:rsid w:val="00F910EA"/>
    <w:rsid w:val="00F92A2D"/>
    <w:rsid w:val="00FA3B53"/>
    <w:rsid w:val="00FA6982"/>
    <w:rsid w:val="00FA6C9C"/>
    <w:rsid w:val="00FC7B62"/>
    <w:rsid w:val="00FD70CD"/>
    <w:rsid w:val="00FF0FD4"/>
    <w:rsid w:val="00FF157E"/>
    <w:rsid w:val="00FF4595"/>
    <w:rsid w:val="0233A03B"/>
    <w:rsid w:val="02C33499"/>
    <w:rsid w:val="0322B71E"/>
    <w:rsid w:val="03C66A93"/>
    <w:rsid w:val="04330E6F"/>
    <w:rsid w:val="048E8F85"/>
    <w:rsid w:val="04CFD94B"/>
    <w:rsid w:val="04E2BCC5"/>
    <w:rsid w:val="0542B3DB"/>
    <w:rsid w:val="0627B363"/>
    <w:rsid w:val="06F8AB97"/>
    <w:rsid w:val="078DA722"/>
    <w:rsid w:val="08617F2F"/>
    <w:rsid w:val="09D2DFC2"/>
    <w:rsid w:val="0AB06B9A"/>
    <w:rsid w:val="0ACBEAD7"/>
    <w:rsid w:val="0B307B48"/>
    <w:rsid w:val="0CFB6DD6"/>
    <w:rsid w:val="0D6A0EA4"/>
    <w:rsid w:val="0DDF2B1B"/>
    <w:rsid w:val="0EE441BD"/>
    <w:rsid w:val="0EF414BD"/>
    <w:rsid w:val="0F30C361"/>
    <w:rsid w:val="0F8C89E9"/>
    <w:rsid w:val="0FEC3E80"/>
    <w:rsid w:val="11220D91"/>
    <w:rsid w:val="12DD98BA"/>
    <w:rsid w:val="14DBF101"/>
    <w:rsid w:val="14FB147F"/>
    <w:rsid w:val="155555C7"/>
    <w:rsid w:val="155D9527"/>
    <w:rsid w:val="15819201"/>
    <w:rsid w:val="15B83E65"/>
    <w:rsid w:val="1678DD70"/>
    <w:rsid w:val="1755DB88"/>
    <w:rsid w:val="178C732D"/>
    <w:rsid w:val="180A8087"/>
    <w:rsid w:val="181F0528"/>
    <w:rsid w:val="184F2C7B"/>
    <w:rsid w:val="186B3A48"/>
    <w:rsid w:val="18CB4671"/>
    <w:rsid w:val="1A03EE78"/>
    <w:rsid w:val="1AEF1B0F"/>
    <w:rsid w:val="1BD41ADF"/>
    <w:rsid w:val="1CD4C044"/>
    <w:rsid w:val="1DFDBD42"/>
    <w:rsid w:val="1E61B469"/>
    <w:rsid w:val="1E61D90A"/>
    <w:rsid w:val="1EA9BA59"/>
    <w:rsid w:val="1F089B0D"/>
    <w:rsid w:val="1FC3A4AC"/>
    <w:rsid w:val="20754CE4"/>
    <w:rsid w:val="20B6C472"/>
    <w:rsid w:val="20CBC09F"/>
    <w:rsid w:val="2102927C"/>
    <w:rsid w:val="211E8FA2"/>
    <w:rsid w:val="21209E94"/>
    <w:rsid w:val="2254B74D"/>
    <w:rsid w:val="22FBA86E"/>
    <w:rsid w:val="2313FF15"/>
    <w:rsid w:val="23335049"/>
    <w:rsid w:val="2344B434"/>
    <w:rsid w:val="242C78AA"/>
    <w:rsid w:val="2493A741"/>
    <w:rsid w:val="261F5D7D"/>
    <w:rsid w:val="279F5F61"/>
    <w:rsid w:val="28087CE0"/>
    <w:rsid w:val="2830268F"/>
    <w:rsid w:val="2847B2D7"/>
    <w:rsid w:val="289459C1"/>
    <w:rsid w:val="28F38E98"/>
    <w:rsid w:val="291D56CE"/>
    <w:rsid w:val="2A628017"/>
    <w:rsid w:val="2B3742FA"/>
    <w:rsid w:val="2BA6EB22"/>
    <w:rsid w:val="2CCC3CB4"/>
    <w:rsid w:val="2D2A5F29"/>
    <w:rsid w:val="2D4AA340"/>
    <w:rsid w:val="2D624AE0"/>
    <w:rsid w:val="2DA23EF6"/>
    <w:rsid w:val="2F511E39"/>
    <w:rsid w:val="30743F92"/>
    <w:rsid w:val="31018343"/>
    <w:rsid w:val="3213A258"/>
    <w:rsid w:val="33282C19"/>
    <w:rsid w:val="3399C159"/>
    <w:rsid w:val="33A758B7"/>
    <w:rsid w:val="33B4529A"/>
    <w:rsid w:val="33C93047"/>
    <w:rsid w:val="33D2621D"/>
    <w:rsid w:val="3436066F"/>
    <w:rsid w:val="348C5598"/>
    <w:rsid w:val="34C475AF"/>
    <w:rsid w:val="3608FE66"/>
    <w:rsid w:val="3626CEE3"/>
    <w:rsid w:val="3658CF59"/>
    <w:rsid w:val="36CE128E"/>
    <w:rsid w:val="3728BB0A"/>
    <w:rsid w:val="389BE0D9"/>
    <w:rsid w:val="3902418A"/>
    <w:rsid w:val="39739F7F"/>
    <w:rsid w:val="3AC60680"/>
    <w:rsid w:val="3AC968E6"/>
    <w:rsid w:val="3BA20586"/>
    <w:rsid w:val="3DBAF4BB"/>
    <w:rsid w:val="3DC90259"/>
    <w:rsid w:val="3E726D33"/>
    <w:rsid w:val="3FA1244F"/>
    <w:rsid w:val="40761B8F"/>
    <w:rsid w:val="41692E2D"/>
    <w:rsid w:val="418FACDC"/>
    <w:rsid w:val="41DA5711"/>
    <w:rsid w:val="41FD3451"/>
    <w:rsid w:val="421AA9A9"/>
    <w:rsid w:val="42C00159"/>
    <w:rsid w:val="4382DE25"/>
    <w:rsid w:val="43C46D36"/>
    <w:rsid w:val="47303D63"/>
    <w:rsid w:val="4787F9F2"/>
    <w:rsid w:val="47CC6C29"/>
    <w:rsid w:val="48B092AA"/>
    <w:rsid w:val="4943FFFF"/>
    <w:rsid w:val="496BC41B"/>
    <w:rsid w:val="49E5201B"/>
    <w:rsid w:val="4A41F9D8"/>
    <w:rsid w:val="4AB097EF"/>
    <w:rsid w:val="4C2FC284"/>
    <w:rsid w:val="4C429B01"/>
    <w:rsid w:val="4C6A754A"/>
    <w:rsid w:val="4D47F6CC"/>
    <w:rsid w:val="4D742A42"/>
    <w:rsid w:val="4D9AF4E2"/>
    <w:rsid w:val="4D9B9335"/>
    <w:rsid w:val="4EABDFA5"/>
    <w:rsid w:val="4EC09AE6"/>
    <w:rsid w:val="4EEE83C5"/>
    <w:rsid w:val="4F9D535F"/>
    <w:rsid w:val="5013EA1F"/>
    <w:rsid w:val="5047F802"/>
    <w:rsid w:val="5053448C"/>
    <w:rsid w:val="50A0B43B"/>
    <w:rsid w:val="50ECF248"/>
    <w:rsid w:val="50F21ABC"/>
    <w:rsid w:val="51D4BBEE"/>
    <w:rsid w:val="52114A4F"/>
    <w:rsid w:val="52364B7D"/>
    <w:rsid w:val="530D5FD4"/>
    <w:rsid w:val="5458BCD3"/>
    <w:rsid w:val="54EE0C93"/>
    <w:rsid w:val="553FE51F"/>
    <w:rsid w:val="56518593"/>
    <w:rsid w:val="58A12656"/>
    <w:rsid w:val="58C0E631"/>
    <w:rsid w:val="59EB5B88"/>
    <w:rsid w:val="5A747567"/>
    <w:rsid w:val="5C334B5F"/>
    <w:rsid w:val="5C7171A8"/>
    <w:rsid w:val="5D1C6E74"/>
    <w:rsid w:val="5D2DFD43"/>
    <w:rsid w:val="5E2D72FC"/>
    <w:rsid w:val="5FF3E36D"/>
    <w:rsid w:val="603655C4"/>
    <w:rsid w:val="60C040F1"/>
    <w:rsid w:val="61CE73B6"/>
    <w:rsid w:val="6235BF7A"/>
    <w:rsid w:val="625B6625"/>
    <w:rsid w:val="6477FDDA"/>
    <w:rsid w:val="64F03C71"/>
    <w:rsid w:val="651F4497"/>
    <w:rsid w:val="65E4F44C"/>
    <w:rsid w:val="664B11E8"/>
    <w:rsid w:val="68B9DA5E"/>
    <w:rsid w:val="69114A94"/>
    <w:rsid w:val="69DC8F38"/>
    <w:rsid w:val="6A70478C"/>
    <w:rsid w:val="6AF915DF"/>
    <w:rsid w:val="6BE867C1"/>
    <w:rsid w:val="6BEB8AD1"/>
    <w:rsid w:val="6C888291"/>
    <w:rsid w:val="6D9DC0F6"/>
    <w:rsid w:val="6E04FDEE"/>
    <w:rsid w:val="6E46F172"/>
    <w:rsid w:val="6E5A2E42"/>
    <w:rsid w:val="6E849700"/>
    <w:rsid w:val="6FDDB062"/>
    <w:rsid w:val="7019F354"/>
    <w:rsid w:val="70705571"/>
    <w:rsid w:val="7070F100"/>
    <w:rsid w:val="716F5776"/>
    <w:rsid w:val="725A4215"/>
    <w:rsid w:val="72CB3E84"/>
    <w:rsid w:val="74B1E7A1"/>
    <w:rsid w:val="74C07EA4"/>
    <w:rsid w:val="75181E97"/>
    <w:rsid w:val="75C8B107"/>
    <w:rsid w:val="7749B77C"/>
    <w:rsid w:val="7867D61D"/>
    <w:rsid w:val="7ABBA906"/>
    <w:rsid w:val="7CCF9025"/>
    <w:rsid w:val="7D01DCBC"/>
    <w:rsid w:val="7F098047"/>
    <w:rsid w:val="7FC463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87AE10"/>
  <w15:docId w15:val="{90F6A238-E7FD-4C5D-98E0-84185DD76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styleId="UnresolvedMention">
    <w:name w:val="Unresolved Mention"/>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customStyle="1" w:styleId="cf01">
    <w:name w:val="cf01"/>
    <w:basedOn w:val="DefaultParagraphFont"/>
    <w:rsid w:val="00516914"/>
    <w:rPr>
      <w:rFonts w:ascii="Segoe UI" w:hAnsi="Segoe UI" w:cs="Segoe UI" w:hint="default"/>
      <w:sz w:val="18"/>
      <w:szCs w:val="18"/>
    </w:rPr>
  </w:style>
  <w:style w:type="paragraph" w:styleId="Header">
    <w:name w:val="header"/>
    <w:basedOn w:val="Normal"/>
    <w:link w:val="HeaderChar"/>
    <w:uiPriority w:val="99"/>
    <w:unhideWhenUsed/>
    <w:rsid w:val="00991A53"/>
    <w:pPr>
      <w:widowControl/>
      <w:tabs>
        <w:tab w:val="center" w:pos="4680"/>
        <w:tab w:val="right" w:pos="9360"/>
      </w:tabs>
      <w:jc w:val="left"/>
    </w:pPr>
    <w:rPr>
      <w:rFonts w:asciiTheme="minorHAnsi" w:eastAsiaTheme="minorEastAsia" w:hAnsiTheme="minorHAnsi" w:cs="Times New Roman"/>
      <w:sz w:val="22"/>
      <w:szCs w:val="22"/>
    </w:rPr>
  </w:style>
  <w:style w:type="character" w:customStyle="1" w:styleId="HeaderChar">
    <w:name w:val="Header Char"/>
    <w:basedOn w:val="DefaultParagraphFont"/>
    <w:link w:val="Header"/>
    <w:uiPriority w:val="99"/>
    <w:rsid w:val="00991A53"/>
    <w:rPr>
      <w:rFonts w:asciiTheme="minorHAnsi" w:eastAsiaTheme="minorEastAsia" w:hAnsiTheme="minorHAnsi"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2DAA89-D426-48EF-95E9-D8C5BC366C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5517</Words>
  <Characters>31451</Characters>
  <Application>Microsoft Office Word</Application>
  <DocSecurity>0</DocSecurity>
  <Lines>262</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Vineeta</dc:creator>
  <cp:lastModifiedBy>Gregory Newby</cp:lastModifiedBy>
  <cp:revision>2</cp:revision>
  <cp:lastPrinted>2026-05-17T15:24:00Z</cp:lastPrinted>
  <dcterms:created xsi:type="dcterms:W3CDTF">2026-05-30T11:01:00Z</dcterms:created>
  <dcterms:modified xsi:type="dcterms:W3CDTF">2026-05-30T11:01:00Z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ies>
</file>