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76BE7E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619D0">
        <w:rPr>
          <w:rFonts w:eastAsia="Times New Roman" w:cstheme="minorHAnsi"/>
          <w:b/>
        </w:rPr>
        <w:t>71448</w:t>
      </w:r>
    </w:p>
    <w:p w14:paraId="2F6924E5" w14:textId="5212501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619D0">
        <w:rPr>
          <w:rFonts w:eastAsia="Times New Roman" w:cstheme="minorHAnsi"/>
          <w:b/>
        </w:rPr>
        <w:t>Kathyayani Sridharan</w:t>
      </w:r>
    </w:p>
    <w:p w14:paraId="6FB9233B" w14:textId="6352804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619D0" w:rsidRPr="00ED3B5C">
          <w:rPr>
            <w:rStyle w:val="Hyperlink"/>
            <w:rFonts w:eastAsia="Times New Roman" w:cstheme="minorHAnsi"/>
            <w:b/>
          </w:rPr>
          <w:t>https://review.jove.com/account/file-uploader?src=21791688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0AAE8E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619D0" w:rsidRPr="009619D0">
        <w:rPr>
          <w:b/>
          <w:bCs/>
          <w:sz w:val="32"/>
          <w:szCs w:val="28"/>
        </w:rPr>
        <w:t>A Model of Piroxicam-Accelerated Enterocolitis in Interleukin-10 Knockout Mice for Studying Inflammation-Induced Metabolic Alterations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256610F" w14:textId="77777777" w:rsidR="009619D0" w:rsidRDefault="009619D0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C24CE7F" w14:textId="3192924B" w:rsidR="00924E76" w:rsidRPr="00924E76" w:rsidRDefault="009619D0" w:rsidP="009619D0">
      <w:pPr>
        <w:rPr>
          <w:b/>
          <w:bCs/>
          <w:sz w:val="28"/>
          <w:szCs w:val="26"/>
        </w:rPr>
      </w:pPr>
      <w:r w:rsidRPr="009619D0">
        <w:rPr>
          <w:b/>
          <w:bCs/>
          <w:sz w:val="28"/>
          <w:szCs w:val="26"/>
        </w:rPr>
        <w:t>Mihir Ranjan</w:t>
      </w:r>
      <w:r w:rsidRPr="009619D0">
        <w:rPr>
          <w:b/>
          <w:bCs/>
          <w:sz w:val="28"/>
          <w:szCs w:val="26"/>
          <w:vertAlign w:val="superscript"/>
        </w:rPr>
        <w:t>1</w:t>
      </w:r>
      <w:r w:rsidRPr="009619D0">
        <w:rPr>
          <w:b/>
          <w:bCs/>
          <w:sz w:val="28"/>
          <w:szCs w:val="26"/>
        </w:rPr>
        <w:t>, Justin Williams</w:t>
      </w:r>
      <w:r w:rsidRPr="009619D0">
        <w:rPr>
          <w:b/>
          <w:bCs/>
          <w:sz w:val="28"/>
          <w:szCs w:val="26"/>
          <w:vertAlign w:val="superscript"/>
        </w:rPr>
        <w:t>1</w:t>
      </w:r>
      <w:r w:rsidRPr="009619D0">
        <w:rPr>
          <w:b/>
          <w:bCs/>
          <w:sz w:val="28"/>
          <w:szCs w:val="26"/>
        </w:rPr>
        <w:t>, Lan Peng</w:t>
      </w:r>
      <w:r w:rsidRPr="009619D0">
        <w:rPr>
          <w:b/>
          <w:bCs/>
          <w:sz w:val="28"/>
          <w:szCs w:val="26"/>
          <w:vertAlign w:val="superscript"/>
        </w:rPr>
        <w:t>2</w:t>
      </w:r>
      <w:r w:rsidRPr="009619D0">
        <w:rPr>
          <w:b/>
          <w:bCs/>
          <w:sz w:val="28"/>
          <w:szCs w:val="26"/>
        </w:rPr>
        <w:t>, Ezra Burstein</w:t>
      </w:r>
      <w:r w:rsidRPr="009619D0">
        <w:rPr>
          <w:b/>
          <w:bCs/>
          <w:sz w:val="28"/>
          <w:szCs w:val="26"/>
          <w:vertAlign w:val="superscript"/>
        </w:rPr>
        <w:t>3</w:t>
      </w:r>
      <w:r w:rsidRPr="009619D0">
        <w:rPr>
          <w:b/>
          <w:bCs/>
          <w:sz w:val="28"/>
          <w:szCs w:val="26"/>
        </w:rPr>
        <w:t xml:space="preserve">, </w:t>
      </w:r>
      <w:proofErr w:type="spellStart"/>
      <w:r w:rsidRPr="009619D0">
        <w:rPr>
          <w:b/>
          <w:bCs/>
          <w:sz w:val="28"/>
          <w:szCs w:val="26"/>
        </w:rPr>
        <w:t>Jianyi</w:t>
      </w:r>
      <w:proofErr w:type="spellEnd"/>
      <w:r w:rsidRPr="009619D0">
        <w:rPr>
          <w:b/>
          <w:bCs/>
          <w:sz w:val="28"/>
          <w:szCs w:val="26"/>
        </w:rPr>
        <w:t xml:space="preserve"> Yin</w:t>
      </w:r>
      <w:r w:rsidRPr="009619D0">
        <w:rPr>
          <w:b/>
          <w:bCs/>
          <w:sz w:val="28"/>
          <w:szCs w:val="26"/>
          <w:vertAlign w:val="superscript"/>
        </w:rPr>
        <w:t>3, *</w:t>
      </w:r>
      <w:r w:rsidR="00924E76">
        <w:rPr>
          <w:b/>
          <w:bCs/>
        </w:rPr>
        <w:t xml:space="preserve">, </w:t>
      </w:r>
      <w:r w:rsidR="00924E76" w:rsidRPr="009619D0">
        <w:rPr>
          <w:b/>
          <w:bCs/>
          <w:sz w:val="28"/>
          <w:szCs w:val="26"/>
        </w:rPr>
        <w:t>Luis Sifuentes-Dominguez</w:t>
      </w:r>
      <w:r w:rsidR="00924E76" w:rsidRPr="009619D0">
        <w:rPr>
          <w:b/>
          <w:bCs/>
          <w:sz w:val="28"/>
          <w:szCs w:val="26"/>
          <w:vertAlign w:val="superscript"/>
        </w:rPr>
        <w:t>1, *</w:t>
      </w:r>
    </w:p>
    <w:p w14:paraId="6BF457C7" w14:textId="77777777" w:rsidR="00924E76" w:rsidRPr="00EA4258" w:rsidRDefault="00924E76" w:rsidP="009619D0">
      <w:pPr>
        <w:rPr>
          <w:b/>
          <w:bCs/>
        </w:rPr>
      </w:pPr>
    </w:p>
    <w:p w14:paraId="042B0D39" w14:textId="6F327A79" w:rsidR="009619D0" w:rsidRPr="00EA4258" w:rsidRDefault="009619D0" w:rsidP="009619D0">
      <w:r w:rsidRPr="00EA4258">
        <w:rPr>
          <w:vertAlign w:val="superscript"/>
        </w:rPr>
        <w:t>1</w:t>
      </w:r>
      <w:r w:rsidRPr="00EA4258">
        <w:t>Department of Pediatrics, The University of Texas Southwestern Medical Center</w:t>
      </w:r>
    </w:p>
    <w:p w14:paraId="02A6F83C" w14:textId="7E9171D5" w:rsidR="009619D0" w:rsidRPr="00EA4258" w:rsidRDefault="009619D0" w:rsidP="009619D0">
      <w:r w:rsidRPr="00EA4258">
        <w:rPr>
          <w:vertAlign w:val="superscript"/>
        </w:rPr>
        <w:t>2</w:t>
      </w:r>
      <w:r w:rsidRPr="00EA4258">
        <w:t>Department of Pathology, University of Texas Southwestern Medical Center</w:t>
      </w:r>
    </w:p>
    <w:p w14:paraId="0E551E40" w14:textId="2CC8FE94" w:rsidR="009619D0" w:rsidRDefault="009619D0" w:rsidP="009619D0">
      <w:r w:rsidRPr="00EA4258">
        <w:rPr>
          <w:vertAlign w:val="superscript"/>
        </w:rPr>
        <w:t>3</w:t>
      </w:r>
      <w:r w:rsidRPr="00EA4258">
        <w:t>Department of Internal Medicine, University of Texas Southwestern Medical Center</w:t>
      </w:r>
    </w:p>
    <w:p w14:paraId="3554B1FD" w14:textId="77777777" w:rsidR="009619D0" w:rsidRPr="00EA4258" w:rsidRDefault="009619D0" w:rsidP="009619D0"/>
    <w:p w14:paraId="74A3CDA1" w14:textId="549C882A" w:rsidR="00D6314B" w:rsidRPr="00B07A3B" w:rsidRDefault="009619D0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EA4258">
        <w:t>*These authors supervised this work.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6FD9645" w14:textId="77777777" w:rsidR="00124FE5" w:rsidRPr="00124FE5" w:rsidRDefault="00124FE5" w:rsidP="00124FE5">
      <w:r w:rsidRPr="00124FE5">
        <w:t>Jianyi Yin</w:t>
      </w:r>
      <w:r w:rsidRPr="00124FE5">
        <w:tab/>
      </w:r>
      <w:r w:rsidRPr="00124FE5">
        <w:tab/>
      </w:r>
      <w:r w:rsidRPr="00124FE5">
        <w:tab/>
      </w:r>
      <w:r w:rsidRPr="00124FE5">
        <w:tab/>
      </w:r>
      <w:hyperlink r:id="rId8" w:history="1">
        <w:r w:rsidRPr="00124FE5">
          <w:rPr>
            <w:rStyle w:val="Hyperlink"/>
          </w:rPr>
          <w:t>jianyi.yin@utsouthwestern.edu</w:t>
        </w:r>
      </w:hyperlink>
    </w:p>
    <w:p w14:paraId="42ABE8E8" w14:textId="5BCE20A7" w:rsidR="00BE1C6A" w:rsidRPr="00B02691" w:rsidRDefault="00BE1C6A" w:rsidP="004E0C5A">
      <w:pPr>
        <w:outlineLvl w:val="0"/>
        <w:rPr>
          <w:rFonts w:eastAsia="Times New Roman" w:cstheme="minorHAnsi"/>
          <w:lang w:val="fr-FR"/>
        </w:rPr>
      </w:pPr>
      <w:r w:rsidRPr="00B02691">
        <w:rPr>
          <w:lang w:val="fr-FR"/>
        </w:rPr>
        <w:t>Luis Sifuentes-Dominguez</w:t>
      </w:r>
      <w:r w:rsidRPr="00B02691">
        <w:rPr>
          <w:lang w:val="fr-FR"/>
        </w:rPr>
        <w:tab/>
      </w:r>
      <w:r w:rsidRPr="00B02691">
        <w:rPr>
          <w:lang w:val="fr-FR"/>
        </w:rPr>
        <w:tab/>
      </w:r>
      <w:hyperlink r:id="rId9" w:history="1">
        <w:r w:rsidRPr="00B02691">
          <w:rPr>
            <w:rStyle w:val="Hyperlink"/>
            <w:lang w:val="fr-FR"/>
          </w:rPr>
          <w:t>luis.sifuentes-dominguez@utsouthwestern.edu</w:t>
        </w:r>
      </w:hyperlink>
    </w:p>
    <w:p w14:paraId="70FFA58B" w14:textId="36BFBEB5" w:rsidR="00D6314B" w:rsidRPr="00B02691" w:rsidRDefault="00B66EDC" w:rsidP="004E0C5A">
      <w:pPr>
        <w:outlineLvl w:val="0"/>
        <w:rPr>
          <w:rFonts w:eastAsia="Times New Roman" w:cstheme="minorHAnsi"/>
          <w:lang w:val="fr-FR"/>
        </w:rPr>
      </w:pPr>
      <w:r w:rsidRPr="00B02691">
        <w:rPr>
          <w:rFonts w:eastAsia="Times New Roman" w:cstheme="minorHAnsi"/>
          <w:lang w:val="fr-FR"/>
        </w:rPr>
        <w:tab/>
      </w:r>
    </w:p>
    <w:p w14:paraId="1B4B2D7A" w14:textId="77777777" w:rsidR="004E0C5A" w:rsidRPr="00B02691" w:rsidRDefault="004E0C5A" w:rsidP="004E0C5A">
      <w:pPr>
        <w:outlineLvl w:val="0"/>
        <w:rPr>
          <w:rFonts w:eastAsia="Times New Roman" w:cstheme="minorHAnsi"/>
          <w:lang w:val="fr-FR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ABF3344" w14:textId="77777777" w:rsidR="00BE1C6A" w:rsidRPr="00490EC0" w:rsidRDefault="00BE1C6A" w:rsidP="00BE1C6A">
      <w:pPr>
        <w:rPr>
          <w:color w:val="000000"/>
          <w:lang w:val="fr-FR"/>
        </w:rPr>
      </w:pPr>
      <w:r w:rsidRPr="00490EC0">
        <w:rPr>
          <w:lang w:val="fr-FR"/>
        </w:rPr>
        <w:t>Mihir Ranjan</w:t>
      </w:r>
      <w:r w:rsidRPr="00490EC0">
        <w:rPr>
          <w:lang w:val="fr-FR"/>
        </w:rPr>
        <w:tab/>
      </w:r>
      <w:r w:rsidRPr="00490EC0">
        <w:rPr>
          <w:lang w:val="fr-FR"/>
        </w:rPr>
        <w:tab/>
      </w:r>
      <w:r w:rsidRPr="00490EC0">
        <w:rPr>
          <w:lang w:val="fr-FR"/>
        </w:rPr>
        <w:tab/>
      </w:r>
      <w:r w:rsidRPr="00490EC0">
        <w:rPr>
          <w:lang w:val="fr-FR"/>
        </w:rPr>
        <w:tab/>
      </w:r>
      <w:hyperlink r:id="rId10" w:history="1">
        <w:r w:rsidRPr="00490EC0">
          <w:rPr>
            <w:rStyle w:val="Hyperlink"/>
            <w:lang w:val="fr-FR"/>
          </w:rPr>
          <w:t>mihir.ranjan@utsouthwestern.edu</w:t>
        </w:r>
      </w:hyperlink>
    </w:p>
    <w:p w14:paraId="541E7BBD" w14:textId="77777777" w:rsidR="00BE1C6A" w:rsidRPr="00353DF9" w:rsidRDefault="00BE1C6A" w:rsidP="00BE1C6A">
      <w:pPr>
        <w:rPr>
          <w:color w:val="000000"/>
          <w:lang w:val="fr-FR"/>
        </w:rPr>
      </w:pPr>
      <w:r w:rsidRPr="00353DF9">
        <w:rPr>
          <w:lang w:val="fr-FR"/>
        </w:rPr>
        <w:t>Justin Williams</w:t>
      </w:r>
      <w:r w:rsidRPr="00353DF9">
        <w:rPr>
          <w:lang w:val="fr-FR"/>
        </w:rPr>
        <w:tab/>
      </w:r>
      <w:r w:rsidRPr="00353DF9">
        <w:rPr>
          <w:lang w:val="fr-FR"/>
        </w:rPr>
        <w:tab/>
      </w:r>
      <w:r w:rsidRPr="00353DF9">
        <w:rPr>
          <w:lang w:val="fr-FR"/>
        </w:rPr>
        <w:tab/>
      </w:r>
      <w:hyperlink r:id="rId11" w:history="1">
        <w:r w:rsidRPr="00353DF9">
          <w:rPr>
            <w:rStyle w:val="Hyperlink"/>
            <w:lang w:val="fr-FR"/>
          </w:rPr>
          <w:t>justin.williams@utsouthwestern.edu</w:t>
        </w:r>
      </w:hyperlink>
    </w:p>
    <w:p w14:paraId="307DD8CE" w14:textId="77777777" w:rsidR="00BE1C6A" w:rsidRPr="00353DF9" w:rsidRDefault="00BE1C6A" w:rsidP="00BE1C6A">
      <w:pPr>
        <w:rPr>
          <w:color w:val="000000"/>
          <w:lang w:val="fr-FR"/>
        </w:rPr>
      </w:pPr>
      <w:r w:rsidRPr="00353DF9">
        <w:rPr>
          <w:lang w:val="fr-FR"/>
        </w:rPr>
        <w:t>Lan Peng</w:t>
      </w:r>
      <w:r w:rsidRPr="00353DF9">
        <w:rPr>
          <w:lang w:val="fr-FR"/>
        </w:rPr>
        <w:tab/>
      </w:r>
      <w:r w:rsidRPr="00353DF9">
        <w:rPr>
          <w:lang w:val="fr-FR"/>
        </w:rPr>
        <w:tab/>
      </w:r>
      <w:r w:rsidRPr="00353DF9">
        <w:rPr>
          <w:lang w:val="fr-FR"/>
        </w:rPr>
        <w:tab/>
      </w:r>
      <w:r w:rsidRPr="00353DF9">
        <w:rPr>
          <w:lang w:val="fr-FR"/>
        </w:rPr>
        <w:tab/>
      </w:r>
      <w:hyperlink r:id="rId12" w:history="1">
        <w:r w:rsidRPr="00353DF9">
          <w:rPr>
            <w:rStyle w:val="Hyperlink"/>
            <w:lang w:val="fr-FR"/>
          </w:rPr>
          <w:t>lan.peng@utsouthwestern.edu</w:t>
        </w:r>
      </w:hyperlink>
    </w:p>
    <w:p w14:paraId="6F84F159" w14:textId="197A93B6" w:rsidR="003B5E26" w:rsidRPr="00490EC0" w:rsidRDefault="00BE1C6A" w:rsidP="00124FE5">
      <w:pPr>
        <w:rPr>
          <w:rFonts w:cstheme="minorHAnsi"/>
          <w:b/>
          <w:sz w:val="22"/>
          <w:szCs w:val="22"/>
          <w:lang w:val="fr-FR"/>
        </w:rPr>
      </w:pPr>
      <w:r w:rsidRPr="00490EC0">
        <w:rPr>
          <w:lang w:val="fr-FR"/>
        </w:rPr>
        <w:t>Ezra Burstein</w:t>
      </w:r>
      <w:r w:rsidRPr="00490EC0">
        <w:rPr>
          <w:lang w:val="fr-FR"/>
        </w:rPr>
        <w:tab/>
      </w:r>
      <w:r w:rsidRPr="00490EC0">
        <w:rPr>
          <w:lang w:val="fr-FR"/>
        </w:rPr>
        <w:tab/>
      </w:r>
      <w:r w:rsidRPr="00490EC0">
        <w:rPr>
          <w:lang w:val="fr-FR"/>
        </w:rPr>
        <w:tab/>
      </w:r>
      <w:r w:rsidRPr="00490EC0">
        <w:rPr>
          <w:lang w:val="fr-FR"/>
        </w:rPr>
        <w:tab/>
      </w:r>
      <w:hyperlink r:id="rId13" w:history="1">
        <w:r w:rsidRPr="00490EC0">
          <w:rPr>
            <w:rStyle w:val="Hyperlink"/>
            <w:lang w:val="fr-FR"/>
          </w:rPr>
          <w:t>ezra.burstein@utsouthwestern.edu</w:t>
        </w:r>
      </w:hyperlink>
    </w:p>
    <w:p w14:paraId="5A2BE33C" w14:textId="77777777" w:rsidR="001E230F" w:rsidRPr="00490EC0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490EC0" w:rsidRDefault="00C70C90">
      <w:pPr>
        <w:rPr>
          <w:rFonts w:cstheme="minorHAnsi"/>
          <w:b/>
          <w:sz w:val="22"/>
          <w:szCs w:val="22"/>
          <w:lang w:val="fr-FR"/>
        </w:rPr>
      </w:pPr>
      <w:r w:rsidRPr="00490EC0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6A876452" w:rsidR="005F1ADF" w:rsidRPr="00D462CC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D462CC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7399D0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490EC0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C68C2BA" w14:textId="64278138" w:rsidR="005F1ADF" w:rsidRDefault="005F1ADF" w:rsidP="007F2CA5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1571E3">
        <w:rPr>
          <w:rFonts w:eastAsia="Times New Roman" w:cstheme="minorHAnsi"/>
          <w:b/>
          <w:bCs/>
        </w:rPr>
        <w:t>No</w:t>
      </w:r>
    </w:p>
    <w:p w14:paraId="32B24035" w14:textId="77777777" w:rsidR="007F2CA5" w:rsidRPr="007F2CA5" w:rsidRDefault="007F2CA5" w:rsidP="007F2CA5">
      <w:pPr>
        <w:spacing w:before="120"/>
        <w:ind w:left="216" w:hanging="216"/>
        <w:rPr>
          <w:rFonts w:eastAsia="Times New Roman" w:cstheme="minorHAnsi"/>
        </w:rPr>
      </w:pPr>
    </w:p>
    <w:p w14:paraId="63770740" w14:textId="327209FD" w:rsidR="005F1ADF" w:rsidRPr="008912E5" w:rsidRDefault="009A2C33" w:rsidP="008912E5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30B66">
        <w:rPr>
          <w:rFonts w:eastAsia="Times New Roman" w:cstheme="minorHAnsi"/>
          <w:b/>
          <w:bCs/>
        </w:rPr>
        <w:t>Yes</w:t>
      </w:r>
      <w:r w:rsidR="008912E5">
        <w:rPr>
          <w:rFonts w:eastAsia="Times New Roman" w:cstheme="minorHAnsi"/>
          <w:b/>
          <w:bCs/>
        </w:rPr>
        <w:t xml:space="preserve">, </w:t>
      </w:r>
      <w:r w:rsidR="00030B66" w:rsidRPr="008912E5">
        <w:rPr>
          <w:rFonts w:eastAsia="Times New Roman" w:cstheme="minorHAnsi"/>
          <w:b/>
          <w:bCs/>
        </w:rPr>
        <w:t>100 feet between office and Animal Research Facility</w:t>
      </w:r>
      <w:r w:rsidR="00B75138" w:rsidRPr="008912E5">
        <w:rPr>
          <w:rFonts w:eastAsia="Times New Roman" w:cstheme="minorHAnsi"/>
          <w:b/>
          <w:bCs/>
        </w:rPr>
        <w:t>, on the same campus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1B539F9" w:rsidR="00F0777A" w:rsidRPr="007F2CA5" w:rsidRDefault="00500FA1" w:rsidP="00F0777A">
      <w:pPr>
        <w:spacing w:before="120"/>
        <w:rPr>
          <w:rFonts w:eastAsia="Times New Roman" w:cstheme="minorHAnsi"/>
          <w:b/>
          <w:bCs/>
          <w:highlight w:val="yellow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EA1283">
        <w:rPr>
          <w:rFonts w:eastAsia="Times New Roman" w:cstheme="minorHAnsi"/>
          <w:b/>
          <w:bCs/>
        </w:rPr>
        <w:t>No</w:t>
      </w:r>
      <w:r w:rsidR="007F2CA5">
        <w:rPr>
          <w:rFonts w:eastAsia="Times New Roman" w:cstheme="minorHAnsi"/>
          <w:b/>
          <w:bCs/>
        </w:rPr>
        <w:br/>
      </w:r>
      <w:r w:rsidR="007F2CA5">
        <w:rPr>
          <w:rFonts w:eastAsia="Times New Roman" w:cstheme="minorHAnsi"/>
          <w:b/>
          <w:bCs/>
        </w:rPr>
        <w:br/>
      </w:r>
      <w:r w:rsidR="007F2CA5" w:rsidRPr="007F2CA5">
        <w:rPr>
          <w:rFonts w:eastAsia="Times New Roman" w:cstheme="minorHAnsi"/>
          <w:b/>
          <w:bCs/>
          <w:highlight w:val="yellow"/>
        </w:rPr>
        <w:t xml:space="preserve">Authors: </w:t>
      </w:r>
      <w:r w:rsidR="007F2CA5" w:rsidRPr="007F2CA5">
        <w:rPr>
          <w:rFonts w:eastAsia="Times New Roman" w:cstheme="minorHAnsi"/>
          <w:color w:val="000000"/>
          <w:highlight w:val="yellow"/>
        </w:rPr>
        <w:t>We have retained all the shots as such. If filming by the videographer for the shots mentioned below is not feasible, kindly self-film shots 2.1.1, 2.2.1, 2.2.</w:t>
      </w:r>
      <w:r w:rsidR="00A50A8F" w:rsidRPr="007F2CA5">
        <w:rPr>
          <w:rFonts w:eastAsia="Times New Roman" w:cstheme="minorHAnsi"/>
          <w:color w:val="000000"/>
          <w:highlight w:val="yellow"/>
        </w:rPr>
        <w:t>3, 2.3.1, 2.3.2, 3.1.1</w:t>
      </w:r>
      <w:r w:rsidR="007F2CA5" w:rsidRPr="007F2CA5">
        <w:rPr>
          <w:rFonts w:eastAsia="Times New Roman" w:cstheme="minorHAnsi"/>
          <w:color w:val="000000"/>
          <w:highlight w:val="yellow"/>
        </w:rPr>
        <w:t xml:space="preserve">, 3.1.1, 3.1.2, and 3.3.4, as per the </w:t>
      </w:r>
      <w:r w:rsidR="00A50A8F">
        <w:rPr>
          <w:rFonts w:eastAsia="Times New Roman" w:cstheme="minorHAnsi"/>
          <w:color w:val="000000"/>
          <w:highlight w:val="yellow"/>
        </w:rPr>
        <w:t>guidelines below</w:t>
      </w:r>
      <w:r w:rsidR="007F2CA5" w:rsidRPr="007F2CA5">
        <w:rPr>
          <w:rFonts w:eastAsia="Times New Roman" w:cstheme="minorHAnsi"/>
          <w:color w:val="000000"/>
          <w:highlight w:val="yellow"/>
        </w:rPr>
        <w:t>.</w:t>
      </w:r>
    </w:p>
    <w:p w14:paraId="3D2FC8D8" w14:textId="77777777" w:rsidR="007F2CA5" w:rsidRPr="007F2CA5" w:rsidRDefault="007F2CA5" w:rsidP="007F2CA5">
      <w:pPr>
        <w:spacing w:before="120"/>
        <w:rPr>
          <w:rFonts w:eastAsia="Times New Roman" w:cstheme="minorHAnsi"/>
          <w:highlight w:val="yellow"/>
        </w:rPr>
      </w:pPr>
      <w:r w:rsidRPr="007F2CA5">
        <w:rPr>
          <w:rFonts w:eastAsia="Times New Roman" w:cstheme="minorHAnsi"/>
          <w:b/>
          <w:bCs/>
          <w:highlight w:val="yellow"/>
        </w:rPr>
        <w:t>Animal Use Guidelines –</w:t>
      </w:r>
      <w:r w:rsidRPr="007F2CA5">
        <w:rPr>
          <w:rFonts w:eastAsia="Times New Roman" w:cstheme="minorHAnsi"/>
          <w:highlight w:val="yellow"/>
        </w:rPr>
        <w:t xml:space="preserve"> https://drive.google.com/file/d/1T8wZuDtUj6XUvJY00vSdivllO1SURTam/view?usp=sharing</w:t>
      </w:r>
    </w:p>
    <w:p w14:paraId="33A3514F" w14:textId="77777777" w:rsidR="007F2CA5" w:rsidRPr="007F2CA5" w:rsidRDefault="007F2CA5" w:rsidP="007F2CA5">
      <w:pPr>
        <w:spacing w:before="120"/>
        <w:rPr>
          <w:rFonts w:eastAsia="Times New Roman" w:cstheme="minorHAnsi"/>
          <w:highlight w:val="yellow"/>
        </w:rPr>
      </w:pPr>
      <w:r w:rsidRPr="007F2CA5">
        <w:rPr>
          <w:rFonts w:eastAsia="Times New Roman" w:cstheme="minorHAnsi"/>
          <w:b/>
          <w:bCs/>
          <w:highlight w:val="yellow"/>
        </w:rPr>
        <w:t>APF Guidelines –</w:t>
      </w:r>
      <w:r w:rsidRPr="007F2CA5">
        <w:rPr>
          <w:rFonts w:eastAsia="Times New Roman" w:cstheme="minorHAnsi"/>
          <w:highlight w:val="yellow"/>
        </w:rPr>
        <w:t xml:space="preserve"> </w:t>
      </w:r>
    </w:p>
    <w:p w14:paraId="33F37EE7" w14:textId="22E483DC" w:rsidR="007F2CA5" w:rsidRDefault="007F2CA5" w:rsidP="007F2CA5">
      <w:pPr>
        <w:spacing w:before="120"/>
        <w:rPr>
          <w:rFonts w:eastAsia="Times New Roman" w:cstheme="minorHAnsi"/>
        </w:rPr>
      </w:pPr>
      <w:r w:rsidRPr="007F2CA5">
        <w:rPr>
          <w:rFonts w:eastAsia="Times New Roman" w:cstheme="minorHAnsi"/>
          <w:highlight w:val="yellow"/>
        </w:rPr>
        <w:t>https://drive.google.com/file/d/1-qMjwefJnC-bIHqUem0m1OaqjG8ksQl3/view?usp=sharing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FEFE53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E1C6A">
        <w:rPr>
          <w:rFonts w:cstheme="minorHAnsi"/>
          <w:bCs/>
          <w:sz w:val="22"/>
          <w:szCs w:val="22"/>
        </w:rPr>
        <w:t>06</w:t>
      </w:r>
    </w:p>
    <w:p w14:paraId="5AAC9C6C" w14:textId="5B945A3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BE1C6A">
        <w:rPr>
          <w:rFonts w:cstheme="minorHAnsi"/>
          <w:bCs/>
          <w:sz w:val="22"/>
          <w:szCs w:val="22"/>
        </w:rPr>
        <w:t>19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22EDD6CB" w:rsidR="00D94887" w:rsidRDefault="0048545D" w:rsidP="007D61A8">
      <w:pPr>
        <w:rPr>
          <w:rFonts w:cstheme="minorHAnsi"/>
          <w:color w:val="auto"/>
          <w:shd w:val="clear" w:color="auto" w:fill="FFFFFF"/>
        </w:rPr>
      </w:pPr>
      <w:r w:rsidRPr="0048545D">
        <w:rPr>
          <w:rFonts w:cstheme="minorHAnsi"/>
          <w:color w:val="auto"/>
          <w:highlight w:val="yellow"/>
          <w:shd w:val="clear" w:color="auto" w:fill="FFFFFF"/>
        </w:rPr>
        <w:t>Note: The fourth statement is slightly edited.</w:t>
      </w:r>
    </w:p>
    <w:p w14:paraId="10A6E7C4" w14:textId="77777777" w:rsidR="0048545D" w:rsidRPr="0048545D" w:rsidRDefault="0048545D" w:rsidP="007D61A8">
      <w:pPr>
        <w:rPr>
          <w:rFonts w:cstheme="minorHAnsi"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0A66870" w14:textId="6BAE0E07" w:rsidR="007D61A8" w:rsidRPr="007B19B4" w:rsidRDefault="00205059" w:rsidP="007D61A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Mihir Ranjan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215222">
        <w:rPr>
          <w:rFonts w:cstheme="minorHAnsi"/>
        </w:rPr>
        <w:t xml:space="preserve">We </w:t>
      </w:r>
      <w:r w:rsidR="00C06DBF">
        <w:rPr>
          <w:rFonts w:cstheme="minorHAnsi"/>
        </w:rPr>
        <w:t>describe</w:t>
      </w:r>
      <w:r w:rsidR="00215222">
        <w:rPr>
          <w:rFonts w:cstheme="minorHAnsi"/>
        </w:rPr>
        <w:t xml:space="preserve"> a </w:t>
      </w:r>
      <w:r w:rsidR="00215222" w:rsidRPr="00215222">
        <w:rPr>
          <w:rFonts w:cstheme="minorHAnsi"/>
        </w:rPr>
        <w:t xml:space="preserve">protocol </w:t>
      </w:r>
      <w:r w:rsidR="00491EC4">
        <w:rPr>
          <w:rFonts w:cstheme="minorHAnsi"/>
        </w:rPr>
        <w:t xml:space="preserve">of </w:t>
      </w:r>
      <w:r w:rsidR="00215222" w:rsidRPr="00215222">
        <w:rPr>
          <w:rFonts w:cstheme="minorHAnsi"/>
        </w:rPr>
        <w:t>piroxicam</w:t>
      </w:r>
      <w:r w:rsidR="00491EC4">
        <w:rPr>
          <w:rFonts w:cstheme="minorHAnsi"/>
        </w:rPr>
        <w:t xml:space="preserve">-accelerated enterocolitis in </w:t>
      </w:r>
      <w:r w:rsidR="00215222" w:rsidRPr="00215222">
        <w:rPr>
          <w:rFonts w:cstheme="minorHAnsi"/>
        </w:rPr>
        <w:t>interleukin-10-knockout</w:t>
      </w:r>
      <w:r w:rsidR="00215222">
        <w:rPr>
          <w:rFonts w:cstheme="minorHAnsi"/>
        </w:rPr>
        <w:t xml:space="preserve"> mice</w:t>
      </w:r>
      <w:r w:rsidR="00491EC4">
        <w:rPr>
          <w:rFonts w:cstheme="minorHAnsi"/>
        </w:rPr>
        <w:t xml:space="preserve"> to study </w:t>
      </w:r>
      <w:r w:rsidR="00215222" w:rsidRPr="00215222">
        <w:rPr>
          <w:rFonts w:cstheme="minorHAnsi"/>
        </w:rPr>
        <w:t xml:space="preserve">metabolic alterations during intestinal inflammation. </w:t>
      </w:r>
      <w:r w:rsidR="00215222">
        <w:rPr>
          <w:rFonts w:cstheme="minorHAnsi"/>
        </w:rPr>
        <w:t xml:space="preserve"> </w:t>
      </w:r>
    </w:p>
    <w:p w14:paraId="5C27817F" w14:textId="77777777" w:rsidR="007B19B4" w:rsidRDefault="007B19B4" w:rsidP="007B19B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1D1794F" w14:textId="77777777" w:rsidR="007B19B4" w:rsidRPr="007B19B4" w:rsidRDefault="007B19B4" w:rsidP="007B19B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14ADE267" w:rsidR="00D75084" w:rsidRPr="007B19B4" w:rsidRDefault="0020505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Mihir Ranjan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A7072">
        <w:rPr>
          <w:rFonts w:eastAsia="Times New Roman" w:cstheme="minorHAnsi"/>
        </w:rPr>
        <w:t xml:space="preserve">This protocol </w:t>
      </w:r>
      <w:r w:rsidR="00DA7072" w:rsidRPr="00DA7072">
        <w:rPr>
          <w:rFonts w:cstheme="minorHAnsi"/>
        </w:rPr>
        <w:t>allows assessment of metabolic dysregulation in an</w:t>
      </w:r>
      <w:r w:rsidR="00DA7072">
        <w:rPr>
          <w:rFonts w:cstheme="minorHAnsi"/>
        </w:rPr>
        <w:t xml:space="preserve"> </w:t>
      </w:r>
      <w:r w:rsidR="003167A2">
        <w:rPr>
          <w:rFonts w:cstheme="minorHAnsi"/>
        </w:rPr>
        <w:t>efficient</w:t>
      </w:r>
      <w:r w:rsidR="00DA7072">
        <w:rPr>
          <w:rFonts w:cstheme="minorHAnsi"/>
        </w:rPr>
        <w:t xml:space="preserve"> and reproducible murine model of</w:t>
      </w:r>
      <w:r w:rsidR="00DA7072" w:rsidRPr="00DA7072">
        <w:rPr>
          <w:rFonts w:cstheme="minorHAnsi"/>
        </w:rPr>
        <w:t xml:space="preserve"> inflammatory bowel</w:t>
      </w:r>
      <w:r w:rsidR="00DA7072">
        <w:rPr>
          <w:rFonts w:cstheme="minorHAnsi"/>
        </w:rPr>
        <w:t xml:space="preserve"> disease.</w:t>
      </w:r>
    </w:p>
    <w:p w14:paraId="2527811A" w14:textId="77777777" w:rsidR="007B19B4" w:rsidRDefault="007B19B4" w:rsidP="007B19B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89C098F" w14:textId="77777777" w:rsidR="007B19B4" w:rsidRPr="00D75084" w:rsidRDefault="007B19B4" w:rsidP="007B19B4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5D215FDC" w:rsidR="00D75084" w:rsidRPr="007B19B4" w:rsidRDefault="0020505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Mihir Ranjan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6E1280">
        <w:rPr>
          <w:rFonts w:cstheme="minorHAnsi"/>
        </w:rPr>
        <w:t xml:space="preserve">Our protocol measures food intake and body weight to reflect whole-body metabolic alterations, along with clinical manifestations of enterocolitis. </w:t>
      </w:r>
    </w:p>
    <w:p w14:paraId="6F3E7F17" w14:textId="2C85C49F" w:rsidR="007B19B4" w:rsidRPr="007B19B4" w:rsidRDefault="007B19B4" w:rsidP="007B19B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84E017B" w14:textId="0D337FFF" w:rsidR="007D61A8" w:rsidRPr="00B07A3B" w:rsidRDefault="007D61A8" w:rsidP="007B19B4">
      <w:pPr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251389B3" w:rsidR="00333FA4" w:rsidRDefault="0020505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Mihir Ranjan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DF5F8A">
        <w:rPr>
          <w:rFonts w:eastAsia="Times New Roman" w:cstheme="minorHAnsi"/>
        </w:rPr>
        <w:t>Additionally, many</w:t>
      </w:r>
      <w:r w:rsidR="00510741">
        <w:rPr>
          <w:rFonts w:eastAsia="Times New Roman" w:cstheme="minorHAnsi"/>
        </w:rPr>
        <w:t xml:space="preserve"> other components of metabolic dysregulation</w:t>
      </w:r>
      <w:r w:rsidR="002C3A50">
        <w:rPr>
          <w:rFonts w:eastAsia="Times New Roman" w:cstheme="minorHAnsi"/>
        </w:rPr>
        <w:t xml:space="preserve"> can be studied</w:t>
      </w:r>
      <w:r w:rsidR="00510741">
        <w:rPr>
          <w:rFonts w:eastAsia="Times New Roman" w:cstheme="minorHAnsi"/>
        </w:rPr>
        <w:t>, such as energy expenditure and body composition.</w:t>
      </w:r>
    </w:p>
    <w:p w14:paraId="5BB1A4AF" w14:textId="11F12454" w:rsidR="007B19B4" w:rsidRPr="007B19B4" w:rsidRDefault="007B19B4" w:rsidP="007B19B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524AC04E" w14:textId="77777777" w:rsidR="007D61A8" w:rsidRDefault="007D61A8" w:rsidP="007D61A8">
      <w:pPr>
        <w:rPr>
          <w:rFonts w:eastAsia="Times New Roman" w:cstheme="minorHAnsi"/>
          <w:b/>
          <w:bCs/>
        </w:rPr>
      </w:pPr>
    </w:p>
    <w:p w14:paraId="22B5AFD2" w14:textId="77777777" w:rsidR="007B19B4" w:rsidRPr="00B07A3B" w:rsidRDefault="007B19B4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083872A4" w:rsidR="00333FA4" w:rsidRPr="007B19B4" w:rsidRDefault="0020505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Mihir Ranjan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2C3A50">
        <w:rPr>
          <w:rFonts w:eastAsia="Times New Roman" w:cstheme="minorHAnsi"/>
        </w:rPr>
        <w:t>Further studies may</w:t>
      </w:r>
      <w:r w:rsidR="00373146">
        <w:rPr>
          <w:rFonts w:eastAsia="Times New Roman" w:cstheme="minorHAnsi"/>
        </w:rPr>
        <w:t xml:space="preserve"> </w:t>
      </w:r>
      <w:r w:rsidR="002C3A50">
        <w:rPr>
          <w:rFonts w:cstheme="minorHAnsi"/>
        </w:rPr>
        <w:t>investigate</w:t>
      </w:r>
      <w:r w:rsidR="00373146" w:rsidRPr="00373146">
        <w:rPr>
          <w:rFonts w:cstheme="minorHAnsi"/>
        </w:rPr>
        <w:t xml:space="preserve"> </w:t>
      </w:r>
      <w:r w:rsidR="009579A4">
        <w:rPr>
          <w:rFonts w:cstheme="minorHAnsi"/>
        </w:rPr>
        <w:t xml:space="preserve">and reveal </w:t>
      </w:r>
      <w:r w:rsidR="00373146" w:rsidRPr="00373146">
        <w:rPr>
          <w:rFonts w:cstheme="minorHAnsi"/>
        </w:rPr>
        <w:t>broader connections between inflammatory bowel disease and host metabolism</w:t>
      </w:r>
      <w:r w:rsidR="006F3DF1">
        <w:rPr>
          <w:rFonts w:cstheme="minorHAnsi"/>
        </w:rPr>
        <w:t>.</w:t>
      </w:r>
    </w:p>
    <w:p w14:paraId="321E1D09" w14:textId="116E3363" w:rsidR="007B19B4" w:rsidRPr="007B19B4" w:rsidRDefault="007B19B4" w:rsidP="007B19B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7ACC284B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22730A" w:rsidRPr="00EA4258">
        <w:t>the University of Texas Southwestern Medical Center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0260278F" w:rsidR="00CE10F2" w:rsidRDefault="0064714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A4258">
        <w:rPr>
          <w:b/>
          <w:bCs/>
        </w:rPr>
        <w:t xml:space="preserve">Piroxicam-Accelerated Enterocolitis </w:t>
      </w:r>
      <w:r w:rsidRPr="00BA1948">
        <w:rPr>
          <w:b/>
          <w:bCs/>
        </w:rPr>
        <w:t>Model Establishment and Housing of IL-10 KO Mice</w:t>
      </w:r>
    </w:p>
    <w:p w14:paraId="314C5FBA" w14:textId="46CBB71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E6DFF">
        <w:rPr>
          <w:rFonts w:cstheme="minorHAnsi"/>
        </w:rPr>
        <w:t>Jianyi Yin</w:t>
      </w:r>
      <w:r w:rsidR="00FF25E5">
        <w:rPr>
          <w:rFonts w:cstheme="minorHAnsi"/>
        </w:rPr>
        <w:t xml:space="preserve"> </w:t>
      </w:r>
    </w:p>
    <w:p w14:paraId="5B94155B" w14:textId="7FBEE4F1" w:rsidR="00985FE6" w:rsidRPr="00B07A3B" w:rsidRDefault="00BD5D8F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 w:rsidRPr="00BD5D8F">
        <w:rPr>
          <w:rFonts w:eastAsia="Times New Roman" w:cstheme="minorHAnsi"/>
          <w:b/>
          <w:bCs/>
          <w:color w:val="000000"/>
          <w:highlight w:val="yellow"/>
        </w:rPr>
        <w:t>Authors:</w:t>
      </w:r>
      <w:r w:rsidRPr="00BD5D8F">
        <w:rPr>
          <w:rFonts w:eastAsia="Times New Roman" w:cstheme="minorHAnsi"/>
          <w:color w:val="000000"/>
          <w:highlight w:val="yellow"/>
        </w:rPr>
        <w:t xml:space="preserve"> </w:t>
      </w:r>
      <w:r>
        <w:rPr>
          <w:rFonts w:eastAsia="Times New Roman" w:cstheme="minorHAnsi"/>
          <w:color w:val="000000"/>
          <w:highlight w:val="yellow"/>
        </w:rPr>
        <w:t>We have retained all the shots as such. If filming by the videographer</w:t>
      </w:r>
      <w:r w:rsidR="0016772F">
        <w:rPr>
          <w:rFonts w:eastAsia="Times New Roman" w:cstheme="minorHAnsi"/>
          <w:color w:val="000000"/>
          <w:highlight w:val="yellow"/>
        </w:rPr>
        <w:t xml:space="preserve"> for the shots mentioned below is not feasible, kindly self-film </w:t>
      </w:r>
      <w:r w:rsidRPr="00BD5D8F">
        <w:rPr>
          <w:rFonts w:eastAsia="Times New Roman" w:cstheme="minorHAnsi"/>
          <w:color w:val="000000"/>
          <w:highlight w:val="yellow"/>
        </w:rPr>
        <w:t xml:space="preserve">shots 2.1.1, 2.2.1, 2.2.2, 2.2.3, 2.3.1, 2.3.2, 3.1.1, 3.1.2, and 3.3.4, as </w:t>
      </w:r>
      <w:r w:rsidR="0016772F">
        <w:rPr>
          <w:rFonts w:eastAsia="Times New Roman" w:cstheme="minorHAnsi"/>
          <w:color w:val="000000"/>
          <w:highlight w:val="yellow"/>
        </w:rPr>
        <w:t>per the shared guidelines</w:t>
      </w:r>
      <w:r w:rsidRPr="00BD5D8F">
        <w:rPr>
          <w:rFonts w:eastAsia="Times New Roman" w:cstheme="minorHAnsi"/>
          <w:color w:val="000000"/>
          <w:highlight w:val="yellow"/>
        </w:rPr>
        <w:t>.</w:t>
      </w:r>
    </w:p>
    <w:p w14:paraId="6AE46766" w14:textId="3FDADBE4" w:rsidR="00647140" w:rsidRPr="004F68FD" w:rsidRDefault="00647140" w:rsidP="00647140">
      <w:pPr>
        <w:pStyle w:val="Narration"/>
        <w:numPr>
          <w:ilvl w:val="1"/>
          <w:numId w:val="3"/>
        </w:numPr>
      </w:pPr>
      <w:r w:rsidRPr="004F68FD">
        <w:t>To begin, maintain the interleukin-10</w:t>
      </w:r>
      <w:r>
        <w:t xml:space="preserve">, or IL-10 </w:t>
      </w:r>
      <w:r w:rsidRPr="004F68FD">
        <w:rPr>
          <w:i/>
          <w:iCs/>
          <w:color w:val="EE0000"/>
        </w:rPr>
        <w:t>(I-L-ten)</w:t>
      </w:r>
      <w:r w:rsidRPr="004F68FD">
        <w:t xml:space="preserve"> knockout mice in a specific pathogen-free facility on a 12-hour light cycle with </w:t>
      </w:r>
      <w:r w:rsidRPr="004F68FD">
        <w:rPr>
          <w:i/>
          <w:iCs/>
        </w:rPr>
        <w:t>ad libitum</w:t>
      </w:r>
      <w:r w:rsidRPr="004F68FD">
        <w:t xml:space="preserve"> access to chow and water </w:t>
      </w:r>
      <w:r w:rsidRPr="004F68FD">
        <w:rPr>
          <w:b/>
          <w:bCs/>
        </w:rPr>
        <w:t>[1]</w:t>
      </w:r>
      <w:r w:rsidRPr="004F68FD">
        <w:t>.</w:t>
      </w:r>
    </w:p>
    <w:p w14:paraId="575F9ADC" w14:textId="31E6FC60" w:rsidR="00647140" w:rsidRPr="0016772F" w:rsidRDefault="00647140" w:rsidP="00647140">
      <w:pPr>
        <w:pStyle w:val="ShotDescription"/>
        <w:numPr>
          <w:ilvl w:val="2"/>
          <w:numId w:val="3"/>
        </w:numPr>
        <w:rPr>
          <w:lang w:val="en-IN"/>
        </w:rPr>
      </w:pPr>
      <w:r w:rsidRPr="0016772F">
        <w:rPr>
          <w:lang w:val="en-IN"/>
        </w:rPr>
        <w:t xml:space="preserve">WIDE: Talent checking the interleukin-10 knockout mice housed in the specific pathogen-free facility. </w:t>
      </w:r>
      <w:r w:rsidRPr="0016772F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16772F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09C4BC92" w14:textId="77777777" w:rsidR="00647140" w:rsidRPr="0016772F" w:rsidRDefault="00647140" w:rsidP="00647140">
      <w:pPr>
        <w:pStyle w:val="Narration"/>
        <w:numPr>
          <w:ilvl w:val="1"/>
          <w:numId w:val="3"/>
        </w:numPr>
      </w:pPr>
      <w:r w:rsidRPr="0016772F">
        <w:t xml:space="preserve">Individually house the 7 to 8-week-old, age and sex-matched mice in microisolator cages </w:t>
      </w:r>
      <w:r w:rsidRPr="0016772F">
        <w:rPr>
          <w:b/>
          <w:bCs/>
        </w:rPr>
        <w:t>[1]</w:t>
      </w:r>
      <w:r w:rsidRPr="0016772F">
        <w:t xml:space="preserve">. Allow the mice to acclimate to single housing </w:t>
      </w:r>
      <w:r w:rsidRPr="0016772F">
        <w:rPr>
          <w:b/>
          <w:bCs/>
        </w:rPr>
        <w:t xml:space="preserve">[2] </w:t>
      </w:r>
      <w:r w:rsidRPr="0016772F">
        <w:t xml:space="preserve">and daily handling for at least 1 week before starting the experiment </w:t>
      </w:r>
      <w:r w:rsidRPr="0016772F">
        <w:rPr>
          <w:b/>
          <w:bCs/>
        </w:rPr>
        <w:t>[3]</w:t>
      </w:r>
      <w:r w:rsidRPr="0016772F">
        <w:t>.</w:t>
      </w:r>
    </w:p>
    <w:p w14:paraId="5B82EDED" w14:textId="77777777" w:rsidR="00647140" w:rsidRPr="0016772F" w:rsidRDefault="00647140" w:rsidP="00647140">
      <w:pPr>
        <w:pStyle w:val="ShotDescription"/>
        <w:numPr>
          <w:ilvl w:val="2"/>
          <w:numId w:val="3"/>
        </w:numPr>
        <w:rPr>
          <w:lang w:val="en-IN"/>
        </w:rPr>
      </w:pPr>
      <w:r w:rsidRPr="0016772F">
        <w:rPr>
          <w:lang w:val="en-IN"/>
        </w:rPr>
        <w:t>Talent placing each mouse into an individual microisolator cage.</w:t>
      </w:r>
    </w:p>
    <w:p w14:paraId="48EE827A" w14:textId="77777777" w:rsidR="00647140" w:rsidRPr="0016772F" w:rsidRDefault="00647140" w:rsidP="00647140">
      <w:pPr>
        <w:pStyle w:val="ShotDescription"/>
        <w:numPr>
          <w:ilvl w:val="2"/>
          <w:numId w:val="3"/>
        </w:numPr>
        <w:rPr>
          <w:lang w:val="en-IN"/>
        </w:rPr>
      </w:pPr>
      <w:r w:rsidRPr="0016772F">
        <w:rPr>
          <w:lang w:val="en-IN"/>
        </w:rPr>
        <w:t>Shot of the mouse in its individual cage.</w:t>
      </w:r>
    </w:p>
    <w:p w14:paraId="011052F3" w14:textId="77777777" w:rsidR="00647140" w:rsidRPr="0016772F" w:rsidRDefault="00647140" w:rsidP="00647140">
      <w:pPr>
        <w:pStyle w:val="ShotDescription"/>
        <w:numPr>
          <w:ilvl w:val="2"/>
          <w:numId w:val="3"/>
        </w:numPr>
        <w:rPr>
          <w:lang w:val="en-IN"/>
        </w:rPr>
      </w:pPr>
      <w:r w:rsidRPr="0016772F">
        <w:rPr>
          <w:lang w:val="en-IN"/>
        </w:rPr>
        <w:t>Talent handling a mouse during the acclimation period.</w:t>
      </w:r>
    </w:p>
    <w:p w14:paraId="6A4AD279" w14:textId="5CBBA090" w:rsidR="00647140" w:rsidRPr="0016772F" w:rsidRDefault="00647140" w:rsidP="00BE0C9E">
      <w:pPr>
        <w:pStyle w:val="Narration"/>
        <w:numPr>
          <w:ilvl w:val="1"/>
          <w:numId w:val="3"/>
        </w:numPr>
        <w:rPr>
          <w:lang w:val="en-IN"/>
        </w:rPr>
      </w:pPr>
      <w:r w:rsidRPr="0016772F">
        <w:t xml:space="preserve">Assign at least 5 mice per sex to each of the experimental group </w:t>
      </w:r>
      <w:r w:rsidRPr="0016772F">
        <w:rPr>
          <w:b/>
          <w:bCs/>
        </w:rPr>
        <w:t>[1]</w:t>
      </w:r>
      <w:r w:rsidRPr="0016772F">
        <w:t xml:space="preserve"> and the control group </w:t>
      </w:r>
      <w:r w:rsidRPr="0016772F">
        <w:rPr>
          <w:b/>
          <w:bCs/>
        </w:rPr>
        <w:t>[2]</w:t>
      </w:r>
      <w:r w:rsidRPr="0016772F">
        <w:t xml:space="preserve">. </w:t>
      </w:r>
      <w:r w:rsidR="00BE0C9E" w:rsidRPr="0016772F">
        <w:rPr>
          <w:lang w:val="en-IN"/>
        </w:rPr>
        <w:t xml:space="preserve">For the experimental group, replace the standard chow with piroxicam-fortified chow at 200 parts per million, or ppm </w:t>
      </w:r>
      <w:r w:rsidR="00BE0C9E" w:rsidRPr="0016772F">
        <w:rPr>
          <w:i/>
          <w:iCs/>
          <w:color w:val="EE0000"/>
          <w:lang w:val="en-IN"/>
        </w:rPr>
        <w:t>(P-P-M)</w:t>
      </w:r>
      <w:r w:rsidR="00BE0C9E" w:rsidRPr="0016772F">
        <w:rPr>
          <w:lang w:val="en-IN"/>
        </w:rPr>
        <w:t xml:space="preserve"> </w:t>
      </w:r>
      <w:r w:rsidR="00BE0C9E" w:rsidRPr="0016772F">
        <w:rPr>
          <w:b/>
          <w:bCs/>
          <w:lang w:val="en-IN"/>
        </w:rPr>
        <w:t>[3]</w:t>
      </w:r>
      <w:r w:rsidR="00BE0C9E" w:rsidRPr="0016772F">
        <w:rPr>
          <w:lang w:val="en-IN"/>
        </w:rPr>
        <w:t>. Provide fresh</w:t>
      </w:r>
      <w:r w:rsidR="00BE0C9E" w:rsidRPr="0016772F">
        <w:rPr>
          <w:lang w:val="en-IN"/>
        </w:rPr>
        <w:t xml:space="preserve"> </w:t>
      </w:r>
      <w:r w:rsidR="00BE0C9E" w:rsidRPr="0016772F">
        <w:rPr>
          <w:lang w:val="en-IN"/>
        </w:rPr>
        <w:t xml:space="preserve">standard chow for the control group </w:t>
      </w:r>
      <w:r w:rsidR="00BE0C9E" w:rsidRPr="0016772F">
        <w:rPr>
          <w:b/>
          <w:bCs/>
          <w:lang w:val="en-IN"/>
        </w:rPr>
        <w:t>[4]</w:t>
      </w:r>
      <w:r w:rsidR="00BE0C9E" w:rsidRPr="0016772F">
        <w:rPr>
          <w:lang w:val="en-IN"/>
        </w:rPr>
        <w:t xml:space="preserve">. In both groups, add 50 grams of chow to each cage hopper </w:t>
      </w:r>
      <w:r w:rsidR="00BE0C9E" w:rsidRPr="0016772F">
        <w:rPr>
          <w:b/>
          <w:bCs/>
          <w:lang w:val="en-IN"/>
        </w:rPr>
        <w:t>[5]</w:t>
      </w:r>
      <w:r w:rsidR="00BE0C9E" w:rsidRPr="0016772F">
        <w:rPr>
          <w:lang w:val="en-IN"/>
        </w:rPr>
        <w:t>.</w:t>
      </w:r>
    </w:p>
    <w:p w14:paraId="53794D84" w14:textId="77777777" w:rsidR="00647140" w:rsidRPr="0016772F" w:rsidRDefault="00647140" w:rsidP="00647140">
      <w:pPr>
        <w:pStyle w:val="ShotDescription"/>
        <w:numPr>
          <w:ilvl w:val="2"/>
          <w:numId w:val="3"/>
        </w:numPr>
        <w:rPr>
          <w:lang w:val="en-IN"/>
        </w:rPr>
      </w:pPr>
      <w:r w:rsidRPr="0016772F">
        <w:rPr>
          <w:lang w:val="en-IN"/>
        </w:rPr>
        <w:t>Talent assigning mice to the experimental group.</w:t>
      </w:r>
    </w:p>
    <w:p w14:paraId="6F9F92EC" w14:textId="77777777" w:rsidR="00647140" w:rsidRPr="0016772F" w:rsidRDefault="00647140" w:rsidP="00647140">
      <w:pPr>
        <w:pStyle w:val="ShotDescription"/>
        <w:numPr>
          <w:ilvl w:val="2"/>
          <w:numId w:val="3"/>
        </w:numPr>
        <w:rPr>
          <w:lang w:val="en-IN"/>
        </w:rPr>
      </w:pPr>
      <w:r w:rsidRPr="0016772F">
        <w:rPr>
          <w:lang w:val="en-IN"/>
        </w:rPr>
        <w:t>Talent assigning to the control group.</w:t>
      </w:r>
    </w:p>
    <w:p w14:paraId="57D45CFF" w14:textId="45E285C7" w:rsidR="00647140" w:rsidRDefault="00647140" w:rsidP="0064714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t>Talent placing the piroxicam-fortified chow into the cage hopper for the experimental group.</w:t>
      </w:r>
      <w:r w:rsidR="009B1778">
        <w:rPr>
          <w:lang w:val="en-IN"/>
        </w:rPr>
        <w:t xml:space="preserve"> </w:t>
      </w:r>
    </w:p>
    <w:p w14:paraId="090086D2" w14:textId="77777777" w:rsidR="00647140" w:rsidRDefault="00647140" w:rsidP="0064714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t>Talent placing the fresh standard chow into the cage hopper for the control group.</w:t>
      </w:r>
    </w:p>
    <w:p w14:paraId="24C6B477" w14:textId="7440D424" w:rsidR="00125924" w:rsidRPr="00B07A3B" w:rsidRDefault="00647140" w:rsidP="006471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F68FD">
        <w:rPr>
          <w:lang w:val="en-IN"/>
        </w:rPr>
        <w:t>Talent adding 50 grams of chow to each cage hopper.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A5241BC" w:rsidR="000F326F" w:rsidRDefault="00B92ED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17EE4">
        <w:rPr>
          <w:b/>
          <w:bCs/>
          <w:lang w:val="en-IN"/>
        </w:rPr>
        <w:t>Monitoring the Body Weights and Feeding</w:t>
      </w:r>
      <w:r>
        <w:rPr>
          <w:b/>
          <w:bCs/>
          <w:lang w:val="en-IN"/>
        </w:rPr>
        <w:t xml:space="preserve"> </w:t>
      </w:r>
      <w:proofErr w:type="spellStart"/>
      <w:r>
        <w:rPr>
          <w:b/>
          <w:bCs/>
          <w:lang w:val="en-IN"/>
        </w:rPr>
        <w:t>Behavior</w:t>
      </w:r>
      <w:proofErr w:type="spellEnd"/>
      <w:r w:rsidRPr="00017EE4">
        <w:rPr>
          <w:b/>
          <w:bCs/>
          <w:lang w:val="en-IN"/>
        </w:rPr>
        <w:t xml:space="preserve"> </w:t>
      </w:r>
      <w:r>
        <w:rPr>
          <w:b/>
          <w:bCs/>
          <w:lang w:val="en-IN"/>
        </w:rPr>
        <w:t>of Experimental and Control Groups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87E99B4" w14:textId="0B1EC120" w:rsidR="00B92ED0" w:rsidRPr="004F68FD" w:rsidRDefault="00B92ED0" w:rsidP="00B92ED0">
      <w:pPr>
        <w:pStyle w:val="Narration"/>
        <w:numPr>
          <w:ilvl w:val="1"/>
          <w:numId w:val="3"/>
        </w:numPr>
      </w:pPr>
      <w:r w:rsidRPr="004F68FD">
        <w:lastRenderedPageBreak/>
        <w:t>Us</w:t>
      </w:r>
      <w:r>
        <w:t>e</w:t>
      </w:r>
      <w:r w:rsidRPr="004F68FD">
        <w:t xml:space="preserve"> an analytical scale</w:t>
      </w:r>
      <w:r>
        <w:t xml:space="preserve"> to</w:t>
      </w:r>
      <w:r w:rsidRPr="004F68FD">
        <w:t xml:space="preserve"> record the body weight of each mouse at the same time each day for 7 consecutive days </w:t>
      </w:r>
      <w:r w:rsidRPr="004F68FD">
        <w:rPr>
          <w:b/>
          <w:bCs/>
        </w:rPr>
        <w:t>[</w:t>
      </w:r>
      <w:r>
        <w:rPr>
          <w:b/>
          <w:bCs/>
        </w:rPr>
        <w:t>1</w:t>
      </w:r>
      <w:r w:rsidRPr="004F68FD">
        <w:rPr>
          <w:b/>
          <w:bCs/>
        </w:rPr>
        <w:t>]</w:t>
      </w:r>
      <w:r w:rsidRPr="004F68FD">
        <w:t xml:space="preserve">. Report the daily body weight as a percentage of the baseline weight on day 0, with the baseline set </w:t>
      </w:r>
      <w:r>
        <w:t>to 100%</w:t>
      </w:r>
      <w:r w:rsidRPr="004F68FD">
        <w:t xml:space="preserve"> </w:t>
      </w:r>
      <w:r w:rsidRPr="004F68FD">
        <w:rPr>
          <w:b/>
          <w:bCs/>
        </w:rPr>
        <w:t>[</w:t>
      </w:r>
      <w:r>
        <w:rPr>
          <w:b/>
          <w:bCs/>
        </w:rPr>
        <w:t>2</w:t>
      </w:r>
      <w:r w:rsidRPr="004F68FD">
        <w:rPr>
          <w:b/>
          <w:bCs/>
        </w:rPr>
        <w:t>]</w:t>
      </w:r>
      <w:r w:rsidRPr="004F68FD">
        <w:t>.</w:t>
      </w:r>
    </w:p>
    <w:p w14:paraId="0BDB7BB7" w14:textId="77777777" w:rsidR="00B92ED0" w:rsidRPr="0016772F" w:rsidRDefault="00B92ED0" w:rsidP="00B92ED0">
      <w:pPr>
        <w:pStyle w:val="ShotDescription"/>
        <w:numPr>
          <w:ilvl w:val="2"/>
          <w:numId w:val="3"/>
        </w:numPr>
        <w:rPr>
          <w:lang w:val="en-IN"/>
        </w:rPr>
      </w:pPr>
      <w:r w:rsidRPr="0016772F">
        <w:rPr>
          <w:lang w:val="en-IN"/>
        </w:rPr>
        <w:t>Talent weighing an individual mouse on an analytical scale.</w:t>
      </w:r>
    </w:p>
    <w:p w14:paraId="7E25CF7A" w14:textId="77777777" w:rsidR="00B92ED0" w:rsidRPr="0016772F" w:rsidRDefault="00B92ED0" w:rsidP="00B92ED0">
      <w:pPr>
        <w:pStyle w:val="ShotDescription"/>
        <w:numPr>
          <w:ilvl w:val="2"/>
          <w:numId w:val="3"/>
        </w:numPr>
        <w:rPr>
          <w:lang w:val="en-IN"/>
        </w:rPr>
      </w:pPr>
      <w:r w:rsidRPr="0016772F">
        <w:rPr>
          <w:lang w:val="en-IN"/>
        </w:rPr>
        <w:t>Talent recording the daily body weight as a percentage of the baseline weight.</w:t>
      </w:r>
    </w:p>
    <w:p w14:paraId="0B957DC6" w14:textId="77777777" w:rsidR="00B92ED0" w:rsidRPr="004F68FD" w:rsidRDefault="00B92ED0" w:rsidP="00B92ED0">
      <w:pPr>
        <w:pStyle w:val="Narration"/>
        <w:numPr>
          <w:ilvl w:val="1"/>
          <w:numId w:val="3"/>
        </w:numPr>
      </w:pPr>
      <w:r w:rsidRPr="004F68FD">
        <w:t>Us</w:t>
      </w:r>
      <w:r>
        <w:t>e</w:t>
      </w:r>
      <w:r w:rsidRPr="004F68FD">
        <w:t xml:space="preserve"> an analytical scale</w:t>
      </w:r>
      <w:r>
        <w:t xml:space="preserve"> to</w:t>
      </w:r>
      <w:r w:rsidRPr="004F68FD">
        <w:t xml:space="preserve"> record the initial weight of the piroxicam-fortified chow </w:t>
      </w:r>
      <w:r w:rsidRPr="004F68FD">
        <w:rPr>
          <w:b/>
          <w:bCs/>
        </w:rPr>
        <w:t>[1]</w:t>
      </w:r>
      <w:r>
        <w:rPr>
          <w:b/>
          <w:bCs/>
        </w:rPr>
        <w:t xml:space="preserve"> </w:t>
      </w:r>
      <w:r w:rsidRPr="004F68FD">
        <w:t xml:space="preserve">and the standard chow in each cage </w:t>
      </w:r>
      <w:r w:rsidRPr="004F68FD">
        <w:rPr>
          <w:b/>
          <w:bCs/>
        </w:rPr>
        <w:t>[</w:t>
      </w:r>
      <w:r>
        <w:rPr>
          <w:b/>
          <w:bCs/>
        </w:rPr>
        <w:t>2</w:t>
      </w:r>
      <w:r w:rsidRPr="004F68FD">
        <w:rPr>
          <w:b/>
          <w:bCs/>
        </w:rPr>
        <w:t>]</w:t>
      </w:r>
      <w:r w:rsidRPr="004F68FD">
        <w:t xml:space="preserve">. Then, measure the remaining chow in each cage hopper at the same time each day for 7 consecutive days </w:t>
      </w:r>
      <w:r w:rsidRPr="004F68FD">
        <w:rPr>
          <w:b/>
          <w:bCs/>
        </w:rPr>
        <w:t>[</w:t>
      </w:r>
      <w:r>
        <w:rPr>
          <w:b/>
          <w:bCs/>
        </w:rPr>
        <w:t>3</w:t>
      </w:r>
      <w:r w:rsidRPr="004F68FD">
        <w:rPr>
          <w:b/>
          <w:bCs/>
        </w:rPr>
        <w:t>]</w:t>
      </w:r>
      <w:r w:rsidRPr="004F68FD">
        <w:t xml:space="preserve">. Calculate the daily chow consumption by subtracting the daily chow weight from the remaining chow weight recorded on the previous day </w:t>
      </w:r>
      <w:r w:rsidRPr="004F68FD">
        <w:rPr>
          <w:b/>
          <w:bCs/>
        </w:rPr>
        <w:t>[</w:t>
      </w:r>
      <w:r>
        <w:rPr>
          <w:b/>
          <w:bCs/>
        </w:rPr>
        <w:t>4</w:t>
      </w:r>
      <w:r w:rsidRPr="004F68FD">
        <w:rPr>
          <w:b/>
          <w:bCs/>
        </w:rPr>
        <w:t>]</w:t>
      </w:r>
      <w:r w:rsidRPr="004F68FD">
        <w:t>.</w:t>
      </w:r>
    </w:p>
    <w:p w14:paraId="0106D18D" w14:textId="77777777" w:rsidR="00B92ED0" w:rsidRDefault="00B92ED0" w:rsidP="00B92ED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t>Talent weighing the piroxicam-fortified chow on an analytical scale.</w:t>
      </w:r>
    </w:p>
    <w:p w14:paraId="7DA1BFAC" w14:textId="77777777" w:rsidR="00B92ED0" w:rsidRDefault="00B92ED0" w:rsidP="00B92ED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t>Talent weighing the standard chow on an analytical scale</w:t>
      </w:r>
      <w:r>
        <w:rPr>
          <w:lang w:val="en-IN"/>
        </w:rPr>
        <w:t>.</w:t>
      </w:r>
    </w:p>
    <w:p w14:paraId="41432531" w14:textId="77777777" w:rsidR="00B92ED0" w:rsidRDefault="00B92ED0" w:rsidP="00B92ED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t>Talent measuring the remaining chow in a cage hopper.</w:t>
      </w:r>
    </w:p>
    <w:p w14:paraId="47F6A9FC" w14:textId="77777777" w:rsidR="00B92ED0" w:rsidRDefault="00B92ED0" w:rsidP="00B92ED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t>Talent calculating the daily chow consumption from the recorded chow weights.</w:t>
      </w:r>
    </w:p>
    <w:p w14:paraId="5CE3F293" w14:textId="5DD1B22A" w:rsidR="00B92ED0" w:rsidRPr="0012043E" w:rsidRDefault="00B92ED0" w:rsidP="00B92ED0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12043E">
        <w:rPr>
          <w:color w:val="7030A0"/>
          <w:lang w:val="en-IN"/>
        </w:rPr>
        <w:t xml:space="preserve">Routinely check the amount of chow and refill if it is below 10 grams </w:t>
      </w:r>
      <w:r w:rsidRPr="00F03C0B">
        <w:rPr>
          <w:b/>
          <w:bCs/>
          <w:color w:val="7030A0"/>
          <w:lang w:val="en-IN"/>
        </w:rPr>
        <w:t>[1]</w:t>
      </w:r>
      <w:r w:rsidRPr="0012043E">
        <w:rPr>
          <w:color w:val="7030A0"/>
          <w:lang w:val="en-IN"/>
        </w:rPr>
        <w:t xml:space="preserve">. On experimental days 0 and 7, check the animal's body weight, stool consistency, bleeding, and rectal prolapse </w:t>
      </w:r>
      <w:r w:rsidRPr="00F03C0B">
        <w:rPr>
          <w:b/>
          <w:bCs/>
          <w:color w:val="7030A0"/>
          <w:lang w:val="en-IN"/>
        </w:rPr>
        <w:t>[2]</w:t>
      </w:r>
      <w:r w:rsidRPr="0012043E">
        <w:rPr>
          <w:color w:val="7030A0"/>
          <w:lang w:val="en-IN"/>
        </w:rPr>
        <w:t xml:space="preserve"> to determine the disease activity scores </w:t>
      </w:r>
      <w:r w:rsidRPr="00F03C0B">
        <w:rPr>
          <w:b/>
          <w:bCs/>
          <w:color w:val="7030A0"/>
          <w:lang w:val="en-IN"/>
        </w:rPr>
        <w:t>[3]</w:t>
      </w:r>
      <w:r w:rsidRPr="0012043E">
        <w:rPr>
          <w:color w:val="7030A0"/>
          <w:lang w:val="en-IN"/>
        </w:rPr>
        <w:t xml:space="preserve">. Perform RNA extraction, histological analysis, and immunofluorescent staining from the harvested colon tissue to identify the effect of </w:t>
      </w:r>
      <w:r w:rsidRPr="0012043E">
        <w:rPr>
          <w:color w:val="7030A0"/>
        </w:rPr>
        <w:t xml:space="preserve">piroxicam-fortified diet in the development of enterocolitis </w:t>
      </w:r>
      <w:r w:rsidRPr="00F03C0B">
        <w:rPr>
          <w:b/>
          <w:bCs/>
          <w:color w:val="7030A0"/>
        </w:rPr>
        <w:t>[4]</w:t>
      </w:r>
      <w:r w:rsidRPr="0012043E">
        <w:rPr>
          <w:color w:val="7030A0"/>
        </w:rPr>
        <w:t xml:space="preserve">. </w:t>
      </w:r>
    </w:p>
    <w:p w14:paraId="2FDDDCED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refilling the hopper with less than 10 g chow. </w:t>
      </w:r>
    </w:p>
    <w:p w14:paraId="6D713CAC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visually inspecting the mouse </w:t>
      </w:r>
      <w:proofErr w:type="spellStart"/>
      <w:r>
        <w:rPr>
          <w:lang w:val="en-IN"/>
        </w:rPr>
        <w:t>fecal</w:t>
      </w:r>
      <w:proofErr w:type="spellEnd"/>
      <w:r>
        <w:rPr>
          <w:lang w:val="en-IN"/>
        </w:rPr>
        <w:t xml:space="preserve"> pellets. </w:t>
      </w:r>
    </w:p>
    <w:p w14:paraId="2C3184C0" w14:textId="77777777" w:rsidR="00B92ED0" w:rsidRPr="00507659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 w:rsidRPr="00507659">
        <w:rPr>
          <w:lang w:val="en-IN"/>
        </w:rPr>
        <w:t>LAB MEDIA: Table 1</w:t>
      </w:r>
    </w:p>
    <w:p w14:paraId="516A83FD" w14:textId="7055D34C" w:rsidR="00BE0C9E" w:rsidRPr="00507659" w:rsidRDefault="00B92ED0" w:rsidP="0050765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sz w:val="52"/>
        </w:rPr>
      </w:pPr>
      <w:r w:rsidRPr="00507659">
        <w:rPr>
          <w:lang w:val="en-IN"/>
        </w:rPr>
        <w:t>Representative shot of talent performing histological analysis of harvested colon</w:t>
      </w:r>
      <w:r w:rsidR="00BE0C9E" w:rsidRPr="00507659">
        <w:rPr>
          <w:lang w:val="en-IN"/>
        </w:rPr>
        <w:t>.</w:t>
      </w:r>
      <w:r w:rsidR="006B77F0" w:rsidRPr="00507659">
        <w:rPr>
          <w:lang w:val="en-IN"/>
        </w:rPr>
        <w:t xml:space="preserve"> </w:t>
      </w:r>
      <w:r w:rsidR="006B77F0" w:rsidRPr="00507659">
        <w:rPr>
          <w:highlight w:val="yellow"/>
          <w:lang w:val="en-IN"/>
        </w:rPr>
        <w:t>(</w:t>
      </w:r>
      <w:r w:rsidR="006B77F0" w:rsidRPr="00507659">
        <w:rPr>
          <w:b/>
          <w:bCs/>
          <w:highlight w:val="yellow"/>
          <w:lang w:val="en-IN"/>
        </w:rPr>
        <w:t>Authors:</w:t>
      </w:r>
      <w:r w:rsidR="006B77F0" w:rsidRPr="00507659">
        <w:rPr>
          <w:highlight w:val="yellow"/>
          <w:lang w:val="en-IN"/>
        </w:rPr>
        <w:t xml:space="preserve"> </w:t>
      </w:r>
      <w:r w:rsidR="00505E12" w:rsidRPr="00507659">
        <w:rPr>
          <w:highlight w:val="yellow"/>
        </w:rPr>
        <w:t xml:space="preserve">We only require a single representative shot of a simple step from the histological analysis, rather than the entire protocol. If </w:t>
      </w:r>
      <w:r w:rsidR="00505E12" w:rsidRPr="00507659">
        <w:rPr>
          <w:highlight w:val="yellow"/>
        </w:rPr>
        <w:t>histology filming is not possible, a representative step from</w:t>
      </w:r>
      <w:r w:rsidR="00505E12" w:rsidRPr="00507659">
        <w:rPr>
          <w:highlight w:val="yellow"/>
        </w:rPr>
        <w:t xml:space="preserve"> either RNA extraction or immunofluorescent staining works perfectly. Please let us know after the </w:t>
      </w:r>
      <w:r w:rsidR="00505E12" w:rsidRPr="00507659">
        <w:rPr>
          <w:highlight w:val="yellow"/>
        </w:rPr>
        <w:t>filming which</w:t>
      </w:r>
      <w:r w:rsidR="00505E12" w:rsidRPr="00507659">
        <w:rPr>
          <w:highlight w:val="yellow"/>
        </w:rPr>
        <w:t xml:space="preserve"> option </w:t>
      </w:r>
      <w:r w:rsidR="00505E12" w:rsidRPr="00507659">
        <w:rPr>
          <w:highlight w:val="yellow"/>
        </w:rPr>
        <w:t>wa</w:t>
      </w:r>
      <w:r w:rsidR="00505E12" w:rsidRPr="00507659">
        <w:rPr>
          <w:highlight w:val="yellow"/>
        </w:rPr>
        <w:t>s most feasible for your team so we can adjust the script narration accordingly.</w:t>
      </w:r>
      <w:r w:rsidR="00505E12" w:rsidRPr="00507659">
        <w:rPr>
          <w:highlight w:val="yellow"/>
          <w:lang w:val="en-IN"/>
        </w:rPr>
        <w:t>)</w:t>
      </w:r>
      <w:r w:rsidR="00505E12" w:rsidRPr="00507659">
        <w:rPr>
          <w:lang w:val="en-IN"/>
        </w:rPr>
        <w:t xml:space="preserve"> </w:t>
      </w:r>
    </w:p>
    <w:p w14:paraId="04800B39" w14:textId="77777777" w:rsidR="00BE0C9E" w:rsidRDefault="00BE0C9E">
      <w:pPr>
        <w:rPr>
          <w:rFonts w:cstheme="minorHAnsi"/>
        </w:rPr>
      </w:pPr>
    </w:p>
    <w:p w14:paraId="42CE471E" w14:textId="77777777" w:rsidR="00BE0C9E" w:rsidRDefault="00BE0C9E">
      <w:pPr>
        <w:rPr>
          <w:rFonts w:cstheme="minorHAnsi"/>
        </w:rPr>
      </w:pPr>
    </w:p>
    <w:p w14:paraId="3CE68450" w14:textId="77777777" w:rsidR="00BE0C9E" w:rsidRDefault="00BE0C9E">
      <w:pPr>
        <w:rPr>
          <w:rFonts w:cstheme="minorHAnsi"/>
        </w:rPr>
      </w:pPr>
    </w:p>
    <w:p w14:paraId="1EA75A63" w14:textId="77777777" w:rsidR="00BE0C9E" w:rsidRDefault="00BE0C9E">
      <w:pPr>
        <w:rPr>
          <w:rFonts w:cstheme="minorHAnsi"/>
        </w:rPr>
      </w:pPr>
    </w:p>
    <w:p w14:paraId="51011C10" w14:textId="77777777" w:rsidR="00BE0C9E" w:rsidRDefault="00BE0C9E">
      <w:pPr>
        <w:rPr>
          <w:rFonts w:cstheme="minorHAnsi"/>
        </w:rPr>
      </w:pPr>
    </w:p>
    <w:p w14:paraId="2913B395" w14:textId="329E84FA" w:rsidR="00BE0C9E" w:rsidRDefault="00BE0C9E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7A4F1842" w14:textId="68655678" w:rsidR="00495959" w:rsidRPr="00B07A3B" w:rsidRDefault="00495959" w:rsidP="00355A00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8A9CDEA" w14:textId="352CB908" w:rsidR="00B92ED0" w:rsidRPr="003B4151" w:rsidRDefault="00B92ED0" w:rsidP="00B92ED0">
      <w:pPr>
        <w:pStyle w:val="TemplateNarration"/>
        <w:numPr>
          <w:ilvl w:val="1"/>
          <w:numId w:val="3"/>
        </w:numPr>
        <w:rPr>
          <w:lang w:val="en-IN"/>
        </w:rPr>
      </w:pPr>
      <w:r w:rsidRPr="00A6119C">
        <w:rPr>
          <w:color w:val="7030A0"/>
          <w:lang w:val="en-IN"/>
        </w:rPr>
        <w:t xml:space="preserve">Exposure of </w:t>
      </w:r>
      <w:r w:rsidRPr="00A6119C">
        <w:rPr>
          <w:color w:val="7030A0"/>
        </w:rPr>
        <w:t xml:space="preserve">male and female IL-10 knockout mice to a piroxicam-fortified diet resulted in the development of enterocolitis after a short exposure period of 7 days </w:t>
      </w:r>
      <w:r w:rsidRPr="00A6119C">
        <w:rPr>
          <w:b/>
          <w:bCs/>
          <w:color w:val="7030A0"/>
        </w:rPr>
        <w:t>[1]</w:t>
      </w:r>
      <w:r w:rsidRPr="00A6119C">
        <w:rPr>
          <w:color w:val="7030A0"/>
        </w:rPr>
        <w:t xml:space="preserve">. By day 2, piroxicam-treated mice lost significantly more weight </w:t>
      </w:r>
      <w:r w:rsidRPr="00A6119C">
        <w:rPr>
          <w:b/>
          <w:bCs/>
          <w:color w:val="7030A0"/>
        </w:rPr>
        <w:t>[2]</w:t>
      </w:r>
      <w:r w:rsidRPr="00A6119C">
        <w:rPr>
          <w:color w:val="7030A0"/>
        </w:rPr>
        <w:t xml:space="preserve"> than regular chow controls, with similar weight loss seen in both sexes </w:t>
      </w:r>
      <w:r w:rsidRPr="00A6119C">
        <w:rPr>
          <w:b/>
          <w:bCs/>
          <w:color w:val="7030A0"/>
        </w:rPr>
        <w:t>[3]</w:t>
      </w:r>
      <w:r w:rsidRPr="00A6119C">
        <w:rPr>
          <w:color w:val="7030A0"/>
        </w:rPr>
        <w:t>.</w:t>
      </w:r>
    </w:p>
    <w:p w14:paraId="254D93CE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1A-E.</w:t>
      </w:r>
    </w:p>
    <w:p w14:paraId="2C2BFAD0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1B. </w:t>
      </w:r>
      <w:r w:rsidRPr="003A1CD1">
        <w:rPr>
          <w:i/>
          <w:iCs/>
          <w:color w:val="3333FF"/>
          <w:lang w:val="en-IN"/>
        </w:rPr>
        <w:t>Video Editor: Please emphasize the red and purple dots corresponding to X-axis value 2.</w:t>
      </w:r>
    </w:p>
    <w:p w14:paraId="2E41C126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1B. </w:t>
      </w:r>
      <w:r w:rsidRPr="003A1CD1">
        <w:rPr>
          <w:i/>
          <w:iCs/>
          <w:color w:val="3333FF"/>
          <w:lang w:val="en-IN"/>
        </w:rPr>
        <w:t>Video Editor: Please emphasize the proximity of the red and purple lines.</w:t>
      </w:r>
    </w:p>
    <w:p w14:paraId="2B9BA280" w14:textId="77777777" w:rsidR="00B92ED0" w:rsidRPr="0001558D" w:rsidRDefault="00B92ED0" w:rsidP="00B92ED0">
      <w:pPr>
        <w:pStyle w:val="TemplateNarration"/>
        <w:numPr>
          <w:ilvl w:val="1"/>
          <w:numId w:val="3"/>
        </w:numPr>
        <w:rPr>
          <w:lang w:val="en-IN"/>
        </w:rPr>
      </w:pPr>
      <w:r w:rsidRPr="00A6119C">
        <w:rPr>
          <w:color w:val="7030A0"/>
        </w:rPr>
        <w:t xml:space="preserve">Daily food intake remained steady and matched the control group throughout the study, indicating that weight loss is driven by increased metabolic expenditure rather than reduced eating </w:t>
      </w:r>
      <w:r w:rsidRPr="00A6119C">
        <w:rPr>
          <w:b/>
          <w:bCs/>
          <w:color w:val="7030A0"/>
        </w:rPr>
        <w:t>[1]</w:t>
      </w:r>
      <w:r w:rsidRPr="00A6119C">
        <w:rPr>
          <w:color w:val="7030A0"/>
        </w:rPr>
        <w:t xml:space="preserve">. By day 7, piroxicam-fed mice exhibited significantly higher modified disease activity index scores than controls </w:t>
      </w:r>
      <w:r w:rsidRPr="00A6119C">
        <w:rPr>
          <w:b/>
          <w:bCs/>
          <w:color w:val="7030A0"/>
        </w:rPr>
        <w:t>[2]</w:t>
      </w:r>
      <w:r w:rsidRPr="00A6119C">
        <w:rPr>
          <w:color w:val="7030A0"/>
        </w:rPr>
        <w:t xml:space="preserve">, with higher values in males, reflecting the progression of intestinal inflammation </w:t>
      </w:r>
      <w:r w:rsidRPr="00A6119C">
        <w:rPr>
          <w:b/>
          <w:bCs/>
          <w:color w:val="7030A0"/>
        </w:rPr>
        <w:t>[3]</w:t>
      </w:r>
      <w:r w:rsidRPr="00A6119C">
        <w:rPr>
          <w:color w:val="7030A0"/>
        </w:rPr>
        <w:t xml:space="preserve">. </w:t>
      </w:r>
    </w:p>
    <w:p w14:paraId="0CB5DE39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1C. </w:t>
      </w:r>
      <w:r w:rsidRPr="003A1CD1">
        <w:rPr>
          <w:i/>
          <w:iCs/>
          <w:color w:val="3333FF"/>
          <w:lang w:val="en-IN"/>
        </w:rPr>
        <w:t xml:space="preserve">Video Editor: Please emphasize the equal heights of green and purple bars, followed by blue and red bars. </w:t>
      </w:r>
    </w:p>
    <w:p w14:paraId="381ADC64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1D. </w:t>
      </w:r>
      <w:r w:rsidRPr="003A1CD1">
        <w:rPr>
          <w:i/>
          <w:iCs/>
          <w:color w:val="3333FF"/>
          <w:lang w:val="en-IN"/>
        </w:rPr>
        <w:t>Video Editor: Please emphasize the heights of the purple and red bars, compared to the green and blue bars, respectively.</w:t>
      </w:r>
    </w:p>
    <w:p w14:paraId="7985BE31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1D. </w:t>
      </w:r>
      <w:r w:rsidRPr="003A1CD1">
        <w:rPr>
          <w:i/>
          <w:iCs/>
          <w:color w:val="3333FF"/>
          <w:lang w:val="en-IN"/>
        </w:rPr>
        <w:t>Video Editor: Please emphasize the height of red bar relative to the purple bar.</w:t>
      </w:r>
    </w:p>
    <w:p w14:paraId="1ADE6426" w14:textId="77777777" w:rsidR="00B92ED0" w:rsidRPr="00A6119C" w:rsidRDefault="00B92ED0" w:rsidP="00B92ED0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A6119C">
        <w:rPr>
          <w:color w:val="7030A0"/>
        </w:rPr>
        <w:t xml:space="preserve">Histological assessment of colons from the piroxicam-fed group revealed epithelial damage and elevated immune cell infiltration indicative of colitis </w:t>
      </w:r>
      <w:r w:rsidRPr="00A6119C">
        <w:rPr>
          <w:b/>
          <w:bCs/>
          <w:color w:val="7030A0"/>
        </w:rPr>
        <w:t>[1]</w:t>
      </w:r>
      <w:r w:rsidRPr="00A6119C">
        <w:rPr>
          <w:color w:val="7030A0"/>
        </w:rPr>
        <w:t xml:space="preserve">, resulting in higher histological scores </w:t>
      </w:r>
      <w:r w:rsidRPr="00A6119C">
        <w:rPr>
          <w:b/>
          <w:bCs/>
          <w:color w:val="7030A0"/>
        </w:rPr>
        <w:t>[2]</w:t>
      </w:r>
      <w:r w:rsidRPr="00A6119C">
        <w:rPr>
          <w:color w:val="7030A0"/>
        </w:rPr>
        <w:t>.</w:t>
      </w:r>
    </w:p>
    <w:p w14:paraId="60B4D381" w14:textId="77777777" w:rsidR="00B92ED0" w:rsidRPr="00AF34F3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t xml:space="preserve">LAB MEDIA: Figure 2C. </w:t>
      </w:r>
      <w:r w:rsidRPr="003A1CD1">
        <w:rPr>
          <w:i/>
          <w:iCs/>
          <w:color w:val="3333FF"/>
        </w:rPr>
        <w:t xml:space="preserve">Video Editor: Please emphasize the disrupted tissue structure in the dark purple region in the two panels labeled “Piroxicam” </w:t>
      </w:r>
    </w:p>
    <w:p w14:paraId="1422E391" w14:textId="77777777" w:rsidR="00B92ED0" w:rsidRPr="001C3D5C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t xml:space="preserve">LAB MEDIA: Figure 2D. </w:t>
      </w:r>
      <w:r w:rsidRPr="003A1CD1">
        <w:rPr>
          <w:i/>
          <w:iCs/>
          <w:color w:val="3333FF"/>
        </w:rPr>
        <w:t>Video Editor: Please emphasize the heights of purple and red bars relative to corresponding green and blue bars.</w:t>
      </w:r>
    </w:p>
    <w:p w14:paraId="1980F424" w14:textId="77777777" w:rsidR="00B92ED0" w:rsidRPr="004B7F7C" w:rsidRDefault="00B92ED0" w:rsidP="00B92ED0">
      <w:pPr>
        <w:pStyle w:val="TemplateNarration"/>
        <w:numPr>
          <w:ilvl w:val="1"/>
          <w:numId w:val="3"/>
        </w:numPr>
        <w:rPr>
          <w:lang w:val="en-IN"/>
        </w:rPr>
      </w:pPr>
      <w:r w:rsidRPr="00A6119C">
        <w:rPr>
          <w:color w:val="7030A0"/>
          <w:lang w:val="en-IN"/>
        </w:rPr>
        <w:t xml:space="preserve">Quantitative reverse transcriptase polymerase chain reaction, or </w:t>
      </w:r>
      <w:proofErr w:type="spellStart"/>
      <w:r w:rsidRPr="00A6119C">
        <w:rPr>
          <w:color w:val="7030A0"/>
          <w:lang w:val="en-IN"/>
        </w:rPr>
        <w:t>qRT</w:t>
      </w:r>
      <w:proofErr w:type="spellEnd"/>
      <w:r w:rsidRPr="00A6119C">
        <w:rPr>
          <w:color w:val="7030A0"/>
          <w:lang w:val="en-IN"/>
        </w:rPr>
        <w:t xml:space="preserve">-PCR </w:t>
      </w:r>
      <w:r w:rsidRPr="002D15CA">
        <w:rPr>
          <w:i/>
          <w:iCs/>
          <w:color w:val="EE0000"/>
          <w:lang w:val="en-IN"/>
        </w:rPr>
        <w:t>(Q-R-T-P-C-R)</w:t>
      </w:r>
      <w:r>
        <w:rPr>
          <w:lang w:val="en-IN"/>
        </w:rPr>
        <w:t xml:space="preserve"> </w:t>
      </w:r>
      <w:r w:rsidRPr="00A6119C">
        <w:rPr>
          <w:color w:val="7030A0"/>
          <w:lang w:val="en-IN"/>
        </w:rPr>
        <w:t xml:space="preserve">analysis, </w:t>
      </w:r>
      <w:r w:rsidRPr="00A6119C">
        <w:rPr>
          <w:color w:val="7030A0"/>
        </w:rPr>
        <w:t xml:space="preserve">showed that proinflammatory cytokine expression was upregulated only in piroxicam-fed IL-10-knockout mice </w:t>
      </w:r>
      <w:r w:rsidRPr="002D15CA">
        <w:rPr>
          <w:b/>
          <w:bCs/>
          <w:color w:val="7030A0"/>
        </w:rPr>
        <w:t>[1]</w:t>
      </w:r>
      <w:r w:rsidRPr="00A6119C">
        <w:rPr>
          <w:color w:val="7030A0"/>
        </w:rPr>
        <w:t xml:space="preserve">, but not in regular chow-fed IL-10-knockout mice </w:t>
      </w:r>
      <w:r w:rsidRPr="002D15CA">
        <w:rPr>
          <w:b/>
          <w:bCs/>
          <w:color w:val="7030A0"/>
        </w:rPr>
        <w:t>[2]</w:t>
      </w:r>
      <w:r w:rsidRPr="00A6119C">
        <w:rPr>
          <w:color w:val="7030A0"/>
        </w:rPr>
        <w:t xml:space="preserve">, or piroxicam-fed wildtype controls, demonstrating this transcriptional signature is driven synergistically by both IL-10 deficiency and piroxicam </w:t>
      </w:r>
      <w:r w:rsidRPr="002D15CA">
        <w:rPr>
          <w:b/>
          <w:bCs/>
          <w:color w:val="7030A0"/>
        </w:rPr>
        <w:t>[3]</w:t>
      </w:r>
      <w:r w:rsidRPr="00A6119C">
        <w:rPr>
          <w:color w:val="7030A0"/>
        </w:rPr>
        <w:t>.</w:t>
      </w:r>
    </w:p>
    <w:p w14:paraId="0322C0FB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 w:rsidRPr="00490EC0">
        <w:rPr>
          <w:lang w:val="es-ES"/>
        </w:rPr>
        <w:lastRenderedPageBreak/>
        <w:t xml:space="preserve">LAB MEDIA: Figure 3A-D. </w:t>
      </w:r>
      <w:r w:rsidRPr="003A1CD1">
        <w:rPr>
          <w:i/>
          <w:iCs/>
          <w:color w:val="3333FF"/>
        </w:rPr>
        <w:t xml:space="preserve">Video Editor: </w:t>
      </w:r>
      <w:r w:rsidRPr="003A1CD1">
        <w:rPr>
          <w:i/>
          <w:iCs/>
          <w:color w:val="3333FF"/>
          <w:lang w:val="en-IN"/>
        </w:rPr>
        <w:t>Please emphasize the height of the red bars in figures 3A, 3B, 3C, and 3D simultaneously.</w:t>
      </w:r>
    </w:p>
    <w:p w14:paraId="6751FDA0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 w:rsidRPr="00490EC0">
        <w:rPr>
          <w:lang w:val="es-ES"/>
        </w:rPr>
        <w:t xml:space="preserve">LAB MEDIA: Figure 3A-D. </w:t>
      </w:r>
      <w:r w:rsidRPr="003A1CD1">
        <w:rPr>
          <w:i/>
          <w:iCs/>
          <w:color w:val="3333FF"/>
        </w:rPr>
        <w:t xml:space="preserve">Video Editor: </w:t>
      </w:r>
      <w:r w:rsidRPr="003A1CD1">
        <w:rPr>
          <w:i/>
          <w:iCs/>
          <w:color w:val="3333FF"/>
          <w:lang w:val="en-IN"/>
        </w:rPr>
        <w:t>Please emphasize the height of the blue bars in figures 3A, 3B, 3C, and 3D simultaneously.</w:t>
      </w:r>
    </w:p>
    <w:p w14:paraId="2A0085A3" w14:textId="4F7BD5EB" w:rsidR="00495959" w:rsidRPr="00B07A3B" w:rsidRDefault="00B92ED0" w:rsidP="00B92ED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90EC0">
        <w:rPr>
          <w:lang w:val="es-ES"/>
        </w:rPr>
        <w:t xml:space="preserve">LAB MEDIA: Figure 3A-D. </w:t>
      </w:r>
      <w:r w:rsidRPr="003A1CD1">
        <w:rPr>
          <w:i/>
          <w:iCs/>
          <w:color w:val="3333FF"/>
        </w:rPr>
        <w:t xml:space="preserve">Video Editor: </w:t>
      </w:r>
      <w:r w:rsidRPr="003A1CD1">
        <w:rPr>
          <w:i/>
          <w:iCs/>
          <w:color w:val="3333FF"/>
          <w:lang w:val="en-IN"/>
        </w:rPr>
        <w:t>Please emphasize the height of the purple bars in figures 3A, 3B, 3C, and 3D simultaneously.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E96F2" w14:textId="77777777" w:rsidR="00B72761" w:rsidRDefault="00B72761">
      <w:r>
        <w:separator/>
      </w:r>
    </w:p>
    <w:p w14:paraId="770181E6" w14:textId="77777777" w:rsidR="00B72761" w:rsidRDefault="00B72761"/>
  </w:endnote>
  <w:endnote w:type="continuationSeparator" w:id="0">
    <w:p w14:paraId="532FA034" w14:textId="77777777" w:rsidR="00B72761" w:rsidRDefault="00B72761">
      <w:r>
        <w:continuationSeparator/>
      </w:r>
    </w:p>
    <w:p w14:paraId="6521D849" w14:textId="77777777" w:rsidR="00B72761" w:rsidRDefault="00B727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Microsoft YaHe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BFD2F4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912E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355A00">
      <w:rPr>
        <w:rFonts w:cstheme="minorHAnsi"/>
      </w:rPr>
      <w:t xml:space="preserve">July 17, </w:t>
    </w:r>
    <w:proofErr w:type="gramStart"/>
    <w:r w:rsidR="00355A00">
      <w:rPr>
        <w:rFonts w:cstheme="minorHAnsi"/>
      </w:rPr>
      <w:t>2026</w:t>
    </w:r>
    <w:proofErr w:type="gramEnd"/>
    <w:r w:rsidR="00355A00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8FEB9" w14:textId="77777777" w:rsidR="00B72761" w:rsidRDefault="00B72761">
      <w:r>
        <w:separator/>
      </w:r>
    </w:p>
    <w:p w14:paraId="2420FA51" w14:textId="77777777" w:rsidR="00B72761" w:rsidRDefault="00B72761"/>
  </w:footnote>
  <w:footnote w:type="continuationSeparator" w:id="0">
    <w:p w14:paraId="61F35A9E" w14:textId="77777777" w:rsidR="00B72761" w:rsidRDefault="00B72761">
      <w:r>
        <w:continuationSeparator/>
      </w:r>
    </w:p>
    <w:p w14:paraId="4FE85CC1" w14:textId="77777777" w:rsidR="00B72761" w:rsidRDefault="00B727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1284E11" w:rsidR="00336C61" w:rsidRPr="006D3AC7" w:rsidRDefault="00336C61" w:rsidP="00355A00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355A00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5AF"/>
    <w:rsid w:val="00022B29"/>
    <w:rsid w:val="00023E22"/>
    <w:rsid w:val="00024282"/>
    <w:rsid w:val="00024322"/>
    <w:rsid w:val="00025DE9"/>
    <w:rsid w:val="00030B66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763A"/>
    <w:rsid w:val="000704FE"/>
    <w:rsid w:val="0007471E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DFF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4FE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1E3"/>
    <w:rsid w:val="00162D51"/>
    <w:rsid w:val="0016471F"/>
    <w:rsid w:val="0016772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1E2C"/>
    <w:rsid w:val="001D621E"/>
    <w:rsid w:val="001D66A5"/>
    <w:rsid w:val="001D705B"/>
    <w:rsid w:val="001E2225"/>
    <w:rsid w:val="001E230F"/>
    <w:rsid w:val="001E52A3"/>
    <w:rsid w:val="001F0890"/>
    <w:rsid w:val="001F53F4"/>
    <w:rsid w:val="001F615E"/>
    <w:rsid w:val="00205059"/>
    <w:rsid w:val="00214268"/>
    <w:rsid w:val="00215222"/>
    <w:rsid w:val="002152AB"/>
    <w:rsid w:val="00226089"/>
    <w:rsid w:val="0022730A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3A50"/>
    <w:rsid w:val="002C54DB"/>
    <w:rsid w:val="002D48BB"/>
    <w:rsid w:val="002D52A1"/>
    <w:rsid w:val="002D7AA6"/>
    <w:rsid w:val="002E7521"/>
    <w:rsid w:val="002F0D42"/>
    <w:rsid w:val="002F3829"/>
    <w:rsid w:val="002F38CF"/>
    <w:rsid w:val="002F5F31"/>
    <w:rsid w:val="002F7F85"/>
    <w:rsid w:val="003036C1"/>
    <w:rsid w:val="00305187"/>
    <w:rsid w:val="0030618C"/>
    <w:rsid w:val="00311FBF"/>
    <w:rsid w:val="003138D4"/>
    <w:rsid w:val="003167A2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3DF9"/>
    <w:rsid w:val="00355A00"/>
    <w:rsid w:val="00355D9B"/>
    <w:rsid w:val="00357FB7"/>
    <w:rsid w:val="00363153"/>
    <w:rsid w:val="00364249"/>
    <w:rsid w:val="003672FC"/>
    <w:rsid w:val="00371F25"/>
    <w:rsid w:val="00373146"/>
    <w:rsid w:val="003754A7"/>
    <w:rsid w:val="00384BC6"/>
    <w:rsid w:val="0038502C"/>
    <w:rsid w:val="00386777"/>
    <w:rsid w:val="00395684"/>
    <w:rsid w:val="00397B9D"/>
    <w:rsid w:val="003A0B5C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545D"/>
    <w:rsid w:val="00490EC0"/>
    <w:rsid w:val="00491B01"/>
    <w:rsid w:val="00491EC4"/>
    <w:rsid w:val="00493A57"/>
    <w:rsid w:val="00495959"/>
    <w:rsid w:val="004A72BD"/>
    <w:rsid w:val="004C1095"/>
    <w:rsid w:val="004C13A0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5E12"/>
    <w:rsid w:val="00507659"/>
    <w:rsid w:val="0051074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6F0F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714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77F0"/>
    <w:rsid w:val="006C08AE"/>
    <w:rsid w:val="006C0E87"/>
    <w:rsid w:val="006C1A3B"/>
    <w:rsid w:val="006C4093"/>
    <w:rsid w:val="006D1F9B"/>
    <w:rsid w:val="006D3AC7"/>
    <w:rsid w:val="006D7676"/>
    <w:rsid w:val="006E1280"/>
    <w:rsid w:val="006E16D4"/>
    <w:rsid w:val="006E3FD0"/>
    <w:rsid w:val="006F06AF"/>
    <w:rsid w:val="006F2681"/>
    <w:rsid w:val="006F3DF1"/>
    <w:rsid w:val="006F7A31"/>
    <w:rsid w:val="00710EA3"/>
    <w:rsid w:val="0071156C"/>
    <w:rsid w:val="0071294C"/>
    <w:rsid w:val="007153CD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19B4"/>
    <w:rsid w:val="007B3E0E"/>
    <w:rsid w:val="007B72C5"/>
    <w:rsid w:val="007D4222"/>
    <w:rsid w:val="007D61A8"/>
    <w:rsid w:val="007F1168"/>
    <w:rsid w:val="007F2CA5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0C69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16C8"/>
    <w:rsid w:val="008912E5"/>
    <w:rsid w:val="008A0177"/>
    <w:rsid w:val="008A413E"/>
    <w:rsid w:val="008A7A3E"/>
    <w:rsid w:val="008C2D4D"/>
    <w:rsid w:val="008C642C"/>
    <w:rsid w:val="008D0E4A"/>
    <w:rsid w:val="008D2A6A"/>
    <w:rsid w:val="008D52FB"/>
    <w:rsid w:val="008D5443"/>
    <w:rsid w:val="008D58EC"/>
    <w:rsid w:val="008E4564"/>
    <w:rsid w:val="008E74F7"/>
    <w:rsid w:val="008F10EF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4E76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79A4"/>
    <w:rsid w:val="009619D0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1778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9F59B7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A8F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6EED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2691"/>
    <w:rsid w:val="00B0378C"/>
    <w:rsid w:val="00B0394A"/>
    <w:rsid w:val="00B03E54"/>
    <w:rsid w:val="00B04340"/>
    <w:rsid w:val="00B07A3B"/>
    <w:rsid w:val="00B13941"/>
    <w:rsid w:val="00B15A6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66EDC"/>
    <w:rsid w:val="00B7250F"/>
    <w:rsid w:val="00B72761"/>
    <w:rsid w:val="00B75138"/>
    <w:rsid w:val="00B807E5"/>
    <w:rsid w:val="00B847A0"/>
    <w:rsid w:val="00B87BC5"/>
    <w:rsid w:val="00B87D12"/>
    <w:rsid w:val="00B92ED0"/>
    <w:rsid w:val="00BA0371"/>
    <w:rsid w:val="00BA2EF5"/>
    <w:rsid w:val="00BB27C1"/>
    <w:rsid w:val="00BC01E5"/>
    <w:rsid w:val="00BC3F28"/>
    <w:rsid w:val="00BC6DA7"/>
    <w:rsid w:val="00BC7E90"/>
    <w:rsid w:val="00BD4346"/>
    <w:rsid w:val="00BD5D8F"/>
    <w:rsid w:val="00BE051D"/>
    <w:rsid w:val="00BE0C9E"/>
    <w:rsid w:val="00BE1C6A"/>
    <w:rsid w:val="00BE679C"/>
    <w:rsid w:val="00BE756D"/>
    <w:rsid w:val="00BF2674"/>
    <w:rsid w:val="00BF2B34"/>
    <w:rsid w:val="00BF3754"/>
    <w:rsid w:val="00C00F3F"/>
    <w:rsid w:val="00C035C7"/>
    <w:rsid w:val="00C058AE"/>
    <w:rsid w:val="00C06DBF"/>
    <w:rsid w:val="00C12062"/>
    <w:rsid w:val="00C21811"/>
    <w:rsid w:val="00C2620F"/>
    <w:rsid w:val="00C34F4C"/>
    <w:rsid w:val="00C428F1"/>
    <w:rsid w:val="00C44D1F"/>
    <w:rsid w:val="00C50118"/>
    <w:rsid w:val="00C602B2"/>
    <w:rsid w:val="00C66C56"/>
    <w:rsid w:val="00C70C90"/>
    <w:rsid w:val="00C7374B"/>
    <w:rsid w:val="00C766A8"/>
    <w:rsid w:val="00C80E7B"/>
    <w:rsid w:val="00C8109F"/>
    <w:rsid w:val="00C8232F"/>
    <w:rsid w:val="00C82679"/>
    <w:rsid w:val="00C82857"/>
    <w:rsid w:val="00C836F3"/>
    <w:rsid w:val="00C90658"/>
    <w:rsid w:val="00C9250E"/>
    <w:rsid w:val="00C931BB"/>
    <w:rsid w:val="00C96FC6"/>
    <w:rsid w:val="00C97B11"/>
    <w:rsid w:val="00CA08C0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6E0A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2422"/>
    <w:rsid w:val="00D45AF7"/>
    <w:rsid w:val="00D462CC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7072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5F8A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472E"/>
    <w:rsid w:val="00E65758"/>
    <w:rsid w:val="00E662CA"/>
    <w:rsid w:val="00E66975"/>
    <w:rsid w:val="00E66F79"/>
    <w:rsid w:val="00E72472"/>
    <w:rsid w:val="00E8076C"/>
    <w:rsid w:val="00E86E4B"/>
    <w:rsid w:val="00E87DA4"/>
    <w:rsid w:val="00EA1283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414F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056E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9A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029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4714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4714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4714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47140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64714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64714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B92ED0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B92ED0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anyi.yin@utsouthwestern.edu" TargetMode="External"/><Relationship Id="rId13" Type="http://schemas.openxmlformats.org/officeDocument/2006/relationships/hyperlink" Target="mailto:ezra.burstein@utsouthwestern.ed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91688" TargetMode="External"/><Relationship Id="rId12" Type="http://schemas.openxmlformats.org/officeDocument/2006/relationships/hyperlink" Target="mailto:lan.peng@utsouthwestern.ed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ustin.williams@utsouthwestern.ed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mihir.ranjan@utsouthwestern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uis.sifuentes-dominguez@utsouthwestern.ed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9</Pages>
  <Words>1730</Words>
  <Characters>9867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11574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144</cp:revision>
  <dcterms:created xsi:type="dcterms:W3CDTF">2025-01-20T00:16:00Z</dcterms:created>
  <dcterms:modified xsi:type="dcterms:W3CDTF">2026-07-17T11:54:00Z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