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AA2FFC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F1CA4">
        <w:rPr>
          <w:rFonts w:eastAsia="Times New Roman" w:cstheme="minorHAnsi"/>
          <w:b/>
        </w:rPr>
        <w:t>71429</w:t>
      </w:r>
    </w:p>
    <w:p w14:paraId="2F6924E5" w14:textId="19F2C29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F1CA4">
        <w:rPr>
          <w:rFonts w:eastAsia="Times New Roman" w:cstheme="minorHAnsi"/>
          <w:b/>
        </w:rPr>
        <w:t>Ruchira Mukherji</w:t>
      </w:r>
    </w:p>
    <w:p w14:paraId="69399B6E" w14:textId="77777777" w:rsidR="001F1CA4" w:rsidRPr="001F1CA4" w:rsidRDefault="004E0C5A" w:rsidP="001F1CA4">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F1CA4" w:rsidRPr="001F1CA4">
          <w:rPr>
            <w:rStyle w:val="Hyperlink"/>
            <w:rFonts w:eastAsia="Times New Roman" w:cstheme="minorHAnsi"/>
            <w:b/>
          </w:rPr>
          <w:t>https://review.jove.com/files_upload.php?src=21785893</w:t>
        </w:r>
      </w:hyperlink>
    </w:p>
    <w:p w14:paraId="6FB9233B" w14:textId="620CAE17" w:rsidR="004E0C5A" w:rsidRPr="00B07A3B" w:rsidRDefault="004E0C5A"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6407D984" w14:textId="77777777" w:rsidR="001F1CA4" w:rsidRPr="001F1CA4" w:rsidRDefault="004E0C5A" w:rsidP="001F1CA4">
      <w:pPr>
        <w:outlineLvl w:val="0"/>
        <w:rPr>
          <w:rFonts w:eastAsia="Times New Roman" w:cstheme="minorHAnsi"/>
          <w:b/>
          <w:bCs/>
          <w:sz w:val="32"/>
          <w:szCs w:val="32"/>
        </w:rPr>
      </w:pPr>
      <w:r w:rsidRPr="001F1CA4">
        <w:rPr>
          <w:rFonts w:eastAsia="Times New Roman" w:cstheme="minorHAnsi"/>
          <w:b/>
          <w:sz w:val="32"/>
          <w:szCs w:val="32"/>
        </w:rPr>
        <w:t xml:space="preserve">Title: </w:t>
      </w:r>
      <w:r w:rsidR="001F1CA4" w:rsidRPr="001F1CA4">
        <w:rPr>
          <w:rFonts w:eastAsia="Times New Roman" w:cstheme="minorHAnsi"/>
          <w:b/>
          <w:bCs/>
          <w:sz w:val="32"/>
          <w:szCs w:val="32"/>
        </w:rPr>
        <w:t>Muscle-Sparing Wiltse Transforaminal Lumbar Interbody Fusion: A Technical Guide for the Modified Paraspinal Approach</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A42F10F" w14:textId="47B8A7C0" w:rsidR="001F1CA4" w:rsidRPr="001F1CA4" w:rsidRDefault="001F1CA4" w:rsidP="001F1CA4">
      <w:pPr>
        <w:outlineLvl w:val="0"/>
        <w:rPr>
          <w:rFonts w:eastAsia="Times New Roman" w:cstheme="minorHAnsi"/>
          <w:b/>
          <w:sz w:val="28"/>
          <w:szCs w:val="28"/>
          <w:vertAlign w:val="superscript"/>
        </w:rPr>
      </w:pPr>
      <w:r w:rsidRPr="001F1CA4">
        <w:rPr>
          <w:rFonts w:eastAsia="Times New Roman" w:cstheme="minorHAnsi"/>
          <w:b/>
          <w:sz w:val="28"/>
          <w:szCs w:val="28"/>
        </w:rPr>
        <w:t>Sahil Garg</w:t>
      </w:r>
      <w:r w:rsidRPr="001F1CA4">
        <w:rPr>
          <w:rFonts w:eastAsia="Times New Roman" w:cstheme="minorHAnsi"/>
          <w:b/>
          <w:sz w:val="28"/>
          <w:szCs w:val="28"/>
          <w:vertAlign w:val="superscript"/>
        </w:rPr>
        <w:t>1,2</w:t>
      </w:r>
      <w:r w:rsidRPr="001F1CA4">
        <w:rPr>
          <w:rFonts w:eastAsia="Times New Roman" w:cstheme="minorHAnsi"/>
          <w:b/>
          <w:sz w:val="28"/>
          <w:szCs w:val="28"/>
        </w:rPr>
        <w:t>, Cole Dutton</w:t>
      </w:r>
      <w:r w:rsidRPr="001F1CA4">
        <w:rPr>
          <w:rFonts w:eastAsia="Times New Roman" w:cstheme="minorHAnsi"/>
          <w:b/>
          <w:sz w:val="28"/>
          <w:szCs w:val="28"/>
          <w:vertAlign w:val="superscript"/>
        </w:rPr>
        <w:t xml:space="preserve"> 1,2</w:t>
      </w:r>
      <w:r w:rsidRPr="001F1CA4">
        <w:rPr>
          <w:rFonts w:eastAsia="Times New Roman" w:cstheme="minorHAnsi"/>
          <w:b/>
          <w:sz w:val="28"/>
          <w:szCs w:val="28"/>
        </w:rPr>
        <w:t xml:space="preserve">, </w:t>
      </w:r>
      <w:r w:rsidR="00D440F2" w:rsidRPr="008641C7">
        <w:rPr>
          <w:rFonts w:eastAsia="Times New Roman" w:cstheme="minorHAnsi"/>
          <w:b/>
          <w:sz w:val="28"/>
          <w:szCs w:val="28"/>
          <w:highlight w:val="yellow"/>
        </w:rPr>
        <w:t>Hannah Harris</w:t>
      </w:r>
      <w:r w:rsidR="00D440F2" w:rsidRPr="008641C7">
        <w:rPr>
          <w:rFonts w:eastAsia="Times New Roman" w:cstheme="minorHAnsi"/>
          <w:b/>
          <w:sz w:val="28"/>
          <w:szCs w:val="28"/>
          <w:highlight w:val="yellow"/>
          <w:vertAlign w:val="superscript"/>
        </w:rPr>
        <w:t>1,2</w:t>
      </w:r>
      <w:r w:rsidR="00D440F2" w:rsidRPr="008641C7">
        <w:rPr>
          <w:rFonts w:eastAsia="Times New Roman" w:cstheme="minorHAnsi"/>
          <w:b/>
          <w:sz w:val="28"/>
          <w:szCs w:val="28"/>
        </w:rPr>
        <w:t xml:space="preserve">, </w:t>
      </w:r>
      <w:r w:rsidRPr="001F1CA4">
        <w:rPr>
          <w:rFonts w:eastAsia="Times New Roman" w:cstheme="minorHAnsi"/>
          <w:b/>
          <w:sz w:val="28"/>
          <w:szCs w:val="28"/>
        </w:rPr>
        <w:t>Patrick Young</w:t>
      </w:r>
      <w:r w:rsidRPr="001F1CA4">
        <w:rPr>
          <w:rFonts w:eastAsia="Times New Roman" w:cstheme="minorHAnsi"/>
          <w:b/>
          <w:sz w:val="28"/>
          <w:szCs w:val="28"/>
          <w:vertAlign w:val="superscript"/>
        </w:rPr>
        <w:t>1,2</w:t>
      </w:r>
      <w:r w:rsidRPr="001F1CA4">
        <w:rPr>
          <w:rFonts w:eastAsia="Times New Roman" w:cstheme="minorHAnsi"/>
          <w:b/>
          <w:sz w:val="28"/>
          <w:szCs w:val="28"/>
        </w:rPr>
        <w:t>, Arianna Gill</w:t>
      </w:r>
      <w:r w:rsidRPr="001F1CA4">
        <w:rPr>
          <w:rFonts w:eastAsia="Times New Roman" w:cstheme="minorHAnsi"/>
          <w:b/>
          <w:sz w:val="28"/>
          <w:szCs w:val="28"/>
          <w:vertAlign w:val="superscript"/>
        </w:rPr>
        <w:t>1,2</w:t>
      </w:r>
      <w:r w:rsidRPr="001F1CA4">
        <w:rPr>
          <w:rFonts w:eastAsia="Times New Roman" w:cstheme="minorHAnsi"/>
          <w:b/>
          <w:sz w:val="28"/>
          <w:szCs w:val="28"/>
        </w:rPr>
        <w:t>, Kaden Hutcherson</w:t>
      </w:r>
      <w:r w:rsidRPr="001F1CA4">
        <w:rPr>
          <w:rFonts w:eastAsia="Times New Roman" w:cstheme="minorHAnsi"/>
          <w:b/>
          <w:sz w:val="28"/>
          <w:szCs w:val="28"/>
          <w:vertAlign w:val="superscript"/>
        </w:rPr>
        <w:t>3</w:t>
      </w:r>
      <w:r w:rsidRPr="001F1CA4">
        <w:rPr>
          <w:rFonts w:eastAsia="Times New Roman" w:cstheme="minorHAnsi"/>
          <w:b/>
          <w:sz w:val="28"/>
          <w:szCs w:val="28"/>
        </w:rPr>
        <w:t>, Sanjitpal Gill</w:t>
      </w:r>
      <w:r w:rsidRPr="001F1CA4">
        <w:rPr>
          <w:rFonts w:eastAsia="Times New Roman" w:cstheme="minorHAnsi"/>
          <w:b/>
          <w:sz w:val="28"/>
          <w:szCs w:val="28"/>
          <w:vertAlign w:val="superscript"/>
        </w:rPr>
        <w:t>1,2</w:t>
      </w:r>
    </w:p>
    <w:p w14:paraId="33CD999C" w14:textId="718ACB3D" w:rsidR="00D6314B" w:rsidRDefault="00D6314B" w:rsidP="00EC3C46">
      <w:pPr>
        <w:outlineLvl w:val="0"/>
        <w:rPr>
          <w:rFonts w:eastAsia="Times New Roman" w:cstheme="minorHAnsi"/>
          <w:b/>
          <w:sz w:val="28"/>
          <w:szCs w:val="28"/>
        </w:rPr>
      </w:pPr>
    </w:p>
    <w:p w14:paraId="1BCFFDA4" w14:textId="4FE0ADF3"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1</w:t>
      </w:r>
      <w:r w:rsidRPr="001F1CA4">
        <w:rPr>
          <w:rFonts w:eastAsia="Times New Roman" w:cstheme="minorHAnsi"/>
          <w:bCs/>
          <w:sz w:val="28"/>
          <w:szCs w:val="28"/>
        </w:rPr>
        <w:t>Department of Outcomes Based Orthopaedic Research, The Steadman Philippon Research Institute</w:t>
      </w:r>
    </w:p>
    <w:p w14:paraId="15424361" w14:textId="348D418D"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2</w:t>
      </w:r>
      <w:r w:rsidRPr="001F1CA4">
        <w:rPr>
          <w:rFonts w:eastAsia="Times New Roman" w:cstheme="minorHAnsi"/>
          <w:bCs/>
          <w:sz w:val="28"/>
          <w:szCs w:val="28"/>
        </w:rPr>
        <w:t>The Steadman Clinic</w:t>
      </w:r>
    </w:p>
    <w:p w14:paraId="2A1F9D6B" w14:textId="57AE0055"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3</w:t>
      </w:r>
      <w:r w:rsidRPr="001F1CA4">
        <w:rPr>
          <w:rFonts w:eastAsia="Times New Roman" w:cstheme="minorHAnsi"/>
          <w:bCs/>
          <w:sz w:val="28"/>
          <w:szCs w:val="28"/>
        </w:rPr>
        <w:t>University of California San Diego</w:t>
      </w:r>
    </w:p>
    <w:p w14:paraId="49FC304E" w14:textId="77777777" w:rsidR="008641C7" w:rsidRDefault="008641C7"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0F12CD8" w:rsidR="00D6314B" w:rsidRPr="001F1CA4" w:rsidRDefault="001F1CA4" w:rsidP="001F1CA4">
      <w:pPr>
        <w:contextualSpacing/>
        <w:rPr>
          <w:rFonts w:ascii="Calibri" w:hAnsi="Calibri" w:cs="Calibri"/>
        </w:rPr>
      </w:pPr>
      <w:r w:rsidRPr="00C63801">
        <w:rPr>
          <w:rFonts w:ascii="Calibri" w:hAnsi="Calibri" w:cs="Calibri"/>
        </w:rPr>
        <w:t xml:space="preserve">Sahil Garg </w:t>
      </w:r>
      <w:r w:rsidRPr="00C63801">
        <w:rPr>
          <w:rFonts w:ascii="Calibri" w:hAnsi="Calibri" w:cs="Calibri"/>
        </w:rPr>
        <w:tab/>
      </w:r>
      <w:r w:rsidRPr="00C63801">
        <w:rPr>
          <w:rFonts w:ascii="Calibri" w:hAnsi="Calibri" w:cs="Calibri"/>
        </w:rPr>
        <w:tab/>
      </w:r>
      <w:hyperlink r:id="rId8" w:history="1">
        <w:r w:rsidRPr="00D53FAC">
          <w:rPr>
            <w:rStyle w:val="Hyperlink"/>
            <w:rFonts w:ascii="Calibri" w:hAnsi="Calibri" w:cs="Calibri"/>
          </w:rPr>
          <w:t>sgarg.research@gmail.com</w:t>
        </w:r>
      </w:hyperlink>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0E57987D" w14:textId="0016EEDE" w:rsidR="001F1CA4" w:rsidRPr="00C63801" w:rsidRDefault="001F1CA4" w:rsidP="001F1CA4">
      <w:pPr>
        <w:contextualSpacing/>
        <w:rPr>
          <w:rFonts w:ascii="Calibri" w:hAnsi="Calibri" w:cs="Calibri"/>
        </w:rPr>
      </w:pPr>
      <w:hyperlink r:id="rId9" w:history="1">
        <w:r w:rsidRPr="00D53FAC">
          <w:rPr>
            <w:rStyle w:val="Hyperlink"/>
            <w:rFonts w:ascii="Calibri" w:hAnsi="Calibri" w:cs="Calibri"/>
          </w:rPr>
          <w:t>cdutton@sprivail.org</w:t>
        </w:r>
      </w:hyperlink>
      <w:r>
        <w:rPr>
          <w:rFonts w:ascii="Calibri" w:hAnsi="Calibri" w:cs="Calibri"/>
        </w:rPr>
        <w:t xml:space="preserve"> </w:t>
      </w:r>
    </w:p>
    <w:p w14:paraId="5181AB3B" w14:textId="26B025F9" w:rsidR="001F1CA4" w:rsidRDefault="001F1CA4" w:rsidP="001F1CA4">
      <w:pPr>
        <w:spacing w:line="210" w:lineRule="atLeast"/>
        <w:rPr>
          <w:rFonts w:ascii="Calibri" w:hAnsi="Calibri" w:cs="Calibri"/>
          <w:color w:val="000033"/>
        </w:rPr>
      </w:pPr>
      <w:hyperlink r:id="rId10" w:history="1">
        <w:r w:rsidRPr="00D53FAC">
          <w:rPr>
            <w:rStyle w:val="Hyperlink"/>
            <w:rFonts w:ascii="Calibri" w:hAnsi="Calibri" w:cs="Calibri"/>
          </w:rPr>
          <w:t>pyoung@thesteadmanclinic.com</w:t>
        </w:r>
      </w:hyperlink>
      <w:r>
        <w:rPr>
          <w:rFonts w:ascii="Calibri" w:hAnsi="Calibri" w:cs="Calibri"/>
          <w:color w:val="000033"/>
        </w:rPr>
        <w:t xml:space="preserve"> </w:t>
      </w:r>
    </w:p>
    <w:p w14:paraId="00D6D33E" w14:textId="15D28E1C" w:rsidR="004A7B70" w:rsidRPr="00C63801" w:rsidRDefault="004A7B70" w:rsidP="001F1CA4">
      <w:pPr>
        <w:spacing w:line="210" w:lineRule="atLeast"/>
        <w:rPr>
          <w:rFonts w:ascii="Calibri" w:hAnsi="Calibri" w:cs="Calibri"/>
          <w:color w:val="000033"/>
        </w:rPr>
      </w:pPr>
      <w:hyperlink r:id="rId11" w:history="1">
        <w:r w:rsidRPr="00741568">
          <w:rPr>
            <w:rStyle w:val="Hyperlink"/>
            <w:rFonts w:eastAsia="Times New Roman" w:cstheme="minorHAnsi"/>
          </w:rPr>
          <w:t>hharris@thesteadmanclinic.com</w:t>
        </w:r>
      </w:hyperlink>
    </w:p>
    <w:p w14:paraId="7692DCA2" w14:textId="462FB0B4" w:rsidR="001F1CA4" w:rsidRPr="00C63801" w:rsidRDefault="001F1CA4" w:rsidP="001F1CA4">
      <w:pPr>
        <w:spacing w:line="210" w:lineRule="atLeast"/>
        <w:rPr>
          <w:rFonts w:ascii="Calibri" w:hAnsi="Calibri" w:cs="Calibri"/>
          <w:color w:val="000033"/>
        </w:rPr>
      </w:pPr>
      <w:hyperlink r:id="rId12" w:history="1">
        <w:r w:rsidRPr="00D53FAC">
          <w:rPr>
            <w:rStyle w:val="Hyperlink"/>
            <w:rFonts w:ascii="Calibri" w:hAnsi="Calibri" w:cs="Calibri"/>
          </w:rPr>
          <w:t>gillarik11@outlook.com</w:t>
        </w:r>
      </w:hyperlink>
      <w:r>
        <w:rPr>
          <w:rFonts w:ascii="Calibri" w:hAnsi="Calibri" w:cs="Calibri"/>
          <w:color w:val="000033"/>
        </w:rPr>
        <w:t xml:space="preserve"> </w:t>
      </w:r>
    </w:p>
    <w:p w14:paraId="7B2729C2" w14:textId="7A06764E" w:rsidR="001F1CA4" w:rsidRPr="00C63801" w:rsidRDefault="001F1CA4" w:rsidP="001F1CA4">
      <w:pPr>
        <w:spacing w:line="210" w:lineRule="atLeast"/>
        <w:rPr>
          <w:rFonts w:ascii="Calibri" w:hAnsi="Calibri" w:cs="Calibri"/>
          <w:color w:val="000033"/>
        </w:rPr>
      </w:pPr>
      <w:hyperlink r:id="rId13" w:history="1">
        <w:r w:rsidRPr="00D53FAC">
          <w:rPr>
            <w:rStyle w:val="Hyperlink"/>
            <w:rFonts w:ascii="Calibri" w:hAnsi="Calibri" w:cs="Calibri"/>
          </w:rPr>
          <w:t>khutcherson@ucsd.edu</w:t>
        </w:r>
      </w:hyperlink>
      <w:r>
        <w:rPr>
          <w:rFonts w:ascii="Calibri" w:hAnsi="Calibri" w:cs="Calibri"/>
          <w:color w:val="000033"/>
        </w:rPr>
        <w:t xml:space="preserve"> </w:t>
      </w:r>
    </w:p>
    <w:p w14:paraId="287A01DF" w14:textId="23B5994A" w:rsidR="001F1CA4" w:rsidRPr="00C63801" w:rsidRDefault="001F1CA4" w:rsidP="001F1CA4">
      <w:pPr>
        <w:spacing w:line="210" w:lineRule="atLeast"/>
        <w:rPr>
          <w:rFonts w:ascii="Calibri" w:hAnsi="Calibri" w:cs="Calibri"/>
          <w:color w:val="000033"/>
        </w:rPr>
      </w:pPr>
      <w:hyperlink r:id="rId14" w:history="1">
        <w:r w:rsidRPr="00D53FAC">
          <w:rPr>
            <w:rStyle w:val="Hyperlink"/>
            <w:rFonts w:ascii="Calibri" w:hAnsi="Calibri" w:cs="Calibri"/>
          </w:rPr>
          <w:t>ssgill@thesteadmanclinic.com</w:t>
        </w:r>
      </w:hyperlink>
      <w:r>
        <w:rPr>
          <w:rFonts w:ascii="Calibri" w:hAnsi="Calibri" w:cs="Calibri"/>
          <w:color w:val="000033"/>
        </w:rPr>
        <w:t xml:space="preserve"> </w:t>
      </w:r>
    </w:p>
    <w:p w14:paraId="6F84F159" w14:textId="6481DF5A" w:rsidR="003B5E26" w:rsidRPr="00B07A3B" w:rsidRDefault="001F1CA4" w:rsidP="009A0E7C">
      <w:pPr>
        <w:outlineLvl w:val="0"/>
        <w:rPr>
          <w:rFonts w:cstheme="minorHAnsi"/>
          <w:b/>
          <w:sz w:val="22"/>
          <w:szCs w:val="22"/>
        </w:rPr>
      </w:pPr>
      <w:hyperlink r:id="rId15" w:history="1">
        <w:r w:rsidRPr="00D53FAC">
          <w:rPr>
            <w:rStyle w:val="Hyperlink"/>
            <w:rFonts w:ascii="Calibri" w:hAnsi="Calibri" w:cs="Calibri"/>
          </w:rPr>
          <w:t>sgarg.research@gmail.com</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27C28723"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564AFD">
            <w:rPr>
              <w:rFonts w:ascii="Arial" w:hAnsi="Arial" w:cs="Arial"/>
            </w:rPr>
            <w:t>√</w:t>
          </w:r>
        </w:sdtContent>
      </w:sdt>
      <w:r w:rsidR="00E25BB7">
        <w:rPr>
          <w:rFonts w:cstheme="minorHAnsi"/>
        </w:rPr>
        <w:t xml:space="preserve"> </w:t>
      </w:r>
      <w:r w:rsidR="00E25BB7" w:rsidRPr="004A7B70">
        <w:rPr>
          <w:rFonts w:cstheme="minorHAnsi"/>
          <w:b/>
          <w:bCs/>
        </w:rPr>
        <w:t>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15D87C1F"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64AFD">
        <w:rPr>
          <w:rFonts w:eastAsia="Times New Roman" w:cstheme="minorHAnsi"/>
          <w:b/>
          <w:bCs/>
        </w:rPr>
        <w:t>N</w:t>
      </w:r>
      <w:r w:rsidR="004A7B70">
        <w:rPr>
          <w:rFonts w:eastAsia="Times New Roman" w:cstheme="minorHAnsi"/>
          <w:b/>
          <w:bCs/>
        </w:rPr>
        <w:t>o</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3C4A76C1"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564AFD">
        <w:rPr>
          <w:rFonts w:eastAsia="Times New Roman" w:cstheme="minorHAnsi"/>
          <w:b/>
          <w:bCs/>
        </w:rPr>
        <w:t>N</w:t>
      </w:r>
      <w:r w:rsidR="004A7B70">
        <w:rPr>
          <w:rFonts w:eastAsia="Times New Roman" w:cstheme="minorHAnsi"/>
          <w:b/>
          <w:bCs/>
        </w:rPr>
        <w:t>o</w:t>
      </w:r>
    </w:p>
    <w:p w14:paraId="1C68C2BA" w14:textId="77777777" w:rsidR="005F1ADF" w:rsidRPr="00B07A3B" w:rsidRDefault="005F1ADF" w:rsidP="005F1ADF">
      <w:pPr>
        <w:spacing w:before="120"/>
        <w:rPr>
          <w:rFonts w:eastAsia="Times New Roman" w:cstheme="minorHAnsi"/>
          <w:b/>
        </w:rPr>
      </w:pPr>
    </w:p>
    <w:p w14:paraId="603B59C8" w14:textId="30C4545F"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564AFD">
        <w:rPr>
          <w:rFonts w:ascii="Calibri" w:hAnsi="Calibri" w:cs="Calibri"/>
          <w:color w:val="222222"/>
        </w:rPr>
        <w:t xml:space="preserve"> </w:t>
      </w:r>
      <w:r w:rsidR="00564AFD" w:rsidRPr="004A7B70">
        <w:rPr>
          <w:rFonts w:ascii="Calibri" w:hAnsi="Calibri" w:cs="Calibri"/>
          <w:b/>
          <w:bCs/>
          <w:color w:val="222222"/>
          <w:highlight w:val="yellow"/>
        </w:rPr>
        <w:t>10/2/2026</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830B621" w14:textId="6BD07685"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6"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4CC0FB9" w:rsidR="005F1ADF" w:rsidRPr="00B847A0" w:rsidRDefault="005F1ADF" w:rsidP="005F1ADF">
      <w:pPr>
        <w:rPr>
          <w:rFonts w:cstheme="minorHAnsi"/>
          <w:bCs/>
          <w:sz w:val="22"/>
          <w:szCs w:val="22"/>
        </w:rPr>
      </w:pPr>
      <w:r w:rsidRPr="00B847A0">
        <w:rPr>
          <w:rFonts w:cstheme="minorHAnsi"/>
          <w:bCs/>
          <w:sz w:val="22"/>
          <w:szCs w:val="22"/>
        </w:rPr>
        <w:t>Number of Steps:</w:t>
      </w:r>
      <w:r w:rsidR="00CE2A91">
        <w:rPr>
          <w:rFonts w:cstheme="minorHAnsi"/>
          <w:bCs/>
          <w:sz w:val="22"/>
          <w:szCs w:val="22"/>
        </w:rPr>
        <w:t xml:space="preserve"> 2</w:t>
      </w:r>
      <w:r w:rsidR="00AE7651">
        <w:rPr>
          <w:rFonts w:cstheme="minorHAnsi"/>
          <w:bCs/>
          <w:sz w:val="22"/>
          <w:szCs w:val="22"/>
        </w:rPr>
        <w:t>4</w:t>
      </w:r>
      <w:r w:rsidRPr="00B847A0">
        <w:rPr>
          <w:rFonts w:cstheme="minorHAnsi"/>
          <w:bCs/>
          <w:sz w:val="22"/>
          <w:szCs w:val="22"/>
        </w:rPr>
        <w:t xml:space="preserve">  </w:t>
      </w:r>
    </w:p>
    <w:p w14:paraId="5AAC9C6C" w14:textId="7A032CA4"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CE2A91">
        <w:rPr>
          <w:rFonts w:cstheme="minorHAnsi"/>
          <w:bCs/>
          <w:sz w:val="22"/>
          <w:szCs w:val="22"/>
        </w:rPr>
        <w:t>40</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0F05306C" w14:textId="77777777" w:rsidR="00FB6BCE" w:rsidRDefault="00FB6BCE" w:rsidP="00FB6BCE">
      <w:pPr>
        <w:rPr>
          <w:rFonts w:cstheme="minorHAnsi"/>
          <w:b/>
          <w:bCs/>
          <w:color w:val="auto"/>
          <w:highlight w:val="yellow"/>
          <w:shd w:val="clear" w:color="auto" w:fill="FFFFFF"/>
        </w:rPr>
      </w:pPr>
    </w:p>
    <w:p w14:paraId="551F5542" w14:textId="7AF278CA"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3B7820">
        <w:rPr>
          <w:rFonts w:cstheme="minorHAnsi"/>
          <w:color w:val="auto"/>
          <w:highlight w:val="yellow"/>
          <w:shd w:val="clear" w:color="auto" w:fill="FFFFFF"/>
        </w:rPr>
        <w:t xml:space="preserve">Statement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3401DA65" w:rsidR="00FB6BCE" w:rsidRDefault="00564AFD" w:rsidP="005347F5">
      <w:pPr>
        <w:pStyle w:val="ListParagraph"/>
        <w:numPr>
          <w:ilvl w:val="1"/>
          <w:numId w:val="3"/>
        </w:numPr>
        <w:spacing w:before="120"/>
        <w:rPr>
          <w:rFonts w:cstheme="minorHAnsi"/>
        </w:rPr>
      </w:pPr>
      <w:r>
        <w:rPr>
          <w:rStyle w:val="AuthorName"/>
          <w:rFonts w:asciiTheme="minorHAnsi" w:eastAsia="Times" w:hAnsiTheme="minorHAnsi" w:cstheme="minorHAnsi"/>
        </w:rPr>
        <w:t>Dr. Hannah Harris</w:t>
      </w:r>
      <w:r w:rsidR="00FB6BCE">
        <w:rPr>
          <w:rStyle w:val="AuthorName"/>
          <w:rFonts w:asciiTheme="minorHAnsi" w:eastAsia="Times" w:hAnsiTheme="minorHAnsi" w:cstheme="minorHAnsi"/>
        </w:rPr>
        <w:t>:</w:t>
      </w:r>
      <w:r w:rsidR="00FB6BCE" w:rsidRPr="005A33C6">
        <w:rPr>
          <w:rFonts w:cstheme="minorHAnsi"/>
        </w:rPr>
        <w:t xml:space="preserve"> </w:t>
      </w:r>
      <w:r w:rsidR="005C5B0E" w:rsidRPr="005C5B0E">
        <w:rPr>
          <w:rFonts w:cstheme="minorHAnsi"/>
        </w:rPr>
        <w:t>Our research evaluated whether the muscle-sparing Wiltse approach can reliably achieve decompression and fusion through the multifidus–longissimus interval</w:t>
      </w:r>
      <w:r w:rsidR="005347F5" w:rsidRPr="005347F5">
        <w:rPr>
          <w:rFonts w:cstheme="minorHAnsi"/>
        </w:rPr>
        <w:t>.</w:t>
      </w:r>
    </w:p>
    <w:p w14:paraId="5EBAA3A3" w14:textId="77777777" w:rsidR="000A6276" w:rsidRPr="00B34113" w:rsidRDefault="000A6276" w:rsidP="000A6276">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E2D664E" w14:textId="77777777" w:rsidR="000A6276" w:rsidRPr="005347F5" w:rsidRDefault="000A6276" w:rsidP="000A6276">
      <w:pPr>
        <w:pStyle w:val="ListParagraph"/>
        <w:spacing w:before="120"/>
        <w:ind w:left="907"/>
        <w:rPr>
          <w:rFonts w:cstheme="minorHAnsi"/>
        </w:rPr>
      </w:pPr>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1CE2869" w:rsidR="00FB6BCE" w:rsidRDefault="00564AFD" w:rsidP="005347F5">
      <w:pPr>
        <w:pStyle w:val="ListParagraph"/>
        <w:numPr>
          <w:ilvl w:val="1"/>
          <w:numId w:val="3"/>
        </w:numPr>
        <w:spacing w:before="120" w:after="24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3D0D68" w:rsidRPr="003D0D68">
        <w:rPr>
          <w:rFonts w:cstheme="minorHAnsi"/>
        </w:rPr>
        <w:t>Existing reports focus primarily on outcomes, whereas this protocol provides a reproducible, step-by-step technique guided by practical intraoperative landmarks</w:t>
      </w:r>
      <w:r w:rsidR="005347F5" w:rsidRPr="005347F5">
        <w:rPr>
          <w:rFonts w:cstheme="minorHAnsi"/>
        </w:rPr>
        <w:t>.</w:t>
      </w:r>
    </w:p>
    <w:p w14:paraId="67613E80" w14:textId="77777777" w:rsidR="000A6276" w:rsidRPr="00B34113" w:rsidRDefault="000A6276" w:rsidP="000A6276">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80210F1" w14:textId="77777777" w:rsidR="000A6276" w:rsidRPr="005347F5" w:rsidRDefault="000A6276" w:rsidP="000A6276">
      <w:pPr>
        <w:pStyle w:val="ListParagraph"/>
        <w:spacing w:before="120" w:after="240"/>
        <w:ind w:left="907"/>
        <w:rPr>
          <w:rFonts w:cstheme="minorHAnsi"/>
        </w:rPr>
      </w:pPr>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62140C2B" w:rsidR="00FB6BCE" w:rsidRDefault="00564AFD" w:rsidP="005347F5">
      <w:pPr>
        <w:pStyle w:val="ListParagraph"/>
        <w:numPr>
          <w:ilvl w:val="1"/>
          <w:numId w:val="3"/>
        </w:numPr>
        <w:spacing w:before="120" w:after="24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3D0D68" w:rsidRPr="003D0D68">
        <w:rPr>
          <w:rFonts w:cstheme="minorHAnsi"/>
        </w:rPr>
        <w:t>This protocol applies to selected one- or two-level degenerative lumbar conditions requiring unilateral decompression and interbody fusion</w:t>
      </w:r>
      <w:r w:rsidR="005347F5" w:rsidRPr="005347F5">
        <w:rPr>
          <w:rFonts w:cstheme="minorHAnsi"/>
        </w:rPr>
        <w:t>.</w:t>
      </w:r>
    </w:p>
    <w:p w14:paraId="03620837" w14:textId="77777777" w:rsidR="000A6276" w:rsidRPr="00B34113" w:rsidRDefault="000A6276" w:rsidP="000A6276">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88C8F4B" w14:textId="77777777" w:rsidR="000A6276" w:rsidRPr="005347F5" w:rsidRDefault="000A6276" w:rsidP="000A6276">
      <w:pPr>
        <w:pStyle w:val="ListParagraph"/>
        <w:spacing w:before="120" w:after="240"/>
        <w:ind w:left="907"/>
        <w:rPr>
          <w:rFonts w:cstheme="minorHAnsi"/>
        </w:rPr>
      </w:pP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5BCE469B" w:rsidR="00FB6BCE" w:rsidRDefault="00564AFD" w:rsidP="005347F5">
      <w:pPr>
        <w:pStyle w:val="ListParagraph"/>
        <w:numPr>
          <w:ilvl w:val="1"/>
          <w:numId w:val="43"/>
        </w:numPr>
        <w:spacing w:before="12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083E3A" w:rsidRPr="00083E3A">
        <w:rPr>
          <w:rFonts w:cstheme="minorHAnsi"/>
        </w:rPr>
        <w:t>This protocol allows researchers to evaluate blood loss, hospital stay, clinical outcomes, fusion, MRI-assessed muscle preservation, radiation exposure, and learning curves</w:t>
      </w:r>
      <w:r w:rsidR="005347F5" w:rsidRPr="005347F5">
        <w:rPr>
          <w:rFonts w:cstheme="minorHAnsi"/>
        </w:rPr>
        <w:t>.</w:t>
      </w:r>
    </w:p>
    <w:p w14:paraId="02FFC7E7" w14:textId="77777777" w:rsidR="000A6276" w:rsidRPr="00B34113" w:rsidRDefault="000A6276" w:rsidP="000A6276">
      <w:pPr>
        <w:pStyle w:val="ListParagraph"/>
        <w:numPr>
          <w:ilvl w:val="2"/>
          <w:numId w:val="43"/>
        </w:numPr>
        <w:rPr>
          <w:rFonts w:cstheme="minorHAnsi"/>
        </w:rPr>
      </w:pPr>
      <w:r w:rsidRPr="00DA3DCC">
        <w:rPr>
          <w:rFonts w:cstheme="minorHAnsi"/>
          <w:bCs/>
        </w:rPr>
        <w:lastRenderedPageBreak/>
        <w:t>INTERVIEW: Named talent says the statement above in an interview-style shot, looking slightly off-camera.</w:t>
      </w:r>
      <w:r w:rsidRPr="00DA3DCC">
        <w:rPr>
          <w:rFonts w:cstheme="minorHAnsi"/>
          <w:i/>
          <w:color w:val="0000FF"/>
        </w:rPr>
        <w:t xml:space="preserve"> </w:t>
      </w:r>
    </w:p>
    <w:p w14:paraId="0E9EF3E8" w14:textId="77777777" w:rsidR="000A6276" w:rsidRPr="005347F5" w:rsidRDefault="000A6276" w:rsidP="000A6276">
      <w:pPr>
        <w:pStyle w:val="ListParagraph"/>
        <w:spacing w:before="120"/>
        <w:ind w:left="907"/>
        <w:rPr>
          <w:rFonts w:cstheme="minorHAnsi"/>
        </w:rPr>
      </w:pP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A95932B" w:rsidR="00FB6BCE" w:rsidRDefault="00564AFD" w:rsidP="005347F5">
      <w:pPr>
        <w:pStyle w:val="ListParagraph"/>
        <w:numPr>
          <w:ilvl w:val="1"/>
          <w:numId w:val="43"/>
        </w:numPr>
        <w:spacing w:before="12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5C5B0E" w:rsidRPr="005C5B0E">
        <w:rPr>
          <w:rFonts w:eastAsia="Times New Roman" w:cstheme="minorHAnsi"/>
        </w:rPr>
        <w:t>The primary challenge is accurately identifying the multifidus–longissimus interval after confirming the surgical level and trajectory using fluoroscopy.</w:t>
      </w:r>
    </w:p>
    <w:p w14:paraId="4C3BC894" w14:textId="77777777" w:rsidR="000A6276" w:rsidRPr="00B34113" w:rsidRDefault="000A6276" w:rsidP="000A6276">
      <w:pPr>
        <w:pStyle w:val="ListParagraph"/>
        <w:numPr>
          <w:ilvl w:val="2"/>
          <w:numId w:val="4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137FEEE" w14:textId="77777777" w:rsidR="000A6276" w:rsidRPr="005347F5" w:rsidRDefault="000A6276" w:rsidP="000A6276">
      <w:pPr>
        <w:pStyle w:val="ListParagraph"/>
        <w:spacing w:before="120"/>
        <w:ind w:left="907"/>
        <w:rPr>
          <w:rFonts w:cstheme="minorHAnsi"/>
        </w:rPr>
      </w:pPr>
    </w:p>
    <w:p w14:paraId="6AF88D77" w14:textId="77777777" w:rsidR="00FB6BCE" w:rsidRPr="00B07A3B" w:rsidRDefault="00FB6BCE" w:rsidP="00FB6BCE">
      <w:pPr>
        <w:rPr>
          <w:rFonts w:eastAsia="Times New Roman" w:cstheme="minorHAnsi"/>
        </w:rPr>
      </w:pPr>
    </w:p>
    <w:p w14:paraId="268D279D" w14:textId="77777777" w:rsidR="00470534" w:rsidRDefault="00470534" w:rsidP="00000E22">
      <w:pPr>
        <w:spacing w:before="120"/>
        <w:rPr>
          <w:rFonts w:cstheme="minorHAnsi"/>
        </w:rPr>
      </w:pPr>
    </w:p>
    <w:p w14:paraId="6E8C4157" w14:textId="77777777" w:rsidR="00470534" w:rsidRDefault="00470534" w:rsidP="00000E22">
      <w:pPr>
        <w:spacing w:before="120"/>
        <w:rPr>
          <w:rFonts w:cstheme="minorHAnsi"/>
        </w:rPr>
      </w:pPr>
    </w:p>
    <w:p w14:paraId="01AF6970" w14:textId="77777777" w:rsidR="00470534" w:rsidRDefault="00470534" w:rsidP="00470534">
      <w:pPr>
        <w:pStyle w:val="ListParagraph"/>
        <w:spacing w:before="120" w:after="240"/>
        <w:ind w:left="360"/>
        <w:contextualSpacing w:val="0"/>
        <w:rPr>
          <w:rFonts w:cstheme="minorHAnsi"/>
          <w:b/>
          <w:bCs/>
        </w:rPr>
      </w:pPr>
      <w:r w:rsidRPr="00C63B19">
        <w:rPr>
          <w:rFonts w:cstheme="minorHAnsi"/>
          <w:b/>
          <w:bCs/>
        </w:rPr>
        <w:t>Ethics Title Card</w:t>
      </w:r>
    </w:p>
    <w:p w14:paraId="0B11AA08" w14:textId="4BA30B19" w:rsidR="00470534" w:rsidRPr="00F11C5C" w:rsidRDefault="00470534" w:rsidP="00470534">
      <w:pPr>
        <w:pStyle w:val="ListParagraph"/>
        <w:spacing w:before="120" w:after="240"/>
        <w:ind w:left="360"/>
        <w:contextualSpacing w:val="0"/>
        <w:rPr>
          <w:rFonts w:cstheme="minorHAnsi"/>
          <w:b/>
          <w:bCs/>
        </w:rPr>
      </w:pPr>
      <w:r w:rsidRPr="00B36993">
        <w:rPr>
          <w:rFonts w:eastAsia="Times New Roman" w:cstheme="minorHAnsi"/>
        </w:rPr>
        <w:br/>
      </w:r>
      <w:r w:rsidR="00730EB3">
        <w:rPr>
          <w:rFonts w:eastAsia="Times New Roman" w:cstheme="minorHAnsi"/>
        </w:rPr>
        <w:t xml:space="preserve">IRB approval not required for filming technique as </w:t>
      </w:r>
      <w:r w:rsidR="00A02EFE">
        <w:rPr>
          <w:rFonts w:eastAsia="Times New Roman" w:cstheme="minorHAnsi"/>
        </w:rPr>
        <w:t xml:space="preserve">the </w:t>
      </w:r>
      <w:r w:rsidR="00730EB3">
        <w:rPr>
          <w:rFonts w:eastAsia="Times New Roman" w:cstheme="minorHAnsi"/>
        </w:rPr>
        <w:t>technique is on</w:t>
      </w:r>
      <w:r w:rsidR="00A02EFE">
        <w:rPr>
          <w:rFonts w:eastAsia="Times New Roman" w:cstheme="minorHAnsi"/>
        </w:rPr>
        <w:t xml:space="preserve"> a</w:t>
      </w:r>
      <w:r w:rsidR="00730EB3">
        <w:rPr>
          <w:rFonts w:eastAsia="Times New Roman" w:cstheme="minorHAnsi"/>
        </w:rPr>
        <w:t xml:space="preserve"> cadaver</w:t>
      </w:r>
    </w:p>
    <w:p w14:paraId="65EDF9E7" w14:textId="7599070E" w:rsidR="00470534" w:rsidRPr="00470534" w:rsidRDefault="001016BD" w:rsidP="00AF3977">
      <w:pPr>
        <w:spacing w:before="120"/>
        <w:rPr>
          <w:rFonts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46B89620" w:rsidR="00CE10F2" w:rsidRPr="00B9558B" w:rsidRDefault="00B9558B" w:rsidP="00B9558B">
      <w:pPr>
        <w:pStyle w:val="ListParagraph"/>
        <w:keepNext/>
        <w:numPr>
          <w:ilvl w:val="0"/>
          <w:numId w:val="3"/>
        </w:numPr>
        <w:spacing w:before="120"/>
        <w:contextualSpacing w:val="0"/>
        <w:rPr>
          <w:rFonts w:cstheme="minorHAnsi"/>
          <w:b/>
          <w:bCs/>
        </w:rPr>
      </w:pPr>
      <w:r>
        <w:rPr>
          <w:b/>
          <w:color w:val="000000"/>
        </w:rPr>
        <w:t>Skin Incision and Fascial Exposure</w:t>
      </w:r>
    </w:p>
    <w:p w14:paraId="649FC835" w14:textId="55782DFE" w:rsidR="001E0433" w:rsidRPr="000A6276" w:rsidRDefault="00D7547B" w:rsidP="000A6276">
      <w:pPr>
        <w:pStyle w:val="ListParagraph"/>
        <w:spacing w:before="120"/>
        <w:ind w:left="360"/>
        <w:contextualSpacing w:val="0"/>
        <w:rPr>
          <w:rFonts w:cstheme="minorHAnsi"/>
        </w:rPr>
      </w:pPr>
      <w:r>
        <w:rPr>
          <w:rFonts w:cstheme="minorHAnsi"/>
          <w:b/>
          <w:bCs/>
        </w:rPr>
        <w:t xml:space="preserve">Demonstrator: </w:t>
      </w:r>
      <w:r w:rsidR="00564AFD" w:rsidRPr="000A6276">
        <w:rPr>
          <w:rFonts w:cstheme="minorHAnsi"/>
          <w:b/>
          <w:bCs/>
        </w:rPr>
        <w:t>Dr. Hannah Harris</w:t>
      </w:r>
    </w:p>
    <w:p w14:paraId="22279C31" w14:textId="77777777" w:rsidR="001E0433" w:rsidRDefault="001E0433" w:rsidP="00D7547B">
      <w:pPr>
        <w:pStyle w:val="ListParagraph"/>
        <w:spacing w:before="120"/>
        <w:ind w:left="360"/>
        <w:contextualSpacing w:val="0"/>
        <w:rPr>
          <w:rFonts w:cstheme="minorHAnsi"/>
          <w:b/>
          <w:bCs/>
        </w:rPr>
      </w:pPr>
    </w:p>
    <w:p w14:paraId="529AA996" w14:textId="0DA8B83E" w:rsidR="00B9558B" w:rsidRPr="00B07A3B" w:rsidRDefault="00470534" w:rsidP="00B9558B">
      <w:pPr>
        <w:pStyle w:val="ListParagraph"/>
        <w:keepNext/>
        <w:numPr>
          <w:ilvl w:val="1"/>
          <w:numId w:val="3"/>
        </w:numPr>
        <w:spacing w:before="120"/>
        <w:contextualSpacing w:val="0"/>
        <w:rPr>
          <w:rFonts w:cstheme="minorHAnsi"/>
        </w:rPr>
      </w:pPr>
      <w:r>
        <w:rPr>
          <w:color w:val="7030A0"/>
        </w:rPr>
        <w:t>Begin by approaching</w:t>
      </w:r>
      <w:r w:rsidRPr="00470534">
        <w:rPr>
          <w:color w:val="7030A0"/>
        </w:rPr>
        <w:t xml:space="preserve"> the target disc space from the side of the symptomatic pathology</w:t>
      </w:r>
      <w:r w:rsidR="00DD4FC5">
        <w:rPr>
          <w:color w:val="7030A0"/>
        </w:rPr>
        <w:t xml:space="preserve"> </w:t>
      </w:r>
      <w:r w:rsidR="00B9558B">
        <w:rPr>
          <w:b/>
          <w:color w:val="7030A0"/>
        </w:rPr>
        <w:t>[1]</w:t>
      </w:r>
      <w:r w:rsidR="00B9558B">
        <w:rPr>
          <w:color w:val="7030A0"/>
        </w:rPr>
        <w:t xml:space="preserve">. Create a longitudinal paramedian skin incision approximately 2 to 3 centimeters long, 2 centimeters lateral to the midline and centered over the target disc space </w:t>
      </w:r>
      <w:r w:rsidR="00B9558B">
        <w:rPr>
          <w:b/>
          <w:color w:val="7030A0"/>
        </w:rPr>
        <w:t>[2]</w:t>
      </w:r>
      <w:r w:rsidR="00B9558B">
        <w:rPr>
          <w:color w:val="7030A0"/>
        </w:rPr>
        <w:t xml:space="preserve">. Carry the incision through the skin, subcutaneous fat, and superficial fascial layer to the thoracolumbar, or lumbodorsal, fascia </w:t>
      </w:r>
      <w:r w:rsidR="00B9558B">
        <w:rPr>
          <w:b/>
          <w:color w:val="7030A0"/>
        </w:rPr>
        <w:t>[3]</w:t>
      </w:r>
      <w:r w:rsidR="00B9558B">
        <w:rPr>
          <w:color w:val="7030A0"/>
        </w:rPr>
        <w:t>.</w:t>
      </w:r>
    </w:p>
    <w:p w14:paraId="1268BA02" w14:textId="0FE88558"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 xml:space="preserve">WIDE: </w:t>
      </w:r>
      <w:r w:rsidR="00470534">
        <w:rPr>
          <w:color w:val="000000"/>
        </w:rPr>
        <w:t>Talent standing beside the</w:t>
      </w:r>
      <w:r>
        <w:rPr>
          <w:color w:val="000000"/>
        </w:rPr>
        <w:t xml:space="preserve"> patient </w:t>
      </w:r>
      <w:r w:rsidR="00470534">
        <w:rPr>
          <w:color w:val="000000"/>
        </w:rPr>
        <w:t>with</w:t>
      </w:r>
      <w:r>
        <w:rPr>
          <w:color w:val="000000"/>
        </w:rPr>
        <w:t xml:space="preserve"> selected approach side </w:t>
      </w:r>
      <w:r w:rsidR="00470534">
        <w:rPr>
          <w:color w:val="000000"/>
        </w:rPr>
        <w:t>in view</w:t>
      </w:r>
      <w:r>
        <w:rPr>
          <w:color w:val="000000"/>
        </w:rPr>
        <w:t>.</w:t>
      </w:r>
    </w:p>
    <w:p w14:paraId="56B4A26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creating the longitudinal paramedian skin incision.</w:t>
      </w:r>
    </w:p>
    <w:p w14:paraId="6AC68AA0" w14:textId="77777777" w:rsidR="00B9558B" w:rsidRP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carrying the incision down to the lumbodorsal fascia.</w:t>
      </w:r>
    </w:p>
    <w:p w14:paraId="4AA892EA" w14:textId="77777777" w:rsidR="00B9558B" w:rsidRPr="00B9558B" w:rsidRDefault="00B9558B" w:rsidP="00B9558B">
      <w:pPr>
        <w:pStyle w:val="ListParagraph"/>
        <w:keepLines/>
        <w:tabs>
          <w:tab w:val="num" w:pos="1800"/>
        </w:tabs>
        <w:spacing w:before="120"/>
        <w:ind w:left="1800"/>
        <w:contextualSpacing w:val="0"/>
        <w:rPr>
          <w:rFonts w:cstheme="minorHAnsi"/>
        </w:rPr>
      </w:pPr>
    </w:p>
    <w:p w14:paraId="79023AE5" w14:textId="1417D218"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Divide the subcutaneous tissue using a combination of sharp dissection and electrocautery </w:t>
      </w:r>
      <w:r>
        <w:rPr>
          <w:b/>
          <w:color w:val="7030A0"/>
        </w:rPr>
        <w:t>[1]</w:t>
      </w:r>
      <w:r>
        <w:rPr>
          <w:color w:val="7030A0"/>
        </w:rPr>
        <w:t xml:space="preserve">. Place a self-retaining retractor to expose the lumbodorsal </w:t>
      </w:r>
      <w:r w:rsidR="00071CBD">
        <w:rPr>
          <w:color w:val="7030A0"/>
        </w:rPr>
        <w:t xml:space="preserve">fascia </w:t>
      </w:r>
      <w:r w:rsidR="00071CBD">
        <w:rPr>
          <w:b/>
          <w:color w:val="7030A0"/>
        </w:rPr>
        <w:t>[2]</w:t>
      </w:r>
      <w:r w:rsidR="00071CBD">
        <w:rPr>
          <w:color w:val="7030A0"/>
        </w:rPr>
        <w:t xml:space="preserve"> and</w:t>
      </w:r>
      <w:r>
        <w:rPr>
          <w:color w:val="7030A0"/>
        </w:rPr>
        <w:t xml:space="preserve"> obtain hemostasis with bipolar forceps or pressure </w:t>
      </w:r>
      <w:r>
        <w:rPr>
          <w:b/>
          <w:color w:val="7030A0"/>
        </w:rPr>
        <w:t>[3]</w:t>
      </w:r>
      <w:r>
        <w:rPr>
          <w:color w:val="7030A0"/>
        </w:rPr>
        <w:t>.</w:t>
      </w:r>
    </w:p>
    <w:p w14:paraId="659A629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dividing the subcutaneous tissue with sharp dissection and electrocautery.</w:t>
      </w:r>
    </w:p>
    <w:p w14:paraId="6EC44CC9"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placing a self-retaining retractor to expose the lumbodorsal fascia.</w:t>
      </w:r>
    </w:p>
    <w:p w14:paraId="7BC29B60"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obtaining hemostasis with bipolar forceps or pressure.</w:t>
      </w:r>
    </w:p>
    <w:p w14:paraId="73CFA27D" w14:textId="77777777" w:rsidR="00B9558B" w:rsidRDefault="00B9558B" w:rsidP="00B9558B">
      <w:pPr>
        <w:pStyle w:val="ListParagraph"/>
        <w:spacing w:before="120"/>
        <w:ind w:left="360"/>
        <w:contextualSpacing w:val="0"/>
        <w:rPr>
          <w:rFonts w:cstheme="minorHAnsi"/>
          <w:b/>
          <w:bCs/>
        </w:rPr>
      </w:pPr>
    </w:p>
    <w:p w14:paraId="7F9995E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Incise the lumbodorsal fascia in line with the skin incision to expose the underlying paraspinal muscles </w:t>
      </w:r>
      <w:r>
        <w:rPr>
          <w:b/>
          <w:color w:val="7030A0"/>
        </w:rPr>
        <w:t>[1]</w:t>
      </w:r>
      <w:r>
        <w:rPr>
          <w:color w:val="7030A0"/>
        </w:rPr>
        <w:t>.</w:t>
      </w:r>
    </w:p>
    <w:p w14:paraId="4218F94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incising the lumbodorsal fascia to expose the paraspinal muscles.</w:t>
      </w:r>
    </w:p>
    <w:p w14:paraId="10F1EC58" w14:textId="77777777" w:rsidR="00B9558B" w:rsidRDefault="00B9558B" w:rsidP="00B9558B">
      <w:pPr>
        <w:pStyle w:val="ListParagraph"/>
        <w:keepLines/>
        <w:tabs>
          <w:tab w:val="num" w:pos="1800"/>
        </w:tabs>
        <w:spacing w:before="120"/>
        <w:ind w:left="1800"/>
        <w:contextualSpacing w:val="0"/>
        <w:rPr>
          <w:rFonts w:cstheme="minorHAnsi"/>
        </w:rPr>
      </w:pPr>
    </w:p>
    <w:p w14:paraId="1F99A483" w14:textId="34C2C1EC" w:rsidR="00CE10F2" w:rsidRPr="00B9558B" w:rsidRDefault="00B9558B" w:rsidP="00B9558B">
      <w:pPr>
        <w:pStyle w:val="ListParagraph"/>
        <w:keepNext/>
        <w:numPr>
          <w:ilvl w:val="0"/>
          <w:numId w:val="3"/>
        </w:numPr>
        <w:spacing w:before="120"/>
        <w:contextualSpacing w:val="0"/>
        <w:rPr>
          <w:rFonts w:cstheme="minorHAnsi"/>
          <w:b/>
          <w:bCs/>
        </w:rPr>
      </w:pPr>
      <w:r>
        <w:rPr>
          <w:b/>
          <w:color w:val="000000"/>
        </w:rPr>
        <w:t>Muscle-Sparing Dissection</w:t>
      </w:r>
    </w:p>
    <w:p w14:paraId="6080DECA" w14:textId="77777777" w:rsidR="00D7547B" w:rsidRPr="00D7547B" w:rsidRDefault="00D7547B" w:rsidP="00D7547B">
      <w:pPr>
        <w:pStyle w:val="ListParagraph"/>
        <w:spacing w:before="120"/>
        <w:ind w:left="360"/>
        <w:contextualSpacing w:val="0"/>
        <w:rPr>
          <w:rFonts w:cstheme="minorHAnsi"/>
          <w:b/>
          <w:bCs/>
        </w:rPr>
      </w:pPr>
    </w:p>
    <w:p w14:paraId="1124B646" w14:textId="7694CC1B" w:rsidR="00B9558B" w:rsidRPr="00B07A3B" w:rsidRDefault="00B9558B" w:rsidP="00B9558B">
      <w:pPr>
        <w:pStyle w:val="ListParagraph"/>
        <w:keepNext/>
        <w:numPr>
          <w:ilvl w:val="1"/>
          <w:numId w:val="3"/>
        </w:numPr>
        <w:spacing w:before="120"/>
        <w:contextualSpacing w:val="0"/>
        <w:rPr>
          <w:rFonts w:cstheme="minorHAnsi"/>
        </w:rPr>
      </w:pPr>
      <w:r>
        <w:rPr>
          <w:color w:val="7030A0"/>
        </w:rPr>
        <w:t>Identify the natural interval between the medial multifidus and lateral longissimus muscles with a blunt finger sweep</w:t>
      </w:r>
      <w:r w:rsidR="00071CBD">
        <w:rPr>
          <w:color w:val="7030A0"/>
        </w:rPr>
        <w:t xml:space="preserve"> </w:t>
      </w:r>
      <w:r w:rsidR="00071CBD" w:rsidRPr="00071CBD">
        <w:rPr>
          <w:b/>
          <w:bCs/>
          <w:color w:val="7030A0"/>
        </w:rPr>
        <w:t>[1]</w:t>
      </w:r>
      <w:r w:rsidR="00071CBD">
        <w:rPr>
          <w:color w:val="7030A0"/>
        </w:rPr>
        <w:t>.</w:t>
      </w:r>
      <w:r>
        <w:rPr>
          <w:color w:val="7030A0"/>
        </w:rPr>
        <w:t xml:space="preserve"> Advance the finger primarily from cranial to caudal with a slight medial-to-lateral direction toward the transverse process </w:t>
      </w:r>
      <w:r>
        <w:rPr>
          <w:b/>
          <w:color w:val="7030A0"/>
        </w:rPr>
        <w:t>[</w:t>
      </w:r>
      <w:r w:rsidR="00071CBD">
        <w:rPr>
          <w:b/>
          <w:color w:val="7030A0"/>
        </w:rPr>
        <w:t>2</w:t>
      </w:r>
      <w:r>
        <w:rPr>
          <w:b/>
          <w:color w:val="7030A0"/>
        </w:rPr>
        <w:t>]</w:t>
      </w:r>
      <w:r>
        <w:rPr>
          <w:color w:val="7030A0"/>
        </w:rPr>
        <w:t>.</w:t>
      </w:r>
    </w:p>
    <w:p w14:paraId="4871672F" w14:textId="77777777" w:rsidR="00B9558B" w:rsidRPr="004773A9"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developing the interval between the multifidus and longissimus muscles with a blunt finger sweep.</w:t>
      </w:r>
    </w:p>
    <w:p w14:paraId="2C91160A" w14:textId="3EC1C0AC" w:rsidR="004773A9" w:rsidRDefault="004773A9" w:rsidP="00B9558B">
      <w:pPr>
        <w:pStyle w:val="ListParagraph"/>
        <w:keepLines/>
        <w:numPr>
          <w:ilvl w:val="2"/>
          <w:numId w:val="3"/>
        </w:numPr>
        <w:tabs>
          <w:tab w:val="num" w:pos="1800"/>
        </w:tabs>
        <w:spacing w:before="120"/>
        <w:ind w:left="1800"/>
        <w:contextualSpacing w:val="0"/>
        <w:rPr>
          <w:rFonts w:cstheme="minorHAnsi"/>
        </w:rPr>
      </w:pPr>
      <w:r>
        <w:rPr>
          <w:color w:val="000000"/>
        </w:rPr>
        <w:lastRenderedPageBreak/>
        <w:t>CU: Talent advancing the finger from cranial to caudal direction towards the transverse process.</w:t>
      </w:r>
    </w:p>
    <w:p w14:paraId="4190420D" w14:textId="77777777" w:rsidR="00B9558B" w:rsidRDefault="00B9558B" w:rsidP="00B9558B">
      <w:pPr>
        <w:pStyle w:val="ListParagraph"/>
        <w:spacing w:before="120"/>
        <w:ind w:left="360"/>
        <w:contextualSpacing w:val="0"/>
        <w:rPr>
          <w:rFonts w:cstheme="minorHAnsi"/>
          <w:b/>
          <w:bCs/>
        </w:rPr>
      </w:pPr>
    </w:p>
    <w:p w14:paraId="5642CD9B"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Palpate the transverse process </w:t>
      </w:r>
      <w:r>
        <w:rPr>
          <w:b/>
          <w:color w:val="7030A0"/>
        </w:rPr>
        <w:t>[1]</w:t>
      </w:r>
      <w:r>
        <w:rPr>
          <w:color w:val="7030A0"/>
        </w:rPr>
        <w:t xml:space="preserve">. Direct the dissection to the junction of the transverse process and superior articular process, then over the ipsilateral lamina </w:t>
      </w:r>
      <w:r>
        <w:rPr>
          <w:b/>
          <w:color w:val="7030A0"/>
        </w:rPr>
        <w:t>[2]</w:t>
      </w:r>
      <w:r>
        <w:rPr>
          <w:color w:val="7030A0"/>
        </w:rPr>
        <w:t>.</w:t>
      </w:r>
    </w:p>
    <w:p w14:paraId="5BD687D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palpating the transverse process.</w:t>
      </w:r>
    </w:p>
    <w:p w14:paraId="5025A5A8"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directing the dissection to the transverse process-superior articular process junction and over the ipsilateral lamina.</w:t>
      </w:r>
    </w:p>
    <w:p w14:paraId="4F510F79" w14:textId="77777777" w:rsidR="00B9558B" w:rsidRDefault="00B9558B" w:rsidP="00B9558B">
      <w:pPr>
        <w:pStyle w:val="ListParagraph"/>
        <w:spacing w:before="120"/>
        <w:ind w:left="360"/>
        <w:contextualSpacing w:val="0"/>
        <w:rPr>
          <w:rFonts w:cstheme="minorHAnsi"/>
          <w:b/>
          <w:bCs/>
        </w:rPr>
      </w:pPr>
    </w:p>
    <w:p w14:paraId="73CB6EF1"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Insert the smallest dilator through the developed interval and dock it on the facet complex </w:t>
      </w:r>
      <w:r>
        <w:rPr>
          <w:b/>
          <w:color w:val="7030A0"/>
        </w:rPr>
        <w:t>[1]</w:t>
      </w:r>
      <w:r>
        <w:rPr>
          <w:color w:val="7030A0"/>
        </w:rPr>
        <w:t xml:space="preserve">. Separate the muscle fibers to approximately two fingerbreadths and seat the dilator </w:t>
      </w:r>
      <w:r>
        <w:rPr>
          <w:b/>
          <w:color w:val="7030A0"/>
        </w:rPr>
        <w:t>[2]</w:t>
      </w:r>
      <w:r>
        <w:rPr>
          <w:color w:val="7030A0"/>
        </w:rPr>
        <w:t xml:space="preserve">. Separate additional fibers as needed to accommodate the larger working portal during sequential dilation </w:t>
      </w:r>
      <w:r>
        <w:rPr>
          <w:b/>
          <w:color w:val="7030A0"/>
        </w:rPr>
        <w:t>[3]</w:t>
      </w:r>
      <w:r>
        <w:rPr>
          <w:color w:val="7030A0"/>
        </w:rPr>
        <w:t>.</w:t>
      </w:r>
    </w:p>
    <w:p w14:paraId="5E6C1985"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inserting the smallest dilator and docking it on the facet complex.</w:t>
      </w:r>
    </w:p>
    <w:p w14:paraId="741BFAD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separating the muscle fibers and seating the smallest dilator.</w:t>
      </w:r>
    </w:p>
    <w:p w14:paraId="707265F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expanding the muscle interval as needed for the larger working portal.</w:t>
      </w:r>
    </w:p>
    <w:p w14:paraId="6FBF8621" w14:textId="77777777" w:rsidR="00B9558B" w:rsidRDefault="00B9558B" w:rsidP="00B9558B">
      <w:pPr>
        <w:pStyle w:val="ListParagraph"/>
        <w:spacing w:before="120"/>
        <w:ind w:left="360"/>
        <w:contextualSpacing w:val="0"/>
        <w:rPr>
          <w:rFonts w:cstheme="minorHAnsi"/>
          <w:b/>
          <w:bCs/>
        </w:rPr>
      </w:pPr>
    </w:p>
    <w:p w14:paraId="64679B45" w14:textId="3A6E6947"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Tubular Retractor Exposure</w:t>
      </w:r>
    </w:p>
    <w:p w14:paraId="47D13BC3" w14:textId="77777777" w:rsidR="002D5FA6" w:rsidRPr="002D5FA6" w:rsidRDefault="002D5FA6" w:rsidP="002D5FA6">
      <w:pPr>
        <w:spacing w:before="120"/>
        <w:rPr>
          <w:rFonts w:cstheme="minorHAnsi"/>
        </w:rPr>
      </w:pPr>
    </w:p>
    <w:p w14:paraId="00BC783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Perform sequential dilation over the initial dilator and place an </w:t>
      </w:r>
      <w:commentRangeStart w:id="1"/>
      <w:r>
        <w:rPr>
          <w:color w:val="7030A0"/>
        </w:rPr>
        <w:t xml:space="preserve">18- to 22-millimeter tubular retractor for decompression or a 26-millimeter retractor for interbody fusion </w:t>
      </w:r>
      <w:commentRangeEnd w:id="1"/>
      <w:r w:rsidR="002D5FA6">
        <w:rPr>
          <w:rStyle w:val="CommentReference"/>
          <w:b/>
          <w:color w:val="7030A0"/>
          <w:sz w:val="24"/>
          <w:szCs w:val="24"/>
        </w:rPr>
        <w:commentReference w:id="1"/>
      </w:r>
      <w:r>
        <w:rPr>
          <w:b/>
          <w:color w:val="7030A0"/>
        </w:rPr>
        <w:t>[1]</w:t>
      </w:r>
      <w:r>
        <w:rPr>
          <w:color w:val="7030A0"/>
        </w:rPr>
        <w:t xml:space="preserve">. Advance each dilator along the established trajectory with a slight medial-to-lateral angle toward the facet complex </w:t>
      </w:r>
      <w:r>
        <w:rPr>
          <w:b/>
          <w:color w:val="7030A0"/>
        </w:rPr>
        <w:t>[2]</w:t>
      </w:r>
      <w:r>
        <w:rPr>
          <w:color w:val="7030A0"/>
        </w:rPr>
        <w:t>.</w:t>
      </w:r>
    </w:p>
    <w:p w14:paraId="595CC9F8"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WIDE: Talent performing sequential dilation and placing the procedure-appropriate tubular retractor.</w:t>
      </w:r>
    </w:p>
    <w:p w14:paraId="57BD0FD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advancing the dilators along the established trajectory toward the facet complex.</w:t>
      </w:r>
    </w:p>
    <w:p w14:paraId="0B150A11" w14:textId="77777777" w:rsidR="00B9558B" w:rsidRDefault="00B9558B" w:rsidP="00B9558B">
      <w:pPr>
        <w:pStyle w:val="ListParagraph"/>
        <w:spacing w:before="120"/>
        <w:ind w:left="360"/>
        <w:contextualSpacing w:val="0"/>
        <w:rPr>
          <w:rFonts w:cstheme="minorHAnsi"/>
          <w:b/>
          <w:bCs/>
        </w:rPr>
      </w:pPr>
    </w:p>
    <w:p w14:paraId="412FDDA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Attach the tubular retractor to a table-mounted retractor arm </w:t>
      </w:r>
      <w:r>
        <w:rPr>
          <w:b/>
          <w:color w:val="7030A0"/>
        </w:rPr>
        <w:t>[1]</w:t>
      </w:r>
      <w:r>
        <w:rPr>
          <w:color w:val="7030A0"/>
        </w:rPr>
        <w:t xml:space="preserve">. Dock the tubular retractor on the facet complex </w:t>
      </w:r>
      <w:r>
        <w:rPr>
          <w:b/>
          <w:color w:val="7030A0"/>
        </w:rPr>
        <w:t>[2]</w:t>
      </w:r>
      <w:r>
        <w:rPr>
          <w:color w:val="7030A0"/>
        </w:rPr>
        <w:t>.</w:t>
      </w:r>
    </w:p>
    <w:p w14:paraId="64583C3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WIDE: Talent attaching the tubular retractor to the table-mounted retractor arm.</w:t>
      </w:r>
    </w:p>
    <w:p w14:paraId="280A17C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docking the tubular retractor on the facet complex.</w:t>
      </w:r>
    </w:p>
    <w:p w14:paraId="3EDA8B2D" w14:textId="77777777" w:rsidR="00B9558B" w:rsidRPr="00B9558B" w:rsidRDefault="00B9558B" w:rsidP="00B9558B">
      <w:pPr>
        <w:spacing w:before="120"/>
        <w:rPr>
          <w:rFonts w:cstheme="minorHAnsi"/>
        </w:rPr>
      </w:pPr>
    </w:p>
    <w:p w14:paraId="42CBB400" w14:textId="7492BFC4"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Decompression</w:t>
      </w:r>
    </w:p>
    <w:p w14:paraId="5504732D" w14:textId="77777777" w:rsidR="002D5FA6" w:rsidRPr="002D5FA6" w:rsidRDefault="002D5FA6" w:rsidP="002D5FA6">
      <w:pPr>
        <w:spacing w:before="120"/>
        <w:rPr>
          <w:rFonts w:cstheme="minorHAnsi"/>
        </w:rPr>
      </w:pPr>
    </w:p>
    <w:p w14:paraId="5830CF68" w14:textId="77777777" w:rsidR="006C53CC" w:rsidRPr="006C53CC" w:rsidRDefault="00B9558B" w:rsidP="00B9558B">
      <w:pPr>
        <w:pStyle w:val="ListParagraph"/>
        <w:keepNext/>
        <w:numPr>
          <w:ilvl w:val="1"/>
          <w:numId w:val="3"/>
        </w:numPr>
        <w:spacing w:before="120"/>
        <w:contextualSpacing w:val="0"/>
        <w:rPr>
          <w:rFonts w:cstheme="minorHAnsi"/>
        </w:rPr>
      </w:pPr>
      <w:r>
        <w:rPr>
          <w:color w:val="7030A0"/>
        </w:rPr>
        <w:t xml:space="preserve">Perform an ipsilateral hemilaminectomy and medial facetectomy with a high-speed burr and Kerrison rongeur </w:t>
      </w:r>
      <w:r>
        <w:rPr>
          <w:b/>
          <w:color w:val="7030A0"/>
        </w:rPr>
        <w:t>[1]</w:t>
      </w:r>
      <w:r>
        <w:rPr>
          <w:color w:val="7030A0"/>
        </w:rPr>
        <w:t xml:space="preserve">. </w:t>
      </w:r>
    </w:p>
    <w:p w14:paraId="2CC35168" w14:textId="77777777" w:rsidR="006C53CC" w:rsidRDefault="006C53CC" w:rsidP="006C53CC">
      <w:pPr>
        <w:pStyle w:val="ListParagraph"/>
        <w:keepLines/>
        <w:numPr>
          <w:ilvl w:val="2"/>
          <w:numId w:val="3"/>
        </w:numPr>
        <w:tabs>
          <w:tab w:val="num" w:pos="1800"/>
        </w:tabs>
        <w:spacing w:before="120"/>
        <w:ind w:left="1800"/>
        <w:contextualSpacing w:val="0"/>
        <w:rPr>
          <w:rFonts w:cstheme="minorHAnsi"/>
        </w:rPr>
      </w:pPr>
      <w:r>
        <w:rPr>
          <w:color w:val="000000"/>
        </w:rPr>
        <w:t>CU: Talent performing the ipsilateral hemilaminectomy and medial facetectomy.</w:t>
      </w:r>
    </w:p>
    <w:p w14:paraId="69563F32" w14:textId="77777777" w:rsidR="006C53CC" w:rsidRPr="006C53CC" w:rsidRDefault="006C53CC" w:rsidP="006C53CC">
      <w:pPr>
        <w:pStyle w:val="ListParagraph"/>
        <w:keepNext/>
        <w:spacing w:before="120"/>
        <w:ind w:left="907"/>
        <w:contextualSpacing w:val="0"/>
        <w:rPr>
          <w:rFonts w:cstheme="minorHAnsi"/>
        </w:rPr>
      </w:pPr>
    </w:p>
    <w:p w14:paraId="488198A3" w14:textId="7C8A21A5" w:rsidR="00B9558B" w:rsidRPr="00B07A3B" w:rsidRDefault="00B9558B" w:rsidP="00B9558B">
      <w:pPr>
        <w:pStyle w:val="ListParagraph"/>
        <w:keepNext/>
        <w:numPr>
          <w:ilvl w:val="1"/>
          <w:numId w:val="3"/>
        </w:numPr>
        <w:spacing w:before="120"/>
        <w:contextualSpacing w:val="0"/>
        <w:rPr>
          <w:rFonts w:cstheme="minorHAnsi"/>
        </w:rPr>
      </w:pPr>
      <w:r>
        <w:rPr>
          <w:color w:val="7030A0"/>
        </w:rPr>
        <w:t>Starting at the inferior edge of the cranial lamina, proceed caudally and remove the inferior portion of the cranial lamina and the medial third to half of the superior articular process until the lateral border of the traversing nerve root and medial pedicle wall are exposed</w:t>
      </w:r>
      <w:r w:rsidR="005B4602">
        <w:rPr>
          <w:color w:val="7030A0"/>
        </w:rPr>
        <w:t xml:space="preserve">, taking care to preserve </w:t>
      </w:r>
      <w:r w:rsidR="005B4602" w:rsidRPr="005B4602">
        <w:rPr>
          <w:color w:val="7030A0"/>
        </w:rPr>
        <w:t>the pars interarticularis when possible</w:t>
      </w:r>
      <w:r w:rsidR="005B4602">
        <w:rPr>
          <w:color w:val="7030A0"/>
        </w:rPr>
        <w:t xml:space="preserve"> </w:t>
      </w:r>
      <w:r>
        <w:rPr>
          <w:b/>
          <w:color w:val="7030A0"/>
        </w:rPr>
        <w:t>[</w:t>
      </w:r>
      <w:r w:rsidR="00DB3331">
        <w:rPr>
          <w:b/>
          <w:color w:val="7030A0"/>
        </w:rPr>
        <w:t>1</w:t>
      </w:r>
      <w:r>
        <w:rPr>
          <w:b/>
          <w:color w:val="7030A0"/>
        </w:rPr>
        <w:t>]</w:t>
      </w:r>
      <w:r>
        <w:rPr>
          <w:color w:val="7030A0"/>
        </w:rPr>
        <w:t>.</w:t>
      </w:r>
    </w:p>
    <w:p w14:paraId="0307EEA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indicated laminar and articular process bone while preserving the pars interarticularis.</w:t>
      </w:r>
    </w:p>
    <w:p w14:paraId="625BBFA1" w14:textId="77777777" w:rsidR="00B9558B" w:rsidRDefault="00B9558B" w:rsidP="00B9558B">
      <w:pPr>
        <w:pStyle w:val="ListParagraph"/>
        <w:spacing w:before="120"/>
        <w:ind w:left="360"/>
        <w:contextualSpacing w:val="0"/>
        <w:rPr>
          <w:rFonts w:cstheme="minorHAnsi"/>
          <w:b/>
          <w:bCs/>
        </w:rPr>
      </w:pPr>
    </w:p>
    <w:p w14:paraId="74D37574"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Remove the ligamentum flavum and epidural fat while working toward the traversing nerve root </w:t>
      </w:r>
      <w:r>
        <w:rPr>
          <w:b/>
          <w:color w:val="7030A0"/>
        </w:rPr>
        <w:t>[1]</w:t>
      </w:r>
      <w:r>
        <w:rPr>
          <w:color w:val="7030A0"/>
        </w:rPr>
        <w:t xml:space="preserve">. Palpate the pedicle with a long ball-tip probe to confirm adequate skeletonization </w:t>
      </w:r>
      <w:r>
        <w:rPr>
          <w:b/>
          <w:color w:val="7030A0"/>
        </w:rPr>
        <w:t>[2]</w:t>
      </w:r>
      <w:r>
        <w:rPr>
          <w:color w:val="7030A0"/>
        </w:rPr>
        <w:t>.</w:t>
      </w:r>
    </w:p>
    <w:p w14:paraId="6F4DDE8C"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ligamentum flavum and epidural fat toward the traversing nerve root.</w:t>
      </w:r>
    </w:p>
    <w:p w14:paraId="195F80FF"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palpating the pedicle with a long ball-tip probe.</w:t>
      </w:r>
    </w:p>
    <w:p w14:paraId="7FE46BE8" w14:textId="77777777" w:rsidR="00B9558B" w:rsidRDefault="00B9558B" w:rsidP="00B9558B">
      <w:pPr>
        <w:pStyle w:val="ListParagraph"/>
        <w:spacing w:before="120"/>
        <w:ind w:left="360"/>
        <w:contextualSpacing w:val="0"/>
        <w:rPr>
          <w:rFonts w:cstheme="minorHAnsi"/>
          <w:b/>
          <w:bCs/>
        </w:rPr>
      </w:pPr>
    </w:p>
    <w:p w14:paraId="790CA91A"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Gently retract the traversing nerve root medially to expose the disc space, releasing the retractor intermittently to permit neural reperfusion and avoiding sustained or forceful retraction </w:t>
      </w:r>
      <w:r>
        <w:rPr>
          <w:b/>
          <w:color w:val="7030A0"/>
        </w:rPr>
        <w:t>[1]</w:t>
      </w:r>
      <w:r>
        <w:rPr>
          <w:color w:val="7030A0"/>
        </w:rPr>
        <w:t>.</w:t>
      </w:r>
    </w:p>
    <w:p w14:paraId="75C0342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gently retracting the traversing nerve root and intermittently releasing the retractor.</w:t>
      </w:r>
    </w:p>
    <w:p w14:paraId="699E3AD9" w14:textId="77777777" w:rsidR="00B9558B" w:rsidRDefault="00B9558B" w:rsidP="00B9558B">
      <w:pPr>
        <w:pStyle w:val="ListParagraph"/>
        <w:spacing w:before="120"/>
        <w:ind w:left="360"/>
        <w:contextualSpacing w:val="0"/>
        <w:rPr>
          <w:rFonts w:cstheme="minorHAnsi"/>
          <w:b/>
          <w:bCs/>
        </w:rPr>
      </w:pPr>
    </w:p>
    <w:p w14:paraId="76447FF4" w14:textId="4ECCF2D6"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Place a </w:t>
      </w:r>
      <w:r w:rsidR="00892B6E">
        <w:rPr>
          <w:color w:val="7030A0"/>
        </w:rPr>
        <w:t>half</w:t>
      </w:r>
      <w:r w:rsidR="00482A89">
        <w:rPr>
          <w:color w:val="7030A0"/>
        </w:rPr>
        <w:t>-</w:t>
      </w:r>
      <w:r w:rsidR="00892B6E">
        <w:rPr>
          <w:color w:val="7030A0"/>
        </w:rPr>
        <w:t>inch by half</w:t>
      </w:r>
      <w:r w:rsidR="00482A89">
        <w:rPr>
          <w:color w:val="7030A0"/>
        </w:rPr>
        <w:t>-</w:t>
      </w:r>
      <w:r w:rsidR="00892B6E">
        <w:rPr>
          <w:color w:val="7030A0"/>
        </w:rPr>
        <w:t>inch</w:t>
      </w:r>
      <w:r>
        <w:rPr>
          <w:color w:val="7030A0"/>
        </w:rPr>
        <w:t xml:space="preserve"> cottonoid cranial to the disc space to protect the exiting nerve root </w:t>
      </w:r>
      <w:r>
        <w:rPr>
          <w:b/>
          <w:color w:val="7030A0"/>
        </w:rPr>
        <w:t>[1]</w:t>
      </w:r>
      <w:r>
        <w:rPr>
          <w:color w:val="7030A0"/>
        </w:rPr>
        <w:t>.</w:t>
      </w:r>
    </w:p>
    <w:p w14:paraId="3CEDADC6"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placing the cottonoid cranial to the disc space.</w:t>
      </w:r>
    </w:p>
    <w:p w14:paraId="63156F73" w14:textId="77777777" w:rsidR="00B9558B" w:rsidRPr="00B9558B" w:rsidRDefault="00B9558B" w:rsidP="00B9558B">
      <w:pPr>
        <w:spacing w:before="120"/>
        <w:rPr>
          <w:rFonts w:cstheme="minorHAnsi"/>
        </w:rPr>
      </w:pPr>
    </w:p>
    <w:p w14:paraId="7ACA844D" w14:textId="69AAE041"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lastRenderedPageBreak/>
        <w:t>Discectomy and Endplate Preparation</w:t>
      </w:r>
    </w:p>
    <w:p w14:paraId="3DDF72CC" w14:textId="77777777" w:rsidR="00892B6E" w:rsidRDefault="00892B6E" w:rsidP="00B9558B">
      <w:pPr>
        <w:pStyle w:val="ListParagraph"/>
        <w:spacing w:before="120"/>
        <w:ind w:left="360"/>
        <w:contextualSpacing w:val="0"/>
        <w:rPr>
          <w:rFonts w:cstheme="minorHAnsi"/>
        </w:rPr>
      </w:pPr>
    </w:p>
    <w:p w14:paraId="257DEC8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Create a rectangular box annulotomy over the exposed posterolateral disc space using a long-handled number 15 blade </w:t>
      </w:r>
      <w:r>
        <w:rPr>
          <w:b/>
          <w:color w:val="7030A0"/>
        </w:rPr>
        <w:t>[1]</w:t>
      </w:r>
      <w:r>
        <w:rPr>
          <w:color w:val="7030A0"/>
        </w:rPr>
        <w:t xml:space="preserve">. Perform a thorough discectomy with pituitary rongeurs and straight and angled curettes </w:t>
      </w:r>
      <w:r>
        <w:rPr>
          <w:b/>
          <w:color w:val="7030A0"/>
        </w:rPr>
        <w:t>[2]</w:t>
      </w:r>
      <w:r>
        <w:rPr>
          <w:color w:val="7030A0"/>
        </w:rPr>
        <w:t>.</w:t>
      </w:r>
    </w:p>
    <w:p w14:paraId="6AE8CEE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creating the rectangular annulotomy with a long-handled number 15 blade.</w:t>
      </w:r>
    </w:p>
    <w:p w14:paraId="0055C95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performing the discectomy with pituitary rongeurs and curettes.</w:t>
      </w:r>
    </w:p>
    <w:p w14:paraId="761AA1AA" w14:textId="77777777" w:rsidR="00B9558B" w:rsidRDefault="00B9558B" w:rsidP="00B9558B">
      <w:pPr>
        <w:pStyle w:val="ListParagraph"/>
        <w:spacing w:before="120"/>
        <w:ind w:left="360"/>
        <w:contextualSpacing w:val="0"/>
        <w:rPr>
          <w:rFonts w:cstheme="minorHAnsi"/>
          <w:b/>
          <w:bCs/>
        </w:rPr>
      </w:pPr>
    </w:p>
    <w:p w14:paraId="76B8EF64" w14:textId="6579B573" w:rsidR="00B9558B" w:rsidRPr="00B07A3B" w:rsidRDefault="00B9558B" w:rsidP="00B9558B">
      <w:pPr>
        <w:pStyle w:val="ListParagraph"/>
        <w:keepNext/>
        <w:numPr>
          <w:ilvl w:val="1"/>
          <w:numId w:val="3"/>
        </w:numPr>
        <w:spacing w:before="120"/>
        <w:contextualSpacing w:val="0"/>
        <w:rPr>
          <w:rFonts w:cstheme="minorHAnsi"/>
        </w:rPr>
      </w:pPr>
      <w:r>
        <w:rPr>
          <w:color w:val="7030A0"/>
        </w:rPr>
        <w:t>Prepare the endplates with disc shavers, curettes, and rasps, removing the cartilaginous endplate while preserving the underlying bony endplate</w:t>
      </w:r>
      <w:r w:rsidR="003037C6">
        <w:rPr>
          <w:color w:val="7030A0"/>
        </w:rPr>
        <w:t xml:space="preserve"> </w:t>
      </w:r>
      <w:r>
        <w:rPr>
          <w:b/>
          <w:color w:val="7030A0"/>
        </w:rPr>
        <w:t>[1]</w:t>
      </w:r>
      <w:r>
        <w:rPr>
          <w:color w:val="7030A0"/>
        </w:rPr>
        <w:t>.</w:t>
      </w:r>
    </w:p>
    <w:p w14:paraId="2FC4C87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preparing the endplates while preserving the underlying bony endplate.</w:t>
      </w:r>
    </w:p>
    <w:p w14:paraId="2B4C3250" w14:textId="77777777" w:rsidR="00B9558B" w:rsidRDefault="00B9558B" w:rsidP="00B9558B">
      <w:pPr>
        <w:pStyle w:val="ListParagraph"/>
        <w:spacing w:before="120"/>
        <w:ind w:left="360"/>
        <w:contextualSpacing w:val="0"/>
        <w:rPr>
          <w:rFonts w:cstheme="minorHAnsi"/>
          <w:b/>
          <w:bCs/>
        </w:rPr>
      </w:pPr>
    </w:p>
    <w:p w14:paraId="2532E4C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Size the disc space using sequential trial implants </w:t>
      </w:r>
      <w:r>
        <w:rPr>
          <w:b/>
          <w:color w:val="7030A0"/>
        </w:rPr>
        <w:t>[1]</w:t>
      </w:r>
      <w:r>
        <w:rPr>
          <w:color w:val="7030A0"/>
        </w:rPr>
        <w:t xml:space="preserve">. Select a trial that fits snugly and restores disc and foraminal height without over-distraction </w:t>
      </w:r>
      <w:r>
        <w:rPr>
          <w:b/>
          <w:color w:val="7030A0"/>
        </w:rPr>
        <w:t>[2]</w:t>
      </w:r>
      <w:r>
        <w:rPr>
          <w:color w:val="7030A0"/>
        </w:rPr>
        <w:t>.</w:t>
      </w:r>
    </w:p>
    <w:p w14:paraId="2C808017"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sizing the disc space with sequential trial implants.</w:t>
      </w:r>
    </w:p>
    <w:p w14:paraId="58BEB03F"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selecting the trial that provides a snug fit without over-distraction.</w:t>
      </w:r>
    </w:p>
    <w:p w14:paraId="63D31832" w14:textId="77777777" w:rsidR="00B9558B" w:rsidRPr="00B9558B" w:rsidRDefault="00B9558B" w:rsidP="00B9558B">
      <w:pPr>
        <w:spacing w:before="120"/>
        <w:rPr>
          <w:rFonts w:cstheme="minorHAnsi"/>
          <w:b/>
          <w:bCs/>
        </w:rPr>
      </w:pPr>
    </w:p>
    <w:p w14:paraId="099D1BC5" w14:textId="6965DD13"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Interbody Fusion and Instrumentation</w:t>
      </w:r>
    </w:p>
    <w:p w14:paraId="21BB4DD1" w14:textId="77777777" w:rsidR="00A83222" w:rsidRPr="00A83222" w:rsidRDefault="00A83222" w:rsidP="00A83222">
      <w:pPr>
        <w:spacing w:before="120"/>
        <w:rPr>
          <w:rFonts w:cstheme="minorHAnsi"/>
        </w:rPr>
      </w:pPr>
    </w:p>
    <w:p w14:paraId="13AA848B" w14:textId="60696E44" w:rsidR="00B9558B" w:rsidRPr="00B07A3B" w:rsidRDefault="00B9558B" w:rsidP="00B9558B">
      <w:pPr>
        <w:pStyle w:val="ListParagraph"/>
        <w:keepNext/>
        <w:numPr>
          <w:ilvl w:val="1"/>
          <w:numId w:val="3"/>
        </w:numPr>
        <w:spacing w:before="120"/>
        <w:contextualSpacing w:val="0"/>
        <w:rPr>
          <w:rFonts w:cstheme="minorHAnsi"/>
        </w:rPr>
      </w:pPr>
      <w:r>
        <w:rPr>
          <w:color w:val="7030A0"/>
        </w:rPr>
        <w:t>Pack the anterior disc s</w:t>
      </w:r>
      <w:r w:rsidR="00407086">
        <w:rPr>
          <w:color w:val="7030A0"/>
        </w:rPr>
        <w:t>pace</w:t>
      </w:r>
      <w:r>
        <w:rPr>
          <w:color w:val="7030A0"/>
        </w:rPr>
        <w:t xml:space="preserve"> with a mixture of autograft and allograft to support fusion </w:t>
      </w:r>
      <w:r>
        <w:rPr>
          <w:b/>
          <w:color w:val="7030A0"/>
        </w:rPr>
        <w:t>[1]</w:t>
      </w:r>
      <w:r>
        <w:rPr>
          <w:color w:val="7030A0"/>
        </w:rPr>
        <w:t>.</w:t>
      </w:r>
    </w:p>
    <w:p w14:paraId="0FAB835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packing the anterior disc space with autograft and allograft.</w:t>
      </w:r>
    </w:p>
    <w:p w14:paraId="41D98475" w14:textId="77777777" w:rsidR="00B9558B" w:rsidRDefault="00B9558B" w:rsidP="00B9558B">
      <w:pPr>
        <w:pStyle w:val="ListParagraph"/>
        <w:spacing w:before="120"/>
        <w:ind w:left="360"/>
        <w:contextualSpacing w:val="0"/>
        <w:rPr>
          <w:rFonts w:cstheme="minorHAnsi"/>
          <w:b/>
          <w:bCs/>
        </w:rPr>
      </w:pPr>
    </w:p>
    <w:p w14:paraId="50BB41A9" w14:textId="56C30BBE"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Insert the interbody cage, packed with autograft and allograft, </w:t>
      </w:r>
      <w:r w:rsidR="00A83222">
        <w:rPr>
          <w:color w:val="7030A0"/>
        </w:rPr>
        <w:t>following</w:t>
      </w:r>
      <w:r>
        <w:rPr>
          <w:color w:val="7030A0"/>
        </w:rPr>
        <w:t xml:space="preserve"> an oblique transforaminal trajectory from lateral to medial </w:t>
      </w:r>
      <w:r>
        <w:rPr>
          <w:b/>
          <w:color w:val="7030A0"/>
        </w:rPr>
        <w:t>[1]</w:t>
      </w:r>
      <w:r>
        <w:rPr>
          <w:color w:val="7030A0"/>
        </w:rPr>
        <w:t xml:space="preserve">. Protect the traversing and exiting nerve roots with a nerve-root protector, keeping the neural elements under direct vision throughout impaction </w:t>
      </w:r>
      <w:r>
        <w:rPr>
          <w:b/>
          <w:color w:val="7030A0"/>
        </w:rPr>
        <w:t>[2]</w:t>
      </w:r>
      <w:r>
        <w:rPr>
          <w:color w:val="7030A0"/>
        </w:rPr>
        <w:t>.</w:t>
      </w:r>
    </w:p>
    <w:p w14:paraId="3AD2E356"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inserting the packed interbody cage along the oblique transforaminal trajectory.</w:t>
      </w:r>
    </w:p>
    <w:p w14:paraId="47682625"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protecting the traversing and exiting nerve roots during cage impaction.</w:t>
      </w:r>
    </w:p>
    <w:p w14:paraId="018C335C" w14:textId="77777777" w:rsidR="00B9558B" w:rsidRDefault="00B9558B" w:rsidP="00B9558B">
      <w:pPr>
        <w:pStyle w:val="ListParagraph"/>
        <w:spacing w:before="120"/>
        <w:ind w:left="360"/>
        <w:contextualSpacing w:val="0"/>
        <w:rPr>
          <w:rFonts w:cstheme="minorHAnsi"/>
          <w:b/>
          <w:bCs/>
        </w:rPr>
      </w:pPr>
    </w:p>
    <w:p w14:paraId="7A9B02B2"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 xml:space="preserve">Position the cage within the disc space as needed to maximize coronal or sagittal plane correction </w:t>
      </w:r>
      <w:r>
        <w:rPr>
          <w:b/>
          <w:color w:val="7030A0"/>
        </w:rPr>
        <w:t>[1]</w:t>
      </w:r>
      <w:r>
        <w:rPr>
          <w:color w:val="7030A0"/>
        </w:rPr>
        <w:t>.</w:t>
      </w:r>
    </w:p>
    <w:p w14:paraId="27C3624C"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positioning the cage within the disc space.</w:t>
      </w:r>
    </w:p>
    <w:p w14:paraId="0D9ED7C0" w14:textId="77777777" w:rsidR="00B9558B" w:rsidRDefault="00B9558B" w:rsidP="00B9558B">
      <w:pPr>
        <w:pStyle w:val="ListParagraph"/>
        <w:spacing w:before="120"/>
        <w:ind w:left="360"/>
        <w:contextualSpacing w:val="0"/>
        <w:rPr>
          <w:rFonts w:cstheme="minorHAnsi"/>
          <w:b/>
          <w:bCs/>
        </w:rPr>
      </w:pPr>
    </w:p>
    <w:p w14:paraId="21C7A7EF"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Place percutaneous or mini-open pedicle screws </w:t>
      </w:r>
      <w:r>
        <w:rPr>
          <w:b/>
          <w:color w:val="7030A0"/>
        </w:rPr>
        <w:t>[1]</w:t>
      </w:r>
      <w:r>
        <w:rPr>
          <w:color w:val="7030A0"/>
        </w:rPr>
        <w:t>.</w:t>
      </w:r>
    </w:p>
    <w:p w14:paraId="038244BC" w14:textId="5928BAC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Talent placing the percutaneous or mini-open pedicle screws.</w:t>
      </w:r>
    </w:p>
    <w:p w14:paraId="379389A8" w14:textId="77777777" w:rsidR="00B9558B" w:rsidRDefault="00B9558B" w:rsidP="00B9558B">
      <w:pPr>
        <w:pStyle w:val="ListParagraph"/>
        <w:spacing w:before="120"/>
        <w:ind w:left="360"/>
        <w:contextualSpacing w:val="0"/>
        <w:rPr>
          <w:rFonts w:cstheme="minorHAnsi"/>
          <w:b/>
          <w:bCs/>
        </w:rPr>
      </w:pPr>
    </w:p>
    <w:p w14:paraId="5F96CBED" w14:textId="77777777" w:rsidR="00B9558B" w:rsidRPr="00B9558B" w:rsidRDefault="00B9558B" w:rsidP="00B9558B">
      <w:pPr>
        <w:spacing w:before="120"/>
        <w:rPr>
          <w:rFonts w:cstheme="minorHAnsi"/>
          <w:b/>
          <w:bCs/>
        </w:rPr>
      </w:pPr>
    </w:p>
    <w:p w14:paraId="398B5724" w14:textId="5E742B92"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Wound Closure and Completion</w:t>
      </w:r>
    </w:p>
    <w:p w14:paraId="7AE380D2"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Remove the tubular retractor under direct visualization </w:t>
      </w:r>
      <w:r>
        <w:rPr>
          <w:b/>
          <w:color w:val="7030A0"/>
        </w:rPr>
        <w:t>[1]</w:t>
      </w:r>
      <w:r>
        <w:rPr>
          <w:color w:val="7030A0"/>
        </w:rPr>
        <w:t xml:space="preserve">. Irrigate the muscle corridor copiously with sterile saline </w:t>
      </w:r>
      <w:r>
        <w:rPr>
          <w:b/>
          <w:color w:val="7030A0"/>
        </w:rPr>
        <w:t>[2]</w:t>
      </w:r>
      <w:r>
        <w:rPr>
          <w:color w:val="7030A0"/>
        </w:rPr>
        <w:t>.</w:t>
      </w:r>
    </w:p>
    <w:p w14:paraId="04D1F0B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tubular retractor under direct visualization.</w:t>
      </w:r>
    </w:p>
    <w:p w14:paraId="050BD8F9"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irrigating the muscle corridor with sterile saline.</w:t>
      </w:r>
    </w:p>
    <w:p w14:paraId="328F890C" w14:textId="77777777" w:rsidR="00B9558B" w:rsidRDefault="00B9558B" w:rsidP="00B9558B">
      <w:pPr>
        <w:pStyle w:val="ListParagraph"/>
        <w:spacing w:before="120"/>
        <w:ind w:left="360"/>
        <w:contextualSpacing w:val="0"/>
        <w:rPr>
          <w:rFonts w:cstheme="minorHAnsi"/>
          <w:b/>
          <w:bCs/>
        </w:rPr>
      </w:pPr>
    </w:p>
    <w:p w14:paraId="47895ADD" w14:textId="62D71C01"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Close the lumbodorsal fascia with interrupted absorbable sutures, such as 0 </w:t>
      </w:r>
      <w:r w:rsidR="00404355" w:rsidRPr="00404355">
        <w:rPr>
          <w:i/>
          <w:iCs w:val="0"/>
          <w:color w:val="EE0000"/>
        </w:rPr>
        <w:t>(oh)</w:t>
      </w:r>
      <w:r w:rsidR="00404355" w:rsidRPr="00404355">
        <w:rPr>
          <w:color w:val="EE0000"/>
        </w:rPr>
        <w:t xml:space="preserve"> </w:t>
      </w:r>
      <w:r>
        <w:rPr>
          <w:color w:val="7030A0"/>
        </w:rPr>
        <w:t xml:space="preserve">or 2-0 </w:t>
      </w:r>
      <w:r w:rsidR="00404355" w:rsidRPr="00404355">
        <w:rPr>
          <w:i/>
          <w:iCs w:val="0"/>
          <w:color w:val="EE0000"/>
        </w:rPr>
        <w:t>(two -oh)</w:t>
      </w:r>
      <w:r w:rsidR="00404355" w:rsidRPr="00404355">
        <w:rPr>
          <w:color w:val="EE0000"/>
        </w:rPr>
        <w:t xml:space="preserve"> </w:t>
      </w:r>
      <w:r>
        <w:rPr>
          <w:color w:val="7030A0"/>
        </w:rPr>
        <w:t xml:space="preserve">polyglactin </w:t>
      </w:r>
      <w:r>
        <w:rPr>
          <w:b/>
          <w:color w:val="7030A0"/>
        </w:rPr>
        <w:t>[1]</w:t>
      </w:r>
      <w:r>
        <w:rPr>
          <w:color w:val="7030A0"/>
        </w:rPr>
        <w:t>.</w:t>
      </w:r>
    </w:p>
    <w:p w14:paraId="7B6FB16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closing the lumbodorsal fascia.</w:t>
      </w:r>
    </w:p>
    <w:p w14:paraId="06F532C2" w14:textId="77777777" w:rsidR="00B9558B" w:rsidRDefault="00B9558B" w:rsidP="00B9558B">
      <w:pPr>
        <w:pStyle w:val="ListParagraph"/>
        <w:spacing w:before="120"/>
        <w:ind w:left="360"/>
        <w:contextualSpacing w:val="0"/>
        <w:rPr>
          <w:rFonts w:cstheme="minorHAnsi"/>
          <w:b/>
          <w:bCs/>
        </w:rPr>
      </w:pPr>
    </w:p>
    <w:p w14:paraId="07A8DF7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Close the subcutaneous layer with inverted absorbable sutures </w:t>
      </w:r>
      <w:r>
        <w:rPr>
          <w:b/>
          <w:color w:val="7030A0"/>
        </w:rPr>
        <w:t>[1]</w:t>
      </w:r>
      <w:r>
        <w:rPr>
          <w:color w:val="7030A0"/>
        </w:rPr>
        <w:t xml:space="preserve">. Approximate the skin with a running subcuticular absorbable suture or skin adhesive </w:t>
      </w:r>
      <w:r>
        <w:rPr>
          <w:b/>
          <w:color w:val="7030A0"/>
        </w:rPr>
        <w:t>[2]</w:t>
      </w:r>
      <w:r>
        <w:rPr>
          <w:color w:val="7030A0"/>
        </w:rPr>
        <w:t>.</w:t>
      </w:r>
    </w:p>
    <w:p w14:paraId="7491D1C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closing the subcutaneous layer with inverted absorbable sutures.</w:t>
      </w:r>
    </w:p>
    <w:p w14:paraId="19291782"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approximating the skin with a running subcuticular suture or skin adhesive.</w:t>
      </w:r>
    </w:p>
    <w:p w14:paraId="58779ED5" w14:textId="77777777" w:rsidR="00B9558B" w:rsidRDefault="00B9558B" w:rsidP="00B9558B">
      <w:pPr>
        <w:pStyle w:val="ListParagraph"/>
        <w:spacing w:before="120"/>
        <w:ind w:left="360"/>
        <w:contextualSpacing w:val="0"/>
        <w:rPr>
          <w:rFonts w:cstheme="minorHAnsi"/>
          <w:b/>
          <w:bCs/>
        </w:rPr>
      </w:pPr>
    </w:p>
    <w:p w14:paraId="00152B9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Apply a sterile dressing </w:t>
      </w:r>
      <w:r>
        <w:rPr>
          <w:b/>
          <w:color w:val="7030A0"/>
        </w:rPr>
        <w:t>[1]</w:t>
      </w:r>
      <w:r>
        <w:rPr>
          <w:color w:val="7030A0"/>
        </w:rPr>
        <w:t>.</w:t>
      </w:r>
    </w:p>
    <w:p w14:paraId="4736345E" w14:textId="71BA7119"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 xml:space="preserve">CU: Talent applying </w:t>
      </w:r>
      <w:r w:rsidR="00404355">
        <w:rPr>
          <w:color w:val="000000"/>
        </w:rPr>
        <w:t>sterile</w:t>
      </w:r>
      <w:r>
        <w:rPr>
          <w:color w:val="000000"/>
        </w:rPr>
        <w:t xml:space="preserve"> dressing.</w:t>
      </w:r>
    </w:p>
    <w:p w14:paraId="2DE30FD7" w14:textId="77777777" w:rsidR="00B9558B" w:rsidRPr="00D7547B" w:rsidRDefault="00B9558B" w:rsidP="00B9558B">
      <w:pPr>
        <w:pStyle w:val="ListParagraph"/>
        <w:spacing w:before="120"/>
        <w:ind w:left="360"/>
        <w:contextualSpacing w:val="0"/>
        <w:rPr>
          <w:rFonts w:cstheme="minorHAnsi"/>
          <w:b/>
          <w:bCs/>
        </w:rPr>
      </w:pPr>
    </w:p>
    <w:p w14:paraId="6CCC285A" w14:textId="77777777" w:rsidR="00B9558B" w:rsidRPr="00B9558B" w:rsidRDefault="00B9558B" w:rsidP="00B9558B">
      <w:pPr>
        <w:spacing w:before="120"/>
        <w:rPr>
          <w:rFonts w:cstheme="minorHAnsi"/>
          <w:b/>
          <w:bCs/>
        </w:rPr>
      </w:pPr>
    </w:p>
    <w:p w14:paraId="5AE25E6C" w14:textId="77777777" w:rsidR="00B9558B" w:rsidRPr="00B9558B" w:rsidRDefault="00B9558B" w:rsidP="00B9558B">
      <w:pPr>
        <w:spacing w:before="120"/>
        <w:rPr>
          <w:rFonts w:cstheme="minorHAnsi"/>
          <w:b/>
          <w:bCs/>
        </w:rPr>
      </w:pPr>
    </w:p>
    <w:p w14:paraId="6218DFD1" w14:textId="77777777" w:rsidR="00B9558B" w:rsidRDefault="00B9558B" w:rsidP="00B9558B">
      <w:pPr>
        <w:pStyle w:val="ListParagraph"/>
        <w:spacing w:before="120"/>
        <w:ind w:left="1627"/>
        <w:contextualSpacing w:val="0"/>
        <w:rPr>
          <w:rFonts w:cstheme="minorHAnsi"/>
        </w:rPr>
      </w:pPr>
    </w:p>
    <w:p w14:paraId="26AB8A38" w14:textId="79066E32" w:rsidR="001E0433" w:rsidRPr="00B07A3B" w:rsidRDefault="001E0433" w:rsidP="002D47E5">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C4C07A6" w14:textId="77574073" w:rsidR="004663D5" w:rsidRPr="00593CDE"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Representative institutional outcomes were summarized from two muscle-sparing W-TLIF </w:t>
      </w:r>
      <w:r w:rsidR="00DF369E" w:rsidRPr="00BB2614">
        <w:rPr>
          <w:rFonts w:cstheme="minorHAnsi"/>
          <w:i/>
          <w:iCs w:val="0"/>
          <w:color w:val="EE0000"/>
        </w:rPr>
        <w:t xml:space="preserve">(w-t-lif) </w:t>
      </w:r>
      <w:r w:rsidRPr="004663D5">
        <w:rPr>
          <w:rFonts w:cstheme="minorHAnsi"/>
          <w:color w:val="7030A0"/>
        </w:rPr>
        <w:t xml:space="preserve">cohorts using non-tubular and tubular approaches </w:t>
      </w:r>
      <w:r w:rsidRPr="004663D5">
        <w:rPr>
          <w:rFonts w:cstheme="minorHAnsi"/>
          <w:b/>
          <w:bCs/>
          <w:color w:val="7030A0"/>
        </w:rPr>
        <w:t>[1]</w:t>
      </w:r>
      <w:r w:rsidRPr="004663D5">
        <w:rPr>
          <w:rFonts w:cstheme="minorHAnsi"/>
          <w:color w:val="7030A0"/>
        </w:rPr>
        <w:t xml:space="preserve">. </w:t>
      </w:r>
    </w:p>
    <w:p w14:paraId="7F0B8C79" w14:textId="6C9345B2" w:rsidR="00593CDE" w:rsidRPr="00593CDE" w:rsidRDefault="00593CDE" w:rsidP="00593C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 xml:space="preserve">Table 1.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Please highlight the “Cohort,” “n,” and “Approach” columns for both the comorbidity-registry and outpatient-series rows.</w:t>
      </w:r>
    </w:p>
    <w:p w14:paraId="1D3B17C4" w14:textId="77777777" w:rsidR="00593CDE" w:rsidRDefault="00593CDE" w:rsidP="00593CDE">
      <w:pPr>
        <w:pStyle w:val="ListParagraph"/>
        <w:spacing w:before="120"/>
        <w:ind w:left="907"/>
        <w:contextualSpacing w:val="0"/>
        <w:outlineLvl w:val="0"/>
        <w:rPr>
          <w:rFonts w:cstheme="minorHAnsi"/>
        </w:rPr>
      </w:pPr>
    </w:p>
    <w:p w14:paraId="411AEDE4" w14:textId="2EA95C9B" w:rsidR="004663D5"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In the non-tubular W-TLIF cohort, estimated blood loss was higher in patients with obesity than in those with a normal body mass index </w:t>
      </w:r>
      <w:r w:rsidRPr="004663D5">
        <w:rPr>
          <w:rFonts w:cstheme="minorHAnsi"/>
          <w:b/>
          <w:bCs/>
          <w:color w:val="7030A0"/>
        </w:rPr>
        <w:t>[1]</w:t>
      </w:r>
      <w:r w:rsidRPr="004663D5">
        <w:rPr>
          <w:rFonts w:cstheme="minorHAnsi"/>
          <w:color w:val="7030A0"/>
        </w:rPr>
        <w:t>.</w:t>
      </w:r>
      <w:r w:rsidRPr="004663D5">
        <w:rPr>
          <w:rFonts w:cstheme="minorHAnsi"/>
        </w:rPr>
        <w:t xml:space="preserve"> </w:t>
      </w:r>
    </w:p>
    <w:p w14:paraId="610CEA2B" w14:textId="2662931B" w:rsidR="00593CDE" w:rsidRDefault="00593CDE" w:rsidP="00593C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Table 1.</w:t>
      </w:r>
      <w:r>
        <w:rPr>
          <w:rFonts w:cstheme="minorHAnsi"/>
        </w:rPr>
        <w:t xml:space="preserve">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In the comorbidity-registry row, highlight the estimated blood-loss values for the normal-BMI and obese groups. Then highlight the improvements in ODI and SF-12 PCS in the final column.</w:t>
      </w:r>
    </w:p>
    <w:p w14:paraId="1907F349" w14:textId="77777777" w:rsidR="00593CDE" w:rsidRDefault="00593CDE" w:rsidP="00593CDE">
      <w:pPr>
        <w:pStyle w:val="ListParagraph"/>
        <w:spacing w:before="120"/>
        <w:ind w:left="907"/>
        <w:contextualSpacing w:val="0"/>
        <w:outlineLvl w:val="0"/>
        <w:rPr>
          <w:rFonts w:cstheme="minorHAnsi"/>
        </w:rPr>
      </w:pPr>
    </w:p>
    <w:p w14:paraId="06E8A171" w14:textId="05691230" w:rsidR="001E0433" w:rsidRPr="00B07A3B"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In the tubular W-TLIF series, outpatient procedures were associated with lower estimated blood loss than inpatient procedures and a short postoperative stay </w:t>
      </w:r>
      <w:r w:rsidRPr="004663D5">
        <w:rPr>
          <w:rFonts w:cstheme="minorHAnsi"/>
          <w:b/>
          <w:bCs/>
          <w:color w:val="7030A0"/>
        </w:rPr>
        <w:t>[1</w:t>
      </w:r>
      <w:r>
        <w:rPr>
          <w:rFonts w:cstheme="minorHAnsi"/>
          <w:b/>
          <w:bCs/>
          <w:color w:val="7030A0"/>
        </w:rPr>
        <w:t>].</w:t>
      </w:r>
    </w:p>
    <w:p w14:paraId="43AD33A7" w14:textId="5D96B329" w:rsidR="00593CDE" w:rsidRPr="00B07A3B" w:rsidRDefault="00593CDE" w:rsidP="001E0433">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Table 1.</w:t>
      </w:r>
      <w:r>
        <w:rPr>
          <w:rFonts w:cstheme="minorHAnsi"/>
        </w:rPr>
        <w:t xml:space="preserve">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In the outpatient-series row, highlight the lower estimated blood loss for outpatient procedures compared with inpatient procedures, followed by the reported outpatient length of stay.</w:t>
      </w:r>
    </w:p>
    <w:p w14:paraId="28684DB4" w14:textId="057551DD" w:rsidR="001E0433" w:rsidRPr="00FF413F" w:rsidRDefault="001E0433" w:rsidP="00FF413F">
      <w:pPr>
        <w:spacing w:before="120"/>
        <w:outlineLvl w:val="0"/>
        <w:rPr>
          <w:rFonts w:cstheme="minorHAnsi"/>
        </w:rPr>
      </w:pPr>
    </w:p>
    <w:p w14:paraId="4479C21D" w14:textId="2D610390" w:rsidR="001E0433" w:rsidRPr="00B07A3B" w:rsidRDefault="001E0433" w:rsidP="00FF413F">
      <w:pPr>
        <w:pStyle w:val="ListParagraph"/>
        <w:spacing w:before="120"/>
        <w:ind w:left="907"/>
        <w:contextualSpacing w:val="0"/>
        <w:outlineLvl w:val="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1"/>
      <w:footerReference w:type="even" r:id="rId22"/>
      <w:footerReference w:type="default" r:id="rId23"/>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uchira  Mukherji" w:date="2026-09-16T15:19:00Z" w:initials="RM">
    <w:p w14:paraId="077E7037" w14:textId="77777777" w:rsidR="002D5FA6" w:rsidRDefault="002D5FA6" w:rsidP="002D5FA6">
      <w:pPr>
        <w:pStyle w:val="CommentText"/>
      </w:pPr>
      <w:r>
        <w:rPr>
          <w:rStyle w:val="CommentReference"/>
        </w:rPr>
        <w:annotationRef/>
      </w:r>
      <w:r>
        <w:rPr>
          <w:lang w:val="en-IN"/>
        </w:rPr>
        <w:t>Authors please specify, which tubular retractor you wish to use during filming.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7E70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A28889" w16cex:dateUtc="2026-09-16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7E7037" w16cid:durableId="66A288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B5EB" w14:textId="77777777" w:rsidR="00251FF2" w:rsidRDefault="00251FF2">
      <w:r>
        <w:separator/>
      </w:r>
    </w:p>
    <w:p w14:paraId="6BB8CD1D" w14:textId="77777777" w:rsidR="00251FF2" w:rsidRDefault="00251FF2"/>
  </w:endnote>
  <w:endnote w:type="continuationSeparator" w:id="0">
    <w:p w14:paraId="76B956DB" w14:textId="77777777" w:rsidR="00251FF2" w:rsidRDefault="00251FF2">
      <w:r>
        <w:continuationSeparator/>
      </w:r>
    </w:p>
    <w:p w14:paraId="3F45F89C" w14:textId="77777777" w:rsidR="00251FF2" w:rsidRDefault="00251F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CE55C24" w:rsidR="00ED23F4" w:rsidRPr="00790E8C" w:rsidRDefault="00336C61" w:rsidP="00A323DD">
    <w:pPr>
      <w:pStyle w:val="Footer"/>
      <w:tabs>
        <w:tab w:val="clear" w:pos="8640"/>
        <w:tab w:val="left" w:pos="536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55A6A">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A323DD">
      <w:rPr>
        <w:rFonts w:cstheme="minorHAnsi"/>
      </w:rPr>
      <w:t>Sep 22, 2026</w:t>
    </w:r>
    <w:r w:rsidR="00A323DD">
      <w:rPr>
        <w:rFonts w:cstheme="minorHAnsi"/>
      </w:rPr>
      <w:tab/>
    </w:r>
    <w:r w:rsidR="0089076B">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CF64" w14:textId="77777777" w:rsidR="00251FF2" w:rsidRDefault="00251FF2">
      <w:r>
        <w:separator/>
      </w:r>
    </w:p>
    <w:p w14:paraId="65AB1B39" w14:textId="77777777" w:rsidR="00251FF2" w:rsidRDefault="00251FF2"/>
  </w:footnote>
  <w:footnote w:type="continuationSeparator" w:id="0">
    <w:p w14:paraId="6D422E48" w14:textId="77777777" w:rsidR="00251FF2" w:rsidRDefault="00251FF2">
      <w:r>
        <w:continuationSeparator/>
      </w:r>
    </w:p>
    <w:p w14:paraId="1EF68275" w14:textId="77777777" w:rsidR="00251FF2" w:rsidRDefault="00251F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8D18BD3" w:rsidR="00336C61" w:rsidRPr="00B55A6A" w:rsidRDefault="00336C61" w:rsidP="00B55A6A">
    <w:pPr>
      <w:pStyle w:val="Header"/>
      <w:tabs>
        <w:tab w:val="clear" w:pos="4320"/>
        <w:tab w:val="clear" w:pos="8640"/>
        <w:tab w:val="center" w:pos="4680"/>
      </w:tabs>
      <w:spacing w:before="240"/>
      <w:rPr>
        <w:rFonts w:cstheme="minorHAnsi"/>
        <w:b/>
        <w:color w:val="00B050"/>
        <w:sz w:val="28"/>
        <w:szCs w:val="28"/>
        <w:u w:val="single"/>
      </w:rPr>
    </w:pPr>
    <w:r w:rsidRPr="00B55A6A">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B55A6A" w:rsidRPr="00B55A6A">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44FC"/>
    <w:rsid w:val="00037828"/>
    <w:rsid w:val="00043807"/>
    <w:rsid w:val="00055137"/>
    <w:rsid w:val="00056D0F"/>
    <w:rsid w:val="00071CBD"/>
    <w:rsid w:val="00074929"/>
    <w:rsid w:val="00076812"/>
    <w:rsid w:val="00083792"/>
    <w:rsid w:val="00083E3A"/>
    <w:rsid w:val="00085F90"/>
    <w:rsid w:val="0008613B"/>
    <w:rsid w:val="00090BAC"/>
    <w:rsid w:val="000A6276"/>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3C52"/>
    <w:rsid w:val="001469E6"/>
    <w:rsid w:val="00151824"/>
    <w:rsid w:val="001528A5"/>
    <w:rsid w:val="00162D51"/>
    <w:rsid w:val="00163B01"/>
    <w:rsid w:val="00176D6F"/>
    <w:rsid w:val="00177B33"/>
    <w:rsid w:val="001819E3"/>
    <w:rsid w:val="00184EF9"/>
    <w:rsid w:val="00191A77"/>
    <w:rsid w:val="00192E39"/>
    <w:rsid w:val="00194588"/>
    <w:rsid w:val="001A08E6"/>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1CA4"/>
    <w:rsid w:val="001F615E"/>
    <w:rsid w:val="00214268"/>
    <w:rsid w:val="002422D6"/>
    <w:rsid w:val="00244CDB"/>
    <w:rsid w:val="00247BFF"/>
    <w:rsid w:val="00250980"/>
    <w:rsid w:val="00251FF2"/>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1FF6"/>
    <w:rsid w:val="002929B8"/>
    <w:rsid w:val="00294464"/>
    <w:rsid w:val="002A2775"/>
    <w:rsid w:val="002A4739"/>
    <w:rsid w:val="002A6FCF"/>
    <w:rsid w:val="002A7F8B"/>
    <w:rsid w:val="002B009A"/>
    <w:rsid w:val="002B025E"/>
    <w:rsid w:val="002B0D88"/>
    <w:rsid w:val="002B26D4"/>
    <w:rsid w:val="002B55D9"/>
    <w:rsid w:val="002C54DB"/>
    <w:rsid w:val="002D0622"/>
    <w:rsid w:val="002D47E5"/>
    <w:rsid w:val="002D52A1"/>
    <w:rsid w:val="002D5FA6"/>
    <w:rsid w:val="002E29DF"/>
    <w:rsid w:val="002E7521"/>
    <w:rsid w:val="002F0D42"/>
    <w:rsid w:val="002F3829"/>
    <w:rsid w:val="002F38CF"/>
    <w:rsid w:val="003036C1"/>
    <w:rsid w:val="003037C6"/>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208A"/>
    <w:rsid w:val="00363153"/>
    <w:rsid w:val="00364249"/>
    <w:rsid w:val="0038502C"/>
    <w:rsid w:val="00386777"/>
    <w:rsid w:val="00395684"/>
    <w:rsid w:val="003A1109"/>
    <w:rsid w:val="003A49C2"/>
    <w:rsid w:val="003B3E2A"/>
    <w:rsid w:val="003B55E5"/>
    <w:rsid w:val="003B5E26"/>
    <w:rsid w:val="003B7820"/>
    <w:rsid w:val="003C1044"/>
    <w:rsid w:val="003C32EC"/>
    <w:rsid w:val="003D0847"/>
    <w:rsid w:val="003D0D68"/>
    <w:rsid w:val="003D0FD6"/>
    <w:rsid w:val="003E2BC9"/>
    <w:rsid w:val="003F4B52"/>
    <w:rsid w:val="004001E9"/>
    <w:rsid w:val="004034B6"/>
    <w:rsid w:val="00404355"/>
    <w:rsid w:val="0040708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663D5"/>
    <w:rsid w:val="00470534"/>
    <w:rsid w:val="00472752"/>
    <w:rsid w:val="0047306D"/>
    <w:rsid w:val="00473E1C"/>
    <w:rsid w:val="004773A9"/>
    <w:rsid w:val="0048283A"/>
    <w:rsid w:val="00482A89"/>
    <w:rsid w:val="00482D4C"/>
    <w:rsid w:val="00483E1B"/>
    <w:rsid w:val="0048649C"/>
    <w:rsid w:val="00487367"/>
    <w:rsid w:val="00491B01"/>
    <w:rsid w:val="00493A57"/>
    <w:rsid w:val="004A7B70"/>
    <w:rsid w:val="004C1095"/>
    <w:rsid w:val="004C2284"/>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4258"/>
    <w:rsid w:val="00530DD9"/>
    <w:rsid w:val="005320E4"/>
    <w:rsid w:val="005347F5"/>
    <w:rsid w:val="00534B83"/>
    <w:rsid w:val="005363E2"/>
    <w:rsid w:val="00536D89"/>
    <w:rsid w:val="00544E06"/>
    <w:rsid w:val="005463CB"/>
    <w:rsid w:val="00557116"/>
    <w:rsid w:val="0055763A"/>
    <w:rsid w:val="005611F3"/>
    <w:rsid w:val="00564AFD"/>
    <w:rsid w:val="00565757"/>
    <w:rsid w:val="005722D8"/>
    <w:rsid w:val="005829FA"/>
    <w:rsid w:val="00585ECC"/>
    <w:rsid w:val="00593CDE"/>
    <w:rsid w:val="005A02B6"/>
    <w:rsid w:val="005A09D8"/>
    <w:rsid w:val="005A1F5E"/>
    <w:rsid w:val="005A33C6"/>
    <w:rsid w:val="005A3F8F"/>
    <w:rsid w:val="005A50BF"/>
    <w:rsid w:val="005A5877"/>
    <w:rsid w:val="005B2413"/>
    <w:rsid w:val="005B2E77"/>
    <w:rsid w:val="005B4602"/>
    <w:rsid w:val="005B6859"/>
    <w:rsid w:val="005C2D88"/>
    <w:rsid w:val="005C5B0E"/>
    <w:rsid w:val="005C6D1E"/>
    <w:rsid w:val="005D0EFA"/>
    <w:rsid w:val="005D0F8B"/>
    <w:rsid w:val="005D6839"/>
    <w:rsid w:val="005D783F"/>
    <w:rsid w:val="005D7DCE"/>
    <w:rsid w:val="005E2B7E"/>
    <w:rsid w:val="005F18A3"/>
    <w:rsid w:val="005F1ADF"/>
    <w:rsid w:val="005F2DD0"/>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C53CC"/>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0EB3"/>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641C7"/>
    <w:rsid w:val="00873D1A"/>
    <w:rsid w:val="00875BE8"/>
    <w:rsid w:val="00877B88"/>
    <w:rsid w:val="0088113B"/>
    <w:rsid w:val="0089076B"/>
    <w:rsid w:val="00892B6E"/>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1372"/>
    <w:rsid w:val="009C2062"/>
    <w:rsid w:val="009C7B9A"/>
    <w:rsid w:val="009D21B9"/>
    <w:rsid w:val="009E4241"/>
    <w:rsid w:val="009F01AB"/>
    <w:rsid w:val="009F0554"/>
    <w:rsid w:val="009F33E2"/>
    <w:rsid w:val="009F356C"/>
    <w:rsid w:val="009F51F2"/>
    <w:rsid w:val="00A02EFE"/>
    <w:rsid w:val="00A05E2F"/>
    <w:rsid w:val="00A07468"/>
    <w:rsid w:val="00A20DA8"/>
    <w:rsid w:val="00A218EC"/>
    <w:rsid w:val="00A310D7"/>
    <w:rsid w:val="00A3138F"/>
    <w:rsid w:val="00A319BE"/>
    <w:rsid w:val="00A31F9A"/>
    <w:rsid w:val="00A323DD"/>
    <w:rsid w:val="00A33E3C"/>
    <w:rsid w:val="00A40760"/>
    <w:rsid w:val="00A44EFB"/>
    <w:rsid w:val="00A52E47"/>
    <w:rsid w:val="00A53E71"/>
    <w:rsid w:val="00A55424"/>
    <w:rsid w:val="00A60320"/>
    <w:rsid w:val="00A72FC5"/>
    <w:rsid w:val="00A730E3"/>
    <w:rsid w:val="00A77CF6"/>
    <w:rsid w:val="00A83222"/>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7651"/>
    <w:rsid w:val="00AF0D63"/>
    <w:rsid w:val="00AF3977"/>
    <w:rsid w:val="00AF61F8"/>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55A6A"/>
    <w:rsid w:val="00B56258"/>
    <w:rsid w:val="00B6201D"/>
    <w:rsid w:val="00B653B7"/>
    <w:rsid w:val="00B66A14"/>
    <w:rsid w:val="00B7250F"/>
    <w:rsid w:val="00B76D17"/>
    <w:rsid w:val="00B807E5"/>
    <w:rsid w:val="00B847A0"/>
    <w:rsid w:val="00B87BC5"/>
    <w:rsid w:val="00B9558B"/>
    <w:rsid w:val="00BA553A"/>
    <w:rsid w:val="00BA6CDF"/>
    <w:rsid w:val="00BB2614"/>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102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2A91"/>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40F2"/>
    <w:rsid w:val="00D45AF7"/>
    <w:rsid w:val="00D466AF"/>
    <w:rsid w:val="00D473BF"/>
    <w:rsid w:val="00D47642"/>
    <w:rsid w:val="00D51335"/>
    <w:rsid w:val="00D5169F"/>
    <w:rsid w:val="00D6314B"/>
    <w:rsid w:val="00D662C7"/>
    <w:rsid w:val="00D712A3"/>
    <w:rsid w:val="00D74B1D"/>
    <w:rsid w:val="00D75084"/>
    <w:rsid w:val="00D7547B"/>
    <w:rsid w:val="00D95C4C"/>
    <w:rsid w:val="00D96B45"/>
    <w:rsid w:val="00DA117F"/>
    <w:rsid w:val="00DA17FB"/>
    <w:rsid w:val="00DB16A4"/>
    <w:rsid w:val="00DB3331"/>
    <w:rsid w:val="00DB7EBA"/>
    <w:rsid w:val="00DC058D"/>
    <w:rsid w:val="00DC1E08"/>
    <w:rsid w:val="00DC1E10"/>
    <w:rsid w:val="00DC2504"/>
    <w:rsid w:val="00DC311D"/>
    <w:rsid w:val="00DC7C84"/>
    <w:rsid w:val="00DC7D3A"/>
    <w:rsid w:val="00DD231A"/>
    <w:rsid w:val="00DD2CF9"/>
    <w:rsid w:val="00DD4FC5"/>
    <w:rsid w:val="00DE0E89"/>
    <w:rsid w:val="00DE2554"/>
    <w:rsid w:val="00DE2882"/>
    <w:rsid w:val="00DE3DA4"/>
    <w:rsid w:val="00DE46DB"/>
    <w:rsid w:val="00DE66F3"/>
    <w:rsid w:val="00DF0865"/>
    <w:rsid w:val="00DF307B"/>
    <w:rsid w:val="00DF369E"/>
    <w:rsid w:val="00DF3A1B"/>
    <w:rsid w:val="00E04EFB"/>
    <w:rsid w:val="00E072C2"/>
    <w:rsid w:val="00E209F3"/>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413F"/>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customStyle="1" w:styleId="ListParagraphChar">
    <w:name w:val="List Paragraph Char"/>
    <w:basedOn w:val="DefaultParagraphFont"/>
    <w:link w:val="ListParagraph"/>
    <w:uiPriority w:val="34"/>
    <w:locked/>
    <w:rsid w:val="000A6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rg.research@gmail.com" TargetMode="External"/><Relationship Id="rId13" Type="http://schemas.openxmlformats.org/officeDocument/2006/relationships/hyperlink" Target="mailto:khutcherson@ucsd.edu" TargetMode="Externa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1785893" TargetMode="External"/><Relationship Id="rId12" Type="http://schemas.openxmlformats.org/officeDocument/2006/relationships/hyperlink" Target="mailto:gillarik11@outlook.com" TargetMode="Externa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mailto:utkarsh.khare@jove.com" TargetMode="Externa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harris@thesteadmanclinic.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sgarg.research@gmail.com" TargetMode="External"/><Relationship Id="rId23" Type="http://schemas.openxmlformats.org/officeDocument/2006/relationships/footer" Target="footer2.xml"/><Relationship Id="rId10" Type="http://schemas.openxmlformats.org/officeDocument/2006/relationships/hyperlink" Target="mailto:pyoung@thesteadmanclinic.com"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mailto:cdutton@sprivail.org" TargetMode="External"/><Relationship Id="rId14" Type="http://schemas.openxmlformats.org/officeDocument/2006/relationships/hyperlink" Target="mailto:ssgill@thesteadmanclinic.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10</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13136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17</cp:revision>
  <dcterms:created xsi:type="dcterms:W3CDTF">2026-09-16T15:53:00Z</dcterms:created>
  <dcterms:modified xsi:type="dcterms:W3CDTF">2026-09-22T04:24:00Z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