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5F3C2" w14:textId="77777777" w:rsidR="000C54A2" w:rsidRPr="00E8279F" w:rsidRDefault="000C54A2" w:rsidP="000C54A2">
      <w:pPr>
        <w:rPr>
          <w:b/>
          <w:bCs/>
        </w:rPr>
      </w:pPr>
      <w:r w:rsidRPr="00E8279F">
        <w:rPr>
          <w:b/>
          <w:bCs/>
        </w:rPr>
        <w:t>Table 3: Criteria for Antimicrobial Resistance Classification and Distribution of Staphylococcus aureus Isolates</w:t>
      </w:r>
    </w:p>
    <w:tbl>
      <w:tblPr>
        <w:tblStyle w:val="TableGrid"/>
        <w:tblW w:w="11070" w:type="dxa"/>
        <w:tblInd w:w="-792" w:type="dxa"/>
        <w:tblLayout w:type="fixed"/>
        <w:tblLook w:val="04A0" w:firstRow="1" w:lastRow="0" w:firstColumn="1" w:lastColumn="0" w:noHBand="0" w:noVBand="1"/>
      </w:tblPr>
      <w:tblGrid>
        <w:gridCol w:w="4140"/>
        <w:gridCol w:w="4230"/>
        <w:gridCol w:w="1440"/>
        <w:gridCol w:w="1260"/>
      </w:tblGrid>
      <w:tr w:rsidR="000C54A2" w:rsidRPr="00E8279F" w14:paraId="34C0B8E6" w14:textId="77777777" w:rsidTr="002A560B">
        <w:tc>
          <w:tcPr>
            <w:tcW w:w="4140" w:type="dxa"/>
            <w:hideMark/>
          </w:tcPr>
          <w:p w14:paraId="39D5133F" w14:textId="77777777" w:rsidR="000C54A2" w:rsidRPr="00E8279F" w:rsidRDefault="000C54A2" w:rsidP="002A560B">
            <w:pPr>
              <w:spacing w:after="200" w:line="276" w:lineRule="auto"/>
              <w:rPr>
                <w:b/>
                <w:bCs/>
                <w:sz w:val="24"/>
                <w:szCs w:val="24"/>
              </w:rPr>
            </w:pPr>
            <w:r w:rsidRPr="00E8279F">
              <w:rPr>
                <w:b/>
                <w:bCs/>
                <w:sz w:val="24"/>
                <w:szCs w:val="24"/>
              </w:rPr>
              <w:t>Resistance Category</w:t>
            </w:r>
          </w:p>
        </w:tc>
        <w:tc>
          <w:tcPr>
            <w:tcW w:w="4230" w:type="dxa"/>
            <w:hideMark/>
          </w:tcPr>
          <w:p w14:paraId="3E503373" w14:textId="77777777" w:rsidR="000C54A2" w:rsidRPr="00E8279F" w:rsidRDefault="000C54A2" w:rsidP="002A560B">
            <w:pPr>
              <w:spacing w:after="200" w:line="276" w:lineRule="auto"/>
              <w:rPr>
                <w:b/>
                <w:bCs/>
                <w:sz w:val="24"/>
                <w:szCs w:val="24"/>
              </w:rPr>
            </w:pPr>
            <w:r w:rsidRPr="00E8279F">
              <w:rPr>
                <w:b/>
                <w:bCs/>
                <w:sz w:val="24"/>
                <w:szCs w:val="24"/>
              </w:rPr>
              <w:t>Definition (Antibiotic-Class Based)</w:t>
            </w:r>
          </w:p>
        </w:tc>
        <w:tc>
          <w:tcPr>
            <w:tcW w:w="1440" w:type="dxa"/>
            <w:hideMark/>
          </w:tcPr>
          <w:p w14:paraId="25D29B45" w14:textId="77777777" w:rsidR="000C54A2" w:rsidRPr="00E8279F" w:rsidRDefault="000C54A2" w:rsidP="002A560B">
            <w:pPr>
              <w:spacing w:after="200" w:line="276" w:lineRule="auto"/>
              <w:jc w:val="center"/>
              <w:rPr>
                <w:b/>
                <w:bCs/>
                <w:sz w:val="24"/>
                <w:szCs w:val="24"/>
              </w:rPr>
            </w:pPr>
            <w:r w:rsidRPr="00E8279F">
              <w:rPr>
                <w:b/>
                <w:bCs/>
                <w:sz w:val="24"/>
                <w:szCs w:val="24"/>
              </w:rPr>
              <w:t>Number of Isolates (n=45)</w:t>
            </w:r>
          </w:p>
        </w:tc>
        <w:tc>
          <w:tcPr>
            <w:tcW w:w="1260" w:type="dxa"/>
            <w:hideMark/>
          </w:tcPr>
          <w:p w14:paraId="1B9B6D67" w14:textId="77777777" w:rsidR="000C54A2" w:rsidRPr="00E8279F" w:rsidRDefault="000C54A2" w:rsidP="002A560B">
            <w:pPr>
              <w:spacing w:after="200" w:line="276" w:lineRule="auto"/>
              <w:jc w:val="center"/>
              <w:rPr>
                <w:b/>
                <w:bCs/>
                <w:sz w:val="24"/>
                <w:szCs w:val="24"/>
              </w:rPr>
            </w:pPr>
            <w:r w:rsidRPr="00E8279F">
              <w:rPr>
                <w:b/>
                <w:bCs/>
                <w:sz w:val="24"/>
                <w:szCs w:val="24"/>
              </w:rPr>
              <w:t>Percentage (%)</w:t>
            </w:r>
          </w:p>
        </w:tc>
      </w:tr>
      <w:tr w:rsidR="000C54A2" w:rsidRPr="00E8279F" w14:paraId="48719FC0" w14:textId="77777777" w:rsidTr="002A560B">
        <w:tc>
          <w:tcPr>
            <w:tcW w:w="4140" w:type="dxa"/>
            <w:hideMark/>
          </w:tcPr>
          <w:p w14:paraId="60821709" w14:textId="77777777" w:rsidR="000C54A2" w:rsidRPr="00E8279F" w:rsidRDefault="000C54A2" w:rsidP="002A560B">
            <w:pPr>
              <w:spacing w:after="200" w:line="276" w:lineRule="auto"/>
              <w:rPr>
                <w:sz w:val="24"/>
                <w:szCs w:val="24"/>
              </w:rPr>
            </w:pPr>
            <w:r w:rsidRPr="00E8279F">
              <w:rPr>
                <w:b/>
                <w:bCs/>
                <w:sz w:val="24"/>
                <w:szCs w:val="24"/>
              </w:rPr>
              <w:t>MDR (Multidrug-resistant)</w:t>
            </w:r>
          </w:p>
        </w:tc>
        <w:tc>
          <w:tcPr>
            <w:tcW w:w="4230" w:type="dxa"/>
            <w:hideMark/>
          </w:tcPr>
          <w:p w14:paraId="79BA990B" w14:textId="77777777" w:rsidR="000C54A2" w:rsidRPr="00E8279F" w:rsidRDefault="000C54A2" w:rsidP="002A560B">
            <w:pPr>
              <w:spacing w:after="200" w:line="276" w:lineRule="auto"/>
              <w:rPr>
                <w:sz w:val="24"/>
                <w:szCs w:val="24"/>
              </w:rPr>
            </w:pPr>
            <w:r w:rsidRPr="00E8279F">
              <w:rPr>
                <w:sz w:val="24"/>
                <w:szCs w:val="24"/>
              </w:rPr>
              <w:t xml:space="preserve">Non-susceptibility to ≥1 agent in </w:t>
            </w:r>
            <w:r w:rsidRPr="00E8279F">
              <w:rPr>
                <w:b/>
                <w:bCs/>
                <w:sz w:val="24"/>
                <w:szCs w:val="24"/>
              </w:rPr>
              <w:t>≥3 antimicrobial classes</w:t>
            </w:r>
            <w:r w:rsidRPr="00E8279F">
              <w:rPr>
                <w:sz w:val="24"/>
                <w:szCs w:val="24"/>
              </w:rPr>
              <w:t xml:space="preserve"> (e.g., β-lactams, macrolides, fluoroquinolones, aminoglycosides, tetracyclines)</w:t>
            </w:r>
          </w:p>
        </w:tc>
        <w:tc>
          <w:tcPr>
            <w:tcW w:w="1440" w:type="dxa"/>
            <w:hideMark/>
          </w:tcPr>
          <w:p w14:paraId="068E46F7" w14:textId="77777777" w:rsidR="000C54A2" w:rsidRPr="00E8279F" w:rsidRDefault="000C54A2" w:rsidP="002A560B">
            <w:pPr>
              <w:spacing w:after="200" w:line="276" w:lineRule="auto"/>
              <w:rPr>
                <w:sz w:val="24"/>
                <w:szCs w:val="24"/>
              </w:rPr>
            </w:pPr>
            <w:r w:rsidRPr="00E8279F">
              <w:rPr>
                <w:sz w:val="24"/>
                <w:szCs w:val="24"/>
              </w:rPr>
              <w:t>36</w:t>
            </w:r>
          </w:p>
        </w:tc>
        <w:tc>
          <w:tcPr>
            <w:tcW w:w="1260" w:type="dxa"/>
            <w:hideMark/>
          </w:tcPr>
          <w:p w14:paraId="1B4530E6" w14:textId="77777777" w:rsidR="000C54A2" w:rsidRPr="00E8279F" w:rsidRDefault="000C54A2" w:rsidP="002A560B">
            <w:pPr>
              <w:spacing w:after="200" w:line="276" w:lineRule="auto"/>
              <w:jc w:val="center"/>
              <w:rPr>
                <w:sz w:val="24"/>
                <w:szCs w:val="24"/>
              </w:rPr>
            </w:pPr>
            <w:r w:rsidRPr="0096627D">
              <w:rPr>
                <w:sz w:val="24"/>
                <w:szCs w:val="24"/>
                <w:highlight w:val="yellow"/>
              </w:rPr>
              <w:t>80.00</w:t>
            </w:r>
          </w:p>
        </w:tc>
      </w:tr>
      <w:tr w:rsidR="000C54A2" w:rsidRPr="00E8279F" w14:paraId="14FCD2AB" w14:textId="77777777" w:rsidTr="002A560B">
        <w:tc>
          <w:tcPr>
            <w:tcW w:w="4140" w:type="dxa"/>
            <w:hideMark/>
          </w:tcPr>
          <w:p w14:paraId="4A0A6B6E" w14:textId="77777777" w:rsidR="000C54A2" w:rsidRPr="00E8279F" w:rsidRDefault="000C54A2" w:rsidP="002A560B">
            <w:pPr>
              <w:spacing w:after="200" w:line="276" w:lineRule="auto"/>
              <w:rPr>
                <w:sz w:val="24"/>
                <w:szCs w:val="24"/>
              </w:rPr>
            </w:pPr>
            <w:r w:rsidRPr="00E8279F">
              <w:rPr>
                <w:b/>
                <w:bCs/>
                <w:sz w:val="24"/>
                <w:szCs w:val="24"/>
              </w:rPr>
              <w:t>XDR (Extensively drug-resistant)</w:t>
            </w:r>
          </w:p>
        </w:tc>
        <w:tc>
          <w:tcPr>
            <w:tcW w:w="4230" w:type="dxa"/>
            <w:hideMark/>
          </w:tcPr>
          <w:p w14:paraId="0CC83D45" w14:textId="77777777" w:rsidR="000C54A2" w:rsidRPr="00E8279F" w:rsidRDefault="000C54A2" w:rsidP="002A560B">
            <w:pPr>
              <w:spacing w:after="200" w:line="276" w:lineRule="auto"/>
              <w:rPr>
                <w:sz w:val="24"/>
                <w:szCs w:val="24"/>
              </w:rPr>
            </w:pPr>
            <w:r w:rsidRPr="00E8279F">
              <w:rPr>
                <w:sz w:val="24"/>
                <w:szCs w:val="24"/>
              </w:rPr>
              <w:t xml:space="preserve">Non-susceptibility to ≥1 agent in </w:t>
            </w:r>
            <w:r w:rsidRPr="00E8279F">
              <w:rPr>
                <w:b/>
                <w:bCs/>
                <w:sz w:val="24"/>
                <w:szCs w:val="24"/>
              </w:rPr>
              <w:t>all but ≤2 antimicrobial classes</w:t>
            </w:r>
            <w:r w:rsidRPr="00E8279F">
              <w:rPr>
                <w:sz w:val="24"/>
                <w:szCs w:val="24"/>
              </w:rPr>
              <w:t xml:space="preserve"> (susceptible to only 1–2 classes)</w:t>
            </w:r>
          </w:p>
        </w:tc>
        <w:tc>
          <w:tcPr>
            <w:tcW w:w="1440" w:type="dxa"/>
            <w:hideMark/>
          </w:tcPr>
          <w:p w14:paraId="78E33F87" w14:textId="77777777" w:rsidR="000C54A2" w:rsidRPr="00E8279F" w:rsidRDefault="000C54A2" w:rsidP="002A560B">
            <w:pPr>
              <w:spacing w:after="200" w:line="276" w:lineRule="auto"/>
              <w:rPr>
                <w:sz w:val="24"/>
                <w:szCs w:val="24"/>
              </w:rPr>
            </w:pPr>
            <w:r w:rsidRPr="00E8279F">
              <w:rPr>
                <w:sz w:val="24"/>
                <w:szCs w:val="24"/>
              </w:rPr>
              <w:t>5</w:t>
            </w:r>
          </w:p>
        </w:tc>
        <w:tc>
          <w:tcPr>
            <w:tcW w:w="1260" w:type="dxa"/>
            <w:hideMark/>
          </w:tcPr>
          <w:p w14:paraId="4109187A" w14:textId="77777777" w:rsidR="000C54A2" w:rsidRPr="00E8279F" w:rsidRDefault="000C54A2" w:rsidP="002A560B">
            <w:pPr>
              <w:spacing w:after="200" w:line="276" w:lineRule="auto"/>
              <w:jc w:val="center"/>
              <w:rPr>
                <w:sz w:val="24"/>
                <w:szCs w:val="24"/>
              </w:rPr>
            </w:pPr>
            <w:r w:rsidRPr="0096627D">
              <w:rPr>
                <w:sz w:val="24"/>
                <w:szCs w:val="24"/>
                <w:highlight w:val="yellow"/>
              </w:rPr>
              <w:t>11.11</w:t>
            </w:r>
          </w:p>
        </w:tc>
      </w:tr>
      <w:tr w:rsidR="000C54A2" w:rsidRPr="00E8279F" w14:paraId="6493E651" w14:textId="77777777" w:rsidTr="002A560B">
        <w:tc>
          <w:tcPr>
            <w:tcW w:w="4140" w:type="dxa"/>
            <w:hideMark/>
          </w:tcPr>
          <w:p w14:paraId="422AB580" w14:textId="77777777" w:rsidR="000C54A2" w:rsidRPr="00E8279F" w:rsidRDefault="000C54A2" w:rsidP="002A560B">
            <w:pPr>
              <w:spacing w:after="200" w:line="276" w:lineRule="auto"/>
              <w:rPr>
                <w:sz w:val="24"/>
                <w:szCs w:val="24"/>
              </w:rPr>
            </w:pPr>
            <w:r w:rsidRPr="00E8279F">
              <w:rPr>
                <w:b/>
                <w:bCs/>
                <w:sz w:val="24"/>
                <w:szCs w:val="24"/>
              </w:rPr>
              <w:t>PDR (</w:t>
            </w:r>
            <w:proofErr w:type="spellStart"/>
            <w:r w:rsidRPr="00E8279F">
              <w:rPr>
                <w:b/>
                <w:bCs/>
                <w:sz w:val="24"/>
                <w:szCs w:val="24"/>
              </w:rPr>
              <w:t>Pandrug</w:t>
            </w:r>
            <w:proofErr w:type="spellEnd"/>
            <w:r w:rsidRPr="00E8279F">
              <w:rPr>
                <w:b/>
                <w:bCs/>
                <w:sz w:val="24"/>
                <w:szCs w:val="24"/>
              </w:rPr>
              <w:t>-resistant)</w:t>
            </w:r>
          </w:p>
        </w:tc>
        <w:tc>
          <w:tcPr>
            <w:tcW w:w="4230" w:type="dxa"/>
            <w:hideMark/>
          </w:tcPr>
          <w:p w14:paraId="7B81BEFF" w14:textId="77777777" w:rsidR="000C54A2" w:rsidRPr="00E8279F" w:rsidRDefault="000C54A2" w:rsidP="002A560B">
            <w:pPr>
              <w:spacing w:after="200" w:line="276" w:lineRule="auto"/>
              <w:rPr>
                <w:sz w:val="24"/>
                <w:szCs w:val="24"/>
              </w:rPr>
            </w:pPr>
            <w:r w:rsidRPr="00E8279F">
              <w:rPr>
                <w:sz w:val="24"/>
                <w:szCs w:val="24"/>
              </w:rPr>
              <w:t xml:space="preserve">Non-susceptibility to </w:t>
            </w:r>
            <w:r w:rsidRPr="00E8279F">
              <w:rPr>
                <w:b/>
                <w:bCs/>
                <w:sz w:val="24"/>
                <w:szCs w:val="24"/>
              </w:rPr>
              <w:t>all agents in all tested antimicrobial classes</w:t>
            </w:r>
          </w:p>
        </w:tc>
        <w:tc>
          <w:tcPr>
            <w:tcW w:w="1440" w:type="dxa"/>
            <w:hideMark/>
          </w:tcPr>
          <w:p w14:paraId="3B893220" w14:textId="77777777" w:rsidR="000C54A2" w:rsidRPr="00E8279F" w:rsidRDefault="000C54A2" w:rsidP="002A560B">
            <w:pPr>
              <w:spacing w:after="200" w:line="276" w:lineRule="auto"/>
              <w:rPr>
                <w:sz w:val="24"/>
                <w:szCs w:val="24"/>
              </w:rPr>
            </w:pPr>
            <w:r w:rsidRPr="00E8279F">
              <w:rPr>
                <w:sz w:val="24"/>
                <w:szCs w:val="24"/>
              </w:rPr>
              <w:t>4</w:t>
            </w:r>
          </w:p>
        </w:tc>
        <w:tc>
          <w:tcPr>
            <w:tcW w:w="1260" w:type="dxa"/>
            <w:hideMark/>
          </w:tcPr>
          <w:p w14:paraId="1954C846" w14:textId="77777777" w:rsidR="000C54A2" w:rsidRPr="00E8279F" w:rsidRDefault="000C54A2" w:rsidP="002A560B">
            <w:pPr>
              <w:spacing w:after="200" w:line="276" w:lineRule="auto"/>
              <w:jc w:val="center"/>
              <w:rPr>
                <w:sz w:val="24"/>
                <w:szCs w:val="24"/>
              </w:rPr>
            </w:pPr>
            <w:r w:rsidRPr="0096627D">
              <w:rPr>
                <w:sz w:val="24"/>
                <w:szCs w:val="24"/>
                <w:highlight w:val="yellow"/>
              </w:rPr>
              <w:t>8.89</w:t>
            </w:r>
          </w:p>
        </w:tc>
      </w:tr>
    </w:tbl>
    <w:p w14:paraId="18F796CE" w14:textId="77777777" w:rsidR="000C54A2" w:rsidRPr="00E8279F" w:rsidRDefault="000C54A2" w:rsidP="000C54A2">
      <w:pPr>
        <w:jc w:val="both"/>
      </w:pPr>
      <w:r w:rsidRPr="00E8279F">
        <w:t>MDR, XDR, and PDR classifications were assigned based on standardized international definitions using antimicrobial class–level resistance profiles derived from disk diffusion and MIC testing interpreted according to CLSI guidelines. Classification was performed at the Staphylococcus aureus isolate level (n = 45).</w:t>
      </w:r>
    </w:p>
    <w:p w14:paraId="1295E400" w14:textId="77777777" w:rsidR="000C54A2" w:rsidRDefault="000C54A2"/>
    <w:sectPr w:rsidR="000C54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4A2"/>
    <w:rsid w:val="000C54A2"/>
    <w:rsid w:val="001319D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78203"/>
  <w15:chartTrackingRefBased/>
  <w15:docId w15:val="{DE5D0AB1-A4E3-43D9-A88F-07480A16E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4A2"/>
    <w:pPr>
      <w:spacing w:after="0" w:line="240" w:lineRule="auto"/>
    </w:pPr>
    <w:rPr>
      <w:rFonts w:eastAsia="Times" w:cs="Calibri (Body)"/>
      <w:iCs/>
      <w:color w:val="000000" w:themeColor="text1"/>
      <w:kern w:val="0"/>
      <w:lang w:val="en-US"/>
      <w14:ligatures w14:val="none"/>
    </w:rPr>
  </w:style>
  <w:style w:type="paragraph" w:styleId="Heading1">
    <w:name w:val="heading 1"/>
    <w:basedOn w:val="Normal"/>
    <w:next w:val="Normal"/>
    <w:link w:val="Heading1Char"/>
    <w:uiPriority w:val="9"/>
    <w:qFormat/>
    <w:rsid w:val="000C54A2"/>
    <w:pPr>
      <w:keepNext/>
      <w:keepLines/>
      <w:spacing w:before="360" w:after="80" w:line="278" w:lineRule="auto"/>
      <w:outlineLvl w:val="0"/>
    </w:pPr>
    <w:rPr>
      <w:rFonts w:asciiTheme="majorHAnsi" w:eastAsiaTheme="majorEastAsia" w:hAnsiTheme="majorHAnsi" w:cstheme="majorBidi"/>
      <w:iCs w:val="0"/>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0C54A2"/>
    <w:pPr>
      <w:keepNext/>
      <w:keepLines/>
      <w:spacing w:before="160" w:after="80" w:line="278" w:lineRule="auto"/>
      <w:outlineLvl w:val="1"/>
    </w:pPr>
    <w:rPr>
      <w:rFonts w:asciiTheme="majorHAnsi" w:eastAsiaTheme="majorEastAsia" w:hAnsiTheme="majorHAnsi" w:cstheme="majorBidi"/>
      <w:iCs w:val="0"/>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0C54A2"/>
    <w:pPr>
      <w:keepNext/>
      <w:keepLines/>
      <w:spacing w:before="160" w:after="80" w:line="278" w:lineRule="auto"/>
      <w:outlineLvl w:val="2"/>
    </w:pPr>
    <w:rPr>
      <w:rFonts w:eastAsiaTheme="majorEastAsia" w:cstheme="majorBidi"/>
      <w:iCs w:val="0"/>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0C54A2"/>
    <w:pPr>
      <w:keepNext/>
      <w:keepLines/>
      <w:spacing w:before="80" w:after="40" w:line="278" w:lineRule="auto"/>
      <w:outlineLvl w:val="3"/>
    </w:pPr>
    <w:rPr>
      <w:rFonts w:eastAsiaTheme="majorEastAsia" w:cstheme="majorBidi"/>
      <w:i/>
      <w:color w:val="0F4761" w:themeColor="accent1" w:themeShade="BF"/>
      <w:kern w:val="2"/>
      <w:lang w:val="en-IN"/>
      <w14:ligatures w14:val="standardContextual"/>
    </w:rPr>
  </w:style>
  <w:style w:type="paragraph" w:styleId="Heading5">
    <w:name w:val="heading 5"/>
    <w:basedOn w:val="Normal"/>
    <w:next w:val="Normal"/>
    <w:link w:val="Heading5Char"/>
    <w:uiPriority w:val="9"/>
    <w:semiHidden/>
    <w:unhideWhenUsed/>
    <w:qFormat/>
    <w:rsid w:val="000C54A2"/>
    <w:pPr>
      <w:keepNext/>
      <w:keepLines/>
      <w:spacing w:before="80" w:after="40" w:line="278" w:lineRule="auto"/>
      <w:outlineLvl w:val="4"/>
    </w:pPr>
    <w:rPr>
      <w:rFonts w:eastAsiaTheme="majorEastAsia" w:cstheme="majorBidi"/>
      <w:iCs w:val="0"/>
      <w:color w:val="0F4761" w:themeColor="accent1" w:themeShade="BF"/>
      <w:kern w:val="2"/>
      <w:lang w:val="en-IN"/>
      <w14:ligatures w14:val="standardContextual"/>
    </w:rPr>
  </w:style>
  <w:style w:type="paragraph" w:styleId="Heading6">
    <w:name w:val="heading 6"/>
    <w:basedOn w:val="Normal"/>
    <w:next w:val="Normal"/>
    <w:link w:val="Heading6Char"/>
    <w:uiPriority w:val="9"/>
    <w:semiHidden/>
    <w:unhideWhenUsed/>
    <w:qFormat/>
    <w:rsid w:val="000C54A2"/>
    <w:pPr>
      <w:keepNext/>
      <w:keepLines/>
      <w:spacing w:before="40" w:line="278" w:lineRule="auto"/>
      <w:outlineLvl w:val="5"/>
    </w:pPr>
    <w:rPr>
      <w:rFonts w:eastAsiaTheme="majorEastAsia" w:cstheme="majorBidi"/>
      <w:i/>
      <w:color w:val="595959" w:themeColor="text1" w:themeTint="A6"/>
      <w:kern w:val="2"/>
      <w:lang w:val="en-IN"/>
      <w14:ligatures w14:val="standardContextual"/>
    </w:rPr>
  </w:style>
  <w:style w:type="paragraph" w:styleId="Heading7">
    <w:name w:val="heading 7"/>
    <w:basedOn w:val="Normal"/>
    <w:next w:val="Normal"/>
    <w:link w:val="Heading7Char"/>
    <w:uiPriority w:val="9"/>
    <w:semiHidden/>
    <w:unhideWhenUsed/>
    <w:qFormat/>
    <w:rsid w:val="000C54A2"/>
    <w:pPr>
      <w:keepNext/>
      <w:keepLines/>
      <w:spacing w:before="40" w:line="278" w:lineRule="auto"/>
      <w:outlineLvl w:val="6"/>
    </w:pPr>
    <w:rPr>
      <w:rFonts w:eastAsiaTheme="majorEastAsia" w:cstheme="majorBidi"/>
      <w:iCs w:val="0"/>
      <w:color w:val="595959" w:themeColor="text1" w:themeTint="A6"/>
      <w:kern w:val="2"/>
      <w:lang w:val="en-IN"/>
      <w14:ligatures w14:val="standardContextual"/>
    </w:rPr>
  </w:style>
  <w:style w:type="paragraph" w:styleId="Heading8">
    <w:name w:val="heading 8"/>
    <w:basedOn w:val="Normal"/>
    <w:next w:val="Normal"/>
    <w:link w:val="Heading8Char"/>
    <w:uiPriority w:val="9"/>
    <w:semiHidden/>
    <w:unhideWhenUsed/>
    <w:qFormat/>
    <w:rsid w:val="000C54A2"/>
    <w:pPr>
      <w:keepNext/>
      <w:keepLines/>
      <w:spacing w:line="278" w:lineRule="auto"/>
      <w:outlineLvl w:val="7"/>
    </w:pPr>
    <w:rPr>
      <w:rFonts w:eastAsiaTheme="majorEastAsia" w:cstheme="majorBidi"/>
      <w:i/>
      <w:color w:val="272727" w:themeColor="text1" w:themeTint="D8"/>
      <w:kern w:val="2"/>
      <w:lang w:val="en-IN"/>
      <w14:ligatures w14:val="standardContextual"/>
    </w:rPr>
  </w:style>
  <w:style w:type="paragraph" w:styleId="Heading9">
    <w:name w:val="heading 9"/>
    <w:basedOn w:val="Normal"/>
    <w:next w:val="Normal"/>
    <w:link w:val="Heading9Char"/>
    <w:uiPriority w:val="9"/>
    <w:semiHidden/>
    <w:unhideWhenUsed/>
    <w:qFormat/>
    <w:rsid w:val="000C54A2"/>
    <w:pPr>
      <w:keepNext/>
      <w:keepLines/>
      <w:spacing w:line="278" w:lineRule="auto"/>
      <w:outlineLvl w:val="8"/>
    </w:pPr>
    <w:rPr>
      <w:rFonts w:eastAsiaTheme="majorEastAsia" w:cstheme="majorBidi"/>
      <w:iCs w:val="0"/>
      <w:color w:val="272727" w:themeColor="text1" w:themeTint="D8"/>
      <w:kern w:val="2"/>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54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54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54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54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54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54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54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54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54A2"/>
    <w:rPr>
      <w:rFonts w:eastAsiaTheme="majorEastAsia" w:cstheme="majorBidi"/>
      <w:color w:val="272727" w:themeColor="text1" w:themeTint="D8"/>
    </w:rPr>
  </w:style>
  <w:style w:type="paragraph" w:styleId="Title">
    <w:name w:val="Title"/>
    <w:basedOn w:val="Normal"/>
    <w:next w:val="Normal"/>
    <w:link w:val="TitleChar"/>
    <w:uiPriority w:val="10"/>
    <w:qFormat/>
    <w:rsid w:val="000C54A2"/>
    <w:pPr>
      <w:spacing w:after="80"/>
      <w:contextualSpacing/>
    </w:pPr>
    <w:rPr>
      <w:rFonts w:asciiTheme="majorHAnsi" w:eastAsiaTheme="majorEastAsia" w:hAnsiTheme="majorHAnsi" w:cstheme="majorBidi"/>
      <w:iCs w:val="0"/>
      <w:color w:val="auto"/>
      <w:spacing w:val="-10"/>
      <w:kern w:val="28"/>
      <w:sz w:val="56"/>
      <w:szCs w:val="56"/>
      <w:lang w:val="en-IN"/>
      <w14:ligatures w14:val="standardContextual"/>
    </w:rPr>
  </w:style>
  <w:style w:type="character" w:customStyle="1" w:styleId="TitleChar">
    <w:name w:val="Title Char"/>
    <w:basedOn w:val="DefaultParagraphFont"/>
    <w:link w:val="Title"/>
    <w:uiPriority w:val="10"/>
    <w:rsid w:val="000C54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54A2"/>
    <w:pPr>
      <w:numPr>
        <w:ilvl w:val="1"/>
      </w:numPr>
      <w:spacing w:after="160" w:line="278" w:lineRule="auto"/>
    </w:pPr>
    <w:rPr>
      <w:rFonts w:eastAsiaTheme="majorEastAsia" w:cstheme="majorBidi"/>
      <w:iCs w:val="0"/>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0C54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54A2"/>
    <w:pPr>
      <w:spacing w:before="160" w:after="160" w:line="278" w:lineRule="auto"/>
      <w:jc w:val="center"/>
    </w:pPr>
    <w:rPr>
      <w:rFonts w:eastAsiaTheme="minorHAnsi" w:cstheme="minorBidi"/>
      <w:i/>
      <w:color w:val="404040" w:themeColor="text1" w:themeTint="BF"/>
      <w:kern w:val="2"/>
      <w:lang w:val="en-IN"/>
      <w14:ligatures w14:val="standardContextual"/>
    </w:rPr>
  </w:style>
  <w:style w:type="character" w:customStyle="1" w:styleId="QuoteChar">
    <w:name w:val="Quote Char"/>
    <w:basedOn w:val="DefaultParagraphFont"/>
    <w:link w:val="Quote"/>
    <w:uiPriority w:val="29"/>
    <w:rsid w:val="000C54A2"/>
    <w:rPr>
      <w:i/>
      <w:iCs/>
      <w:color w:val="404040" w:themeColor="text1" w:themeTint="BF"/>
    </w:rPr>
  </w:style>
  <w:style w:type="paragraph" w:styleId="ListParagraph">
    <w:name w:val="List Paragraph"/>
    <w:basedOn w:val="Normal"/>
    <w:uiPriority w:val="34"/>
    <w:qFormat/>
    <w:rsid w:val="000C54A2"/>
    <w:pPr>
      <w:spacing w:after="160" w:line="278" w:lineRule="auto"/>
      <w:ind w:left="720"/>
      <w:contextualSpacing/>
    </w:pPr>
    <w:rPr>
      <w:rFonts w:eastAsiaTheme="minorHAnsi" w:cstheme="minorBidi"/>
      <w:iCs w:val="0"/>
      <w:color w:val="auto"/>
      <w:kern w:val="2"/>
      <w:lang w:val="en-IN"/>
      <w14:ligatures w14:val="standardContextual"/>
    </w:rPr>
  </w:style>
  <w:style w:type="character" w:styleId="IntenseEmphasis">
    <w:name w:val="Intense Emphasis"/>
    <w:basedOn w:val="DefaultParagraphFont"/>
    <w:uiPriority w:val="21"/>
    <w:qFormat/>
    <w:rsid w:val="000C54A2"/>
    <w:rPr>
      <w:i/>
      <w:iCs/>
      <w:color w:val="0F4761" w:themeColor="accent1" w:themeShade="BF"/>
    </w:rPr>
  </w:style>
  <w:style w:type="paragraph" w:styleId="IntenseQuote">
    <w:name w:val="Intense Quote"/>
    <w:basedOn w:val="Normal"/>
    <w:next w:val="Normal"/>
    <w:link w:val="IntenseQuoteChar"/>
    <w:uiPriority w:val="30"/>
    <w:qFormat/>
    <w:rsid w:val="000C54A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cstheme="minorBidi"/>
      <w:i/>
      <w:color w:val="0F4761" w:themeColor="accent1" w:themeShade="BF"/>
      <w:kern w:val="2"/>
      <w:lang w:val="en-IN"/>
      <w14:ligatures w14:val="standardContextual"/>
    </w:rPr>
  </w:style>
  <w:style w:type="character" w:customStyle="1" w:styleId="IntenseQuoteChar">
    <w:name w:val="Intense Quote Char"/>
    <w:basedOn w:val="DefaultParagraphFont"/>
    <w:link w:val="IntenseQuote"/>
    <w:uiPriority w:val="30"/>
    <w:rsid w:val="000C54A2"/>
    <w:rPr>
      <w:i/>
      <w:iCs/>
      <w:color w:val="0F4761" w:themeColor="accent1" w:themeShade="BF"/>
    </w:rPr>
  </w:style>
  <w:style w:type="character" w:styleId="IntenseReference">
    <w:name w:val="Intense Reference"/>
    <w:basedOn w:val="DefaultParagraphFont"/>
    <w:uiPriority w:val="32"/>
    <w:qFormat/>
    <w:rsid w:val="000C54A2"/>
    <w:rPr>
      <w:b/>
      <w:bCs/>
      <w:smallCaps/>
      <w:color w:val="0F4761" w:themeColor="accent1" w:themeShade="BF"/>
      <w:spacing w:val="5"/>
    </w:rPr>
  </w:style>
  <w:style w:type="table" w:styleId="TableGrid">
    <w:name w:val="Table Grid"/>
    <w:basedOn w:val="TableNormal"/>
    <w:uiPriority w:val="59"/>
    <w:qFormat/>
    <w:rsid w:val="000C54A2"/>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141</Words>
  <Characters>806</Characters>
  <Application>Microsoft Office Word</Application>
  <DocSecurity>0</DocSecurity>
  <Lines>6</Lines>
  <Paragraphs>1</Paragraphs>
  <ScaleCrop>false</ScaleCrop>
  <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Kathyayani  Sridharan</dc:creator>
  <cp:keywords/>
  <dc:description/>
  <cp:lastModifiedBy>Kathyayani  Sridharan</cp:lastModifiedBy>
  <cp:revision>1</cp:revision>
  <dcterms:created xsi:type="dcterms:W3CDTF">2026-06-10T08:15:00Z</dcterms:created>
  <dcterms:modified xsi:type="dcterms:W3CDTF">2026-06-10T08:16:00Z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ba4aacfc-be60-4903-a124-011112d3d784</vt:lpwstr>
  </property>
</Properties>
</file>