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CA999" w14:textId="77777777" w:rsidR="00E726B0" w:rsidRDefault="00E726B0" w:rsidP="00E726B0">
      <w:pPr>
        <w:jc w:val="both"/>
        <w:rPr>
          <w:b/>
          <w:color w:val="000000"/>
          <w:sz w:val="24"/>
        </w:rPr>
      </w:pPr>
      <w:r>
        <w:rPr>
          <w:b/>
          <w:color w:val="000000"/>
          <w:sz w:val="24"/>
        </w:rPr>
        <w:t>TITLE:</w:t>
      </w:r>
    </w:p>
    <w:p w14:paraId="7903BA54" w14:textId="2682A2BC" w:rsidR="007A4BB7" w:rsidRPr="00E726B0" w:rsidRDefault="00A77B3E" w:rsidP="00E726B0">
      <w:pPr>
        <w:jc w:val="both"/>
        <w:rPr>
          <w:bCs/>
          <w:sz w:val="24"/>
        </w:rPr>
      </w:pPr>
      <w:r w:rsidRPr="00E726B0">
        <w:rPr>
          <w:bCs/>
          <w:color w:val="000000"/>
          <w:sz w:val="24"/>
        </w:rPr>
        <w:t xml:space="preserve">Representative targeted molecular and genomic characterization of virulence genes </w:t>
      </w:r>
      <w:r w:rsidR="00841360" w:rsidRPr="00E726B0">
        <w:rPr>
          <w:bCs/>
          <w:color w:val="000000"/>
          <w:sz w:val="24"/>
        </w:rPr>
        <w:t xml:space="preserve">in </w:t>
      </w:r>
      <w:r w:rsidR="00841360" w:rsidRPr="00E726B0">
        <w:rPr>
          <w:bCs/>
          <w:i/>
          <w:color w:val="000000"/>
          <w:sz w:val="24"/>
        </w:rPr>
        <w:t>Staphylococcus aureus</w:t>
      </w:r>
      <w:r w:rsidR="00841360" w:rsidRPr="00E726B0">
        <w:rPr>
          <w:bCs/>
          <w:color w:val="000000"/>
          <w:sz w:val="24"/>
        </w:rPr>
        <w:t xml:space="preserve"> from </w:t>
      </w:r>
      <w:r w:rsidR="002E7BDC" w:rsidRPr="00E726B0">
        <w:rPr>
          <w:bCs/>
          <w:color w:val="000000"/>
          <w:sz w:val="24"/>
        </w:rPr>
        <w:t xml:space="preserve">diabetic foot </w:t>
      </w:r>
      <w:r w:rsidR="002E7BDC">
        <w:rPr>
          <w:bCs/>
          <w:color w:val="000000"/>
          <w:sz w:val="24"/>
        </w:rPr>
        <w:t>i</w:t>
      </w:r>
      <w:r w:rsidR="002E7BDC" w:rsidRPr="00E726B0">
        <w:rPr>
          <w:bCs/>
          <w:color w:val="000000"/>
          <w:sz w:val="24"/>
        </w:rPr>
        <w:t>nfections</w:t>
      </w:r>
    </w:p>
    <w:p w14:paraId="1F100F2B" w14:textId="77777777" w:rsidR="007A4BB7" w:rsidRPr="00E726B0" w:rsidRDefault="007A4BB7" w:rsidP="00E726B0">
      <w:pPr>
        <w:jc w:val="both"/>
        <w:rPr>
          <w:sz w:val="24"/>
        </w:rPr>
      </w:pPr>
    </w:p>
    <w:p w14:paraId="7C274262" w14:textId="77777777" w:rsidR="00E726B0" w:rsidRDefault="00E726B0" w:rsidP="00E726B0">
      <w:pPr>
        <w:jc w:val="both"/>
        <w:rPr>
          <w:b/>
          <w:color w:val="000000"/>
          <w:sz w:val="24"/>
        </w:rPr>
      </w:pPr>
      <w:r>
        <w:rPr>
          <w:b/>
          <w:color w:val="000000"/>
          <w:sz w:val="24"/>
        </w:rPr>
        <w:t>AUTHORS AND AFFILIATIONS:</w:t>
      </w:r>
    </w:p>
    <w:p w14:paraId="4622B8C4" w14:textId="34BD621C" w:rsidR="007A4BB7" w:rsidRDefault="00841360" w:rsidP="00D56441">
      <w:pPr>
        <w:jc w:val="both"/>
        <w:rPr>
          <w:bCs/>
          <w:color w:val="000000"/>
          <w:sz w:val="24"/>
        </w:rPr>
      </w:pPr>
      <w:r w:rsidRPr="00E726B0">
        <w:rPr>
          <w:bCs/>
          <w:color w:val="000000"/>
          <w:sz w:val="24"/>
        </w:rPr>
        <w:t>Shaymaa H. Al-Kubaisy</w:t>
      </w:r>
      <w:r w:rsidRPr="00E726B0">
        <w:rPr>
          <w:bCs/>
          <w:color w:val="000000"/>
          <w:sz w:val="24"/>
          <w:vertAlign w:val="superscript"/>
        </w:rPr>
        <w:t>1</w:t>
      </w:r>
      <w:r w:rsidR="00E726B0">
        <w:rPr>
          <w:bCs/>
          <w:color w:val="000000"/>
          <w:sz w:val="24"/>
        </w:rPr>
        <w:t>,</w:t>
      </w:r>
      <w:r w:rsidRPr="00E726B0">
        <w:rPr>
          <w:bCs/>
          <w:color w:val="000000"/>
          <w:sz w:val="24"/>
        </w:rPr>
        <w:t xml:space="preserve"> Rawaa A. Hussein</w:t>
      </w:r>
      <w:r w:rsidR="00D56441">
        <w:rPr>
          <w:bCs/>
          <w:color w:val="000000"/>
          <w:sz w:val="24"/>
          <w:vertAlign w:val="superscript"/>
        </w:rPr>
        <w:t>2</w:t>
      </w:r>
      <w:r w:rsidR="00E726B0">
        <w:rPr>
          <w:bCs/>
          <w:color w:val="000000"/>
          <w:sz w:val="24"/>
        </w:rPr>
        <w:t>,</w:t>
      </w:r>
      <w:r w:rsidRPr="00E726B0">
        <w:rPr>
          <w:bCs/>
          <w:color w:val="000000"/>
          <w:sz w:val="24"/>
        </w:rPr>
        <w:t xml:space="preserve"> </w:t>
      </w:r>
      <w:proofErr w:type="spellStart"/>
      <w:r w:rsidRPr="00E726B0">
        <w:rPr>
          <w:bCs/>
          <w:color w:val="000000"/>
          <w:sz w:val="24"/>
        </w:rPr>
        <w:t>Mushtak</w:t>
      </w:r>
      <w:proofErr w:type="spellEnd"/>
      <w:r w:rsidRPr="00E726B0">
        <w:rPr>
          <w:bCs/>
          <w:color w:val="000000"/>
          <w:sz w:val="24"/>
        </w:rPr>
        <w:t xml:space="preserve"> T. S. Al-Ouqaili</w:t>
      </w:r>
      <w:r w:rsidR="00D56441">
        <w:rPr>
          <w:bCs/>
          <w:color w:val="000000"/>
          <w:sz w:val="24"/>
          <w:vertAlign w:val="superscript"/>
        </w:rPr>
        <w:t>1</w:t>
      </w:r>
      <w:r w:rsidRPr="00E726B0">
        <w:rPr>
          <w:bCs/>
          <w:color w:val="000000"/>
          <w:sz w:val="24"/>
          <w:vertAlign w:val="superscript"/>
        </w:rPr>
        <w:t>*</w:t>
      </w:r>
      <w:r w:rsidRPr="00E726B0">
        <w:rPr>
          <w:bCs/>
          <w:color w:val="000000"/>
          <w:sz w:val="24"/>
        </w:rPr>
        <w:t xml:space="preserve"> </w:t>
      </w:r>
    </w:p>
    <w:p w14:paraId="58A3DD09" w14:textId="77777777" w:rsidR="00D56441" w:rsidRPr="00E726B0" w:rsidRDefault="00D56441" w:rsidP="00D56441">
      <w:pPr>
        <w:jc w:val="both"/>
        <w:rPr>
          <w:bCs/>
          <w:sz w:val="24"/>
        </w:rPr>
      </w:pPr>
    </w:p>
    <w:p w14:paraId="7AD343EB" w14:textId="5D7CFC2E" w:rsidR="00D56441" w:rsidRPr="00D56441" w:rsidRDefault="00D56441" w:rsidP="00D56441">
      <w:pPr>
        <w:jc w:val="both"/>
        <w:rPr>
          <w:sz w:val="24"/>
        </w:rPr>
      </w:pPr>
      <w:r>
        <w:rPr>
          <w:sz w:val="24"/>
          <w:vertAlign w:val="superscript"/>
        </w:rPr>
        <w:t>1</w:t>
      </w:r>
      <w:r w:rsidRPr="00D56441">
        <w:rPr>
          <w:sz w:val="24"/>
        </w:rPr>
        <w:t>Department of Microbiology, College of Medicine, University of Anbar, Anbar Governorate, Ramadi, Iraq</w:t>
      </w:r>
    </w:p>
    <w:p w14:paraId="3D17105E" w14:textId="77777777" w:rsidR="007A4BB7" w:rsidRPr="00E726B0" w:rsidRDefault="007A4BB7" w:rsidP="00E726B0">
      <w:pPr>
        <w:jc w:val="both"/>
        <w:rPr>
          <w:sz w:val="24"/>
        </w:rPr>
      </w:pPr>
    </w:p>
    <w:p w14:paraId="3B3D135C" w14:textId="1227457C" w:rsidR="007A4BB7" w:rsidRPr="007D0B7A" w:rsidRDefault="00D56441" w:rsidP="00E726B0">
      <w:pPr>
        <w:jc w:val="both"/>
        <w:rPr>
          <w:color w:val="000000"/>
          <w:sz w:val="24"/>
        </w:rPr>
      </w:pPr>
      <w:r>
        <w:rPr>
          <w:color w:val="000000"/>
          <w:sz w:val="24"/>
          <w:vertAlign w:val="superscript"/>
        </w:rPr>
        <w:t>2</w:t>
      </w:r>
      <w:r w:rsidR="00841360" w:rsidRPr="00E726B0">
        <w:rPr>
          <w:color w:val="000000"/>
          <w:sz w:val="24"/>
        </w:rPr>
        <w:t xml:space="preserve">Department of Clinical Laboratory Sciences, College of Pharmacy, University of Anbar, Anbar Governorate, Ramadi, Iraq </w:t>
      </w:r>
    </w:p>
    <w:p w14:paraId="2711CA6C" w14:textId="2F4E1D6E" w:rsidR="00E726B0" w:rsidRDefault="00841360" w:rsidP="00E726B0">
      <w:pPr>
        <w:jc w:val="both"/>
        <w:rPr>
          <w:b/>
          <w:color w:val="000000"/>
          <w:sz w:val="24"/>
        </w:rPr>
      </w:pPr>
      <w:r w:rsidRPr="00E726B0">
        <w:rPr>
          <w:b/>
          <w:color w:val="000000"/>
          <w:sz w:val="24"/>
        </w:rPr>
        <w:t>*</w:t>
      </w:r>
      <w:r w:rsidR="00E726B0" w:rsidRPr="00E726B0">
        <w:rPr>
          <w:b/>
          <w:color w:val="000000"/>
          <w:sz w:val="24"/>
        </w:rPr>
        <w:t>Email address of the</w:t>
      </w:r>
      <w:r w:rsidR="00E726B0">
        <w:rPr>
          <w:b/>
          <w:color w:val="000000"/>
          <w:sz w:val="24"/>
          <w:vertAlign w:val="superscript"/>
        </w:rPr>
        <w:t xml:space="preserve"> </w:t>
      </w:r>
      <w:r w:rsidRPr="00E726B0">
        <w:rPr>
          <w:b/>
          <w:color w:val="000000"/>
          <w:sz w:val="24"/>
        </w:rPr>
        <w:t xml:space="preserve">Corresponding author: </w:t>
      </w:r>
    </w:p>
    <w:p w14:paraId="75C0AD81" w14:textId="5901AD55" w:rsidR="007A4BB7" w:rsidRPr="007D0B7A" w:rsidRDefault="00841360" w:rsidP="00E726B0">
      <w:pPr>
        <w:jc w:val="both"/>
        <w:rPr>
          <w:bCs/>
          <w:sz w:val="24"/>
        </w:rPr>
      </w:pPr>
      <w:proofErr w:type="spellStart"/>
      <w:r w:rsidRPr="007D0B7A">
        <w:rPr>
          <w:bCs/>
          <w:color w:val="000000"/>
          <w:sz w:val="24"/>
        </w:rPr>
        <w:t>Mushtak</w:t>
      </w:r>
      <w:proofErr w:type="spellEnd"/>
      <w:r w:rsidRPr="007D0B7A">
        <w:rPr>
          <w:bCs/>
          <w:color w:val="000000"/>
          <w:sz w:val="24"/>
        </w:rPr>
        <w:t xml:space="preserve"> T. S. Al-Ouqaili</w:t>
      </w:r>
      <w:r w:rsidR="00E726B0" w:rsidRPr="007D0B7A">
        <w:rPr>
          <w:bCs/>
          <w:sz w:val="24"/>
        </w:rPr>
        <w:tab/>
      </w:r>
      <w:r w:rsidR="00E726B0" w:rsidRPr="007D0B7A">
        <w:rPr>
          <w:bCs/>
          <w:sz w:val="24"/>
        </w:rPr>
        <w:tab/>
      </w:r>
      <w:r w:rsidR="00E726B0" w:rsidRPr="007D0B7A">
        <w:rPr>
          <w:bCs/>
          <w:sz w:val="24"/>
        </w:rPr>
        <w:tab/>
      </w:r>
      <w:r w:rsidRPr="007D0B7A">
        <w:rPr>
          <w:bCs/>
          <w:color w:val="000000"/>
          <w:sz w:val="24"/>
        </w:rPr>
        <w:t>ph.dr.mushtak_72@uoanbar.edu.iq</w:t>
      </w:r>
    </w:p>
    <w:p w14:paraId="780EEA53" w14:textId="77777777" w:rsidR="007A4BB7" w:rsidRDefault="007A4BB7" w:rsidP="00E726B0">
      <w:pPr>
        <w:jc w:val="both"/>
        <w:rPr>
          <w:sz w:val="24"/>
        </w:rPr>
      </w:pPr>
    </w:p>
    <w:p w14:paraId="22AB33E8" w14:textId="49C098DA" w:rsidR="007D0B7A" w:rsidRPr="007D0B7A" w:rsidRDefault="007D0B7A" w:rsidP="00E726B0">
      <w:pPr>
        <w:jc w:val="both"/>
        <w:rPr>
          <w:b/>
          <w:bCs/>
          <w:sz w:val="24"/>
        </w:rPr>
      </w:pPr>
      <w:r w:rsidRPr="007D0B7A">
        <w:rPr>
          <w:b/>
          <w:bCs/>
          <w:sz w:val="24"/>
        </w:rPr>
        <w:t>Email address of the co-authors:</w:t>
      </w:r>
    </w:p>
    <w:p w14:paraId="0F3B21A7" w14:textId="0AF85384" w:rsidR="007D0B7A" w:rsidRPr="007D0B7A" w:rsidRDefault="007D0B7A" w:rsidP="007D0B7A">
      <w:pPr>
        <w:jc w:val="both"/>
        <w:rPr>
          <w:sz w:val="24"/>
        </w:rPr>
      </w:pPr>
      <w:r w:rsidRPr="00E726B0">
        <w:rPr>
          <w:bCs/>
          <w:color w:val="000000"/>
          <w:sz w:val="24"/>
        </w:rPr>
        <w:t>Shaymaa H. Al-</w:t>
      </w:r>
      <w:proofErr w:type="spellStart"/>
      <w:r w:rsidRPr="00E726B0">
        <w:rPr>
          <w:bCs/>
          <w:color w:val="000000"/>
          <w:sz w:val="24"/>
        </w:rPr>
        <w:t>Kubaisy</w:t>
      </w:r>
      <w:proofErr w:type="spellEnd"/>
      <w:r>
        <w:rPr>
          <w:bCs/>
          <w:color w:val="000000"/>
          <w:sz w:val="24"/>
          <w:vertAlign w:val="superscript"/>
        </w:rPr>
        <w:tab/>
      </w:r>
      <w:r>
        <w:rPr>
          <w:bCs/>
          <w:color w:val="000000"/>
          <w:sz w:val="24"/>
          <w:vertAlign w:val="superscript"/>
        </w:rPr>
        <w:tab/>
      </w:r>
      <w:r>
        <w:rPr>
          <w:bCs/>
          <w:color w:val="000000"/>
          <w:sz w:val="24"/>
          <w:vertAlign w:val="superscript"/>
        </w:rPr>
        <w:tab/>
      </w:r>
      <w:r w:rsidRPr="007D0B7A">
        <w:rPr>
          <w:color w:val="000000"/>
          <w:sz w:val="24"/>
        </w:rPr>
        <w:t>ph.hootjot@uoanbar.edu.iq</w:t>
      </w:r>
    </w:p>
    <w:p w14:paraId="0E3F0D09" w14:textId="536B9D6B" w:rsidR="007D0B7A" w:rsidRPr="007D0B7A" w:rsidRDefault="007D0B7A" w:rsidP="007D0B7A">
      <w:pPr>
        <w:jc w:val="both"/>
        <w:rPr>
          <w:sz w:val="24"/>
        </w:rPr>
      </w:pPr>
      <w:r w:rsidRPr="007D0B7A">
        <w:rPr>
          <w:bCs/>
          <w:color w:val="000000"/>
          <w:sz w:val="24"/>
        </w:rPr>
        <w:t>Rawaa A. Hussein</w:t>
      </w:r>
      <w:r w:rsidRPr="007D0B7A">
        <w:rPr>
          <w:bCs/>
          <w:color w:val="000000"/>
          <w:sz w:val="24"/>
          <w:vertAlign w:val="superscript"/>
        </w:rPr>
        <w:tab/>
      </w:r>
      <w:r w:rsidRPr="007D0B7A">
        <w:rPr>
          <w:bCs/>
          <w:color w:val="000000"/>
          <w:sz w:val="24"/>
          <w:vertAlign w:val="superscript"/>
        </w:rPr>
        <w:tab/>
      </w:r>
      <w:r w:rsidRPr="007D0B7A">
        <w:rPr>
          <w:bCs/>
          <w:color w:val="000000"/>
          <w:sz w:val="24"/>
          <w:vertAlign w:val="superscript"/>
        </w:rPr>
        <w:tab/>
      </w:r>
      <w:r w:rsidRPr="007D0B7A">
        <w:rPr>
          <w:bCs/>
          <w:color w:val="000000"/>
          <w:sz w:val="24"/>
          <w:vertAlign w:val="superscript"/>
        </w:rPr>
        <w:tab/>
      </w:r>
      <w:r w:rsidRPr="007D0B7A">
        <w:rPr>
          <w:color w:val="000000"/>
          <w:sz w:val="24"/>
        </w:rPr>
        <w:t>ph.sun_shi2009@uoanbar.edu.iq</w:t>
      </w:r>
    </w:p>
    <w:p w14:paraId="4D2476A9" w14:textId="77777777" w:rsidR="007D0B7A" w:rsidRDefault="007D0B7A" w:rsidP="00E726B0">
      <w:pPr>
        <w:jc w:val="both"/>
        <w:rPr>
          <w:b/>
          <w:color w:val="000000"/>
          <w:sz w:val="24"/>
        </w:rPr>
      </w:pPr>
    </w:p>
    <w:p w14:paraId="17A1E3FB" w14:textId="7CCB9735" w:rsidR="00727011" w:rsidRDefault="00727011" w:rsidP="00727011">
      <w:pPr>
        <w:jc w:val="both"/>
        <w:rPr>
          <w:b/>
          <w:color w:val="000000"/>
          <w:sz w:val="24"/>
        </w:rPr>
      </w:pPr>
      <w:r w:rsidRPr="00E726B0">
        <w:rPr>
          <w:b/>
          <w:color w:val="000000"/>
          <w:sz w:val="24"/>
        </w:rPr>
        <w:t>Keywords:</w:t>
      </w:r>
    </w:p>
    <w:p w14:paraId="415A3970" w14:textId="543F335A" w:rsidR="00727011" w:rsidRPr="00727011" w:rsidRDefault="00727011" w:rsidP="00727011">
      <w:pPr>
        <w:jc w:val="both"/>
        <w:rPr>
          <w:bCs/>
          <w:sz w:val="24"/>
        </w:rPr>
      </w:pPr>
      <w:r w:rsidRPr="00727011">
        <w:rPr>
          <w:bCs/>
          <w:color w:val="000000"/>
          <w:sz w:val="24"/>
        </w:rPr>
        <w:t xml:space="preserve">MRSA; VRSA; Diabetic Foot Infections, </w:t>
      </w:r>
      <w:r w:rsidRPr="00727011">
        <w:rPr>
          <w:bCs/>
          <w:i/>
          <w:iCs/>
          <w:color w:val="000000"/>
          <w:sz w:val="24"/>
        </w:rPr>
        <w:t>De Novo</w:t>
      </w:r>
      <w:r w:rsidRPr="00727011">
        <w:rPr>
          <w:bCs/>
          <w:color w:val="000000"/>
          <w:sz w:val="24"/>
        </w:rPr>
        <w:t xml:space="preserve"> Sequencing, Circular Genome Map</w:t>
      </w:r>
    </w:p>
    <w:p w14:paraId="089AB3CF" w14:textId="77777777" w:rsidR="00727011" w:rsidRPr="00727011" w:rsidRDefault="00727011" w:rsidP="00E726B0">
      <w:pPr>
        <w:jc w:val="both"/>
        <w:rPr>
          <w:bCs/>
          <w:color w:val="000000"/>
          <w:sz w:val="24"/>
        </w:rPr>
      </w:pPr>
    </w:p>
    <w:p w14:paraId="6F406264" w14:textId="004F9884" w:rsidR="007A4BB7" w:rsidRPr="00E726B0" w:rsidRDefault="007D0B7A" w:rsidP="00E726B0">
      <w:pPr>
        <w:jc w:val="both"/>
        <w:rPr>
          <w:sz w:val="24"/>
        </w:rPr>
      </w:pPr>
      <w:r w:rsidRPr="00E726B0">
        <w:rPr>
          <w:b/>
          <w:color w:val="000000"/>
          <w:sz w:val="24"/>
        </w:rPr>
        <w:t>SUMMARY</w:t>
      </w:r>
      <w:r>
        <w:rPr>
          <w:b/>
          <w:color w:val="000000"/>
          <w:sz w:val="24"/>
        </w:rPr>
        <w:t>:</w:t>
      </w:r>
    </w:p>
    <w:p w14:paraId="062FB8AB" w14:textId="64013EBD" w:rsidR="007D0B7A" w:rsidRDefault="007D0B7A" w:rsidP="00E726B0">
      <w:pPr>
        <w:jc w:val="both"/>
        <w:rPr>
          <w:sz w:val="24"/>
        </w:rPr>
      </w:pPr>
      <w:r w:rsidRPr="007D0B7A">
        <w:rPr>
          <w:sz w:val="24"/>
        </w:rPr>
        <w:t xml:space="preserve">This study characterized </w:t>
      </w:r>
      <w:r>
        <w:rPr>
          <w:sz w:val="24"/>
        </w:rPr>
        <w:t>the mechanisms of antimicrobial resistance, virulence determinants, and genomic features of Staphylococcus aureus isolates recovered from diabetic foot infections using antimicrobial susceptibility testing, PCR-based virulence profiling,</w:t>
      </w:r>
      <w:bookmarkStart w:id="0" w:name="_GoBack"/>
      <w:bookmarkEnd w:id="0"/>
      <w:r>
        <w:rPr>
          <w:sz w:val="24"/>
        </w:rPr>
        <w:t xml:space="preserve"> and whole-genome sequencing</w:t>
      </w:r>
      <w:r w:rsidRPr="007D0B7A">
        <w:rPr>
          <w:sz w:val="24"/>
        </w:rPr>
        <w:t>.</w:t>
      </w:r>
    </w:p>
    <w:p w14:paraId="12D4C056" w14:textId="77777777" w:rsidR="007D0B7A" w:rsidRDefault="007D0B7A" w:rsidP="00E726B0">
      <w:pPr>
        <w:jc w:val="both"/>
        <w:rPr>
          <w:b/>
          <w:color w:val="000000"/>
          <w:sz w:val="24"/>
        </w:rPr>
      </w:pPr>
    </w:p>
    <w:p w14:paraId="13A3399B" w14:textId="77777777" w:rsidR="00727011" w:rsidRDefault="007D0B7A" w:rsidP="00727011">
      <w:pPr>
        <w:jc w:val="both"/>
        <w:rPr>
          <w:sz w:val="24"/>
        </w:rPr>
      </w:pPr>
      <w:r w:rsidRPr="00E726B0">
        <w:rPr>
          <w:b/>
          <w:color w:val="000000"/>
          <w:sz w:val="24"/>
        </w:rPr>
        <w:t>ABSTRACT</w:t>
      </w:r>
      <w:r>
        <w:rPr>
          <w:b/>
          <w:color w:val="000000"/>
          <w:sz w:val="24"/>
        </w:rPr>
        <w:t>:</w:t>
      </w:r>
    </w:p>
    <w:p w14:paraId="16996DD3" w14:textId="43CB0A3E" w:rsidR="00727011" w:rsidRPr="00727011" w:rsidRDefault="00727011" w:rsidP="00727011">
      <w:pPr>
        <w:jc w:val="both"/>
        <w:rPr>
          <w:sz w:val="24"/>
        </w:rPr>
      </w:pPr>
      <w:r w:rsidRPr="00727011">
        <w:rPr>
          <w:sz w:val="24"/>
        </w:rPr>
        <w:t xml:space="preserve">Diabetic foot infections (DFIs) represent a major public health concern, </w:t>
      </w:r>
      <w:r>
        <w:rPr>
          <w:sz w:val="24"/>
        </w:rPr>
        <w:t xml:space="preserve">and methicillin-resistant </w:t>
      </w:r>
      <w:r w:rsidRPr="00205F9F">
        <w:rPr>
          <w:i/>
          <w:iCs/>
          <w:sz w:val="24"/>
        </w:rPr>
        <w:t>Staphylococcus aureus</w:t>
      </w:r>
      <w:r>
        <w:rPr>
          <w:sz w:val="24"/>
        </w:rPr>
        <w:t xml:space="preserve"> (MRSA) is among</w:t>
      </w:r>
      <w:r w:rsidRPr="00727011">
        <w:rPr>
          <w:sz w:val="24"/>
        </w:rPr>
        <w:t xml:space="preserve"> the most clinically significant pathogens. This study investigated the prevalence of virulence genes (</w:t>
      </w:r>
      <w:proofErr w:type="spellStart"/>
      <w:r w:rsidRPr="00727011">
        <w:rPr>
          <w:i/>
          <w:iCs/>
          <w:sz w:val="24"/>
        </w:rPr>
        <w:t>cna</w:t>
      </w:r>
      <w:proofErr w:type="spellEnd"/>
      <w:r w:rsidRPr="00727011">
        <w:rPr>
          <w:sz w:val="24"/>
        </w:rPr>
        <w:t xml:space="preserve"> and </w:t>
      </w:r>
      <w:proofErr w:type="spellStart"/>
      <w:r w:rsidRPr="00727011">
        <w:rPr>
          <w:i/>
          <w:iCs/>
          <w:sz w:val="24"/>
        </w:rPr>
        <w:t>hlg</w:t>
      </w:r>
      <w:proofErr w:type="spellEnd"/>
      <w:r w:rsidRPr="00727011">
        <w:rPr>
          <w:sz w:val="24"/>
        </w:rPr>
        <w:t xml:space="preserve">), antimicrobial resistance profiles, and representative genomic features of multidrug-resistant </w:t>
      </w:r>
      <w:r w:rsidRPr="00727011">
        <w:rPr>
          <w:i/>
          <w:iCs/>
          <w:sz w:val="24"/>
        </w:rPr>
        <w:t>S. aureus</w:t>
      </w:r>
      <w:r w:rsidRPr="00727011">
        <w:rPr>
          <w:sz w:val="24"/>
        </w:rPr>
        <w:t xml:space="preserve"> isolates recovered from patients with DFIs. A cross-sectional observational study was conducted on 125 patients with diabetic foot infections between January and December 2024. Antimicrobial susceptibility testing was performed using the Kirby–Bauer disk diffusion method and cefoxitin screening according to Clinical and Laboratory Standards Institute (CLSI) guidelines, with </w:t>
      </w:r>
      <w:r w:rsidRPr="00727011">
        <w:rPr>
          <w:i/>
          <w:iCs/>
          <w:sz w:val="24"/>
        </w:rPr>
        <w:t>S. aureus</w:t>
      </w:r>
      <w:r w:rsidRPr="00727011">
        <w:rPr>
          <w:sz w:val="24"/>
        </w:rPr>
        <w:t xml:space="preserve"> ATCC 25923 used as the quality-control strain. Vancomycin susceptibility was confirmed by minimum inhibitory concentration (MIC) testing. Polymerase chain reaction (PCR) was used to detect the virulence genes (</w:t>
      </w:r>
      <w:proofErr w:type="spellStart"/>
      <w:r w:rsidRPr="00727011">
        <w:rPr>
          <w:i/>
          <w:iCs/>
          <w:sz w:val="24"/>
        </w:rPr>
        <w:t>cna</w:t>
      </w:r>
      <w:proofErr w:type="spellEnd"/>
      <w:r w:rsidRPr="00727011">
        <w:rPr>
          <w:sz w:val="24"/>
        </w:rPr>
        <w:t xml:space="preserve"> and </w:t>
      </w:r>
      <w:proofErr w:type="spellStart"/>
      <w:r w:rsidRPr="00727011">
        <w:rPr>
          <w:i/>
          <w:iCs/>
          <w:sz w:val="24"/>
        </w:rPr>
        <w:t>hlg</w:t>
      </w:r>
      <w:proofErr w:type="spellEnd"/>
      <w:r w:rsidRPr="00727011">
        <w:rPr>
          <w:sz w:val="24"/>
        </w:rPr>
        <w:t xml:space="preserve">) and </w:t>
      </w:r>
      <w:proofErr w:type="spellStart"/>
      <w:r w:rsidRPr="00727011">
        <w:rPr>
          <w:sz w:val="24"/>
        </w:rPr>
        <w:t>blaOXA</w:t>
      </w:r>
      <w:proofErr w:type="spellEnd"/>
      <w:r w:rsidRPr="00727011">
        <w:rPr>
          <w:sz w:val="24"/>
        </w:rPr>
        <w:t xml:space="preserve">-group I genes. Whole-genome sequencing (WGS) was performed on two representative isolates, including one multidrug-resistant (MDR) isolate and one extensively drug-resistant (XDR) isolate, using a </w:t>
      </w:r>
      <w:r w:rsidRPr="00727011">
        <w:rPr>
          <w:i/>
          <w:iCs/>
          <w:sz w:val="24"/>
        </w:rPr>
        <w:t>de novo</w:t>
      </w:r>
      <w:r w:rsidRPr="00727011">
        <w:rPr>
          <w:sz w:val="24"/>
        </w:rPr>
        <w:t xml:space="preserve"> sequencing approach to generate draft genome assemblies.</w:t>
      </w:r>
      <w:r>
        <w:rPr>
          <w:sz w:val="24"/>
        </w:rPr>
        <w:t xml:space="preserve"> </w:t>
      </w:r>
      <w:r w:rsidRPr="00727011">
        <w:rPr>
          <w:sz w:val="24"/>
        </w:rPr>
        <w:t xml:space="preserve">Among 125 clinical specimens, bacterial growth was observed in 90 samples (72%), of which 45 isolates (50%) were identified as </w:t>
      </w:r>
      <w:r w:rsidRPr="00727011">
        <w:rPr>
          <w:i/>
          <w:iCs/>
          <w:sz w:val="24"/>
        </w:rPr>
        <w:t>S. aureus</w:t>
      </w:r>
      <w:r w:rsidRPr="00727011">
        <w:rPr>
          <w:sz w:val="24"/>
        </w:rPr>
        <w:t xml:space="preserve">. Among these isolates, </w:t>
      </w:r>
      <w:r w:rsidRPr="00727011">
        <w:rPr>
          <w:sz w:val="24"/>
        </w:rPr>
        <w:lastRenderedPageBreak/>
        <w:t xml:space="preserve">35/45 (77.78%) were classified as MRSA, and 36/45 (80%) were multidrug resistant. The </w:t>
      </w:r>
      <w:proofErr w:type="spellStart"/>
      <w:r w:rsidRPr="00727011">
        <w:rPr>
          <w:i/>
          <w:iCs/>
          <w:sz w:val="24"/>
        </w:rPr>
        <w:t>hlg</w:t>
      </w:r>
      <w:proofErr w:type="spellEnd"/>
      <w:r w:rsidRPr="00727011">
        <w:rPr>
          <w:sz w:val="24"/>
        </w:rPr>
        <w:t xml:space="preserve"> gene was detected in all isolates, whereas the </w:t>
      </w:r>
      <w:proofErr w:type="spellStart"/>
      <w:r w:rsidRPr="00727011">
        <w:rPr>
          <w:i/>
          <w:iCs/>
          <w:sz w:val="24"/>
        </w:rPr>
        <w:t>cna</w:t>
      </w:r>
      <w:proofErr w:type="spellEnd"/>
      <w:r w:rsidRPr="00727011">
        <w:rPr>
          <w:sz w:val="24"/>
        </w:rPr>
        <w:t xml:space="preserve"> gene was identified in 13/45 (28.89%) isolates. No </w:t>
      </w:r>
      <w:proofErr w:type="spellStart"/>
      <w:r w:rsidRPr="00727011">
        <w:rPr>
          <w:sz w:val="24"/>
        </w:rPr>
        <w:t>blaOXA</w:t>
      </w:r>
      <w:proofErr w:type="spellEnd"/>
      <w:r w:rsidRPr="00727011">
        <w:rPr>
          <w:sz w:val="24"/>
        </w:rPr>
        <w:t xml:space="preserve">-group I genes were detected. Genomic analysis identified multiple resistance-associated genes, including </w:t>
      </w:r>
      <w:proofErr w:type="spellStart"/>
      <w:r w:rsidRPr="00727011">
        <w:rPr>
          <w:i/>
          <w:iCs/>
          <w:sz w:val="24"/>
        </w:rPr>
        <w:t>blaZ</w:t>
      </w:r>
      <w:proofErr w:type="spellEnd"/>
      <w:r w:rsidRPr="00727011">
        <w:rPr>
          <w:sz w:val="24"/>
        </w:rPr>
        <w:t xml:space="preserve">, </w:t>
      </w:r>
      <w:proofErr w:type="spellStart"/>
      <w:r w:rsidRPr="00727011">
        <w:rPr>
          <w:i/>
          <w:iCs/>
          <w:sz w:val="24"/>
        </w:rPr>
        <w:t>tet</w:t>
      </w:r>
      <w:proofErr w:type="spellEnd"/>
      <w:r w:rsidRPr="00727011">
        <w:rPr>
          <w:i/>
          <w:iCs/>
          <w:sz w:val="24"/>
        </w:rPr>
        <w:t>(38)</w:t>
      </w:r>
      <w:r w:rsidRPr="00727011">
        <w:rPr>
          <w:sz w:val="24"/>
        </w:rPr>
        <w:t xml:space="preserve">, </w:t>
      </w:r>
      <w:proofErr w:type="spellStart"/>
      <w:r w:rsidRPr="00727011">
        <w:rPr>
          <w:i/>
          <w:iCs/>
          <w:sz w:val="24"/>
        </w:rPr>
        <w:t>norA</w:t>
      </w:r>
      <w:proofErr w:type="spellEnd"/>
      <w:r w:rsidRPr="00727011">
        <w:rPr>
          <w:sz w:val="24"/>
        </w:rPr>
        <w:t xml:space="preserve">, and </w:t>
      </w:r>
      <w:proofErr w:type="spellStart"/>
      <w:r w:rsidRPr="00727011">
        <w:rPr>
          <w:i/>
          <w:iCs/>
          <w:sz w:val="24"/>
        </w:rPr>
        <w:t>vanT</w:t>
      </w:r>
      <w:proofErr w:type="spellEnd"/>
      <w:r w:rsidRPr="00727011">
        <w:rPr>
          <w:sz w:val="24"/>
        </w:rPr>
        <w:t>, together with CRISPR-</w:t>
      </w:r>
      <w:proofErr w:type="spellStart"/>
      <w:r w:rsidRPr="00727011">
        <w:rPr>
          <w:sz w:val="24"/>
        </w:rPr>
        <w:t>Cas</w:t>
      </w:r>
      <w:proofErr w:type="spellEnd"/>
      <w:r w:rsidRPr="00727011">
        <w:rPr>
          <w:sz w:val="24"/>
        </w:rPr>
        <w:t xml:space="preserve"> elements and plasmid-associated resistance determinants. These findings highlight the high prevalence of multidrug-resistant </w:t>
      </w:r>
      <w:r w:rsidRPr="00727011">
        <w:rPr>
          <w:i/>
          <w:iCs/>
          <w:sz w:val="24"/>
        </w:rPr>
        <w:t>S. aureus</w:t>
      </w:r>
      <w:r w:rsidRPr="00727011">
        <w:rPr>
          <w:sz w:val="24"/>
        </w:rPr>
        <w:t xml:space="preserve"> in DFIs and support the importance of continued genomic surveillance of clinically relevant resistant strains.</w:t>
      </w:r>
    </w:p>
    <w:p w14:paraId="622E78BC" w14:textId="77777777" w:rsidR="007A4BB7" w:rsidRPr="00E726B0" w:rsidRDefault="007A4BB7" w:rsidP="00E726B0">
      <w:pPr>
        <w:jc w:val="both"/>
        <w:rPr>
          <w:sz w:val="24"/>
        </w:rPr>
      </w:pPr>
    </w:p>
    <w:p w14:paraId="2BDABECE" w14:textId="41F1E492" w:rsidR="007A4BB7" w:rsidRPr="00E726B0" w:rsidRDefault="005C0B3B" w:rsidP="00E726B0">
      <w:pPr>
        <w:jc w:val="both"/>
        <w:rPr>
          <w:sz w:val="24"/>
        </w:rPr>
      </w:pPr>
      <w:r w:rsidRPr="00E726B0">
        <w:rPr>
          <w:b/>
          <w:color w:val="000000"/>
          <w:sz w:val="24"/>
        </w:rPr>
        <w:t>INTRODUCTION</w:t>
      </w:r>
      <w:r>
        <w:rPr>
          <w:b/>
          <w:color w:val="000000"/>
          <w:sz w:val="24"/>
        </w:rPr>
        <w:t>:</w:t>
      </w:r>
    </w:p>
    <w:p w14:paraId="55B7E093" w14:textId="77777777" w:rsidR="00E46899" w:rsidRDefault="00E46899" w:rsidP="00E46899">
      <w:pPr>
        <w:jc w:val="both"/>
        <w:rPr>
          <w:color w:val="000000"/>
          <w:sz w:val="24"/>
        </w:rPr>
      </w:pPr>
      <w:r w:rsidRPr="00E46899">
        <w:rPr>
          <w:color w:val="000000"/>
          <w:sz w:val="24"/>
        </w:rPr>
        <w:t xml:space="preserve">Numerous colonization and virulence characteristics render the gram-positive bacterium </w:t>
      </w:r>
      <w:r w:rsidRPr="00E46899">
        <w:rPr>
          <w:i/>
          <w:iCs/>
          <w:color w:val="000000"/>
          <w:sz w:val="24"/>
        </w:rPr>
        <w:t>Staphylococcus aureus</w:t>
      </w:r>
      <w:r w:rsidRPr="00E46899">
        <w:rPr>
          <w:color w:val="000000"/>
          <w:sz w:val="24"/>
        </w:rPr>
        <w:t xml:space="preserve"> (</w:t>
      </w:r>
      <w:r w:rsidRPr="00E46899">
        <w:rPr>
          <w:i/>
          <w:iCs/>
          <w:color w:val="000000"/>
          <w:sz w:val="24"/>
        </w:rPr>
        <w:t>S. aureus</w:t>
      </w:r>
      <w:r w:rsidRPr="00E46899">
        <w:rPr>
          <w:color w:val="000000"/>
          <w:sz w:val="24"/>
        </w:rPr>
        <w:t>) a prevalent opportunistic pathogen capable of causing a wide range of infections, including impetigo, wound infections, furuncles, skin abscesses, bacteremia, and infective endocarditis</w:t>
      </w:r>
      <w:r w:rsidRPr="00E46899">
        <w:rPr>
          <w:color w:val="000000"/>
          <w:sz w:val="24"/>
          <w:vertAlign w:val="superscript"/>
        </w:rPr>
        <w:t>1</w:t>
      </w:r>
      <w:r>
        <w:rPr>
          <w:color w:val="000000"/>
          <w:sz w:val="24"/>
        </w:rPr>
        <w:t>.</w:t>
      </w:r>
      <w:r w:rsidRPr="00E46899">
        <w:rPr>
          <w:color w:val="000000"/>
          <w:sz w:val="24"/>
        </w:rPr>
        <w:t xml:space="preserve"> Some of these infections may progress to severe disease and require hospitalization, particularly in patients with diabetes mellitus, immunosuppression, malignancy, urinary catheterization, or human immunodeficiency virus infection</w:t>
      </w:r>
      <w:r w:rsidRPr="00E46899">
        <w:rPr>
          <w:color w:val="000000"/>
          <w:sz w:val="24"/>
          <w:vertAlign w:val="superscript"/>
        </w:rPr>
        <w:t>1</w:t>
      </w:r>
      <w:r>
        <w:rPr>
          <w:color w:val="000000"/>
          <w:sz w:val="24"/>
        </w:rPr>
        <w:t>.</w:t>
      </w:r>
      <w:r w:rsidRPr="00E46899">
        <w:rPr>
          <w:color w:val="000000"/>
          <w:sz w:val="24"/>
        </w:rPr>
        <w:t xml:space="preserve"> </w:t>
      </w:r>
    </w:p>
    <w:p w14:paraId="6396BCAA" w14:textId="77777777" w:rsidR="00E46899" w:rsidRDefault="00E46899" w:rsidP="00E46899">
      <w:pPr>
        <w:jc w:val="both"/>
        <w:rPr>
          <w:color w:val="000000"/>
          <w:sz w:val="24"/>
        </w:rPr>
      </w:pPr>
    </w:p>
    <w:p w14:paraId="49CA3462" w14:textId="6A542376" w:rsidR="00E46899" w:rsidRPr="00E46899" w:rsidRDefault="00E46899" w:rsidP="00E46899">
      <w:pPr>
        <w:jc w:val="both"/>
        <w:rPr>
          <w:color w:val="000000"/>
          <w:sz w:val="24"/>
        </w:rPr>
      </w:pPr>
      <w:r w:rsidRPr="00E46899">
        <w:rPr>
          <w:color w:val="000000"/>
          <w:sz w:val="24"/>
        </w:rPr>
        <w:t xml:space="preserve">Methicillin-resistant </w:t>
      </w:r>
      <w:r w:rsidRPr="00E46899">
        <w:rPr>
          <w:i/>
          <w:iCs/>
          <w:color w:val="000000"/>
          <w:sz w:val="24"/>
        </w:rPr>
        <w:t>S. aureus</w:t>
      </w:r>
      <w:r w:rsidRPr="00E46899">
        <w:rPr>
          <w:color w:val="000000"/>
          <w:sz w:val="24"/>
        </w:rPr>
        <w:t xml:space="preserve"> (MRSA) strains are associated with substantial morbidity and mortality because of their ability to rapidly acquire antimicrobial resistance determinants and persist in healthcare environments</w:t>
      </w:r>
      <w:r w:rsidRPr="00E46899">
        <w:rPr>
          <w:color w:val="000000"/>
          <w:sz w:val="24"/>
          <w:vertAlign w:val="superscript"/>
        </w:rPr>
        <w:t>1</w:t>
      </w:r>
      <w:r>
        <w:rPr>
          <w:color w:val="000000"/>
          <w:sz w:val="24"/>
        </w:rPr>
        <w:t>.</w:t>
      </w:r>
      <w:r w:rsidRPr="00E46899">
        <w:rPr>
          <w:color w:val="000000"/>
          <w:sz w:val="24"/>
        </w:rPr>
        <w:t xml:space="preserve"> Patients with diabetes mellitus frequently develop diabetic foot ulcers because of neuropathy, vascular insufficiency, and impaired immune responses</w:t>
      </w:r>
      <w:r w:rsidRPr="00E46899">
        <w:rPr>
          <w:color w:val="000000"/>
          <w:sz w:val="24"/>
          <w:vertAlign w:val="superscript"/>
        </w:rPr>
        <w:t>2</w:t>
      </w:r>
      <w:r>
        <w:rPr>
          <w:color w:val="000000"/>
          <w:sz w:val="24"/>
        </w:rPr>
        <w:t>.</w:t>
      </w:r>
      <w:r w:rsidRPr="00E46899">
        <w:rPr>
          <w:color w:val="000000"/>
          <w:sz w:val="24"/>
        </w:rPr>
        <w:t xml:space="preserve"> Diabetic foot infections (DFIs) have a complex pathophysiology, and clinical outcomes are influenced by both microbial and host-associated factors, including bacterial virulence</w:t>
      </w:r>
      <w:r w:rsidRPr="00E46899">
        <w:rPr>
          <w:color w:val="000000"/>
          <w:sz w:val="24"/>
          <w:vertAlign w:val="superscript"/>
        </w:rPr>
        <w:t>3</w:t>
      </w:r>
      <w:r>
        <w:rPr>
          <w:color w:val="000000"/>
          <w:sz w:val="24"/>
        </w:rPr>
        <w:t>.</w:t>
      </w:r>
      <w:r w:rsidRPr="00E46899">
        <w:rPr>
          <w:color w:val="000000"/>
          <w:sz w:val="24"/>
        </w:rPr>
        <w:t xml:space="preserve"> Although diabetic foot ulcers may contain polymicrobial communities composed of aerobic and anaerobic bacteria and fungi, </w:t>
      </w:r>
      <w:r w:rsidRPr="00E46899">
        <w:rPr>
          <w:i/>
          <w:iCs/>
          <w:color w:val="000000"/>
          <w:sz w:val="24"/>
        </w:rPr>
        <w:t>S. aureus</w:t>
      </w:r>
      <w:r w:rsidRPr="00E46899">
        <w:rPr>
          <w:color w:val="000000"/>
          <w:sz w:val="24"/>
        </w:rPr>
        <w:t xml:space="preserve"> remains one of the predominant pathogens isolated from these infections</w:t>
      </w:r>
      <w:r w:rsidRPr="00E46899">
        <w:rPr>
          <w:color w:val="000000"/>
          <w:sz w:val="24"/>
          <w:vertAlign w:val="superscript"/>
        </w:rPr>
        <w:t>4</w:t>
      </w:r>
      <w:r>
        <w:rPr>
          <w:color w:val="000000"/>
          <w:sz w:val="24"/>
        </w:rPr>
        <w:t>.</w:t>
      </w:r>
      <w:r w:rsidRPr="00E46899">
        <w:rPr>
          <w:color w:val="000000"/>
          <w:sz w:val="24"/>
        </w:rPr>
        <w:t xml:space="preserve"> The organism possesses several virulence determinants that facilitate immune evasion, tissue invasion, chronic colonization, and persistent infection. Furthermore, the acquisition of </w:t>
      </w:r>
      <w:proofErr w:type="spellStart"/>
      <w:r w:rsidRPr="00E46899">
        <w:rPr>
          <w:color w:val="000000"/>
          <w:sz w:val="24"/>
        </w:rPr>
        <w:t>mecA</w:t>
      </w:r>
      <w:proofErr w:type="spellEnd"/>
      <w:r w:rsidRPr="00E46899">
        <w:rPr>
          <w:color w:val="000000"/>
          <w:sz w:val="24"/>
        </w:rPr>
        <w:t>/</w:t>
      </w:r>
      <w:proofErr w:type="spellStart"/>
      <w:r w:rsidRPr="00E46899">
        <w:rPr>
          <w:color w:val="000000"/>
          <w:sz w:val="24"/>
        </w:rPr>
        <w:t>SCCmec</w:t>
      </w:r>
      <w:proofErr w:type="spellEnd"/>
      <w:r w:rsidRPr="00E46899">
        <w:rPr>
          <w:color w:val="000000"/>
          <w:sz w:val="24"/>
        </w:rPr>
        <w:t>-mediated methicillin resistance and other antimicrobial resistance determinants has considerably limited therapeutic options for DFI-associated infections</w:t>
      </w:r>
      <w:r w:rsidRPr="00E46899">
        <w:rPr>
          <w:color w:val="000000"/>
          <w:sz w:val="24"/>
          <w:vertAlign w:val="superscript"/>
        </w:rPr>
        <w:t>4,5</w:t>
      </w:r>
      <w:r>
        <w:rPr>
          <w:color w:val="000000"/>
          <w:sz w:val="24"/>
        </w:rPr>
        <w:t>.</w:t>
      </w:r>
      <w:r w:rsidRPr="00E46899">
        <w:rPr>
          <w:color w:val="000000"/>
          <w:sz w:val="24"/>
        </w:rPr>
        <w:t xml:space="preserve"> Previous studies have reported a high prevalence of multidrug-resistant (MDR) </w:t>
      </w:r>
      <w:r w:rsidRPr="00E46899">
        <w:rPr>
          <w:i/>
          <w:iCs/>
          <w:color w:val="000000"/>
          <w:sz w:val="24"/>
        </w:rPr>
        <w:t>S. aureus</w:t>
      </w:r>
      <w:r w:rsidRPr="00E46899">
        <w:rPr>
          <w:color w:val="000000"/>
          <w:sz w:val="24"/>
        </w:rPr>
        <w:t xml:space="preserve"> isolates in diabetic foot infections, with resistance frequently associated with β-lactamase genes, including </w:t>
      </w:r>
      <w:proofErr w:type="spellStart"/>
      <w:r w:rsidRPr="00E46899">
        <w:rPr>
          <w:i/>
          <w:iCs/>
          <w:color w:val="000000"/>
          <w:sz w:val="24"/>
        </w:rPr>
        <w:t>bla</w:t>
      </w:r>
      <w:r w:rsidRPr="00E46899">
        <w:rPr>
          <w:color w:val="000000"/>
          <w:sz w:val="24"/>
          <w:vertAlign w:val="subscript"/>
        </w:rPr>
        <w:t>TEM</w:t>
      </w:r>
      <w:proofErr w:type="spellEnd"/>
      <w:r w:rsidRPr="00E46899">
        <w:rPr>
          <w:color w:val="000000"/>
          <w:sz w:val="24"/>
        </w:rPr>
        <w:t xml:space="preserve">, </w:t>
      </w:r>
      <w:proofErr w:type="spellStart"/>
      <w:r w:rsidRPr="00E46899">
        <w:rPr>
          <w:i/>
          <w:iCs/>
          <w:color w:val="000000"/>
          <w:sz w:val="24"/>
        </w:rPr>
        <w:t>bla</w:t>
      </w:r>
      <w:r w:rsidRPr="00E46899">
        <w:rPr>
          <w:color w:val="000000"/>
          <w:sz w:val="24"/>
          <w:vertAlign w:val="subscript"/>
        </w:rPr>
        <w:t>OXA</w:t>
      </w:r>
      <w:proofErr w:type="spellEnd"/>
      <w:r w:rsidRPr="00E46899">
        <w:rPr>
          <w:color w:val="000000"/>
          <w:sz w:val="24"/>
        </w:rPr>
        <w:t xml:space="preserve">, and </w:t>
      </w:r>
      <w:proofErr w:type="spellStart"/>
      <w:r w:rsidRPr="00E46899">
        <w:rPr>
          <w:i/>
          <w:iCs/>
          <w:color w:val="000000"/>
          <w:sz w:val="24"/>
        </w:rPr>
        <w:t>bla</w:t>
      </w:r>
      <w:r w:rsidRPr="00E46899">
        <w:rPr>
          <w:color w:val="000000"/>
          <w:sz w:val="24"/>
          <w:vertAlign w:val="subscript"/>
        </w:rPr>
        <w:t>CTX</w:t>
      </w:r>
      <w:proofErr w:type="spellEnd"/>
      <w:r w:rsidRPr="00E46899">
        <w:rPr>
          <w:color w:val="000000"/>
          <w:sz w:val="24"/>
          <w:vertAlign w:val="subscript"/>
        </w:rPr>
        <w:t>-M</w:t>
      </w:r>
      <w:r w:rsidRPr="00E46899">
        <w:rPr>
          <w:color w:val="000000"/>
          <w:sz w:val="24"/>
        </w:rPr>
        <w:t xml:space="preserve"> variants</w:t>
      </w:r>
      <w:r w:rsidRPr="00E46899">
        <w:rPr>
          <w:color w:val="000000"/>
          <w:sz w:val="24"/>
          <w:vertAlign w:val="superscript"/>
        </w:rPr>
        <w:t>6</w:t>
      </w:r>
      <w:r>
        <w:rPr>
          <w:color w:val="000000"/>
          <w:sz w:val="24"/>
        </w:rPr>
        <w:t>.</w:t>
      </w:r>
    </w:p>
    <w:p w14:paraId="3ABBA86D" w14:textId="77777777" w:rsidR="00E46899" w:rsidRPr="00E46899" w:rsidRDefault="00E46899" w:rsidP="00E46899">
      <w:pPr>
        <w:jc w:val="both"/>
        <w:rPr>
          <w:color w:val="000000"/>
          <w:sz w:val="24"/>
        </w:rPr>
      </w:pPr>
    </w:p>
    <w:p w14:paraId="3B6D8F13" w14:textId="2F1F947D" w:rsidR="00E46899" w:rsidRDefault="00E46899" w:rsidP="00E46899">
      <w:pPr>
        <w:jc w:val="both"/>
        <w:rPr>
          <w:color w:val="000000"/>
          <w:sz w:val="24"/>
        </w:rPr>
      </w:pPr>
      <w:r w:rsidRPr="00E46899">
        <w:rPr>
          <w:color w:val="000000"/>
          <w:sz w:val="24"/>
        </w:rPr>
        <w:t xml:space="preserve">Several virulence-associated genes contribute to the pathogenicity and persistence of </w:t>
      </w:r>
      <w:r w:rsidRPr="00E46899">
        <w:rPr>
          <w:i/>
          <w:iCs/>
          <w:color w:val="000000"/>
          <w:sz w:val="24"/>
        </w:rPr>
        <w:t>S. aureus</w:t>
      </w:r>
      <w:r w:rsidRPr="00E46899">
        <w:rPr>
          <w:color w:val="000000"/>
          <w:sz w:val="24"/>
        </w:rPr>
        <w:t xml:space="preserve"> in chronic wound infections. Among these, the </w:t>
      </w:r>
      <w:proofErr w:type="spellStart"/>
      <w:r w:rsidRPr="00E46899">
        <w:rPr>
          <w:i/>
          <w:iCs/>
          <w:color w:val="000000"/>
          <w:sz w:val="24"/>
        </w:rPr>
        <w:t>hlg</w:t>
      </w:r>
      <w:proofErr w:type="spellEnd"/>
      <w:r w:rsidRPr="00E46899">
        <w:rPr>
          <w:color w:val="000000"/>
          <w:sz w:val="24"/>
        </w:rPr>
        <w:t xml:space="preserve"> gene encodes γ-</w:t>
      </w:r>
      <w:proofErr w:type="spellStart"/>
      <w:r w:rsidRPr="00E46899">
        <w:rPr>
          <w:color w:val="000000"/>
          <w:sz w:val="24"/>
        </w:rPr>
        <w:t>hemolysin</w:t>
      </w:r>
      <w:proofErr w:type="spellEnd"/>
      <w:r w:rsidRPr="00E46899">
        <w:rPr>
          <w:color w:val="000000"/>
          <w:sz w:val="24"/>
        </w:rPr>
        <w:t>, a cytotoxic factor associated with tissue destruction, inflammation, immune evasion, and persistence of community-acquired MRSA strains</w:t>
      </w:r>
      <w:r w:rsidRPr="00E46899">
        <w:rPr>
          <w:color w:val="000000"/>
          <w:sz w:val="24"/>
          <w:vertAlign w:val="superscript"/>
        </w:rPr>
        <w:t>7,8</w:t>
      </w:r>
      <w:r>
        <w:rPr>
          <w:color w:val="000000"/>
          <w:sz w:val="24"/>
        </w:rPr>
        <w:t>.</w:t>
      </w:r>
      <w:r w:rsidRPr="00E46899">
        <w:rPr>
          <w:color w:val="000000"/>
          <w:sz w:val="24"/>
        </w:rPr>
        <w:t xml:space="preserve"> The </w:t>
      </w:r>
      <w:proofErr w:type="spellStart"/>
      <w:r w:rsidRPr="00E46899">
        <w:rPr>
          <w:i/>
          <w:iCs/>
          <w:color w:val="000000"/>
          <w:sz w:val="24"/>
        </w:rPr>
        <w:t>cna</w:t>
      </w:r>
      <w:proofErr w:type="spellEnd"/>
      <w:r w:rsidRPr="00E46899">
        <w:rPr>
          <w:color w:val="000000"/>
          <w:sz w:val="24"/>
        </w:rPr>
        <w:t xml:space="preserve"> gene encodes a collagen-binding adhesin that facilitates bacterial adherence to collagen-rich tissues and contributes to chronic colonization and infection persistence</w:t>
      </w:r>
      <w:r w:rsidRPr="00E46899">
        <w:rPr>
          <w:color w:val="000000"/>
          <w:sz w:val="24"/>
          <w:vertAlign w:val="superscript"/>
        </w:rPr>
        <w:t>8</w:t>
      </w:r>
      <w:r>
        <w:rPr>
          <w:color w:val="000000"/>
          <w:sz w:val="24"/>
        </w:rPr>
        <w:t>.</w:t>
      </w:r>
      <w:r w:rsidRPr="00E46899">
        <w:rPr>
          <w:color w:val="000000"/>
          <w:sz w:val="24"/>
        </w:rPr>
        <w:t xml:space="preserve"> Previous investigations identified a high prevalence of </w:t>
      </w:r>
      <w:proofErr w:type="spellStart"/>
      <w:r w:rsidRPr="00E46899">
        <w:rPr>
          <w:i/>
          <w:iCs/>
          <w:color w:val="000000"/>
          <w:sz w:val="24"/>
        </w:rPr>
        <w:t>hlg</w:t>
      </w:r>
      <w:proofErr w:type="spellEnd"/>
      <w:r w:rsidRPr="00E46899">
        <w:rPr>
          <w:color w:val="000000"/>
          <w:sz w:val="24"/>
        </w:rPr>
        <w:t xml:space="preserve"> among MRSA isolates recovered from diabetic foot infections, emphasizing the co-occurrence of virulence and antimicrobial resistance determinants in these infections</w:t>
      </w:r>
      <w:r w:rsidRPr="00E46899">
        <w:rPr>
          <w:color w:val="000000"/>
          <w:sz w:val="24"/>
          <w:vertAlign w:val="superscript"/>
        </w:rPr>
        <w:t>9</w:t>
      </w:r>
      <w:r>
        <w:rPr>
          <w:color w:val="000000"/>
          <w:sz w:val="24"/>
        </w:rPr>
        <w:t>.</w:t>
      </w:r>
      <w:r w:rsidRPr="00E46899">
        <w:rPr>
          <w:color w:val="000000"/>
          <w:sz w:val="24"/>
        </w:rPr>
        <w:t xml:space="preserve"> Inappropriate antibiotic exposure, prolonged hospitalization, impaired tissue penetration of antimicrobial agents, and chronic wound progression further contribute to the emergence and dissemination of MDR organisms in patients with DFIs</w:t>
      </w:r>
      <w:r w:rsidRPr="00E46899">
        <w:rPr>
          <w:color w:val="000000"/>
          <w:sz w:val="24"/>
          <w:vertAlign w:val="superscript"/>
        </w:rPr>
        <w:t>10</w:t>
      </w:r>
      <w:r>
        <w:rPr>
          <w:color w:val="000000"/>
          <w:sz w:val="24"/>
        </w:rPr>
        <w:t>.</w:t>
      </w:r>
      <w:r w:rsidRPr="00E46899">
        <w:rPr>
          <w:color w:val="000000"/>
          <w:sz w:val="24"/>
        </w:rPr>
        <w:t xml:space="preserve"> According to international definitions, multidrug-resistant (MDR) bacteria exhibit resistance to at least one antimicrobial agent in three or more </w:t>
      </w:r>
      <w:r w:rsidRPr="00E46899">
        <w:rPr>
          <w:color w:val="000000"/>
          <w:sz w:val="24"/>
        </w:rPr>
        <w:lastRenderedPageBreak/>
        <w:t xml:space="preserve">antimicrobial classes, extensively drug-resistant (XDR) bacteria remain susceptible to only one or two antimicrobial classes, and </w:t>
      </w:r>
      <w:proofErr w:type="spellStart"/>
      <w:r w:rsidRPr="00E46899">
        <w:rPr>
          <w:color w:val="000000"/>
          <w:sz w:val="24"/>
        </w:rPr>
        <w:t>pandrug</w:t>
      </w:r>
      <w:proofErr w:type="spellEnd"/>
      <w:r w:rsidRPr="00E46899">
        <w:rPr>
          <w:color w:val="000000"/>
          <w:sz w:val="24"/>
        </w:rPr>
        <w:t>-resistant (PDR) bacteria are resistant to all tested antimicrobial classes</w:t>
      </w:r>
      <w:r w:rsidRPr="00E46899">
        <w:rPr>
          <w:color w:val="000000"/>
          <w:sz w:val="24"/>
          <w:vertAlign w:val="superscript"/>
        </w:rPr>
        <w:t>10</w:t>
      </w:r>
      <w:r>
        <w:rPr>
          <w:color w:val="000000"/>
          <w:sz w:val="24"/>
        </w:rPr>
        <w:t>.</w:t>
      </w:r>
      <w:r w:rsidRPr="00E46899">
        <w:rPr>
          <w:color w:val="000000"/>
          <w:sz w:val="24"/>
        </w:rPr>
        <w:t xml:space="preserve"> Despite the recognized clinical importance of </w:t>
      </w:r>
      <w:r w:rsidRPr="00E46899">
        <w:rPr>
          <w:i/>
          <w:iCs/>
          <w:color w:val="000000"/>
          <w:sz w:val="24"/>
        </w:rPr>
        <w:t>S. aureus</w:t>
      </w:r>
      <w:r w:rsidRPr="00E46899">
        <w:rPr>
          <w:color w:val="000000"/>
          <w:sz w:val="24"/>
        </w:rPr>
        <w:t xml:space="preserve"> in diabetic foot infections, there remains limited integrated molecular and genomic information linking virulence determinants with antimicrobial resistance profiles in clinical isolates from this region. </w:t>
      </w:r>
    </w:p>
    <w:p w14:paraId="0975C0D2" w14:textId="77777777" w:rsidR="00E46899" w:rsidRDefault="00E46899" w:rsidP="00E46899">
      <w:pPr>
        <w:jc w:val="both"/>
        <w:rPr>
          <w:color w:val="000000"/>
          <w:sz w:val="24"/>
        </w:rPr>
      </w:pPr>
    </w:p>
    <w:p w14:paraId="7CB84568" w14:textId="56B03ABA" w:rsidR="00CA603A" w:rsidRPr="00E46899" w:rsidRDefault="00E46899" w:rsidP="00E726B0">
      <w:pPr>
        <w:jc w:val="both"/>
        <w:rPr>
          <w:color w:val="000000"/>
          <w:sz w:val="24"/>
        </w:rPr>
      </w:pPr>
      <w:r w:rsidRPr="00E46899">
        <w:rPr>
          <w:color w:val="000000"/>
          <w:sz w:val="24"/>
        </w:rPr>
        <w:t>Therefore, this study aimed to characterize antimicrobial resistance patterns, determine the prevalence of selected virulence genes (</w:t>
      </w:r>
      <w:proofErr w:type="spellStart"/>
      <w:r w:rsidRPr="00E46899">
        <w:rPr>
          <w:i/>
          <w:iCs/>
          <w:color w:val="000000"/>
          <w:sz w:val="24"/>
        </w:rPr>
        <w:t>hlg</w:t>
      </w:r>
      <w:proofErr w:type="spellEnd"/>
      <w:r w:rsidRPr="00E46899">
        <w:rPr>
          <w:color w:val="000000"/>
          <w:sz w:val="24"/>
        </w:rPr>
        <w:t xml:space="preserve"> and </w:t>
      </w:r>
      <w:proofErr w:type="spellStart"/>
      <w:r w:rsidRPr="00E46899">
        <w:rPr>
          <w:i/>
          <w:iCs/>
          <w:color w:val="000000"/>
          <w:sz w:val="24"/>
        </w:rPr>
        <w:t>cna</w:t>
      </w:r>
      <w:proofErr w:type="spellEnd"/>
      <w:r w:rsidRPr="00E46899">
        <w:rPr>
          <w:color w:val="000000"/>
          <w:sz w:val="24"/>
        </w:rPr>
        <w:t xml:space="preserve">), investigate the occurrence of </w:t>
      </w:r>
      <w:proofErr w:type="spellStart"/>
      <w:r w:rsidRPr="00E46899">
        <w:rPr>
          <w:i/>
          <w:iCs/>
          <w:color w:val="000000"/>
          <w:sz w:val="24"/>
        </w:rPr>
        <w:t>bla</w:t>
      </w:r>
      <w:r w:rsidRPr="00E46899">
        <w:rPr>
          <w:color w:val="000000"/>
          <w:sz w:val="24"/>
          <w:vertAlign w:val="subscript"/>
        </w:rPr>
        <w:t>OXA</w:t>
      </w:r>
      <w:proofErr w:type="spellEnd"/>
      <w:r w:rsidRPr="00E46899">
        <w:rPr>
          <w:color w:val="000000"/>
          <w:sz w:val="24"/>
        </w:rPr>
        <w:t xml:space="preserve">-group I genes, and perform representative whole-genome sequencing analysis of selected multidrug-resistant </w:t>
      </w:r>
      <w:r w:rsidRPr="00E46899">
        <w:rPr>
          <w:i/>
          <w:iCs/>
          <w:color w:val="000000"/>
          <w:sz w:val="24"/>
        </w:rPr>
        <w:t>S. aureus</w:t>
      </w:r>
      <w:r w:rsidRPr="00E46899">
        <w:rPr>
          <w:color w:val="000000"/>
          <w:sz w:val="24"/>
        </w:rPr>
        <w:t xml:space="preserve"> isolates recovered from patients with diabetic foot infections.</w:t>
      </w:r>
    </w:p>
    <w:p w14:paraId="444B98AC" w14:textId="77777777" w:rsidR="00CA603A" w:rsidRPr="00E726B0" w:rsidRDefault="00CA603A" w:rsidP="00E726B0">
      <w:pPr>
        <w:jc w:val="both"/>
        <w:rPr>
          <w:b/>
          <w:color w:val="000000"/>
          <w:sz w:val="24"/>
        </w:rPr>
      </w:pPr>
    </w:p>
    <w:p w14:paraId="232CDBEC" w14:textId="0BA93871" w:rsidR="007A4BB7" w:rsidRPr="00E726B0" w:rsidRDefault="00841360" w:rsidP="00E726B0">
      <w:pPr>
        <w:jc w:val="both"/>
        <w:rPr>
          <w:sz w:val="24"/>
        </w:rPr>
      </w:pPr>
      <w:r w:rsidRPr="00E726B0">
        <w:rPr>
          <w:b/>
          <w:color w:val="000000"/>
          <w:sz w:val="24"/>
        </w:rPr>
        <w:t>PROTOCOL</w:t>
      </w:r>
      <w:r w:rsidR="005C0B3B">
        <w:rPr>
          <w:b/>
          <w:color w:val="000000"/>
          <w:sz w:val="24"/>
        </w:rPr>
        <w:t>:</w:t>
      </w:r>
    </w:p>
    <w:p w14:paraId="41D174D7" w14:textId="4AF7720D" w:rsidR="00B827E1" w:rsidRPr="005C0B3B" w:rsidRDefault="00B827E1" w:rsidP="00B827E1">
      <w:pPr>
        <w:jc w:val="both"/>
        <w:rPr>
          <w:b/>
          <w:bCs/>
          <w:color w:val="000000"/>
          <w:sz w:val="24"/>
        </w:rPr>
      </w:pPr>
      <w:r w:rsidRPr="005C0B3B">
        <w:rPr>
          <w:b/>
          <w:bCs/>
          <w:color w:val="000000"/>
          <w:sz w:val="24"/>
        </w:rPr>
        <w:t>1. Study Patients</w:t>
      </w:r>
    </w:p>
    <w:p w14:paraId="1B7C3C8A" w14:textId="77777777" w:rsidR="00B827E1" w:rsidRDefault="00B827E1" w:rsidP="00B827E1">
      <w:pPr>
        <w:jc w:val="both"/>
        <w:rPr>
          <w:color w:val="000000"/>
          <w:sz w:val="24"/>
        </w:rPr>
      </w:pPr>
      <w:r w:rsidRPr="00B827E1">
        <w:rPr>
          <w:color w:val="000000"/>
          <w:sz w:val="24"/>
        </w:rPr>
        <w:t>This study was approved by the Ethical Approval Committee of the University of Anbar, Ministry of Higher Education and Scientific Research, Iraq (Approval No. 145), Ramadi City, Anbar Governorate, Iraq, on December 24, 2023. All procedures involving human participants were performed in accordance with the institutional ethical guidelines of the University of Anbar. Written informed consent was obtained from all participants prior to enrollment.</w:t>
      </w:r>
    </w:p>
    <w:p w14:paraId="09EC5E9C" w14:textId="77777777" w:rsidR="00B827E1" w:rsidRPr="00B827E1" w:rsidRDefault="00B827E1" w:rsidP="00B827E1">
      <w:pPr>
        <w:jc w:val="both"/>
        <w:rPr>
          <w:color w:val="000000"/>
          <w:sz w:val="24"/>
        </w:rPr>
      </w:pPr>
    </w:p>
    <w:p w14:paraId="082B4B35" w14:textId="77777777" w:rsidR="00B827E1" w:rsidRDefault="00B827E1" w:rsidP="00B827E1">
      <w:pPr>
        <w:jc w:val="both"/>
        <w:rPr>
          <w:color w:val="000000"/>
          <w:sz w:val="24"/>
        </w:rPr>
      </w:pPr>
      <w:r w:rsidRPr="00B827E1">
        <w:rPr>
          <w:color w:val="000000"/>
          <w:sz w:val="24"/>
        </w:rPr>
        <w:t>A cross-sectional observational study was conducted from January to December 2024 at Ramadi Teaching Hospitals and affiliated private clinics in Anbar Governorate, Iraq. A total of 125 consecutive eligible patients with diabetic foot infections (DFIs) were enrolled during the study period. The sample size was determined according to the number of eligible patients available during the study period rather than by statistical calculation. Clinically, DFI was defined as the presence of a foot ulcer of any grade in patients with type 1 diabetes mellitus (T1DM) or type 2 diabetes mellitus (T2DM). Male and female patients with varying ulcer severities were included.</w:t>
      </w:r>
    </w:p>
    <w:p w14:paraId="1917FE89" w14:textId="77777777" w:rsidR="00B827E1" w:rsidRPr="00B827E1" w:rsidRDefault="00B827E1" w:rsidP="00B827E1">
      <w:pPr>
        <w:jc w:val="both"/>
        <w:rPr>
          <w:color w:val="000000"/>
          <w:sz w:val="24"/>
        </w:rPr>
      </w:pPr>
    </w:p>
    <w:p w14:paraId="7FF0F842" w14:textId="77777777" w:rsidR="00B827E1" w:rsidRDefault="00B827E1" w:rsidP="00B827E1">
      <w:pPr>
        <w:jc w:val="both"/>
        <w:rPr>
          <w:color w:val="000000"/>
          <w:sz w:val="24"/>
        </w:rPr>
      </w:pPr>
      <w:r w:rsidRPr="00B827E1">
        <w:rPr>
          <w:color w:val="000000"/>
          <w:sz w:val="24"/>
        </w:rPr>
        <w:t xml:space="preserve">Patients were eligible if they had a clinically diagnosed diabetic foot ulcer, attended the participating healthcare facilities, and provided informed consent. Exclusion criteria included foot ulcers unrelated to diabetes mellitus (e.g., traumatic ulcers), referral from other healthcare facilities, inability to provide informed consent because of critical illness, receipt of antibiotic therapy within 48 h prior to specimen collection, and polymicrobial infections. Patients with polymicrobial infections were excluded to ensure accurate phenotypic, molecular, and genomic characterization of </w:t>
      </w:r>
      <w:r w:rsidRPr="00B827E1">
        <w:rPr>
          <w:i/>
          <w:iCs/>
          <w:color w:val="000000"/>
          <w:sz w:val="24"/>
        </w:rPr>
        <w:t>Staphylococcus aureus</w:t>
      </w:r>
      <w:r w:rsidRPr="00B827E1">
        <w:rPr>
          <w:color w:val="000000"/>
          <w:sz w:val="24"/>
        </w:rPr>
        <w:t xml:space="preserve"> isolates. Demographic and clinical data, including age, sex, diabetic complications, duration of diabetes mellitus, antibiotic history, and comorbid conditions, were collected using a structured questionnaire.</w:t>
      </w:r>
    </w:p>
    <w:p w14:paraId="21E50A7E" w14:textId="77777777" w:rsidR="00B827E1" w:rsidRPr="00B827E1" w:rsidRDefault="00B827E1" w:rsidP="00B827E1">
      <w:pPr>
        <w:jc w:val="both"/>
        <w:rPr>
          <w:color w:val="000000"/>
          <w:sz w:val="24"/>
        </w:rPr>
      </w:pPr>
    </w:p>
    <w:p w14:paraId="5A70EB2B" w14:textId="77777777" w:rsidR="00B827E1" w:rsidRDefault="00B827E1" w:rsidP="00B827E1">
      <w:pPr>
        <w:jc w:val="both"/>
        <w:rPr>
          <w:color w:val="000000"/>
          <w:sz w:val="24"/>
        </w:rPr>
      </w:pPr>
      <w:r w:rsidRPr="00B827E1">
        <w:rPr>
          <w:color w:val="000000"/>
          <w:sz w:val="24"/>
        </w:rPr>
        <w:t xml:space="preserve">Clinical specimens were transported to the microbiology laboratory within 2 h of collection under refrigerated conditions (4 °C) using sterile transport swabs containing Amies medium and processed immediately for microbiological analysis. All procedures involving clinical specimens, bacterial cultures, antimicrobial susceptibility testing, polymerase chain reaction (PCR), and ultraviolet (UV) visualization were conducted under Biosafety Level 2 (BSL-2) laboratory conditions according to institutional biosafety guidelines. Laboratory personnel used </w:t>
      </w:r>
      <w:r w:rsidRPr="00B827E1">
        <w:rPr>
          <w:color w:val="000000"/>
          <w:sz w:val="24"/>
        </w:rPr>
        <w:lastRenderedPageBreak/>
        <w:t>appropriate personal protective equipment (PPE), including laboratory coats, disposable gloves, surgical masks, and eye protection when required. Strict aseptic procedures were followed throughout all microbiological and molecular procedures to minimize contamination and exposure risks. Dedicated working areas were used for bacterial culture handling and DNA amplification procedures to prevent cross-contamination. Contaminated materials, including culture plates, swabs, pipette tips, and disposables, were autoclaved at 121 °C and 15 psi for 15–20 min before disposal. Sharps were discarded in designated puncture-resistant biohazard containers. Biological waste was managed according to institutional biomedical waste disposal protocols. These biosafety measures ensured the safe handling of multidrug-resistant organisms, including MRSA and vancomycin-resistant isolates (</w:t>
      </w:r>
      <w:r w:rsidRPr="00B827E1">
        <w:rPr>
          <w:b/>
          <w:bCs/>
          <w:color w:val="000000"/>
          <w:sz w:val="24"/>
        </w:rPr>
        <w:t>Figure 1</w:t>
      </w:r>
      <w:r w:rsidRPr="00B827E1">
        <w:rPr>
          <w:color w:val="000000"/>
          <w:sz w:val="24"/>
        </w:rPr>
        <w:t>).</w:t>
      </w:r>
    </w:p>
    <w:p w14:paraId="4B05EBC1" w14:textId="77777777" w:rsidR="00B827E1" w:rsidRDefault="00B827E1" w:rsidP="00B827E1">
      <w:pPr>
        <w:jc w:val="both"/>
        <w:rPr>
          <w:color w:val="000000"/>
          <w:sz w:val="24"/>
        </w:rPr>
      </w:pPr>
    </w:p>
    <w:p w14:paraId="79955F76" w14:textId="14B1F277" w:rsidR="002E7BDC" w:rsidRDefault="002E7BDC" w:rsidP="00B827E1">
      <w:pPr>
        <w:jc w:val="both"/>
        <w:rPr>
          <w:color w:val="000000"/>
          <w:sz w:val="24"/>
        </w:rPr>
      </w:pPr>
      <w:r>
        <w:rPr>
          <w:color w:val="000000"/>
          <w:sz w:val="24"/>
        </w:rPr>
        <w:t xml:space="preserve">[Place </w:t>
      </w:r>
      <w:r w:rsidRPr="002E7BDC">
        <w:rPr>
          <w:b/>
          <w:bCs/>
          <w:color w:val="000000"/>
          <w:sz w:val="24"/>
        </w:rPr>
        <w:t>Figure 1</w:t>
      </w:r>
      <w:r>
        <w:rPr>
          <w:color w:val="000000"/>
          <w:sz w:val="24"/>
        </w:rPr>
        <w:t xml:space="preserve"> here]</w:t>
      </w:r>
    </w:p>
    <w:p w14:paraId="6DAB38E3" w14:textId="77777777" w:rsidR="002E7BDC" w:rsidRPr="00B827E1" w:rsidRDefault="002E7BDC" w:rsidP="00B827E1">
      <w:pPr>
        <w:jc w:val="both"/>
        <w:rPr>
          <w:color w:val="000000"/>
          <w:sz w:val="24"/>
        </w:rPr>
      </w:pPr>
    </w:p>
    <w:p w14:paraId="38FABFBE" w14:textId="77777777" w:rsidR="00B827E1" w:rsidRPr="00B827E1" w:rsidRDefault="00B827E1" w:rsidP="00B827E1">
      <w:pPr>
        <w:jc w:val="both"/>
        <w:rPr>
          <w:color w:val="000000"/>
          <w:sz w:val="24"/>
        </w:rPr>
      </w:pPr>
      <w:r w:rsidRPr="00B827E1">
        <w:rPr>
          <w:color w:val="000000"/>
          <w:sz w:val="24"/>
        </w:rPr>
        <w:t>Data were analyzed using SPSS software version 22.0. Descriptive statistics, including means and percentages, were calculated. Associations between categorical variables were analyzed using the chi-square test. A p-value &lt;0.05 was considered statistically significant.</w:t>
      </w:r>
    </w:p>
    <w:p w14:paraId="0B53B95B" w14:textId="77777777" w:rsidR="002040A2" w:rsidRPr="00E726B0" w:rsidRDefault="002040A2" w:rsidP="00E726B0">
      <w:pPr>
        <w:ind w:firstLine="720"/>
        <w:jc w:val="both"/>
        <w:rPr>
          <w:sz w:val="24"/>
        </w:rPr>
      </w:pPr>
    </w:p>
    <w:p w14:paraId="11C3F167" w14:textId="49E2AC74" w:rsidR="00B827E1" w:rsidRPr="00D56441" w:rsidRDefault="00B827E1" w:rsidP="00B827E1">
      <w:pPr>
        <w:jc w:val="both"/>
        <w:rPr>
          <w:b/>
          <w:bCs/>
          <w:color w:val="000000"/>
          <w:sz w:val="24"/>
          <w:highlight w:val="yellow"/>
        </w:rPr>
      </w:pPr>
      <w:r w:rsidRPr="00D56441">
        <w:rPr>
          <w:b/>
          <w:bCs/>
          <w:color w:val="000000"/>
          <w:sz w:val="24"/>
          <w:highlight w:val="yellow"/>
        </w:rPr>
        <w:t>2. Processing and collection of samples</w:t>
      </w:r>
    </w:p>
    <w:p w14:paraId="2510C3FA" w14:textId="77777777" w:rsidR="00B827E1" w:rsidRPr="00D56441" w:rsidRDefault="00B827E1" w:rsidP="00B827E1">
      <w:pPr>
        <w:jc w:val="both"/>
        <w:rPr>
          <w:bCs/>
          <w:color w:val="000000"/>
          <w:sz w:val="24"/>
          <w:highlight w:val="yellow"/>
        </w:rPr>
      </w:pPr>
      <w:r w:rsidRPr="00D56441">
        <w:rPr>
          <w:bCs/>
          <w:color w:val="000000"/>
          <w:sz w:val="24"/>
          <w:highlight w:val="yellow"/>
        </w:rPr>
        <w:t>Specimens were collected from the deeper portion of diabetic foot ulcers using the deep-swab technique. Two sterile cotton swabs pre-moistened with sterile broth were rotated firmly over the wound base after debridement with a sterile scalpel and cleansing with sterile saline to minimize contamination by colonizing microorganisms. One swab was used for Gram staining, whereas the second swab was used for microbiological culture. Direct Gram-stained smears were examined microscopically.</w:t>
      </w:r>
    </w:p>
    <w:p w14:paraId="1F883696" w14:textId="77777777" w:rsidR="00B827E1" w:rsidRPr="00D56441" w:rsidRDefault="00B827E1" w:rsidP="00B827E1">
      <w:pPr>
        <w:jc w:val="both"/>
        <w:rPr>
          <w:bCs/>
          <w:color w:val="000000"/>
          <w:sz w:val="24"/>
          <w:highlight w:val="yellow"/>
        </w:rPr>
      </w:pPr>
    </w:p>
    <w:p w14:paraId="0F3B1335" w14:textId="77777777" w:rsidR="00B827E1" w:rsidRPr="00D56441" w:rsidRDefault="00B827E1" w:rsidP="00B827E1">
      <w:pPr>
        <w:jc w:val="both"/>
        <w:rPr>
          <w:bCs/>
          <w:color w:val="000000"/>
          <w:sz w:val="24"/>
          <w:highlight w:val="yellow"/>
        </w:rPr>
      </w:pPr>
      <w:r w:rsidRPr="00D56441">
        <w:rPr>
          <w:bCs/>
          <w:color w:val="000000"/>
          <w:sz w:val="24"/>
          <w:highlight w:val="yellow"/>
        </w:rPr>
        <w:t>Bone tissue specimens were obtained from patients with clinically suspected osteomyelitis under sterile conditions following surgical debridement. Prior to specimen collection, ulcer surfaces were cleansed with sterile normal saline to reduce superficial contamination. Bone tissue samples were aseptically collected using sterile surgical instruments and immediately transferred to sterile containers for microbiological processing.</w:t>
      </w:r>
    </w:p>
    <w:p w14:paraId="7D50EC9C" w14:textId="77777777" w:rsidR="00B827E1" w:rsidRPr="00D56441" w:rsidRDefault="00B827E1" w:rsidP="00B827E1">
      <w:pPr>
        <w:jc w:val="both"/>
        <w:rPr>
          <w:bCs/>
          <w:color w:val="000000"/>
          <w:sz w:val="24"/>
          <w:highlight w:val="yellow"/>
        </w:rPr>
      </w:pPr>
    </w:p>
    <w:p w14:paraId="685C935F" w14:textId="77777777" w:rsidR="00B827E1" w:rsidRPr="00D56441" w:rsidRDefault="00B827E1" w:rsidP="00B827E1">
      <w:pPr>
        <w:jc w:val="both"/>
        <w:rPr>
          <w:bCs/>
          <w:color w:val="000000"/>
          <w:sz w:val="24"/>
          <w:highlight w:val="yellow"/>
        </w:rPr>
      </w:pPr>
      <w:r w:rsidRPr="00D56441">
        <w:rPr>
          <w:bCs/>
          <w:color w:val="000000"/>
          <w:sz w:val="24"/>
          <w:highlight w:val="yellow"/>
        </w:rPr>
        <w:t xml:space="preserve">Specimens were homogenized or finely minced under sterile conditions and inoculated onto blood agar, Mannitol Salt Agar (MSA), MacConkey agar, and nutrient agar. Plates were aerobically incubated at 37 °C for 18–24 h. Blood agar and nutrient agar supported the growth of gram-positive and gram-negative organisms, whereas MSA was used for selective isolation and differentiation of </w:t>
      </w:r>
      <w:r w:rsidRPr="00D56441">
        <w:rPr>
          <w:bCs/>
          <w:i/>
          <w:iCs/>
          <w:color w:val="000000"/>
          <w:sz w:val="24"/>
          <w:highlight w:val="yellow"/>
        </w:rPr>
        <w:t>Staphylococcus</w:t>
      </w:r>
      <w:r w:rsidRPr="00D56441">
        <w:rPr>
          <w:bCs/>
          <w:color w:val="000000"/>
          <w:sz w:val="24"/>
          <w:highlight w:val="yellow"/>
        </w:rPr>
        <w:t xml:space="preserve"> species, including </w:t>
      </w:r>
      <w:r w:rsidRPr="00D56441">
        <w:rPr>
          <w:bCs/>
          <w:i/>
          <w:iCs/>
          <w:color w:val="000000"/>
          <w:sz w:val="24"/>
          <w:highlight w:val="yellow"/>
        </w:rPr>
        <w:t>S. aureus</w:t>
      </w:r>
      <w:r w:rsidRPr="00D56441">
        <w:rPr>
          <w:bCs/>
          <w:color w:val="000000"/>
          <w:sz w:val="24"/>
          <w:highlight w:val="yellow"/>
        </w:rPr>
        <w:t>. MacConkey agar was used for recovery of gram-negative bacteria. Culture plates were examined after incubation, and specimens without visible growth after 48 h were reported as “no growth.”</w:t>
      </w:r>
    </w:p>
    <w:p w14:paraId="1A5C3BA5" w14:textId="77777777" w:rsidR="00B827E1" w:rsidRPr="00D56441" w:rsidRDefault="00B827E1" w:rsidP="00B827E1">
      <w:pPr>
        <w:jc w:val="both"/>
        <w:rPr>
          <w:bCs/>
          <w:color w:val="000000"/>
          <w:sz w:val="24"/>
          <w:highlight w:val="yellow"/>
        </w:rPr>
      </w:pPr>
    </w:p>
    <w:p w14:paraId="428E896A" w14:textId="77777777" w:rsidR="00B827E1" w:rsidRPr="00D56441" w:rsidRDefault="00B827E1" w:rsidP="00B827E1">
      <w:pPr>
        <w:jc w:val="both"/>
        <w:rPr>
          <w:b/>
          <w:color w:val="000000"/>
          <w:sz w:val="24"/>
          <w:highlight w:val="yellow"/>
        </w:rPr>
      </w:pPr>
      <w:r w:rsidRPr="00D56441">
        <w:rPr>
          <w:bCs/>
          <w:color w:val="000000"/>
          <w:sz w:val="24"/>
          <w:highlight w:val="yellow"/>
        </w:rPr>
        <w:t xml:space="preserve">Preliminary bacterial identification was based on colony morphology, Gram staining, and biochemical characteristics, followed by molecular confirmation of </w:t>
      </w:r>
      <w:r w:rsidRPr="00D56441">
        <w:rPr>
          <w:bCs/>
          <w:i/>
          <w:iCs/>
          <w:color w:val="000000"/>
          <w:sz w:val="24"/>
          <w:highlight w:val="yellow"/>
        </w:rPr>
        <w:t>S. aureus</w:t>
      </w:r>
      <w:r w:rsidRPr="00D56441">
        <w:rPr>
          <w:bCs/>
          <w:color w:val="000000"/>
          <w:sz w:val="24"/>
          <w:highlight w:val="yellow"/>
        </w:rPr>
        <w:t xml:space="preserve"> using PCR amplification of the </w:t>
      </w:r>
      <w:proofErr w:type="spellStart"/>
      <w:r w:rsidRPr="00D56441">
        <w:rPr>
          <w:bCs/>
          <w:i/>
          <w:iCs/>
          <w:color w:val="000000"/>
          <w:sz w:val="24"/>
          <w:highlight w:val="yellow"/>
        </w:rPr>
        <w:t>nuc</w:t>
      </w:r>
      <w:proofErr w:type="spellEnd"/>
      <w:r w:rsidRPr="00D56441">
        <w:rPr>
          <w:bCs/>
          <w:color w:val="000000"/>
          <w:sz w:val="24"/>
          <w:highlight w:val="yellow"/>
        </w:rPr>
        <w:t xml:space="preserve"> gene. Biochemical identification included catalase testing, slide and tube coagulase tests, mannitol fermentation, and DNase testing. Confirmed isolates were further identified using the VITEK 2 Compact system with the VITEK 2 GP identification card. </w:t>
      </w:r>
      <w:r w:rsidRPr="00D56441">
        <w:rPr>
          <w:bCs/>
          <w:color w:val="000000"/>
          <w:sz w:val="24"/>
          <w:highlight w:val="yellow"/>
        </w:rPr>
        <w:lastRenderedPageBreak/>
        <w:t>Identification results were accepted only when the confidence level was ≥95%. Discordant or low-confidence results were retested using repeat biochemical analysis and repeat VITEK testing. Pure isolates were preserved in 20% glycerol prepared in brain heart infusion (BHI) broth for subsequent molecular and genomic analyses (</w:t>
      </w:r>
      <w:r w:rsidRPr="00D56441">
        <w:rPr>
          <w:b/>
          <w:color w:val="000000"/>
          <w:sz w:val="24"/>
          <w:highlight w:val="yellow"/>
        </w:rPr>
        <w:t>Figure 1</w:t>
      </w:r>
      <w:r w:rsidRPr="00D56441">
        <w:rPr>
          <w:bCs/>
          <w:color w:val="000000"/>
          <w:sz w:val="24"/>
          <w:highlight w:val="yellow"/>
        </w:rPr>
        <w:t>).</w:t>
      </w:r>
    </w:p>
    <w:p w14:paraId="7B477E2C" w14:textId="77777777" w:rsidR="006C7CD6" w:rsidRPr="00D56441" w:rsidRDefault="006C7CD6" w:rsidP="00E726B0">
      <w:pPr>
        <w:jc w:val="both"/>
        <w:rPr>
          <w:bCs/>
          <w:color w:val="000000"/>
          <w:sz w:val="24"/>
          <w:highlight w:val="yellow"/>
        </w:rPr>
      </w:pPr>
    </w:p>
    <w:p w14:paraId="52846B38" w14:textId="4863C9CD" w:rsidR="00B827E1" w:rsidRPr="00D56441" w:rsidRDefault="00B827E1" w:rsidP="00B827E1">
      <w:pPr>
        <w:jc w:val="both"/>
        <w:rPr>
          <w:b/>
          <w:bCs/>
          <w:color w:val="000000"/>
          <w:sz w:val="24"/>
          <w:highlight w:val="yellow"/>
        </w:rPr>
      </w:pPr>
      <w:r w:rsidRPr="00D56441">
        <w:rPr>
          <w:b/>
          <w:bCs/>
          <w:color w:val="000000"/>
          <w:sz w:val="24"/>
          <w:highlight w:val="yellow"/>
        </w:rPr>
        <w:t>3. Antimicrobial susceptibility testing</w:t>
      </w:r>
    </w:p>
    <w:p w14:paraId="3D122AAC" w14:textId="77777777" w:rsidR="00B827E1" w:rsidRPr="00D56441" w:rsidRDefault="00B827E1" w:rsidP="00B827E1">
      <w:pPr>
        <w:jc w:val="both"/>
        <w:rPr>
          <w:bCs/>
          <w:color w:val="000000"/>
          <w:sz w:val="24"/>
          <w:highlight w:val="yellow"/>
        </w:rPr>
      </w:pPr>
      <w:r w:rsidRPr="00D56441">
        <w:rPr>
          <w:bCs/>
          <w:color w:val="000000"/>
          <w:sz w:val="24"/>
          <w:highlight w:val="yellow"/>
        </w:rPr>
        <w:t>Antimicrobial susceptibility testing was performed using the Kirby–Bauer disk diffusion method according to the Clinical and Laboratory Standards Institute (CLSI) 2022 guidelines. Testing was conducted on Mueller–Hinton agar with a standardized agar depth of 4 mm. Fresh bacterial cultures were adjusted to a 0.5 McFarland standard using a densitometer before inoculation. Sterile swabs were used to evenly inoculate agar surfaces.</w:t>
      </w:r>
    </w:p>
    <w:p w14:paraId="6413623D" w14:textId="77777777" w:rsidR="00B827E1" w:rsidRPr="00D56441" w:rsidRDefault="00B827E1" w:rsidP="00B827E1">
      <w:pPr>
        <w:jc w:val="both"/>
        <w:rPr>
          <w:bCs/>
          <w:color w:val="000000"/>
          <w:sz w:val="24"/>
          <w:highlight w:val="yellow"/>
        </w:rPr>
      </w:pPr>
    </w:p>
    <w:p w14:paraId="7CFBCE77" w14:textId="77777777" w:rsidR="00B827E1" w:rsidRPr="00D56441" w:rsidRDefault="00B827E1" w:rsidP="00B827E1">
      <w:pPr>
        <w:jc w:val="both"/>
        <w:rPr>
          <w:bCs/>
          <w:color w:val="000000"/>
          <w:sz w:val="24"/>
          <w:highlight w:val="yellow"/>
        </w:rPr>
      </w:pPr>
      <w:r w:rsidRPr="00D56441">
        <w:rPr>
          <w:bCs/>
          <w:color w:val="000000"/>
          <w:sz w:val="24"/>
          <w:highlight w:val="yellow"/>
        </w:rPr>
        <w:t>The following antimicrobial disks were used: ampicillin (10 µg), gentamicin (10 µg), amikacin (30 µg), cefoxitin (30 µg), cefuroxime (30 µg), piperacillin/tazobactam (100/10 µg), meropenem (10 µg), amoxicillin–clavulanic acid (30 µg), oxacillin (1 µg), levofloxacin (5 µg), clindamycin (2 µg), tigecycline (15 µg), ciprofloxacin (5 µg), erythromycin (15 µg), trimethoprim–sulfamethoxazole (25 µg), linezolid (30 µg), and vancomycin (30 µg). Plates were incubated aerobically at 37 °C for 16–18 h. Zone diameters were interpreted according to CLSI breakpoints.</w:t>
      </w:r>
    </w:p>
    <w:p w14:paraId="473837F1" w14:textId="77777777" w:rsidR="00B827E1" w:rsidRPr="00D56441" w:rsidRDefault="00B827E1" w:rsidP="00B827E1">
      <w:pPr>
        <w:jc w:val="both"/>
        <w:rPr>
          <w:bCs/>
          <w:color w:val="000000"/>
          <w:sz w:val="24"/>
          <w:highlight w:val="yellow"/>
        </w:rPr>
      </w:pPr>
    </w:p>
    <w:p w14:paraId="632C9E18" w14:textId="77777777" w:rsidR="00B827E1" w:rsidRPr="00D56441" w:rsidRDefault="00B827E1" w:rsidP="00B827E1">
      <w:pPr>
        <w:jc w:val="both"/>
        <w:rPr>
          <w:b/>
          <w:color w:val="000000"/>
          <w:sz w:val="24"/>
          <w:highlight w:val="yellow"/>
        </w:rPr>
      </w:pPr>
      <w:r w:rsidRPr="00D56441">
        <w:rPr>
          <w:bCs/>
          <w:color w:val="000000"/>
          <w:sz w:val="24"/>
          <w:highlight w:val="yellow"/>
        </w:rPr>
        <w:t xml:space="preserve">Methicillin-resistant </w:t>
      </w:r>
      <w:r w:rsidRPr="00D56441">
        <w:rPr>
          <w:bCs/>
          <w:i/>
          <w:iCs/>
          <w:color w:val="000000"/>
          <w:sz w:val="24"/>
          <w:highlight w:val="yellow"/>
        </w:rPr>
        <w:t>Staphylococcus aureus</w:t>
      </w:r>
      <w:r w:rsidRPr="00D56441">
        <w:rPr>
          <w:bCs/>
          <w:color w:val="000000"/>
          <w:sz w:val="24"/>
          <w:highlight w:val="yellow"/>
        </w:rPr>
        <w:t xml:space="preserve"> (MRSA) was identified using cefoxitin (30 µg) screening according to CLSI recommendations. Quality-control testing was performed using </w:t>
      </w:r>
      <w:r w:rsidRPr="00D56441">
        <w:rPr>
          <w:bCs/>
          <w:i/>
          <w:iCs/>
          <w:color w:val="000000"/>
          <w:sz w:val="24"/>
          <w:highlight w:val="yellow"/>
        </w:rPr>
        <w:t>S. aureus</w:t>
      </w:r>
      <w:r w:rsidRPr="00D56441">
        <w:rPr>
          <w:bCs/>
          <w:color w:val="000000"/>
          <w:sz w:val="24"/>
          <w:highlight w:val="yellow"/>
        </w:rPr>
        <w:t xml:space="preserve"> ATCC 25923. All experiments were performed in duplicate to ensure reproducibility. Multidrug-resistant (MDR), extensively drug-resistant (XDR), and </w:t>
      </w:r>
      <w:proofErr w:type="spellStart"/>
      <w:r w:rsidRPr="00D56441">
        <w:rPr>
          <w:bCs/>
          <w:color w:val="000000"/>
          <w:sz w:val="24"/>
          <w:highlight w:val="yellow"/>
        </w:rPr>
        <w:t>pandrug</w:t>
      </w:r>
      <w:proofErr w:type="spellEnd"/>
      <w:r w:rsidRPr="00D56441">
        <w:rPr>
          <w:bCs/>
          <w:color w:val="000000"/>
          <w:sz w:val="24"/>
          <w:highlight w:val="yellow"/>
        </w:rPr>
        <w:t>-resistant (PDR) isolates were classified according to international standard definitions based on antimicrobial resistance profiles (</w:t>
      </w:r>
      <w:r w:rsidRPr="00D56441">
        <w:rPr>
          <w:b/>
          <w:color w:val="000000"/>
          <w:sz w:val="24"/>
          <w:highlight w:val="yellow"/>
        </w:rPr>
        <w:t>Figure 1</w:t>
      </w:r>
      <w:r w:rsidRPr="00D56441">
        <w:rPr>
          <w:bCs/>
          <w:color w:val="000000"/>
          <w:sz w:val="24"/>
          <w:highlight w:val="yellow"/>
        </w:rPr>
        <w:t>).</w:t>
      </w:r>
    </w:p>
    <w:p w14:paraId="39B523DA" w14:textId="77777777" w:rsidR="007A4BB7" w:rsidRPr="00D56441" w:rsidRDefault="007A4BB7" w:rsidP="00E726B0">
      <w:pPr>
        <w:jc w:val="both"/>
        <w:rPr>
          <w:sz w:val="24"/>
          <w:highlight w:val="yellow"/>
        </w:rPr>
      </w:pPr>
    </w:p>
    <w:p w14:paraId="7F7DC4A9" w14:textId="1D476F1D" w:rsidR="00B827E1" w:rsidRPr="00D56441" w:rsidRDefault="00B827E1" w:rsidP="00B827E1">
      <w:pPr>
        <w:jc w:val="both"/>
        <w:rPr>
          <w:b/>
          <w:bCs/>
          <w:color w:val="000000"/>
          <w:sz w:val="24"/>
          <w:highlight w:val="yellow"/>
        </w:rPr>
      </w:pPr>
      <w:r w:rsidRPr="00D56441">
        <w:rPr>
          <w:b/>
          <w:bCs/>
          <w:color w:val="000000"/>
          <w:sz w:val="24"/>
          <w:highlight w:val="yellow"/>
        </w:rPr>
        <w:t xml:space="preserve">4. Detection of Methicillin-resistant </w:t>
      </w:r>
      <w:r w:rsidRPr="00D56441">
        <w:rPr>
          <w:b/>
          <w:bCs/>
          <w:i/>
          <w:iCs/>
          <w:color w:val="000000"/>
          <w:sz w:val="24"/>
          <w:highlight w:val="yellow"/>
        </w:rPr>
        <w:t>S. aureus</w:t>
      </w:r>
      <w:r w:rsidRPr="00D56441">
        <w:rPr>
          <w:b/>
          <w:bCs/>
          <w:color w:val="000000"/>
          <w:sz w:val="24"/>
          <w:highlight w:val="yellow"/>
        </w:rPr>
        <w:t xml:space="preserve"> (MRSA)</w:t>
      </w:r>
    </w:p>
    <w:p w14:paraId="16EE7578" w14:textId="77777777" w:rsidR="00B827E1" w:rsidRPr="00D56441" w:rsidRDefault="00B827E1" w:rsidP="00B827E1">
      <w:pPr>
        <w:jc w:val="both"/>
        <w:rPr>
          <w:bCs/>
          <w:color w:val="000000"/>
          <w:sz w:val="24"/>
          <w:highlight w:val="yellow"/>
        </w:rPr>
      </w:pPr>
      <w:r w:rsidRPr="00D56441">
        <w:rPr>
          <w:bCs/>
          <w:color w:val="000000"/>
          <w:sz w:val="24"/>
          <w:highlight w:val="yellow"/>
        </w:rPr>
        <w:t xml:space="preserve">A cefoxitin (30 µg) disk diffusion assay was used as a phenotypic method for MRSA detection. Isolates with inhibition zones ≥22 mm were classified as methicillin-sensitive </w:t>
      </w:r>
      <w:r w:rsidRPr="00D56441">
        <w:rPr>
          <w:bCs/>
          <w:i/>
          <w:iCs/>
          <w:color w:val="000000"/>
          <w:sz w:val="24"/>
          <w:highlight w:val="yellow"/>
        </w:rPr>
        <w:t>S. aureus</w:t>
      </w:r>
      <w:r w:rsidRPr="00D56441">
        <w:rPr>
          <w:bCs/>
          <w:color w:val="000000"/>
          <w:sz w:val="24"/>
          <w:highlight w:val="yellow"/>
        </w:rPr>
        <w:t xml:space="preserve"> (MSSA), whereas isolates with inhibition zones ≤21 mm were classified as MRSA according to CLSI criteria (</w:t>
      </w:r>
      <w:r w:rsidRPr="00D56441">
        <w:rPr>
          <w:b/>
          <w:color w:val="000000"/>
          <w:sz w:val="24"/>
          <w:highlight w:val="yellow"/>
        </w:rPr>
        <w:t>Figure 1</w:t>
      </w:r>
      <w:r w:rsidRPr="00D56441">
        <w:rPr>
          <w:bCs/>
          <w:color w:val="000000"/>
          <w:sz w:val="24"/>
          <w:highlight w:val="yellow"/>
        </w:rPr>
        <w:t>).</w:t>
      </w:r>
    </w:p>
    <w:p w14:paraId="0260B237" w14:textId="77777777" w:rsidR="007A4BB7" w:rsidRPr="00D56441" w:rsidRDefault="007A4BB7" w:rsidP="00E726B0">
      <w:pPr>
        <w:jc w:val="both"/>
        <w:rPr>
          <w:sz w:val="24"/>
          <w:highlight w:val="yellow"/>
        </w:rPr>
      </w:pPr>
    </w:p>
    <w:p w14:paraId="25DC0F50" w14:textId="77777777" w:rsidR="00B827E1" w:rsidRPr="00D56441" w:rsidRDefault="00B827E1" w:rsidP="00B827E1">
      <w:pPr>
        <w:jc w:val="both"/>
        <w:rPr>
          <w:b/>
          <w:bCs/>
          <w:color w:val="000000"/>
          <w:sz w:val="24"/>
          <w:highlight w:val="yellow"/>
        </w:rPr>
      </w:pPr>
      <w:r w:rsidRPr="00D56441">
        <w:rPr>
          <w:b/>
          <w:bCs/>
          <w:color w:val="000000"/>
          <w:sz w:val="24"/>
          <w:highlight w:val="yellow"/>
        </w:rPr>
        <w:t>5 Determination of Vancomycin Resistance by Minimum Inhibitory Concentration (MIC) Testing</w:t>
      </w:r>
    </w:p>
    <w:p w14:paraId="064428B6" w14:textId="1B461A6C" w:rsidR="00B827E1" w:rsidRPr="00D56441" w:rsidRDefault="00B827E1" w:rsidP="00B827E1">
      <w:pPr>
        <w:jc w:val="both"/>
        <w:rPr>
          <w:bCs/>
          <w:color w:val="000000"/>
          <w:sz w:val="24"/>
          <w:highlight w:val="yellow"/>
        </w:rPr>
      </w:pPr>
      <w:r w:rsidRPr="00D56441">
        <w:rPr>
          <w:bCs/>
          <w:color w:val="000000"/>
          <w:sz w:val="24"/>
          <w:highlight w:val="yellow"/>
        </w:rPr>
        <w:t xml:space="preserve">Vancomycin minimum inhibitory concentrations (MICs) were determined </w:t>
      </w:r>
      <w:r w:rsidR="00A042C4" w:rsidRPr="00D56441">
        <w:rPr>
          <w:bCs/>
          <w:color w:val="000000"/>
          <w:sz w:val="24"/>
          <w:highlight w:val="yellow"/>
        </w:rPr>
        <w:t>by the broth microdilution</w:t>
      </w:r>
      <w:r w:rsidRPr="00D56441">
        <w:rPr>
          <w:bCs/>
          <w:color w:val="000000"/>
          <w:sz w:val="24"/>
          <w:highlight w:val="yellow"/>
        </w:rPr>
        <w:t xml:space="preserve"> method according to CLSI guidelines</w:t>
      </w:r>
      <w:r w:rsidRPr="00D56441">
        <w:rPr>
          <w:bCs/>
          <w:color w:val="000000"/>
          <w:sz w:val="24"/>
          <w:highlight w:val="yellow"/>
          <w:vertAlign w:val="superscript"/>
        </w:rPr>
        <w:t>11</w:t>
      </w:r>
      <w:r w:rsidR="00A042C4" w:rsidRPr="00D56441">
        <w:rPr>
          <w:bCs/>
          <w:color w:val="000000"/>
          <w:sz w:val="24"/>
          <w:highlight w:val="yellow"/>
        </w:rPr>
        <w:t>.</w:t>
      </w:r>
      <w:r w:rsidRPr="00D56441">
        <w:rPr>
          <w:bCs/>
          <w:color w:val="000000"/>
          <w:sz w:val="24"/>
          <w:highlight w:val="yellow"/>
        </w:rPr>
        <w:t xml:space="preserve"> Serial two-fold dilutions of vancomycin (4–512 µg/mL) were prepared in Mueller–Hinton broth. Bacterial suspensions were adjusted to a 0.5 McFarland standard and diluted to </w:t>
      </w:r>
      <w:r w:rsidR="00A042C4" w:rsidRPr="00D56441">
        <w:rPr>
          <w:bCs/>
          <w:color w:val="000000"/>
          <w:sz w:val="24"/>
          <w:highlight w:val="yellow"/>
        </w:rPr>
        <w:t>approximately</w:t>
      </w:r>
      <w:r w:rsidRPr="00D56441">
        <w:rPr>
          <w:bCs/>
          <w:color w:val="000000"/>
          <w:sz w:val="24"/>
          <w:highlight w:val="yellow"/>
        </w:rPr>
        <w:t xml:space="preserve"> 1 × 10</w:t>
      </w:r>
      <w:r w:rsidRPr="00D56441">
        <w:rPr>
          <w:bCs/>
          <w:color w:val="000000"/>
          <w:sz w:val="24"/>
          <w:highlight w:val="yellow"/>
          <w:vertAlign w:val="superscript"/>
        </w:rPr>
        <w:t>5</w:t>
      </w:r>
      <w:r w:rsidRPr="00D56441">
        <w:rPr>
          <w:bCs/>
          <w:color w:val="000000"/>
          <w:sz w:val="24"/>
          <w:highlight w:val="yellow"/>
        </w:rPr>
        <w:t xml:space="preserve"> CFU/</w:t>
      </w:r>
      <w:proofErr w:type="spellStart"/>
      <w:r w:rsidRPr="00D56441">
        <w:rPr>
          <w:bCs/>
          <w:color w:val="000000"/>
          <w:sz w:val="24"/>
          <w:highlight w:val="yellow"/>
        </w:rPr>
        <w:t>mL.</w:t>
      </w:r>
      <w:proofErr w:type="spellEnd"/>
    </w:p>
    <w:p w14:paraId="7006585D" w14:textId="77777777" w:rsidR="00B827E1" w:rsidRPr="00D56441" w:rsidRDefault="00B827E1" w:rsidP="00B827E1">
      <w:pPr>
        <w:jc w:val="both"/>
        <w:rPr>
          <w:bCs/>
          <w:color w:val="000000"/>
          <w:sz w:val="24"/>
          <w:highlight w:val="yellow"/>
        </w:rPr>
      </w:pPr>
    </w:p>
    <w:p w14:paraId="7FDA8DE1" w14:textId="6D7355CD" w:rsidR="00B827E1" w:rsidRDefault="00A042C4" w:rsidP="00B827E1">
      <w:pPr>
        <w:jc w:val="both"/>
        <w:rPr>
          <w:b/>
          <w:color w:val="000000"/>
          <w:sz w:val="24"/>
        </w:rPr>
      </w:pPr>
      <w:r w:rsidRPr="00D56441">
        <w:rPr>
          <w:bCs/>
          <w:color w:val="000000"/>
          <w:sz w:val="24"/>
          <w:highlight w:val="yellow"/>
        </w:rPr>
        <w:t>After incubation at 37 °C for 24 h, the MIC was defined as the lowest concentration at which no visible bacterial growth was observed</w:t>
      </w:r>
      <w:r w:rsidR="00B827E1" w:rsidRPr="00D56441">
        <w:rPr>
          <w:bCs/>
          <w:color w:val="000000"/>
          <w:sz w:val="24"/>
          <w:highlight w:val="yellow"/>
        </w:rPr>
        <w:t>. Vancomycin susceptibility was interpreted according to CLSI criteria as follows: susceptible (≤2 µg/mL), intermediate (4–8 µg/mL), and resistant (≥16 µg/mL)</w:t>
      </w:r>
      <w:r w:rsidR="00B827E1" w:rsidRPr="00D56441">
        <w:rPr>
          <w:bCs/>
          <w:color w:val="000000"/>
          <w:sz w:val="24"/>
          <w:highlight w:val="yellow"/>
          <w:vertAlign w:val="superscript"/>
        </w:rPr>
        <w:t>11,12</w:t>
      </w:r>
      <w:r w:rsidR="00B827E1" w:rsidRPr="00D56441">
        <w:rPr>
          <w:bCs/>
          <w:color w:val="000000"/>
          <w:sz w:val="24"/>
          <w:highlight w:val="yellow"/>
        </w:rPr>
        <w:t xml:space="preserve"> (</w:t>
      </w:r>
      <w:r w:rsidR="00B827E1" w:rsidRPr="00D56441">
        <w:rPr>
          <w:b/>
          <w:color w:val="000000"/>
          <w:sz w:val="24"/>
          <w:highlight w:val="yellow"/>
        </w:rPr>
        <w:t>Figure 1</w:t>
      </w:r>
      <w:r w:rsidR="00B827E1" w:rsidRPr="00D56441">
        <w:rPr>
          <w:bCs/>
          <w:color w:val="000000"/>
          <w:sz w:val="24"/>
          <w:highlight w:val="yellow"/>
        </w:rPr>
        <w:t>).</w:t>
      </w:r>
    </w:p>
    <w:p w14:paraId="619D6556" w14:textId="77777777" w:rsidR="00B827E1" w:rsidRPr="00B827E1" w:rsidRDefault="00B827E1" w:rsidP="00B827E1">
      <w:pPr>
        <w:jc w:val="both"/>
        <w:rPr>
          <w:b/>
          <w:color w:val="000000"/>
          <w:sz w:val="24"/>
        </w:rPr>
      </w:pPr>
    </w:p>
    <w:p w14:paraId="2CE8798C" w14:textId="5A82ECF3" w:rsidR="00A042C4" w:rsidRPr="00D56441" w:rsidRDefault="00A042C4" w:rsidP="00A042C4">
      <w:pPr>
        <w:jc w:val="both"/>
        <w:rPr>
          <w:b/>
          <w:bCs/>
          <w:color w:val="000000"/>
          <w:sz w:val="24"/>
          <w:highlight w:val="yellow"/>
        </w:rPr>
      </w:pPr>
      <w:r w:rsidRPr="00D56441">
        <w:rPr>
          <w:b/>
          <w:bCs/>
          <w:color w:val="000000"/>
          <w:sz w:val="24"/>
          <w:highlight w:val="yellow"/>
        </w:rPr>
        <w:lastRenderedPageBreak/>
        <w:t>6. Molecular detection</w:t>
      </w:r>
    </w:p>
    <w:p w14:paraId="1850E25F" w14:textId="0924049D" w:rsidR="00A042C4" w:rsidRPr="00D56441" w:rsidRDefault="00A042C4" w:rsidP="00A042C4">
      <w:pPr>
        <w:jc w:val="both"/>
        <w:rPr>
          <w:i/>
          <w:iCs/>
          <w:color w:val="000000"/>
          <w:sz w:val="24"/>
          <w:highlight w:val="yellow"/>
        </w:rPr>
      </w:pPr>
      <w:r w:rsidRPr="00D56441">
        <w:rPr>
          <w:i/>
          <w:iCs/>
          <w:color w:val="000000"/>
          <w:sz w:val="24"/>
          <w:highlight w:val="yellow"/>
        </w:rPr>
        <w:t>6.1 DNA extraction</w:t>
      </w:r>
    </w:p>
    <w:p w14:paraId="329896DF" w14:textId="5CAFA4F1" w:rsidR="00A042C4" w:rsidRPr="00D56441" w:rsidRDefault="00A042C4" w:rsidP="00A042C4">
      <w:pPr>
        <w:jc w:val="both"/>
        <w:rPr>
          <w:bCs/>
          <w:color w:val="000000"/>
          <w:sz w:val="24"/>
          <w:highlight w:val="yellow"/>
        </w:rPr>
      </w:pPr>
      <w:r w:rsidRPr="00D56441">
        <w:rPr>
          <w:bCs/>
          <w:i/>
          <w:iCs/>
          <w:color w:val="000000"/>
          <w:sz w:val="24"/>
          <w:highlight w:val="yellow"/>
        </w:rPr>
        <w:t>Staphylococcus aureus</w:t>
      </w:r>
      <w:r w:rsidRPr="00D56441">
        <w:rPr>
          <w:bCs/>
          <w:color w:val="000000"/>
          <w:sz w:val="24"/>
          <w:highlight w:val="yellow"/>
        </w:rPr>
        <w:t xml:space="preserve"> isolates were cultured in brain heart infusion (BHI) broth for 24 h at 37 °C. Bacterial genomic DNA was extracted using a commercial kit and an automated nucleic acid extraction system. Extracted DNA was stored at −20 °C until use. DNA concentration was measured using a fluorometer to evaluate suitability for PCR amplification. The mean DNA concentration was 85 ± 8.2 ng/µL.</w:t>
      </w:r>
    </w:p>
    <w:p w14:paraId="701D6BCB" w14:textId="77777777" w:rsidR="00A042C4" w:rsidRPr="00D56441" w:rsidRDefault="00A042C4" w:rsidP="00A042C4">
      <w:pPr>
        <w:jc w:val="both"/>
        <w:rPr>
          <w:bCs/>
          <w:color w:val="000000"/>
          <w:sz w:val="24"/>
          <w:highlight w:val="yellow"/>
        </w:rPr>
      </w:pPr>
    </w:p>
    <w:p w14:paraId="22E0B4D7" w14:textId="5FACDA41" w:rsidR="00A042C4" w:rsidRPr="00D56441" w:rsidRDefault="00A042C4" w:rsidP="00A042C4">
      <w:pPr>
        <w:jc w:val="both"/>
        <w:rPr>
          <w:bCs/>
          <w:color w:val="000000"/>
          <w:sz w:val="24"/>
          <w:highlight w:val="yellow"/>
        </w:rPr>
      </w:pPr>
      <w:r w:rsidRPr="00D56441">
        <w:rPr>
          <w:bCs/>
          <w:color w:val="000000"/>
          <w:sz w:val="24"/>
          <w:highlight w:val="yellow"/>
        </w:rPr>
        <w:t xml:space="preserve">Primers targeting the </w:t>
      </w:r>
      <w:proofErr w:type="spellStart"/>
      <w:r w:rsidRPr="00D56441">
        <w:rPr>
          <w:bCs/>
          <w:i/>
          <w:iCs/>
          <w:color w:val="000000"/>
          <w:sz w:val="24"/>
          <w:highlight w:val="yellow"/>
        </w:rPr>
        <w:t>cna</w:t>
      </w:r>
      <w:proofErr w:type="spellEnd"/>
      <w:r w:rsidRPr="00D56441">
        <w:rPr>
          <w:bCs/>
          <w:color w:val="000000"/>
          <w:sz w:val="24"/>
          <w:highlight w:val="yellow"/>
        </w:rPr>
        <w:t xml:space="preserve">, </w:t>
      </w:r>
      <w:proofErr w:type="spellStart"/>
      <w:r w:rsidRPr="00D56441">
        <w:rPr>
          <w:bCs/>
          <w:i/>
          <w:iCs/>
          <w:color w:val="000000"/>
          <w:sz w:val="24"/>
          <w:highlight w:val="yellow"/>
        </w:rPr>
        <w:t>hlg</w:t>
      </w:r>
      <w:proofErr w:type="spellEnd"/>
      <w:r w:rsidRPr="00D56441">
        <w:rPr>
          <w:bCs/>
          <w:color w:val="000000"/>
          <w:sz w:val="24"/>
          <w:highlight w:val="yellow"/>
        </w:rPr>
        <w:t>, and class D β-lactamase (</w:t>
      </w:r>
      <w:proofErr w:type="spellStart"/>
      <w:r w:rsidRPr="00D56441">
        <w:rPr>
          <w:bCs/>
          <w:i/>
          <w:iCs/>
          <w:color w:val="000000"/>
          <w:sz w:val="24"/>
          <w:highlight w:val="yellow"/>
        </w:rPr>
        <w:t>bla</w:t>
      </w:r>
      <w:r w:rsidRPr="00D56441">
        <w:rPr>
          <w:bCs/>
          <w:color w:val="000000"/>
          <w:sz w:val="24"/>
          <w:highlight w:val="yellow"/>
          <w:vertAlign w:val="subscript"/>
        </w:rPr>
        <w:t>OXA</w:t>
      </w:r>
      <w:proofErr w:type="spellEnd"/>
      <w:r w:rsidRPr="00D56441">
        <w:rPr>
          <w:bCs/>
          <w:color w:val="000000"/>
          <w:sz w:val="24"/>
          <w:highlight w:val="yellow"/>
        </w:rPr>
        <w:t xml:space="preserve">-group I) genes were obtained commercially and used for PCR amplification as listed in </w:t>
      </w:r>
      <w:r w:rsidRPr="00D56441">
        <w:rPr>
          <w:b/>
          <w:color w:val="000000"/>
          <w:sz w:val="24"/>
          <w:highlight w:val="yellow"/>
        </w:rPr>
        <w:t>Table 1</w:t>
      </w:r>
      <w:r w:rsidRPr="00D56441">
        <w:rPr>
          <w:bCs/>
          <w:color w:val="000000"/>
          <w:sz w:val="24"/>
          <w:highlight w:val="yellow"/>
          <w:vertAlign w:val="superscript"/>
        </w:rPr>
        <w:t>13–16</w:t>
      </w:r>
      <w:r w:rsidRPr="00D56441">
        <w:rPr>
          <w:bCs/>
          <w:color w:val="000000"/>
          <w:sz w:val="24"/>
          <w:highlight w:val="yellow"/>
        </w:rPr>
        <w:t>.</w:t>
      </w:r>
    </w:p>
    <w:p w14:paraId="59ABE852" w14:textId="77777777" w:rsidR="00A042C4" w:rsidRPr="00D56441" w:rsidRDefault="00A042C4" w:rsidP="00A042C4">
      <w:pPr>
        <w:jc w:val="both"/>
        <w:rPr>
          <w:b/>
          <w:bCs/>
          <w:color w:val="000000"/>
          <w:sz w:val="24"/>
          <w:highlight w:val="yellow"/>
        </w:rPr>
      </w:pPr>
    </w:p>
    <w:p w14:paraId="76DABE0D" w14:textId="4B74380A" w:rsidR="002E7BDC" w:rsidRPr="00D56441" w:rsidRDefault="002E7BDC" w:rsidP="002E7BDC">
      <w:pPr>
        <w:jc w:val="both"/>
        <w:rPr>
          <w:color w:val="000000"/>
          <w:sz w:val="24"/>
          <w:highlight w:val="yellow"/>
        </w:rPr>
      </w:pPr>
      <w:r w:rsidRPr="00D56441">
        <w:rPr>
          <w:color w:val="000000"/>
          <w:sz w:val="24"/>
          <w:highlight w:val="yellow"/>
        </w:rPr>
        <w:t xml:space="preserve">[Place </w:t>
      </w:r>
      <w:r w:rsidRPr="00D56441">
        <w:rPr>
          <w:b/>
          <w:bCs/>
          <w:color w:val="000000"/>
          <w:sz w:val="24"/>
          <w:highlight w:val="yellow"/>
        </w:rPr>
        <w:t>Table 1</w:t>
      </w:r>
      <w:r w:rsidRPr="00D56441">
        <w:rPr>
          <w:color w:val="000000"/>
          <w:sz w:val="24"/>
          <w:highlight w:val="yellow"/>
        </w:rPr>
        <w:t xml:space="preserve"> here]</w:t>
      </w:r>
    </w:p>
    <w:p w14:paraId="032BFCE8" w14:textId="77777777" w:rsidR="002E7BDC" w:rsidRPr="00D56441" w:rsidRDefault="002E7BDC" w:rsidP="00A042C4">
      <w:pPr>
        <w:jc w:val="both"/>
        <w:rPr>
          <w:b/>
          <w:bCs/>
          <w:color w:val="000000"/>
          <w:sz w:val="24"/>
          <w:highlight w:val="yellow"/>
        </w:rPr>
      </w:pPr>
    </w:p>
    <w:p w14:paraId="3954CC8B" w14:textId="404C2788" w:rsidR="001E03AD" w:rsidRPr="00D56441" w:rsidRDefault="00A042C4" w:rsidP="00A042C4">
      <w:pPr>
        <w:jc w:val="both"/>
        <w:rPr>
          <w:i/>
          <w:iCs/>
          <w:color w:val="000000"/>
          <w:sz w:val="24"/>
          <w:highlight w:val="yellow"/>
        </w:rPr>
      </w:pPr>
      <w:r w:rsidRPr="00D56441">
        <w:rPr>
          <w:i/>
          <w:iCs/>
          <w:color w:val="000000"/>
          <w:sz w:val="24"/>
          <w:highlight w:val="yellow"/>
        </w:rPr>
        <w:t xml:space="preserve">6.2 Molecular </w:t>
      </w:r>
      <w:r w:rsidR="001E03AD" w:rsidRPr="00D56441">
        <w:rPr>
          <w:i/>
          <w:iCs/>
          <w:color w:val="000000"/>
          <w:sz w:val="24"/>
          <w:highlight w:val="yellow"/>
        </w:rPr>
        <w:t>detection of virulence and class</w:t>
      </w:r>
      <w:r w:rsidRPr="00D56441">
        <w:rPr>
          <w:i/>
          <w:iCs/>
          <w:color w:val="000000"/>
          <w:sz w:val="24"/>
          <w:highlight w:val="yellow"/>
        </w:rPr>
        <w:t xml:space="preserve"> D β-Lactamase (</w:t>
      </w:r>
      <w:proofErr w:type="spellStart"/>
      <w:r w:rsidRPr="00D56441">
        <w:rPr>
          <w:i/>
          <w:iCs/>
          <w:color w:val="000000"/>
          <w:sz w:val="24"/>
          <w:highlight w:val="yellow"/>
        </w:rPr>
        <w:t>bla</w:t>
      </w:r>
      <w:r w:rsidRPr="00D56441">
        <w:rPr>
          <w:i/>
          <w:iCs/>
          <w:color w:val="000000"/>
          <w:sz w:val="24"/>
          <w:highlight w:val="yellow"/>
          <w:vertAlign w:val="subscript"/>
        </w:rPr>
        <w:t>OXA</w:t>
      </w:r>
      <w:proofErr w:type="spellEnd"/>
      <w:r w:rsidRPr="00D56441">
        <w:rPr>
          <w:i/>
          <w:iCs/>
          <w:color w:val="000000"/>
          <w:sz w:val="24"/>
          <w:highlight w:val="yellow"/>
        </w:rPr>
        <w:t>-</w:t>
      </w:r>
      <w:r w:rsidR="001E03AD" w:rsidRPr="00D56441">
        <w:rPr>
          <w:i/>
          <w:iCs/>
          <w:color w:val="000000"/>
          <w:sz w:val="24"/>
          <w:highlight w:val="yellow"/>
        </w:rPr>
        <w:t>g</w:t>
      </w:r>
      <w:r w:rsidRPr="00D56441">
        <w:rPr>
          <w:i/>
          <w:iCs/>
          <w:color w:val="000000"/>
          <w:sz w:val="24"/>
          <w:highlight w:val="yellow"/>
        </w:rPr>
        <w:t xml:space="preserve">roup I) </w:t>
      </w:r>
      <w:r w:rsidR="001E03AD" w:rsidRPr="00D56441">
        <w:rPr>
          <w:i/>
          <w:iCs/>
          <w:color w:val="000000"/>
          <w:sz w:val="24"/>
          <w:highlight w:val="yellow"/>
        </w:rPr>
        <w:t>g</w:t>
      </w:r>
      <w:r w:rsidRPr="00D56441">
        <w:rPr>
          <w:i/>
          <w:iCs/>
          <w:color w:val="000000"/>
          <w:sz w:val="24"/>
          <w:highlight w:val="yellow"/>
        </w:rPr>
        <w:t>enes by PCR</w:t>
      </w:r>
    </w:p>
    <w:p w14:paraId="3D5F227C" w14:textId="52207E2E" w:rsidR="00A042C4" w:rsidRPr="00D56441" w:rsidRDefault="00A042C4" w:rsidP="00A042C4">
      <w:pPr>
        <w:jc w:val="both"/>
        <w:rPr>
          <w:bCs/>
          <w:color w:val="000000"/>
          <w:sz w:val="24"/>
          <w:highlight w:val="yellow"/>
        </w:rPr>
      </w:pPr>
      <w:r w:rsidRPr="00D56441">
        <w:rPr>
          <w:bCs/>
          <w:color w:val="000000"/>
          <w:sz w:val="24"/>
          <w:highlight w:val="yellow"/>
        </w:rPr>
        <w:t xml:space="preserve">Primer sequences used in this study are listed in </w:t>
      </w:r>
      <w:r w:rsidRPr="00D56441">
        <w:rPr>
          <w:b/>
          <w:color w:val="000000"/>
          <w:sz w:val="24"/>
          <w:highlight w:val="yellow"/>
        </w:rPr>
        <w:t>Table 1</w:t>
      </w:r>
      <w:r w:rsidRPr="00D56441">
        <w:rPr>
          <w:bCs/>
          <w:color w:val="000000"/>
          <w:sz w:val="24"/>
          <w:highlight w:val="yellow"/>
        </w:rPr>
        <w:t xml:space="preserve">. PCR amplification of </w:t>
      </w:r>
      <w:proofErr w:type="spellStart"/>
      <w:r w:rsidRPr="00D56441">
        <w:rPr>
          <w:bCs/>
          <w:i/>
          <w:iCs/>
          <w:color w:val="000000"/>
          <w:sz w:val="24"/>
          <w:highlight w:val="yellow"/>
        </w:rPr>
        <w:t>mecA</w:t>
      </w:r>
      <w:proofErr w:type="spellEnd"/>
      <w:r w:rsidRPr="00D56441">
        <w:rPr>
          <w:bCs/>
          <w:color w:val="000000"/>
          <w:sz w:val="24"/>
          <w:highlight w:val="yellow"/>
        </w:rPr>
        <w:t xml:space="preserve">, </w:t>
      </w:r>
      <w:proofErr w:type="spellStart"/>
      <w:r w:rsidRPr="00D56441">
        <w:rPr>
          <w:bCs/>
          <w:i/>
          <w:iCs/>
          <w:color w:val="000000"/>
          <w:sz w:val="24"/>
          <w:highlight w:val="yellow"/>
        </w:rPr>
        <w:t>nuc</w:t>
      </w:r>
      <w:proofErr w:type="spellEnd"/>
      <w:r w:rsidRPr="00D56441">
        <w:rPr>
          <w:bCs/>
          <w:color w:val="000000"/>
          <w:sz w:val="24"/>
          <w:highlight w:val="yellow"/>
        </w:rPr>
        <w:t>, virulence-associated genes, and class D β-lactamase (</w:t>
      </w:r>
      <w:proofErr w:type="spellStart"/>
      <w:r w:rsidRPr="00D56441">
        <w:rPr>
          <w:bCs/>
          <w:i/>
          <w:iCs/>
          <w:color w:val="000000"/>
          <w:sz w:val="24"/>
          <w:highlight w:val="yellow"/>
        </w:rPr>
        <w:t>bla</w:t>
      </w:r>
      <w:r w:rsidRPr="00D56441">
        <w:rPr>
          <w:bCs/>
          <w:color w:val="000000"/>
          <w:sz w:val="24"/>
          <w:highlight w:val="yellow"/>
          <w:vertAlign w:val="subscript"/>
        </w:rPr>
        <w:t>OXA</w:t>
      </w:r>
      <w:proofErr w:type="spellEnd"/>
      <w:r w:rsidRPr="00D56441">
        <w:rPr>
          <w:bCs/>
          <w:color w:val="000000"/>
          <w:sz w:val="24"/>
          <w:highlight w:val="yellow"/>
        </w:rPr>
        <w:t xml:space="preserve">-group I) genes was performed in 25 µL reaction mixtures containing 12.5 µL </w:t>
      </w:r>
      <w:proofErr w:type="spellStart"/>
      <w:r w:rsidRPr="00D56441">
        <w:rPr>
          <w:bCs/>
          <w:color w:val="000000"/>
          <w:sz w:val="24"/>
          <w:highlight w:val="yellow"/>
        </w:rPr>
        <w:t>GoTaq</w:t>
      </w:r>
      <w:proofErr w:type="spellEnd"/>
      <w:r w:rsidRPr="00D56441">
        <w:rPr>
          <w:bCs/>
          <w:color w:val="000000"/>
          <w:sz w:val="24"/>
          <w:highlight w:val="yellow"/>
        </w:rPr>
        <w:t xml:space="preserve"> Green Master Mix (2×), 0.5 µL MgCl</w:t>
      </w:r>
      <w:r w:rsidRPr="00D56441">
        <w:rPr>
          <w:bCs/>
          <w:color w:val="000000"/>
          <w:sz w:val="24"/>
          <w:highlight w:val="yellow"/>
          <w:vertAlign w:val="subscript"/>
        </w:rPr>
        <w:t>2</w:t>
      </w:r>
      <w:r w:rsidRPr="00D56441">
        <w:rPr>
          <w:bCs/>
          <w:color w:val="000000"/>
          <w:sz w:val="24"/>
          <w:highlight w:val="yellow"/>
        </w:rPr>
        <w:t xml:space="preserve">, 3 µL genomic DNA template, 1 µL each of forward and reverse primers (10 </w:t>
      </w:r>
      <w:proofErr w:type="spellStart"/>
      <w:r w:rsidRPr="00D56441">
        <w:rPr>
          <w:bCs/>
          <w:color w:val="000000"/>
          <w:sz w:val="24"/>
          <w:highlight w:val="yellow"/>
        </w:rPr>
        <w:t>pmol</w:t>
      </w:r>
      <w:proofErr w:type="spellEnd"/>
      <w:r w:rsidRPr="00D56441">
        <w:rPr>
          <w:bCs/>
          <w:color w:val="000000"/>
          <w:sz w:val="24"/>
          <w:highlight w:val="yellow"/>
        </w:rPr>
        <w:t>/µL), and 7 µL nuclease-free water.</w:t>
      </w:r>
    </w:p>
    <w:p w14:paraId="47068C3C" w14:textId="77777777" w:rsidR="001E03AD" w:rsidRPr="00D56441" w:rsidRDefault="001E03AD" w:rsidP="00A042C4">
      <w:pPr>
        <w:jc w:val="both"/>
        <w:rPr>
          <w:bCs/>
          <w:color w:val="000000"/>
          <w:sz w:val="24"/>
          <w:highlight w:val="yellow"/>
        </w:rPr>
      </w:pPr>
    </w:p>
    <w:p w14:paraId="05BAC3F2" w14:textId="77777777" w:rsidR="00A042C4" w:rsidRPr="00D56441" w:rsidRDefault="00A042C4" w:rsidP="00A042C4">
      <w:pPr>
        <w:jc w:val="both"/>
        <w:rPr>
          <w:bCs/>
          <w:color w:val="000000"/>
          <w:sz w:val="24"/>
          <w:highlight w:val="yellow"/>
        </w:rPr>
      </w:pPr>
      <w:r w:rsidRPr="00D56441">
        <w:rPr>
          <w:bCs/>
          <w:color w:val="000000"/>
          <w:sz w:val="24"/>
          <w:highlight w:val="yellow"/>
        </w:rPr>
        <w:t>Thermal cycling conditions consisted of an initial denaturation step at 95 °C for 5 min, followed by 30–35 amplification cycles including denaturation at 95 °C for 30 s–1 min, annealing at 50–62 °C for 30 s–1 min depending on the primer set, and extension at 72 °C for 30 s–1 min. Final extension was performed at 72 °C for 7–19 min.</w:t>
      </w:r>
    </w:p>
    <w:p w14:paraId="3313F555" w14:textId="77777777" w:rsidR="001E03AD" w:rsidRPr="00D56441" w:rsidRDefault="001E03AD" w:rsidP="00A042C4">
      <w:pPr>
        <w:jc w:val="both"/>
        <w:rPr>
          <w:bCs/>
          <w:color w:val="000000"/>
          <w:sz w:val="24"/>
          <w:highlight w:val="yellow"/>
        </w:rPr>
      </w:pPr>
    </w:p>
    <w:p w14:paraId="68FBC6AC" w14:textId="4901892B" w:rsidR="00A042C4" w:rsidRPr="00D56441" w:rsidRDefault="00A042C4" w:rsidP="00A042C4">
      <w:pPr>
        <w:jc w:val="both"/>
        <w:rPr>
          <w:bCs/>
          <w:color w:val="000000"/>
          <w:sz w:val="24"/>
          <w:highlight w:val="yellow"/>
        </w:rPr>
      </w:pPr>
      <w:r w:rsidRPr="00D56441">
        <w:rPr>
          <w:bCs/>
          <w:color w:val="000000"/>
          <w:sz w:val="24"/>
          <w:highlight w:val="yellow"/>
        </w:rPr>
        <w:t>Amplified PCR products were separated on 1.5</w:t>
      </w:r>
      <w:r w:rsidR="001E03AD" w:rsidRPr="00D56441">
        <w:rPr>
          <w:bCs/>
          <w:color w:val="000000"/>
          <w:sz w:val="24"/>
          <w:highlight w:val="yellow"/>
        </w:rPr>
        <w:t>%</w:t>
      </w:r>
      <w:r w:rsidRPr="00D56441">
        <w:rPr>
          <w:bCs/>
          <w:color w:val="000000"/>
          <w:sz w:val="24"/>
          <w:highlight w:val="yellow"/>
        </w:rPr>
        <w:t xml:space="preserve">–2% agarose gels stained with Safe Red and visualized under ultraviolet illumination using a gel documentation system. Negative controls were included in each PCR run to confirm </w:t>
      </w:r>
      <w:r w:rsidR="001E03AD" w:rsidRPr="00D56441">
        <w:rPr>
          <w:bCs/>
          <w:color w:val="000000"/>
          <w:sz w:val="24"/>
          <w:highlight w:val="yellow"/>
        </w:rPr>
        <w:t>the validity of amplification</w:t>
      </w:r>
      <w:r w:rsidRPr="00D56441">
        <w:rPr>
          <w:bCs/>
          <w:color w:val="000000"/>
          <w:sz w:val="24"/>
          <w:highlight w:val="yellow"/>
        </w:rPr>
        <w:t>.</w:t>
      </w:r>
    </w:p>
    <w:p w14:paraId="2670522A" w14:textId="77777777" w:rsidR="007A4BB7" w:rsidRPr="00D56441" w:rsidRDefault="007A4BB7" w:rsidP="00E726B0">
      <w:pPr>
        <w:jc w:val="both"/>
        <w:rPr>
          <w:sz w:val="24"/>
          <w:highlight w:val="yellow"/>
        </w:rPr>
      </w:pPr>
    </w:p>
    <w:p w14:paraId="5616B30D" w14:textId="0361E51F" w:rsidR="001E03AD" w:rsidRPr="00D56441" w:rsidRDefault="001E03AD" w:rsidP="001E03AD">
      <w:pPr>
        <w:jc w:val="both"/>
        <w:rPr>
          <w:b/>
          <w:bCs/>
          <w:color w:val="000000"/>
          <w:sz w:val="24"/>
          <w:highlight w:val="yellow"/>
        </w:rPr>
      </w:pPr>
      <w:r w:rsidRPr="00D56441">
        <w:rPr>
          <w:b/>
          <w:bCs/>
          <w:color w:val="000000"/>
          <w:sz w:val="24"/>
          <w:highlight w:val="yellow"/>
        </w:rPr>
        <w:t>7. Whole-</w:t>
      </w:r>
      <w:r w:rsidR="005C0B3B" w:rsidRPr="00D56441">
        <w:rPr>
          <w:b/>
          <w:bCs/>
          <w:color w:val="000000"/>
          <w:sz w:val="24"/>
          <w:highlight w:val="yellow"/>
        </w:rPr>
        <w:t xml:space="preserve">genome sequencing </w:t>
      </w:r>
      <w:r w:rsidRPr="00D56441">
        <w:rPr>
          <w:b/>
          <w:bCs/>
          <w:color w:val="000000"/>
          <w:sz w:val="24"/>
          <w:highlight w:val="yellow"/>
        </w:rPr>
        <w:t>(WGS)</w:t>
      </w:r>
    </w:p>
    <w:p w14:paraId="3FDFEC97" w14:textId="55F5EE27" w:rsidR="001E03AD" w:rsidRPr="00D56441" w:rsidRDefault="001E03AD" w:rsidP="001E03AD">
      <w:pPr>
        <w:jc w:val="both"/>
        <w:rPr>
          <w:bCs/>
          <w:color w:val="000000"/>
          <w:sz w:val="24"/>
          <w:highlight w:val="yellow"/>
        </w:rPr>
      </w:pPr>
      <w:r w:rsidRPr="00D56441">
        <w:rPr>
          <w:bCs/>
          <w:color w:val="000000"/>
          <w:sz w:val="24"/>
          <w:highlight w:val="yellow"/>
        </w:rPr>
        <w:t xml:space="preserve">Whole-genome sequencing (WGS) was performed on two representative clinical </w:t>
      </w:r>
      <w:r w:rsidRPr="00D56441">
        <w:rPr>
          <w:bCs/>
          <w:i/>
          <w:iCs/>
          <w:color w:val="000000"/>
          <w:sz w:val="24"/>
          <w:highlight w:val="yellow"/>
        </w:rPr>
        <w:t>Staphylococcus aureus</w:t>
      </w:r>
      <w:r w:rsidRPr="00D56441">
        <w:rPr>
          <w:bCs/>
          <w:color w:val="000000"/>
          <w:sz w:val="24"/>
          <w:highlight w:val="yellow"/>
        </w:rPr>
        <w:t xml:space="preserve"> isolates recovered from bone tissue specimens obtained from patients with diabetic foot infections. The selected isolates included one multidrug-resistant (MDR) and one extensively drug-resistant (XDR) isolate, identified by phenotypic antimicrobial susceptibility testing and MIC-confirmed resistance profiles. This strategy enabled representative genomic characterization of clinically relevant resistant isolates (</w:t>
      </w:r>
      <w:r w:rsidRPr="00D56441">
        <w:rPr>
          <w:b/>
          <w:color w:val="000000"/>
          <w:sz w:val="24"/>
          <w:highlight w:val="yellow"/>
        </w:rPr>
        <w:t>Figure 1</w:t>
      </w:r>
      <w:r w:rsidRPr="00D56441">
        <w:rPr>
          <w:bCs/>
          <w:color w:val="000000"/>
          <w:sz w:val="24"/>
          <w:highlight w:val="yellow"/>
        </w:rPr>
        <w:t>).</w:t>
      </w:r>
    </w:p>
    <w:p w14:paraId="454FC0B5" w14:textId="77777777" w:rsidR="001E03AD" w:rsidRPr="00D56441" w:rsidRDefault="001E03AD" w:rsidP="001E03AD">
      <w:pPr>
        <w:jc w:val="both"/>
        <w:rPr>
          <w:bCs/>
          <w:color w:val="000000"/>
          <w:sz w:val="24"/>
          <w:highlight w:val="yellow"/>
        </w:rPr>
      </w:pPr>
    </w:p>
    <w:p w14:paraId="0C8421CB" w14:textId="77777777" w:rsidR="001E03AD" w:rsidRPr="006A5E68" w:rsidRDefault="001E03AD" w:rsidP="001E03AD">
      <w:pPr>
        <w:jc w:val="both"/>
        <w:rPr>
          <w:bCs/>
          <w:color w:val="000000"/>
          <w:sz w:val="24"/>
        </w:rPr>
      </w:pPr>
      <w:r w:rsidRPr="006A5E68">
        <w:rPr>
          <w:bCs/>
          <w:color w:val="000000"/>
          <w:sz w:val="24"/>
        </w:rPr>
        <w:t>Genomic DNA quality, concentration, and integrity were evaluated prior to sequencing to ensure suitability for library preparation and downstream bioinformatic analysis. DNA was quantified using a fluorometer, and integrity was verified by 1% agarose gel electrophoresis at 150 V for 40 min. DNA fragments approximately 200–400 bp in length were size-selected using magnetic bead purification, followed by end repair, 3′ adenylation, and adaptor ligation.</w:t>
      </w:r>
    </w:p>
    <w:p w14:paraId="5DA524E5" w14:textId="77777777" w:rsidR="001E03AD" w:rsidRPr="006A5E68" w:rsidRDefault="001E03AD" w:rsidP="001E03AD">
      <w:pPr>
        <w:jc w:val="both"/>
        <w:rPr>
          <w:bCs/>
          <w:color w:val="000000"/>
          <w:sz w:val="24"/>
        </w:rPr>
      </w:pPr>
    </w:p>
    <w:p w14:paraId="4411206B" w14:textId="77777777" w:rsidR="001E03AD" w:rsidRPr="006A5E68" w:rsidRDefault="001E03AD" w:rsidP="001E03AD">
      <w:pPr>
        <w:jc w:val="both"/>
        <w:rPr>
          <w:bCs/>
          <w:color w:val="000000"/>
          <w:sz w:val="24"/>
        </w:rPr>
      </w:pPr>
      <w:r w:rsidRPr="006A5E68">
        <w:rPr>
          <w:bCs/>
          <w:color w:val="000000"/>
          <w:sz w:val="24"/>
        </w:rPr>
        <w:lastRenderedPageBreak/>
        <w:t>Single-stranded circular DNA molecules were generated by amplification, purification, and circularization of adaptor-ligated fragments using splint oligonucleotides. DNA nanoballs (DNBs) were subsequently generated through rolling-circle amplification. Sequencing was performed on the DNBSEQ platform using combinatorial Probe-Anchor Synthesis (</w:t>
      </w:r>
      <w:proofErr w:type="spellStart"/>
      <w:r w:rsidRPr="006A5E68">
        <w:rPr>
          <w:bCs/>
          <w:color w:val="000000"/>
          <w:sz w:val="24"/>
        </w:rPr>
        <w:t>cPAS</w:t>
      </w:r>
      <w:proofErr w:type="spellEnd"/>
      <w:r w:rsidRPr="006A5E68">
        <w:rPr>
          <w:bCs/>
          <w:color w:val="000000"/>
          <w:sz w:val="24"/>
        </w:rPr>
        <w:t>) chemistry.</w:t>
      </w:r>
    </w:p>
    <w:p w14:paraId="09AEC3A0" w14:textId="77777777" w:rsidR="001E03AD" w:rsidRPr="006A5E68" w:rsidRDefault="001E03AD" w:rsidP="001E03AD">
      <w:pPr>
        <w:jc w:val="both"/>
        <w:rPr>
          <w:bCs/>
          <w:color w:val="000000"/>
          <w:sz w:val="24"/>
        </w:rPr>
      </w:pPr>
    </w:p>
    <w:p w14:paraId="60158123" w14:textId="77777777" w:rsidR="001E03AD" w:rsidRPr="006A5E68" w:rsidRDefault="001E03AD" w:rsidP="001E03AD">
      <w:pPr>
        <w:jc w:val="both"/>
        <w:rPr>
          <w:bCs/>
          <w:color w:val="000000"/>
          <w:sz w:val="24"/>
        </w:rPr>
      </w:pPr>
      <w:r w:rsidRPr="006A5E68">
        <w:rPr>
          <w:bCs/>
          <w:color w:val="000000"/>
          <w:sz w:val="24"/>
        </w:rPr>
        <w:t>Raw sequencing reads underwent quality control procedures to remove low-quality reads, adaptor contamination, ambiguous reads, and duplicate sequences. Clean reads were used for downstream analyses. Genome assembly was performed to estimate genome size, GC content, and sequencing coverage depth. Final draft genome assemblies were generated in FASTA, GenBank, and NCBI submission formats.</w:t>
      </w:r>
    </w:p>
    <w:p w14:paraId="79CB5294" w14:textId="77777777" w:rsidR="001E03AD" w:rsidRPr="006A5E68" w:rsidRDefault="001E03AD" w:rsidP="001E03AD">
      <w:pPr>
        <w:jc w:val="both"/>
        <w:rPr>
          <w:bCs/>
          <w:color w:val="000000"/>
          <w:sz w:val="24"/>
        </w:rPr>
      </w:pPr>
    </w:p>
    <w:p w14:paraId="3407F482" w14:textId="62DBE8C7" w:rsidR="001E03AD" w:rsidRPr="001E03AD" w:rsidRDefault="001E03AD" w:rsidP="001E03AD">
      <w:pPr>
        <w:jc w:val="both"/>
        <w:rPr>
          <w:bCs/>
          <w:color w:val="000000"/>
          <w:sz w:val="24"/>
        </w:rPr>
      </w:pPr>
      <w:r w:rsidRPr="006A5E68">
        <w:rPr>
          <w:bCs/>
          <w:color w:val="000000"/>
          <w:sz w:val="24"/>
        </w:rPr>
        <w:t>Genome annotation identified coding sequences (CDS), transfer RNA (tRNA), ribosomal RNA (rRNA), and small RNA (sRNA) genes. Functional annotation of predicted genes was performed using multiple databases, including Swiss-</w:t>
      </w:r>
      <w:proofErr w:type="spellStart"/>
      <w:r w:rsidRPr="006A5E68">
        <w:rPr>
          <w:bCs/>
          <w:color w:val="000000"/>
          <w:sz w:val="24"/>
        </w:rPr>
        <w:t>Prot</w:t>
      </w:r>
      <w:proofErr w:type="spellEnd"/>
      <w:r w:rsidRPr="006A5E68">
        <w:rPr>
          <w:bCs/>
          <w:color w:val="000000"/>
          <w:sz w:val="24"/>
        </w:rPr>
        <w:t xml:space="preserve">, COG, KEGG, </w:t>
      </w:r>
      <w:proofErr w:type="spellStart"/>
      <w:r w:rsidRPr="006A5E68">
        <w:rPr>
          <w:bCs/>
          <w:color w:val="000000"/>
          <w:sz w:val="24"/>
        </w:rPr>
        <w:t>CAZy</w:t>
      </w:r>
      <w:proofErr w:type="spellEnd"/>
      <w:r w:rsidRPr="006A5E68">
        <w:rPr>
          <w:bCs/>
          <w:color w:val="000000"/>
          <w:sz w:val="24"/>
        </w:rPr>
        <w:t>, VFDB, ARDB, and CARD, for virulence- and antimicrobial-resistance-associated genes.</w:t>
      </w:r>
    </w:p>
    <w:p w14:paraId="3960F157" w14:textId="77777777" w:rsidR="007A4BB7" w:rsidRPr="00E726B0" w:rsidRDefault="007A4BB7" w:rsidP="00E726B0">
      <w:pPr>
        <w:jc w:val="both"/>
        <w:rPr>
          <w:sz w:val="24"/>
        </w:rPr>
      </w:pPr>
    </w:p>
    <w:p w14:paraId="5B110883" w14:textId="4CD0B54D" w:rsidR="001E03AD" w:rsidRPr="001E03AD" w:rsidRDefault="001E03AD" w:rsidP="001E03AD">
      <w:pPr>
        <w:jc w:val="both"/>
        <w:rPr>
          <w:b/>
          <w:bCs/>
          <w:color w:val="000000"/>
          <w:sz w:val="24"/>
        </w:rPr>
      </w:pPr>
      <w:r w:rsidRPr="001E03AD">
        <w:rPr>
          <w:b/>
          <w:bCs/>
          <w:color w:val="000000"/>
          <w:sz w:val="24"/>
        </w:rPr>
        <w:t>8</w:t>
      </w:r>
      <w:r>
        <w:rPr>
          <w:b/>
          <w:bCs/>
          <w:color w:val="000000"/>
          <w:sz w:val="24"/>
        </w:rPr>
        <w:t>.</w:t>
      </w:r>
      <w:r w:rsidRPr="001E03AD">
        <w:rPr>
          <w:b/>
          <w:bCs/>
          <w:color w:val="000000"/>
          <w:sz w:val="24"/>
        </w:rPr>
        <w:t xml:space="preserve"> Bioinformatics </w:t>
      </w:r>
      <w:r>
        <w:rPr>
          <w:b/>
          <w:bCs/>
          <w:color w:val="000000"/>
          <w:sz w:val="24"/>
        </w:rPr>
        <w:t>a</w:t>
      </w:r>
      <w:r w:rsidRPr="001E03AD">
        <w:rPr>
          <w:b/>
          <w:bCs/>
          <w:color w:val="000000"/>
          <w:sz w:val="24"/>
        </w:rPr>
        <w:t>nalysis</w:t>
      </w:r>
    </w:p>
    <w:p w14:paraId="37807D5B" w14:textId="77777777" w:rsidR="001E03AD" w:rsidRDefault="001E03AD" w:rsidP="001E03AD">
      <w:pPr>
        <w:jc w:val="both"/>
        <w:rPr>
          <w:bCs/>
          <w:color w:val="000000"/>
          <w:sz w:val="24"/>
        </w:rPr>
      </w:pPr>
      <w:r w:rsidRPr="001E03AD">
        <w:rPr>
          <w:bCs/>
          <w:color w:val="000000"/>
          <w:sz w:val="24"/>
        </w:rPr>
        <w:t>Genome assembly and annotation were performed using the Bacterial and Viral Bioinformatics Resource Center (BV-BRC). Phylogenetic analyses were conducted using PATRIC tools. Circular genome visualization maps were generated to illustrate coding sequences, GC content, GC skew, antimicrobial resistance determinants, virulence-associated genes, and mobile genetic elements.</w:t>
      </w:r>
    </w:p>
    <w:p w14:paraId="1A2755DD" w14:textId="77777777" w:rsidR="001E03AD" w:rsidRPr="001E03AD" w:rsidRDefault="001E03AD" w:rsidP="001E03AD">
      <w:pPr>
        <w:jc w:val="both"/>
        <w:rPr>
          <w:bCs/>
          <w:color w:val="000000"/>
          <w:sz w:val="24"/>
        </w:rPr>
      </w:pPr>
    </w:p>
    <w:p w14:paraId="5755D7E3" w14:textId="77777777" w:rsidR="001E03AD" w:rsidRDefault="001E03AD" w:rsidP="001E03AD">
      <w:pPr>
        <w:jc w:val="both"/>
        <w:rPr>
          <w:bCs/>
          <w:color w:val="000000"/>
          <w:sz w:val="24"/>
        </w:rPr>
      </w:pPr>
      <w:r w:rsidRPr="001E03AD">
        <w:rPr>
          <w:bCs/>
          <w:color w:val="000000"/>
          <w:sz w:val="24"/>
        </w:rPr>
        <w:t>Phylogenetic relationships were determined using PATRIC global protein families (</w:t>
      </w:r>
      <w:proofErr w:type="spellStart"/>
      <w:r w:rsidRPr="001E03AD">
        <w:rPr>
          <w:bCs/>
          <w:color w:val="000000"/>
          <w:sz w:val="24"/>
        </w:rPr>
        <w:t>PGFams</w:t>
      </w:r>
      <w:proofErr w:type="spellEnd"/>
      <w:r w:rsidRPr="001E03AD">
        <w:rPr>
          <w:bCs/>
          <w:color w:val="000000"/>
          <w:sz w:val="24"/>
        </w:rPr>
        <w:t>) identified from the closest reference genomes using Mash/</w:t>
      </w:r>
      <w:proofErr w:type="spellStart"/>
      <w:r w:rsidRPr="001E03AD">
        <w:rPr>
          <w:bCs/>
          <w:color w:val="000000"/>
          <w:sz w:val="24"/>
        </w:rPr>
        <w:t>MinHash</w:t>
      </w:r>
      <w:proofErr w:type="spellEnd"/>
      <w:r w:rsidRPr="001E03AD">
        <w:rPr>
          <w:bCs/>
          <w:color w:val="000000"/>
          <w:sz w:val="24"/>
        </w:rPr>
        <w:t xml:space="preserve"> analysis. Protein alignments were generated using MUSCLE, and corresponding nucleotide alignments were mapped to protein families. Phylogenetic trees were constructed using </w:t>
      </w:r>
      <w:proofErr w:type="spellStart"/>
      <w:r w:rsidRPr="001E03AD">
        <w:rPr>
          <w:bCs/>
          <w:color w:val="000000"/>
          <w:sz w:val="24"/>
        </w:rPr>
        <w:t>RAxML</w:t>
      </w:r>
      <w:proofErr w:type="spellEnd"/>
      <w:r w:rsidRPr="001E03AD">
        <w:rPr>
          <w:bCs/>
          <w:color w:val="000000"/>
          <w:sz w:val="24"/>
        </w:rPr>
        <w:t xml:space="preserve"> with fast bootstrapping analysis (</w:t>
      </w:r>
      <w:r w:rsidRPr="001E03AD">
        <w:rPr>
          <w:b/>
          <w:color w:val="000000"/>
          <w:sz w:val="24"/>
        </w:rPr>
        <w:t>Figure 1</w:t>
      </w:r>
      <w:r w:rsidRPr="001E03AD">
        <w:rPr>
          <w:bCs/>
          <w:color w:val="000000"/>
          <w:sz w:val="24"/>
        </w:rPr>
        <w:t>).</w:t>
      </w:r>
    </w:p>
    <w:p w14:paraId="5B689B3C" w14:textId="77777777" w:rsidR="001E03AD" w:rsidRPr="001E03AD" w:rsidRDefault="001E03AD" w:rsidP="001E03AD">
      <w:pPr>
        <w:jc w:val="both"/>
        <w:rPr>
          <w:bCs/>
          <w:color w:val="000000"/>
          <w:sz w:val="24"/>
        </w:rPr>
      </w:pPr>
    </w:p>
    <w:p w14:paraId="1347F26A" w14:textId="6D82839C" w:rsidR="001E03AD" w:rsidRPr="001E03AD" w:rsidRDefault="001E03AD" w:rsidP="001E03AD">
      <w:pPr>
        <w:jc w:val="both"/>
        <w:rPr>
          <w:bCs/>
          <w:color w:val="000000"/>
          <w:sz w:val="24"/>
        </w:rPr>
      </w:pPr>
      <w:r w:rsidRPr="001E03AD">
        <w:rPr>
          <w:bCs/>
          <w:color w:val="000000"/>
          <w:sz w:val="24"/>
        </w:rPr>
        <w:t xml:space="preserve">Genome contigs were additionally analyzed using </w:t>
      </w:r>
      <w:proofErr w:type="spellStart"/>
      <w:r w:rsidRPr="001E03AD">
        <w:rPr>
          <w:bCs/>
          <w:color w:val="000000"/>
          <w:sz w:val="24"/>
        </w:rPr>
        <w:t>Pathogenwatch</w:t>
      </w:r>
      <w:proofErr w:type="spellEnd"/>
      <w:r w:rsidRPr="001E03AD">
        <w:rPr>
          <w:bCs/>
          <w:color w:val="000000"/>
          <w:sz w:val="24"/>
        </w:rPr>
        <w:t xml:space="preserve"> for species confirmation and </w:t>
      </w:r>
      <w:r>
        <w:rPr>
          <w:bCs/>
          <w:color w:val="000000"/>
          <w:sz w:val="24"/>
        </w:rPr>
        <w:t>detection of antimicrobial resistance genes</w:t>
      </w:r>
      <w:r w:rsidRPr="001E03AD">
        <w:rPr>
          <w:bCs/>
          <w:color w:val="000000"/>
          <w:sz w:val="24"/>
        </w:rPr>
        <w:t xml:space="preserve">. Virulence-associated genes were analyzed using </w:t>
      </w:r>
      <w:proofErr w:type="spellStart"/>
      <w:r w:rsidRPr="001E03AD">
        <w:rPr>
          <w:bCs/>
          <w:color w:val="000000"/>
          <w:sz w:val="24"/>
        </w:rPr>
        <w:t>ABRicate</w:t>
      </w:r>
      <w:proofErr w:type="spellEnd"/>
      <w:r w:rsidRPr="001E03AD">
        <w:rPr>
          <w:bCs/>
          <w:color w:val="000000"/>
          <w:sz w:val="24"/>
        </w:rPr>
        <w:t>. The PATRIC Genome Annotation Service used a k-</w:t>
      </w:r>
      <w:proofErr w:type="spellStart"/>
      <w:r w:rsidRPr="001E03AD">
        <w:rPr>
          <w:bCs/>
          <w:color w:val="000000"/>
          <w:sz w:val="24"/>
        </w:rPr>
        <w:t>mer</w:t>
      </w:r>
      <w:proofErr w:type="spellEnd"/>
      <w:r w:rsidRPr="001E03AD">
        <w:rPr>
          <w:bCs/>
          <w:color w:val="000000"/>
          <w:sz w:val="24"/>
        </w:rPr>
        <w:t xml:space="preserve">-based approach to identify antimicrobial resistance genes and assign functional annotations, antimicrobial classes, and resistance mechanisms. Circular genome visualizations of representative MDR and methicillin-resistant </w:t>
      </w:r>
      <w:r w:rsidRPr="001E03AD">
        <w:rPr>
          <w:bCs/>
          <w:i/>
          <w:iCs/>
          <w:color w:val="000000"/>
          <w:sz w:val="24"/>
        </w:rPr>
        <w:t>S. aureus</w:t>
      </w:r>
      <w:r w:rsidRPr="001E03AD">
        <w:rPr>
          <w:bCs/>
          <w:color w:val="000000"/>
          <w:sz w:val="24"/>
        </w:rPr>
        <w:t xml:space="preserve"> isolates were generated as described previously</w:t>
      </w:r>
      <w:r w:rsidRPr="001E03AD">
        <w:rPr>
          <w:bCs/>
          <w:color w:val="000000"/>
          <w:sz w:val="24"/>
          <w:vertAlign w:val="superscript"/>
        </w:rPr>
        <w:t>17</w:t>
      </w:r>
      <w:r>
        <w:rPr>
          <w:bCs/>
          <w:color w:val="000000"/>
          <w:sz w:val="24"/>
        </w:rPr>
        <w:t>.</w:t>
      </w:r>
      <w:r w:rsidRPr="001E03AD">
        <w:rPr>
          <w:bCs/>
          <w:color w:val="000000"/>
          <w:sz w:val="24"/>
        </w:rPr>
        <w:t xml:space="preserve"> </w:t>
      </w:r>
      <w:r w:rsidRPr="001E03AD">
        <w:rPr>
          <w:b/>
          <w:color w:val="000000"/>
          <w:sz w:val="24"/>
        </w:rPr>
        <w:t xml:space="preserve">Supplementary Table 1 </w:t>
      </w:r>
      <w:r w:rsidRPr="001E03AD">
        <w:rPr>
          <w:bCs/>
          <w:color w:val="000000"/>
          <w:sz w:val="24"/>
        </w:rPr>
        <w:t>summarizes all bioinformatics tools, software versions, databases, and analytical parameters used in the genomic analyses.</w:t>
      </w:r>
    </w:p>
    <w:p w14:paraId="1CDB01DE" w14:textId="77777777" w:rsidR="007A4BB7" w:rsidRPr="00E726B0" w:rsidRDefault="007A4BB7" w:rsidP="00E726B0">
      <w:pPr>
        <w:jc w:val="both"/>
        <w:rPr>
          <w:sz w:val="24"/>
        </w:rPr>
      </w:pPr>
    </w:p>
    <w:p w14:paraId="18E35700" w14:textId="77777777" w:rsidR="007A4BB7" w:rsidRPr="00E726B0" w:rsidRDefault="00841360" w:rsidP="00E726B0">
      <w:pPr>
        <w:jc w:val="both"/>
        <w:rPr>
          <w:sz w:val="24"/>
        </w:rPr>
      </w:pPr>
      <w:r w:rsidRPr="00E726B0">
        <w:rPr>
          <w:b/>
          <w:color w:val="000000"/>
          <w:sz w:val="24"/>
        </w:rPr>
        <w:t>REPRESENTATIVE RESULTS:</w:t>
      </w:r>
    </w:p>
    <w:p w14:paraId="3685BB27" w14:textId="5533C13F" w:rsidR="0055413A" w:rsidRPr="0055413A" w:rsidRDefault="0055413A" w:rsidP="0055413A">
      <w:pPr>
        <w:jc w:val="both"/>
        <w:rPr>
          <w:b/>
          <w:bCs/>
          <w:color w:val="000000"/>
          <w:sz w:val="24"/>
        </w:rPr>
      </w:pPr>
      <w:r w:rsidRPr="0055413A">
        <w:rPr>
          <w:b/>
          <w:bCs/>
          <w:color w:val="000000"/>
          <w:sz w:val="24"/>
        </w:rPr>
        <w:t>Specimen processing and culture positivity</w:t>
      </w:r>
    </w:p>
    <w:p w14:paraId="4369892E" w14:textId="77777777" w:rsidR="0055413A" w:rsidRPr="0055413A" w:rsidRDefault="0055413A" w:rsidP="0055413A">
      <w:pPr>
        <w:jc w:val="both"/>
        <w:rPr>
          <w:bCs/>
          <w:color w:val="000000"/>
          <w:sz w:val="24"/>
        </w:rPr>
      </w:pPr>
      <w:r w:rsidRPr="0055413A">
        <w:rPr>
          <w:bCs/>
          <w:color w:val="000000"/>
          <w:sz w:val="24"/>
        </w:rPr>
        <w:t xml:space="preserve">A total of 125 clinical specimens were collected and analyzed in this study. Bacterial growth was observed in 90/125 samples (72%). These culture-positive specimens were subsequently processed for bacterial identification and antimicrobial susceptibility testing. Descriptive statistics, including frequencies and percentages, were used to summarize the distribution of </w:t>
      </w:r>
      <w:r w:rsidRPr="0055413A">
        <w:rPr>
          <w:bCs/>
          <w:color w:val="000000"/>
          <w:sz w:val="24"/>
        </w:rPr>
        <w:lastRenderedPageBreak/>
        <w:t>bacterial isolates among all clinical specimens and culture-positive samples. No inferential statistical analyses were performed at this stage.</w:t>
      </w:r>
    </w:p>
    <w:p w14:paraId="42C08486" w14:textId="15BBEA3C" w:rsidR="0055413A" w:rsidRPr="0055413A" w:rsidRDefault="0055413A" w:rsidP="0055413A">
      <w:pPr>
        <w:jc w:val="both"/>
        <w:rPr>
          <w:b/>
          <w:color w:val="000000"/>
          <w:sz w:val="24"/>
        </w:rPr>
      </w:pPr>
    </w:p>
    <w:p w14:paraId="6EA8E836" w14:textId="760D7AA6" w:rsidR="0055413A" w:rsidRPr="0055413A" w:rsidRDefault="0055413A" w:rsidP="0055413A">
      <w:pPr>
        <w:jc w:val="both"/>
        <w:rPr>
          <w:b/>
          <w:bCs/>
          <w:color w:val="000000"/>
          <w:sz w:val="24"/>
        </w:rPr>
      </w:pPr>
      <w:r>
        <w:rPr>
          <w:b/>
          <w:bCs/>
          <w:color w:val="000000"/>
          <w:sz w:val="24"/>
        </w:rPr>
        <w:t>D</w:t>
      </w:r>
      <w:r w:rsidRPr="0055413A">
        <w:rPr>
          <w:b/>
          <w:bCs/>
          <w:color w:val="000000"/>
          <w:sz w:val="24"/>
        </w:rPr>
        <w:t>istribution of bacterial genera</w:t>
      </w:r>
    </w:p>
    <w:p w14:paraId="60E15028" w14:textId="77777777" w:rsidR="0055413A" w:rsidRPr="0055413A" w:rsidRDefault="0055413A" w:rsidP="0055413A">
      <w:pPr>
        <w:jc w:val="both"/>
        <w:rPr>
          <w:bCs/>
          <w:color w:val="000000"/>
          <w:sz w:val="24"/>
        </w:rPr>
      </w:pPr>
      <w:r w:rsidRPr="0055413A">
        <w:rPr>
          <w:bCs/>
          <w:color w:val="000000"/>
          <w:sz w:val="24"/>
        </w:rPr>
        <w:t xml:space="preserve">Among the 90 culture-positive samples, 45/90 (50%) were identified as </w:t>
      </w:r>
      <w:r w:rsidRPr="0055413A">
        <w:rPr>
          <w:bCs/>
          <w:i/>
          <w:iCs/>
          <w:color w:val="000000"/>
          <w:sz w:val="24"/>
        </w:rPr>
        <w:t>Staphylococcus aureus</w:t>
      </w:r>
      <w:r w:rsidRPr="0055413A">
        <w:rPr>
          <w:bCs/>
          <w:color w:val="000000"/>
          <w:sz w:val="24"/>
        </w:rPr>
        <w:t xml:space="preserve">, followed by </w:t>
      </w:r>
      <w:r w:rsidRPr="0055413A">
        <w:rPr>
          <w:bCs/>
          <w:i/>
          <w:iCs/>
          <w:color w:val="000000"/>
          <w:sz w:val="24"/>
        </w:rPr>
        <w:t>Escherichia coli</w:t>
      </w:r>
      <w:r w:rsidRPr="0055413A">
        <w:rPr>
          <w:bCs/>
          <w:color w:val="000000"/>
          <w:sz w:val="24"/>
        </w:rPr>
        <w:t xml:space="preserve"> (23/90, 25.55%), coagulase-negative staphylococci (10/90, 11.11%), </w:t>
      </w:r>
      <w:r w:rsidRPr="0055413A">
        <w:rPr>
          <w:bCs/>
          <w:i/>
          <w:iCs/>
          <w:color w:val="000000"/>
          <w:sz w:val="24"/>
        </w:rPr>
        <w:t>Pseudomonas</w:t>
      </w:r>
      <w:r w:rsidRPr="0055413A">
        <w:rPr>
          <w:bCs/>
          <w:color w:val="000000"/>
          <w:sz w:val="24"/>
        </w:rPr>
        <w:t xml:space="preserve"> spp. (7/90, 7.78%), and </w:t>
      </w:r>
      <w:r w:rsidRPr="0055413A">
        <w:rPr>
          <w:bCs/>
          <w:i/>
          <w:iCs/>
          <w:color w:val="000000"/>
          <w:sz w:val="24"/>
        </w:rPr>
        <w:t>Acinetobacter baumannii</w:t>
      </w:r>
      <w:r w:rsidRPr="0055413A">
        <w:rPr>
          <w:bCs/>
          <w:color w:val="000000"/>
          <w:sz w:val="24"/>
        </w:rPr>
        <w:t xml:space="preserve"> (5/90, 5.56%).</w:t>
      </w:r>
    </w:p>
    <w:p w14:paraId="3ECD0824" w14:textId="48C56EA5" w:rsidR="0055413A" w:rsidRPr="0055413A" w:rsidRDefault="0055413A" w:rsidP="0055413A">
      <w:pPr>
        <w:jc w:val="both"/>
        <w:rPr>
          <w:b/>
          <w:color w:val="000000"/>
          <w:sz w:val="24"/>
        </w:rPr>
      </w:pPr>
    </w:p>
    <w:p w14:paraId="5ABE1F59" w14:textId="45C00AB1" w:rsidR="0055413A" w:rsidRPr="0055413A" w:rsidRDefault="0055413A" w:rsidP="0055413A">
      <w:pPr>
        <w:jc w:val="both"/>
        <w:rPr>
          <w:b/>
          <w:bCs/>
          <w:color w:val="000000"/>
          <w:sz w:val="24"/>
        </w:rPr>
      </w:pPr>
      <w:r w:rsidRPr="0055413A">
        <w:rPr>
          <w:b/>
          <w:bCs/>
          <w:color w:val="000000"/>
          <w:sz w:val="24"/>
        </w:rPr>
        <w:t xml:space="preserve">Patient-level isolation of </w:t>
      </w:r>
      <w:r w:rsidRPr="0055413A">
        <w:rPr>
          <w:b/>
          <w:bCs/>
          <w:i/>
          <w:iCs/>
          <w:color w:val="000000"/>
          <w:sz w:val="24"/>
        </w:rPr>
        <w:t>S. aureus</w:t>
      </w:r>
    </w:p>
    <w:p w14:paraId="4AC5841B" w14:textId="77777777" w:rsidR="0055413A" w:rsidRPr="0055413A" w:rsidRDefault="0055413A" w:rsidP="0055413A">
      <w:pPr>
        <w:jc w:val="both"/>
        <w:rPr>
          <w:bCs/>
          <w:color w:val="000000"/>
          <w:sz w:val="24"/>
        </w:rPr>
      </w:pPr>
      <w:r w:rsidRPr="0055413A">
        <w:rPr>
          <w:bCs/>
          <w:color w:val="000000"/>
          <w:sz w:val="24"/>
        </w:rPr>
        <w:t xml:space="preserve">At the patient level (n = 125), </w:t>
      </w:r>
      <w:r w:rsidRPr="0055413A">
        <w:rPr>
          <w:bCs/>
          <w:i/>
          <w:iCs/>
          <w:color w:val="000000"/>
          <w:sz w:val="24"/>
        </w:rPr>
        <w:t>S. aureus</w:t>
      </w:r>
      <w:r w:rsidRPr="0055413A">
        <w:rPr>
          <w:bCs/>
          <w:color w:val="000000"/>
          <w:sz w:val="24"/>
        </w:rPr>
        <w:t xml:space="preserve"> was isolated in 45/125 cases (36%). Among these isolates, 35/45 (77.78%) were classified as MRSA and 10/45 (22.22%) as methicillin-sensitive </w:t>
      </w:r>
      <w:r w:rsidRPr="0055413A">
        <w:rPr>
          <w:bCs/>
          <w:i/>
          <w:iCs/>
          <w:color w:val="000000"/>
          <w:sz w:val="24"/>
        </w:rPr>
        <w:t>S. aureus</w:t>
      </w:r>
      <w:r w:rsidRPr="0055413A">
        <w:rPr>
          <w:bCs/>
          <w:color w:val="000000"/>
          <w:sz w:val="24"/>
        </w:rPr>
        <w:t xml:space="preserve"> (MSSA).</w:t>
      </w:r>
    </w:p>
    <w:p w14:paraId="1669D36E" w14:textId="4BCE6884" w:rsidR="0055413A" w:rsidRPr="0055413A" w:rsidRDefault="0055413A" w:rsidP="0055413A">
      <w:pPr>
        <w:jc w:val="both"/>
        <w:rPr>
          <w:b/>
          <w:color w:val="000000"/>
          <w:sz w:val="24"/>
        </w:rPr>
      </w:pPr>
    </w:p>
    <w:p w14:paraId="74E0F1B5" w14:textId="38614E19" w:rsidR="0055413A" w:rsidRPr="0055413A" w:rsidRDefault="0055413A" w:rsidP="0055413A">
      <w:pPr>
        <w:jc w:val="both"/>
        <w:rPr>
          <w:b/>
          <w:bCs/>
          <w:color w:val="000000"/>
          <w:sz w:val="24"/>
        </w:rPr>
      </w:pPr>
      <w:r w:rsidRPr="0055413A">
        <w:rPr>
          <w:b/>
          <w:bCs/>
          <w:color w:val="000000"/>
          <w:sz w:val="24"/>
        </w:rPr>
        <w:t xml:space="preserve">Study </w:t>
      </w:r>
      <w:r w:rsidR="00684C32" w:rsidRPr="0055413A">
        <w:rPr>
          <w:b/>
          <w:bCs/>
          <w:color w:val="000000"/>
          <w:sz w:val="24"/>
        </w:rPr>
        <w:t xml:space="preserve">participants and </w:t>
      </w:r>
      <w:r w:rsidR="00684C32">
        <w:rPr>
          <w:b/>
          <w:bCs/>
          <w:color w:val="000000"/>
          <w:sz w:val="24"/>
        </w:rPr>
        <w:t>isolated</w:t>
      </w:r>
      <w:r w:rsidR="00684C32" w:rsidRPr="0055413A">
        <w:rPr>
          <w:b/>
          <w:bCs/>
          <w:color w:val="000000"/>
          <w:sz w:val="24"/>
        </w:rPr>
        <w:t xml:space="preserve"> distribution</w:t>
      </w:r>
    </w:p>
    <w:p w14:paraId="74A5A948" w14:textId="77777777" w:rsidR="0055413A" w:rsidRDefault="0055413A" w:rsidP="0055413A">
      <w:pPr>
        <w:jc w:val="both"/>
        <w:rPr>
          <w:bCs/>
          <w:color w:val="000000"/>
          <w:sz w:val="24"/>
        </w:rPr>
      </w:pPr>
      <w:r w:rsidRPr="00684C32">
        <w:rPr>
          <w:bCs/>
          <w:color w:val="000000"/>
          <w:sz w:val="24"/>
        </w:rPr>
        <w:t>A total of 125 participants were enrolled, including 74 men (59.2%) and 51 women (40.8%), with ages ranging from 40–75 years. Among the participants, 54.4% (95% CI: 45.6–63.2) had type 1 diabetes mellitus (DM), whereas 45.6% (95% CI: 36.8–54.4) had type 2 DM.</w:t>
      </w:r>
    </w:p>
    <w:p w14:paraId="5E1AEC97" w14:textId="77777777" w:rsidR="00684C32" w:rsidRPr="00684C32" w:rsidRDefault="00684C32" w:rsidP="0055413A">
      <w:pPr>
        <w:jc w:val="both"/>
        <w:rPr>
          <w:bCs/>
          <w:color w:val="000000"/>
          <w:sz w:val="24"/>
        </w:rPr>
      </w:pPr>
    </w:p>
    <w:p w14:paraId="125C2B2A" w14:textId="77777777" w:rsidR="0055413A" w:rsidRDefault="0055413A" w:rsidP="0055413A">
      <w:pPr>
        <w:jc w:val="both"/>
        <w:rPr>
          <w:bCs/>
          <w:color w:val="000000"/>
          <w:sz w:val="24"/>
        </w:rPr>
      </w:pPr>
      <w:r w:rsidRPr="00684C32">
        <w:rPr>
          <w:bCs/>
          <w:color w:val="000000"/>
          <w:sz w:val="24"/>
        </w:rPr>
        <w:t>Diabetic foot ulcers (DFUs) were classified according to the Meggitt-Wagner grading system. Grade 3 ulcers were the most prevalent (52.44%; 95% CI: 43.7–61.1), followed by grade 4 (29.56%; 95% CI: 21.6–37.5), grade 2 (12.40%; 95% CI: 6.6–18.2), grade 1 (4.5%; 95% CI: 0.9–8.1), and grade 5 (1.0%; 95% CI: 0–2.6).</w:t>
      </w:r>
    </w:p>
    <w:p w14:paraId="0D1D1C04" w14:textId="77777777" w:rsidR="00684C32" w:rsidRPr="00684C32" w:rsidRDefault="00684C32" w:rsidP="0055413A">
      <w:pPr>
        <w:jc w:val="both"/>
        <w:rPr>
          <w:bCs/>
          <w:color w:val="000000"/>
          <w:sz w:val="24"/>
        </w:rPr>
      </w:pPr>
    </w:p>
    <w:p w14:paraId="74F0B568" w14:textId="77777777" w:rsidR="0055413A" w:rsidRDefault="0055413A" w:rsidP="0055413A">
      <w:pPr>
        <w:jc w:val="both"/>
        <w:rPr>
          <w:bCs/>
          <w:color w:val="000000"/>
          <w:sz w:val="24"/>
        </w:rPr>
      </w:pPr>
      <w:r w:rsidRPr="00684C32">
        <w:rPr>
          <w:bCs/>
          <w:i/>
          <w:iCs/>
          <w:color w:val="000000"/>
          <w:sz w:val="24"/>
        </w:rPr>
        <w:t>Staphylococcus aureus</w:t>
      </w:r>
      <w:r w:rsidRPr="00684C32">
        <w:rPr>
          <w:bCs/>
          <w:color w:val="000000"/>
          <w:sz w:val="24"/>
        </w:rPr>
        <w:t xml:space="preserve"> was isolated in 45/125 patients (36%; 95% CI: 27.6–44.4). Among these isolates, 27/45 (60%; 95% CI: 45.7–74.3) were recovered from male patients and 18/45 (40%; 95% CI: 25.7–54.3) from female patients. Male patients exhibited higher odds of </w:t>
      </w:r>
      <w:r w:rsidRPr="00684C32">
        <w:rPr>
          <w:bCs/>
          <w:i/>
          <w:iCs/>
          <w:color w:val="000000"/>
          <w:sz w:val="24"/>
        </w:rPr>
        <w:t>S. aureus</w:t>
      </w:r>
      <w:r w:rsidRPr="00684C32">
        <w:rPr>
          <w:bCs/>
          <w:color w:val="000000"/>
          <w:sz w:val="24"/>
        </w:rPr>
        <w:t xml:space="preserve"> isolation than female patients (OR = 1.42; 95% CI: 0.69–2.92), although the association was not statistically significant.</w:t>
      </w:r>
    </w:p>
    <w:p w14:paraId="16DED5F4" w14:textId="77777777" w:rsidR="00684C32" w:rsidRPr="00684C32" w:rsidRDefault="00684C32" w:rsidP="0055413A">
      <w:pPr>
        <w:jc w:val="both"/>
        <w:rPr>
          <w:bCs/>
          <w:color w:val="000000"/>
          <w:sz w:val="24"/>
        </w:rPr>
      </w:pPr>
    </w:p>
    <w:p w14:paraId="516C5E1A" w14:textId="4BE4B3AD" w:rsidR="0055413A" w:rsidRPr="00684C32" w:rsidRDefault="0055413A" w:rsidP="0055413A">
      <w:pPr>
        <w:jc w:val="both"/>
        <w:rPr>
          <w:bCs/>
          <w:color w:val="000000"/>
          <w:sz w:val="24"/>
        </w:rPr>
      </w:pPr>
      <w:r w:rsidRPr="00684C32">
        <w:rPr>
          <w:bCs/>
          <w:color w:val="000000"/>
          <w:sz w:val="24"/>
        </w:rPr>
        <w:t xml:space="preserve">The 61–70-year age group represented the highest proportion of DFI patients (48/125, 38.4%; 95% CI: 29.9–46.9). A statistically significant association was observed between age group and sex distribution (p = 0.006), as shown in </w:t>
      </w:r>
      <w:r w:rsidRPr="00684C32">
        <w:rPr>
          <w:b/>
          <w:color w:val="000000"/>
          <w:sz w:val="24"/>
        </w:rPr>
        <w:t>Table 2</w:t>
      </w:r>
      <w:r w:rsidRPr="00684C32">
        <w:rPr>
          <w:bCs/>
          <w:color w:val="000000"/>
          <w:sz w:val="24"/>
        </w:rPr>
        <w:t>.</w:t>
      </w:r>
    </w:p>
    <w:p w14:paraId="4562E715" w14:textId="1B6E988B" w:rsidR="0055413A" w:rsidRDefault="0055413A" w:rsidP="0055413A">
      <w:pPr>
        <w:jc w:val="both"/>
        <w:rPr>
          <w:b/>
          <w:color w:val="000000"/>
          <w:sz w:val="24"/>
        </w:rPr>
      </w:pPr>
    </w:p>
    <w:p w14:paraId="25CCF518" w14:textId="1A02D91E" w:rsidR="002E7BDC" w:rsidRDefault="002E7BDC" w:rsidP="002E7BDC">
      <w:pPr>
        <w:jc w:val="both"/>
        <w:rPr>
          <w:color w:val="000000"/>
          <w:sz w:val="24"/>
        </w:rPr>
      </w:pPr>
      <w:r>
        <w:rPr>
          <w:color w:val="000000"/>
          <w:sz w:val="24"/>
        </w:rPr>
        <w:t xml:space="preserve">[Place </w:t>
      </w:r>
      <w:r>
        <w:rPr>
          <w:b/>
          <w:bCs/>
          <w:color w:val="000000"/>
          <w:sz w:val="24"/>
        </w:rPr>
        <w:t>Table 2</w:t>
      </w:r>
      <w:r>
        <w:rPr>
          <w:color w:val="000000"/>
          <w:sz w:val="24"/>
        </w:rPr>
        <w:t xml:space="preserve"> here]</w:t>
      </w:r>
    </w:p>
    <w:p w14:paraId="063340DC" w14:textId="77777777" w:rsidR="002E7BDC" w:rsidRPr="0055413A" w:rsidRDefault="002E7BDC" w:rsidP="0055413A">
      <w:pPr>
        <w:jc w:val="both"/>
        <w:rPr>
          <w:b/>
          <w:color w:val="000000"/>
          <w:sz w:val="24"/>
        </w:rPr>
      </w:pPr>
    </w:p>
    <w:p w14:paraId="7E47F016" w14:textId="6C61E13D" w:rsidR="0055413A" w:rsidRPr="0055413A" w:rsidRDefault="00684C32" w:rsidP="0055413A">
      <w:pPr>
        <w:jc w:val="both"/>
        <w:rPr>
          <w:b/>
          <w:bCs/>
          <w:color w:val="000000"/>
          <w:sz w:val="24"/>
        </w:rPr>
      </w:pPr>
      <w:r>
        <w:rPr>
          <w:b/>
          <w:bCs/>
          <w:color w:val="000000"/>
          <w:sz w:val="24"/>
        </w:rPr>
        <w:t>A</w:t>
      </w:r>
      <w:r w:rsidRPr="0055413A">
        <w:rPr>
          <w:b/>
          <w:bCs/>
          <w:color w:val="000000"/>
          <w:sz w:val="24"/>
        </w:rPr>
        <w:t xml:space="preserve">ntimicrobial susceptibility and molecular confirmation </w:t>
      </w:r>
      <w:r w:rsidR="0055413A" w:rsidRPr="0055413A">
        <w:rPr>
          <w:b/>
          <w:bCs/>
          <w:color w:val="000000"/>
          <w:sz w:val="24"/>
        </w:rPr>
        <w:t xml:space="preserve">of </w:t>
      </w:r>
      <w:r w:rsidR="0055413A" w:rsidRPr="0055413A">
        <w:rPr>
          <w:b/>
          <w:bCs/>
          <w:i/>
          <w:iCs/>
          <w:color w:val="000000"/>
          <w:sz w:val="24"/>
        </w:rPr>
        <w:t>S. aureus</w:t>
      </w:r>
    </w:p>
    <w:p w14:paraId="28D26591" w14:textId="77777777" w:rsidR="0055413A" w:rsidRDefault="0055413A" w:rsidP="0055413A">
      <w:pPr>
        <w:jc w:val="both"/>
        <w:rPr>
          <w:bCs/>
          <w:color w:val="000000"/>
          <w:sz w:val="24"/>
        </w:rPr>
      </w:pPr>
      <w:r w:rsidRPr="00684C32">
        <w:rPr>
          <w:bCs/>
          <w:color w:val="000000"/>
          <w:sz w:val="24"/>
        </w:rPr>
        <w:t xml:space="preserve">The antimicrobial susceptibility profiles of 45 </w:t>
      </w:r>
      <w:r w:rsidRPr="00684C32">
        <w:rPr>
          <w:bCs/>
          <w:i/>
          <w:iCs/>
          <w:color w:val="000000"/>
          <w:sz w:val="24"/>
        </w:rPr>
        <w:t>S. aureus</w:t>
      </w:r>
      <w:r w:rsidRPr="00684C32">
        <w:rPr>
          <w:bCs/>
          <w:color w:val="000000"/>
          <w:sz w:val="24"/>
        </w:rPr>
        <w:t xml:space="preserve"> isolates are summarized in Table 2. Among the isolates, 35/45 (77.78%; 95% CI: 65.6–89.9) remained susceptible to tigecycline, linezolid, and vancomycin. However, high resistance rates were observed for several antibiotics, including ampicillin (44/45, 97.78%; 95% CI: 93.5–100), amoxicillin–clavulanic acid (43/45, 95.56%; 95% CI: 89.6–100), and penicillin, erythromycin, and clindamycin (39/45, 86.67%; 95% CI: 76.7–96.6). All isolates (45/45, 100%; 95% CI: 92.1–100) exhibited resistance to cefoxitin and oxacillin.</w:t>
      </w:r>
    </w:p>
    <w:p w14:paraId="16E314C1" w14:textId="77777777" w:rsidR="00684C32" w:rsidRPr="00684C32" w:rsidRDefault="00684C32" w:rsidP="0055413A">
      <w:pPr>
        <w:jc w:val="both"/>
        <w:rPr>
          <w:bCs/>
          <w:color w:val="000000"/>
          <w:sz w:val="24"/>
        </w:rPr>
      </w:pPr>
    </w:p>
    <w:p w14:paraId="2A8F42F8" w14:textId="77777777" w:rsidR="0055413A" w:rsidRDefault="0055413A" w:rsidP="0055413A">
      <w:pPr>
        <w:jc w:val="both"/>
        <w:rPr>
          <w:bCs/>
          <w:color w:val="000000"/>
          <w:sz w:val="24"/>
        </w:rPr>
      </w:pPr>
      <w:r w:rsidRPr="00684C32">
        <w:rPr>
          <w:bCs/>
          <w:color w:val="000000"/>
          <w:sz w:val="24"/>
        </w:rPr>
        <w:lastRenderedPageBreak/>
        <w:t xml:space="preserve">Molecular confirmation using amplification of the </w:t>
      </w:r>
      <w:proofErr w:type="spellStart"/>
      <w:r w:rsidRPr="00684C32">
        <w:rPr>
          <w:bCs/>
          <w:i/>
          <w:iCs/>
          <w:color w:val="000000"/>
          <w:sz w:val="24"/>
        </w:rPr>
        <w:t>nuc</w:t>
      </w:r>
      <w:proofErr w:type="spellEnd"/>
      <w:r w:rsidRPr="00684C32">
        <w:rPr>
          <w:bCs/>
          <w:color w:val="000000"/>
          <w:sz w:val="24"/>
        </w:rPr>
        <w:t xml:space="preserve"> gene identified all isolates as </w:t>
      </w:r>
      <w:r w:rsidRPr="00684C32">
        <w:rPr>
          <w:bCs/>
          <w:i/>
          <w:iCs/>
          <w:color w:val="000000"/>
          <w:sz w:val="24"/>
        </w:rPr>
        <w:t>S. aureus</w:t>
      </w:r>
      <w:r w:rsidRPr="00684C32">
        <w:rPr>
          <w:bCs/>
          <w:color w:val="000000"/>
          <w:sz w:val="24"/>
        </w:rPr>
        <w:t xml:space="preserve"> (45/45, 100%; 95% CI: 92.1–100). Among these isolates, 35/45 (77.78%; 95% CI: 65.6–89.9) were classified as MRSA based on cefoxitin resistance and the presence of the </w:t>
      </w:r>
      <w:proofErr w:type="spellStart"/>
      <w:r w:rsidRPr="00684C32">
        <w:rPr>
          <w:bCs/>
          <w:i/>
          <w:iCs/>
          <w:color w:val="000000"/>
          <w:sz w:val="24"/>
        </w:rPr>
        <w:t>mecA</w:t>
      </w:r>
      <w:proofErr w:type="spellEnd"/>
      <w:r w:rsidRPr="00684C32">
        <w:rPr>
          <w:bCs/>
          <w:color w:val="000000"/>
          <w:sz w:val="24"/>
        </w:rPr>
        <w:t xml:space="preserve"> gene, whereas 10/45 (22.22%; 95% CI: 10.1–34.4) were MSSA (</w:t>
      </w:r>
      <w:r w:rsidRPr="00684C32">
        <w:rPr>
          <w:b/>
          <w:color w:val="000000"/>
          <w:sz w:val="24"/>
        </w:rPr>
        <w:t>Figure 2</w:t>
      </w:r>
      <w:r w:rsidRPr="00684C32">
        <w:rPr>
          <w:bCs/>
          <w:color w:val="000000"/>
          <w:sz w:val="24"/>
        </w:rPr>
        <w:t>).</w:t>
      </w:r>
    </w:p>
    <w:p w14:paraId="39607D62" w14:textId="77777777" w:rsidR="00684C32" w:rsidRDefault="00684C32" w:rsidP="0055413A">
      <w:pPr>
        <w:jc w:val="both"/>
        <w:rPr>
          <w:bCs/>
          <w:color w:val="000000"/>
          <w:sz w:val="24"/>
        </w:rPr>
      </w:pPr>
    </w:p>
    <w:p w14:paraId="653FFA53" w14:textId="2EB08A1F"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2</w:t>
      </w:r>
      <w:r>
        <w:rPr>
          <w:color w:val="000000"/>
          <w:sz w:val="24"/>
        </w:rPr>
        <w:t xml:space="preserve"> here]</w:t>
      </w:r>
    </w:p>
    <w:p w14:paraId="784FBB82" w14:textId="77777777" w:rsidR="002E7BDC" w:rsidRPr="00684C32" w:rsidRDefault="002E7BDC" w:rsidP="0055413A">
      <w:pPr>
        <w:jc w:val="both"/>
        <w:rPr>
          <w:bCs/>
          <w:color w:val="000000"/>
          <w:sz w:val="24"/>
        </w:rPr>
      </w:pPr>
    </w:p>
    <w:p w14:paraId="5508EF05" w14:textId="77777777" w:rsidR="0055413A" w:rsidRDefault="0055413A" w:rsidP="0055413A">
      <w:pPr>
        <w:jc w:val="both"/>
        <w:rPr>
          <w:bCs/>
          <w:color w:val="000000"/>
          <w:sz w:val="24"/>
        </w:rPr>
      </w:pPr>
      <w:r w:rsidRPr="00684C32">
        <w:rPr>
          <w:bCs/>
          <w:color w:val="000000"/>
          <w:sz w:val="24"/>
        </w:rPr>
        <w:t xml:space="preserve">MRSA isolates demonstrated substantially higher resistance rates than MSSA isolates across most antimicrobial classes, whereas MSSA isolates remained comparatively susceptible to vancomycin, linezolid, and tigecycline. Among all </w:t>
      </w:r>
      <w:r w:rsidRPr="00684C32">
        <w:rPr>
          <w:bCs/>
          <w:i/>
          <w:iCs/>
          <w:color w:val="000000"/>
          <w:sz w:val="24"/>
        </w:rPr>
        <w:t>S. aureus</w:t>
      </w:r>
      <w:r w:rsidRPr="00684C32">
        <w:rPr>
          <w:bCs/>
          <w:color w:val="000000"/>
          <w:sz w:val="24"/>
        </w:rPr>
        <w:t xml:space="preserve"> isolates, 36/45 (80%) were classified as multidrug resistant (MDR), 5/45 (11.11%) as extensively drug resistant (XDR), and 4/45 (8.89%) as </w:t>
      </w:r>
      <w:proofErr w:type="spellStart"/>
      <w:r w:rsidRPr="00684C32">
        <w:rPr>
          <w:bCs/>
          <w:color w:val="000000"/>
          <w:sz w:val="24"/>
        </w:rPr>
        <w:t>pandrug</w:t>
      </w:r>
      <w:proofErr w:type="spellEnd"/>
      <w:r w:rsidRPr="00684C32">
        <w:rPr>
          <w:bCs/>
          <w:color w:val="000000"/>
          <w:sz w:val="24"/>
        </w:rPr>
        <w:t xml:space="preserve"> resistant (PDR).</w:t>
      </w:r>
    </w:p>
    <w:p w14:paraId="61FDABF3" w14:textId="77777777" w:rsidR="00684C32" w:rsidRPr="00684C32" w:rsidRDefault="00684C32" w:rsidP="0055413A">
      <w:pPr>
        <w:jc w:val="both"/>
        <w:rPr>
          <w:bCs/>
          <w:color w:val="000000"/>
          <w:sz w:val="24"/>
        </w:rPr>
      </w:pPr>
    </w:p>
    <w:p w14:paraId="52C6853B" w14:textId="77777777" w:rsidR="0055413A" w:rsidRDefault="0055413A" w:rsidP="0055413A">
      <w:pPr>
        <w:jc w:val="both"/>
        <w:rPr>
          <w:bCs/>
          <w:color w:val="000000"/>
          <w:sz w:val="24"/>
        </w:rPr>
      </w:pPr>
      <w:r w:rsidRPr="00684C32">
        <w:rPr>
          <w:bCs/>
          <w:color w:val="000000"/>
          <w:sz w:val="24"/>
        </w:rPr>
        <w:t>The odds of multidrug resistance were markedly higher among MRSA isolates than MSSA isolates (OR = 35.0; 95% CI: 3.9–314.2), indicating a strong association between methicillin resistance and multidrug resistance. No statistically significant association was observed between specimen type and methicillin resistance status (p = 0.9). Comparisons between MRSA and MSSA isolates were performed using the chi-square test, whereas Fisher’s exact test was applied when expected cell counts were &lt;5. Odds ratios (ORs) with 95% confidence intervals (CIs) were estimated using binary logistic regression analysis.</w:t>
      </w:r>
    </w:p>
    <w:p w14:paraId="5F8AF06D" w14:textId="77777777" w:rsidR="00684C32" w:rsidRPr="00684C32" w:rsidRDefault="00684C32" w:rsidP="0055413A">
      <w:pPr>
        <w:jc w:val="both"/>
        <w:rPr>
          <w:bCs/>
          <w:color w:val="000000"/>
          <w:sz w:val="24"/>
        </w:rPr>
      </w:pPr>
    </w:p>
    <w:p w14:paraId="756790EA" w14:textId="3859CF7C" w:rsidR="0055413A" w:rsidRDefault="0055413A" w:rsidP="0055413A">
      <w:pPr>
        <w:jc w:val="both"/>
        <w:rPr>
          <w:bCs/>
          <w:color w:val="000000"/>
          <w:sz w:val="24"/>
        </w:rPr>
      </w:pPr>
      <w:r w:rsidRPr="00684C32">
        <w:rPr>
          <w:bCs/>
          <w:color w:val="000000"/>
          <w:sz w:val="24"/>
        </w:rPr>
        <w:t>Most isolates (39/45, 86.67%; 95% CI: 76.7–96.6) demonstrated concurrent resistance to penicillin, erythromycin, and clindamycin. Among MDR-MRSA isolates, the most common co-resistance pattern involved penicillin, cefoxitin, oxacillin, erythromycin, and clindamycin (10/33, 30.30%; 95% CI: 14.6–46.0). In contrast, MDR-MSSA isolates most frequently demonstrated co-resistance to erythromycin, clindamycin, and penicillin (3/6, 50%; 95% CI: 10.0–90.0).</w:t>
      </w:r>
      <w:r w:rsidR="00684C32">
        <w:rPr>
          <w:bCs/>
          <w:color w:val="000000"/>
          <w:sz w:val="24"/>
        </w:rPr>
        <w:t xml:space="preserve"> </w:t>
      </w:r>
      <w:r w:rsidRPr="00684C32">
        <w:rPr>
          <w:bCs/>
          <w:color w:val="000000"/>
          <w:sz w:val="24"/>
        </w:rPr>
        <w:t>MDR-MRSA isolates showed higher odds of five-drug co-resistance than MDR-MSSA isolates (OR = 8.0; 95% CI: 0.78–81.9), although the association was not statistically significant because of the small sample size.</w:t>
      </w:r>
    </w:p>
    <w:p w14:paraId="5266893E" w14:textId="77777777" w:rsidR="00684C32" w:rsidRPr="00684C32" w:rsidRDefault="00684C32" w:rsidP="0055413A">
      <w:pPr>
        <w:jc w:val="both"/>
        <w:rPr>
          <w:bCs/>
          <w:color w:val="000000"/>
          <w:sz w:val="24"/>
        </w:rPr>
      </w:pPr>
    </w:p>
    <w:p w14:paraId="212F5D64" w14:textId="77777777" w:rsidR="0055413A" w:rsidRDefault="0055413A" w:rsidP="0055413A">
      <w:pPr>
        <w:jc w:val="both"/>
        <w:rPr>
          <w:bCs/>
          <w:color w:val="000000"/>
          <w:sz w:val="24"/>
        </w:rPr>
      </w:pPr>
      <w:r w:rsidRPr="00684C32">
        <w:rPr>
          <w:bCs/>
          <w:color w:val="000000"/>
          <w:sz w:val="24"/>
        </w:rPr>
        <w:t>Among all isolates, 4/45 (8.89%; 95% CI: 0.6–17.2) were classified as PDR and exhibited resistance to all tested antimicrobial categories. Five isolates (11.11%; 95% CI: 1.9–20.3) were classified as XDR. MDR isolates accounted for 36/45 isolates (80%; 95% CI: 68.3–91.7), including 20/36 (55.56%; 95% CI: 39.3–71.8) recovered from soft tissue specimens and 16/36 (44.44%; 95% CI: 28.2–60.7) recovered from wound swabs.</w:t>
      </w:r>
    </w:p>
    <w:p w14:paraId="4FF94D13" w14:textId="77777777" w:rsidR="00684C32" w:rsidRPr="00684C32" w:rsidRDefault="00684C32" w:rsidP="0055413A">
      <w:pPr>
        <w:jc w:val="both"/>
        <w:rPr>
          <w:bCs/>
          <w:color w:val="000000"/>
          <w:sz w:val="24"/>
        </w:rPr>
      </w:pPr>
    </w:p>
    <w:p w14:paraId="311E8CE3" w14:textId="77777777" w:rsidR="0055413A" w:rsidRDefault="0055413A" w:rsidP="0055413A">
      <w:pPr>
        <w:jc w:val="both"/>
        <w:rPr>
          <w:bCs/>
          <w:color w:val="000000"/>
          <w:sz w:val="24"/>
        </w:rPr>
      </w:pPr>
      <w:r w:rsidRPr="00684C32">
        <w:rPr>
          <w:bCs/>
          <w:color w:val="000000"/>
          <w:sz w:val="24"/>
        </w:rPr>
        <w:t>Four of the five XDR isolates (80%; 95% CI: 44.9–100) originated from bone tissue specimens, whereas all PDR isolates (4/4, 100%; 95% CI: 39.6–100) were recovered from bone tissue samples. Statistical analysis demonstrated a highly significant association between antimicrobial resistance category (MDR, XDR, and PDR) and specimen type (χ² = 24.6, p &lt; 0.001). Fisher’s exact test was applied where subgroup sizes were small. Compared with wound swab specimens, bone tissue specimens exhibited markedly higher odds of harboring XDR/PDR organisms (OR = 18.5; 95% CI: 3.4–100.6).</w:t>
      </w:r>
    </w:p>
    <w:p w14:paraId="46455342" w14:textId="77777777" w:rsidR="00684C32" w:rsidRPr="00684C32" w:rsidRDefault="00684C32" w:rsidP="0055413A">
      <w:pPr>
        <w:jc w:val="both"/>
        <w:rPr>
          <w:bCs/>
          <w:color w:val="000000"/>
          <w:sz w:val="24"/>
        </w:rPr>
      </w:pPr>
    </w:p>
    <w:p w14:paraId="7C0FA5D8" w14:textId="0B1B1294" w:rsidR="0055413A" w:rsidRDefault="0055413A" w:rsidP="0055413A">
      <w:pPr>
        <w:jc w:val="both"/>
        <w:rPr>
          <w:bCs/>
          <w:color w:val="000000"/>
          <w:sz w:val="24"/>
        </w:rPr>
      </w:pPr>
      <w:r w:rsidRPr="00684C32">
        <w:rPr>
          <w:bCs/>
          <w:color w:val="000000"/>
          <w:sz w:val="24"/>
        </w:rPr>
        <w:lastRenderedPageBreak/>
        <w:t>Antimicrobial susceptibility testing demonstrated complete resistance among MRSA isolates to β-lactam antibiotics, including penicillin, oxacillin, cefoxitin, ampicillin, and amoxicillin–clavulanic acid (100%; 95% CI: 90.0–100). MRSA isolates also exhibited high resistance to clindamycin and erythromycin (100%; 95% CI: 90.0–100). Moderate resistance rates were observed for gentamicin (65.7%; 95% CI: 50.0–81.3), ciprofloxacin (65.7%; 95% CI: 50.0–81.3), and levofloxacin (60.0%; 95% CI: 43.8–76.2). Vancomycin, linezolid, and tigecycline retained activity against 71.4% (25/35; 95% CI: 56.4–86.4) of MRSA isolates</w:t>
      </w:r>
      <w:r w:rsidR="00684C32">
        <w:rPr>
          <w:bCs/>
          <w:color w:val="000000"/>
          <w:sz w:val="24"/>
        </w:rPr>
        <w:t xml:space="preserve"> (</w:t>
      </w:r>
      <w:r w:rsidR="00684C32" w:rsidRPr="00684C32">
        <w:rPr>
          <w:b/>
          <w:color w:val="000000"/>
          <w:sz w:val="24"/>
        </w:rPr>
        <w:t>Table 3</w:t>
      </w:r>
      <w:r w:rsidR="00684C32">
        <w:rPr>
          <w:bCs/>
          <w:color w:val="000000"/>
          <w:sz w:val="24"/>
        </w:rPr>
        <w:t>)</w:t>
      </w:r>
      <w:r w:rsidRPr="00684C32">
        <w:rPr>
          <w:bCs/>
          <w:color w:val="000000"/>
          <w:sz w:val="24"/>
        </w:rPr>
        <w:t>.</w:t>
      </w:r>
    </w:p>
    <w:p w14:paraId="5483137F" w14:textId="77777777" w:rsidR="00684C32" w:rsidRDefault="00684C32" w:rsidP="0055413A">
      <w:pPr>
        <w:jc w:val="both"/>
        <w:rPr>
          <w:bCs/>
          <w:color w:val="000000"/>
          <w:sz w:val="24"/>
        </w:rPr>
      </w:pPr>
    </w:p>
    <w:p w14:paraId="38FD9A42" w14:textId="5AE5CDD8" w:rsidR="002E7BDC" w:rsidRDefault="002E7BDC" w:rsidP="002E7BDC">
      <w:pPr>
        <w:jc w:val="both"/>
        <w:rPr>
          <w:color w:val="000000"/>
          <w:sz w:val="24"/>
        </w:rPr>
      </w:pPr>
      <w:r>
        <w:rPr>
          <w:color w:val="000000"/>
          <w:sz w:val="24"/>
        </w:rPr>
        <w:t xml:space="preserve">[Place </w:t>
      </w:r>
      <w:r>
        <w:rPr>
          <w:b/>
          <w:bCs/>
          <w:color w:val="000000"/>
          <w:sz w:val="24"/>
        </w:rPr>
        <w:t>Table</w:t>
      </w:r>
      <w:r w:rsidRPr="002E7BDC">
        <w:rPr>
          <w:b/>
          <w:bCs/>
          <w:color w:val="000000"/>
          <w:sz w:val="24"/>
        </w:rPr>
        <w:t xml:space="preserve"> </w:t>
      </w:r>
      <w:r>
        <w:rPr>
          <w:b/>
          <w:bCs/>
          <w:color w:val="000000"/>
          <w:sz w:val="24"/>
        </w:rPr>
        <w:t>3</w:t>
      </w:r>
      <w:r>
        <w:rPr>
          <w:color w:val="000000"/>
          <w:sz w:val="24"/>
        </w:rPr>
        <w:t xml:space="preserve"> here]</w:t>
      </w:r>
    </w:p>
    <w:p w14:paraId="1008D28B" w14:textId="77777777" w:rsidR="002E7BDC" w:rsidRPr="00684C32" w:rsidRDefault="002E7BDC" w:rsidP="0055413A">
      <w:pPr>
        <w:jc w:val="both"/>
        <w:rPr>
          <w:bCs/>
          <w:color w:val="000000"/>
          <w:sz w:val="24"/>
        </w:rPr>
      </w:pPr>
    </w:p>
    <w:p w14:paraId="7F5A574F" w14:textId="77777777" w:rsidR="0055413A" w:rsidRDefault="0055413A" w:rsidP="0055413A">
      <w:pPr>
        <w:jc w:val="both"/>
        <w:rPr>
          <w:bCs/>
          <w:color w:val="000000"/>
          <w:sz w:val="24"/>
        </w:rPr>
      </w:pPr>
      <w:r w:rsidRPr="00684C32">
        <w:rPr>
          <w:bCs/>
          <w:color w:val="000000"/>
          <w:sz w:val="24"/>
        </w:rPr>
        <w:t>MSSA isolates demonstrated greater susceptibility overall. All MSSA isolates remained susceptible to vancomycin, linezolid, tigecycline, cefoxitin, oxacillin, and meropenem (100% susceptibility; 95% CI: 69.2–100). Nevertheless, resistance to ampicillin (90%; 95% CI: 55.5–99.7), amoxicillin–clavulanic acid (80%; 95% CI: 44.4–97.5), penicillin, erythromycin, and clindamycin (40%; 95% CI: 9.6–70.4) was observed.</w:t>
      </w:r>
    </w:p>
    <w:p w14:paraId="03E269DA" w14:textId="77777777" w:rsidR="00684C32" w:rsidRPr="00684C32" w:rsidRDefault="00684C32" w:rsidP="0055413A">
      <w:pPr>
        <w:jc w:val="both"/>
        <w:rPr>
          <w:bCs/>
          <w:color w:val="000000"/>
          <w:sz w:val="24"/>
        </w:rPr>
      </w:pPr>
    </w:p>
    <w:p w14:paraId="47D47E0A" w14:textId="77777777" w:rsidR="0055413A" w:rsidRDefault="0055413A" w:rsidP="0055413A">
      <w:pPr>
        <w:jc w:val="both"/>
        <w:rPr>
          <w:bCs/>
          <w:color w:val="000000"/>
          <w:sz w:val="24"/>
        </w:rPr>
      </w:pPr>
      <w:r w:rsidRPr="00684C32">
        <w:rPr>
          <w:bCs/>
          <w:color w:val="000000"/>
          <w:sz w:val="24"/>
        </w:rPr>
        <w:t>MRSA isolates exhibited significantly higher resistance rates than MSSA isolates for most tested antibiotics. Significant associations were observed for erythromycin resistance (χ² = 6.2, p = 0.01; OR = 13.5; 95% CI: 1.4–129.7) and clindamycin resistance (χ² = 6.2, p = 0.01; OR = 13.5; 95% CI: 1.4–129.7). Gentamicin resistance was also higher among MRSA isolates, although the association was not statistically significant (χ² = 2.1, p = 0.14; OR = 3.6; 95% CI: 0.8–16.3). Overall, statistically significant differences in antimicrobial resistance profiles were observed between MRSA and MSSA isolates for most antibiotics (p &lt; 0.05), except for vancomycin, linezolid, tigecycline, and ampicillin (</w:t>
      </w:r>
      <w:r w:rsidRPr="00684C32">
        <w:rPr>
          <w:b/>
          <w:color w:val="000000"/>
          <w:sz w:val="24"/>
        </w:rPr>
        <w:t>Table 4; Figure 3</w:t>
      </w:r>
      <w:r w:rsidRPr="00684C32">
        <w:rPr>
          <w:bCs/>
          <w:color w:val="000000"/>
          <w:sz w:val="24"/>
        </w:rPr>
        <w:t>).</w:t>
      </w:r>
    </w:p>
    <w:p w14:paraId="4D29BA2C" w14:textId="77777777" w:rsidR="00684C32" w:rsidRDefault="00684C32" w:rsidP="0055413A">
      <w:pPr>
        <w:jc w:val="both"/>
        <w:rPr>
          <w:bCs/>
          <w:color w:val="000000"/>
          <w:sz w:val="24"/>
        </w:rPr>
      </w:pPr>
    </w:p>
    <w:p w14:paraId="29C947E1" w14:textId="02C76139" w:rsidR="002E7BDC" w:rsidRDefault="002E7BDC" w:rsidP="002E7BDC">
      <w:pPr>
        <w:jc w:val="both"/>
        <w:rPr>
          <w:color w:val="000000"/>
          <w:sz w:val="24"/>
        </w:rPr>
      </w:pPr>
      <w:r>
        <w:rPr>
          <w:color w:val="000000"/>
          <w:sz w:val="24"/>
        </w:rPr>
        <w:t xml:space="preserve">[Place </w:t>
      </w:r>
      <w:r>
        <w:rPr>
          <w:b/>
          <w:bCs/>
          <w:color w:val="000000"/>
          <w:sz w:val="24"/>
        </w:rPr>
        <w:t>Table 4</w:t>
      </w:r>
      <w:r>
        <w:rPr>
          <w:color w:val="000000"/>
          <w:sz w:val="24"/>
        </w:rPr>
        <w:t xml:space="preserve"> here]</w:t>
      </w:r>
    </w:p>
    <w:p w14:paraId="1D4CFAF6" w14:textId="77777777" w:rsidR="002E7BDC" w:rsidRDefault="002E7BDC" w:rsidP="0055413A">
      <w:pPr>
        <w:jc w:val="both"/>
        <w:rPr>
          <w:bCs/>
          <w:color w:val="000000"/>
          <w:sz w:val="24"/>
        </w:rPr>
      </w:pPr>
    </w:p>
    <w:p w14:paraId="40D1CAFD" w14:textId="3CBAC97E"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3</w:t>
      </w:r>
      <w:r>
        <w:rPr>
          <w:color w:val="000000"/>
          <w:sz w:val="24"/>
        </w:rPr>
        <w:t xml:space="preserve"> here]</w:t>
      </w:r>
    </w:p>
    <w:p w14:paraId="52DFB239" w14:textId="77777777" w:rsidR="002E7BDC" w:rsidRPr="00684C32" w:rsidRDefault="002E7BDC" w:rsidP="0055413A">
      <w:pPr>
        <w:jc w:val="both"/>
        <w:rPr>
          <w:bCs/>
          <w:color w:val="000000"/>
          <w:sz w:val="24"/>
        </w:rPr>
      </w:pPr>
    </w:p>
    <w:p w14:paraId="3DF427B7" w14:textId="505AAE60" w:rsidR="0055413A" w:rsidRPr="00684C32" w:rsidRDefault="0055413A" w:rsidP="0055413A">
      <w:pPr>
        <w:jc w:val="both"/>
        <w:rPr>
          <w:bCs/>
          <w:color w:val="000000"/>
          <w:sz w:val="24"/>
        </w:rPr>
      </w:pPr>
      <w:r w:rsidRPr="00684C32">
        <w:rPr>
          <w:bCs/>
          <w:color w:val="000000"/>
          <w:sz w:val="24"/>
        </w:rPr>
        <w:t xml:space="preserve">Vancomycin susceptibility testing </w:t>
      </w:r>
      <w:r w:rsidR="00684C32">
        <w:rPr>
          <w:bCs/>
          <w:color w:val="000000"/>
          <w:sz w:val="24"/>
        </w:rPr>
        <w:t xml:space="preserve">by MIC analysis showed variable susceptibility </w:t>
      </w:r>
      <w:r w:rsidRPr="00684C32">
        <w:rPr>
          <w:bCs/>
          <w:color w:val="000000"/>
          <w:sz w:val="24"/>
        </w:rPr>
        <w:t xml:space="preserve">among isolates. Classification of vancomycin-resistant </w:t>
      </w:r>
      <w:r w:rsidRPr="00684C32">
        <w:rPr>
          <w:bCs/>
          <w:i/>
          <w:iCs/>
          <w:color w:val="000000"/>
          <w:sz w:val="24"/>
        </w:rPr>
        <w:t>S. aureus</w:t>
      </w:r>
      <w:r w:rsidRPr="00684C32">
        <w:rPr>
          <w:bCs/>
          <w:color w:val="000000"/>
          <w:sz w:val="24"/>
        </w:rPr>
        <w:t xml:space="preserve"> (VRSA) was based on CLSI breakpoints (MIC ≥16 µg/mL), confirming phenotypic resistance in selected isolates.</w:t>
      </w:r>
    </w:p>
    <w:p w14:paraId="5AA46867" w14:textId="69C18217" w:rsidR="0055413A" w:rsidRPr="00684C32" w:rsidRDefault="0055413A" w:rsidP="0055413A">
      <w:pPr>
        <w:jc w:val="both"/>
        <w:rPr>
          <w:bCs/>
          <w:color w:val="000000"/>
          <w:sz w:val="24"/>
        </w:rPr>
      </w:pPr>
    </w:p>
    <w:p w14:paraId="1818B46C" w14:textId="45C9754B" w:rsidR="00684C32" w:rsidRPr="00684C32" w:rsidRDefault="0055413A" w:rsidP="0055413A">
      <w:pPr>
        <w:jc w:val="both"/>
        <w:rPr>
          <w:b/>
          <w:bCs/>
          <w:i/>
          <w:iCs/>
          <w:color w:val="000000"/>
          <w:sz w:val="24"/>
        </w:rPr>
      </w:pPr>
      <w:r w:rsidRPr="0055413A">
        <w:rPr>
          <w:b/>
          <w:bCs/>
          <w:color w:val="000000"/>
          <w:sz w:val="24"/>
        </w:rPr>
        <w:t xml:space="preserve">Prevalence of </w:t>
      </w:r>
      <w:r w:rsidR="00684C32">
        <w:rPr>
          <w:b/>
          <w:bCs/>
          <w:color w:val="000000"/>
          <w:sz w:val="24"/>
        </w:rPr>
        <w:t>v</w:t>
      </w:r>
      <w:r w:rsidRPr="0055413A">
        <w:rPr>
          <w:b/>
          <w:bCs/>
          <w:color w:val="000000"/>
          <w:sz w:val="24"/>
        </w:rPr>
        <w:t xml:space="preserve">irulence and β-Lactamase </w:t>
      </w:r>
      <w:r w:rsidR="00684C32">
        <w:rPr>
          <w:b/>
          <w:bCs/>
          <w:color w:val="000000"/>
          <w:sz w:val="24"/>
        </w:rPr>
        <w:t>g</w:t>
      </w:r>
      <w:r w:rsidRPr="0055413A">
        <w:rPr>
          <w:b/>
          <w:bCs/>
          <w:color w:val="000000"/>
          <w:sz w:val="24"/>
        </w:rPr>
        <w:t xml:space="preserve">enes in </w:t>
      </w:r>
      <w:r w:rsidRPr="0055413A">
        <w:rPr>
          <w:b/>
          <w:bCs/>
          <w:i/>
          <w:iCs/>
          <w:color w:val="000000"/>
          <w:sz w:val="24"/>
        </w:rPr>
        <w:t>S. aureus</w:t>
      </w:r>
    </w:p>
    <w:p w14:paraId="4A083A39" w14:textId="2BFAEF94" w:rsidR="0055413A" w:rsidRDefault="0055413A" w:rsidP="0055413A">
      <w:pPr>
        <w:jc w:val="both"/>
        <w:rPr>
          <w:bCs/>
          <w:color w:val="000000"/>
          <w:sz w:val="24"/>
        </w:rPr>
      </w:pPr>
      <w:r w:rsidRPr="00684C32">
        <w:rPr>
          <w:bCs/>
          <w:color w:val="000000"/>
          <w:sz w:val="24"/>
        </w:rPr>
        <w:t xml:space="preserve">Virulence-associated genes were analyzed in all 45 </w:t>
      </w:r>
      <w:r w:rsidRPr="00684C32">
        <w:rPr>
          <w:bCs/>
          <w:i/>
          <w:iCs/>
          <w:color w:val="000000"/>
          <w:sz w:val="24"/>
        </w:rPr>
        <w:t>S. aureus</w:t>
      </w:r>
      <w:r w:rsidRPr="00684C32">
        <w:rPr>
          <w:bCs/>
          <w:color w:val="000000"/>
          <w:sz w:val="24"/>
        </w:rPr>
        <w:t xml:space="preserve"> isolates. The </w:t>
      </w:r>
      <w:proofErr w:type="spellStart"/>
      <w:r w:rsidRPr="00684C32">
        <w:rPr>
          <w:bCs/>
          <w:i/>
          <w:iCs/>
          <w:color w:val="000000"/>
          <w:sz w:val="24"/>
        </w:rPr>
        <w:t>hlg</w:t>
      </w:r>
      <w:proofErr w:type="spellEnd"/>
      <w:r w:rsidRPr="00684C32">
        <w:rPr>
          <w:bCs/>
          <w:color w:val="000000"/>
          <w:sz w:val="24"/>
        </w:rPr>
        <w:t xml:space="preserve"> (γ-</w:t>
      </w:r>
      <w:proofErr w:type="spellStart"/>
      <w:r w:rsidRPr="00684C32">
        <w:rPr>
          <w:bCs/>
          <w:color w:val="000000"/>
          <w:sz w:val="24"/>
        </w:rPr>
        <w:t>hemolysin</w:t>
      </w:r>
      <w:proofErr w:type="spellEnd"/>
      <w:r w:rsidRPr="00684C32">
        <w:rPr>
          <w:bCs/>
          <w:color w:val="000000"/>
          <w:sz w:val="24"/>
        </w:rPr>
        <w:t xml:space="preserve">) gene was detected in all isolates (45/45, 100%; 95% CI: 92.1–100), whereas the </w:t>
      </w:r>
      <w:proofErr w:type="spellStart"/>
      <w:r w:rsidRPr="00684C32">
        <w:rPr>
          <w:bCs/>
          <w:i/>
          <w:iCs/>
          <w:color w:val="000000"/>
          <w:sz w:val="24"/>
        </w:rPr>
        <w:t>cna</w:t>
      </w:r>
      <w:proofErr w:type="spellEnd"/>
      <w:r w:rsidRPr="00684C32">
        <w:rPr>
          <w:bCs/>
          <w:color w:val="000000"/>
          <w:sz w:val="24"/>
        </w:rPr>
        <w:t xml:space="preserve"> gene was identified in 13/45 isolates (28.89%; 95% CI: 15.7–42.1). No isolates carried class D β-lactamase </w:t>
      </w:r>
      <w:proofErr w:type="spellStart"/>
      <w:r w:rsidRPr="00684C32">
        <w:rPr>
          <w:bCs/>
          <w:i/>
          <w:iCs/>
          <w:color w:val="000000"/>
          <w:sz w:val="24"/>
        </w:rPr>
        <w:t>bla</w:t>
      </w:r>
      <w:r w:rsidRPr="00684C32">
        <w:rPr>
          <w:bCs/>
          <w:color w:val="000000"/>
          <w:sz w:val="24"/>
          <w:vertAlign w:val="subscript"/>
        </w:rPr>
        <w:t>OXA</w:t>
      </w:r>
      <w:proofErr w:type="spellEnd"/>
      <w:r w:rsidRPr="00684C32">
        <w:rPr>
          <w:bCs/>
          <w:color w:val="000000"/>
          <w:sz w:val="24"/>
        </w:rPr>
        <w:t>-group I genes (0/45, 0%; 95% CI: 0–7.9).</w:t>
      </w:r>
      <w:r w:rsidR="00684C32">
        <w:rPr>
          <w:bCs/>
          <w:color w:val="000000"/>
          <w:sz w:val="24"/>
        </w:rPr>
        <w:t xml:space="preserve"> </w:t>
      </w:r>
      <w:r w:rsidRPr="00684C32">
        <w:rPr>
          <w:bCs/>
          <w:color w:val="000000"/>
          <w:sz w:val="24"/>
        </w:rPr>
        <w:t xml:space="preserve">No statistically significant differences in </w:t>
      </w:r>
      <w:r w:rsidR="006B6E31">
        <w:rPr>
          <w:bCs/>
          <w:color w:val="000000"/>
          <w:sz w:val="24"/>
        </w:rPr>
        <w:t>the distribution of virulence genes</w:t>
      </w:r>
      <w:r w:rsidRPr="00684C32">
        <w:rPr>
          <w:bCs/>
          <w:color w:val="000000"/>
          <w:sz w:val="24"/>
        </w:rPr>
        <w:t xml:space="preserve"> were observed between male and female patients (χ² = 0.84, p &gt; 0.05). The universal presence of </w:t>
      </w:r>
      <w:proofErr w:type="spellStart"/>
      <w:r w:rsidRPr="00684C32">
        <w:rPr>
          <w:bCs/>
          <w:i/>
          <w:iCs/>
          <w:color w:val="000000"/>
          <w:sz w:val="24"/>
        </w:rPr>
        <w:t>hlg</w:t>
      </w:r>
      <w:proofErr w:type="spellEnd"/>
      <w:r w:rsidRPr="00684C32">
        <w:rPr>
          <w:bCs/>
          <w:color w:val="000000"/>
          <w:sz w:val="24"/>
        </w:rPr>
        <w:t xml:space="preserve"> suggests a possible role in persistence and pathogenicity among DFI-associated </w:t>
      </w:r>
      <w:r w:rsidRPr="00684C32">
        <w:rPr>
          <w:bCs/>
          <w:i/>
          <w:iCs/>
          <w:color w:val="000000"/>
          <w:sz w:val="24"/>
        </w:rPr>
        <w:t>S. aureus</w:t>
      </w:r>
      <w:r w:rsidRPr="00684C32">
        <w:rPr>
          <w:bCs/>
          <w:color w:val="000000"/>
          <w:sz w:val="24"/>
        </w:rPr>
        <w:t xml:space="preserve"> isolates (</w:t>
      </w:r>
      <w:r w:rsidRPr="00684C32">
        <w:rPr>
          <w:b/>
          <w:color w:val="000000"/>
          <w:sz w:val="24"/>
        </w:rPr>
        <w:t xml:space="preserve">Table 5; Figures 4 </w:t>
      </w:r>
      <w:r w:rsidRPr="00684C32">
        <w:rPr>
          <w:bCs/>
          <w:color w:val="000000"/>
          <w:sz w:val="24"/>
        </w:rPr>
        <w:t>and</w:t>
      </w:r>
      <w:r w:rsidRPr="00684C32">
        <w:rPr>
          <w:b/>
          <w:color w:val="000000"/>
          <w:sz w:val="24"/>
        </w:rPr>
        <w:t xml:space="preserve"> 5</w:t>
      </w:r>
      <w:r w:rsidRPr="00684C32">
        <w:rPr>
          <w:bCs/>
          <w:color w:val="000000"/>
          <w:sz w:val="24"/>
        </w:rPr>
        <w:t>).</w:t>
      </w:r>
    </w:p>
    <w:p w14:paraId="0805A53F" w14:textId="77777777" w:rsidR="006B6E31" w:rsidRDefault="006B6E31" w:rsidP="0055413A">
      <w:pPr>
        <w:jc w:val="both"/>
        <w:rPr>
          <w:bCs/>
          <w:color w:val="000000"/>
          <w:sz w:val="24"/>
        </w:rPr>
      </w:pPr>
    </w:p>
    <w:p w14:paraId="268388CF" w14:textId="5909925D" w:rsidR="002E7BDC" w:rsidRDefault="002E7BDC" w:rsidP="002E7BDC">
      <w:pPr>
        <w:jc w:val="both"/>
        <w:rPr>
          <w:color w:val="000000"/>
          <w:sz w:val="24"/>
        </w:rPr>
      </w:pPr>
      <w:r>
        <w:rPr>
          <w:color w:val="000000"/>
          <w:sz w:val="24"/>
        </w:rPr>
        <w:t xml:space="preserve">[Place </w:t>
      </w:r>
      <w:r>
        <w:rPr>
          <w:b/>
          <w:bCs/>
          <w:color w:val="000000"/>
          <w:sz w:val="24"/>
        </w:rPr>
        <w:t>Table 5</w:t>
      </w:r>
      <w:r>
        <w:rPr>
          <w:color w:val="000000"/>
          <w:sz w:val="24"/>
        </w:rPr>
        <w:t xml:space="preserve"> here]</w:t>
      </w:r>
    </w:p>
    <w:p w14:paraId="0D7ED3FF" w14:textId="77777777" w:rsidR="002E7BDC" w:rsidRDefault="002E7BDC" w:rsidP="0055413A">
      <w:pPr>
        <w:jc w:val="both"/>
        <w:rPr>
          <w:bCs/>
          <w:color w:val="000000"/>
          <w:sz w:val="24"/>
        </w:rPr>
      </w:pPr>
    </w:p>
    <w:p w14:paraId="3C430530" w14:textId="0EE74B47" w:rsidR="002E7BDC" w:rsidRDefault="002E7BDC" w:rsidP="002E7BDC">
      <w:pPr>
        <w:jc w:val="both"/>
        <w:rPr>
          <w:color w:val="000000"/>
          <w:sz w:val="24"/>
        </w:rPr>
      </w:pPr>
      <w:r>
        <w:rPr>
          <w:color w:val="000000"/>
          <w:sz w:val="24"/>
        </w:rPr>
        <w:lastRenderedPageBreak/>
        <w:t xml:space="preserve">[Place </w:t>
      </w:r>
      <w:r w:rsidRPr="002E7BDC">
        <w:rPr>
          <w:b/>
          <w:bCs/>
          <w:color w:val="000000"/>
          <w:sz w:val="24"/>
        </w:rPr>
        <w:t xml:space="preserve">Figure </w:t>
      </w:r>
      <w:r>
        <w:rPr>
          <w:b/>
          <w:bCs/>
          <w:color w:val="000000"/>
          <w:sz w:val="24"/>
        </w:rPr>
        <w:t>4</w:t>
      </w:r>
      <w:r>
        <w:rPr>
          <w:color w:val="000000"/>
          <w:sz w:val="24"/>
        </w:rPr>
        <w:t xml:space="preserve"> here]</w:t>
      </w:r>
    </w:p>
    <w:p w14:paraId="6014DBD2" w14:textId="77777777" w:rsidR="002E7BDC" w:rsidRDefault="002E7BDC" w:rsidP="0055413A">
      <w:pPr>
        <w:jc w:val="both"/>
        <w:rPr>
          <w:bCs/>
          <w:color w:val="000000"/>
          <w:sz w:val="24"/>
        </w:rPr>
      </w:pPr>
    </w:p>
    <w:p w14:paraId="26120726" w14:textId="023FB274"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5</w:t>
      </w:r>
      <w:r>
        <w:rPr>
          <w:color w:val="000000"/>
          <w:sz w:val="24"/>
        </w:rPr>
        <w:t xml:space="preserve"> here]</w:t>
      </w:r>
    </w:p>
    <w:p w14:paraId="4A8CCBCF" w14:textId="77777777" w:rsidR="002E7BDC" w:rsidRPr="00684C32" w:rsidRDefault="002E7BDC" w:rsidP="0055413A">
      <w:pPr>
        <w:jc w:val="both"/>
        <w:rPr>
          <w:bCs/>
          <w:color w:val="000000"/>
          <w:sz w:val="24"/>
        </w:rPr>
      </w:pPr>
    </w:p>
    <w:p w14:paraId="1790CFD6" w14:textId="0D6A8C3E" w:rsidR="0055413A" w:rsidRDefault="0055413A" w:rsidP="0055413A">
      <w:pPr>
        <w:jc w:val="both"/>
        <w:rPr>
          <w:bCs/>
          <w:color w:val="000000"/>
          <w:sz w:val="24"/>
        </w:rPr>
      </w:pPr>
      <w:r w:rsidRPr="00684C32">
        <w:rPr>
          <w:bCs/>
          <w:color w:val="000000"/>
          <w:sz w:val="24"/>
        </w:rPr>
        <w:t>Associations between virulence genes and antimicrobial resistance profiles were evaluated using the chi-square test or Fisher’s exact test when appropriate. Odds ratios (ORs) with 95% confidence intervals (CIs) were calculated using binary logistic regression analysis.</w:t>
      </w:r>
      <w:r w:rsidR="006B6E31">
        <w:rPr>
          <w:bCs/>
          <w:color w:val="000000"/>
          <w:sz w:val="24"/>
        </w:rPr>
        <w:t xml:space="preserve"> </w:t>
      </w:r>
      <w:proofErr w:type="spellStart"/>
      <w:r w:rsidRPr="00684C32">
        <w:rPr>
          <w:bCs/>
          <w:i/>
          <w:iCs/>
          <w:color w:val="000000"/>
          <w:sz w:val="24"/>
        </w:rPr>
        <w:t>cna</w:t>
      </w:r>
      <w:proofErr w:type="spellEnd"/>
      <w:r w:rsidRPr="00684C32">
        <w:rPr>
          <w:bCs/>
          <w:color w:val="000000"/>
          <w:sz w:val="24"/>
        </w:rPr>
        <w:t xml:space="preserve">-positive isolates demonstrated significantly higher resistance to penicillin (χ² = 5.12, p = 0.02), erythromycin (χ² = 4.21, p = 0.04), amoxicillin–clavulanic acid (χ² = 5.34, p = 0.02), and ampicillin (χ² = 6.45, p = 0.01) than </w:t>
      </w:r>
      <w:proofErr w:type="spellStart"/>
      <w:r w:rsidRPr="00684C32">
        <w:rPr>
          <w:bCs/>
          <w:i/>
          <w:iCs/>
          <w:color w:val="000000"/>
          <w:sz w:val="24"/>
        </w:rPr>
        <w:t>cna</w:t>
      </w:r>
      <w:proofErr w:type="spellEnd"/>
      <w:r w:rsidRPr="00684C32">
        <w:rPr>
          <w:bCs/>
          <w:color w:val="000000"/>
          <w:sz w:val="24"/>
        </w:rPr>
        <w:t xml:space="preserve">-negative isolates. Penicillin resistance was significantly more frequent among </w:t>
      </w:r>
      <w:proofErr w:type="spellStart"/>
      <w:r w:rsidRPr="00684C32">
        <w:rPr>
          <w:bCs/>
          <w:i/>
          <w:iCs/>
          <w:color w:val="000000"/>
          <w:sz w:val="24"/>
        </w:rPr>
        <w:t>cna</w:t>
      </w:r>
      <w:proofErr w:type="spellEnd"/>
      <w:r w:rsidRPr="00684C32">
        <w:rPr>
          <w:bCs/>
          <w:color w:val="000000"/>
          <w:sz w:val="24"/>
        </w:rPr>
        <w:t>-positive isolates (OR = 6.5; 95% CI: 1.2–34.8), whereas ampicillin resistance also demonstrated a significant association (OR = 7.8; 95% CI: 1.4–42.6).</w:t>
      </w:r>
    </w:p>
    <w:p w14:paraId="1B2AFA03" w14:textId="77777777" w:rsidR="006B6E31" w:rsidRPr="00684C32" w:rsidRDefault="006B6E31" w:rsidP="0055413A">
      <w:pPr>
        <w:jc w:val="both"/>
        <w:rPr>
          <w:bCs/>
          <w:color w:val="000000"/>
          <w:sz w:val="24"/>
        </w:rPr>
      </w:pPr>
    </w:p>
    <w:p w14:paraId="7C5E1405" w14:textId="5856B5D4" w:rsidR="0055413A" w:rsidRPr="00684C32" w:rsidRDefault="0055413A" w:rsidP="0055413A">
      <w:pPr>
        <w:jc w:val="both"/>
        <w:rPr>
          <w:bCs/>
          <w:color w:val="000000"/>
          <w:sz w:val="24"/>
        </w:rPr>
      </w:pPr>
      <w:r w:rsidRPr="00684C32">
        <w:rPr>
          <w:bCs/>
          <w:color w:val="000000"/>
          <w:sz w:val="24"/>
        </w:rPr>
        <w:t xml:space="preserve">Similarly, </w:t>
      </w:r>
      <w:proofErr w:type="spellStart"/>
      <w:r w:rsidRPr="00684C32">
        <w:rPr>
          <w:bCs/>
          <w:i/>
          <w:iCs/>
          <w:color w:val="000000"/>
          <w:sz w:val="24"/>
        </w:rPr>
        <w:t>hlg</w:t>
      </w:r>
      <w:proofErr w:type="spellEnd"/>
      <w:r w:rsidRPr="00684C32">
        <w:rPr>
          <w:bCs/>
          <w:color w:val="000000"/>
          <w:sz w:val="24"/>
        </w:rPr>
        <w:t>-positive isolates exhibited significant associations with resistance to penicillin (χ² = 6.52, p = 0.01), erythromycin (χ² = 4.76, p = 0.03), cefoxitin (χ² = 13.84, p = 0.0002), oxacillin (χ² = 13.84, p = 0.0002), piperacillin–tazobactam (χ² = 3.84, p = 0.05), amoxicillin–clavulanic acid (χ² = 8.76, p = 0.003), cefuroxime (χ² = 4.11, p = 0.04), and ampicillin (χ² = 12.56, p = 0.0004).</w:t>
      </w:r>
      <w:r w:rsidR="006B6E31">
        <w:rPr>
          <w:bCs/>
          <w:color w:val="000000"/>
          <w:sz w:val="24"/>
        </w:rPr>
        <w:t xml:space="preserve"> </w:t>
      </w:r>
      <w:r w:rsidRPr="00684C32">
        <w:rPr>
          <w:bCs/>
          <w:color w:val="000000"/>
          <w:sz w:val="24"/>
        </w:rPr>
        <w:t xml:space="preserve">Although resistance to β-lactams and macrolides was highly prevalent, susceptibility to vancomycin, linezolid, and tigecycline remained relatively preserved across all groups, indicating a relationship between virulence-associated gene carriage and multidrug resistance among DFI-associated </w:t>
      </w:r>
      <w:r w:rsidRPr="00684C32">
        <w:rPr>
          <w:bCs/>
          <w:i/>
          <w:iCs/>
          <w:color w:val="000000"/>
          <w:sz w:val="24"/>
        </w:rPr>
        <w:t>S. aureus</w:t>
      </w:r>
      <w:r w:rsidRPr="00684C32">
        <w:rPr>
          <w:bCs/>
          <w:color w:val="000000"/>
          <w:sz w:val="24"/>
        </w:rPr>
        <w:t xml:space="preserve"> isolates.</w:t>
      </w:r>
    </w:p>
    <w:p w14:paraId="014B702F" w14:textId="77777777" w:rsidR="007A4BB7" w:rsidRPr="00684C32" w:rsidRDefault="007A4BB7" w:rsidP="00E726B0">
      <w:pPr>
        <w:jc w:val="both"/>
        <w:rPr>
          <w:bCs/>
          <w:sz w:val="24"/>
        </w:rPr>
      </w:pPr>
    </w:p>
    <w:p w14:paraId="4B9662E5" w14:textId="0D0DA802" w:rsidR="006B6E31" w:rsidRPr="006B6E31" w:rsidRDefault="006B6E31" w:rsidP="006B6E31">
      <w:pPr>
        <w:jc w:val="both"/>
        <w:rPr>
          <w:b/>
          <w:bCs/>
          <w:iCs/>
          <w:color w:val="000000"/>
          <w:sz w:val="24"/>
        </w:rPr>
      </w:pPr>
      <w:r w:rsidRPr="006B6E31">
        <w:rPr>
          <w:b/>
          <w:bCs/>
          <w:iCs/>
          <w:color w:val="000000"/>
          <w:sz w:val="24"/>
        </w:rPr>
        <w:t xml:space="preserve">Whole-genome sequencing using </w:t>
      </w:r>
      <w:r w:rsidRPr="006B6E31">
        <w:rPr>
          <w:b/>
          <w:bCs/>
          <w:i/>
          <w:color w:val="000000"/>
          <w:sz w:val="24"/>
        </w:rPr>
        <w:t>de novo</w:t>
      </w:r>
      <w:r w:rsidRPr="006B6E31">
        <w:rPr>
          <w:b/>
          <w:bCs/>
          <w:iCs/>
          <w:color w:val="000000"/>
          <w:sz w:val="24"/>
        </w:rPr>
        <w:t xml:space="preserve"> sequencing for </w:t>
      </w:r>
      <w:r>
        <w:rPr>
          <w:b/>
          <w:bCs/>
          <w:iCs/>
          <w:color w:val="000000"/>
          <w:sz w:val="24"/>
        </w:rPr>
        <w:t>c</w:t>
      </w:r>
      <w:r w:rsidRPr="006B6E31">
        <w:rPr>
          <w:b/>
          <w:bCs/>
          <w:iCs/>
          <w:color w:val="000000"/>
          <w:sz w:val="24"/>
        </w:rPr>
        <w:t xml:space="preserve">linical </w:t>
      </w:r>
      <w:r w:rsidRPr="00CB1AF7">
        <w:rPr>
          <w:b/>
          <w:bCs/>
          <w:i/>
          <w:color w:val="000000"/>
          <w:sz w:val="24"/>
        </w:rPr>
        <w:t>S. aureus</w:t>
      </w:r>
      <w:r w:rsidRPr="006B6E31">
        <w:rPr>
          <w:b/>
          <w:bCs/>
          <w:iCs/>
          <w:color w:val="000000"/>
          <w:sz w:val="24"/>
        </w:rPr>
        <w:t xml:space="preserve"> </w:t>
      </w:r>
      <w:r>
        <w:rPr>
          <w:b/>
          <w:bCs/>
          <w:iCs/>
          <w:color w:val="000000"/>
          <w:sz w:val="24"/>
        </w:rPr>
        <w:t>i</w:t>
      </w:r>
      <w:r w:rsidRPr="006B6E31">
        <w:rPr>
          <w:b/>
          <w:bCs/>
          <w:iCs/>
          <w:color w:val="000000"/>
          <w:sz w:val="24"/>
        </w:rPr>
        <w:t>solates</w:t>
      </w:r>
    </w:p>
    <w:p w14:paraId="635CB718" w14:textId="22D91F71" w:rsidR="006B6E31" w:rsidRPr="00CB1AF7" w:rsidRDefault="006B6E31" w:rsidP="006B6E31">
      <w:pPr>
        <w:jc w:val="both"/>
        <w:rPr>
          <w:b/>
          <w:bCs/>
          <w:i/>
          <w:color w:val="000000"/>
          <w:sz w:val="24"/>
        </w:rPr>
      </w:pPr>
      <w:r w:rsidRPr="00CB1AF7">
        <w:rPr>
          <w:b/>
          <w:bCs/>
          <w:i/>
          <w:color w:val="000000"/>
          <w:sz w:val="24"/>
        </w:rPr>
        <w:t xml:space="preserve">Quality </w:t>
      </w:r>
      <w:r w:rsidR="00CB1AF7">
        <w:rPr>
          <w:b/>
          <w:bCs/>
          <w:i/>
          <w:color w:val="000000"/>
          <w:sz w:val="24"/>
        </w:rPr>
        <w:t>c</w:t>
      </w:r>
      <w:r w:rsidRPr="00CB1AF7">
        <w:rPr>
          <w:b/>
          <w:bCs/>
          <w:i/>
          <w:color w:val="000000"/>
          <w:sz w:val="24"/>
        </w:rPr>
        <w:t>ontrol</w:t>
      </w:r>
    </w:p>
    <w:p w14:paraId="76E8EDA1" w14:textId="4D83D8F1" w:rsidR="006B6E31" w:rsidRDefault="006B6E31" w:rsidP="006B6E31">
      <w:pPr>
        <w:jc w:val="both"/>
        <w:rPr>
          <w:bCs/>
          <w:iCs/>
          <w:color w:val="000000"/>
          <w:sz w:val="24"/>
        </w:rPr>
      </w:pPr>
      <w:r w:rsidRPr="00CB1AF7">
        <w:rPr>
          <w:bCs/>
          <w:iCs/>
          <w:color w:val="000000"/>
          <w:sz w:val="24"/>
        </w:rPr>
        <w:t xml:space="preserve">Quality-control analysis of </w:t>
      </w:r>
      <w:r w:rsidR="00CB1AF7">
        <w:rPr>
          <w:bCs/>
          <w:iCs/>
          <w:color w:val="000000"/>
          <w:sz w:val="24"/>
        </w:rPr>
        <w:t>next-generation sequencing (NGS) data demonstrated high read quality across approximately 300-bp reads</w:t>
      </w:r>
      <w:r w:rsidRPr="00CB1AF7">
        <w:rPr>
          <w:bCs/>
          <w:iCs/>
          <w:color w:val="000000"/>
          <w:sz w:val="24"/>
        </w:rPr>
        <w:t>. The x-axis represented the position along the sequencing reads (0–300 bp), whereas the y-axis represented the Phred quality score (Q score), which reflects base-calling accuracy. Color intensity corresponded to read density, with black indicating a high concentration of reads and light green/blue indicating lower read density.</w:t>
      </w:r>
    </w:p>
    <w:p w14:paraId="041C8938" w14:textId="77777777" w:rsidR="00CB1AF7" w:rsidRPr="00CB1AF7" w:rsidRDefault="00CB1AF7" w:rsidP="006B6E31">
      <w:pPr>
        <w:jc w:val="both"/>
        <w:rPr>
          <w:bCs/>
          <w:iCs/>
          <w:color w:val="000000"/>
          <w:sz w:val="24"/>
        </w:rPr>
      </w:pPr>
    </w:p>
    <w:p w14:paraId="60F1387D" w14:textId="77777777" w:rsidR="006B6E31" w:rsidRPr="00CB1AF7" w:rsidRDefault="006B6E31" w:rsidP="006B6E31">
      <w:pPr>
        <w:jc w:val="both"/>
        <w:rPr>
          <w:bCs/>
          <w:iCs/>
          <w:color w:val="000000"/>
          <w:sz w:val="24"/>
        </w:rPr>
      </w:pPr>
      <w:r w:rsidRPr="00CB1AF7">
        <w:rPr>
          <w:bCs/>
          <w:iCs/>
          <w:color w:val="000000"/>
          <w:sz w:val="24"/>
        </w:rPr>
        <w:t>Most sequencing reads exhibited high-quality scores around Q36, indicating excellent and stable sequencing accuracy (&gt;99.99%) across the entire read length. Distinct quality score bands were observed around Q36, Q24, and Q11 without a progressive decline in read quality toward the terminal regions. This pattern is characteristic of modern sequencing platforms that implement quality score binning and data-compression strategies, including the DNBSEQ platform. Despite this binning effect, most sequencing reads remained above the Q30 threshold, corresponding to a sequencing accuracy &gt;99.9%, thereby confirming the high quality of the generated sequencing data (</w:t>
      </w:r>
      <w:r w:rsidRPr="00CB1AF7">
        <w:rPr>
          <w:b/>
          <w:iCs/>
          <w:color w:val="000000"/>
          <w:sz w:val="24"/>
        </w:rPr>
        <w:t>Figure 6</w:t>
      </w:r>
      <w:r w:rsidRPr="00CB1AF7">
        <w:rPr>
          <w:bCs/>
          <w:iCs/>
          <w:color w:val="000000"/>
          <w:sz w:val="24"/>
        </w:rPr>
        <w:t>).</w:t>
      </w:r>
    </w:p>
    <w:p w14:paraId="21110F1E" w14:textId="4E638DD5" w:rsidR="006B6E31" w:rsidRDefault="006B6E31" w:rsidP="006B6E31">
      <w:pPr>
        <w:jc w:val="both"/>
        <w:rPr>
          <w:b/>
          <w:i/>
          <w:color w:val="000000"/>
          <w:sz w:val="24"/>
        </w:rPr>
      </w:pPr>
    </w:p>
    <w:p w14:paraId="4D01112A" w14:textId="46746BBB"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6</w:t>
      </w:r>
      <w:r>
        <w:rPr>
          <w:color w:val="000000"/>
          <w:sz w:val="24"/>
        </w:rPr>
        <w:t xml:space="preserve"> here]</w:t>
      </w:r>
    </w:p>
    <w:p w14:paraId="5761C2AF" w14:textId="77777777" w:rsidR="002E7BDC" w:rsidRPr="006B6E31" w:rsidRDefault="002E7BDC" w:rsidP="006B6E31">
      <w:pPr>
        <w:jc w:val="both"/>
        <w:rPr>
          <w:b/>
          <w:i/>
          <w:color w:val="000000"/>
          <w:sz w:val="24"/>
        </w:rPr>
      </w:pPr>
    </w:p>
    <w:p w14:paraId="267DC778" w14:textId="6F51CDA6" w:rsidR="006B6E31" w:rsidRPr="006B6E31" w:rsidRDefault="006B6E31" w:rsidP="006B6E31">
      <w:pPr>
        <w:jc w:val="both"/>
        <w:rPr>
          <w:b/>
          <w:bCs/>
          <w:i/>
          <w:color w:val="000000"/>
          <w:sz w:val="24"/>
        </w:rPr>
      </w:pPr>
      <w:r w:rsidRPr="006B6E31">
        <w:rPr>
          <w:b/>
          <w:bCs/>
          <w:i/>
          <w:color w:val="000000"/>
          <w:sz w:val="24"/>
        </w:rPr>
        <w:t xml:space="preserve">Circular </w:t>
      </w:r>
      <w:r w:rsidR="00CB1AF7" w:rsidRPr="006B6E31">
        <w:rPr>
          <w:b/>
          <w:bCs/>
          <w:i/>
          <w:color w:val="000000"/>
          <w:sz w:val="24"/>
        </w:rPr>
        <w:t>genome mapping</w:t>
      </w:r>
    </w:p>
    <w:p w14:paraId="425A0AB4" w14:textId="77777777" w:rsidR="006B6E31" w:rsidRDefault="006B6E31" w:rsidP="006B6E31">
      <w:pPr>
        <w:jc w:val="both"/>
        <w:rPr>
          <w:bCs/>
          <w:iCs/>
          <w:color w:val="000000"/>
          <w:sz w:val="24"/>
        </w:rPr>
      </w:pPr>
      <w:r w:rsidRPr="00CB1AF7">
        <w:rPr>
          <w:bCs/>
          <w:iCs/>
          <w:color w:val="000000"/>
          <w:sz w:val="24"/>
        </w:rPr>
        <w:t xml:space="preserve">Circular genome visualization analysis identified several antimicrobial resistance determinants, including </w:t>
      </w:r>
      <w:proofErr w:type="spellStart"/>
      <w:r w:rsidRPr="006B3E8F">
        <w:rPr>
          <w:bCs/>
          <w:i/>
          <w:color w:val="000000"/>
          <w:sz w:val="24"/>
        </w:rPr>
        <w:t>blaZ</w:t>
      </w:r>
      <w:proofErr w:type="spellEnd"/>
      <w:r w:rsidRPr="006B3E8F">
        <w:rPr>
          <w:bCs/>
          <w:i/>
          <w:color w:val="000000"/>
          <w:sz w:val="24"/>
        </w:rPr>
        <w:t xml:space="preserve">, </w:t>
      </w:r>
      <w:proofErr w:type="spellStart"/>
      <w:r w:rsidRPr="006B3E8F">
        <w:rPr>
          <w:bCs/>
          <w:i/>
          <w:color w:val="000000"/>
          <w:sz w:val="24"/>
        </w:rPr>
        <w:t>tet</w:t>
      </w:r>
      <w:proofErr w:type="spellEnd"/>
      <w:r w:rsidRPr="006B3E8F">
        <w:rPr>
          <w:bCs/>
          <w:i/>
          <w:color w:val="000000"/>
          <w:sz w:val="24"/>
        </w:rPr>
        <w:t xml:space="preserve">(38), </w:t>
      </w:r>
      <w:proofErr w:type="spellStart"/>
      <w:r w:rsidRPr="006B3E8F">
        <w:rPr>
          <w:bCs/>
          <w:i/>
          <w:color w:val="000000"/>
          <w:sz w:val="24"/>
        </w:rPr>
        <w:t>norA</w:t>
      </w:r>
      <w:proofErr w:type="spellEnd"/>
      <w:r w:rsidRPr="006B3E8F">
        <w:rPr>
          <w:bCs/>
          <w:i/>
          <w:color w:val="000000"/>
          <w:sz w:val="24"/>
        </w:rPr>
        <w:t xml:space="preserve">, </w:t>
      </w:r>
      <w:proofErr w:type="spellStart"/>
      <w:r w:rsidRPr="006B3E8F">
        <w:rPr>
          <w:bCs/>
          <w:i/>
          <w:color w:val="000000"/>
          <w:sz w:val="24"/>
        </w:rPr>
        <w:t>gyrA</w:t>
      </w:r>
      <w:proofErr w:type="spellEnd"/>
      <w:r w:rsidRPr="006B3E8F">
        <w:rPr>
          <w:bCs/>
          <w:i/>
          <w:color w:val="000000"/>
          <w:sz w:val="24"/>
        </w:rPr>
        <w:t xml:space="preserve">, </w:t>
      </w:r>
      <w:proofErr w:type="spellStart"/>
      <w:r w:rsidRPr="006B3E8F">
        <w:rPr>
          <w:bCs/>
          <w:i/>
          <w:color w:val="000000"/>
          <w:sz w:val="24"/>
        </w:rPr>
        <w:t>parC</w:t>
      </w:r>
      <w:proofErr w:type="spellEnd"/>
      <w:r w:rsidRPr="00CB1AF7">
        <w:rPr>
          <w:bCs/>
          <w:iCs/>
          <w:color w:val="000000"/>
          <w:sz w:val="24"/>
        </w:rPr>
        <w:t xml:space="preserve">, and </w:t>
      </w:r>
      <w:proofErr w:type="spellStart"/>
      <w:r w:rsidRPr="006B3E8F">
        <w:rPr>
          <w:bCs/>
          <w:i/>
          <w:color w:val="000000"/>
          <w:sz w:val="24"/>
        </w:rPr>
        <w:t>vanT</w:t>
      </w:r>
      <w:proofErr w:type="spellEnd"/>
      <w:r w:rsidRPr="00CB1AF7">
        <w:rPr>
          <w:bCs/>
          <w:iCs/>
          <w:color w:val="000000"/>
          <w:sz w:val="24"/>
        </w:rPr>
        <w:t xml:space="preserve">, together with CRISPR-associated regions and </w:t>
      </w:r>
      <w:r w:rsidRPr="00CB1AF7">
        <w:rPr>
          <w:bCs/>
          <w:iCs/>
          <w:color w:val="000000"/>
          <w:sz w:val="24"/>
        </w:rPr>
        <w:lastRenderedPageBreak/>
        <w:t xml:space="preserve">mobile genetic elements. Partial concordance was observed between phenotypic antimicrobial resistance profiles and the resistance-associated genes identified within the genomic assemblies. For example, the presence of </w:t>
      </w:r>
      <w:proofErr w:type="spellStart"/>
      <w:r w:rsidRPr="006B3E8F">
        <w:rPr>
          <w:bCs/>
          <w:i/>
          <w:color w:val="000000"/>
          <w:sz w:val="24"/>
        </w:rPr>
        <w:t>blaZ</w:t>
      </w:r>
      <w:proofErr w:type="spellEnd"/>
      <w:r w:rsidRPr="00CB1AF7">
        <w:rPr>
          <w:bCs/>
          <w:iCs/>
          <w:color w:val="000000"/>
          <w:sz w:val="24"/>
        </w:rPr>
        <w:t xml:space="preserve"> corresponded with β-lactam resistance phenotypes, whereas </w:t>
      </w:r>
      <w:proofErr w:type="spellStart"/>
      <w:r w:rsidRPr="006B3E8F">
        <w:rPr>
          <w:bCs/>
          <w:i/>
          <w:color w:val="000000"/>
          <w:sz w:val="24"/>
        </w:rPr>
        <w:t>tet</w:t>
      </w:r>
      <w:proofErr w:type="spellEnd"/>
      <w:r w:rsidRPr="006B3E8F">
        <w:rPr>
          <w:bCs/>
          <w:i/>
          <w:color w:val="000000"/>
          <w:sz w:val="24"/>
        </w:rPr>
        <w:t>(38)</w:t>
      </w:r>
      <w:r w:rsidRPr="00CB1AF7">
        <w:rPr>
          <w:bCs/>
          <w:iCs/>
          <w:color w:val="000000"/>
          <w:sz w:val="24"/>
        </w:rPr>
        <w:t xml:space="preserve"> and </w:t>
      </w:r>
      <w:proofErr w:type="spellStart"/>
      <w:r w:rsidRPr="006B3E8F">
        <w:rPr>
          <w:bCs/>
          <w:i/>
          <w:color w:val="000000"/>
          <w:sz w:val="24"/>
        </w:rPr>
        <w:t>norA</w:t>
      </w:r>
      <w:proofErr w:type="spellEnd"/>
      <w:r w:rsidRPr="00CB1AF7">
        <w:rPr>
          <w:bCs/>
          <w:iCs/>
          <w:color w:val="000000"/>
          <w:sz w:val="24"/>
        </w:rPr>
        <w:t xml:space="preserve"> were associated with tetracycline and fluoroquinolone resistance phenotypes, respectively.</w:t>
      </w:r>
    </w:p>
    <w:p w14:paraId="0CC61D02" w14:textId="77777777" w:rsidR="00CB1AF7" w:rsidRPr="00CB1AF7" w:rsidRDefault="00CB1AF7" w:rsidP="006B6E31">
      <w:pPr>
        <w:jc w:val="both"/>
        <w:rPr>
          <w:bCs/>
          <w:iCs/>
          <w:color w:val="000000"/>
          <w:sz w:val="24"/>
        </w:rPr>
      </w:pPr>
    </w:p>
    <w:p w14:paraId="13597981" w14:textId="77777777" w:rsidR="006B6E31" w:rsidRDefault="006B6E31" w:rsidP="006B6E31">
      <w:pPr>
        <w:jc w:val="both"/>
        <w:rPr>
          <w:bCs/>
          <w:iCs/>
          <w:color w:val="000000"/>
          <w:sz w:val="24"/>
        </w:rPr>
      </w:pPr>
      <w:r w:rsidRPr="00CB1AF7">
        <w:rPr>
          <w:bCs/>
          <w:iCs/>
          <w:color w:val="000000"/>
          <w:sz w:val="24"/>
        </w:rPr>
        <w:t>However, not all phenotypic resistance profiles could be fully explained by the detected resistance determinants, suggesting the possible involvement of additional resistance mechanisms, regulatory mutations, or efflux systems not identified within the draft genome assemblies. Because the genomes remained draft assemblies, the genomic maps should be interpreted as representative genomic visualizations rather than complete chromosomal structures.</w:t>
      </w:r>
    </w:p>
    <w:p w14:paraId="293A0855" w14:textId="77777777" w:rsidR="00CB1AF7" w:rsidRPr="00CB1AF7" w:rsidRDefault="00CB1AF7" w:rsidP="006B6E31">
      <w:pPr>
        <w:jc w:val="both"/>
        <w:rPr>
          <w:bCs/>
          <w:iCs/>
          <w:color w:val="000000"/>
          <w:sz w:val="24"/>
        </w:rPr>
      </w:pPr>
    </w:p>
    <w:p w14:paraId="6A9702BB" w14:textId="77777777" w:rsidR="006B6E31" w:rsidRPr="00CB1AF7" w:rsidRDefault="006B6E31" w:rsidP="006B6E31">
      <w:pPr>
        <w:jc w:val="both"/>
        <w:rPr>
          <w:bCs/>
          <w:iCs/>
          <w:color w:val="000000"/>
          <w:sz w:val="24"/>
        </w:rPr>
      </w:pPr>
      <w:r w:rsidRPr="00CB1AF7">
        <w:rPr>
          <w:bCs/>
          <w:iCs/>
          <w:color w:val="000000"/>
          <w:sz w:val="24"/>
        </w:rPr>
        <w:t>The circular genome visualization maps consisted of several annotation tracks that summarized coding sequences (CDS), antimicrobial resistance determinants, mobile genetic elements, GC content, and GC skew.</w:t>
      </w:r>
    </w:p>
    <w:p w14:paraId="3E50BAF7" w14:textId="1D899D00" w:rsidR="006B6E31" w:rsidRPr="006B6E31" w:rsidRDefault="006B6E31" w:rsidP="006B6E31">
      <w:pPr>
        <w:jc w:val="both"/>
        <w:rPr>
          <w:b/>
          <w:i/>
          <w:color w:val="000000"/>
          <w:sz w:val="24"/>
        </w:rPr>
      </w:pPr>
    </w:p>
    <w:p w14:paraId="3A217950" w14:textId="6CC04855" w:rsidR="006B6E31" w:rsidRPr="00CB1AF7" w:rsidRDefault="006B6E31" w:rsidP="006B6E31">
      <w:pPr>
        <w:jc w:val="both"/>
        <w:rPr>
          <w:b/>
          <w:bCs/>
          <w:i/>
          <w:color w:val="000000"/>
          <w:sz w:val="24"/>
        </w:rPr>
      </w:pPr>
      <w:r w:rsidRPr="00CB1AF7">
        <w:rPr>
          <w:b/>
          <w:bCs/>
          <w:i/>
          <w:color w:val="000000"/>
          <w:sz w:val="24"/>
        </w:rPr>
        <w:t xml:space="preserve">Antibiogram and </w:t>
      </w:r>
      <w:r w:rsidR="00CB1AF7" w:rsidRPr="00CB1AF7">
        <w:rPr>
          <w:b/>
          <w:bCs/>
          <w:i/>
          <w:color w:val="000000"/>
          <w:sz w:val="24"/>
        </w:rPr>
        <w:t xml:space="preserve">antimicrobial resistance genes </w:t>
      </w:r>
      <w:r w:rsidRPr="00CB1AF7">
        <w:rPr>
          <w:b/>
          <w:bCs/>
          <w:i/>
          <w:color w:val="000000"/>
          <w:sz w:val="24"/>
        </w:rPr>
        <w:t>(Black Annotation Track; CARD Database)</w:t>
      </w:r>
    </w:p>
    <w:p w14:paraId="3137B4E6" w14:textId="77777777" w:rsidR="006B6E31" w:rsidRDefault="006B6E31" w:rsidP="006B6E31">
      <w:pPr>
        <w:jc w:val="both"/>
        <w:rPr>
          <w:iCs/>
          <w:color w:val="000000"/>
          <w:sz w:val="24"/>
        </w:rPr>
      </w:pPr>
      <w:r w:rsidRPr="00CB1AF7">
        <w:rPr>
          <w:iCs/>
          <w:color w:val="000000"/>
          <w:sz w:val="24"/>
        </w:rPr>
        <w:t>Phenotypic and genotypic antimicrobial resistance profiles were visualized in the black annotation track generated using the Comprehensive Antibiotic Resistance Database (CARD). Phenotypic antibiogram data reflected resistance to commonly used antimicrobial agents identified by routine susceptibility testing, including β-lactams, aminoglycosides, fluoroquinolones, and carbapenems.</w:t>
      </w:r>
    </w:p>
    <w:p w14:paraId="1422F30A" w14:textId="77777777" w:rsidR="00CB1AF7" w:rsidRPr="00CB1AF7" w:rsidRDefault="00CB1AF7" w:rsidP="006B6E31">
      <w:pPr>
        <w:jc w:val="both"/>
        <w:rPr>
          <w:iCs/>
          <w:color w:val="000000"/>
          <w:sz w:val="24"/>
        </w:rPr>
      </w:pPr>
    </w:p>
    <w:p w14:paraId="4123B64B" w14:textId="77777777" w:rsidR="006B6E31" w:rsidRDefault="006B6E31" w:rsidP="006B6E31">
      <w:pPr>
        <w:jc w:val="both"/>
        <w:rPr>
          <w:iCs/>
          <w:color w:val="000000"/>
          <w:sz w:val="24"/>
        </w:rPr>
      </w:pPr>
      <w:r w:rsidRPr="00CB1AF7">
        <w:rPr>
          <w:iCs/>
          <w:color w:val="000000"/>
          <w:sz w:val="24"/>
        </w:rPr>
        <w:t xml:space="preserve">Multiple resistance-associated genes were distributed throughout the genome assemblies. The </w:t>
      </w:r>
      <w:proofErr w:type="spellStart"/>
      <w:r w:rsidRPr="00CB1AF7">
        <w:rPr>
          <w:i/>
          <w:color w:val="000000"/>
          <w:sz w:val="24"/>
        </w:rPr>
        <w:t>van</w:t>
      </w:r>
      <w:r w:rsidRPr="00CB1AF7">
        <w:rPr>
          <w:iCs/>
          <w:color w:val="000000"/>
          <w:sz w:val="24"/>
        </w:rPr>
        <w:t>T</w:t>
      </w:r>
      <w:proofErr w:type="spellEnd"/>
      <w:r w:rsidRPr="00CB1AF7">
        <w:rPr>
          <w:iCs/>
          <w:color w:val="000000"/>
          <w:sz w:val="24"/>
        </w:rPr>
        <w:t xml:space="preserve"> gene, which forms part of the </w:t>
      </w:r>
      <w:proofErr w:type="spellStart"/>
      <w:r w:rsidRPr="00CB1AF7">
        <w:rPr>
          <w:i/>
          <w:color w:val="000000"/>
          <w:sz w:val="24"/>
        </w:rPr>
        <w:t>van</w:t>
      </w:r>
      <w:r w:rsidRPr="00CB1AF7">
        <w:rPr>
          <w:iCs/>
          <w:color w:val="000000"/>
          <w:sz w:val="24"/>
        </w:rPr>
        <w:t>G</w:t>
      </w:r>
      <w:proofErr w:type="spellEnd"/>
      <w:r w:rsidRPr="00CB1AF7">
        <w:rPr>
          <w:iCs/>
          <w:color w:val="000000"/>
          <w:sz w:val="24"/>
        </w:rPr>
        <w:t xml:space="preserve"> cluster, was associated with vancomycin resistance. Aminoglycoside resistance determinants included </w:t>
      </w:r>
      <w:proofErr w:type="spellStart"/>
      <w:r w:rsidRPr="00CB1AF7">
        <w:rPr>
          <w:iCs/>
          <w:color w:val="000000"/>
          <w:sz w:val="24"/>
        </w:rPr>
        <w:t>aac</w:t>
      </w:r>
      <w:proofErr w:type="spellEnd"/>
      <w:r w:rsidRPr="00CB1AF7">
        <w:rPr>
          <w:iCs/>
          <w:color w:val="000000"/>
          <w:sz w:val="24"/>
        </w:rPr>
        <w:t>(6′)-</w:t>
      </w:r>
      <w:proofErr w:type="spellStart"/>
      <w:r w:rsidRPr="00CB1AF7">
        <w:rPr>
          <w:iCs/>
          <w:color w:val="000000"/>
          <w:sz w:val="24"/>
        </w:rPr>
        <w:t>Ie-aph</w:t>
      </w:r>
      <w:proofErr w:type="spellEnd"/>
      <w:r w:rsidRPr="00CB1AF7">
        <w:rPr>
          <w:iCs/>
          <w:color w:val="000000"/>
          <w:sz w:val="24"/>
        </w:rPr>
        <w:t xml:space="preserve">(2″), whereas </w:t>
      </w:r>
      <w:proofErr w:type="spellStart"/>
      <w:r w:rsidRPr="00CB1AF7">
        <w:rPr>
          <w:iCs/>
          <w:color w:val="000000"/>
          <w:sz w:val="24"/>
        </w:rPr>
        <w:t>norA</w:t>
      </w:r>
      <w:proofErr w:type="spellEnd"/>
      <w:r w:rsidRPr="00CB1AF7">
        <w:rPr>
          <w:iCs/>
          <w:color w:val="000000"/>
          <w:sz w:val="24"/>
        </w:rPr>
        <w:t xml:space="preserve">, </w:t>
      </w:r>
      <w:proofErr w:type="spellStart"/>
      <w:r w:rsidRPr="00CB1AF7">
        <w:rPr>
          <w:iCs/>
          <w:color w:val="000000"/>
          <w:sz w:val="24"/>
        </w:rPr>
        <w:t>gyrA</w:t>
      </w:r>
      <w:proofErr w:type="spellEnd"/>
      <w:r w:rsidRPr="00CB1AF7">
        <w:rPr>
          <w:iCs/>
          <w:color w:val="000000"/>
          <w:sz w:val="24"/>
        </w:rPr>
        <w:t xml:space="preserve">, and </w:t>
      </w:r>
      <w:proofErr w:type="spellStart"/>
      <w:r w:rsidRPr="00CB1AF7">
        <w:rPr>
          <w:iCs/>
          <w:color w:val="000000"/>
          <w:sz w:val="24"/>
        </w:rPr>
        <w:t>parC</w:t>
      </w:r>
      <w:proofErr w:type="spellEnd"/>
      <w:r w:rsidRPr="00CB1AF7">
        <w:rPr>
          <w:iCs/>
          <w:color w:val="000000"/>
          <w:sz w:val="24"/>
        </w:rPr>
        <w:t xml:space="preserve"> were associated with fluoroquinolone resistance. The </w:t>
      </w:r>
      <w:proofErr w:type="spellStart"/>
      <w:r w:rsidRPr="00CB1AF7">
        <w:rPr>
          <w:iCs/>
          <w:color w:val="000000"/>
          <w:sz w:val="24"/>
        </w:rPr>
        <w:t>tet</w:t>
      </w:r>
      <w:proofErr w:type="spellEnd"/>
      <w:r w:rsidRPr="00CB1AF7">
        <w:rPr>
          <w:iCs/>
          <w:color w:val="000000"/>
          <w:sz w:val="24"/>
        </w:rPr>
        <w:t xml:space="preserve">(38) gene corresponded with tetracycline resistance, and </w:t>
      </w:r>
      <w:proofErr w:type="spellStart"/>
      <w:r w:rsidRPr="00CB1AF7">
        <w:rPr>
          <w:iCs/>
          <w:color w:val="000000"/>
          <w:sz w:val="24"/>
        </w:rPr>
        <w:t>blaZ</w:t>
      </w:r>
      <w:proofErr w:type="spellEnd"/>
      <w:r w:rsidRPr="00CB1AF7">
        <w:rPr>
          <w:iCs/>
          <w:color w:val="000000"/>
          <w:sz w:val="24"/>
        </w:rPr>
        <w:t xml:space="preserve"> encoded β-lactamase-mediated resistance to penicillin.</w:t>
      </w:r>
    </w:p>
    <w:p w14:paraId="43E67795" w14:textId="77777777" w:rsidR="00CB1AF7" w:rsidRPr="00CB1AF7" w:rsidRDefault="00CB1AF7" w:rsidP="006B6E31">
      <w:pPr>
        <w:jc w:val="both"/>
        <w:rPr>
          <w:iCs/>
          <w:color w:val="000000"/>
          <w:sz w:val="24"/>
        </w:rPr>
      </w:pPr>
    </w:p>
    <w:p w14:paraId="121533D1" w14:textId="77777777" w:rsidR="006B6E31" w:rsidRPr="00CB1AF7" w:rsidRDefault="006B6E31" w:rsidP="006B6E31">
      <w:pPr>
        <w:jc w:val="both"/>
        <w:rPr>
          <w:iCs/>
          <w:color w:val="000000"/>
          <w:sz w:val="24"/>
        </w:rPr>
      </w:pPr>
      <w:r w:rsidRPr="00CB1AF7">
        <w:rPr>
          <w:iCs/>
          <w:color w:val="000000"/>
          <w:sz w:val="24"/>
        </w:rPr>
        <w:t>Collectively, these findings indicate a multidrug-resistant genomic profile containing multiple antimicrobial resistance determinants distributed throughout the draft genomes.</w:t>
      </w:r>
    </w:p>
    <w:p w14:paraId="527180DD" w14:textId="24454613" w:rsidR="006B6E31" w:rsidRPr="00CB1AF7" w:rsidRDefault="006B6E31" w:rsidP="006B6E31">
      <w:pPr>
        <w:jc w:val="both"/>
        <w:rPr>
          <w:iCs/>
          <w:color w:val="000000"/>
          <w:sz w:val="24"/>
        </w:rPr>
      </w:pPr>
    </w:p>
    <w:p w14:paraId="67697101" w14:textId="488E98CD" w:rsidR="006B6E31" w:rsidRPr="006B6E31" w:rsidRDefault="006B6E31" w:rsidP="006B6E31">
      <w:pPr>
        <w:jc w:val="both"/>
        <w:rPr>
          <w:b/>
          <w:bCs/>
          <w:i/>
          <w:color w:val="000000"/>
          <w:sz w:val="24"/>
        </w:rPr>
      </w:pPr>
      <w:r w:rsidRPr="006B6E31">
        <w:rPr>
          <w:b/>
          <w:bCs/>
          <w:i/>
          <w:color w:val="000000"/>
          <w:sz w:val="24"/>
        </w:rPr>
        <w:t xml:space="preserve">CRISPR </w:t>
      </w:r>
      <w:r w:rsidR="00CB1AF7">
        <w:rPr>
          <w:b/>
          <w:bCs/>
          <w:i/>
          <w:color w:val="000000"/>
          <w:sz w:val="24"/>
        </w:rPr>
        <w:t>a</w:t>
      </w:r>
      <w:r w:rsidRPr="006B6E31">
        <w:rPr>
          <w:b/>
          <w:bCs/>
          <w:i/>
          <w:color w:val="000000"/>
          <w:sz w:val="24"/>
        </w:rPr>
        <w:t>rrays (Orange and Blue Annotation Tracks)</w:t>
      </w:r>
    </w:p>
    <w:p w14:paraId="53212195" w14:textId="77777777" w:rsidR="006B6E31" w:rsidRPr="00CB1AF7" w:rsidRDefault="006B6E31" w:rsidP="006B6E31">
      <w:pPr>
        <w:jc w:val="both"/>
        <w:rPr>
          <w:bCs/>
          <w:iCs/>
          <w:color w:val="000000"/>
          <w:sz w:val="24"/>
        </w:rPr>
      </w:pPr>
      <w:r w:rsidRPr="00CB1AF7">
        <w:rPr>
          <w:bCs/>
          <w:iCs/>
          <w:color w:val="000000"/>
          <w:sz w:val="24"/>
        </w:rPr>
        <w:t>CRISPR arrays were represented in orange and blue annotation tracks. These genomic regions are involved in adaptive immunity against foreign genetic elements, including bacteriophages and plasmids. CRISPR loci consisted of repeated regions interspaced by non-repetitive spacer sequences. Genomic mapping of CRISPR loci demonstrated multiple regions potentially associated with prior exposure to mobile genetic elements.</w:t>
      </w:r>
    </w:p>
    <w:p w14:paraId="39123263" w14:textId="49BE1784" w:rsidR="006B6E31" w:rsidRPr="00CB1AF7" w:rsidRDefault="006B6E31" w:rsidP="006B6E31">
      <w:pPr>
        <w:jc w:val="both"/>
        <w:rPr>
          <w:bCs/>
          <w:iCs/>
          <w:color w:val="000000"/>
          <w:sz w:val="24"/>
        </w:rPr>
      </w:pPr>
    </w:p>
    <w:p w14:paraId="0A23D0F7" w14:textId="6B0E625B" w:rsidR="006B6E31" w:rsidRPr="006B6E31" w:rsidRDefault="006B6E31" w:rsidP="006B6E31">
      <w:pPr>
        <w:jc w:val="both"/>
        <w:rPr>
          <w:b/>
          <w:bCs/>
          <w:i/>
          <w:color w:val="000000"/>
          <w:sz w:val="24"/>
        </w:rPr>
      </w:pPr>
      <w:r w:rsidRPr="006B6E31">
        <w:rPr>
          <w:b/>
          <w:bCs/>
          <w:i/>
          <w:color w:val="000000"/>
          <w:sz w:val="24"/>
        </w:rPr>
        <w:t xml:space="preserve">Cas </w:t>
      </w:r>
      <w:r w:rsidR="00CB1AF7">
        <w:rPr>
          <w:b/>
          <w:bCs/>
          <w:i/>
          <w:color w:val="000000"/>
          <w:sz w:val="24"/>
        </w:rPr>
        <w:t>s</w:t>
      </w:r>
      <w:r w:rsidRPr="006B6E31">
        <w:rPr>
          <w:b/>
          <w:bCs/>
          <w:i/>
          <w:color w:val="000000"/>
          <w:sz w:val="24"/>
        </w:rPr>
        <w:t xml:space="preserve">ystem </w:t>
      </w:r>
      <w:r w:rsidR="00CB1AF7">
        <w:rPr>
          <w:b/>
          <w:bCs/>
          <w:i/>
          <w:color w:val="000000"/>
          <w:sz w:val="24"/>
        </w:rPr>
        <w:t>c</w:t>
      </w:r>
      <w:r w:rsidRPr="006B6E31">
        <w:rPr>
          <w:b/>
          <w:bCs/>
          <w:i/>
          <w:color w:val="000000"/>
          <w:sz w:val="24"/>
        </w:rPr>
        <w:t>lusters (Gray Annotation Track)</w:t>
      </w:r>
    </w:p>
    <w:p w14:paraId="1B1454C5" w14:textId="77777777" w:rsidR="006B6E31" w:rsidRPr="00CB1AF7" w:rsidRDefault="006B6E31" w:rsidP="006B6E31">
      <w:pPr>
        <w:jc w:val="both"/>
        <w:rPr>
          <w:bCs/>
          <w:iCs/>
          <w:color w:val="000000"/>
          <w:sz w:val="24"/>
        </w:rPr>
      </w:pPr>
      <w:r w:rsidRPr="00CB1AF7">
        <w:rPr>
          <w:bCs/>
          <w:iCs/>
          <w:color w:val="000000"/>
          <w:sz w:val="24"/>
        </w:rPr>
        <w:t>CRISPR-associated (</w:t>
      </w:r>
      <w:proofErr w:type="spellStart"/>
      <w:r w:rsidRPr="00CB1AF7">
        <w:rPr>
          <w:bCs/>
          <w:iCs/>
          <w:color w:val="000000"/>
          <w:sz w:val="24"/>
        </w:rPr>
        <w:t>cas</w:t>
      </w:r>
      <w:proofErr w:type="spellEnd"/>
      <w:r w:rsidRPr="00CB1AF7">
        <w:rPr>
          <w:bCs/>
          <w:iCs/>
          <w:color w:val="000000"/>
          <w:sz w:val="24"/>
        </w:rPr>
        <w:t xml:space="preserve">) genes required for CRISPR system function were visualized in gray annotation tracks. Several </w:t>
      </w:r>
      <w:proofErr w:type="spellStart"/>
      <w:r w:rsidRPr="00CB1AF7">
        <w:rPr>
          <w:bCs/>
          <w:iCs/>
          <w:color w:val="000000"/>
          <w:sz w:val="24"/>
        </w:rPr>
        <w:t>cas</w:t>
      </w:r>
      <w:proofErr w:type="spellEnd"/>
      <w:r w:rsidRPr="00CB1AF7">
        <w:rPr>
          <w:bCs/>
          <w:iCs/>
          <w:color w:val="000000"/>
          <w:sz w:val="24"/>
        </w:rPr>
        <w:t xml:space="preserve"> operons were identified adjacent to CRISPR loci, suggesting the presence of functional CRISPR-Cas systems within the analyzed genomes.</w:t>
      </w:r>
    </w:p>
    <w:p w14:paraId="7604D684" w14:textId="78CB17ED" w:rsidR="006B6E31" w:rsidRPr="006B6E31" w:rsidRDefault="006B6E31" w:rsidP="006B6E31">
      <w:pPr>
        <w:jc w:val="both"/>
        <w:rPr>
          <w:b/>
          <w:i/>
          <w:color w:val="000000"/>
          <w:sz w:val="24"/>
        </w:rPr>
      </w:pPr>
    </w:p>
    <w:p w14:paraId="32A674B3" w14:textId="4D6840AC" w:rsidR="006B6E31" w:rsidRPr="006B6E31" w:rsidRDefault="006B6E31" w:rsidP="006B6E31">
      <w:pPr>
        <w:jc w:val="both"/>
        <w:rPr>
          <w:b/>
          <w:bCs/>
          <w:i/>
          <w:color w:val="000000"/>
          <w:sz w:val="24"/>
        </w:rPr>
      </w:pPr>
      <w:r w:rsidRPr="006B6E31">
        <w:rPr>
          <w:b/>
          <w:bCs/>
          <w:i/>
          <w:color w:val="000000"/>
          <w:sz w:val="24"/>
        </w:rPr>
        <w:t xml:space="preserve">Genome </w:t>
      </w:r>
      <w:r w:rsidR="00CB1AF7" w:rsidRPr="006B6E31">
        <w:rPr>
          <w:b/>
          <w:bCs/>
          <w:i/>
          <w:color w:val="000000"/>
          <w:sz w:val="24"/>
        </w:rPr>
        <w:t>organization and circular genome visualization</w:t>
      </w:r>
    </w:p>
    <w:p w14:paraId="36D7BC7D" w14:textId="7127E960" w:rsidR="006B6E31" w:rsidRDefault="006B6E31" w:rsidP="006B6E31">
      <w:pPr>
        <w:jc w:val="both"/>
        <w:rPr>
          <w:bCs/>
          <w:iCs/>
          <w:color w:val="000000"/>
          <w:sz w:val="24"/>
        </w:rPr>
      </w:pPr>
      <w:r w:rsidRPr="00CB1AF7">
        <w:rPr>
          <w:bCs/>
          <w:iCs/>
          <w:color w:val="000000"/>
          <w:sz w:val="24"/>
        </w:rPr>
        <w:t xml:space="preserve">A circular genome visualization map was generated for the representative </w:t>
      </w:r>
      <w:r w:rsidRPr="00CB1AF7">
        <w:rPr>
          <w:bCs/>
          <w:i/>
          <w:color w:val="000000"/>
          <w:sz w:val="24"/>
        </w:rPr>
        <w:t>S. aureus</w:t>
      </w:r>
      <w:r w:rsidRPr="00CB1AF7">
        <w:rPr>
          <w:bCs/>
          <w:iCs/>
          <w:color w:val="000000"/>
          <w:sz w:val="24"/>
        </w:rPr>
        <w:t xml:space="preserve"> isolate (39-</w:t>
      </w:r>
      <w:r w:rsidRPr="00CB1AF7">
        <w:rPr>
          <w:bCs/>
          <w:i/>
          <w:color w:val="000000"/>
          <w:sz w:val="24"/>
        </w:rPr>
        <w:t>S. aureus</w:t>
      </w:r>
      <w:r w:rsidRPr="00CB1AF7">
        <w:rPr>
          <w:bCs/>
          <w:iCs/>
          <w:color w:val="000000"/>
          <w:sz w:val="24"/>
        </w:rPr>
        <w:t>) to provide an integrated overview of genomic organization. Although the genome assembly remained incomplete</w:t>
      </w:r>
      <w:r w:rsidR="00CB1AF7">
        <w:rPr>
          <w:bCs/>
          <w:iCs/>
          <w:color w:val="000000"/>
          <w:sz w:val="24"/>
        </w:rPr>
        <w:t>, comprising 88 scaffolds, the visualization generated with</w:t>
      </w:r>
      <w:r w:rsidRPr="00CB1AF7">
        <w:rPr>
          <w:bCs/>
          <w:iCs/>
          <w:color w:val="000000"/>
          <w:sz w:val="24"/>
        </w:rPr>
        <w:t xml:space="preserve"> </w:t>
      </w:r>
      <w:r w:rsidR="00E47899" w:rsidRPr="00E47899">
        <w:rPr>
          <w:bCs/>
          <w:iCs/>
          <w:color w:val="000000"/>
          <w:sz w:val="24"/>
        </w:rPr>
        <w:t>Genome map visualization</w:t>
      </w:r>
      <w:r w:rsidRPr="00CB1AF7">
        <w:rPr>
          <w:bCs/>
          <w:iCs/>
          <w:color w:val="000000"/>
          <w:sz w:val="24"/>
        </w:rPr>
        <w:t xml:space="preserve"> summarized major genomic features, including coding sequence distribution, GC content, and GC skew across assembled contigs. Therefore, the visualization should be interpreted as a graphical representation of a draft genome assembly rather than a complete circular chromosome.</w:t>
      </w:r>
    </w:p>
    <w:p w14:paraId="091D455C" w14:textId="77777777" w:rsidR="00CB1AF7" w:rsidRPr="00CB1AF7" w:rsidRDefault="00CB1AF7" w:rsidP="006B6E31">
      <w:pPr>
        <w:jc w:val="both"/>
        <w:rPr>
          <w:bCs/>
          <w:iCs/>
          <w:color w:val="000000"/>
          <w:sz w:val="24"/>
        </w:rPr>
      </w:pPr>
    </w:p>
    <w:p w14:paraId="0D66C980" w14:textId="1924FD1E" w:rsidR="006B6E31" w:rsidRDefault="006B6E31" w:rsidP="006B6E31">
      <w:pPr>
        <w:jc w:val="both"/>
        <w:rPr>
          <w:bCs/>
          <w:iCs/>
          <w:color w:val="000000"/>
          <w:sz w:val="24"/>
        </w:rPr>
      </w:pPr>
      <w:r w:rsidRPr="00CB1AF7">
        <w:rPr>
          <w:bCs/>
          <w:iCs/>
          <w:color w:val="000000"/>
          <w:sz w:val="24"/>
        </w:rPr>
        <w:t xml:space="preserve">The circular genome visualization map included multiple concentric annotation tracks illustrating GC content, GC skew, coding sequences on </w:t>
      </w:r>
      <w:r w:rsidR="00A9525A">
        <w:rPr>
          <w:bCs/>
          <w:iCs/>
          <w:color w:val="000000"/>
          <w:sz w:val="24"/>
        </w:rPr>
        <w:t>the forward and reverse strands, antimicrobial resistance determinants, virulence-associated genes, and predicted mobile genetic elements, including plasmid- and prophage-associated</w:t>
      </w:r>
      <w:r w:rsidRPr="00CB1AF7">
        <w:rPr>
          <w:bCs/>
          <w:iCs/>
          <w:color w:val="000000"/>
          <w:sz w:val="24"/>
        </w:rPr>
        <w:t xml:space="preserve"> regions.</w:t>
      </w:r>
    </w:p>
    <w:p w14:paraId="65207F2A" w14:textId="77777777" w:rsidR="00CB1AF7" w:rsidRPr="00CB1AF7" w:rsidRDefault="00CB1AF7" w:rsidP="006B6E31">
      <w:pPr>
        <w:jc w:val="both"/>
        <w:rPr>
          <w:bCs/>
          <w:iCs/>
          <w:color w:val="000000"/>
          <w:sz w:val="24"/>
        </w:rPr>
      </w:pPr>
    </w:p>
    <w:p w14:paraId="3B4CEEEB" w14:textId="77777777" w:rsidR="006B6E31" w:rsidRDefault="006B6E31" w:rsidP="006B6E31">
      <w:pPr>
        <w:jc w:val="both"/>
        <w:rPr>
          <w:bCs/>
          <w:iCs/>
          <w:color w:val="000000"/>
          <w:sz w:val="24"/>
        </w:rPr>
      </w:pPr>
      <w:r w:rsidRPr="00CB1AF7">
        <w:rPr>
          <w:bCs/>
          <w:iCs/>
          <w:color w:val="000000"/>
          <w:sz w:val="24"/>
        </w:rPr>
        <w:t>Antimicrobial resistance determinants identified using the CARD database were compared with phenotypic antibiogram profiles to evaluate concordance between genotypic and phenotypic resistance patterns. Plasmid replicon analysis identified multiple plasmid-associated replication elements with high nucleotide identity and sequence coverage. The distribution of these replicon-associated sequences across multiple contigs suggested the presence of multiple plasmid backbones and/or fragmented plasmid assemblies within the draft genomes.</w:t>
      </w:r>
    </w:p>
    <w:p w14:paraId="0A77E581" w14:textId="77777777" w:rsidR="00CB1AF7" w:rsidRPr="00CB1AF7" w:rsidRDefault="00CB1AF7" w:rsidP="006B6E31">
      <w:pPr>
        <w:jc w:val="both"/>
        <w:rPr>
          <w:bCs/>
          <w:iCs/>
          <w:color w:val="000000"/>
          <w:sz w:val="24"/>
        </w:rPr>
      </w:pPr>
    </w:p>
    <w:p w14:paraId="117688C9" w14:textId="77777777" w:rsidR="006B6E31" w:rsidRDefault="006B6E31" w:rsidP="006B6E31">
      <w:pPr>
        <w:jc w:val="both"/>
        <w:rPr>
          <w:bCs/>
          <w:iCs/>
          <w:color w:val="000000"/>
          <w:sz w:val="24"/>
        </w:rPr>
      </w:pPr>
      <w:r w:rsidRPr="00CB1AF7">
        <w:rPr>
          <w:bCs/>
          <w:iCs/>
          <w:color w:val="000000"/>
          <w:sz w:val="24"/>
        </w:rPr>
        <w:t xml:space="preserve">This plasmid diversity may contribute to genomic plasticity and facilitate horizontal transfer of antimicrobial resistance and virulence-associated determinants, thereby enhancing persistence and multidrug resistance in MRSA isolates. Additional plasmid replicon analyses and genome visualization data are presented in </w:t>
      </w:r>
      <w:r w:rsidRPr="00CB1AF7">
        <w:rPr>
          <w:b/>
          <w:iCs/>
          <w:color w:val="000000"/>
          <w:sz w:val="24"/>
        </w:rPr>
        <w:t>Supplementary Figure 1</w:t>
      </w:r>
      <w:r w:rsidRPr="00CB1AF7">
        <w:rPr>
          <w:bCs/>
          <w:iCs/>
          <w:color w:val="000000"/>
          <w:sz w:val="24"/>
        </w:rPr>
        <w:t>.</w:t>
      </w:r>
    </w:p>
    <w:p w14:paraId="5255F668" w14:textId="77777777" w:rsidR="00CB1AF7" w:rsidRPr="00CB1AF7" w:rsidRDefault="00CB1AF7" w:rsidP="006B6E31">
      <w:pPr>
        <w:jc w:val="both"/>
        <w:rPr>
          <w:bCs/>
          <w:iCs/>
          <w:color w:val="000000"/>
          <w:sz w:val="24"/>
        </w:rPr>
      </w:pPr>
    </w:p>
    <w:p w14:paraId="0B6A5194" w14:textId="77777777" w:rsidR="006B6E31" w:rsidRDefault="006B6E31" w:rsidP="006B6E31">
      <w:pPr>
        <w:jc w:val="both"/>
        <w:rPr>
          <w:bCs/>
          <w:iCs/>
          <w:color w:val="000000"/>
          <w:sz w:val="24"/>
        </w:rPr>
      </w:pPr>
      <w:r w:rsidRPr="00CB1AF7">
        <w:rPr>
          <w:bCs/>
          <w:iCs/>
          <w:color w:val="000000"/>
          <w:sz w:val="24"/>
        </w:rPr>
        <w:t xml:space="preserve">CRISPR-Cas loci were additionally annotated to investigate potential adaptive immunity mechanisms and their possible role in horizontal gene transfer dynamics. Labels surrounding the outer ring identified scaffolds generated during genome assembly, whereas outer annotation tracks identified genes of interest, including antimicrobial resistance determinants such as </w:t>
      </w:r>
      <w:proofErr w:type="spellStart"/>
      <w:r w:rsidRPr="00CB1AF7">
        <w:rPr>
          <w:bCs/>
          <w:i/>
          <w:color w:val="000000"/>
          <w:sz w:val="24"/>
        </w:rPr>
        <w:t>norA</w:t>
      </w:r>
      <w:proofErr w:type="spellEnd"/>
      <w:r w:rsidRPr="00CB1AF7">
        <w:rPr>
          <w:bCs/>
          <w:i/>
          <w:color w:val="000000"/>
          <w:sz w:val="24"/>
        </w:rPr>
        <w:t xml:space="preserve">, </w:t>
      </w:r>
      <w:proofErr w:type="spellStart"/>
      <w:r w:rsidRPr="00CB1AF7">
        <w:rPr>
          <w:bCs/>
          <w:i/>
          <w:color w:val="000000"/>
          <w:sz w:val="24"/>
        </w:rPr>
        <w:t>mgrA</w:t>
      </w:r>
      <w:proofErr w:type="spellEnd"/>
      <w:r w:rsidRPr="00CB1AF7">
        <w:rPr>
          <w:bCs/>
          <w:i/>
          <w:color w:val="000000"/>
          <w:sz w:val="24"/>
        </w:rPr>
        <w:t xml:space="preserve">, </w:t>
      </w:r>
      <w:proofErr w:type="spellStart"/>
      <w:r w:rsidRPr="00CB1AF7">
        <w:rPr>
          <w:bCs/>
          <w:i/>
          <w:color w:val="000000"/>
          <w:sz w:val="24"/>
        </w:rPr>
        <w:t>fosB</w:t>
      </w:r>
      <w:proofErr w:type="spellEnd"/>
      <w:r w:rsidRPr="00CB1AF7">
        <w:rPr>
          <w:bCs/>
          <w:i/>
          <w:color w:val="000000"/>
          <w:sz w:val="24"/>
        </w:rPr>
        <w:t xml:space="preserve">, </w:t>
      </w:r>
      <w:proofErr w:type="spellStart"/>
      <w:r w:rsidRPr="00CB1AF7">
        <w:rPr>
          <w:bCs/>
          <w:i/>
          <w:color w:val="000000"/>
          <w:sz w:val="24"/>
        </w:rPr>
        <w:t>tet</w:t>
      </w:r>
      <w:proofErr w:type="spellEnd"/>
      <w:r w:rsidRPr="00CB1AF7">
        <w:rPr>
          <w:bCs/>
          <w:i/>
          <w:color w:val="000000"/>
          <w:sz w:val="24"/>
        </w:rPr>
        <w:t xml:space="preserve">(38), </w:t>
      </w:r>
      <w:proofErr w:type="spellStart"/>
      <w:r w:rsidRPr="00CB1AF7">
        <w:rPr>
          <w:bCs/>
          <w:i/>
          <w:color w:val="000000"/>
          <w:sz w:val="24"/>
        </w:rPr>
        <w:t>blaZ</w:t>
      </w:r>
      <w:proofErr w:type="spellEnd"/>
      <w:r w:rsidRPr="00CB1AF7">
        <w:rPr>
          <w:bCs/>
          <w:iCs/>
          <w:color w:val="000000"/>
          <w:sz w:val="24"/>
        </w:rPr>
        <w:t xml:space="preserve">, and vancomycin resistance-associated </w:t>
      </w:r>
      <w:proofErr w:type="spellStart"/>
      <w:r w:rsidRPr="00CB1AF7">
        <w:rPr>
          <w:bCs/>
          <w:i/>
          <w:color w:val="000000"/>
          <w:sz w:val="24"/>
        </w:rPr>
        <w:t>vanT</w:t>
      </w:r>
      <w:proofErr w:type="spellEnd"/>
      <w:r w:rsidRPr="00CB1AF7">
        <w:rPr>
          <w:bCs/>
          <w:iCs/>
          <w:color w:val="000000"/>
          <w:sz w:val="24"/>
        </w:rPr>
        <w:t xml:space="preserve"> genes within the </w:t>
      </w:r>
      <w:proofErr w:type="spellStart"/>
      <w:r w:rsidRPr="00CB1AF7">
        <w:rPr>
          <w:bCs/>
          <w:i/>
          <w:color w:val="000000"/>
          <w:sz w:val="24"/>
        </w:rPr>
        <w:t>vanG</w:t>
      </w:r>
      <w:proofErr w:type="spellEnd"/>
      <w:r w:rsidRPr="00CB1AF7">
        <w:rPr>
          <w:bCs/>
          <w:iCs/>
          <w:color w:val="000000"/>
          <w:sz w:val="24"/>
        </w:rPr>
        <w:t xml:space="preserve"> cluster. CRISPR-associated genes, including cas3 type I systems, were also identified.</w:t>
      </w:r>
    </w:p>
    <w:p w14:paraId="56F08726" w14:textId="77777777" w:rsidR="00CB1AF7" w:rsidRPr="00CB1AF7" w:rsidRDefault="00CB1AF7" w:rsidP="006B6E31">
      <w:pPr>
        <w:jc w:val="both"/>
        <w:rPr>
          <w:bCs/>
          <w:iCs/>
          <w:color w:val="000000"/>
          <w:sz w:val="24"/>
        </w:rPr>
      </w:pPr>
    </w:p>
    <w:p w14:paraId="08C843FB" w14:textId="77777777" w:rsidR="006B6E31" w:rsidRDefault="006B6E31" w:rsidP="006B6E31">
      <w:pPr>
        <w:jc w:val="both"/>
        <w:rPr>
          <w:bCs/>
          <w:iCs/>
          <w:color w:val="000000"/>
          <w:sz w:val="24"/>
        </w:rPr>
      </w:pPr>
      <w:r w:rsidRPr="00CB1AF7">
        <w:rPr>
          <w:bCs/>
          <w:iCs/>
          <w:color w:val="000000"/>
          <w:sz w:val="24"/>
        </w:rPr>
        <w:t xml:space="preserve">GC content and GC skew analyses demonstrated patterns potentially associated with replication origins and termini. The presence of multiple scaffolds confirmed that the genomes remained incomplete draft assemblies. Nevertheless, resistance-associated genes, including </w:t>
      </w:r>
      <w:proofErr w:type="spellStart"/>
      <w:r w:rsidRPr="00CB1AF7">
        <w:rPr>
          <w:bCs/>
          <w:i/>
          <w:color w:val="000000"/>
          <w:sz w:val="24"/>
        </w:rPr>
        <w:t>blaZ</w:t>
      </w:r>
      <w:proofErr w:type="spellEnd"/>
      <w:r w:rsidRPr="00CB1AF7">
        <w:rPr>
          <w:bCs/>
          <w:i/>
          <w:color w:val="000000"/>
          <w:sz w:val="24"/>
        </w:rPr>
        <w:t xml:space="preserve">, </w:t>
      </w:r>
      <w:proofErr w:type="spellStart"/>
      <w:r w:rsidRPr="00CB1AF7">
        <w:rPr>
          <w:bCs/>
          <w:i/>
          <w:color w:val="000000"/>
          <w:sz w:val="24"/>
        </w:rPr>
        <w:t>tet</w:t>
      </w:r>
      <w:proofErr w:type="spellEnd"/>
      <w:r w:rsidRPr="00CB1AF7">
        <w:rPr>
          <w:bCs/>
          <w:i/>
          <w:color w:val="000000"/>
          <w:sz w:val="24"/>
        </w:rPr>
        <w:t xml:space="preserve">(38), </w:t>
      </w:r>
      <w:proofErr w:type="spellStart"/>
      <w:r w:rsidRPr="00CB1AF7">
        <w:rPr>
          <w:bCs/>
          <w:i/>
          <w:color w:val="000000"/>
          <w:sz w:val="24"/>
        </w:rPr>
        <w:t>vanT</w:t>
      </w:r>
      <w:proofErr w:type="spellEnd"/>
      <w:r w:rsidRPr="00CB1AF7">
        <w:rPr>
          <w:bCs/>
          <w:iCs/>
          <w:color w:val="000000"/>
          <w:sz w:val="24"/>
        </w:rPr>
        <w:t xml:space="preserve">, and </w:t>
      </w:r>
      <w:proofErr w:type="spellStart"/>
      <w:r w:rsidRPr="00CB1AF7">
        <w:rPr>
          <w:bCs/>
          <w:i/>
          <w:color w:val="000000"/>
          <w:sz w:val="24"/>
        </w:rPr>
        <w:t>norA</w:t>
      </w:r>
      <w:proofErr w:type="spellEnd"/>
      <w:r w:rsidRPr="00CB1AF7">
        <w:rPr>
          <w:bCs/>
          <w:iCs/>
          <w:color w:val="000000"/>
          <w:sz w:val="24"/>
        </w:rPr>
        <w:t>, were distributed throughout the genome assemblies.</w:t>
      </w:r>
    </w:p>
    <w:p w14:paraId="01FD1EB7" w14:textId="77777777" w:rsidR="00CB1AF7" w:rsidRPr="00CB1AF7" w:rsidRDefault="00CB1AF7" w:rsidP="006B6E31">
      <w:pPr>
        <w:jc w:val="both"/>
        <w:rPr>
          <w:bCs/>
          <w:iCs/>
          <w:color w:val="000000"/>
          <w:sz w:val="24"/>
        </w:rPr>
      </w:pPr>
    </w:p>
    <w:p w14:paraId="05E4A3EB" w14:textId="5BBA5796" w:rsidR="006B6E31" w:rsidRPr="00CB1AF7" w:rsidRDefault="006B6E31" w:rsidP="006B6E31">
      <w:pPr>
        <w:jc w:val="both"/>
        <w:rPr>
          <w:bCs/>
          <w:iCs/>
          <w:color w:val="000000"/>
          <w:sz w:val="24"/>
        </w:rPr>
      </w:pPr>
      <w:r w:rsidRPr="00CB1AF7">
        <w:rPr>
          <w:bCs/>
          <w:iCs/>
          <w:color w:val="000000"/>
          <w:sz w:val="24"/>
        </w:rPr>
        <w:t xml:space="preserve">Multiple CRISPR-Cas elements were identified, suggesting potential adaptive immune responses against bacteriophages and possible modulation of horizontal gene transfer. Overall, the genomic organization analysis demonstrated multidrug-resistant genomic profiles and provided insight into genomic stability, replication dynamics, resistance determinants, and bacterial </w:t>
      </w:r>
      <w:r w:rsidRPr="00CB1AF7">
        <w:rPr>
          <w:bCs/>
          <w:iCs/>
          <w:color w:val="000000"/>
          <w:sz w:val="24"/>
        </w:rPr>
        <w:lastRenderedPageBreak/>
        <w:t>defense systems within representative DFI-associated S. aureus isolates (</w:t>
      </w:r>
      <w:r w:rsidRPr="00CB1AF7">
        <w:rPr>
          <w:b/>
          <w:iCs/>
          <w:color w:val="000000"/>
          <w:sz w:val="24"/>
        </w:rPr>
        <w:t>Figures 7 and 8; Supplementary Figure 2</w:t>
      </w:r>
      <w:r w:rsidRPr="00CB1AF7">
        <w:rPr>
          <w:bCs/>
          <w:iCs/>
          <w:color w:val="000000"/>
          <w:sz w:val="24"/>
        </w:rPr>
        <w:t>).</w:t>
      </w:r>
    </w:p>
    <w:p w14:paraId="5DC17188" w14:textId="77777777" w:rsidR="00EB13DB" w:rsidRDefault="00EB13DB" w:rsidP="00E726B0">
      <w:pPr>
        <w:jc w:val="both"/>
        <w:rPr>
          <w:b/>
          <w:color w:val="000000"/>
          <w:sz w:val="24"/>
        </w:rPr>
      </w:pPr>
    </w:p>
    <w:p w14:paraId="6CD001C4" w14:textId="625C56DC"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7</w:t>
      </w:r>
      <w:r>
        <w:rPr>
          <w:color w:val="000000"/>
          <w:sz w:val="24"/>
        </w:rPr>
        <w:t xml:space="preserve"> here]</w:t>
      </w:r>
    </w:p>
    <w:p w14:paraId="55E40A56" w14:textId="77777777" w:rsidR="002E7BDC" w:rsidRDefault="002E7BDC" w:rsidP="00E726B0">
      <w:pPr>
        <w:jc w:val="both"/>
        <w:rPr>
          <w:b/>
          <w:color w:val="000000"/>
          <w:sz w:val="24"/>
        </w:rPr>
      </w:pPr>
    </w:p>
    <w:p w14:paraId="71CA0393" w14:textId="10DE51B8" w:rsidR="002E7BDC" w:rsidRDefault="002E7BDC" w:rsidP="002E7BDC">
      <w:pPr>
        <w:jc w:val="both"/>
        <w:rPr>
          <w:color w:val="000000"/>
          <w:sz w:val="24"/>
        </w:rPr>
      </w:pPr>
      <w:r>
        <w:rPr>
          <w:color w:val="000000"/>
          <w:sz w:val="24"/>
        </w:rPr>
        <w:t xml:space="preserve">[Place </w:t>
      </w:r>
      <w:r w:rsidRPr="002E7BDC">
        <w:rPr>
          <w:b/>
          <w:bCs/>
          <w:color w:val="000000"/>
          <w:sz w:val="24"/>
        </w:rPr>
        <w:t xml:space="preserve">Figure </w:t>
      </w:r>
      <w:r>
        <w:rPr>
          <w:b/>
          <w:bCs/>
          <w:color w:val="000000"/>
          <w:sz w:val="24"/>
        </w:rPr>
        <w:t>8</w:t>
      </w:r>
      <w:r>
        <w:rPr>
          <w:color w:val="000000"/>
          <w:sz w:val="24"/>
        </w:rPr>
        <w:t xml:space="preserve"> here]</w:t>
      </w:r>
    </w:p>
    <w:p w14:paraId="72191418" w14:textId="77777777" w:rsidR="002E7BDC" w:rsidRDefault="002E7BDC" w:rsidP="00E726B0">
      <w:pPr>
        <w:jc w:val="both"/>
        <w:rPr>
          <w:b/>
          <w:color w:val="000000"/>
          <w:sz w:val="24"/>
        </w:rPr>
      </w:pPr>
    </w:p>
    <w:p w14:paraId="1C736E35" w14:textId="2C1D812C" w:rsidR="007A4BB7" w:rsidRPr="00E726B0" w:rsidRDefault="00F92CF8" w:rsidP="00E726B0">
      <w:pPr>
        <w:jc w:val="both"/>
        <w:rPr>
          <w:b/>
          <w:color w:val="000000"/>
          <w:sz w:val="24"/>
        </w:rPr>
      </w:pPr>
      <w:r w:rsidRPr="00E726B0">
        <w:rPr>
          <w:b/>
          <w:color w:val="000000"/>
          <w:sz w:val="24"/>
        </w:rPr>
        <w:t>DATA AVAILABILITY</w:t>
      </w:r>
      <w:r>
        <w:rPr>
          <w:b/>
          <w:color w:val="000000"/>
          <w:sz w:val="24"/>
        </w:rPr>
        <w:t>:</w:t>
      </w:r>
    </w:p>
    <w:p w14:paraId="12255408" w14:textId="6E8CC916" w:rsidR="005B4700" w:rsidRDefault="00F92CF8" w:rsidP="00F92CF8">
      <w:pPr>
        <w:jc w:val="both"/>
        <w:rPr>
          <w:sz w:val="24"/>
        </w:rPr>
      </w:pPr>
      <w:r w:rsidRPr="00F92CF8">
        <w:rPr>
          <w:sz w:val="24"/>
        </w:rPr>
        <w:t xml:space="preserve">Whole-genome sequencing data generated in this study are publicly available in the National Center for Biotechnology Information (NCBI) repository. The </w:t>
      </w:r>
      <w:proofErr w:type="spellStart"/>
      <w:r w:rsidRPr="00F92CF8">
        <w:rPr>
          <w:sz w:val="24"/>
        </w:rPr>
        <w:t>BioProject</w:t>
      </w:r>
      <w:proofErr w:type="spellEnd"/>
      <w:r w:rsidRPr="00F92CF8">
        <w:rPr>
          <w:sz w:val="24"/>
        </w:rPr>
        <w:t xml:space="preserve"> accession number is PRJNA1375719, and the </w:t>
      </w:r>
      <w:proofErr w:type="spellStart"/>
      <w:r w:rsidRPr="00F92CF8">
        <w:rPr>
          <w:sz w:val="24"/>
        </w:rPr>
        <w:t>BioSample</w:t>
      </w:r>
      <w:proofErr w:type="spellEnd"/>
      <w:r w:rsidRPr="00F92CF8">
        <w:rPr>
          <w:sz w:val="24"/>
        </w:rPr>
        <w:t xml:space="preserve"> accession number for the analyzed isolate is SAMN53694935. The draft genome assembly is available under accession number JBSUST000000000. All sequencing reads and associated genomic data are freely accessible through the NCBI database.</w:t>
      </w:r>
      <w:r>
        <w:rPr>
          <w:sz w:val="24"/>
        </w:rPr>
        <w:t xml:space="preserve"> </w:t>
      </w:r>
      <w:r w:rsidRPr="00F92CF8">
        <w:rPr>
          <w:sz w:val="24"/>
        </w:rPr>
        <w:t xml:space="preserve">Raw antimicrobial susceptibility, demographic, molecular, and supplementary analytical datasets are provided as </w:t>
      </w:r>
      <w:r w:rsidRPr="00F92CF8">
        <w:rPr>
          <w:b/>
          <w:bCs/>
          <w:sz w:val="24"/>
        </w:rPr>
        <w:t>Supplementary Files 1–3</w:t>
      </w:r>
      <w:r w:rsidRPr="00F92CF8">
        <w:rPr>
          <w:sz w:val="24"/>
        </w:rPr>
        <w:t>. All sequencing reads and associated genomic data are freely accessible through the NCBI database.</w:t>
      </w:r>
    </w:p>
    <w:p w14:paraId="2066C6DF" w14:textId="77777777" w:rsidR="00F92CF8" w:rsidRPr="00E726B0" w:rsidRDefault="00F92CF8" w:rsidP="00F92CF8">
      <w:pPr>
        <w:jc w:val="both"/>
        <w:rPr>
          <w:sz w:val="24"/>
        </w:rPr>
      </w:pPr>
    </w:p>
    <w:p w14:paraId="36231120" w14:textId="1E6F81FC" w:rsidR="00F92CF8" w:rsidRDefault="00F92CF8" w:rsidP="00F92CF8">
      <w:pPr>
        <w:jc w:val="both"/>
        <w:rPr>
          <w:b/>
          <w:bCs/>
          <w:color w:val="000000"/>
          <w:sz w:val="24"/>
        </w:rPr>
      </w:pPr>
      <w:r>
        <w:rPr>
          <w:b/>
          <w:bCs/>
          <w:color w:val="000000"/>
          <w:sz w:val="24"/>
        </w:rPr>
        <w:t>FIGURE AND TABLE LEGENDS:</w:t>
      </w:r>
    </w:p>
    <w:p w14:paraId="340FDC45" w14:textId="79CB4D22" w:rsidR="00F92CF8" w:rsidRPr="00F92CF8" w:rsidRDefault="00F92CF8" w:rsidP="00F92CF8">
      <w:pPr>
        <w:jc w:val="both"/>
        <w:rPr>
          <w:bCs/>
          <w:color w:val="000000"/>
          <w:sz w:val="24"/>
        </w:rPr>
      </w:pPr>
      <w:r w:rsidRPr="00F92CF8">
        <w:rPr>
          <w:b/>
          <w:bCs/>
          <w:color w:val="000000"/>
          <w:sz w:val="24"/>
        </w:rPr>
        <w:t>Figure 1</w:t>
      </w:r>
      <w:r>
        <w:rPr>
          <w:b/>
          <w:bCs/>
          <w:color w:val="000000"/>
          <w:sz w:val="24"/>
        </w:rPr>
        <w:t xml:space="preserve">: </w:t>
      </w:r>
      <w:r w:rsidRPr="00F92CF8">
        <w:rPr>
          <w:b/>
          <w:color w:val="000000"/>
          <w:sz w:val="24"/>
        </w:rPr>
        <w:t xml:space="preserve">Overview of the clinical, microbiological, molecular, whole-genome sequencing, and bioinformatics workflow used in the study. </w:t>
      </w:r>
      <w:r w:rsidRPr="00F92CF8">
        <w:rPr>
          <w:bCs/>
          <w:color w:val="000000"/>
          <w:sz w:val="24"/>
        </w:rPr>
        <w:t>The figure summarizes specimen collection, microbiological culture, antimicrobial susceptibility testing, PCR-based molecular detection, whole-genome sequencing, and downstream bioinformatics analyses. This figure was generated with assistance from the AI-based design platform Gamma Pro (Gamma App) and subsequently reviewed, revised, and validated by the authors for scientific accuracy.</w:t>
      </w:r>
    </w:p>
    <w:p w14:paraId="5F82169C" w14:textId="0EC8D7B8" w:rsidR="00F92CF8" w:rsidRPr="00F92CF8" w:rsidRDefault="00F92CF8" w:rsidP="00F92CF8">
      <w:pPr>
        <w:jc w:val="both"/>
        <w:rPr>
          <w:b/>
          <w:color w:val="000000"/>
          <w:sz w:val="24"/>
        </w:rPr>
      </w:pPr>
    </w:p>
    <w:p w14:paraId="787ABB19" w14:textId="55852451" w:rsidR="00F92CF8" w:rsidRPr="00F92CF8" w:rsidRDefault="00F92CF8" w:rsidP="00F92CF8">
      <w:pPr>
        <w:jc w:val="both"/>
        <w:rPr>
          <w:b/>
          <w:bCs/>
          <w:color w:val="000000"/>
          <w:sz w:val="24"/>
        </w:rPr>
      </w:pPr>
      <w:r w:rsidRPr="00F92CF8">
        <w:rPr>
          <w:b/>
          <w:bCs/>
          <w:color w:val="000000"/>
          <w:sz w:val="24"/>
        </w:rPr>
        <w:t>Figure 2</w:t>
      </w:r>
      <w:r>
        <w:rPr>
          <w:b/>
          <w:bCs/>
          <w:color w:val="000000"/>
          <w:sz w:val="24"/>
        </w:rPr>
        <w:t xml:space="preserve">: </w:t>
      </w:r>
      <w:r w:rsidRPr="00F92CF8">
        <w:rPr>
          <w:b/>
          <w:bCs/>
          <w:color w:val="000000"/>
          <w:sz w:val="24"/>
        </w:rPr>
        <w:t xml:space="preserve">Molecular confirmation of </w:t>
      </w:r>
      <w:r w:rsidRPr="00F92CF8">
        <w:rPr>
          <w:b/>
          <w:bCs/>
          <w:i/>
          <w:iCs/>
          <w:color w:val="000000"/>
          <w:sz w:val="24"/>
        </w:rPr>
        <w:t>Staphylococcus aureus</w:t>
      </w:r>
      <w:r w:rsidRPr="00F92CF8">
        <w:rPr>
          <w:b/>
          <w:bCs/>
          <w:color w:val="000000"/>
          <w:sz w:val="24"/>
        </w:rPr>
        <w:t xml:space="preserve"> isolates and detection of the </w:t>
      </w:r>
      <w:proofErr w:type="spellStart"/>
      <w:r w:rsidRPr="00F92CF8">
        <w:rPr>
          <w:b/>
          <w:bCs/>
          <w:i/>
          <w:iCs/>
          <w:color w:val="000000"/>
          <w:sz w:val="24"/>
        </w:rPr>
        <w:t>mecA</w:t>
      </w:r>
      <w:proofErr w:type="spellEnd"/>
      <w:r w:rsidRPr="00F92CF8">
        <w:rPr>
          <w:b/>
          <w:bCs/>
          <w:color w:val="000000"/>
          <w:sz w:val="24"/>
        </w:rPr>
        <w:t xml:space="preserve"> resistance gene by PCR.</w:t>
      </w:r>
      <w:r>
        <w:rPr>
          <w:b/>
          <w:bCs/>
          <w:color w:val="000000"/>
          <w:sz w:val="24"/>
        </w:rPr>
        <w:t xml:space="preserve"> </w:t>
      </w:r>
      <w:r w:rsidRPr="00F92CF8">
        <w:rPr>
          <w:bCs/>
          <w:color w:val="000000"/>
          <w:sz w:val="24"/>
        </w:rPr>
        <w:t>(</w:t>
      </w:r>
      <w:r w:rsidRPr="00F92CF8">
        <w:rPr>
          <w:b/>
          <w:color w:val="000000"/>
          <w:sz w:val="24"/>
        </w:rPr>
        <w:t>A</w:t>
      </w:r>
      <w:r w:rsidRPr="00F92CF8">
        <w:rPr>
          <w:bCs/>
          <w:color w:val="000000"/>
          <w:sz w:val="24"/>
        </w:rPr>
        <w:t xml:space="preserve">) PCR amplification of the </w:t>
      </w:r>
      <w:proofErr w:type="spellStart"/>
      <w:r w:rsidRPr="00F92CF8">
        <w:rPr>
          <w:bCs/>
          <w:i/>
          <w:iCs/>
          <w:color w:val="000000"/>
          <w:sz w:val="24"/>
        </w:rPr>
        <w:t>nuc</w:t>
      </w:r>
      <w:proofErr w:type="spellEnd"/>
      <w:r w:rsidRPr="00F92CF8">
        <w:rPr>
          <w:bCs/>
          <w:color w:val="000000"/>
          <w:sz w:val="24"/>
        </w:rPr>
        <w:t xml:space="preserve"> gene (276 bp) in </w:t>
      </w:r>
      <w:r w:rsidRPr="00F92CF8">
        <w:rPr>
          <w:bCs/>
          <w:i/>
          <w:iCs/>
          <w:color w:val="000000"/>
          <w:sz w:val="24"/>
        </w:rPr>
        <w:t>Staphylococcus aureus</w:t>
      </w:r>
      <w:r w:rsidRPr="00F92CF8">
        <w:rPr>
          <w:bCs/>
          <w:color w:val="000000"/>
          <w:sz w:val="24"/>
        </w:rPr>
        <w:t xml:space="preserve"> clinical isolates recovered from diabetic foot infection (DFI) soft tissue specimens using 1.5% agarose gel electrophoresis. Lane M: 100 bp DNA ladder; lanes 2–11: clinical isolates (sample IDs DF1–DF10) positive for the expected 276 bp amplification product. Electrophoresis was performed in 1× TBE buffer at 80–100 V for 45–60 min using </w:t>
      </w:r>
      <w:proofErr w:type="spellStart"/>
      <w:r w:rsidRPr="00F92CF8">
        <w:rPr>
          <w:bCs/>
          <w:color w:val="000000"/>
          <w:sz w:val="24"/>
        </w:rPr>
        <w:t>SafeRed</w:t>
      </w:r>
      <w:proofErr w:type="spellEnd"/>
      <w:r w:rsidRPr="00F92CF8">
        <w:rPr>
          <w:bCs/>
          <w:color w:val="000000"/>
          <w:sz w:val="24"/>
        </w:rPr>
        <w:t xml:space="preserve"> staining. The presence of a single 276 bp band confirmed </w:t>
      </w:r>
      <w:r w:rsidRPr="00F92CF8">
        <w:rPr>
          <w:bCs/>
          <w:i/>
          <w:iCs/>
          <w:color w:val="000000"/>
          <w:sz w:val="24"/>
        </w:rPr>
        <w:t>S. aureus</w:t>
      </w:r>
      <w:r w:rsidRPr="00F92CF8">
        <w:rPr>
          <w:bCs/>
          <w:color w:val="000000"/>
          <w:sz w:val="24"/>
        </w:rPr>
        <w:t xml:space="preserve"> species identification.</w:t>
      </w:r>
      <w:r>
        <w:rPr>
          <w:b/>
          <w:bCs/>
          <w:color w:val="000000"/>
          <w:sz w:val="24"/>
        </w:rPr>
        <w:t xml:space="preserve"> </w:t>
      </w:r>
      <w:r w:rsidRPr="00F92CF8">
        <w:rPr>
          <w:bCs/>
          <w:color w:val="000000"/>
          <w:sz w:val="24"/>
        </w:rPr>
        <w:t>(</w:t>
      </w:r>
      <w:r w:rsidRPr="00F92CF8">
        <w:rPr>
          <w:b/>
          <w:color w:val="000000"/>
          <w:sz w:val="24"/>
        </w:rPr>
        <w:t>B</w:t>
      </w:r>
      <w:r w:rsidRPr="00F92CF8">
        <w:rPr>
          <w:bCs/>
          <w:color w:val="000000"/>
          <w:sz w:val="24"/>
        </w:rPr>
        <w:t xml:space="preserve">) PCR amplification of the </w:t>
      </w:r>
      <w:proofErr w:type="spellStart"/>
      <w:r w:rsidRPr="00F92CF8">
        <w:rPr>
          <w:bCs/>
          <w:i/>
          <w:iCs/>
          <w:color w:val="000000"/>
          <w:sz w:val="24"/>
        </w:rPr>
        <w:t>mecA</w:t>
      </w:r>
      <w:proofErr w:type="spellEnd"/>
      <w:r w:rsidRPr="00F92CF8">
        <w:rPr>
          <w:bCs/>
          <w:color w:val="000000"/>
          <w:sz w:val="24"/>
        </w:rPr>
        <w:t xml:space="preserve"> gene (147 bp) in </w:t>
      </w:r>
      <w:r w:rsidRPr="00F92CF8">
        <w:rPr>
          <w:bCs/>
          <w:i/>
          <w:iCs/>
          <w:color w:val="000000"/>
          <w:sz w:val="24"/>
        </w:rPr>
        <w:t>S. aureus</w:t>
      </w:r>
      <w:r w:rsidRPr="00F92CF8">
        <w:rPr>
          <w:bCs/>
          <w:color w:val="000000"/>
          <w:sz w:val="24"/>
        </w:rPr>
        <w:t xml:space="preserve"> isolates under identical electrophoresis conditions. Lane M: 100 bp DNA ladder; lanes 2–4 and 7–11 (sample IDs DF1–DF10) demonstrated positive amplification of the expected 147 bp product. Detection of the </w:t>
      </w:r>
      <w:proofErr w:type="spellStart"/>
      <w:r w:rsidRPr="00F92CF8">
        <w:rPr>
          <w:bCs/>
          <w:i/>
          <w:iCs/>
          <w:color w:val="000000"/>
          <w:sz w:val="24"/>
        </w:rPr>
        <w:t>mecA</w:t>
      </w:r>
      <w:proofErr w:type="spellEnd"/>
      <w:r w:rsidRPr="00F92CF8">
        <w:rPr>
          <w:bCs/>
          <w:color w:val="000000"/>
          <w:sz w:val="24"/>
        </w:rPr>
        <w:t xml:space="preserve"> gene confirmed methicillin-resistant </w:t>
      </w:r>
      <w:r w:rsidRPr="00F92CF8">
        <w:rPr>
          <w:bCs/>
          <w:i/>
          <w:iCs/>
          <w:color w:val="000000"/>
          <w:sz w:val="24"/>
        </w:rPr>
        <w:t>S. aureus</w:t>
      </w:r>
      <w:r w:rsidRPr="00F92CF8">
        <w:rPr>
          <w:bCs/>
          <w:color w:val="000000"/>
          <w:sz w:val="24"/>
        </w:rPr>
        <w:t xml:space="preserve"> (MRSA).</w:t>
      </w:r>
    </w:p>
    <w:p w14:paraId="1768951C" w14:textId="095A60E3" w:rsidR="00F92CF8" w:rsidRPr="00F92CF8" w:rsidRDefault="00F92CF8" w:rsidP="00F92CF8">
      <w:pPr>
        <w:jc w:val="both"/>
        <w:rPr>
          <w:b/>
          <w:color w:val="000000"/>
          <w:sz w:val="24"/>
        </w:rPr>
      </w:pPr>
    </w:p>
    <w:p w14:paraId="38C02DCD" w14:textId="5AFC1DF9" w:rsidR="00F92CF8" w:rsidRPr="00F92CF8" w:rsidRDefault="00F92CF8" w:rsidP="00F92CF8">
      <w:pPr>
        <w:jc w:val="both"/>
        <w:rPr>
          <w:bCs/>
          <w:color w:val="000000"/>
          <w:sz w:val="24"/>
        </w:rPr>
      </w:pPr>
      <w:r w:rsidRPr="00F92CF8">
        <w:rPr>
          <w:b/>
          <w:bCs/>
          <w:color w:val="000000"/>
          <w:sz w:val="24"/>
        </w:rPr>
        <w:t>Figure 3</w:t>
      </w:r>
      <w:r>
        <w:rPr>
          <w:b/>
          <w:bCs/>
          <w:color w:val="000000"/>
          <w:sz w:val="24"/>
        </w:rPr>
        <w:t xml:space="preserve">: </w:t>
      </w:r>
      <w:r w:rsidRPr="00F92CF8">
        <w:rPr>
          <w:b/>
          <w:color w:val="000000"/>
          <w:sz w:val="24"/>
        </w:rPr>
        <w:t xml:space="preserve">Antimicrobial resistance rates among MRSA and methicillin-sensitive </w:t>
      </w:r>
      <w:r w:rsidRPr="00F92CF8">
        <w:rPr>
          <w:b/>
          <w:i/>
          <w:iCs/>
          <w:color w:val="000000"/>
          <w:sz w:val="24"/>
        </w:rPr>
        <w:t>Staphylococcus aureus</w:t>
      </w:r>
      <w:r w:rsidRPr="00F92CF8">
        <w:rPr>
          <w:b/>
          <w:color w:val="000000"/>
          <w:sz w:val="24"/>
        </w:rPr>
        <w:t xml:space="preserve"> (MSSA) isolates against the tested antimicrobial agents.</w:t>
      </w:r>
      <w:r>
        <w:rPr>
          <w:b/>
          <w:color w:val="000000"/>
          <w:sz w:val="24"/>
        </w:rPr>
        <w:t xml:space="preserve"> </w:t>
      </w:r>
      <w:r w:rsidRPr="00F92CF8">
        <w:rPr>
          <w:bCs/>
          <w:color w:val="000000"/>
          <w:sz w:val="24"/>
        </w:rPr>
        <w:t xml:space="preserve">Bar graph illustrating resistance rates of methicillin-resistant </w:t>
      </w:r>
      <w:r w:rsidRPr="00F92CF8">
        <w:rPr>
          <w:bCs/>
          <w:i/>
          <w:iCs/>
          <w:color w:val="000000"/>
          <w:sz w:val="24"/>
        </w:rPr>
        <w:t>Staphylococcus aureus</w:t>
      </w:r>
      <w:r w:rsidRPr="00F92CF8">
        <w:rPr>
          <w:bCs/>
          <w:color w:val="000000"/>
          <w:sz w:val="24"/>
        </w:rPr>
        <w:t xml:space="preserve"> (MRSA) and methicillin-sensitive </w:t>
      </w:r>
      <w:r w:rsidRPr="00F92CF8">
        <w:rPr>
          <w:bCs/>
          <w:i/>
          <w:iCs/>
          <w:color w:val="000000"/>
          <w:sz w:val="24"/>
        </w:rPr>
        <w:t>S. aureus</w:t>
      </w:r>
      <w:r w:rsidRPr="00F92CF8">
        <w:rPr>
          <w:bCs/>
          <w:color w:val="000000"/>
          <w:sz w:val="24"/>
        </w:rPr>
        <w:t xml:space="preserve"> (MSSA) isolates against the tested antimicrobial agents. Resistance percentages were calculated based on the total number of isolates within each group. Error bars represent 95% confidence intervals where applicable.</w:t>
      </w:r>
    </w:p>
    <w:p w14:paraId="3FA9D0CA" w14:textId="5E0FAD1F" w:rsidR="00F92CF8" w:rsidRPr="00F92CF8" w:rsidRDefault="00F92CF8" w:rsidP="00F92CF8">
      <w:pPr>
        <w:jc w:val="both"/>
        <w:rPr>
          <w:b/>
          <w:color w:val="000000"/>
          <w:sz w:val="24"/>
        </w:rPr>
      </w:pPr>
    </w:p>
    <w:p w14:paraId="6849F164" w14:textId="707C6A73" w:rsidR="00F92CF8" w:rsidRPr="00F92CF8" w:rsidRDefault="00F92CF8" w:rsidP="00F92CF8">
      <w:pPr>
        <w:jc w:val="both"/>
        <w:rPr>
          <w:bCs/>
          <w:color w:val="000000"/>
          <w:sz w:val="24"/>
        </w:rPr>
      </w:pPr>
      <w:r w:rsidRPr="00F92CF8">
        <w:rPr>
          <w:b/>
          <w:bCs/>
          <w:color w:val="000000"/>
          <w:sz w:val="24"/>
        </w:rPr>
        <w:lastRenderedPageBreak/>
        <w:t>Figure 4</w:t>
      </w:r>
      <w:r>
        <w:rPr>
          <w:b/>
          <w:bCs/>
          <w:color w:val="000000"/>
          <w:sz w:val="24"/>
        </w:rPr>
        <w:t xml:space="preserve">: </w:t>
      </w:r>
      <w:r w:rsidRPr="00F92CF8">
        <w:rPr>
          <w:b/>
          <w:bCs/>
          <w:color w:val="000000"/>
          <w:sz w:val="24"/>
        </w:rPr>
        <w:t xml:space="preserve">PCR detection of the </w:t>
      </w:r>
      <w:proofErr w:type="spellStart"/>
      <w:r w:rsidRPr="00F92CF8">
        <w:rPr>
          <w:b/>
          <w:bCs/>
          <w:i/>
          <w:iCs/>
          <w:color w:val="000000"/>
          <w:sz w:val="24"/>
        </w:rPr>
        <w:t>hlg</w:t>
      </w:r>
      <w:proofErr w:type="spellEnd"/>
      <w:r w:rsidRPr="00F92CF8">
        <w:rPr>
          <w:b/>
          <w:bCs/>
          <w:color w:val="000000"/>
          <w:sz w:val="24"/>
        </w:rPr>
        <w:t xml:space="preserve"> virulence gene in </w:t>
      </w:r>
      <w:r w:rsidRPr="00F92CF8">
        <w:rPr>
          <w:b/>
          <w:bCs/>
          <w:i/>
          <w:iCs/>
          <w:color w:val="000000"/>
          <w:sz w:val="24"/>
        </w:rPr>
        <w:t>Staphylococcus aureus</w:t>
      </w:r>
      <w:r w:rsidRPr="00F92CF8">
        <w:rPr>
          <w:b/>
          <w:bCs/>
          <w:color w:val="000000"/>
          <w:sz w:val="24"/>
        </w:rPr>
        <w:t xml:space="preserve"> clinical isolates.</w:t>
      </w:r>
      <w:r>
        <w:rPr>
          <w:b/>
          <w:bCs/>
          <w:color w:val="000000"/>
          <w:sz w:val="24"/>
        </w:rPr>
        <w:t xml:space="preserve"> </w:t>
      </w:r>
      <w:r w:rsidRPr="00F92CF8">
        <w:rPr>
          <w:bCs/>
          <w:color w:val="000000"/>
          <w:sz w:val="24"/>
        </w:rPr>
        <w:t xml:space="preserve">PCR detection of the </w:t>
      </w:r>
      <w:proofErr w:type="spellStart"/>
      <w:r w:rsidRPr="00F92CF8">
        <w:rPr>
          <w:bCs/>
          <w:i/>
          <w:iCs/>
          <w:color w:val="000000"/>
          <w:sz w:val="24"/>
        </w:rPr>
        <w:t>hlg</w:t>
      </w:r>
      <w:proofErr w:type="spellEnd"/>
      <w:r w:rsidRPr="00F92CF8">
        <w:rPr>
          <w:bCs/>
          <w:color w:val="000000"/>
          <w:sz w:val="24"/>
        </w:rPr>
        <w:t xml:space="preserve"> gene (937 bp) in </w:t>
      </w:r>
      <w:r w:rsidRPr="00F92CF8">
        <w:rPr>
          <w:bCs/>
          <w:i/>
          <w:iCs/>
          <w:color w:val="000000"/>
          <w:sz w:val="24"/>
        </w:rPr>
        <w:t>S. aureus</w:t>
      </w:r>
      <w:r w:rsidRPr="00F92CF8">
        <w:rPr>
          <w:bCs/>
          <w:color w:val="000000"/>
          <w:sz w:val="24"/>
        </w:rPr>
        <w:t xml:space="preserve"> clinical isolates recovered from DFI bone tissue specimens using 1.5% agarose gel electrophoresis. Lane M: 100 bp DNA ladder; lanes 2–17 (sample IDs DF11–DF26) demonstrated positive amplification of the expected 937 bp fragment. Electrophoresis was performed in 1× TBE buffer at 80–100 V for 45–60 min using </w:t>
      </w:r>
      <w:proofErr w:type="spellStart"/>
      <w:r w:rsidRPr="00F92CF8">
        <w:rPr>
          <w:bCs/>
          <w:color w:val="000000"/>
          <w:sz w:val="24"/>
        </w:rPr>
        <w:t>SafeRed</w:t>
      </w:r>
      <w:proofErr w:type="spellEnd"/>
      <w:r w:rsidRPr="00F92CF8">
        <w:rPr>
          <w:bCs/>
          <w:color w:val="000000"/>
          <w:sz w:val="24"/>
        </w:rPr>
        <w:t xml:space="preserve"> staining. Detection of the 937 bp fragment indicated the presence of the γ-</w:t>
      </w:r>
      <w:proofErr w:type="spellStart"/>
      <w:r w:rsidRPr="00F92CF8">
        <w:rPr>
          <w:bCs/>
          <w:color w:val="000000"/>
          <w:sz w:val="24"/>
        </w:rPr>
        <w:t>hemolysin</w:t>
      </w:r>
      <w:proofErr w:type="spellEnd"/>
      <w:r w:rsidRPr="00F92CF8">
        <w:rPr>
          <w:bCs/>
          <w:color w:val="000000"/>
          <w:sz w:val="24"/>
        </w:rPr>
        <w:t xml:space="preserve"> (</w:t>
      </w:r>
      <w:proofErr w:type="spellStart"/>
      <w:r w:rsidRPr="00F92CF8">
        <w:rPr>
          <w:bCs/>
          <w:i/>
          <w:iCs/>
          <w:color w:val="000000"/>
          <w:sz w:val="24"/>
        </w:rPr>
        <w:t>hlg</w:t>
      </w:r>
      <w:proofErr w:type="spellEnd"/>
      <w:r w:rsidRPr="00F92CF8">
        <w:rPr>
          <w:bCs/>
          <w:color w:val="000000"/>
          <w:sz w:val="24"/>
        </w:rPr>
        <w:t>) virulence gene.</w:t>
      </w:r>
    </w:p>
    <w:p w14:paraId="77BE6C75" w14:textId="6CC1331D" w:rsidR="00F92CF8" w:rsidRPr="00F92CF8" w:rsidRDefault="00F92CF8" w:rsidP="00F92CF8">
      <w:pPr>
        <w:jc w:val="both"/>
        <w:rPr>
          <w:b/>
          <w:color w:val="000000"/>
          <w:sz w:val="24"/>
        </w:rPr>
      </w:pPr>
    </w:p>
    <w:p w14:paraId="27B7733B" w14:textId="4C7FB750" w:rsidR="00F92CF8" w:rsidRPr="00F92CF8" w:rsidRDefault="00F92CF8" w:rsidP="00F92CF8">
      <w:pPr>
        <w:jc w:val="both"/>
        <w:rPr>
          <w:b/>
          <w:bCs/>
          <w:color w:val="000000"/>
          <w:sz w:val="24"/>
        </w:rPr>
      </w:pPr>
      <w:r w:rsidRPr="00F92CF8">
        <w:rPr>
          <w:b/>
          <w:bCs/>
          <w:color w:val="000000"/>
          <w:sz w:val="24"/>
        </w:rPr>
        <w:t>Figure 5</w:t>
      </w:r>
      <w:r>
        <w:rPr>
          <w:b/>
          <w:bCs/>
          <w:color w:val="000000"/>
          <w:sz w:val="24"/>
        </w:rPr>
        <w:t xml:space="preserve">: </w:t>
      </w:r>
      <w:r w:rsidRPr="00F92CF8">
        <w:rPr>
          <w:b/>
          <w:bCs/>
          <w:color w:val="000000"/>
          <w:sz w:val="24"/>
        </w:rPr>
        <w:t xml:space="preserve">PCR amplification of the </w:t>
      </w:r>
      <w:proofErr w:type="spellStart"/>
      <w:r w:rsidRPr="00F92CF8">
        <w:rPr>
          <w:b/>
          <w:bCs/>
          <w:i/>
          <w:iCs/>
          <w:color w:val="000000"/>
          <w:sz w:val="24"/>
        </w:rPr>
        <w:t>cna</w:t>
      </w:r>
      <w:proofErr w:type="spellEnd"/>
      <w:r w:rsidRPr="00F92CF8">
        <w:rPr>
          <w:b/>
          <w:bCs/>
          <w:color w:val="000000"/>
          <w:sz w:val="24"/>
        </w:rPr>
        <w:t xml:space="preserve"> virulence gene in </w:t>
      </w:r>
      <w:r w:rsidRPr="00F92CF8">
        <w:rPr>
          <w:b/>
          <w:bCs/>
          <w:i/>
          <w:iCs/>
          <w:color w:val="000000"/>
          <w:sz w:val="24"/>
        </w:rPr>
        <w:t>Staphylococcus aureus</w:t>
      </w:r>
      <w:r w:rsidRPr="00F92CF8">
        <w:rPr>
          <w:b/>
          <w:bCs/>
          <w:color w:val="000000"/>
          <w:sz w:val="24"/>
        </w:rPr>
        <w:t xml:space="preserve"> clinical isolates.</w:t>
      </w:r>
      <w:r>
        <w:rPr>
          <w:b/>
          <w:bCs/>
          <w:color w:val="000000"/>
          <w:sz w:val="24"/>
        </w:rPr>
        <w:t xml:space="preserve"> </w:t>
      </w:r>
      <w:r w:rsidRPr="00F92CF8">
        <w:rPr>
          <w:bCs/>
          <w:color w:val="000000"/>
          <w:sz w:val="24"/>
        </w:rPr>
        <w:t xml:space="preserve">PCR amplification of the </w:t>
      </w:r>
      <w:proofErr w:type="spellStart"/>
      <w:r w:rsidRPr="00F92CF8">
        <w:rPr>
          <w:bCs/>
          <w:i/>
          <w:iCs/>
          <w:color w:val="000000"/>
          <w:sz w:val="24"/>
        </w:rPr>
        <w:t>cna</w:t>
      </w:r>
      <w:proofErr w:type="spellEnd"/>
      <w:r w:rsidRPr="00F92CF8">
        <w:rPr>
          <w:bCs/>
          <w:color w:val="000000"/>
          <w:sz w:val="24"/>
        </w:rPr>
        <w:t xml:space="preserve"> gene (740 bp) in </w:t>
      </w:r>
      <w:r w:rsidRPr="00F92CF8">
        <w:rPr>
          <w:bCs/>
          <w:i/>
          <w:iCs/>
          <w:color w:val="000000"/>
          <w:sz w:val="24"/>
        </w:rPr>
        <w:t>S. aureus</w:t>
      </w:r>
      <w:r w:rsidRPr="00F92CF8">
        <w:rPr>
          <w:bCs/>
          <w:color w:val="000000"/>
          <w:sz w:val="24"/>
        </w:rPr>
        <w:t xml:space="preserve"> clinical isolates recovered from DFI soft tissue specimens using 1.5% agarose gel electrophoresis. Lane M: 100 bp DNA ladder; lanes 2, 6, 8, and 16 (sample IDs DF3, DF7, DF9, and DF15) demonstrated positive amplification of the expected 740 bp product. Electrophoresis was performed in 1× TBE buffer at 80–100 V for 45–60 min using </w:t>
      </w:r>
      <w:proofErr w:type="spellStart"/>
      <w:r w:rsidRPr="00F92CF8">
        <w:rPr>
          <w:bCs/>
          <w:color w:val="000000"/>
          <w:sz w:val="24"/>
        </w:rPr>
        <w:t>SafeRed</w:t>
      </w:r>
      <w:proofErr w:type="spellEnd"/>
      <w:r w:rsidRPr="00F92CF8">
        <w:rPr>
          <w:bCs/>
          <w:color w:val="000000"/>
          <w:sz w:val="24"/>
        </w:rPr>
        <w:t xml:space="preserve"> staining. Detection of the 740 bp fragment indicated the presence of the collagen </w:t>
      </w:r>
      <w:proofErr w:type="spellStart"/>
      <w:r w:rsidRPr="00F92CF8">
        <w:rPr>
          <w:bCs/>
          <w:color w:val="000000"/>
          <w:sz w:val="24"/>
        </w:rPr>
        <w:t>adhesin</w:t>
      </w:r>
      <w:proofErr w:type="spellEnd"/>
      <w:r w:rsidRPr="00F92CF8">
        <w:rPr>
          <w:bCs/>
          <w:color w:val="000000"/>
          <w:sz w:val="24"/>
        </w:rPr>
        <w:t xml:space="preserve"> (</w:t>
      </w:r>
      <w:proofErr w:type="spellStart"/>
      <w:r w:rsidRPr="00F92CF8">
        <w:rPr>
          <w:bCs/>
          <w:i/>
          <w:iCs/>
          <w:color w:val="000000"/>
          <w:sz w:val="24"/>
        </w:rPr>
        <w:t>cna</w:t>
      </w:r>
      <w:proofErr w:type="spellEnd"/>
      <w:r w:rsidRPr="00F92CF8">
        <w:rPr>
          <w:bCs/>
          <w:color w:val="000000"/>
          <w:sz w:val="24"/>
        </w:rPr>
        <w:t>) gene.</w:t>
      </w:r>
    </w:p>
    <w:p w14:paraId="43CC5C53" w14:textId="7E02C9B5" w:rsidR="00F92CF8" w:rsidRPr="00F92CF8" w:rsidRDefault="00F92CF8" w:rsidP="00F92CF8">
      <w:pPr>
        <w:jc w:val="both"/>
        <w:rPr>
          <w:b/>
          <w:color w:val="000000"/>
          <w:sz w:val="24"/>
        </w:rPr>
      </w:pPr>
    </w:p>
    <w:p w14:paraId="73CC609D" w14:textId="573F7196" w:rsidR="00F92CF8" w:rsidRPr="00F92CF8" w:rsidRDefault="00F92CF8" w:rsidP="00F92CF8">
      <w:pPr>
        <w:jc w:val="both"/>
        <w:rPr>
          <w:bCs/>
          <w:color w:val="000000"/>
          <w:sz w:val="24"/>
        </w:rPr>
      </w:pPr>
      <w:r w:rsidRPr="00F92CF8">
        <w:rPr>
          <w:b/>
          <w:bCs/>
          <w:color w:val="000000"/>
          <w:sz w:val="24"/>
        </w:rPr>
        <w:t>Figure 6</w:t>
      </w:r>
      <w:r>
        <w:rPr>
          <w:b/>
          <w:bCs/>
          <w:color w:val="000000"/>
          <w:sz w:val="24"/>
        </w:rPr>
        <w:t xml:space="preserve">: </w:t>
      </w:r>
      <w:r w:rsidRPr="00F92CF8">
        <w:rPr>
          <w:b/>
          <w:color w:val="000000"/>
          <w:sz w:val="24"/>
        </w:rPr>
        <w:t xml:space="preserve">Quality-control analysis of </w:t>
      </w:r>
      <w:r w:rsidRPr="008E4B3B">
        <w:rPr>
          <w:b/>
          <w:i/>
          <w:iCs/>
          <w:color w:val="000000"/>
          <w:sz w:val="24"/>
        </w:rPr>
        <w:t>de novo</w:t>
      </w:r>
      <w:r w:rsidRPr="00F92CF8">
        <w:rPr>
          <w:b/>
          <w:color w:val="000000"/>
          <w:sz w:val="24"/>
        </w:rPr>
        <w:t xml:space="preserve"> sequencing reads generated from selected </w:t>
      </w:r>
      <w:r w:rsidRPr="00F92CF8">
        <w:rPr>
          <w:b/>
          <w:i/>
          <w:iCs/>
          <w:color w:val="000000"/>
          <w:sz w:val="24"/>
        </w:rPr>
        <w:t>S. aureus</w:t>
      </w:r>
      <w:r w:rsidRPr="00F92CF8">
        <w:rPr>
          <w:b/>
          <w:color w:val="000000"/>
          <w:sz w:val="24"/>
        </w:rPr>
        <w:t xml:space="preserve"> clinical isolates. </w:t>
      </w:r>
      <w:r w:rsidRPr="00F92CF8">
        <w:rPr>
          <w:bCs/>
          <w:color w:val="000000"/>
          <w:sz w:val="24"/>
        </w:rPr>
        <w:t xml:space="preserve">The x-axis represents the base position along sequencing reads, whereas the y-axis represents the corresponding Phred quality score. Most reads </w:t>
      </w:r>
      <w:r w:rsidR="00E47899">
        <w:rPr>
          <w:bCs/>
          <w:color w:val="000000"/>
          <w:sz w:val="24"/>
        </w:rPr>
        <w:t xml:space="preserve">showed high-quality scores at the beginning of the reads, with gradual quality reduction toward the </w:t>
      </w:r>
      <w:r w:rsidRPr="00F92CF8">
        <w:rPr>
          <w:bCs/>
          <w:color w:val="000000"/>
          <w:sz w:val="24"/>
        </w:rPr>
        <w:t>terminal regions. These quality metrics were used to evaluate read reliability prior to downstream genome assembly and bioinformatics analyses.</w:t>
      </w:r>
    </w:p>
    <w:p w14:paraId="02A36957" w14:textId="3D8A44F6" w:rsidR="00F92CF8" w:rsidRPr="00F92CF8" w:rsidRDefault="00F92CF8" w:rsidP="00F92CF8">
      <w:pPr>
        <w:jc w:val="both"/>
        <w:rPr>
          <w:b/>
          <w:color w:val="000000"/>
          <w:sz w:val="24"/>
        </w:rPr>
      </w:pPr>
    </w:p>
    <w:p w14:paraId="52921994" w14:textId="68757467" w:rsidR="00F92CF8" w:rsidRPr="0076448E" w:rsidRDefault="00F92CF8" w:rsidP="00F92CF8">
      <w:pPr>
        <w:jc w:val="both"/>
        <w:rPr>
          <w:bCs/>
          <w:color w:val="000000"/>
          <w:sz w:val="24"/>
        </w:rPr>
      </w:pPr>
      <w:r w:rsidRPr="00F92CF8">
        <w:rPr>
          <w:b/>
          <w:bCs/>
          <w:color w:val="000000"/>
          <w:sz w:val="24"/>
        </w:rPr>
        <w:t>Figure 7</w:t>
      </w:r>
      <w:r>
        <w:rPr>
          <w:b/>
          <w:bCs/>
          <w:color w:val="000000"/>
          <w:sz w:val="24"/>
        </w:rPr>
        <w:t xml:space="preserve">: </w:t>
      </w:r>
      <w:r w:rsidRPr="00F92CF8">
        <w:rPr>
          <w:b/>
          <w:bCs/>
          <w:color w:val="000000"/>
          <w:sz w:val="24"/>
        </w:rPr>
        <w:t>Circular genome visualization map of MDR-MRSA isolate 39-Sa generated from draft whole-genome sequencing assembly data.</w:t>
      </w:r>
      <w:r>
        <w:rPr>
          <w:b/>
          <w:bCs/>
          <w:color w:val="000000"/>
          <w:sz w:val="24"/>
        </w:rPr>
        <w:t xml:space="preserve"> </w:t>
      </w:r>
      <w:r w:rsidRPr="0076448E">
        <w:rPr>
          <w:bCs/>
          <w:color w:val="000000"/>
          <w:sz w:val="24"/>
        </w:rPr>
        <w:t>Circular genome visualization map of MDR-MRSA isolate 39-Sa (</w:t>
      </w:r>
      <w:r w:rsidRPr="0076448E">
        <w:rPr>
          <w:bCs/>
          <w:i/>
          <w:iCs/>
          <w:color w:val="000000"/>
          <w:sz w:val="24"/>
        </w:rPr>
        <w:t>Staphylococcus aureus</w:t>
      </w:r>
      <w:r w:rsidRPr="0076448E">
        <w:rPr>
          <w:bCs/>
          <w:color w:val="000000"/>
          <w:sz w:val="24"/>
        </w:rPr>
        <w:t xml:space="preserve">) generated from draft whole-genome assembly data obtained using </w:t>
      </w:r>
      <w:r w:rsidR="00E47899">
        <w:rPr>
          <w:bCs/>
          <w:color w:val="000000"/>
          <w:sz w:val="24"/>
        </w:rPr>
        <w:t xml:space="preserve">a </w:t>
      </w:r>
      <w:r w:rsidR="00E47899" w:rsidRPr="00E47899">
        <w:rPr>
          <w:bCs/>
          <w:color w:val="000000"/>
          <w:sz w:val="24"/>
        </w:rPr>
        <w:t>Next-Generation Sequencing (NGS) platform</w:t>
      </w:r>
      <w:r w:rsidR="00E47899">
        <w:rPr>
          <w:bCs/>
          <w:color w:val="000000"/>
          <w:sz w:val="24"/>
        </w:rPr>
        <w:t xml:space="preserve"> </w:t>
      </w:r>
      <w:r w:rsidRPr="0076448E">
        <w:rPr>
          <w:bCs/>
          <w:color w:val="000000"/>
          <w:sz w:val="24"/>
        </w:rPr>
        <w:t xml:space="preserve">with approximately 182× sequencing coverage. The draft assembly </w:t>
      </w:r>
      <w:r w:rsidR="00FC6218">
        <w:rPr>
          <w:bCs/>
          <w:color w:val="000000"/>
          <w:sz w:val="24"/>
        </w:rPr>
        <w:t>comprised 88 scaffolds totaling</w:t>
      </w:r>
      <w:r w:rsidRPr="0076448E">
        <w:rPr>
          <w:bCs/>
          <w:color w:val="000000"/>
          <w:sz w:val="24"/>
        </w:rPr>
        <w:t xml:space="preserve"> 6,763,353 bp. Antimicrobial resistance genes were identified using </w:t>
      </w:r>
      <w:proofErr w:type="spellStart"/>
      <w:r w:rsidRPr="0076448E">
        <w:rPr>
          <w:bCs/>
          <w:color w:val="000000"/>
          <w:sz w:val="24"/>
        </w:rPr>
        <w:t>ABRicate</w:t>
      </w:r>
      <w:proofErr w:type="spellEnd"/>
      <w:r w:rsidRPr="0076448E">
        <w:rPr>
          <w:bCs/>
          <w:color w:val="000000"/>
          <w:sz w:val="24"/>
        </w:rPr>
        <w:t xml:space="preserve"> with CARD/</w:t>
      </w:r>
      <w:proofErr w:type="spellStart"/>
      <w:r w:rsidRPr="0076448E">
        <w:rPr>
          <w:bCs/>
          <w:color w:val="000000"/>
          <w:sz w:val="24"/>
        </w:rPr>
        <w:t>ResFinder</w:t>
      </w:r>
      <w:proofErr w:type="spellEnd"/>
      <w:r w:rsidRPr="0076448E">
        <w:rPr>
          <w:bCs/>
          <w:color w:val="000000"/>
          <w:sz w:val="24"/>
        </w:rPr>
        <w:t xml:space="preserve"> databases, virulence-associated genes were identified using VFDB, and CRISPR-Cas loci were detected using </w:t>
      </w:r>
      <w:proofErr w:type="spellStart"/>
      <w:r w:rsidRPr="0076448E">
        <w:rPr>
          <w:bCs/>
          <w:color w:val="000000"/>
          <w:sz w:val="24"/>
        </w:rPr>
        <w:t>CRISPRCasFinder</w:t>
      </w:r>
      <w:proofErr w:type="spellEnd"/>
      <w:r w:rsidRPr="0076448E">
        <w:rPr>
          <w:bCs/>
          <w:color w:val="000000"/>
          <w:sz w:val="24"/>
        </w:rPr>
        <w:t>. Circular annotation tracks represent coding sequences (CDS), GC content, GC skew, antimicrobial resistance determinants, virulence-associated genes, and CRISPR-associated regions across the draft genome assembly.</w:t>
      </w:r>
    </w:p>
    <w:p w14:paraId="49EC2E5D" w14:textId="70BA5FD3" w:rsidR="00F92CF8" w:rsidRPr="00F92CF8" w:rsidRDefault="00F92CF8" w:rsidP="00F92CF8">
      <w:pPr>
        <w:jc w:val="both"/>
        <w:rPr>
          <w:b/>
          <w:color w:val="000000"/>
          <w:sz w:val="24"/>
        </w:rPr>
      </w:pPr>
    </w:p>
    <w:p w14:paraId="272A79A9" w14:textId="180DB8D3" w:rsidR="00F92CF8" w:rsidRPr="0076448E" w:rsidRDefault="00F92CF8" w:rsidP="00F92CF8">
      <w:pPr>
        <w:jc w:val="both"/>
        <w:rPr>
          <w:bCs/>
          <w:color w:val="000000"/>
          <w:sz w:val="24"/>
        </w:rPr>
      </w:pPr>
      <w:r w:rsidRPr="00F92CF8">
        <w:rPr>
          <w:b/>
          <w:bCs/>
          <w:color w:val="000000"/>
          <w:sz w:val="24"/>
        </w:rPr>
        <w:t>Figure 8</w:t>
      </w:r>
      <w:r w:rsidR="0076448E">
        <w:rPr>
          <w:b/>
          <w:bCs/>
          <w:color w:val="000000"/>
          <w:sz w:val="24"/>
        </w:rPr>
        <w:t xml:space="preserve">: </w:t>
      </w:r>
      <w:r w:rsidRPr="00F92CF8">
        <w:rPr>
          <w:b/>
          <w:color w:val="000000"/>
          <w:sz w:val="24"/>
        </w:rPr>
        <w:t xml:space="preserve">Circular genome visualization map of the extensively drug-resistant (XDR) vancomycin-resistant </w:t>
      </w:r>
      <w:r w:rsidRPr="00F92CF8">
        <w:rPr>
          <w:b/>
          <w:i/>
          <w:iCs/>
          <w:color w:val="000000"/>
          <w:sz w:val="24"/>
        </w:rPr>
        <w:t>Staphylococcus aureus</w:t>
      </w:r>
      <w:r w:rsidRPr="00F92CF8">
        <w:rPr>
          <w:b/>
          <w:color w:val="000000"/>
          <w:sz w:val="24"/>
        </w:rPr>
        <w:t xml:space="preserve"> isolate SA-14 generated from draft whole-genome assembly data. </w:t>
      </w:r>
      <w:r w:rsidRPr="0076448E">
        <w:rPr>
          <w:bCs/>
          <w:color w:val="000000"/>
          <w:sz w:val="24"/>
        </w:rPr>
        <w:t xml:space="preserve">The draft assembly consisted of 88 scaffolds. Antimicrobial resistance genes were identified using </w:t>
      </w:r>
      <w:proofErr w:type="spellStart"/>
      <w:r w:rsidRPr="0076448E">
        <w:rPr>
          <w:bCs/>
          <w:color w:val="000000"/>
          <w:sz w:val="24"/>
        </w:rPr>
        <w:t>ABRicate</w:t>
      </w:r>
      <w:proofErr w:type="spellEnd"/>
      <w:r w:rsidRPr="0076448E">
        <w:rPr>
          <w:bCs/>
          <w:color w:val="000000"/>
          <w:sz w:val="24"/>
        </w:rPr>
        <w:t xml:space="preserve"> with CARD/</w:t>
      </w:r>
      <w:proofErr w:type="spellStart"/>
      <w:r w:rsidRPr="0076448E">
        <w:rPr>
          <w:bCs/>
          <w:color w:val="000000"/>
          <w:sz w:val="24"/>
        </w:rPr>
        <w:t>ResFinder</w:t>
      </w:r>
      <w:proofErr w:type="spellEnd"/>
      <w:r w:rsidRPr="0076448E">
        <w:rPr>
          <w:bCs/>
          <w:color w:val="000000"/>
          <w:sz w:val="24"/>
        </w:rPr>
        <w:t xml:space="preserve"> databases, virulence-associated genes were identified using VFDB, and CRISPR-Cas loci were detected using </w:t>
      </w:r>
      <w:proofErr w:type="spellStart"/>
      <w:r w:rsidRPr="0076448E">
        <w:rPr>
          <w:bCs/>
          <w:color w:val="000000"/>
          <w:sz w:val="24"/>
        </w:rPr>
        <w:t>CRISPRCasFinder</w:t>
      </w:r>
      <w:proofErr w:type="spellEnd"/>
      <w:r w:rsidRPr="0076448E">
        <w:rPr>
          <w:bCs/>
          <w:color w:val="000000"/>
          <w:sz w:val="24"/>
        </w:rPr>
        <w:t>. Circular annotation tracks represent coding sequences (CDS), GC content, GC skew, antimicrobial resistance determinants, virulence-associated genes, plasmid-associated regions, and CRISPR-Cas elements.</w:t>
      </w:r>
    </w:p>
    <w:p w14:paraId="238A22AF" w14:textId="757613CC" w:rsidR="00F92CF8" w:rsidRPr="00F92CF8" w:rsidRDefault="00F92CF8" w:rsidP="00F92CF8">
      <w:pPr>
        <w:jc w:val="both"/>
        <w:rPr>
          <w:b/>
          <w:color w:val="000000"/>
          <w:sz w:val="24"/>
        </w:rPr>
      </w:pPr>
    </w:p>
    <w:p w14:paraId="04FA3555" w14:textId="6E6AC258" w:rsidR="00F92CF8" w:rsidRPr="0076448E" w:rsidRDefault="00F92CF8" w:rsidP="00F92CF8">
      <w:pPr>
        <w:jc w:val="both"/>
        <w:rPr>
          <w:bCs/>
          <w:color w:val="000000"/>
          <w:sz w:val="24"/>
        </w:rPr>
      </w:pPr>
      <w:r w:rsidRPr="00F92CF8">
        <w:rPr>
          <w:b/>
          <w:bCs/>
          <w:color w:val="000000"/>
          <w:sz w:val="24"/>
        </w:rPr>
        <w:lastRenderedPageBreak/>
        <w:t>Table 1</w:t>
      </w:r>
      <w:r w:rsidR="0076448E">
        <w:rPr>
          <w:b/>
          <w:bCs/>
          <w:color w:val="000000"/>
          <w:sz w:val="24"/>
        </w:rPr>
        <w:t xml:space="preserve">: </w:t>
      </w:r>
      <w:r w:rsidRPr="00F92CF8">
        <w:rPr>
          <w:b/>
          <w:color w:val="000000"/>
          <w:sz w:val="24"/>
        </w:rPr>
        <w:t>Primer sequences used for PCR amplification of target genes investigated in this study.</w:t>
      </w:r>
      <w:r w:rsidR="0076448E">
        <w:rPr>
          <w:b/>
          <w:color w:val="000000"/>
          <w:sz w:val="24"/>
        </w:rPr>
        <w:t xml:space="preserve"> </w:t>
      </w:r>
      <w:r w:rsidR="0076448E" w:rsidRPr="0076448E">
        <w:rPr>
          <w:bCs/>
          <w:color w:val="000000"/>
          <w:sz w:val="24"/>
        </w:rPr>
        <w:t xml:space="preserve">The table summarizes the target genes, primer sequences, expected amplicon sizes, annealing temperatures, and references used for PCR amplification of </w:t>
      </w:r>
      <w:proofErr w:type="spellStart"/>
      <w:r w:rsidR="0076448E" w:rsidRPr="0076448E">
        <w:rPr>
          <w:bCs/>
          <w:i/>
          <w:iCs/>
          <w:color w:val="000000"/>
          <w:sz w:val="24"/>
        </w:rPr>
        <w:t>nuc</w:t>
      </w:r>
      <w:proofErr w:type="spellEnd"/>
      <w:r w:rsidR="0076448E" w:rsidRPr="0076448E">
        <w:rPr>
          <w:bCs/>
          <w:color w:val="000000"/>
          <w:sz w:val="24"/>
        </w:rPr>
        <w:t xml:space="preserve">, </w:t>
      </w:r>
      <w:proofErr w:type="spellStart"/>
      <w:r w:rsidR="0076448E" w:rsidRPr="0076448E">
        <w:rPr>
          <w:bCs/>
          <w:i/>
          <w:iCs/>
          <w:color w:val="000000"/>
          <w:sz w:val="24"/>
        </w:rPr>
        <w:t>mecA</w:t>
      </w:r>
      <w:proofErr w:type="spellEnd"/>
      <w:r w:rsidR="0076448E" w:rsidRPr="0076448E">
        <w:rPr>
          <w:bCs/>
          <w:color w:val="000000"/>
          <w:sz w:val="24"/>
        </w:rPr>
        <w:t xml:space="preserve">, </w:t>
      </w:r>
      <w:proofErr w:type="spellStart"/>
      <w:r w:rsidR="0076448E" w:rsidRPr="0076448E">
        <w:rPr>
          <w:bCs/>
          <w:i/>
          <w:iCs/>
          <w:color w:val="000000"/>
          <w:sz w:val="24"/>
        </w:rPr>
        <w:t>hlg</w:t>
      </w:r>
      <w:proofErr w:type="spellEnd"/>
      <w:r w:rsidR="0076448E" w:rsidRPr="0076448E">
        <w:rPr>
          <w:bCs/>
          <w:color w:val="000000"/>
          <w:sz w:val="24"/>
        </w:rPr>
        <w:t xml:space="preserve">, </w:t>
      </w:r>
      <w:proofErr w:type="spellStart"/>
      <w:r w:rsidR="0076448E" w:rsidRPr="0076448E">
        <w:rPr>
          <w:bCs/>
          <w:i/>
          <w:iCs/>
          <w:color w:val="000000"/>
          <w:sz w:val="24"/>
        </w:rPr>
        <w:t>cna</w:t>
      </w:r>
      <w:proofErr w:type="spellEnd"/>
      <w:r w:rsidR="0076448E" w:rsidRPr="0076448E">
        <w:rPr>
          <w:bCs/>
          <w:color w:val="000000"/>
          <w:sz w:val="24"/>
        </w:rPr>
        <w:t xml:space="preserve">, and </w:t>
      </w:r>
      <w:proofErr w:type="spellStart"/>
      <w:r w:rsidR="0076448E" w:rsidRPr="0076448E">
        <w:rPr>
          <w:bCs/>
          <w:i/>
          <w:iCs/>
          <w:color w:val="000000"/>
          <w:sz w:val="24"/>
        </w:rPr>
        <w:t>bla</w:t>
      </w:r>
      <w:r w:rsidR="0076448E" w:rsidRPr="0076448E">
        <w:rPr>
          <w:bCs/>
          <w:color w:val="000000"/>
          <w:sz w:val="24"/>
          <w:vertAlign w:val="subscript"/>
        </w:rPr>
        <w:t>OXA</w:t>
      </w:r>
      <w:proofErr w:type="spellEnd"/>
      <w:r w:rsidR="0076448E" w:rsidRPr="0076448E">
        <w:rPr>
          <w:bCs/>
          <w:color w:val="000000"/>
          <w:sz w:val="24"/>
        </w:rPr>
        <w:t xml:space="preserve">-group I genes in </w:t>
      </w:r>
      <w:r w:rsidR="0076448E" w:rsidRPr="0076448E">
        <w:rPr>
          <w:bCs/>
          <w:i/>
          <w:iCs/>
          <w:color w:val="000000"/>
          <w:sz w:val="24"/>
        </w:rPr>
        <w:t>Staphylococcus aureus</w:t>
      </w:r>
      <w:r w:rsidR="0076448E" w:rsidRPr="0076448E">
        <w:rPr>
          <w:bCs/>
          <w:color w:val="000000"/>
          <w:sz w:val="24"/>
        </w:rPr>
        <w:t xml:space="preserve"> isolates recovered from diabetic foot infections.</w:t>
      </w:r>
    </w:p>
    <w:p w14:paraId="0DDCA7FE" w14:textId="530AA446" w:rsidR="00F92CF8" w:rsidRPr="00F92CF8" w:rsidRDefault="00F92CF8" w:rsidP="00F92CF8">
      <w:pPr>
        <w:jc w:val="both"/>
        <w:rPr>
          <w:b/>
          <w:color w:val="000000"/>
          <w:sz w:val="24"/>
        </w:rPr>
      </w:pPr>
    </w:p>
    <w:p w14:paraId="688F47FD" w14:textId="7F6DB21C" w:rsidR="00F92CF8" w:rsidRPr="0076448E" w:rsidRDefault="00F92CF8" w:rsidP="00F92CF8">
      <w:pPr>
        <w:jc w:val="both"/>
        <w:rPr>
          <w:b/>
          <w:bCs/>
          <w:color w:val="000000"/>
          <w:sz w:val="24"/>
        </w:rPr>
      </w:pPr>
      <w:r w:rsidRPr="00F92CF8">
        <w:rPr>
          <w:b/>
          <w:bCs/>
          <w:color w:val="000000"/>
          <w:sz w:val="24"/>
        </w:rPr>
        <w:t>Table 2</w:t>
      </w:r>
      <w:r w:rsidR="0076448E">
        <w:rPr>
          <w:b/>
          <w:bCs/>
          <w:color w:val="000000"/>
          <w:sz w:val="24"/>
        </w:rPr>
        <w:t xml:space="preserve">: </w:t>
      </w:r>
      <w:r w:rsidRPr="00F92CF8">
        <w:rPr>
          <w:b/>
          <w:color w:val="000000"/>
          <w:sz w:val="24"/>
        </w:rPr>
        <w:t xml:space="preserve">Demographic characteristics, MRSA/MSSA distribution, antimicrobial resistance patterns, and virulence gene prevalence among </w:t>
      </w:r>
      <w:r w:rsidRPr="00F92CF8">
        <w:rPr>
          <w:b/>
          <w:i/>
          <w:iCs/>
          <w:color w:val="000000"/>
          <w:sz w:val="24"/>
        </w:rPr>
        <w:t>Staphylococcus aureus</w:t>
      </w:r>
      <w:r w:rsidRPr="00F92CF8">
        <w:rPr>
          <w:b/>
          <w:color w:val="000000"/>
          <w:sz w:val="24"/>
        </w:rPr>
        <w:t xml:space="preserve"> isolates recovered from patients with diabetic foot infections.</w:t>
      </w:r>
      <w:r w:rsidR="0076448E">
        <w:rPr>
          <w:b/>
          <w:color w:val="000000"/>
          <w:sz w:val="24"/>
        </w:rPr>
        <w:t xml:space="preserve"> </w:t>
      </w:r>
      <w:r w:rsidR="0076448E" w:rsidRPr="0076448E">
        <w:rPr>
          <w:bCs/>
          <w:color w:val="000000"/>
          <w:sz w:val="24"/>
        </w:rPr>
        <w:t xml:space="preserve">The tables summarize patient demographics, clinical characteristics, MRSA/MSSA distribution, antimicrobial resistance patterns, multidrug-resistance classifications, and the prevalence of </w:t>
      </w:r>
      <w:proofErr w:type="spellStart"/>
      <w:r w:rsidR="0076448E" w:rsidRPr="0076448E">
        <w:rPr>
          <w:bCs/>
          <w:i/>
          <w:iCs/>
          <w:color w:val="000000"/>
          <w:sz w:val="24"/>
        </w:rPr>
        <w:t>hlg</w:t>
      </w:r>
      <w:proofErr w:type="spellEnd"/>
      <w:r w:rsidR="0076448E" w:rsidRPr="0076448E">
        <w:rPr>
          <w:bCs/>
          <w:color w:val="000000"/>
          <w:sz w:val="24"/>
        </w:rPr>
        <w:t xml:space="preserve"> and </w:t>
      </w:r>
      <w:proofErr w:type="spellStart"/>
      <w:r w:rsidR="0076448E" w:rsidRPr="0076448E">
        <w:rPr>
          <w:bCs/>
          <w:i/>
          <w:iCs/>
          <w:color w:val="000000"/>
          <w:sz w:val="24"/>
        </w:rPr>
        <w:t>cna</w:t>
      </w:r>
      <w:proofErr w:type="spellEnd"/>
      <w:r w:rsidR="0076448E" w:rsidRPr="0076448E">
        <w:rPr>
          <w:bCs/>
          <w:color w:val="000000"/>
          <w:sz w:val="24"/>
        </w:rPr>
        <w:t xml:space="preserve"> virulence genes among Staphylococcus aureus isolates, together with associated statistical analyses.</w:t>
      </w:r>
    </w:p>
    <w:p w14:paraId="5BC9A108" w14:textId="7A7341D3" w:rsidR="00F92CF8" w:rsidRPr="00F92CF8" w:rsidRDefault="00F92CF8" w:rsidP="00F92CF8">
      <w:pPr>
        <w:jc w:val="both"/>
        <w:rPr>
          <w:b/>
          <w:color w:val="000000"/>
          <w:sz w:val="24"/>
        </w:rPr>
      </w:pPr>
    </w:p>
    <w:p w14:paraId="26E1ECF3" w14:textId="2DA5E361" w:rsidR="0076448E" w:rsidRPr="0076448E" w:rsidRDefault="00F92CF8" w:rsidP="0076448E">
      <w:pPr>
        <w:jc w:val="both"/>
        <w:rPr>
          <w:bCs/>
          <w:color w:val="000000"/>
          <w:sz w:val="24"/>
        </w:rPr>
      </w:pPr>
      <w:r w:rsidRPr="00F92CF8">
        <w:rPr>
          <w:b/>
          <w:bCs/>
          <w:color w:val="000000"/>
          <w:sz w:val="24"/>
        </w:rPr>
        <w:t>Table 3</w:t>
      </w:r>
      <w:r w:rsidR="0076448E">
        <w:rPr>
          <w:b/>
          <w:bCs/>
          <w:color w:val="000000"/>
          <w:sz w:val="24"/>
        </w:rPr>
        <w:t xml:space="preserve">: </w:t>
      </w:r>
      <w:r w:rsidRPr="00F92CF8">
        <w:rPr>
          <w:b/>
          <w:color w:val="000000"/>
          <w:sz w:val="24"/>
        </w:rPr>
        <w:t xml:space="preserve">Criteria used for antimicrobial resistance classification and distribution of multidrug-resistant (MDR), extensively drug-resistant (XDR), and </w:t>
      </w:r>
      <w:proofErr w:type="spellStart"/>
      <w:r w:rsidRPr="00F92CF8">
        <w:rPr>
          <w:b/>
          <w:color w:val="000000"/>
          <w:sz w:val="24"/>
        </w:rPr>
        <w:t>pandrug</w:t>
      </w:r>
      <w:proofErr w:type="spellEnd"/>
      <w:r w:rsidRPr="00F92CF8">
        <w:rPr>
          <w:b/>
          <w:color w:val="000000"/>
          <w:sz w:val="24"/>
        </w:rPr>
        <w:t xml:space="preserve">-resistant (PDR) </w:t>
      </w:r>
      <w:r w:rsidRPr="00F92CF8">
        <w:rPr>
          <w:b/>
          <w:i/>
          <w:iCs/>
          <w:color w:val="000000"/>
          <w:sz w:val="24"/>
        </w:rPr>
        <w:t>S. aureus</w:t>
      </w:r>
      <w:r w:rsidRPr="00F92CF8">
        <w:rPr>
          <w:b/>
          <w:color w:val="000000"/>
          <w:sz w:val="24"/>
        </w:rPr>
        <w:t xml:space="preserve"> isolates.</w:t>
      </w:r>
      <w:r w:rsidR="0076448E">
        <w:rPr>
          <w:b/>
          <w:color w:val="000000"/>
          <w:sz w:val="24"/>
        </w:rPr>
        <w:t xml:space="preserve"> </w:t>
      </w:r>
      <w:r w:rsidR="0076448E" w:rsidRPr="0076448E">
        <w:rPr>
          <w:bCs/>
          <w:color w:val="000000"/>
          <w:sz w:val="24"/>
          <w:szCs w:val="32"/>
        </w:rPr>
        <w:t xml:space="preserve">The table summarizes the classification criteria </w:t>
      </w:r>
      <w:r w:rsidR="0076448E">
        <w:rPr>
          <w:bCs/>
          <w:color w:val="000000"/>
          <w:sz w:val="24"/>
          <w:szCs w:val="32"/>
        </w:rPr>
        <w:t>for MDR, XDR, and PDR phenotypes and presents the distribution of resistant S. aureus isolates by</w:t>
      </w:r>
      <w:r w:rsidR="0076448E" w:rsidRPr="0076448E">
        <w:rPr>
          <w:bCs/>
          <w:color w:val="000000"/>
          <w:sz w:val="24"/>
          <w:szCs w:val="32"/>
        </w:rPr>
        <w:t xml:space="preserve"> specimen type and resistance category, including statistical comparisons and odds ratio analyses.</w:t>
      </w:r>
    </w:p>
    <w:p w14:paraId="659F76D3" w14:textId="49DDB3BE" w:rsidR="00F92CF8" w:rsidRPr="00F92CF8" w:rsidRDefault="00F92CF8" w:rsidP="00F92CF8">
      <w:pPr>
        <w:jc w:val="both"/>
        <w:rPr>
          <w:b/>
          <w:color w:val="000000"/>
          <w:sz w:val="24"/>
        </w:rPr>
      </w:pPr>
    </w:p>
    <w:p w14:paraId="6855FAAA" w14:textId="77777777" w:rsidR="0076448E" w:rsidRPr="0076448E" w:rsidRDefault="00F92CF8" w:rsidP="0076448E">
      <w:pPr>
        <w:jc w:val="both"/>
        <w:rPr>
          <w:bCs/>
          <w:color w:val="000000"/>
          <w:sz w:val="24"/>
          <w:szCs w:val="32"/>
        </w:rPr>
      </w:pPr>
      <w:r w:rsidRPr="00F92CF8">
        <w:rPr>
          <w:b/>
          <w:bCs/>
          <w:color w:val="000000"/>
          <w:sz w:val="24"/>
        </w:rPr>
        <w:t>Table 4</w:t>
      </w:r>
      <w:r w:rsidR="0076448E">
        <w:rPr>
          <w:b/>
          <w:bCs/>
          <w:color w:val="000000"/>
          <w:sz w:val="24"/>
        </w:rPr>
        <w:t xml:space="preserve">: </w:t>
      </w:r>
      <w:r w:rsidRPr="00F92CF8">
        <w:rPr>
          <w:b/>
          <w:color w:val="000000"/>
          <w:sz w:val="24"/>
        </w:rPr>
        <w:t>Antimicrobial susceptibility profiles of MRSA and MSSA isolates recovered from diabetic foot infections.</w:t>
      </w:r>
      <w:r w:rsidR="0076448E">
        <w:rPr>
          <w:b/>
          <w:color w:val="000000"/>
          <w:sz w:val="24"/>
        </w:rPr>
        <w:t xml:space="preserve"> </w:t>
      </w:r>
      <w:r w:rsidR="0076448E" w:rsidRPr="0076448E">
        <w:rPr>
          <w:bCs/>
          <w:color w:val="000000"/>
          <w:sz w:val="24"/>
          <w:szCs w:val="32"/>
        </w:rPr>
        <w:t>The table compares antimicrobial susceptibility and resistance rates between MRSA and MSSA isolates across all tested antimicrobial agents, including percentages, confidence intervals, chi-square analysis, Fisher’s exact test results, odds ratios, and p-values.</w:t>
      </w:r>
    </w:p>
    <w:p w14:paraId="60051EAE" w14:textId="7192A3AD" w:rsidR="00F92CF8" w:rsidRPr="00F92CF8" w:rsidRDefault="00F92CF8" w:rsidP="00F92CF8">
      <w:pPr>
        <w:jc w:val="both"/>
        <w:rPr>
          <w:b/>
          <w:color w:val="000000"/>
          <w:sz w:val="24"/>
        </w:rPr>
      </w:pPr>
    </w:p>
    <w:p w14:paraId="518A91D8" w14:textId="1833B679" w:rsidR="00F92CF8" w:rsidRPr="0076448E" w:rsidRDefault="00F92CF8" w:rsidP="00F92CF8">
      <w:pPr>
        <w:jc w:val="both"/>
        <w:rPr>
          <w:bCs/>
          <w:color w:val="000000"/>
          <w:sz w:val="24"/>
        </w:rPr>
      </w:pPr>
      <w:r w:rsidRPr="00F92CF8">
        <w:rPr>
          <w:b/>
          <w:bCs/>
          <w:color w:val="000000"/>
          <w:sz w:val="24"/>
        </w:rPr>
        <w:t>Table 5</w:t>
      </w:r>
      <w:r w:rsidR="0076448E">
        <w:rPr>
          <w:b/>
          <w:bCs/>
          <w:color w:val="000000"/>
          <w:sz w:val="24"/>
        </w:rPr>
        <w:t xml:space="preserve">: </w:t>
      </w:r>
      <w:r w:rsidRPr="00F92CF8">
        <w:rPr>
          <w:b/>
          <w:color w:val="000000"/>
          <w:sz w:val="24"/>
        </w:rPr>
        <w:t xml:space="preserve">Association between virulence-associated genes and antimicrobial resistance profiles among </w:t>
      </w:r>
      <w:r w:rsidRPr="00F92CF8">
        <w:rPr>
          <w:b/>
          <w:i/>
          <w:iCs/>
          <w:color w:val="000000"/>
          <w:sz w:val="24"/>
        </w:rPr>
        <w:t>Staphylococcus aureus</w:t>
      </w:r>
      <w:r w:rsidRPr="00F92CF8">
        <w:rPr>
          <w:b/>
          <w:color w:val="000000"/>
          <w:sz w:val="24"/>
        </w:rPr>
        <w:t xml:space="preserve"> clinical isolates.</w:t>
      </w:r>
      <w:r w:rsidR="0076448E">
        <w:rPr>
          <w:b/>
          <w:color w:val="000000"/>
          <w:sz w:val="24"/>
        </w:rPr>
        <w:t xml:space="preserve"> </w:t>
      </w:r>
      <w:r w:rsidR="0076448E" w:rsidRPr="0076448E">
        <w:rPr>
          <w:bCs/>
          <w:color w:val="000000"/>
          <w:sz w:val="24"/>
        </w:rPr>
        <w:t>The table summarizes associations between virulence-associated genes (</w:t>
      </w:r>
      <w:proofErr w:type="spellStart"/>
      <w:r w:rsidR="0076448E" w:rsidRPr="0076448E">
        <w:rPr>
          <w:bCs/>
          <w:i/>
          <w:iCs/>
          <w:color w:val="000000"/>
          <w:sz w:val="24"/>
        </w:rPr>
        <w:t>hlg</w:t>
      </w:r>
      <w:proofErr w:type="spellEnd"/>
      <w:r w:rsidR="0076448E" w:rsidRPr="0076448E">
        <w:rPr>
          <w:bCs/>
          <w:color w:val="000000"/>
          <w:sz w:val="24"/>
        </w:rPr>
        <w:t xml:space="preserve"> and </w:t>
      </w:r>
      <w:proofErr w:type="spellStart"/>
      <w:r w:rsidR="0076448E" w:rsidRPr="0076448E">
        <w:rPr>
          <w:bCs/>
          <w:i/>
          <w:iCs/>
          <w:color w:val="000000"/>
          <w:sz w:val="24"/>
        </w:rPr>
        <w:t>cna</w:t>
      </w:r>
      <w:proofErr w:type="spellEnd"/>
      <w:r w:rsidR="0076448E" w:rsidRPr="0076448E">
        <w:rPr>
          <w:bCs/>
          <w:color w:val="000000"/>
          <w:sz w:val="24"/>
        </w:rPr>
        <w:t xml:space="preserve">) and antimicrobial resistance phenotypes among </w:t>
      </w:r>
      <w:r w:rsidR="0076448E" w:rsidRPr="0076448E">
        <w:rPr>
          <w:bCs/>
          <w:i/>
          <w:iCs/>
          <w:color w:val="000000"/>
          <w:sz w:val="24"/>
        </w:rPr>
        <w:t>S. aureus</w:t>
      </w:r>
      <w:r w:rsidR="0076448E" w:rsidRPr="0076448E">
        <w:rPr>
          <w:bCs/>
          <w:color w:val="000000"/>
          <w:sz w:val="24"/>
        </w:rPr>
        <w:t xml:space="preserve"> isolates, including statistical analyses, odds ratios, confidence intervals, and significance values.</w:t>
      </w:r>
    </w:p>
    <w:p w14:paraId="7D49A85A" w14:textId="77777777" w:rsidR="0076448E" w:rsidRDefault="0076448E" w:rsidP="00F92CF8">
      <w:pPr>
        <w:jc w:val="both"/>
        <w:rPr>
          <w:b/>
          <w:bCs/>
          <w:color w:val="000000"/>
          <w:sz w:val="24"/>
        </w:rPr>
      </w:pPr>
    </w:p>
    <w:p w14:paraId="3FD3EEE0" w14:textId="5E83064C" w:rsidR="0076448E" w:rsidRPr="007249DE" w:rsidRDefault="00F92CF8" w:rsidP="0076448E">
      <w:pPr>
        <w:jc w:val="both"/>
        <w:rPr>
          <w:color w:val="000000"/>
          <w:sz w:val="24"/>
          <w:szCs w:val="32"/>
        </w:rPr>
      </w:pPr>
      <w:r w:rsidRPr="00F92CF8">
        <w:rPr>
          <w:b/>
          <w:bCs/>
          <w:color w:val="000000"/>
          <w:sz w:val="24"/>
        </w:rPr>
        <w:t>Supplementary Figure 1</w:t>
      </w:r>
      <w:r w:rsidR="0076448E">
        <w:rPr>
          <w:b/>
          <w:bCs/>
          <w:color w:val="000000"/>
          <w:sz w:val="24"/>
        </w:rPr>
        <w:t xml:space="preserve">: </w:t>
      </w:r>
      <w:r w:rsidR="0076448E" w:rsidRPr="0076448E">
        <w:rPr>
          <w:b/>
          <w:bCs/>
          <w:color w:val="000000"/>
          <w:sz w:val="24"/>
          <w:szCs w:val="32"/>
        </w:rPr>
        <w:t xml:space="preserve">Distribution of predicted gene lengths identified in draft whole-genome assemblies of representative </w:t>
      </w:r>
      <w:r w:rsidR="0076448E" w:rsidRPr="0076448E">
        <w:rPr>
          <w:b/>
          <w:bCs/>
          <w:i/>
          <w:iCs/>
          <w:color w:val="000000"/>
          <w:sz w:val="24"/>
          <w:szCs w:val="32"/>
        </w:rPr>
        <w:t>Staphylococcus aureus</w:t>
      </w:r>
      <w:r w:rsidR="0076448E" w:rsidRPr="0076448E">
        <w:rPr>
          <w:b/>
          <w:bCs/>
          <w:color w:val="000000"/>
          <w:sz w:val="24"/>
          <w:szCs w:val="32"/>
        </w:rPr>
        <w:t xml:space="preserve"> isolates.</w:t>
      </w:r>
      <w:r w:rsidR="007249DE">
        <w:rPr>
          <w:b/>
          <w:bCs/>
          <w:color w:val="000000"/>
          <w:sz w:val="24"/>
          <w:szCs w:val="32"/>
        </w:rPr>
        <w:t xml:space="preserve"> </w:t>
      </w:r>
      <w:r w:rsidR="007249DE" w:rsidRPr="007249DE">
        <w:rPr>
          <w:color w:val="000000"/>
          <w:sz w:val="24"/>
          <w:szCs w:val="32"/>
        </w:rPr>
        <w:t xml:space="preserve">The figure illustrates the distribution of predicted coding sequence (CDS) gene lengths identified in the draft whole-genome assembly of representative </w:t>
      </w:r>
      <w:r w:rsidR="007249DE" w:rsidRPr="007249DE">
        <w:rPr>
          <w:i/>
          <w:iCs/>
          <w:color w:val="000000"/>
          <w:sz w:val="24"/>
          <w:szCs w:val="32"/>
        </w:rPr>
        <w:t>Staphylococcus aureus</w:t>
      </w:r>
      <w:r w:rsidR="007249DE" w:rsidRPr="007249DE">
        <w:rPr>
          <w:color w:val="000000"/>
          <w:sz w:val="24"/>
          <w:szCs w:val="32"/>
        </w:rPr>
        <w:t xml:space="preserve"> isolate 39-Sa. </w:t>
      </w:r>
    </w:p>
    <w:p w14:paraId="2A615D5D" w14:textId="407FE735" w:rsidR="00F92CF8" w:rsidRPr="00F92CF8" w:rsidRDefault="00F92CF8" w:rsidP="00F92CF8">
      <w:pPr>
        <w:jc w:val="both"/>
        <w:rPr>
          <w:b/>
          <w:color w:val="000000"/>
          <w:sz w:val="24"/>
        </w:rPr>
      </w:pPr>
    </w:p>
    <w:p w14:paraId="7791C426" w14:textId="15E72330" w:rsidR="00F92CF8" w:rsidRPr="0076448E" w:rsidRDefault="00F92CF8" w:rsidP="00F92CF8">
      <w:pPr>
        <w:jc w:val="both"/>
        <w:rPr>
          <w:bCs/>
          <w:color w:val="000000"/>
          <w:sz w:val="24"/>
        </w:rPr>
      </w:pPr>
      <w:r w:rsidRPr="00F92CF8">
        <w:rPr>
          <w:b/>
          <w:bCs/>
          <w:color w:val="000000"/>
          <w:sz w:val="24"/>
        </w:rPr>
        <w:t>Supplementary Figure 2</w:t>
      </w:r>
      <w:r w:rsidR="0076448E">
        <w:rPr>
          <w:b/>
          <w:bCs/>
          <w:color w:val="000000"/>
          <w:sz w:val="24"/>
        </w:rPr>
        <w:t xml:space="preserve">: </w:t>
      </w:r>
      <w:r w:rsidR="0076448E" w:rsidRPr="0076448E">
        <w:rPr>
          <w:b/>
          <w:bCs/>
          <w:color w:val="000000"/>
          <w:sz w:val="24"/>
        </w:rPr>
        <w:t xml:space="preserve">Plasmid replicon analysis of </w:t>
      </w:r>
      <w:r w:rsidR="0076448E">
        <w:rPr>
          <w:b/>
          <w:bCs/>
          <w:color w:val="000000"/>
          <w:sz w:val="24"/>
        </w:rPr>
        <w:t xml:space="preserve">a </w:t>
      </w:r>
      <w:r w:rsidR="0076448E" w:rsidRPr="0076448E">
        <w:rPr>
          <w:b/>
          <w:bCs/>
          <w:color w:val="000000"/>
          <w:sz w:val="24"/>
        </w:rPr>
        <w:t>representative MRSA isolate demonstrating multiple plasmid-associated replication elements distributed across genomic contigs.</w:t>
      </w:r>
      <w:r w:rsidR="0076448E">
        <w:rPr>
          <w:b/>
          <w:color w:val="000000"/>
          <w:sz w:val="24"/>
        </w:rPr>
        <w:t xml:space="preserve"> </w:t>
      </w:r>
      <w:r w:rsidR="0076448E" w:rsidRPr="0076448E">
        <w:rPr>
          <w:bCs/>
          <w:color w:val="000000"/>
          <w:sz w:val="24"/>
        </w:rPr>
        <w:t>Plasmid-associated regions were identified using genomic replicon analysis and mapped across assembled contigs to evaluate potential plasmid diversity and horizontal transfer of antimicrobial resistance determinants.</w:t>
      </w:r>
    </w:p>
    <w:p w14:paraId="2E1EE2B6" w14:textId="2E349A5A" w:rsidR="00F92CF8" w:rsidRPr="00F92CF8" w:rsidRDefault="00F92CF8" w:rsidP="00F92CF8">
      <w:pPr>
        <w:jc w:val="both"/>
        <w:rPr>
          <w:b/>
          <w:color w:val="000000"/>
          <w:sz w:val="24"/>
        </w:rPr>
      </w:pPr>
    </w:p>
    <w:p w14:paraId="6947EAC1" w14:textId="39C16EED" w:rsidR="00F92CF8" w:rsidRPr="007249DE" w:rsidRDefault="00F92CF8" w:rsidP="00F92CF8">
      <w:pPr>
        <w:jc w:val="both"/>
        <w:rPr>
          <w:bCs/>
          <w:color w:val="000000"/>
          <w:sz w:val="24"/>
        </w:rPr>
      </w:pPr>
      <w:r w:rsidRPr="00F92CF8">
        <w:rPr>
          <w:b/>
          <w:bCs/>
          <w:color w:val="000000"/>
          <w:sz w:val="24"/>
        </w:rPr>
        <w:t>Supplementary Table 1</w:t>
      </w:r>
      <w:r w:rsidR="0076448E">
        <w:rPr>
          <w:b/>
          <w:bCs/>
          <w:color w:val="000000"/>
          <w:sz w:val="24"/>
        </w:rPr>
        <w:t xml:space="preserve">: </w:t>
      </w:r>
      <w:r w:rsidR="0076448E" w:rsidRPr="0076448E">
        <w:rPr>
          <w:b/>
          <w:color w:val="000000"/>
          <w:sz w:val="24"/>
        </w:rPr>
        <w:t>Bioinformatics software tools, analytical databases, software versions, and parameter settings used for genomic and phylogenetic analyses.</w:t>
      </w:r>
      <w:r w:rsidR="007249DE">
        <w:rPr>
          <w:b/>
          <w:color w:val="000000"/>
          <w:sz w:val="24"/>
        </w:rPr>
        <w:t xml:space="preserve"> </w:t>
      </w:r>
      <w:r w:rsidR="007249DE" w:rsidRPr="007249DE">
        <w:rPr>
          <w:bCs/>
          <w:color w:val="000000"/>
          <w:sz w:val="24"/>
        </w:rPr>
        <w:t xml:space="preserve">The table summarizes the bioinformatics software platforms, analytical databases, software versions, and computational parameters used for genome assembly, annotation, antimicrobial resistance </w:t>
      </w:r>
      <w:r w:rsidR="007249DE" w:rsidRPr="007249DE">
        <w:rPr>
          <w:bCs/>
          <w:color w:val="000000"/>
          <w:sz w:val="24"/>
        </w:rPr>
        <w:lastRenderedPageBreak/>
        <w:t xml:space="preserve">gene detection, virulence gene analysis, phylogenetic reconstruction, plasmid analysis, CRISPR-Cas identification, and circular genome visualization of representative </w:t>
      </w:r>
      <w:r w:rsidR="007249DE" w:rsidRPr="007249DE">
        <w:rPr>
          <w:bCs/>
          <w:i/>
          <w:iCs/>
          <w:color w:val="000000"/>
          <w:sz w:val="24"/>
        </w:rPr>
        <w:t>Staphylococcus aureus</w:t>
      </w:r>
      <w:r w:rsidR="007249DE" w:rsidRPr="007249DE">
        <w:rPr>
          <w:bCs/>
          <w:color w:val="000000"/>
          <w:sz w:val="24"/>
        </w:rPr>
        <w:t xml:space="preserve"> isolates included in this study.</w:t>
      </w:r>
    </w:p>
    <w:p w14:paraId="3533C3BA" w14:textId="77777777" w:rsidR="0076448E" w:rsidRPr="00F92CF8" w:rsidRDefault="0076448E" w:rsidP="00F92CF8">
      <w:pPr>
        <w:jc w:val="both"/>
        <w:rPr>
          <w:b/>
          <w:color w:val="000000"/>
          <w:sz w:val="24"/>
        </w:rPr>
      </w:pPr>
    </w:p>
    <w:p w14:paraId="09D68820" w14:textId="3868A5CA" w:rsidR="00F92CF8" w:rsidRPr="0076448E" w:rsidRDefault="00F92CF8" w:rsidP="00F92CF8">
      <w:pPr>
        <w:jc w:val="both"/>
        <w:rPr>
          <w:bCs/>
          <w:color w:val="000000"/>
          <w:sz w:val="24"/>
        </w:rPr>
      </w:pPr>
      <w:r w:rsidRPr="00F92CF8">
        <w:rPr>
          <w:b/>
          <w:bCs/>
          <w:color w:val="000000"/>
          <w:sz w:val="24"/>
        </w:rPr>
        <w:t>Supplementary File 1</w:t>
      </w:r>
      <w:r w:rsidR="0076448E">
        <w:rPr>
          <w:b/>
          <w:bCs/>
          <w:color w:val="000000"/>
          <w:sz w:val="24"/>
        </w:rPr>
        <w:t xml:space="preserve">: </w:t>
      </w:r>
      <w:r w:rsidRPr="00F92CF8">
        <w:rPr>
          <w:b/>
          <w:color w:val="000000"/>
          <w:sz w:val="24"/>
        </w:rPr>
        <w:t>Demographic, clinical, and molecular characteristics of diabetic patients</w:t>
      </w:r>
      <w:r w:rsidR="0076448E">
        <w:rPr>
          <w:b/>
          <w:color w:val="000000"/>
          <w:sz w:val="24"/>
        </w:rPr>
        <w:t xml:space="preserve">. </w:t>
      </w:r>
      <w:r w:rsidR="0076448E" w:rsidRPr="0076448E">
        <w:rPr>
          <w:bCs/>
          <w:color w:val="000000"/>
          <w:sz w:val="24"/>
        </w:rPr>
        <w:t>Table</w:t>
      </w:r>
      <w:r w:rsidRPr="0076448E">
        <w:rPr>
          <w:bCs/>
          <w:color w:val="000000"/>
          <w:sz w:val="24"/>
        </w:rPr>
        <w:t xml:space="preserve"> include</w:t>
      </w:r>
      <w:r w:rsidR="0076448E" w:rsidRPr="0076448E">
        <w:rPr>
          <w:bCs/>
          <w:color w:val="000000"/>
          <w:sz w:val="24"/>
        </w:rPr>
        <w:t>s</w:t>
      </w:r>
      <w:r w:rsidRPr="0076448E">
        <w:rPr>
          <w:bCs/>
          <w:color w:val="000000"/>
          <w:sz w:val="24"/>
        </w:rPr>
        <w:t xml:space="preserve"> age, sex, diabetes mellitus type, specimen type, </w:t>
      </w:r>
      <w:r w:rsidRPr="0076448E">
        <w:rPr>
          <w:bCs/>
          <w:i/>
          <w:iCs/>
          <w:color w:val="000000"/>
          <w:sz w:val="24"/>
        </w:rPr>
        <w:t>Staphylococcus aureus</w:t>
      </w:r>
      <w:r w:rsidRPr="0076448E">
        <w:rPr>
          <w:bCs/>
          <w:color w:val="000000"/>
          <w:sz w:val="24"/>
        </w:rPr>
        <w:t xml:space="preserve"> detection, MRSA/MSSA classification, and distribution of </w:t>
      </w:r>
      <w:proofErr w:type="spellStart"/>
      <w:r w:rsidRPr="0076448E">
        <w:rPr>
          <w:bCs/>
          <w:i/>
          <w:iCs/>
          <w:color w:val="000000"/>
          <w:sz w:val="24"/>
        </w:rPr>
        <w:t>cna</w:t>
      </w:r>
      <w:proofErr w:type="spellEnd"/>
      <w:r w:rsidRPr="0076448E">
        <w:rPr>
          <w:bCs/>
          <w:color w:val="000000"/>
          <w:sz w:val="24"/>
        </w:rPr>
        <w:t xml:space="preserve"> and </w:t>
      </w:r>
      <w:proofErr w:type="spellStart"/>
      <w:r w:rsidRPr="0076448E">
        <w:rPr>
          <w:bCs/>
          <w:i/>
          <w:iCs/>
          <w:color w:val="000000"/>
          <w:sz w:val="24"/>
        </w:rPr>
        <w:t>hlg</w:t>
      </w:r>
      <w:proofErr w:type="spellEnd"/>
      <w:r w:rsidRPr="0076448E">
        <w:rPr>
          <w:bCs/>
          <w:color w:val="000000"/>
          <w:sz w:val="24"/>
        </w:rPr>
        <w:t xml:space="preserve"> virulence genes among isolates.</w:t>
      </w:r>
    </w:p>
    <w:p w14:paraId="0630FAF6" w14:textId="664A8C52" w:rsidR="00F92CF8" w:rsidRPr="00F92CF8" w:rsidRDefault="00F92CF8" w:rsidP="00F92CF8">
      <w:pPr>
        <w:jc w:val="both"/>
        <w:rPr>
          <w:b/>
          <w:color w:val="000000"/>
          <w:sz w:val="24"/>
        </w:rPr>
      </w:pPr>
    </w:p>
    <w:p w14:paraId="6221CF50" w14:textId="5216395D" w:rsidR="00F92CF8" w:rsidRPr="0076448E" w:rsidRDefault="00F92CF8" w:rsidP="00F92CF8">
      <w:pPr>
        <w:jc w:val="both"/>
        <w:rPr>
          <w:b/>
          <w:bCs/>
          <w:color w:val="000000"/>
          <w:sz w:val="24"/>
        </w:rPr>
      </w:pPr>
      <w:r w:rsidRPr="00F92CF8">
        <w:rPr>
          <w:b/>
          <w:bCs/>
          <w:color w:val="000000"/>
          <w:sz w:val="24"/>
        </w:rPr>
        <w:t>Supplementary File 2</w:t>
      </w:r>
      <w:r w:rsidR="0076448E">
        <w:rPr>
          <w:b/>
          <w:bCs/>
          <w:color w:val="000000"/>
          <w:sz w:val="24"/>
        </w:rPr>
        <w:t xml:space="preserve">: </w:t>
      </w:r>
      <w:r w:rsidR="0076448E" w:rsidRPr="0076448E">
        <w:rPr>
          <w:b/>
          <w:color w:val="000000"/>
          <w:sz w:val="24"/>
        </w:rPr>
        <w:t>Raw antimicrobial susceptibility testing dataset for MRSA and MSSA isolates recovered from diabetic foot infections.</w:t>
      </w:r>
      <w:r w:rsidR="0076448E">
        <w:rPr>
          <w:b/>
          <w:color w:val="000000"/>
          <w:sz w:val="24"/>
        </w:rPr>
        <w:t xml:space="preserve"> </w:t>
      </w:r>
      <w:r w:rsidRPr="0076448E">
        <w:rPr>
          <w:bCs/>
          <w:color w:val="000000"/>
          <w:sz w:val="24"/>
        </w:rPr>
        <w:t>The table summarizes resistance (R) and susceptibility (S) profiles of MRSA and MSSA isolates against the tested antimicrobial agents.</w:t>
      </w:r>
    </w:p>
    <w:p w14:paraId="461B14D7" w14:textId="7CCFF369" w:rsidR="00F92CF8" w:rsidRPr="00F92CF8" w:rsidRDefault="00F92CF8" w:rsidP="00F92CF8">
      <w:pPr>
        <w:jc w:val="both"/>
        <w:rPr>
          <w:b/>
          <w:color w:val="000000"/>
          <w:sz w:val="24"/>
        </w:rPr>
      </w:pPr>
    </w:p>
    <w:p w14:paraId="21E04249" w14:textId="552802B2" w:rsidR="00F92CF8" w:rsidRPr="007249DE" w:rsidRDefault="00F92CF8" w:rsidP="00F92CF8">
      <w:pPr>
        <w:jc w:val="both"/>
        <w:rPr>
          <w:bCs/>
          <w:color w:val="000000"/>
          <w:sz w:val="24"/>
        </w:rPr>
      </w:pPr>
      <w:r w:rsidRPr="00F92CF8">
        <w:rPr>
          <w:b/>
          <w:bCs/>
          <w:color w:val="000000"/>
          <w:sz w:val="24"/>
        </w:rPr>
        <w:t>Supplementary File 3</w:t>
      </w:r>
      <w:r w:rsidR="0076448E">
        <w:rPr>
          <w:b/>
          <w:bCs/>
          <w:color w:val="000000"/>
          <w:sz w:val="24"/>
        </w:rPr>
        <w:t xml:space="preserve">: </w:t>
      </w:r>
      <w:r w:rsidRPr="00F92CF8">
        <w:rPr>
          <w:b/>
          <w:color w:val="000000"/>
          <w:sz w:val="24"/>
        </w:rPr>
        <w:t>Description table summarizing supplementary datasets and associated analytical outputs.</w:t>
      </w:r>
      <w:r w:rsidR="007249DE">
        <w:rPr>
          <w:b/>
          <w:color w:val="000000"/>
          <w:sz w:val="24"/>
        </w:rPr>
        <w:t xml:space="preserve"> </w:t>
      </w:r>
      <w:r w:rsidR="007249DE" w:rsidRPr="007249DE">
        <w:rPr>
          <w:bCs/>
          <w:color w:val="000000"/>
          <w:sz w:val="24"/>
        </w:rPr>
        <w:t xml:space="preserve">The table serves as an index for supplementary datasets and associated genomic and microbiological analyses generated during the investigation of </w:t>
      </w:r>
      <w:r w:rsidR="007249DE" w:rsidRPr="007249DE">
        <w:rPr>
          <w:bCs/>
          <w:i/>
          <w:iCs/>
          <w:color w:val="000000"/>
          <w:sz w:val="24"/>
        </w:rPr>
        <w:t>Staphylococcus aureus</w:t>
      </w:r>
      <w:r w:rsidR="007249DE" w:rsidRPr="007249DE">
        <w:rPr>
          <w:bCs/>
          <w:color w:val="000000"/>
          <w:sz w:val="24"/>
        </w:rPr>
        <w:t xml:space="preserve"> isolates recovered from diabetic foot infections.</w:t>
      </w:r>
    </w:p>
    <w:p w14:paraId="02C8516D" w14:textId="77777777" w:rsidR="007A4BB7" w:rsidRPr="00E726B0" w:rsidRDefault="007A4BB7" w:rsidP="00E726B0">
      <w:pPr>
        <w:jc w:val="both"/>
        <w:rPr>
          <w:sz w:val="24"/>
        </w:rPr>
      </w:pPr>
    </w:p>
    <w:p w14:paraId="59E8770C" w14:textId="3BC3662E" w:rsidR="007A4BB7" w:rsidRPr="00E726B0" w:rsidRDefault="00FD484C" w:rsidP="00E726B0">
      <w:pPr>
        <w:jc w:val="both"/>
        <w:rPr>
          <w:sz w:val="24"/>
        </w:rPr>
      </w:pPr>
      <w:r w:rsidRPr="00E726B0">
        <w:rPr>
          <w:b/>
          <w:color w:val="000000"/>
          <w:sz w:val="24"/>
        </w:rPr>
        <w:t>DISCUSSION</w:t>
      </w:r>
      <w:r>
        <w:rPr>
          <w:b/>
          <w:color w:val="000000"/>
          <w:sz w:val="24"/>
        </w:rPr>
        <w:t>:</w:t>
      </w:r>
    </w:p>
    <w:p w14:paraId="62E24A4C" w14:textId="15B81DAD" w:rsidR="00F5499B" w:rsidRDefault="00F5499B" w:rsidP="00F5499B">
      <w:pPr>
        <w:jc w:val="both"/>
        <w:rPr>
          <w:bCs/>
          <w:color w:val="000000"/>
          <w:sz w:val="24"/>
        </w:rPr>
      </w:pPr>
      <w:r w:rsidRPr="00F5499B">
        <w:rPr>
          <w:bCs/>
          <w:color w:val="000000"/>
          <w:sz w:val="24"/>
        </w:rPr>
        <w:t>Diabetic foot infections (DFIs) caused by multidrug-resistant (MDR) microorganisms are increasing globally, with poor glycemic control and inadequate foot hygiene contributing to increased morbidity and mortality</w:t>
      </w:r>
      <w:r w:rsidRPr="00F5499B">
        <w:rPr>
          <w:bCs/>
          <w:color w:val="000000"/>
          <w:sz w:val="24"/>
          <w:vertAlign w:val="superscript"/>
        </w:rPr>
        <w:t>18–21</w:t>
      </w:r>
      <w:r>
        <w:rPr>
          <w:bCs/>
          <w:color w:val="000000"/>
          <w:sz w:val="24"/>
        </w:rPr>
        <w:t>.</w:t>
      </w:r>
      <w:r w:rsidRPr="00F5499B">
        <w:rPr>
          <w:bCs/>
          <w:color w:val="000000"/>
          <w:sz w:val="24"/>
        </w:rPr>
        <w:t xml:space="preserve"> Although DFIs are frequently polymicrobial, </w:t>
      </w:r>
      <w:r w:rsidRPr="00F5499B">
        <w:rPr>
          <w:bCs/>
          <w:i/>
          <w:iCs/>
          <w:color w:val="000000"/>
          <w:sz w:val="24"/>
        </w:rPr>
        <w:t>Staphylococcus aureus</w:t>
      </w:r>
      <w:r w:rsidRPr="00F5499B">
        <w:rPr>
          <w:bCs/>
          <w:color w:val="000000"/>
          <w:sz w:val="24"/>
        </w:rPr>
        <w:t xml:space="preserve"> remains one of the predominant pathogens isolated from these infections, with the prevalence of methicillin-resistant </w:t>
      </w:r>
      <w:r w:rsidRPr="00F5499B">
        <w:rPr>
          <w:bCs/>
          <w:i/>
          <w:iCs/>
          <w:color w:val="000000"/>
          <w:sz w:val="24"/>
        </w:rPr>
        <w:t>S. aureus</w:t>
      </w:r>
      <w:r w:rsidRPr="00F5499B">
        <w:rPr>
          <w:bCs/>
          <w:color w:val="000000"/>
          <w:sz w:val="24"/>
        </w:rPr>
        <w:t xml:space="preserve"> (MRSA) increasing in both </w:t>
      </w:r>
      <w:r>
        <w:rPr>
          <w:bCs/>
          <w:color w:val="000000"/>
          <w:sz w:val="24"/>
        </w:rPr>
        <w:t>healthcare- and community-associated settings</w:t>
      </w:r>
      <w:r w:rsidRPr="00F5499B">
        <w:rPr>
          <w:bCs/>
          <w:color w:val="000000"/>
          <w:sz w:val="24"/>
          <w:vertAlign w:val="superscript"/>
        </w:rPr>
        <w:t>22–25</w:t>
      </w:r>
      <w:r>
        <w:rPr>
          <w:bCs/>
          <w:color w:val="000000"/>
          <w:sz w:val="24"/>
        </w:rPr>
        <w:t>.</w:t>
      </w:r>
      <w:r w:rsidRPr="00F5499B">
        <w:rPr>
          <w:bCs/>
          <w:color w:val="000000"/>
          <w:sz w:val="24"/>
        </w:rPr>
        <w:t xml:space="preserve"> In the present study, </w:t>
      </w:r>
      <w:r w:rsidRPr="00F5499B">
        <w:rPr>
          <w:bCs/>
          <w:i/>
          <w:iCs/>
          <w:color w:val="000000"/>
          <w:sz w:val="24"/>
        </w:rPr>
        <w:t>S. aureus</w:t>
      </w:r>
      <w:r w:rsidRPr="00F5499B">
        <w:rPr>
          <w:bCs/>
          <w:color w:val="000000"/>
          <w:sz w:val="24"/>
        </w:rPr>
        <w:t xml:space="preserve"> was isolated from 36% of patients, of which 77.78% were classified as MRSA and 22.22% as methicillin-sensitive </w:t>
      </w:r>
      <w:r w:rsidRPr="00F5499B">
        <w:rPr>
          <w:bCs/>
          <w:i/>
          <w:iCs/>
          <w:color w:val="000000"/>
          <w:sz w:val="24"/>
        </w:rPr>
        <w:t>S. aureus</w:t>
      </w:r>
      <w:r w:rsidRPr="00F5499B">
        <w:rPr>
          <w:bCs/>
          <w:color w:val="000000"/>
          <w:sz w:val="24"/>
        </w:rPr>
        <w:t xml:space="preserve"> (MSSA). All isolates carried the </w:t>
      </w:r>
      <w:proofErr w:type="spellStart"/>
      <w:r w:rsidRPr="00F5499B">
        <w:rPr>
          <w:bCs/>
          <w:i/>
          <w:iCs/>
          <w:color w:val="000000"/>
          <w:sz w:val="24"/>
        </w:rPr>
        <w:t>nuc</w:t>
      </w:r>
      <w:proofErr w:type="spellEnd"/>
      <w:r w:rsidRPr="00F5499B">
        <w:rPr>
          <w:bCs/>
          <w:color w:val="000000"/>
          <w:sz w:val="24"/>
        </w:rPr>
        <w:t xml:space="preserve"> gene, confirming species identification. Gram-negative bacteria, including </w:t>
      </w:r>
      <w:r w:rsidRPr="00F5499B">
        <w:rPr>
          <w:bCs/>
          <w:i/>
          <w:iCs/>
          <w:color w:val="000000"/>
          <w:sz w:val="24"/>
        </w:rPr>
        <w:t>Escherichia coli</w:t>
      </w:r>
      <w:r w:rsidRPr="00F5499B">
        <w:rPr>
          <w:bCs/>
          <w:color w:val="000000"/>
          <w:sz w:val="24"/>
        </w:rPr>
        <w:t xml:space="preserve">, </w:t>
      </w:r>
      <w:r w:rsidRPr="00F5499B">
        <w:rPr>
          <w:bCs/>
          <w:i/>
          <w:iCs/>
          <w:color w:val="000000"/>
          <w:sz w:val="24"/>
        </w:rPr>
        <w:t>Proteus</w:t>
      </w:r>
      <w:r w:rsidRPr="00F5499B">
        <w:rPr>
          <w:bCs/>
          <w:color w:val="000000"/>
          <w:sz w:val="24"/>
        </w:rPr>
        <w:t xml:space="preserve"> spp., and </w:t>
      </w:r>
      <w:r w:rsidRPr="00F5499B">
        <w:rPr>
          <w:bCs/>
          <w:i/>
          <w:iCs/>
          <w:color w:val="000000"/>
          <w:sz w:val="24"/>
        </w:rPr>
        <w:t>Pseudomonas aeruginosa</w:t>
      </w:r>
      <w:r w:rsidRPr="00F5499B">
        <w:rPr>
          <w:bCs/>
          <w:color w:val="000000"/>
          <w:sz w:val="24"/>
        </w:rPr>
        <w:t>, were also detected among the analyzed specimens</w:t>
      </w:r>
      <w:r w:rsidRPr="00F5499B">
        <w:rPr>
          <w:bCs/>
          <w:color w:val="000000"/>
          <w:sz w:val="24"/>
          <w:vertAlign w:val="superscript"/>
        </w:rPr>
        <w:t>26,27</w:t>
      </w:r>
      <w:r>
        <w:rPr>
          <w:bCs/>
          <w:color w:val="000000"/>
          <w:sz w:val="24"/>
        </w:rPr>
        <w:t>.</w:t>
      </w:r>
    </w:p>
    <w:p w14:paraId="48FB7061" w14:textId="77777777" w:rsidR="00F5499B" w:rsidRPr="00F5499B" w:rsidRDefault="00F5499B" w:rsidP="00F5499B">
      <w:pPr>
        <w:jc w:val="both"/>
        <w:rPr>
          <w:bCs/>
          <w:color w:val="000000"/>
          <w:sz w:val="24"/>
        </w:rPr>
      </w:pPr>
    </w:p>
    <w:p w14:paraId="1E4935DB" w14:textId="595EBFC7" w:rsidR="00F5499B" w:rsidRDefault="00F5499B" w:rsidP="00F5499B">
      <w:pPr>
        <w:jc w:val="both"/>
        <w:rPr>
          <w:bCs/>
          <w:color w:val="000000"/>
          <w:sz w:val="24"/>
        </w:rPr>
      </w:pPr>
      <w:r w:rsidRPr="00F5499B">
        <w:rPr>
          <w:bCs/>
          <w:color w:val="000000"/>
          <w:sz w:val="24"/>
        </w:rPr>
        <w:t>Antimicrobial susceptibility testing demonstrated that most isolates remained susceptible to vancomycin, linezolid, and tigecycline, whereas high resistance rates were observed against penicillin, erythromycin, and clindamycin, consistent with reports from Nepal and other global regions</w:t>
      </w:r>
      <w:r w:rsidRPr="00F5499B">
        <w:rPr>
          <w:bCs/>
          <w:color w:val="000000"/>
          <w:sz w:val="24"/>
          <w:vertAlign w:val="superscript"/>
        </w:rPr>
        <w:t>28</w:t>
      </w:r>
      <w:r>
        <w:rPr>
          <w:bCs/>
          <w:color w:val="000000"/>
          <w:sz w:val="24"/>
        </w:rPr>
        <w:t>.</w:t>
      </w:r>
      <w:r w:rsidRPr="00F5499B">
        <w:rPr>
          <w:bCs/>
          <w:color w:val="000000"/>
          <w:sz w:val="24"/>
        </w:rPr>
        <w:t xml:space="preserve"> All MRSA isolates exhibited resistance to β-lactam antibiotics, including oxacillin and cefoxitin, likely because of </w:t>
      </w:r>
      <w:proofErr w:type="spellStart"/>
      <w:r w:rsidRPr="00F5499B">
        <w:rPr>
          <w:bCs/>
          <w:color w:val="000000"/>
          <w:sz w:val="24"/>
        </w:rPr>
        <w:t>mecA</w:t>
      </w:r>
      <w:proofErr w:type="spellEnd"/>
      <w:r w:rsidRPr="00F5499B">
        <w:rPr>
          <w:bCs/>
          <w:color w:val="000000"/>
          <w:sz w:val="24"/>
        </w:rPr>
        <w:t>-mediated resistance and β-lactamase production. Multidrug resistance was identified in 80% of MRSA isolates, emphasizing the considerable therapeutic challenge posed by these organisms. The observed resistance patterns paralleled global trends in which MRSA isolates demonstrate elevated resistance to fluoroquinolones, macrolides, and aminoglycosides while generally retaining susceptibility to glycopeptides and tigecycline</w:t>
      </w:r>
      <w:r w:rsidRPr="00F5499B">
        <w:rPr>
          <w:bCs/>
          <w:color w:val="000000"/>
          <w:sz w:val="24"/>
          <w:vertAlign w:val="superscript"/>
        </w:rPr>
        <w:t>29,30</w:t>
      </w:r>
      <w:r>
        <w:rPr>
          <w:bCs/>
          <w:color w:val="000000"/>
          <w:sz w:val="24"/>
        </w:rPr>
        <w:t>.</w:t>
      </w:r>
      <w:r w:rsidRPr="00F5499B">
        <w:rPr>
          <w:bCs/>
          <w:color w:val="000000"/>
          <w:sz w:val="24"/>
        </w:rPr>
        <w:t xml:space="preserve"> Clinically, MRSA-associated infections in this study were frequently associated with delayed wound healing, prolonged hospitalization, and increased requirements for combination or second-line antimicrobial therapy compared with MSSA-associated infections. Severe infections, including deep soft tissue involvement and osteomyelitis, were also more frequently </w:t>
      </w:r>
      <w:r w:rsidRPr="00F5499B">
        <w:rPr>
          <w:bCs/>
          <w:color w:val="000000"/>
          <w:sz w:val="24"/>
        </w:rPr>
        <w:lastRenderedPageBreak/>
        <w:t>associated with MRSA isolates, likely reflecting their multidrug-resistant phenotypes and limited therapeutic options.</w:t>
      </w:r>
    </w:p>
    <w:p w14:paraId="47FF3AD3" w14:textId="77777777" w:rsidR="00F5499B" w:rsidRPr="00F5499B" w:rsidRDefault="00F5499B" w:rsidP="00F5499B">
      <w:pPr>
        <w:jc w:val="both"/>
        <w:rPr>
          <w:bCs/>
          <w:color w:val="000000"/>
          <w:sz w:val="24"/>
        </w:rPr>
      </w:pPr>
    </w:p>
    <w:p w14:paraId="79A3C9C7" w14:textId="77777777" w:rsidR="00F5499B" w:rsidRDefault="00F5499B" w:rsidP="00F5499B">
      <w:pPr>
        <w:jc w:val="both"/>
        <w:rPr>
          <w:bCs/>
          <w:color w:val="000000"/>
          <w:sz w:val="24"/>
        </w:rPr>
      </w:pPr>
      <w:r w:rsidRPr="00F5499B">
        <w:rPr>
          <w:bCs/>
          <w:color w:val="000000"/>
          <w:sz w:val="24"/>
        </w:rPr>
        <w:t xml:space="preserve">The identification of extensively drug-resistant (XDR) and </w:t>
      </w:r>
      <w:proofErr w:type="spellStart"/>
      <w:r w:rsidRPr="00F5499B">
        <w:rPr>
          <w:bCs/>
          <w:color w:val="000000"/>
          <w:sz w:val="24"/>
        </w:rPr>
        <w:t>pandrug</w:t>
      </w:r>
      <w:proofErr w:type="spellEnd"/>
      <w:r w:rsidRPr="00F5499B">
        <w:rPr>
          <w:bCs/>
          <w:color w:val="000000"/>
          <w:sz w:val="24"/>
        </w:rPr>
        <w:t xml:space="preserve">-resistant (PDR) </w:t>
      </w:r>
      <w:r w:rsidRPr="00F5499B">
        <w:rPr>
          <w:bCs/>
          <w:i/>
          <w:iCs/>
          <w:color w:val="000000"/>
          <w:sz w:val="24"/>
        </w:rPr>
        <w:t>S. aureus</w:t>
      </w:r>
      <w:r w:rsidRPr="00F5499B">
        <w:rPr>
          <w:bCs/>
          <w:color w:val="000000"/>
          <w:sz w:val="24"/>
        </w:rPr>
        <w:t xml:space="preserve"> isolates represents a major therapeutic concern in severe DFIs. XDR isolates demonstrated susceptibility primarily to last-resort agents, including vancomycin, linezolid, and tigecycline, whereas PDR isolates exhibited resistance to nearly all tested antimicrobial classes. Consequently, treatment strategies for these infections require individualized susceptibility-guided approaches, including combination therapy and aggressive infection control measures. In severe cases, surgical debridement and optimized antimicrobial dosing remain essential for reducing bacterial burden and improving clinical outcomes. These findings underscore the importance of antimicrobial stewardship programs and rapid molecular diagnostics for effective management of multidrug-resistant DFI-associated pathogens.</w:t>
      </w:r>
    </w:p>
    <w:p w14:paraId="3677AB40" w14:textId="77777777" w:rsidR="00F5499B" w:rsidRPr="00F5499B" w:rsidRDefault="00F5499B" w:rsidP="00F5499B">
      <w:pPr>
        <w:jc w:val="both"/>
        <w:rPr>
          <w:bCs/>
          <w:color w:val="000000"/>
          <w:sz w:val="24"/>
        </w:rPr>
      </w:pPr>
    </w:p>
    <w:p w14:paraId="1B80D27A" w14:textId="28E591E5" w:rsidR="00F5499B" w:rsidRDefault="00F5499B" w:rsidP="00F5499B">
      <w:pPr>
        <w:jc w:val="both"/>
        <w:rPr>
          <w:bCs/>
          <w:color w:val="000000"/>
          <w:sz w:val="24"/>
        </w:rPr>
      </w:pPr>
      <w:r w:rsidRPr="00F5499B">
        <w:rPr>
          <w:bCs/>
          <w:color w:val="000000"/>
          <w:sz w:val="24"/>
        </w:rPr>
        <w:t xml:space="preserve">Virulence determinants also play a major role in the pathogenesis and persistence of </w:t>
      </w:r>
      <w:r w:rsidRPr="00F5499B">
        <w:rPr>
          <w:bCs/>
          <w:i/>
          <w:iCs/>
          <w:color w:val="000000"/>
          <w:sz w:val="24"/>
        </w:rPr>
        <w:t>S. aureus</w:t>
      </w:r>
      <w:r w:rsidRPr="00F5499B">
        <w:rPr>
          <w:bCs/>
          <w:color w:val="000000"/>
          <w:sz w:val="24"/>
        </w:rPr>
        <w:t xml:space="preserve"> infections. The </w:t>
      </w:r>
      <w:proofErr w:type="spellStart"/>
      <w:r w:rsidRPr="00F5499B">
        <w:rPr>
          <w:bCs/>
          <w:i/>
          <w:iCs/>
          <w:color w:val="000000"/>
          <w:sz w:val="24"/>
        </w:rPr>
        <w:t>cna</w:t>
      </w:r>
      <w:proofErr w:type="spellEnd"/>
      <w:r w:rsidRPr="00F5499B">
        <w:rPr>
          <w:bCs/>
          <w:color w:val="000000"/>
          <w:sz w:val="24"/>
        </w:rPr>
        <w:t xml:space="preserve"> gene encodes a collagen-binding adhesin that facilitates bacterial adherence to host tissues and contributes to chronic colonization, whereas γ-</w:t>
      </w:r>
      <w:proofErr w:type="spellStart"/>
      <w:r w:rsidRPr="00F5499B">
        <w:rPr>
          <w:bCs/>
          <w:color w:val="000000"/>
          <w:sz w:val="24"/>
        </w:rPr>
        <w:t>hemolysin</w:t>
      </w:r>
      <w:proofErr w:type="spellEnd"/>
      <w:r w:rsidRPr="00F5499B">
        <w:rPr>
          <w:bCs/>
          <w:color w:val="000000"/>
          <w:sz w:val="24"/>
        </w:rPr>
        <w:t xml:space="preserve"> encoded by </w:t>
      </w:r>
      <w:proofErr w:type="spellStart"/>
      <w:r w:rsidRPr="00F5499B">
        <w:rPr>
          <w:bCs/>
          <w:i/>
          <w:iCs/>
          <w:color w:val="000000"/>
          <w:sz w:val="24"/>
        </w:rPr>
        <w:t>hlg</w:t>
      </w:r>
      <w:proofErr w:type="spellEnd"/>
      <w:r w:rsidRPr="00F5499B">
        <w:rPr>
          <w:bCs/>
          <w:color w:val="000000"/>
          <w:sz w:val="24"/>
        </w:rPr>
        <w:t xml:space="preserve"> promotes tissue destruction, inflammation, and impaired wound healing</w:t>
      </w:r>
      <w:r w:rsidRPr="00F5499B">
        <w:rPr>
          <w:bCs/>
          <w:color w:val="000000"/>
          <w:sz w:val="24"/>
          <w:vertAlign w:val="superscript"/>
        </w:rPr>
        <w:t>31</w:t>
      </w:r>
      <w:r>
        <w:rPr>
          <w:bCs/>
          <w:color w:val="000000"/>
          <w:sz w:val="24"/>
        </w:rPr>
        <w:t>.</w:t>
      </w:r>
      <w:r w:rsidRPr="00F5499B">
        <w:rPr>
          <w:bCs/>
          <w:color w:val="000000"/>
          <w:sz w:val="24"/>
        </w:rPr>
        <w:t xml:space="preserve"> In this study, the </w:t>
      </w:r>
      <w:proofErr w:type="spellStart"/>
      <w:r w:rsidRPr="00F5499B">
        <w:rPr>
          <w:bCs/>
          <w:i/>
          <w:iCs/>
          <w:color w:val="000000"/>
          <w:sz w:val="24"/>
        </w:rPr>
        <w:t>hlg</w:t>
      </w:r>
      <w:proofErr w:type="spellEnd"/>
      <w:r w:rsidRPr="00F5499B">
        <w:rPr>
          <w:bCs/>
          <w:color w:val="000000"/>
          <w:sz w:val="24"/>
        </w:rPr>
        <w:t xml:space="preserve"> gene was detected in all isolates, whereas </w:t>
      </w:r>
      <w:proofErr w:type="spellStart"/>
      <w:r w:rsidRPr="00F5499B">
        <w:rPr>
          <w:bCs/>
          <w:i/>
          <w:iCs/>
          <w:color w:val="000000"/>
          <w:sz w:val="24"/>
        </w:rPr>
        <w:t>cna</w:t>
      </w:r>
      <w:proofErr w:type="spellEnd"/>
      <w:r w:rsidRPr="00F5499B">
        <w:rPr>
          <w:bCs/>
          <w:color w:val="000000"/>
          <w:sz w:val="24"/>
        </w:rPr>
        <w:t xml:space="preserve"> was identified in 28.8% of MRSA isolates, suggesting that the coexistence of virulence-associated and antimicrobial resistance-associated determinants may contribute to infection severity and persistence.</w:t>
      </w:r>
    </w:p>
    <w:p w14:paraId="06C94F25" w14:textId="77777777" w:rsidR="00F5499B" w:rsidRPr="00F5499B" w:rsidRDefault="00F5499B" w:rsidP="00F5499B">
      <w:pPr>
        <w:jc w:val="both"/>
        <w:rPr>
          <w:bCs/>
          <w:color w:val="000000"/>
          <w:sz w:val="24"/>
        </w:rPr>
      </w:pPr>
    </w:p>
    <w:p w14:paraId="38175D79" w14:textId="283A7C19" w:rsidR="00F5499B" w:rsidRDefault="00F5499B" w:rsidP="00F5499B">
      <w:pPr>
        <w:jc w:val="both"/>
        <w:rPr>
          <w:bCs/>
          <w:color w:val="000000"/>
          <w:sz w:val="24"/>
        </w:rPr>
      </w:pPr>
      <w:r w:rsidRPr="00F5499B">
        <w:rPr>
          <w:bCs/>
          <w:color w:val="000000"/>
          <w:sz w:val="24"/>
        </w:rPr>
        <w:t xml:space="preserve">The </w:t>
      </w:r>
      <w:proofErr w:type="spellStart"/>
      <w:r w:rsidRPr="00F5499B">
        <w:rPr>
          <w:bCs/>
          <w:i/>
          <w:iCs/>
          <w:color w:val="000000"/>
          <w:sz w:val="24"/>
        </w:rPr>
        <w:t>bla</w:t>
      </w:r>
      <w:r w:rsidRPr="00F5499B">
        <w:rPr>
          <w:bCs/>
          <w:color w:val="000000"/>
          <w:sz w:val="24"/>
          <w:vertAlign w:val="subscript"/>
        </w:rPr>
        <w:t>OXA</w:t>
      </w:r>
      <w:proofErr w:type="spellEnd"/>
      <w:r w:rsidRPr="00F5499B">
        <w:rPr>
          <w:bCs/>
          <w:color w:val="000000"/>
          <w:sz w:val="24"/>
        </w:rPr>
        <w:t xml:space="preserve">-group I genes were included in the molecular screening panel as part of a broad surveillance strategy targeting clinically relevant β-lactamase-associated resistance determinants. Although OXA-type β-lactamases are more commonly associated with gram-negative organisms, their inclusion enabled investigation of possible transferable or emerging resistance mechanisms in </w:t>
      </w:r>
      <w:r w:rsidRPr="00F5499B">
        <w:rPr>
          <w:bCs/>
          <w:i/>
          <w:iCs/>
          <w:color w:val="000000"/>
          <w:sz w:val="24"/>
        </w:rPr>
        <w:t>S. aureus</w:t>
      </w:r>
      <w:r w:rsidRPr="00F5499B">
        <w:rPr>
          <w:bCs/>
          <w:color w:val="000000"/>
          <w:sz w:val="24"/>
        </w:rPr>
        <w:t xml:space="preserve"> isolates recovered from DFIs. However, no </w:t>
      </w:r>
      <w:proofErr w:type="spellStart"/>
      <w:r w:rsidRPr="00F5499B">
        <w:rPr>
          <w:bCs/>
          <w:i/>
          <w:iCs/>
          <w:color w:val="000000"/>
          <w:sz w:val="24"/>
        </w:rPr>
        <w:t>bla</w:t>
      </w:r>
      <w:r w:rsidRPr="00F5499B">
        <w:rPr>
          <w:bCs/>
          <w:color w:val="000000"/>
          <w:sz w:val="24"/>
          <w:vertAlign w:val="subscript"/>
        </w:rPr>
        <w:t>OXA</w:t>
      </w:r>
      <w:proofErr w:type="spellEnd"/>
      <w:r w:rsidRPr="00F5499B">
        <w:rPr>
          <w:bCs/>
          <w:color w:val="000000"/>
          <w:sz w:val="24"/>
        </w:rPr>
        <w:t xml:space="preserve">-group I genes were identified in the analyzed isolates, indicating that OXA-mediated resistance was not a contributing mechanism within this cohort. Instead, the observed β-lactam resistance patterns were more likely associated with established mechanisms, including </w:t>
      </w:r>
      <w:proofErr w:type="spellStart"/>
      <w:r w:rsidRPr="00F5499B">
        <w:rPr>
          <w:bCs/>
          <w:color w:val="000000"/>
          <w:sz w:val="24"/>
        </w:rPr>
        <w:t>mecA</w:t>
      </w:r>
      <w:proofErr w:type="spellEnd"/>
      <w:r w:rsidRPr="00F5499B">
        <w:rPr>
          <w:bCs/>
          <w:color w:val="000000"/>
          <w:sz w:val="24"/>
        </w:rPr>
        <w:t xml:space="preserve">-mediated methicillin resistance and </w:t>
      </w:r>
      <w:proofErr w:type="spellStart"/>
      <w:r w:rsidRPr="00F5499B">
        <w:rPr>
          <w:bCs/>
          <w:i/>
          <w:iCs/>
          <w:color w:val="000000"/>
          <w:sz w:val="24"/>
        </w:rPr>
        <w:t>blaZ</w:t>
      </w:r>
      <w:proofErr w:type="spellEnd"/>
      <w:r w:rsidRPr="00F5499B">
        <w:rPr>
          <w:bCs/>
          <w:color w:val="000000"/>
          <w:sz w:val="24"/>
        </w:rPr>
        <w:t xml:space="preserve">-associated penicillin resistance. Therefore, the absence of </w:t>
      </w:r>
      <w:proofErr w:type="spellStart"/>
      <w:r w:rsidRPr="00F5499B">
        <w:rPr>
          <w:bCs/>
          <w:i/>
          <w:iCs/>
          <w:color w:val="000000"/>
          <w:sz w:val="24"/>
        </w:rPr>
        <w:t>bla</w:t>
      </w:r>
      <w:r w:rsidRPr="00F5499B">
        <w:rPr>
          <w:bCs/>
          <w:color w:val="000000"/>
          <w:sz w:val="24"/>
          <w:vertAlign w:val="subscript"/>
        </w:rPr>
        <w:t>OXA</w:t>
      </w:r>
      <w:proofErr w:type="spellEnd"/>
      <w:r w:rsidRPr="00F5499B">
        <w:rPr>
          <w:bCs/>
          <w:color w:val="000000"/>
          <w:sz w:val="24"/>
        </w:rPr>
        <w:t xml:space="preserve"> genes should be interpreted as a confirmatory epidemiological finding rather than evidence of their involvement in antimicrobial resistance within the present isolates. PCR-based molecular detection of </w:t>
      </w:r>
      <w:r>
        <w:rPr>
          <w:bCs/>
          <w:color w:val="000000"/>
          <w:sz w:val="24"/>
        </w:rPr>
        <w:t>resistance- and virulence-associated genes proved useful for rapid characterization of clinically relevant DFI-associated isolates</w:t>
      </w:r>
      <w:r w:rsidRPr="007249DE">
        <w:rPr>
          <w:bCs/>
          <w:color w:val="000000"/>
          <w:sz w:val="24"/>
          <w:vertAlign w:val="superscript"/>
        </w:rPr>
        <w:t>32</w:t>
      </w:r>
      <w:r>
        <w:rPr>
          <w:bCs/>
          <w:color w:val="000000"/>
          <w:sz w:val="24"/>
        </w:rPr>
        <w:t>.</w:t>
      </w:r>
    </w:p>
    <w:p w14:paraId="145F7A2E" w14:textId="77777777" w:rsidR="00F5499B" w:rsidRPr="00F5499B" w:rsidRDefault="00F5499B" w:rsidP="00F5499B">
      <w:pPr>
        <w:jc w:val="both"/>
        <w:rPr>
          <w:bCs/>
          <w:color w:val="000000"/>
          <w:sz w:val="24"/>
        </w:rPr>
      </w:pPr>
    </w:p>
    <w:p w14:paraId="7369CBE9" w14:textId="081C6E22" w:rsidR="00F5499B" w:rsidRDefault="00F5499B" w:rsidP="00F5499B">
      <w:pPr>
        <w:jc w:val="both"/>
        <w:rPr>
          <w:bCs/>
          <w:color w:val="000000"/>
          <w:sz w:val="24"/>
        </w:rPr>
      </w:pPr>
      <w:r w:rsidRPr="00F5499B">
        <w:rPr>
          <w:bCs/>
          <w:color w:val="000000"/>
          <w:sz w:val="24"/>
        </w:rPr>
        <w:t xml:space="preserve">The present findings are consistent with </w:t>
      </w:r>
      <w:r>
        <w:rPr>
          <w:bCs/>
          <w:color w:val="000000"/>
          <w:sz w:val="24"/>
        </w:rPr>
        <w:t>previous reports, which</w:t>
      </w:r>
      <w:r w:rsidRPr="00F5499B">
        <w:rPr>
          <w:bCs/>
          <w:color w:val="000000"/>
          <w:sz w:val="24"/>
        </w:rPr>
        <w:t xml:space="preserve"> identified a high prevalence of MRSA, extensive multidrug resistance, and significant contributions of biofilm-associated persistence in diabetic foot infections</w:t>
      </w:r>
      <w:r w:rsidRPr="00F5499B">
        <w:rPr>
          <w:bCs/>
          <w:color w:val="000000"/>
          <w:sz w:val="24"/>
          <w:vertAlign w:val="superscript"/>
        </w:rPr>
        <w:t>33</w:t>
      </w:r>
      <w:r>
        <w:rPr>
          <w:bCs/>
          <w:color w:val="000000"/>
          <w:sz w:val="24"/>
        </w:rPr>
        <w:t>.</w:t>
      </w:r>
      <w:r w:rsidRPr="00F5499B">
        <w:rPr>
          <w:bCs/>
          <w:color w:val="000000"/>
          <w:sz w:val="24"/>
        </w:rPr>
        <w:t xml:space="preserve"> Similarly, Wang and Zhang (2022) reported a high prevalence of virulence-associated genes together with substantial variability in antimicrobial resistance profiles among </w:t>
      </w:r>
      <w:r w:rsidRPr="00F5499B">
        <w:rPr>
          <w:bCs/>
          <w:i/>
          <w:iCs/>
          <w:color w:val="000000"/>
          <w:sz w:val="24"/>
        </w:rPr>
        <w:t>S. aureus</w:t>
      </w:r>
      <w:r w:rsidRPr="00F5499B">
        <w:rPr>
          <w:bCs/>
          <w:color w:val="000000"/>
          <w:sz w:val="24"/>
        </w:rPr>
        <w:t xml:space="preserve"> clinical isolates from different geographic regions</w:t>
      </w:r>
      <w:r w:rsidRPr="00F5499B">
        <w:rPr>
          <w:bCs/>
          <w:color w:val="000000"/>
          <w:sz w:val="24"/>
          <w:vertAlign w:val="superscript"/>
        </w:rPr>
        <w:t>34</w:t>
      </w:r>
      <w:r>
        <w:rPr>
          <w:bCs/>
          <w:color w:val="000000"/>
          <w:sz w:val="24"/>
        </w:rPr>
        <w:t>.</w:t>
      </w:r>
      <w:r w:rsidRPr="00F5499B">
        <w:rPr>
          <w:bCs/>
          <w:color w:val="000000"/>
          <w:sz w:val="24"/>
        </w:rPr>
        <w:t xml:space="preserve"> The consistency between these findings and the present study further supports the contribution of both virulence-associated and resistance-associated determinants to the persistence and severity of DFI-associated </w:t>
      </w:r>
      <w:r w:rsidRPr="00F5499B">
        <w:rPr>
          <w:bCs/>
          <w:i/>
          <w:iCs/>
          <w:color w:val="000000"/>
          <w:sz w:val="24"/>
        </w:rPr>
        <w:t>S. aureus</w:t>
      </w:r>
      <w:r w:rsidRPr="00F5499B">
        <w:rPr>
          <w:bCs/>
          <w:color w:val="000000"/>
          <w:sz w:val="24"/>
        </w:rPr>
        <w:t xml:space="preserve"> infections.</w:t>
      </w:r>
    </w:p>
    <w:p w14:paraId="1CDAAF90" w14:textId="77777777" w:rsidR="00F5499B" w:rsidRPr="00F5499B" w:rsidRDefault="00F5499B" w:rsidP="00F5499B">
      <w:pPr>
        <w:jc w:val="both"/>
        <w:rPr>
          <w:bCs/>
          <w:color w:val="000000"/>
          <w:sz w:val="24"/>
        </w:rPr>
      </w:pPr>
    </w:p>
    <w:p w14:paraId="3CC0AB7F" w14:textId="77777777" w:rsidR="00F5499B" w:rsidRDefault="00F5499B" w:rsidP="00F5499B">
      <w:pPr>
        <w:jc w:val="both"/>
        <w:rPr>
          <w:bCs/>
          <w:color w:val="000000"/>
          <w:sz w:val="24"/>
        </w:rPr>
      </w:pPr>
      <w:r w:rsidRPr="00F5499B">
        <w:rPr>
          <w:bCs/>
          <w:color w:val="000000"/>
          <w:sz w:val="24"/>
        </w:rPr>
        <w:t xml:space="preserve">Whole-genome sequencing (WGS) of representative MDR and XDR </w:t>
      </w:r>
      <w:r w:rsidRPr="00F5499B">
        <w:rPr>
          <w:bCs/>
          <w:i/>
          <w:iCs/>
          <w:color w:val="000000"/>
          <w:sz w:val="24"/>
        </w:rPr>
        <w:t>S. aureus</w:t>
      </w:r>
      <w:r w:rsidRPr="00F5499B">
        <w:rPr>
          <w:bCs/>
          <w:color w:val="000000"/>
          <w:sz w:val="24"/>
        </w:rPr>
        <w:t xml:space="preserve"> isolates identified multiple resistance-associated genes, including </w:t>
      </w:r>
      <w:proofErr w:type="spellStart"/>
      <w:r w:rsidRPr="00F5499B">
        <w:rPr>
          <w:bCs/>
          <w:i/>
          <w:iCs/>
          <w:color w:val="000000"/>
          <w:sz w:val="24"/>
        </w:rPr>
        <w:t>blaZ</w:t>
      </w:r>
      <w:proofErr w:type="spellEnd"/>
      <w:r w:rsidRPr="00F5499B">
        <w:rPr>
          <w:bCs/>
          <w:color w:val="000000"/>
          <w:sz w:val="24"/>
        </w:rPr>
        <w:t xml:space="preserve">, </w:t>
      </w:r>
      <w:proofErr w:type="spellStart"/>
      <w:r w:rsidRPr="00F5499B">
        <w:rPr>
          <w:bCs/>
          <w:i/>
          <w:iCs/>
          <w:color w:val="000000"/>
          <w:sz w:val="24"/>
        </w:rPr>
        <w:t>tet</w:t>
      </w:r>
      <w:proofErr w:type="spellEnd"/>
      <w:r w:rsidRPr="00F5499B">
        <w:rPr>
          <w:bCs/>
          <w:color w:val="000000"/>
          <w:sz w:val="24"/>
        </w:rPr>
        <w:t xml:space="preserve">(38), </w:t>
      </w:r>
      <w:proofErr w:type="spellStart"/>
      <w:r w:rsidRPr="00F5499B">
        <w:rPr>
          <w:bCs/>
          <w:i/>
          <w:iCs/>
          <w:color w:val="000000"/>
          <w:sz w:val="24"/>
        </w:rPr>
        <w:t>norA</w:t>
      </w:r>
      <w:proofErr w:type="spellEnd"/>
      <w:r w:rsidRPr="00F5499B">
        <w:rPr>
          <w:bCs/>
          <w:color w:val="000000"/>
          <w:sz w:val="24"/>
        </w:rPr>
        <w:t xml:space="preserve">, </w:t>
      </w:r>
      <w:proofErr w:type="spellStart"/>
      <w:r w:rsidRPr="00F5499B">
        <w:rPr>
          <w:bCs/>
          <w:i/>
          <w:iCs/>
          <w:color w:val="000000"/>
          <w:sz w:val="24"/>
        </w:rPr>
        <w:t>gyrA</w:t>
      </w:r>
      <w:proofErr w:type="spellEnd"/>
      <w:r w:rsidRPr="00F5499B">
        <w:rPr>
          <w:bCs/>
          <w:color w:val="000000"/>
          <w:sz w:val="24"/>
        </w:rPr>
        <w:t xml:space="preserve">, </w:t>
      </w:r>
      <w:proofErr w:type="spellStart"/>
      <w:r w:rsidRPr="00F5499B">
        <w:rPr>
          <w:bCs/>
          <w:i/>
          <w:iCs/>
          <w:color w:val="000000"/>
          <w:sz w:val="24"/>
        </w:rPr>
        <w:t>parC</w:t>
      </w:r>
      <w:proofErr w:type="spellEnd"/>
      <w:r w:rsidRPr="00F5499B">
        <w:rPr>
          <w:bCs/>
          <w:color w:val="000000"/>
          <w:sz w:val="24"/>
        </w:rPr>
        <w:t xml:space="preserve">, and </w:t>
      </w:r>
      <w:proofErr w:type="spellStart"/>
      <w:r w:rsidRPr="00F5499B">
        <w:rPr>
          <w:bCs/>
          <w:i/>
          <w:iCs/>
          <w:color w:val="000000"/>
          <w:sz w:val="24"/>
        </w:rPr>
        <w:t>vanT</w:t>
      </w:r>
      <w:proofErr w:type="spellEnd"/>
      <w:r w:rsidRPr="00F5499B">
        <w:rPr>
          <w:bCs/>
          <w:color w:val="000000"/>
          <w:sz w:val="24"/>
        </w:rPr>
        <w:t xml:space="preserve">, in addition to CRISPR-associated regions and mobile genetic elements. Partial concordance was observed between detected resistance genes and phenotypic antimicrobial resistance profiles. For example, </w:t>
      </w:r>
      <w:proofErr w:type="spellStart"/>
      <w:r w:rsidRPr="00F5499B">
        <w:rPr>
          <w:bCs/>
          <w:i/>
          <w:iCs/>
          <w:color w:val="000000"/>
          <w:sz w:val="24"/>
        </w:rPr>
        <w:t>blaZ</w:t>
      </w:r>
      <w:proofErr w:type="spellEnd"/>
      <w:r w:rsidRPr="00F5499B">
        <w:rPr>
          <w:bCs/>
          <w:color w:val="000000"/>
          <w:sz w:val="24"/>
        </w:rPr>
        <w:t xml:space="preserve"> corresponded with β-lactam resistance, whereas </w:t>
      </w:r>
      <w:proofErr w:type="spellStart"/>
      <w:r w:rsidRPr="00F5499B">
        <w:rPr>
          <w:bCs/>
          <w:i/>
          <w:iCs/>
          <w:color w:val="000000"/>
          <w:sz w:val="24"/>
        </w:rPr>
        <w:t>tet</w:t>
      </w:r>
      <w:proofErr w:type="spellEnd"/>
      <w:r w:rsidRPr="00F5499B">
        <w:rPr>
          <w:bCs/>
          <w:color w:val="000000"/>
          <w:sz w:val="24"/>
        </w:rPr>
        <w:t xml:space="preserve">(38) and </w:t>
      </w:r>
      <w:proofErr w:type="spellStart"/>
      <w:r w:rsidRPr="00F5499B">
        <w:rPr>
          <w:bCs/>
          <w:i/>
          <w:iCs/>
          <w:color w:val="000000"/>
          <w:sz w:val="24"/>
        </w:rPr>
        <w:t>norA</w:t>
      </w:r>
      <w:proofErr w:type="spellEnd"/>
      <w:r w:rsidRPr="00F5499B">
        <w:rPr>
          <w:bCs/>
          <w:color w:val="000000"/>
          <w:sz w:val="24"/>
        </w:rPr>
        <w:t xml:space="preserve"> were associated with tetracycline and fluoroquinolone resistance phenotypes, respectively. However, several phenotypic resistance patterns could not be fully explained by the identified genomic determinants alone, suggesting that additional molecular mechanisms, including regulatory mutations, altered gene expression, efflux activity, or unidentified resistance genes, may contribute to antimicrobial resistance in these isolates. Consequently, genomic findings should be interpreted as supportive rather than definitive explanations for phenotypic resistance profiles.</w:t>
      </w:r>
    </w:p>
    <w:p w14:paraId="3CE865F5" w14:textId="77777777" w:rsidR="00F5499B" w:rsidRPr="00F5499B" w:rsidRDefault="00F5499B" w:rsidP="00F5499B">
      <w:pPr>
        <w:jc w:val="both"/>
        <w:rPr>
          <w:bCs/>
          <w:color w:val="000000"/>
          <w:sz w:val="24"/>
        </w:rPr>
      </w:pPr>
    </w:p>
    <w:p w14:paraId="467FF8BC" w14:textId="13BA377C" w:rsidR="00F5499B" w:rsidRDefault="00F5499B" w:rsidP="00F5499B">
      <w:pPr>
        <w:jc w:val="both"/>
        <w:rPr>
          <w:bCs/>
          <w:color w:val="000000"/>
          <w:sz w:val="24"/>
        </w:rPr>
      </w:pPr>
      <w:r w:rsidRPr="00F5499B">
        <w:rPr>
          <w:bCs/>
          <w:color w:val="000000"/>
          <w:sz w:val="24"/>
        </w:rPr>
        <w:t xml:space="preserve">This study has several limitations. First, the study was conducted at a single tertiary care center, which may limit the generalizability of the findings to other healthcare settings or geographic regions. Second, only monomicrobial </w:t>
      </w:r>
      <w:r w:rsidRPr="00F5499B">
        <w:rPr>
          <w:bCs/>
          <w:i/>
          <w:iCs/>
          <w:color w:val="000000"/>
          <w:sz w:val="24"/>
        </w:rPr>
        <w:t>S. aureus</w:t>
      </w:r>
      <w:r w:rsidRPr="00F5499B">
        <w:rPr>
          <w:bCs/>
          <w:color w:val="000000"/>
          <w:sz w:val="24"/>
        </w:rPr>
        <w:t xml:space="preserve"> DFI cases were included, whereas polymicrobial infections were excluded; therefore, broader microbial interactions commonly associated with DFIs were not evaluated. In addition, WGS analysis was performed on only two representative isolates (one MDR </w:t>
      </w:r>
      <w:r>
        <w:rPr>
          <w:bCs/>
          <w:color w:val="000000"/>
          <w:sz w:val="24"/>
        </w:rPr>
        <w:t xml:space="preserve">and one XDR isolate); therefore, genomic findings should be interpreted cautiously and not </w:t>
      </w:r>
      <w:r w:rsidRPr="00F5499B">
        <w:rPr>
          <w:bCs/>
          <w:color w:val="000000"/>
          <w:sz w:val="24"/>
        </w:rPr>
        <w:t xml:space="preserve">generalized to all isolates included in the study. The resulting genome assemblies remained draft genomes rather than fully closed chromosomal assemblies, limiting complete characterization of genomic rearrangements and plasmid architecture. Although plasmid replicon analysis identified multiple plasmid-associated replication elements, complete plasmid reconstruction and definitive localization of </w:t>
      </w:r>
      <w:r>
        <w:rPr>
          <w:bCs/>
          <w:color w:val="000000"/>
          <w:sz w:val="24"/>
        </w:rPr>
        <w:t>resistance- and virulence-associated determinants could not be fully resolved due to</w:t>
      </w:r>
      <w:r w:rsidRPr="00F5499B">
        <w:rPr>
          <w:bCs/>
          <w:color w:val="000000"/>
          <w:sz w:val="24"/>
        </w:rPr>
        <w:t xml:space="preserve"> fragmented assemblies. Furthermore, molecular analyses focused only on selected </w:t>
      </w:r>
      <w:r>
        <w:rPr>
          <w:bCs/>
          <w:color w:val="000000"/>
          <w:sz w:val="24"/>
        </w:rPr>
        <w:t xml:space="preserve">resistance- and virulence-associated genes and may therefore </w:t>
      </w:r>
      <w:r w:rsidRPr="00F5499B">
        <w:rPr>
          <w:bCs/>
          <w:color w:val="000000"/>
          <w:sz w:val="24"/>
        </w:rPr>
        <w:t xml:space="preserve">not fully represent the complete </w:t>
      </w:r>
      <w:proofErr w:type="spellStart"/>
      <w:r w:rsidRPr="00F5499B">
        <w:rPr>
          <w:bCs/>
          <w:color w:val="000000"/>
          <w:sz w:val="24"/>
        </w:rPr>
        <w:t>resistome</w:t>
      </w:r>
      <w:proofErr w:type="spellEnd"/>
      <w:r w:rsidRPr="00F5499B">
        <w:rPr>
          <w:bCs/>
          <w:color w:val="000000"/>
          <w:sz w:val="24"/>
        </w:rPr>
        <w:t xml:space="preserve"> or </w:t>
      </w:r>
      <w:proofErr w:type="spellStart"/>
      <w:r w:rsidRPr="00F5499B">
        <w:rPr>
          <w:bCs/>
          <w:color w:val="000000"/>
          <w:sz w:val="24"/>
        </w:rPr>
        <w:t>virulome</w:t>
      </w:r>
      <w:proofErr w:type="spellEnd"/>
      <w:r w:rsidRPr="00F5499B">
        <w:rPr>
          <w:bCs/>
          <w:color w:val="000000"/>
          <w:sz w:val="24"/>
        </w:rPr>
        <w:t xml:space="preserve"> diversity of the analyzed isolates. No formal transmission analysis, phylogenetic outbreak investigation, or epidemiological tracing was conducted; thus, conclusions regarding transmission dynamics and genomic surveillance applications should be interpreted conservatively.</w:t>
      </w:r>
    </w:p>
    <w:p w14:paraId="338D5FCC" w14:textId="77777777" w:rsidR="00F5499B" w:rsidRPr="00F5499B" w:rsidRDefault="00F5499B" w:rsidP="00F5499B">
      <w:pPr>
        <w:jc w:val="both"/>
        <w:rPr>
          <w:bCs/>
          <w:color w:val="000000"/>
          <w:sz w:val="24"/>
        </w:rPr>
      </w:pPr>
    </w:p>
    <w:p w14:paraId="367616B8" w14:textId="77777777" w:rsidR="00F5499B" w:rsidRPr="00F5499B" w:rsidRDefault="00F5499B" w:rsidP="00F5499B">
      <w:pPr>
        <w:jc w:val="both"/>
        <w:rPr>
          <w:bCs/>
          <w:color w:val="000000"/>
          <w:sz w:val="24"/>
        </w:rPr>
      </w:pPr>
      <w:r w:rsidRPr="00F5499B">
        <w:rPr>
          <w:bCs/>
          <w:color w:val="000000"/>
          <w:sz w:val="24"/>
        </w:rPr>
        <w:t xml:space="preserve">Despite these limitations, the present study provides important microbiological, molecular, phenotypic, and genomic data regarding MDR, XDR, and PDR </w:t>
      </w:r>
      <w:r w:rsidRPr="00F5499B">
        <w:rPr>
          <w:bCs/>
          <w:i/>
          <w:iCs/>
          <w:color w:val="000000"/>
          <w:sz w:val="24"/>
        </w:rPr>
        <w:t>S. aureus</w:t>
      </w:r>
      <w:r w:rsidRPr="00F5499B">
        <w:rPr>
          <w:bCs/>
          <w:color w:val="000000"/>
          <w:sz w:val="24"/>
        </w:rPr>
        <w:t xml:space="preserve"> isolates associated with diabetic foot infections. MRSA emerged as the predominant pathogen and demonstrated high multidrug resistance together with important virulence-associated determinants that complicate treatment, delay wound healing, and increase healthcare burden. The universal detection of </w:t>
      </w:r>
      <w:proofErr w:type="spellStart"/>
      <w:r w:rsidRPr="00F5499B">
        <w:rPr>
          <w:bCs/>
          <w:i/>
          <w:iCs/>
          <w:color w:val="000000"/>
          <w:sz w:val="24"/>
        </w:rPr>
        <w:t>hlg</w:t>
      </w:r>
      <w:proofErr w:type="spellEnd"/>
      <w:r w:rsidRPr="00F5499B">
        <w:rPr>
          <w:bCs/>
          <w:color w:val="000000"/>
          <w:sz w:val="24"/>
        </w:rPr>
        <w:t xml:space="preserve"> and the presence of </w:t>
      </w:r>
      <w:proofErr w:type="spellStart"/>
      <w:r w:rsidRPr="00F5499B">
        <w:rPr>
          <w:bCs/>
          <w:i/>
          <w:iCs/>
          <w:color w:val="000000"/>
          <w:sz w:val="24"/>
        </w:rPr>
        <w:t>cna</w:t>
      </w:r>
      <w:proofErr w:type="spellEnd"/>
      <w:r w:rsidRPr="00F5499B">
        <w:rPr>
          <w:bCs/>
          <w:color w:val="000000"/>
          <w:sz w:val="24"/>
        </w:rPr>
        <w:t xml:space="preserve"> in a subset of isolates suggest that virulence-associated genes may contribute to infection persistence and antimicrobial resistance phenotypes. Representative genomic characterization further demonstrated the presence of multiple resistance determinants, CRISPR-Cas systems, and mobile genetic elements, emphasizing the genomic complexity of clinically relevant DFI-associated </w:t>
      </w:r>
      <w:r w:rsidRPr="00F5499B">
        <w:rPr>
          <w:bCs/>
          <w:i/>
          <w:iCs/>
          <w:color w:val="000000"/>
          <w:sz w:val="24"/>
        </w:rPr>
        <w:t>S. aureus</w:t>
      </w:r>
      <w:r w:rsidRPr="00F5499B">
        <w:rPr>
          <w:bCs/>
          <w:color w:val="000000"/>
          <w:sz w:val="24"/>
        </w:rPr>
        <w:t xml:space="preserve"> isolates and supporting the need for continued molecular surveillance, antimicrobial stewardship, and targeted infection control strategies.</w:t>
      </w:r>
    </w:p>
    <w:p w14:paraId="0179404F" w14:textId="77777777" w:rsidR="00F5499B" w:rsidRDefault="00F5499B" w:rsidP="00E726B0">
      <w:pPr>
        <w:jc w:val="both"/>
        <w:rPr>
          <w:b/>
          <w:color w:val="000000"/>
          <w:sz w:val="24"/>
        </w:rPr>
      </w:pPr>
    </w:p>
    <w:p w14:paraId="625B85FD" w14:textId="2BE1E7F6" w:rsidR="00E04909" w:rsidRPr="00E04909" w:rsidRDefault="00E04909" w:rsidP="00E04909">
      <w:pPr>
        <w:jc w:val="both"/>
        <w:rPr>
          <w:b/>
          <w:color w:val="000000"/>
          <w:sz w:val="24"/>
        </w:rPr>
      </w:pPr>
      <w:r w:rsidRPr="00E04909">
        <w:rPr>
          <w:b/>
          <w:color w:val="000000"/>
          <w:sz w:val="24"/>
        </w:rPr>
        <w:t>ACKNOWLEDGMENTS</w:t>
      </w:r>
      <w:r>
        <w:rPr>
          <w:b/>
          <w:color w:val="000000"/>
          <w:sz w:val="24"/>
        </w:rPr>
        <w:t>:</w:t>
      </w:r>
    </w:p>
    <w:p w14:paraId="556D286C" w14:textId="70F371B2" w:rsidR="00E04909" w:rsidRPr="00E04909" w:rsidRDefault="00E04909" w:rsidP="00E04909">
      <w:pPr>
        <w:jc w:val="both"/>
        <w:rPr>
          <w:bCs/>
          <w:color w:val="000000"/>
          <w:sz w:val="24"/>
        </w:rPr>
      </w:pPr>
      <w:r w:rsidRPr="00E04909">
        <w:rPr>
          <w:bCs/>
          <w:color w:val="000000"/>
          <w:sz w:val="24"/>
        </w:rPr>
        <w:t>The authors acknowledge the use of the AI-based design platform Gamma Pro (Gamma App) for generation of Figure 1. All generated content was carefully reviewed, edited, and validated by the authors to ensure scientific accuracy, consistency, and integrity.</w:t>
      </w:r>
      <w:r>
        <w:rPr>
          <w:bCs/>
          <w:color w:val="000000"/>
          <w:sz w:val="24"/>
        </w:rPr>
        <w:t xml:space="preserve"> </w:t>
      </w:r>
      <w:r w:rsidRPr="00E04909">
        <w:rPr>
          <w:bCs/>
          <w:color w:val="000000"/>
          <w:sz w:val="24"/>
        </w:rPr>
        <w:t>The authors received no financial support for the research, authorship, and/or publication of this article.</w:t>
      </w:r>
    </w:p>
    <w:p w14:paraId="524E04D0" w14:textId="77777777" w:rsidR="00E04909" w:rsidRDefault="00E04909" w:rsidP="00E04909">
      <w:pPr>
        <w:jc w:val="both"/>
        <w:rPr>
          <w:b/>
          <w:bCs/>
          <w:color w:val="000000"/>
          <w:sz w:val="24"/>
        </w:rPr>
      </w:pPr>
    </w:p>
    <w:p w14:paraId="0678A52A" w14:textId="38488CCA" w:rsidR="00E04909" w:rsidRPr="00E04909" w:rsidRDefault="00E04909" w:rsidP="00E04909">
      <w:pPr>
        <w:jc w:val="both"/>
        <w:rPr>
          <w:b/>
          <w:bCs/>
          <w:color w:val="000000"/>
          <w:sz w:val="24"/>
        </w:rPr>
      </w:pPr>
      <w:r w:rsidRPr="00E04909">
        <w:rPr>
          <w:b/>
          <w:bCs/>
          <w:color w:val="000000"/>
          <w:sz w:val="24"/>
        </w:rPr>
        <w:t>DISCLOSURES</w:t>
      </w:r>
      <w:r>
        <w:rPr>
          <w:b/>
          <w:bCs/>
          <w:color w:val="000000"/>
          <w:sz w:val="24"/>
        </w:rPr>
        <w:t>:</w:t>
      </w:r>
    </w:p>
    <w:p w14:paraId="053F461C" w14:textId="77777777" w:rsidR="00E04909" w:rsidRDefault="00E04909" w:rsidP="00E04909">
      <w:pPr>
        <w:jc w:val="both"/>
        <w:rPr>
          <w:bCs/>
          <w:color w:val="000000"/>
          <w:sz w:val="24"/>
        </w:rPr>
      </w:pPr>
      <w:r w:rsidRPr="00E04909">
        <w:rPr>
          <w:bCs/>
          <w:color w:val="000000"/>
          <w:sz w:val="24"/>
        </w:rPr>
        <w:t>The authors declare that they have no known competing financial interests or personal relationships that could have influenced the work reported in this study.</w:t>
      </w:r>
    </w:p>
    <w:p w14:paraId="3D66E5B6" w14:textId="77777777" w:rsidR="00E04909" w:rsidRPr="00E04909" w:rsidRDefault="00E04909" w:rsidP="00E04909">
      <w:pPr>
        <w:jc w:val="both"/>
        <w:rPr>
          <w:bCs/>
          <w:color w:val="000000"/>
          <w:sz w:val="24"/>
        </w:rPr>
      </w:pPr>
    </w:p>
    <w:p w14:paraId="1DEAE9CE" w14:textId="77777777" w:rsidR="00E04909" w:rsidRDefault="00841360" w:rsidP="00E726B0">
      <w:pPr>
        <w:jc w:val="both"/>
        <w:rPr>
          <w:b/>
          <w:color w:val="000000"/>
          <w:sz w:val="24"/>
        </w:rPr>
      </w:pPr>
      <w:r w:rsidRPr="00E726B0">
        <w:rPr>
          <w:b/>
          <w:color w:val="000000"/>
          <w:sz w:val="24"/>
        </w:rPr>
        <w:t>Authorship contribution</w:t>
      </w:r>
      <w:r w:rsidR="00E04909">
        <w:rPr>
          <w:b/>
          <w:color w:val="000000"/>
          <w:sz w:val="24"/>
        </w:rPr>
        <w:t>:</w:t>
      </w:r>
    </w:p>
    <w:p w14:paraId="3E2ABEF1" w14:textId="4D505573" w:rsidR="002040A2" w:rsidRPr="00E04909" w:rsidRDefault="00E04909" w:rsidP="00E726B0">
      <w:pPr>
        <w:jc w:val="both"/>
        <w:rPr>
          <w:bCs/>
          <w:sz w:val="24"/>
        </w:rPr>
      </w:pPr>
      <w:r w:rsidRPr="00E04909">
        <w:rPr>
          <w:bCs/>
          <w:color w:val="000000"/>
          <w:sz w:val="24"/>
        </w:rPr>
        <w:t>Shaymaa H. Al-</w:t>
      </w:r>
      <w:proofErr w:type="spellStart"/>
      <w:r w:rsidRPr="00E04909">
        <w:rPr>
          <w:bCs/>
          <w:color w:val="000000"/>
          <w:sz w:val="24"/>
        </w:rPr>
        <w:t>Kubaisy</w:t>
      </w:r>
      <w:proofErr w:type="spellEnd"/>
      <w:r w:rsidRPr="00E04909">
        <w:rPr>
          <w:bCs/>
          <w:color w:val="000000"/>
          <w:sz w:val="24"/>
        </w:rPr>
        <w:t xml:space="preserve"> contributed to conceptualization, methodology development, investigation, formal analysis, and preparation of the original draft manuscript. Rawaa A. Hussein contributed to validation, investigation, and preparation of the original draft manuscript. </w:t>
      </w:r>
      <w:proofErr w:type="spellStart"/>
      <w:r w:rsidRPr="00E04909">
        <w:rPr>
          <w:bCs/>
          <w:color w:val="000000"/>
          <w:sz w:val="24"/>
        </w:rPr>
        <w:t>Mushtak</w:t>
      </w:r>
      <w:proofErr w:type="spellEnd"/>
      <w:r w:rsidRPr="00E04909">
        <w:rPr>
          <w:bCs/>
          <w:color w:val="000000"/>
          <w:sz w:val="24"/>
        </w:rPr>
        <w:t xml:space="preserve"> T.S. Al-Ouqaili contributed to conceptualization, supervision, project administration, investigation, and manuscript review and editing.</w:t>
      </w:r>
    </w:p>
    <w:p w14:paraId="2D1BCB04" w14:textId="77777777" w:rsidR="00E04909" w:rsidRDefault="00E04909" w:rsidP="00E726B0">
      <w:pPr>
        <w:jc w:val="both"/>
        <w:rPr>
          <w:b/>
          <w:color w:val="000000"/>
          <w:sz w:val="24"/>
        </w:rPr>
      </w:pPr>
    </w:p>
    <w:p w14:paraId="08EBFCDE" w14:textId="657F4C9C" w:rsidR="007A4BB7" w:rsidRDefault="00E04909" w:rsidP="00E726B0">
      <w:pPr>
        <w:jc w:val="both"/>
        <w:rPr>
          <w:b/>
          <w:color w:val="000000"/>
          <w:sz w:val="24"/>
        </w:rPr>
      </w:pPr>
      <w:r w:rsidRPr="00E726B0">
        <w:rPr>
          <w:b/>
          <w:color w:val="000000"/>
          <w:sz w:val="24"/>
        </w:rPr>
        <w:t>REFERENCES</w:t>
      </w:r>
      <w:r w:rsidR="00841360" w:rsidRPr="00E726B0">
        <w:rPr>
          <w:b/>
          <w:color w:val="000000"/>
          <w:sz w:val="24"/>
        </w:rPr>
        <w:t>:</w:t>
      </w:r>
    </w:p>
    <w:p w14:paraId="449E7534" w14:textId="771F42D7"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Wang X, Yuan CX, Xu B, Yu Z. Diabetic foot ulcers: Classification, risk factors and management. World J Diabetes. 2022;13(12):1049-65.</w:t>
      </w:r>
    </w:p>
    <w:p w14:paraId="770A9304" w14:textId="18CBDCEA"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Budzy</w:t>
      </w:r>
      <w:r w:rsidR="00664785">
        <w:rPr>
          <w:bCs/>
          <w:color w:val="000000"/>
          <w:sz w:val="24"/>
        </w:rPr>
        <w:t>n</w:t>
      </w:r>
      <w:r w:rsidRPr="00D449EB">
        <w:rPr>
          <w:bCs/>
          <w:color w:val="000000"/>
          <w:sz w:val="24"/>
        </w:rPr>
        <w:t>ska</w:t>
      </w:r>
      <w:proofErr w:type="spellEnd"/>
      <w:r w:rsidRPr="00D449EB">
        <w:rPr>
          <w:bCs/>
          <w:color w:val="000000"/>
          <w:sz w:val="24"/>
        </w:rPr>
        <w:t xml:space="preserve"> A, </w:t>
      </w:r>
      <w:proofErr w:type="spellStart"/>
      <w:r w:rsidRPr="00D449EB">
        <w:rPr>
          <w:bCs/>
          <w:color w:val="000000"/>
          <w:sz w:val="24"/>
        </w:rPr>
        <w:t>Ka</w:t>
      </w:r>
      <w:r w:rsidR="00664785">
        <w:rPr>
          <w:bCs/>
          <w:color w:val="000000"/>
          <w:sz w:val="24"/>
        </w:rPr>
        <w:t>z</w:t>
      </w:r>
      <w:r w:rsidRPr="00D449EB">
        <w:rPr>
          <w:bCs/>
          <w:color w:val="000000"/>
          <w:sz w:val="24"/>
        </w:rPr>
        <w:t>mierczak-Siedlecka</w:t>
      </w:r>
      <w:proofErr w:type="spellEnd"/>
      <w:r w:rsidRPr="00D449EB">
        <w:rPr>
          <w:bCs/>
          <w:color w:val="000000"/>
          <w:sz w:val="24"/>
        </w:rPr>
        <w:t xml:space="preserve"> K, </w:t>
      </w:r>
      <w:proofErr w:type="spellStart"/>
      <w:r w:rsidRPr="00D449EB">
        <w:rPr>
          <w:bCs/>
          <w:color w:val="000000"/>
          <w:sz w:val="24"/>
        </w:rPr>
        <w:t>Białow</w:t>
      </w:r>
      <w:r w:rsidR="00664785">
        <w:rPr>
          <w:bCs/>
          <w:color w:val="000000"/>
          <w:sz w:val="24"/>
        </w:rPr>
        <w:t>a</w:t>
      </w:r>
      <w:r w:rsidRPr="00D449EB">
        <w:rPr>
          <w:bCs/>
          <w:color w:val="000000"/>
          <w:sz w:val="24"/>
        </w:rPr>
        <w:t>s-Kot</w:t>
      </w:r>
      <w:proofErr w:type="spellEnd"/>
      <w:r w:rsidRPr="00D449EB">
        <w:rPr>
          <w:bCs/>
          <w:color w:val="000000"/>
          <w:sz w:val="24"/>
        </w:rPr>
        <w:t xml:space="preserve"> A, et al. Virulence factor genes and antimicrobial susceptibility of </w:t>
      </w:r>
      <w:r w:rsidRPr="00664785">
        <w:rPr>
          <w:bCs/>
          <w:i/>
          <w:iCs/>
          <w:color w:val="000000"/>
          <w:sz w:val="24"/>
        </w:rPr>
        <w:t>Staphylococcus aureus</w:t>
      </w:r>
      <w:r w:rsidRPr="00D449EB">
        <w:rPr>
          <w:bCs/>
          <w:color w:val="000000"/>
          <w:sz w:val="24"/>
        </w:rPr>
        <w:t xml:space="preserve"> strains isolated from blood and chronic wounds. Toxins (Basel). 2021;13(7):491.</w:t>
      </w:r>
    </w:p>
    <w:p w14:paraId="20332051" w14:textId="3F69A1A7"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Xia N, Morteza A, Yang F, Cao H, Wang A. Review of the role of cigarette smoking in diabetic foot disease. J Diabetes </w:t>
      </w:r>
      <w:proofErr w:type="spellStart"/>
      <w:r w:rsidRPr="00D449EB">
        <w:rPr>
          <w:bCs/>
          <w:color w:val="000000"/>
          <w:sz w:val="24"/>
        </w:rPr>
        <w:t>Investig</w:t>
      </w:r>
      <w:proofErr w:type="spellEnd"/>
      <w:r w:rsidRPr="00D449EB">
        <w:rPr>
          <w:bCs/>
          <w:color w:val="000000"/>
          <w:sz w:val="24"/>
        </w:rPr>
        <w:t>. 2019;10(2):202-15.</w:t>
      </w:r>
    </w:p>
    <w:p w14:paraId="24086407" w14:textId="49622A3A"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Arfaoui A, et al. Methicillin-resistant </w:t>
      </w:r>
      <w:r w:rsidRPr="00664785">
        <w:rPr>
          <w:bCs/>
          <w:i/>
          <w:iCs/>
          <w:color w:val="000000"/>
          <w:sz w:val="24"/>
        </w:rPr>
        <w:t>Staphylococcus aureus</w:t>
      </w:r>
      <w:r w:rsidRPr="00D449EB">
        <w:rPr>
          <w:bCs/>
          <w:color w:val="000000"/>
          <w:sz w:val="24"/>
        </w:rPr>
        <w:t xml:space="preserve"> from diabetic foot infections in a Tunisian hospital with the first detection of MSSA CC398-t571. Antibiotics (Basel). 2022;11(12):1755.</w:t>
      </w:r>
    </w:p>
    <w:p w14:paraId="56C53496" w14:textId="38A78A9C"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Hussein SZ, Mohammed Saleh G. Molecular detection of virulence factor genes for </w:t>
      </w:r>
      <w:r w:rsidRPr="00664785">
        <w:rPr>
          <w:bCs/>
          <w:i/>
          <w:iCs/>
          <w:color w:val="000000"/>
          <w:sz w:val="24"/>
        </w:rPr>
        <w:t>Staphylococcus aureus</w:t>
      </w:r>
      <w:r w:rsidRPr="00D449EB">
        <w:rPr>
          <w:bCs/>
          <w:color w:val="000000"/>
          <w:sz w:val="24"/>
        </w:rPr>
        <w:t xml:space="preserve"> in diabetic foot ulcers in Iraq. Ibn Al-Haitham J Pure Appl Sci. 2024;37(3):98-105.</w:t>
      </w:r>
    </w:p>
    <w:p w14:paraId="7210DD7B" w14:textId="1E93FFBE"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Shahi SK, Kumar A. Isolation and genetic analysis of multidrug-resistant bacteria from diabetic foot ulcers. Front Microbiol. 2015;6:1464.</w:t>
      </w:r>
    </w:p>
    <w:p w14:paraId="3E539838" w14:textId="14463021"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Víquez-Molina G, Aragón-Sánchez J, et al. Virulence factor genes in </w:t>
      </w:r>
      <w:r w:rsidRPr="00664785">
        <w:rPr>
          <w:bCs/>
          <w:i/>
          <w:iCs/>
          <w:color w:val="000000"/>
          <w:sz w:val="24"/>
        </w:rPr>
        <w:t xml:space="preserve">Staphylococcus aureus </w:t>
      </w:r>
      <w:r w:rsidRPr="00D449EB">
        <w:rPr>
          <w:bCs/>
          <w:color w:val="000000"/>
          <w:sz w:val="24"/>
        </w:rPr>
        <w:t xml:space="preserve">isolated from diabetic foot soft tissue and bone infections. </w:t>
      </w:r>
      <w:proofErr w:type="spellStart"/>
      <w:r w:rsidRPr="00D449EB">
        <w:rPr>
          <w:bCs/>
          <w:color w:val="000000"/>
          <w:sz w:val="24"/>
        </w:rPr>
        <w:t>Int</w:t>
      </w:r>
      <w:proofErr w:type="spellEnd"/>
      <w:r w:rsidRPr="00D449EB">
        <w:rPr>
          <w:bCs/>
          <w:color w:val="000000"/>
          <w:sz w:val="24"/>
        </w:rPr>
        <w:t xml:space="preserve"> J Low </w:t>
      </w:r>
      <w:proofErr w:type="spellStart"/>
      <w:r w:rsidRPr="00D449EB">
        <w:rPr>
          <w:bCs/>
          <w:color w:val="000000"/>
          <w:sz w:val="24"/>
        </w:rPr>
        <w:t>Extrem</w:t>
      </w:r>
      <w:proofErr w:type="spellEnd"/>
      <w:r w:rsidRPr="00D449EB">
        <w:rPr>
          <w:bCs/>
          <w:color w:val="000000"/>
          <w:sz w:val="24"/>
        </w:rPr>
        <w:t xml:space="preserve"> Wounds. 2018;17(1):36-41.</w:t>
      </w:r>
    </w:p>
    <w:p w14:paraId="78B6BDFD" w14:textId="1854C70D"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Ventura CL, et al. Identification of a novel </w:t>
      </w:r>
      <w:r w:rsidRPr="00664785">
        <w:rPr>
          <w:bCs/>
          <w:i/>
          <w:iCs/>
          <w:color w:val="000000"/>
          <w:sz w:val="24"/>
        </w:rPr>
        <w:t>Staphylococcus aureus</w:t>
      </w:r>
      <w:r w:rsidRPr="00D449EB">
        <w:rPr>
          <w:bCs/>
          <w:color w:val="000000"/>
          <w:sz w:val="24"/>
        </w:rPr>
        <w:t xml:space="preserve"> two-component leukotoxin using cell surface proteomics. </w:t>
      </w:r>
      <w:proofErr w:type="spellStart"/>
      <w:r w:rsidRPr="00D449EB">
        <w:rPr>
          <w:bCs/>
          <w:color w:val="000000"/>
          <w:sz w:val="24"/>
        </w:rPr>
        <w:t>PLoS</w:t>
      </w:r>
      <w:proofErr w:type="spellEnd"/>
      <w:r w:rsidRPr="00D449EB">
        <w:rPr>
          <w:bCs/>
          <w:color w:val="000000"/>
          <w:sz w:val="24"/>
        </w:rPr>
        <w:t xml:space="preserve"> One. 2010;5(7):e11634.</w:t>
      </w:r>
    </w:p>
    <w:p w14:paraId="0BF56270" w14:textId="77A6E7F1"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Hussein RA, Al-</w:t>
      </w:r>
      <w:proofErr w:type="spellStart"/>
      <w:r w:rsidRPr="00D449EB">
        <w:rPr>
          <w:bCs/>
          <w:color w:val="000000"/>
          <w:sz w:val="24"/>
        </w:rPr>
        <w:t>Kubaisy</w:t>
      </w:r>
      <w:proofErr w:type="spellEnd"/>
      <w:r w:rsidRPr="00D449EB">
        <w:rPr>
          <w:bCs/>
          <w:color w:val="000000"/>
          <w:sz w:val="24"/>
        </w:rPr>
        <w:t xml:space="preserve"> SH, Al-Ouqaili MTS. The influence of efflux pump, outer membrane permeability, and β-lactamase production on the resistance profile of multi-, extensively, and </w:t>
      </w:r>
      <w:proofErr w:type="spellStart"/>
      <w:r w:rsidRPr="00D449EB">
        <w:rPr>
          <w:bCs/>
          <w:color w:val="000000"/>
          <w:sz w:val="24"/>
        </w:rPr>
        <w:t>pandrug</w:t>
      </w:r>
      <w:proofErr w:type="spellEnd"/>
      <w:r w:rsidRPr="00D449EB">
        <w:rPr>
          <w:bCs/>
          <w:color w:val="000000"/>
          <w:sz w:val="24"/>
        </w:rPr>
        <w:t xml:space="preserve">-resistant </w:t>
      </w:r>
      <w:r w:rsidRPr="00664785">
        <w:rPr>
          <w:bCs/>
          <w:i/>
          <w:iCs/>
          <w:color w:val="000000"/>
          <w:sz w:val="24"/>
        </w:rPr>
        <w:t xml:space="preserve">Klebsiella </w:t>
      </w:r>
      <w:proofErr w:type="spellStart"/>
      <w:r w:rsidRPr="00664785">
        <w:rPr>
          <w:bCs/>
          <w:i/>
          <w:iCs/>
          <w:color w:val="000000"/>
          <w:sz w:val="24"/>
        </w:rPr>
        <w:t>pneumoniae</w:t>
      </w:r>
      <w:proofErr w:type="spellEnd"/>
      <w:r w:rsidRPr="00D449EB">
        <w:rPr>
          <w:bCs/>
          <w:color w:val="000000"/>
          <w:sz w:val="24"/>
        </w:rPr>
        <w:t>. J Infect Public Health. 2024;17(11):102544.</w:t>
      </w:r>
    </w:p>
    <w:p w14:paraId="10953011" w14:textId="2AF8B9B7"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lastRenderedPageBreak/>
        <w:t>Magiorakos</w:t>
      </w:r>
      <w:proofErr w:type="spellEnd"/>
      <w:r w:rsidRPr="00D449EB">
        <w:rPr>
          <w:bCs/>
          <w:color w:val="000000"/>
          <w:sz w:val="24"/>
        </w:rPr>
        <w:t xml:space="preserve"> AP, et al. Multidrug-resistant, extensively drug-resistant, and </w:t>
      </w:r>
      <w:proofErr w:type="spellStart"/>
      <w:r w:rsidRPr="00D449EB">
        <w:rPr>
          <w:bCs/>
          <w:color w:val="000000"/>
          <w:sz w:val="24"/>
        </w:rPr>
        <w:t>pandrug</w:t>
      </w:r>
      <w:proofErr w:type="spellEnd"/>
      <w:r w:rsidRPr="00D449EB">
        <w:rPr>
          <w:bCs/>
          <w:color w:val="000000"/>
          <w:sz w:val="24"/>
        </w:rPr>
        <w:t xml:space="preserve">-resistant bacteria: An international expert proposal for interim standard definitions for acquired resistance. </w:t>
      </w:r>
      <w:proofErr w:type="spellStart"/>
      <w:r w:rsidRPr="00D449EB">
        <w:rPr>
          <w:bCs/>
          <w:color w:val="000000"/>
          <w:sz w:val="24"/>
        </w:rPr>
        <w:t>Clin</w:t>
      </w:r>
      <w:proofErr w:type="spellEnd"/>
      <w:r w:rsidRPr="00D449EB">
        <w:rPr>
          <w:bCs/>
          <w:color w:val="000000"/>
          <w:sz w:val="24"/>
        </w:rPr>
        <w:t xml:space="preserve"> Microbiol Infect. 2012;18(3):268-81.</w:t>
      </w:r>
    </w:p>
    <w:p w14:paraId="4C51C1F1" w14:textId="65498500"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Clinical and Laboratory Standards Institute (CLSI). Performance standards for antimicrobial susceptibility testing. 32nd ed. Wayne (PA): CLSI; 2022.</w:t>
      </w:r>
    </w:p>
    <w:p w14:paraId="452DB61A" w14:textId="71BA240B"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Moses VK, Kandi V, Rao SKD. Minimum inhibitory concentrations of vancomycin and daptomycin against methicillin-resistant </w:t>
      </w:r>
      <w:r w:rsidRPr="00664785">
        <w:rPr>
          <w:bCs/>
          <w:i/>
          <w:iCs/>
          <w:color w:val="000000"/>
          <w:sz w:val="24"/>
        </w:rPr>
        <w:t>Staphylococcus aureus</w:t>
      </w:r>
      <w:r w:rsidRPr="00D449EB">
        <w:rPr>
          <w:bCs/>
          <w:color w:val="000000"/>
          <w:sz w:val="24"/>
        </w:rPr>
        <w:t xml:space="preserve"> isolated from various clinical specimens: A study from South India. Cureus. 2020;12(1):e6749.</w:t>
      </w:r>
    </w:p>
    <w:p w14:paraId="5ADFF02D" w14:textId="4E07AC0D"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Karimzadeh</w:t>
      </w:r>
      <w:proofErr w:type="spellEnd"/>
      <w:r w:rsidRPr="00D449EB">
        <w:rPr>
          <w:bCs/>
          <w:color w:val="000000"/>
          <w:sz w:val="24"/>
        </w:rPr>
        <w:t xml:space="preserve"> R, </w:t>
      </w:r>
      <w:proofErr w:type="spellStart"/>
      <w:r w:rsidRPr="00D449EB">
        <w:rPr>
          <w:bCs/>
          <w:color w:val="000000"/>
          <w:sz w:val="24"/>
        </w:rPr>
        <w:t>Ghassab</w:t>
      </w:r>
      <w:proofErr w:type="spellEnd"/>
      <w:r w:rsidRPr="00D449EB">
        <w:rPr>
          <w:bCs/>
          <w:color w:val="000000"/>
          <w:sz w:val="24"/>
        </w:rPr>
        <w:t xml:space="preserve"> RK. Identification of </w:t>
      </w:r>
      <w:proofErr w:type="spellStart"/>
      <w:r w:rsidRPr="00D449EB">
        <w:rPr>
          <w:bCs/>
          <w:color w:val="000000"/>
          <w:sz w:val="24"/>
        </w:rPr>
        <w:t>nuc</w:t>
      </w:r>
      <w:proofErr w:type="spellEnd"/>
      <w:r w:rsidRPr="00D449EB">
        <w:rPr>
          <w:bCs/>
          <w:color w:val="000000"/>
          <w:sz w:val="24"/>
        </w:rPr>
        <w:t xml:space="preserve"> nuclease and sea enterotoxin genes in </w:t>
      </w:r>
      <w:r w:rsidRPr="00664785">
        <w:rPr>
          <w:bCs/>
          <w:i/>
          <w:iCs/>
          <w:color w:val="000000"/>
          <w:sz w:val="24"/>
        </w:rPr>
        <w:t>Staphylococcus aureus</w:t>
      </w:r>
      <w:r w:rsidRPr="00D449EB">
        <w:rPr>
          <w:bCs/>
          <w:color w:val="000000"/>
          <w:sz w:val="24"/>
        </w:rPr>
        <w:t xml:space="preserve"> isolates from nasal mucosa of burn hospital staff: A cross-sectional study. New Microbes New Infect. 2022;47:100992.</w:t>
      </w:r>
    </w:p>
    <w:p w14:paraId="4643CD71" w14:textId="1225FF2C"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Alkhafaji IA. Proliferation of </w:t>
      </w:r>
      <w:proofErr w:type="spellStart"/>
      <w:r w:rsidRPr="00D449EB">
        <w:rPr>
          <w:bCs/>
          <w:color w:val="000000"/>
          <w:sz w:val="24"/>
        </w:rPr>
        <w:t>tst</w:t>
      </w:r>
      <w:proofErr w:type="spellEnd"/>
      <w:r w:rsidRPr="00D449EB">
        <w:rPr>
          <w:bCs/>
          <w:color w:val="000000"/>
          <w:sz w:val="24"/>
        </w:rPr>
        <w:t xml:space="preserve"> genes in methicillin-resistant </w:t>
      </w:r>
      <w:r w:rsidRPr="00664785">
        <w:rPr>
          <w:bCs/>
          <w:i/>
          <w:iCs/>
          <w:color w:val="000000"/>
          <w:sz w:val="24"/>
        </w:rPr>
        <w:t>Staphylococcus aureus</w:t>
      </w:r>
      <w:r w:rsidRPr="00D449EB">
        <w:rPr>
          <w:bCs/>
          <w:color w:val="000000"/>
          <w:sz w:val="24"/>
        </w:rPr>
        <w:t xml:space="preserve"> (MRSA). Clin Med Insights. 2020;1(1):1-5.</w:t>
      </w:r>
    </w:p>
    <w:p w14:paraId="65B0E637" w14:textId="6D5C1556"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Kumar JD, Negi YK, Gaur A, Khanna D. Detection of virulence genes in </w:t>
      </w:r>
      <w:r w:rsidRPr="00664785">
        <w:rPr>
          <w:bCs/>
          <w:i/>
          <w:iCs/>
          <w:color w:val="000000"/>
          <w:sz w:val="24"/>
        </w:rPr>
        <w:t>Staphylococcus aureus</w:t>
      </w:r>
      <w:r w:rsidRPr="00D449EB">
        <w:rPr>
          <w:bCs/>
          <w:color w:val="000000"/>
          <w:sz w:val="24"/>
        </w:rPr>
        <w:t xml:space="preserve"> isolated from paper currency. Int J Infect Dis. 2009;13(6):e450-5.</w:t>
      </w:r>
    </w:p>
    <w:p w14:paraId="47D9E25A" w14:textId="3E61216A"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Armin S, </w:t>
      </w:r>
      <w:proofErr w:type="spellStart"/>
      <w:r w:rsidRPr="00D449EB">
        <w:rPr>
          <w:bCs/>
          <w:color w:val="000000"/>
          <w:sz w:val="24"/>
        </w:rPr>
        <w:t>Fallah</w:t>
      </w:r>
      <w:proofErr w:type="spellEnd"/>
      <w:r w:rsidRPr="00D449EB">
        <w:rPr>
          <w:bCs/>
          <w:color w:val="000000"/>
          <w:sz w:val="24"/>
        </w:rPr>
        <w:t xml:space="preserve"> F, </w:t>
      </w:r>
      <w:proofErr w:type="spellStart"/>
      <w:r w:rsidRPr="00D449EB">
        <w:rPr>
          <w:bCs/>
          <w:color w:val="000000"/>
          <w:sz w:val="24"/>
        </w:rPr>
        <w:t>Navidinia</w:t>
      </w:r>
      <w:proofErr w:type="spellEnd"/>
      <w:r w:rsidRPr="00D449EB">
        <w:rPr>
          <w:bCs/>
          <w:color w:val="000000"/>
          <w:sz w:val="24"/>
        </w:rPr>
        <w:t xml:space="preserve"> M, </w:t>
      </w:r>
      <w:proofErr w:type="spellStart"/>
      <w:r w:rsidRPr="00D449EB">
        <w:rPr>
          <w:bCs/>
          <w:color w:val="000000"/>
          <w:sz w:val="24"/>
        </w:rPr>
        <w:t>Vosoghian</w:t>
      </w:r>
      <w:proofErr w:type="spellEnd"/>
      <w:r w:rsidRPr="00D449EB">
        <w:rPr>
          <w:bCs/>
          <w:color w:val="000000"/>
          <w:sz w:val="24"/>
        </w:rPr>
        <w:t xml:space="preserve"> S. Prevalence of bla</w:t>
      </w:r>
      <w:r w:rsidRPr="00D449EB">
        <w:rPr>
          <w:bCs/>
          <w:color w:val="000000"/>
          <w:sz w:val="24"/>
          <w:vertAlign w:val="subscript"/>
        </w:rPr>
        <w:t>OXA-1</w:t>
      </w:r>
      <w:r w:rsidRPr="00D449EB">
        <w:rPr>
          <w:bCs/>
          <w:color w:val="000000"/>
          <w:sz w:val="24"/>
        </w:rPr>
        <w:t xml:space="preserve"> and bla</w:t>
      </w:r>
      <w:r w:rsidRPr="00D449EB">
        <w:rPr>
          <w:bCs/>
          <w:color w:val="000000"/>
          <w:sz w:val="24"/>
          <w:vertAlign w:val="subscript"/>
        </w:rPr>
        <w:t>DHA-1</w:t>
      </w:r>
      <w:r w:rsidRPr="00D449EB">
        <w:rPr>
          <w:bCs/>
          <w:color w:val="000000"/>
          <w:sz w:val="24"/>
        </w:rPr>
        <w:t xml:space="preserve"> </w:t>
      </w:r>
      <w:proofErr w:type="spellStart"/>
      <w:r w:rsidRPr="00D449EB">
        <w:rPr>
          <w:bCs/>
          <w:color w:val="000000"/>
          <w:sz w:val="24"/>
        </w:rPr>
        <w:t>AmpC</w:t>
      </w:r>
      <w:proofErr w:type="spellEnd"/>
      <w:r w:rsidRPr="00D449EB">
        <w:rPr>
          <w:bCs/>
          <w:color w:val="000000"/>
          <w:sz w:val="24"/>
        </w:rPr>
        <w:t xml:space="preserve"> β-lactamase-producing and methicillin-resistant </w:t>
      </w:r>
      <w:r w:rsidRPr="00664785">
        <w:rPr>
          <w:bCs/>
          <w:i/>
          <w:iCs/>
          <w:color w:val="000000"/>
          <w:sz w:val="24"/>
        </w:rPr>
        <w:t>Staphylococcus aureus</w:t>
      </w:r>
      <w:r w:rsidRPr="00D449EB">
        <w:rPr>
          <w:bCs/>
          <w:color w:val="000000"/>
          <w:sz w:val="24"/>
        </w:rPr>
        <w:t xml:space="preserve"> in Iran. Iran J Microbiol. 2017;5(4):1-8.</w:t>
      </w:r>
    </w:p>
    <w:p w14:paraId="500D705C" w14:textId="04B33577"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Grant JR, et al. </w:t>
      </w:r>
      <w:proofErr w:type="spellStart"/>
      <w:r w:rsidRPr="00D449EB">
        <w:rPr>
          <w:bCs/>
          <w:color w:val="000000"/>
          <w:sz w:val="24"/>
        </w:rPr>
        <w:t>Proksee</w:t>
      </w:r>
      <w:proofErr w:type="spellEnd"/>
      <w:r w:rsidRPr="00D449EB">
        <w:rPr>
          <w:bCs/>
          <w:color w:val="000000"/>
          <w:sz w:val="24"/>
        </w:rPr>
        <w:t>: In-depth characterization and visualization of bacterial genomes. Nucleic Acids Res. 2023;51(W1):W484-92.</w:t>
      </w:r>
    </w:p>
    <w:p w14:paraId="2255FD0D" w14:textId="74359E91"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Adams FG, et al. </w:t>
      </w:r>
      <w:r w:rsidRPr="00664785">
        <w:rPr>
          <w:bCs/>
          <w:i/>
          <w:iCs/>
          <w:color w:val="000000"/>
          <w:sz w:val="24"/>
        </w:rPr>
        <w:t>Staphylococcus aureus</w:t>
      </w:r>
      <w:r w:rsidRPr="00D449EB">
        <w:rPr>
          <w:bCs/>
          <w:color w:val="000000"/>
          <w:sz w:val="24"/>
        </w:rPr>
        <w:t xml:space="preserve"> strain 63-2498 isolated from a diabetic patient. Microbiol </w:t>
      </w:r>
      <w:proofErr w:type="spellStart"/>
      <w:r w:rsidRPr="00D449EB">
        <w:rPr>
          <w:bCs/>
          <w:color w:val="000000"/>
          <w:sz w:val="24"/>
        </w:rPr>
        <w:t>Resour</w:t>
      </w:r>
      <w:proofErr w:type="spellEnd"/>
      <w:r w:rsidRPr="00D449EB">
        <w:rPr>
          <w:bCs/>
          <w:color w:val="000000"/>
          <w:sz w:val="24"/>
        </w:rPr>
        <w:t xml:space="preserve"> </w:t>
      </w:r>
      <w:proofErr w:type="spellStart"/>
      <w:r w:rsidRPr="00D449EB">
        <w:rPr>
          <w:bCs/>
          <w:color w:val="000000"/>
          <w:sz w:val="24"/>
        </w:rPr>
        <w:t>Announc</w:t>
      </w:r>
      <w:proofErr w:type="spellEnd"/>
      <w:r w:rsidRPr="00D449EB">
        <w:rPr>
          <w:bCs/>
          <w:color w:val="000000"/>
          <w:sz w:val="24"/>
        </w:rPr>
        <w:t>. 2025;14(10):1-4.</w:t>
      </w:r>
    </w:p>
    <w:p w14:paraId="407EBDAF" w14:textId="49BFFB33"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Al-Ouqaili MTS, Hussein RA, Kanaan BA, Al-Neda ATS. Investigation of carbapenemase-encoding genes in </w:t>
      </w:r>
      <w:proofErr w:type="spellStart"/>
      <w:r w:rsidRPr="00664785">
        <w:rPr>
          <w:bCs/>
          <w:i/>
          <w:iCs/>
          <w:color w:val="000000"/>
          <w:sz w:val="24"/>
        </w:rPr>
        <w:t>Burkholderia</w:t>
      </w:r>
      <w:proofErr w:type="spellEnd"/>
      <w:r w:rsidRPr="00664785">
        <w:rPr>
          <w:bCs/>
          <w:i/>
          <w:iCs/>
          <w:color w:val="000000"/>
          <w:sz w:val="24"/>
        </w:rPr>
        <w:t xml:space="preserve"> </w:t>
      </w:r>
      <w:proofErr w:type="spellStart"/>
      <w:r w:rsidRPr="00664785">
        <w:rPr>
          <w:bCs/>
          <w:i/>
          <w:iCs/>
          <w:color w:val="000000"/>
          <w:sz w:val="24"/>
        </w:rPr>
        <w:t>cepacia</w:t>
      </w:r>
      <w:proofErr w:type="spellEnd"/>
      <w:r w:rsidRPr="00D449EB">
        <w:rPr>
          <w:bCs/>
          <w:color w:val="000000"/>
          <w:sz w:val="24"/>
        </w:rPr>
        <w:t xml:space="preserve"> and </w:t>
      </w:r>
      <w:proofErr w:type="spellStart"/>
      <w:r w:rsidRPr="00664785">
        <w:rPr>
          <w:bCs/>
          <w:i/>
          <w:iCs/>
          <w:color w:val="000000"/>
          <w:sz w:val="24"/>
        </w:rPr>
        <w:t>Aeromonas</w:t>
      </w:r>
      <w:proofErr w:type="spellEnd"/>
      <w:r w:rsidRPr="00664785">
        <w:rPr>
          <w:bCs/>
          <w:i/>
          <w:iCs/>
          <w:color w:val="000000"/>
          <w:sz w:val="24"/>
        </w:rPr>
        <w:t xml:space="preserve"> </w:t>
      </w:r>
      <w:proofErr w:type="spellStart"/>
      <w:r w:rsidRPr="00664785">
        <w:rPr>
          <w:bCs/>
          <w:i/>
          <w:iCs/>
          <w:color w:val="000000"/>
          <w:sz w:val="24"/>
        </w:rPr>
        <w:t>sobria</w:t>
      </w:r>
      <w:proofErr w:type="spellEnd"/>
      <w:r w:rsidRPr="00D449EB">
        <w:rPr>
          <w:bCs/>
          <w:color w:val="000000"/>
          <w:sz w:val="24"/>
        </w:rPr>
        <w:t xml:space="preserve"> isolates from nosocomial infections in Iraqi patients. </w:t>
      </w:r>
      <w:proofErr w:type="spellStart"/>
      <w:r w:rsidRPr="00D449EB">
        <w:rPr>
          <w:bCs/>
          <w:color w:val="000000"/>
          <w:sz w:val="24"/>
        </w:rPr>
        <w:t>PLoS</w:t>
      </w:r>
      <w:proofErr w:type="spellEnd"/>
      <w:r w:rsidRPr="00D449EB">
        <w:rPr>
          <w:bCs/>
          <w:color w:val="000000"/>
          <w:sz w:val="24"/>
        </w:rPr>
        <w:t xml:space="preserve"> One. 2025;20(8):e0315490.</w:t>
      </w:r>
    </w:p>
    <w:p w14:paraId="43CD26E0" w14:textId="59CE81E4"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Anwar K, Hussein D, Salih J. Antimicrobial susceptibility testing and phenotypic detection of MRSA isolated from diabetic foot infection. Int J Gen Med. 2020;13:1349-57.</w:t>
      </w:r>
    </w:p>
    <w:p w14:paraId="7827FCCD" w14:textId="55988D6B"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Wazqar</w:t>
      </w:r>
      <w:proofErr w:type="spellEnd"/>
      <w:r w:rsidRPr="00D449EB">
        <w:rPr>
          <w:bCs/>
          <w:color w:val="000000"/>
          <w:sz w:val="24"/>
        </w:rPr>
        <w:t xml:space="preserve"> AA, </w:t>
      </w:r>
      <w:proofErr w:type="spellStart"/>
      <w:r w:rsidRPr="00D449EB">
        <w:rPr>
          <w:bCs/>
          <w:color w:val="000000"/>
          <w:sz w:val="24"/>
        </w:rPr>
        <w:t>Baatya</w:t>
      </w:r>
      <w:proofErr w:type="spellEnd"/>
      <w:r w:rsidRPr="00D449EB">
        <w:rPr>
          <w:bCs/>
          <w:color w:val="000000"/>
          <w:sz w:val="24"/>
        </w:rPr>
        <w:t xml:space="preserve"> MM, Lodhi FS, Khan AA. Assessment of knowledge and foot self-care practices among patients with diabetes mellitus in a tertiary care center in Makkah, Saudi Arabia: A cross-sectional analytical study. Pan </w:t>
      </w:r>
      <w:proofErr w:type="spellStart"/>
      <w:r w:rsidRPr="00D449EB">
        <w:rPr>
          <w:bCs/>
          <w:color w:val="000000"/>
          <w:sz w:val="24"/>
        </w:rPr>
        <w:t>Afr</w:t>
      </w:r>
      <w:proofErr w:type="spellEnd"/>
      <w:r w:rsidRPr="00D449EB">
        <w:rPr>
          <w:bCs/>
          <w:color w:val="000000"/>
          <w:sz w:val="24"/>
        </w:rPr>
        <w:t xml:space="preserve"> Med J. 2021;40:123.</w:t>
      </w:r>
    </w:p>
    <w:p w14:paraId="60676868" w14:textId="0734B57E"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Hinojosa CA, et al. Impact of the bacteriology of diabetic foot ulcers on limb loss. Wound Repair Regen. 2016;24(5):923-7.</w:t>
      </w:r>
    </w:p>
    <w:p w14:paraId="0E855831" w14:textId="3CC51C07"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Inzucchi</w:t>
      </w:r>
      <w:proofErr w:type="spellEnd"/>
      <w:r w:rsidRPr="00D449EB">
        <w:rPr>
          <w:bCs/>
          <w:color w:val="000000"/>
          <w:sz w:val="24"/>
        </w:rPr>
        <w:t xml:space="preserve"> SE, et al. Management of hyperglycemia in type 2 diabetes, 2015: A patient-centered approach. Diabetes Care. 2015;38(1):140-9.</w:t>
      </w:r>
    </w:p>
    <w:p w14:paraId="350C53EB" w14:textId="795B20D4"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Tentolouris</w:t>
      </w:r>
      <w:proofErr w:type="spellEnd"/>
      <w:r w:rsidRPr="00D449EB">
        <w:rPr>
          <w:bCs/>
          <w:color w:val="000000"/>
          <w:sz w:val="24"/>
        </w:rPr>
        <w:t xml:space="preserve"> N, et al. Methicillin-resistant </w:t>
      </w:r>
      <w:r w:rsidRPr="00FC2498">
        <w:rPr>
          <w:bCs/>
          <w:i/>
          <w:iCs/>
          <w:color w:val="000000"/>
          <w:sz w:val="24"/>
        </w:rPr>
        <w:t>Staphylococcus aureus</w:t>
      </w:r>
      <w:r w:rsidRPr="00D449EB">
        <w:rPr>
          <w:bCs/>
          <w:color w:val="000000"/>
          <w:sz w:val="24"/>
        </w:rPr>
        <w:t xml:space="preserve">: An increasing problem in a diabetic foot clinic. </w:t>
      </w:r>
      <w:proofErr w:type="spellStart"/>
      <w:r w:rsidRPr="00D449EB">
        <w:rPr>
          <w:bCs/>
          <w:color w:val="000000"/>
          <w:sz w:val="24"/>
        </w:rPr>
        <w:t>Diabet</w:t>
      </w:r>
      <w:proofErr w:type="spellEnd"/>
      <w:r w:rsidRPr="00D449EB">
        <w:rPr>
          <w:bCs/>
          <w:color w:val="000000"/>
          <w:sz w:val="24"/>
        </w:rPr>
        <w:t xml:space="preserve"> Med. 1999;16(9):767-71.</w:t>
      </w:r>
    </w:p>
    <w:p w14:paraId="7C275EB5" w14:textId="771D3F06"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Citron DM, Goldstein EJ, Merriam CV, Lipsky BA, Abramson MA. Bacteriology of moderate-to-severe diabetic foot infections and </w:t>
      </w:r>
      <w:r w:rsidRPr="00FC2498">
        <w:rPr>
          <w:bCs/>
          <w:i/>
          <w:iCs/>
          <w:color w:val="000000"/>
          <w:sz w:val="24"/>
        </w:rPr>
        <w:t>in vitro</w:t>
      </w:r>
      <w:r w:rsidRPr="00D449EB">
        <w:rPr>
          <w:bCs/>
          <w:color w:val="000000"/>
          <w:sz w:val="24"/>
        </w:rPr>
        <w:t xml:space="preserve"> activity of antimicrobial agents. J Clin Microbiol. 2007;45(9):2819-28.</w:t>
      </w:r>
    </w:p>
    <w:p w14:paraId="06CF5563" w14:textId="6A5D2440"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Anvarinejad</w:t>
      </w:r>
      <w:proofErr w:type="spellEnd"/>
      <w:r w:rsidRPr="00D449EB">
        <w:rPr>
          <w:bCs/>
          <w:color w:val="000000"/>
          <w:sz w:val="24"/>
        </w:rPr>
        <w:t xml:space="preserve"> M, et al. Isolation and antibiotic susceptibility of microorganisms isolated from diabetic foot infections in </w:t>
      </w:r>
      <w:proofErr w:type="spellStart"/>
      <w:r w:rsidRPr="00D449EB">
        <w:rPr>
          <w:bCs/>
          <w:color w:val="000000"/>
          <w:sz w:val="24"/>
        </w:rPr>
        <w:t>Nemazee</w:t>
      </w:r>
      <w:proofErr w:type="spellEnd"/>
      <w:r w:rsidRPr="00D449EB">
        <w:rPr>
          <w:bCs/>
          <w:color w:val="000000"/>
          <w:sz w:val="24"/>
        </w:rPr>
        <w:t xml:space="preserve"> Hospital, Southern Iran. J Pathog. 2015;2015:328796.</w:t>
      </w:r>
    </w:p>
    <w:p w14:paraId="5AA38A41" w14:textId="3A02BB66"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Lipsky</w:t>
      </w:r>
      <w:proofErr w:type="spellEnd"/>
      <w:r w:rsidRPr="00D449EB">
        <w:rPr>
          <w:bCs/>
          <w:color w:val="000000"/>
          <w:sz w:val="24"/>
        </w:rPr>
        <w:t xml:space="preserve"> BA, </w:t>
      </w:r>
      <w:proofErr w:type="spellStart"/>
      <w:r w:rsidRPr="00D449EB">
        <w:rPr>
          <w:bCs/>
          <w:color w:val="000000"/>
          <w:sz w:val="24"/>
        </w:rPr>
        <w:t>Senneville</w:t>
      </w:r>
      <w:proofErr w:type="spellEnd"/>
      <w:r w:rsidRPr="00D449EB">
        <w:rPr>
          <w:bCs/>
          <w:color w:val="000000"/>
          <w:sz w:val="24"/>
        </w:rPr>
        <w:t xml:space="preserve"> É, Abbas ZG, et al. Guidelines on the diagnosis and treatment of foot infection in persons with diabetes (IWGDF 2019 update). Diabetes </w:t>
      </w:r>
      <w:proofErr w:type="spellStart"/>
      <w:r w:rsidRPr="00D449EB">
        <w:rPr>
          <w:bCs/>
          <w:color w:val="000000"/>
          <w:sz w:val="24"/>
        </w:rPr>
        <w:t>Metab</w:t>
      </w:r>
      <w:proofErr w:type="spellEnd"/>
      <w:r w:rsidRPr="00D449EB">
        <w:rPr>
          <w:bCs/>
          <w:color w:val="000000"/>
          <w:sz w:val="24"/>
        </w:rPr>
        <w:t xml:space="preserve"> Res Rev. 2020;36(S1):e3280.</w:t>
      </w:r>
    </w:p>
    <w:p w14:paraId="7A11A430" w14:textId="16FE7254"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lastRenderedPageBreak/>
        <w:t xml:space="preserve">Bai Z, et al. Identification of methicillin-resistant </w:t>
      </w:r>
      <w:r w:rsidRPr="00FC2498">
        <w:rPr>
          <w:bCs/>
          <w:i/>
          <w:iCs/>
          <w:color w:val="000000"/>
          <w:sz w:val="24"/>
        </w:rPr>
        <w:t>Staphylococcus aureus</w:t>
      </w:r>
      <w:r w:rsidRPr="00D449EB">
        <w:rPr>
          <w:bCs/>
          <w:color w:val="000000"/>
          <w:sz w:val="24"/>
        </w:rPr>
        <w:t xml:space="preserve"> from methicillin-sensitive </w:t>
      </w:r>
      <w:r w:rsidRPr="00FC2498">
        <w:rPr>
          <w:bCs/>
          <w:i/>
          <w:iCs/>
          <w:color w:val="000000"/>
          <w:sz w:val="24"/>
        </w:rPr>
        <w:t>Staphylococcus aureus</w:t>
      </w:r>
      <w:r w:rsidRPr="00D449EB">
        <w:rPr>
          <w:bCs/>
          <w:color w:val="000000"/>
          <w:sz w:val="24"/>
        </w:rPr>
        <w:t xml:space="preserve"> and molecular characterization in Quanzhou, China. Front Cell Dev Biol. 2021;9:629681.</w:t>
      </w:r>
    </w:p>
    <w:p w14:paraId="075FFDA4" w14:textId="6F2E3FD2"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Abebe TA, Gebreyes DS, </w:t>
      </w:r>
      <w:proofErr w:type="spellStart"/>
      <w:r w:rsidRPr="00D449EB">
        <w:rPr>
          <w:bCs/>
          <w:color w:val="000000"/>
          <w:sz w:val="24"/>
        </w:rPr>
        <w:t>Abebe</w:t>
      </w:r>
      <w:proofErr w:type="spellEnd"/>
      <w:r w:rsidRPr="00D449EB">
        <w:rPr>
          <w:bCs/>
          <w:color w:val="000000"/>
          <w:sz w:val="24"/>
        </w:rPr>
        <w:t xml:space="preserve"> BA, </w:t>
      </w:r>
      <w:proofErr w:type="spellStart"/>
      <w:r w:rsidRPr="00D449EB">
        <w:rPr>
          <w:bCs/>
          <w:color w:val="000000"/>
          <w:sz w:val="24"/>
        </w:rPr>
        <w:t>Yitayew</w:t>
      </w:r>
      <w:proofErr w:type="spellEnd"/>
      <w:r w:rsidRPr="00D449EB">
        <w:rPr>
          <w:bCs/>
          <w:color w:val="000000"/>
          <w:sz w:val="24"/>
        </w:rPr>
        <w:t xml:space="preserve"> B. Antibiotic-resistant bacteria and resistance genes in drinking water sources in North Shoa Zone, Amhara Region, Ethiopia. Front Public Health. 2024;12:1422137.</w:t>
      </w:r>
    </w:p>
    <w:p w14:paraId="63C64C74" w14:textId="2EA81C39"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Herman-</w:t>
      </w:r>
      <w:proofErr w:type="spellStart"/>
      <w:r w:rsidRPr="00D449EB">
        <w:rPr>
          <w:bCs/>
          <w:color w:val="000000"/>
          <w:sz w:val="24"/>
        </w:rPr>
        <w:t>Bausier</w:t>
      </w:r>
      <w:proofErr w:type="spellEnd"/>
      <w:r w:rsidRPr="00D449EB">
        <w:rPr>
          <w:bCs/>
          <w:color w:val="000000"/>
          <w:sz w:val="24"/>
        </w:rPr>
        <w:t xml:space="preserve"> P, et al. Mechanical strength and inhibition of </w:t>
      </w:r>
      <w:r w:rsidRPr="00FC2498">
        <w:rPr>
          <w:bCs/>
          <w:i/>
          <w:iCs/>
          <w:color w:val="000000"/>
          <w:sz w:val="24"/>
        </w:rPr>
        <w:t>Staphylococcus aureus</w:t>
      </w:r>
      <w:r w:rsidRPr="00D449EB">
        <w:rPr>
          <w:bCs/>
          <w:color w:val="000000"/>
          <w:sz w:val="24"/>
        </w:rPr>
        <w:t xml:space="preserve"> collagen-binding protein </w:t>
      </w:r>
      <w:proofErr w:type="spellStart"/>
      <w:r w:rsidRPr="00D449EB">
        <w:rPr>
          <w:bCs/>
          <w:color w:val="000000"/>
          <w:sz w:val="24"/>
        </w:rPr>
        <w:t>Cna</w:t>
      </w:r>
      <w:proofErr w:type="spellEnd"/>
      <w:r w:rsidRPr="00D449EB">
        <w:rPr>
          <w:bCs/>
          <w:color w:val="000000"/>
          <w:sz w:val="24"/>
        </w:rPr>
        <w:t>. mBio. 2016;7(5):e01529-16.</w:t>
      </w:r>
    </w:p>
    <w:p w14:paraId="4B984BDF" w14:textId="33DF0BD2"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de Almeida LM, et al. Comparative analysis of </w:t>
      </w:r>
      <w:proofErr w:type="spellStart"/>
      <w:r w:rsidRPr="00D449EB">
        <w:rPr>
          <w:bCs/>
          <w:color w:val="000000"/>
          <w:sz w:val="24"/>
        </w:rPr>
        <w:t>agr</w:t>
      </w:r>
      <w:proofErr w:type="spellEnd"/>
      <w:r w:rsidRPr="00D449EB">
        <w:rPr>
          <w:bCs/>
          <w:color w:val="000000"/>
          <w:sz w:val="24"/>
        </w:rPr>
        <w:t xml:space="preserve"> groups and virulence genes among subclinical and clinical mastitis </w:t>
      </w:r>
      <w:r w:rsidRPr="00FC2498">
        <w:rPr>
          <w:bCs/>
          <w:i/>
          <w:iCs/>
          <w:color w:val="000000"/>
          <w:sz w:val="24"/>
        </w:rPr>
        <w:t>Staphylococcus aureus</w:t>
      </w:r>
      <w:r w:rsidRPr="00D449EB">
        <w:rPr>
          <w:bCs/>
          <w:color w:val="000000"/>
          <w:sz w:val="24"/>
        </w:rPr>
        <w:t xml:space="preserve"> isolates from sheep herds in Northeast Brazil. Braz J Microbiol. 2013;44(2):493-8</w:t>
      </w:r>
    </w:p>
    <w:p w14:paraId="63B43399" w14:textId="038389A1"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Elboshra</w:t>
      </w:r>
      <w:proofErr w:type="spellEnd"/>
      <w:r w:rsidRPr="00D449EB">
        <w:rPr>
          <w:bCs/>
          <w:color w:val="000000"/>
          <w:sz w:val="24"/>
        </w:rPr>
        <w:t xml:space="preserve"> MME, </w:t>
      </w:r>
      <w:proofErr w:type="spellStart"/>
      <w:r w:rsidRPr="00D449EB">
        <w:rPr>
          <w:bCs/>
          <w:color w:val="000000"/>
          <w:sz w:val="24"/>
        </w:rPr>
        <w:t>Hamedelnil</w:t>
      </w:r>
      <w:proofErr w:type="spellEnd"/>
      <w:r w:rsidRPr="00D449EB">
        <w:rPr>
          <w:bCs/>
          <w:color w:val="000000"/>
          <w:sz w:val="24"/>
        </w:rPr>
        <w:t xml:space="preserve"> YF, </w:t>
      </w:r>
      <w:proofErr w:type="spellStart"/>
      <w:r w:rsidRPr="00D449EB">
        <w:rPr>
          <w:bCs/>
          <w:color w:val="000000"/>
          <w:sz w:val="24"/>
        </w:rPr>
        <w:t>Moglad</w:t>
      </w:r>
      <w:proofErr w:type="spellEnd"/>
      <w:r w:rsidRPr="00D449EB">
        <w:rPr>
          <w:bCs/>
          <w:color w:val="000000"/>
          <w:sz w:val="24"/>
        </w:rPr>
        <w:t xml:space="preserve"> EH, </w:t>
      </w:r>
      <w:proofErr w:type="spellStart"/>
      <w:r w:rsidRPr="00D449EB">
        <w:rPr>
          <w:bCs/>
          <w:color w:val="000000"/>
          <w:sz w:val="24"/>
        </w:rPr>
        <w:t>Altayb</w:t>
      </w:r>
      <w:proofErr w:type="spellEnd"/>
      <w:r w:rsidRPr="00D449EB">
        <w:rPr>
          <w:bCs/>
          <w:color w:val="000000"/>
          <w:sz w:val="24"/>
        </w:rPr>
        <w:t xml:space="preserve"> HN. Prevalence and characterization of virulence genes among methicillin-resistant </w:t>
      </w:r>
      <w:r w:rsidRPr="00FC2498">
        <w:rPr>
          <w:bCs/>
          <w:i/>
          <w:iCs/>
          <w:color w:val="000000"/>
          <w:sz w:val="24"/>
        </w:rPr>
        <w:t>Staphylococcus aureus</w:t>
      </w:r>
      <w:r w:rsidRPr="00D449EB">
        <w:rPr>
          <w:bCs/>
          <w:color w:val="000000"/>
          <w:sz w:val="24"/>
        </w:rPr>
        <w:t xml:space="preserve"> isolated from Sudanese patients in Khartoum State. New Microbes New Infect. 2020;38:100784.</w:t>
      </w:r>
    </w:p>
    <w:p w14:paraId="45C56F70" w14:textId="39BB62D4" w:rsidR="00D449EB" w:rsidRPr="00D449EB" w:rsidRDefault="00D449EB" w:rsidP="00D449EB">
      <w:pPr>
        <w:pStyle w:val="a7"/>
        <w:numPr>
          <w:ilvl w:val="0"/>
          <w:numId w:val="1"/>
        </w:numPr>
        <w:ind w:left="0" w:firstLine="0"/>
        <w:jc w:val="both"/>
        <w:rPr>
          <w:bCs/>
          <w:color w:val="000000"/>
          <w:sz w:val="24"/>
        </w:rPr>
      </w:pPr>
      <w:proofErr w:type="spellStart"/>
      <w:r w:rsidRPr="00D449EB">
        <w:rPr>
          <w:bCs/>
          <w:color w:val="000000"/>
          <w:sz w:val="24"/>
        </w:rPr>
        <w:t>Mohsin</w:t>
      </w:r>
      <w:proofErr w:type="spellEnd"/>
      <w:r w:rsidRPr="00D449EB">
        <w:rPr>
          <w:bCs/>
          <w:color w:val="000000"/>
          <w:sz w:val="24"/>
        </w:rPr>
        <w:t xml:space="preserve"> SM, Al-</w:t>
      </w:r>
      <w:proofErr w:type="spellStart"/>
      <w:r w:rsidRPr="00D449EB">
        <w:rPr>
          <w:bCs/>
          <w:color w:val="000000"/>
          <w:sz w:val="24"/>
        </w:rPr>
        <w:t>Ghanimi</w:t>
      </w:r>
      <w:proofErr w:type="spellEnd"/>
      <w:r w:rsidRPr="00D449EB">
        <w:rPr>
          <w:bCs/>
          <w:color w:val="000000"/>
          <w:sz w:val="24"/>
        </w:rPr>
        <w:t xml:space="preserve"> AAK, </w:t>
      </w:r>
      <w:proofErr w:type="spellStart"/>
      <w:r w:rsidRPr="00D449EB">
        <w:rPr>
          <w:bCs/>
          <w:color w:val="000000"/>
          <w:sz w:val="24"/>
        </w:rPr>
        <w:t>Alwan</w:t>
      </w:r>
      <w:proofErr w:type="spellEnd"/>
      <w:r w:rsidRPr="00D449EB">
        <w:rPr>
          <w:bCs/>
          <w:color w:val="000000"/>
          <w:sz w:val="24"/>
        </w:rPr>
        <w:t xml:space="preserve"> DH. Molecular detection of virulence and antibiotic resistance genes of </w:t>
      </w:r>
      <w:r w:rsidRPr="00FC2498">
        <w:rPr>
          <w:bCs/>
          <w:i/>
          <w:iCs/>
          <w:color w:val="000000"/>
          <w:sz w:val="24"/>
        </w:rPr>
        <w:t>Staphylococcus aureus</w:t>
      </w:r>
      <w:r w:rsidRPr="00D449EB">
        <w:rPr>
          <w:bCs/>
          <w:color w:val="000000"/>
          <w:sz w:val="24"/>
        </w:rPr>
        <w:t xml:space="preserve"> isolated from diabetic foot infection. Med J Babylon. 2025;22(4):1369-77.</w:t>
      </w:r>
    </w:p>
    <w:p w14:paraId="4250FF44" w14:textId="4126C2B0" w:rsidR="00D449EB" w:rsidRPr="00D449EB" w:rsidRDefault="00D449EB" w:rsidP="00D449EB">
      <w:pPr>
        <w:pStyle w:val="a7"/>
        <w:numPr>
          <w:ilvl w:val="0"/>
          <w:numId w:val="1"/>
        </w:numPr>
        <w:ind w:left="0" w:firstLine="0"/>
        <w:jc w:val="both"/>
        <w:rPr>
          <w:bCs/>
          <w:color w:val="000000"/>
          <w:sz w:val="24"/>
        </w:rPr>
      </w:pPr>
      <w:r w:rsidRPr="00D449EB">
        <w:rPr>
          <w:bCs/>
          <w:color w:val="000000"/>
          <w:sz w:val="24"/>
        </w:rPr>
        <w:t xml:space="preserve">Wang M, Zhang Q. Characteristics of virulence genes of clinically isolated </w:t>
      </w:r>
      <w:r w:rsidR="00FC2498" w:rsidRPr="00FC2498">
        <w:rPr>
          <w:bCs/>
          <w:i/>
          <w:iCs/>
          <w:color w:val="000000"/>
          <w:sz w:val="24"/>
        </w:rPr>
        <w:t>S</w:t>
      </w:r>
      <w:r w:rsidRPr="00FC2498">
        <w:rPr>
          <w:bCs/>
          <w:i/>
          <w:iCs/>
          <w:color w:val="000000"/>
          <w:sz w:val="24"/>
        </w:rPr>
        <w:t xml:space="preserve">taphylococci </w:t>
      </w:r>
      <w:r w:rsidRPr="00D449EB">
        <w:rPr>
          <w:bCs/>
          <w:color w:val="000000"/>
          <w:sz w:val="24"/>
        </w:rPr>
        <w:t>in Jingzhou area. Contrast Media Mol Imaging. 2022;2022:8804616.</w:t>
      </w:r>
    </w:p>
    <w:p w14:paraId="209B97D4" w14:textId="77777777" w:rsidR="00D449EB" w:rsidRPr="00D449EB" w:rsidRDefault="00D449EB" w:rsidP="00D449EB">
      <w:pPr>
        <w:jc w:val="both"/>
        <w:rPr>
          <w:bCs/>
          <w:color w:val="000000"/>
          <w:sz w:val="24"/>
        </w:rPr>
      </w:pPr>
    </w:p>
    <w:sectPr w:rsidR="00D449EB" w:rsidRPr="00D449EB" w:rsidSect="00A3483D">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CBDA2" w14:textId="77777777" w:rsidR="00B56745" w:rsidRDefault="00B56745" w:rsidP="00A3483D">
      <w:r>
        <w:separator/>
      </w:r>
    </w:p>
  </w:endnote>
  <w:endnote w:type="continuationSeparator" w:id="0">
    <w:p w14:paraId="6151B821" w14:textId="77777777" w:rsidR="00B56745" w:rsidRDefault="00B56745" w:rsidP="00A34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279F8" w14:textId="77777777" w:rsidR="00A3483D" w:rsidRDefault="00A3483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73149" w14:textId="77777777" w:rsidR="00B56745" w:rsidRDefault="00B56745" w:rsidP="00A3483D">
      <w:r>
        <w:separator/>
      </w:r>
    </w:p>
  </w:footnote>
  <w:footnote w:type="continuationSeparator" w:id="0">
    <w:p w14:paraId="5E927F4A" w14:textId="77777777" w:rsidR="00B56745" w:rsidRDefault="00B56745" w:rsidP="00A348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6D2D54"/>
    <w:multiLevelType w:val="hybridMultilevel"/>
    <w:tmpl w:val="67522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16F90"/>
    <w:rsid w:val="00056400"/>
    <w:rsid w:val="000D69C7"/>
    <w:rsid w:val="00163CA5"/>
    <w:rsid w:val="00174BA5"/>
    <w:rsid w:val="001E03AD"/>
    <w:rsid w:val="00200F46"/>
    <w:rsid w:val="00200F97"/>
    <w:rsid w:val="002040A2"/>
    <w:rsid w:val="00205F9F"/>
    <w:rsid w:val="002734A6"/>
    <w:rsid w:val="00291C0C"/>
    <w:rsid w:val="002D3D09"/>
    <w:rsid w:val="002E0A64"/>
    <w:rsid w:val="002E7BDC"/>
    <w:rsid w:val="00300CF2"/>
    <w:rsid w:val="00361163"/>
    <w:rsid w:val="0040625E"/>
    <w:rsid w:val="004165A0"/>
    <w:rsid w:val="00467907"/>
    <w:rsid w:val="004E640D"/>
    <w:rsid w:val="00527DEA"/>
    <w:rsid w:val="0055413A"/>
    <w:rsid w:val="00594D52"/>
    <w:rsid w:val="005A0DCA"/>
    <w:rsid w:val="005B4700"/>
    <w:rsid w:val="005C0B3B"/>
    <w:rsid w:val="005E128B"/>
    <w:rsid w:val="00664785"/>
    <w:rsid w:val="00683790"/>
    <w:rsid w:val="00684C32"/>
    <w:rsid w:val="006A5E68"/>
    <w:rsid w:val="006B3E8F"/>
    <w:rsid w:val="006B6E31"/>
    <w:rsid w:val="006C7CD6"/>
    <w:rsid w:val="00723400"/>
    <w:rsid w:val="007249DE"/>
    <w:rsid w:val="00727011"/>
    <w:rsid w:val="0076448E"/>
    <w:rsid w:val="007A4BB7"/>
    <w:rsid w:val="007C71EF"/>
    <w:rsid w:val="007D0B7A"/>
    <w:rsid w:val="00841360"/>
    <w:rsid w:val="008B498E"/>
    <w:rsid w:val="008E14B7"/>
    <w:rsid w:val="008E4B3B"/>
    <w:rsid w:val="009214B9"/>
    <w:rsid w:val="0097763E"/>
    <w:rsid w:val="00A042C4"/>
    <w:rsid w:val="00A3483D"/>
    <w:rsid w:val="00A77B3E"/>
    <w:rsid w:val="00A9525A"/>
    <w:rsid w:val="00AA7613"/>
    <w:rsid w:val="00B56745"/>
    <w:rsid w:val="00B827E1"/>
    <w:rsid w:val="00BC0EEC"/>
    <w:rsid w:val="00C01954"/>
    <w:rsid w:val="00CA2A55"/>
    <w:rsid w:val="00CA603A"/>
    <w:rsid w:val="00CB1AF7"/>
    <w:rsid w:val="00CF2B6E"/>
    <w:rsid w:val="00D449EB"/>
    <w:rsid w:val="00D56441"/>
    <w:rsid w:val="00E04909"/>
    <w:rsid w:val="00E46899"/>
    <w:rsid w:val="00E47899"/>
    <w:rsid w:val="00E64ABC"/>
    <w:rsid w:val="00E726B0"/>
    <w:rsid w:val="00E9410E"/>
    <w:rsid w:val="00EB13DB"/>
    <w:rsid w:val="00EE3568"/>
    <w:rsid w:val="00F5499B"/>
    <w:rsid w:val="00F640CA"/>
    <w:rsid w:val="00F85AB0"/>
    <w:rsid w:val="00F92CF8"/>
    <w:rsid w:val="00FB6849"/>
    <w:rsid w:val="00FC2498"/>
    <w:rsid w:val="00FC6218"/>
    <w:rsid w:val="00FD48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F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Calibri" w:eastAsia="Calibri"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3483D"/>
    <w:pPr>
      <w:tabs>
        <w:tab w:val="center" w:pos="4680"/>
        <w:tab w:val="right" w:pos="9360"/>
      </w:tabs>
    </w:pPr>
  </w:style>
  <w:style w:type="character" w:customStyle="1" w:styleId="Char">
    <w:name w:val="رأس الصفحة Char"/>
    <w:basedOn w:val="a0"/>
    <w:link w:val="a3"/>
    <w:rsid w:val="00A3483D"/>
    <w:rPr>
      <w:rFonts w:ascii="Calibri" w:eastAsia="Calibri" w:hAnsi="Calibri" w:cs="Calibri"/>
      <w:szCs w:val="24"/>
    </w:rPr>
  </w:style>
  <w:style w:type="paragraph" w:styleId="a4">
    <w:name w:val="footer"/>
    <w:basedOn w:val="a"/>
    <w:link w:val="Char0"/>
    <w:uiPriority w:val="99"/>
    <w:rsid w:val="00A3483D"/>
    <w:pPr>
      <w:tabs>
        <w:tab w:val="center" w:pos="4680"/>
        <w:tab w:val="right" w:pos="9360"/>
      </w:tabs>
    </w:pPr>
  </w:style>
  <w:style w:type="character" w:customStyle="1" w:styleId="Char0">
    <w:name w:val="تذييل الصفحة Char"/>
    <w:basedOn w:val="a0"/>
    <w:link w:val="a4"/>
    <w:uiPriority w:val="99"/>
    <w:rsid w:val="00A3483D"/>
    <w:rPr>
      <w:rFonts w:ascii="Calibri" w:eastAsia="Calibri" w:hAnsi="Calibri" w:cs="Calibri"/>
      <w:szCs w:val="24"/>
    </w:rPr>
  </w:style>
  <w:style w:type="character" w:styleId="a5">
    <w:name w:val="line number"/>
    <w:basedOn w:val="a0"/>
    <w:rsid w:val="00A3483D"/>
  </w:style>
  <w:style w:type="paragraph" w:styleId="a6">
    <w:name w:val="Normal (Web)"/>
    <w:basedOn w:val="a"/>
    <w:rsid w:val="0076448E"/>
    <w:rPr>
      <w:rFonts w:ascii="Times New Roman" w:hAnsi="Times New Roman" w:cs="Times New Roman"/>
      <w:sz w:val="24"/>
    </w:rPr>
  </w:style>
  <w:style w:type="paragraph" w:styleId="a7">
    <w:name w:val="List Paragraph"/>
    <w:basedOn w:val="a"/>
    <w:uiPriority w:val="34"/>
    <w:qFormat/>
    <w:rsid w:val="00D449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Calibri" w:eastAsia="Calibri"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3483D"/>
    <w:pPr>
      <w:tabs>
        <w:tab w:val="center" w:pos="4680"/>
        <w:tab w:val="right" w:pos="9360"/>
      </w:tabs>
    </w:pPr>
  </w:style>
  <w:style w:type="character" w:customStyle="1" w:styleId="Char">
    <w:name w:val="رأس الصفحة Char"/>
    <w:basedOn w:val="a0"/>
    <w:link w:val="a3"/>
    <w:rsid w:val="00A3483D"/>
    <w:rPr>
      <w:rFonts w:ascii="Calibri" w:eastAsia="Calibri" w:hAnsi="Calibri" w:cs="Calibri"/>
      <w:szCs w:val="24"/>
    </w:rPr>
  </w:style>
  <w:style w:type="paragraph" w:styleId="a4">
    <w:name w:val="footer"/>
    <w:basedOn w:val="a"/>
    <w:link w:val="Char0"/>
    <w:uiPriority w:val="99"/>
    <w:rsid w:val="00A3483D"/>
    <w:pPr>
      <w:tabs>
        <w:tab w:val="center" w:pos="4680"/>
        <w:tab w:val="right" w:pos="9360"/>
      </w:tabs>
    </w:pPr>
  </w:style>
  <w:style w:type="character" w:customStyle="1" w:styleId="Char0">
    <w:name w:val="تذييل الصفحة Char"/>
    <w:basedOn w:val="a0"/>
    <w:link w:val="a4"/>
    <w:uiPriority w:val="99"/>
    <w:rsid w:val="00A3483D"/>
    <w:rPr>
      <w:rFonts w:ascii="Calibri" w:eastAsia="Calibri" w:hAnsi="Calibri" w:cs="Calibri"/>
      <w:szCs w:val="24"/>
    </w:rPr>
  </w:style>
  <w:style w:type="character" w:styleId="a5">
    <w:name w:val="line number"/>
    <w:basedOn w:val="a0"/>
    <w:rsid w:val="00A3483D"/>
  </w:style>
  <w:style w:type="paragraph" w:styleId="a6">
    <w:name w:val="Normal (Web)"/>
    <w:basedOn w:val="a"/>
    <w:rsid w:val="0076448E"/>
    <w:rPr>
      <w:rFonts w:ascii="Times New Roman" w:hAnsi="Times New Roman" w:cs="Times New Roman"/>
      <w:sz w:val="24"/>
    </w:rPr>
  </w:style>
  <w:style w:type="paragraph" w:styleId="a7">
    <w:name w:val="List Paragraph"/>
    <w:basedOn w:val="a"/>
    <w:uiPriority w:val="34"/>
    <w:qFormat/>
    <w:rsid w:val="00D449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187878">
      <w:bodyDiv w:val="1"/>
      <w:marLeft w:val="0"/>
      <w:marRight w:val="0"/>
      <w:marTop w:val="0"/>
      <w:marBottom w:val="0"/>
      <w:divBdr>
        <w:top w:val="none" w:sz="0" w:space="0" w:color="auto"/>
        <w:left w:val="none" w:sz="0" w:space="0" w:color="auto"/>
        <w:bottom w:val="none" w:sz="0" w:space="0" w:color="auto"/>
        <w:right w:val="none" w:sz="0" w:space="0" w:color="auto"/>
      </w:divBdr>
      <w:divsChild>
        <w:div w:id="661664260">
          <w:marLeft w:val="0"/>
          <w:marRight w:val="0"/>
          <w:marTop w:val="0"/>
          <w:marBottom w:val="0"/>
          <w:divBdr>
            <w:top w:val="none" w:sz="0" w:space="0" w:color="auto"/>
            <w:left w:val="none" w:sz="0" w:space="0" w:color="auto"/>
            <w:bottom w:val="none" w:sz="0" w:space="0" w:color="auto"/>
            <w:right w:val="none" w:sz="0" w:space="0" w:color="auto"/>
          </w:divBdr>
          <w:divsChild>
            <w:div w:id="175153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22</Pages>
  <Words>9794</Words>
  <Characters>55826</Characters>
  <Application>Microsoft Office Word</Application>
  <DocSecurity>0</DocSecurity>
  <Lines>465</Lines>
  <Paragraphs>130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By DR.Ahmed Saker 2O11 - 2O12</Company>
  <LinksUpToDate>false</LinksUpToDate>
  <CharactersWithSpaces>65490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33</cp:revision>
  <dcterms:created xsi:type="dcterms:W3CDTF">2026-05-11T14:24:00Z</dcterms:created>
  <dcterms:modified xsi:type="dcterms:W3CDTF">2026-05-23T21:27:00Z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a61f5800-0d46-4a51-874c-a92898586755</vt:lpwstr>
  </property>
</Properties>
</file>