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31C2B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81367">
        <w:rPr>
          <w:rFonts w:eastAsia="Times New Roman" w:cstheme="minorHAnsi"/>
          <w:b/>
        </w:rPr>
        <w:t>71304</w:t>
      </w:r>
    </w:p>
    <w:p w14:paraId="2F6924E5" w14:textId="5723B8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81367">
        <w:rPr>
          <w:rFonts w:eastAsia="Times New Roman" w:cstheme="minorHAnsi"/>
          <w:b/>
        </w:rPr>
        <w:t>Poornima G</w:t>
      </w:r>
    </w:p>
    <w:p w14:paraId="6FB9233B" w14:textId="205B59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C5793" w:rsidRPr="006D3FE3">
          <w:rPr>
            <w:rStyle w:val="Hyperlink"/>
            <w:rFonts w:eastAsia="Times New Roman" w:cstheme="minorHAnsi"/>
            <w:b/>
          </w:rPr>
          <w:t>https://review.jove.com/account/file-uploader?src=21747768</w:t>
        </w:r>
      </w:hyperlink>
      <w:r w:rsidR="00BC579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90CE4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81367" w:rsidRPr="00881367">
        <w:rPr>
          <w:rStyle w:val="ArticleTitle"/>
          <w:rFonts w:cstheme="minorHAnsi"/>
        </w:rPr>
        <w:t>Multicenter Flow Cytometry for Acute Myeloid Leukemia Measurable Residual Disease with LAIP/DfN and CD34+CD38− Leukemic Stem Cell-enriched Populations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F3D22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bookmarkStart w:id="0" w:name="_Hlk220592684"/>
      <w:r w:rsidRPr="00881367">
        <w:rPr>
          <w:rFonts w:eastAsia="Times New Roman" w:cstheme="minorHAnsi"/>
          <w:b/>
          <w:sz w:val="28"/>
          <w:szCs w:val="28"/>
        </w:rPr>
        <w:t>Adriana Plesa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1,35*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_Hlk216353542"/>
      <w:r w:rsidRPr="00881367">
        <w:rPr>
          <w:rFonts w:eastAsia="Times New Roman" w:cstheme="minorHAnsi"/>
          <w:b/>
          <w:sz w:val="28"/>
          <w:szCs w:val="28"/>
        </w:rPr>
        <w:t>Florent Dumezy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Stéphanie Mathis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sz w:val="28"/>
          <w:szCs w:val="28"/>
        </w:rPr>
        <w:t>, Isabelle Arnoux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bCs/>
          <w:sz w:val="28"/>
          <w:szCs w:val="28"/>
        </w:rPr>
        <w:t>, Veronique Saada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5  </w:t>
      </w:r>
      <w:r w:rsidRPr="00881367">
        <w:rPr>
          <w:rFonts w:eastAsia="Times New Roman" w:cstheme="minorHAnsi"/>
          <w:b/>
          <w:bCs/>
          <w:sz w:val="28"/>
          <w:szCs w:val="28"/>
        </w:rPr>
        <w:t>,Valerie Bardet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Iole Oster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sz w:val="28"/>
          <w:szCs w:val="28"/>
        </w:rPr>
        <w:t xml:space="preserve"> ,Bouchra Badaoui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881367">
        <w:rPr>
          <w:rFonts w:eastAsia="Times New Roman" w:cstheme="minorHAnsi"/>
          <w:b/>
          <w:bCs/>
          <w:sz w:val="28"/>
          <w:szCs w:val="28"/>
        </w:rPr>
        <w:t>, Elsa Bera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Edouard Bonneville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sz w:val="28"/>
          <w:szCs w:val="28"/>
        </w:rPr>
        <w:t>, Boutheina Bouslama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 ,  </w:t>
      </w:r>
      <w:r w:rsidRPr="00881367">
        <w:rPr>
          <w:rFonts w:eastAsia="Times New Roman" w:cstheme="minorHAnsi"/>
          <w:b/>
          <w:bCs/>
          <w:sz w:val="28"/>
          <w:szCs w:val="28"/>
        </w:rPr>
        <w:t>Nicolas Chapuis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11 </w:t>
      </w:r>
      <w:r w:rsidRPr="00881367">
        <w:rPr>
          <w:rFonts w:eastAsia="Times New Roman" w:cstheme="minorHAnsi"/>
          <w:b/>
          <w:bCs/>
          <w:sz w:val="28"/>
          <w:szCs w:val="28"/>
        </w:rPr>
        <w:t>,Clementine Chauvel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3 </w:t>
      </w:r>
      <w:r w:rsidRPr="00881367">
        <w:rPr>
          <w:rFonts w:eastAsia="Times New Roman" w:cstheme="minorHAnsi"/>
          <w:b/>
          <w:bCs/>
          <w:sz w:val="28"/>
          <w:szCs w:val="28"/>
        </w:rPr>
        <w:t>, Edouard Cornet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12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Louis Thomas Dannus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13 </w:t>
      </w:r>
      <w:r w:rsidRPr="00881367">
        <w:rPr>
          <w:rFonts w:eastAsia="Times New Roman" w:cstheme="minorHAnsi"/>
          <w:b/>
          <w:bCs/>
          <w:sz w:val="28"/>
          <w:szCs w:val="28"/>
        </w:rPr>
        <w:t>, Camille Debord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14 </w:t>
      </w:r>
      <w:r w:rsidRPr="00881367">
        <w:rPr>
          <w:rFonts w:eastAsia="Times New Roman" w:cstheme="minorHAnsi"/>
          <w:b/>
          <w:bCs/>
          <w:sz w:val="28"/>
          <w:szCs w:val="28"/>
        </w:rPr>
        <w:t>, Fréderic Feger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15</w:t>
      </w:r>
      <w:r w:rsidRPr="00881367">
        <w:rPr>
          <w:rFonts w:eastAsia="Times New Roman" w:cstheme="minorHAnsi"/>
          <w:b/>
          <w:sz w:val="28"/>
          <w:szCs w:val="28"/>
        </w:rPr>
        <w:t xml:space="preserve"> , Jean Feuillard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16  </w:t>
      </w:r>
      <w:r w:rsidRPr="00881367">
        <w:rPr>
          <w:rFonts w:eastAsia="Times New Roman" w:cstheme="minorHAnsi"/>
          <w:b/>
          <w:sz w:val="28"/>
          <w:szCs w:val="28"/>
        </w:rPr>
        <w:t>,Thomas Fournet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>, Francine Garnache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Franck Geneviève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Delphine Gerard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19</w:t>
      </w:r>
      <w:r w:rsidRPr="00881367">
        <w:rPr>
          <w:rFonts w:eastAsia="Times New Roman" w:cstheme="minorHAnsi"/>
          <w:b/>
          <w:bCs/>
          <w:sz w:val="28"/>
          <w:szCs w:val="28"/>
        </w:rPr>
        <w:t>, Valerie Goncalves Monteiro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20</w:t>
      </w:r>
      <w:r w:rsidRPr="00881367">
        <w:rPr>
          <w:rFonts w:eastAsia="Times New Roman" w:cstheme="minorHAnsi"/>
          <w:b/>
          <w:bCs/>
          <w:sz w:val="28"/>
          <w:szCs w:val="28"/>
        </w:rPr>
        <w:t>, Julien Guy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,Veronique Harrivel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22</w:t>
      </w:r>
      <w:r w:rsidRPr="00881367">
        <w:rPr>
          <w:rFonts w:eastAsia="Times New Roman" w:cstheme="minorHAnsi"/>
          <w:b/>
          <w:bCs/>
          <w:sz w:val="28"/>
          <w:szCs w:val="28"/>
        </w:rPr>
        <w:t>, Claire Hemar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23</w:t>
      </w:r>
      <w:r w:rsidRPr="00881367">
        <w:rPr>
          <w:rFonts w:eastAsia="Times New Roman" w:cstheme="minorHAnsi"/>
          <w:b/>
          <w:bCs/>
          <w:sz w:val="28"/>
          <w:szCs w:val="28"/>
        </w:rPr>
        <w:t>, Cassandra Jadeau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16</w:t>
      </w:r>
      <w:r w:rsidRPr="00881367">
        <w:rPr>
          <w:rFonts w:eastAsia="Times New Roman" w:cstheme="minorHAnsi"/>
          <w:b/>
          <w:bCs/>
          <w:sz w:val="28"/>
          <w:szCs w:val="28"/>
        </w:rPr>
        <w:t>, Caroline Mayeur-Rousse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14</w:t>
      </w:r>
      <w:r w:rsidRPr="00881367">
        <w:rPr>
          <w:rFonts w:eastAsia="Times New Roman" w:cstheme="minorHAnsi"/>
          <w:b/>
          <w:bCs/>
          <w:sz w:val="28"/>
          <w:szCs w:val="28"/>
        </w:rPr>
        <w:t>,  Hélène Lapillonne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10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Veronique Latger-Cannard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19 </w:t>
      </w:r>
      <w:r w:rsidRPr="00881367">
        <w:rPr>
          <w:rFonts w:eastAsia="Times New Roman" w:cstheme="minorHAnsi"/>
          <w:b/>
          <w:sz w:val="28"/>
          <w:szCs w:val="28"/>
        </w:rPr>
        <w:t>, Magali Le Garff-Tavernier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24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sz w:val="28"/>
          <w:szCs w:val="28"/>
        </w:rPr>
        <w:t>Pierre Lemaire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Remi Letestu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25  </w:t>
      </w:r>
      <w:r w:rsidRPr="00881367">
        <w:rPr>
          <w:rFonts w:eastAsia="Times New Roman" w:cstheme="minorHAnsi"/>
          <w:b/>
          <w:bCs/>
          <w:sz w:val="28"/>
          <w:szCs w:val="28"/>
        </w:rPr>
        <w:t>, Anne Catherine Lhoumeau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26</w:t>
      </w:r>
      <w:r w:rsidRPr="00881367">
        <w:rPr>
          <w:rFonts w:eastAsia="Times New Roman" w:cstheme="minorHAnsi"/>
          <w:b/>
          <w:bCs/>
          <w:sz w:val="28"/>
          <w:szCs w:val="28"/>
        </w:rPr>
        <w:t>, Delphine Manzoni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81367">
        <w:rPr>
          <w:rFonts w:eastAsia="Times New Roman" w:cstheme="minorHAnsi"/>
          <w:b/>
          <w:bCs/>
          <w:sz w:val="28"/>
          <w:szCs w:val="28"/>
        </w:rPr>
        <w:t>, Aguirre Mimoun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,Vanessa Nivaggioni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881367">
        <w:rPr>
          <w:rFonts w:eastAsia="Times New Roman" w:cstheme="minorHAnsi"/>
          <w:b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bCs/>
          <w:sz w:val="28"/>
          <w:szCs w:val="28"/>
        </w:rPr>
        <w:t>Jennifer Osman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28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 </w:t>
      </w:r>
      <w:r w:rsidRPr="00881367">
        <w:rPr>
          <w:rFonts w:eastAsia="Times New Roman" w:cstheme="minorHAnsi"/>
          <w:b/>
          <w:sz w:val="28"/>
          <w:szCs w:val="28"/>
        </w:rPr>
        <w:t>Victoria Raggueneau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28 </w:t>
      </w:r>
      <w:r w:rsidRPr="00881367">
        <w:rPr>
          <w:rFonts w:eastAsia="Times New Roman" w:cstheme="minorHAnsi"/>
          <w:b/>
          <w:sz w:val="28"/>
          <w:szCs w:val="28"/>
        </w:rPr>
        <w:t>,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Hubert Rambaud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18</w:t>
      </w:r>
      <w:r w:rsidRPr="00881367">
        <w:rPr>
          <w:rFonts w:eastAsia="Times New Roman" w:cstheme="minorHAnsi"/>
          <w:b/>
          <w:sz w:val="28"/>
          <w:szCs w:val="28"/>
        </w:rPr>
        <w:t>, Tatiana Raskovalova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9 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</w:rPr>
        <w:t xml:space="preserve"> Anne Roggy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17</w:t>
      </w:r>
      <w:r w:rsidRPr="00881367">
        <w:rPr>
          <w:rFonts w:eastAsia="Times New Roman" w:cstheme="minorHAnsi"/>
          <w:b/>
          <w:sz w:val="28"/>
          <w:szCs w:val="28"/>
        </w:rPr>
        <w:t xml:space="preserve"> , </w:t>
      </w:r>
      <w:r w:rsidRPr="00881367">
        <w:rPr>
          <w:rFonts w:eastAsia="Times New Roman" w:cstheme="minorHAnsi"/>
          <w:b/>
          <w:bCs/>
          <w:sz w:val="28"/>
          <w:szCs w:val="28"/>
        </w:rPr>
        <w:t>Mikael Roussel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29</w:t>
      </w:r>
      <w:r w:rsidRPr="00881367">
        <w:rPr>
          <w:rFonts w:eastAsia="Times New Roman" w:cstheme="minorHAnsi"/>
          <w:b/>
          <w:sz w:val="28"/>
          <w:szCs w:val="28"/>
        </w:rPr>
        <w:t xml:space="preserve"> , Didier Sciortino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26 </w:t>
      </w:r>
      <w:r w:rsidRPr="00881367">
        <w:rPr>
          <w:rFonts w:eastAsia="Times New Roman" w:cstheme="minorHAnsi"/>
          <w:b/>
          <w:sz w:val="28"/>
          <w:szCs w:val="28"/>
        </w:rPr>
        <w:t>, Valerie Soenen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881367">
        <w:rPr>
          <w:rFonts w:eastAsia="Times New Roman" w:cstheme="minorHAnsi"/>
          <w:b/>
          <w:bCs/>
          <w:sz w:val="28"/>
          <w:szCs w:val="28"/>
        </w:rPr>
        <w:t>, François Vergez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30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>Richard Veyrat Masson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13</w:t>
      </w:r>
      <w:r w:rsidRPr="00881367">
        <w:rPr>
          <w:rFonts w:eastAsia="Times New Roman" w:cstheme="minorHAnsi"/>
          <w:b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bCs/>
          <w:sz w:val="28"/>
          <w:szCs w:val="28"/>
        </w:rPr>
        <w:t>Jean Philippe Vial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27 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Manon Vogrig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31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 Orianne Wagner-Ballon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7,37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 ,</w:t>
      </w:r>
      <w:r w:rsidRPr="00881367">
        <w:rPr>
          <w:rFonts w:eastAsia="Times New Roman" w:cstheme="minorHAnsi"/>
          <w:b/>
          <w:sz w:val="28"/>
          <w:szCs w:val="28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Jaja Zhu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6 </w:t>
      </w:r>
      <w:r w:rsidRPr="00881367">
        <w:rPr>
          <w:rFonts w:eastAsia="Times New Roman" w:cstheme="minorHAnsi"/>
          <w:b/>
          <w:bCs/>
          <w:sz w:val="28"/>
          <w:szCs w:val="28"/>
        </w:rPr>
        <w:t>, Karine Celli-Lebras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</w:t>
      </w:r>
      <w:r w:rsidRPr="00881367">
        <w:rPr>
          <w:rFonts w:eastAsia="Times New Roman" w:cstheme="minorHAnsi"/>
          <w:b/>
          <w:bCs/>
          <w:sz w:val="28"/>
          <w:szCs w:val="28"/>
        </w:rPr>
        <w:t xml:space="preserve">, </w:t>
      </w:r>
      <w:r w:rsidRPr="00881367">
        <w:rPr>
          <w:rFonts w:eastAsia="Times New Roman" w:cstheme="minorHAnsi"/>
          <w:b/>
          <w:sz w:val="28"/>
          <w:szCs w:val="28"/>
        </w:rPr>
        <w:t>Raphaël Itzykson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33,38</w:t>
      </w:r>
      <w:r w:rsidRPr="00881367">
        <w:rPr>
          <w:rFonts w:eastAsia="Times New Roman" w:cstheme="minorHAnsi"/>
          <w:b/>
          <w:bCs/>
          <w:sz w:val="28"/>
          <w:szCs w:val="28"/>
        </w:rPr>
        <w:t>,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881367">
        <w:rPr>
          <w:rFonts w:eastAsia="Times New Roman" w:cstheme="minorHAnsi"/>
          <w:b/>
          <w:bCs/>
          <w:sz w:val="28"/>
          <w:szCs w:val="28"/>
        </w:rPr>
        <w:t>Christian Récher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34</w:t>
      </w:r>
      <w:r w:rsidRPr="00881367">
        <w:rPr>
          <w:rFonts w:eastAsia="Times New Roman" w:cstheme="minorHAnsi"/>
          <w:b/>
          <w:bCs/>
          <w:sz w:val="28"/>
          <w:szCs w:val="28"/>
        </w:rPr>
        <w:t>, Hervé Dombret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32,33</w:t>
      </w:r>
      <w:r w:rsidRPr="00881367">
        <w:rPr>
          <w:rFonts w:eastAsia="Times New Roman" w:cstheme="minorHAnsi"/>
          <w:b/>
          <w:bCs/>
          <w:sz w:val="28"/>
          <w:szCs w:val="28"/>
        </w:rPr>
        <w:t>,Claude Preudhomme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 xml:space="preserve">2;36 </w:t>
      </w:r>
      <w:r w:rsidRPr="00881367">
        <w:rPr>
          <w:rFonts w:eastAsia="Times New Roman" w:cstheme="minorHAnsi"/>
          <w:b/>
          <w:sz w:val="28"/>
          <w:szCs w:val="28"/>
        </w:rPr>
        <w:t>, Christophe Roumier</w:t>
      </w:r>
      <w:r w:rsidRPr="00881367">
        <w:rPr>
          <w:rFonts w:eastAsia="Times New Roman" w:cstheme="minorHAnsi"/>
          <w:b/>
          <w:sz w:val="28"/>
          <w:szCs w:val="28"/>
          <w:vertAlign w:val="superscript"/>
        </w:rPr>
        <w:t>2,36*</w:t>
      </w:r>
      <w:bookmarkStart w:id="2" w:name="_Hlk110373652"/>
      <w:bookmarkEnd w:id="1"/>
    </w:p>
    <w:p w14:paraId="1DD1F557" w14:textId="77777777" w:rsidR="00881367" w:rsidRPr="00881367" w:rsidRDefault="00881367" w:rsidP="0088136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bookmarkEnd w:id="0"/>
    <w:bookmarkEnd w:id="2"/>
    <w:p w14:paraId="1ABDD5E9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* Coordinators of the Acute Leukemia French Intergroup AML MRDflow &amp; LSC network</w:t>
      </w:r>
    </w:p>
    <w:p w14:paraId="5E092B26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A65465" w14:textId="77777777" w:rsid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7AE5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¹Laboratory of Hematology and Flow cytometry, Lyon-Sud Hospital, Hospices Civils de Lyon, CHU-Lyon</w:t>
      </w:r>
    </w:p>
    <w:p w14:paraId="28BB74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A69397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²Laboratory of Hematology and Flow cytometry, CHU-Lille</w:t>
      </w:r>
    </w:p>
    <w:p w14:paraId="71CD4F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7015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³Laboratory of Hematology and Flow cytometry, Saint Louis Hospital, APHP</w:t>
      </w:r>
    </w:p>
    <w:p w14:paraId="22F7AE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2F3C37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⁴Laboratory of Hematology and Flow cytometry, APHM-Marseille</w:t>
      </w:r>
    </w:p>
    <w:p w14:paraId="2C9F5A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853E4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⁵Laboratory of Hematology and Flow cytometry, IGR</w:t>
      </w:r>
    </w:p>
    <w:p w14:paraId="45621B7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FC4D7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⁶Laboratory of Hematology and Flow cytometry, Ambroise Pare University Hospital, APHP, Paris Saclay</w:t>
      </w:r>
    </w:p>
    <w:p w14:paraId="1D9EAF0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D2FC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⁷Département d’Hématologie et Immunologie Biologiques, Hôpitaux Universitaires Henri Mondor, APHP</w:t>
      </w:r>
    </w:p>
    <w:p w14:paraId="6E0FB54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BAA043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⁸Laboratory of Hematology and Flow cytometry, CHU-Rouen</w:t>
      </w:r>
    </w:p>
    <w:p w14:paraId="746F837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51391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⁹Laboratory of Immunology and Flow cytometry, CHU-Grenoble</w:t>
      </w:r>
    </w:p>
    <w:p w14:paraId="0AB9F07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A4A052E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¹⁰Laboratory of Hematology and Flow cytometry, Trousseau Hospital, APHP</w:t>
      </w:r>
    </w:p>
    <w:p w14:paraId="24B57F4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121F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¹¹Laboratory of Hematology and Flow cytometry, Cochin Hospital, APHP</w:t>
      </w:r>
    </w:p>
    <w:p w14:paraId="14E0994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66355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¹²Laboratory of Hematology and Flow cytometry, CHU-Caen</w:t>
      </w:r>
    </w:p>
    <w:p w14:paraId="7719ACB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F04AFD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¹³Laboratory of Hematology and Flow cytometry, CHU-Clermont Ferrand</w:t>
      </w:r>
    </w:p>
    <w:p w14:paraId="61DABB9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F5AC288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¹⁴Laboratory of Hematology and Flow cytometry, CHU-Nantes</w:t>
      </w:r>
    </w:p>
    <w:p w14:paraId="77E5A3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FCC219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¹⁵Laboratory of Hematology and Flow cytometry, Saint Antoine Hospital, APHP</w:t>
      </w:r>
    </w:p>
    <w:p w14:paraId="153067D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0D0E8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¹⁶Laboratory of Hematology and Flow cytometry, CHU-Limoges</w:t>
      </w:r>
    </w:p>
    <w:p w14:paraId="78F346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7DD02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¹⁷Laboratory of Hematology and Flow cytometry, CHU-Besancon</w:t>
      </w:r>
    </w:p>
    <w:p w14:paraId="64B656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21795F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¹⁸Laboratory of Hematology and Flow cytometry, CHU-Angers</w:t>
      </w:r>
    </w:p>
    <w:p w14:paraId="1DE1E25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DB56F8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¹⁹Laboratory of Hematology and Flow cytometry, CHU-Nancy</w:t>
      </w:r>
    </w:p>
    <w:p w14:paraId="3485AB2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02ACF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²⁰Laboratory of Hematology and Flow cytometry, CHU-Reims</w:t>
      </w:r>
    </w:p>
    <w:p w14:paraId="0CB1438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77C7A5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²¹Laboratory of Hematology and Flow cytometry, CHU-Dijon</w:t>
      </w:r>
    </w:p>
    <w:p w14:paraId="1932AA4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BA6AFC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²²Laboratory of Hematology and Flow cytometry, CHU-Amiens</w:t>
      </w:r>
    </w:p>
    <w:p w14:paraId="55A72A8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918375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²³Laboratory of Hematology and Flow cytometry, CH-Valenciennes</w:t>
      </w:r>
    </w:p>
    <w:p w14:paraId="0110EA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0F9DEC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²⁴Laboratory of Hematology and Flow cytometry, Pitie Salpetriere Hospital, APHP</w:t>
      </w:r>
    </w:p>
    <w:p w14:paraId="0CE31D8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FEFB43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²⁵Laboratory of Hematology and Flow cytometry, Avicenne Hospital, APHP</w:t>
      </w:r>
    </w:p>
    <w:p w14:paraId="29E1851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BBB551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²⁶Laboratory of Hematology and Flow cytometry, IPC-Marseille</w:t>
      </w:r>
    </w:p>
    <w:p w14:paraId="6CBD15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E4F85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²⁷Laboratory of Hematology and Flow cytometry, CHU-Bordeaux</w:t>
      </w:r>
    </w:p>
    <w:p w14:paraId="6716FA97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798516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²⁸Laboratory of Hematology and Flow cytometry, Versailles Hospital</w:t>
      </w:r>
    </w:p>
    <w:p w14:paraId="2978323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32A3DD3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²⁹Laboratory of Hematology and Flow cytometry, CHU-Rennes</w:t>
      </w:r>
    </w:p>
    <w:p w14:paraId="069267B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9A1F42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³⁰Laboratory of Hematology and Flow cytometry, CHU-Toulouse</w:t>
      </w:r>
    </w:p>
    <w:p w14:paraId="15208C1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CAB6304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³¹Laboratory of Hematology and Flow cytometry, CHU-Saint Etienne</w:t>
      </w:r>
    </w:p>
    <w:p w14:paraId="76025250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21CBA4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³²Acute Leukemia French Association Group Coordination, IRSL</w:t>
      </w:r>
    </w:p>
    <w:p w14:paraId="332403E6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7B665ED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³³Department of Hematology, Saint Louis Hospital, APHP</w:t>
      </w:r>
    </w:p>
    <w:p w14:paraId="7B70E0A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4666EC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³⁴Department of Hematology, CHU Toulouse, Université de Toulouse, Institut Universitaire du Cancer de Toulouse Oncopole</w:t>
      </w:r>
    </w:p>
    <w:p w14:paraId="58B4D6E1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CA468FB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³⁵CRCL INSERM 1052/CNRS 5286, University of Lyon</w:t>
      </w:r>
    </w:p>
    <w:p w14:paraId="3A5C2699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7C41850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³⁶UMR9020 CNRS-UMR-S1277 INSERM, University of Lille</w:t>
      </w:r>
    </w:p>
    <w:p w14:paraId="78989E3A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1FB04B2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t>³⁷Université Paris-Est Créteil (UPEC), INSERM U955 IMRB</w:t>
      </w:r>
    </w:p>
    <w:p w14:paraId="65EFCA3F" w14:textId="77777777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88C105E" w14:textId="3B2ECBD2" w:rsidR="00881367" w:rsidRPr="00881367" w:rsidRDefault="00881367" w:rsidP="00881367">
      <w:pPr>
        <w:outlineLvl w:val="0"/>
        <w:rPr>
          <w:rFonts w:eastAsia="Times New Roman" w:cstheme="minorHAnsi"/>
          <w:bCs/>
          <w:sz w:val="28"/>
          <w:szCs w:val="28"/>
        </w:rPr>
      </w:pPr>
      <w:r w:rsidRPr="00881367">
        <w:rPr>
          <w:rFonts w:eastAsia="Times New Roman" w:cstheme="minorHAnsi"/>
          <w:bCs/>
          <w:sz w:val="28"/>
          <w:szCs w:val="28"/>
        </w:rPr>
        <w:lastRenderedPageBreak/>
        <w:t>³⁸Service Hématologie Adultes, Hôpital Saint Louis, APHP Paris, Université Paris Cité, INSERM, CNRS, Institut de Recherche Saint Louis (IRSL)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37FEBE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3D71BE51" w:rsidR="004E0C5A" w:rsidRDefault="00881367" w:rsidP="004E0C5A">
      <w:pPr>
        <w:outlineLvl w:val="0"/>
        <w:rPr>
          <w:rFonts w:eastAsia="Times New Roman" w:cstheme="minorHAnsi"/>
        </w:rPr>
      </w:pPr>
      <w:bookmarkStart w:id="3" w:name="_Hlk25233958"/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3"/>
    <w:p w14:paraId="26D9D3CA" w14:textId="7FAFA0E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Florent Dumezy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florent.dumezy@chu-lille.fr</w:t>
        </w:r>
      </w:hyperlink>
    </w:p>
    <w:p w14:paraId="0D9EB6A4" w14:textId="58F75F0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Stéphanie Mathis </w:t>
      </w:r>
      <w:r>
        <w:rPr>
          <w:rFonts w:asciiTheme="majorHAnsi" w:hAnsiTheme="majorHAnsi" w:cstheme="majorHAnsi"/>
          <w:lang w:val="de-DE"/>
        </w:rPr>
        <w:tab/>
      </w:r>
      <w:hyperlink r:id="rId1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stephanie.mathis@aphp.fr</w:t>
        </w:r>
      </w:hyperlink>
    </w:p>
    <w:p w14:paraId="1CD16548" w14:textId="09156218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Isabelle Arnoux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1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isabelle.arnoux@mail.ap-hm.fr</w:t>
        </w:r>
      </w:hyperlink>
    </w:p>
    <w:p w14:paraId="28273B5F" w14:textId="2F217D41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Veronique Saada </w:t>
      </w:r>
      <w:r>
        <w:rPr>
          <w:rFonts w:asciiTheme="majorHAnsi" w:hAnsiTheme="majorHAnsi" w:cstheme="majorHAnsi"/>
          <w:lang w:val="de-DE"/>
        </w:rPr>
        <w:tab/>
      </w:r>
      <w:hyperlink r:id="rId1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veronique.saada@igr.fr</w:t>
        </w:r>
      </w:hyperlink>
    </w:p>
    <w:p w14:paraId="041D788B" w14:textId="1EE75B4F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Bardet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13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valerie.bardet@aphp.fr</w:t>
        </w:r>
      </w:hyperlink>
    </w:p>
    <w:p w14:paraId="79A6157B" w14:textId="0DE908DE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Iole Oster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r>
        <w:rPr>
          <w:rFonts w:asciiTheme="majorHAnsi" w:hAnsiTheme="majorHAnsi" w:cstheme="majorHAnsi"/>
          <w:lang w:val="de-DE"/>
        </w:rPr>
        <w:tab/>
      </w:r>
      <w:hyperlink r:id="rId14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iole.oster@chu-lyon.fr</w:t>
        </w:r>
      </w:hyperlink>
    </w:p>
    <w:p w14:paraId="7392F73B" w14:textId="246FD7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Bouchra Badaoui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bouchra.badaoui@aphp.fr</w:t>
        </w:r>
      </w:hyperlink>
    </w:p>
    <w:p w14:paraId="682393D5" w14:textId="71E3433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Elsa Bera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ab/>
      </w:r>
      <w:hyperlink r:id="rId16" w:history="1">
        <w:r w:rsidRPr="006D3FE3">
          <w:rPr>
            <w:rStyle w:val="Hyperlink"/>
            <w:rFonts w:asciiTheme="majorHAnsi" w:hAnsiTheme="majorHAnsi" w:cstheme="majorHAnsi"/>
          </w:rPr>
          <w:t>Elsa.Bera@chu-rouen.fr</w:t>
        </w:r>
      </w:hyperlink>
    </w:p>
    <w:p w14:paraId="37EB46E5" w14:textId="1614FF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Bonneville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1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ebonneville@chu-grenoble.fr</w:t>
        </w:r>
      </w:hyperlink>
    </w:p>
    <w:p w14:paraId="580B83F9" w14:textId="2E83B42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Boutheina Bouslama </w:t>
      </w:r>
      <w:r>
        <w:rPr>
          <w:rFonts w:asciiTheme="majorHAnsi" w:hAnsiTheme="majorHAnsi" w:cstheme="majorHAnsi"/>
        </w:rPr>
        <w:tab/>
      </w:r>
      <w:hyperlink r:id="rId18" w:history="1">
        <w:r w:rsidRPr="006D3FE3">
          <w:rPr>
            <w:rStyle w:val="Hyperlink"/>
            <w:rFonts w:asciiTheme="majorHAnsi" w:hAnsiTheme="majorHAnsi" w:cstheme="majorHAnsi"/>
          </w:rPr>
          <w:t>boutheina.bouslama@aphp.fr</w:t>
        </w:r>
      </w:hyperlink>
    </w:p>
    <w:p w14:paraId="4CD2DDEB" w14:textId="5C28F81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Nicolas Chapuis </w:t>
      </w:r>
      <w:r>
        <w:rPr>
          <w:rFonts w:asciiTheme="majorHAnsi" w:hAnsiTheme="majorHAnsi" w:cstheme="majorHAnsi"/>
        </w:rPr>
        <w:tab/>
      </w:r>
      <w:hyperlink r:id="rId19" w:history="1">
        <w:r w:rsidRPr="006D3FE3">
          <w:rPr>
            <w:rStyle w:val="Hyperlink"/>
            <w:rFonts w:asciiTheme="majorHAnsi" w:hAnsiTheme="majorHAnsi" w:cstheme="majorHAnsi"/>
          </w:rPr>
          <w:t>nicolas.chapuis@aphp.fr</w:t>
        </w:r>
      </w:hyperlink>
    </w:p>
    <w:p w14:paraId="509860E1" w14:textId="1890C33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Clementine Chauvel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clementine.chauvel@aphp.fr</w:t>
        </w:r>
      </w:hyperlink>
    </w:p>
    <w:p w14:paraId="00C96FC9" w14:textId="2117BD6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Edouard Cornet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cornet-e@chu-caen.fr</w:t>
        </w:r>
      </w:hyperlink>
    </w:p>
    <w:p w14:paraId="4AD20F8A" w14:textId="26C9351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Louis Thomas Dannus  </w:t>
      </w:r>
      <w:hyperlink r:id="rId2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ltdannus@chu-clermontferrand.fr</w:t>
        </w:r>
      </w:hyperlink>
    </w:p>
    <w:p w14:paraId="77AB10B3" w14:textId="5999E1B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Camille Debord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camille.debord@chu-nantes.fr</w:t>
        </w:r>
      </w:hyperlink>
    </w:p>
    <w:p w14:paraId="78AC9A16" w14:textId="02C8CFC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Fréderic Feger </w:t>
      </w:r>
      <w:r>
        <w:rPr>
          <w:rFonts w:asciiTheme="majorHAnsi" w:hAnsiTheme="majorHAnsi" w:cstheme="majorHAnsi"/>
        </w:rPr>
        <w:tab/>
      </w:r>
      <w:hyperlink r:id="rId24" w:history="1">
        <w:r w:rsidRPr="006D3FE3">
          <w:rPr>
            <w:rStyle w:val="Hyperlink"/>
            <w:rFonts w:asciiTheme="majorHAnsi" w:hAnsiTheme="majorHAnsi" w:cstheme="majorHAnsi"/>
          </w:rPr>
          <w:t>frederic.feger@aphp.fr</w:t>
        </w:r>
      </w:hyperlink>
    </w:p>
    <w:p w14:paraId="10A02FF6" w14:textId="4F7FCCB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Feuillard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25" w:history="1">
        <w:r w:rsidRPr="006D3FE3">
          <w:rPr>
            <w:rStyle w:val="Hyperlink"/>
            <w:rFonts w:asciiTheme="majorHAnsi" w:hAnsiTheme="majorHAnsi" w:cstheme="majorHAnsi"/>
          </w:rPr>
          <w:t>jean.feuillard@unilim.fr</w:t>
        </w:r>
      </w:hyperlink>
    </w:p>
    <w:p w14:paraId="6C5CAE7B" w14:textId="7324A9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Thomas Fournet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6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tfournet@chu-besancon.fr</w:t>
        </w:r>
      </w:hyperlink>
    </w:p>
    <w:p w14:paraId="3A9E94C7" w14:textId="4D309E04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Francine Garnache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7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fgarnache@chu-besancon.fr</w:t>
        </w:r>
      </w:hyperlink>
    </w:p>
    <w:p w14:paraId="70BE65F0" w14:textId="4E329730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Franck Geneviève </w:t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28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FrGenevieve@chu-angers.fr</w:t>
        </w:r>
      </w:hyperlink>
    </w:p>
    <w:p w14:paraId="5359AB9C" w14:textId="532C63DA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Gerard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29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D.GERARD@chru-nancy.fr</w:t>
        </w:r>
      </w:hyperlink>
    </w:p>
    <w:p w14:paraId="32197097" w14:textId="68FF87F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 xml:space="preserve">Valerie Goncalves Monteiro  </w:t>
      </w:r>
      <w:hyperlink r:id="rId30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vgoncalves-monteiro@chu-reims.fr</w:t>
        </w:r>
      </w:hyperlink>
    </w:p>
    <w:p w14:paraId="1501206F" w14:textId="51FD50C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Julien Guy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31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julien.guy@chu-dijon.fr</w:t>
        </w:r>
      </w:hyperlink>
    </w:p>
    <w:p w14:paraId="6745F20D" w14:textId="467DC74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Veronique Harrivel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Harrivel.Veronique@chu-amiens.fr</w:t>
        </w:r>
      </w:hyperlink>
    </w:p>
    <w:p w14:paraId="0163D19D" w14:textId="4B50C10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Claire Hemar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3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hemar-c@ch-valenciennes.fr</w:t>
        </w:r>
      </w:hyperlink>
    </w:p>
    <w:p w14:paraId="6D6D354C" w14:textId="10863B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Cassandra Jadeau </w:t>
      </w:r>
      <w:r>
        <w:rPr>
          <w:rFonts w:asciiTheme="majorHAnsi" w:hAnsiTheme="majorHAnsi" w:cstheme="majorHAnsi"/>
          <w:lang w:val="de-DE"/>
        </w:rPr>
        <w:tab/>
      </w:r>
      <w:hyperlink r:id="rId34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Cassandra.JADEAU@chu-limoges.fr</w:t>
        </w:r>
      </w:hyperlink>
    </w:p>
    <w:p w14:paraId="11A28678" w14:textId="20530E10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Caroline Mayeur-Rousse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5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caroline.mayeurrousse@chu-nantes.fr</w:t>
        </w:r>
      </w:hyperlink>
    </w:p>
    <w:p w14:paraId="230D7127" w14:textId="6534D14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Hélène Lapillonne </w:t>
      </w:r>
      <w:r>
        <w:rPr>
          <w:rFonts w:asciiTheme="majorHAnsi" w:hAnsiTheme="majorHAnsi" w:cstheme="majorHAnsi"/>
        </w:rPr>
        <w:tab/>
      </w:r>
      <w:hyperlink r:id="rId36" w:history="1">
        <w:r w:rsidRPr="006D3FE3">
          <w:rPr>
            <w:rStyle w:val="Hyperlink"/>
            <w:rFonts w:asciiTheme="majorHAnsi" w:hAnsiTheme="majorHAnsi" w:cstheme="majorHAnsi"/>
          </w:rPr>
          <w:t>helene.lapillonne@aphp.fr</w:t>
        </w:r>
      </w:hyperlink>
    </w:p>
    <w:p w14:paraId="55BAAA8D" w14:textId="26AA31A5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lastRenderedPageBreak/>
        <w:t>Veronique Latger-Cannard </w:t>
      </w:r>
      <w:r>
        <w:rPr>
          <w:rFonts w:asciiTheme="majorHAnsi" w:hAnsiTheme="majorHAnsi" w:cstheme="majorHAnsi"/>
        </w:rPr>
        <w:tab/>
      </w:r>
      <w:hyperlink r:id="rId37" w:history="1">
        <w:r w:rsidRPr="006D3FE3">
          <w:rPr>
            <w:rStyle w:val="Hyperlink"/>
            <w:rFonts w:asciiTheme="majorHAnsi" w:hAnsiTheme="majorHAnsi" w:cstheme="majorHAnsi"/>
          </w:rPr>
          <w:t>v.cannard@chru-nancy.fr</w:t>
        </w:r>
      </w:hyperlink>
    </w:p>
    <w:p w14:paraId="752DC4B4" w14:textId="0AFBCF7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Magali Le Garff-Tavernier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38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magali.legarff@aphp.fr</w:t>
        </w:r>
      </w:hyperlink>
    </w:p>
    <w:p w14:paraId="77E0134A" w14:textId="5B1ECC8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Pierre Lemaire </w:t>
      </w:r>
      <w:r>
        <w:rPr>
          <w:rFonts w:asciiTheme="majorHAnsi" w:hAnsiTheme="majorHAnsi" w:cstheme="majorHAnsi"/>
        </w:rPr>
        <w:tab/>
      </w:r>
      <w:hyperlink r:id="rId39" w:history="1">
        <w:r w:rsidRPr="006D3FE3">
          <w:rPr>
            <w:rStyle w:val="Hyperlink"/>
            <w:rFonts w:asciiTheme="majorHAnsi" w:hAnsiTheme="majorHAnsi" w:cstheme="majorHAnsi"/>
          </w:rPr>
          <w:t>pierre.lemaire@aphp.fr</w:t>
        </w:r>
      </w:hyperlink>
    </w:p>
    <w:p w14:paraId="6A50FF48" w14:textId="1139211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Remi Letestu 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40" w:history="1">
        <w:r w:rsidRPr="006D3FE3">
          <w:rPr>
            <w:rStyle w:val="Hyperlink"/>
            <w:rFonts w:asciiTheme="majorHAnsi" w:hAnsiTheme="majorHAnsi" w:cstheme="majorHAnsi"/>
          </w:rPr>
          <w:t>remi.letestu@aphp.fr</w:t>
        </w:r>
      </w:hyperlink>
    </w:p>
    <w:p w14:paraId="405E61AC" w14:textId="4EF69E8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Anne Catherine Lhoumeau </w:t>
      </w:r>
      <w:r>
        <w:rPr>
          <w:rFonts w:asciiTheme="majorHAnsi" w:hAnsiTheme="majorHAnsi" w:cstheme="majorHAnsi"/>
        </w:rPr>
        <w:tab/>
      </w:r>
      <w:hyperlink r:id="rId41" w:history="1">
        <w:r w:rsidRPr="006D3FE3">
          <w:rPr>
            <w:rStyle w:val="Hyperlink"/>
            <w:rFonts w:asciiTheme="majorHAnsi" w:hAnsiTheme="majorHAnsi" w:cstheme="majorHAnsi"/>
          </w:rPr>
          <w:t>LHOUMEAUAC@ipc.unicancer.fr</w:t>
        </w:r>
      </w:hyperlink>
    </w:p>
    <w:p w14:paraId="7FD5C844" w14:textId="69DF842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Delphine Manzoni </w:t>
      </w:r>
      <w:r>
        <w:rPr>
          <w:rFonts w:asciiTheme="majorHAnsi" w:hAnsiTheme="majorHAnsi" w:cstheme="majorHAnsi"/>
        </w:rPr>
        <w:tab/>
      </w:r>
      <w:hyperlink r:id="rId42" w:history="1">
        <w:r w:rsidRPr="006D3FE3">
          <w:rPr>
            <w:rStyle w:val="Hyperlink"/>
            <w:rFonts w:asciiTheme="majorHAnsi" w:hAnsiTheme="majorHAnsi" w:cstheme="majorHAnsi"/>
          </w:rPr>
          <w:t>delphine.manzoni@chu-lyon.fr</w:t>
        </w:r>
      </w:hyperlink>
    </w:p>
    <w:p w14:paraId="4770CF2A" w14:textId="53172F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Aguirre Mimoun </w:t>
      </w:r>
      <w:r>
        <w:rPr>
          <w:rFonts w:asciiTheme="majorHAnsi" w:hAnsiTheme="majorHAnsi" w:cstheme="majorHAnsi"/>
        </w:rPr>
        <w:tab/>
      </w:r>
      <w:hyperlink r:id="rId43" w:history="1">
        <w:r w:rsidRPr="006D3FE3">
          <w:rPr>
            <w:rStyle w:val="Hyperlink"/>
            <w:rFonts w:asciiTheme="majorHAnsi" w:hAnsiTheme="majorHAnsi" w:cstheme="majorHAnsi"/>
          </w:rPr>
          <w:t>aguirre.mimoun@chu-bordeaux.fr</w:t>
        </w:r>
      </w:hyperlink>
    </w:p>
    <w:p w14:paraId="4DC85ED7" w14:textId="21156FA2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Vanessa Nivaggioni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4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Vanessa.NIVAGGIONI@ap-hm.fr</w:t>
        </w:r>
      </w:hyperlink>
    </w:p>
    <w:p w14:paraId="1AEB3D1E" w14:textId="46BECA6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Jennifer Osman </w:t>
      </w:r>
      <w:r>
        <w:rPr>
          <w:rFonts w:asciiTheme="majorHAnsi" w:hAnsiTheme="majorHAnsi" w:cstheme="majorHAnsi"/>
          <w:lang w:val="de-DE"/>
        </w:rPr>
        <w:tab/>
      </w:r>
      <w:hyperlink r:id="rId45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josman@ch-versailles.fr</w:t>
        </w:r>
      </w:hyperlink>
    </w:p>
    <w:p w14:paraId="4D9467A9" w14:textId="07CDAD3D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Victoria Raggueneau </w:t>
      </w:r>
      <w:r>
        <w:rPr>
          <w:rFonts w:asciiTheme="majorHAnsi" w:hAnsiTheme="majorHAnsi" w:cstheme="majorHAnsi"/>
        </w:rPr>
        <w:tab/>
      </w:r>
      <w:hyperlink r:id="rId46" w:history="1">
        <w:r w:rsidRPr="006D3FE3">
          <w:rPr>
            <w:rStyle w:val="Hyperlink"/>
            <w:rFonts w:asciiTheme="majorHAnsi" w:hAnsiTheme="majorHAnsi" w:cstheme="majorHAnsi"/>
          </w:rPr>
          <w:t>vraggueneau@ch-versailles.fr</w:t>
        </w:r>
      </w:hyperlink>
    </w:p>
    <w:p w14:paraId="5159AE56" w14:textId="156A3BA9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Hubert Rambaud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4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HuRambaud@chu-angers.fr</w:t>
        </w:r>
      </w:hyperlink>
    </w:p>
    <w:p w14:paraId="78820151" w14:textId="6291205B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Tatiana Raskovalova </w:t>
      </w:r>
      <w:r>
        <w:rPr>
          <w:rFonts w:asciiTheme="majorHAnsi" w:hAnsiTheme="majorHAnsi" w:cstheme="majorHAnsi"/>
        </w:rPr>
        <w:tab/>
      </w:r>
      <w:hyperlink r:id="rId48" w:history="1">
        <w:r w:rsidRPr="006D3FE3">
          <w:rPr>
            <w:rStyle w:val="Hyperlink"/>
            <w:rFonts w:asciiTheme="majorHAnsi" w:hAnsiTheme="majorHAnsi" w:cstheme="majorHAnsi"/>
          </w:rPr>
          <w:t>TRaskovalova@chu-grenoble.fr</w:t>
        </w:r>
      </w:hyperlink>
    </w:p>
    <w:p w14:paraId="2E7965BB" w14:textId="5EDBAA1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Anne Roggy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49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aroggy@chu-besancon.fr</w:t>
        </w:r>
      </w:hyperlink>
    </w:p>
    <w:p w14:paraId="02408098" w14:textId="62332E1C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Mikael Roussel </w:t>
      </w:r>
      <w:r>
        <w:rPr>
          <w:rFonts w:asciiTheme="majorHAnsi" w:hAnsiTheme="majorHAnsi" w:cstheme="majorHAnsi"/>
          <w:lang w:val="de-DE"/>
        </w:rPr>
        <w:tab/>
      </w:r>
      <w:hyperlink r:id="rId50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Mikael.ROUSSEL@chu-rennes.fr</w:t>
        </w:r>
      </w:hyperlink>
    </w:p>
    <w:p w14:paraId="7F91E988" w14:textId="4AC71FD1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Didier Sciortino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SCIORTINOD@ipc.unicancer.fr</w:t>
        </w:r>
      </w:hyperlink>
    </w:p>
    <w:p w14:paraId="1BB90DF5" w14:textId="1214B397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Valerie Soenen </w:t>
      </w:r>
      <w:r>
        <w:rPr>
          <w:rFonts w:asciiTheme="majorHAnsi" w:hAnsiTheme="majorHAnsi" w:cstheme="majorHAnsi"/>
          <w:lang w:val="de-DE"/>
        </w:rPr>
        <w:tab/>
      </w:r>
      <w:hyperlink r:id="rId52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Valerie.SOENEN@</w:t>
        </w:r>
        <w:r w:rsidRPr="006D3FE3">
          <w:rPr>
            <w:rStyle w:val="Hyperlink"/>
            <w:lang w:val="de-DE"/>
          </w:rPr>
          <w:t xml:space="preserve"> </w:t>
        </w:r>
        <w:r w:rsidRPr="006D3FE3">
          <w:rPr>
            <w:rStyle w:val="Hyperlink"/>
            <w:rFonts w:asciiTheme="majorHAnsi" w:hAnsiTheme="majorHAnsi" w:cstheme="majorHAnsi"/>
            <w:lang w:val="de-DE"/>
          </w:rPr>
          <w:t xml:space="preserve">chu-lille.fr </w:t>
        </w:r>
      </w:hyperlink>
    </w:p>
    <w:p w14:paraId="25592AAD" w14:textId="1307DB5A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François Vergez </w:t>
      </w:r>
      <w:r>
        <w:rPr>
          <w:rFonts w:asciiTheme="majorHAnsi" w:hAnsiTheme="majorHAnsi" w:cstheme="majorHAnsi"/>
          <w:lang w:val="de-DE"/>
        </w:rPr>
        <w:tab/>
      </w:r>
      <w:hyperlink r:id="rId53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Vergez.Francois@iuct-oncopole.fr</w:t>
        </w:r>
      </w:hyperlink>
    </w:p>
    <w:p w14:paraId="68C6EAF0" w14:textId="494E3EA8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Richard Veyrat Masson </w:t>
      </w:r>
      <w:r>
        <w:rPr>
          <w:rFonts w:asciiTheme="majorHAnsi" w:hAnsiTheme="majorHAnsi" w:cstheme="majorHAnsi"/>
        </w:rPr>
        <w:tab/>
      </w:r>
      <w:hyperlink r:id="rId54" w:history="1">
        <w:r w:rsidRPr="006D3FE3">
          <w:rPr>
            <w:rStyle w:val="Hyperlink"/>
            <w:rFonts w:asciiTheme="majorHAnsi" w:hAnsiTheme="majorHAnsi" w:cstheme="majorHAnsi"/>
          </w:rPr>
          <w:t>rveyrat@chu-clermontferrand.fr</w:t>
        </w:r>
      </w:hyperlink>
    </w:p>
    <w:p w14:paraId="322FECF4" w14:textId="4711430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Jean Philippe Vial </w:t>
      </w:r>
      <w:r>
        <w:rPr>
          <w:rFonts w:asciiTheme="majorHAnsi" w:hAnsiTheme="majorHAnsi" w:cstheme="majorHAnsi"/>
        </w:rPr>
        <w:tab/>
      </w:r>
      <w:hyperlink r:id="rId55" w:history="1">
        <w:r w:rsidRPr="006D3FE3">
          <w:rPr>
            <w:rStyle w:val="Hyperlink"/>
            <w:rFonts w:asciiTheme="majorHAnsi" w:hAnsiTheme="majorHAnsi" w:cstheme="majorHAnsi"/>
          </w:rPr>
          <w:t>jean-philippe.vial@chu-bordeaux.fr</w:t>
        </w:r>
      </w:hyperlink>
    </w:p>
    <w:p w14:paraId="73A21877" w14:textId="3730B445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Manon Vogrig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r w:rsidRPr="00F8315A">
        <w:rPr>
          <w:rFonts w:asciiTheme="majorHAnsi" w:hAnsiTheme="majorHAnsi" w:cstheme="majorHAnsi"/>
          <w:lang w:val="de-DE"/>
        </w:rPr>
        <w:t xml:space="preserve"> </w:t>
      </w:r>
      <w:hyperlink r:id="rId56" w:history="1">
        <w:r w:rsidRPr="00F8315A">
          <w:rPr>
            <w:rStyle w:val="Hyperlink"/>
            <w:rFonts w:asciiTheme="majorHAnsi" w:hAnsiTheme="majorHAnsi" w:cstheme="majorHAnsi"/>
            <w:color w:val="auto"/>
            <w:lang w:val="de-DE"/>
          </w:rPr>
          <w:t>Manon.VOGRIG@chu-st-etienne.fr</w:t>
        </w:r>
      </w:hyperlink>
    </w:p>
    <w:p w14:paraId="2C91868A" w14:textId="76D53CD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Orianne Wagner-Ballon 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57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orianne.wagnerballon@aphp.fr</w:t>
        </w:r>
      </w:hyperlink>
    </w:p>
    <w:p w14:paraId="65E338F8" w14:textId="70783D66" w:rsidR="00881367" w:rsidRPr="00F8315A" w:rsidRDefault="00881367" w:rsidP="00881367">
      <w:pPr>
        <w:rPr>
          <w:rFonts w:asciiTheme="majorHAnsi" w:hAnsiTheme="majorHAnsi" w:cstheme="majorHAnsi"/>
          <w:lang w:val="de-DE"/>
        </w:rPr>
      </w:pPr>
      <w:r w:rsidRPr="00F8315A">
        <w:rPr>
          <w:rFonts w:asciiTheme="majorHAnsi" w:hAnsiTheme="majorHAnsi" w:cstheme="majorHAnsi"/>
          <w:lang w:val="de-DE"/>
        </w:rPr>
        <w:t>Jaja Zhu </w:t>
      </w:r>
      <w:r>
        <w:rPr>
          <w:rFonts w:asciiTheme="majorHAnsi" w:hAnsiTheme="majorHAnsi" w:cstheme="majorHAnsi"/>
          <w:lang w:val="de-DE"/>
        </w:rPr>
        <w:tab/>
      </w:r>
      <w:r>
        <w:rPr>
          <w:rFonts w:asciiTheme="majorHAnsi" w:hAnsiTheme="majorHAnsi" w:cstheme="majorHAnsi"/>
          <w:lang w:val="de-DE"/>
        </w:rPr>
        <w:tab/>
      </w:r>
      <w:hyperlink r:id="rId58" w:history="1">
        <w:r w:rsidRPr="006D3FE3">
          <w:rPr>
            <w:rStyle w:val="Hyperlink"/>
            <w:rFonts w:asciiTheme="majorHAnsi" w:hAnsiTheme="majorHAnsi" w:cstheme="majorHAnsi"/>
            <w:lang w:val="de-DE"/>
          </w:rPr>
          <w:t>jaja.zhu@aphp.fr</w:t>
        </w:r>
      </w:hyperlink>
    </w:p>
    <w:p w14:paraId="590D5DF4" w14:textId="2EAEEF9F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Karine Celli-Lebras </w:t>
      </w:r>
      <w:r>
        <w:rPr>
          <w:rFonts w:asciiTheme="majorHAnsi" w:hAnsiTheme="majorHAnsi" w:cstheme="majorHAnsi"/>
        </w:rPr>
        <w:tab/>
      </w:r>
      <w:hyperlink r:id="rId59" w:history="1">
        <w:r w:rsidRPr="006D3FE3">
          <w:rPr>
            <w:rStyle w:val="Hyperlink"/>
            <w:rFonts w:asciiTheme="majorHAnsi" w:hAnsiTheme="majorHAnsi" w:cstheme="majorHAnsi"/>
          </w:rPr>
          <w:t>karine.cellilebras@alfa-leukemia.org</w:t>
        </w:r>
      </w:hyperlink>
    </w:p>
    <w:p w14:paraId="70DA4E00" w14:textId="0166EE93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Raphaël Itzykson </w:t>
      </w:r>
      <w:r>
        <w:rPr>
          <w:rFonts w:asciiTheme="majorHAnsi" w:hAnsiTheme="majorHAnsi" w:cstheme="majorHAnsi"/>
        </w:rPr>
        <w:tab/>
      </w:r>
      <w:hyperlink r:id="rId60" w:history="1">
        <w:r w:rsidRPr="006D3FE3">
          <w:rPr>
            <w:rStyle w:val="Hyperlink"/>
            <w:rFonts w:asciiTheme="majorHAnsi" w:hAnsiTheme="majorHAnsi" w:cstheme="majorHAnsi"/>
          </w:rPr>
          <w:t>raphael.itzykson@aphp.fr</w:t>
        </w:r>
      </w:hyperlink>
    </w:p>
    <w:p w14:paraId="01EF5994" w14:textId="5120060E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Christian Recher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1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Recher.Christian@iuct-oncopole.fr</w:t>
        </w:r>
      </w:hyperlink>
    </w:p>
    <w:p w14:paraId="564C34BE" w14:textId="4F0CD454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Hervé Dombret</w:t>
      </w:r>
      <w:r>
        <w:rPr>
          <w:rFonts w:asciiTheme="majorHAnsi" w:hAnsiTheme="majorHAnsi" w:cstheme="majorHAnsi"/>
        </w:rPr>
        <w:tab/>
      </w:r>
      <w:r w:rsidRPr="009937A6">
        <w:rPr>
          <w:rFonts w:asciiTheme="majorHAnsi" w:hAnsiTheme="majorHAnsi" w:cstheme="majorHAnsi"/>
        </w:rPr>
        <w:t xml:space="preserve"> </w:t>
      </w:r>
      <w:hyperlink r:id="rId62" w:history="1">
        <w:r w:rsidRPr="009937A6">
          <w:rPr>
            <w:rStyle w:val="Hyperlink"/>
            <w:rFonts w:asciiTheme="majorHAnsi" w:hAnsiTheme="majorHAnsi" w:cstheme="majorHAnsi"/>
            <w:color w:val="auto"/>
          </w:rPr>
          <w:t>herve.dombret@mac.com</w:t>
        </w:r>
      </w:hyperlink>
    </w:p>
    <w:p w14:paraId="44903CC9" w14:textId="0567A0A7" w:rsidR="00881367" w:rsidRPr="009937A6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Claude Preudhomme</w:t>
      </w:r>
      <w:r>
        <w:rPr>
          <w:rFonts w:asciiTheme="majorHAnsi" w:hAnsiTheme="majorHAnsi" w:cstheme="majorHAnsi"/>
        </w:rPr>
        <w:tab/>
      </w:r>
      <w:hyperlink r:id="rId63" w:history="1">
        <w:r w:rsidRPr="006D3FE3">
          <w:rPr>
            <w:rStyle w:val="Hyperlink"/>
            <w:rFonts w:asciiTheme="majorHAnsi" w:hAnsiTheme="majorHAnsi" w:cstheme="majorHAnsi"/>
          </w:rPr>
          <w:t>Claude.PREUDHOMME@CHU-LILLE.FR</w:t>
        </w:r>
      </w:hyperlink>
    </w:p>
    <w:p w14:paraId="6C78BABE" w14:textId="4131732D" w:rsidR="00881367" w:rsidRPr="00B16A10" w:rsidRDefault="00881367" w:rsidP="00881367">
      <w:pPr>
        <w:rPr>
          <w:rFonts w:asciiTheme="majorHAnsi" w:hAnsiTheme="majorHAnsi" w:cstheme="majorHAnsi"/>
        </w:rPr>
      </w:pPr>
      <w:r w:rsidRPr="009937A6">
        <w:rPr>
          <w:rFonts w:asciiTheme="majorHAnsi" w:hAnsiTheme="majorHAnsi" w:cstheme="majorHAnsi"/>
        </w:rPr>
        <w:t>Christophe Roumier</w:t>
      </w:r>
      <w:r>
        <w:rPr>
          <w:rFonts w:asciiTheme="majorHAnsi" w:hAnsiTheme="majorHAnsi" w:cstheme="majorHAnsi"/>
        </w:rPr>
        <w:tab/>
      </w:r>
      <w:hyperlink r:id="rId64" w:history="1">
        <w:r w:rsidRPr="006D3FE3">
          <w:rPr>
            <w:rStyle w:val="Hyperlink"/>
            <w:rFonts w:asciiTheme="majorHAnsi" w:hAnsiTheme="majorHAnsi" w:cstheme="majorHAnsi"/>
          </w:rPr>
          <w:t>Christophe.ROUMIER@chu-lille.fr</w:t>
        </w:r>
      </w:hyperlink>
    </w:p>
    <w:p w14:paraId="6EA0EF0D" w14:textId="2D4ECB60" w:rsidR="00881367" w:rsidRPr="00B16A10" w:rsidRDefault="00881367" w:rsidP="00881367">
      <w:pPr>
        <w:rPr>
          <w:rFonts w:asciiTheme="majorHAnsi" w:hAnsiTheme="majorHAnsi" w:cstheme="majorHAnsi"/>
        </w:rPr>
      </w:pPr>
      <w:r w:rsidRPr="00B16A10">
        <w:rPr>
          <w:rFonts w:asciiTheme="majorHAnsi" w:hAnsiTheme="majorHAnsi" w:cstheme="majorHAnsi"/>
        </w:rPr>
        <w:t>Adriana Plesa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65" w:history="1">
        <w:r w:rsidRPr="006D3FE3">
          <w:rPr>
            <w:rStyle w:val="Hyperlink"/>
            <w:rFonts w:asciiTheme="majorHAnsi" w:hAnsiTheme="majorHAnsi" w:cstheme="majorHAnsi"/>
          </w:rPr>
          <w:t>adriana.plesa@chu-lyon.fr</w:t>
        </w:r>
      </w:hyperlink>
    </w:p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6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67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8D88AA7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F8687C">
        <w:rPr>
          <w:rFonts w:cstheme="minorHAnsi"/>
          <w:bCs/>
          <w:sz w:val="22"/>
          <w:szCs w:val="22"/>
        </w:rPr>
        <w:t>25</w:t>
      </w:r>
    </w:p>
    <w:p w14:paraId="5AAC9C6C" w14:textId="5E2847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F8687C">
        <w:rPr>
          <w:rFonts w:cstheme="minorHAnsi"/>
          <w:bCs/>
          <w:sz w:val="22"/>
          <w:szCs w:val="22"/>
        </w:rPr>
        <w:t>55 (35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46BC28F" w:rsidR="00A13CC3" w:rsidRDefault="00FF25E5" w:rsidP="00FC3454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C3454" w:rsidRPr="00FC3454">
        <w:rPr>
          <w:rFonts w:eastAsia="Times New Roman" w:cstheme="minorHAnsi"/>
        </w:rPr>
        <w:t xml:space="preserve">Human Ethics Committee of CHU Lyon and the Ethics Committee of the Institutional Review Board of Lille CHU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5"/>
      <w:commentRangeStart w:id="6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5"/>
      <w:r w:rsidR="00B0409C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5"/>
      </w:r>
      <w:commentRangeEnd w:id="6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6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FA9DE90" w:rsidR="00CE10F2" w:rsidRDefault="00BC57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Cytometer Standardization and Sample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BB2DA8" w14:textId="26FD805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To begin, </w:t>
      </w:r>
      <w:r w:rsidRPr="00C93725">
        <w:rPr>
          <w:lang w:eastAsia="en-IN"/>
        </w:rPr>
        <w:t xml:space="preserve">prepare </w:t>
      </w:r>
      <w:r w:rsidRPr="00C93725">
        <w:rPr>
          <w:lang w:eastAsia="en-IN"/>
        </w:rPr>
        <w:t xml:space="preserve">the 8-peak rainbow beads </w:t>
      </w:r>
      <w:r w:rsidRPr="00C93725">
        <w:rPr>
          <w:lang w:eastAsia="en-IN"/>
        </w:rPr>
        <w:t xml:space="preserve">to </w:t>
      </w:r>
      <w:r w:rsidRPr="00C93725">
        <w:rPr>
          <w:lang w:eastAsia="en-IN"/>
        </w:rPr>
        <w:t xml:space="preserve">determine cytometer-specific target values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7605F9E4" w14:textId="3DB2DFD6" w:rsidR="00C34F4C" w:rsidRPr="00C93725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93725">
        <w:rPr>
          <w:rFonts w:cstheme="minorHAnsi"/>
        </w:rPr>
        <w:t xml:space="preserve">WIDE: </w:t>
      </w:r>
      <w:r w:rsidR="00881367" w:rsidRPr="00C93725">
        <w:rPr>
          <w:lang w:val="en-IN" w:eastAsia="en-IN"/>
        </w:rPr>
        <w:t>Talent preparing the 8-peak rainbow beads</w:t>
      </w:r>
      <w:r w:rsidR="00881367" w:rsidRPr="00C93725">
        <w:rPr>
          <w:lang w:val="en-IN" w:eastAsia="en-IN"/>
        </w:rPr>
        <w:t>.</w:t>
      </w:r>
      <w:r w:rsidR="00FC3454" w:rsidRPr="00C93725">
        <w:rPr>
          <w:lang w:val="en-IN" w:eastAsia="en-IN"/>
        </w:rPr>
        <w:t xml:space="preserve"> </w:t>
      </w:r>
      <w:r w:rsidR="00CC056B" w:rsidRPr="00C93725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C93725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C93725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C93725">
        <w:rPr>
          <w:rFonts w:cstheme="minorHAnsi"/>
          <w:i/>
          <w:iCs/>
          <w:color w:val="0000FF"/>
          <w:lang w:val="en-IN"/>
        </w:rPr>
        <w:t>.</w:t>
      </w:r>
    </w:p>
    <w:p w14:paraId="0C03A928" w14:textId="77777777" w:rsidR="00881367" w:rsidRPr="00C93725" w:rsidRDefault="00881367" w:rsidP="00881367">
      <w:pPr>
        <w:pStyle w:val="ShotDescription"/>
        <w:ind w:firstLine="0"/>
        <w:rPr>
          <w:lang w:val="en-IN" w:eastAsia="en-IN"/>
        </w:rPr>
      </w:pPr>
    </w:p>
    <w:p w14:paraId="53714089" w14:textId="41B1A66E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Set each machine according to the target values </w:t>
      </w:r>
      <w:r w:rsidRPr="00C93725">
        <w:rPr>
          <w:b/>
          <w:bCs/>
          <w:lang w:eastAsia="en-IN"/>
        </w:rPr>
        <w:t>[1]</w:t>
      </w:r>
      <w:r w:rsidR="00FC3454" w:rsidRPr="00C93725">
        <w:rPr>
          <w:lang w:eastAsia="en-IN"/>
        </w:rPr>
        <w:t xml:space="preserve"> and e</w:t>
      </w:r>
      <w:r w:rsidR="00FC3454" w:rsidRPr="00C93725">
        <w:rPr>
          <w:lang w:eastAsia="en-IN"/>
        </w:rPr>
        <w:t xml:space="preserve">nsure that </w:t>
      </w:r>
      <w:r w:rsidR="00FC3454" w:rsidRPr="00C93725">
        <w:rPr>
          <w:lang w:eastAsia="en-IN"/>
        </w:rPr>
        <w:t xml:space="preserve">each channel's measured value </w:t>
      </w:r>
      <w:r w:rsidR="00FC3454" w:rsidRPr="00C93725">
        <w:rPr>
          <w:lang w:eastAsia="en-IN"/>
        </w:rPr>
        <w:t>is within 5% of its target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 xml:space="preserve">. Verify this setting systematically to maintain the longitudinal sensitivity of each platform </w:t>
      </w:r>
      <w:r w:rsidRPr="00C93725">
        <w:rPr>
          <w:b/>
          <w:bCs/>
          <w:lang w:eastAsia="en-IN"/>
        </w:rPr>
        <w:t>[3]</w:t>
      </w:r>
      <w:r w:rsidRPr="00C93725">
        <w:rPr>
          <w:lang w:eastAsia="en-IN"/>
        </w:rPr>
        <w:t>.</w:t>
      </w:r>
    </w:p>
    <w:p w14:paraId="3AC5BC5C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setting the machine according to the target values.</w:t>
      </w:r>
    </w:p>
    <w:p w14:paraId="4ED7E12C" w14:textId="4B5DFAC7" w:rsidR="00881367" w:rsidRPr="00C93725" w:rsidRDefault="00FC3454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LAB MEDIA: Table 1</w:t>
      </w:r>
      <w:r w:rsidR="00881367" w:rsidRPr="00C93725">
        <w:rPr>
          <w:lang w:val="en-IN" w:eastAsia="en-IN"/>
        </w:rPr>
        <w:t>.</w:t>
      </w:r>
    </w:p>
    <w:p w14:paraId="4AE64753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verifying the cytometer settings.</w:t>
      </w:r>
    </w:p>
    <w:p w14:paraId="7F4B1C08" w14:textId="6F6A889F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CB5A30D" w14:textId="0CB132C5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Collect 1 to 2 milliliters of bone marrow </w:t>
      </w:r>
      <w:r w:rsidR="00FC3454" w:rsidRPr="00C93725">
        <w:rPr>
          <w:lang w:eastAsia="en-IN"/>
        </w:rPr>
        <w:t xml:space="preserve">in EDTA </w:t>
      </w:r>
      <w:r w:rsidRPr="00C93725">
        <w:rPr>
          <w:lang w:eastAsia="en-IN"/>
        </w:rPr>
        <w:t xml:space="preserve">at diagnosis and at monitoring time points, including </w:t>
      </w:r>
      <w:r w:rsidR="00C93725" w:rsidRPr="00C93725">
        <w:rPr>
          <w:lang w:eastAsia="en-IN"/>
        </w:rPr>
        <w:t xml:space="preserve">minimal residual disease </w:t>
      </w:r>
      <w:r w:rsidR="00FC3454" w:rsidRPr="00C93725">
        <w:rPr>
          <w:lang w:eastAsia="en-IN"/>
        </w:rPr>
        <w:t>or MRD-</w:t>
      </w:r>
      <w:r w:rsidRPr="00C93725">
        <w:rPr>
          <w:lang w:eastAsia="en-IN"/>
        </w:rPr>
        <w:t>1</w:t>
      </w:r>
      <w:r w:rsidR="00FC3454" w:rsidRPr="00C93725">
        <w:rPr>
          <w:lang w:eastAsia="en-IN"/>
        </w:rPr>
        <w:t xml:space="preserve"> through MRD4</w:t>
      </w:r>
      <w:r w:rsidRPr="00C93725">
        <w:rPr>
          <w:lang w:eastAsia="en-IN"/>
        </w:rPr>
        <w:t xml:space="preserve"> and relapse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Add 15 milliliters of ammonium chloride lysing solution to the bone marrow sample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2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Mix gently and incubate for 10 minutes at room temperature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3A47006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collecting an ethylenediaminetetraacetic acid bone marrow sample.</w:t>
      </w:r>
    </w:p>
    <w:p w14:paraId="1FBFE74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ammonium chloride lysing solution to the bone marrow sample.</w:t>
      </w:r>
    </w:p>
    <w:p w14:paraId="201753C6" w14:textId="1ADB856B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gently mixing the sample</w:t>
      </w:r>
      <w:r w:rsidR="00FC3454" w:rsidRPr="00C93725">
        <w:rPr>
          <w:lang w:val="en-IN" w:eastAsia="en-IN"/>
        </w:rPr>
        <w:t xml:space="preserve"> and keeping it aside</w:t>
      </w:r>
      <w:r w:rsidRPr="00C93725">
        <w:rPr>
          <w:lang w:val="en-IN" w:eastAsia="en-IN"/>
        </w:rPr>
        <w:t>.</w:t>
      </w:r>
    </w:p>
    <w:p w14:paraId="1CE1CB48" w14:textId="77777777" w:rsidR="00FC3454" w:rsidRPr="00C93725" w:rsidRDefault="00FC3454" w:rsidP="00FC3454">
      <w:pPr>
        <w:pStyle w:val="ShotDescription"/>
        <w:ind w:firstLine="0"/>
        <w:rPr>
          <w:lang w:val="en-IN" w:eastAsia="en-IN"/>
        </w:rPr>
      </w:pPr>
    </w:p>
    <w:p w14:paraId="578ABC40" w14:textId="22FF2421" w:rsidR="00B0409C" w:rsidRPr="00C93725" w:rsidRDefault="00FC3454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>Then, c</w:t>
      </w:r>
      <w:r w:rsidR="00881367" w:rsidRPr="00C93725">
        <w:rPr>
          <w:lang w:eastAsia="en-IN"/>
        </w:rPr>
        <w:t xml:space="preserve">entrifuge </w:t>
      </w:r>
      <w:r w:rsidRPr="00C93725">
        <w:rPr>
          <w:lang w:eastAsia="en-IN"/>
        </w:rPr>
        <w:t xml:space="preserve">the sample </w:t>
      </w:r>
      <w:r w:rsidR="00881367" w:rsidRPr="00C93725">
        <w:rPr>
          <w:lang w:eastAsia="en-IN"/>
        </w:rPr>
        <w:t xml:space="preserve">at 450 g </w:t>
      </w:r>
      <w:r w:rsidRPr="00C93725">
        <w:rPr>
          <w:lang w:eastAsia="en-IN"/>
        </w:rPr>
        <w:t xml:space="preserve">for 5 minutes </w:t>
      </w:r>
      <w:r w:rsidR="00881367" w:rsidRPr="00C93725">
        <w:rPr>
          <w:lang w:eastAsia="en-IN"/>
        </w:rPr>
        <w:t xml:space="preserve">at room temperature </w:t>
      </w:r>
      <w:r w:rsidR="00881367"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 and d</w:t>
      </w:r>
      <w:r w:rsidR="00881367" w:rsidRPr="00C93725">
        <w:rPr>
          <w:lang w:eastAsia="en-IN"/>
        </w:rPr>
        <w:t xml:space="preserve">iscard the supernatant </w:t>
      </w:r>
      <w:r w:rsidR="00881367" w:rsidRPr="00C93725">
        <w:rPr>
          <w:b/>
          <w:bCs/>
          <w:lang w:eastAsia="en-IN"/>
        </w:rPr>
        <w:t>[2]</w:t>
      </w:r>
      <w:r w:rsidR="00881367"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cell pellet in 10 milliliters of PBS with 0.1% BSA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3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. Centrifuge again at 450 g for 5 minutes at room temperature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 xml:space="preserve"> and discard the supernatant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5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cell pellet at a concentration of 30 × 10⁶ white blood cells per milliliter in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6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1EC9EC12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4372398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44E817AF" w14:textId="7A402675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 xml:space="preserve"> with 0.1% bovine serum albumin.</w:t>
      </w:r>
    </w:p>
    <w:p w14:paraId="16E1655A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sample in the centrifuge.</w:t>
      </w:r>
    </w:p>
    <w:p w14:paraId="5FF9D9D4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discarding the supernatant.</w:t>
      </w:r>
    </w:p>
    <w:p w14:paraId="51234B23" w14:textId="13AA1974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cell pellet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2064D96" w14:textId="5F175C49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0C1CFE20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59507DB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7B50596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180F6F85" w14:textId="6ADDC1C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Immunostaining of Bone Marrow Cells</w:t>
      </w:r>
    </w:p>
    <w:p w14:paraId="23360847" w14:textId="77777777" w:rsidR="00B0409C" w:rsidRDefault="00B0409C" w:rsidP="00B0409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00833889"/>
          <w:placeholder>
            <w:docPart w:val="737E1FAAB24146F08721AF4BD314A7A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DC55A5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56DB6575" w14:textId="08FCE73A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Distribute the monoclonal antibodies in tubes T1, T2, and T3 </w:t>
      </w:r>
      <w:r w:rsidR="006E39D1" w:rsidRPr="00C93725">
        <w:rPr>
          <w:b/>
          <w:bCs/>
          <w:lang w:eastAsia="en-IN"/>
        </w:rPr>
        <w:t>[1]</w:t>
      </w:r>
      <w:r w:rsidR="006E39D1" w:rsidRPr="00C93725">
        <w:rPr>
          <w:lang w:eastAsia="en-IN"/>
        </w:rPr>
        <w:t xml:space="preserve"> </w:t>
      </w:r>
      <w:r w:rsidRPr="00C93725">
        <w:rPr>
          <w:lang w:eastAsia="en-IN"/>
        </w:rPr>
        <w:t xml:space="preserve">according to the platform. Prepare an antibody table with the clone, volume, catalog reference, and supplier for each antibody </w:t>
      </w:r>
      <w:r w:rsidRPr="00C93725">
        <w:rPr>
          <w:b/>
          <w:bCs/>
          <w:lang w:eastAsia="en-IN"/>
        </w:rPr>
        <w:t>[</w:t>
      </w:r>
      <w:r w:rsidR="006E39D1" w:rsidRPr="00C93725">
        <w:rPr>
          <w:b/>
          <w:bCs/>
          <w:lang w:eastAsia="en-IN"/>
        </w:rPr>
        <w:t>2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39D01DE9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distributing monoclonal antibodies into tubes T1, T2, and T3.</w:t>
      </w:r>
    </w:p>
    <w:p w14:paraId="00183669" w14:textId="5BC4786D" w:rsidR="00881367" w:rsidRPr="00C93725" w:rsidRDefault="006E39D1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LAB MEDIA: Table 2</w:t>
      </w:r>
      <w:r w:rsidR="00881367" w:rsidRPr="00C93725">
        <w:rPr>
          <w:lang w:val="en-IN" w:eastAsia="en-IN"/>
        </w:rPr>
        <w:t>.</w:t>
      </w:r>
    </w:p>
    <w:p w14:paraId="1FB14642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3BEC078D" w14:textId="4DD2355D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Add 2 to 3 × 10⁶ lysed cells per tube in 100 microliters of cell suspension </w:t>
      </w:r>
      <w:r w:rsidRPr="00C93725">
        <w:rPr>
          <w:b/>
          <w:bCs/>
          <w:lang w:eastAsia="en-IN"/>
        </w:rPr>
        <w:t>[1]</w:t>
      </w:r>
      <w:r w:rsidR="006E39D1" w:rsidRPr="00C93725">
        <w:rPr>
          <w:lang w:eastAsia="en-IN"/>
        </w:rPr>
        <w:t xml:space="preserve"> and i</w:t>
      </w:r>
      <w:r w:rsidRPr="00C93725">
        <w:rPr>
          <w:lang w:eastAsia="en-IN"/>
        </w:rPr>
        <w:t xml:space="preserve">ncubate the cells with antibodies for 15 minutes in the dark at room temperature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</w:p>
    <w:p w14:paraId="68EA88E8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adding lysed cells to each tube.</w:t>
      </w:r>
    </w:p>
    <w:p w14:paraId="08932E36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tubes in the dark for incubation at room temperature.</w:t>
      </w:r>
    </w:p>
    <w:p w14:paraId="468BAF26" w14:textId="77777777" w:rsidR="006E39D1" w:rsidRPr="00C93725" w:rsidRDefault="006E39D1" w:rsidP="006E39D1">
      <w:pPr>
        <w:pStyle w:val="ShotDescription"/>
        <w:ind w:firstLine="0"/>
        <w:rPr>
          <w:lang w:val="en-IN" w:eastAsia="en-IN"/>
        </w:rPr>
      </w:pPr>
    </w:p>
    <w:p w14:paraId="6BA24636" w14:textId="5E0F8B05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Wash the cells with 3 milliliters of </w:t>
      </w:r>
      <w:r w:rsidR="00FC3454" w:rsidRPr="00C93725">
        <w:rPr>
          <w:lang w:eastAsia="en-IN"/>
        </w:rPr>
        <w:t>PBS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Centrifuge at 450 g for 5 minutes </w:t>
      </w:r>
      <w:r w:rsidRPr="00C93725">
        <w:rPr>
          <w:b/>
          <w:bCs/>
          <w:lang w:eastAsia="en-IN"/>
        </w:rPr>
        <w:t>[2]</w:t>
      </w:r>
      <w:r w:rsidR="006E39D1" w:rsidRPr="00C93725">
        <w:rPr>
          <w:lang w:eastAsia="en-IN"/>
        </w:rPr>
        <w:t xml:space="preserve"> and d</w:t>
      </w:r>
      <w:r w:rsidRPr="00C93725">
        <w:rPr>
          <w:lang w:eastAsia="en-IN"/>
        </w:rPr>
        <w:t xml:space="preserve">iscard the supernatant </w:t>
      </w:r>
      <w:r w:rsidRPr="00C93725">
        <w:rPr>
          <w:b/>
          <w:bCs/>
          <w:lang w:eastAsia="en-IN"/>
        </w:rPr>
        <w:t>[3]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 w:rsidRPr="00C93725">
        <w:rPr>
          <w:lang w:eastAsia="en-IN"/>
        </w:rPr>
        <w:t xml:space="preserve">Resuspend the stained cells in 300 microliters of PBS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4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3E1189B8" w14:textId="3F8B1881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washing the cells with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41DD2EB0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>Talent placing the tubes in the centrifuge.</w:t>
      </w:r>
    </w:p>
    <w:p w14:paraId="5D54DD6B" w14:textId="77777777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lastRenderedPageBreak/>
        <w:t>Talent discarding the supernatant.</w:t>
      </w:r>
    </w:p>
    <w:p w14:paraId="11A063E9" w14:textId="189BC321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93725">
        <w:rPr>
          <w:lang w:val="en-IN" w:eastAsia="en-IN"/>
        </w:rPr>
        <w:t xml:space="preserve">Talent resuspending the stained cells in </w:t>
      </w:r>
      <w:r w:rsidR="00FC3454" w:rsidRPr="00C93725">
        <w:rPr>
          <w:lang w:val="en-IN" w:eastAsia="en-IN"/>
        </w:rPr>
        <w:t>PBS</w:t>
      </w:r>
      <w:r w:rsidRPr="00C93725">
        <w:rPr>
          <w:lang w:val="en-IN" w:eastAsia="en-IN"/>
        </w:rPr>
        <w:t>.</w:t>
      </w:r>
    </w:p>
    <w:p w14:paraId="5125A0CF" w14:textId="144085FA" w:rsidR="00881367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671B5BA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D57CD15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CB000AF" w14:textId="77777777" w:rsidR="00B0409C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69D5D9F5" w14:textId="78EAC809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Flow Cytometry Acquisition and LAIP Analysis</w:t>
      </w:r>
    </w:p>
    <w:p w14:paraId="4C17695D" w14:textId="77777777" w:rsidR="00B0409C" w:rsidRDefault="00B0409C" w:rsidP="00B0409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48289479"/>
          <w:placeholder>
            <w:docPart w:val="B7A16F800DC4477C8F5ECE5FEC4F6A4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F7AAB3" w14:textId="77777777" w:rsidR="00B0409C" w:rsidRPr="00C93725" w:rsidRDefault="00B0409C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2B9703C3" w14:textId="40F08098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Open the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assay or acquisition protocol with the adapted settings and compensation matrix for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leukemia-associated immunophenotype, different from normal, and leukemic stem cell measurement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B780C28" w14:textId="47509CA8" w:rsidR="00881367" w:rsidRPr="00C93725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6E39D1" w:rsidRPr="00C93725">
        <w:rPr>
          <w:lang w:val="en-IN" w:eastAsia="en-IN"/>
        </w:rPr>
        <w:t>MRD</w:t>
      </w:r>
      <w:r w:rsidRPr="00C93725">
        <w:rPr>
          <w:lang w:val="en-IN" w:eastAsia="en-IN"/>
        </w:rPr>
        <w:t xml:space="preserve"> assay or acquisition protocol </w:t>
      </w:r>
      <w:r w:rsidR="009438D7">
        <w:rPr>
          <w:lang w:val="en-IN" w:eastAsia="en-IN"/>
        </w:rPr>
        <w:t xml:space="preserve">being </w:t>
      </w:r>
      <w:r w:rsidRPr="00C93725">
        <w:rPr>
          <w:lang w:val="en-IN" w:eastAsia="en-IN"/>
        </w:rPr>
        <w:t>opened with the adapted settings and compensation matrix.</w:t>
      </w:r>
    </w:p>
    <w:p w14:paraId="3A51B3AE" w14:textId="743BFA8A" w:rsidR="00BC5793" w:rsidRPr="00BC5793" w:rsidRDefault="00BC5793" w:rsidP="00BC579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bookmarkStart w:id="10" w:name="_Hlk203166143"/>
      <w:r w:rsidRPr="00BC579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BC579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BC579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BC5793">
        <w:rPr>
          <w:rFonts w:ascii="Calibri" w:hAnsi="Calibri" w:cs="Calibri"/>
          <w:b/>
          <w:bCs/>
          <w:color w:val="000000"/>
        </w:rPr>
        <w:t xml:space="preserve">: </w:t>
      </w:r>
      <w:bookmarkEnd w:id="9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BC5793">
        <w:rPr>
          <w:rFonts w:ascii="Calibri" w:hAnsi="Calibri" w:cs="Calibri"/>
          <w:b/>
          <w:bCs/>
          <w:color w:val="000000"/>
        </w:rPr>
        <w:instrText>https://review.jove.com/account/file-uploader?src=21747768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6D3FE3">
        <w:rPr>
          <w:rStyle w:val="Hyperlink"/>
          <w:rFonts w:ascii="Calibri" w:hAnsi="Calibri" w:cs="Calibri"/>
          <w:b/>
          <w:bCs/>
        </w:rPr>
        <w:t>https://review.jove.com/account/file-uploader?src=21747768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10"/>
    <w:p w14:paraId="3A31615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27773CD7" w14:textId="21B7A36E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Load the samples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>
        <w:rPr>
          <w:lang w:eastAsia="en-IN"/>
        </w:rPr>
        <w:t xml:space="preserve"> and a</w:t>
      </w:r>
      <w:r w:rsidR="00881367" w:rsidRPr="00C93725">
        <w:rPr>
          <w:lang w:eastAsia="en-IN"/>
        </w:rPr>
        <w:t xml:space="preserve">cquire a minimum of 500,000 to 1,000,000 white blood cells in each tube at diagnosis and in </w:t>
      </w:r>
      <w:r>
        <w:rPr>
          <w:lang w:eastAsia="en-IN"/>
        </w:rPr>
        <w:t xml:space="preserve">the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follow-up samples to improve clustering and confidence when detecting low-level </w:t>
      </w:r>
      <w:r w:rsidR="006E39D1" w:rsidRPr="00C93725">
        <w:rPr>
          <w:lang w:eastAsia="en-IN"/>
        </w:rPr>
        <w:t>MRD</w:t>
      </w:r>
      <w:r w:rsidR="00881367" w:rsidRPr="00C93725"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881367" w:rsidRPr="00C93725">
        <w:rPr>
          <w:b/>
          <w:bCs/>
          <w:lang w:eastAsia="en-IN"/>
        </w:rPr>
        <w:t>]</w:t>
      </w:r>
      <w:r w:rsidR="00881367" w:rsidRPr="00C93725">
        <w:rPr>
          <w:lang w:eastAsia="en-IN"/>
        </w:rPr>
        <w:t>.</w:t>
      </w:r>
    </w:p>
    <w:p w14:paraId="7306CA8E" w14:textId="5FD1F780" w:rsid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loading the samples.</w:t>
      </w:r>
    </w:p>
    <w:p w14:paraId="2465C392" w14:textId="34752966" w:rsidR="00881367" w:rsidRPr="00C93725" w:rsidRDefault="00C93725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Acquisition in process</w:t>
      </w:r>
      <w:r w:rsidR="00881367" w:rsidRPr="00C93725">
        <w:rPr>
          <w:lang w:val="en-IN" w:eastAsia="en-IN"/>
        </w:rPr>
        <w:t>.</w:t>
      </w:r>
    </w:p>
    <w:p w14:paraId="6F0C8C1B" w14:textId="4158A026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4F67E05E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Use a common template and dot-plot sequence that incorporates a predefined harmonized gating strategy adapted to the analysis software used at each center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5F175A07" w14:textId="0BC0713B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common template and dot-plot sequence with the predefined harmonized gating strategy.</w:t>
      </w:r>
    </w:p>
    <w:p w14:paraId="4014921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052BD3C5" w14:textId="39F94E13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7D67DC84" w14:textId="0083B426" w:rsidR="00881367" w:rsidRPr="00C93725" w:rsidRDefault="00C93725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Capture </w:t>
      </w:r>
      <w:r w:rsidR="009438D7" w:rsidRPr="00C93725">
        <w:rPr>
          <w:lang w:eastAsia="en-IN"/>
        </w:rPr>
        <w:t xml:space="preserve">leukemia-associated immunophenotype </w:t>
      </w:r>
      <w:r w:rsidR="009438D7">
        <w:rPr>
          <w:lang w:eastAsia="en-IN"/>
        </w:rPr>
        <w:t xml:space="preserve">or LAIP </w:t>
      </w:r>
      <w:r w:rsidRPr="00C93725">
        <w:rPr>
          <w:lang w:eastAsia="en-IN"/>
        </w:rPr>
        <w:t>patterns in bulk blasts by drawing a single-cell gate based on forward scatter width versus forward scatter height</w:t>
      </w:r>
      <w:r>
        <w:rPr>
          <w:lang w:eastAsia="en-IN"/>
        </w:rPr>
        <w:t xml:space="preserve">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</w:p>
    <w:p w14:paraId="1483BDC0" w14:textId="5352090B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the single-cell gate being drawn on forward scatter width versus forward scatter height.</w:t>
      </w:r>
    </w:p>
    <w:p w14:paraId="4A47ACAE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1D1323BA" w14:textId="77777777" w:rsidR="00881367" w:rsidRPr="00C93725" w:rsidRDefault="00881367" w:rsidP="00881367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lastRenderedPageBreak/>
        <w:t xml:space="preserve">Draw a live-cell gate based on forward scatter versus side scatter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</w:p>
    <w:p w14:paraId="024E5A29" w14:textId="3D7FF523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live-cell gate being drawn on forward scatter versus side scatter.</w:t>
      </w:r>
    </w:p>
    <w:p w14:paraId="736ADDE5" w14:textId="77777777" w:rsidR="00C93725" w:rsidRPr="00C93725" w:rsidRDefault="00C93725" w:rsidP="00C93725">
      <w:pPr>
        <w:pStyle w:val="ShotDescription"/>
        <w:ind w:firstLine="0"/>
        <w:rPr>
          <w:lang w:val="en-IN" w:eastAsia="en-IN"/>
        </w:rPr>
      </w:pPr>
    </w:p>
    <w:p w14:paraId="7B94264B" w14:textId="67FEF256" w:rsidR="00C93725" w:rsidRPr="00C93725" w:rsidRDefault="00C93725" w:rsidP="00C9372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881367" w:rsidRPr="00C93725">
        <w:rPr>
          <w:lang w:eastAsia="en-IN"/>
        </w:rPr>
        <w:t xml:space="preserve">raw a blast gate on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45 dim and side scatter </w:t>
      </w:r>
      <w:r w:rsidR="00881367" w:rsidRPr="00C93725">
        <w:rPr>
          <w:b/>
          <w:bCs/>
          <w:lang w:eastAsia="en-IN"/>
        </w:rPr>
        <w:t>[1]</w:t>
      </w:r>
      <w:r>
        <w:rPr>
          <w:lang w:eastAsia="en-IN"/>
        </w:rPr>
        <w:t>, followed by the</w:t>
      </w:r>
      <w:r w:rsidRPr="00C93725">
        <w:rPr>
          <w:lang w:eastAsia="en-IN"/>
        </w:rPr>
        <w:t xml:space="preserve"> primitive marker gate using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 and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117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A0E7ACB" w14:textId="3835C9C9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blast gate being drawn on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45 dim and side scatter.</w:t>
      </w:r>
    </w:p>
    <w:p w14:paraId="7E10EF1F" w14:textId="51675C90" w:rsidR="00881367" w:rsidRDefault="00881367" w:rsidP="00EF40F6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BC5793">
        <w:rPr>
          <w:color w:val="auto"/>
          <w:highlight w:val="yellow"/>
          <w:lang w:val="en-IN" w:eastAsia="en-IN"/>
        </w:rPr>
        <w:t>SCREEN</w:t>
      </w:r>
      <w:r w:rsidRPr="00C93725">
        <w:rPr>
          <w:color w:val="auto"/>
          <w:lang w:val="en-IN" w:eastAsia="en-IN"/>
        </w:rPr>
        <w:t xml:space="preserve">: primitive marker gate being drawn using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 xml:space="preserve">34 and </w:t>
      </w:r>
      <w:r w:rsidR="00EB24D2">
        <w:rPr>
          <w:color w:val="auto"/>
          <w:lang w:val="en-IN" w:eastAsia="en-IN"/>
        </w:rPr>
        <w:t>CD</w:t>
      </w:r>
      <w:r w:rsidRPr="00C93725">
        <w:rPr>
          <w:color w:val="auto"/>
          <w:lang w:val="en-IN" w:eastAsia="en-IN"/>
        </w:rPr>
        <w:t>117.</w:t>
      </w:r>
    </w:p>
    <w:p w14:paraId="2F577E76" w14:textId="77777777" w:rsidR="00C93725" w:rsidRDefault="00C93725" w:rsidP="00C93725">
      <w:pPr>
        <w:pStyle w:val="ListParagraph"/>
        <w:rPr>
          <w:color w:val="auto"/>
          <w:lang w:val="en-IN" w:eastAsia="en-IN"/>
        </w:rPr>
      </w:pPr>
    </w:p>
    <w:p w14:paraId="39EC0A64" w14:textId="77777777" w:rsidR="00C93725" w:rsidRPr="00C93725" w:rsidRDefault="00C93725" w:rsidP="00C93725">
      <w:pPr>
        <w:pStyle w:val="Narration"/>
        <w:ind w:left="1627" w:firstLine="0"/>
        <w:rPr>
          <w:color w:val="auto"/>
          <w:lang w:val="en-IN" w:eastAsia="en-IN"/>
        </w:rPr>
      </w:pPr>
    </w:p>
    <w:p w14:paraId="341E51B9" w14:textId="17FBB411" w:rsidR="00B0409C" w:rsidRPr="00C93725" w:rsidRDefault="00881367" w:rsidP="00B0409C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Using fixed biparametric dot plots, draw the relevant gates, including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>1</w:t>
      </w:r>
      <w:r w:rsidR="009438D7">
        <w:rPr>
          <w:lang w:eastAsia="en-IN"/>
        </w:rPr>
        <w:t xml:space="preserve"> through</w:t>
      </w:r>
      <w:r w:rsidRPr="00C93725">
        <w:rPr>
          <w:lang w:eastAsia="en-IN"/>
        </w:rPr>
        <w:t xml:space="preserve"> </w:t>
      </w:r>
      <w:r w:rsidR="009438D7">
        <w:rPr>
          <w:lang w:eastAsia="en-IN"/>
        </w:rPr>
        <w:t xml:space="preserve">LAIP </w:t>
      </w:r>
      <w:r w:rsidRPr="00C93725">
        <w:rPr>
          <w:lang w:eastAsia="en-IN"/>
        </w:rPr>
        <w:t xml:space="preserve">8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>.</w:t>
      </w:r>
      <w:r w:rsidR="00B0409C">
        <w:rPr>
          <w:lang w:eastAsia="en-IN"/>
        </w:rPr>
        <w:t xml:space="preserve"> </w:t>
      </w:r>
      <w:r w:rsidR="00B0409C">
        <w:rPr>
          <w:lang w:eastAsia="en-IN"/>
        </w:rPr>
        <w:t>After gating the physiological population, u</w:t>
      </w:r>
      <w:r w:rsidR="00B0409C" w:rsidRPr="00C93725">
        <w:rPr>
          <w:lang w:eastAsia="en-IN"/>
        </w:rPr>
        <w:t>se the</w:t>
      </w:r>
      <w:r w:rsidR="00B0409C">
        <w:rPr>
          <w:lang w:eastAsia="en-IN"/>
        </w:rPr>
        <w:t xml:space="preserve"> Boolean operators for the LAIP </w:t>
      </w:r>
      <w:r w:rsidR="00B0409C" w:rsidRPr="00C93725">
        <w:rPr>
          <w:lang w:eastAsia="en-IN"/>
        </w:rPr>
        <w:t xml:space="preserve">approach </w:t>
      </w:r>
      <w:r w:rsidR="00B0409C" w:rsidRPr="00C93725">
        <w:rPr>
          <w:b/>
          <w:bCs/>
          <w:lang w:eastAsia="en-IN"/>
        </w:rPr>
        <w:t>[</w:t>
      </w:r>
      <w:r w:rsidR="00B0409C">
        <w:rPr>
          <w:b/>
          <w:bCs/>
          <w:lang w:eastAsia="en-IN"/>
        </w:rPr>
        <w:t>2</w:t>
      </w:r>
      <w:r w:rsidR="00B0409C">
        <w:rPr>
          <w:b/>
          <w:bCs/>
          <w:lang w:eastAsia="en-IN"/>
        </w:rPr>
        <w:t>-TXT</w:t>
      </w:r>
      <w:r w:rsidR="00B0409C" w:rsidRPr="00C93725">
        <w:rPr>
          <w:b/>
          <w:bCs/>
          <w:lang w:eastAsia="en-IN"/>
        </w:rPr>
        <w:t>]</w:t>
      </w:r>
      <w:r w:rsidR="00B0409C" w:rsidRPr="00C93725">
        <w:rPr>
          <w:lang w:eastAsia="en-IN"/>
        </w:rPr>
        <w:t>.</w:t>
      </w:r>
    </w:p>
    <w:p w14:paraId="5CCF92E0" w14:textId="2A06CB1B" w:rsidR="00881367" w:rsidRDefault="00881367" w:rsidP="0088136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</w:t>
      </w:r>
      <w:r w:rsidR="009438D7">
        <w:rPr>
          <w:lang w:val="en-IN" w:eastAsia="en-IN"/>
        </w:rPr>
        <w:t xml:space="preserve">LAIP </w:t>
      </w:r>
      <w:r w:rsidRPr="00C93725">
        <w:rPr>
          <w:lang w:val="en-IN" w:eastAsia="en-IN"/>
        </w:rPr>
        <w:t>gates being drawn on fixed biparametric dot plots.</w:t>
      </w:r>
      <w:r w:rsidR="009438D7">
        <w:rPr>
          <w:lang w:val="en-IN" w:eastAsia="en-IN"/>
        </w:rPr>
        <w:t xml:space="preserve"> </w:t>
      </w:r>
    </w:p>
    <w:p w14:paraId="6A94B0C8" w14:textId="4F5F9247" w:rsidR="00881367" w:rsidRPr="00C93725" w:rsidRDefault="009438D7" w:rsidP="009438D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 Show the data after applying the LIAP approach. </w:t>
      </w:r>
      <w:r w:rsidRPr="009438D7">
        <w:rPr>
          <w:b/>
          <w:bCs/>
          <w:lang w:val="en-IN" w:eastAsia="en-IN"/>
        </w:rPr>
        <w:t xml:space="preserve">TXT: Refer to the text protocol for </w:t>
      </w:r>
      <w:r>
        <w:rPr>
          <w:b/>
          <w:bCs/>
          <w:lang w:val="en-IN" w:eastAsia="en-IN"/>
        </w:rPr>
        <w:t xml:space="preserve">the </w:t>
      </w:r>
      <w:r w:rsidRPr="009438D7">
        <w:rPr>
          <w:b/>
          <w:bCs/>
          <w:lang w:val="en-IN" w:eastAsia="en-IN"/>
        </w:rPr>
        <w:t>LA</w:t>
      </w:r>
      <w:r>
        <w:rPr>
          <w:b/>
          <w:bCs/>
          <w:lang w:val="en-IN" w:eastAsia="en-IN"/>
        </w:rPr>
        <w:t>I</w:t>
      </w:r>
      <w:r w:rsidRPr="009438D7">
        <w:rPr>
          <w:b/>
          <w:bCs/>
          <w:lang w:val="en-IN" w:eastAsia="en-IN"/>
        </w:rPr>
        <w:t>P approach Boolean operators</w:t>
      </w:r>
      <w:r>
        <w:rPr>
          <w:lang w:val="en-IN" w:eastAsia="en-IN"/>
        </w:rPr>
        <w:br/>
      </w:r>
    </w:p>
    <w:p w14:paraId="4531CFC6" w14:textId="77777777" w:rsidR="009438D7" w:rsidRDefault="009438D7" w:rsidP="009438D7">
      <w:pPr>
        <w:pStyle w:val="ShotDescription"/>
        <w:ind w:firstLine="0"/>
        <w:rPr>
          <w:lang w:val="en-IN" w:eastAsia="en-IN"/>
        </w:rPr>
      </w:pPr>
    </w:p>
    <w:p w14:paraId="0919D484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2B844A4C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0C298AD2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3C6A6B25" w14:textId="3AC43808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Different-</w:t>
      </w:r>
      <w:r w:rsidRPr="00BC5793">
        <w:rPr>
          <w:rFonts w:cstheme="minorHAnsi"/>
          <w:b/>
          <w:bCs/>
        </w:rPr>
        <w:t>From</w:t>
      </w:r>
      <w:r w:rsidRPr="00BC5793">
        <w:rPr>
          <w:rFonts w:cstheme="minorHAnsi"/>
          <w:b/>
          <w:bCs/>
        </w:rPr>
        <w:t>-Normal (DfN) Analysis</w:t>
      </w:r>
    </w:p>
    <w:p w14:paraId="599D2DA7" w14:textId="77777777" w:rsidR="00B0409C" w:rsidRDefault="00B0409C" w:rsidP="00B0409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255513129"/>
          <w:placeholder>
            <w:docPart w:val="1F72403890A24C9A946F90EBB55DA85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886EDD0" w14:textId="77777777" w:rsidR="00EB24D2" w:rsidRDefault="00EB24D2" w:rsidP="009438D7">
      <w:pPr>
        <w:pStyle w:val="ShotDescription"/>
        <w:ind w:firstLine="0"/>
        <w:rPr>
          <w:lang w:val="en-IN" w:eastAsia="en-IN"/>
        </w:rPr>
      </w:pPr>
    </w:p>
    <w:p w14:paraId="52E6DC6E" w14:textId="77777777" w:rsidR="00EB24D2" w:rsidRPr="00C93725" w:rsidRDefault="00EB24D2" w:rsidP="009438D7">
      <w:pPr>
        <w:pStyle w:val="ShotDescription"/>
        <w:ind w:firstLine="0"/>
        <w:rPr>
          <w:lang w:val="en-IN" w:eastAsia="en-IN"/>
        </w:rPr>
      </w:pPr>
    </w:p>
    <w:p w14:paraId="491BC1FA" w14:textId="3702BAA3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Pr="00E96203">
        <w:rPr>
          <w:lang w:eastAsia="en-IN"/>
        </w:rPr>
        <w:t xml:space="preserve">efine abnormal populations when the cluster of abnormal cells is separated from normal cells by at least 0.5 decade on the log scale </w:t>
      </w:r>
      <w:r w:rsidRPr="00E96203">
        <w:rPr>
          <w:b/>
          <w:bCs/>
          <w:lang w:eastAsia="en-IN"/>
        </w:rPr>
        <w:t>[1]</w:t>
      </w:r>
      <w:r w:rsidRPr="00E96203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To capture a different-from-normal pattern in bulk blasts, draw live cells using forward scatter and side 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2964F49E" w14:textId="50202A3A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96203">
        <w:rPr>
          <w:lang w:val="en-IN" w:eastAsia="en-IN"/>
        </w:rPr>
        <w:t xml:space="preserve">: the abnormal cell cluster </w:t>
      </w:r>
      <w:r>
        <w:rPr>
          <w:lang w:val="en-IN" w:eastAsia="en-IN"/>
        </w:rPr>
        <w:t xml:space="preserve">being </w:t>
      </w:r>
      <w:r w:rsidRPr="00E96203">
        <w:rPr>
          <w:lang w:val="en-IN" w:eastAsia="en-IN"/>
        </w:rPr>
        <w:t>separated from the normal cells on the log-scale plot.</w:t>
      </w:r>
    </w:p>
    <w:p w14:paraId="756290A2" w14:textId="7777777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live cells being gated using forward scatter and side scatter.</w:t>
      </w:r>
    </w:p>
    <w:p w14:paraId="7A29A4C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2074D397" w14:textId="0B5F6AC9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single cells by removing doublets based on </w:t>
      </w:r>
      <w:r>
        <w:rPr>
          <w:lang w:eastAsia="en-IN"/>
        </w:rPr>
        <w:t xml:space="preserve">the forward scatter peak and the </w:t>
      </w:r>
      <w:r w:rsidRPr="00EB24D2">
        <w:rPr>
          <w:lang w:eastAsia="en-IN"/>
        </w:rPr>
        <w:t xml:space="preserve">side scatter area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Then, d</w:t>
      </w:r>
      <w:r w:rsidRPr="00EB24D2">
        <w:rPr>
          <w:lang w:eastAsia="en-IN"/>
        </w:rPr>
        <w:t xml:space="preserve">raw the mononuclear cell gate using forward scatter and side </w:t>
      </w:r>
      <w:r w:rsidRPr="00EB24D2">
        <w:rPr>
          <w:lang w:eastAsia="en-IN"/>
        </w:rPr>
        <w:lastRenderedPageBreak/>
        <w:t xml:space="preserve">scatter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5F526058" w14:textId="7C1EA643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single-cell gate being drawn after removing doublets based on </w:t>
      </w:r>
      <w:r>
        <w:rPr>
          <w:lang w:val="en-IN" w:eastAsia="en-IN"/>
        </w:rPr>
        <w:t xml:space="preserve">the forward scatter peak and the </w:t>
      </w:r>
      <w:r w:rsidRPr="00EB24D2">
        <w:rPr>
          <w:lang w:val="en-IN" w:eastAsia="en-IN"/>
        </w:rPr>
        <w:t>side scatter area.</w:t>
      </w:r>
    </w:p>
    <w:p w14:paraId="1DBA6B60" w14:textId="7777777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mononuclear cell gate being drawn using forward scatter and side scatter.</w:t>
      </w:r>
    </w:p>
    <w:p w14:paraId="4B95EBD5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58A90F12" w14:textId="3F7391BF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Apply a cleanup gate to remove lymphocytes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36, and side scatter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Next, a</w:t>
      </w:r>
      <w:r w:rsidRPr="00EB24D2">
        <w:rPr>
          <w:lang w:eastAsia="en-IN"/>
        </w:rPr>
        <w:t xml:space="preserve">pply a cleanup gate to remove erythroblasts and debris using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36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AA2E08D" w14:textId="116E961C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cleanup gate being applied to remove lymphocytes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45,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36, and side scatter.</w:t>
      </w:r>
    </w:p>
    <w:p w14:paraId="7B80BFC2" w14:textId="300A66C9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 xml:space="preserve">: Show the cleanup gate being applied to remove erythroblasts and debris using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 xml:space="preserve">45 and </w:t>
      </w:r>
      <w:r>
        <w:rPr>
          <w:lang w:val="en-IN" w:eastAsia="en-IN"/>
        </w:rPr>
        <w:t>CD</w:t>
      </w:r>
      <w:r w:rsidRPr="00EB24D2">
        <w:rPr>
          <w:lang w:val="en-IN" w:eastAsia="en-IN"/>
        </w:rPr>
        <w:t>36.</w:t>
      </w:r>
    </w:p>
    <w:p w14:paraId="1421BCFC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15495EC1" w14:textId="1D4DF90E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>Use two input gates</w:t>
      </w:r>
      <w:commentRangeStart w:id="11"/>
      <w:r w:rsidRPr="00EB24D2">
        <w:rPr>
          <w:lang w:eastAsia="en-IN"/>
        </w:rPr>
        <w:t xml:space="preserve">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34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and </w:t>
      </w:r>
      <w:r>
        <w:rPr>
          <w:lang w:eastAsia="en-IN"/>
        </w:rPr>
        <w:t>CD</w:t>
      </w:r>
      <w:r w:rsidRPr="00EB24D2">
        <w:rPr>
          <w:lang w:eastAsia="en-IN"/>
        </w:rPr>
        <w:t xml:space="preserve">117 positive, </w:t>
      </w:r>
      <w:r>
        <w:rPr>
          <w:lang w:eastAsia="en-IN"/>
        </w:rPr>
        <w:t>CD</w:t>
      </w:r>
      <w:r w:rsidRPr="00EB24D2">
        <w:rPr>
          <w:lang w:eastAsia="en-IN"/>
        </w:rPr>
        <w:t xml:space="preserve">45, and side scatter, to define the empty boxes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commentRangeEnd w:id="11"/>
      <w:r w:rsidR="00B0409C" w:rsidRPr="00EB24D2">
        <w:rPr>
          <w:rStyle w:val="CommentReference"/>
          <w:sz w:val="24"/>
          <w:szCs w:val="24"/>
          <w:lang w:eastAsia="en-IN"/>
        </w:rPr>
        <w:commentReference w:id="11"/>
      </w:r>
    </w:p>
    <w:p w14:paraId="3AC4CD88" w14:textId="7777777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two input gates being used to define the empty boxes.</w:t>
      </w:r>
    </w:p>
    <w:p w14:paraId="3F41CCE6" w14:textId="77777777" w:rsidR="00EB24D2" w:rsidRPr="00EB24D2" w:rsidRDefault="00EB24D2" w:rsidP="00EB24D2">
      <w:pPr>
        <w:pStyle w:val="ShotDescription"/>
        <w:ind w:firstLine="0"/>
        <w:rPr>
          <w:lang w:val="en-IN" w:eastAsia="en-IN"/>
        </w:rPr>
      </w:pPr>
    </w:p>
    <w:p w14:paraId="738F465B" w14:textId="183E42E7" w:rsidR="00EB24D2" w:rsidRPr="00EB24D2" w:rsidRDefault="00EB24D2" w:rsidP="00EB24D2">
      <w:pPr>
        <w:pStyle w:val="Narration"/>
        <w:numPr>
          <w:ilvl w:val="1"/>
          <w:numId w:val="3"/>
        </w:numPr>
        <w:rPr>
          <w:lang w:eastAsia="en-IN"/>
        </w:rPr>
      </w:pPr>
      <w:r w:rsidRPr="00EB24D2">
        <w:rPr>
          <w:lang w:eastAsia="en-IN"/>
        </w:rPr>
        <w:t xml:space="preserve">Draw each different-from-normal empty box based on internal control populations, including lymphocytes for cross-lineage markers and normal myeloid precursors for loss, decrease, or overexpression markers </w:t>
      </w:r>
      <w:r w:rsidRPr="00EB24D2">
        <w:rPr>
          <w:b/>
          <w:bCs/>
          <w:lang w:eastAsia="en-IN"/>
        </w:rPr>
        <w:t>[1]</w:t>
      </w:r>
      <w:r w:rsidRPr="00EB24D2">
        <w:rPr>
          <w:lang w:eastAsia="en-IN"/>
        </w:rPr>
        <w:t>.</w:t>
      </w:r>
      <w:r>
        <w:rPr>
          <w:lang w:eastAsia="en-IN"/>
        </w:rPr>
        <w:t xml:space="preserve"> </w:t>
      </w:r>
      <w:r w:rsidRPr="00EB24D2">
        <w:rPr>
          <w:lang w:eastAsia="en-IN"/>
        </w:rPr>
        <w:t xml:space="preserve">Compare the empty boxes with reference bone marrow samples, including regenerating, inflammatory, and healthy donor bone marrow </w:t>
      </w:r>
      <w:r w:rsidRPr="00EB24D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B24D2">
        <w:rPr>
          <w:b/>
          <w:bCs/>
          <w:lang w:eastAsia="en-IN"/>
        </w:rPr>
        <w:t>]</w:t>
      </w:r>
      <w:r w:rsidRPr="00EB24D2">
        <w:rPr>
          <w:lang w:eastAsia="en-IN"/>
        </w:rPr>
        <w:t>.</w:t>
      </w:r>
    </w:p>
    <w:p w14:paraId="480503D8" w14:textId="77777777" w:rsid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each different-from-normal empty box being drawn based on the internal control populations.</w:t>
      </w:r>
    </w:p>
    <w:p w14:paraId="2B728D17" w14:textId="77777777" w:rsidR="00EB24D2" w:rsidRPr="00EB24D2" w:rsidRDefault="00EB24D2" w:rsidP="00EB24D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EB24D2">
        <w:rPr>
          <w:lang w:val="en-IN" w:eastAsia="en-IN"/>
        </w:rPr>
        <w:t>: Show the empty boxes being compared with the reference bone marrow samples.</w:t>
      </w:r>
    </w:p>
    <w:p w14:paraId="420B6A76" w14:textId="15553A3A" w:rsidR="00881367" w:rsidRPr="00C93725" w:rsidRDefault="00881367" w:rsidP="00881367">
      <w:pPr>
        <w:rPr>
          <w:rFonts w:ascii="Times New Roman" w:eastAsia="Times New Roman" w:hAnsi="Times New Roman" w:cs="Times New Roman"/>
          <w:lang w:val="en-IN" w:eastAsia="en-IN"/>
        </w:rPr>
      </w:pPr>
    </w:p>
    <w:p w14:paraId="3E3BFB62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6274AB01" w14:textId="0B334A5D" w:rsidR="00B0409C" w:rsidRDefault="00BC5793" w:rsidP="00B0409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C5793">
        <w:rPr>
          <w:rFonts w:cstheme="minorHAnsi"/>
          <w:b/>
          <w:bCs/>
        </w:rPr>
        <w:t>Leukemic Stem Cell Analysis and CD38 Threshold Definition</w:t>
      </w:r>
    </w:p>
    <w:p w14:paraId="30D13768" w14:textId="77777777" w:rsidR="00B0409C" w:rsidRDefault="00B0409C" w:rsidP="00B0409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3F5C2F1BA1A3432293873E34EEE8760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2D63000" w14:textId="77777777" w:rsidR="00EB24D2" w:rsidRDefault="00EB24D2" w:rsidP="00EB24D2">
      <w:pPr>
        <w:pStyle w:val="Narration"/>
        <w:ind w:firstLine="0"/>
        <w:rPr>
          <w:lang w:eastAsia="en-IN"/>
        </w:rPr>
      </w:pPr>
    </w:p>
    <w:p w14:paraId="2A73B511" w14:textId="4A8D424A" w:rsidR="00383F8D" w:rsidRPr="00C93725" w:rsidRDefault="00383F8D" w:rsidP="00383F8D">
      <w:pPr>
        <w:pStyle w:val="Narration"/>
        <w:numPr>
          <w:ilvl w:val="1"/>
          <w:numId w:val="3"/>
        </w:numPr>
        <w:rPr>
          <w:lang w:eastAsia="en-IN"/>
        </w:rPr>
      </w:pPr>
      <w:r>
        <w:t>Define the leukemic stem cell</w:t>
      </w:r>
      <w:r>
        <w:t xml:space="preserve"> or LSC</w:t>
      </w:r>
      <w:r>
        <w:t xml:space="preserve"> input gate as mononuclear cell CD34-positive using the gating sequence</w:t>
      </w:r>
      <w:r>
        <w:t xml:space="preserve"> </w:t>
      </w:r>
      <w:r w:rsidRPr="00383F8D">
        <w:rPr>
          <w:b/>
          <w:bCs/>
        </w:rPr>
        <w:t>[1]</w:t>
      </w:r>
      <w:r>
        <w:t>.</w:t>
      </w:r>
      <w:r>
        <w:t xml:space="preserve"> </w:t>
      </w:r>
      <w:r w:rsidRPr="00C93725">
        <w:rPr>
          <w:lang w:eastAsia="en-IN"/>
        </w:rPr>
        <w:t xml:space="preserve">Define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fraction P6 using a rigorous threshold based on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level </w:t>
      </w:r>
      <w:r w:rsidRPr="00C9372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>
        <w:rPr>
          <w:lang w:eastAsia="en-IN"/>
        </w:rPr>
        <w:t xml:space="preserve"> </w:t>
      </w:r>
      <w:r w:rsidRPr="00383F8D">
        <w:rPr>
          <w:lang w:eastAsia="en-IN"/>
        </w:rPr>
        <w:t xml:space="preserve">Use CD36 </w:t>
      </w:r>
      <w:r w:rsidRPr="00383F8D">
        <w:rPr>
          <w:lang w:eastAsia="en-IN"/>
        </w:rPr>
        <w:lastRenderedPageBreak/>
        <w:t>to clean up nonspecific events in the final MRD LSC gate</w:t>
      </w:r>
      <w:r>
        <w:rPr>
          <w:lang w:eastAsia="en-IN"/>
        </w:rPr>
        <w:t xml:space="preserve"> </w:t>
      </w:r>
      <w:r w:rsidRPr="00383F8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383F8D">
        <w:rPr>
          <w:b/>
          <w:bCs/>
          <w:lang w:eastAsia="en-IN"/>
        </w:rPr>
        <w:t>]</w:t>
      </w:r>
    </w:p>
    <w:p w14:paraId="2424EA18" w14:textId="0E36EE21" w:rsidR="00383F8D" w:rsidRPr="00FE773E" w:rsidRDefault="00383F8D" w:rsidP="00383F8D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</w:t>
      </w:r>
      <w:r>
        <w:t xml:space="preserve"> </w:t>
      </w:r>
      <w:r>
        <w:t>leukemic stem cell input gate being defined as mononuclear cell CD34-positive using the gating sequence.</w:t>
      </w:r>
    </w:p>
    <w:p w14:paraId="419D3A64" w14:textId="7BFEB4DF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fraction being defined using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threshold.</w:t>
      </w:r>
      <w:r w:rsidR="00383F8D">
        <w:rPr>
          <w:lang w:val="en-IN" w:eastAsia="en-IN"/>
        </w:rPr>
        <w:t xml:space="preserve"> </w:t>
      </w:r>
      <w:r w:rsidR="00383F8D" w:rsidRPr="00383F8D">
        <w:rPr>
          <w:b/>
          <w:bCs/>
          <w:lang w:val="en-IN" w:eastAsia="en-IN"/>
        </w:rPr>
        <w:t xml:space="preserve">TXT: Refer to the text protocol for the </w:t>
      </w:r>
      <w:r w:rsidR="00383F8D" w:rsidRPr="00383F8D">
        <w:rPr>
          <w:b/>
          <w:bCs/>
          <w:lang w:val="en-IN" w:eastAsia="en-IN"/>
        </w:rPr>
        <w:t>Boolean operators</w:t>
      </w:r>
      <w:r w:rsidR="00383F8D" w:rsidRPr="00383F8D">
        <w:rPr>
          <w:lang w:val="en-IN" w:eastAsia="en-IN"/>
        </w:rPr>
        <w:t xml:space="preserve"> </w:t>
      </w:r>
    </w:p>
    <w:p w14:paraId="34195F18" w14:textId="1254CEAE" w:rsidR="00383F8D" w:rsidRDefault="00383F8D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cleaning up non-specific events in final MRD LSC gate</w:t>
      </w:r>
    </w:p>
    <w:p w14:paraId="7489F2C3" w14:textId="77777777" w:rsidR="00383F8D" w:rsidRPr="00C93725" w:rsidRDefault="00383F8D" w:rsidP="00383F8D">
      <w:pPr>
        <w:pStyle w:val="ShotDescription"/>
        <w:ind w:firstLine="0"/>
        <w:rPr>
          <w:lang w:val="en-IN" w:eastAsia="en-IN"/>
        </w:rPr>
      </w:pPr>
    </w:p>
    <w:p w14:paraId="6CB33631" w14:textId="47EF29BE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Next, s</w:t>
      </w:r>
      <w:r w:rsidR="00881367" w:rsidRPr="00C93725">
        <w:rPr>
          <w:lang w:eastAsia="en-IN"/>
        </w:rPr>
        <w:t xml:space="preserve">et the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 channel high enough to distinguish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38-negative populations from </w:t>
      </w:r>
      <w:r w:rsidR="00EB24D2">
        <w:rPr>
          <w:lang w:eastAsia="en-IN"/>
        </w:rPr>
        <w:t>CD</w:t>
      </w:r>
      <w:r w:rsidR="00881367" w:rsidRPr="00C93725">
        <w:rPr>
          <w:lang w:eastAsia="en-IN"/>
        </w:rPr>
        <w:t xml:space="preserve">38-positive populations with good resolution </w:t>
      </w:r>
      <w:r w:rsidR="00881367" w:rsidRPr="00C93725">
        <w:rPr>
          <w:b/>
          <w:bCs/>
          <w:lang w:eastAsia="en-IN"/>
        </w:rPr>
        <w:t>[1]</w:t>
      </w:r>
      <w:r w:rsidR="00881367" w:rsidRPr="00C93725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1BAEAA52" w14:textId="77777777" w:rsidR="000E2CEF" w:rsidRPr="00C93725" w:rsidRDefault="000E2CEF" w:rsidP="000E2C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</w:t>
      </w:r>
      <w:r>
        <w:rPr>
          <w:lang w:val="en-IN" w:eastAsia="en-IN"/>
        </w:rPr>
        <w:t>CD</w:t>
      </w:r>
      <w:r w:rsidRPr="00C93725">
        <w:rPr>
          <w:lang w:val="en-IN" w:eastAsia="en-IN"/>
        </w:rPr>
        <w:t>38 channel being adjusted to separate the populations.</w:t>
      </w:r>
    </w:p>
    <w:p w14:paraId="461800B5" w14:textId="77777777" w:rsidR="000E2CEF" w:rsidRDefault="000E2CEF" w:rsidP="000E2CEF">
      <w:pPr>
        <w:pStyle w:val="Narration"/>
        <w:ind w:left="1627" w:firstLine="0"/>
        <w:rPr>
          <w:lang w:eastAsia="en-IN"/>
        </w:rPr>
      </w:pPr>
    </w:p>
    <w:p w14:paraId="5A0298FA" w14:textId="77777777" w:rsidR="000E2CEF" w:rsidRDefault="000E2CEF" w:rsidP="000E2CEF"/>
    <w:p w14:paraId="30B39B78" w14:textId="77777777" w:rsidR="000E2CEF" w:rsidRDefault="000E2CEF" w:rsidP="000E2CEF">
      <w:pPr>
        <w:pStyle w:val="Narration"/>
        <w:numPr>
          <w:ilvl w:val="1"/>
          <w:numId w:val="3"/>
        </w:numPr>
      </w:pPr>
      <w:r>
        <w:t xml:space="preserve">Set the CD38 channel based on CD38 bright populations </w:t>
      </w:r>
      <w:r w:rsidRPr="00FE773E">
        <w:rPr>
          <w:b/>
        </w:rPr>
        <w:t>[1]</w:t>
      </w:r>
      <w:r>
        <w:t xml:space="preserve">. Identify plasma cells as the brightest population and hematogones according to the measurement range of each platform </w:t>
      </w:r>
      <w:r w:rsidRPr="00FE773E">
        <w:rPr>
          <w:b/>
        </w:rPr>
        <w:t>[2]</w:t>
      </w:r>
      <w:r>
        <w:t>.</w:t>
      </w:r>
    </w:p>
    <w:p w14:paraId="00D07120" w14:textId="7777777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CD38 channel set based on CD38 bright populations.</w:t>
      </w:r>
    </w:p>
    <w:p w14:paraId="6036094A" w14:textId="7777777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plasma cells identified as the brightest population and hematogones identified according to the platform measurement range.</w:t>
      </w:r>
    </w:p>
    <w:p w14:paraId="7D6490CB" w14:textId="77777777" w:rsidR="000E2CEF" w:rsidRDefault="000E2CEF" w:rsidP="000E2CEF">
      <w:pPr>
        <w:pStyle w:val="Narration"/>
        <w:ind w:firstLine="0"/>
        <w:rPr>
          <w:lang w:eastAsia="en-IN"/>
        </w:rPr>
      </w:pPr>
    </w:p>
    <w:p w14:paraId="0597E231" w14:textId="23F88E36" w:rsidR="000E2CEF" w:rsidRDefault="00383F8D" w:rsidP="000E2CEF">
      <w:pPr>
        <w:pStyle w:val="Narration"/>
        <w:numPr>
          <w:ilvl w:val="1"/>
          <w:numId w:val="3"/>
        </w:numPr>
      </w:pPr>
      <w:r>
        <w:rPr>
          <w:lang w:eastAsia="en-IN"/>
        </w:rPr>
        <w:t>Then, d</w:t>
      </w:r>
      <w:r w:rsidRPr="00C93725">
        <w:rPr>
          <w:lang w:eastAsia="en-IN"/>
        </w:rPr>
        <w:t xml:space="preserve">efine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38-negative population P6 using the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fluorescence-minus-one approach validated by an isoclonic </w:t>
      </w:r>
      <w:r>
        <w:rPr>
          <w:lang w:eastAsia="en-IN"/>
        </w:rPr>
        <w:t>CD</w:t>
      </w:r>
      <w:r w:rsidRPr="00C93725">
        <w:rPr>
          <w:lang w:eastAsia="en-IN"/>
        </w:rPr>
        <w:t xml:space="preserve">38 control </w:t>
      </w:r>
      <w:r w:rsidRPr="00C93725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1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</w:t>
      </w:r>
      <w:r w:rsidR="000E2CEF">
        <w:t xml:space="preserve">Define P7, the CD34-positive and CD38-low population, using the hematogone-negative level </w:t>
      </w:r>
      <w:r w:rsidR="000E2CEF" w:rsidRPr="00FE773E">
        <w:rPr>
          <w:b/>
        </w:rPr>
        <w:t>[</w:t>
      </w:r>
      <w:r w:rsidR="000E2CEF">
        <w:rPr>
          <w:b/>
        </w:rPr>
        <w:t>2</w:t>
      </w:r>
      <w:r w:rsidR="000E2CEF" w:rsidRPr="00FE773E">
        <w:rPr>
          <w:b/>
        </w:rPr>
        <w:t>]</w:t>
      </w:r>
      <w:r w:rsidR="000E2CEF">
        <w:t>.</w:t>
      </w:r>
      <w:r w:rsidR="000E2CEF">
        <w:t xml:space="preserve"> </w:t>
      </w:r>
      <w:r w:rsidR="000E2CEF">
        <w:t xml:space="preserve">Define P8, the CD34 positive and CD38 high population, using the hematogone positivity level and plasma-cell negative level </w:t>
      </w:r>
      <w:r w:rsidR="000E2CEF" w:rsidRPr="00FE773E">
        <w:rPr>
          <w:b/>
        </w:rPr>
        <w:t>[</w:t>
      </w:r>
      <w:r w:rsidR="000E2CEF">
        <w:rPr>
          <w:b/>
        </w:rPr>
        <w:t>3</w:t>
      </w:r>
      <w:r w:rsidR="000E2CEF" w:rsidRPr="00FE773E">
        <w:rPr>
          <w:b/>
        </w:rPr>
        <w:t>]</w:t>
      </w:r>
      <w:r w:rsidR="000E2CEF">
        <w:t>.</w:t>
      </w:r>
    </w:p>
    <w:p w14:paraId="71C9B0B7" w14:textId="71E31A1C" w:rsidR="00881367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the P6 population being defined using the validated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 fluorescence-minus-one approach.</w:t>
      </w:r>
    </w:p>
    <w:p w14:paraId="6126A79A" w14:textId="7777777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P7 being defined using the hematogone negative level.</w:t>
      </w:r>
    </w:p>
    <w:p w14:paraId="370B618E" w14:textId="77777777" w:rsidR="000E2CEF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P8 being defined using the hematogone positivity level and plasma-cell negative level.</w:t>
      </w:r>
    </w:p>
    <w:p w14:paraId="4AAA537C" w14:textId="77777777" w:rsidR="000E2CEF" w:rsidRDefault="000E2CEF" w:rsidP="000E2CEF"/>
    <w:p w14:paraId="0351A028" w14:textId="1F90C9FD" w:rsidR="000E2CEF" w:rsidRDefault="000E2CEF" w:rsidP="000E2CEF">
      <w:pPr>
        <w:pStyle w:val="Narration"/>
        <w:numPr>
          <w:ilvl w:val="1"/>
          <w:numId w:val="3"/>
        </w:numPr>
      </w:pPr>
      <w:r>
        <w:t xml:space="preserve">Use the same </w:t>
      </w:r>
      <w:r>
        <w:t>CD38-negative threshold across the harmonized group, with</w:t>
      </w:r>
      <w:r>
        <w:t xml:space="preserve"> robust methods such as CD38 fluorescence minus one or an isoclonic CD38 control </w:t>
      </w:r>
      <w:r w:rsidRPr="00FE773E">
        <w:rPr>
          <w:b/>
        </w:rPr>
        <w:t>[1]</w:t>
      </w:r>
      <w:r>
        <w:t>.</w:t>
      </w:r>
    </w:p>
    <w:p w14:paraId="73977E20" w14:textId="77777777" w:rsidR="000E2CEF" w:rsidRPr="00FE773E" w:rsidRDefault="000E2CEF" w:rsidP="000E2CEF">
      <w:pPr>
        <w:pStyle w:val="ShotDescription"/>
        <w:numPr>
          <w:ilvl w:val="2"/>
          <w:numId w:val="3"/>
        </w:numPr>
      </w:pPr>
      <w:r w:rsidRPr="00BC5793">
        <w:rPr>
          <w:highlight w:val="yellow"/>
        </w:rPr>
        <w:t>SCREEN</w:t>
      </w:r>
      <w:r>
        <w:t>: Show the same CD38 negative threshold being applied across the harmonized group.</w:t>
      </w:r>
    </w:p>
    <w:p w14:paraId="59CC582E" w14:textId="77777777" w:rsidR="000E2CEF" w:rsidRPr="00C93725" w:rsidRDefault="000E2CEF" w:rsidP="000E2CEF">
      <w:pPr>
        <w:pStyle w:val="ShotDescription"/>
        <w:ind w:firstLine="0"/>
        <w:rPr>
          <w:lang w:val="en-IN" w:eastAsia="en-IN"/>
        </w:rPr>
      </w:pPr>
    </w:p>
    <w:p w14:paraId="618D4EF8" w14:textId="38C21232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lastRenderedPageBreak/>
        <w:t xml:space="preserve">Use at least one aberrant immunophenotype in the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34-positive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38-negative fraction to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>-enric</w:t>
      </w:r>
      <w:r w:rsidR="000E2CEF">
        <w:rPr>
          <w:lang w:eastAsia="en-IN"/>
        </w:rPr>
        <w:t>hment</w:t>
      </w:r>
      <w:r w:rsidRPr="00C93725">
        <w:rPr>
          <w:lang w:eastAsia="en-IN"/>
        </w:rPr>
        <w:t xml:space="preserve">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Include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markers or lineage markers </w:t>
      </w:r>
      <w:r w:rsidRPr="00C93725">
        <w:rPr>
          <w:b/>
          <w:bCs/>
          <w:lang w:eastAsia="en-IN"/>
        </w:rPr>
        <w:t>[2</w:t>
      </w:r>
      <w:r w:rsidR="000E2CEF">
        <w:rPr>
          <w:b/>
          <w:bCs/>
          <w:lang w:eastAsia="en-IN"/>
        </w:rPr>
        <w:t>-TXT</w:t>
      </w:r>
      <w:r w:rsidRPr="00C93725">
        <w:rPr>
          <w:b/>
          <w:bCs/>
          <w:lang w:eastAsia="en-IN"/>
        </w:rPr>
        <w:t>]</w:t>
      </w:r>
      <w:r w:rsidRPr="00C93725">
        <w:rPr>
          <w:lang w:eastAsia="en-IN"/>
        </w:rPr>
        <w:t>.</w:t>
      </w:r>
    </w:p>
    <w:p w14:paraId="051B6EEB" w14:textId="224B4460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 xml:space="preserve">: Show an aberrant immunophenotype being used in the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 xml:space="preserve">34-positive </w:t>
      </w:r>
      <w:r w:rsidR="00EB24D2">
        <w:rPr>
          <w:lang w:val="en-IN" w:eastAsia="en-IN"/>
        </w:rPr>
        <w:t>CD</w:t>
      </w:r>
      <w:r w:rsidRPr="00C93725">
        <w:rPr>
          <w:lang w:val="en-IN" w:eastAsia="en-IN"/>
        </w:rPr>
        <w:t>38-negative fraction.</w:t>
      </w:r>
    </w:p>
    <w:p w14:paraId="087AD34A" w14:textId="76D64D5E" w:rsidR="00881367" w:rsidRPr="000E2CEF" w:rsidRDefault="00881367" w:rsidP="00383F8D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and lineage markers included for analysis.</w:t>
      </w:r>
      <w:r w:rsidR="000E2CEF">
        <w:rPr>
          <w:lang w:val="en-IN" w:eastAsia="en-IN"/>
        </w:rPr>
        <w:t xml:space="preserve"> </w:t>
      </w:r>
      <w:r w:rsidR="000E2CEF" w:rsidRPr="000E2CEF">
        <w:rPr>
          <w:b/>
          <w:bCs/>
          <w:lang w:val="en-IN" w:eastAsia="en-IN"/>
        </w:rPr>
        <w:t xml:space="preserve">TXT: LSC markers: </w:t>
      </w:r>
      <w:r w:rsidR="000E2CEF" w:rsidRPr="000E2CEF">
        <w:rPr>
          <w:b/>
          <w:bCs/>
          <w:lang w:val="en-IN" w:eastAsia="en-IN"/>
        </w:rPr>
        <w:t xml:space="preserve">CLL1/TIM3/CD97/CD45RA/CD123 </w:t>
      </w:r>
    </w:p>
    <w:p w14:paraId="6E4004D2" w14:textId="70C7CB2E" w:rsidR="000E2CEF" w:rsidRDefault="000E2CEF" w:rsidP="000E2CEF">
      <w:pPr>
        <w:pStyle w:val="ShotDescription"/>
        <w:ind w:firstLine="0"/>
        <w:rPr>
          <w:b/>
          <w:bCs/>
          <w:lang w:val="en-IN" w:eastAsia="en-IN"/>
        </w:rPr>
      </w:pPr>
      <w:r w:rsidRPr="000E2CEF">
        <w:rPr>
          <w:b/>
          <w:bCs/>
          <w:lang w:val="en-IN" w:eastAsia="en-IN"/>
        </w:rPr>
        <w:t xml:space="preserve">Lineage markers: </w:t>
      </w:r>
      <w:r w:rsidRPr="000E2CEF">
        <w:rPr>
          <w:b/>
          <w:bCs/>
          <w:lang w:val="en-IN" w:eastAsia="en-IN"/>
        </w:rPr>
        <w:t>CD7/CD19/CD56/CD33</w:t>
      </w:r>
    </w:p>
    <w:p w14:paraId="61C2597A" w14:textId="77777777" w:rsidR="000E2CEF" w:rsidRPr="000E2CEF" w:rsidRDefault="000E2CEF" w:rsidP="000E2CEF">
      <w:pPr>
        <w:pStyle w:val="ShotDescription"/>
        <w:rPr>
          <w:b/>
          <w:bCs/>
          <w:lang w:val="en-IN" w:eastAsia="en-IN"/>
        </w:rPr>
      </w:pPr>
    </w:p>
    <w:p w14:paraId="6B086DE9" w14:textId="182A8258" w:rsidR="00881367" w:rsidRPr="00C93725" w:rsidRDefault="00881367" w:rsidP="00383F8D">
      <w:pPr>
        <w:pStyle w:val="Narration"/>
        <w:numPr>
          <w:ilvl w:val="1"/>
          <w:numId w:val="3"/>
        </w:numPr>
        <w:rPr>
          <w:lang w:eastAsia="en-IN"/>
        </w:rPr>
      </w:pPr>
      <w:r w:rsidRPr="00C93725">
        <w:rPr>
          <w:lang w:eastAsia="en-IN"/>
        </w:rPr>
        <w:t xml:space="preserve">Apply the assay sensitivity thresholds, with a limit of quantification of 10⁻⁴ and a limit of detection of 10⁻⁵ </w:t>
      </w:r>
      <w:r w:rsidRPr="00C93725">
        <w:rPr>
          <w:b/>
          <w:bCs/>
          <w:lang w:eastAsia="en-IN"/>
        </w:rPr>
        <w:t>[1]</w:t>
      </w:r>
      <w:r w:rsidRPr="00C93725">
        <w:rPr>
          <w:lang w:eastAsia="en-IN"/>
        </w:rPr>
        <w:t xml:space="preserve">. Define </w:t>
      </w:r>
      <w:r w:rsidR="000E2CEF">
        <w:rPr>
          <w:lang w:eastAsia="en-IN"/>
        </w:rPr>
        <w:t>LSC</w:t>
      </w:r>
      <w:r w:rsidRPr="00C93725">
        <w:rPr>
          <w:lang w:eastAsia="en-IN"/>
        </w:rPr>
        <w:t xml:space="preserve"> positivity at diagnosis as at least 1% of </w:t>
      </w:r>
      <w:r w:rsidR="00EB24D2">
        <w:rPr>
          <w:lang w:eastAsia="en-IN"/>
        </w:rPr>
        <w:t>CD</w:t>
      </w:r>
      <w:r w:rsidRPr="00C93725">
        <w:rPr>
          <w:lang w:eastAsia="en-IN"/>
        </w:rPr>
        <w:t xml:space="preserve">45 and side scatter blasts, and in </w:t>
      </w:r>
      <w:r w:rsidR="006E39D1" w:rsidRPr="00C93725">
        <w:rPr>
          <w:lang w:eastAsia="en-IN"/>
        </w:rPr>
        <w:t>MRD</w:t>
      </w:r>
      <w:r w:rsidRPr="00C93725">
        <w:rPr>
          <w:lang w:eastAsia="en-IN"/>
        </w:rPr>
        <w:t xml:space="preserve"> follow-up as at least 0.01% of white blood cells </w:t>
      </w:r>
      <w:r w:rsidRPr="00C93725">
        <w:rPr>
          <w:b/>
          <w:bCs/>
          <w:lang w:eastAsia="en-IN"/>
        </w:rPr>
        <w:t>[2]</w:t>
      </w:r>
      <w:r w:rsidRPr="00C93725">
        <w:rPr>
          <w:lang w:eastAsia="en-IN"/>
        </w:rPr>
        <w:t>.</w:t>
      </w:r>
      <w:r w:rsidR="000E2CEF">
        <w:rPr>
          <w:lang w:eastAsia="en-IN"/>
        </w:rPr>
        <w:t xml:space="preserve"> Finally, provide the harmonized clinical flow report </w:t>
      </w:r>
      <w:r w:rsidR="000E2CEF" w:rsidRPr="000E2CEF">
        <w:rPr>
          <w:b/>
          <w:bCs/>
          <w:lang w:eastAsia="en-IN"/>
        </w:rPr>
        <w:t>[</w:t>
      </w:r>
      <w:r w:rsidR="000E2CEF">
        <w:rPr>
          <w:b/>
          <w:bCs/>
          <w:lang w:eastAsia="en-IN"/>
        </w:rPr>
        <w:t>3</w:t>
      </w:r>
      <w:r w:rsidR="000E2CEF" w:rsidRPr="000E2CEF">
        <w:rPr>
          <w:b/>
          <w:bCs/>
          <w:lang w:eastAsia="en-IN"/>
        </w:rPr>
        <w:t>]</w:t>
      </w:r>
      <w:r w:rsidR="000E2CEF">
        <w:rPr>
          <w:lang w:eastAsia="en-IN"/>
        </w:rPr>
        <w:t>.</w:t>
      </w:r>
    </w:p>
    <w:p w14:paraId="3D6D6E0B" w14:textId="77777777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assay sensitivity thresholds being applied.</w:t>
      </w:r>
    </w:p>
    <w:p w14:paraId="2A237324" w14:textId="77777777" w:rsidR="00881367" w:rsidRPr="00C93725" w:rsidRDefault="00881367" w:rsidP="00383F8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C5793">
        <w:rPr>
          <w:highlight w:val="yellow"/>
          <w:lang w:val="en-IN" w:eastAsia="en-IN"/>
        </w:rPr>
        <w:t>SCREEN</w:t>
      </w:r>
      <w:r w:rsidRPr="00C93725">
        <w:rPr>
          <w:lang w:val="en-IN" w:eastAsia="en-IN"/>
        </w:rPr>
        <w:t>: Show the leukemic stem cell positivity thresholds being applied.</w:t>
      </w:r>
    </w:p>
    <w:p w14:paraId="2D04E912" w14:textId="77777777" w:rsidR="00881367" w:rsidRPr="00B0528C" w:rsidRDefault="00881367" w:rsidP="00881367"/>
    <w:p w14:paraId="1EE42691" w14:textId="787FD435" w:rsidR="00A319BE" w:rsidRDefault="00A319BE" w:rsidP="000E2CE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AFCF4B5" w:rsidR="00495959" w:rsidRPr="000F326F" w:rsidRDefault="00495959" w:rsidP="00383F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2"/>
      <w:commentRangeStart w:id="13"/>
      <w:r w:rsidRPr="00B07A3B">
        <w:rPr>
          <w:rFonts w:eastAsia="Times New Roman" w:cstheme="minorHAnsi"/>
          <w:b/>
        </w:rPr>
        <w:t xml:space="preserve">Please review this section </w:t>
      </w:r>
      <w:commentRangeEnd w:id="12"/>
      <w:r w:rsidR="00B0409C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2"/>
      </w:r>
      <w:commentRangeEnd w:id="13"/>
      <w:r w:rsidR="00BC5793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3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383F8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A1659E8" w14:textId="7BCC1E5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After applying the defined settings, the cell staining patterns overlapped across the 4 flow cytometer platforms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with the main difference being a translation of the cell clouds along the logarithmic scales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76841762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6. Video editor: Show the 4 platform panels side by side and highlight the matching cell pattern shapes across the plots.</w:t>
      </w:r>
    </w:p>
    <w:p w14:paraId="4481FF57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6. Video editor: Emphasize that the cell clouds appear shifted left or right between the platforms while keeping the same overall shape.</w:t>
      </w:r>
    </w:p>
    <w:p w14:paraId="4A2D8672" w14:textId="55F78490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wet external quality assessment showed reproducible distributions of %P6 </w:t>
      </w:r>
      <w:r>
        <w:rPr>
          <w:lang w:eastAsia="en-IN"/>
        </w:rPr>
        <w:t>CD34-positive CD38-negative</w:t>
      </w:r>
      <w:r w:rsidRPr="002631F9">
        <w:rPr>
          <w:lang w:eastAsia="en-IN"/>
        </w:rPr>
        <w:t xml:space="preserve"> cells in white blood cell CD45+ cells across the 5 assessment rounds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4F8B9516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7A. Video editor: Highlight the violin plots representing the 5 assessment rounds for %P6 CD34+CD38− cells.</w:t>
      </w:r>
    </w:p>
    <w:p w14:paraId="38E34662" w14:textId="0983C8E0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The wet external quality assessment showed reproducible distributions of % mononuclear cell CD34</w:t>
      </w:r>
      <w:r>
        <w:rPr>
          <w:lang w:eastAsia="en-IN"/>
        </w:rPr>
        <w:t>-positive</w:t>
      </w:r>
      <w:r w:rsidRPr="002631F9">
        <w:rPr>
          <w:lang w:eastAsia="en-IN"/>
        </w:rPr>
        <w:t xml:space="preserve"> cells in white blood cell CD45</w:t>
      </w:r>
      <w:r>
        <w:rPr>
          <w:lang w:eastAsia="en-IN"/>
        </w:rPr>
        <w:t xml:space="preserve"> positive</w:t>
      </w:r>
      <w:r w:rsidRPr="002631F9">
        <w:rPr>
          <w:lang w:eastAsia="en-IN"/>
        </w:rPr>
        <w:t xml:space="preserve"> cells across the 5 assessment rounds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020FEBD5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7B. Video editor: Highlight the violin plots representing the 5 assessment rounds for % mononuclear cell CD34+ cells.</w:t>
      </w:r>
    </w:p>
    <w:p w14:paraId="37D6EFC5" w14:textId="50B7B4B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More than 90% of the locally analyzed data were included within the centralized interval based on the series mean in DryEQA2017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and DryEQA2024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BB9248C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8A. Video editor: Highlight the participant results clustered around the central reference line in the DryEQA2017 graph.</w:t>
      </w:r>
    </w:p>
    <w:p w14:paraId="18BBE062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8B. Video editor: Highlight the participant results clustered around the central reference line in the DryEQA2024 graph.</w:t>
      </w:r>
    </w:p>
    <w:p w14:paraId="7A9BDB0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leukemia-associated immunophenotype cartography established at diagnosis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 was applied to the follow-up sample to quantify measurable residual disease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82F7E8E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lastRenderedPageBreak/>
        <w:t>LAB MEDIA: Figure 9A. Video editor: Highlight the black cell population marked as the leukemia-associated immunophenotype in the diagnosis panels.</w:t>
      </w:r>
    </w:p>
    <w:p w14:paraId="6116D8BD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9A. Video editor: Highlight the black measurable residual disease population in the follow-up panels.</w:t>
      </w:r>
    </w:p>
    <w:p w14:paraId="4485AB9E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different-from-normal approach identified abnormal cells in the areas not observed in normal bone marrow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5715A7E3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9B. Video editor: Highlight the boxed regions that are empty in the normal plots and contain black abnormal cells in the follow-up plots.</w:t>
      </w:r>
    </w:p>
    <w:p w14:paraId="74D680FC" w14:textId="358B062C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>The leukemic stem cell-enriched cells expressing the defined marker profile were identified at diagnosis within the CD34</w:t>
      </w:r>
      <w:r>
        <w:rPr>
          <w:lang w:eastAsia="en-IN"/>
        </w:rPr>
        <w:t xml:space="preserve">-positive </w:t>
      </w:r>
      <w:r w:rsidRPr="002631F9">
        <w:rPr>
          <w:lang w:eastAsia="en-IN"/>
        </w:rPr>
        <w:t>CD38</w:t>
      </w:r>
      <w:r>
        <w:rPr>
          <w:lang w:eastAsia="en-IN"/>
        </w:rPr>
        <w:t>-negative</w:t>
      </w:r>
      <w:r w:rsidRPr="002631F9">
        <w:rPr>
          <w:lang w:eastAsia="en-IN"/>
        </w:rPr>
        <w:t xml:space="preserve"> fraction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and the measurable residual disease leukemic stem cell-enriched cells with the same profile persisted at follow-up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641F355C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10A. Video editor: Highlight the orange cell population in the diagnosis sample.</w:t>
      </w:r>
    </w:p>
    <w:p w14:paraId="1C4F075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10B. Video editor: Highlight the orange cell population in the follow-up sample.</w:t>
      </w:r>
    </w:p>
    <w:p w14:paraId="1ED8F37D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limit of blank for leukemic stem cell detection was less than 0.0005%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corresponding to 14 events in the leukemic stem cell Boolean gate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0401D150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11A. Video editor: Highlight the value showing a limit of blank below 0.0005%.</w:t>
      </w:r>
    </w:p>
    <w:p w14:paraId="54C7A7CD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11A. Video editor: Highlight the boxed cluster labelled with 14 events.</w:t>
      </w:r>
    </w:p>
    <w:p w14:paraId="0A7D5717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leukemic stem cell-enriched cells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corresponding to a limit of quantification of 0.002%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0582CB40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11B. Video editor: Highlight the points aligned along the correlation line in the graph.</w:t>
      </w:r>
    </w:p>
    <w:p w14:paraId="05BC0B1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11B. Video editor: Highlight the value indicating a limit of quantification of 0.002%.</w:t>
      </w:r>
    </w:p>
    <w:p w14:paraId="1A01B3EB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t xml:space="preserve">The serial dilution of blasts with different leukemia-associated immunophenotypes showed a correlation between the measured measurable residual disease values and the theoretical values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 xml:space="preserve">, with a limit of quantification below 0.1% </w:t>
      </w:r>
      <w:r w:rsidRPr="002631F9">
        <w:rPr>
          <w:b/>
          <w:lang w:eastAsia="en-IN"/>
        </w:rPr>
        <w:t>[2]</w:t>
      </w:r>
      <w:r w:rsidRPr="002631F9">
        <w:rPr>
          <w:lang w:eastAsia="en-IN"/>
        </w:rPr>
        <w:t>.</w:t>
      </w:r>
    </w:p>
    <w:p w14:paraId="4E5FF3F2" w14:textId="77777777" w:rsidR="00BC5793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12A. Video editor: Highlight the data points following the trend line in the dilution graphs.</w:t>
      </w:r>
    </w:p>
    <w:p w14:paraId="521E5FE2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12A. Video editor: Highlight the area indicating a limit of quantification below 0.1%.</w:t>
      </w:r>
    </w:p>
    <w:p w14:paraId="72513A30" w14:textId="77777777" w:rsidR="00BC5793" w:rsidRDefault="00BC5793" w:rsidP="00BC5793">
      <w:pPr>
        <w:pStyle w:val="Narration"/>
        <w:numPr>
          <w:ilvl w:val="1"/>
          <w:numId w:val="3"/>
        </w:numPr>
        <w:rPr>
          <w:lang w:eastAsia="en-IN"/>
        </w:rPr>
      </w:pPr>
      <w:r w:rsidRPr="002631F9">
        <w:rPr>
          <w:lang w:eastAsia="en-IN"/>
        </w:rPr>
        <w:lastRenderedPageBreak/>
        <w:t xml:space="preserve">The limit of quantification reached the 0.1% clinical threshold for all tested leukemia-associated immunophenotypes </w:t>
      </w:r>
      <w:r w:rsidRPr="002631F9">
        <w:rPr>
          <w:b/>
          <w:lang w:eastAsia="en-IN"/>
        </w:rPr>
        <w:t>[1]</w:t>
      </w:r>
      <w:r w:rsidRPr="002631F9">
        <w:rPr>
          <w:lang w:eastAsia="en-IN"/>
        </w:rPr>
        <w:t>.</w:t>
      </w:r>
    </w:p>
    <w:p w14:paraId="31324284" w14:textId="77777777" w:rsidR="00BC5793" w:rsidRPr="002631F9" w:rsidRDefault="00BC5793" w:rsidP="00BC579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631F9">
        <w:rPr>
          <w:lang w:val="en-IN" w:eastAsia="en-IN"/>
        </w:rPr>
        <w:t>LAB MEDIA: Figure 12B. Video editor: Highlight the blue bars and the red horizontal line marking the 0.1% clinical threshold.</w:t>
      </w:r>
    </w:p>
    <w:p w14:paraId="702E9E30" w14:textId="77777777" w:rsidR="00BC5793" w:rsidRPr="002631F9" w:rsidRDefault="00BC5793" w:rsidP="00BC579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0F3882" w14:textId="77777777" w:rsidR="00BC5793" w:rsidRPr="009D12C2" w:rsidRDefault="00BC5793" w:rsidP="00BC579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C5793"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72" w:history="1">
        <w:r w:rsidRPr="00BC5793"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0C2FE45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4" w:name="_Hlk215154137"/>
      <w:bookmarkStart w:id="15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4"/>
    </w:p>
    <w:bookmarkEnd w:id="15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6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11" w:author="Poornima  G" w:date="2026-05-31T13:12:00Z" w:initials="PG">
    <w:p w14:paraId="1A15EDAF" w14:textId="77777777" w:rsidR="00EB24D2" w:rsidRDefault="00EB24D2" w:rsidP="00EB24D2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this is correct</w:t>
      </w:r>
    </w:p>
  </w:comment>
  <w:comment w:id="12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13" w:author="Poornima  G" w:date="2026-05-31T15:19:00Z" w:initials="PG">
    <w:p w14:paraId="73F584A3" w14:textId="77777777" w:rsidR="00BC5793" w:rsidRDefault="00BC5793" w:rsidP="00BC579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We need to delete any 2 steps that are not so important to be in the 200-word limit. Please let me know.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1A15EDAF" w15:done="0"/>
  <w15:commentEx w15:paraId="705E173F" w15:done="0"/>
  <w15:commentEx w15:paraId="73F584A3" w15:paraIdParent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5723AD35" w16cex:dateUtc="2026-05-31T07:42:00Z"/>
  <w16cex:commentExtensible w16cex:durableId="062E7539" w16cex:dateUtc="2026-04-30T09:22:00Z"/>
  <w16cex:commentExtensible w16cex:durableId="3D1EEF6A" w16cex:dateUtc="2026-05-31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1A15EDAF" w16cid:durableId="5723AD35"/>
  <w16cid:commentId w16cid:paraId="705E173F" w16cid:durableId="062E7539"/>
  <w16cid:commentId w16cid:paraId="73F584A3" w16cid:durableId="3D1EEF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E41F" w14:textId="77777777" w:rsidR="009722C8" w:rsidRDefault="009722C8">
      <w:r>
        <w:separator/>
      </w:r>
    </w:p>
    <w:p w14:paraId="031B56DA" w14:textId="77777777" w:rsidR="009722C8" w:rsidRDefault="009722C8"/>
  </w:endnote>
  <w:endnote w:type="continuationSeparator" w:id="0">
    <w:p w14:paraId="7EC9ACD2" w14:textId="77777777" w:rsidR="009722C8" w:rsidRDefault="009722C8">
      <w:r>
        <w:continuationSeparator/>
      </w:r>
    </w:p>
    <w:p w14:paraId="19F7EC40" w14:textId="77777777" w:rsidR="009722C8" w:rsidRDefault="009722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3FC7D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8136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F1505" w14:textId="77777777" w:rsidR="009722C8" w:rsidRDefault="009722C8">
      <w:r>
        <w:separator/>
      </w:r>
    </w:p>
    <w:p w14:paraId="5E265255" w14:textId="77777777" w:rsidR="009722C8" w:rsidRDefault="009722C8"/>
  </w:footnote>
  <w:footnote w:type="continuationSeparator" w:id="0">
    <w:p w14:paraId="256C381A" w14:textId="77777777" w:rsidR="009722C8" w:rsidRDefault="009722C8">
      <w:r>
        <w:continuationSeparator/>
      </w:r>
    </w:p>
    <w:p w14:paraId="43B10AFF" w14:textId="77777777" w:rsidR="009722C8" w:rsidRDefault="009722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6D9351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32453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1"/>
  </w:num>
  <w:num w:numId="43" w16cid:durableId="77024263">
    <w:abstractNumId w:val="17"/>
  </w:num>
  <w:num w:numId="44" w16cid:durableId="1024093089">
    <w:abstractNumId w:val="25"/>
  </w:num>
  <w:num w:numId="45" w16cid:durableId="222371026">
    <w:abstractNumId w:val="34"/>
  </w:num>
  <w:num w:numId="46" w16cid:durableId="1470514920">
    <w:abstractNumId w:val="23"/>
  </w:num>
  <w:num w:numId="47" w16cid:durableId="399057630">
    <w:abstractNumId w:val="2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1B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CE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3F8D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9D1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36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8D7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2C8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09C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793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725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4D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87C"/>
    <w:rsid w:val="00F917CF"/>
    <w:rsid w:val="00F95E8D"/>
    <w:rsid w:val="00FA1A9D"/>
    <w:rsid w:val="00FA532D"/>
    <w:rsid w:val="00FA7A79"/>
    <w:rsid w:val="00FA7D51"/>
    <w:rsid w:val="00FB3077"/>
    <w:rsid w:val="00FC3454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813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813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813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8136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813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813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tfournet@chu-besancon.fr" TargetMode="External"/><Relationship Id="rId21" Type="http://schemas.openxmlformats.org/officeDocument/2006/relationships/hyperlink" Target="mailto:cornet-e@chu-caen.fr" TargetMode="External"/><Relationship Id="rId42" Type="http://schemas.openxmlformats.org/officeDocument/2006/relationships/hyperlink" Target="mailto:delphine.manzoni@chu-lyon.fr" TargetMode="External"/><Relationship Id="rId47" Type="http://schemas.openxmlformats.org/officeDocument/2006/relationships/hyperlink" Target="mailto:HuRambaud@chu-angers.fr" TargetMode="External"/><Relationship Id="rId63" Type="http://schemas.openxmlformats.org/officeDocument/2006/relationships/hyperlink" Target="mailto:Claude.PREUDHOMME@CHU-LILLE.FR" TargetMode="External"/><Relationship Id="rId68" Type="http://schemas.openxmlformats.org/officeDocument/2006/relationships/comments" Target="comments.xml"/><Relationship Id="rId16" Type="http://schemas.openxmlformats.org/officeDocument/2006/relationships/hyperlink" Target="mailto:Elsa.Bera@chu-rouen.fr" TargetMode="External"/><Relationship Id="rId11" Type="http://schemas.openxmlformats.org/officeDocument/2006/relationships/hyperlink" Target="mailto:isabelle.arnoux@mail.ap-hm.fr" TargetMode="External"/><Relationship Id="rId32" Type="http://schemas.openxmlformats.org/officeDocument/2006/relationships/hyperlink" Target="mailto:Harrivel.Veronique@chu-amiens.fr" TargetMode="External"/><Relationship Id="rId37" Type="http://schemas.openxmlformats.org/officeDocument/2006/relationships/hyperlink" Target="mailto:v.cannard@chru-nancy.fr" TargetMode="External"/><Relationship Id="rId53" Type="http://schemas.openxmlformats.org/officeDocument/2006/relationships/hyperlink" Target="mailto:Vergez.Francois@iuct-oncopole.fr" TargetMode="External"/><Relationship Id="rId58" Type="http://schemas.openxmlformats.org/officeDocument/2006/relationships/hyperlink" Target="mailto:jaja.zhu@aphp.fr" TargetMode="External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mailto:Recher.Christian@iuct-oncopole.fr" TargetMode="External"/><Relationship Id="rId82" Type="http://schemas.openxmlformats.org/officeDocument/2006/relationships/theme" Target="theme/theme1.xml"/><Relationship Id="rId19" Type="http://schemas.openxmlformats.org/officeDocument/2006/relationships/hyperlink" Target="mailto:nicolas.chapuis@aphp.fr" TargetMode="External"/><Relationship Id="rId14" Type="http://schemas.openxmlformats.org/officeDocument/2006/relationships/hyperlink" Target="mailto:iole.oster@chu-lyon.fr" TargetMode="External"/><Relationship Id="rId22" Type="http://schemas.openxmlformats.org/officeDocument/2006/relationships/hyperlink" Target="mailto:ltdannus@chu-clermontferrand.fr" TargetMode="External"/><Relationship Id="rId27" Type="http://schemas.openxmlformats.org/officeDocument/2006/relationships/hyperlink" Target="mailto:fgarnache@chu-besancon.fr" TargetMode="External"/><Relationship Id="rId30" Type="http://schemas.openxmlformats.org/officeDocument/2006/relationships/hyperlink" Target="mailto:vgoncalves-monteiro@chu-reims.fr" TargetMode="External"/><Relationship Id="rId35" Type="http://schemas.openxmlformats.org/officeDocument/2006/relationships/hyperlink" Target="mailto:caroline.mayeurrousse@chu-nantes.fr" TargetMode="External"/><Relationship Id="rId43" Type="http://schemas.openxmlformats.org/officeDocument/2006/relationships/hyperlink" Target="mailto:aguirre.mimoun@chu-bordeaux.fr" TargetMode="External"/><Relationship Id="rId48" Type="http://schemas.openxmlformats.org/officeDocument/2006/relationships/hyperlink" Target="mailto:TRaskovalova@chu-grenoble.fr" TargetMode="External"/><Relationship Id="rId56" Type="http://schemas.openxmlformats.org/officeDocument/2006/relationships/hyperlink" Target="mailto:Manon.VOGRIG@chu-st-etienne.fr" TargetMode="External"/><Relationship Id="rId64" Type="http://schemas.openxmlformats.org/officeDocument/2006/relationships/hyperlink" Target="mailto:Christophe.ROUMIER@chu-lille.fr" TargetMode="External"/><Relationship Id="rId69" Type="http://schemas.microsoft.com/office/2011/relationships/commentsExtended" Target="commentsExtended.xml"/><Relationship Id="rId77" Type="http://schemas.openxmlformats.org/officeDocument/2006/relationships/header" Target="header3.xml"/><Relationship Id="rId8" Type="http://schemas.openxmlformats.org/officeDocument/2006/relationships/hyperlink" Target="mailto:adriana.plesa@chu-lyon.fr" TargetMode="External"/><Relationship Id="rId51" Type="http://schemas.openxmlformats.org/officeDocument/2006/relationships/hyperlink" Target="mailto:SCIORTINOD@ipc.unicancer.fr" TargetMode="External"/><Relationship Id="rId72" Type="http://schemas.openxmlformats.org/officeDocument/2006/relationships/hyperlink" Target="https://www.youtube.com/watch?v=Y67dM1kKcTE" TargetMode="External"/><Relationship Id="rId80" Type="http://schemas.microsoft.com/office/2011/relationships/people" Target="people.xml"/><Relationship Id="rId3" Type="http://schemas.openxmlformats.org/officeDocument/2006/relationships/settings" Target="settings.xml"/><Relationship Id="rId12" Type="http://schemas.openxmlformats.org/officeDocument/2006/relationships/hyperlink" Target="mailto:veronique.saada@igr.fr" TargetMode="External"/><Relationship Id="rId17" Type="http://schemas.openxmlformats.org/officeDocument/2006/relationships/hyperlink" Target="mailto:ebonneville@chu-grenoble.fr" TargetMode="External"/><Relationship Id="rId25" Type="http://schemas.openxmlformats.org/officeDocument/2006/relationships/hyperlink" Target="mailto:jean.feuillard@unilim.fr" TargetMode="External"/><Relationship Id="rId33" Type="http://schemas.openxmlformats.org/officeDocument/2006/relationships/hyperlink" Target="mailto:hemar-c@ch-valenciennes.fr" TargetMode="External"/><Relationship Id="rId38" Type="http://schemas.openxmlformats.org/officeDocument/2006/relationships/hyperlink" Target="mailto:magali.legarff@aphp.fr" TargetMode="External"/><Relationship Id="rId46" Type="http://schemas.openxmlformats.org/officeDocument/2006/relationships/hyperlink" Target="mailto:vraggueneau@ch-versailles.fr" TargetMode="External"/><Relationship Id="rId59" Type="http://schemas.openxmlformats.org/officeDocument/2006/relationships/hyperlink" Target="mailto:karine.cellilebras@alfa-leukemia.org" TargetMode="External"/><Relationship Id="rId67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hyperlink" Target="mailto:clementine.chauvel@aphp.fr" TargetMode="External"/><Relationship Id="rId41" Type="http://schemas.openxmlformats.org/officeDocument/2006/relationships/hyperlink" Target="mailto:LHOUMEAUAC@ipc.unicancer.fr" TargetMode="External"/><Relationship Id="rId54" Type="http://schemas.openxmlformats.org/officeDocument/2006/relationships/hyperlink" Target="mailto:rveyrat@chu-clermontferrand.fr" TargetMode="External"/><Relationship Id="rId62" Type="http://schemas.openxmlformats.org/officeDocument/2006/relationships/hyperlink" Target="mailto:herve.dombret@mac.com" TargetMode="External"/><Relationship Id="rId70" Type="http://schemas.microsoft.com/office/2016/09/relationships/commentsIds" Target="commentsIds.xml"/><Relationship Id="rId75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bouchra.badaoui@aphp.fr" TargetMode="External"/><Relationship Id="rId23" Type="http://schemas.openxmlformats.org/officeDocument/2006/relationships/hyperlink" Target="mailto:camille.debord@chu-nantes.fr" TargetMode="External"/><Relationship Id="rId28" Type="http://schemas.openxmlformats.org/officeDocument/2006/relationships/hyperlink" Target="mailto:FrGenevieve@chu-angers.fr" TargetMode="External"/><Relationship Id="rId36" Type="http://schemas.openxmlformats.org/officeDocument/2006/relationships/hyperlink" Target="mailto:helene.lapillonne@aphp.fr" TargetMode="External"/><Relationship Id="rId49" Type="http://schemas.openxmlformats.org/officeDocument/2006/relationships/hyperlink" Target="mailto:aroggy@chu-besancon.fr" TargetMode="External"/><Relationship Id="rId57" Type="http://schemas.openxmlformats.org/officeDocument/2006/relationships/hyperlink" Target="mailto:orianne.wagnerballon@aphp.fr" TargetMode="External"/><Relationship Id="rId10" Type="http://schemas.openxmlformats.org/officeDocument/2006/relationships/hyperlink" Target="mailto:stephanie.mathis@aphp.fr" TargetMode="External"/><Relationship Id="rId31" Type="http://schemas.openxmlformats.org/officeDocument/2006/relationships/hyperlink" Target="mailto:julien.guy@chu-dijon.fr" TargetMode="External"/><Relationship Id="rId44" Type="http://schemas.openxmlformats.org/officeDocument/2006/relationships/hyperlink" Target="mailto:Vanessa.NIVAGGIONI@ap-hm.fr" TargetMode="External"/><Relationship Id="rId52" Type="http://schemas.openxmlformats.org/officeDocument/2006/relationships/hyperlink" Target="mailto:Valerie.SOENEN@%20chu-lille.fr%20" TargetMode="External"/><Relationship Id="rId60" Type="http://schemas.openxmlformats.org/officeDocument/2006/relationships/hyperlink" Target="mailto:raphael.itzykson@aphp.fr" TargetMode="External"/><Relationship Id="rId65" Type="http://schemas.openxmlformats.org/officeDocument/2006/relationships/hyperlink" Target="mailto:adriana.plesa@chu-lyon.fr" TargetMode="Externa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8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florent.dumezy@chu-lille.fr" TargetMode="External"/><Relationship Id="rId13" Type="http://schemas.openxmlformats.org/officeDocument/2006/relationships/hyperlink" Target="mailto:valerie.bardet@aphp.fr" TargetMode="External"/><Relationship Id="rId18" Type="http://schemas.openxmlformats.org/officeDocument/2006/relationships/hyperlink" Target="mailto:boutheina.bouslama@aphp.fr" TargetMode="External"/><Relationship Id="rId39" Type="http://schemas.openxmlformats.org/officeDocument/2006/relationships/hyperlink" Target="mailto:pierre.lemaire@aphp.fr" TargetMode="External"/><Relationship Id="rId34" Type="http://schemas.openxmlformats.org/officeDocument/2006/relationships/hyperlink" Target="mailto:Cassandra.JADEAU@chu-limoges.fr" TargetMode="External"/><Relationship Id="rId50" Type="http://schemas.openxmlformats.org/officeDocument/2006/relationships/hyperlink" Target="mailto:Mikael.ROUSSEL@chu-rennes.fr" TargetMode="External"/><Relationship Id="rId55" Type="http://schemas.openxmlformats.org/officeDocument/2006/relationships/hyperlink" Target="mailto:jean-philippe.vial@chu-bordeaux.fr" TargetMode="External"/><Relationship Id="rId76" Type="http://schemas.openxmlformats.org/officeDocument/2006/relationships/footer" Target="footer2.xml"/><Relationship Id="rId7" Type="http://schemas.openxmlformats.org/officeDocument/2006/relationships/hyperlink" Target="https://review.jove.com/account/file-uploader?src=21747768" TargetMode="External"/><Relationship Id="rId71" Type="http://schemas.microsoft.com/office/2018/08/relationships/commentsExtensible" Target="commentsExtensible.xml"/><Relationship Id="rId2" Type="http://schemas.openxmlformats.org/officeDocument/2006/relationships/styles" Target="styles.xml"/><Relationship Id="rId29" Type="http://schemas.openxmlformats.org/officeDocument/2006/relationships/hyperlink" Target="mailto:D.GERARD@chru-nancy.fr" TargetMode="External"/><Relationship Id="rId24" Type="http://schemas.openxmlformats.org/officeDocument/2006/relationships/hyperlink" Target="mailto:frederic.feger@aphp.fr" TargetMode="External"/><Relationship Id="rId40" Type="http://schemas.openxmlformats.org/officeDocument/2006/relationships/hyperlink" Target="mailto:remi.letestu@aphp.fr" TargetMode="External"/><Relationship Id="rId45" Type="http://schemas.openxmlformats.org/officeDocument/2006/relationships/hyperlink" Target="mailto:josman@ch-versailles.fr" TargetMode="External"/><Relationship Id="rId66" Type="http://schemas.openxmlformats.org/officeDocument/2006/relationships/hyperlink" Target="https://obsproject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F5C2F1BA1A3432293873E34EEE87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D26E7-415B-4E98-B2B5-7725EDBCA9AA}"/>
      </w:docPartPr>
      <w:docPartBody>
        <w:p w:rsidR="00000000" w:rsidRDefault="003C3586" w:rsidP="003C3586">
          <w:pPr>
            <w:pStyle w:val="3F5C2F1BA1A3432293873E34EEE8760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37E1FAAB24146F08721AF4BD314A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09BCE-CF1C-4054-B0DA-35C118C1120B}"/>
      </w:docPartPr>
      <w:docPartBody>
        <w:p w:rsidR="00000000" w:rsidRDefault="003C3586" w:rsidP="003C3586">
          <w:pPr>
            <w:pStyle w:val="737E1FAAB24146F08721AF4BD314A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7A16F800DC4477C8F5ECE5FEC4F6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F3B0F-E9F5-4D65-B3ED-98F19E30D8B3}"/>
      </w:docPartPr>
      <w:docPartBody>
        <w:p w:rsidR="00000000" w:rsidRDefault="003C3586" w:rsidP="003C3586">
          <w:pPr>
            <w:pStyle w:val="B7A16F800DC4477C8F5ECE5FEC4F6A4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F72403890A24C9A946F90EBB55DA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06390-9F4C-47F5-B800-F71FC54DA44F}"/>
      </w:docPartPr>
      <w:docPartBody>
        <w:p w:rsidR="00000000" w:rsidRDefault="003C3586" w:rsidP="003C3586">
          <w:pPr>
            <w:pStyle w:val="1F72403890A24C9A946F90EBB55DA85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31B4"/>
    <w:rsid w:val="00094D84"/>
    <w:rsid w:val="000C2304"/>
    <w:rsid w:val="000F2676"/>
    <w:rsid w:val="001015C9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3586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720A7DACCD3405D92F0C654686E02E8">
    <w:name w:val="2720A7DACCD3405D92F0C654686E02E8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F5C2F1BA1A3432293873E34EEE8760A">
    <w:name w:val="3F5C2F1BA1A3432293873E34EEE8760A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0687F9F996469FA236B52331098373">
    <w:name w:val="D90687F9F996469FA236B52331098373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37E1FAAB24146F08721AF4BD314A7A1">
    <w:name w:val="737E1FAAB24146F08721AF4BD314A7A1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A16F800DC4477C8F5ECE5FEC4F6A4F">
    <w:name w:val="B7A16F800DC4477C8F5ECE5FEC4F6A4F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F72403890A24C9A946F90EBB55DA850">
    <w:name w:val="1F72403890A24C9A946F90EBB55DA850"/>
    <w:rsid w:val="003C358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21</Pages>
  <Words>4595</Words>
  <Characters>28308</Characters>
  <Application>Microsoft Office Word</Application>
  <DocSecurity>0</DocSecurity>
  <Lines>456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32806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67</cp:revision>
  <dcterms:created xsi:type="dcterms:W3CDTF">2025-01-20T00:16:00Z</dcterms:created>
  <dcterms:modified xsi:type="dcterms:W3CDTF">2026-05-31T09:53:00Z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