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8E1E9" w14:textId="77777777" w:rsidR="00BE1D3D" w:rsidRDefault="00000000">
      <w:pPr>
        <w:adjustRightInd w:val="0"/>
        <w:snapToGrid w:val="0"/>
        <w:spacing w:after="0" w:line="240" w:lineRule="auto"/>
        <w:rPr>
          <w:rFonts w:ascii="Calibri" w:hAnsi="Calibri" w:cs="Calibri"/>
          <w:b/>
          <w:bCs/>
          <w:sz w:val="24"/>
        </w:rPr>
      </w:pPr>
      <w:bookmarkStart w:id="0" w:name="_Hlk209729708"/>
      <w:bookmarkEnd w:id="0"/>
      <w:r>
        <w:rPr>
          <w:rFonts w:ascii="Calibri" w:hAnsi="Calibri" w:cs="Calibri"/>
          <w:b/>
          <w:bCs/>
          <w:sz w:val="24"/>
        </w:rPr>
        <w:t>TITLE:</w:t>
      </w:r>
    </w:p>
    <w:p w14:paraId="478F8022" w14:textId="5417FA2E"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Coupling Intracellular Gemcitabine Quantification with Bioluminescence Imaging to Visualize Pharmacokinetic</w:t>
      </w:r>
      <w:r w:rsidR="00F171B5" w:rsidRPr="00F171B5">
        <w:rPr>
          <w:rFonts w:ascii="Calibri" w:eastAsia="宋体" w:hAnsi="Calibri" w:cs="Calibri"/>
          <w:sz w:val="24"/>
          <w14:ligatures w14:val="none"/>
        </w:rPr>
        <w:t>–</w:t>
      </w:r>
      <w:r>
        <w:rPr>
          <w:rFonts w:ascii="Calibri" w:eastAsia="宋体" w:hAnsi="Calibri" w:cs="Calibri" w:hint="eastAsia"/>
          <w:sz w:val="24"/>
          <w14:ligatures w14:val="none"/>
        </w:rPr>
        <w:t>Pharmacodynamic Relationships in Pancreatic Cancer Models</w:t>
      </w:r>
    </w:p>
    <w:p w14:paraId="6733860B" w14:textId="77777777" w:rsidR="00BE1D3D" w:rsidRDefault="00BE1D3D">
      <w:pPr>
        <w:autoSpaceDE w:val="0"/>
        <w:adjustRightInd w:val="0"/>
        <w:snapToGrid w:val="0"/>
        <w:spacing w:after="0" w:line="240" w:lineRule="auto"/>
        <w:jc w:val="both"/>
        <w:rPr>
          <w:rFonts w:ascii="Calibri" w:eastAsia="宋体" w:hAnsi="Calibri" w:cs="Calibri"/>
          <w:b/>
          <w:bCs/>
          <w:sz w:val="28"/>
          <w:szCs w:val="28"/>
          <w14:ligatures w14:val="none"/>
        </w:rPr>
      </w:pPr>
    </w:p>
    <w:p w14:paraId="3EAA5134" w14:textId="77777777" w:rsidR="00BE1D3D" w:rsidRDefault="00000000">
      <w:pPr>
        <w:adjustRightInd w:val="0"/>
        <w:snapToGrid w:val="0"/>
        <w:spacing w:after="0" w:line="240" w:lineRule="auto"/>
        <w:rPr>
          <w:rFonts w:ascii="Calibri" w:hAnsi="Calibri" w:cs="Calibri"/>
          <w:b/>
          <w:bCs/>
          <w:sz w:val="24"/>
        </w:rPr>
      </w:pPr>
      <w:r>
        <w:rPr>
          <w:rFonts w:ascii="Calibri" w:hAnsi="Calibri" w:cs="Calibri"/>
          <w:b/>
          <w:bCs/>
          <w:sz w:val="24"/>
        </w:rPr>
        <w:t>AUTHORS AND AFFILIATIONS:</w:t>
      </w:r>
    </w:p>
    <w:p w14:paraId="26F9FF60" w14:textId="77777777" w:rsidR="00BE1D3D" w:rsidRDefault="00000000">
      <w:pPr>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Xinyu Gao</w:t>
      </w:r>
      <w:proofErr w:type="gramStart"/>
      <w:r>
        <w:rPr>
          <w:rFonts w:ascii="Calibri" w:eastAsia="宋体" w:hAnsi="Calibri" w:cs="Calibri" w:hint="eastAsia"/>
          <w:sz w:val="24"/>
          <w:vertAlign w:val="superscript"/>
          <w14:ligatures w14:val="none"/>
        </w:rPr>
        <w:t>1,*</w:t>
      </w:r>
      <w:proofErr w:type="gramEnd"/>
      <w:r>
        <w:rPr>
          <w:rFonts w:ascii="Calibri" w:eastAsia="宋体" w:hAnsi="Calibri" w:cs="Calibri" w:hint="eastAsia"/>
          <w:sz w:val="24"/>
          <w14:ligatures w14:val="none"/>
        </w:rPr>
        <w:t>, Wenbin Wang</w:t>
      </w:r>
      <w:proofErr w:type="gramStart"/>
      <w:r>
        <w:rPr>
          <w:rFonts w:ascii="Calibri" w:eastAsia="宋体" w:hAnsi="Calibri" w:cs="Calibri" w:hint="eastAsia"/>
          <w:sz w:val="24"/>
          <w:vertAlign w:val="superscript"/>
          <w14:ligatures w14:val="none"/>
        </w:rPr>
        <w:t>1,*</w:t>
      </w:r>
      <w:proofErr w:type="gramEnd"/>
      <w:r>
        <w:rPr>
          <w:rFonts w:ascii="Calibri" w:eastAsia="宋体" w:hAnsi="Calibri" w:cs="Calibri" w:hint="eastAsia"/>
          <w:sz w:val="24"/>
          <w14:ligatures w14:val="none"/>
        </w:rPr>
        <w:t xml:space="preserve">, </w:t>
      </w:r>
      <w:proofErr w:type="spellStart"/>
      <w:r>
        <w:rPr>
          <w:rFonts w:ascii="Calibri" w:eastAsia="宋体" w:hAnsi="Calibri" w:cs="Calibri" w:hint="eastAsia"/>
          <w:sz w:val="24"/>
          <w14:ligatures w14:val="none"/>
        </w:rPr>
        <w:t>Ruiying</w:t>
      </w:r>
      <w:proofErr w:type="spellEnd"/>
      <w:r>
        <w:rPr>
          <w:rFonts w:ascii="Calibri" w:eastAsia="宋体" w:hAnsi="Calibri" w:cs="Calibri" w:hint="eastAsia"/>
          <w:sz w:val="24"/>
          <w14:ligatures w14:val="none"/>
        </w:rPr>
        <w:t xml:space="preserve"> Zhang</w:t>
      </w:r>
      <w:r>
        <w:rPr>
          <w:rFonts w:ascii="Calibri" w:eastAsia="宋体" w:hAnsi="Calibri" w:cs="Calibri" w:hint="eastAsia"/>
          <w:sz w:val="24"/>
          <w:vertAlign w:val="superscript"/>
          <w14:ligatures w14:val="none"/>
        </w:rPr>
        <w:t>4</w:t>
      </w:r>
      <w:r>
        <w:rPr>
          <w:rFonts w:ascii="Calibri" w:eastAsia="宋体" w:hAnsi="Calibri" w:cs="Calibri" w:hint="eastAsia"/>
          <w:sz w:val="24"/>
          <w14:ligatures w14:val="none"/>
        </w:rPr>
        <w:t>, Xinyu Wang</w:t>
      </w:r>
      <w:r>
        <w:rPr>
          <w:rFonts w:ascii="Calibri" w:eastAsia="宋体" w:hAnsi="Calibri" w:cs="Calibri" w:hint="eastAsia"/>
          <w:sz w:val="24"/>
          <w:vertAlign w:val="superscript"/>
          <w14:ligatures w14:val="none"/>
        </w:rPr>
        <w:t>1</w:t>
      </w:r>
      <w:r>
        <w:rPr>
          <w:rFonts w:ascii="Calibri" w:eastAsia="宋体" w:hAnsi="Calibri" w:cs="Calibri" w:hint="eastAsia"/>
          <w:sz w:val="24"/>
          <w14:ligatures w14:val="none"/>
        </w:rPr>
        <w:t>, Fangping Wu</w:t>
      </w:r>
      <w:r>
        <w:rPr>
          <w:rFonts w:ascii="Calibri" w:eastAsia="宋体" w:hAnsi="Calibri" w:cs="Calibri" w:hint="eastAsia"/>
          <w:sz w:val="24"/>
          <w:vertAlign w:val="superscript"/>
          <w14:ligatures w14:val="none"/>
        </w:rPr>
        <w:t>1</w:t>
      </w:r>
      <w:r>
        <w:rPr>
          <w:rFonts w:ascii="Calibri" w:eastAsia="宋体" w:hAnsi="Calibri" w:cs="Calibri" w:hint="eastAsia"/>
          <w:sz w:val="24"/>
          <w14:ligatures w14:val="none"/>
        </w:rPr>
        <w:t>, Kaidi Chen</w:t>
      </w:r>
      <w:r>
        <w:rPr>
          <w:rFonts w:ascii="Calibri" w:eastAsia="宋体" w:hAnsi="Calibri" w:cs="Calibri" w:hint="eastAsia"/>
          <w:sz w:val="24"/>
          <w:vertAlign w:val="superscript"/>
          <w14:ligatures w14:val="none"/>
        </w:rPr>
        <w:t>1</w:t>
      </w:r>
      <w:r>
        <w:rPr>
          <w:rFonts w:ascii="Calibri" w:eastAsia="宋体" w:hAnsi="Calibri" w:cs="Calibri" w:hint="eastAsia"/>
          <w:sz w:val="24"/>
          <w14:ligatures w14:val="none"/>
        </w:rPr>
        <w:t xml:space="preserve">, </w:t>
      </w:r>
      <w:proofErr w:type="spellStart"/>
      <w:r>
        <w:rPr>
          <w:rFonts w:ascii="Calibri" w:eastAsia="宋体" w:hAnsi="Calibri" w:cs="Calibri" w:hint="eastAsia"/>
          <w:sz w:val="24"/>
          <w14:ligatures w14:val="none"/>
        </w:rPr>
        <w:t>Mancang</w:t>
      </w:r>
      <w:proofErr w:type="spellEnd"/>
      <w:r>
        <w:rPr>
          <w:rFonts w:ascii="Calibri" w:eastAsia="宋体" w:hAnsi="Calibri" w:cs="Calibri" w:hint="eastAsia"/>
          <w:sz w:val="24"/>
          <w14:ligatures w14:val="none"/>
        </w:rPr>
        <w:t xml:space="preserve"> Gu</w:t>
      </w:r>
      <w:r>
        <w:rPr>
          <w:rFonts w:ascii="Calibri" w:eastAsia="宋体" w:hAnsi="Calibri" w:cs="Calibri" w:hint="eastAsia"/>
          <w:sz w:val="24"/>
          <w:vertAlign w:val="superscript"/>
          <w14:ligatures w14:val="none"/>
        </w:rPr>
        <w:t>1,2,3</w:t>
      </w:r>
    </w:p>
    <w:p w14:paraId="5FC6C44A" w14:textId="77777777" w:rsidR="00BE1D3D" w:rsidRDefault="00000000">
      <w:pPr>
        <w:adjustRightInd w:val="0"/>
        <w:snapToGrid w:val="0"/>
        <w:spacing w:after="0" w:line="240" w:lineRule="auto"/>
        <w:rPr>
          <w:rFonts w:ascii="Calibri" w:hAnsi="Calibri" w:cs="Calibri"/>
          <w:sz w:val="24"/>
        </w:rPr>
      </w:pPr>
      <w:r>
        <w:rPr>
          <w:rFonts w:ascii="Calibri" w:hAnsi="Calibri" w:cs="Calibri"/>
          <w:sz w:val="24"/>
          <w:vertAlign w:val="superscript"/>
        </w:rPr>
        <w:t>1</w:t>
      </w:r>
      <w:r>
        <w:rPr>
          <w:rFonts w:ascii="Calibri" w:hAnsi="Calibri" w:cs="Calibri"/>
          <w:sz w:val="24"/>
        </w:rPr>
        <w:t>School of Pharmaceutical Sciences, Zhejiang Chinese Medical University, Hangzhou, Zhejiang, PR China</w:t>
      </w:r>
    </w:p>
    <w:p w14:paraId="6765307C" w14:textId="77777777" w:rsidR="00BE1D3D" w:rsidRDefault="00000000">
      <w:pPr>
        <w:adjustRightInd w:val="0"/>
        <w:snapToGrid w:val="0"/>
        <w:spacing w:after="0" w:line="240" w:lineRule="auto"/>
        <w:rPr>
          <w:rFonts w:ascii="Calibri" w:hAnsi="Calibri" w:cs="Calibri"/>
          <w:sz w:val="24"/>
        </w:rPr>
      </w:pPr>
      <w:r>
        <w:rPr>
          <w:rFonts w:ascii="Calibri" w:hAnsi="Calibri" w:cs="Calibri" w:hint="eastAsia"/>
          <w:sz w:val="24"/>
          <w:vertAlign w:val="superscript"/>
        </w:rPr>
        <w:t>2</w:t>
      </w:r>
      <w:r>
        <w:rPr>
          <w:rFonts w:ascii="Calibri" w:hAnsi="Calibri" w:cs="Calibri"/>
          <w:sz w:val="24"/>
        </w:rPr>
        <w:t>Academy of Chinese Medical Sciences, Zhejiang Chinese Medical University, Hangzhou, Zhejiang, PR China</w:t>
      </w:r>
    </w:p>
    <w:p w14:paraId="3001EA93" w14:textId="77777777" w:rsidR="00BE1D3D" w:rsidRDefault="00000000">
      <w:pPr>
        <w:adjustRightInd w:val="0"/>
        <w:snapToGrid w:val="0"/>
        <w:spacing w:after="0" w:line="240" w:lineRule="auto"/>
        <w:rPr>
          <w:rFonts w:ascii="Calibri" w:hAnsi="Calibri" w:cs="Calibri"/>
          <w:sz w:val="24"/>
        </w:rPr>
      </w:pPr>
      <w:r>
        <w:rPr>
          <w:rFonts w:ascii="Calibri" w:hAnsi="Calibri" w:cs="Calibri" w:hint="eastAsia"/>
          <w:sz w:val="24"/>
          <w:vertAlign w:val="superscript"/>
        </w:rPr>
        <w:t>3</w:t>
      </w:r>
      <w:r>
        <w:rPr>
          <w:rFonts w:ascii="Calibri" w:hAnsi="Calibri" w:cs="Calibri"/>
          <w:sz w:val="24"/>
        </w:rPr>
        <w:t>Institute for Innovation in Modern Traditional Chinese Medicine, The First Affiliated Hospital of Zhejiang Chinese Medical University, Zhejiang Provincial Hospital of Traditional Chinese Medicine, Hangzhou, Zhejiang, PR China</w:t>
      </w:r>
    </w:p>
    <w:p w14:paraId="5490E7F6" w14:textId="77777777" w:rsidR="00BE1D3D" w:rsidRDefault="00000000">
      <w:pPr>
        <w:adjustRightInd w:val="0"/>
        <w:snapToGrid w:val="0"/>
        <w:spacing w:after="0" w:line="240" w:lineRule="auto"/>
        <w:rPr>
          <w:rFonts w:ascii="Calibri" w:hAnsi="Calibri" w:cs="Calibri"/>
          <w:sz w:val="24"/>
        </w:rPr>
      </w:pPr>
      <w:r>
        <w:rPr>
          <w:rFonts w:ascii="Calibri" w:hAnsi="Calibri" w:cs="Calibri" w:hint="eastAsia"/>
          <w:sz w:val="24"/>
          <w:vertAlign w:val="superscript"/>
        </w:rPr>
        <w:t>4</w:t>
      </w:r>
      <w:r>
        <w:rPr>
          <w:rFonts w:ascii="Calibri" w:hAnsi="Calibri" w:cs="Calibri" w:hint="eastAsia"/>
          <w:sz w:val="24"/>
        </w:rPr>
        <w:t>School of Basic Medical Sciences, Guangzhou University of Chinese Medicine, Guangzhou 510006, China</w:t>
      </w:r>
    </w:p>
    <w:p w14:paraId="561FAB0C" w14:textId="77777777" w:rsidR="00BE1D3D" w:rsidRDefault="00BE1D3D">
      <w:pPr>
        <w:adjustRightInd w:val="0"/>
        <w:snapToGrid w:val="0"/>
        <w:spacing w:after="0" w:line="240" w:lineRule="auto"/>
        <w:rPr>
          <w:rFonts w:ascii="Calibri" w:hAnsi="Calibri" w:cs="Calibri"/>
          <w:sz w:val="24"/>
        </w:rPr>
      </w:pPr>
    </w:p>
    <w:p w14:paraId="17F1CDAB" w14:textId="77777777" w:rsidR="00BE1D3D" w:rsidRDefault="00000000">
      <w:pPr>
        <w:adjustRightInd w:val="0"/>
        <w:snapToGrid w:val="0"/>
        <w:spacing w:after="0" w:line="240" w:lineRule="auto"/>
        <w:rPr>
          <w:rFonts w:ascii="Calibri" w:hAnsi="Calibri" w:cs="Calibri"/>
          <w:sz w:val="24"/>
        </w:rPr>
      </w:pPr>
      <w:r>
        <w:rPr>
          <w:rFonts w:ascii="Calibri" w:hAnsi="Calibri" w:cs="Calibri"/>
          <w:sz w:val="24"/>
        </w:rPr>
        <w:t>Email addresses of authors:</w:t>
      </w:r>
    </w:p>
    <w:p w14:paraId="326BD896" w14:textId="77777777" w:rsidR="00BE1D3D" w:rsidRDefault="00000000">
      <w:pPr>
        <w:adjustRightInd w:val="0"/>
        <w:snapToGrid w:val="0"/>
        <w:spacing w:after="0" w:line="240" w:lineRule="auto"/>
        <w:rPr>
          <w:rFonts w:ascii="Calibri" w:hAnsi="Calibri" w:cs="Calibri"/>
          <w:sz w:val="24"/>
        </w:rPr>
      </w:pPr>
      <w:r>
        <w:rPr>
          <w:rFonts w:ascii="Calibri" w:eastAsia="宋体" w:hAnsi="Calibri" w:cs="Calibri" w:hint="eastAsia"/>
          <w:sz w:val="24"/>
          <w14:ligatures w14:val="none"/>
        </w:rPr>
        <w:t>Xinyu Gao</w:t>
      </w:r>
      <w:r>
        <w:rPr>
          <w:rFonts w:ascii="Calibri" w:hAnsi="Calibri" w:cs="Calibri"/>
          <w:sz w:val="24"/>
        </w:rPr>
        <w:tab/>
      </w:r>
      <w:r>
        <w:rPr>
          <w:rFonts w:ascii="Calibri" w:hAnsi="Calibri" w:cs="Calibri"/>
          <w:sz w:val="24"/>
        </w:rPr>
        <w:tab/>
        <w:t>(</w:t>
      </w:r>
      <w:r>
        <w:rPr>
          <w:rFonts w:ascii="Calibri" w:hAnsi="Calibri" w:cs="Calibri" w:hint="eastAsia"/>
          <w:sz w:val="24"/>
        </w:rPr>
        <w:t>202412210402026</w:t>
      </w:r>
      <w:r>
        <w:rPr>
          <w:rFonts w:ascii="Calibri" w:hAnsi="Calibri" w:cs="Calibri"/>
          <w:sz w:val="24"/>
        </w:rPr>
        <w:t>@zcmu.edu.cn)</w:t>
      </w:r>
    </w:p>
    <w:p w14:paraId="6E60C68F" w14:textId="77777777" w:rsidR="00BE1D3D" w:rsidRDefault="00000000">
      <w:pPr>
        <w:adjustRightInd w:val="0"/>
        <w:snapToGrid w:val="0"/>
        <w:spacing w:after="0" w:line="240" w:lineRule="auto"/>
        <w:rPr>
          <w:rFonts w:ascii="Calibri" w:hAnsi="Calibri" w:cs="Calibri"/>
          <w:sz w:val="24"/>
        </w:rPr>
      </w:pPr>
      <w:r>
        <w:rPr>
          <w:rFonts w:ascii="Calibri" w:eastAsia="宋体" w:hAnsi="Calibri" w:cs="Calibri" w:hint="eastAsia"/>
          <w:sz w:val="24"/>
          <w14:ligatures w14:val="none"/>
        </w:rPr>
        <w:t xml:space="preserve">Wenbin </w:t>
      </w:r>
      <w:proofErr w:type="gramStart"/>
      <w:r>
        <w:rPr>
          <w:rFonts w:ascii="Calibri" w:eastAsia="宋体" w:hAnsi="Calibri" w:cs="Calibri" w:hint="eastAsia"/>
          <w:sz w:val="24"/>
          <w14:ligatures w14:val="none"/>
        </w:rPr>
        <w:t xml:space="preserve">Wang  </w:t>
      </w:r>
      <w:r>
        <w:rPr>
          <w:rFonts w:ascii="Calibri" w:hAnsi="Calibri" w:cs="Calibri"/>
          <w:sz w:val="24"/>
        </w:rPr>
        <w:t>(</w:t>
      </w:r>
      <w:proofErr w:type="gramEnd"/>
      <w:r>
        <w:rPr>
          <w:rFonts w:ascii="Calibri" w:hAnsi="Calibri" w:cs="Calibri" w:hint="eastAsia"/>
          <w:sz w:val="24"/>
        </w:rPr>
        <w:t>202412215201001</w:t>
      </w:r>
      <w:r>
        <w:rPr>
          <w:rFonts w:ascii="Calibri" w:hAnsi="Calibri" w:cs="Calibri"/>
          <w:sz w:val="24"/>
        </w:rPr>
        <w:t>@zcmu.edu.cn)</w:t>
      </w:r>
    </w:p>
    <w:p w14:paraId="11AE5483" w14:textId="77777777" w:rsidR="00BE1D3D" w:rsidRDefault="00000000">
      <w:pPr>
        <w:adjustRightInd w:val="0"/>
        <w:snapToGrid w:val="0"/>
        <w:spacing w:after="0" w:line="240" w:lineRule="auto"/>
        <w:rPr>
          <w:rFonts w:ascii="Calibri" w:eastAsia="宋体" w:hAnsi="Calibri" w:cs="Calibri"/>
          <w:sz w:val="24"/>
          <w14:ligatures w14:val="none"/>
        </w:rPr>
      </w:pPr>
      <w:proofErr w:type="spellStart"/>
      <w:r>
        <w:rPr>
          <w:rFonts w:ascii="Calibri" w:eastAsia="宋体" w:hAnsi="Calibri" w:cs="Calibri" w:hint="eastAsia"/>
          <w:sz w:val="24"/>
          <w14:ligatures w14:val="none"/>
        </w:rPr>
        <w:t>Ruiying</w:t>
      </w:r>
      <w:proofErr w:type="spellEnd"/>
      <w:r>
        <w:rPr>
          <w:rFonts w:ascii="Calibri" w:eastAsia="宋体" w:hAnsi="Calibri" w:cs="Calibri" w:hint="eastAsia"/>
          <w:sz w:val="24"/>
          <w14:ligatures w14:val="none"/>
        </w:rPr>
        <w:t xml:space="preserve"> </w:t>
      </w:r>
      <w:proofErr w:type="gramStart"/>
      <w:r>
        <w:rPr>
          <w:rFonts w:ascii="Calibri" w:eastAsia="宋体" w:hAnsi="Calibri" w:cs="Calibri" w:hint="eastAsia"/>
          <w:sz w:val="24"/>
          <w14:ligatures w14:val="none"/>
        </w:rPr>
        <w:t>Zhang  (</w:t>
      </w:r>
      <w:proofErr w:type="gramEnd"/>
      <w:r>
        <w:rPr>
          <w:rFonts w:ascii="Calibri" w:eastAsia="宋体" w:hAnsi="Calibri" w:cs="Calibri" w:hint="eastAsia"/>
          <w:sz w:val="24"/>
          <w14:ligatures w14:val="none"/>
        </w:rPr>
        <w:t>297866606@qq.com)</w:t>
      </w:r>
    </w:p>
    <w:p w14:paraId="67ECE31B" w14:textId="77777777" w:rsidR="00BE1D3D" w:rsidRDefault="00000000">
      <w:pPr>
        <w:adjustRightInd w:val="0"/>
        <w:snapToGrid w:val="0"/>
        <w:spacing w:after="0" w:line="240" w:lineRule="auto"/>
        <w:rPr>
          <w:rFonts w:ascii="Calibri" w:hAnsi="Calibri" w:cs="Calibri"/>
          <w:sz w:val="24"/>
        </w:rPr>
      </w:pPr>
      <w:r>
        <w:rPr>
          <w:rFonts w:ascii="Calibri" w:eastAsia="宋体" w:hAnsi="Calibri" w:cs="Calibri" w:hint="eastAsia"/>
          <w:sz w:val="24"/>
          <w14:ligatures w14:val="none"/>
        </w:rPr>
        <w:t>Xinyu Wang</w:t>
      </w:r>
      <w:r>
        <w:rPr>
          <w:rFonts w:ascii="Calibri" w:hAnsi="Calibri" w:cs="Calibri"/>
          <w:sz w:val="24"/>
        </w:rPr>
        <w:tab/>
      </w:r>
      <w:r>
        <w:rPr>
          <w:rFonts w:ascii="Calibri" w:hAnsi="Calibri" w:cs="Calibri"/>
          <w:sz w:val="24"/>
        </w:rPr>
        <w:tab/>
        <w:t>(</w:t>
      </w:r>
      <w:r>
        <w:rPr>
          <w:rFonts w:ascii="Calibri" w:hAnsi="Calibri" w:cs="Calibri" w:hint="eastAsia"/>
          <w:sz w:val="24"/>
        </w:rPr>
        <w:t>wangxinyu202019@163.com</w:t>
      </w:r>
      <w:r>
        <w:rPr>
          <w:rFonts w:ascii="Calibri" w:hAnsi="Calibri" w:cs="Calibri"/>
          <w:sz w:val="24"/>
        </w:rPr>
        <w:t>)</w:t>
      </w:r>
    </w:p>
    <w:p w14:paraId="05D16186" w14:textId="77777777" w:rsidR="00BE1D3D" w:rsidRDefault="00000000">
      <w:pPr>
        <w:adjustRightInd w:val="0"/>
        <w:snapToGrid w:val="0"/>
        <w:spacing w:after="0" w:line="240" w:lineRule="auto"/>
        <w:rPr>
          <w:rFonts w:ascii="Calibri" w:hAnsi="Calibri" w:cs="Calibri"/>
          <w:sz w:val="24"/>
        </w:rPr>
      </w:pPr>
      <w:r>
        <w:rPr>
          <w:rFonts w:ascii="Calibri" w:eastAsia="宋体" w:hAnsi="Calibri" w:cs="Calibri" w:hint="eastAsia"/>
          <w:sz w:val="24"/>
          <w14:ligatures w14:val="none"/>
        </w:rPr>
        <w:t>Fangping Wu</w:t>
      </w:r>
      <w:r>
        <w:rPr>
          <w:rFonts w:ascii="Calibri" w:hAnsi="Calibri" w:cs="Calibri"/>
          <w:sz w:val="24"/>
        </w:rPr>
        <w:tab/>
        <w:t>(</w:t>
      </w:r>
      <w:r>
        <w:rPr>
          <w:rFonts w:ascii="Calibri" w:hAnsi="Calibri" w:cs="Calibri" w:hint="eastAsia"/>
          <w:sz w:val="24"/>
        </w:rPr>
        <w:t>wufangping2020@163.com</w:t>
      </w:r>
      <w:r>
        <w:rPr>
          <w:rFonts w:ascii="Calibri" w:hAnsi="Calibri" w:cs="Calibri"/>
          <w:sz w:val="24"/>
        </w:rPr>
        <w:t xml:space="preserve">) </w:t>
      </w:r>
    </w:p>
    <w:p w14:paraId="4C96F592" w14:textId="77777777" w:rsidR="00BE1D3D" w:rsidRDefault="00000000">
      <w:pPr>
        <w:rPr>
          <w:rFonts w:ascii="Calibri" w:hAnsi="Calibri" w:cs="Calibri"/>
          <w:sz w:val="24"/>
        </w:rPr>
      </w:pPr>
      <w:r>
        <w:rPr>
          <w:rFonts w:ascii="Calibri" w:eastAsia="宋体" w:hAnsi="Calibri" w:cs="Calibri" w:hint="eastAsia"/>
          <w:sz w:val="24"/>
          <w14:ligatures w14:val="none"/>
        </w:rPr>
        <w:t xml:space="preserve">Kaidi Chen  </w:t>
      </w:r>
      <w:proofErr w:type="gramStart"/>
      <w:r>
        <w:rPr>
          <w:rFonts w:ascii="Calibri" w:eastAsia="宋体" w:hAnsi="Calibri" w:cs="Calibri" w:hint="eastAsia"/>
          <w:sz w:val="24"/>
          <w14:ligatures w14:val="none"/>
        </w:rPr>
        <w:t xml:space="preserve">   </w:t>
      </w:r>
      <w:r>
        <w:rPr>
          <w:rFonts w:ascii="Calibri" w:hAnsi="Calibri" w:cs="Calibri"/>
          <w:sz w:val="24"/>
        </w:rPr>
        <w:t>(</w:t>
      </w:r>
      <w:proofErr w:type="gramEnd"/>
      <w:r>
        <w:rPr>
          <w:rFonts w:ascii="Calibri" w:hAnsi="Calibri" w:cs="Calibri"/>
          <w:sz w:val="24"/>
        </w:rPr>
        <w:t>202011113511009@zcmu.edu.cn)</w:t>
      </w:r>
    </w:p>
    <w:p w14:paraId="5657BC1A" w14:textId="77777777" w:rsidR="00BE1D3D" w:rsidRDefault="00000000">
      <w:pPr>
        <w:adjustRightInd w:val="0"/>
        <w:snapToGrid w:val="0"/>
        <w:spacing w:after="0" w:line="240" w:lineRule="auto"/>
        <w:rPr>
          <w:rFonts w:ascii="Calibri" w:hAnsi="Calibri" w:cs="Calibri"/>
          <w:sz w:val="24"/>
        </w:rPr>
      </w:pPr>
      <w:r>
        <w:rPr>
          <w:rFonts w:ascii="Calibri" w:hAnsi="Calibri" w:cs="Calibri"/>
          <w:sz w:val="24"/>
        </w:rPr>
        <w:t>Corresponding author:</w:t>
      </w:r>
    </w:p>
    <w:p w14:paraId="7ED81805" w14:textId="77777777" w:rsidR="00BE1D3D" w:rsidRDefault="00000000">
      <w:pPr>
        <w:adjustRightInd w:val="0"/>
        <w:snapToGrid w:val="0"/>
        <w:spacing w:after="0" w:line="240" w:lineRule="auto"/>
        <w:rPr>
          <w:rFonts w:ascii="Calibri" w:hAnsi="Calibri" w:cs="Calibri"/>
          <w:sz w:val="24"/>
        </w:rPr>
      </w:pPr>
      <w:proofErr w:type="spellStart"/>
      <w:r>
        <w:rPr>
          <w:rFonts w:ascii="Calibri" w:hAnsi="Calibri" w:cs="Calibri" w:hint="eastAsia"/>
          <w:sz w:val="24"/>
        </w:rPr>
        <w:t>Mancang</w:t>
      </w:r>
      <w:proofErr w:type="spellEnd"/>
      <w:r>
        <w:rPr>
          <w:rFonts w:ascii="Calibri" w:hAnsi="Calibri" w:cs="Calibri" w:hint="eastAsia"/>
          <w:sz w:val="24"/>
        </w:rPr>
        <w:t xml:space="preserve"> Gu</w:t>
      </w:r>
      <w:r>
        <w:rPr>
          <w:rFonts w:ascii="Calibri" w:hAnsi="Calibri" w:cs="Calibri"/>
          <w:sz w:val="24"/>
        </w:rPr>
        <w:tab/>
      </w:r>
      <w:r>
        <w:rPr>
          <w:rFonts w:ascii="Calibri" w:hAnsi="Calibri" w:cs="Calibri"/>
          <w:sz w:val="24"/>
        </w:rPr>
        <w:tab/>
        <w:t>(</w:t>
      </w:r>
      <w:r>
        <w:rPr>
          <w:rFonts w:ascii="Calibri" w:hAnsi="Calibri" w:cs="Calibri" w:hint="eastAsia"/>
          <w:sz w:val="24"/>
        </w:rPr>
        <w:t>gmancang</w:t>
      </w:r>
      <w:r>
        <w:rPr>
          <w:rFonts w:ascii="Calibri" w:hAnsi="Calibri" w:cs="Calibri"/>
          <w:sz w:val="24"/>
        </w:rPr>
        <w:t>@zcmu.edu.cn)</w:t>
      </w:r>
    </w:p>
    <w:p w14:paraId="431E6B35" w14:textId="77777777" w:rsidR="00BE1D3D" w:rsidRDefault="00BE1D3D">
      <w:pPr>
        <w:spacing w:after="0" w:line="240" w:lineRule="auto"/>
        <w:jc w:val="both"/>
        <w:rPr>
          <w:rFonts w:ascii="Calibri" w:eastAsia="宋体" w:hAnsi="Calibri" w:cs="Calibri"/>
          <w:sz w:val="24"/>
          <w14:ligatures w14:val="none"/>
        </w:rPr>
      </w:pPr>
    </w:p>
    <w:p w14:paraId="01039F9B" w14:textId="77777777" w:rsidR="00BE1D3D" w:rsidRDefault="00BE1D3D">
      <w:pPr>
        <w:autoSpaceDE w:val="0"/>
        <w:adjustRightInd w:val="0"/>
        <w:snapToGrid w:val="0"/>
        <w:spacing w:after="0" w:line="240" w:lineRule="auto"/>
        <w:jc w:val="both"/>
        <w:rPr>
          <w:rFonts w:ascii="Calibri" w:eastAsia="宋体" w:hAnsi="Calibri" w:cs="Calibri"/>
          <w:b/>
          <w:bCs/>
          <w:sz w:val="28"/>
          <w:szCs w:val="28"/>
          <w14:ligatures w14:val="none"/>
        </w:rPr>
      </w:pPr>
    </w:p>
    <w:p w14:paraId="030EBE80"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hint="eastAsia"/>
          <w:b/>
          <w:bCs/>
          <w:sz w:val="28"/>
          <w:szCs w:val="28"/>
          <w14:ligatures w14:val="none"/>
        </w:rPr>
        <w:t>Summary</w:t>
      </w:r>
    </w:p>
    <w:p w14:paraId="67AEE906"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sz w:val="24"/>
          <w14:ligatures w14:val="none"/>
        </w:rPr>
        <w:t>This protocol integrates LC</w:t>
      </w:r>
      <w:r>
        <w:rPr>
          <w:rFonts w:ascii="Calibri" w:eastAsia="宋体" w:hAnsi="Calibri" w:cs="Calibri" w:hint="eastAsia"/>
          <w:sz w:val="24"/>
          <w14:ligatures w14:val="none"/>
        </w:rPr>
        <w:t>-</w:t>
      </w:r>
      <w:r>
        <w:rPr>
          <w:rFonts w:ascii="Calibri" w:eastAsia="宋体" w:hAnsi="Calibri" w:cs="Calibri"/>
          <w:sz w:val="24"/>
          <w14:ligatures w14:val="none"/>
        </w:rPr>
        <w:t xml:space="preserve">MS/MS and bioluminescence imaging to quantitatively and visually link intracellular gemcitabine pharmacokinetics with functional pharmacodynamic responses across </w:t>
      </w:r>
      <w:r>
        <w:rPr>
          <w:rFonts w:ascii="Calibri" w:eastAsia="宋体" w:hAnsi="Calibri" w:cs="Calibri"/>
          <w:i/>
          <w:iCs/>
          <w:sz w:val="24"/>
          <w14:ligatures w14:val="none"/>
        </w:rPr>
        <w:t>in vitro</w:t>
      </w:r>
      <w:r>
        <w:rPr>
          <w:rFonts w:ascii="Calibri" w:eastAsia="宋体" w:hAnsi="Calibri" w:cs="Calibri"/>
          <w:sz w:val="24"/>
          <w14:ligatures w14:val="none"/>
        </w:rPr>
        <w:t xml:space="preserve"> and </w:t>
      </w:r>
      <w:r>
        <w:rPr>
          <w:rFonts w:ascii="Calibri" w:eastAsia="宋体" w:hAnsi="Calibri" w:cs="Calibri"/>
          <w:i/>
          <w:iCs/>
          <w:sz w:val="24"/>
          <w14:ligatures w14:val="none"/>
        </w:rPr>
        <w:t>in vivo</w:t>
      </w:r>
      <w:r>
        <w:rPr>
          <w:rFonts w:ascii="Calibri" w:eastAsia="宋体" w:hAnsi="Calibri" w:cs="Calibri"/>
          <w:sz w:val="24"/>
          <w14:ligatures w14:val="none"/>
        </w:rPr>
        <w:t xml:space="preserve"> pancreatic cancer models.</w:t>
      </w:r>
    </w:p>
    <w:p w14:paraId="3C2E7D2E"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5E8531D0"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b/>
          <w:bCs/>
          <w:sz w:val="28"/>
          <w:szCs w:val="28"/>
          <w14:ligatures w14:val="none"/>
        </w:rPr>
        <w:t>Abstract</w:t>
      </w:r>
    </w:p>
    <w:p w14:paraId="36D4EC2E" w14:textId="3A1115A6"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sz w:val="24"/>
          <w14:ligatures w14:val="none"/>
        </w:rPr>
        <w:t xml:space="preserve">Gemcitabine is a first-line chemotherapeutic agent for pancreatic cancer, but its efficacy is frequently limited by rapid intracellular metabolism, insufficient retention, and transporter-mediated efflux. </w:t>
      </w:r>
      <w:r>
        <w:rPr>
          <w:rFonts w:ascii="Calibri" w:eastAsia="宋体" w:hAnsi="Calibri" w:cs="Calibri" w:hint="eastAsia"/>
          <w:sz w:val="24"/>
          <w14:ligatures w14:val="none"/>
        </w:rPr>
        <w:t xml:space="preserve">Although intracellular drug concentrations and antitumor responses can be evaluated separately, a visualized and quantitative strategy to dynamically </w:t>
      </w:r>
      <w:r>
        <w:rPr>
          <w:rFonts w:ascii="Calibri" w:eastAsia="宋体" w:hAnsi="Calibri" w:cs="Calibri"/>
          <w:color w:val="FF0000"/>
          <w:sz w:val="24"/>
          <w14:ligatures w14:val="none"/>
        </w:rPr>
        <w:t>relate intracellular drug exposure to functional responses</w:t>
      </w:r>
      <w:r w:rsidR="00DF655B">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across</w:t>
      </w:r>
      <w:r>
        <w:rPr>
          <w:rFonts w:ascii="Calibri" w:eastAsia="宋体" w:hAnsi="Calibri" w:cs="Calibri" w:hint="eastAsia"/>
          <w:i/>
          <w:iCs/>
          <w:sz w:val="24"/>
          <w14:ligatures w14:val="none"/>
        </w:rPr>
        <w:t xml:space="preserve"> in vitro </w:t>
      </w:r>
      <w:r>
        <w:rPr>
          <w:rFonts w:ascii="Calibri" w:eastAsia="宋体" w:hAnsi="Calibri" w:cs="Calibri" w:hint="eastAsia"/>
          <w:sz w:val="24"/>
          <w14:ligatures w14:val="none"/>
        </w:rPr>
        <w:t xml:space="preserve">and </w:t>
      </w:r>
      <w:r>
        <w:rPr>
          <w:rFonts w:ascii="Calibri" w:eastAsia="宋体" w:hAnsi="Calibri" w:cs="Calibri" w:hint="eastAsia"/>
          <w:i/>
          <w:iCs/>
          <w:sz w:val="24"/>
          <w14:ligatures w14:val="none"/>
        </w:rPr>
        <w:t>in vivo</w:t>
      </w:r>
      <w:r>
        <w:rPr>
          <w:rFonts w:ascii="Calibri" w:eastAsia="宋体" w:hAnsi="Calibri" w:cs="Calibri" w:hint="eastAsia"/>
          <w:sz w:val="24"/>
          <w14:ligatures w14:val="none"/>
        </w:rPr>
        <w:t xml:space="preserve"> models remains lacking.</w:t>
      </w:r>
    </w:p>
    <w:p w14:paraId="21755E9B" w14:textId="37B743C3"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 xml:space="preserve">Here, </w:t>
      </w:r>
      <w:r>
        <w:rPr>
          <w:rFonts w:ascii="Calibri" w:eastAsia="宋体" w:hAnsi="Calibri" w:cs="Calibri"/>
          <w:color w:val="FF0000"/>
          <w:sz w:val="24"/>
          <w14:ligatures w14:val="none"/>
        </w:rPr>
        <w:t xml:space="preserve">an integrated workflow </w:t>
      </w:r>
      <w:r>
        <w:rPr>
          <w:rFonts w:ascii="Calibri" w:eastAsia="宋体" w:hAnsi="Calibri" w:cs="Calibri" w:hint="eastAsia"/>
          <w:color w:val="FF0000"/>
          <w:sz w:val="24"/>
          <w14:ligatures w14:val="none"/>
        </w:rPr>
        <w:t xml:space="preserve">is described </w:t>
      </w:r>
      <w:r>
        <w:rPr>
          <w:rFonts w:ascii="Calibri" w:eastAsia="宋体" w:hAnsi="Calibri" w:cs="Calibri"/>
          <w:color w:val="FF0000"/>
          <w:sz w:val="24"/>
          <w14:ligatures w14:val="none"/>
        </w:rPr>
        <w:t>that combines established quantitative liquid chromatography-tandem mass spectrometry (LC-MS/MS) and bioluminescence imaging (BLI) approaches</w:t>
      </w:r>
      <w:r>
        <w:rPr>
          <w:rFonts w:ascii="Calibri" w:eastAsia="宋体" w:hAnsi="Calibri" w:cs="Calibri"/>
          <w:sz w:val="24"/>
          <w14:ligatures w14:val="none"/>
        </w:rPr>
        <w:t xml:space="preserve"> </w:t>
      </w:r>
      <w:r>
        <w:rPr>
          <w:rFonts w:ascii="Calibri" w:eastAsia="宋体" w:hAnsi="Calibri" w:cs="Calibri" w:hint="eastAsia"/>
          <w:sz w:val="24"/>
          <w14:ligatures w14:val="none"/>
        </w:rPr>
        <w:t xml:space="preserve">to </w:t>
      </w:r>
      <w:r>
        <w:rPr>
          <w:rFonts w:ascii="Calibri" w:eastAsia="宋体" w:hAnsi="Calibri" w:cs="Calibri"/>
          <w:sz w:val="24"/>
          <w14:ligatures w14:val="none"/>
        </w:rPr>
        <w:t>c</w:t>
      </w:r>
      <w:r>
        <w:rPr>
          <w:rFonts w:ascii="Calibri" w:eastAsia="宋体" w:hAnsi="Calibri" w:cs="Calibri"/>
          <w:color w:val="FF0000"/>
          <w:sz w:val="24"/>
          <w14:ligatures w14:val="none"/>
        </w:rPr>
        <w:t>haracterize intracellular gemcitabine exposure and treatment responses</w:t>
      </w:r>
      <w:r>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in pancreatic cancer models. LC-MS/MS is used to quantify intracellular gemcitabine and its inactive metabolite 2</w:t>
      </w:r>
      <w:r>
        <w:rPr>
          <w:rFonts w:ascii="Calibri" w:eastAsia="宋体" w:hAnsi="Calibri" w:cs="Calibri"/>
          <w:sz w:val="24"/>
          <w14:ligatures w14:val="none"/>
        </w:rPr>
        <w:t>’</w:t>
      </w:r>
      <w:r>
        <w:rPr>
          <w:rFonts w:ascii="Calibri" w:eastAsia="宋体" w:hAnsi="Calibri" w:cs="Calibri" w:hint="eastAsia"/>
          <w:sz w:val="24"/>
          <w14:ligatures w14:val="none"/>
        </w:rPr>
        <w:t>,2</w:t>
      </w:r>
      <w:r>
        <w:rPr>
          <w:rFonts w:ascii="Calibri" w:eastAsia="宋体" w:hAnsi="Calibri" w:cs="Calibri"/>
          <w:sz w:val="24"/>
          <w14:ligatures w14:val="none"/>
        </w:rPr>
        <w:t>’</w:t>
      </w:r>
      <w:r>
        <w:rPr>
          <w:rFonts w:ascii="Calibri" w:eastAsia="宋体" w:hAnsi="Calibri" w:cs="Calibri" w:hint="eastAsia"/>
          <w:sz w:val="24"/>
          <w14:ligatures w14:val="none"/>
        </w:rPr>
        <w:t>-difluorodeoxyuridine</w:t>
      </w:r>
      <w:r w:rsidR="00F171B5">
        <w:rPr>
          <w:rFonts w:ascii="Calibri" w:eastAsia="宋体" w:hAnsi="Calibri" w:cs="Calibri" w:hint="eastAsia"/>
          <w:sz w:val="24"/>
          <w14:ligatures w14:val="none"/>
        </w:rPr>
        <w:t xml:space="preserve"> </w:t>
      </w:r>
      <w:r>
        <w:rPr>
          <w:rFonts w:ascii="Calibri" w:eastAsia="宋体" w:hAnsi="Calibri" w:cs="Calibri" w:hint="eastAsia"/>
          <w:sz w:val="24"/>
          <w14:ligatures w14:val="none"/>
        </w:rPr>
        <w:t>(</w:t>
      </w:r>
      <w:proofErr w:type="spellStart"/>
      <w:r>
        <w:rPr>
          <w:rFonts w:ascii="Calibri" w:eastAsia="宋体" w:hAnsi="Calibri" w:cs="Calibri" w:hint="eastAsia"/>
          <w:sz w:val="24"/>
          <w14:ligatures w14:val="none"/>
        </w:rPr>
        <w:t>dFdU</w:t>
      </w:r>
      <w:proofErr w:type="spellEnd"/>
      <w:r>
        <w:rPr>
          <w:rFonts w:ascii="Calibri" w:eastAsia="宋体" w:hAnsi="Calibri" w:cs="Calibri" w:hint="eastAsia"/>
          <w:sz w:val="24"/>
          <w14:ligatures w14:val="none"/>
        </w:rPr>
        <w:t xml:space="preserve">), enabling direct assessment of cellular </w:t>
      </w:r>
      <w:r>
        <w:rPr>
          <w:rFonts w:ascii="Calibri" w:eastAsia="宋体" w:hAnsi="Calibri" w:cs="Calibri" w:hint="eastAsia"/>
          <w:color w:val="FF0000"/>
          <w:sz w:val="24"/>
          <w14:ligatures w14:val="none"/>
        </w:rPr>
        <w:lastRenderedPageBreak/>
        <w:t>drug exposure</w:t>
      </w:r>
      <w:r>
        <w:rPr>
          <w:rFonts w:ascii="Calibri" w:eastAsia="宋体" w:hAnsi="Calibri" w:cs="Calibri" w:hint="eastAsia"/>
          <w:sz w:val="24"/>
          <w14:ligatures w14:val="none"/>
        </w:rPr>
        <w:t xml:space="preserve">, metabolism, and retention. In parallel, luciferase-based BLI provides a noninvasive functional readout of viable tumor burden and </w:t>
      </w:r>
      <w:r>
        <w:rPr>
          <w:rFonts w:ascii="Calibri" w:eastAsia="宋体" w:hAnsi="Calibri" w:cs="Calibri" w:hint="eastAsia"/>
          <w:color w:val="FF0000"/>
          <w:sz w:val="24"/>
          <w14:ligatures w14:val="none"/>
        </w:rPr>
        <w:t>treatment</w:t>
      </w:r>
      <w:r>
        <w:rPr>
          <w:rFonts w:ascii="Calibri" w:eastAsia="宋体" w:hAnsi="Calibri" w:cs="Calibri" w:hint="eastAsia"/>
          <w:sz w:val="24"/>
          <w14:ligatures w14:val="none"/>
        </w:rPr>
        <w:t xml:space="preserve"> response in both cultured cells and xenograft models.</w:t>
      </w:r>
    </w:p>
    <w:p w14:paraId="2EBB1522"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 xml:space="preserve">By extracting PK parameters from LC-MS/MS measurements and PD-like parameters from time-resolved BLI signals, </w:t>
      </w:r>
      <w:r>
        <w:rPr>
          <w:rFonts w:ascii="Calibri" w:eastAsia="宋体" w:hAnsi="Calibri" w:cs="Calibri"/>
          <w:color w:val="FF0000"/>
          <w:sz w:val="24"/>
          <w14:ligatures w14:val="none"/>
        </w:rPr>
        <w:t xml:space="preserve">the workflow provides an operational framework for quantitatively linking intracellular drug exposure with imaging-derived responses. A two-step translational mapping strategy further connects intracellular exposure with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BLI behavior and subsequently with</w:t>
      </w:r>
      <w:r>
        <w:rPr>
          <w:rFonts w:ascii="Calibri" w:eastAsia="宋体" w:hAnsi="Calibri" w:cs="Calibri"/>
          <w:i/>
          <w:iCs/>
          <w:color w:val="FF0000"/>
          <w:sz w:val="24"/>
          <w14:ligatures w14:val="none"/>
        </w:rPr>
        <w:t xml:space="preserve"> in vivo</w:t>
      </w:r>
      <w:r>
        <w:rPr>
          <w:rFonts w:ascii="Calibri" w:eastAsia="宋体" w:hAnsi="Calibri" w:cs="Calibri"/>
          <w:color w:val="FF0000"/>
          <w:sz w:val="24"/>
          <w14:ligatures w14:val="none"/>
        </w:rPr>
        <w:t xml:space="preserve"> BLI outcomes and tumor growth inhibition, thereby extending the analysis beyond parallel measurement of pharmacokinetics and pharmacodynamics. </w:t>
      </w:r>
      <w:r>
        <w:rPr>
          <w:rFonts w:ascii="Calibri" w:eastAsia="宋体" w:hAnsi="Calibri" w:cs="Calibri" w:hint="eastAsia"/>
          <w:sz w:val="24"/>
          <w14:ligatures w14:val="none"/>
        </w:rPr>
        <w:t xml:space="preserve"> Using this workflow,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 (CSE) is shown to prolong intracellular gemcitabine retention and enhance antitumor efficacy.</w:t>
      </w:r>
    </w:p>
    <w:p w14:paraId="5A26955D" w14:textId="77777777" w:rsidR="00BE1D3D"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color w:val="FF0000"/>
          <w:sz w:val="24"/>
          <w14:ligatures w14:val="none"/>
        </w:rPr>
        <w:t>The methodological contribution of this protocol lies in the integration of established LC-MS/MS and BLI measurements into a unified workflow and the implementation of cross-system translational mapping, rather than in the development of either analytical technology itself. The integrated workflow provides a visualized and quantitative approach for relating intracellular drug exposure to functional imaging responses and whole-animal treatment outcomes. The workflow may provide a practical framework for evaluating chemosensitizers, transporter modulators, and anticancer agents in translational pharmacology and cancer drug development.</w:t>
      </w:r>
    </w:p>
    <w:p w14:paraId="153CECBA"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5D524A2D"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b/>
          <w:bCs/>
          <w:sz w:val="28"/>
          <w:szCs w:val="28"/>
          <w14:ligatures w14:val="none"/>
        </w:rPr>
        <w:t>Introduction</w:t>
      </w:r>
      <w:r>
        <w:rPr>
          <w:rFonts w:ascii="Calibri" w:eastAsia="宋体" w:hAnsi="Calibri" w:cs="Calibri" w:hint="eastAsia"/>
          <w:b/>
          <w:bCs/>
          <w:sz w:val="28"/>
          <w:szCs w:val="28"/>
          <w14:ligatures w14:val="none"/>
        </w:rPr>
        <w:t xml:space="preserve"> </w:t>
      </w:r>
    </w:p>
    <w:p w14:paraId="38F47970" w14:textId="7CA29EF9"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Gemcitabine (GEM) remains a cornerstone chemotherapeutic agent for pancreatic cancer, yet its therapeutic efficacy is frequently limited by insufficient intracellular accumulation, rapid metabolic inactivation, and transporter-mediated drug efflux. Multidrug resistance transporters such as MRP5 have been shown to directly regulate intracellular gemcitabine availability and sensitivity in pancreatic cancer cells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_Ref225697674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After entering tumor cells via nucleoside transporters, gemcitabine is rapidly phosphorylated into active metabolites but can also be efficiently deaminated by cytidine deaminase to form the inactive metabolite 2</w:t>
      </w:r>
      <w:r>
        <w:rPr>
          <w:rFonts w:ascii="Calibri" w:eastAsia="宋体" w:hAnsi="Calibri" w:cs="Calibri"/>
          <w:sz w:val="24"/>
          <w14:ligatures w14:val="none"/>
        </w:rPr>
        <w:t>’</w:t>
      </w:r>
      <w:r>
        <w:rPr>
          <w:rFonts w:ascii="Calibri" w:eastAsia="宋体" w:hAnsi="Calibri" w:cs="Calibri" w:hint="eastAsia"/>
          <w:sz w:val="24"/>
          <w14:ligatures w14:val="none"/>
        </w:rPr>
        <w:t>,2</w:t>
      </w:r>
      <w:r>
        <w:rPr>
          <w:rFonts w:ascii="Calibri" w:eastAsia="宋体" w:hAnsi="Calibri" w:cs="Calibri"/>
          <w:sz w:val="24"/>
          <w14:ligatures w14:val="none"/>
        </w:rPr>
        <w:t>’</w:t>
      </w:r>
      <w:r>
        <w:rPr>
          <w:rFonts w:ascii="Calibri" w:eastAsia="宋体" w:hAnsi="Calibri" w:cs="Calibri" w:hint="eastAsia"/>
          <w:sz w:val="24"/>
          <w14:ligatures w14:val="none"/>
        </w:rPr>
        <w:t>-difluorodeoxyuridine (</w:t>
      </w:r>
      <w:proofErr w:type="spellStart"/>
      <w:r>
        <w:rPr>
          <w:rFonts w:ascii="Calibri" w:eastAsia="宋体" w:hAnsi="Calibri" w:cs="Calibri" w:hint="eastAsia"/>
          <w:sz w:val="24"/>
          <w14:ligatures w14:val="none"/>
        </w:rPr>
        <w:t>dFdU</w:t>
      </w:r>
      <w:proofErr w:type="spellEnd"/>
      <w:r>
        <w:rPr>
          <w:rFonts w:ascii="Calibri" w:eastAsia="宋体" w:hAnsi="Calibri" w:cs="Calibri" w:hint="eastAsia"/>
          <w:sz w:val="24"/>
          <w14:ligatures w14:val="none"/>
        </w:rPr>
        <w:t>)</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_Ref225697717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2</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Consequently, intracellular transport and metabolic conversion play central roles in determining therapeutic response. Increasing evidence indicates that intracellular drug exposure, rather than administered dose alone, governs antitumor activity and resistance development. In addition, alterations in intracellular metabolic and signaling pathways further modulate gemcitabine sensitivity in pancreatic ductal adenocarcinoma, highlighting the importance of intracellular exposure</w:t>
      </w:r>
      <w:r w:rsidR="00F171B5" w:rsidRPr="00F171B5">
        <w:rPr>
          <w:rFonts w:ascii="Calibri" w:eastAsia="宋体" w:hAnsi="Calibri" w:cs="Calibri"/>
          <w:color w:val="EE0000"/>
          <w:sz w:val="24"/>
          <w14:ligatures w14:val="none"/>
        </w:rPr>
        <w:t>–</w:t>
      </w:r>
      <w:r>
        <w:rPr>
          <w:rFonts w:ascii="Calibri" w:eastAsia="宋体" w:hAnsi="Calibri" w:cs="Calibri" w:hint="eastAsia"/>
          <w:sz w:val="24"/>
          <w14:ligatures w14:val="none"/>
        </w:rPr>
        <w:t>response relationships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_Ref225697766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3</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w:t>
      </w:r>
    </w:p>
    <w:p w14:paraId="15E39668"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 xml:space="preserve">Bioluminescence imaging (BLI) has emerged as a sensitive and noninvasive technique for real-time monitoring of tumor burden and therapeutic response in preclinical cancer models. </w:t>
      </w:r>
      <w:r>
        <w:rPr>
          <w:rFonts w:ascii="Calibri" w:eastAsia="宋体" w:hAnsi="Calibri" w:cs="Calibri"/>
          <w:color w:val="FF0000"/>
          <w:sz w:val="24"/>
          <w14:ligatures w14:val="none"/>
        </w:rPr>
        <w:t xml:space="preserve">Because bioluminescent signals can be quantitatively associated with viable luciferase-expressing cells under appropriate experimental conditions, BLI enables longitudinal assessment of treatment responses in both </w:t>
      </w:r>
      <w:r w:rsidRPr="00BA3365">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and </w:t>
      </w:r>
      <w:r w:rsidRPr="00BA3365">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cancer models</w:t>
      </w:r>
      <w:r>
        <w:rPr>
          <w:rFonts w:ascii="Calibri" w:eastAsia="宋体" w:hAnsi="Calibri" w:cs="Calibri"/>
          <w:color w:val="FF0000"/>
          <w:sz w:val="24"/>
          <w:vertAlign w:val="superscript"/>
          <w14:ligatures w14:val="none"/>
        </w:rPr>
        <w:fldChar w:fldCharType="begin"/>
      </w:r>
      <w:r>
        <w:rPr>
          <w:rFonts w:ascii="Calibri" w:eastAsia="宋体" w:hAnsi="Calibri" w:cs="Calibri"/>
          <w:color w:val="FF0000"/>
          <w:sz w:val="24"/>
          <w:vertAlign w:val="superscript"/>
          <w14:ligatures w14:val="none"/>
        </w:rPr>
        <w:instrText xml:space="preserve"> REF _Ref225697783 \r \h  \* MERGEFORMAT </w:instrText>
      </w:r>
      <w:r>
        <w:rPr>
          <w:rFonts w:ascii="Calibri" w:eastAsia="宋体" w:hAnsi="Calibri" w:cs="Calibri"/>
          <w:color w:val="FF0000"/>
          <w:sz w:val="24"/>
          <w:vertAlign w:val="superscript"/>
          <w14:ligatures w14:val="none"/>
        </w:rPr>
      </w:r>
      <w:r>
        <w:rPr>
          <w:rFonts w:ascii="Calibri" w:eastAsia="宋体" w:hAnsi="Calibri" w:cs="Calibri"/>
          <w:color w:val="FF0000"/>
          <w:sz w:val="24"/>
          <w:vertAlign w:val="superscript"/>
          <w14:ligatures w14:val="none"/>
        </w:rPr>
        <w:fldChar w:fldCharType="separate"/>
      </w:r>
      <w:r>
        <w:rPr>
          <w:rFonts w:ascii="Calibri" w:eastAsia="宋体" w:hAnsi="Calibri" w:cs="Calibri"/>
          <w:color w:val="FF0000"/>
          <w:sz w:val="24"/>
          <w:vertAlign w:val="superscript"/>
          <w14:ligatures w14:val="none"/>
        </w:rPr>
        <w:t>4</w:t>
      </w:r>
      <w:r>
        <w:rPr>
          <w:rFonts w:ascii="Calibri" w:eastAsia="宋体" w:hAnsi="Calibri" w:cs="Calibri"/>
          <w:color w:val="FF0000"/>
          <w:sz w:val="24"/>
          <w:vertAlign w:val="superscript"/>
          <w14:ligatures w14:val="none"/>
        </w:rPr>
        <w:fldChar w:fldCharType="end"/>
      </w:r>
      <w:r>
        <w:rPr>
          <w:rFonts w:ascii="Calibri" w:eastAsia="宋体" w:hAnsi="Calibri" w:cs="Calibri"/>
          <w:sz w:val="24"/>
          <w14:ligatures w14:val="none"/>
        </w:rPr>
        <w:t>.</w:t>
      </w:r>
      <w:r>
        <w:rPr>
          <w:rFonts w:ascii="Calibri" w:eastAsia="宋体" w:hAnsi="Calibri" w:cs="Calibri" w:hint="eastAsia"/>
          <w:sz w:val="24"/>
          <w14:ligatures w14:val="none"/>
        </w:rPr>
        <w:t>In parallel, liquid chromatography-tandem mass spectrometry (LC-MS/MS) provides highly specific and sensitive quantification of small-molecule drugs and their metabolites within biological matrices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_Ref225697799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5</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Despite the widespread use of these technologies, intracellular drug measurements and imaging-based response assessments are typically performed independently, leaving a gap between analytical drug exposure and functional tumor response.</w:t>
      </w:r>
    </w:p>
    <w:p w14:paraId="570DC9A7" w14:textId="12048B44"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color w:val="FF0000"/>
          <w:sz w:val="24"/>
          <w14:ligatures w14:val="none"/>
        </w:rPr>
        <w:t>Here, an integrated workflow</w:t>
      </w:r>
      <w:r>
        <w:rPr>
          <w:rFonts w:ascii="Calibri" w:eastAsia="宋体" w:hAnsi="Calibri" w:cs="Calibri" w:hint="eastAsia"/>
          <w:color w:val="FF0000"/>
          <w:sz w:val="24"/>
          <w14:ligatures w14:val="none"/>
        </w:rPr>
        <w:t xml:space="preserve"> is described</w:t>
      </w:r>
      <w:r>
        <w:rPr>
          <w:rFonts w:ascii="Calibri" w:eastAsia="宋体" w:hAnsi="Calibri" w:cs="Calibri"/>
          <w:color w:val="FF0000"/>
          <w:sz w:val="24"/>
          <w14:ligatures w14:val="none"/>
        </w:rPr>
        <w:t xml:space="preserve"> that combines established LC-MS/MS-based </w:t>
      </w:r>
      <w:r>
        <w:rPr>
          <w:rFonts w:ascii="Calibri" w:eastAsia="宋体" w:hAnsi="Calibri" w:cs="Calibri"/>
          <w:color w:val="FF0000"/>
          <w:sz w:val="24"/>
          <w14:ligatures w14:val="none"/>
        </w:rPr>
        <w:lastRenderedPageBreak/>
        <w:t xml:space="preserve">intracellular </w:t>
      </w:r>
      <w:r>
        <w:rPr>
          <w:rFonts w:ascii="Calibri" w:eastAsia="宋体" w:hAnsi="Calibri" w:cs="Calibri" w:hint="eastAsia"/>
          <w:color w:val="FF0000"/>
          <w:sz w:val="24"/>
          <w14:ligatures w14:val="none"/>
        </w:rPr>
        <w:t>drug exposure</w:t>
      </w:r>
      <w:r w:rsidR="00014C09">
        <w:rPr>
          <w:rFonts w:ascii="Calibri" w:eastAsia="宋体" w:hAnsi="Calibri" w:cs="Calibri" w:hint="eastAsia"/>
          <w:color w:val="FF0000"/>
          <w:sz w:val="24"/>
          <w14:ligatures w14:val="none"/>
        </w:rPr>
        <w:t xml:space="preserve"> </w:t>
      </w:r>
      <w:r>
        <w:rPr>
          <w:rFonts w:ascii="Calibri" w:eastAsia="宋体" w:hAnsi="Calibri" w:cs="Calibri"/>
          <w:color w:val="FF0000"/>
          <w:sz w:val="24"/>
          <w14:ligatures w14:val="none"/>
        </w:rPr>
        <w:t xml:space="preserve">measurements with time-resolved BLI-derived functional response readouts to examine exposure–response relationships across different experimental levels. Rather than introducing a new LC-MS/MS or BLI technology, the workflow focuses on the operational integration of these established analytical approaches across cellular and animal models. A two-step translational mapping strategy is further incorporated to explore the quantitative relationships between intracellular drug exposure,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BLI responses, </w:t>
      </w:r>
      <w:r>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BLI outcomes, and tumor growth inhibition. These analyses are intended to characterize potential cross-system associations rather than to establish a classical mechanistic or fully validated PK/PD model. </w:t>
      </w:r>
      <w:r>
        <w:rPr>
          <w:rFonts w:ascii="Calibri" w:eastAsia="宋体" w:hAnsi="Calibri" w:cs="Calibri" w:hint="eastAsia"/>
          <w:sz w:val="24"/>
          <w14:ligatures w14:val="none"/>
        </w:rPr>
        <w:t xml:space="preserve"> This workflow enables </w:t>
      </w:r>
      <w:r>
        <w:rPr>
          <w:rFonts w:ascii="Calibri" w:eastAsia="宋体" w:hAnsi="Calibri" w:cs="Calibri" w:hint="eastAsia"/>
          <w:color w:val="FF0000"/>
          <w:sz w:val="24"/>
          <w14:ligatures w14:val="none"/>
        </w:rPr>
        <w:t xml:space="preserve">integrated </w:t>
      </w:r>
      <w:r>
        <w:rPr>
          <w:rFonts w:ascii="Calibri" w:eastAsia="宋体" w:hAnsi="Calibri" w:cs="Calibri" w:hint="eastAsia"/>
          <w:sz w:val="24"/>
          <w14:ligatures w14:val="none"/>
        </w:rPr>
        <w:t xml:space="preserve">characterization of intracellular drug uptake, retention, and functional antitumor activity across cellular and animal models. The approach is particularly useful for studying agents that modulate intracellular drug disposition. For example,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 (CSE) has been reported to exert antitumor activity and regulate tumor cell death pathways such as ferroptosis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_Ref225697822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6</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xml:space="preserve">, suggesting that modulation of intracellular pharmacokinetics may contribute to its </w:t>
      </w:r>
      <w:proofErr w:type="spellStart"/>
      <w:r>
        <w:rPr>
          <w:rFonts w:ascii="Calibri" w:eastAsia="宋体" w:hAnsi="Calibri" w:cs="Calibri" w:hint="eastAsia"/>
          <w:sz w:val="24"/>
          <w14:ligatures w14:val="none"/>
        </w:rPr>
        <w:t>chemosensitizing</w:t>
      </w:r>
      <w:proofErr w:type="spellEnd"/>
      <w:r>
        <w:rPr>
          <w:rFonts w:ascii="Calibri" w:eastAsia="宋体" w:hAnsi="Calibri" w:cs="Calibri" w:hint="eastAsia"/>
          <w:sz w:val="24"/>
          <w14:ligatures w14:val="none"/>
        </w:rPr>
        <w:t xml:space="preserve"> effects.</w:t>
      </w:r>
    </w:p>
    <w:p w14:paraId="46FDFC83" w14:textId="77777777" w:rsidR="00BE1D3D"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hint="eastAsia"/>
          <w:sz w:val="24"/>
          <w14:ligatures w14:val="none"/>
        </w:rPr>
        <w:t>This protocol is particularly suitable for studies in which intracellular drug disposition plays a central role in therapeutic response, including investigations of chemosensitizers, transporter modulators, metabolic regulators, and combination therapies. It is especially applicable to luciferase-labeled tumor models and small-molecule drugs amenable to quantitative intracellular analysis.</w:t>
      </w:r>
      <w:r>
        <w:rPr>
          <w:rFonts w:hint="eastAsia"/>
        </w:rPr>
        <w:t xml:space="preserve"> </w:t>
      </w:r>
      <w:r>
        <w:rPr>
          <w:rFonts w:ascii="Calibri" w:eastAsia="宋体" w:hAnsi="Calibri" w:cs="Calibri"/>
          <w:color w:val="FF0000"/>
          <w:sz w:val="24"/>
          <w14:ligatures w14:val="none"/>
        </w:rPr>
        <w:t>The resulting workflow provides a practical framework for exploratory cross-system exposure–response assessment rather than a classical or fully validated PK/PD modeling approach and does not replace the underlying LC-MS/MS or BLI technologies.</w:t>
      </w:r>
    </w:p>
    <w:p w14:paraId="095E150A" w14:textId="77777777" w:rsidR="00014C09" w:rsidRDefault="00014C09">
      <w:pPr>
        <w:autoSpaceDE w:val="0"/>
        <w:adjustRightInd w:val="0"/>
        <w:snapToGrid w:val="0"/>
        <w:spacing w:after="0" w:line="240" w:lineRule="auto"/>
        <w:jc w:val="both"/>
        <w:rPr>
          <w:rFonts w:ascii="Calibri" w:eastAsia="宋体" w:hAnsi="Calibri" w:cs="Calibri"/>
          <w:color w:val="FF0000"/>
          <w:sz w:val="24"/>
          <w14:ligatures w14:val="none"/>
        </w:rPr>
      </w:pPr>
    </w:p>
    <w:p w14:paraId="18CCF633"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b/>
          <w:bCs/>
          <w:sz w:val="28"/>
          <w:szCs w:val="28"/>
          <w14:ligatures w14:val="none"/>
        </w:rPr>
        <w:t>Protocol</w:t>
      </w:r>
    </w:p>
    <w:p w14:paraId="0A0DB662"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Ethics Statement</w:t>
      </w:r>
    </w:p>
    <w:p w14:paraId="4B1A7563"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sz w:val="24"/>
          <w14:ligatures w14:val="none"/>
        </w:rPr>
        <w:t xml:space="preserve">Perform all animal procedures in accordance with the guidelines of the Institutional Animal Care and Use Committee of Zhejiang Chinese Medical University under approved protocol number (Pro#2014-03-018, 6 Mar 2014; animal use license: SYXK(H)2012-0002). </w:t>
      </w:r>
      <w:r>
        <w:rPr>
          <w:rFonts w:ascii="Calibri" w:eastAsia="宋体" w:hAnsi="Calibri" w:cs="Calibri"/>
          <w:color w:val="FF0000"/>
          <w:sz w:val="24"/>
          <w14:ligatures w14:val="none"/>
        </w:rPr>
        <w:t>House mice under specific-pathogen-free conditions with a 12 h light/dark cycle and ad libitum access to sterilized food and water. Monitor the clinical condition and body weight of each mouse throughout the study. Establish humane endpoints to minimize animal suffering. Euthanize animals by CO</w:t>
      </w:r>
      <w:r w:rsidRPr="00F92C68">
        <w:rPr>
          <w:rFonts w:ascii="Calibri" w:eastAsia="宋体" w:hAnsi="Calibri" w:cs="Calibri" w:hint="eastAsia"/>
          <w:color w:val="FF0000"/>
          <w:sz w:val="24"/>
          <w:vertAlign w:val="subscript"/>
          <w14:ligatures w14:val="none"/>
        </w:rPr>
        <w:t>2</w:t>
      </w:r>
      <w:r>
        <w:rPr>
          <w:rFonts w:ascii="Calibri" w:eastAsia="宋体" w:hAnsi="Calibri" w:cs="Calibri"/>
          <w:color w:val="FF0000"/>
          <w:sz w:val="24"/>
          <w14:ligatures w14:val="none"/>
        </w:rPr>
        <w:t xml:space="preserve"> inhalation followed by cervical dislocation when any predefined endpoint is reached, including tumor diameter exceeding 15 mm (or tumor volume &gt;1,500 mm³), body weight loss greater than 20% from baseline, tumor ulceration or necrosis, or severe clinical signs such as hunched posture, lethargy, or labored breathing.</w:t>
      </w:r>
    </w:p>
    <w:p w14:paraId="5116421D" w14:textId="77777777" w:rsidR="00BE1D3D" w:rsidRDefault="00000000">
      <w:pPr>
        <w:spacing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1. Establish the</w:t>
      </w:r>
      <w:r>
        <w:rPr>
          <w:rFonts w:ascii="Calibri" w:eastAsia="宋体" w:hAnsi="Calibri" w:cs="Calibri" w:hint="eastAsia"/>
          <w:b/>
          <w:bCs/>
          <w:i/>
          <w:iCs/>
          <w:sz w:val="24"/>
          <w14:ligatures w14:val="none"/>
        </w:rPr>
        <w:t xml:space="preserve"> in vitro </w:t>
      </w:r>
      <w:r>
        <w:rPr>
          <w:rFonts w:ascii="Calibri" w:eastAsia="宋体" w:hAnsi="Calibri" w:cs="Calibri" w:hint="eastAsia"/>
          <w:b/>
          <w:bCs/>
          <w:sz w:val="24"/>
          <w14:ligatures w14:val="none"/>
        </w:rPr>
        <w:t>intracellular pharmacokinetic model</w:t>
      </w:r>
    </w:p>
    <w:p w14:paraId="5DF322A2" w14:textId="4CE03632"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1.1 Cell Culture</w:t>
      </w:r>
    </w:p>
    <w:p w14:paraId="5384815C" w14:textId="77777777" w:rsidR="00BE1D3D" w:rsidRPr="004A035A" w:rsidRDefault="00000000">
      <w:pPr>
        <w:spacing w:line="240" w:lineRule="auto"/>
        <w:rPr>
          <w:rFonts w:ascii="Calibri" w:eastAsia="宋体" w:hAnsi="Calibri" w:cs="Calibri"/>
          <w:sz w:val="24"/>
          <w:highlight w:val="yellow"/>
          <w14:ligatures w14:val="none"/>
        </w:rPr>
      </w:pPr>
      <w:r w:rsidRPr="004A035A">
        <w:rPr>
          <w:rFonts w:ascii="Calibri" w:eastAsia="宋体" w:hAnsi="Calibri" w:cs="Calibri" w:hint="eastAsia"/>
          <w:color w:val="FF0000"/>
          <w:sz w:val="24"/>
          <w:highlight w:val="yellow"/>
          <w14:ligatures w14:val="none"/>
        </w:rPr>
        <w:t>1.1.1</w:t>
      </w:r>
      <w:r w:rsidRPr="004A035A">
        <w:rPr>
          <w:rFonts w:ascii="Calibri" w:eastAsia="宋体" w:hAnsi="Calibri" w:cs="Calibri" w:hint="eastAsia"/>
          <w:sz w:val="24"/>
          <w:highlight w:val="yellow"/>
          <w14:ligatures w14:val="none"/>
        </w:rPr>
        <w:t xml:space="preserve"> Obtain BxPC-3 human pancreatic cancer cells from a certified cell bank and maintain the cells in RPMI-1640 medium supplemented with 10% fetal bovine serum and 1% penicillin-streptomycin.</w:t>
      </w:r>
    </w:p>
    <w:p w14:paraId="1D637E77" w14:textId="77777777" w:rsidR="00BE1D3D" w:rsidRPr="004A035A" w:rsidRDefault="00000000">
      <w:pPr>
        <w:spacing w:line="240" w:lineRule="auto"/>
        <w:rPr>
          <w:rFonts w:ascii="Calibri" w:eastAsia="宋体" w:hAnsi="Calibri" w:cs="Calibri"/>
          <w:sz w:val="24"/>
          <w:highlight w:val="yellow"/>
          <w14:ligatures w14:val="none"/>
        </w:rPr>
      </w:pPr>
      <w:r w:rsidRPr="004A035A">
        <w:rPr>
          <w:rFonts w:ascii="Calibri" w:eastAsia="宋体" w:hAnsi="Calibri" w:cs="Calibri" w:hint="eastAsia"/>
          <w:color w:val="FF0000"/>
          <w:sz w:val="24"/>
          <w:highlight w:val="yellow"/>
          <w14:ligatures w14:val="none"/>
        </w:rPr>
        <w:t xml:space="preserve">1.1.2 </w:t>
      </w:r>
      <w:r w:rsidRPr="004A035A">
        <w:rPr>
          <w:rFonts w:ascii="Calibri" w:eastAsia="宋体" w:hAnsi="Calibri" w:cs="Calibri" w:hint="eastAsia"/>
          <w:sz w:val="24"/>
          <w:highlight w:val="yellow"/>
          <w14:ligatures w14:val="none"/>
        </w:rPr>
        <w:t>Generate firefly luciferase-expressing BxPC-3 cells by stable transfection and select positive clones with puromycin at 2 µg/</w:t>
      </w:r>
      <w:proofErr w:type="spellStart"/>
      <w:r w:rsidRPr="004A035A">
        <w:rPr>
          <w:rFonts w:ascii="Calibri" w:eastAsia="宋体" w:hAnsi="Calibri" w:cs="Calibri" w:hint="eastAsia"/>
          <w:sz w:val="24"/>
          <w:highlight w:val="yellow"/>
          <w14:ligatures w14:val="none"/>
        </w:rPr>
        <w:t>mL.</w:t>
      </w:r>
      <w:proofErr w:type="spellEnd"/>
    </w:p>
    <w:p w14:paraId="0CF75F1E" w14:textId="77777777" w:rsidR="00BE1D3D" w:rsidRDefault="00000000">
      <w:pPr>
        <w:spacing w:line="240" w:lineRule="auto"/>
        <w:rPr>
          <w:rFonts w:ascii="Calibri" w:eastAsia="宋体" w:hAnsi="Calibri" w:cs="Calibri"/>
          <w:sz w:val="24"/>
          <w14:ligatures w14:val="none"/>
        </w:rPr>
      </w:pPr>
      <w:r w:rsidRPr="004A035A">
        <w:rPr>
          <w:rFonts w:ascii="Calibri" w:eastAsia="宋体" w:hAnsi="Calibri" w:cs="Calibri" w:hint="eastAsia"/>
          <w:color w:val="FF0000"/>
          <w:sz w:val="24"/>
          <w:highlight w:val="yellow"/>
          <w14:ligatures w14:val="none"/>
        </w:rPr>
        <w:lastRenderedPageBreak/>
        <w:t>1.1.3</w:t>
      </w:r>
      <w:r w:rsidRPr="004A035A">
        <w:rPr>
          <w:rFonts w:ascii="Calibri" w:eastAsia="宋体" w:hAnsi="Calibri" w:cs="Calibri" w:hint="eastAsia"/>
          <w:sz w:val="24"/>
          <w:highlight w:val="yellow"/>
          <w14:ligatures w14:val="none"/>
        </w:rPr>
        <w:t xml:space="preserve"> Incubate the cells at 37 </w:t>
      </w:r>
      <w:r w:rsidRPr="004A035A">
        <w:rPr>
          <w:rFonts w:ascii="Calibri" w:eastAsia="宋体" w:hAnsi="Calibri" w:cs="Calibri"/>
          <w:sz w:val="24"/>
          <w:highlight w:val="yellow"/>
        </w:rPr>
        <w:t>°C</w:t>
      </w:r>
      <w:r w:rsidRPr="004A035A">
        <w:rPr>
          <w:rFonts w:ascii="Calibri" w:eastAsia="宋体" w:hAnsi="Calibri" w:cs="Calibri" w:hint="eastAsia"/>
          <w:sz w:val="24"/>
          <w:highlight w:val="yellow"/>
        </w:rPr>
        <w:t xml:space="preserve"> </w:t>
      </w:r>
      <w:r w:rsidRPr="004A035A">
        <w:rPr>
          <w:rFonts w:ascii="Calibri" w:eastAsia="宋体" w:hAnsi="Calibri" w:cs="Calibri" w:hint="eastAsia"/>
          <w:sz w:val="24"/>
          <w:highlight w:val="yellow"/>
          <w14:ligatures w14:val="none"/>
        </w:rPr>
        <w:t>in 5% CO</w:t>
      </w:r>
      <w:r w:rsidRPr="004A035A">
        <w:rPr>
          <w:rFonts w:ascii="Calibri" w:eastAsia="宋体" w:hAnsi="Calibri" w:cs="Calibri" w:hint="eastAsia"/>
          <w:sz w:val="24"/>
          <w:highlight w:val="yellow"/>
          <w:vertAlign w:val="subscript"/>
          <w14:ligatures w14:val="none"/>
        </w:rPr>
        <w:t>2</w:t>
      </w:r>
      <w:r w:rsidRPr="004A035A">
        <w:rPr>
          <w:rFonts w:ascii="Calibri" w:eastAsia="宋体" w:hAnsi="Calibri" w:cs="Calibri" w:hint="eastAsia"/>
          <w:sz w:val="24"/>
          <w:highlight w:val="yellow"/>
          <w14:ligatures w14:val="none"/>
        </w:rPr>
        <w:t xml:space="preserve"> and passage them at 70% </w:t>
      </w:r>
      <w:r w:rsidRPr="004A035A">
        <w:rPr>
          <w:rFonts w:ascii="Calibri" w:eastAsia="宋体" w:hAnsi="Calibri" w:cs="Calibri"/>
          <w:color w:val="FF0000"/>
          <w:sz w:val="24"/>
          <w:highlight w:val="yellow"/>
          <w14:ligatures w14:val="none"/>
        </w:rPr>
        <w:t>–</w:t>
      </w:r>
      <w:r w:rsidRPr="004A035A">
        <w:rPr>
          <w:rFonts w:ascii="Calibri" w:eastAsia="宋体" w:hAnsi="Calibri" w:cs="Calibri" w:hint="eastAsia"/>
          <w:sz w:val="24"/>
          <w:highlight w:val="yellow"/>
          <w14:ligatures w14:val="none"/>
        </w:rPr>
        <w:t xml:space="preserve"> 80% confluence. Use cells between passage numbers 5</w:t>
      </w:r>
      <w:r w:rsidRPr="004A035A">
        <w:rPr>
          <w:rFonts w:ascii="Calibri" w:eastAsia="宋体" w:hAnsi="Calibri" w:cs="Calibri"/>
          <w:color w:val="FF0000"/>
          <w:sz w:val="24"/>
          <w:highlight w:val="yellow"/>
          <w14:ligatures w14:val="none"/>
        </w:rPr>
        <w:t>–</w:t>
      </w:r>
      <w:r w:rsidRPr="004A035A">
        <w:rPr>
          <w:rFonts w:ascii="Calibri" w:eastAsia="宋体" w:hAnsi="Calibri" w:cs="Calibri" w:hint="eastAsia"/>
          <w:sz w:val="24"/>
          <w:highlight w:val="yellow"/>
          <w14:ligatures w14:val="none"/>
        </w:rPr>
        <w:t>20.</w:t>
      </w:r>
    </w:p>
    <w:p w14:paraId="0908CB1B"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NOTE: Avoid over-confluent cultures because they reduce the reproducibility of gemcitabine uptake.</w:t>
      </w:r>
    </w:p>
    <w:p w14:paraId="3164900B"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1.2 Seed cells and apply treatment</w:t>
      </w:r>
    </w:p>
    <w:p w14:paraId="79F6C98A"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1.2.1</w:t>
      </w:r>
      <w:r w:rsidRPr="00F01B6D">
        <w:rPr>
          <w:rFonts w:ascii="Calibri" w:eastAsia="宋体" w:hAnsi="Calibri" w:cs="Calibri" w:hint="eastAsia"/>
          <w:sz w:val="24"/>
          <w:highlight w:val="yellow"/>
          <w14:ligatures w14:val="none"/>
        </w:rPr>
        <w:t xml:space="preserve"> Seed 2 </w:t>
      </w:r>
      <w:r w:rsidRPr="00F01B6D">
        <w:rPr>
          <w:rFonts w:ascii="Calibri" w:eastAsia="宋体" w:hAnsi="Calibri" w:cs="Calibri"/>
          <w:sz w:val="24"/>
          <w:highlight w:val="yellow"/>
        </w:rPr>
        <w:t>×</w:t>
      </w:r>
      <w:r w:rsidRPr="00F01B6D">
        <w:rPr>
          <w:rFonts w:ascii="Calibri" w:eastAsia="宋体" w:hAnsi="Calibri" w:cs="Calibri" w:hint="eastAsia"/>
          <w:sz w:val="24"/>
          <w:highlight w:val="yellow"/>
          <w14:ligatures w14:val="none"/>
        </w:rPr>
        <w:t xml:space="preserve"> 10</w:t>
      </w:r>
      <w:r w:rsidRPr="00F01B6D">
        <w:rPr>
          <w:rFonts w:ascii="Calibri" w:eastAsia="宋体" w:hAnsi="Calibri" w:cs="Calibri" w:hint="eastAsia"/>
          <w:sz w:val="24"/>
          <w:highlight w:val="yellow"/>
          <w:vertAlign w:val="superscript"/>
          <w14:ligatures w14:val="none"/>
        </w:rPr>
        <w:t>5</w:t>
      </w:r>
      <w:r w:rsidRPr="00F01B6D">
        <w:rPr>
          <w:rFonts w:ascii="Calibri" w:eastAsia="宋体" w:hAnsi="Calibri" w:cs="Calibri" w:hint="eastAsia"/>
          <w:sz w:val="24"/>
          <w:highlight w:val="yellow"/>
          <w14:ligatures w14:val="none"/>
        </w:rPr>
        <w:t xml:space="preserve"> BxPC-3 cells per well in 6-well plates in 2 mL complete medium and incubate the plates for 12</w:t>
      </w:r>
      <w:r w:rsidRPr="00F01B6D">
        <w:rPr>
          <w:rFonts w:ascii="Calibri" w:eastAsia="宋体" w:hAnsi="Calibri" w:cs="Calibri" w:hint="eastAsia"/>
          <w:sz w:val="24"/>
          <w:highlight w:val="yellow"/>
        </w:rPr>
        <w:t xml:space="preserve"> </w:t>
      </w:r>
      <w:r w:rsidRPr="00F01B6D">
        <w:rPr>
          <w:rFonts w:ascii="Calibri" w:eastAsia="宋体" w:hAnsi="Calibri" w:cs="Calibri"/>
          <w:color w:val="FF0000"/>
          <w:sz w:val="24"/>
          <w:highlight w:val="yellow"/>
        </w:rPr>
        <w:t>–</w:t>
      </w:r>
      <w:r w:rsidRPr="00F01B6D">
        <w:rPr>
          <w:rFonts w:ascii="Calibri" w:eastAsia="宋体" w:hAnsi="Calibri" w:cs="Calibri" w:hint="eastAsia"/>
          <w:sz w:val="24"/>
          <w:highlight w:val="yellow"/>
        </w:rPr>
        <w:t xml:space="preserve"> </w:t>
      </w:r>
      <w:r w:rsidRPr="00F01B6D">
        <w:rPr>
          <w:rFonts w:ascii="Calibri" w:eastAsia="宋体" w:hAnsi="Calibri" w:cs="Calibri" w:hint="eastAsia"/>
          <w:sz w:val="24"/>
          <w:highlight w:val="yellow"/>
          <w14:ligatures w14:val="none"/>
        </w:rPr>
        <w:t>16 h.</w:t>
      </w:r>
    </w:p>
    <w:p w14:paraId="0B9EA148"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1.2.2</w:t>
      </w:r>
      <w:r w:rsidRPr="00F01B6D">
        <w:rPr>
          <w:rFonts w:ascii="Calibri" w:eastAsia="宋体" w:hAnsi="Calibri" w:cs="Calibri" w:hint="eastAsia"/>
          <w:sz w:val="24"/>
          <w:highlight w:val="yellow"/>
          <w14:ligatures w14:val="none"/>
        </w:rPr>
        <w:t xml:space="preserve"> Prepare treatment media containing vehicle, gemcitabine alone, CSE alone, or gemcitabine plus CSE. Use final concentrations of gemcitabine at 6.5 µM and CSE at 666.78 µg/</w:t>
      </w:r>
      <w:proofErr w:type="spellStart"/>
      <w:r w:rsidRPr="00F01B6D">
        <w:rPr>
          <w:rFonts w:ascii="Calibri" w:eastAsia="宋体" w:hAnsi="Calibri" w:cs="Calibri" w:hint="eastAsia"/>
          <w:sz w:val="24"/>
          <w:highlight w:val="yellow"/>
          <w14:ligatures w14:val="none"/>
        </w:rPr>
        <w:t>mL.</w:t>
      </w:r>
      <w:proofErr w:type="spellEnd"/>
      <w:r w:rsidRPr="00F01B6D">
        <w:rPr>
          <w:rFonts w:ascii="Calibri" w:eastAsia="宋体" w:hAnsi="Calibri" w:cs="Calibri" w:hint="eastAsia"/>
          <w:sz w:val="24"/>
          <w:highlight w:val="yellow"/>
          <w14:ligatures w14:val="none"/>
        </w:rPr>
        <w:t xml:space="preserve"> Keep the final dimethyl sulfoxide concentration below 0.1% (v/v).</w:t>
      </w:r>
    </w:p>
    <w:p w14:paraId="5F9DFB3B"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1.2.3</w:t>
      </w:r>
      <w:r w:rsidRPr="00F01B6D">
        <w:rPr>
          <w:rFonts w:ascii="Calibri" w:eastAsia="宋体" w:hAnsi="Calibri" w:cs="Calibri" w:hint="eastAsia"/>
          <w:sz w:val="24"/>
          <w:highlight w:val="yellow"/>
          <w14:ligatures w14:val="none"/>
        </w:rPr>
        <w:t xml:space="preserve"> Replace the medium with 2 mL of the corresponding treatment medium and incubate the cells for 24, 48, and 72 h according to the experimental design.</w:t>
      </w:r>
    </w:p>
    <w:p w14:paraId="4ABBE97D"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CRITICAL STEP: The selected concentration was based on its ability to produce a significant pharmacodynamic effect and was therefore used for subsequent PK/PD analysis.</w:t>
      </w:r>
    </w:p>
    <w:p w14:paraId="25F93F32"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1.3 Quench intracellular metabolism and extract analytes</w:t>
      </w:r>
    </w:p>
    <w:p w14:paraId="65FA3262" w14:textId="77777777" w:rsidR="00BE1D3D" w:rsidRPr="00F01B6D" w:rsidRDefault="00000000">
      <w:pPr>
        <w:spacing w:line="240" w:lineRule="auto"/>
        <w:rPr>
          <w:rFonts w:ascii="Calibri" w:eastAsia="宋体" w:hAnsi="Calibri" w:cs="Calibri"/>
          <w:color w:val="FF0000"/>
          <w:sz w:val="24"/>
          <w:highlight w:val="yellow"/>
          <w14:ligatures w14:val="none"/>
        </w:rPr>
      </w:pPr>
      <w:r w:rsidRPr="00F01B6D">
        <w:rPr>
          <w:rFonts w:ascii="Calibri" w:eastAsia="宋体" w:hAnsi="Calibri" w:cs="Calibri"/>
          <w:color w:val="FF0000"/>
          <w:sz w:val="24"/>
          <w:highlight w:val="yellow"/>
          <w14:ligatures w14:val="none"/>
        </w:rPr>
        <w:t>1.</w:t>
      </w:r>
      <w:r w:rsidRPr="00F01B6D">
        <w:rPr>
          <w:rFonts w:ascii="Calibri" w:eastAsia="宋体" w:hAnsi="Calibri" w:cs="Calibri" w:hint="eastAsia"/>
          <w:color w:val="FF0000"/>
          <w:sz w:val="24"/>
          <w:highlight w:val="yellow"/>
          <w14:ligatures w14:val="none"/>
        </w:rPr>
        <w:t>3.1</w:t>
      </w:r>
      <w:r w:rsidRPr="00F01B6D">
        <w:rPr>
          <w:rFonts w:ascii="Calibri" w:eastAsia="宋体" w:hAnsi="Calibri" w:cs="Calibri"/>
          <w:color w:val="FF0000"/>
          <w:sz w:val="24"/>
          <w:highlight w:val="yellow"/>
          <w14:ligatures w14:val="none"/>
        </w:rPr>
        <w:t xml:space="preserve"> Immediately collect the cells at each sampling time point by trypsinization and centrifuge the cell suspension at 900 rpm for 5 min. Store the cell pellets at −20 °C until sample preparation.</w:t>
      </w:r>
    </w:p>
    <w:p w14:paraId="4A6BD5E8" w14:textId="77777777" w:rsidR="00BE1D3D" w:rsidRPr="00F01B6D" w:rsidRDefault="00000000">
      <w:pPr>
        <w:spacing w:line="240" w:lineRule="auto"/>
        <w:rPr>
          <w:rFonts w:ascii="Calibri" w:eastAsia="宋体" w:hAnsi="Calibri" w:cs="Calibri"/>
          <w:color w:val="FF0000"/>
          <w:sz w:val="24"/>
          <w:highlight w:val="yellow"/>
          <w14:ligatures w14:val="none"/>
        </w:rPr>
      </w:pPr>
      <w:r w:rsidRPr="00F01B6D">
        <w:rPr>
          <w:rFonts w:ascii="Calibri" w:eastAsia="宋体" w:hAnsi="Calibri" w:cs="Calibri" w:hint="eastAsia"/>
          <w:color w:val="FF0000"/>
          <w:sz w:val="24"/>
          <w:highlight w:val="yellow"/>
          <w14:ligatures w14:val="none"/>
        </w:rPr>
        <w:t>1.3.2 Lyse each cell pellet with 100 µL ultrapure water and subject the lysate to seven freeze</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 xml:space="preserve">thaw cycles using liquid nitrogen for freezing and room temperature for thawing. Centrifuge the lysate at 14,000 rpm for 10 min at 4 </w:t>
      </w:r>
      <w:r w:rsidRPr="00F01B6D">
        <w:rPr>
          <w:rFonts w:ascii="Calibri" w:eastAsia="宋体" w:hAnsi="Calibri" w:cs="Calibri"/>
          <w:color w:val="FF0000"/>
          <w:sz w:val="24"/>
          <w:highlight w:val="yellow"/>
          <w14:ligatures w14:val="none"/>
        </w:rPr>
        <w:t>°C</w:t>
      </w:r>
      <w:r w:rsidRPr="00F01B6D">
        <w:rPr>
          <w:rFonts w:ascii="Calibri" w:eastAsia="宋体" w:hAnsi="Calibri" w:cs="Calibri" w:hint="eastAsia"/>
          <w:color w:val="FF0000"/>
          <w:sz w:val="24"/>
          <w:highlight w:val="yellow"/>
          <w14:ligatures w14:val="none"/>
        </w:rPr>
        <w:t xml:space="preserve"> and collect the supernatant.</w:t>
      </w:r>
    </w:p>
    <w:p w14:paraId="25FA0C3C" w14:textId="77777777" w:rsidR="00BE1D3D" w:rsidRPr="00F01B6D" w:rsidRDefault="00000000">
      <w:pPr>
        <w:spacing w:line="240" w:lineRule="auto"/>
        <w:rPr>
          <w:rFonts w:ascii="Calibri" w:eastAsia="宋体" w:hAnsi="Calibri" w:cs="Calibri"/>
          <w:color w:val="FF0000"/>
          <w:sz w:val="24"/>
          <w:highlight w:val="yellow"/>
          <w14:ligatures w14:val="none"/>
        </w:rPr>
      </w:pPr>
      <w:r w:rsidRPr="00F01B6D">
        <w:rPr>
          <w:rFonts w:ascii="Calibri" w:eastAsia="宋体" w:hAnsi="Calibri" w:cs="Calibri"/>
          <w:color w:val="FF0000"/>
          <w:sz w:val="24"/>
          <w:highlight w:val="yellow"/>
          <w14:ligatures w14:val="none"/>
        </w:rPr>
        <w:t>1.3.3 Add 10 volumes of acetonitrile to the supernatant to precipitate proteins, and evaporate the extract to near dryness under nitrogen at 30 °C.</w:t>
      </w:r>
    </w:p>
    <w:p w14:paraId="04B4234E" w14:textId="77777777" w:rsidR="00BE1D3D" w:rsidRDefault="00000000">
      <w:pPr>
        <w:spacing w:line="240" w:lineRule="auto"/>
        <w:rPr>
          <w:rFonts w:ascii="Calibri" w:eastAsia="宋体" w:hAnsi="Calibri" w:cs="Calibri"/>
          <w:color w:val="FF0000"/>
          <w:sz w:val="24"/>
          <w14:ligatures w14:val="none"/>
        </w:rPr>
      </w:pPr>
      <w:r w:rsidRPr="002F3876">
        <w:rPr>
          <w:rFonts w:ascii="Calibri" w:eastAsia="宋体" w:hAnsi="Calibri" w:cs="Calibri" w:hint="eastAsia"/>
          <w:color w:val="FF0000"/>
          <w:sz w:val="24"/>
          <w14:ligatures w14:val="none"/>
        </w:rPr>
        <w:t xml:space="preserve">1.3.4 Standardize intracellular drug measurements: Report intracellular gemcitabine and </w:t>
      </w:r>
      <w:proofErr w:type="spellStart"/>
      <w:r w:rsidRPr="002F3876">
        <w:rPr>
          <w:rFonts w:ascii="Calibri" w:eastAsia="宋体" w:hAnsi="Calibri" w:cs="Calibri" w:hint="eastAsia"/>
          <w:color w:val="FF0000"/>
          <w:sz w:val="24"/>
          <w14:ligatures w14:val="none"/>
        </w:rPr>
        <w:t>dFdU</w:t>
      </w:r>
      <w:proofErr w:type="spellEnd"/>
      <w:r w:rsidRPr="002F3876">
        <w:rPr>
          <w:rFonts w:ascii="Calibri" w:eastAsia="宋体" w:hAnsi="Calibri" w:cs="Calibri" w:hint="eastAsia"/>
          <w:color w:val="FF0000"/>
          <w:sz w:val="24"/>
          <w14:ligatures w14:val="none"/>
        </w:rPr>
        <w:t xml:space="preserve"> concentrations as ng/mL of cell lysate based on the corresponding matrix-matched calibration curves.</w:t>
      </w:r>
    </w:p>
    <w:p w14:paraId="0DBB2215"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NOTE: Use a consistent cell-seeding density, lysis volume, and sample-processing procedure across all experimental groups. No additional normalization to cell number or total protein content is applied to the LC-MS/MS-derived intracellular drug concentrations.</w:t>
      </w:r>
    </w:p>
    <w:p w14:paraId="5F1742B0" w14:textId="77777777" w:rsidR="00BE1D3D" w:rsidRDefault="00000000">
      <w:pPr>
        <w:spacing w:line="240" w:lineRule="auto"/>
        <w:rPr>
          <w:rFonts w:ascii="Calibri" w:eastAsia="宋体" w:hAnsi="Calibri" w:cs="Calibri"/>
          <w:sz w:val="24"/>
          <w14:ligatures w14:val="none"/>
        </w:rPr>
      </w:pPr>
      <w:r w:rsidRPr="004A035A">
        <w:rPr>
          <w:rFonts w:ascii="Calibri" w:eastAsia="宋体" w:hAnsi="Calibri" w:cs="Calibri" w:hint="eastAsia"/>
          <w:sz w:val="24"/>
          <w:highlight w:val="yellow"/>
          <w14:ligatures w14:val="none"/>
        </w:rPr>
        <w:t xml:space="preserve">1.4 Configure and validate the </w:t>
      </w:r>
      <w:r w:rsidRPr="004A035A">
        <w:rPr>
          <w:rFonts w:ascii="Calibri" w:eastAsia="宋体" w:hAnsi="Calibri" w:cs="Calibri" w:hint="eastAsia"/>
          <w:i/>
          <w:iCs/>
          <w:color w:val="FF0000"/>
          <w:sz w:val="24"/>
          <w:highlight w:val="yellow"/>
          <w14:ligatures w14:val="none"/>
        </w:rPr>
        <w:t>in vitro</w:t>
      </w:r>
      <w:r w:rsidRPr="004A035A">
        <w:rPr>
          <w:rFonts w:ascii="Calibri" w:eastAsia="宋体" w:hAnsi="Calibri" w:cs="Calibri" w:hint="eastAsia"/>
          <w:sz w:val="24"/>
          <w:highlight w:val="yellow"/>
          <w14:ligatures w14:val="none"/>
        </w:rPr>
        <w:t xml:space="preserve"> LC-MS/MS assay</w:t>
      </w:r>
    </w:p>
    <w:p w14:paraId="1A664995" w14:textId="77777777" w:rsidR="00BE1D3D" w:rsidRPr="00F01B6D" w:rsidRDefault="00000000">
      <w:pPr>
        <w:spacing w:line="240" w:lineRule="auto"/>
        <w:rPr>
          <w:rFonts w:ascii="Calibri" w:eastAsia="宋体" w:hAnsi="Calibri" w:cs="Calibri"/>
          <w:color w:val="FF0000"/>
          <w:sz w:val="24"/>
          <w:highlight w:val="yellow"/>
          <w14:ligatures w14:val="none"/>
        </w:rPr>
      </w:pPr>
      <w:r w:rsidRPr="00F01B6D">
        <w:rPr>
          <w:rFonts w:ascii="Calibri" w:eastAsia="宋体" w:hAnsi="Calibri" w:cs="Calibri" w:hint="eastAsia"/>
          <w:color w:val="FF0000"/>
          <w:sz w:val="24"/>
          <w:highlight w:val="yellow"/>
          <w14:ligatures w14:val="none"/>
        </w:rPr>
        <w:t xml:space="preserve">1.4.1 Install an Ultimate XB-C18 column (2.1 mm </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 xml:space="preserve"> 100 mm, 1.8 µm particle size) and maintain the column at 30 </w:t>
      </w:r>
      <w:r w:rsidRPr="00F01B6D">
        <w:rPr>
          <w:rFonts w:ascii="Calibri" w:eastAsia="宋体" w:hAnsi="Calibri" w:cs="Calibri"/>
          <w:color w:val="FF0000"/>
          <w:sz w:val="24"/>
          <w:highlight w:val="yellow"/>
          <w14:ligatures w14:val="none"/>
        </w:rPr>
        <w:t>°C</w:t>
      </w:r>
      <w:r w:rsidRPr="00F01B6D">
        <w:rPr>
          <w:rFonts w:ascii="Calibri" w:eastAsia="宋体" w:hAnsi="Calibri" w:cs="Calibri" w:hint="eastAsia"/>
          <w:color w:val="FF0000"/>
          <w:sz w:val="24"/>
          <w:highlight w:val="yellow"/>
          <w14:ligatures w14:val="none"/>
        </w:rPr>
        <w:t>. Use acetonitrile as mobile phase A and 1 mM ammonium acetate (pH 6.8) as mobile phase B. Set the flow rate to 0.3 mL/min and the injection volume to 1 µL.</w:t>
      </w:r>
    </w:p>
    <w:p w14:paraId="6121A554" w14:textId="020AC323" w:rsidR="00BE1D3D" w:rsidRPr="00F01B6D" w:rsidRDefault="00000000">
      <w:pPr>
        <w:spacing w:line="240" w:lineRule="auto"/>
        <w:rPr>
          <w:rFonts w:ascii="Calibri" w:eastAsia="宋体" w:hAnsi="Calibri" w:cs="Calibri"/>
          <w:color w:val="FF0000"/>
          <w:sz w:val="24"/>
          <w:highlight w:val="yellow"/>
          <w14:ligatures w14:val="none"/>
        </w:rPr>
      </w:pPr>
      <w:r w:rsidRPr="00F01B6D">
        <w:rPr>
          <w:rFonts w:ascii="Calibri" w:eastAsia="宋体" w:hAnsi="Calibri" w:cs="Calibri" w:hint="eastAsia"/>
          <w:color w:val="FF0000"/>
          <w:sz w:val="24"/>
          <w:highlight w:val="yellow"/>
          <w14:ligatures w14:val="none"/>
        </w:rPr>
        <w:t>1.4.2 Apply the following gradient program: 0</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1.2 min, 4% A; 1.2</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 xml:space="preserve">1.6 min, increase to 5% A; </w:t>
      </w:r>
      <w:r w:rsidRPr="00F01B6D">
        <w:rPr>
          <w:rFonts w:ascii="Calibri" w:eastAsia="宋体" w:hAnsi="Calibri" w:cs="Calibri" w:hint="eastAsia"/>
          <w:color w:val="FF0000"/>
          <w:sz w:val="24"/>
          <w:highlight w:val="yellow"/>
          <w14:ligatures w14:val="none"/>
        </w:rPr>
        <w:lastRenderedPageBreak/>
        <w:t>1.6</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3.2 min, maintain 5% A; 3.2</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4.0 min, return to 4% A; and 4.0</w:t>
      </w:r>
      <w:r w:rsidRPr="00F01B6D">
        <w:rPr>
          <w:rFonts w:ascii="Calibri" w:eastAsia="宋体" w:hAnsi="Calibri" w:cs="Calibri"/>
          <w:color w:val="FF0000"/>
          <w:sz w:val="24"/>
          <w:highlight w:val="yellow"/>
          <w14:ligatures w14:val="none"/>
        </w:rPr>
        <w:t>–</w:t>
      </w:r>
      <w:r w:rsidRPr="00F01B6D">
        <w:rPr>
          <w:rFonts w:ascii="Calibri" w:eastAsia="宋体" w:hAnsi="Calibri" w:cs="Calibri" w:hint="eastAsia"/>
          <w:color w:val="FF0000"/>
          <w:sz w:val="24"/>
          <w:highlight w:val="yellow"/>
          <w14:ligatures w14:val="none"/>
        </w:rPr>
        <w:t>5.0 min, maintain 4% A for re-equilibration.</w:t>
      </w:r>
    </w:p>
    <w:p w14:paraId="62D07D4D"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1.4.3</w:t>
      </w:r>
      <w:r w:rsidRPr="00F01B6D">
        <w:rPr>
          <w:rFonts w:ascii="Calibri" w:eastAsia="宋体" w:hAnsi="Calibri" w:cs="Calibri" w:hint="eastAsia"/>
          <w:sz w:val="24"/>
          <w:highlight w:val="yellow"/>
          <w14:ligatures w14:val="none"/>
        </w:rPr>
        <w:t xml:space="preserve"> Operate the mass spectrometer in positive electrospray ionization mode and acquire data in multiple reaction monitoring mode.</w:t>
      </w:r>
    </w:p>
    <w:p w14:paraId="7363E17D"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1.4.4</w:t>
      </w:r>
      <w:r w:rsidRPr="00F01B6D">
        <w:rPr>
          <w:rFonts w:ascii="Calibri" w:eastAsia="宋体" w:hAnsi="Calibri" w:cs="Calibri" w:hint="eastAsia"/>
          <w:sz w:val="24"/>
          <w:highlight w:val="yellow"/>
          <w14:ligatures w14:val="none"/>
        </w:rPr>
        <w:t xml:space="preserve"> Use the following transitions and source settings: gemcitabine, m/z 264.1 </w:t>
      </w:r>
      <w:r w:rsidRPr="00F01B6D">
        <w:rPr>
          <w:rFonts w:ascii="Calibri" w:eastAsia="宋体" w:hAnsi="Calibri" w:cs="Calibri" w:hint="eastAsia"/>
          <w:sz w:val="24"/>
          <w:highlight w:val="yellow"/>
          <w14:ligatures w14:val="none"/>
        </w:rPr>
        <w:t>→</w:t>
      </w:r>
      <w:r w:rsidRPr="00F01B6D">
        <w:rPr>
          <w:rFonts w:ascii="Calibri" w:eastAsia="宋体" w:hAnsi="Calibri" w:cs="Calibri" w:hint="eastAsia"/>
          <w:sz w:val="24"/>
          <w:highlight w:val="yellow"/>
          <w14:ligatures w14:val="none"/>
        </w:rPr>
        <w:t xml:space="preserve"> 112.1, CE 20 eV; </w:t>
      </w:r>
      <w:proofErr w:type="spellStart"/>
      <w:r w:rsidRPr="00F01B6D">
        <w:rPr>
          <w:rFonts w:ascii="Calibri" w:eastAsia="宋体" w:hAnsi="Calibri" w:cs="Calibri" w:hint="eastAsia"/>
          <w:sz w:val="24"/>
          <w:highlight w:val="yellow"/>
          <w14:ligatures w14:val="none"/>
        </w:rPr>
        <w:t>dFdU</w:t>
      </w:r>
      <w:proofErr w:type="spellEnd"/>
      <w:r w:rsidRPr="00F01B6D">
        <w:rPr>
          <w:rFonts w:ascii="Calibri" w:eastAsia="宋体" w:hAnsi="Calibri" w:cs="Calibri" w:hint="eastAsia"/>
          <w:sz w:val="24"/>
          <w:highlight w:val="yellow"/>
          <w14:ligatures w14:val="none"/>
        </w:rPr>
        <w:t xml:space="preserve">, m/z 247.1 </w:t>
      </w:r>
      <w:r w:rsidRPr="00F01B6D">
        <w:rPr>
          <w:rFonts w:ascii="Calibri" w:eastAsia="宋体" w:hAnsi="Calibri" w:cs="Calibri" w:hint="eastAsia"/>
          <w:sz w:val="24"/>
          <w:highlight w:val="yellow"/>
          <w14:ligatures w14:val="none"/>
        </w:rPr>
        <w:t>→</w:t>
      </w:r>
      <w:r w:rsidRPr="00F01B6D">
        <w:rPr>
          <w:rFonts w:ascii="Calibri" w:eastAsia="宋体" w:hAnsi="Calibri" w:cs="Calibri" w:hint="eastAsia"/>
          <w:sz w:val="24"/>
          <w:highlight w:val="yellow"/>
          <w14:ligatures w14:val="none"/>
        </w:rPr>
        <w:t xml:space="preserve"> 111.0, CE 18 eV; internal standard (2</w:t>
      </w:r>
      <w:r w:rsidRPr="00F01B6D">
        <w:rPr>
          <w:rFonts w:ascii="Calibri" w:eastAsia="宋体" w:hAnsi="Calibri" w:cs="Calibri"/>
          <w:sz w:val="24"/>
          <w:highlight w:val="yellow"/>
          <w14:ligatures w14:val="none"/>
        </w:rPr>
        <w:t>’</w:t>
      </w:r>
      <w:r w:rsidRPr="00F01B6D">
        <w:rPr>
          <w:rFonts w:ascii="Calibri" w:eastAsia="宋体" w:hAnsi="Calibri" w:cs="Calibri" w:hint="eastAsia"/>
          <w:sz w:val="24"/>
          <w:highlight w:val="yellow"/>
          <w14:ligatures w14:val="none"/>
        </w:rPr>
        <w:t>-deoxy-2</w:t>
      </w:r>
      <w:r w:rsidRPr="00F01B6D">
        <w:rPr>
          <w:rFonts w:ascii="Calibri" w:eastAsia="宋体" w:hAnsi="Calibri" w:cs="Calibri"/>
          <w:sz w:val="24"/>
          <w:highlight w:val="yellow"/>
          <w14:ligatures w14:val="none"/>
        </w:rPr>
        <w:t>’</w:t>
      </w:r>
      <w:r w:rsidRPr="00F01B6D">
        <w:rPr>
          <w:rFonts w:ascii="Calibri" w:eastAsia="宋体" w:hAnsi="Calibri" w:cs="Calibri" w:hint="eastAsia"/>
          <w:sz w:val="24"/>
          <w:highlight w:val="yellow"/>
          <w14:ligatures w14:val="none"/>
        </w:rPr>
        <w:t>,2</w:t>
      </w:r>
      <w:r w:rsidRPr="00F01B6D">
        <w:rPr>
          <w:rFonts w:ascii="Calibri" w:eastAsia="宋体" w:hAnsi="Calibri" w:cs="Calibri"/>
          <w:sz w:val="24"/>
          <w:highlight w:val="yellow"/>
          <w14:ligatures w14:val="none"/>
        </w:rPr>
        <w:t>’</w:t>
      </w:r>
      <w:r w:rsidRPr="00F01B6D">
        <w:rPr>
          <w:rFonts w:ascii="Calibri" w:eastAsia="宋体" w:hAnsi="Calibri" w:cs="Calibri" w:hint="eastAsia"/>
          <w:sz w:val="24"/>
          <w:highlight w:val="yellow"/>
          <w14:ligatures w14:val="none"/>
        </w:rPr>
        <w:t xml:space="preserve">-difluorouridine, </w:t>
      </w:r>
      <w:proofErr w:type="spellStart"/>
      <w:r w:rsidRPr="00F01B6D">
        <w:rPr>
          <w:rFonts w:ascii="Calibri" w:eastAsia="宋体" w:hAnsi="Calibri" w:cs="Calibri" w:hint="eastAsia"/>
          <w:sz w:val="24"/>
          <w:highlight w:val="yellow"/>
          <w14:ligatures w14:val="none"/>
        </w:rPr>
        <w:t>dFUR</w:t>
      </w:r>
      <w:proofErr w:type="spellEnd"/>
      <w:r w:rsidRPr="00F01B6D">
        <w:rPr>
          <w:rFonts w:ascii="Calibri" w:eastAsia="宋体" w:hAnsi="Calibri" w:cs="Calibri" w:hint="eastAsia"/>
          <w:sz w:val="24"/>
          <w:highlight w:val="yellow"/>
          <w14:ligatures w14:val="none"/>
        </w:rPr>
        <w:t xml:space="preserve">), m/z 247.1 </w:t>
      </w:r>
      <w:r w:rsidRPr="00F01B6D">
        <w:rPr>
          <w:rFonts w:ascii="Calibri" w:eastAsia="宋体" w:hAnsi="Calibri" w:cs="Calibri" w:hint="eastAsia"/>
          <w:sz w:val="24"/>
          <w:highlight w:val="yellow"/>
          <w14:ligatures w14:val="none"/>
        </w:rPr>
        <w:t>→</w:t>
      </w:r>
      <w:r w:rsidRPr="00F01B6D">
        <w:rPr>
          <w:rFonts w:ascii="Calibri" w:eastAsia="宋体" w:hAnsi="Calibri" w:cs="Calibri" w:hint="eastAsia"/>
          <w:sz w:val="24"/>
          <w:highlight w:val="yellow"/>
          <w14:ligatures w14:val="none"/>
        </w:rPr>
        <w:t xml:space="preserve"> 127.0, CE 18 eV. Set ion spray voltage to 5500 V, source temperature to 550 </w:t>
      </w:r>
      <w:r w:rsidRPr="00F01B6D">
        <w:rPr>
          <w:rFonts w:ascii="Calibri" w:eastAsia="宋体" w:hAnsi="Calibri" w:cs="Calibri"/>
          <w:sz w:val="24"/>
          <w:highlight w:val="yellow"/>
        </w:rPr>
        <w:t>°C</w:t>
      </w:r>
      <w:r w:rsidRPr="00F01B6D">
        <w:rPr>
          <w:rFonts w:ascii="Calibri" w:eastAsia="宋体" w:hAnsi="Calibri" w:cs="Calibri" w:hint="eastAsia"/>
          <w:sz w:val="24"/>
          <w:highlight w:val="yellow"/>
          <w14:ligatures w14:val="none"/>
        </w:rPr>
        <w:t>, curtain gas to 40 psi, nebulizer gas to 55 psi, and auxiliary gas to 55 psi.</w:t>
      </w:r>
    </w:p>
    <w:p w14:paraId="59CE758A" w14:textId="77777777" w:rsidR="00BE1D3D" w:rsidRPr="004A035A" w:rsidRDefault="00000000">
      <w:pPr>
        <w:spacing w:line="240" w:lineRule="auto"/>
        <w:rPr>
          <w:rFonts w:ascii="Calibri" w:eastAsia="宋体" w:hAnsi="Calibri" w:cs="Calibri"/>
          <w:color w:val="FF0000"/>
          <w:sz w:val="24"/>
          <w:highlight w:val="yellow"/>
          <w14:ligatures w14:val="none"/>
        </w:rPr>
      </w:pPr>
      <w:r w:rsidRPr="004A035A">
        <w:rPr>
          <w:rFonts w:ascii="Calibri" w:eastAsia="宋体" w:hAnsi="Calibri" w:cs="Calibri" w:hint="eastAsia"/>
          <w:color w:val="FF0000"/>
          <w:sz w:val="24"/>
          <w:highlight w:val="yellow"/>
          <w14:ligatures w14:val="none"/>
        </w:rPr>
        <w:t xml:space="preserve">1.4.5 Prepare matrix-matched calibration standards by spiking control cell lysates with gemcitabine at 100, 200, 500, 2,000, 2,500, 5,000, 10,000, 15,000, and 20,000 ng/mL and with </w:t>
      </w:r>
      <w:proofErr w:type="spellStart"/>
      <w:r w:rsidRPr="004A035A">
        <w:rPr>
          <w:rFonts w:ascii="Calibri" w:eastAsia="宋体" w:hAnsi="Calibri" w:cs="Calibri" w:hint="eastAsia"/>
          <w:color w:val="FF0000"/>
          <w:sz w:val="24"/>
          <w:highlight w:val="yellow"/>
          <w14:ligatures w14:val="none"/>
        </w:rPr>
        <w:t>dFdU</w:t>
      </w:r>
      <w:proofErr w:type="spellEnd"/>
      <w:r w:rsidRPr="004A035A">
        <w:rPr>
          <w:rFonts w:ascii="Calibri" w:eastAsia="宋体" w:hAnsi="Calibri" w:cs="Calibri" w:hint="eastAsia"/>
          <w:color w:val="FF0000"/>
          <w:sz w:val="24"/>
          <w:highlight w:val="yellow"/>
          <w14:ligatures w14:val="none"/>
        </w:rPr>
        <w:t xml:space="preserve"> at 200, 500, 1,000, 2,000, 2,500, 5,000, 10,000, 15,000, and 20,000 ng/</w:t>
      </w:r>
      <w:proofErr w:type="spellStart"/>
      <w:r w:rsidRPr="004A035A">
        <w:rPr>
          <w:rFonts w:ascii="Calibri" w:eastAsia="宋体" w:hAnsi="Calibri" w:cs="Calibri" w:hint="eastAsia"/>
          <w:color w:val="FF0000"/>
          <w:sz w:val="24"/>
          <w:highlight w:val="yellow"/>
          <w14:ligatures w14:val="none"/>
        </w:rPr>
        <w:t>mL.</w:t>
      </w:r>
      <w:proofErr w:type="spellEnd"/>
      <w:r w:rsidRPr="004A035A">
        <w:rPr>
          <w:rFonts w:ascii="Calibri" w:eastAsia="宋体" w:hAnsi="Calibri" w:cs="Calibri" w:hint="eastAsia"/>
          <w:color w:val="FF0000"/>
          <w:sz w:val="24"/>
          <w:highlight w:val="yellow"/>
          <w14:ligatures w14:val="none"/>
        </w:rPr>
        <w:t xml:space="preserve"> Add </w:t>
      </w:r>
      <w:proofErr w:type="spellStart"/>
      <w:r w:rsidRPr="004A035A">
        <w:rPr>
          <w:rFonts w:ascii="Calibri" w:eastAsia="宋体" w:hAnsi="Calibri" w:cs="Calibri" w:hint="eastAsia"/>
          <w:color w:val="FF0000"/>
          <w:sz w:val="24"/>
          <w:highlight w:val="yellow"/>
          <w14:ligatures w14:val="none"/>
        </w:rPr>
        <w:t>dFUR</w:t>
      </w:r>
      <w:proofErr w:type="spellEnd"/>
      <w:r w:rsidRPr="004A035A">
        <w:rPr>
          <w:rFonts w:ascii="Calibri" w:eastAsia="宋体" w:hAnsi="Calibri" w:cs="Calibri" w:hint="eastAsia"/>
          <w:color w:val="FF0000"/>
          <w:sz w:val="24"/>
          <w:highlight w:val="yellow"/>
          <w14:ligatures w14:val="none"/>
        </w:rPr>
        <w:t xml:space="preserve"> at a final concentration of 50 µg/</w:t>
      </w:r>
      <w:proofErr w:type="spellStart"/>
      <w:r w:rsidRPr="004A035A">
        <w:rPr>
          <w:rFonts w:ascii="Calibri" w:eastAsia="宋体" w:hAnsi="Calibri" w:cs="Calibri" w:hint="eastAsia"/>
          <w:color w:val="FF0000"/>
          <w:sz w:val="24"/>
          <w:highlight w:val="yellow"/>
          <w14:ligatures w14:val="none"/>
        </w:rPr>
        <w:t>mL.</w:t>
      </w:r>
      <w:proofErr w:type="spellEnd"/>
      <w:r w:rsidRPr="004A035A">
        <w:rPr>
          <w:rFonts w:ascii="Calibri" w:eastAsia="宋体" w:hAnsi="Calibri" w:cs="Calibri" w:hint="eastAsia"/>
          <w:color w:val="FF0000"/>
          <w:sz w:val="24"/>
          <w:highlight w:val="yellow"/>
          <w14:ligatures w14:val="none"/>
        </w:rPr>
        <w:t xml:space="preserve"> Analyze each calibration standard in duplicate and construct calibration curves using the peak-area ratio of each analyte to the internal standard with 1/x</w:t>
      </w:r>
      <w:r w:rsidRPr="004A035A">
        <w:rPr>
          <w:rFonts w:ascii="Calibri" w:eastAsia="宋体" w:hAnsi="Calibri" w:cs="Calibri" w:hint="eastAsia"/>
          <w:color w:val="FF0000"/>
          <w:sz w:val="24"/>
          <w:highlight w:val="yellow"/>
          <w14:ligatures w14:val="none"/>
        </w:rPr>
        <w:t>²</w:t>
      </w:r>
      <w:r w:rsidRPr="004A035A">
        <w:rPr>
          <w:rFonts w:ascii="Calibri" w:eastAsia="宋体" w:hAnsi="Calibri" w:cs="Calibri" w:hint="eastAsia"/>
          <w:color w:val="FF0000"/>
          <w:sz w:val="24"/>
          <w:highlight w:val="yellow"/>
          <w14:ligatures w14:val="none"/>
        </w:rPr>
        <w:t>-weighted linear regression.</w:t>
      </w:r>
    </w:p>
    <w:p w14:paraId="60801628" w14:textId="77777777" w:rsidR="00BE1D3D" w:rsidRPr="004A035A" w:rsidRDefault="00000000">
      <w:pPr>
        <w:spacing w:line="240" w:lineRule="auto"/>
        <w:rPr>
          <w:rFonts w:ascii="Calibri" w:eastAsia="宋体" w:hAnsi="Calibri" w:cs="Calibri"/>
          <w:color w:val="FF0000"/>
          <w:sz w:val="24"/>
          <w:highlight w:val="yellow"/>
          <w14:ligatures w14:val="none"/>
        </w:rPr>
      </w:pPr>
      <w:r w:rsidRPr="004A035A">
        <w:rPr>
          <w:rFonts w:ascii="Calibri" w:eastAsia="宋体" w:hAnsi="Calibri" w:cs="Calibri" w:hint="eastAsia"/>
          <w:color w:val="FF0000"/>
          <w:sz w:val="24"/>
          <w:highlight w:val="yellow"/>
          <w14:ligatures w14:val="none"/>
        </w:rPr>
        <w:t xml:space="preserve">1.4.6 Evaluate the analytical performance of the cell-lysate LC-MS/MS assay with respect to selectivity, linearity, recovery, accuracy, precision, stability, and matrix effect before routine sample analysis. Use quality-control samples at 200, 500, and 1,000 ng/mL for gemcitabine and </w:t>
      </w:r>
      <w:proofErr w:type="spellStart"/>
      <w:r w:rsidRPr="004A035A">
        <w:rPr>
          <w:rFonts w:ascii="Calibri" w:eastAsia="宋体" w:hAnsi="Calibri" w:cs="Calibri" w:hint="eastAsia"/>
          <w:color w:val="FF0000"/>
          <w:sz w:val="24"/>
          <w:highlight w:val="yellow"/>
          <w14:ligatures w14:val="none"/>
        </w:rPr>
        <w:t>dFdU</w:t>
      </w:r>
      <w:proofErr w:type="spellEnd"/>
      <w:r w:rsidRPr="004A035A">
        <w:rPr>
          <w:rFonts w:ascii="Calibri" w:eastAsia="宋体" w:hAnsi="Calibri" w:cs="Calibri" w:hint="eastAsia"/>
          <w:color w:val="FF0000"/>
          <w:sz w:val="24"/>
          <w:highlight w:val="yellow"/>
          <w14:ligatures w14:val="none"/>
        </w:rPr>
        <w:t xml:space="preserve"> for recovery and accuracy/precision assessments, and assess stability at 500 ng/mL over 0 </w:t>
      </w:r>
      <w:r w:rsidRPr="004A035A">
        <w:rPr>
          <w:rFonts w:ascii="Calibri" w:eastAsia="宋体" w:hAnsi="Calibri" w:cs="Calibri"/>
          <w:color w:val="FF0000"/>
          <w:sz w:val="24"/>
          <w:highlight w:val="yellow"/>
          <w14:ligatures w14:val="none"/>
        </w:rPr>
        <w:t>–</w:t>
      </w:r>
      <w:r w:rsidRPr="004A035A">
        <w:rPr>
          <w:rFonts w:ascii="Calibri" w:eastAsia="宋体" w:hAnsi="Calibri" w:cs="Calibri" w:hint="eastAsia"/>
          <w:color w:val="FF0000"/>
          <w:sz w:val="24"/>
          <w:highlight w:val="yellow"/>
          <w14:ligatures w14:val="none"/>
        </w:rPr>
        <w:t xml:space="preserve"> 24 h at room temperature.</w:t>
      </w:r>
    </w:p>
    <w:p w14:paraId="2CDEF35E" w14:textId="77777777" w:rsidR="00BE1D3D" w:rsidRDefault="00000000">
      <w:pPr>
        <w:spacing w:line="240" w:lineRule="auto"/>
        <w:rPr>
          <w:rFonts w:ascii="Calibri" w:eastAsia="宋体" w:hAnsi="Calibri" w:cs="Calibri"/>
          <w:color w:val="FF0000"/>
          <w:sz w:val="24"/>
          <w14:ligatures w14:val="none"/>
        </w:rPr>
      </w:pPr>
      <w:r w:rsidRPr="004A035A">
        <w:rPr>
          <w:rFonts w:ascii="Calibri" w:eastAsia="宋体" w:hAnsi="Calibri" w:cs="Calibri" w:hint="eastAsia"/>
          <w:color w:val="FF0000"/>
          <w:sz w:val="24"/>
          <w:highlight w:val="yellow"/>
          <w14:ligatures w14:val="none"/>
        </w:rPr>
        <w:t xml:space="preserve">1.4.7 For matrix-effect assessment, compare processed drug-free cell lysates reconstituted with gemcitabine and </w:t>
      </w:r>
      <w:proofErr w:type="spellStart"/>
      <w:r w:rsidRPr="004A035A">
        <w:rPr>
          <w:rFonts w:ascii="Calibri" w:eastAsia="宋体" w:hAnsi="Calibri" w:cs="Calibri" w:hint="eastAsia"/>
          <w:color w:val="FF0000"/>
          <w:sz w:val="24"/>
          <w:highlight w:val="yellow"/>
          <w14:ligatures w14:val="none"/>
        </w:rPr>
        <w:t>dFdU</w:t>
      </w:r>
      <w:proofErr w:type="spellEnd"/>
      <w:r w:rsidRPr="004A035A">
        <w:rPr>
          <w:rFonts w:ascii="Calibri" w:eastAsia="宋体" w:hAnsi="Calibri" w:cs="Calibri" w:hint="eastAsia"/>
          <w:color w:val="FF0000"/>
          <w:sz w:val="24"/>
          <w:highlight w:val="yellow"/>
          <w14:ligatures w14:val="none"/>
        </w:rPr>
        <w:t xml:space="preserve"> at 200 ng/mL and </w:t>
      </w:r>
      <w:proofErr w:type="spellStart"/>
      <w:r w:rsidRPr="004A035A">
        <w:rPr>
          <w:rFonts w:ascii="Calibri" w:eastAsia="宋体" w:hAnsi="Calibri" w:cs="Calibri" w:hint="eastAsia"/>
          <w:color w:val="FF0000"/>
          <w:sz w:val="24"/>
          <w:highlight w:val="yellow"/>
          <w14:ligatures w14:val="none"/>
        </w:rPr>
        <w:t>dFUR</w:t>
      </w:r>
      <w:proofErr w:type="spellEnd"/>
      <w:r w:rsidRPr="004A035A">
        <w:rPr>
          <w:rFonts w:ascii="Calibri" w:eastAsia="宋体" w:hAnsi="Calibri" w:cs="Calibri" w:hint="eastAsia"/>
          <w:color w:val="FF0000"/>
          <w:sz w:val="24"/>
          <w:highlight w:val="yellow"/>
          <w14:ligatures w14:val="none"/>
        </w:rPr>
        <w:t xml:space="preserve"> at 5 µg/mL with standard solutions containing the same concentrations without matrix components.</w:t>
      </w:r>
    </w:p>
    <w:p w14:paraId="002B3A23" w14:textId="77777777" w:rsidR="00BE1D3D" w:rsidRDefault="00000000">
      <w:pPr>
        <w:spacing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2. Establish the</w:t>
      </w:r>
      <w:r>
        <w:rPr>
          <w:rFonts w:ascii="Calibri" w:eastAsia="宋体" w:hAnsi="Calibri" w:cs="Calibri" w:hint="eastAsia"/>
          <w:b/>
          <w:bCs/>
          <w:i/>
          <w:iCs/>
          <w:sz w:val="24"/>
          <w14:ligatures w14:val="none"/>
        </w:rPr>
        <w:t xml:space="preserve"> in vitro </w:t>
      </w:r>
      <w:r>
        <w:rPr>
          <w:rFonts w:ascii="Calibri" w:eastAsia="宋体" w:hAnsi="Calibri" w:cs="Calibri" w:hint="eastAsia"/>
          <w:b/>
          <w:bCs/>
          <w:sz w:val="24"/>
          <w14:ligatures w14:val="none"/>
        </w:rPr>
        <w:t>BLI pharmacodynamic model</w:t>
      </w:r>
    </w:p>
    <w:p w14:paraId="15621427"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2.1 Seed luciferase-labeled cells</w:t>
      </w:r>
    </w:p>
    <w:p w14:paraId="6EABE1ED"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2.1.1</w:t>
      </w:r>
      <w:r w:rsidRPr="00F01B6D">
        <w:rPr>
          <w:rFonts w:ascii="Calibri" w:eastAsia="宋体" w:hAnsi="Calibri" w:cs="Calibri" w:hint="eastAsia"/>
          <w:sz w:val="24"/>
          <w:highlight w:val="yellow"/>
          <w14:ligatures w14:val="none"/>
        </w:rPr>
        <w:t xml:space="preserve"> Seed 5 </w:t>
      </w:r>
      <w:r w:rsidRPr="00F01B6D">
        <w:rPr>
          <w:rFonts w:ascii="Calibri" w:eastAsia="宋体" w:hAnsi="Calibri" w:cs="Calibri"/>
          <w:sz w:val="24"/>
          <w:highlight w:val="yellow"/>
        </w:rPr>
        <w:t>×</w:t>
      </w:r>
      <w:r w:rsidRPr="00F01B6D">
        <w:rPr>
          <w:rFonts w:ascii="Calibri" w:eastAsia="宋体" w:hAnsi="Calibri" w:cs="Calibri" w:hint="eastAsia"/>
          <w:sz w:val="24"/>
          <w:highlight w:val="yellow"/>
          <w14:ligatures w14:val="none"/>
        </w:rPr>
        <w:t xml:space="preserve"> 10</w:t>
      </w:r>
      <w:r w:rsidRPr="00F01B6D">
        <w:rPr>
          <w:rFonts w:ascii="Calibri" w:eastAsia="宋体" w:hAnsi="Calibri" w:cs="Calibri" w:hint="eastAsia"/>
          <w:sz w:val="24"/>
          <w:highlight w:val="yellow"/>
          <w:vertAlign w:val="superscript"/>
          <w14:ligatures w14:val="none"/>
        </w:rPr>
        <w:t>3</w:t>
      </w:r>
      <w:r w:rsidRPr="00F01B6D">
        <w:rPr>
          <w:rFonts w:ascii="Calibri" w:eastAsia="宋体" w:hAnsi="Calibri" w:cs="Calibri" w:hint="eastAsia"/>
          <w:sz w:val="24"/>
          <w:highlight w:val="yellow"/>
          <w14:ligatures w14:val="none"/>
        </w:rPr>
        <w:t xml:space="preserve"> BxPC-3-luc cells per well in black 96-well plates with 100 µL complete </w:t>
      </w:r>
      <w:proofErr w:type="gramStart"/>
      <w:r w:rsidRPr="00F01B6D">
        <w:rPr>
          <w:rFonts w:ascii="Calibri" w:eastAsia="宋体" w:hAnsi="Calibri" w:cs="Calibri" w:hint="eastAsia"/>
          <w:sz w:val="24"/>
          <w:highlight w:val="yellow"/>
          <w14:ligatures w14:val="none"/>
        </w:rPr>
        <w:t>medium</w:t>
      </w:r>
      <w:proofErr w:type="gramEnd"/>
      <w:r w:rsidRPr="00F01B6D">
        <w:rPr>
          <w:rFonts w:ascii="Calibri" w:eastAsia="宋体" w:hAnsi="Calibri" w:cs="Calibri" w:hint="eastAsia"/>
          <w:sz w:val="24"/>
          <w:highlight w:val="yellow"/>
          <w14:ligatures w14:val="none"/>
        </w:rPr>
        <w:t>.</w:t>
      </w:r>
    </w:p>
    <w:p w14:paraId="53072D6D" w14:textId="77777777" w:rsidR="00BE1D3D" w:rsidRPr="00F01B6D" w:rsidRDefault="00000000">
      <w:pPr>
        <w:spacing w:line="240" w:lineRule="auto"/>
        <w:rPr>
          <w:rFonts w:ascii="Calibri" w:eastAsia="宋体" w:hAnsi="Calibri" w:cs="Calibri"/>
          <w:sz w:val="24"/>
          <w14:ligatures w14:val="none"/>
        </w:rPr>
      </w:pPr>
      <w:r w:rsidRPr="004A035A">
        <w:rPr>
          <w:rFonts w:ascii="Calibri" w:eastAsia="宋体" w:hAnsi="Calibri" w:cs="Calibri" w:hint="eastAsia"/>
          <w:color w:val="FF0000"/>
          <w:sz w:val="24"/>
          <w:highlight w:val="yellow"/>
          <w14:ligatures w14:val="none"/>
        </w:rPr>
        <w:t xml:space="preserve">2.1.2 </w:t>
      </w:r>
      <w:r w:rsidRPr="004A035A">
        <w:rPr>
          <w:rFonts w:ascii="Calibri" w:eastAsia="宋体" w:hAnsi="Calibri" w:cs="Calibri" w:hint="eastAsia"/>
          <w:sz w:val="24"/>
          <w:highlight w:val="yellow"/>
          <w14:ligatures w14:val="none"/>
        </w:rPr>
        <w:t xml:space="preserve">Incubate the plate overnight at 37 </w:t>
      </w:r>
      <w:r w:rsidRPr="004A035A">
        <w:rPr>
          <w:rFonts w:ascii="Calibri" w:eastAsia="宋体" w:hAnsi="Calibri" w:cs="Calibri"/>
          <w:sz w:val="24"/>
          <w:highlight w:val="yellow"/>
        </w:rPr>
        <w:t>°C</w:t>
      </w:r>
      <w:r w:rsidRPr="004A035A">
        <w:rPr>
          <w:rFonts w:ascii="Calibri" w:eastAsia="宋体" w:hAnsi="Calibri" w:cs="Calibri" w:hint="eastAsia"/>
          <w:sz w:val="24"/>
          <w:highlight w:val="yellow"/>
          <w14:ligatures w14:val="none"/>
        </w:rPr>
        <w:t xml:space="preserve"> in 5% CO</w:t>
      </w:r>
      <w:r w:rsidRPr="004A035A">
        <w:rPr>
          <w:rFonts w:ascii="Calibri" w:eastAsia="宋体" w:hAnsi="Calibri" w:cs="Calibri" w:hint="eastAsia"/>
          <w:sz w:val="24"/>
          <w:highlight w:val="yellow"/>
          <w:vertAlign w:val="subscript"/>
          <w14:ligatures w14:val="none"/>
        </w:rPr>
        <w:t>2</w:t>
      </w:r>
      <w:r w:rsidRPr="004A035A">
        <w:rPr>
          <w:rFonts w:ascii="Calibri" w:eastAsia="宋体" w:hAnsi="Calibri" w:cs="Calibri" w:hint="eastAsia"/>
          <w:sz w:val="24"/>
          <w:highlight w:val="yellow"/>
          <w14:ligatures w14:val="none"/>
        </w:rPr>
        <w:t>.</w:t>
      </w:r>
    </w:p>
    <w:p w14:paraId="5566830A"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sz w:val="24"/>
          <w14:ligatures w14:val="none"/>
        </w:rPr>
        <w:t>2.2 Treat cells and acquire BLI images</w:t>
      </w:r>
    </w:p>
    <w:p w14:paraId="58BE0BAB"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 xml:space="preserve">2.2.1 </w:t>
      </w:r>
      <w:r w:rsidRPr="00F01B6D">
        <w:rPr>
          <w:rFonts w:ascii="Calibri" w:eastAsia="宋体" w:hAnsi="Calibri" w:cs="Calibri" w:hint="eastAsia"/>
          <w:sz w:val="24"/>
          <w:highlight w:val="yellow"/>
          <w14:ligatures w14:val="none"/>
        </w:rPr>
        <w:t>Replace the medium with 100 µL treatment medium containing vehicle, gemcitabine, CSE, or gemcitabine plus CSE.</w:t>
      </w:r>
    </w:p>
    <w:p w14:paraId="0DD294B0"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 xml:space="preserve">2.2.2 </w:t>
      </w:r>
      <w:r w:rsidRPr="00F01B6D">
        <w:rPr>
          <w:rFonts w:ascii="Calibri" w:eastAsia="宋体" w:hAnsi="Calibri" w:cs="Calibri" w:hint="eastAsia"/>
          <w:sz w:val="24"/>
          <w:highlight w:val="yellow"/>
          <w14:ligatures w14:val="none"/>
        </w:rPr>
        <w:t>Incubate the cells for the planned treatment duration.</w:t>
      </w:r>
    </w:p>
    <w:p w14:paraId="629ED730"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2.2.3</w:t>
      </w:r>
      <w:r w:rsidRPr="00F01B6D">
        <w:rPr>
          <w:rFonts w:ascii="Calibri" w:eastAsia="宋体" w:hAnsi="Calibri" w:cs="Calibri" w:hint="eastAsia"/>
          <w:sz w:val="24"/>
          <w:highlight w:val="yellow"/>
          <w14:ligatures w14:val="none"/>
        </w:rPr>
        <w:t xml:space="preserve"> Add luciferin to each well to a final concentration of 150 µg/</w:t>
      </w:r>
      <w:proofErr w:type="spellStart"/>
      <w:r w:rsidRPr="00F01B6D">
        <w:rPr>
          <w:rFonts w:ascii="Calibri" w:eastAsia="宋体" w:hAnsi="Calibri" w:cs="Calibri" w:hint="eastAsia"/>
          <w:sz w:val="24"/>
          <w:highlight w:val="yellow"/>
          <w14:ligatures w14:val="none"/>
        </w:rPr>
        <w:t>mL.</w:t>
      </w:r>
      <w:proofErr w:type="spellEnd"/>
    </w:p>
    <w:p w14:paraId="02B22F92"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 xml:space="preserve">2.2.4 </w:t>
      </w:r>
      <w:r w:rsidRPr="00F01B6D">
        <w:rPr>
          <w:rFonts w:ascii="Calibri" w:eastAsia="宋体" w:hAnsi="Calibri" w:cs="Calibri" w:hint="eastAsia"/>
          <w:sz w:val="24"/>
          <w:highlight w:val="yellow"/>
          <w14:ligatures w14:val="none"/>
        </w:rPr>
        <w:t xml:space="preserve">Incubate the plate for 10 min at 37 </w:t>
      </w:r>
      <w:r w:rsidRPr="00F01B6D">
        <w:rPr>
          <w:rFonts w:ascii="Calibri" w:eastAsia="宋体" w:hAnsi="Calibri" w:cs="Calibri"/>
          <w:sz w:val="24"/>
          <w:highlight w:val="yellow"/>
        </w:rPr>
        <w:t>°C</w:t>
      </w:r>
      <w:r w:rsidRPr="00F01B6D">
        <w:rPr>
          <w:rFonts w:ascii="Calibri" w:eastAsia="宋体" w:hAnsi="Calibri" w:cs="Calibri" w:hint="eastAsia"/>
          <w:sz w:val="24"/>
          <w:highlight w:val="yellow"/>
          <w14:ligatures w14:val="none"/>
        </w:rPr>
        <w:t>.</w:t>
      </w:r>
    </w:p>
    <w:p w14:paraId="08D7B36F" w14:textId="45E714EF"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 xml:space="preserve">2.2.5 </w:t>
      </w:r>
      <w:r w:rsidRPr="00F01B6D">
        <w:rPr>
          <w:rFonts w:ascii="Calibri" w:eastAsia="宋体" w:hAnsi="Calibri" w:cs="Calibri" w:hint="eastAsia"/>
          <w:sz w:val="24"/>
          <w:highlight w:val="yellow"/>
          <w14:ligatures w14:val="none"/>
        </w:rPr>
        <w:t xml:space="preserve">Place the plate into the imaging chamber and acquire images using fixed acquisition </w:t>
      </w:r>
      <w:r w:rsidRPr="00F01B6D">
        <w:rPr>
          <w:rFonts w:ascii="Calibri" w:eastAsia="宋体" w:hAnsi="Calibri" w:cs="Calibri" w:hint="eastAsia"/>
          <w:sz w:val="24"/>
          <w:highlight w:val="yellow"/>
          <w14:ligatures w14:val="none"/>
        </w:rPr>
        <w:lastRenderedPageBreak/>
        <w:t>settings (exposure time 1</w:t>
      </w:r>
      <w:r w:rsidR="00F171B5" w:rsidRPr="00F01B6D">
        <w:rPr>
          <w:rFonts w:ascii="Calibri" w:eastAsia="宋体" w:hAnsi="Calibri" w:cs="Calibri" w:hint="eastAsia"/>
          <w:sz w:val="24"/>
          <w:highlight w:val="yellow"/>
          <w14:ligatures w14:val="none"/>
        </w:rPr>
        <w:t xml:space="preserve"> </w:t>
      </w:r>
      <w:r w:rsidRPr="00F01B6D">
        <w:rPr>
          <w:rFonts w:ascii="Calibri" w:eastAsia="宋体" w:hAnsi="Calibri" w:cs="Calibri" w:hint="eastAsia"/>
          <w:sz w:val="24"/>
          <w:highlight w:val="yellow"/>
          <w14:ligatures w14:val="none"/>
        </w:rPr>
        <w:t>s, medium binning, f/stop 1, and field of view 12.5 cm), ensuring that identical settings are applied to all groups within the same experiment.</w:t>
      </w:r>
    </w:p>
    <w:p w14:paraId="560B5010" w14:textId="77777777" w:rsidR="00BE1D3D" w:rsidRPr="00F01B6D" w:rsidRDefault="00000000">
      <w:pPr>
        <w:spacing w:line="240" w:lineRule="auto"/>
        <w:rPr>
          <w:rFonts w:ascii="Calibri" w:eastAsia="宋体" w:hAnsi="Calibri" w:cs="Calibri"/>
          <w:sz w:val="24"/>
          <w14:ligatures w14:val="none"/>
        </w:rPr>
      </w:pPr>
      <w:r w:rsidRPr="004A035A">
        <w:rPr>
          <w:rFonts w:ascii="Calibri" w:eastAsia="宋体" w:hAnsi="Calibri" w:cs="Calibri" w:hint="eastAsia"/>
          <w:sz w:val="24"/>
          <w:highlight w:val="yellow"/>
          <w14:ligatures w14:val="none"/>
        </w:rPr>
        <w:t>CRITICAL STEP: Keep all acquisition settings identical across groups within the same experiment.</w:t>
      </w:r>
    </w:p>
    <w:p w14:paraId="0B0B6321"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sz w:val="24"/>
          <w14:ligatures w14:val="none"/>
        </w:rPr>
        <w:t>2.3 Export and normalize BLI data</w:t>
      </w:r>
    </w:p>
    <w:p w14:paraId="4EE68DB4"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 xml:space="preserve">2.3.1 </w:t>
      </w:r>
      <w:r w:rsidRPr="00F01B6D">
        <w:rPr>
          <w:rFonts w:ascii="Calibri" w:eastAsia="宋体" w:hAnsi="Calibri" w:cs="Calibri" w:hint="eastAsia"/>
          <w:sz w:val="24"/>
          <w:highlight w:val="yellow"/>
          <w14:ligatures w14:val="none"/>
        </w:rPr>
        <w:t>Open the imaging software and select the ROI tool.</w:t>
      </w:r>
    </w:p>
    <w:p w14:paraId="7DD70C60"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2.3.2</w:t>
      </w:r>
      <w:r w:rsidRPr="00F01B6D">
        <w:rPr>
          <w:rFonts w:ascii="Calibri" w:eastAsia="宋体" w:hAnsi="Calibri" w:cs="Calibri" w:hint="eastAsia"/>
          <w:sz w:val="24"/>
          <w:highlight w:val="yellow"/>
          <w14:ligatures w14:val="none"/>
        </w:rPr>
        <w:t xml:space="preserve"> Draw one identical circular ROI over each well and one background ROI over a blank well.</w:t>
      </w:r>
    </w:p>
    <w:p w14:paraId="3E02C4D9"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2.3.3</w:t>
      </w:r>
      <w:r w:rsidRPr="00F01B6D">
        <w:rPr>
          <w:rFonts w:ascii="Calibri" w:eastAsia="宋体" w:hAnsi="Calibri" w:cs="Calibri" w:hint="eastAsia"/>
          <w:sz w:val="24"/>
          <w:highlight w:val="yellow"/>
          <w14:ligatures w14:val="none"/>
        </w:rPr>
        <w:t xml:space="preserve"> Export total photon flux as photons/s after background subtraction.</w:t>
      </w:r>
    </w:p>
    <w:p w14:paraId="0B4689FC" w14:textId="77777777" w:rsidR="00BE1D3D" w:rsidRPr="00F01B6D" w:rsidRDefault="00000000">
      <w:pPr>
        <w:spacing w:line="240" w:lineRule="auto"/>
        <w:rPr>
          <w:rFonts w:ascii="Calibri" w:eastAsia="宋体" w:hAnsi="Calibri" w:cs="Calibri"/>
          <w:sz w:val="24"/>
          <w:highlight w:val="yellow"/>
          <w14:ligatures w14:val="none"/>
        </w:rPr>
      </w:pPr>
      <w:r w:rsidRPr="00F01B6D">
        <w:rPr>
          <w:rFonts w:ascii="Calibri" w:eastAsia="宋体" w:hAnsi="Calibri" w:cs="Calibri" w:hint="eastAsia"/>
          <w:color w:val="FF0000"/>
          <w:sz w:val="24"/>
          <w:highlight w:val="yellow"/>
          <w14:ligatures w14:val="none"/>
        </w:rPr>
        <w:t>2.3.4</w:t>
      </w:r>
      <w:r w:rsidRPr="00F01B6D">
        <w:rPr>
          <w:rFonts w:ascii="Calibri" w:eastAsia="宋体" w:hAnsi="Calibri" w:cs="Calibri" w:hint="eastAsia"/>
          <w:sz w:val="24"/>
          <w:highlight w:val="yellow"/>
          <w14:ligatures w14:val="none"/>
        </w:rPr>
        <w:t xml:space="preserve"> Measure total protein content in each well using a standard protein quantification assay.</w:t>
      </w:r>
    </w:p>
    <w:p w14:paraId="2C283129"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2.3.5</w:t>
      </w:r>
      <w:r w:rsidRPr="00F01B6D">
        <w:rPr>
          <w:rFonts w:ascii="Calibri" w:eastAsia="宋体" w:hAnsi="Calibri" w:cs="Calibri" w:hint="eastAsia"/>
          <w:sz w:val="24"/>
          <w:highlight w:val="yellow"/>
          <w14:ligatures w14:val="none"/>
        </w:rPr>
        <w:t xml:space="preserve"> Normalize the photon flux to total protein content to account for variations in cell density. Calculate the normalized BLI signal using the following formula:</w:t>
      </w:r>
    </w:p>
    <w:p w14:paraId="1CF2B69B" w14:textId="77777777" w:rsidR="00BE1D3D" w:rsidRDefault="00000000">
      <w:pPr>
        <w:spacing w:line="240" w:lineRule="auto"/>
        <w:rPr>
          <w:rFonts w:ascii="Calibri" w:eastAsia="宋体" w:hAnsi="Calibri" w:cs="Calibri"/>
          <w:sz w:val="24"/>
          <w14:ligatures w14:val="none"/>
        </w:rPr>
      </w:pPr>
      <m:oMathPara>
        <m:oMath>
          <m:eqArr>
            <m:eqArrPr>
              <m:maxDist m:val="1"/>
              <m:ctrlPr>
                <w:rPr>
                  <w:rFonts w:ascii="Cambria Math" w:eastAsia="宋体" w:hAnsi="Cambria Math" w:cs="Calibri"/>
                  <w:sz w:val="24"/>
                  <w14:ligatures w14:val="none"/>
                </w:rPr>
              </m:ctrlPr>
            </m:eqArrPr>
            <m:e>
              <m:sSub>
                <m:sSubPr>
                  <m:ctrlPr>
                    <w:rPr>
                      <w:rFonts w:ascii="Cambria Math" w:eastAsia="宋体" w:hAnsi="Cambria Math" w:cs="Calibri"/>
                      <w:sz w:val="24"/>
                    </w:rPr>
                  </m:ctrlPr>
                </m:sSubPr>
                <m:e>
                  <m:r>
                    <m:rPr>
                      <m:sty m:val="p"/>
                    </m:rPr>
                    <w:rPr>
                      <w:rFonts w:ascii="Cambria Math" w:eastAsia="宋体" w:hAnsi="Cambria Math" w:cs="Calibri"/>
                      <w:sz w:val="24"/>
                    </w:rPr>
                    <m:t>BLI</m:t>
                  </m:r>
                </m:e>
                <m:sub>
                  <m:r>
                    <m:rPr>
                      <m:sty m:val="p"/>
                    </m:rPr>
                    <w:rPr>
                      <w:rFonts w:ascii="Cambria Math" w:eastAsia="宋体" w:hAnsi="Cambria Math" w:cs="Calibri"/>
                      <w:sz w:val="24"/>
                    </w:rPr>
                    <m:t>norm</m:t>
                  </m:r>
                </m:sub>
              </m:sSub>
              <m:r>
                <w:rPr>
                  <w:rFonts w:ascii="Cambria Math" w:eastAsia="宋体" w:hAnsi="Cambria Math" w:cs="Calibri"/>
                  <w:sz w:val="24"/>
                </w:rPr>
                <m:t>=</m:t>
              </m:r>
              <m:f>
                <m:fPr>
                  <m:ctrlPr>
                    <w:rPr>
                      <w:rFonts w:ascii="Cambria Math" w:eastAsia="宋体" w:hAnsi="Cambria Math" w:cs="Calibri"/>
                      <w:sz w:val="24"/>
                    </w:rPr>
                  </m:ctrlPr>
                </m:fPr>
                <m:num>
                  <m:sSub>
                    <m:sSubPr>
                      <m:ctrlPr>
                        <w:rPr>
                          <w:rFonts w:ascii="Cambria Math" w:eastAsia="宋体" w:hAnsi="Cambria Math" w:cs="Calibri"/>
                          <w:sz w:val="24"/>
                        </w:rPr>
                      </m:ctrlPr>
                    </m:sSubPr>
                    <m:e>
                      <m:r>
                        <w:rPr>
                          <w:rFonts w:ascii="Cambria Math" w:eastAsia="宋体" w:hAnsi="Cambria Math" w:cs="Calibri"/>
                          <w:sz w:val="24"/>
                        </w:rPr>
                        <m:t>F</m:t>
                      </m:r>
                    </m:e>
                    <m:sub>
                      <m:r>
                        <m:rPr>
                          <m:sty m:val="p"/>
                        </m:rPr>
                        <w:rPr>
                          <w:rFonts w:ascii="Cambria Math" w:eastAsia="宋体" w:hAnsi="Cambria Math" w:cs="Calibri"/>
                          <w:sz w:val="24"/>
                        </w:rPr>
                        <m:t>BC</m:t>
                      </m:r>
                    </m:sub>
                  </m:sSub>
                </m:num>
                <m:den>
                  <m:sSub>
                    <m:sSubPr>
                      <m:ctrlPr>
                        <w:rPr>
                          <w:rFonts w:ascii="Cambria Math" w:eastAsia="宋体" w:hAnsi="Cambria Math" w:cs="Calibri"/>
                          <w:sz w:val="24"/>
                        </w:rPr>
                      </m:ctrlPr>
                    </m:sSubPr>
                    <m:e>
                      <m:r>
                        <w:rPr>
                          <w:rFonts w:ascii="Cambria Math" w:eastAsia="宋体" w:hAnsi="Cambria Math" w:cs="Calibri"/>
                          <w:sz w:val="24"/>
                        </w:rPr>
                        <m:t>P</m:t>
                      </m:r>
                    </m:e>
                    <m:sub>
                      <m:r>
                        <m:rPr>
                          <m:sty m:val="p"/>
                        </m:rPr>
                        <w:rPr>
                          <w:rFonts w:ascii="Cambria Math" w:eastAsia="宋体" w:hAnsi="Cambria Math" w:cs="Calibri"/>
                          <w:sz w:val="24"/>
                        </w:rPr>
                        <m:t>well</m:t>
                      </m:r>
                    </m:sub>
                  </m:sSub>
                </m:den>
              </m:f>
              <m:r>
                <w:rPr>
                  <w:rFonts w:ascii="Cambria Math" w:eastAsia="宋体" w:hAnsi="Cambria Math" w:cs="Calibri"/>
                  <w:sz w:val="24"/>
                </w:rPr>
                <m:t>#</m:t>
              </m:r>
              <m:d>
                <m:dPr>
                  <m:ctrlPr>
                    <w:rPr>
                      <w:rFonts w:ascii="Cambria Math" w:eastAsia="宋体" w:hAnsi="Cambria Math" w:cs="Calibri"/>
                      <w:sz w:val="24"/>
                      <w14:ligatures w14:val="none"/>
                    </w:rPr>
                  </m:ctrlPr>
                </m:dPr>
                <m:e>
                  <m:r>
                    <m:rPr>
                      <m:sty m:val="p"/>
                    </m:rPr>
                    <w:rPr>
                      <w:rFonts w:ascii="Cambria Math" w:eastAsia="宋体" w:hAnsi="Cambria Math" w:cs="Calibri"/>
                      <w:sz w:val="24"/>
                      <w14:ligatures w14:val="none"/>
                    </w:rPr>
                    <m:t>1</m:t>
                  </m:r>
                </m:e>
              </m:d>
              <m:ctrlPr>
                <w:rPr>
                  <w:rFonts w:ascii="Cambria Math" w:eastAsia="宋体" w:hAnsi="Cambria Math" w:cs="Calibri"/>
                  <w:i/>
                  <w:sz w:val="24"/>
                </w:rPr>
              </m:ctrlPr>
            </m:e>
          </m:eqArr>
        </m:oMath>
      </m:oMathPara>
    </w:p>
    <w:p w14:paraId="26542171"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 xml:space="preserve">where </w:t>
      </w:r>
      <w:r>
        <w:rPr>
          <w:rFonts w:ascii="Calibri" w:eastAsia="宋体" w:hAnsi="Calibri" w:cs="Calibri" w:hint="eastAsia"/>
          <w:i/>
          <w:iCs/>
          <w:color w:val="FF0000"/>
          <w:sz w:val="24"/>
          <w14:ligatures w14:val="none"/>
        </w:rPr>
        <w:t>F</w:t>
      </w:r>
      <w:r>
        <w:rPr>
          <w:rFonts w:ascii="Calibri" w:eastAsia="宋体" w:hAnsi="Calibri" w:cs="Calibri" w:hint="eastAsia"/>
          <w:i/>
          <w:iCs/>
          <w:color w:val="FF0000"/>
          <w:sz w:val="24"/>
          <w:vertAlign w:val="subscript"/>
          <w14:ligatures w14:val="none"/>
        </w:rPr>
        <w:t>BC</w:t>
      </w:r>
      <w:r>
        <w:rPr>
          <w:rFonts w:ascii="Calibri" w:eastAsia="宋体" w:hAnsi="Calibri" w:cs="Calibri" w:hint="eastAsia"/>
          <w:color w:val="FF0000"/>
          <w:sz w:val="24"/>
          <w14:ligatures w14:val="none"/>
        </w:rPr>
        <w:t xml:space="preserve"> </w:t>
      </w:r>
      <w:r>
        <w:rPr>
          <w:rFonts w:ascii="Calibri" w:eastAsia="宋体" w:hAnsi="Calibri" w:cs="Calibri"/>
          <w:color w:val="FF0000"/>
          <w:sz w:val="24"/>
          <w14:ligatures w14:val="none"/>
        </w:rPr>
        <w:t xml:space="preserve">represents the background-corrected total photon flux and </w:t>
      </w:r>
      <w:proofErr w:type="spellStart"/>
      <w:r>
        <w:rPr>
          <w:rFonts w:ascii="Calibri" w:eastAsia="宋体" w:hAnsi="Calibri" w:cs="Calibri" w:hint="eastAsia"/>
          <w:i/>
          <w:iCs/>
          <w:color w:val="FF0000"/>
          <w:sz w:val="24"/>
          <w14:ligatures w14:val="none"/>
        </w:rPr>
        <w:t>P</w:t>
      </w:r>
      <w:r>
        <w:rPr>
          <w:rFonts w:ascii="Calibri" w:eastAsia="宋体" w:hAnsi="Calibri" w:cs="Calibri" w:hint="eastAsia"/>
          <w:i/>
          <w:iCs/>
          <w:color w:val="FF0000"/>
          <w:sz w:val="24"/>
          <w:vertAlign w:val="subscript"/>
          <w14:ligatures w14:val="none"/>
        </w:rPr>
        <w:t>well</w:t>
      </w:r>
      <w:proofErr w:type="spellEnd"/>
      <w:r>
        <w:rPr>
          <w:rFonts w:ascii="Calibri" w:eastAsia="宋体" w:hAnsi="Calibri" w:cs="Calibri" w:hint="eastAsia"/>
          <w:i/>
          <w:iCs/>
          <w:color w:val="FF0000"/>
          <w:sz w:val="24"/>
          <w14:ligatures w14:val="none"/>
        </w:rPr>
        <w:t xml:space="preserve"> </w:t>
      </w:r>
      <w:r>
        <w:rPr>
          <w:rFonts w:ascii="Calibri" w:eastAsia="宋体" w:hAnsi="Calibri" w:cs="Calibri"/>
          <w:color w:val="FF0000"/>
          <w:sz w:val="24"/>
          <w14:ligatures w14:val="none"/>
        </w:rPr>
        <w:t>represents the protein amount per well.</w:t>
      </w:r>
    </w:p>
    <w:p w14:paraId="0493AA52"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NOTE: Use cell number normalization instead of protein normalization only when the same counting method is applied consistently to all samples.</w:t>
      </w:r>
    </w:p>
    <w:p w14:paraId="2FF9BD18" w14:textId="77777777" w:rsidR="00BE1D3D" w:rsidRPr="00F01B6D" w:rsidRDefault="00000000">
      <w:pPr>
        <w:spacing w:line="240" w:lineRule="auto"/>
        <w:rPr>
          <w:rFonts w:ascii="Calibri" w:eastAsia="宋体" w:hAnsi="Calibri" w:cs="Calibri"/>
          <w:b/>
          <w:bCs/>
          <w:sz w:val="24"/>
          <w14:ligatures w14:val="none"/>
        </w:rPr>
      </w:pPr>
      <w:r w:rsidRPr="00F01B6D">
        <w:rPr>
          <w:rFonts w:ascii="Calibri" w:eastAsia="宋体" w:hAnsi="Calibri" w:cs="Calibri" w:hint="eastAsia"/>
          <w:b/>
          <w:bCs/>
          <w:sz w:val="24"/>
          <w14:ligatures w14:val="none"/>
        </w:rPr>
        <w:t xml:space="preserve">3. Perform </w:t>
      </w:r>
      <w:r w:rsidRPr="00F01B6D">
        <w:rPr>
          <w:rFonts w:ascii="Calibri" w:eastAsia="宋体" w:hAnsi="Calibri" w:cs="Calibri" w:hint="eastAsia"/>
          <w:b/>
          <w:bCs/>
          <w:i/>
          <w:iCs/>
          <w:sz w:val="24"/>
          <w14:ligatures w14:val="none"/>
        </w:rPr>
        <w:t>in vitro</w:t>
      </w:r>
      <w:r w:rsidRPr="00F01B6D">
        <w:rPr>
          <w:rFonts w:ascii="Calibri" w:eastAsia="宋体" w:hAnsi="Calibri" w:cs="Calibri" w:hint="eastAsia"/>
          <w:b/>
          <w:bCs/>
          <w:sz w:val="24"/>
          <w14:ligatures w14:val="none"/>
        </w:rPr>
        <w:t xml:space="preserve"> PK/PD coupling analysis</w:t>
      </w:r>
    </w:p>
    <w:p w14:paraId="479A89C3" w14:textId="77777777" w:rsidR="00A072D8" w:rsidRPr="00F01B6D" w:rsidRDefault="00000000">
      <w:pPr>
        <w:spacing w:line="240" w:lineRule="auto"/>
        <w:rPr>
          <w:rFonts w:ascii="Calibri" w:eastAsia="宋体" w:hAnsi="Calibri" w:cs="Calibri"/>
          <w:sz w:val="24"/>
          <w14:ligatures w14:val="none"/>
        </w:rPr>
      </w:pPr>
      <w:r w:rsidRPr="004A035A">
        <w:rPr>
          <w:rFonts w:ascii="Calibri" w:eastAsia="宋体" w:hAnsi="Calibri" w:cs="Calibri" w:hint="eastAsia"/>
          <w:sz w:val="24"/>
          <w:highlight w:val="yellow"/>
          <w14:ligatures w14:val="none"/>
        </w:rPr>
        <w:t>3.1 Data Integration:</w:t>
      </w:r>
      <w:r w:rsidRPr="00F01B6D">
        <w:rPr>
          <w:rFonts w:ascii="Calibri" w:eastAsia="宋体" w:hAnsi="Calibri" w:cs="Calibri" w:hint="eastAsia"/>
          <w:sz w:val="24"/>
          <w14:ligatures w14:val="none"/>
        </w:rPr>
        <w:t xml:space="preserve"> </w:t>
      </w:r>
    </w:p>
    <w:p w14:paraId="1AD80921" w14:textId="3768F805" w:rsidR="00BE1D3D" w:rsidRDefault="00A072D8">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highlight w:val="yellow"/>
          <w14:ligatures w14:val="none"/>
        </w:rPr>
        <w:t xml:space="preserve">3.1.1 </w:t>
      </w:r>
      <w:r w:rsidRPr="00F01B6D">
        <w:rPr>
          <w:rFonts w:ascii="Calibri" w:eastAsia="宋体" w:hAnsi="Calibri" w:cs="Calibri" w:hint="eastAsia"/>
          <w:sz w:val="24"/>
          <w:highlight w:val="yellow"/>
          <w14:ligatures w14:val="none"/>
        </w:rPr>
        <w:t>Export intracellular gemcitabine concentrations (measured by LC-MS/MS) and the normalized BLI time-course data into GraphPad Prism.</w:t>
      </w:r>
    </w:p>
    <w:p w14:paraId="4F5ABA5B" w14:textId="77777777" w:rsidR="00A072D8"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3.2 Calculate intracellular exposure</w:t>
      </w:r>
    </w:p>
    <w:p w14:paraId="6CE2EE6F" w14:textId="1BB85A46" w:rsidR="00BE1D3D" w:rsidRDefault="00A072D8">
      <w:pPr>
        <w:spacing w:line="240" w:lineRule="auto"/>
        <w:rPr>
          <w:rFonts w:ascii="Calibri" w:eastAsia="宋体" w:hAnsi="Calibri" w:cs="Calibri"/>
          <w:color w:val="FF0000"/>
          <w:sz w:val="24"/>
          <w14:ligatures w14:val="none"/>
        </w:rPr>
      </w:pPr>
      <w:r w:rsidRPr="004A035A">
        <w:rPr>
          <w:rFonts w:ascii="Calibri" w:eastAsia="宋体" w:hAnsi="Calibri" w:cs="Calibri" w:hint="eastAsia"/>
          <w:color w:val="FF0000"/>
          <w:sz w:val="24"/>
          <w:highlight w:val="yellow"/>
          <w14:ligatures w14:val="none"/>
        </w:rPr>
        <w:t>3.2.1 Use the LC-MS/MS-derived intracellular gemcitabine concentration</w:t>
      </w:r>
      <w:r w:rsidRPr="004A035A">
        <w:rPr>
          <w:rFonts w:ascii="Calibri" w:eastAsia="宋体" w:hAnsi="Calibri" w:cs="Calibri"/>
          <w:color w:val="FF0000"/>
          <w:sz w:val="24"/>
          <w:highlight w:val="yellow"/>
          <w14:ligatures w14:val="none"/>
        </w:rPr>
        <w:t>–</w:t>
      </w:r>
      <w:r w:rsidRPr="004A035A">
        <w:rPr>
          <w:rFonts w:ascii="Calibri" w:eastAsia="宋体" w:hAnsi="Calibri" w:cs="Calibri" w:hint="eastAsia"/>
          <w:color w:val="FF0000"/>
          <w:sz w:val="24"/>
          <w:highlight w:val="yellow"/>
          <w14:ligatures w14:val="none"/>
        </w:rPr>
        <w:t>time profile to calculate the intracellular AUC using DAS 4.0.</w:t>
      </w:r>
    </w:p>
    <w:p w14:paraId="58E2020C"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NOTE: Intracellular AUC refers to the area under the intracellular gemcitabine concentration</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time curve derived from the LC-MS/MS measurements.</w:t>
      </w:r>
    </w:p>
    <w:p w14:paraId="46BCB657" w14:textId="77777777" w:rsidR="00A072D8" w:rsidRPr="00B82270" w:rsidRDefault="00000000">
      <w:pPr>
        <w:spacing w:line="240" w:lineRule="auto"/>
        <w:rPr>
          <w:rFonts w:ascii="Calibri" w:eastAsia="宋体" w:hAnsi="Calibri" w:cs="Calibri"/>
          <w:color w:val="FF0000"/>
          <w:sz w:val="24"/>
          <w14:ligatures w14:val="none"/>
        </w:rPr>
      </w:pPr>
      <w:r w:rsidRPr="00B82270">
        <w:rPr>
          <w:rFonts w:ascii="Calibri" w:eastAsia="宋体" w:hAnsi="Calibri" w:cs="Calibri" w:hint="eastAsia"/>
          <w:color w:val="FF0000"/>
          <w:sz w:val="24"/>
          <w14:ligatures w14:val="none"/>
        </w:rPr>
        <w:t>3.3 Calculate BLI-derived exposure parameters</w:t>
      </w:r>
    </w:p>
    <w:p w14:paraId="71756B96" w14:textId="0E883633" w:rsidR="00BE1D3D" w:rsidRDefault="00A072D8">
      <w:pPr>
        <w:spacing w:line="240" w:lineRule="auto"/>
        <w:rPr>
          <w:rFonts w:ascii="Calibri" w:eastAsia="宋体" w:hAnsi="Calibri" w:cs="Calibri"/>
          <w:color w:val="FF0000"/>
          <w:sz w:val="24"/>
          <w14:ligatures w14:val="none"/>
        </w:rPr>
      </w:pPr>
      <w:r w:rsidRPr="004A035A">
        <w:rPr>
          <w:rFonts w:ascii="Calibri" w:eastAsia="宋体" w:hAnsi="Calibri" w:cs="Calibri" w:hint="eastAsia"/>
          <w:color w:val="FF0000"/>
          <w:sz w:val="24"/>
          <w:highlight w:val="yellow"/>
          <w14:ligatures w14:val="none"/>
        </w:rPr>
        <w:t xml:space="preserve">3.3.1 Calculate </w:t>
      </w:r>
      <w:proofErr w:type="spellStart"/>
      <w:r w:rsidRPr="004A035A">
        <w:rPr>
          <w:rFonts w:ascii="Calibri" w:eastAsia="宋体" w:hAnsi="Calibri" w:cs="Calibri" w:hint="eastAsia"/>
          <w:color w:val="FF0000"/>
          <w:sz w:val="24"/>
          <w:highlight w:val="yellow"/>
          <w14:ligatures w14:val="none"/>
        </w:rPr>
        <w:t>AUC</w:t>
      </w:r>
      <w:r w:rsidRPr="004A035A">
        <w:rPr>
          <w:rFonts w:ascii="Calibri" w:eastAsia="宋体" w:hAnsi="Calibri" w:cs="Calibri" w:hint="eastAsia"/>
          <w:color w:val="FF0000"/>
          <w:sz w:val="24"/>
          <w:highlight w:val="yellow"/>
          <w:vertAlign w:val="subscript"/>
          <w14:ligatures w14:val="none"/>
        </w:rPr>
        <w:t>luc</w:t>
      </w:r>
      <w:proofErr w:type="spellEnd"/>
      <w:r w:rsidRPr="004A035A">
        <w:rPr>
          <w:rFonts w:ascii="Calibri" w:eastAsia="宋体" w:hAnsi="Calibri" w:cs="Calibri" w:hint="eastAsia"/>
          <w:color w:val="FF0000"/>
          <w:sz w:val="24"/>
          <w:highlight w:val="yellow"/>
          <w14:ligatures w14:val="none"/>
        </w:rPr>
        <w:t xml:space="preserve">, </w:t>
      </w:r>
      <w:proofErr w:type="spellStart"/>
      <w:r w:rsidRPr="004A035A">
        <w:rPr>
          <w:rFonts w:ascii="Calibri" w:eastAsia="宋体" w:hAnsi="Calibri" w:cs="Calibri" w:hint="eastAsia"/>
          <w:color w:val="FF0000"/>
          <w:sz w:val="24"/>
          <w:highlight w:val="yellow"/>
          <w14:ligatures w14:val="none"/>
        </w:rPr>
        <w:t>K</w:t>
      </w:r>
      <w:r w:rsidRPr="004A035A">
        <w:rPr>
          <w:rFonts w:ascii="Calibri" w:eastAsia="宋体" w:hAnsi="Calibri" w:cs="Calibri" w:hint="eastAsia"/>
          <w:color w:val="FF0000"/>
          <w:sz w:val="24"/>
          <w:highlight w:val="yellow"/>
          <w:vertAlign w:val="subscript"/>
          <w14:ligatures w14:val="none"/>
        </w:rPr>
        <w:t>luc</w:t>
      </w:r>
      <w:proofErr w:type="spellEnd"/>
      <w:r w:rsidRPr="004A035A">
        <w:rPr>
          <w:rFonts w:ascii="Calibri" w:eastAsia="宋体" w:hAnsi="Calibri" w:cs="Calibri" w:hint="eastAsia"/>
          <w:color w:val="FF0000"/>
          <w:sz w:val="24"/>
          <w:highlight w:val="yellow"/>
          <w14:ligatures w14:val="none"/>
        </w:rPr>
        <w:t xml:space="preserve">, and </w:t>
      </w:r>
      <w:proofErr w:type="spellStart"/>
      <w:r w:rsidRPr="004A035A">
        <w:rPr>
          <w:rFonts w:ascii="Calibri" w:eastAsia="宋体" w:hAnsi="Calibri" w:cs="Calibri" w:hint="eastAsia"/>
          <w:color w:val="FF0000"/>
          <w:sz w:val="24"/>
          <w:highlight w:val="yellow"/>
          <w14:ligatures w14:val="none"/>
        </w:rPr>
        <w:t>MRT</w:t>
      </w:r>
      <w:r w:rsidRPr="004A035A">
        <w:rPr>
          <w:rFonts w:ascii="Calibri" w:eastAsia="宋体" w:hAnsi="Calibri" w:cs="Calibri" w:hint="eastAsia"/>
          <w:color w:val="FF0000"/>
          <w:sz w:val="24"/>
          <w:highlight w:val="yellow"/>
          <w:vertAlign w:val="subscript"/>
          <w14:ligatures w14:val="none"/>
        </w:rPr>
        <w:t>luc</w:t>
      </w:r>
      <w:proofErr w:type="spellEnd"/>
      <w:r w:rsidRPr="004A035A">
        <w:rPr>
          <w:rFonts w:ascii="Calibri" w:eastAsia="宋体" w:hAnsi="Calibri" w:cs="Calibri" w:hint="eastAsia"/>
          <w:color w:val="FF0000"/>
          <w:sz w:val="24"/>
          <w:highlight w:val="yellow"/>
          <w14:ligatures w14:val="none"/>
        </w:rPr>
        <w:t xml:space="preserve"> from the normalized BLI signal-time profiles using DAS 4.0 according to a non-compartmental model.</w:t>
      </w:r>
      <w:r>
        <w:rPr>
          <w:rFonts w:ascii="Calibri" w:eastAsia="宋体" w:hAnsi="Calibri" w:cs="Calibri" w:hint="eastAsia"/>
          <w:color w:val="FF0000"/>
          <w:sz w:val="24"/>
          <w14:ligatures w14:val="none"/>
        </w:rPr>
        <w:t xml:space="preserve"> </w:t>
      </w:r>
    </w:p>
    <w:p w14:paraId="40AD428B"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N</w:t>
      </w:r>
      <w:r>
        <w:rPr>
          <w:rFonts w:ascii="Calibri" w:eastAsia="宋体" w:hAnsi="Calibri" w:cs="Calibri" w:hint="eastAsia"/>
          <w:color w:val="FF0000"/>
          <w:sz w:val="24"/>
          <w14:ligatures w14:val="none"/>
        </w:rPr>
        <w:t>OTE</w:t>
      </w:r>
      <w:r>
        <w:rPr>
          <w:rFonts w:ascii="Calibri" w:eastAsia="宋体" w:hAnsi="Calibri" w:cs="Calibri"/>
          <w:color w:val="FF0000"/>
          <w:sz w:val="24"/>
          <w14:ligatures w14:val="none"/>
        </w:rPr>
        <w:t xml:space="preserve">: </w:t>
      </w:r>
      <w:proofErr w:type="spellStart"/>
      <w:r>
        <w:rPr>
          <w:rFonts w:ascii="Calibri" w:eastAsia="宋体" w:hAnsi="Calibri" w:cs="Calibri"/>
          <w:color w:val="FF0000"/>
          <w:sz w:val="24"/>
          <w14:ligatures w14:val="none"/>
        </w:rPr>
        <w:t>AUC</w:t>
      </w:r>
      <w:r>
        <w:rPr>
          <w:rFonts w:ascii="Calibri" w:eastAsia="宋体" w:hAnsi="Calibri" w:cs="Calibri"/>
          <w:color w:val="FF0000"/>
          <w:sz w:val="24"/>
          <w:vertAlign w:val="subscript"/>
          <w14:ligatures w14:val="none"/>
        </w:rPr>
        <w:t>luc</w:t>
      </w:r>
      <w:proofErr w:type="spellEnd"/>
      <w:r>
        <w:rPr>
          <w:rFonts w:ascii="Calibri" w:eastAsia="宋体" w:hAnsi="Calibri" w:cs="Calibri"/>
          <w:color w:val="FF0000"/>
          <w:sz w:val="24"/>
          <w14:ligatures w14:val="none"/>
        </w:rPr>
        <w:t xml:space="preserve"> is defined as the area under the normalized BLI signal–time curve. For consistency, </w:t>
      </w:r>
      <w:proofErr w:type="spellStart"/>
      <w:r>
        <w:rPr>
          <w:rFonts w:ascii="Calibri" w:eastAsia="宋体" w:hAnsi="Calibri" w:cs="Calibri"/>
          <w:color w:val="FF0000"/>
          <w:sz w:val="24"/>
          <w14:ligatures w14:val="none"/>
        </w:rPr>
        <w:t>AUC</w:t>
      </w:r>
      <w:r>
        <w:rPr>
          <w:rFonts w:ascii="Calibri" w:eastAsia="宋体" w:hAnsi="Calibri" w:cs="Calibri"/>
          <w:color w:val="FF0000"/>
          <w:sz w:val="24"/>
          <w:vertAlign w:val="subscript"/>
          <w14:ligatures w14:val="none"/>
        </w:rPr>
        <w:t>luc</w:t>
      </w:r>
      <w:proofErr w:type="spellEnd"/>
      <w:r>
        <w:rPr>
          <w:rFonts w:ascii="Calibri" w:eastAsia="宋体" w:hAnsi="Calibri" w:cs="Calibri"/>
          <w:color w:val="FF0000"/>
          <w:sz w:val="24"/>
          <w14:ligatures w14:val="none"/>
        </w:rPr>
        <w:t xml:space="preserve"> calculated from the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BLI dataset is denoted as </w:t>
      </w:r>
      <w:proofErr w:type="spellStart"/>
      <w:r>
        <w:rPr>
          <w:rFonts w:ascii="Calibri" w:eastAsia="宋体" w:hAnsi="Calibri" w:cs="Calibri"/>
          <w:color w:val="FF0000"/>
          <w:sz w:val="24"/>
          <w14:ligatures w14:val="none"/>
        </w:rPr>
        <w:t>AUC</w:t>
      </w:r>
      <w:r>
        <w:rPr>
          <w:rFonts w:ascii="Calibri" w:eastAsia="宋体" w:hAnsi="Calibri" w:cs="Calibri"/>
          <w:color w:val="FF0000"/>
          <w:sz w:val="24"/>
          <w:vertAlign w:val="subscript"/>
          <w14:ligatures w14:val="none"/>
        </w:rPr>
        <w:t>vitro</w:t>
      </w:r>
      <w:proofErr w:type="spellEnd"/>
      <w:r>
        <w:rPr>
          <w:rFonts w:ascii="Calibri" w:eastAsia="宋体" w:hAnsi="Calibri" w:cs="Calibri"/>
          <w:color w:val="FF0000"/>
          <w:sz w:val="24"/>
          <w14:ligatures w14:val="none"/>
        </w:rPr>
        <w:t xml:space="preserve">, whereas </w:t>
      </w:r>
      <w:proofErr w:type="spellStart"/>
      <w:r>
        <w:rPr>
          <w:rFonts w:ascii="Calibri" w:eastAsia="宋体" w:hAnsi="Calibri" w:cs="Calibri"/>
          <w:color w:val="FF0000"/>
          <w:sz w:val="24"/>
          <w14:ligatures w14:val="none"/>
        </w:rPr>
        <w:lastRenderedPageBreak/>
        <w:t>AUC</w:t>
      </w:r>
      <w:r>
        <w:rPr>
          <w:rFonts w:ascii="Calibri" w:eastAsia="宋体" w:hAnsi="Calibri" w:cs="Calibri"/>
          <w:color w:val="FF0000"/>
          <w:sz w:val="24"/>
          <w:vertAlign w:val="subscript"/>
          <w14:ligatures w14:val="none"/>
        </w:rPr>
        <w:t>luc</w:t>
      </w:r>
      <w:proofErr w:type="spellEnd"/>
      <w:r>
        <w:rPr>
          <w:rFonts w:ascii="Calibri" w:eastAsia="宋体" w:hAnsi="Calibri" w:cs="Calibri"/>
          <w:color w:val="FF0000"/>
          <w:sz w:val="24"/>
          <w14:ligatures w14:val="none"/>
        </w:rPr>
        <w:t xml:space="preserve"> calculated from the </w:t>
      </w:r>
      <w:r>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BLI dataset is denoted as </w:t>
      </w:r>
      <w:proofErr w:type="spellStart"/>
      <w:r>
        <w:rPr>
          <w:rFonts w:ascii="Calibri" w:eastAsia="宋体" w:hAnsi="Calibri" w:cs="Calibri"/>
          <w:color w:val="FF0000"/>
          <w:sz w:val="24"/>
          <w14:ligatures w14:val="none"/>
        </w:rPr>
        <w:t>AUC</w:t>
      </w:r>
      <w:r>
        <w:rPr>
          <w:rFonts w:ascii="Calibri" w:eastAsia="宋体" w:hAnsi="Calibri" w:cs="Calibri"/>
          <w:color w:val="FF0000"/>
          <w:sz w:val="24"/>
          <w:vertAlign w:val="subscript"/>
          <w14:ligatures w14:val="none"/>
        </w:rPr>
        <w:t>vivo</w:t>
      </w:r>
      <w:proofErr w:type="spellEnd"/>
      <w:r>
        <w:rPr>
          <w:rFonts w:ascii="Calibri" w:eastAsia="宋体" w:hAnsi="Calibri" w:cs="Calibri"/>
          <w:color w:val="FF0000"/>
          <w:sz w:val="24"/>
          <w14:ligatures w14:val="none"/>
        </w:rPr>
        <w:t>.</w:t>
      </w:r>
    </w:p>
    <w:p w14:paraId="51DE9B72"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3.4 Perform correlation analysis</w:t>
      </w:r>
    </w:p>
    <w:p w14:paraId="63FE5328" w14:textId="77777777" w:rsidR="00BE1D3D" w:rsidRPr="004A035A" w:rsidRDefault="00000000">
      <w:pPr>
        <w:spacing w:line="240" w:lineRule="auto"/>
        <w:rPr>
          <w:rFonts w:ascii="Calibri" w:eastAsia="宋体" w:hAnsi="Calibri" w:cs="Calibri"/>
          <w:color w:val="FF0000"/>
          <w:sz w:val="24"/>
          <w:highlight w:val="yellow"/>
          <w14:ligatures w14:val="none"/>
        </w:rPr>
      </w:pPr>
      <w:r w:rsidRPr="004A035A">
        <w:rPr>
          <w:rFonts w:ascii="Calibri" w:eastAsia="宋体" w:hAnsi="Calibri" w:cs="Calibri" w:hint="eastAsia"/>
          <w:color w:val="FF0000"/>
          <w:sz w:val="24"/>
          <w:highlight w:val="yellow"/>
          <w14:ligatures w14:val="none"/>
        </w:rPr>
        <w:t>3.4.1 Export the intracellular exposure metrics and BLI-derived parameters obtained in Steps 3.2 and 3.3 into the statistical analysis software.</w:t>
      </w:r>
    </w:p>
    <w:p w14:paraId="2EC91134" w14:textId="77777777" w:rsidR="00BE1D3D" w:rsidRDefault="00000000">
      <w:pPr>
        <w:spacing w:line="240" w:lineRule="auto"/>
        <w:rPr>
          <w:rFonts w:ascii="Calibri" w:eastAsia="宋体" w:hAnsi="Calibri" w:cs="Calibri"/>
          <w:color w:val="FF0000"/>
          <w:sz w:val="24"/>
          <w14:ligatures w14:val="none"/>
        </w:rPr>
      </w:pPr>
      <w:r w:rsidRPr="004A035A">
        <w:rPr>
          <w:rFonts w:ascii="Calibri" w:eastAsia="宋体" w:hAnsi="Calibri" w:cs="Calibri" w:hint="eastAsia"/>
          <w:color w:val="FF0000"/>
          <w:sz w:val="24"/>
          <w:highlight w:val="yellow"/>
          <w14:ligatures w14:val="none"/>
        </w:rPr>
        <w:t>3.4.2 Perform linear regression analysis between intracellular exposure and the specified BLI-derived parameters for the analyses presented in Figure 6A.</w:t>
      </w:r>
    </w:p>
    <w:p w14:paraId="65732D79" w14:textId="3BACC473" w:rsidR="005556D6" w:rsidRPr="00086F0F" w:rsidRDefault="005556D6">
      <w:pPr>
        <w:spacing w:line="240" w:lineRule="auto"/>
        <w:rPr>
          <w:rFonts w:ascii="Calibri" w:eastAsia="宋体" w:hAnsi="Calibri" w:cs="Calibri"/>
          <w:color w:val="FF0000"/>
          <w:sz w:val="24"/>
          <w14:ligatures w14:val="none"/>
        </w:rPr>
      </w:pPr>
      <w:r w:rsidRPr="00086F0F">
        <w:rPr>
          <w:rFonts w:ascii="Calibri" w:eastAsia="宋体" w:hAnsi="Calibri" w:cs="Calibri"/>
          <w:color w:val="FF0000"/>
          <w:sz w:val="24"/>
          <w14:ligatures w14:val="none"/>
        </w:rPr>
        <w:t xml:space="preserve">3.4.3 Report the regression slope, intercept, coefficient of determination (R²), and raw and BH-adjusted </w:t>
      </w:r>
      <w:r w:rsidRPr="00086F0F">
        <w:rPr>
          <w:rFonts w:ascii="Calibri" w:eastAsia="宋体" w:hAnsi="Calibri" w:cs="Calibri"/>
          <w:i/>
          <w:iCs/>
          <w:color w:val="FF0000"/>
          <w:sz w:val="24"/>
          <w14:ligatures w14:val="none"/>
        </w:rPr>
        <w:t>p</w:t>
      </w:r>
      <w:r w:rsidRPr="00086F0F">
        <w:rPr>
          <w:rFonts w:ascii="Calibri" w:eastAsia="宋体" w:hAnsi="Calibri" w:cs="Calibri"/>
          <w:color w:val="FF0000"/>
          <w:sz w:val="24"/>
          <w14:ligatures w14:val="none"/>
        </w:rPr>
        <w:t xml:space="preserve">-values </w:t>
      </w:r>
      <w:r w:rsidRPr="00086F0F">
        <w:rPr>
          <w:rFonts w:ascii="Calibri" w:eastAsia="宋体" w:hAnsi="Calibri" w:cs="Calibri"/>
          <w:i/>
          <w:iCs/>
          <w:color w:val="FF0000"/>
          <w:sz w:val="24"/>
          <w14:ligatures w14:val="none"/>
        </w:rPr>
        <w:t>(</w:t>
      </w:r>
      <w:proofErr w:type="spellStart"/>
      <w:r w:rsidRPr="00086F0F">
        <w:rPr>
          <w:rFonts w:ascii="Calibri" w:eastAsia="宋体" w:hAnsi="Calibri" w:cs="Calibri"/>
          <w:i/>
          <w:iCs/>
          <w:color w:val="FF0000"/>
          <w:sz w:val="24"/>
          <w14:ligatures w14:val="none"/>
        </w:rPr>
        <w:t>p</w:t>
      </w:r>
      <w:r w:rsidRPr="00086F0F">
        <w:rPr>
          <w:rFonts w:ascii="Calibri" w:eastAsia="宋体" w:hAnsi="Calibri" w:cs="Calibri"/>
          <w:i/>
          <w:iCs/>
          <w:color w:val="FF0000"/>
          <w:sz w:val="24"/>
          <w:vertAlign w:val="subscript"/>
          <w14:ligatures w14:val="none"/>
        </w:rPr>
        <w:t>adj</w:t>
      </w:r>
      <w:proofErr w:type="spellEnd"/>
      <w:r w:rsidRPr="00086F0F">
        <w:rPr>
          <w:rFonts w:ascii="Calibri" w:eastAsia="宋体" w:hAnsi="Calibri" w:cs="Calibri"/>
          <w:color w:val="FF0000"/>
          <w:sz w:val="24"/>
          <w14:ligatures w14:val="none"/>
        </w:rPr>
        <w:t>) for each regression analysis.</w:t>
      </w:r>
    </w:p>
    <w:p w14:paraId="1F307B93" w14:textId="77777777" w:rsidR="009357F4" w:rsidRPr="001719BB" w:rsidRDefault="009357F4">
      <w:pPr>
        <w:spacing w:line="240" w:lineRule="auto"/>
        <w:rPr>
          <w:rFonts w:ascii="Calibri" w:eastAsia="宋体" w:hAnsi="Calibri" w:cs="Calibri"/>
          <w:color w:val="FF0000"/>
          <w:sz w:val="24"/>
          <w14:ligatures w14:val="none"/>
        </w:rPr>
      </w:pPr>
      <w:r w:rsidRPr="001719BB">
        <w:rPr>
          <w:rFonts w:ascii="Calibri" w:eastAsia="宋体" w:hAnsi="Calibri" w:cs="Calibri"/>
          <w:color w:val="FF0000"/>
          <w:sz w:val="24"/>
          <w14:ligatures w14:val="none"/>
        </w:rPr>
        <w:t xml:space="preserve">3.5 Statistical Analysis: For longitudinal data with repeated observations from the same experimental unit, analyze treatment and time effects using a mixed-effects model to account for within-subject correlation. For paired comparisons between two treatment groups at a predefined time point, perform an appropriate paired statistical test without multiple-comparison adjustment. For endpoint quantities involving more than two independent groups, perform one-way ANOVA followed by an appropriate multiple-comparisons procedure. Statistical significance is determined using </w:t>
      </w:r>
      <w:r w:rsidRPr="001719BB">
        <w:rPr>
          <w:rFonts w:ascii="Calibri" w:eastAsia="宋体" w:hAnsi="Calibri" w:cs="Calibri"/>
          <w:i/>
          <w:iCs/>
          <w:color w:val="FF0000"/>
          <w:sz w:val="24"/>
          <w14:ligatures w14:val="none"/>
        </w:rPr>
        <w:t>p</w:t>
      </w:r>
      <w:r w:rsidRPr="001719BB">
        <w:rPr>
          <w:rFonts w:ascii="Calibri" w:eastAsia="宋体" w:hAnsi="Calibri" w:cs="Calibri"/>
          <w:color w:val="FF0000"/>
          <w:sz w:val="24"/>
          <w14:ligatures w14:val="none"/>
        </w:rPr>
        <w:t xml:space="preserve"> &lt; 0.05, with </w:t>
      </w:r>
      <w:r w:rsidRPr="001719BB">
        <w:rPr>
          <w:rFonts w:ascii="Calibri" w:eastAsia="宋体" w:hAnsi="Calibri" w:cs="Calibri"/>
          <w:i/>
          <w:iCs/>
          <w:color w:val="FF0000"/>
          <w:sz w:val="24"/>
          <w14:ligatures w14:val="none"/>
        </w:rPr>
        <w:t>p</w:t>
      </w:r>
      <w:r w:rsidRPr="001719BB">
        <w:rPr>
          <w:rFonts w:ascii="Calibri" w:eastAsia="宋体" w:hAnsi="Calibri" w:cs="Calibri"/>
          <w:color w:val="FF0000"/>
          <w:sz w:val="24"/>
          <w14:ligatures w14:val="none"/>
        </w:rPr>
        <w:t xml:space="preserve"> &lt; 0.01 considered highly significant, unless otherwise specified for analyses involving multiplicity adjustment.</w:t>
      </w:r>
    </w:p>
    <w:p w14:paraId="37E4C194" w14:textId="15209CEA" w:rsidR="00BE1D3D" w:rsidRPr="00F01B6D" w:rsidRDefault="00000000">
      <w:pPr>
        <w:spacing w:line="240" w:lineRule="auto"/>
        <w:rPr>
          <w:rFonts w:ascii="Calibri" w:eastAsia="宋体" w:hAnsi="Calibri" w:cs="Calibri"/>
          <w:b/>
          <w:bCs/>
          <w:sz w:val="24"/>
          <w14:ligatures w14:val="none"/>
        </w:rPr>
      </w:pPr>
      <w:r w:rsidRPr="00F01B6D">
        <w:rPr>
          <w:rFonts w:ascii="Calibri" w:eastAsia="宋体" w:hAnsi="Calibri" w:cs="Calibri" w:hint="eastAsia"/>
          <w:b/>
          <w:bCs/>
          <w:sz w:val="24"/>
          <w14:ligatures w14:val="none"/>
        </w:rPr>
        <w:t xml:space="preserve">4. Establish the </w:t>
      </w:r>
      <w:r w:rsidRPr="00F01B6D">
        <w:rPr>
          <w:rFonts w:ascii="Calibri" w:eastAsia="宋体" w:hAnsi="Calibri" w:cs="Calibri" w:hint="eastAsia"/>
          <w:b/>
          <w:bCs/>
          <w:i/>
          <w:iCs/>
          <w:sz w:val="24"/>
          <w14:ligatures w14:val="none"/>
        </w:rPr>
        <w:t>in vivo</w:t>
      </w:r>
      <w:r w:rsidRPr="00F01B6D">
        <w:rPr>
          <w:rFonts w:ascii="Calibri" w:eastAsia="宋体" w:hAnsi="Calibri" w:cs="Calibri" w:hint="eastAsia"/>
          <w:b/>
          <w:bCs/>
          <w:sz w:val="24"/>
          <w14:ligatures w14:val="none"/>
        </w:rPr>
        <w:t xml:space="preserve"> PK/PD model</w:t>
      </w:r>
    </w:p>
    <w:p w14:paraId="5DE31D7C"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sz w:val="24"/>
          <w14:ligatures w14:val="none"/>
        </w:rPr>
        <w:t>4.1 Generate xenografts</w:t>
      </w:r>
    </w:p>
    <w:p w14:paraId="6CEF0C44"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4.1.1</w:t>
      </w:r>
      <w:r w:rsidRPr="00F01B6D">
        <w:rPr>
          <w:rFonts w:ascii="Calibri" w:eastAsia="宋体" w:hAnsi="Calibri" w:cs="Calibri" w:hint="eastAsia"/>
          <w:sz w:val="24"/>
          <w14:ligatures w14:val="none"/>
        </w:rPr>
        <w:t xml:space="preserve"> Use 4</w:t>
      </w:r>
      <w:r w:rsidRPr="00F01B6D">
        <w:rPr>
          <w:rFonts w:ascii="Calibri" w:eastAsia="宋体" w:hAnsi="Calibri" w:cs="Calibri" w:hint="eastAsia"/>
          <w:color w:val="FF0000"/>
          <w:sz w:val="24"/>
          <w14:ligatures w14:val="none"/>
        </w:rPr>
        <w:t>-</w:t>
      </w:r>
      <w:r w:rsidRPr="00F01B6D">
        <w:rPr>
          <w:rFonts w:ascii="Calibri" w:eastAsia="宋体" w:hAnsi="Calibri" w:cs="Calibri" w:hint="eastAsia"/>
          <w:sz w:val="24"/>
          <w14:ligatures w14:val="none"/>
        </w:rPr>
        <w:t>week</w:t>
      </w:r>
      <w:r w:rsidRPr="00F01B6D">
        <w:rPr>
          <w:rFonts w:ascii="Calibri" w:eastAsia="宋体" w:hAnsi="Calibri" w:cs="Calibri" w:hint="eastAsia"/>
          <w:color w:val="FF0000"/>
          <w:sz w:val="24"/>
          <w14:ligatures w14:val="none"/>
        </w:rPr>
        <w:t>-</w:t>
      </w:r>
      <w:r w:rsidRPr="00F01B6D">
        <w:rPr>
          <w:rFonts w:ascii="Calibri" w:eastAsia="宋体" w:hAnsi="Calibri" w:cs="Calibri" w:hint="eastAsia"/>
          <w:sz w:val="24"/>
          <w14:ligatures w14:val="none"/>
        </w:rPr>
        <w:t>old female BALB/c nude mice (16</w:t>
      </w:r>
      <w:r w:rsidRPr="00F01B6D">
        <w:rPr>
          <w:rFonts w:ascii="Calibri" w:eastAsia="宋体" w:hAnsi="Calibri" w:cs="Calibri"/>
          <w:color w:val="FF0000"/>
          <w:sz w:val="24"/>
          <w14:ligatures w14:val="none"/>
        </w:rPr>
        <w:t>–</w:t>
      </w:r>
      <w:r w:rsidRPr="00F01B6D">
        <w:rPr>
          <w:rFonts w:ascii="Calibri" w:eastAsia="宋体" w:hAnsi="Calibri" w:cs="Calibri" w:hint="eastAsia"/>
          <w:sz w:val="24"/>
          <w14:ligatures w14:val="none"/>
        </w:rPr>
        <w:t>18 g) obtained from Shanghai SLAC Laboratory Animal Co., Ltd.</w:t>
      </w:r>
    </w:p>
    <w:p w14:paraId="29B66DF6"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4.1.2</w:t>
      </w:r>
      <w:r w:rsidRPr="00F01B6D">
        <w:rPr>
          <w:rFonts w:ascii="Calibri" w:eastAsia="宋体" w:hAnsi="Calibri" w:cs="Calibri" w:hint="eastAsia"/>
          <w:sz w:val="24"/>
          <w14:ligatures w14:val="none"/>
        </w:rPr>
        <w:t xml:space="preserve"> Resuspend BxPC-3-luc cells at 1 </w:t>
      </w:r>
      <w:r w:rsidRPr="00F01B6D">
        <w:rPr>
          <w:rFonts w:ascii="Calibri" w:eastAsia="宋体" w:hAnsi="Calibri" w:cs="Calibri"/>
          <w:sz w:val="24"/>
        </w:rPr>
        <w:t>×</w:t>
      </w:r>
      <w:r w:rsidRPr="00F01B6D">
        <w:rPr>
          <w:rFonts w:ascii="Calibri" w:eastAsia="宋体" w:hAnsi="Calibri" w:cs="Calibri" w:hint="eastAsia"/>
          <w:sz w:val="24"/>
          <w14:ligatures w14:val="none"/>
        </w:rPr>
        <w:t xml:space="preserve"> 10</w:t>
      </w:r>
      <w:r w:rsidRPr="00F01B6D">
        <w:rPr>
          <w:rFonts w:ascii="Calibri" w:eastAsia="宋体" w:hAnsi="Calibri" w:cs="Calibri" w:hint="eastAsia"/>
          <w:sz w:val="24"/>
          <w:vertAlign w:val="superscript"/>
          <w14:ligatures w14:val="none"/>
        </w:rPr>
        <w:t>6</w:t>
      </w:r>
      <w:r w:rsidRPr="00F01B6D">
        <w:rPr>
          <w:rFonts w:ascii="Calibri" w:eastAsia="宋体" w:hAnsi="Calibri" w:cs="Calibri" w:hint="eastAsia"/>
          <w:sz w:val="24"/>
          <w14:ligatures w14:val="none"/>
        </w:rPr>
        <w:t xml:space="preserve"> cells in 100 µL phosphate-buffered </w:t>
      </w:r>
      <w:proofErr w:type="gramStart"/>
      <w:r w:rsidRPr="00F01B6D">
        <w:rPr>
          <w:rFonts w:ascii="Calibri" w:eastAsia="宋体" w:hAnsi="Calibri" w:cs="Calibri" w:hint="eastAsia"/>
          <w:sz w:val="24"/>
          <w14:ligatures w14:val="none"/>
        </w:rPr>
        <w:t>saline</w:t>
      </w:r>
      <w:proofErr w:type="gramEnd"/>
      <w:r w:rsidRPr="00F01B6D">
        <w:rPr>
          <w:rFonts w:ascii="Calibri" w:eastAsia="宋体" w:hAnsi="Calibri" w:cs="Calibri" w:hint="eastAsia"/>
          <w:sz w:val="24"/>
          <w14:ligatures w14:val="none"/>
        </w:rPr>
        <w:t>.</w:t>
      </w:r>
    </w:p>
    <w:p w14:paraId="56A54783"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4.1.3</w:t>
      </w:r>
      <w:r w:rsidRPr="00F01B6D">
        <w:rPr>
          <w:rFonts w:ascii="Calibri" w:eastAsia="宋体" w:hAnsi="Calibri" w:cs="Calibri" w:hint="eastAsia"/>
          <w:sz w:val="24"/>
          <w14:ligatures w14:val="none"/>
        </w:rPr>
        <w:t xml:space="preserve"> Inject the cell suspension subcutaneously into the right flank of each mouse.</w:t>
      </w:r>
    </w:p>
    <w:p w14:paraId="1DB561EE"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4.1.4</w:t>
      </w:r>
      <w:r w:rsidRPr="00F01B6D">
        <w:rPr>
          <w:rFonts w:ascii="Calibri" w:eastAsia="宋体" w:hAnsi="Calibri" w:cs="Calibri" w:hint="eastAsia"/>
          <w:sz w:val="24"/>
          <w14:ligatures w14:val="none"/>
        </w:rPr>
        <w:t xml:space="preserve"> Monitor tumor growth until tumors reach approximately 100 mm</w:t>
      </w:r>
      <w:r w:rsidRPr="00F01B6D">
        <w:rPr>
          <w:rFonts w:ascii="Calibri" w:eastAsia="宋体" w:hAnsi="Calibri" w:cs="Calibri" w:hint="eastAsia"/>
          <w:sz w:val="24"/>
          <w:vertAlign w:val="superscript"/>
          <w14:ligatures w14:val="none"/>
        </w:rPr>
        <w:t>3</w:t>
      </w:r>
      <w:r w:rsidRPr="00F01B6D">
        <w:rPr>
          <w:rFonts w:ascii="Calibri" w:eastAsia="宋体" w:hAnsi="Calibri" w:cs="Calibri" w:hint="eastAsia"/>
          <w:sz w:val="24"/>
          <w14:ligatures w14:val="none"/>
        </w:rPr>
        <w:t>.</w:t>
      </w:r>
    </w:p>
    <w:p w14:paraId="527AAC2B" w14:textId="77777777" w:rsidR="00BE1D3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 xml:space="preserve">4.1.5 </w:t>
      </w:r>
      <w:r w:rsidRPr="00F01B6D">
        <w:rPr>
          <w:rFonts w:ascii="Calibri" w:eastAsia="宋体" w:hAnsi="Calibri" w:cs="Calibri"/>
          <w:color w:val="FF0000"/>
          <w:sz w:val="24"/>
          <w14:ligatures w14:val="none"/>
        </w:rPr>
        <w:t>Randomize the mice into vehicle, gemcitabine, CSE, and gemcitabine plus CSE groups (n = 6 per group) using a computer-generated randomization sequence.</w:t>
      </w:r>
    </w:p>
    <w:p w14:paraId="472BDD1D"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NOTE: A group size of six animals was used based on the conventional experimental design for preclinical evaluation of antitumor efficacy and pharmacokinetic characteristics. The subsequent correlation and translational mapping analyses were considered exploratory.</w:t>
      </w:r>
    </w:p>
    <w:p w14:paraId="78CE8629"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4.1.6 </w:t>
      </w:r>
      <w:r>
        <w:rPr>
          <w:rFonts w:ascii="Calibri" w:eastAsia="宋体" w:hAnsi="Calibri" w:cs="Calibri"/>
          <w:color w:val="FF0000"/>
          <w:sz w:val="24"/>
          <w14:ligatures w14:val="none"/>
        </w:rPr>
        <w:t>Assign each mouse a study identification code that does not reveal its treatment group.</w:t>
      </w:r>
    </w:p>
    <w:p w14:paraId="25FDD0ED"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4.1.7 </w:t>
      </w:r>
      <w:r>
        <w:rPr>
          <w:rFonts w:ascii="Calibri" w:eastAsia="宋体" w:hAnsi="Calibri" w:cs="Calibri"/>
          <w:color w:val="FF0000"/>
          <w:sz w:val="24"/>
          <w14:ligatures w14:val="none"/>
        </w:rPr>
        <w:t>Perform tumor volume measurements and BLI image quantification using the blinded identification codes, with the investigator performing these measurements unaware of treatment allocation.</w:t>
      </w:r>
    </w:p>
    <w:p w14:paraId="1544DBA8"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4.1.8 </w:t>
      </w:r>
      <w:r>
        <w:rPr>
          <w:rFonts w:ascii="Calibri" w:eastAsia="宋体" w:hAnsi="Calibri" w:cs="Calibri"/>
          <w:color w:val="FF0000"/>
          <w:sz w:val="24"/>
          <w14:ligatures w14:val="none"/>
        </w:rPr>
        <w:t xml:space="preserve">Unblind the treatment allocation only after completion of the primary tumor </w:t>
      </w:r>
      <w:r>
        <w:rPr>
          <w:rFonts w:ascii="Calibri" w:eastAsia="宋体" w:hAnsi="Calibri" w:cs="Calibri"/>
          <w:color w:val="FF0000"/>
          <w:sz w:val="24"/>
          <w14:ligatures w14:val="none"/>
        </w:rPr>
        <w:lastRenderedPageBreak/>
        <w:t>measurements, BLI quantification, and data recording.</w:t>
      </w:r>
    </w:p>
    <w:p w14:paraId="0DAB816B"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NOTE: Maintain treatment allocation concealment throughout tumor volume measurement and BLI image quantification to minimize potential observer bias.</w:t>
      </w:r>
    </w:p>
    <w:p w14:paraId="0790A0FE"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sz w:val="24"/>
          <w14:ligatures w14:val="none"/>
        </w:rPr>
        <w:t xml:space="preserve">4.2 Administer drugs and acquire </w:t>
      </w:r>
      <w:r w:rsidRPr="00F01B6D">
        <w:rPr>
          <w:rFonts w:ascii="Calibri" w:eastAsia="宋体" w:hAnsi="Calibri" w:cs="Calibri" w:hint="eastAsia"/>
          <w:i/>
          <w:iCs/>
          <w:sz w:val="24"/>
          <w14:ligatures w14:val="none"/>
        </w:rPr>
        <w:t>in vivo</w:t>
      </w:r>
      <w:r w:rsidRPr="00F01B6D">
        <w:rPr>
          <w:rFonts w:ascii="Calibri" w:eastAsia="宋体" w:hAnsi="Calibri" w:cs="Calibri" w:hint="eastAsia"/>
          <w:sz w:val="24"/>
          <w14:ligatures w14:val="none"/>
        </w:rPr>
        <w:t xml:space="preserve"> BLI</w:t>
      </w:r>
    </w:p>
    <w:p w14:paraId="527CEFD0"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4.2.1 Administer gemcitabine and CSE according to the experimental treatment schedule.</w:t>
      </w:r>
    </w:p>
    <w:p w14:paraId="1E08D99A"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color w:val="FF0000"/>
          <w:sz w:val="24"/>
          <w14:ligatures w14:val="none"/>
        </w:rPr>
        <w:t>CRITICAL STEP: The selected dose was based on its ability to produce a significant pharmacodynamic effect and was therefore used for subsequent PK/PD analysis.</w:t>
      </w:r>
    </w:p>
    <w:p w14:paraId="5490B705"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4.2.2 At days 7, 14, and 25 after the first treatment administration, weigh the mice and induce anesthesia with 3% isoflurane. Maintain anesthesia at 1.5% isoflurane throughout BLI acquisition.</w:t>
      </w:r>
    </w:p>
    <w:p w14:paraId="4ECA1EFF"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4.2.3 Administer D-luciferin intravenously at 75 mg/kg and immediately place the anesthetized mice in the IVIS imaging system.</w:t>
      </w:r>
    </w:p>
    <w:p w14:paraId="3B13F0DB"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4.2.4 Acquire bioluminescence images every 2 min for 140 min following D-luciferin administration.</w:t>
      </w:r>
    </w:p>
    <w:p w14:paraId="070BE1B2" w14:textId="77777777" w:rsidR="00BE1D3D" w:rsidRPr="00F01B6D" w:rsidRDefault="00000000">
      <w:pPr>
        <w:spacing w:line="240" w:lineRule="auto"/>
        <w:rPr>
          <w:rFonts w:ascii="Calibri" w:eastAsia="宋体" w:hAnsi="Calibri" w:cs="Calibri"/>
          <w:color w:val="FF0000"/>
          <w:sz w:val="24"/>
          <w14:ligatures w14:val="none"/>
        </w:rPr>
      </w:pPr>
      <w:r w:rsidRPr="00F01B6D">
        <w:rPr>
          <w:rFonts w:ascii="Calibri" w:eastAsia="宋体" w:hAnsi="Calibri" w:cs="Calibri" w:hint="eastAsia"/>
          <w:color w:val="FF0000"/>
          <w:sz w:val="24"/>
          <w14:ligatures w14:val="none"/>
        </w:rPr>
        <w:t>4.2.5 Quantify the bioluminescence signal within the tumor region of interest and normalize the signal to tumor volume to obtain the relative bioluminescence signal (</w:t>
      </w:r>
      <w:proofErr w:type="spellStart"/>
      <w:r w:rsidRPr="00F01B6D">
        <w:rPr>
          <w:rFonts w:ascii="Calibri" w:eastAsia="宋体" w:hAnsi="Calibri" w:cs="Calibri" w:hint="eastAsia"/>
          <w:color w:val="FF0000"/>
          <w:sz w:val="24"/>
          <w14:ligatures w14:val="none"/>
        </w:rPr>
        <w:t>BLI</w:t>
      </w:r>
      <w:r w:rsidRPr="00F01B6D">
        <w:rPr>
          <w:rFonts w:ascii="Calibri" w:eastAsia="宋体" w:hAnsi="Calibri" w:cs="Calibri" w:hint="eastAsia"/>
          <w:color w:val="FF0000"/>
          <w:sz w:val="24"/>
          <w:vertAlign w:val="subscript"/>
          <w14:ligatures w14:val="none"/>
        </w:rPr>
        <w:t>rel</w:t>
      </w:r>
      <w:proofErr w:type="spellEnd"/>
      <w:r w:rsidRPr="00F01B6D">
        <w:rPr>
          <w:rFonts w:ascii="Calibri" w:eastAsia="宋体" w:hAnsi="Calibri" w:cs="Calibri" w:hint="eastAsia"/>
          <w:color w:val="FF0000"/>
          <w:sz w:val="24"/>
          <w14:ligatures w14:val="none"/>
        </w:rPr>
        <w:t>).</w:t>
      </w:r>
    </w:p>
    <w:p w14:paraId="6DDE1EDC"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sz w:val="24"/>
          <w14:ligatures w14:val="none"/>
        </w:rPr>
        <w:t>4.3 Evaluate tumor growth inhibition</w:t>
      </w:r>
    </w:p>
    <w:p w14:paraId="7D52DCC6" w14:textId="77777777" w:rsidR="00BE1D3D" w:rsidRPr="00F01B6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4.3.1</w:t>
      </w:r>
      <w:r w:rsidRPr="00F01B6D">
        <w:rPr>
          <w:rFonts w:ascii="Calibri" w:eastAsia="宋体" w:hAnsi="Calibri" w:cs="Calibri" w:hint="eastAsia"/>
          <w:sz w:val="24"/>
          <w14:ligatures w14:val="none"/>
        </w:rPr>
        <w:t xml:space="preserve"> Measure tumor length (L) and width (W) with digital calipers twice per week.</w:t>
      </w:r>
    </w:p>
    <w:p w14:paraId="6EEC85B2"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4.3.2</w:t>
      </w:r>
      <w:r w:rsidRPr="00F01B6D">
        <w:rPr>
          <w:rFonts w:ascii="Calibri" w:eastAsia="宋体" w:hAnsi="Calibri" w:cs="Calibri" w:hint="eastAsia"/>
          <w:sz w:val="24"/>
          <w14:ligatures w14:val="none"/>
        </w:rPr>
        <w:t xml:space="preserve"> Calculate tumor volume (V) using the following formula:</w:t>
      </w:r>
    </w:p>
    <w:p w14:paraId="02D201EB" w14:textId="77777777" w:rsidR="00BE1D3D" w:rsidRDefault="00000000">
      <w:pPr>
        <w:spacing w:line="240" w:lineRule="auto"/>
        <w:rPr>
          <w:rFonts w:ascii="Calibri" w:eastAsia="宋体" w:hAnsi="Calibri" w:cs="Calibri"/>
          <w:sz w:val="24"/>
          <w14:ligatures w14:val="none"/>
        </w:rPr>
      </w:pPr>
      <m:oMathPara>
        <m:oMath>
          <m:eqArr>
            <m:eqArrPr>
              <m:maxDist m:val="1"/>
              <m:ctrlPr>
                <w:rPr>
                  <w:rFonts w:ascii="Cambria Math" w:eastAsia="宋体" w:hAnsi="Cambria Math" w:cs="Calibri"/>
                  <w:i/>
                  <w:sz w:val="24"/>
                  <w14:ligatures w14:val="none"/>
                </w:rPr>
              </m:ctrlPr>
            </m:eqArrPr>
            <m:e>
              <m:r>
                <w:rPr>
                  <w:rFonts w:ascii="Cambria Math" w:eastAsia="宋体" w:hAnsi="Cambria Math" w:cs="Calibri" w:hint="eastAsia"/>
                  <w:sz w:val="24"/>
                  <w14:ligatures w14:val="none"/>
                </w:rPr>
                <m:t>V=</m:t>
              </m:r>
              <m:f>
                <m:fPr>
                  <m:ctrlPr>
                    <w:rPr>
                      <w:rFonts w:ascii="Cambria Math" w:eastAsia="宋体" w:hAnsi="Cambria Math" w:cs="Calibri"/>
                      <w:sz w:val="24"/>
                      <w14:ligatures w14:val="none"/>
                    </w:rPr>
                  </m:ctrlPr>
                </m:fPr>
                <m:num>
                  <m:r>
                    <w:rPr>
                      <w:rFonts w:ascii="Cambria Math" w:eastAsia="宋体" w:hAnsi="Cambria Math" w:cs="Calibri" w:hint="eastAsia"/>
                      <w:sz w:val="24"/>
                      <w14:ligatures w14:val="none"/>
                    </w:rPr>
                    <m:t>L</m:t>
                  </m:r>
                  <m:r>
                    <m:rPr>
                      <m:sty m:val="p"/>
                    </m:rPr>
                    <w:rPr>
                      <w:rFonts w:ascii="Cambria Math" w:eastAsia="宋体" w:hAnsi="Cambria Math" w:cs="Calibri" w:hint="eastAsia"/>
                      <w:sz w:val="24"/>
                      <w14:ligatures w14:val="none"/>
                    </w:rPr>
                    <m:t>×</m:t>
                  </m:r>
                  <m:sSup>
                    <m:sSupPr>
                      <m:ctrlPr>
                        <w:rPr>
                          <w:rFonts w:ascii="Cambria Math" w:eastAsia="宋体" w:hAnsi="Cambria Math" w:cs="Calibri"/>
                          <w:i/>
                          <w:sz w:val="24"/>
                          <w14:ligatures w14:val="none"/>
                        </w:rPr>
                      </m:ctrlPr>
                    </m:sSupPr>
                    <m:e>
                      <m:r>
                        <w:rPr>
                          <w:rFonts w:ascii="Cambria Math" w:eastAsia="宋体" w:hAnsi="Cambria Math" w:cs="Calibri" w:hint="eastAsia"/>
                          <w:sz w:val="24"/>
                          <w14:ligatures w14:val="none"/>
                        </w:rPr>
                        <m:t>W</m:t>
                      </m:r>
                      <m:ctrlPr>
                        <w:rPr>
                          <w:rFonts w:ascii="Cambria Math" w:eastAsia="宋体" w:hAnsi="Cambria Math" w:cs="Calibri"/>
                          <w:sz w:val="24"/>
                          <w14:ligatures w14:val="none"/>
                        </w:rPr>
                      </m:ctrlPr>
                    </m:e>
                    <m:sup>
                      <m:r>
                        <w:rPr>
                          <w:rFonts w:ascii="Cambria Math" w:eastAsia="宋体" w:hAnsi="Cambria Math" w:cs="Calibri" w:hint="eastAsia"/>
                          <w:sz w:val="24"/>
                          <w14:ligatures w14:val="none"/>
                        </w:rPr>
                        <m:t>2</m:t>
                      </m:r>
                    </m:sup>
                  </m:sSup>
                  <m:ctrlPr>
                    <w:rPr>
                      <w:rFonts w:ascii="Cambria Math" w:eastAsia="宋体" w:hAnsi="Cambria Math" w:cs="Calibri"/>
                      <w:i/>
                      <w:sz w:val="24"/>
                      <w14:ligatures w14:val="none"/>
                    </w:rPr>
                  </m:ctrlPr>
                </m:num>
                <m:den>
                  <m:r>
                    <w:rPr>
                      <w:rFonts w:ascii="Cambria Math" w:eastAsia="宋体" w:hAnsi="Cambria Math" w:cs="Calibri" w:hint="eastAsia"/>
                      <w:sz w:val="24"/>
                      <w14:ligatures w14:val="none"/>
                    </w:rPr>
                    <m:t>2</m:t>
                  </m:r>
                  <m:ctrlPr>
                    <w:rPr>
                      <w:rFonts w:ascii="Cambria Math" w:eastAsia="宋体" w:hAnsi="Cambria Math" w:cs="Calibri"/>
                      <w:i/>
                      <w:sz w:val="24"/>
                      <w14:ligatures w14:val="none"/>
                    </w:rPr>
                  </m:ctrlPr>
                </m:den>
              </m:f>
              <m:r>
                <w:rPr>
                  <w:rFonts w:ascii="Cambria Math" w:eastAsia="宋体" w:hAnsi="Cambria Math" w:cs="Calibri"/>
                  <w:sz w:val="24"/>
                  <w14:ligatures w14:val="none"/>
                </w:rPr>
                <m:t>#</m:t>
              </m:r>
              <m:d>
                <m:dPr>
                  <m:ctrlPr>
                    <w:rPr>
                      <w:rFonts w:ascii="Cambria Math" w:eastAsia="宋体" w:hAnsi="Cambria Math" w:cs="Calibri"/>
                      <w:i/>
                      <w:sz w:val="24"/>
                      <w14:ligatures w14:val="none"/>
                    </w:rPr>
                  </m:ctrlPr>
                </m:dPr>
                <m:e>
                  <m:r>
                    <w:rPr>
                      <w:rFonts w:ascii="Cambria Math" w:eastAsia="宋体" w:hAnsi="Cambria Math" w:cs="Calibri"/>
                      <w:sz w:val="24"/>
                      <w14:ligatures w14:val="none"/>
                    </w:rPr>
                    <m:t>2</m:t>
                  </m:r>
                </m:e>
              </m:d>
            </m:e>
          </m:eqArr>
        </m:oMath>
      </m:oMathPara>
    </w:p>
    <w:p w14:paraId="4DA03869" w14:textId="77777777" w:rsidR="00BE1D3D" w:rsidRDefault="00000000">
      <w:pPr>
        <w:spacing w:line="240" w:lineRule="auto"/>
        <w:rPr>
          <w:rFonts w:ascii="Calibri" w:eastAsia="宋体" w:hAnsi="Calibri" w:cs="Calibri"/>
          <w:sz w:val="24"/>
          <w14:ligatures w14:val="none"/>
        </w:rPr>
      </w:pPr>
      <w:r w:rsidRPr="00F01B6D">
        <w:rPr>
          <w:rFonts w:ascii="Calibri" w:eastAsia="宋体" w:hAnsi="Calibri" w:cs="Calibri" w:hint="eastAsia"/>
          <w:color w:val="FF0000"/>
          <w:sz w:val="24"/>
          <w14:ligatures w14:val="none"/>
        </w:rPr>
        <w:t xml:space="preserve">4.3.3 </w:t>
      </w:r>
      <w:r w:rsidRPr="00F01B6D">
        <w:rPr>
          <w:rFonts w:ascii="Calibri" w:eastAsia="宋体" w:hAnsi="Calibri" w:cs="Calibri" w:hint="eastAsia"/>
          <w:sz w:val="24"/>
          <w14:ligatures w14:val="none"/>
        </w:rPr>
        <w:t>Calculate the Relative Tumor Growth Rate (T/C %) to evaluate treatment response (as shown in Figure 5A):</w:t>
      </w:r>
    </w:p>
    <w:p w14:paraId="16A0FC26" w14:textId="77777777" w:rsidR="00BE1D3D" w:rsidRDefault="00000000">
      <w:pPr>
        <w:spacing w:line="240" w:lineRule="auto"/>
        <w:rPr>
          <w:rFonts w:ascii="Calibri" w:eastAsia="宋体" w:hAnsi="Calibri" w:cs="Calibri"/>
          <w:sz w:val="24"/>
          <w14:ligatures w14:val="none"/>
        </w:rPr>
      </w:pPr>
      <m:oMathPara>
        <m:oMath>
          <m:eqArr>
            <m:eqArrPr>
              <m:maxDist m:val="1"/>
              <m:ctrlPr>
                <w:rPr>
                  <w:rFonts w:ascii="Cambria Math" w:eastAsia="宋体" w:hAnsi="Cambria Math" w:cs="Calibri"/>
                  <w:i/>
                  <w:sz w:val="24"/>
                  <w14:ligatures w14:val="none"/>
                </w:rPr>
              </m:ctrlPr>
            </m:eqArrPr>
            <m:e>
              <m:r>
                <w:rPr>
                  <w:rFonts w:ascii="Cambria Math" w:eastAsia="宋体" w:hAnsi="Cambria Math" w:cs="Calibri" w:hint="eastAsia"/>
                  <w:sz w:val="24"/>
                  <w14:ligatures w14:val="none"/>
                </w:rPr>
                <m:t>T</m:t>
              </m:r>
              <m:r>
                <m:rPr>
                  <m:lit/>
                  <m:sty m:val="p"/>
                </m:rPr>
                <w:rPr>
                  <w:rFonts w:ascii="Cambria Math" w:eastAsia="宋体" w:hAnsi="Cambria Math" w:cs="Calibri" w:hint="eastAsia"/>
                  <w:sz w:val="24"/>
                  <w14:ligatures w14:val="none"/>
                </w:rPr>
                <m:t>/</m:t>
              </m:r>
              <m:r>
                <m:rPr>
                  <m:sty m:val="p"/>
                </m:rPr>
                <w:rPr>
                  <w:rFonts w:ascii="Cambria Math" w:eastAsia="宋体" w:hAnsi="Cambria Math" w:cs="Calibri" w:hint="eastAsia"/>
                  <w:sz w:val="24"/>
                  <w14:ligatures w14:val="none"/>
                </w:rPr>
                <m:t>C</m:t>
              </m:r>
              <m:r>
                <w:rPr>
                  <w:rFonts w:ascii="Cambria Math" w:eastAsia="宋体" w:hAnsi="Cambria Math" w:cs="Calibri"/>
                  <w:sz w:val="24"/>
                  <w14:ligatures w14:val="none"/>
                </w:rPr>
                <m:t> </m:t>
              </m:r>
              <m:d>
                <m:dPr>
                  <m:ctrlPr>
                    <w:rPr>
                      <w:rFonts w:ascii="Cambria Math" w:eastAsia="宋体" w:hAnsi="Cambria Math" w:cs="Calibri"/>
                      <w:i/>
                      <w:sz w:val="24"/>
                      <w14:ligatures w14:val="none"/>
                    </w:rPr>
                  </m:ctrlPr>
                </m:dPr>
                <m:e>
                  <m:r>
                    <w:rPr>
                      <w:rFonts w:ascii="Cambria Math" w:eastAsia="宋体" w:hAnsi="Cambria Math" w:cs="Calibri" w:hint="eastAsia"/>
                      <w:sz w:val="24"/>
                      <w14:ligatures w14:val="none"/>
                    </w:rPr>
                    <m:t>%</m:t>
                  </m:r>
                </m:e>
              </m:d>
              <m:r>
                <w:rPr>
                  <w:rFonts w:ascii="Cambria Math" w:eastAsia="宋体" w:hAnsi="Cambria Math" w:cs="Calibri" w:hint="eastAsia"/>
                  <w:sz w:val="24"/>
                  <w14:ligatures w14:val="none"/>
                </w:rPr>
                <m:t>=</m:t>
              </m:r>
              <m:f>
                <m:fPr>
                  <m:ctrlPr>
                    <w:rPr>
                      <w:rFonts w:ascii="Cambria Math" w:eastAsia="宋体" w:hAnsi="Cambria Math" w:cs="Calibri"/>
                      <w:sz w:val="24"/>
                      <w14:ligatures w14:val="none"/>
                    </w:rPr>
                  </m:ctrlPr>
                </m:fPr>
                <m:num>
                  <m:r>
                    <m:rPr>
                      <m:sty m:val="p"/>
                    </m:rPr>
                    <w:rPr>
                      <w:rFonts w:ascii="Cambria Math" w:eastAsia="宋体" w:hAnsi="Cambria Math" w:cs="Calibri" w:hint="eastAsia"/>
                      <w:sz w:val="24"/>
                      <w14:ligatures w14:val="none"/>
                    </w:rPr>
                    <m:t>Δ</m:t>
                  </m:r>
                  <m:sSub>
                    <m:sSubPr>
                      <m:ctrlPr>
                        <w:rPr>
                          <w:rFonts w:ascii="Cambria Math" w:eastAsia="宋体" w:hAnsi="Cambria Math" w:cs="Calibri"/>
                          <w:i/>
                          <w:sz w:val="24"/>
                          <w14:ligatures w14:val="none"/>
                        </w:rPr>
                      </m:ctrlPr>
                    </m:sSubPr>
                    <m:e>
                      <m:r>
                        <w:rPr>
                          <w:rFonts w:ascii="Cambria Math" w:eastAsia="宋体" w:hAnsi="Cambria Math" w:cs="Calibri" w:hint="eastAsia"/>
                          <w:sz w:val="24"/>
                          <w14:ligatures w14:val="none"/>
                        </w:rPr>
                        <m:t>V</m:t>
                      </m:r>
                      <m:ctrlPr>
                        <w:rPr>
                          <w:rFonts w:ascii="Cambria Math" w:eastAsia="宋体" w:hAnsi="Cambria Math" w:cs="Calibri" w:hint="eastAsia"/>
                          <w:i/>
                          <w:sz w:val="24"/>
                          <w14:ligatures w14:val="none"/>
                        </w:rPr>
                      </m:ctrlPr>
                    </m:e>
                    <m:sub>
                      <m:r>
                        <m:rPr>
                          <m:nor/>
                        </m:rPr>
                        <w:rPr>
                          <w:rFonts w:ascii="Cambria Math" w:eastAsia="宋体" w:hAnsi="Cambria Math" w:cs="Calibri" w:hint="eastAsia"/>
                          <w:sz w:val="24"/>
                          <w14:ligatures w14:val="none"/>
                        </w:rPr>
                        <m:t>treated</m:t>
                      </m:r>
                    </m:sub>
                  </m:sSub>
                  <m:ctrlPr>
                    <w:rPr>
                      <w:rFonts w:ascii="Cambria Math" w:eastAsia="宋体" w:hAnsi="Cambria Math" w:cs="Calibri"/>
                      <w:i/>
                      <w:sz w:val="24"/>
                      <w14:ligatures w14:val="none"/>
                    </w:rPr>
                  </m:ctrlPr>
                </m:num>
                <m:den>
                  <m:r>
                    <m:rPr>
                      <m:sty m:val="p"/>
                    </m:rPr>
                    <w:rPr>
                      <w:rFonts w:ascii="Cambria Math" w:eastAsia="宋体" w:hAnsi="Cambria Math" w:cs="Calibri" w:hint="eastAsia"/>
                      <w:sz w:val="24"/>
                      <w14:ligatures w14:val="none"/>
                    </w:rPr>
                    <m:t>Δ</m:t>
                  </m:r>
                  <m:sSub>
                    <m:sSubPr>
                      <m:ctrlPr>
                        <w:rPr>
                          <w:rFonts w:ascii="Cambria Math" w:eastAsia="宋体" w:hAnsi="Cambria Math" w:cs="Calibri"/>
                          <w:i/>
                          <w:sz w:val="24"/>
                          <w14:ligatures w14:val="none"/>
                        </w:rPr>
                      </m:ctrlPr>
                    </m:sSubPr>
                    <m:e>
                      <m:r>
                        <w:rPr>
                          <w:rFonts w:ascii="Cambria Math" w:eastAsia="宋体" w:hAnsi="Cambria Math" w:cs="Calibri" w:hint="eastAsia"/>
                          <w:sz w:val="24"/>
                          <w14:ligatures w14:val="none"/>
                        </w:rPr>
                        <m:t>V</m:t>
                      </m:r>
                      <m:ctrlPr>
                        <w:rPr>
                          <w:rFonts w:ascii="Cambria Math" w:eastAsia="宋体" w:hAnsi="Cambria Math" w:cs="Calibri" w:hint="eastAsia"/>
                          <w:i/>
                          <w:sz w:val="24"/>
                          <w14:ligatures w14:val="none"/>
                        </w:rPr>
                      </m:ctrlPr>
                    </m:e>
                    <m:sub>
                      <m:r>
                        <m:rPr>
                          <m:nor/>
                        </m:rPr>
                        <w:rPr>
                          <w:rFonts w:ascii="Cambria Math" w:eastAsia="宋体" w:hAnsi="Cambria Math" w:cs="Calibri" w:hint="eastAsia"/>
                          <w:sz w:val="24"/>
                          <w14:ligatures w14:val="none"/>
                        </w:rPr>
                        <m:t>control</m:t>
                      </m:r>
                    </m:sub>
                  </m:sSub>
                  <m:ctrlPr>
                    <w:rPr>
                      <w:rFonts w:ascii="Cambria Math" w:eastAsia="宋体" w:hAnsi="Cambria Math" w:cs="Calibri"/>
                      <w:i/>
                      <w:sz w:val="24"/>
                      <w14:ligatures w14:val="none"/>
                    </w:rPr>
                  </m:ctrlPr>
                </m:den>
              </m:f>
              <m:r>
                <m:rPr>
                  <m:sty m:val="p"/>
                </m:rPr>
                <w:rPr>
                  <w:rFonts w:ascii="Cambria Math" w:eastAsia="宋体" w:hAnsi="Cambria Math" w:cs="Calibri" w:hint="eastAsia"/>
                  <w:sz w:val="24"/>
                  <w14:ligatures w14:val="none"/>
                </w:rPr>
                <m:t>×</m:t>
              </m:r>
              <m:r>
                <w:rPr>
                  <w:rFonts w:ascii="Cambria Math" w:eastAsia="宋体" w:hAnsi="Cambria Math" w:cs="Calibri" w:hint="eastAsia"/>
                  <w:sz w:val="24"/>
                  <w14:ligatures w14:val="none"/>
                </w:rPr>
                <m:t>100</m:t>
              </m:r>
              <m:r>
                <w:rPr>
                  <w:rFonts w:ascii="Cambria Math" w:eastAsia="宋体" w:hAnsi="Cambria Math" w:cs="Calibri"/>
                  <w:sz w:val="24"/>
                  <w14:ligatures w14:val="none"/>
                </w:rPr>
                <m:t>#</m:t>
              </m:r>
              <m:d>
                <m:dPr>
                  <m:ctrlPr>
                    <w:rPr>
                      <w:rFonts w:ascii="Cambria Math" w:eastAsia="宋体" w:hAnsi="Cambria Math" w:cs="Calibri"/>
                      <w:i/>
                      <w:sz w:val="24"/>
                      <w14:ligatures w14:val="none"/>
                    </w:rPr>
                  </m:ctrlPr>
                </m:dPr>
                <m:e>
                  <m:r>
                    <w:rPr>
                      <w:rFonts w:ascii="Cambria Math" w:eastAsia="宋体" w:hAnsi="Cambria Math" w:cs="Calibri"/>
                      <w:sz w:val="24"/>
                      <w14:ligatures w14:val="none"/>
                    </w:rPr>
                    <m:t>3</m:t>
                  </m:r>
                </m:e>
              </m:d>
            </m:e>
          </m:eqArr>
        </m:oMath>
      </m:oMathPara>
    </w:p>
    <w:p w14:paraId="38F60CC8"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 xml:space="preserve">NOTE: </w:t>
      </w:r>
      <m:oMath>
        <m:r>
          <w:rPr>
            <w:rFonts w:ascii="Cambria Math" w:eastAsia="宋体" w:hAnsi="Cambria Math" w:cs="Calibri"/>
            <w:sz w:val="24"/>
          </w:rPr>
          <m:t>ΔV</m:t>
        </m:r>
      </m:oMath>
      <w:r>
        <w:rPr>
          <w:rFonts w:ascii="Calibri" w:eastAsia="宋体" w:hAnsi="Calibri" w:cs="Calibri" w:hint="eastAsia"/>
          <w:sz w:val="24"/>
          <w14:ligatures w14:val="none"/>
        </w:rPr>
        <w:t>represents the change in tumor volume from the start of treatment.</w:t>
      </w:r>
    </w:p>
    <w:p w14:paraId="5255195D" w14:textId="38142D11" w:rsidR="00BE1D3D" w:rsidRDefault="00A072D8">
      <w:pPr>
        <w:spacing w:line="240" w:lineRule="auto"/>
        <w:rPr>
          <w:rFonts w:ascii="Calibri" w:eastAsia="宋体" w:hAnsi="Calibri" w:cs="Calibri"/>
          <w:sz w:val="24"/>
          <w14:ligatures w14:val="none"/>
        </w:rPr>
      </w:pPr>
      <w:r w:rsidRPr="00A072D8">
        <w:rPr>
          <w:rFonts w:ascii="Calibri" w:eastAsia="宋体" w:hAnsi="Calibri" w:cs="Calibri" w:hint="eastAsia"/>
          <w:color w:val="EE0000"/>
          <w:sz w:val="24"/>
          <w14:ligatures w14:val="none"/>
        </w:rPr>
        <w:t>4.3.4</w:t>
      </w:r>
      <w:r>
        <w:rPr>
          <w:rFonts w:ascii="Calibri" w:eastAsia="宋体" w:hAnsi="Calibri" w:cs="Calibri" w:hint="eastAsia"/>
          <w:sz w:val="24"/>
          <w14:ligatures w14:val="none"/>
        </w:rPr>
        <w:t xml:space="preserve"> Calculate the Tumor Growth Inhibition (TGI %) for subsequent correlation analysis:</w:t>
      </w:r>
    </w:p>
    <w:p w14:paraId="25BAF448" w14:textId="77777777" w:rsidR="00BE1D3D" w:rsidRDefault="00000000">
      <w:pPr>
        <w:spacing w:line="240" w:lineRule="auto"/>
        <w:rPr>
          <w:rFonts w:ascii="Calibri" w:eastAsia="宋体" w:hAnsi="Calibri" w:cs="Calibri"/>
          <w:sz w:val="24"/>
          <w14:ligatures w14:val="none"/>
        </w:rPr>
      </w:pPr>
      <m:oMathPara>
        <m:oMath>
          <m:eqArr>
            <m:eqArrPr>
              <m:maxDist m:val="1"/>
              <m:ctrlPr>
                <w:rPr>
                  <w:rFonts w:ascii="Cambria Math" w:eastAsia="宋体" w:hAnsi="Cambria Math" w:cs="Calibri"/>
                  <w:i/>
                  <w:sz w:val="24"/>
                  <w14:ligatures w14:val="none"/>
                </w:rPr>
              </m:ctrlPr>
            </m:eqArrPr>
            <m:e>
              <m:r>
                <m:rPr>
                  <m:nor/>
                </m:rPr>
                <w:rPr>
                  <w:rFonts w:ascii="Cambria Math" w:eastAsia="宋体" w:hAnsi="Cambria Math" w:cs="Calibri" w:hint="eastAsia"/>
                  <w:sz w:val="24"/>
                  <w14:ligatures w14:val="none"/>
                </w:rPr>
                <m:t>TGI</m:t>
              </m:r>
              <m:r>
                <w:rPr>
                  <w:rFonts w:ascii="Cambria Math" w:eastAsia="宋体" w:hAnsi="Cambria Math" w:cs="Calibri"/>
                  <w:sz w:val="24"/>
                  <w14:ligatures w14:val="none"/>
                </w:rPr>
                <m:t> </m:t>
              </m:r>
              <m:d>
                <m:dPr>
                  <m:ctrlPr>
                    <w:rPr>
                      <w:rFonts w:ascii="Cambria Math" w:eastAsia="宋体" w:hAnsi="Cambria Math" w:cs="Calibri"/>
                      <w:i/>
                      <w:sz w:val="24"/>
                      <w14:ligatures w14:val="none"/>
                    </w:rPr>
                  </m:ctrlPr>
                </m:dPr>
                <m:e>
                  <m:r>
                    <w:rPr>
                      <w:rFonts w:ascii="Cambria Math" w:eastAsia="宋体" w:hAnsi="Cambria Math" w:cs="Calibri" w:hint="eastAsia"/>
                      <w:sz w:val="24"/>
                      <w14:ligatures w14:val="none"/>
                    </w:rPr>
                    <m:t>%</m:t>
                  </m:r>
                </m:e>
              </m:d>
              <m:r>
                <w:rPr>
                  <w:rFonts w:ascii="Cambria Math" w:eastAsia="宋体" w:hAnsi="Cambria Math" w:cs="Calibri" w:hint="eastAsia"/>
                  <w:sz w:val="24"/>
                  <w14:ligatures w14:val="none"/>
                </w:rPr>
                <m:t>=</m:t>
              </m:r>
              <m:d>
                <m:dPr>
                  <m:ctrlPr>
                    <w:rPr>
                      <w:rFonts w:ascii="Cambria Math" w:eastAsia="宋体" w:hAnsi="Cambria Math" w:cs="Calibri"/>
                      <w:sz w:val="24"/>
                      <w14:ligatures w14:val="none"/>
                    </w:rPr>
                  </m:ctrlPr>
                </m:dPr>
                <m:e>
                  <m:r>
                    <w:rPr>
                      <w:rFonts w:ascii="Cambria Math" w:eastAsia="宋体" w:hAnsi="Cambria Math" w:cs="Calibri" w:hint="eastAsia"/>
                      <w:sz w:val="24"/>
                      <w14:ligatures w14:val="none"/>
                    </w:rPr>
                    <m:t>1</m:t>
                  </m:r>
                  <m:r>
                    <w:rPr>
                      <w:rFonts w:ascii="Cambria Math" w:eastAsia="宋体" w:hAnsi="Cambria Math" w:cs="Cambria Math"/>
                      <w:sz w:val="24"/>
                      <w14:ligatures w14:val="none"/>
                    </w:rPr>
                    <m:t>-</m:t>
                  </m:r>
                  <m:f>
                    <m:fPr>
                      <m:ctrlPr>
                        <w:rPr>
                          <w:rFonts w:ascii="Cambria Math" w:eastAsia="宋体" w:hAnsi="Cambria Math" w:cs="Calibri"/>
                          <w:sz w:val="24"/>
                          <w14:ligatures w14:val="none"/>
                        </w:rPr>
                      </m:ctrlPr>
                    </m:fPr>
                    <m:num>
                      <m:r>
                        <m:rPr>
                          <m:sty m:val="p"/>
                        </m:rPr>
                        <w:rPr>
                          <w:rFonts w:ascii="Cambria Math" w:eastAsia="宋体" w:hAnsi="Cambria Math" w:cs="Calibri" w:hint="eastAsia"/>
                          <w:sz w:val="24"/>
                          <w14:ligatures w14:val="none"/>
                        </w:rPr>
                        <m:t>Δ</m:t>
                      </m:r>
                      <m:sSub>
                        <m:sSubPr>
                          <m:ctrlPr>
                            <w:rPr>
                              <w:rFonts w:ascii="Cambria Math" w:eastAsia="宋体" w:hAnsi="Cambria Math" w:cs="Calibri"/>
                              <w:i/>
                              <w:sz w:val="24"/>
                              <w14:ligatures w14:val="none"/>
                            </w:rPr>
                          </m:ctrlPr>
                        </m:sSubPr>
                        <m:e>
                          <m:r>
                            <w:rPr>
                              <w:rFonts w:ascii="Cambria Math" w:eastAsia="宋体" w:hAnsi="Cambria Math" w:cs="Calibri" w:hint="eastAsia"/>
                              <w:sz w:val="24"/>
                              <w14:ligatures w14:val="none"/>
                            </w:rPr>
                            <m:t>V</m:t>
                          </m:r>
                          <m:ctrlPr>
                            <w:rPr>
                              <w:rFonts w:ascii="Cambria Math" w:eastAsia="宋体" w:hAnsi="Cambria Math" w:cs="Calibri" w:hint="eastAsia"/>
                              <w:i/>
                              <w:sz w:val="24"/>
                              <w14:ligatures w14:val="none"/>
                            </w:rPr>
                          </m:ctrlPr>
                        </m:e>
                        <m:sub>
                          <m:r>
                            <m:rPr>
                              <m:nor/>
                            </m:rPr>
                            <w:rPr>
                              <w:rFonts w:ascii="Cambria Math" w:eastAsia="宋体" w:hAnsi="Cambria Math" w:cs="Calibri" w:hint="eastAsia"/>
                              <w:sz w:val="24"/>
                              <w14:ligatures w14:val="none"/>
                            </w:rPr>
                            <m:t>treated</m:t>
                          </m:r>
                        </m:sub>
                      </m:sSub>
                      <m:ctrlPr>
                        <w:rPr>
                          <w:rFonts w:ascii="Cambria Math" w:eastAsia="宋体" w:hAnsi="Cambria Math" w:cs="Calibri"/>
                          <w:i/>
                          <w:sz w:val="24"/>
                          <w14:ligatures w14:val="none"/>
                        </w:rPr>
                      </m:ctrlPr>
                    </m:num>
                    <m:den>
                      <m:r>
                        <m:rPr>
                          <m:sty m:val="p"/>
                        </m:rPr>
                        <w:rPr>
                          <w:rFonts w:ascii="Cambria Math" w:eastAsia="宋体" w:hAnsi="Cambria Math" w:cs="Calibri" w:hint="eastAsia"/>
                          <w:sz w:val="24"/>
                          <w14:ligatures w14:val="none"/>
                        </w:rPr>
                        <m:t>Δ</m:t>
                      </m:r>
                      <m:sSub>
                        <m:sSubPr>
                          <m:ctrlPr>
                            <w:rPr>
                              <w:rFonts w:ascii="Cambria Math" w:eastAsia="宋体" w:hAnsi="Cambria Math" w:cs="Calibri"/>
                              <w:i/>
                              <w:sz w:val="24"/>
                              <w14:ligatures w14:val="none"/>
                            </w:rPr>
                          </m:ctrlPr>
                        </m:sSubPr>
                        <m:e>
                          <m:r>
                            <w:rPr>
                              <w:rFonts w:ascii="Cambria Math" w:eastAsia="宋体" w:hAnsi="Cambria Math" w:cs="Calibri" w:hint="eastAsia"/>
                              <w:sz w:val="24"/>
                              <w14:ligatures w14:val="none"/>
                            </w:rPr>
                            <m:t>V</m:t>
                          </m:r>
                          <m:ctrlPr>
                            <w:rPr>
                              <w:rFonts w:ascii="Cambria Math" w:eastAsia="宋体" w:hAnsi="Cambria Math" w:cs="Calibri" w:hint="eastAsia"/>
                              <w:i/>
                              <w:sz w:val="24"/>
                              <w14:ligatures w14:val="none"/>
                            </w:rPr>
                          </m:ctrlPr>
                        </m:e>
                        <m:sub>
                          <m:r>
                            <m:rPr>
                              <m:nor/>
                            </m:rPr>
                            <w:rPr>
                              <w:rFonts w:ascii="Cambria Math" w:eastAsia="宋体" w:hAnsi="Cambria Math" w:cs="Calibri" w:hint="eastAsia"/>
                              <w:sz w:val="24"/>
                              <w14:ligatures w14:val="none"/>
                            </w:rPr>
                            <m:t>control</m:t>
                          </m:r>
                        </m:sub>
                      </m:sSub>
                      <m:ctrlPr>
                        <w:rPr>
                          <w:rFonts w:ascii="Cambria Math" w:eastAsia="宋体" w:hAnsi="Cambria Math" w:cs="Calibri"/>
                          <w:i/>
                          <w:sz w:val="24"/>
                          <w14:ligatures w14:val="none"/>
                        </w:rPr>
                      </m:ctrlPr>
                    </m:den>
                  </m:f>
                  <m:ctrlPr>
                    <w:rPr>
                      <w:rFonts w:ascii="Cambria Math" w:eastAsia="宋体" w:hAnsi="Cambria Math" w:cs="Calibri"/>
                      <w:i/>
                      <w:sz w:val="24"/>
                      <w14:ligatures w14:val="none"/>
                    </w:rPr>
                  </m:ctrlPr>
                </m:e>
              </m:d>
              <m:r>
                <m:rPr>
                  <m:sty m:val="p"/>
                </m:rPr>
                <w:rPr>
                  <w:rFonts w:ascii="Cambria Math" w:eastAsia="宋体" w:hAnsi="Cambria Math" w:cs="Calibri" w:hint="eastAsia"/>
                  <w:sz w:val="24"/>
                  <w14:ligatures w14:val="none"/>
                </w:rPr>
                <m:t>×</m:t>
              </m:r>
              <m:r>
                <w:rPr>
                  <w:rFonts w:ascii="Cambria Math" w:eastAsia="宋体" w:hAnsi="Cambria Math" w:cs="Calibri" w:hint="eastAsia"/>
                  <w:sz w:val="24"/>
                  <w14:ligatures w14:val="none"/>
                </w:rPr>
                <m:t>100</m:t>
              </m:r>
              <m:r>
                <w:rPr>
                  <w:rFonts w:ascii="Cambria Math" w:eastAsia="宋体" w:hAnsi="Cambria Math" w:cs="Calibri"/>
                  <w:sz w:val="24"/>
                  <w14:ligatures w14:val="none"/>
                </w:rPr>
                <m:t>#</m:t>
              </m:r>
              <m:d>
                <m:dPr>
                  <m:ctrlPr>
                    <w:rPr>
                      <w:rFonts w:ascii="Cambria Math" w:eastAsia="宋体" w:hAnsi="Cambria Math" w:cs="Calibri"/>
                      <w:i/>
                      <w:sz w:val="24"/>
                      <w14:ligatures w14:val="none"/>
                    </w:rPr>
                  </m:ctrlPr>
                </m:dPr>
                <m:e>
                  <m:r>
                    <w:rPr>
                      <w:rFonts w:ascii="Cambria Math" w:eastAsia="宋体" w:hAnsi="Cambria Math" w:cs="Calibri"/>
                      <w:sz w:val="24"/>
                      <w14:ligatures w14:val="none"/>
                    </w:rPr>
                    <m:t>4</m:t>
                  </m:r>
                </m:e>
              </m:d>
            </m:e>
          </m:eqArr>
        </m:oMath>
      </m:oMathPara>
    </w:p>
    <w:p w14:paraId="103A2C6D" w14:textId="794CBF75" w:rsidR="00BE1D3D" w:rsidRDefault="00000000">
      <w:pPr>
        <w:spacing w:line="240" w:lineRule="auto"/>
        <w:rPr>
          <w:rFonts w:ascii="Calibri" w:eastAsia="宋体" w:hAnsi="Calibri" w:cs="Calibri"/>
          <w:sz w:val="24"/>
          <w14:ligatures w14:val="none"/>
        </w:rPr>
      </w:pPr>
      <w:r>
        <w:rPr>
          <w:rFonts w:ascii="Calibri" w:eastAsia="宋体" w:hAnsi="Calibri" w:cs="Calibri" w:hint="eastAsia"/>
          <w:color w:val="FF0000"/>
          <w:sz w:val="24"/>
          <w14:ligatures w14:val="none"/>
        </w:rPr>
        <w:t>4.3.</w:t>
      </w:r>
      <w:r w:rsidR="00A072D8">
        <w:rPr>
          <w:rFonts w:ascii="Calibri" w:eastAsia="宋体" w:hAnsi="Calibri" w:cs="Calibri" w:hint="eastAsia"/>
          <w:color w:val="FF0000"/>
          <w:sz w:val="24"/>
          <w14:ligatures w14:val="none"/>
        </w:rPr>
        <w:t>5</w:t>
      </w:r>
      <w:r>
        <w:rPr>
          <w:rFonts w:ascii="Calibri" w:eastAsia="宋体" w:hAnsi="Calibri" w:cs="Calibri" w:hint="eastAsia"/>
          <w:sz w:val="24"/>
          <w14:ligatures w14:val="none"/>
        </w:rPr>
        <w:t xml:space="preserve"> Record body weight and clinical conditions throughout the study period.</w:t>
      </w:r>
    </w:p>
    <w:p w14:paraId="22C702E7"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4.4 Recalculate source-derived systemic pharmacokinetic parameters</w:t>
      </w:r>
    </w:p>
    <w:p w14:paraId="47C71F53"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lastRenderedPageBreak/>
        <w:t>4.4.1 Use the plasma gemcitabine concentration</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time data reported in the corresponding source study as the basis for systemic pharmacokinetic analysis. No new animals are used and no additional plasma or tissue samples are collected for this analysis.</w:t>
      </w:r>
    </w:p>
    <w:p w14:paraId="3D0990F7"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4.4.2 Extract the reported plasma concentration</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time data and organize the concentration values according to the sampling time points reported in the source study.</w:t>
      </w:r>
    </w:p>
    <w:p w14:paraId="330B1718"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4.4.3 Recalculate the area under the plasma concentration</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time curve from time zero to the last measurable concentration (AUC</w:t>
      </w:r>
      <w:r>
        <w:rPr>
          <w:rFonts w:ascii="Calibri" w:eastAsia="宋体" w:hAnsi="Calibri" w:cs="Calibri" w:hint="eastAsia"/>
          <w:color w:val="FF0000"/>
          <w:sz w:val="24"/>
          <w:vertAlign w:val="subscript"/>
          <w14:ligatures w14:val="none"/>
        </w:rPr>
        <w:t>0</w:t>
      </w:r>
      <w:r>
        <w:rPr>
          <w:rFonts w:ascii="Calibri" w:eastAsia="宋体" w:hAnsi="Calibri" w:cs="Calibri"/>
          <w:color w:val="FF0000"/>
          <w:sz w:val="24"/>
          <w:vertAlign w:val="subscript"/>
          <w14:ligatures w14:val="none"/>
        </w:rPr>
        <w:t>–</w:t>
      </w:r>
      <w:r>
        <w:rPr>
          <w:rFonts w:ascii="Calibri" w:eastAsia="宋体" w:hAnsi="Calibri" w:cs="Calibri" w:hint="eastAsia"/>
          <w:color w:val="FF0000"/>
          <w:sz w:val="24"/>
          <w:vertAlign w:val="subscript"/>
          <w14:ligatures w14:val="none"/>
        </w:rPr>
        <w:t>t</w:t>
      </w:r>
      <w:r>
        <w:rPr>
          <w:rFonts w:ascii="Calibri" w:eastAsia="宋体" w:hAnsi="Calibri" w:cs="Calibri" w:hint="eastAsia"/>
          <w:color w:val="FF0000"/>
          <w:sz w:val="24"/>
          <w14:ligatures w14:val="none"/>
        </w:rPr>
        <w:t>), maximum observed plasma concentration (</w:t>
      </w:r>
      <w:proofErr w:type="spellStart"/>
      <w:r>
        <w:rPr>
          <w:rFonts w:ascii="Calibri" w:eastAsia="宋体" w:hAnsi="Calibri" w:cs="Calibri" w:hint="eastAsia"/>
          <w:color w:val="FF0000"/>
          <w:sz w:val="24"/>
          <w14:ligatures w14:val="none"/>
        </w:rPr>
        <w:t>C</w:t>
      </w:r>
      <w:r>
        <w:rPr>
          <w:rFonts w:ascii="Calibri" w:eastAsia="宋体" w:hAnsi="Calibri" w:cs="Calibri" w:hint="eastAsia"/>
          <w:color w:val="FF0000"/>
          <w:sz w:val="24"/>
          <w:vertAlign w:val="subscript"/>
          <w14:ligatures w14:val="none"/>
        </w:rPr>
        <w:t>max</w:t>
      </w:r>
      <w:proofErr w:type="spellEnd"/>
      <w:r>
        <w:rPr>
          <w:rFonts w:ascii="Calibri" w:eastAsia="宋体" w:hAnsi="Calibri" w:cs="Calibri" w:hint="eastAsia"/>
          <w:color w:val="FF0000"/>
          <w:sz w:val="24"/>
          <w14:ligatures w14:val="none"/>
        </w:rPr>
        <w:t>), and elimination half-life (T</w:t>
      </w:r>
      <w:r>
        <w:rPr>
          <w:rFonts w:ascii="Calibri" w:eastAsia="宋体" w:hAnsi="Calibri" w:cs="Calibri" w:hint="eastAsia"/>
          <w:color w:val="FF0000"/>
          <w:sz w:val="24"/>
          <w:vertAlign w:val="subscript"/>
          <w14:ligatures w14:val="none"/>
        </w:rPr>
        <w:t>1/2</w:t>
      </w:r>
      <w:r>
        <w:rPr>
          <w:rFonts w:ascii="Calibri" w:eastAsia="宋体" w:hAnsi="Calibri" w:cs="Calibri" w:hint="eastAsia"/>
          <w:color w:val="FF0000"/>
          <w:sz w:val="24"/>
          <w14:ligatures w14:val="none"/>
        </w:rPr>
        <w:t>) using the reported concentration</w:t>
      </w:r>
      <w:r>
        <w:rPr>
          <w:rFonts w:ascii="Calibri" w:eastAsia="宋体" w:hAnsi="Calibri" w:cs="Calibri"/>
          <w:color w:val="FF0000"/>
          <w:sz w:val="24"/>
          <w14:ligatures w14:val="none"/>
        </w:rPr>
        <w:t xml:space="preserve">– </w:t>
      </w:r>
      <w:r>
        <w:rPr>
          <w:rFonts w:ascii="Calibri" w:eastAsia="宋体" w:hAnsi="Calibri" w:cs="Calibri" w:hint="eastAsia"/>
          <w:color w:val="FF0000"/>
          <w:sz w:val="24"/>
          <w14:ligatures w14:val="none"/>
        </w:rPr>
        <w:t>time data.</w:t>
      </w:r>
    </w:p>
    <w:p w14:paraId="4B81B282" w14:textId="26197F65"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4.4.4 Report the recalculated AUC</w:t>
      </w:r>
      <w:r>
        <w:rPr>
          <w:rFonts w:ascii="Calibri" w:eastAsia="宋体" w:hAnsi="Calibri" w:cs="Calibri" w:hint="eastAsia"/>
          <w:color w:val="FF0000"/>
          <w:sz w:val="24"/>
          <w:vertAlign w:val="subscript"/>
          <w14:ligatures w14:val="none"/>
        </w:rPr>
        <w:t>0</w:t>
      </w:r>
      <w:r>
        <w:rPr>
          <w:rFonts w:ascii="Calibri" w:eastAsia="宋体" w:hAnsi="Calibri" w:cs="Calibri"/>
          <w:color w:val="FF0000"/>
          <w:sz w:val="24"/>
          <w:vertAlign w:val="subscript"/>
          <w14:ligatures w14:val="none"/>
        </w:rPr>
        <w:t xml:space="preserve">– </w:t>
      </w:r>
      <w:r>
        <w:rPr>
          <w:rFonts w:ascii="Calibri" w:eastAsia="宋体" w:hAnsi="Calibri" w:cs="Calibri" w:hint="eastAsia"/>
          <w:color w:val="FF0000"/>
          <w:sz w:val="24"/>
          <w:vertAlign w:val="subscript"/>
          <w14:ligatures w14:val="none"/>
        </w:rPr>
        <w:t>t</w:t>
      </w:r>
      <w:r>
        <w:rPr>
          <w:rFonts w:ascii="Calibri" w:eastAsia="宋体" w:hAnsi="Calibri" w:cs="Calibri" w:hint="eastAsia"/>
          <w:color w:val="FF0000"/>
          <w:sz w:val="24"/>
          <w14:ligatures w14:val="none"/>
        </w:rPr>
        <w:t xml:space="preserve">, </w:t>
      </w:r>
      <w:proofErr w:type="spellStart"/>
      <w:r>
        <w:rPr>
          <w:rFonts w:ascii="Calibri" w:eastAsia="宋体" w:hAnsi="Calibri" w:cs="Calibri" w:hint="eastAsia"/>
          <w:color w:val="FF0000"/>
          <w:sz w:val="24"/>
          <w14:ligatures w14:val="none"/>
        </w:rPr>
        <w:t>C</w:t>
      </w:r>
      <w:r>
        <w:rPr>
          <w:rFonts w:ascii="Calibri" w:eastAsia="宋体" w:hAnsi="Calibri" w:cs="Calibri" w:hint="eastAsia"/>
          <w:color w:val="FF0000"/>
          <w:sz w:val="24"/>
          <w:vertAlign w:val="subscript"/>
          <w14:ligatures w14:val="none"/>
        </w:rPr>
        <w:t>max</w:t>
      </w:r>
      <w:proofErr w:type="spellEnd"/>
      <w:r>
        <w:rPr>
          <w:rFonts w:ascii="Calibri" w:eastAsia="宋体" w:hAnsi="Calibri" w:cs="Calibri" w:hint="eastAsia"/>
          <w:color w:val="FF0000"/>
          <w:sz w:val="24"/>
          <w14:ligatures w14:val="none"/>
        </w:rPr>
        <w:t>, and T</w:t>
      </w:r>
      <w:r>
        <w:rPr>
          <w:rFonts w:ascii="Calibri" w:eastAsia="宋体" w:hAnsi="Calibri" w:cs="Calibri" w:hint="eastAsia"/>
          <w:color w:val="FF0000"/>
          <w:sz w:val="24"/>
          <w:vertAlign w:val="subscript"/>
          <w14:ligatures w14:val="none"/>
        </w:rPr>
        <w:t>1/2</w:t>
      </w:r>
      <w:r>
        <w:rPr>
          <w:rFonts w:ascii="Calibri" w:eastAsia="宋体" w:hAnsi="Calibri" w:cs="Calibri" w:hint="eastAsia"/>
          <w:color w:val="FF0000"/>
          <w:sz w:val="24"/>
          <w14:ligatures w14:val="none"/>
        </w:rPr>
        <w:t xml:space="preserve"> as source-derived systemic PK parameters and distinguish them from the intracellular GEM/</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 xml:space="preserve"> concentrations quantified by the LC-MS/MS assay described in Sections 1.3 </w:t>
      </w:r>
      <w:r>
        <w:rPr>
          <w:rFonts w:ascii="Calibri" w:eastAsia="宋体" w:hAnsi="Calibri" w:cs="Calibri"/>
          <w:color w:val="FF0000"/>
          <w:sz w:val="24"/>
          <w14:ligatures w14:val="none"/>
        </w:rPr>
        <w:t xml:space="preserve">– </w:t>
      </w:r>
      <w:r>
        <w:rPr>
          <w:rFonts w:ascii="Calibri" w:eastAsia="宋体" w:hAnsi="Calibri" w:cs="Calibri" w:hint="eastAsia"/>
          <w:color w:val="FF0000"/>
          <w:sz w:val="24"/>
          <w14:ligatures w14:val="none"/>
        </w:rPr>
        <w:t>1.4.</w:t>
      </w:r>
    </w:p>
    <w:p w14:paraId="49AA074F" w14:textId="77777777" w:rsidR="00BE1D3D" w:rsidRDefault="00000000">
      <w:pPr>
        <w:spacing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 xml:space="preserve">5. Integrate the </w:t>
      </w:r>
      <w:r>
        <w:rPr>
          <w:rFonts w:ascii="Calibri" w:eastAsia="宋体" w:hAnsi="Calibri" w:cs="Calibri" w:hint="eastAsia"/>
          <w:b/>
          <w:bCs/>
          <w:i/>
          <w:iCs/>
          <w:sz w:val="24"/>
          <w14:ligatures w14:val="none"/>
        </w:rPr>
        <w:t>in vitro</w:t>
      </w:r>
      <w:r>
        <w:rPr>
          <w:rFonts w:ascii="Calibri" w:eastAsia="宋体" w:hAnsi="Calibri" w:cs="Calibri" w:hint="eastAsia"/>
          <w:b/>
          <w:bCs/>
          <w:sz w:val="24"/>
          <w14:ligatures w14:val="none"/>
        </w:rPr>
        <w:t xml:space="preserve"> and </w:t>
      </w:r>
      <w:r>
        <w:rPr>
          <w:rFonts w:ascii="Calibri" w:eastAsia="宋体" w:hAnsi="Calibri" w:cs="Calibri" w:hint="eastAsia"/>
          <w:b/>
          <w:bCs/>
          <w:i/>
          <w:iCs/>
          <w:sz w:val="24"/>
          <w14:ligatures w14:val="none"/>
        </w:rPr>
        <w:t>in vivo</w:t>
      </w:r>
      <w:r>
        <w:rPr>
          <w:rFonts w:ascii="Calibri" w:eastAsia="宋体" w:hAnsi="Calibri" w:cs="Calibri" w:hint="eastAsia"/>
          <w:b/>
          <w:bCs/>
          <w:sz w:val="24"/>
          <w14:ligatures w14:val="none"/>
        </w:rPr>
        <w:t xml:space="preserve"> datasets</w:t>
      </w:r>
    </w:p>
    <w:p w14:paraId="1AE732A0"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5.1 Integrate source-derived systemic PK and </w:t>
      </w:r>
      <w:r>
        <w:rPr>
          <w:rFonts w:ascii="Calibri" w:eastAsia="宋体" w:hAnsi="Calibri" w:cs="Calibri" w:hint="eastAsia"/>
          <w:i/>
          <w:iCs/>
          <w:color w:val="FF0000"/>
          <w:sz w:val="24"/>
          <w14:ligatures w14:val="none"/>
        </w:rPr>
        <w:t>in vivo</w:t>
      </w:r>
      <w:r>
        <w:rPr>
          <w:rFonts w:ascii="Calibri" w:eastAsia="宋体" w:hAnsi="Calibri" w:cs="Calibri" w:hint="eastAsia"/>
          <w:color w:val="FF0000"/>
          <w:sz w:val="24"/>
          <w14:ligatures w14:val="none"/>
        </w:rPr>
        <w:t xml:space="preserve"> BLI data</w:t>
      </w:r>
    </w:p>
    <w:p w14:paraId="328DDE32"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5.1.1 Use the source-derived systemic PK parameters, including AUC</w:t>
      </w:r>
      <w:r>
        <w:rPr>
          <w:rFonts w:ascii="Calibri" w:eastAsia="宋体" w:hAnsi="Calibri" w:cs="Calibri" w:hint="eastAsia"/>
          <w:color w:val="FF0000"/>
          <w:sz w:val="24"/>
          <w:vertAlign w:val="subscript"/>
          <w14:ligatures w14:val="none"/>
        </w:rPr>
        <w:t>0</w:t>
      </w:r>
      <w:r>
        <w:rPr>
          <w:rFonts w:ascii="Calibri" w:eastAsia="宋体" w:hAnsi="Calibri" w:cs="Calibri"/>
          <w:color w:val="FF0000"/>
          <w:sz w:val="24"/>
          <w:vertAlign w:val="subscript"/>
          <w14:ligatures w14:val="none"/>
        </w:rPr>
        <w:t>–</w:t>
      </w:r>
      <w:r>
        <w:rPr>
          <w:rFonts w:ascii="Calibri" w:eastAsia="宋体" w:hAnsi="Calibri" w:cs="Calibri" w:hint="eastAsia"/>
          <w:color w:val="FF0000"/>
          <w:sz w:val="24"/>
          <w:vertAlign w:val="subscript"/>
          <w14:ligatures w14:val="none"/>
        </w:rPr>
        <w:t>t</w:t>
      </w:r>
      <w:r>
        <w:rPr>
          <w:rFonts w:ascii="Calibri" w:eastAsia="宋体" w:hAnsi="Calibri" w:cs="Calibri" w:hint="eastAsia"/>
          <w:color w:val="FF0000"/>
          <w:sz w:val="24"/>
          <w14:ligatures w14:val="none"/>
        </w:rPr>
        <w:t xml:space="preserve">, </w:t>
      </w:r>
      <w:proofErr w:type="spellStart"/>
      <w:r>
        <w:rPr>
          <w:rFonts w:ascii="Calibri" w:eastAsia="宋体" w:hAnsi="Calibri" w:cs="Calibri" w:hint="eastAsia"/>
          <w:color w:val="FF0000"/>
          <w:sz w:val="24"/>
          <w14:ligatures w14:val="none"/>
        </w:rPr>
        <w:t>C</w:t>
      </w:r>
      <w:r>
        <w:rPr>
          <w:rFonts w:ascii="Calibri" w:eastAsia="宋体" w:hAnsi="Calibri" w:cs="Calibri" w:hint="eastAsia"/>
          <w:color w:val="FF0000"/>
          <w:sz w:val="24"/>
          <w:vertAlign w:val="subscript"/>
          <w14:ligatures w14:val="none"/>
        </w:rPr>
        <w:t>max</w:t>
      </w:r>
      <w:proofErr w:type="spellEnd"/>
      <w:r>
        <w:rPr>
          <w:rFonts w:ascii="Calibri" w:eastAsia="宋体" w:hAnsi="Calibri" w:cs="Calibri" w:hint="eastAsia"/>
          <w:color w:val="FF0000"/>
          <w:sz w:val="24"/>
          <w14:ligatures w14:val="none"/>
        </w:rPr>
        <w:t>, and T</w:t>
      </w:r>
      <w:r>
        <w:rPr>
          <w:rFonts w:ascii="Calibri" w:eastAsia="宋体" w:hAnsi="Calibri" w:cs="Calibri" w:hint="eastAsia"/>
          <w:color w:val="FF0000"/>
          <w:sz w:val="24"/>
          <w:vertAlign w:val="subscript"/>
          <w14:ligatures w14:val="none"/>
        </w:rPr>
        <w:t>1/2</w:t>
      </w:r>
      <w:r>
        <w:rPr>
          <w:rFonts w:ascii="Calibri" w:eastAsia="宋体" w:hAnsi="Calibri" w:cs="Calibri" w:hint="eastAsia"/>
          <w:color w:val="FF0000"/>
          <w:sz w:val="24"/>
          <w14:ligatures w14:val="none"/>
        </w:rPr>
        <w:t xml:space="preserve">, together with the longitudinal </w:t>
      </w:r>
      <w:r>
        <w:rPr>
          <w:rFonts w:ascii="Calibri" w:eastAsia="宋体" w:hAnsi="Calibri" w:cs="Calibri" w:hint="eastAsia"/>
          <w:i/>
          <w:iCs/>
          <w:color w:val="FF0000"/>
          <w:sz w:val="24"/>
          <w14:ligatures w14:val="none"/>
        </w:rPr>
        <w:t>in vivo</w:t>
      </w:r>
      <w:r>
        <w:rPr>
          <w:rFonts w:ascii="Calibri" w:eastAsia="宋体" w:hAnsi="Calibri" w:cs="Calibri" w:hint="eastAsia"/>
          <w:color w:val="FF0000"/>
          <w:sz w:val="24"/>
          <w14:ligatures w14:val="none"/>
        </w:rPr>
        <w:t xml:space="preserve"> BLI-derived parameters for integrated analysis.</w:t>
      </w:r>
    </w:p>
    <w:p w14:paraId="0791F53E"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NOTE: AUC</w:t>
      </w:r>
      <w:r>
        <w:rPr>
          <w:rFonts w:ascii="Calibri" w:eastAsia="宋体" w:hAnsi="Calibri" w:cs="Calibri" w:hint="eastAsia"/>
          <w:color w:val="FF0000"/>
          <w:sz w:val="24"/>
          <w:vertAlign w:val="subscript"/>
          <w14:ligatures w14:val="none"/>
        </w:rPr>
        <w:t>0</w:t>
      </w:r>
      <w:r>
        <w:rPr>
          <w:rFonts w:ascii="Calibri" w:eastAsia="宋体" w:hAnsi="Calibri" w:cs="Calibri"/>
          <w:color w:val="FF0000"/>
          <w:sz w:val="24"/>
          <w:vertAlign w:val="subscript"/>
          <w14:ligatures w14:val="none"/>
        </w:rPr>
        <w:t>–</w:t>
      </w:r>
      <w:r>
        <w:rPr>
          <w:rFonts w:ascii="Calibri" w:eastAsia="宋体" w:hAnsi="Calibri" w:cs="Calibri" w:hint="eastAsia"/>
          <w:color w:val="FF0000"/>
          <w:sz w:val="24"/>
          <w:vertAlign w:val="subscript"/>
          <w14:ligatures w14:val="none"/>
        </w:rPr>
        <w:t>t</w:t>
      </w:r>
      <w:r>
        <w:rPr>
          <w:rFonts w:ascii="Calibri" w:eastAsia="宋体" w:hAnsi="Calibri" w:cs="Calibri" w:hint="eastAsia"/>
          <w:color w:val="FF0000"/>
          <w:sz w:val="24"/>
          <w14:ligatures w14:val="none"/>
        </w:rPr>
        <w:t xml:space="preserve"> represents systemic plasma exposure recalculated from the source-study plasma concentration</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 xml:space="preserve">time data, whereas </w:t>
      </w:r>
      <w:proofErr w:type="spellStart"/>
      <w:r>
        <w:rPr>
          <w:rFonts w:ascii="Calibri" w:eastAsia="宋体" w:hAnsi="Calibri" w:cs="Calibri" w:hint="eastAsia"/>
          <w:color w:val="FF0000"/>
          <w:sz w:val="24"/>
          <w14:ligatures w14:val="none"/>
        </w:rPr>
        <w:t>AUC</w:t>
      </w:r>
      <w:r>
        <w:rPr>
          <w:rFonts w:ascii="Calibri" w:eastAsia="宋体" w:hAnsi="Calibri" w:cs="Calibri" w:hint="eastAsia"/>
          <w:color w:val="FF0000"/>
          <w:sz w:val="24"/>
          <w:vertAlign w:val="subscript"/>
          <w14:ligatures w14:val="none"/>
        </w:rPr>
        <w:t>vivo</w:t>
      </w:r>
      <w:proofErr w:type="spellEnd"/>
      <w:r>
        <w:rPr>
          <w:rFonts w:ascii="Calibri" w:eastAsia="宋体" w:hAnsi="Calibri" w:cs="Calibri" w:hint="eastAsia"/>
          <w:color w:val="FF0000"/>
          <w:sz w:val="24"/>
          <w14:ligatures w14:val="none"/>
        </w:rPr>
        <w:t xml:space="preserve"> represents the area under the</w:t>
      </w:r>
      <w:r>
        <w:rPr>
          <w:rFonts w:ascii="Calibri" w:eastAsia="宋体" w:hAnsi="Calibri" w:cs="Calibri" w:hint="eastAsia"/>
          <w:i/>
          <w:iCs/>
          <w:color w:val="FF0000"/>
          <w:sz w:val="24"/>
          <w14:ligatures w14:val="none"/>
        </w:rPr>
        <w:t xml:space="preserve"> in vivo</w:t>
      </w:r>
      <w:r>
        <w:rPr>
          <w:rFonts w:ascii="Calibri" w:eastAsia="宋体" w:hAnsi="Calibri" w:cs="Calibri" w:hint="eastAsia"/>
          <w:color w:val="FF0000"/>
          <w:sz w:val="24"/>
          <w14:ligatures w14:val="none"/>
        </w:rPr>
        <w:t xml:space="preserve"> BLI signal</w:t>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time curve.</w:t>
      </w:r>
    </w:p>
    <w:p w14:paraId="0579ED2C"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5.2 Exploratory translational association analysis</w:t>
      </w:r>
    </w:p>
    <w:p w14:paraId="318C5374"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5.2.1 Perform linear regression analysis between the</w:t>
      </w:r>
      <w:r>
        <w:rPr>
          <w:rFonts w:ascii="Calibri" w:eastAsia="宋体" w:hAnsi="Calibri" w:cs="Calibri" w:hint="eastAsia"/>
          <w:i/>
          <w:iCs/>
          <w:color w:val="FF0000"/>
          <w:sz w:val="24"/>
          <w14:ligatures w14:val="none"/>
        </w:rPr>
        <w:t xml:space="preserve"> in vitro</w:t>
      </w:r>
      <w:r>
        <w:rPr>
          <w:rFonts w:ascii="Calibri" w:eastAsia="宋体" w:hAnsi="Calibri" w:cs="Calibri" w:hint="eastAsia"/>
          <w:color w:val="FF0000"/>
          <w:sz w:val="24"/>
          <w14:ligatures w14:val="none"/>
        </w:rPr>
        <w:t xml:space="preserve"> IC</w:t>
      </w:r>
      <w:r>
        <w:rPr>
          <w:rFonts w:ascii="Calibri" w:eastAsia="宋体" w:hAnsi="Calibri" w:cs="Calibri" w:hint="eastAsia"/>
          <w:color w:val="FF0000"/>
          <w:sz w:val="24"/>
          <w:vertAlign w:val="subscript"/>
          <w14:ligatures w14:val="none"/>
        </w:rPr>
        <w:t>50</w:t>
      </w:r>
      <w:r>
        <w:rPr>
          <w:rFonts w:ascii="Calibri" w:eastAsia="宋体" w:hAnsi="Calibri" w:cs="Calibri" w:hint="eastAsia"/>
          <w:color w:val="FF0000"/>
          <w:sz w:val="24"/>
          <w14:ligatures w14:val="none"/>
        </w:rPr>
        <w:t xml:space="preserve"> and the corresponding</w:t>
      </w:r>
      <w:r>
        <w:rPr>
          <w:rFonts w:ascii="Calibri" w:eastAsia="宋体" w:hAnsi="Calibri" w:cs="Calibri" w:hint="eastAsia"/>
          <w:i/>
          <w:iCs/>
          <w:color w:val="FF0000"/>
          <w:sz w:val="24"/>
          <w14:ligatures w14:val="none"/>
        </w:rPr>
        <w:t xml:space="preserve"> in vitro</w:t>
      </w:r>
      <w:r>
        <w:rPr>
          <w:rFonts w:ascii="Calibri" w:eastAsia="宋体" w:hAnsi="Calibri" w:cs="Calibri" w:hint="eastAsia"/>
          <w:color w:val="FF0000"/>
          <w:sz w:val="24"/>
          <w14:ligatures w14:val="none"/>
        </w:rPr>
        <w:t xml:space="preserve"> BLI-derived exposure metric, </w:t>
      </w:r>
      <w:proofErr w:type="spellStart"/>
      <w:r>
        <w:rPr>
          <w:rFonts w:ascii="Calibri" w:eastAsia="宋体" w:hAnsi="Calibri" w:cs="Calibri" w:hint="eastAsia"/>
          <w:color w:val="FF0000"/>
          <w:sz w:val="24"/>
          <w14:ligatures w14:val="none"/>
        </w:rPr>
        <w:t>AUC</w:t>
      </w:r>
      <w:r>
        <w:rPr>
          <w:rFonts w:ascii="Calibri" w:eastAsia="宋体" w:hAnsi="Calibri" w:cs="Calibri" w:hint="eastAsia"/>
          <w:color w:val="FF0000"/>
          <w:sz w:val="24"/>
          <w:vertAlign w:val="subscript"/>
          <w14:ligatures w14:val="none"/>
        </w:rPr>
        <w:t>vitro</w:t>
      </w:r>
      <w:proofErr w:type="spellEnd"/>
      <w:r>
        <w:rPr>
          <w:rFonts w:ascii="Calibri" w:eastAsia="宋体" w:hAnsi="Calibri" w:cs="Calibri" w:hint="eastAsia"/>
          <w:color w:val="FF0000"/>
          <w:sz w:val="24"/>
          <w14:ligatures w14:val="none"/>
        </w:rPr>
        <w:t xml:space="preserve"> (</w:t>
      </w:r>
      <w:proofErr w:type="spellStart"/>
      <w:r>
        <w:rPr>
          <w:rFonts w:ascii="Calibri" w:eastAsia="宋体" w:hAnsi="Calibri" w:cs="Calibri"/>
          <w:color w:val="FF0000"/>
          <w:sz w:val="24"/>
          <w14:ligatures w14:val="none"/>
        </w:rPr>
        <w:t>BLI</w:t>
      </w:r>
      <w:r>
        <w:rPr>
          <w:rFonts w:ascii="Calibri" w:eastAsia="宋体" w:hAnsi="Calibri" w:cs="Calibri"/>
          <w:color w:val="FF0000"/>
          <w:sz w:val="24"/>
          <w:vertAlign w:val="subscript"/>
          <w14:ligatures w14:val="none"/>
        </w:rPr>
        <w:t>rel</w:t>
      </w:r>
      <w:proofErr w:type="spellEnd"/>
      <w:r>
        <w:rPr>
          <w:rFonts w:ascii="Calibri" w:eastAsia="宋体" w:hAnsi="Calibri" w:cs="Calibri"/>
          <w:color w:val="FF0000"/>
          <w:sz w:val="24"/>
          <w14:ligatures w14:val="none"/>
        </w:rPr>
        <w:t xml:space="preserve"> × min</w:t>
      </w:r>
      <w:r>
        <w:rPr>
          <w:rFonts w:ascii="Calibri" w:eastAsia="宋体" w:hAnsi="Calibri" w:cs="Calibri" w:hint="eastAsia"/>
          <w:color w:val="FF0000"/>
          <w:sz w:val="24"/>
          <w14:ligatures w14:val="none"/>
        </w:rPr>
        <w:t>), for Figure 6A.</w:t>
      </w:r>
    </w:p>
    <w:p w14:paraId="6F6A51E5"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5.2.2 Perform linear regression analysis between the </w:t>
      </w:r>
      <w:r>
        <w:rPr>
          <w:rFonts w:ascii="Calibri" w:eastAsia="宋体" w:hAnsi="Calibri" w:cs="Calibri" w:hint="eastAsia"/>
          <w:i/>
          <w:iCs/>
          <w:color w:val="FF0000"/>
          <w:sz w:val="24"/>
          <w14:ligatures w14:val="none"/>
        </w:rPr>
        <w:t>in vivo</w:t>
      </w:r>
      <w:r>
        <w:rPr>
          <w:rFonts w:ascii="Calibri" w:eastAsia="宋体" w:hAnsi="Calibri" w:cs="Calibri" w:hint="eastAsia"/>
          <w:color w:val="FF0000"/>
          <w:sz w:val="24"/>
          <w14:ligatures w14:val="none"/>
        </w:rPr>
        <w:t xml:space="preserve"> BLI-derived exposure metric, </w:t>
      </w:r>
      <w:proofErr w:type="spellStart"/>
      <w:r>
        <w:rPr>
          <w:rFonts w:ascii="Calibri" w:eastAsia="宋体" w:hAnsi="Calibri" w:cs="Calibri" w:hint="eastAsia"/>
          <w:color w:val="FF0000"/>
          <w:sz w:val="24"/>
          <w14:ligatures w14:val="none"/>
        </w:rPr>
        <w:t>AUC</w:t>
      </w:r>
      <w:r>
        <w:rPr>
          <w:rFonts w:ascii="Calibri" w:eastAsia="宋体" w:hAnsi="Calibri" w:cs="Calibri" w:hint="eastAsia"/>
          <w:color w:val="FF0000"/>
          <w:sz w:val="24"/>
          <w:vertAlign w:val="subscript"/>
          <w14:ligatures w14:val="none"/>
        </w:rPr>
        <w:t>vivo</w:t>
      </w:r>
      <w:proofErr w:type="spellEnd"/>
      <w:r>
        <w:rPr>
          <w:rFonts w:ascii="Calibri" w:eastAsia="宋体" w:hAnsi="Calibri" w:cs="Calibri" w:hint="eastAsia"/>
          <w:color w:val="FF0000"/>
          <w:sz w:val="24"/>
          <w14:ligatures w14:val="none"/>
        </w:rPr>
        <w:t>, and the corresponding TGI (%) values for Figure 6B.</w:t>
      </w:r>
    </w:p>
    <w:p w14:paraId="5CD4A657"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5.2.3 Perform linear regression analysis between the </w:t>
      </w:r>
      <w:r>
        <w:rPr>
          <w:rFonts w:ascii="Calibri" w:eastAsia="宋体" w:hAnsi="Calibri" w:cs="Calibri" w:hint="eastAsia"/>
          <w:i/>
          <w:iCs/>
          <w:color w:val="FF0000"/>
          <w:sz w:val="24"/>
          <w14:ligatures w14:val="none"/>
        </w:rPr>
        <w:t>in vitro</w:t>
      </w:r>
      <w:r>
        <w:rPr>
          <w:rFonts w:ascii="Calibri" w:eastAsia="宋体" w:hAnsi="Calibri" w:cs="Calibri" w:hint="eastAsia"/>
          <w:color w:val="FF0000"/>
          <w:sz w:val="24"/>
          <w14:ligatures w14:val="none"/>
        </w:rPr>
        <w:t xml:space="preserve"> </w:t>
      </w:r>
      <w:proofErr w:type="spellStart"/>
      <w:r>
        <w:rPr>
          <w:rFonts w:ascii="Calibri" w:eastAsia="宋体" w:hAnsi="Calibri" w:cs="Calibri" w:hint="eastAsia"/>
          <w:color w:val="FF0000"/>
          <w:sz w:val="24"/>
          <w14:ligatures w14:val="none"/>
        </w:rPr>
        <w:t>AUC</w:t>
      </w:r>
      <w:r>
        <w:rPr>
          <w:rFonts w:ascii="Calibri" w:eastAsia="宋体" w:hAnsi="Calibri" w:cs="Calibri" w:hint="eastAsia"/>
          <w:color w:val="FF0000"/>
          <w:sz w:val="24"/>
          <w:vertAlign w:val="subscript"/>
          <w14:ligatures w14:val="none"/>
        </w:rPr>
        <w:t>luc</w:t>
      </w:r>
      <w:proofErr w:type="spellEnd"/>
      <w:r>
        <w:rPr>
          <w:rFonts w:ascii="Calibri" w:eastAsia="宋体" w:hAnsi="Calibri" w:cs="Calibri" w:hint="eastAsia"/>
          <w:color w:val="FF0000"/>
          <w:sz w:val="24"/>
          <w14:ligatures w14:val="none"/>
        </w:rPr>
        <w:t xml:space="preserve"> and the corresponding </w:t>
      </w:r>
      <w:r>
        <w:rPr>
          <w:rFonts w:ascii="Calibri" w:eastAsia="宋体" w:hAnsi="Calibri" w:cs="Calibri" w:hint="eastAsia"/>
          <w:i/>
          <w:iCs/>
          <w:color w:val="FF0000"/>
          <w:sz w:val="24"/>
          <w14:ligatures w14:val="none"/>
        </w:rPr>
        <w:t>in vivo</w:t>
      </w:r>
      <w:r>
        <w:rPr>
          <w:rFonts w:ascii="Calibri" w:eastAsia="宋体" w:hAnsi="Calibri" w:cs="Calibri" w:hint="eastAsia"/>
          <w:color w:val="FF0000"/>
          <w:sz w:val="24"/>
          <w14:ligatures w14:val="none"/>
        </w:rPr>
        <w:t xml:space="preserve"> </w:t>
      </w:r>
      <w:proofErr w:type="spellStart"/>
      <w:r>
        <w:rPr>
          <w:rFonts w:ascii="Calibri" w:eastAsia="宋体" w:hAnsi="Calibri" w:cs="Calibri" w:hint="eastAsia"/>
          <w:color w:val="FF0000"/>
          <w:sz w:val="24"/>
          <w14:ligatures w14:val="none"/>
        </w:rPr>
        <w:t>AUC</w:t>
      </w:r>
      <w:r>
        <w:rPr>
          <w:rFonts w:ascii="Calibri" w:eastAsia="宋体" w:hAnsi="Calibri" w:cs="Calibri" w:hint="eastAsia"/>
          <w:color w:val="FF0000"/>
          <w:sz w:val="24"/>
          <w:vertAlign w:val="subscript"/>
          <w14:ligatures w14:val="none"/>
        </w:rPr>
        <w:t>luc</w:t>
      </w:r>
      <w:proofErr w:type="spellEnd"/>
      <w:r>
        <w:rPr>
          <w:rFonts w:ascii="Calibri" w:eastAsia="宋体" w:hAnsi="Calibri" w:cs="Calibri" w:hint="eastAsia"/>
          <w:color w:val="FF0000"/>
          <w:sz w:val="24"/>
          <w14:ligatures w14:val="none"/>
        </w:rPr>
        <w:t xml:space="preserve"> values for Figure 6C.</w:t>
      </w:r>
    </w:p>
    <w:p w14:paraId="64FE4406"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5.3 Perform the two-step translational mapping analysis (Figure 6D)</w:t>
      </w:r>
    </w:p>
    <w:p w14:paraId="09849404" w14:textId="77777777" w:rsidR="00BE1D3D" w:rsidRDefault="00000000">
      <w:pPr>
        <w:spacing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5.3.1 Perform linear regression using the natural logarithms of the potency and efficacy metrics according to the following equation:</w:t>
      </w:r>
    </w:p>
    <w:p w14:paraId="3E2F1E44" w14:textId="77777777" w:rsidR="00BE1D3D" w:rsidRDefault="00000000">
      <w:pPr>
        <w:spacing w:line="240" w:lineRule="auto"/>
        <w:rPr>
          <w:rFonts w:ascii="Calibri" w:eastAsia="宋体" w:hAnsi="Calibri" w:cs="Calibri"/>
          <w:sz w:val="24"/>
          <w14:ligatures w14:val="none"/>
        </w:rPr>
      </w:pPr>
      <m:oMathPara>
        <m:oMath>
          <m:eqArr>
            <m:eqArrPr>
              <m:maxDist m:val="1"/>
              <m:ctrlPr>
                <w:rPr>
                  <w:rFonts w:ascii="Cambria Math" w:eastAsia="宋体" w:hAnsi="Cambria Math" w:cs="Calibri"/>
                  <w:i/>
                  <w:sz w:val="24"/>
                  <w14:ligatures w14:val="none"/>
                </w:rPr>
              </m:ctrlPr>
            </m:eqArrPr>
            <m:e>
              <m:func>
                <m:funcPr>
                  <m:ctrlPr>
                    <w:rPr>
                      <w:rFonts w:ascii="Cambria Math" w:eastAsia="宋体" w:hAnsi="Cambria Math" w:cs="Calibri"/>
                      <w:sz w:val="24"/>
                      <w14:ligatures w14:val="none"/>
                    </w:rPr>
                  </m:ctrlPr>
                </m:funcPr>
                <m:fName>
                  <m:r>
                    <m:rPr>
                      <m:sty m:val="p"/>
                    </m:rPr>
                    <w:rPr>
                      <w:rFonts w:ascii="Cambria Math" w:eastAsia="宋体" w:hAnsi="Cambria Math" w:cs="Calibri"/>
                      <w:sz w:val="24"/>
                      <w14:ligatures w14:val="none"/>
                    </w:rPr>
                    <m:t>ln</m:t>
                  </m:r>
                  <m:ctrlPr>
                    <w:rPr>
                      <w:rFonts w:ascii="Cambria Math" w:eastAsia="宋体" w:hAnsi="Cambria Math" w:cs="Calibri"/>
                      <w:i/>
                      <w:sz w:val="24"/>
                      <w14:ligatures w14:val="none"/>
                    </w:rPr>
                  </m:ctrlPr>
                </m:fName>
                <m:e>
                  <m:d>
                    <m:dPr>
                      <m:ctrlPr>
                        <w:rPr>
                          <w:rFonts w:ascii="Cambria Math" w:eastAsia="宋体" w:hAnsi="Cambria Math" w:cs="Calibri"/>
                          <w:i/>
                          <w:sz w:val="24"/>
                          <w14:ligatures w14:val="none"/>
                        </w:rPr>
                      </m:ctrlPr>
                    </m:dPr>
                    <m:e>
                      <m:r>
                        <m:rPr>
                          <m:nor/>
                        </m:rPr>
                        <w:rPr>
                          <w:rFonts w:ascii="Cambria Math" w:eastAsia="宋体" w:hAnsi="Cambria Math" w:cs="Calibri" w:hint="eastAsia"/>
                          <w:sz w:val="24"/>
                          <w14:ligatures w14:val="none"/>
                        </w:rPr>
                        <m:t>TGI</m:t>
                      </m:r>
                    </m:e>
                  </m:d>
                </m:e>
              </m:func>
              <m:r>
                <w:rPr>
                  <w:rFonts w:ascii="Cambria Math" w:eastAsia="宋体" w:hAnsi="Cambria Math" w:cs="Calibri" w:hint="eastAsia"/>
                  <w:sz w:val="24"/>
                  <w14:ligatures w14:val="none"/>
                </w:rPr>
                <m:t>=a</m:t>
              </m:r>
              <m:r>
                <m:rPr>
                  <m:sty m:val="p"/>
                </m:rPr>
                <w:rPr>
                  <w:rFonts w:ascii="Cambria Math" w:eastAsia="宋体" w:hAnsi="Cambria Math" w:cs="Calibri"/>
                  <w:sz w:val="24"/>
                  <w14:ligatures w14:val="none"/>
                </w:rPr>
                <m:t>⋅</m:t>
              </m:r>
              <m:func>
                <m:funcPr>
                  <m:ctrlPr>
                    <w:rPr>
                      <w:rFonts w:ascii="Cambria Math" w:eastAsia="宋体" w:hAnsi="Cambria Math" w:cs="Calibri"/>
                      <w:sz w:val="24"/>
                      <w14:ligatures w14:val="none"/>
                    </w:rPr>
                  </m:ctrlPr>
                </m:funcPr>
                <m:fName>
                  <m:r>
                    <m:rPr>
                      <m:sty m:val="p"/>
                    </m:rPr>
                    <w:rPr>
                      <w:rFonts w:ascii="Cambria Math" w:eastAsia="宋体" w:hAnsi="Cambria Math" w:cs="Calibri"/>
                      <w:sz w:val="24"/>
                      <w14:ligatures w14:val="none"/>
                    </w:rPr>
                    <m:t>ln</m:t>
                  </m:r>
                  <m:ctrlPr>
                    <w:rPr>
                      <w:rFonts w:ascii="Cambria Math" w:eastAsia="宋体" w:hAnsi="Cambria Math" w:cs="Calibri"/>
                      <w:i/>
                      <w:sz w:val="24"/>
                      <w14:ligatures w14:val="none"/>
                    </w:rPr>
                  </m:ctrlPr>
                </m:fName>
                <m:e>
                  <m:d>
                    <m:dPr>
                      <m:ctrlPr>
                        <w:rPr>
                          <w:rFonts w:ascii="Cambria Math" w:eastAsia="宋体" w:hAnsi="Cambria Math" w:cs="Calibri"/>
                          <w:i/>
                          <w:sz w:val="24"/>
                          <w14:ligatures w14:val="none"/>
                        </w:rPr>
                      </m:ctrlPr>
                    </m:dPr>
                    <m:e>
                      <m:r>
                        <w:rPr>
                          <w:rFonts w:ascii="Cambria Math" w:eastAsia="宋体" w:hAnsi="Cambria Math" w:cs="Calibri" w:hint="eastAsia"/>
                          <w:sz w:val="24"/>
                          <w14:ligatures w14:val="none"/>
                        </w:rPr>
                        <m:t>I</m:t>
                      </m:r>
                      <m:sSub>
                        <m:sSubPr>
                          <m:ctrlPr>
                            <w:rPr>
                              <w:rFonts w:ascii="Cambria Math" w:eastAsia="宋体" w:hAnsi="Cambria Math" w:cs="Calibri"/>
                              <w:i/>
                              <w:sz w:val="24"/>
                              <w14:ligatures w14:val="none"/>
                            </w:rPr>
                          </m:ctrlPr>
                        </m:sSubPr>
                        <m:e>
                          <m:r>
                            <w:rPr>
                              <w:rFonts w:ascii="Cambria Math" w:eastAsia="宋体" w:hAnsi="Cambria Math" w:cs="Calibri" w:hint="eastAsia"/>
                              <w:sz w:val="24"/>
                              <w14:ligatures w14:val="none"/>
                            </w:rPr>
                            <m:t>C</m:t>
                          </m:r>
                          <m:ctrlPr>
                            <w:rPr>
                              <w:rFonts w:ascii="Cambria Math" w:eastAsia="宋体" w:hAnsi="Cambria Math" w:cs="Calibri" w:hint="eastAsia"/>
                              <w:i/>
                              <w:sz w:val="24"/>
                              <w14:ligatures w14:val="none"/>
                            </w:rPr>
                          </m:ctrlPr>
                        </m:e>
                        <m:sub>
                          <m:r>
                            <w:rPr>
                              <w:rFonts w:ascii="Cambria Math" w:eastAsia="宋体" w:hAnsi="Cambria Math" w:cs="Calibri" w:hint="eastAsia"/>
                              <w:sz w:val="24"/>
                              <w14:ligatures w14:val="none"/>
                            </w:rPr>
                            <m:t>50</m:t>
                          </m:r>
                        </m:sub>
                      </m:sSub>
                    </m:e>
                  </m:d>
                </m:e>
              </m:func>
              <m:r>
                <w:rPr>
                  <w:rFonts w:ascii="Cambria Math" w:eastAsia="宋体" w:hAnsi="Cambria Math" w:cs="Calibri" w:hint="eastAsia"/>
                  <w:sz w:val="24"/>
                  <w14:ligatures w14:val="none"/>
                </w:rPr>
                <m:t>+b</m:t>
              </m:r>
              <m:r>
                <w:rPr>
                  <w:rFonts w:ascii="Cambria Math" w:eastAsia="宋体" w:hAnsi="Cambria Math" w:cs="Calibri"/>
                  <w:sz w:val="24"/>
                  <w14:ligatures w14:val="none"/>
                </w:rPr>
                <m:t>#</m:t>
              </m:r>
              <m:d>
                <m:dPr>
                  <m:ctrlPr>
                    <w:rPr>
                      <w:rFonts w:ascii="Cambria Math" w:eastAsia="宋体" w:hAnsi="Cambria Math" w:cs="Calibri"/>
                      <w:i/>
                      <w:sz w:val="24"/>
                      <w14:ligatures w14:val="none"/>
                    </w:rPr>
                  </m:ctrlPr>
                </m:dPr>
                <m:e>
                  <m:r>
                    <w:rPr>
                      <w:rFonts w:ascii="Cambria Math" w:eastAsia="宋体" w:hAnsi="Cambria Math" w:cs="Calibri"/>
                      <w:sz w:val="24"/>
                      <w14:ligatures w14:val="none"/>
                    </w:rPr>
                    <m:t>5</m:t>
                  </m:r>
                </m:e>
              </m:d>
            </m:e>
          </m:eqArr>
        </m:oMath>
      </m:oMathPara>
    </w:p>
    <w:p w14:paraId="1DFB8767" w14:textId="77777777" w:rsidR="00A072D8" w:rsidRDefault="00000000" w:rsidP="00A072D8">
      <w:pPr>
        <w:spacing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t>where TGI represents tumor growth inhibition, IC</w:t>
      </w:r>
      <w:r>
        <w:rPr>
          <w:rFonts w:ascii="Calibri" w:eastAsia="宋体" w:hAnsi="Calibri" w:cs="Calibri"/>
          <w:color w:val="FF0000"/>
          <w:sz w:val="24"/>
          <w:vertAlign w:val="subscript"/>
          <w14:ligatures w14:val="none"/>
        </w:rPr>
        <w:t>50</w:t>
      </w:r>
      <w:r>
        <w:rPr>
          <w:rFonts w:ascii="Calibri" w:eastAsia="宋体" w:hAnsi="Calibri" w:cs="Calibri"/>
          <w:color w:val="FF0000"/>
          <w:sz w:val="24"/>
          <w14:ligatures w14:val="none"/>
        </w:rPr>
        <w:t xml:space="preserve"> represents the half-maximal inhibitory concentration, a represents the regression slope, and b represents the regression intercept.</w:t>
      </w:r>
      <w:r>
        <w:rPr>
          <w:rFonts w:ascii="Calibri" w:eastAsia="宋体" w:hAnsi="Calibri" w:cs="Calibri" w:hint="eastAsia"/>
          <w:color w:val="FF0000"/>
          <w:sz w:val="24"/>
          <w14:ligatures w14:val="none"/>
        </w:rPr>
        <w:t xml:space="preserve"> </w:t>
      </w:r>
    </w:p>
    <w:p w14:paraId="08B06802" w14:textId="0F3922DF" w:rsidR="00A072D8" w:rsidRPr="003E271E" w:rsidRDefault="00A072D8" w:rsidP="00A072D8">
      <w:pPr>
        <w:spacing w:line="240" w:lineRule="auto"/>
        <w:rPr>
          <w:rFonts w:ascii="Calibri" w:eastAsia="宋体" w:hAnsi="Calibri" w:cs="Calibri"/>
          <w:color w:val="FF0000"/>
          <w:sz w:val="24"/>
          <w14:ligatures w14:val="none"/>
        </w:rPr>
      </w:pPr>
      <w:r w:rsidRPr="003E271E">
        <w:rPr>
          <w:rFonts w:ascii="Calibri" w:eastAsia="宋体" w:hAnsi="Calibri" w:cs="Calibri" w:hint="eastAsia"/>
          <w:color w:val="FF0000"/>
          <w:sz w:val="24"/>
          <w14:ligatures w14:val="none"/>
        </w:rPr>
        <w:t>5.3.2 Perform Step 1 of the translational mapping analysis by relating intracellular LC-MS/MS exposure to the in vitro BLI response.</w:t>
      </w:r>
    </w:p>
    <w:p w14:paraId="5CD02E47" w14:textId="35E79FDD" w:rsidR="00BE1D3D" w:rsidRPr="003E271E" w:rsidRDefault="00A072D8" w:rsidP="00A072D8">
      <w:pPr>
        <w:spacing w:line="240" w:lineRule="auto"/>
        <w:rPr>
          <w:rFonts w:ascii="Calibri" w:eastAsia="宋体" w:hAnsi="Calibri" w:cs="Calibri"/>
          <w:color w:val="FF0000"/>
          <w:sz w:val="24"/>
          <w14:ligatures w14:val="none"/>
        </w:rPr>
      </w:pPr>
      <w:r w:rsidRPr="003E271E">
        <w:rPr>
          <w:rFonts w:ascii="Calibri" w:eastAsia="宋体" w:hAnsi="Calibri" w:cs="Calibri" w:hint="eastAsia"/>
          <w:color w:val="FF0000"/>
          <w:sz w:val="24"/>
          <w14:ligatures w14:val="none"/>
        </w:rPr>
        <w:t xml:space="preserve">5.3.3 Perform Step 2 of the translational mapping analysis by relating the in vitro BLI </w:t>
      </w:r>
      <w:r w:rsidRPr="003E271E">
        <w:rPr>
          <w:rFonts w:ascii="Calibri" w:eastAsia="宋体" w:hAnsi="Calibri" w:cs="Calibri" w:hint="eastAsia"/>
          <w:color w:val="FF0000"/>
          <w:sz w:val="24"/>
          <w14:ligatures w14:val="none"/>
        </w:rPr>
        <w:lastRenderedPageBreak/>
        <w:t xml:space="preserve">response to the </w:t>
      </w:r>
      <w:r w:rsidRPr="00BC0DD1">
        <w:rPr>
          <w:rFonts w:ascii="Calibri" w:eastAsia="宋体" w:hAnsi="Calibri" w:cs="Calibri" w:hint="eastAsia"/>
          <w:i/>
          <w:iCs/>
          <w:color w:val="FF0000"/>
          <w:sz w:val="24"/>
          <w14:ligatures w14:val="none"/>
        </w:rPr>
        <w:t>in vivo</w:t>
      </w:r>
      <w:r w:rsidRPr="003E271E">
        <w:rPr>
          <w:rFonts w:ascii="Calibri" w:eastAsia="宋体" w:hAnsi="Calibri" w:cs="Calibri" w:hint="eastAsia"/>
          <w:color w:val="FF0000"/>
          <w:sz w:val="24"/>
          <w14:ligatures w14:val="none"/>
        </w:rPr>
        <w:t xml:space="preserve"> BLI response and tumor inhibition.</w:t>
      </w:r>
    </w:p>
    <w:p w14:paraId="398C4457"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5.4 Statistical Analysis</w:t>
      </w:r>
    </w:p>
    <w:p w14:paraId="5526A2AF" w14:textId="77777777" w:rsidR="00BE1D3D" w:rsidRDefault="00000000">
      <w:pPr>
        <w:spacing w:line="240" w:lineRule="auto"/>
        <w:rPr>
          <w:rFonts w:ascii="Calibri" w:eastAsia="宋体" w:hAnsi="Calibri" w:cs="Calibri"/>
          <w:sz w:val="24"/>
          <w14:ligatures w14:val="none"/>
        </w:rPr>
      </w:pPr>
      <w:r>
        <w:rPr>
          <w:rFonts w:ascii="Calibri" w:eastAsia="宋体" w:hAnsi="Calibri" w:cs="Calibri" w:hint="eastAsia"/>
          <w:color w:val="FF0000"/>
          <w:sz w:val="24"/>
          <w14:ligatures w14:val="none"/>
        </w:rPr>
        <w:t xml:space="preserve">5.4.1 </w:t>
      </w:r>
      <w:r>
        <w:rPr>
          <w:rFonts w:ascii="Calibri" w:eastAsia="宋体" w:hAnsi="Calibri" w:cs="Calibri" w:hint="eastAsia"/>
          <w:sz w:val="24"/>
          <w14:ligatures w14:val="none"/>
        </w:rPr>
        <w:t xml:space="preserve">Software: Perform pharmacokinetic parameter calculations (e.g., </w:t>
      </w:r>
      <w:proofErr w:type="spellStart"/>
      <w:r>
        <w:rPr>
          <w:rFonts w:ascii="Calibri" w:eastAsia="宋体" w:hAnsi="Calibri" w:cs="Calibri" w:hint="eastAsia"/>
          <w:sz w:val="24"/>
          <w14:ligatures w14:val="none"/>
        </w:rPr>
        <w:t>AUC</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xml:space="preserve">, </w:t>
      </w:r>
      <w:proofErr w:type="spellStart"/>
      <w:r>
        <w:rPr>
          <w:rFonts w:ascii="Calibri" w:eastAsia="宋体" w:hAnsi="Calibri" w:cs="Calibri" w:hint="eastAsia"/>
          <w:sz w:val="24"/>
          <w14:ligatures w14:val="none"/>
        </w:rPr>
        <w:t>K</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xml:space="preserve">, and </w:t>
      </w:r>
      <w:proofErr w:type="spellStart"/>
      <w:r>
        <w:rPr>
          <w:rFonts w:ascii="Calibri" w:eastAsia="宋体" w:hAnsi="Calibri" w:cs="Calibri" w:hint="eastAsia"/>
          <w:sz w:val="24"/>
          <w14:ligatures w14:val="none"/>
        </w:rPr>
        <w:t>MRT</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using DAS 4.0 software (Mathematical Pharmacology Professional Committee of China). Use GraphPad Prism for all other statistical evaluations and data visualization.</w:t>
      </w:r>
    </w:p>
    <w:p w14:paraId="4F27F591" w14:textId="77777777" w:rsidR="003C5360" w:rsidRPr="00F92C68" w:rsidRDefault="003C5360">
      <w:pPr>
        <w:spacing w:line="240" w:lineRule="auto"/>
        <w:rPr>
          <w:rFonts w:ascii="Calibri" w:eastAsia="宋体" w:hAnsi="Calibri" w:cs="Calibri"/>
          <w:color w:val="FF0000"/>
          <w:sz w:val="24"/>
          <w14:ligatures w14:val="none"/>
        </w:rPr>
      </w:pPr>
      <w:r w:rsidRPr="00F92C68">
        <w:rPr>
          <w:rFonts w:ascii="Calibri" w:eastAsia="宋体" w:hAnsi="Calibri" w:cs="Calibri"/>
          <w:color w:val="FF0000"/>
          <w:sz w:val="24"/>
          <w14:ligatures w14:val="none"/>
        </w:rPr>
        <w:t xml:space="preserve">5.4.2 Group Comparisons: For longitudinal data with repeated observations from the same experimental unit, treatment and time effects were analyzed using a mixed-effects model to account for within-subject correlation. For prespecified comparisons of treatment groups with the solvent control in longitudinal analyses, Dunnett’s multiple-comparisons correction was applied to the estimated group differences, and the resulting adjusted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-values (</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color w:val="FF0000"/>
          <w:sz w:val="24"/>
          <w14:ligatures w14:val="none"/>
        </w:rPr>
        <w:t xml:space="preserve">) were reported. For paired comparisons between two treatment groups at a predefined time point, an appropriate paired statistical test was performed without multiple-comparison adjustment, and the resulting unadjusted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-values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 xml:space="preserve">) were reported. For derived or endpoint quantities involving more than two independent groups, one-way ANOVA followed by an appropriate multiple-comparisons procedure was used, where applicable. Statistical significance was defined as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 xml:space="preserve"> &lt; 0.05, with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 xml:space="preserve"> &lt; 0.01 considered highly significant.</w:t>
      </w:r>
    </w:p>
    <w:p w14:paraId="73950082" w14:textId="77777777" w:rsidR="003C5360" w:rsidRDefault="003C5360">
      <w:pPr>
        <w:spacing w:line="240" w:lineRule="auto"/>
        <w:rPr>
          <w:rFonts w:ascii="Calibri" w:eastAsia="宋体" w:hAnsi="Calibri" w:cs="Calibri"/>
          <w:color w:val="FF0000"/>
          <w:sz w:val="24"/>
          <w14:ligatures w14:val="none"/>
        </w:rPr>
      </w:pPr>
      <w:r w:rsidRPr="00F92C68">
        <w:rPr>
          <w:rFonts w:ascii="Calibri" w:eastAsia="宋体" w:hAnsi="Calibri" w:cs="Calibri"/>
          <w:color w:val="FF0000"/>
          <w:sz w:val="24"/>
          <w14:ligatures w14:val="none"/>
        </w:rPr>
        <w:t xml:space="preserve">5.4.3 Correlation Analysis: Evaluate the relationships between intracellular exposure, bioluminescent parameters, and anti-tumor efficacy using Pearson correlation analysis and linear regression, as appropriate. Report the coefficient of determination (R²) and the corresponding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 xml:space="preserve">-values. For multiple regression comparisons within predefined analysis families, apply the Benjamini–Hochberg procedure to control the false discovery rate and report the resulting adjusted </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-values (</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color w:val="FF0000"/>
          <w:sz w:val="24"/>
          <w14:ligatures w14:val="none"/>
        </w:rPr>
        <w:t>).</w:t>
      </w:r>
    </w:p>
    <w:p w14:paraId="7C07098B" w14:textId="2C2DC96C" w:rsidR="00BE1D3D" w:rsidRDefault="00000000">
      <w:pPr>
        <w:spacing w:line="240" w:lineRule="auto"/>
        <w:rPr>
          <w:rFonts w:ascii="Calibri" w:eastAsia="宋体" w:hAnsi="Calibri" w:cs="Calibri"/>
          <w:sz w:val="24"/>
          <w14:ligatures w14:val="none"/>
        </w:rPr>
      </w:pPr>
      <w:r>
        <w:rPr>
          <w:rFonts w:ascii="Calibri" w:eastAsia="宋体" w:hAnsi="Calibri" w:cs="Calibri" w:hint="eastAsia"/>
          <w:sz w:val="24"/>
          <w14:ligatures w14:val="none"/>
        </w:rPr>
        <w:t xml:space="preserve">Data Presentation: Present all experimental results as the mean </w:t>
      </w:r>
      <w:r>
        <w:rPr>
          <w:rFonts w:ascii="Calibri" w:eastAsia="宋体" w:hAnsi="Calibri" w:cs="Calibri" w:hint="eastAsia"/>
          <w:sz w:val="24"/>
          <w14:ligatures w14:val="none"/>
        </w:rPr>
        <w:t>±</w:t>
      </w:r>
      <w:r>
        <w:rPr>
          <w:rFonts w:ascii="Calibri" w:eastAsia="宋体" w:hAnsi="Calibri" w:cs="Calibri" w:hint="eastAsia"/>
          <w:sz w:val="24"/>
          <w14:ligatures w14:val="none"/>
        </w:rPr>
        <w:t xml:space="preserve"> standard deviation </w:t>
      </w:r>
      <w:proofErr w:type="gramStart"/>
      <w:r>
        <w:rPr>
          <w:rFonts w:ascii="Calibri" w:eastAsia="宋体" w:hAnsi="Calibri" w:cs="Calibri" w:hint="eastAsia"/>
          <w:sz w:val="24"/>
          <w14:ligatures w14:val="none"/>
        </w:rPr>
        <w:t>(SD)</w:t>
      </w:r>
      <w:proofErr w:type="gramEnd"/>
      <w:r>
        <w:rPr>
          <w:rFonts w:ascii="Calibri" w:eastAsia="宋体" w:hAnsi="Calibri" w:cs="Calibri" w:hint="eastAsia"/>
          <w:sz w:val="24"/>
          <w14:ligatures w14:val="none"/>
        </w:rPr>
        <w:t xml:space="preserve"> from at least n = 6 independent biological replicates.</w:t>
      </w:r>
      <w:r>
        <w:rPr>
          <w:rFonts w:ascii="Calibri" w:eastAsia="宋体" w:hAnsi="Calibri" w:cs="Calibri"/>
          <w:sz w:val="24"/>
          <w14:ligatures w14:val="none"/>
        </w:rPr>
        <w:t xml:space="preserve"> </w:t>
      </w:r>
    </w:p>
    <w:p w14:paraId="35061A39" w14:textId="77777777" w:rsidR="00BE1D3D" w:rsidRDefault="00BE1D3D">
      <w:pPr>
        <w:spacing w:line="240" w:lineRule="auto"/>
        <w:rPr>
          <w:rFonts w:ascii="Calibri" w:eastAsia="宋体" w:hAnsi="Calibri" w:cs="Calibri"/>
          <w:sz w:val="24"/>
          <w14:ligatures w14:val="none"/>
        </w:rPr>
      </w:pPr>
    </w:p>
    <w:p w14:paraId="4628D8F2"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b/>
          <w:bCs/>
          <w:sz w:val="28"/>
          <w:szCs w:val="28"/>
          <w14:ligatures w14:val="none"/>
        </w:rPr>
        <w:t xml:space="preserve">Representative </w:t>
      </w:r>
      <w:r>
        <w:rPr>
          <w:rFonts w:ascii="Calibri" w:eastAsia="宋体" w:hAnsi="Calibri" w:cs="Calibri" w:hint="eastAsia"/>
          <w:b/>
          <w:bCs/>
          <w:sz w:val="28"/>
          <w:szCs w:val="28"/>
          <w14:ligatures w14:val="none"/>
        </w:rPr>
        <w:t>R</w:t>
      </w:r>
      <w:r>
        <w:rPr>
          <w:rFonts w:ascii="Calibri" w:eastAsia="宋体" w:hAnsi="Calibri" w:cs="Calibri"/>
          <w:b/>
          <w:bCs/>
          <w:sz w:val="28"/>
          <w:szCs w:val="28"/>
          <w14:ligatures w14:val="none"/>
        </w:rPr>
        <w:t>esult</w:t>
      </w:r>
      <w:r>
        <w:rPr>
          <w:rFonts w:ascii="Calibri" w:eastAsia="宋体" w:hAnsi="Calibri" w:cs="Calibri" w:hint="eastAsia"/>
          <w:b/>
          <w:bCs/>
          <w:sz w:val="28"/>
          <w:szCs w:val="28"/>
          <w14:ligatures w14:val="none"/>
        </w:rPr>
        <w:t>s</w:t>
      </w:r>
    </w:p>
    <w:p w14:paraId="28178665" w14:textId="140CBA9E"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The integration of intracellular pharmacokinetics (PK) and longitudinal pharmacodynamics (PD) was implemented using a structured workflow (Figure 1). This framework ensures that each analytical module</w:t>
      </w:r>
      <w:r>
        <w:rPr>
          <w:rFonts w:ascii="Calibri" w:eastAsia="宋体" w:hAnsi="Calibri" w:cs="Calibri"/>
          <w:color w:val="FF0000"/>
          <w:sz w:val="24"/>
          <w14:ligatures w14:val="none"/>
        </w:rPr>
        <w:t>–</w:t>
      </w:r>
      <w:r>
        <w:rPr>
          <w:rFonts w:ascii="Calibri" w:eastAsia="宋体" w:hAnsi="Calibri" w:cs="Calibri" w:hint="eastAsia"/>
          <w:sz w:val="24"/>
          <w14:ligatures w14:val="none"/>
        </w:rPr>
        <w:t>from LC-MS/MS quantification to</w:t>
      </w:r>
      <w:r>
        <w:rPr>
          <w:rFonts w:ascii="Calibri" w:eastAsia="宋体" w:hAnsi="Calibri" w:cs="Calibri" w:hint="eastAsia"/>
          <w:color w:val="FF0000"/>
          <w:sz w:val="24"/>
          <w14:ligatures w14:val="none"/>
        </w:rPr>
        <w:t xml:space="preserve"> </w:t>
      </w:r>
      <w:r>
        <w:rPr>
          <w:rFonts w:ascii="Calibri" w:eastAsia="宋体" w:hAnsi="Calibri" w:cs="Calibri" w:hint="eastAsia"/>
          <w:i/>
          <w:iCs/>
          <w:color w:val="FF0000"/>
          <w:sz w:val="24"/>
          <w14:ligatures w14:val="none"/>
        </w:rPr>
        <w:t>in vivo</w:t>
      </w:r>
      <w:r>
        <w:rPr>
          <w:rFonts w:ascii="Calibri" w:eastAsia="宋体" w:hAnsi="Calibri" w:cs="Calibri" w:hint="eastAsia"/>
          <w:sz w:val="24"/>
          <w14:ligatures w14:val="none"/>
        </w:rPr>
        <w:t xml:space="preserve"> bioluminescence imaging (BLI)</w:t>
      </w:r>
      <w:r>
        <w:rPr>
          <w:rFonts w:ascii="Calibri" w:eastAsia="宋体" w:hAnsi="Calibri" w:cs="Calibri"/>
          <w:color w:val="FF0000"/>
          <w:sz w:val="24"/>
          <w14:ligatures w14:val="none"/>
        </w:rPr>
        <w:t>–</w:t>
      </w:r>
      <w:r>
        <w:rPr>
          <w:rFonts w:ascii="Calibri" w:eastAsia="宋体" w:hAnsi="Calibri" w:cs="Calibri" w:hint="eastAsia"/>
          <w:sz w:val="24"/>
          <w14:ligatures w14:val="none"/>
        </w:rPr>
        <w:t>contributes to the final two-step translational mapping. The following results illustrate the successful application of this integrated approach.</w:t>
      </w:r>
    </w:p>
    <w:p w14:paraId="298B994C" w14:textId="77777777" w:rsidR="00BE1D3D" w:rsidRDefault="00BE1D3D">
      <w:pPr>
        <w:widowControl/>
        <w:spacing w:after="0" w:line="240" w:lineRule="auto"/>
        <w:rPr>
          <w:rFonts w:ascii="Calibri" w:eastAsia="宋体" w:hAnsi="Calibri" w:cs="Calibri"/>
          <w:sz w:val="24"/>
          <w14:ligatures w14:val="none"/>
        </w:rPr>
      </w:pPr>
    </w:p>
    <w:p w14:paraId="6B84D2D2" w14:textId="77777777" w:rsidR="00BE1D3D" w:rsidRDefault="00000000">
      <w:pPr>
        <w:widowControl/>
        <w:spacing w:after="0"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1. Analytical performance of the LC-MS/MS module</w:t>
      </w:r>
    </w:p>
    <w:p w14:paraId="6198B6CD" w14:textId="77777777" w:rsidR="00BE1D3D" w:rsidRDefault="00000000">
      <w:pPr>
        <w:widowControl/>
        <w:spacing w:after="0" w:line="240" w:lineRule="auto"/>
        <w:rPr>
          <w:rFonts w:ascii="Calibri" w:eastAsia="宋体" w:hAnsi="Calibri" w:cs="Calibri"/>
          <w:color w:val="FF0000"/>
          <w:sz w:val="24"/>
          <w14:ligatures w14:val="none"/>
        </w:rPr>
      </w:pPr>
      <w:r>
        <w:rPr>
          <w:rFonts w:ascii="Calibri" w:eastAsia="宋体" w:hAnsi="Calibri" w:cs="Calibri" w:hint="eastAsia"/>
          <w:sz w:val="24"/>
          <w14:ligatures w14:val="none"/>
        </w:rPr>
        <w:t xml:space="preserve">The LC-MS/MS assay produced baseline-resolved peaks for gemcitabine, </w:t>
      </w:r>
      <w:proofErr w:type="spellStart"/>
      <w:r>
        <w:rPr>
          <w:rFonts w:ascii="Calibri" w:eastAsia="宋体" w:hAnsi="Calibri" w:cs="Calibri" w:hint="eastAsia"/>
          <w:sz w:val="24"/>
          <w14:ligatures w14:val="none"/>
        </w:rPr>
        <w:t>dFdU</w:t>
      </w:r>
      <w:proofErr w:type="spellEnd"/>
      <w:r>
        <w:rPr>
          <w:rFonts w:ascii="Calibri" w:eastAsia="宋体" w:hAnsi="Calibri" w:cs="Calibri" w:hint="eastAsia"/>
          <w:sz w:val="24"/>
          <w14:ligatures w14:val="none"/>
        </w:rPr>
        <w:t>, and the internal standard in matrix-matched cell lysate extracts.</w:t>
      </w:r>
      <w:r>
        <w:rPr>
          <w:rFonts w:ascii="Calibri" w:eastAsia="宋体" w:hAnsi="Calibri" w:cs="Calibri" w:hint="eastAsia"/>
          <w:color w:val="FF0000"/>
          <w:sz w:val="24"/>
          <w14:ligatures w14:val="none"/>
        </w:rPr>
        <w:t xml:space="preserve"> Blank cell lysate showed no interfering peaks at the retention times of the analytes and internal standard. The retention times were 1.01 min for gemcitabine, 3.20 min for </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 xml:space="preserve">, and 4.82 min for </w:t>
      </w:r>
      <w:proofErr w:type="spellStart"/>
      <w:r>
        <w:rPr>
          <w:rFonts w:ascii="Calibri" w:eastAsia="宋体" w:hAnsi="Calibri" w:cs="Calibri" w:hint="eastAsia"/>
          <w:color w:val="FF0000"/>
          <w:sz w:val="24"/>
          <w14:ligatures w14:val="none"/>
        </w:rPr>
        <w:t>dFUR</w:t>
      </w:r>
      <w:proofErr w:type="spellEnd"/>
      <w:r>
        <w:rPr>
          <w:rFonts w:ascii="Calibri" w:eastAsia="宋体" w:hAnsi="Calibri" w:cs="Calibri" w:hint="eastAsia"/>
          <w:color w:val="FF0000"/>
          <w:sz w:val="24"/>
          <w14:ligatures w14:val="none"/>
        </w:rPr>
        <w:t>, respectively, demonstrating good assay specificity.</w:t>
      </w:r>
    </w:p>
    <w:p w14:paraId="3AA9C1B2" w14:textId="77777777" w:rsidR="00BE1D3D" w:rsidRDefault="00000000">
      <w:pPr>
        <w:widowControl/>
        <w:spacing w:after="0"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lastRenderedPageBreak/>
        <w:t xml:space="preserve">The calibration curves covered the range of 100–20,000 ng/mL for gemcitabine and 200–20,000 ng/mL for </w:t>
      </w:r>
      <w:proofErr w:type="spellStart"/>
      <w:r>
        <w:rPr>
          <w:rFonts w:ascii="Calibri" w:eastAsia="宋体" w:hAnsi="Calibri" w:cs="Calibri"/>
          <w:color w:val="FF0000"/>
          <w:sz w:val="24"/>
          <w14:ligatures w14:val="none"/>
        </w:rPr>
        <w:t>dFdU</w:t>
      </w:r>
      <w:proofErr w:type="spellEnd"/>
      <w:r>
        <w:rPr>
          <w:rFonts w:ascii="Calibri" w:eastAsia="宋体" w:hAnsi="Calibri" w:cs="Calibri"/>
          <w:color w:val="FF0000"/>
          <w:sz w:val="24"/>
          <w14:ligatures w14:val="none"/>
        </w:rPr>
        <w:t xml:space="preserve">, with correlation coefficients (r²) exceeding 0.99. The lower limits of quantification (LLOQs) were 10 ng/mL for gemcitabine and 70 ng/mL for </w:t>
      </w:r>
      <w:proofErr w:type="spellStart"/>
      <w:r>
        <w:rPr>
          <w:rFonts w:ascii="Calibri" w:eastAsia="宋体" w:hAnsi="Calibri" w:cs="Calibri"/>
          <w:color w:val="FF0000"/>
          <w:sz w:val="24"/>
          <w14:ligatures w14:val="none"/>
        </w:rPr>
        <w:t>dFdU</w:t>
      </w:r>
      <w:proofErr w:type="spellEnd"/>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 xml:space="preserve"> The corresponding calibration equations were Y = 0.001087X - 0.03504 for gemcitabine and Y = 0.01002X - 0.2146 for </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w:t>
      </w:r>
    </w:p>
    <w:p w14:paraId="1D78A0BC" w14:textId="77777777" w:rsidR="00BE1D3D" w:rsidRDefault="00000000">
      <w:pPr>
        <w:widowControl/>
        <w:spacing w:after="0" w:line="240" w:lineRule="auto"/>
        <w:rPr>
          <w:rFonts w:ascii="Calibri" w:eastAsia="宋体" w:hAnsi="Calibri" w:cs="Calibri"/>
          <w:color w:val="FF0000"/>
          <w:sz w:val="24"/>
          <w14:ligatures w14:val="none"/>
        </w:rPr>
      </w:pPr>
      <w:r>
        <w:rPr>
          <w:rFonts w:ascii="Calibri" w:eastAsia="宋体" w:hAnsi="Calibri" w:cs="Calibri" w:hint="eastAsia"/>
          <w:color w:val="FF0000"/>
          <w:sz w:val="24"/>
          <w14:ligatures w14:val="none"/>
        </w:rPr>
        <w:t xml:space="preserve">Extraction recovery for gemcitabine was 85.16%, 85.82%, and 80.88% at 200, 500, and 1,000 ng/mL, respectively, whereas the corresponding recovery values for </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 xml:space="preserve"> were 88.78%, 86.38%, and 88.88%. Inter-day precision showed RSD values below 2% across the tested concentrations.</w:t>
      </w:r>
    </w:p>
    <w:p w14:paraId="37BB0252" w14:textId="084ACA62"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color w:val="FF0000"/>
          <w:sz w:val="24"/>
          <w14:ligatures w14:val="none"/>
        </w:rPr>
        <w:t xml:space="preserve">At room temperature, gemcitabine and </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 xml:space="preserve"> remained stable for up to 24 h, with RSD values of 2.60% and 0.58%, respectively. The average matrix-effect responses were 103.68% for gemcitabine and 102.98% for </w:t>
      </w:r>
      <w:proofErr w:type="spellStart"/>
      <w:r>
        <w:rPr>
          <w:rFonts w:ascii="Calibri" w:eastAsia="宋体" w:hAnsi="Calibri" w:cs="Calibri" w:hint="eastAsia"/>
          <w:color w:val="FF0000"/>
          <w:sz w:val="24"/>
          <w14:ligatures w14:val="none"/>
        </w:rPr>
        <w:t>dFdU</w:t>
      </w:r>
      <w:proofErr w:type="spellEnd"/>
      <w:r>
        <w:rPr>
          <w:rFonts w:ascii="Calibri" w:eastAsia="宋体" w:hAnsi="Calibri" w:cs="Calibri" w:hint="eastAsia"/>
          <w:color w:val="FF0000"/>
          <w:sz w:val="24"/>
          <w14:ligatures w14:val="none"/>
        </w:rPr>
        <w:t>.</w:t>
      </w:r>
      <w:r w:rsidR="00014C09">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The optimized mass spectrometry parameters, including multiple reaction monitoring (MRM) transitions and collision energies, together with the chromatographic conditions used to achieve this performance, are summarized in Table 1. In successful runs, quality control samples remain</w:t>
      </w:r>
      <w:r>
        <w:rPr>
          <w:rFonts w:ascii="Calibri" w:eastAsia="宋体" w:hAnsi="Calibri" w:cs="Calibri" w:hint="eastAsia"/>
          <w:color w:val="FF0000"/>
          <w:sz w:val="24"/>
          <w14:ligatures w14:val="none"/>
        </w:rPr>
        <w:t>ed</w:t>
      </w:r>
      <w:r>
        <w:rPr>
          <w:rFonts w:ascii="Calibri" w:eastAsia="宋体" w:hAnsi="Calibri" w:cs="Calibri" w:hint="eastAsia"/>
          <w:sz w:val="24"/>
          <w14:ligatures w14:val="none"/>
        </w:rPr>
        <w:t xml:space="preserve"> within predefined acceptance limits for accuracy and precision. In contrast, suboptimal runs may exhibit broadened peaks, retention-time drift, or reduced signal intensity, which typically indicates incomplete protein precipitation, column instability, or ion source contamination.</w:t>
      </w:r>
    </w:p>
    <w:p w14:paraId="1C54DC35" w14:textId="77777777" w:rsidR="00BE1D3D" w:rsidRDefault="00BE1D3D">
      <w:pPr>
        <w:widowControl/>
        <w:spacing w:after="0" w:line="240" w:lineRule="auto"/>
        <w:rPr>
          <w:rFonts w:ascii="Calibri" w:eastAsia="宋体" w:hAnsi="Calibri" w:cs="Calibri"/>
          <w:sz w:val="24"/>
          <w14:ligatures w14:val="none"/>
        </w:rPr>
      </w:pPr>
    </w:p>
    <w:p w14:paraId="7E909D9D" w14:textId="0635F2B6" w:rsidR="00BE1D3D" w:rsidRDefault="00000000">
      <w:pPr>
        <w:widowControl/>
        <w:spacing w:after="0"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 xml:space="preserve">2. Intracellular </w:t>
      </w:r>
      <w:r>
        <w:rPr>
          <w:rFonts w:ascii="Calibri" w:eastAsia="宋体" w:hAnsi="Calibri" w:cs="Calibri"/>
          <w:b/>
          <w:bCs/>
          <w:sz w:val="24"/>
          <w14:ligatures w14:val="none"/>
        </w:rPr>
        <w:t xml:space="preserve">gemcitabine </w:t>
      </w:r>
      <w:r>
        <w:rPr>
          <w:rFonts w:ascii="Calibri" w:eastAsia="宋体" w:hAnsi="Calibri" w:cs="Calibri" w:hint="eastAsia"/>
          <w:b/>
          <w:bCs/>
          <w:sz w:val="24"/>
          <w14:ligatures w14:val="none"/>
        </w:rPr>
        <w:t>and CSE combination exposure profiles in B</w:t>
      </w:r>
      <w:r w:rsidR="00D95783">
        <w:rPr>
          <w:rFonts w:ascii="Calibri" w:eastAsia="宋体" w:hAnsi="Calibri" w:cs="Calibri" w:hint="eastAsia"/>
          <w:b/>
          <w:bCs/>
          <w:sz w:val="24"/>
          <w14:ligatures w14:val="none"/>
        </w:rPr>
        <w:t>x</w:t>
      </w:r>
      <w:r>
        <w:rPr>
          <w:rFonts w:ascii="Calibri" w:eastAsia="宋体" w:hAnsi="Calibri" w:cs="Calibri" w:hint="eastAsia"/>
          <w:b/>
          <w:bCs/>
          <w:sz w:val="24"/>
          <w14:ligatures w14:val="none"/>
        </w:rPr>
        <w:t>PC-3 cells</w:t>
      </w:r>
    </w:p>
    <w:p w14:paraId="0CFB915D" w14:textId="77777777"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 xml:space="preserve">Intracellular gemcitabine concentrations decreased over time following gemcitabine monotherapy, whereas pretreatment or co-treatment with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 (CSE) increased intracellular gemcitabine exposure. As shown in Figure 2, successful quantification of intracellular gemcitabine at 24, 48, and 72 h reveals a clear time-dependent accumulation profile.</w:t>
      </w:r>
    </w:p>
    <w:p w14:paraId="2A04640B" w14:textId="77777777"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Specifically, Figure 2B shows that co-treatment with CSE for 24 h or 48 h significantly increases intracellular gemcitabine levels compared with gemcitabine alone, providing a representative example of enhanced intracellular drug accumulation. In successful experiments, biological replicates exhibit smooth concentration-time profiles with minimal inter-replicate variability. In contrast, substantial divergence among replicates may indicate inconsistent cell density, incomplete metabolic quenching, or variability in sample extraction.</w:t>
      </w:r>
    </w:p>
    <w:p w14:paraId="057EC9E0" w14:textId="77777777" w:rsidR="00BE1D3D" w:rsidRDefault="00BE1D3D">
      <w:pPr>
        <w:widowControl/>
        <w:spacing w:after="0" w:line="240" w:lineRule="auto"/>
        <w:rPr>
          <w:rFonts w:ascii="Calibri" w:eastAsia="宋体" w:hAnsi="Calibri" w:cs="Calibri"/>
          <w:sz w:val="24"/>
          <w14:ligatures w14:val="none"/>
        </w:rPr>
      </w:pPr>
    </w:p>
    <w:p w14:paraId="6C133B9D" w14:textId="5BB064DC" w:rsidR="00BE1D3D" w:rsidRDefault="00000000">
      <w:pPr>
        <w:widowControl/>
        <w:spacing w:after="0"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3.BLI response after gemcitabine and CSE combination exposure in B</w:t>
      </w:r>
      <w:r w:rsidR="00D95783">
        <w:rPr>
          <w:rFonts w:ascii="Calibri" w:eastAsia="宋体" w:hAnsi="Calibri" w:cs="Calibri" w:hint="eastAsia"/>
          <w:b/>
          <w:bCs/>
          <w:sz w:val="24"/>
          <w14:ligatures w14:val="none"/>
        </w:rPr>
        <w:t>x</w:t>
      </w:r>
      <w:r>
        <w:rPr>
          <w:rFonts w:ascii="Calibri" w:eastAsia="宋体" w:hAnsi="Calibri" w:cs="Calibri" w:hint="eastAsia"/>
          <w:b/>
          <w:bCs/>
          <w:sz w:val="24"/>
          <w14:ligatures w14:val="none"/>
        </w:rPr>
        <w:t xml:space="preserve">PC-3 cells </w:t>
      </w:r>
      <w:r>
        <w:rPr>
          <w:rFonts w:ascii="Calibri" w:eastAsia="宋体" w:hAnsi="Calibri" w:cs="Calibri" w:hint="eastAsia"/>
          <w:b/>
          <w:bCs/>
          <w:i/>
          <w:iCs/>
          <w:sz w:val="24"/>
          <w14:ligatures w14:val="none"/>
        </w:rPr>
        <w:t>in vitro</w:t>
      </w:r>
      <w:r>
        <w:rPr>
          <w:rFonts w:ascii="Calibri" w:eastAsia="宋体" w:hAnsi="Calibri" w:cs="Calibri" w:hint="eastAsia"/>
          <w:b/>
          <w:bCs/>
          <w:sz w:val="24"/>
          <w14:ligatures w14:val="none"/>
        </w:rPr>
        <w:t xml:space="preserve"> </w:t>
      </w:r>
    </w:p>
    <w:p w14:paraId="371DE3C8" w14:textId="77777777" w:rsidR="003C5360" w:rsidRPr="00F92C68" w:rsidRDefault="003C5360">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color w:val="EE0000"/>
          <w:sz w:val="24"/>
          <w14:ligatures w14:val="none"/>
        </w:rPr>
        <w:t>Time-resolved bioluminescence imaging (BLI) provided a dynamic readout of treatment response in BxPC-3-luc cells. As shown in Figure 3A–C, the normalized BLI signal (</w:t>
      </w:r>
      <w:proofErr w:type="spellStart"/>
      <w:r w:rsidRPr="00F92C68">
        <w:rPr>
          <w:rFonts w:ascii="Calibri" w:eastAsia="宋体" w:hAnsi="Calibri" w:cs="Calibri"/>
          <w:color w:val="EE0000"/>
          <w:sz w:val="24"/>
          <w14:ligatures w14:val="none"/>
        </w:rPr>
        <w:t>BLI</w:t>
      </w:r>
      <w:r w:rsidRPr="00F92C68">
        <w:rPr>
          <w:rFonts w:ascii="Calibri" w:eastAsia="宋体" w:hAnsi="Calibri" w:cs="Calibri"/>
          <w:color w:val="EE0000"/>
          <w:sz w:val="24"/>
          <w:vertAlign w:val="subscript"/>
          <w14:ligatures w14:val="none"/>
        </w:rPr>
        <w:t>rel</w:t>
      </w:r>
      <w:proofErr w:type="spellEnd"/>
      <w:r w:rsidRPr="00F92C68">
        <w:rPr>
          <w:rFonts w:ascii="Calibri" w:eastAsia="宋体" w:hAnsi="Calibri" w:cs="Calibri"/>
          <w:color w:val="EE0000"/>
          <w:sz w:val="24"/>
          <w14:ligatures w14:val="none"/>
        </w:rPr>
        <w:t xml:space="preserve">) exhibited distinct kinetic profiles across 24, 48, and 72 h. The GEM group generally showed lower </w:t>
      </w:r>
      <w:proofErr w:type="spellStart"/>
      <w:r w:rsidRPr="00F92C68">
        <w:rPr>
          <w:rFonts w:ascii="Calibri" w:eastAsia="宋体" w:hAnsi="Calibri" w:cs="Calibri"/>
          <w:color w:val="EE0000"/>
          <w:sz w:val="24"/>
          <w14:ligatures w14:val="none"/>
        </w:rPr>
        <w:t>BLI</w:t>
      </w:r>
      <w:r w:rsidRPr="00F92C68">
        <w:rPr>
          <w:rFonts w:ascii="Calibri" w:eastAsia="宋体" w:hAnsi="Calibri" w:cs="Calibri"/>
          <w:color w:val="EE0000"/>
          <w:sz w:val="24"/>
          <w:vertAlign w:val="subscript"/>
          <w14:ligatures w14:val="none"/>
        </w:rPr>
        <w:t>rel</w:t>
      </w:r>
      <w:proofErr w:type="spellEnd"/>
      <w:r w:rsidRPr="00F92C68">
        <w:rPr>
          <w:rFonts w:ascii="Calibri" w:eastAsia="宋体" w:hAnsi="Calibri" w:cs="Calibri"/>
          <w:color w:val="EE0000"/>
          <w:sz w:val="24"/>
          <w14:ligatures w14:val="none"/>
        </w:rPr>
        <w:t xml:space="preserve"> values than the solvent control, whereas the CSE-only group maintained relatively higher </w:t>
      </w:r>
      <w:proofErr w:type="spellStart"/>
      <w:r w:rsidRPr="00F92C68">
        <w:rPr>
          <w:rFonts w:ascii="Calibri" w:eastAsia="宋体" w:hAnsi="Calibri" w:cs="Calibri"/>
          <w:color w:val="EE0000"/>
          <w:sz w:val="24"/>
          <w14:ligatures w14:val="none"/>
        </w:rPr>
        <w:t>BLI</w:t>
      </w:r>
      <w:r w:rsidRPr="00F92C68">
        <w:rPr>
          <w:rFonts w:ascii="Calibri" w:eastAsia="宋体" w:hAnsi="Calibri" w:cs="Calibri"/>
          <w:color w:val="EE0000"/>
          <w:sz w:val="24"/>
          <w:vertAlign w:val="subscript"/>
          <w14:ligatures w14:val="none"/>
        </w:rPr>
        <w:t>rel</w:t>
      </w:r>
      <w:proofErr w:type="spellEnd"/>
      <w:r w:rsidRPr="00F92C68">
        <w:rPr>
          <w:rFonts w:ascii="Calibri" w:eastAsia="宋体" w:hAnsi="Calibri" w:cs="Calibri"/>
          <w:color w:val="EE0000"/>
          <w:sz w:val="24"/>
          <w14:ligatures w14:val="none"/>
        </w:rPr>
        <w:t xml:space="preserve"> values. The GEM+CSE combination also showed a lower </w:t>
      </w:r>
      <w:proofErr w:type="spellStart"/>
      <w:r w:rsidRPr="00F92C68">
        <w:rPr>
          <w:rFonts w:ascii="Calibri" w:eastAsia="宋体" w:hAnsi="Calibri" w:cs="Calibri"/>
          <w:color w:val="EE0000"/>
          <w:sz w:val="24"/>
          <w14:ligatures w14:val="none"/>
        </w:rPr>
        <w:t>BLI</w:t>
      </w:r>
      <w:r w:rsidRPr="00F92C68">
        <w:rPr>
          <w:rFonts w:ascii="Calibri" w:eastAsia="宋体" w:hAnsi="Calibri" w:cs="Calibri"/>
          <w:color w:val="EE0000"/>
          <w:sz w:val="24"/>
          <w:vertAlign w:val="subscript"/>
          <w14:ligatures w14:val="none"/>
        </w:rPr>
        <w:t>rel</w:t>
      </w:r>
      <w:proofErr w:type="spellEnd"/>
      <w:r w:rsidRPr="00F92C68">
        <w:rPr>
          <w:rFonts w:ascii="Calibri" w:eastAsia="宋体" w:hAnsi="Calibri" w:cs="Calibri"/>
          <w:color w:val="EE0000"/>
          <w:sz w:val="24"/>
          <w14:ligatures w14:val="none"/>
        </w:rPr>
        <w:t xml:space="preserve"> profile than GEM monotherapy.</w:t>
      </w:r>
    </w:p>
    <w:p w14:paraId="1CA5B46B" w14:textId="14F5DCA2" w:rsidR="00512493" w:rsidRPr="00F92C68" w:rsidRDefault="00000000">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sz w:val="24"/>
          <w14:ligatures w14:val="none"/>
        </w:rPr>
        <w:t>Intracellular gemcitabine c</w:t>
      </w:r>
      <w:r>
        <w:rPr>
          <w:rFonts w:ascii="Calibri" w:eastAsia="宋体" w:hAnsi="Calibri" w:cs="Calibri" w:hint="eastAsia"/>
          <w:sz w:val="24"/>
          <w14:ligatures w14:val="none"/>
        </w:rPr>
        <w:t xml:space="preserve">oncentrations were further quantified by LC-MS/MS (Figure 3D). </w:t>
      </w:r>
      <w:r w:rsidR="009357F4" w:rsidRPr="00F92C68">
        <w:rPr>
          <w:rFonts w:ascii="Calibri" w:eastAsia="宋体" w:hAnsi="Calibri" w:cs="Calibri"/>
          <w:color w:val="EE0000"/>
          <w:sz w:val="24"/>
          <w14:ligatures w14:val="none"/>
        </w:rPr>
        <w:t>The GEM+CSE group showed significantly increased intracellular gemcitabine accumulation compared with the GEM group at 24 h (</w:t>
      </w:r>
      <w:r w:rsidR="009357F4" w:rsidRPr="00F92C68">
        <w:rPr>
          <w:rFonts w:ascii="Calibri" w:eastAsia="宋体" w:hAnsi="Calibri" w:cs="Calibri" w:hint="eastAsia"/>
          <w:i/>
          <w:iCs/>
          <w:color w:val="EE0000"/>
          <w:sz w:val="24"/>
          <w:vertAlign w:val="superscript"/>
          <w14:ligatures w14:val="none"/>
        </w:rPr>
        <w:t>**</w:t>
      </w:r>
      <w:r w:rsidR="009357F4" w:rsidRPr="00F92C68">
        <w:rPr>
          <w:rFonts w:ascii="Calibri" w:eastAsia="宋体" w:hAnsi="Calibri" w:cs="Calibri"/>
          <w:i/>
          <w:iCs/>
          <w:color w:val="EE0000"/>
          <w:sz w:val="24"/>
          <w14:ligatures w14:val="none"/>
        </w:rPr>
        <w:t>p</w:t>
      </w:r>
      <w:r w:rsidR="009357F4" w:rsidRPr="00F92C68">
        <w:rPr>
          <w:rFonts w:ascii="Calibri" w:eastAsia="宋体" w:hAnsi="Calibri" w:cs="Calibri"/>
          <w:color w:val="EE0000"/>
          <w:sz w:val="24"/>
          <w14:ligatures w14:val="none"/>
        </w:rPr>
        <w:t xml:space="preserve"> &lt; 0.01), 48 h (</w:t>
      </w:r>
      <w:r w:rsidR="009357F4" w:rsidRPr="00F92C68">
        <w:rPr>
          <w:rFonts w:ascii="Calibri" w:eastAsia="宋体" w:hAnsi="Calibri" w:cs="Calibri"/>
          <w:i/>
          <w:iCs/>
          <w:color w:val="EE0000"/>
          <w:sz w:val="24"/>
          <w:vertAlign w:val="superscript"/>
          <w14:ligatures w14:val="none"/>
        </w:rPr>
        <w:t>##</w:t>
      </w:r>
      <w:r w:rsidR="009357F4" w:rsidRPr="00F92C68">
        <w:rPr>
          <w:rFonts w:ascii="Calibri" w:eastAsia="宋体" w:hAnsi="Calibri" w:cs="Calibri"/>
          <w:i/>
          <w:iCs/>
          <w:color w:val="EE0000"/>
          <w:sz w:val="24"/>
          <w14:ligatures w14:val="none"/>
        </w:rPr>
        <w:t>p</w:t>
      </w:r>
      <w:r w:rsidR="009357F4" w:rsidRPr="00F92C68">
        <w:rPr>
          <w:rFonts w:ascii="Calibri" w:eastAsia="宋体" w:hAnsi="Calibri" w:cs="Calibri"/>
          <w:color w:val="EE0000"/>
          <w:sz w:val="24"/>
          <w14:ligatures w14:val="none"/>
        </w:rPr>
        <w:t xml:space="preserve"> &lt; 0.01), and 72 h (</w:t>
      </w:r>
      <w:r w:rsidR="009357F4" w:rsidRPr="00F92C68">
        <w:rPr>
          <w:rFonts w:ascii="Calibri" w:eastAsia="宋体" w:hAnsi="Calibri" w:cs="Calibri"/>
          <w:i/>
          <w:iCs/>
          <w:color w:val="EE0000"/>
          <w:sz w:val="24"/>
          <w:vertAlign w:val="superscript"/>
          <w14:ligatures w14:val="none"/>
        </w:rPr>
        <w:t>&amp;&amp;</w:t>
      </w:r>
      <w:r w:rsidR="009357F4" w:rsidRPr="00F92C68">
        <w:rPr>
          <w:rFonts w:ascii="Calibri" w:eastAsia="宋体" w:hAnsi="Calibri" w:cs="Calibri"/>
          <w:i/>
          <w:iCs/>
          <w:color w:val="EE0000"/>
          <w:sz w:val="24"/>
          <w14:ligatures w14:val="none"/>
        </w:rPr>
        <w:t xml:space="preserve">p </w:t>
      </w:r>
      <w:r w:rsidR="009357F4" w:rsidRPr="00F92C68">
        <w:rPr>
          <w:rFonts w:ascii="Calibri" w:eastAsia="宋体" w:hAnsi="Calibri" w:cs="Calibri"/>
          <w:color w:val="EE0000"/>
          <w:sz w:val="24"/>
          <w14:ligatures w14:val="none"/>
        </w:rPr>
        <w:t xml:space="preserve">&lt; 0.01). </w:t>
      </w:r>
      <w:r w:rsidR="009357F4" w:rsidRPr="00F92C68">
        <w:rPr>
          <w:rFonts w:ascii="Calibri" w:eastAsia="宋体" w:hAnsi="Calibri" w:cs="Calibri"/>
          <w:color w:val="EE0000"/>
          <w:sz w:val="24"/>
          <w14:ligatures w14:val="none"/>
        </w:rPr>
        <w:lastRenderedPageBreak/>
        <w:t>Paired comparisons were performed separately at each predefined time point without multiple-comparison adjustment.</w:t>
      </w:r>
    </w:p>
    <w:p w14:paraId="37B44D36" w14:textId="272DBB77" w:rsidR="00810A8E" w:rsidRPr="00F92C68" w:rsidRDefault="00810A8E" w:rsidP="00810A8E">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color w:val="EE0000"/>
          <w:sz w:val="24"/>
          <w14:ligatures w14:val="none"/>
        </w:rPr>
        <w:t xml:space="preserve">Quantitative characterization of the BLI decay kinetics is summarized by the derived parameters shown in Figure 4. </w:t>
      </w:r>
      <w:proofErr w:type="spellStart"/>
      <w:r w:rsidRPr="00F92C68">
        <w:rPr>
          <w:rFonts w:ascii="Calibri" w:eastAsia="宋体" w:hAnsi="Calibri" w:cs="Calibri" w:hint="eastAsia"/>
          <w:color w:val="EE0000"/>
          <w:sz w:val="24"/>
          <w14:ligatures w14:val="none"/>
        </w:rPr>
        <w:t>AUC</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represents the area under the normalized BLI signal</w:t>
      </w:r>
      <w:r w:rsidRPr="00F92C68">
        <w:rPr>
          <w:rFonts w:ascii="Calibri" w:eastAsia="宋体" w:hAnsi="Calibri" w:cs="Calibri"/>
          <w:color w:val="EE0000"/>
          <w:sz w:val="24"/>
          <w14:ligatures w14:val="none"/>
        </w:rPr>
        <w:t>–</w:t>
      </w:r>
      <w:r w:rsidRPr="00F92C68">
        <w:rPr>
          <w:rFonts w:ascii="Calibri" w:eastAsia="宋体" w:hAnsi="Calibri" w:cs="Calibri" w:hint="eastAsia"/>
          <w:color w:val="EE0000"/>
          <w:sz w:val="24"/>
          <w14:ligatures w14:val="none"/>
        </w:rPr>
        <w:t xml:space="preserve">time curve, whereas </w:t>
      </w:r>
      <w:proofErr w:type="spellStart"/>
      <w:r w:rsidRPr="00F92C68">
        <w:rPr>
          <w:rFonts w:ascii="Calibri" w:eastAsia="宋体" w:hAnsi="Calibri" w:cs="Calibri" w:hint="eastAsia"/>
          <w:color w:val="EE0000"/>
          <w:sz w:val="24"/>
          <w14:ligatures w14:val="none"/>
        </w:rPr>
        <w:t>K</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and </w:t>
      </w:r>
      <w:proofErr w:type="spellStart"/>
      <w:r w:rsidRPr="00F92C68">
        <w:rPr>
          <w:rFonts w:ascii="Calibri" w:eastAsia="宋体" w:hAnsi="Calibri" w:cs="Calibri" w:hint="eastAsia"/>
          <w:color w:val="EE0000"/>
          <w:sz w:val="24"/>
          <w14:ligatures w14:val="none"/>
        </w:rPr>
        <w:t>MRT</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represent the BLI signal elimination rate constant and mean residence time of the BLI signal, respectively.</w:t>
      </w:r>
    </w:p>
    <w:p w14:paraId="57349B58" w14:textId="5016D98C" w:rsidR="00810A8E" w:rsidRPr="00F92C68" w:rsidRDefault="00810A8E" w:rsidP="00810A8E">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color w:val="EE0000"/>
          <w:sz w:val="24"/>
          <w14:ligatures w14:val="none"/>
        </w:rPr>
        <w:t>For comparisons between the Solvent and GEM groups across time points, a mixed-effects model with Dunnett</w:t>
      </w:r>
      <w:r w:rsidRPr="00F92C68">
        <w:rPr>
          <w:rFonts w:ascii="Calibri" w:eastAsia="宋体" w:hAnsi="Calibri" w:cs="Calibri" w:hint="eastAsia"/>
          <w:color w:val="EE0000"/>
          <w:sz w:val="24"/>
          <w14:ligatures w14:val="none"/>
        </w:rPr>
        <w:t>’</w:t>
      </w:r>
      <w:r w:rsidRPr="00F92C68">
        <w:rPr>
          <w:rFonts w:ascii="Calibri" w:eastAsia="宋体" w:hAnsi="Calibri" w:cs="Calibri" w:hint="eastAsia"/>
          <w:color w:val="EE0000"/>
          <w:sz w:val="24"/>
          <w14:ligatures w14:val="none"/>
        </w:rPr>
        <w:t>s multiple-comparisons adjustment was used. For comparisons between the GEM and GEM+CSE groups at individual time points, paired tests without adjustment for multiple comparisons were used.</w:t>
      </w:r>
    </w:p>
    <w:p w14:paraId="43FEB705" w14:textId="1377D7F8" w:rsidR="00810A8E" w:rsidRPr="00F92C68" w:rsidRDefault="00810A8E" w:rsidP="00810A8E">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color w:val="EE0000"/>
          <w:sz w:val="24"/>
          <w14:ligatures w14:val="none"/>
        </w:rPr>
        <w:t xml:space="preserve">As shown in Figure 4A, </w:t>
      </w:r>
      <w:proofErr w:type="spellStart"/>
      <w:r w:rsidRPr="00F92C68">
        <w:rPr>
          <w:rFonts w:ascii="Calibri" w:eastAsia="宋体" w:hAnsi="Calibri" w:cs="Calibri" w:hint="eastAsia"/>
          <w:color w:val="EE0000"/>
          <w:sz w:val="24"/>
          <w14:ligatures w14:val="none"/>
        </w:rPr>
        <w:t>AUC</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was significantly lower in the GEM group than in the Solvent group at 24, 48, and 72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0.05 for all comparisons). No significant differences were observed between the GEM and GEM+CSE groups at any of the three time points (unadjusted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&gt; 0.05).</w:t>
      </w:r>
    </w:p>
    <w:p w14:paraId="6B7DF2DE" w14:textId="1243A897" w:rsidR="00810A8E" w:rsidRPr="00F92C68" w:rsidRDefault="00810A8E" w:rsidP="00810A8E">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color w:val="EE0000"/>
          <w:sz w:val="24"/>
          <w14:ligatures w14:val="none"/>
        </w:rPr>
        <w:t xml:space="preserve">For </w:t>
      </w:r>
      <w:proofErr w:type="spellStart"/>
      <w:r w:rsidRPr="00F92C68">
        <w:rPr>
          <w:rFonts w:ascii="Calibri" w:eastAsia="宋体" w:hAnsi="Calibri" w:cs="Calibri" w:hint="eastAsia"/>
          <w:color w:val="EE0000"/>
          <w:sz w:val="24"/>
          <w14:ligatures w14:val="none"/>
        </w:rPr>
        <w:t>K</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(Figure 4B), the GEM group differed significantly from the Solvent group at 24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0.05) and showed more pronounced differences at 48 and 72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0.01). No significant differences were observed between the GEM and GEM+CSE groups at any time point (unadjusted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&gt; 0.05).</w:t>
      </w:r>
    </w:p>
    <w:p w14:paraId="6D0BAF18" w14:textId="77777777" w:rsidR="00810A8E" w:rsidRPr="00810A8E" w:rsidRDefault="00810A8E" w:rsidP="00810A8E">
      <w:pPr>
        <w:widowControl/>
        <w:spacing w:after="0" w:line="240" w:lineRule="auto"/>
        <w:rPr>
          <w:rFonts w:ascii="Calibri" w:eastAsia="宋体" w:hAnsi="Calibri" w:cs="Calibri"/>
          <w:color w:val="EE0000"/>
          <w:sz w:val="24"/>
          <w14:ligatures w14:val="none"/>
        </w:rPr>
      </w:pPr>
      <w:r w:rsidRPr="00F92C68">
        <w:rPr>
          <w:rFonts w:ascii="Calibri" w:eastAsia="宋体" w:hAnsi="Calibri" w:cs="Calibri" w:hint="eastAsia"/>
          <w:color w:val="EE0000"/>
          <w:sz w:val="24"/>
          <w14:ligatures w14:val="none"/>
        </w:rPr>
        <w:t xml:space="preserve">For </w:t>
      </w:r>
      <w:proofErr w:type="spellStart"/>
      <w:r w:rsidRPr="00F92C68">
        <w:rPr>
          <w:rFonts w:ascii="Calibri" w:eastAsia="宋体" w:hAnsi="Calibri" w:cs="Calibri" w:hint="eastAsia"/>
          <w:color w:val="EE0000"/>
          <w:sz w:val="24"/>
          <w14:ligatures w14:val="none"/>
        </w:rPr>
        <w:t>MRT</w:t>
      </w:r>
      <w:r w:rsidRPr="00F92C68">
        <w:rPr>
          <w:rFonts w:ascii="Calibri" w:eastAsia="宋体" w:hAnsi="Calibri" w:cs="Calibri" w:hint="eastAsia"/>
          <w:color w:val="EE0000"/>
          <w:sz w:val="24"/>
          <w:vertAlign w:val="subscript"/>
          <w14:ligatures w14:val="none"/>
        </w:rPr>
        <w:t>luc</w:t>
      </w:r>
      <w:proofErr w:type="spellEnd"/>
      <w:r w:rsidRPr="00F92C68">
        <w:rPr>
          <w:rFonts w:ascii="Calibri" w:eastAsia="宋体" w:hAnsi="Calibri" w:cs="Calibri" w:hint="eastAsia"/>
          <w:color w:val="EE0000"/>
          <w:sz w:val="24"/>
          <w14:ligatures w14:val="none"/>
        </w:rPr>
        <w:t xml:space="preserve"> (Figure 4C), no significant difference was observed between the GEM and Solvent groups at 24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&gt; 0.05), whereas significant differences were observed at 48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0.05) and 72 h (Dunnett-adjusted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0.01). Comparisons between the GEM and GEM+CSE groups were not statistically significant at any time point (unadjusted </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&gt; 0.05).</w:t>
      </w:r>
    </w:p>
    <w:p w14:paraId="5345CB4E" w14:textId="5A46E6A8" w:rsidR="00BE1D3D" w:rsidRDefault="00000000" w:rsidP="00810A8E">
      <w:pPr>
        <w:widowControl/>
        <w:spacing w:after="0"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4. Correlation prediction analysis of gemcitabine exposure-anti-pancreatic cancer efficacy models</w:t>
      </w:r>
      <w:r>
        <w:rPr>
          <w:rFonts w:ascii="Calibri" w:eastAsia="宋体" w:hAnsi="Calibri" w:cs="Calibri" w:hint="eastAsia"/>
          <w:b/>
          <w:bCs/>
          <w:i/>
          <w:iCs/>
          <w:sz w:val="24"/>
          <w14:ligatures w14:val="none"/>
        </w:rPr>
        <w:t xml:space="preserve"> </w:t>
      </w:r>
      <w:r>
        <w:rPr>
          <w:rFonts w:ascii="Calibri" w:eastAsia="宋体" w:hAnsi="Calibri" w:cs="Calibri" w:hint="eastAsia"/>
          <w:b/>
          <w:bCs/>
          <w:i/>
          <w:iCs/>
          <w:color w:val="FF0000"/>
          <w:sz w:val="24"/>
          <w14:ligatures w14:val="none"/>
        </w:rPr>
        <w:t>in vivo</w:t>
      </w:r>
      <w:r>
        <w:rPr>
          <w:rFonts w:ascii="Calibri" w:eastAsia="宋体" w:hAnsi="Calibri" w:cs="Calibri" w:hint="eastAsia"/>
          <w:b/>
          <w:bCs/>
          <w:sz w:val="24"/>
          <w14:ligatures w14:val="none"/>
        </w:rPr>
        <w:t xml:space="preserve"> and </w:t>
      </w:r>
      <w:r>
        <w:rPr>
          <w:rFonts w:ascii="Calibri" w:eastAsia="宋体" w:hAnsi="Calibri" w:cs="Calibri" w:hint="eastAsia"/>
          <w:b/>
          <w:bCs/>
          <w:i/>
          <w:iCs/>
          <w:color w:val="FF0000"/>
          <w:sz w:val="24"/>
          <w14:ligatures w14:val="none"/>
        </w:rPr>
        <w:t>in vitro</w:t>
      </w:r>
      <w:r>
        <w:rPr>
          <w:rFonts w:ascii="Calibri" w:eastAsia="宋体" w:hAnsi="Calibri" w:cs="Calibri"/>
          <w:b/>
          <w:bCs/>
          <w:sz w:val="24"/>
          <w14:ligatures w14:val="none"/>
        </w:rPr>
        <w:t xml:space="preserve"> </w:t>
      </w:r>
    </w:p>
    <w:p w14:paraId="379547AD" w14:textId="77777777"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In the xenograft mouse model, treatment responses were evaluated based on tumor growth inhibition and pharmacokinetic parameters (Figure 5).</w:t>
      </w:r>
    </w:p>
    <w:p w14:paraId="0D23F465" w14:textId="1C2AE1C0" w:rsidR="00BE1D3D" w:rsidRDefault="000A4CE1">
      <w:pPr>
        <w:widowControl/>
        <w:spacing w:after="0" w:line="240" w:lineRule="auto"/>
        <w:rPr>
          <w:rFonts w:ascii="Calibri" w:eastAsia="宋体" w:hAnsi="Calibri" w:cs="Calibri"/>
          <w:color w:val="FF0000"/>
          <w:sz w:val="24"/>
          <w14:ligatures w14:val="none"/>
        </w:rPr>
      </w:pPr>
      <w:r w:rsidRPr="00F92C68">
        <w:rPr>
          <w:rFonts w:ascii="Calibri" w:eastAsia="宋体" w:hAnsi="Calibri" w:cs="Calibri"/>
          <w:color w:val="FF0000"/>
          <w:sz w:val="24"/>
          <w14:ligatures w14:val="none"/>
        </w:rPr>
        <w:t>As shown in Figure 5A, the GEM group exhibited a significant reduction in relative tumor growth rate compared with the solvent control (</w:t>
      </w:r>
      <w:r w:rsidRPr="00F92C68">
        <w:rPr>
          <w:rFonts w:ascii="Calibri" w:eastAsia="宋体" w:hAnsi="Calibri" w:cs="Calibri"/>
          <w:i/>
          <w:iCs/>
          <w:color w:val="FF0000"/>
          <w:sz w:val="24"/>
          <w:vertAlign w:val="superscript"/>
          <w14:ligatures w14:val="none"/>
        </w:rPr>
        <w:t>**</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color w:val="FF0000"/>
          <w:sz w:val="24"/>
          <w14:ligatures w14:val="none"/>
        </w:rPr>
        <w:t xml:space="preserve"> &lt; 0.01), as determined using a mixed-effects model with Dunnett’s multiple-comparisons correction. The CSE group showed a moderate decrease in tumor growth relative to the solvent group. The GEM+CSE combination further reduced tumor growth compared with GEM monotherapy (</w:t>
      </w:r>
      <w:r w:rsidRPr="00F92C68">
        <w:rPr>
          <w:rFonts w:ascii="Calibri" w:eastAsia="宋体" w:hAnsi="Calibri" w:cs="Calibri"/>
          <w:i/>
          <w:iCs/>
          <w:color w:val="FF0000"/>
          <w:sz w:val="24"/>
          <w:vertAlign w:val="superscript"/>
          <w14:ligatures w14:val="none"/>
        </w:rPr>
        <w:t>#</w:t>
      </w:r>
      <w:r w:rsidRPr="00F92C68">
        <w:rPr>
          <w:rFonts w:ascii="Calibri" w:eastAsia="宋体" w:hAnsi="Calibri" w:cs="Calibri"/>
          <w:i/>
          <w:iCs/>
          <w:color w:val="FF0000"/>
          <w:sz w:val="24"/>
          <w14:ligatures w14:val="none"/>
        </w:rPr>
        <w:t>p</w:t>
      </w:r>
      <w:r w:rsidRPr="00F92C68">
        <w:rPr>
          <w:rFonts w:ascii="Calibri" w:eastAsia="宋体" w:hAnsi="Calibri" w:cs="Calibri"/>
          <w:color w:val="FF0000"/>
          <w:sz w:val="24"/>
          <w14:ligatures w14:val="none"/>
        </w:rPr>
        <w:t xml:space="preserve"> &lt; 0.05) and showed the lowest relative tumor growth rate among all groups (</w:t>
      </w:r>
      <w:r w:rsidRPr="00F92C68">
        <w:rPr>
          <w:rFonts w:ascii="Calibri" w:eastAsia="宋体" w:hAnsi="Calibri" w:cs="Calibri"/>
          <w:i/>
          <w:iCs/>
          <w:color w:val="FF0000"/>
          <w:sz w:val="24"/>
          <w:vertAlign w:val="superscript"/>
          <w14:ligatures w14:val="none"/>
        </w:rPr>
        <w:t>**</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color w:val="FF0000"/>
          <w:sz w:val="24"/>
          <w14:ligatures w14:val="none"/>
        </w:rPr>
        <w:t xml:space="preserve"> &lt; 0.01 vs. solvent). The systemic pharmacokinetic parameters shown in Figure 5B–D were recalculated from the reported plasma concentration–time data. The GEM+CSE group exhibited significantly higher systemic exposure than GEM alone, as reflected by an increased AUC</w:t>
      </w:r>
      <w:r w:rsidRPr="00F92C68">
        <w:rPr>
          <w:rFonts w:ascii="Calibri" w:eastAsia="宋体" w:hAnsi="Calibri" w:cs="Calibri"/>
          <w:color w:val="FF0000"/>
          <w:sz w:val="24"/>
          <w:vertAlign w:val="subscript"/>
          <w14:ligatures w14:val="none"/>
        </w:rPr>
        <w:t>0–t</w:t>
      </w:r>
      <w:r w:rsidRPr="00F92C68">
        <w:rPr>
          <w:rFonts w:ascii="Calibri" w:eastAsia="宋体" w:hAnsi="Calibri" w:cs="Calibri"/>
          <w:color w:val="FF0000"/>
          <w:sz w:val="24"/>
          <w14:ligatures w14:val="none"/>
        </w:rPr>
        <w:t xml:space="preserve"> (Figure 5B, </w:t>
      </w:r>
      <w:r w:rsidRPr="00F92C68">
        <w:rPr>
          <w:rFonts w:ascii="Calibri" w:eastAsia="宋体" w:hAnsi="Calibri" w:cs="Calibri"/>
          <w:i/>
          <w:iCs/>
          <w:color w:val="FF0000"/>
          <w:sz w:val="24"/>
          <w:vertAlign w:val="superscript"/>
          <w14:ligatures w14:val="none"/>
        </w:rPr>
        <w:t>**</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color w:val="FF0000"/>
          <w:sz w:val="24"/>
          <w14:ligatures w14:val="none"/>
        </w:rPr>
        <w:t xml:space="preserve"> &lt; 0.01). Consistently, the maximum plasma concentration (</w:t>
      </w:r>
      <w:proofErr w:type="spellStart"/>
      <w:r w:rsidRPr="00F92C68">
        <w:rPr>
          <w:rFonts w:ascii="Calibri" w:eastAsia="宋体" w:hAnsi="Calibri" w:cs="Calibri"/>
          <w:color w:val="FF0000"/>
          <w:sz w:val="24"/>
          <w14:ligatures w14:val="none"/>
        </w:rPr>
        <w:t>C</w:t>
      </w:r>
      <w:r w:rsidRPr="00F92C68">
        <w:rPr>
          <w:rFonts w:ascii="Calibri" w:eastAsia="宋体" w:hAnsi="Calibri" w:cs="Calibri"/>
          <w:color w:val="FF0000"/>
          <w:sz w:val="24"/>
          <w:vertAlign w:val="subscript"/>
          <w14:ligatures w14:val="none"/>
        </w:rPr>
        <w:t>max</w:t>
      </w:r>
      <w:proofErr w:type="spellEnd"/>
      <w:r w:rsidRPr="00F92C68">
        <w:rPr>
          <w:rFonts w:ascii="Calibri" w:eastAsia="宋体" w:hAnsi="Calibri" w:cs="Calibri"/>
          <w:color w:val="FF0000"/>
          <w:sz w:val="24"/>
          <w14:ligatures w14:val="none"/>
        </w:rPr>
        <w:t xml:space="preserve">) was also elevated in the GEM+CSE group compared with GEM monotherapy (Figure 5C, </w:t>
      </w:r>
      <w:r w:rsidRPr="00F92C68">
        <w:rPr>
          <w:rFonts w:ascii="Calibri" w:eastAsia="宋体" w:hAnsi="Calibri" w:cs="Calibri" w:hint="eastAsia"/>
          <w:i/>
          <w:iCs/>
          <w:color w:val="FF0000"/>
          <w:sz w:val="24"/>
          <w:vertAlign w:val="superscript"/>
          <w14:ligatures w14:val="none"/>
        </w:rPr>
        <w:t>*</w:t>
      </w:r>
      <w:r w:rsidRPr="00F92C68">
        <w:rPr>
          <w:rFonts w:ascii="Calibri" w:eastAsia="宋体" w:hAnsi="Calibri" w:cs="Calibri"/>
          <w:i/>
          <w:iCs/>
          <w:color w:val="FF0000"/>
          <w:sz w:val="24"/>
          <w:vertAlign w:val="superscript"/>
          <w14:ligatures w14:val="none"/>
        </w:rPr>
        <w:t>*</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i/>
          <w:iCs/>
          <w:color w:val="FF0000"/>
          <w:sz w:val="24"/>
          <w14:ligatures w14:val="none"/>
        </w:rPr>
        <w:t xml:space="preserve"> </w:t>
      </w:r>
      <w:r w:rsidRPr="00F92C68">
        <w:rPr>
          <w:rFonts w:ascii="Calibri" w:eastAsia="宋体" w:hAnsi="Calibri" w:cs="Calibri"/>
          <w:color w:val="FF0000"/>
          <w:sz w:val="24"/>
          <w14:ligatures w14:val="none"/>
        </w:rPr>
        <w:t>&lt; 0.01). In addition, the elimination half-life (T</w:t>
      </w:r>
      <w:r w:rsidRPr="00F92C68">
        <w:rPr>
          <w:rFonts w:ascii="Calibri" w:eastAsia="宋体" w:hAnsi="Calibri" w:cs="Calibri"/>
          <w:color w:val="FF0000"/>
          <w:sz w:val="24"/>
          <w:vertAlign w:val="subscript"/>
          <w14:ligatures w14:val="none"/>
        </w:rPr>
        <w:t>1/2</w:t>
      </w:r>
      <w:r w:rsidRPr="00F92C68">
        <w:rPr>
          <w:rFonts w:ascii="Calibri" w:eastAsia="宋体" w:hAnsi="Calibri" w:cs="Calibri"/>
          <w:color w:val="FF0000"/>
          <w:sz w:val="24"/>
          <w14:ligatures w14:val="none"/>
        </w:rPr>
        <w:t>) was prolonged in the GEM+CSE group relative to the GEM group (Figure 5D,</w:t>
      </w:r>
      <w:r w:rsidRPr="00F92C68">
        <w:rPr>
          <w:rFonts w:ascii="Calibri" w:eastAsia="宋体" w:hAnsi="Calibri" w:cs="Calibri" w:hint="eastAsia"/>
          <w:color w:val="FF0000"/>
          <w:sz w:val="24"/>
          <w14:ligatures w14:val="none"/>
        </w:rPr>
        <w:t xml:space="preserve"> </w:t>
      </w:r>
      <w:r w:rsidRPr="00F92C68">
        <w:rPr>
          <w:rFonts w:ascii="Calibri" w:eastAsia="宋体" w:hAnsi="Calibri" w:cs="Calibri" w:hint="eastAsia"/>
          <w:i/>
          <w:iCs/>
          <w:color w:val="FF0000"/>
          <w:sz w:val="24"/>
          <w:vertAlign w:val="superscript"/>
          <w14:ligatures w14:val="none"/>
        </w:rPr>
        <w:t>*</w:t>
      </w:r>
      <w:proofErr w:type="spellStart"/>
      <w:r w:rsidRPr="00F92C68">
        <w:rPr>
          <w:rFonts w:ascii="Calibri" w:eastAsia="宋体" w:hAnsi="Calibri" w:cs="Calibri"/>
          <w:i/>
          <w:iCs/>
          <w:color w:val="FF0000"/>
          <w:sz w:val="24"/>
          <w14:ligatures w14:val="none"/>
        </w:rPr>
        <w:t>p</w:t>
      </w:r>
      <w:r w:rsidRPr="00F92C68">
        <w:rPr>
          <w:rFonts w:ascii="Calibri" w:eastAsia="宋体" w:hAnsi="Calibri" w:cs="Calibri"/>
          <w:i/>
          <w:iCs/>
          <w:color w:val="FF0000"/>
          <w:sz w:val="24"/>
          <w:vertAlign w:val="subscript"/>
          <w14:ligatures w14:val="none"/>
        </w:rPr>
        <w:t>adj</w:t>
      </w:r>
      <w:proofErr w:type="spellEnd"/>
      <w:r w:rsidRPr="00F92C68">
        <w:rPr>
          <w:rFonts w:ascii="Calibri" w:eastAsia="宋体" w:hAnsi="Calibri" w:cs="Calibri"/>
          <w:i/>
          <w:iCs/>
          <w:color w:val="FF0000"/>
          <w:sz w:val="24"/>
          <w14:ligatures w14:val="none"/>
        </w:rPr>
        <w:t xml:space="preserve"> </w:t>
      </w:r>
      <w:r w:rsidRPr="00F92C68">
        <w:rPr>
          <w:rFonts w:ascii="Calibri" w:eastAsia="宋体" w:hAnsi="Calibri" w:cs="Calibri"/>
          <w:color w:val="FF0000"/>
          <w:sz w:val="24"/>
          <w14:ligatures w14:val="none"/>
        </w:rPr>
        <w:t>&lt; 0.05).</w:t>
      </w:r>
      <w:r>
        <w:rPr>
          <w:rFonts w:ascii="Calibri" w:eastAsia="宋体" w:hAnsi="Calibri" w:cs="Calibri" w:hint="eastAsia"/>
          <w:color w:val="FF0000"/>
          <w:sz w:val="24"/>
          <w14:ligatures w14:val="none"/>
        </w:rPr>
        <w:t xml:space="preserve"> </w:t>
      </w:r>
      <w:r w:rsidR="003B6217">
        <w:rPr>
          <w:rFonts w:ascii="Calibri" w:eastAsia="宋体" w:hAnsi="Calibri" w:cs="Calibri"/>
          <w:color w:val="FF0000"/>
          <w:sz w:val="24"/>
          <w14:ligatures w14:val="none"/>
        </w:rPr>
        <w:t xml:space="preserve">These parameters were presented as source-derived systemic PK parameters and were distinguished from the intracellular GEM and </w:t>
      </w:r>
      <w:proofErr w:type="spellStart"/>
      <w:r w:rsidR="003B6217">
        <w:rPr>
          <w:rFonts w:ascii="Calibri" w:eastAsia="宋体" w:hAnsi="Calibri" w:cs="Calibri"/>
          <w:color w:val="FF0000"/>
          <w:sz w:val="24"/>
          <w14:ligatures w14:val="none"/>
        </w:rPr>
        <w:t>dFdU</w:t>
      </w:r>
      <w:proofErr w:type="spellEnd"/>
      <w:r w:rsidR="003B6217">
        <w:rPr>
          <w:rFonts w:ascii="Calibri" w:eastAsia="宋体" w:hAnsi="Calibri" w:cs="Calibri"/>
          <w:color w:val="FF0000"/>
          <w:sz w:val="24"/>
          <w14:ligatures w14:val="none"/>
        </w:rPr>
        <w:t xml:space="preserve"> concentrations quantified by the LC-MS/MS assay described in the</w:t>
      </w:r>
      <w:r w:rsidR="003B6217">
        <w:rPr>
          <w:rFonts w:ascii="Calibri" w:eastAsia="宋体" w:hAnsi="Calibri" w:cs="Calibri"/>
          <w:i/>
          <w:iCs/>
          <w:color w:val="FF0000"/>
          <w:sz w:val="24"/>
          <w14:ligatures w14:val="none"/>
        </w:rPr>
        <w:t xml:space="preserve"> in vitro</w:t>
      </w:r>
      <w:r w:rsidR="003B6217">
        <w:rPr>
          <w:rFonts w:ascii="Calibri" w:eastAsia="宋体" w:hAnsi="Calibri" w:cs="Calibri"/>
          <w:color w:val="FF0000"/>
          <w:sz w:val="24"/>
          <w14:ligatures w14:val="none"/>
        </w:rPr>
        <w:t xml:space="preserve"> workflow.</w:t>
      </w:r>
    </w:p>
    <w:p w14:paraId="013833EE" w14:textId="77777777" w:rsidR="00BE1D3D" w:rsidRDefault="00000000">
      <w:pPr>
        <w:widowControl/>
        <w:spacing w:after="0" w:line="240" w:lineRule="auto"/>
        <w:rPr>
          <w:rFonts w:ascii="Calibri" w:eastAsia="宋体" w:hAnsi="Calibri" w:cs="Calibri"/>
          <w:color w:val="FF0000"/>
          <w:sz w:val="24"/>
          <w14:ligatures w14:val="none"/>
        </w:rPr>
      </w:pPr>
      <w:r>
        <w:rPr>
          <w:rFonts w:ascii="Calibri" w:eastAsia="宋体" w:hAnsi="Calibri" w:cs="Calibri"/>
          <w:color w:val="FF0000"/>
          <w:sz w:val="24"/>
          <w14:ligatures w14:val="none"/>
        </w:rPr>
        <w:lastRenderedPageBreak/>
        <w:t>The two-step mapping analysis was used to examine the relationships among intracellular drug exposure, BLI-derived response metrics, and antitumor efficacy</w:t>
      </w:r>
      <w:r>
        <w:rPr>
          <w:rFonts w:ascii="Calibri" w:eastAsia="宋体" w:hAnsi="Calibri" w:cs="Calibri" w:hint="eastAsia"/>
          <w:color w:val="FF0000"/>
          <w:sz w:val="24"/>
          <w14:ligatures w14:val="none"/>
        </w:rPr>
        <w:t>.</w:t>
      </w:r>
    </w:p>
    <w:p w14:paraId="642CEF6D" w14:textId="4A4494B3" w:rsidR="00BE1D3D" w:rsidRPr="00EB23A1" w:rsidRDefault="005F4011">
      <w:pPr>
        <w:widowControl/>
        <w:spacing w:after="0" w:line="240" w:lineRule="auto"/>
        <w:rPr>
          <w:rFonts w:ascii="Calibri" w:eastAsia="宋体" w:hAnsi="Calibri" w:cs="Calibri"/>
          <w:color w:val="FF0000"/>
          <w:sz w:val="24"/>
          <w14:ligatures w14:val="none"/>
        </w:rPr>
      </w:pPr>
      <w:r w:rsidRPr="00EB23A1">
        <w:rPr>
          <w:rFonts w:ascii="Calibri" w:eastAsia="宋体" w:hAnsi="Calibri" w:cs="Calibri"/>
          <w:color w:val="FF0000"/>
          <w:sz w:val="24"/>
          <w14:ligatures w14:val="none"/>
        </w:rPr>
        <w:t xml:space="preserve">A strong positive correlation was observed between </w:t>
      </w:r>
      <w:r w:rsidRPr="008567A7">
        <w:rPr>
          <w:rFonts w:ascii="Calibri" w:eastAsia="宋体" w:hAnsi="Calibri" w:cs="Calibri"/>
          <w:i/>
          <w:iCs/>
          <w:color w:val="FF0000"/>
          <w:sz w:val="24"/>
          <w14:ligatures w14:val="none"/>
        </w:rPr>
        <w:t>in vitro</w:t>
      </w:r>
      <w:r w:rsidRPr="00EB23A1">
        <w:rPr>
          <w:rFonts w:ascii="Calibri" w:eastAsia="宋体" w:hAnsi="Calibri" w:cs="Calibri"/>
          <w:color w:val="FF0000"/>
          <w:sz w:val="24"/>
          <w14:ligatures w14:val="none"/>
        </w:rPr>
        <w:t xml:space="preserve"> IC50 values and </w:t>
      </w:r>
      <w:proofErr w:type="spellStart"/>
      <w:r w:rsidRPr="00EB23A1">
        <w:rPr>
          <w:rFonts w:ascii="Calibri" w:eastAsia="宋体" w:hAnsi="Calibri" w:cs="Calibri"/>
          <w:color w:val="FF0000"/>
          <w:sz w:val="24"/>
          <w14:ligatures w14:val="none"/>
        </w:rPr>
        <w:t>AUCvitro</w:t>
      </w:r>
      <w:proofErr w:type="spellEnd"/>
      <w:r w:rsidRPr="00EB23A1">
        <w:rPr>
          <w:rFonts w:ascii="Calibri" w:eastAsia="宋体" w:hAnsi="Calibri" w:cs="Calibri"/>
          <w:color w:val="FF0000"/>
          <w:sz w:val="24"/>
          <w14:ligatures w14:val="none"/>
        </w:rPr>
        <w:t xml:space="preserve"> (Figure 6A), with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&lt; 0.01 in all three treatment groups. In Figure 6B, </w:t>
      </w:r>
      <w:proofErr w:type="spellStart"/>
      <w:r w:rsidRPr="00EB23A1">
        <w:rPr>
          <w:rFonts w:ascii="Calibri" w:eastAsia="宋体" w:hAnsi="Calibri" w:cs="Calibri"/>
          <w:color w:val="FF0000"/>
          <w:sz w:val="24"/>
          <w14:ligatures w14:val="none"/>
        </w:rPr>
        <w:t>AUCvivo</w:t>
      </w:r>
      <w:proofErr w:type="spellEnd"/>
      <w:r w:rsidRPr="00EB23A1">
        <w:rPr>
          <w:rFonts w:ascii="Calibri" w:eastAsia="宋体" w:hAnsi="Calibri" w:cs="Calibri"/>
          <w:color w:val="FF0000"/>
          <w:sz w:val="24"/>
          <w14:ligatures w14:val="none"/>
        </w:rPr>
        <w:t xml:space="preserve"> showed significant associations with TGI in the GEM and CSE groups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&lt; 0.05), whereas the association in the GEM+CSE group did not reach statistical significance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&gt; 0.05). In addition, significant correlations were observed between </w:t>
      </w:r>
      <w:r w:rsidRPr="008567A7">
        <w:rPr>
          <w:rFonts w:ascii="Calibri" w:eastAsia="宋体" w:hAnsi="Calibri" w:cs="Calibri"/>
          <w:i/>
          <w:iCs/>
          <w:color w:val="FF0000"/>
          <w:sz w:val="24"/>
          <w14:ligatures w14:val="none"/>
        </w:rPr>
        <w:t>in vitro</w:t>
      </w:r>
      <w:r w:rsidRPr="00EB23A1">
        <w:rPr>
          <w:rFonts w:ascii="Calibri" w:eastAsia="宋体" w:hAnsi="Calibri" w:cs="Calibri"/>
          <w:color w:val="FF0000"/>
          <w:sz w:val="24"/>
          <w14:ligatures w14:val="none"/>
        </w:rPr>
        <w:t xml:space="preserve"> and in vivo </w:t>
      </w:r>
      <w:proofErr w:type="spellStart"/>
      <w:r w:rsidRPr="00EB23A1">
        <w:rPr>
          <w:rFonts w:ascii="Calibri" w:eastAsia="宋体" w:hAnsi="Calibri" w:cs="Calibri"/>
          <w:color w:val="FF0000"/>
          <w:sz w:val="24"/>
          <w14:ligatures w14:val="none"/>
        </w:rPr>
        <w:t>AUCluc</w:t>
      </w:r>
      <w:proofErr w:type="spellEnd"/>
      <w:r w:rsidRPr="00EB23A1">
        <w:rPr>
          <w:rFonts w:ascii="Calibri" w:eastAsia="宋体" w:hAnsi="Calibri" w:cs="Calibri"/>
          <w:color w:val="FF0000"/>
          <w:sz w:val="24"/>
          <w14:ligatures w14:val="none"/>
        </w:rPr>
        <w:t xml:space="preserve"> (Figure 6C), with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&lt; 0.05 in the GEM group and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&lt; 0.01 in the CSE and GEM+CSE groups. Significant relationships were also identified between </w:t>
      </w:r>
      <w:proofErr w:type="gramStart"/>
      <w:r w:rsidRPr="00EB23A1">
        <w:rPr>
          <w:rFonts w:ascii="Calibri" w:eastAsia="宋体" w:hAnsi="Calibri" w:cs="Calibri"/>
          <w:color w:val="FF0000"/>
          <w:sz w:val="24"/>
          <w14:ligatures w14:val="none"/>
        </w:rPr>
        <w:t>ln(</w:t>
      </w:r>
      <w:proofErr w:type="gramEnd"/>
      <w:r w:rsidRPr="00EB23A1">
        <w:rPr>
          <w:rFonts w:ascii="Calibri" w:eastAsia="宋体" w:hAnsi="Calibri" w:cs="Calibri"/>
          <w:color w:val="FF0000"/>
          <w:sz w:val="24"/>
          <w14:ligatures w14:val="none"/>
        </w:rPr>
        <w:t xml:space="preserve">IC₅₀) and </w:t>
      </w:r>
      <w:proofErr w:type="gramStart"/>
      <w:r w:rsidRPr="00EB23A1">
        <w:rPr>
          <w:rFonts w:ascii="Calibri" w:eastAsia="宋体" w:hAnsi="Calibri" w:cs="Calibri"/>
          <w:color w:val="FF0000"/>
          <w:sz w:val="24"/>
          <w14:ligatures w14:val="none"/>
        </w:rPr>
        <w:t>ln(</w:t>
      </w:r>
      <w:proofErr w:type="gramEnd"/>
      <w:r w:rsidRPr="00EB23A1">
        <w:rPr>
          <w:rFonts w:ascii="Calibri" w:eastAsia="宋体" w:hAnsi="Calibri" w:cs="Calibri"/>
          <w:color w:val="FF0000"/>
          <w:sz w:val="24"/>
          <w14:ligatures w14:val="none"/>
        </w:rPr>
        <w:t xml:space="preserve">TGI) in all three treatment groups (Figure 6D; </w:t>
      </w:r>
      <w:proofErr w:type="spellStart"/>
      <w:r w:rsidRPr="00EB23A1">
        <w:rPr>
          <w:rFonts w:ascii="Calibri" w:eastAsia="宋体" w:hAnsi="Calibri" w:cs="Calibri"/>
          <w:color w:val="FF0000"/>
          <w:sz w:val="24"/>
          <w14:ligatures w14:val="none"/>
        </w:rPr>
        <w:t>padj</w:t>
      </w:r>
      <w:proofErr w:type="spellEnd"/>
      <w:r w:rsidRPr="00EB23A1">
        <w:rPr>
          <w:rFonts w:ascii="Calibri" w:eastAsia="宋体" w:hAnsi="Calibri" w:cs="Calibri"/>
          <w:color w:val="FF0000"/>
          <w:sz w:val="24"/>
          <w14:ligatures w14:val="none"/>
        </w:rPr>
        <w:t xml:space="preserve"> &lt; 0.01). Together, these results describe exploratory exposure–response associations linking intracellular drug exposure, imaging-derived pharmacodynamic signals, and antitumor efficacy.</w:t>
      </w:r>
    </w:p>
    <w:p w14:paraId="2AEA0AC2" w14:textId="77777777" w:rsidR="00BE1D3D" w:rsidRDefault="00BE1D3D">
      <w:pPr>
        <w:widowControl/>
        <w:spacing w:after="0" w:line="240" w:lineRule="auto"/>
        <w:rPr>
          <w:rFonts w:ascii="Calibri" w:eastAsia="宋体" w:hAnsi="Calibri" w:cs="Calibri"/>
          <w:sz w:val="24"/>
          <w14:ligatures w14:val="none"/>
        </w:rPr>
      </w:pPr>
    </w:p>
    <w:p w14:paraId="6FAB7177" w14:textId="77777777" w:rsidR="00BE1D3D" w:rsidRDefault="00000000">
      <w:pPr>
        <w:widowControl/>
        <w:spacing w:after="0" w:line="240" w:lineRule="auto"/>
        <w:rPr>
          <w:rFonts w:ascii="Calibri" w:eastAsia="宋体" w:hAnsi="Calibri" w:cs="Calibri"/>
          <w:b/>
          <w:bCs/>
          <w:sz w:val="24"/>
          <w14:ligatures w14:val="none"/>
        </w:rPr>
      </w:pPr>
      <w:r>
        <w:rPr>
          <w:rFonts w:ascii="Calibri" w:eastAsia="宋体" w:hAnsi="Calibri" w:cs="Calibri" w:hint="eastAsia"/>
          <w:b/>
          <w:bCs/>
          <w:sz w:val="24"/>
          <w14:ligatures w14:val="none"/>
        </w:rPr>
        <w:t xml:space="preserve">5. Interpretation of successful and suboptimal outcomes of the </w:t>
      </w:r>
      <w:r>
        <w:rPr>
          <w:rFonts w:ascii="Calibri" w:eastAsia="宋体" w:hAnsi="Calibri" w:cs="Calibri"/>
          <w:b/>
          <w:bCs/>
          <w:sz w:val="24"/>
          <w14:ligatures w14:val="none"/>
        </w:rPr>
        <w:t>integrated LC-MS/MS-BLI</w:t>
      </w:r>
      <w:r>
        <w:rPr>
          <w:rFonts w:ascii="Calibri" w:eastAsia="宋体" w:hAnsi="Calibri" w:cs="Calibri" w:hint="eastAsia"/>
          <w:sz w:val="24"/>
          <w14:ligatures w14:val="none"/>
        </w:rPr>
        <w:t xml:space="preserve"> </w:t>
      </w:r>
      <w:r>
        <w:rPr>
          <w:rFonts w:ascii="Calibri" w:eastAsia="宋体" w:hAnsi="Calibri" w:cs="Calibri" w:hint="eastAsia"/>
          <w:b/>
          <w:bCs/>
          <w:sz w:val="24"/>
          <w14:ligatures w14:val="none"/>
        </w:rPr>
        <w:t>analysis model</w:t>
      </w:r>
    </w:p>
    <w:p w14:paraId="1F2CDCE4" w14:textId="6AA09DAB"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Successful execution of the protocol can be recognized by several key features: clean chromatograms, acceptable assay validation metrics, reproducible intracellular concentration</w:t>
      </w:r>
      <w:r w:rsidR="00F171B5" w:rsidRPr="00F171B5">
        <w:rPr>
          <w:rFonts w:ascii="Calibri" w:eastAsia="宋体" w:hAnsi="Calibri" w:cs="Calibri"/>
          <w:color w:val="EE0000"/>
          <w:sz w:val="24"/>
          <w14:ligatures w14:val="none"/>
        </w:rPr>
        <w:t>–</w:t>
      </w:r>
      <w:r>
        <w:rPr>
          <w:rFonts w:ascii="Calibri" w:eastAsia="宋体" w:hAnsi="Calibri" w:cs="Calibri" w:hint="eastAsia"/>
          <w:sz w:val="24"/>
          <w14:ligatures w14:val="none"/>
        </w:rPr>
        <w:t>time profiles, consistent BLI acquisition settings across treatment groups, and coherent exposure</w:t>
      </w:r>
      <w:r w:rsidR="00F171B5" w:rsidRPr="00F171B5">
        <w:rPr>
          <w:rFonts w:ascii="Calibri" w:eastAsia="宋体" w:hAnsi="Calibri" w:cs="Calibri"/>
          <w:color w:val="EE0000"/>
          <w:sz w:val="24"/>
          <w14:ligatures w14:val="none"/>
        </w:rPr>
        <w:t>–</w:t>
      </w:r>
      <w:r>
        <w:rPr>
          <w:rFonts w:ascii="Calibri" w:eastAsia="宋体" w:hAnsi="Calibri" w:cs="Calibri" w:hint="eastAsia"/>
          <w:sz w:val="24"/>
          <w14:ligatures w14:val="none"/>
        </w:rPr>
        <w:t>response relationships across both</w:t>
      </w:r>
      <w:r>
        <w:rPr>
          <w:rFonts w:ascii="Calibri" w:eastAsia="宋体" w:hAnsi="Calibri" w:cs="Calibri" w:hint="eastAsia"/>
          <w:i/>
          <w:iCs/>
          <w:sz w:val="24"/>
          <w14:ligatures w14:val="none"/>
        </w:rPr>
        <w:t xml:space="preserve"> </w:t>
      </w:r>
      <w:r>
        <w:rPr>
          <w:rFonts w:ascii="Calibri" w:eastAsia="宋体" w:hAnsi="Calibri" w:cs="Calibri" w:hint="eastAsia"/>
          <w:i/>
          <w:iCs/>
          <w:color w:val="FF0000"/>
          <w:sz w:val="24"/>
          <w14:ligatures w14:val="none"/>
        </w:rPr>
        <w:t>in vitro</w:t>
      </w:r>
      <w:r>
        <w:rPr>
          <w:rFonts w:ascii="Calibri" w:eastAsia="宋体" w:hAnsi="Calibri" w:cs="Calibri" w:hint="eastAsia"/>
          <w:sz w:val="24"/>
          <w14:ligatures w14:val="none"/>
        </w:rPr>
        <w:t xml:space="preserve"> and </w:t>
      </w:r>
      <w:r>
        <w:rPr>
          <w:rFonts w:ascii="Calibri" w:eastAsia="宋体" w:hAnsi="Calibri" w:cs="Calibri" w:hint="eastAsia"/>
          <w:i/>
          <w:iCs/>
          <w:color w:val="FF0000"/>
          <w:sz w:val="24"/>
          <w14:ligatures w14:val="none"/>
        </w:rPr>
        <w:t>in vivo</w:t>
      </w:r>
      <w:r>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datasets.</w:t>
      </w:r>
    </w:p>
    <w:p w14:paraId="1722D7A5" w14:textId="5E3C4FF5"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Suboptimal outcomes may present as noisy chromatograms, inconsistent ROI placement, signal saturation, implausible treatment-group ordering, or poor regression fits in exposure</w:t>
      </w:r>
      <w:r w:rsidR="00F171B5" w:rsidRPr="00F171B5">
        <w:rPr>
          <w:rFonts w:ascii="Calibri" w:eastAsia="宋体" w:hAnsi="Calibri" w:cs="Calibri"/>
          <w:color w:val="EE0000"/>
          <w:sz w:val="24"/>
          <w14:ligatures w14:val="none"/>
        </w:rPr>
        <w:t>–</w:t>
      </w:r>
      <w:r>
        <w:rPr>
          <w:rFonts w:ascii="Calibri" w:eastAsia="宋体" w:hAnsi="Calibri" w:cs="Calibri" w:hint="eastAsia"/>
          <w:sz w:val="24"/>
          <w14:ligatures w14:val="none"/>
        </w:rPr>
        <w:t>response analyses. To facilitate method adoption, these representative patterns should be illustrated in the revised figure set or supplementary materials, allowing new users to distinguish genuine biological uncoupling from technical artifacts.</w:t>
      </w:r>
    </w:p>
    <w:p w14:paraId="2EB78CFD" w14:textId="77777777" w:rsidR="00BE1D3D" w:rsidRDefault="00000000">
      <w:pPr>
        <w:widowControl/>
        <w:spacing w:after="0" w:line="240" w:lineRule="auto"/>
        <w:rPr>
          <w:rFonts w:ascii="Calibri" w:eastAsia="宋体" w:hAnsi="Calibri" w:cs="Calibri"/>
          <w:sz w:val="24"/>
          <w14:ligatures w14:val="none"/>
        </w:rPr>
      </w:pPr>
      <w:r>
        <w:rPr>
          <w:rFonts w:ascii="Calibri" w:eastAsia="宋体" w:hAnsi="Calibri" w:cs="Calibri" w:hint="eastAsia"/>
          <w:sz w:val="24"/>
          <w14:ligatures w14:val="none"/>
        </w:rPr>
        <w:t>A detailed troubleshooting guide addressing common analytical and imaging issues is provided in Table 2.</w:t>
      </w:r>
    </w:p>
    <w:p w14:paraId="52A89AA7" w14:textId="77777777" w:rsidR="00BE1D3D" w:rsidRDefault="00BE1D3D">
      <w:pPr>
        <w:widowControl/>
        <w:spacing w:after="0" w:line="240" w:lineRule="auto"/>
        <w:rPr>
          <w:rFonts w:ascii="Calibri" w:hAnsi="Calibri" w:cs="Calibri"/>
          <w:kern w:val="0"/>
          <w:sz w:val="24"/>
          <w14:ligatures w14:val="none"/>
        </w:rPr>
      </w:pPr>
    </w:p>
    <w:p w14:paraId="2941E338"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bookmarkStart w:id="1" w:name="OLE_LINK1"/>
      <w:r>
        <w:rPr>
          <w:rFonts w:ascii="Calibri" w:eastAsia="宋体" w:hAnsi="Calibri" w:cs="Calibri" w:hint="eastAsia"/>
          <w:b/>
          <w:bCs/>
          <w:sz w:val="28"/>
          <w:szCs w:val="28"/>
          <w14:ligatures w14:val="none"/>
        </w:rPr>
        <w:t>Discussion</w:t>
      </w:r>
    </w:p>
    <w:p w14:paraId="5FB69A0F" w14:textId="5987B6E2"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Several experimental steps are critical for the successful implementation of the integrated LC-MS/MS-BLI workflow. First, rapid quenching of intracellular metabolism during sample collection is essential for accurate quantification of intracellular gemcitabine. As specified in the protocol, washing the cells with ice-cold phosphate-buffered saline must be completed within 30 s to minimize post-sampling drug efflux and metabolic degradation. Delays at this step may lead to substantial underestimation of intracellular drug exposure. Second, consistent normalization of BLI signals is required to ensure comparability across experimental groups.</w:t>
      </w:r>
      <w:r>
        <w:rPr>
          <w:rFonts w:hint="eastAsia"/>
        </w:rPr>
        <w:t xml:space="preserve"> </w:t>
      </w:r>
      <w:r>
        <w:rPr>
          <w:rFonts w:ascii="Calibri" w:eastAsia="宋体" w:hAnsi="Calibri" w:cs="Calibri" w:hint="eastAsia"/>
          <w:sz w:val="24"/>
          <w14:ligatures w14:val="none"/>
        </w:rPr>
        <w:t>Because photon flux is directly proportional to the number of viable luciferase-expressing cells, bioluminescence imaging provides a sensitive indicator of tumor cell viability and treatment response, making proper normalization essential for accurate comparisons between experimental groups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_Ref225697841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7</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w:t>
      </w:r>
      <w:r w:rsidRPr="003E271E">
        <w:rPr>
          <w:rFonts w:ascii="Calibri" w:eastAsia="宋体" w:hAnsi="Calibri" w:cs="Calibri" w:hint="eastAsia"/>
          <w:color w:val="FF0000"/>
          <w:sz w:val="24"/>
          <w14:ligatures w14:val="none"/>
        </w:rPr>
        <w:t xml:space="preserve"> </w:t>
      </w:r>
      <w:r w:rsidR="005C0986" w:rsidRPr="003E271E">
        <w:rPr>
          <w:rFonts w:ascii="Calibri" w:eastAsia="宋体" w:hAnsi="Calibri" w:cs="Calibri"/>
          <w:color w:val="FF0000"/>
          <w:sz w:val="24"/>
          <w14:ligatures w14:val="none"/>
        </w:rPr>
        <w:t xml:space="preserve">Gemcitabine and CSE treatment may alter cellular ATP levels and thereby influence ATP-dependent luciferase activity. Because ATP levels may themselves be affected by the treatments under investigation, ATP-based normalization could introduce treatment-related bias into the normalization process. Therefore, total protein content was used for BLI normalization in the present workflow to facilitate comparison of treatment effects across the tumor-cell population while avoiding the use of treatment-sensitive ATP </w:t>
      </w:r>
      <w:r w:rsidR="005C0986" w:rsidRPr="003E271E">
        <w:rPr>
          <w:rFonts w:ascii="Calibri" w:eastAsia="宋体" w:hAnsi="Calibri" w:cs="Calibri"/>
          <w:color w:val="FF0000"/>
          <w:sz w:val="24"/>
          <w14:ligatures w14:val="none"/>
        </w:rPr>
        <w:lastRenderedPageBreak/>
        <w:t xml:space="preserve">levels as the normalization denominator. </w:t>
      </w:r>
      <w:r>
        <w:rPr>
          <w:rFonts w:ascii="Calibri" w:eastAsia="宋体" w:hAnsi="Calibri" w:cs="Calibri"/>
          <w:color w:val="FF0000"/>
          <w:sz w:val="24"/>
          <w14:ligatures w14:val="none"/>
        </w:rPr>
        <w:t>Consistent with previous findings, CSE alone produced a distinct BLI response in pancreatic cancer cells, supporting its inclusion as an independent treatment group for distinguishing CSE-associated effects from the combined effects of CSE and gemcitabine</w:t>
      </w:r>
      <w:r>
        <w:rPr>
          <w:rFonts w:ascii="Calibri" w:eastAsia="宋体" w:hAnsi="Calibri" w:cs="Calibri"/>
          <w:color w:val="FF0000"/>
          <w:sz w:val="24"/>
          <w:vertAlign w:val="superscript"/>
          <w14:ligatures w14:val="none"/>
        </w:rPr>
        <w:fldChar w:fldCharType="begin"/>
      </w:r>
      <w:r>
        <w:rPr>
          <w:rFonts w:ascii="Calibri" w:eastAsia="宋体" w:hAnsi="Calibri" w:cs="Calibri"/>
          <w:color w:val="FF0000"/>
          <w:sz w:val="24"/>
          <w:vertAlign w:val="superscript"/>
          <w14:ligatures w14:val="none"/>
        </w:rPr>
        <w:instrText xml:space="preserve"> REF _Ref238621180 \r \h  \* MERGEFORMAT </w:instrText>
      </w:r>
      <w:r>
        <w:rPr>
          <w:rFonts w:ascii="Calibri" w:eastAsia="宋体" w:hAnsi="Calibri" w:cs="Calibri"/>
          <w:color w:val="FF0000"/>
          <w:sz w:val="24"/>
          <w:vertAlign w:val="superscript"/>
          <w14:ligatures w14:val="none"/>
        </w:rPr>
      </w:r>
      <w:r>
        <w:rPr>
          <w:rFonts w:ascii="Calibri" w:eastAsia="宋体" w:hAnsi="Calibri" w:cs="Calibri"/>
          <w:color w:val="FF0000"/>
          <w:sz w:val="24"/>
          <w:vertAlign w:val="superscript"/>
          <w14:ligatures w14:val="none"/>
        </w:rPr>
        <w:fldChar w:fldCharType="separate"/>
      </w:r>
      <w:r>
        <w:rPr>
          <w:rFonts w:ascii="Calibri" w:eastAsia="宋体" w:hAnsi="Calibri" w:cs="Calibri"/>
          <w:color w:val="FF0000"/>
          <w:sz w:val="24"/>
          <w:vertAlign w:val="superscript"/>
          <w14:ligatures w14:val="none"/>
        </w:rPr>
        <w:t>8</w:t>
      </w:r>
      <w:r>
        <w:rPr>
          <w:rFonts w:ascii="Calibri" w:eastAsia="宋体" w:hAnsi="Calibri" w:cs="Calibri"/>
          <w:color w:val="FF0000"/>
          <w:sz w:val="24"/>
          <w:vertAlign w:val="superscript"/>
          <w14:ligatures w14:val="none"/>
        </w:rPr>
        <w:fldChar w:fldCharType="end"/>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Third, maintaining identical imaging parameters during BLI acquisition-including exposure time, binning, field of view, and f-stop-is essential to avoid artificial differences between treatment groups.</w:t>
      </w:r>
      <w:r>
        <w:rPr>
          <w:rFonts w:hint="eastAsia"/>
          <w:color w:val="FF0000"/>
        </w:rPr>
        <w:t xml:space="preserve"> </w:t>
      </w:r>
      <w:r>
        <w:rPr>
          <w:rFonts w:ascii="Calibri" w:eastAsia="宋体" w:hAnsi="Calibri" w:cs="Calibri"/>
          <w:color w:val="FF0000"/>
          <w:sz w:val="24"/>
          <w14:ligatures w14:val="none"/>
        </w:rPr>
        <w:t>Under consistent experimental conditions, these factors are expected to affect the overall luciferase-expressing tumor-cell populations in a broadly comparable manner across groups, supporting the use of normalized BLI signals as a functional readout for comparative assessment of treatment response.</w:t>
      </w:r>
      <w:r>
        <w:rPr>
          <w:rFonts w:ascii="Calibri" w:eastAsia="宋体" w:hAnsi="Calibri" w:cs="Calibri" w:hint="eastAsia"/>
          <w:sz w:val="24"/>
          <w14:ligatures w14:val="none"/>
        </w:rPr>
        <w:t xml:space="preserve"> Finally, matrix-matched calibration and consistent internal standard usage in LC-MS/MS analysis are crucial to ensure analytical accuracy and reproducibility when quantifying intracellular gemcitabine and its metabolite </w:t>
      </w:r>
      <w:proofErr w:type="spellStart"/>
      <w:r>
        <w:rPr>
          <w:rFonts w:ascii="Calibri" w:eastAsia="宋体" w:hAnsi="Calibri" w:cs="Calibri" w:hint="eastAsia"/>
          <w:sz w:val="24"/>
          <w14:ligatures w14:val="none"/>
        </w:rPr>
        <w:t>dFdU</w:t>
      </w:r>
      <w:proofErr w:type="spellEnd"/>
      <w:r>
        <w:rPr>
          <w:rFonts w:ascii="Calibri" w:eastAsia="宋体" w:hAnsi="Calibri" w:cs="Calibri" w:hint="eastAsia"/>
          <w:sz w:val="24"/>
          <w14:ligatures w14:val="none"/>
        </w:rPr>
        <w:t>.</w:t>
      </w:r>
      <w:r>
        <w:rPr>
          <w:rFonts w:hint="eastAsia"/>
        </w:rPr>
        <w:t xml:space="preserve"> </w:t>
      </w:r>
      <w:r>
        <w:rPr>
          <w:rFonts w:ascii="Calibri" w:eastAsia="宋体" w:hAnsi="Calibri" w:cs="Calibri"/>
          <w:color w:val="FF0000"/>
          <w:sz w:val="24"/>
          <w14:ligatures w14:val="none"/>
        </w:rPr>
        <w:t xml:space="preserve">The analytical targets were selected according to the primary objective of characterizing intracellular gemcitabine disposition. Rather than comprehensively profiling all intracellular metabolites, the workflow simultaneously quantifies parent gemcitabine and its major inactive metabolite </w:t>
      </w:r>
      <w:proofErr w:type="spellStart"/>
      <w:r>
        <w:rPr>
          <w:rFonts w:ascii="Calibri" w:eastAsia="宋体" w:hAnsi="Calibri" w:cs="Calibri"/>
          <w:color w:val="FF0000"/>
          <w:sz w:val="24"/>
          <w14:ligatures w14:val="none"/>
        </w:rPr>
        <w:t>dFdU</w:t>
      </w:r>
      <w:proofErr w:type="spellEnd"/>
      <w:r>
        <w:rPr>
          <w:rFonts w:ascii="Calibri" w:eastAsia="宋体" w:hAnsi="Calibri" w:cs="Calibri"/>
          <w:color w:val="FF0000"/>
          <w:sz w:val="24"/>
          <w14:ligatures w14:val="none"/>
        </w:rPr>
        <w:t xml:space="preserve"> to characterize intracellular parent-drug retention and conversion toward the inactive metabolic pathway. This focused approach allows changes in intracellular gemcitabine exposure to be evaluated together with its metabolic conversion to </w:t>
      </w:r>
      <w:proofErr w:type="spellStart"/>
      <w:r>
        <w:rPr>
          <w:rFonts w:ascii="Calibri" w:eastAsia="宋体" w:hAnsi="Calibri" w:cs="Calibri"/>
          <w:color w:val="FF0000"/>
          <w:sz w:val="24"/>
          <w14:ligatures w14:val="none"/>
        </w:rPr>
        <w:t>dFdU</w:t>
      </w:r>
      <w:proofErr w:type="spellEnd"/>
      <w:r>
        <w:rPr>
          <w:rFonts w:ascii="Calibri" w:eastAsia="宋体" w:hAnsi="Calibri" w:cs="Calibri"/>
          <w:color w:val="FF0000"/>
          <w:sz w:val="24"/>
          <w14:ligatures w14:val="none"/>
        </w:rPr>
        <w:t>, thereby providing a practical analytical basis for subsequent pharmacodynamic interpretation.</w:t>
      </w:r>
      <w:r>
        <w:rPr>
          <w:rFonts w:ascii="Calibri" w:eastAsia="宋体" w:hAnsi="Calibri" w:cs="Calibri" w:hint="eastAsia"/>
          <w:sz w:val="24"/>
          <w14:ligatures w14:val="none"/>
        </w:rPr>
        <w:t xml:space="preserve"> Together, strict control of these critical steps ensures reliable coupling between intracellular pharmacokinetics and imaging-derived pharmacodynamic responses.</w:t>
      </w:r>
    </w:p>
    <w:p w14:paraId="7B410C8F" w14:textId="2531418E" w:rsidR="00BE1D3D"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color w:val="FF0000"/>
          <w:sz w:val="24"/>
          <w14:ligatures w14:val="none"/>
        </w:rPr>
        <w:t xml:space="preserve">The integrated LC-MS/MS-BLI workflow provides a structured approach for combining complementary measurements across different experimental levels. </w:t>
      </w:r>
      <w:r>
        <w:rPr>
          <w:rFonts w:ascii="Calibri" w:eastAsia="宋体" w:hAnsi="Calibri" w:cs="Calibri" w:hint="eastAsia"/>
          <w:sz w:val="24"/>
          <w14:ligatures w14:val="none"/>
        </w:rPr>
        <w:t xml:space="preserve"> Traditional LC-MS/MS assays typically quantify drug concentrations in plasma or tissue homogenates but do not directly reflect functional tumor responses. Conversely, cell viability assays such as MTS or ATP-based assays measure cytotoxic effects but provide limited information about intracellular drug exposure and metabolism. Tumor volume measurements in xenograft models offer a straightforward indicator of treatment efficacy but are relatively insensitive to early therapeutic responses and cannot capture dynamic changes in tumor cell viability. Increasing evidence indicates that intracellular drug concentrations are more closely associated with pharmacological activity than plasma levels in many therapeutic contexts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_Ref225697853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9</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xml:space="preserve">. </w:t>
      </w:r>
      <w:r>
        <w:rPr>
          <w:rFonts w:ascii="Calibri" w:eastAsia="宋体" w:hAnsi="Calibri" w:cs="Calibri"/>
          <w:color w:val="FF0000"/>
          <w:sz w:val="24"/>
          <w14:ligatures w14:val="none"/>
        </w:rPr>
        <w:t xml:space="preserve">By integrating intracellular LC-MS/MS quantification with longitudinal BLI measurements, the present workflow provides a framework for examining drug exposure and functional response across cellular and whole-animal experimental levels. </w:t>
      </w:r>
      <w:r w:rsidR="000B2B57" w:rsidRPr="00086F0F">
        <w:rPr>
          <w:rFonts w:ascii="Calibri" w:eastAsia="宋体" w:hAnsi="Calibri" w:cs="Calibri"/>
          <w:color w:val="FF0000"/>
          <w:sz w:val="24"/>
          <w14:ligatures w14:val="none"/>
        </w:rPr>
        <w:t>For longitudinal measurements, the use of a mixed-effects model accounts for within-subject correlation and provides an appropriate framework for evaluating treatment-related effects across repeated observations.</w:t>
      </w:r>
      <w:r w:rsidR="000B2B57">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Molecular imaging approaches have been increasingly recognized as valuable tools for linking pharmacokinetic measurements with pharmacodynamic responses during drug discovery and development</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_Ref225697866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10</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Furthermore, the LC-MS/MS component is highly modular, allowing for the quantification of additional therapeutic agents or metabolic byproducts through the refinement of chromatographic gradients and mass transitions.</w:t>
      </w:r>
      <w:r>
        <w:rPr>
          <w:rFonts w:hint="eastAsia"/>
          <w:color w:val="FF0000"/>
        </w:rPr>
        <w:t xml:space="preserve"> </w:t>
      </w:r>
      <w:r>
        <w:rPr>
          <w:rFonts w:ascii="Calibri" w:eastAsia="宋体" w:hAnsi="Calibri" w:cs="Calibri"/>
          <w:color w:val="FF0000"/>
          <w:sz w:val="24"/>
          <w14:ligatures w14:val="none"/>
        </w:rPr>
        <w:t xml:space="preserve">The contribution of the present workflow therefore lies primarily in the integration of established analytical and imaging approaches and their application within a common cross-system analytical framework, rather than in the development of either LC-MS/MS or BLI technology itself. </w:t>
      </w:r>
      <w:r>
        <w:rPr>
          <w:rFonts w:hint="eastAsia"/>
        </w:rPr>
        <w:t xml:space="preserve"> </w:t>
      </w:r>
      <w:r>
        <w:rPr>
          <w:rFonts w:ascii="Calibri" w:eastAsia="宋体" w:hAnsi="Calibri" w:cs="Calibri" w:hint="eastAsia"/>
          <w:sz w:val="24"/>
          <w14:ligatures w14:val="none"/>
        </w:rPr>
        <w:t xml:space="preserve">The approach is particularly suitable for evaluating chemosensitizers, transporter modulators, metabolic regulators, and combination therapies that alter intracellular drug exposure, </w:t>
      </w:r>
      <w:r>
        <w:rPr>
          <w:rFonts w:ascii="Calibri" w:eastAsia="宋体" w:hAnsi="Calibri" w:cs="Calibri" w:hint="eastAsia"/>
          <w:sz w:val="24"/>
          <w14:ligatures w14:val="none"/>
        </w:rPr>
        <w:lastRenderedPageBreak/>
        <w:t>including emerging molecular targets that influence chemotherapy resistance in pancreatic cancer</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_Ref225698020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11</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For example, 20(S)-ginsenoside Rh2 has been reported to overcome gemcitabine resistance by inhibiting ABC transporter-mediated drug efflux, thereby enhancing intracellular drug retention</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_Ref227701622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12</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w:t>
      </w:r>
      <w:r>
        <w:rPr>
          <w:rFonts w:hint="eastAsia"/>
        </w:rPr>
        <w:t xml:space="preserve"> </w:t>
      </w:r>
      <w:r>
        <w:rPr>
          <w:rFonts w:ascii="Calibri" w:eastAsia="宋体" w:hAnsi="Calibri" w:cs="Calibri" w:hint="eastAsia"/>
          <w:sz w:val="24"/>
          <w14:ligatures w14:val="none"/>
        </w:rPr>
        <w:t>This finding supports the utility of the present workflow in evaluating agents that modulate intracellular pharmacokinetics.</w:t>
      </w:r>
      <w:r w:rsidR="00F627BC" w:rsidRPr="003E271E">
        <w:rPr>
          <w:rFonts w:ascii="Calibri" w:eastAsia="宋体" w:hAnsi="Calibri" w:cs="Calibri" w:hint="eastAsia"/>
          <w:color w:val="FF0000"/>
          <w:sz w:val="24"/>
          <w14:ligatures w14:val="none"/>
        </w:rPr>
        <w:t xml:space="preserve"> </w:t>
      </w:r>
      <w:r w:rsidR="00F627BC" w:rsidRPr="003E271E">
        <w:rPr>
          <w:rFonts w:ascii="Calibri" w:eastAsia="宋体" w:hAnsi="Calibri" w:cs="Calibri"/>
          <w:color w:val="FF0000"/>
          <w:sz w:val="24"/>
          <w14:ligatures w14:val="none"/>
        </w:rPr>
        <w:t>In the present study, the enhanced antitumor activity of the GEM+CSE combination was accompanied by increased intracellular GEM accumulation compared with GEM monotherapy. This finding suggests that CSE may enhance GEM sensitivity, at least in part, by increasing intracellular GEM retention and exposure, thereby increasing the availability of GEM within tumor cells for its pharmacological action. The increased intracellular exposure provides a potential explanation for the enhanced treatment response observed with the combination. However, the specific molecular targets or signaling pathways responsible for the altered intracellular GEM disposition were not directly investigated in the present study. Therefore, the proposed mechanism should be interpreted as a potential exposure-related explanation rather than a definitively established molecular mechanism.</w:t>
      </w:r>
      <w:r w:rsidR="00F627BC" w:rsidRPr="003E271E">
        <w:rPr>
          <w:rFonts w:ascii="Calibri" w:eastAsia="宋体" w:hAnsi="Calibri" w:cs="Calibri" w:hint="eastAsia"/>
          <w:color w:val="FF0000"/>
          <w:sz w:val="24"/>
          <w14:ligatures w14:val="none"/>
        </w:rPr>
        <w:t xml:space="preserve"> </w:t>
      </w:r>
      <w:r w:rsidRPr="00086F0F">
        <w:rPr>
          <w:rFonts w:ascii="Calibri" w:eastAsia="宋体" w:hAnsi="Calibri" w:cs="Calibri"/>
          <w:color w:val="FF0000"/>
          <w:sz w:val="24"/>
          <w14:ligatures w14:val="none"/>
        </w:rPr>
        <w:t>The two-step</w:t>
      </w:r>
      <w:r>
        <w:rPr>
          <w:rFonts w:ascii="Calibri" w:eastAsia="宋体" w:hAnsi="Calibri" w:cs="Calibri"/>
          <w:color w:val="FF0000"/>
          <w:sz w:val="24"/>
          <w14:ligatures w14:val="none"/>
        </w:rPr>
        <w:t xml:space="preserve"> translational mapping component further extends the workflow beyond independent or parallel measurement of drug exposure and treatment response.</w:t>
      </w:r>
      <w:r w:rsidRPr="003E271E">
        <w:rPr>
          <w:rFonts w:ascii="Calibri" w:eastAsia="宋体" w:hAnsi="Calibri" w:cs="Calibri" w:hint="eastAsia"/>
          <w:color w:val="FF0000"/>
          <w:sz w:val="24"/>
          <w14:ligatures w14:val="none"/>
        </w:rPr>
        <w:t xml:space="preserve"> </w:t>
      </w:r>
      <w:r>
        <w:rPr>
          <w:rFonts w:ascii="Calibri" w:eastAsia="宋体" w:hAnsi="Calibri" w:cs="Calibri"/>
          <w:color w:val="FF0000"/>
          <w:sz w:val="24"/>
          <w14:ligatures w14:val="none"/>
        </w:rPr>
        <w:t xml:space="preserve">Previous work established that BLI can be used to dynamically characterize the intracellular pharmacokinetic behavior of D-luciferin in luciferase-expressing pancreatic cancer cells, with the bioluminescent photon signal showing a positive relationship with intracellular luciferin levels and enabling calculation of kinetic parameters such as </w:t>
      </w:r>
      <w:proofErr w:type="spellStart"/>
      <w:r>
        <w:rPr>
          <w:rFonts w:ascii="Calibri" w:eastAsia="宋体" w:hAnsi="Calibri" w:cs="Calibri"/>
          <w:color w:val="FF0000"/>
          <w:sz w:val="24"/>
          <w14:ligatures w14:val="none"/>
        </w:rPr>
        <w:t>AUC</w:t>
      </w:r>
      <w:r w:rsidRPr="00743791">
        <w:rPr>
          <w:rFonts w:ascii="Calibri" w:eastAsia="宋体" w:hAnsi="Calibri" w:cs="Calibri" w:hint="eastAsia"/>
          <w:color w:val="FF0000"/>
          <w:sz w:val="24"/>
          <w:vertAlign w:val="subscript"/>
          <w14:ligatures w14:val="none"/>
        </w:rPr>
        <w:t>luc</w:t>
      </w:r>
      <w:proofErr w:type="spellEnd"/>
      <w:r>
        <w:rPr>
          <w:rFonts w:ascii="Calibri" w:eastAsia="宋体" w:hAnsi="Calibri" w:cs="Calibri"/>
          <w:color w:val="FF0000"/>
          <w:sz w:val="24"/>
          <w14:ligatures w14:val="none"/>
        </w:rPr>
        <w:t xml:space="preserve">, </w:t>
      </w:r>
      <w:proofErr w:type="spellStart"/>
      <w:r>
        <w:rPr>
          <w:rFonts w:ascii="Calibri" w:eastAsia="宋体" w:hAnsi="Calibri" w:cs="Calibri"/>
          <w:color w:val="FF0000"/>
          <w:sz w:val="24"/>
          <w14:ligatures w14:val="none"/>
        </w:rPr>
        <w:t>K</w:t>
      </w:r>
      <w:r w:rsidRPr="00743791">
        <w:rPr>
          <w:rFonts w:ascii="Calibri" w:eastAsia="宋体" w:hAnsi="Calibri" w:cs="Calibri" w:hint="eastAsia"/>
          <w:color w:val="FF0000"/>
          <w:sz w:val="24"/>
          <w:vertAlign w:val="subscript"/>
          <w14:ligatures w14:val="none"/>
        </w:rPr>
        <w:t>luc</w:t>
      </w:r>
      <w:proofErr w:type="spellEnd"/>
      <w:r>
        <w:rPr>
          <w:rFonts w:ascii="Calibri" w:eastAsia="宋体" w:hAnsi="Calibri" w:cs="Calibri"/>
          <w:color w:val="FF0000"/>
          <w:sz w:val="24"/>
          <w14:ligatures w14:val="none"/>
        </w:rPr>
        <w:t xml:space="preserve">, and </w:t>
      </w:r>
      <w:proofErr w:type="spellStart"/>
      <w:r>
        <w:rPr>
          <w:rFonts w:ascii="Calibri" w:eastAsia="宋体" w:hAnsi="Calibri" w:cs="Calibri"/>
          <w:color w:val="FF0000"/>
          <w:sz w:val="24"/>
          <w14:ligatures w14:val="none"/>
        </w:rPr>
        <w:t>MRT</w:t>
      </w:r>
      <w:r w:rsidRPr="00743791">
        <w:rPr>
          <w:rFonts w:ascii="Calibri" w:eastAsia="宋体" w:hAnsi="Calibri" w:cs="Calibri" w:hint="eastAsia"/>
          <w:color w:val="FF0000"/>
          <w:sz w:val="24"/>
          <w:vertAlign w:val="subscript"/>
          <w14:ligatures w14:val="none"/>
        </w:rPr>
        <w:t>luc</w:t>
      </w:r>
      <w:proofErr w:type="spellEnd"/>
      <w:r>
        <w:rPr>
          <w:rFonts w:ascii="Calibri" w:eastAsia="宋体" w:hAnsi="Calibri" w:cs="Calibri"/>
          <w:color w:val="FF0000"/>
          <w:sz w:val="24"/>
          <w14:ligatures w14:val="none"/>
        </w:rPr>
        <w:t xml:space="preserve">. This shared luciferase-luciferin readout provides a biological basis for exploratory comparison of BLI-derived kinetic responses between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and </w:t>
      </w:r>
      <w:r>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tumor models, assuming that the effects of the external intervention on the reporter system are broadly comparable across the two settings</w:t>
      </w:r>
      <w:r>
        <w:rPr>
          <w:rFonts w:ascii="Calibri" w:eastAsia="宋体" w:hAnsi="Calibri" w:cs="Calibri"/>
          <w:color w:val="FF0000"/>
          <w:sz w:val="24"/>
          <w:vertAlign w:val="superscript"/>
          <w14:ligatures w14:val="none"/>
        </w:rPr>
        <w:fldChar w:fldCharType="begin"/>
      </w:r>
      <w:r>
        <w:rPr>
          <w:rFonts w:ascii="Calibri" w:eastAsia="宋体" w:hAnsi="Calibri" w:cs="Calibri"/>
          <w:color w:val="FF0000"/>
          <w:sz w:val="24"/>
          <w:vertAlign w:val="superscript"/>
          <w14:ligatures w14:val="none"/>
        </w:rPr>
        <w:instrText xml:space="preserve"> REF _Ref238621348 \r \h  \* MERGEFORMAT </w:instrText>
      </w:r>
      <w:r>
        <w:rPr>
          <w:rFonts w:ascii="Calibri" w:eastAsia="宋体" w:hAnsi="Calibri" w:cs="Calibri"/>
          <w:color w:val="FF0000"/>
          <w:sz w:val="24"/>
          <w:vertAlign w:val="superscript"/>
          <w14:ligatures w14:val="none"/>
        </w:rPr>
      </w:r>
      <w:r>
        <w:rPr>
          <w:rFonts w:ascii="Calibri" w:eastAsia="宋体" w:hAnsi="Calibri" w:cs="Calibri"/>
          <w:color w:val="FF0000"/>
          <w:sz w:val="24"/>
          <w:vertAlign w:val="superscript"/>
          <w14:ligatures w14:val="none"/>
        </w:rPr>
        <w:fldChar w:fldCharType="separate"/>
      </w:r>
      <w:r>
        <w:rPr>
          <w:rFonts w:ascii="Calibri" w:eastAsia="宋体" w:hAnsi="Calibri" w:cs="Calibri"/>
          <w:color w:val="FF0000"/>
          <w:sz w:val="24"/>
          <w:vertAlign w:val="superscript"/>
          <w14:ligatures w14:val="none"/>
        </w:rPr>
        <w:t>13</w:t>
      </w:r>
      <w:r>
        <w:rPr>
          <w:rFonts w:ascii="Calibri" w:eastAsia="宋体" w:hAnsi="Calibri" w:cs="Calibri"/>
          <w:color w:val="FF0000"/>
          <w:sz w:val="24"/>
          <w:vertAlign w:val="superscript"/>
          <w14:ligatures w14:val="none"/>
        </w:rPr>
        <w:fldChar w:fldCharType="end"/>
      </w:r>
      <w:r>
        <w:rPr>
          <w:rFonts w:ascii="Calibri" w:eastAsia="宋体" w:hAnsi="Calibri" w:cs="Calibri"/>
          <w:color w:val="FF0000"/>
          <w:sz w:val="24"/>
          <w14:ligatures w14:val="none"/>
        </w:rPr>
        <w:t>.</w:t>
      </w:r>
      <w:r>
        <w:rPr>
          <w:rFonts w:ascii="Calibri" w:eastAsia="宋体" w:hAnsi="Calibri" w:cs="Calibri" w:hint="eastAsia"/>
          <w:color w:val="FF0000"/>
          <w:sz w:val="24"/>
          <w14:ligatures w14:val="none"/>
        </w:rPr>
        <w:t xml:space="preserve"> </w:t>
      </w:r>
      <w:r>
        <w:rPr>
          <w:rFonts w:ascii="Calibri" w:eastAsia="宋体" w:hAnsi="Calibri" w:cs="Calibri"/>
          <w:color w:val="FF0000"/>
          <w:sz w:val="24"/>
          <w14:ligatures w14:val="none"/>
        </w:rPr>
        <w:t xml:space="preserve">The cross-system analyses were designed to describe exposure–response associations across the different experimental levels of the integrated workflow. Intracellular LC-MS/MS measurements provide an analytical measure of drug exposure, whereas BLI provides a functional imaging readout at the cellular and xenograft levels. The sequential analyses allow relationships among intracellular exposure,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BLI responses, </w:t>
      </w:r>
      <w:r>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BLI responses, and tumor growth inhibition to be examined within a common analytical framework. </w:t>
      </w:r>
      <w:r w:rsidR="000B2B57" w:rsidRPr="00086F0F">
        <w:rPr>
          <w:rFonts w:ascii="Calibri" w:eastAsia="宋体" w:hAnsi="Calibri" w:cs="Calibri"/>
          <w:color w:val="FF0000"/>
          <w:sz w:val="24"/>
          <w14:ligatures w14:val="none"/>
        </w:rPr>
        <w:t xml:space="preserve">For exploratory regression analyses involving multiple comparisons within predefined analysis families, statistical significance was assessed using Benjamini–Hochberg-adjusted </w:t>
      </w:r>
      <w:r w:rsidR="000B2B57" w:rsidRPr="00086F0F">
        <w:rPr>
          <w:rFonts w:ascii="Calibri" w:eastAsia="宋体" w:hAnsi="Calibri" w:cs="Calibri"/>
          <w:i/>
          <w:iCs/>
          <w:color w:val="FF0000"/>
          <w:sz w:val="24"/>
          <w14:ligatures w14:val="none"/>
        </w:rPr>
        <w:t>p</w:t>
      </w:r>
      <w:r w:rsidR="000B2B57" w:rsidRPr="00086F0F">
        <w:rPr>
          <w:rFonts w:ascii="Calibri" w:eastAsia="宋体" w:hAnsi="Calibri" w:cs="Calibri"/>
          <w:color w:val="FF0000"/>
          <w:sz w:val="24"/>
          <w14:ligatures w14:val="none"/>
        </w:rPr>
        <w:t>-values (</w:t>
      </w:r>
      <w:proofErr w:type="spellStart"/>
      <w:r w:rsidR="000B2B57" w:rsidRPr="00086F0F">
        <w:rPr>
          <w:rFonts w:ascii="Calibri" w:eastAsia="宋体" w:hAnsi="Calibri" w:cs="Calibri"/>
          <w:i/>
          <w:iCs/>
          <w:color w:val="FF0000"/>
          <w:sz w:val="24"/>
          <w14:ligatures w14:val="none"/>
        </w:rPr>
        <w:t>p</w:t>
      </w:r>
      <w:r w:rsidR="000B2B57" w:rsidRPr="00086F0F">
        <w:rPr>
          <w:rFonts w:ascii="Calibri" w:eastAsia="宋体" w:hAnsi="Calibri" w:cs="Calibri"/>
          <w:i/>
          <w:iCs/>
          <w:color w:val="FF0000"/>
          <w:sz w:val="24"/>
          <w:vertAlign w:val="subscript"/>
          <w14:ligatures w14:val="none"/>
        </w:rPr>
        <w:t>adj</w:t>
      </w:r>
      <w:proofErr w:type="spellEnd"/>
      <w:r w:rsidR="000B2B57" w:rsidRPr="00086F0F">
        <w:rPr>
          <w:rFonts w:ascii="Calibri" w:eastAsia="宋体" w:hAnsi="Calibri" w:cs="Calibri"/>
          <w:color w:val="FF0000"/>
          <w:sz w:val="24"/>
          <w14:ligatures w14:val="none"/>
        </w:rPr>
        <w:t>) to control the false discovery rate.</w:t>
      </w:r>
      <w:r w:rsidR="00FE27D3" w:rsidRPr="00086F0F">
        <w:rPr>
          <w:rFonts w:ascii="Calibri" w:eastAsia="宋体" w:hAnsi="Calibri" w:cs="Calibri"/>
          <w:color w:val="FF0000"/>
          <w:sz w:val="24"/>
          <w14:ligatures w14:val="none"/>
        </w:rPr>
        <w:t xml:space="preserve"> </w:t>
      </w:r>
      <w:r w:rsidRPr="00086F0F">
        <w:rPr>
          <w:rFonts w:ascii="Calibri" w:eastAsia="宋体" w:hAnsi="Calibri" w:cs="Calibri"/>
          <w:color w:val="FF0000"/>
          <w:sz w:val="24"/>
          <w14:ligatures w14:val="none"/>
        </w:rPr>
        <w:t>These analyses do not constitute a fully validated mechanistic PK/PD model and were not intended</w:t>
      </w:r>
      <w:r>
        <w:rPr>
          <w:rFonts w:ascii="Calibri" w:eastAsia="宋体" w:hAnsi="Calibri" w:cs="Calibri"/>
          <w:color w:val="FF0000"/>
          <w:sz w:val="24"/>
          <w14:ligatures w14:val="none"/>
        </w:rPr>
        <w:t xml:space="preserve"> to establish direct mechanistic equivalence among the corresponding parameters. Accordingly, the two-step mapping should be interpreted as an exploratory translational framework for connecting measurements obtained at different biological levels, rather than as a formal PK/PD model requiring mechanistic model assumptions, comprehensive goodness-of-fit diagnostics, or independent model validation.</w:t>
      </w:r>
    </w:p>
    <w:p w14:paraId="098BC55C"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During implementation, several common technical challenges may impact data quality. For instance, unstable chromatographic peaks or drifting retention times often signal incomplete protein precipitation or ion source contamination, necessitating enhanced sample cleanup or routine instrument maintenance. In the BLI module, potential pitfalls such as signal saturation or inconsistent region-of-interest (ROI) definition can be mitigated by optimizing exposure settings and applying standardized ROI templates across all replicates. Addressing these technical variables is essential for minimizing inter-replicate variability, particularly when subtle differences in intracellular drug disposition are being evaluated.</w:t>
      </w:r>
    </w:p>
    <w:p w14:paraId="521F1431" w14:textId="77777777" w:rsidR="00BE1D3D"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hint="eastAsia"/>
          <w:sz w:val="24"/>
          <w14:ligatures w14:val="none"/>
        </w:rPr>
        <w:lastRenderedPageBreak/>
        <w:t xml:space="preserve">Despite its advantages, the integrated LC-MS/MS-BLI strategy has several limitations. First, bioluminescence imaging measures viable cell activity rather than direct tumor mass, meaning that metabolic changes affecting luciferase activity may influence signal intensity independent of actual cell number. Second, intracellular drug concentrations measured by LC-MS/MS represent average levels within bulk cell populations and therefore do not capture potential intratumoral heterogeneity. </w:t>
      </w:r>
      <w:r>
        <w:rPr>
          <w:rFonts w:ascii="Calibri" w:eastAsia="宋体" w:hAnsi="Calibri" w:cs="Calibri"/>
          <w:color w:val="FF0000"/>
          <w:sz w:val="24"/>
          <w14:ligatures w14:val="none"/>
        </w:rPr>
        <w:t>Future studies incorporating mechanistic PK/PD modeling, spatial imaging, or single-cell measurements may further refine the characterization and validation of exposure–response relationships.</w:t>
      </w:r>
    </w:p>
    <w:p w14:paraId="0D56775E"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color w:val="FF0000"/>
          <w:sz w:val="24"/>
          <w14:ligatures w14:val="none"/>
        </w:rPr>
        <w:t xml:space="preserve">Taken together, the integrated workflow provides a practical framework for examining intracellular pharmacokinetics together with imaging-derived pharmacodynamic responses across </w:t>
      </w:r>
      <w:r>
        <w:rPr>
          <w:rFonts w:ascii="Calibri" w:eastAsia="宋体" w:hAnsi="Calibri" w:cs="Calibri"/>
          <w:i/>
          <w:iCs/>
          <w:color w:val="FF0000"/>
          <w:sz w:val="24"/>
          <w14:ligatures w14:val="none"/>
        </w:rPr>
        <w:t>in vitro</w:t>
      </w:r>
      <w:r>
        <w:rPr>
          <w:rFonts w:ascii="Calibri" w:eastAsia="宋体" w:hAnsi="Calibri" w:cs="Calibri"/>
          <w:color w:val="FF0000"/>
          <w:sz w:val="24"/>
          <w14:ligatures w14:val="none"/>
        </w:rPr>
        <w:t xml:space="preserve"> and </w:t>
      </w:r>
      <w:r>
        <w:rPr>
          <w:rFonts w:ascii="Calibri" w:eastAsia="宋体" w:hAnsi="Calibri" w:cs="Calibri"/>
          <w:i/>
          <w:iCs/>
          <w:color w:val="FF0000"/>
          <w:sz w:val="24"/>
          <w14:ligatures w14:val="none"/>
        </w:rPr>
        <w:t>in vivo</w:t>
      </w:r>
      <w:r>
        <w:rPr>
          <w:rFonts w:ascii="Calibri" w:eastAsia="宋体" w:hAnsi="Calibri" w:cs="Calibri"/>
          <w:color w:val="FF0000"/>
          <w:sz w:val="24"/>
          <w14:ligatures w14:val="none"/>
        </w:rPr>
        <w:t xml:space="preserve"> systems. </w:t>
      </w:r>
      <w:r>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Such approaches may be particularly valuable for evaluating emerging therapeutic strategies designed to improve gemcitabine delivery or intracellular drug exposure in pancreatic cancer models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_Ref225698045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14</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xml:space="preserve">. </w:t>
      </w:r>
      <w:bookmarkEnd w:id="1"/>
      <w:r>
        <w:rPr>
          <w:rFonts w:ascii="Calibri" w:eastAsia="宋体" w:hAnsi="Calibri" w:cs="Calibri" w:hint="eastAsia"/>
          <w:sz w:val="24"/>
          <w14:ligatures w14:val="none"/>
        </w:rPr>
        <w:t>Consistent with this concept, clinical studies have reported that intracellular levels of gemcitabine metabolites correlate with chemotherapy efficacy, underscoring the importance of characterizing drug exposure at the cellular level</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_Ref225698065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15</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Furthermore, recent studies have shown that natural compounds can synergize with gemcitabine to enhance antitumor efficacy. For instance, chlorophyllin has been reported to exert a synergistic effect with gemcitabine in pancreatic cancer models, supporting the rationale for combination strategies</w:t>
      </w:r>
      <w:r>
        <w:rPr>
          <w:rFonts w:ascii="Calibri" w:eastAsia="宋体" w:hAnsi="Calibri" w:cs="Calibri"/>
          <w:sz w:val="24"/>
          <w:vertAlign w:val="superscript"/>
          <w14:ligatures w14:val="none"/>
        </w:rPr>
        <w:fldChar w:fldCharType="begin"/>
      </w:r>
      <w:r>
        <w:rPr>
          <w:rFonts w:ascii="Calibri" w:eastAsia="宋体" w:hAnsi="Calibri" w:cs="Calibri"/>
          <w:sz w:val="24"/>
          <w:vertAlign w:val="superscript"/>
          <w14:ligatures w14:val="none"/>
        </w:rPr>
        <w:instrText xml:space="preserve"> </w:instrText>
      </w:r>
      <w:r>
        <w:rPr>
          <w:rFonts w:ascii="Calibri" w:eastAsia="宋体" w:hAnsi="Calibri" w:cs="Calibri" w:hint="eastAsia"/>
          <w:sz w:val="24"/>
          <w:vertAlign w:val="superscript"/>
          <w14:ligatures w14:val="none"/>
        </w:rPr>
        <w:instrText>REF _Ref227701685 \r \h</w:instrText>
      </w:r>
      <w:r>
        <w:rPr>
          <w:rFonts w:ascii="Calibri" w:eastAsia="宋体" w:hAnsi="Calibri" w:cs="Calibri"/>
          <w:sz w:val="24"/>
          <w:vertAlign w:val="superscript"/>
          <w14:ligatures w14:val="none"/>
        </w:rPr>
        <w:instrText xml:space="preserve">  \* MERGEFORMAT </w:instrText>
      </w:r>
      <w:r>
        <w:rPr>
          <w:rFonts w:ascii="Calibri" w:eastAsia="宋体" w:hAnsi="Calibri" w:cs="Calibri"/>
          <w:sz w:val="24"/>
          <w:vertAlign w:val="superscript"/>
          <w14:ligatures w14:val="none"/>
        </w:rPr>
      </w:r>
      <w:r>
        <w:rPr>
          <w:rFonts w:ascii="Calibri" w:eastAsia="宋体" w:hAnsi="Calibri" w:cs="Calibri"/>
          <w:sz w:val="24"/>
          <w:vertAlign w:val="superscript"/>
          <w14:ligatures w14:val="none"/>
        </w:rPr>
        <w:fldChar w:fldCharType="separate"/>
      </w:r>
      <w:r>
        <w:rPr>
          <w:rFonts w:ascii="Calibri" w:eastAsia="宋体" w:hAnsi="Calibri" w:cs="Calibri"/>
          <w:sz w:val="24"/>
          <w:vertAlign w:val="superscript"/>
          <w14:ligatures w14:val="none"/>
        </w:rPr>
        <w:t>16</w:t>
      </w:r>
      <w:r>
        <w:rPr>
          <w:rFonts w:ascii="Calibri" w:eastAsia="宋体" w:hAnsi="Calibri" w:cs="Calibri"/>
          <w:sz w:val="24"/>
          <w:vertAlign w:val="superscript"/>
          <w14:ligatures w14:val="none"/>
        </w:rPr>
        <w:fldChar w:fldCharType="end"/>
      </w:r>
      <w:r>
        <w:rPr>
          <w:rFonts w:ascii="Calibri" w:eastAsia="宋体" w:hAnsi="Calibri" w:cs="Calibri" w:hint="eastAsia"/>
          <w:sz w:val="24"/>
          <w14:ligatures w14:val="none"/>
        </w:rPr>
        <w:t>. Collectively, these findings highlight the potential of approaches that modulate intracellular drug exposure to improve therapeutic outcomes. More broadly, this strategy may facilitate the discovery of agents that enhance intracellular drug retention and improve chemotherapeutic sensitivity, thereby supporting the application of this integrated workflow in the development of more effective combination therapeutic strategies.</w:t>
      </w:r>
    </w:p>
    <w:p w14:paraId="492E0346" w14:textId="77777777" w:rsidR="00BE1D3D" w:rsidRDefault="00BE1D3D">
      <w:pPr>
        <w:autoSpaceDE w:val="0"/>
        <w:adjustRightInd w:val="0"/>
        <w:snapToGrid w:val="0"/>
        <w:spacing w:after="0" w:line="240" w:lineRule="auto"/>
        <w:jc w:val="both"/>
        <w:rPr>
          <w:rFonts w:ascii="Calibri" w:eastAsia="宋体" w:hAnsi="Calibri" w:cs="Calibri"/>
          <w:b/>
          <w:bCs/>
          <w:sz w:val="28"/>
          <w:szCs w:val="28"/>
          <w14:ligatures w14:val="none"/>
        </w:rPr>
      </w:pPr>
    </w:p>
    <w:p w14:paraId="05408221"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hint="eastAsia"/>
          <w:b/>
          <w:bCs/>
          <w:sz w:val="28"/>
          <w:szCs w:val="28"/>
          <w14:ligatures w14:val="none"/>
        </w:rPr>
        <w:t>Acknowledgments</w:t>
      </w:r>
    </w:p>
    <w:p w14:paraId="16CCDC78" w14:textId="11B68B9B" w:rsidR="00BE1D3D" w:rsidRDefault="00000000">
      <w:pPr>
        <w:autoSpaceDE w:val="0"/>
        <w:adjustRightInd w:val="0"/>
        <w:snapToGrid w:val="0"/>
        <w:spacing w:after="0" w:line="240" w:lineRule="auto"/>
        <w:jc w:val="both"/>
        <w:rPr>
          <w:rFonts w:ascii="Calibri" w:hAnsi="Calibri" w:cs="Calibri"/>
          <w:sz w:val="24"/>
          <w14:ligatures w14:val="none"/>
        </w:rPr>
      </w:pPr>
      <w:r>
        <w:rPr>
          <w:rFonts w:ascii="Calibri" w:hAnsi="Calibri" w:cs="Calibri"/>
          <w:sz w:val="24"/>
        </w:rPr>
        <w:t>This work was supported by Zhejiang Province Natural Science Foundation grants (LZ23H290001); National Natural Science Foundation of China grants (82474338 and 82274364); Zhejiang Provincial Three Rural Areas and Nine Parties Agricultural Science and Technology Collaborator Program (2025SNJF075)</w:t>
      </w:r>
      <w:r>
        <w:rPr>
          <w:rFonts w:ascii="Calibri" w:hAnsi="Calibri" w:cs="Calibri" w:hint="eastAsia"/>
          <w:sz w:val="24"/>
        </w:rPr>
        <w:t xml:space="preserve">. </w:t>
      </w:r>
      <w:r w:rsidR="00D95783" w:rsidRPr="00D95783">
        <w:rPr>
          <w:rFonts w:ascii="Calibri" w:hAnsi="Calibri" w:cs="Calibri" w:hint="eastAsia"/>
          <w:color w:val="EE0000"/>
          <w:sz w:val="24"/>
        </w:rPr>
        <w:t xml:space="preserve">The author </w:t>
      </w:r>
      <w:proofErr w:type="gramStart"/>
      <w:r w:rsidRPr="00D95783">
        <w:rPr>
          <w:rFonts w:ascii="Calibri" w:hAnsi="Calibri" w:cs="Calibri" w:hint="eastAsia"/>
          <w:color w:val="EE0000"/>
          <w:sz w:val="24"/>
        </w:rPr>
        <w:t>appreciate</w:t>
      </w:r>
      <w:proofErr w:type="gramEnd"/>
      <w:r>
        <w:rPr>
          <w:rFonts w:ascii="Calibri" w:hAnsi="Calibri" w:cs="Calibri" w:hint="eastAsia"/>
          <w:sz w:val="24"/>
        </w:rPr>
        <w:t xml:space="preserve"> </w:t>
      </w:r>
      <w:r w:rsidRPr="00D95783">
        <w:rPr>
          <w:rFonts w:ascii="Calibri" w:hAnsi="Calibri" w:cs="Calibri" w:hint="eastAsia"/>
          <w:color w:val="EE0000"/>
          <w:sz w:val="24"/>
        </w:rPr>
        <w:t xml:space="preserve">the </w:t>
      </w:r>
      <w:r w:rsidR="00D95783" w:rsidRPr="00D95783">
        <w:rPr>
          <w:rFonts w:ascii="Calibri" w:hAnsi="Calibri" w:cs="Calibri" w:hint="eastAsia"/>
          <w:color w:val="EE0000"/>
          <w:sz w:val="24"/>
        </w:rPr>
        <w:t>support provided by</w:t>
      </w:r>
      <w:r w:rsidR="00D95783">
        <w:rPr>
          <w:rFonts w:ascii="Calibri" w:hAnsi="Calibri" w:cs="Calibri" w:hint="eastAsia"/>
          <w:sz w:val="24"/>
        </w:rPr>
        <w:t xml:space="preserve"> </w:t>
      </w:r>
      <w:r>
        <w:rPr>
          <w:rFonts w:ascii="Calibri" w:hAnsi="Calibri" w:cs="Calibri" w:hint="eastAsia"/>
          <w:sz w:val="24"/>
        </w:rPr>
        <w:t>the Medical Research Center and Pharmaceutical Research Center, Academy of Chinese Medical Sciences, Zhejiang Chinese Medical University.</w:t>
      </w:r>
    </w:p>
    <w:p w14:paraId="4C32AF13" w14:textId="77777777" w:rsidR="00BE1D3D" w:rsidRDefault="00BE1D3D">
      <w:pPr>
        <w:autoSpaceDE w:val="0"/>
        <w:adjustRightInd w:val="0"/>
        <w:snapToGrid w:val="0"/>
        <w:spacing w:after="0" w:line="240" w:lineRule="auto"/>
        <w:jc w:val="both"/>
        <w:rPr>
          <w:rFonts w:ascii="Calibri" w:eastAsia="宋体" w:hAnsi="Calibri" w:cs="Calibri"/>
          <w:b/>
          <w:bCs/>
          <w:sz w:val="28"/>
          <w:szCs w:val="28"/>
          <w14:ligatures w14:val="none"/>
        </w:rPr>
      </w:pPr>
    </w:p>
    <w:p w14:paraId="4F7350AE"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hint="eastAsia"/>
          <w:b/>
          <w:bCs/>
          <w:sz w:val="28"/>
          <w:szCs w:val="28"/>
          <w14:ligatures w14:val="none"/>
        </w:rPr>
        <w:t>Disclosures</w:t>
      </w:r>
    </w:p>
    <w:p w14:paraId="15EB08D1"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sz w:val="24"/>
          <w14:ligatures w14:val="none"/>
        </w:rPr>
        <w:t>The authors declare that they have no competing financial interests or conflicts of interest.</w:t>
      </w:r>
    </w:p>
    <w:p w14:paraId="74BDF916" w14:textId="77777777" w:rsidR="00BE1D3D"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color w:val="FF0000"/>
          <w:sz w:val="24"/>
          <w14:ligatures w14:val="none"/>
        </w:rPr>
        <w:t>AI Disclosure Statement: Artificial intelligence (AI) tools were used to assist with literature retrieval and manuscript formatting during the preparation of this manuscript. The authors reviewed and verified all AI-assisted content and remain fully responsible for the accuracy, integrity, and final content of the manuscript.</w:t>
      </w:r>
    </w:p>
    <w:p w14:paraId="3709C5EA"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0CFA84D7"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b/>
          <w:bCs/>
          <w:sz w:val="28"/>
          <w:szCs w:val="28"/>
          <w14:ligatures w14:val="none"/>
        </w:rPr>
        <w:t>References</w:t>
      </w:r>
    </w:p>
    <w:p w14:paraId="01C6F5FD"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2" w:name="_Ref225697674"/>
      <w:r>
        <w:rPr>
          <w:rFonts w:ascii="Calibri" w:eastAsia="宋体" w:hAnsi="Calibri" w:cs="Calibri" w:hint="eastAsia"/>
          <w:sz w:val="24"/>
          <w14:ligatures w14:val="none"/>
        </w:rPr>
        <w:t xml:space="preserve">He J, </w:t>
      </w:r>
      <w:proofErr w:type="spellStart"/>
      <w:r>
        <w:rPr>
          <w:rFonts w:ascii="Calibri" w:eastAsia="宋体" w:hAnsi="Calibri" w:cs="Calibri" w:hint="eastAsia"/>
          <w:sz w:val="24"/>
          <w14:ligatures w14:val="none"/>
        </w:rPr>
        <w:t>Bugde</w:t>
      </w:r>
      <w:proofErr w:type="spellEnd"/>
      <w:r>
        <w:rPr>
          <w:rFonts w:ascii="Calibri" w:eastAsia="宋体" w:hAnsi="Calibri" w:cs="Calibri" w:hint="eastAsia"/>
          <w:sz w:val="24"/>
          <w14:ligatures w14:val="none"/>
        </w:rPr>
        <w:t xml:space="preserve"> P, Li J, et al. Multidrug resistance protein 5 affects cell proliferation, migration and gemcitabine sensitivity in pancreatic cancer MIA PaCa-2 and PANC-1 cells. Oncol Rep. </w:t>
      </w:r>
      <w:proofErr w:type="gramStart"/>
      <w:r>
        <w:rPr>
          <w:rFonts w:ascii="Calibri" w:eastAsia="宋体" w:hAnsi="Calibri" w:cs="Calibri" w:hint="eastAsia"/>
          <w:sz w:val="24"/>
          <w14:ligatures w14:val="none"/>
        </w:rPr>
        <w:t>2024;51:7</w:t>
      </w:r>
      <w:proofErr w:type="gramEnd"/>
      <w:r>
        <w:rPr>
          <w:rFonts w:ascii="Calibri" w:eastAsia="宋体" w:hAnsi="Calibri" w:cs="Calibri" w:hint="eastAsia"/>
          <w:sz w:val="24"/>
          <w14:ligatures w14:val="none"/>
        </w:rPr>
        <w:t>.</w:t>
      </w:r>
      <w:bookmarkEnd w:id="2"/>
    </w:p>
    <w:p w14:paraId="48D7A222"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3" w:name="_Ref225697717"/>
      <w:r>
        <w:rPr>
          <w:rFonts w:ascii="Calibri" w:eastAsia="宋体" w:hAnsi="Calibri" w:cs="Calibri" w:hint="eastAsia"/>
          <w:sz w:val="24"/>
          <w14:ligatures w14:val="none"/>
        </w:rPr>
        <w:t xml:space="preserve">de Sousa Cavalcante L, Monteiro G. Gemcitabine: metabolism and molecular mechanisms </w:t>
      </w:r>
      <w:r>
        <w:rPr>
          <w:rFonts w:ascii="Calibri" w:eastAsia="宋体" w:hAnsi="Calibri" w:cs="Calibri" w:hint="eastAsia"/>
          <w:sz w:val="24"/>
          <w14:ligatures w14:val="none"/>
        </w:rPr>
        <w:lastRenderedPageBreak/>
        <w:t xml:space="preserve">of action. </w:t>
      </w:r>
      <w:proofErr w:type="spellStart"/>
      <w:r>
        <w:rPr>
          <w:rFonts w:ascii="Calibri" w:eastAsia="宋体" w:hAnsi="Calibri" w:cs="Calibri" w:hint="eastAsia"/>
          <w:sz w:val="24"/>
          <w14:ligatures w14:val="none"/>
        </w:rPr>
        <w:t>Pharmacol</w:t>
      </w:r>
      <w:proofErr w:type="spellEnd"/>
      <w:r>
        <w:rPr>
          <w:rFonts w:ascii="Calibri" w:eastAsia="宋体" w:hAnsi="Calibri" w:cs="Calibri" w:hint="eastAsia"/>
          <w:sz w:val="24"/>
          <w14:ligatures w14:val="none"/>
        </w:rPr>
        <w:t xml:space="preserve"> Res. </w:t>
      </w:r>
      <w:proofErr w:type="gramStart"/>
      <w:r>
        <w:rPr>
          <w:rFonts w:ascii="Calibri" w:eastAsia="宋体" w:hAnsi="Calibri" w:cs="Calibri" w:hint="eastAsia"/>
          <w:sz w:val="24"/>
          <w14:ligatures w14:val="none"/>
        </w:rPr>
        <w:t>2014;87:8</w:t>
      </w:r>
      <w:proofErr w:type="gramEnd"/>
      <w:r>
        <w:rPr>
          <w:rFonts w:ascii="Calibri" w:eastAsia="宋体" w:hAnsi="Calibri" w:cs="Calibri"/>
          <w:sz w:val="24"/>
          <w14:ligatures w14:val="none"/>
        </w:rPr>
        <w:t>–</w:t>
      </w:r>
      <w:r>
        <w:rPr>
          <w:rFonts w:ascii="Calibri" w:eastAsia="宋体" w:hAnsi="Calibri" w:cs="Calibri" w:hint="eastAsia"/>
          <w:sz w:val="24"/>
          <w14:ligatures w14:val="none"/>
        </w:rPr>
        <w:t>19.</w:t>
      </w:r>
      <w:bookmarkEnd w:id="3"/>
    </w:p>
    <w:p w14:paraId="1373C72D"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4" w:name="_Ref225697766"/>
      <w:r>
        <w:rPr>
          <w:rFonts w:ascii="Calibri" w:eastAsia="宋体" w:hAnsi="Calibri" w:cs="Calibri" w:hint="eastAsia"/>
          <w:sz w:val="24"/>
          <w14:ligatures w14:val="none"/>
        </w:rPr>
        <w:t xml:space="preserve">Li G, She FF, Liao CY, et al. cNEK6 induces gemcitabine resistance by promoting glycolysis in pancreatic ductal adenocarcinoma via the SNRPA/PPA2c/mTORC1 axis. Cell Death Dis. </w:t>
      </w:r>
      <w:proofErr w:type="gramStart"/>
      <w:r>
        <w:rPr>
          <w:rFonts w:ascii="Calibri" w:eastAsia="宋体" w:hAnsi="Calibri" w:cs="Calibri" w:hint="eastAsia"/>
          <w:sz w:val="24"/>
          <w14:ligatures w14:val="none"/>
        </w:rPr>
        <w:t>2024;15:742</w:t>
      </w:r>
      <w:proofErr w:type="gramEnd"/>
      <w:r>
        <w:rPr>
          <w:rFonts w:ascii="Calibri" w:eastAsia="宋体" w:hAnsi="Calibri" w:cs="Calibri" w:hint="eastAsia"/>
          <w:sz w:val="24"/>
          <w14:ligatures w14:val="none"/>
        </w:rPr>
        <w:t>.</w:t>
      </w:r>
      <w:bookmarkEnd w:id="4"/>
    </w:p>
    <w:p w14:paraId="5BACC524" w14:textId="454ECBC0"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color w:val="FF0000"/>
          <w:sz w:val="24"/>
          <w14:ligatures w14:val="none"/>
        </w:rPr>
      </w:pPr>
      <w:bookmarkStart w:id="5" w:name="_Ref225697783"/>
      <w:proofErr w:type="spellStart"/>
      <w:r>
        <w:rPr>
          <w:rFonts w:ascii="Calibri" w:eastAsia="宋体" w:hAnsi="Calibri" w:cs="Calibri"/>
          <w:color w:val="FF0000"/>
          <w:sz w:val="24"/>
          <w14:ligatures w14:val="none"/>
        </w:rPr>
        <w:t>Alsawaftah</w:t>
      </w:r>
      <w:proofErr w:type="spellEnd"/>
      <w:r>
        <w:rPr>
          <w:rFonts w:ascii="Calibri" w:eastAsia="宋体" w:hAnsi="Calibri" w:cs="Calibri"/>
          <w:color w:val="FF0000"/>
          <w:sz w:val="24"/>
          <w14:ligatures w14:val="none"/>
        </w:rPr>
        <w:t xml:space="preserve"> N, Farooq A, </w:t>
      </w:r>
      <w:proofErr w:type="spellStart"/>
      <w:r>
        <w:rPr>
          <w:rFonts w:ascii="Calibri" w:eastAsia="宋体" w:hAnsi="Calibri" w:cs="Calibri"/>
          <w:color w:val="FF0000"/>
          <w:sz w:val="24"/>
          <w14:ligatures w14:val="none"/>
        </w:rPr>
        <w:t>Dhou</w:t>
      </w:r>
      <w:proofErr w:type="spellEnd"/>
      <w:r>
        <w:rPr>
          <w:rFonts w:ascii="Calibri" w:eastAsia="宋体" w:hAnsi="Calibri" w:cs="Calibri"/>
          <w:color w:val="FF0000"/>
          <w:sz w:val="24"/>
          <w14:ligatures w14:val="none"/>
        </w:rPr>
        <w:t xml:space="preserve"> S, et al. Bioluminescence imaging applications in cancer: a comprehensive review. IEEE Rev Biomed Eng. </w:t>
      </w:r>
      <w:proofErr w:type="gramStart"/>
      <w:r>
        <w:rPr>
          <w:rFonts w:ascii="Calibri" w:eastAsia="宋体" w:hAnsi="Calibri" w:cs="Calibri"/>
          <w:color w:val="FF0000"/>
          <w:sz w:val="24"/>
          <w14:ligatures w14:val="none"/>
        </w:rPr>
        <w:t>2021;14:307</w:t>
      </w:r>
      <w:proofErr w:type="gramEnd"/>
      <w:r w:rsidR="00D95783" w:rsidRPr="00D95783">
        <w:rPr>
          <w:rFonts w:ascii="Calibri" w:eastAsia="宋体" w:hAnsi="Calibri" w:cs="Calibri"/>
          <w:color w:val="FF0000"/>
          <w:sz w:val="24"/>
          <w14:ligatures w14:val="none"/>
        </w:rPr>
        <w:t>–</w:t>
      </w:r>
      <w:r>
        <w:rPr>
          <w:rFonts w:ascii="Calibri" w:eastAsia="宋体" w:hAnsi="Calibri" w:cs="Calibri"/>
          <w:color w:val="FF0000"/>
          <w:sz w:val="24"/>
          <w14:ligatures w14:val="none"/>
        </w:rPr>
        <w:t>326.</w:t>
      </w:r>
      <w:bookmarkEnd w:id="5"/>
    </w:p>
    <w:p w14:paraId="0E13CDF9"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6" w:name="_Ref225697799"/>
      <w:r>
        <w:rPr>
          <w:rFonts w:ascii="Calibri" w:eastAsia="宋体" w:hAnsi="Calibri" w:cs="Calibri"/>
          <w:sz w:val="24"/>
          <w14:ligatures w14:val="none"/>
        </w:rPr>
        <w:t xml:space="preserve">Yu M, Yang J, Xiong L, et al. Comparison of ultra-performance liquid chromatography-tandem mass spectrometry (UPLC-MS/MS) and enzyme-multiplied immunoassay technique (EMIT) for quantification of voriconazole plasma concentration from Chinese patients. </w:t>
      </w:r>
      <w:proofErr w:type="spellStart"/>
      <w:r>
        <w:rPr>
          <w:rFonts w:ascii="Calibri" w:eastAsia="宋体" w:hAnsi="Calibri" w:cs="Calibri"/>
          <w:sz w:val="24"/>
          <w14:ligatures w14:val="none"/>
        </w:rPr>
        <w:t>Heliyon</w:t>
      </w:r>
      <w:proofErr w:type="spellEnd"/>
      <w:r>
        <w:rPr>
          <w:rFonts w:ascii="Calibri" w:eastAsia="宋体" w:hAnsi="Calibri" w:cs="Calibri"/>
          <w:sz w:val="24"/>
          <w14:ligatures w14:val="none"/>
        </w:rPr>
        <w:t>. 2023;9(11</w:t>
      </w:r>
      <w:proofErr w:type="gramStart"/>
      <w:r>
        <w:rPr>
          <w:rFonts w:ascii="Calibri" w:eastAsia="宋体" w:hAnsi="Calibri" w:cs="Calibri"/>
          <w:sz w:val="24"/>
          <w14:ligatures w14:val="none"/>
        </w:rPr>
        <w:t>):e</w:t>
      </w:r>
      <w:proofErr w:type="gramEnd"/>
      <w:r>
        <w:rPr>
          <w:rFonts w:ascii="Calibri" w:eastAsia="宋体" w:hAnsi="Calibri" w:cs="Calibri"/>
          <w:sz w:val="24"/>
          <w14:ligatures w14:val="none"/>
        </w:rPr>
        <w:t>22015.</w:t>
      </w:r>
      <w:bookmarkEnd w:id="6"/>
    </w:p>
    <w:p w14:paraId="28D17F68"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7" w:name="_Ref225697822"/>
      <w:r>
        <w:rPr>
          <w:rFonts w:ascii="Calibri" w:eastAsia="宋体" w:hAnsi="Calibri" w:cs="Calibri" w:hint="eastAsia"/>
          <w:sz w:val="24"/>
          <w14:ligatures w14:val="none"/>
        </w:rPr>
        <w:t xml:space="preserve">Jiang ML, Liu L, Wang Z, et al. </w:t>
      </w:r>
      <w:proofErr w:type="spellStart"/>
      <w:r>
        <w:rPr>
          <w:rFonts w:ascii="Calibri" w:eastAsia="宋体" w:hAnsi="Calibri" w:cs="Calibri" w:hint="eastAsia"/>
          <w:sz w:val="24"/>
          <w14:ligatures w14:val="none"/>
        </w:rPr>
        <w:t>Kanglaite</w:t>
      </w:r>
      <w:proofErr w:type="spellEnd"/>
      <w:r>
        <w:rPr>
          <w:rFonts w:ascii="Calibri" w:eastAsia="宋体" w:hAnsi="Calibri" w:cs="Calibri" w:hint="eastAsia"/>
          <w:sz w:val="24"/>
          <w14:ligatures w14:val="none"/>
        </w:rPr>
        <w:t xml:space="preserve"> alleviates lung squamous cell carcinoma through ferroptosis. Int </w:t>
      </w:r>
      <w:proofErr w:type="spellStart"/>
      <w:r>
        <w:rPr>
          <w:rFonts w:ascii="Calibri" w:eastAsia="宋体" w:hAnsi="Calibri" w:cs="Calibri" w:hint="eastAsia"/>
          <w:sz w:val="24"/>
          <w14:ligatures w14:val="none"/>
        </w:rPr>
        <w:t>Immunopharmacol</w:t>
      </w:r>
      <w:proofErr w:type="spellEnd"/>
      <w:r>
        <w:rPr>
          <w:rFonts w:ascii="Calibri" w:eastAsia="宋体" w:hAnsi="Calibri" w:cs="Calibri" w:hint="eastAsia"/>
          <w:sz w:val="24"/>
          <w14:ligatures w14:val="none"/>
        </w:rPr>
        <w:t xml:space="preserve">. </w:t>
      </w:r>
      <w:proofErr w:type="gramStart"/>
      <w:r>
        <w:rPr>
          <w:rFonts w:ascii="Calibri" w:eastAsia="宋体" w:hAnsi="Calibri" w:cs="Calibri" w:hint="eastAsia"/>
          <w:sz w:val="24"/>
          <w14:ligatures w14:val="none"/>
        </w:rPr>
        <w:t>2025;144:113616</w:t>
      </w:r>
      <w:proofErr w:type="gramEnd"/>
      <w:r>
        <w:rPr>
          <w:rFonts w:ascii="Calibri" w:eastAsia="宋体" w:hAnsi="Calibri" w:cs="Calibri" w:hint="eastAsia"/>
          <w:sz w:val="24"/>
          <w14:ligatures w14:val="none"/>
        </w:rPr>
        <w:t>.</w:t>
      </w:r>
      <w:bookmarkEnd w:id="7"/>
    </w:p>
    <w:p w14:paraId="08118A3B" w14:textId="3F534BDA"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8" w:name="_Ref225697841"/>
      <w:r>
        <w:rPr>
          <w:rFonts w:ascii="Calibri" w:eastAsia="宋体" w:hAnsi="Calibri" w:cs="Calibri"/>
          <w:sz w:val="24"/>
          <w14:ligatures w14:val="none"/>
        </w:rPr>
        <w:t xml:space="preserve">Close DM, Xu T, Sayler GS, et al. </w:t>
      </w:r>
      <w:r w:rsidRPr="00BA3365">
        <w:rPr>
          <w:rFonts w:ascii="Calibri" w:eastAsia="宋体" w:hAnsi="Calibri" w:cs="Calibri"/>
          <w:i/>
          <w:iCs/>
          <w:sz w:val="24"/>
          <w14:ligatures w14:val="none"/>
        </w:rPr>
        <w:t>In vivo</w:t>
      </w:r>
      <w:r>
        <w:rPr>
          <w:rFonts w:ascii="Calibri" w:eastAsia="宋体" w:hAnsi="Calibri" w:cs="Calibri"/>
          <w:sz w:val="24"/>
          <w14:ligatures w14:val="none"/>
        </w:rPr>
        <w:t xml:space="preserve"> bioluminescent imaging (BLI): noninvasive visualization and interrogation of biological processes in living animals. Sensors (Basel). 2011;11(1):180</w:t>
      </w:r>
      <w:r w:rsidR="00D95783" w:rsidRPr="00D95783">
        <w:rPr>
          <w:rFonts w:ascii="Calibri" w:eastAsia="宋体" w:hAnsi="Calibri" w:cs="Calibri"/>
          <w:sz w:val="24"/>
          <w14:ligatures w14:val="none"/>
        </w:rPr>
        <w:t>–</w:t>
      </w:r>
      <w:r>
        <w:rPr>
          <w:rFonts w:ascii="Calibri" w:eastAsia="宋体" w:hAnsi="Calibri" w:cs="Calibri"/>
          <w:sz w:val="24"/>
          <w14:ligatures w14:val="none"/>
        </w:rPr>
        <w:t>206.</w:t>
      </w:r>
      <w:bookmarkEnd w:id="8"/>
    </w:p>
    <w:p w14:paraId="23F0BDEC"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9" w:name="_Ref238621180"/>
      <w:r w:rsidRPr="00C86A74">
        <w:rPr>
          <w:rFonts w:ascii="Calibri" w:eastAsia="宋体" w:hAnsi="Calibri" w:cs="Calibri"/>
          <w:color w:val="EE0000"/>
          <w:sz w:val="24"/>
          <w14:ligatures w14:val="none"/>
        </w:rPr>
        <w:t xml:space="preserve">Qian Y, Xiong Y, Feng D, et al. </w:t>
      </w:r>
      <w:proofErr w:type="spellStart"/>
      <w:r w:rsidRPr="00C86A74">
        <w:rPr>
          <w:rFonts w:ascii="Calibri" w:eastAsia="宋体" w:hAnsi="Calibri" w:cs="Calibri"/>
          <w:color w:val="EE0000"/>
          <w:sz w:val="24"/>
          <w14:ligatures w14:val="none"/>
        </w:rPr>
        <w:t>Coix</w:t>
      </w:r>
      <w:proofErr w:type="spellEnd"/>
      <w:r w:rsidRPr="00C86A74">
        <w:rPr>
          <w:rFonts w:ascii="Calibri" w:eastAsia="宋体" w:hAnsi="Calibri" w:cs="Calibri"/>
          <w:color w:val="EE0000"/>
          <w:sz w:val="24"/>
          <w14:ligatures w14:val="none"/>
        </w:rPr>
        <w:t xml:space="preserve"> seed extract enhances the anti-pancreatic cancer efficacy of gemcitabine through regulating ABCB1- and ABCG2-mediated drug efflux: a bioluminescent pharmacokinetic and pharmacodynamic study. Int J Mol Sci. 2019;20(21):5250.</w:t>
      </w:r>
      <w:bookmarkEnd w:id="9"/>
    </w:p>
    <w:p w14:paraId="65B2BAF5" w14:textId="37D4B6A3"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0" w:name="_Ref225697853"/>
      <w:r>
        <w:rPr>
          <w:rFonts w:ascii="Calibri" w:eastAsia="宋体" w:hAnsi="Calibri" w:cs="Calibri"/>
          <w:sz w:val="24"/>
          <w14:ligatures w14:val="none"/>
        </w:rPr>
        <w:t xml:space="preserve">Zhang D, Hop CECA, </w:t>
      </w:r>
      <w:proofErr w:type="spellStart"/>
      <w:r>
        <w:rPr>
          <w:rFonts w:ascii="Calibri" w:eastAsia="宋体" w:hAnsi="Calibri" w:cs="Calibri"/>
          <w:sz w:val="24"/>
          <w14:ligatures w14:val="none"/>
        </w:rPr>
        <w:t>Patilea</w:t>
      </w:r>
      <w:proofErr w:type="spellEnd"/>
      <w:r>
        <w:rPr>
          <w:rFonts w:ascii="Calibri" w:eastAsia="宋体" w:hAnsi="Calibri" w:cs="Calibri"/>
          <w:sz w:val="24"/>
          <w14:ligatures w14:val="none"/>
        </w:rPr>
        <w:t xml:space="preserve">-Vrana G, et al. Drug concentration asymmetry in tissues and plasma for small molecule-related therapeutic modalities. Drug </w:t>
      </w:r>
      <w:proofErr w:type="spellStart"/>
      <w:r>
        <w:rPr>
          <w:rFonts w:ascii="Calibri" w:eastAsia="宋体" w:hAnsi="Calibri" w:cs="Calibri"/>
          <w:sz w:val="24"/>
          <w14:ligatures w14:val="none"/>
        </w:rPr>
        <w:t>Metab</w:t>
      </w:r>
      <w:proofErr w:type="spellEnd"/>
      <w:r>
        <w:rPr>
          <w:rFonts w:ascii="Calibri" w:eastAsia="宋体" w:hAnsi="Calibri" w:cs="Calibri"/>
          <w:sz w:val="24"/>
          <w14:ligatures w14:val="none"/>
        </w:rPr>
        <w:t xml:space="preserve"> </w:t>
      </w:r>
      <w:proofErr w:type="spellStart"/>
      <w:r>
        <w:rPr>
          <w:rFonts w:ascii="Calibri" w:eastAsia="宋体" w:hAnsi="Calibri" w:cs="Calibri"/>
          <w:sz w:val="24"/>
          <w14:ligatures w14:val="none"/>
        </w:rPr>
        <w:t>Dispos</w:t>
      </w:r>
      <w:proofErr w:type="spellEnd"/>
      <w:r>
        <w:rPr>
          <w:rFonts w:ascii="Calibri" w:eastAsia="宋体" w:hAnsi="Calibri" w:cs="Calibri"/>
          <w:sz w:val="24"/>
          <w14:ligatures w14:val="none"/>
        </w:rPr>
        <w:t>. 2019;47(10):1122</w:t>
      </w:r>
      <w:r w:rsidR="00D95783" w:rsidRPr="00D95783">
        <w:rPr>
          <w:rFonts w:ascii="Calibri" w:eastAsia="宋体" w:hAnsi="Calibri" w:cs="Calibri"/>
          <w:sz w:val="24"/>
          <w14:ligatures w14:val="none"/>
        </w:rPr>
        <w:t>–</w:t>
      </w:r>
      <w:r>
        <w:rPr>
          <w:rFonts w:ascii="Calibri" w:eastAsia="宋体" w:hAnsi="Calibri" w:cs="Calibri"/>
          <w:sz w:val="24"/>
          <w14:ligatures w14:val="none"/>
        </w:rPr>
        <w:t xml:space="preserve">1135.  </w:t>
      </w:r>
      <w:bookmarkEnd w:id="10"/>
    </w:p>
    <w:p w14:paraId="14BB3A00" w14:textId="621A8632"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1" w:name="_Ref225697866"/>
      <w:r>
        <w:rPr>
          <w:rFonts w:ascii="Calibri" w:eastAsia="宋体" w:hAnsi="Calibri" w:cs="Calibri"/>
          <w:sz w:val="24"/>
          <w14:ligatures w14:val="none"/>
        </w:rPr>
        <w:t xml:space="preserve">Willmann JK, van Bruggen N, </w:t>
      </w:r>
      <w:proofErr w:type="spellStart"/>
      <w:r>
        <w:rPr>
          <w:rFonts w:ascii="Calibri" w:eastAsia="宋体" w:hAnsi="Calibri" w:cs="Calibri"/>
          <w:sz w:val="24"/>
          <w14:ligatures w14:val="none"/>
        </w:rPr>
        <w:t>Dinkelborg</w:t>
      </w:r>
      <w:proofErr w:type="spellEnd"/>
      <w:r>
        <w:rPr>
          <w:rFonts w:ascii="Calibri" w:eastAsia="宋体" w:hAnsi="Calibri" w:cs="Calibri"/>
          <w:sz w:val="24"/>
          <w14:ligatures w14:val="none"/>
        </w:rPr>
        <w:t xml:space="preserve"> LM, et al. Molecular imaging in drug development. Nat Rev Drug </w:t>
      </w:r>
      <w:proofErr w:type="spellStart"/>
      <w:r>
        <w:rPr>
          <w:rFonts w:ascii="Calibri" w:eastAsia="宋体" w:hAnsi="Calibri" w:cs="Calibri"/>
          <w:sz w:val="24"/>
          <w14:ligatures w14:val="none"/>
        </w:rPr>
        <w:t>Discov</w:t>
      </w:r>
      <w:proofErr w:type="spellEnd"/>
      <w:r>
        <w:rPr>
          <w:rFonts w:ascii="Calibri" w:eastAsia="宋体" w:hAnsi="Calibri" w:cs="Calibri"/>
          <w:sz w:val="24"/>
          <w14:ligatures w14:val="none"/>
        </w:rPr>
        <w:t>. 2008;7(7):591</w:t>
      </w:r>
      <w:r w:rsidR="00D95783" w:rsidRPr="00D95783">
        <w:rPr>
          <w:rFonts w:ascii="Calibri" w:eastAsia="宋体" w:hAnsi="Calibri" w:cs="Calibri"/>
          <w:sz w:val="24"/>
          <w14:ligatures w14:val="none"/>
        </w:rPr>
        <w:t>–</w:t>
      </w:r>
      <w:r>
        <w:rPr>
          <w:rFonts w:ascii="Calibri" w:eastAsia="宋体" w:hAnsi="Calibri" w:cs="Calibri"/>
          <w:sz w:val="24"/>
          <w14:ligatures w14:val="none"/>
        </w:rPr>
        <w:t>607.</w:t>
      </w:r>
      <w:bookmarkEnd w:id="11"/>
    </w:p>
    <w:p w14:paraId="6DACC22D"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2" w:name="_Ref225698020"/>
      <w:r>
        <w:rPr>
          <w:rFonts w:ascii="Calibri" w:eastAsia="宋体" w:hAnsi="Calibri" w:cs="Calibri"/>
          <w:sz w:val="24"/>
          <w14:ligatures w14:val="none"/>
        </w:rPr>
        <w:t>Ku B, Eisenbarth D, Baek S, et al. PRMT1 promotes pancreatic cancer development and resistance to chemotherapy. Cell Rep Med. 2024;5(3):101461.</w:t>
      </w:r>
      <w:bookmarkEnd w:id="12"/>
    </w:p>
    <w:p w14:paraId="17A230AF" w14:textId="54E47C6C"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3" w:name="_Ref227701622"/>
      <w:r>
        <w:rPr>
          <w:rFonts w:ascii="Calibri" w:eastAsia="宋体" w:hAnsi="Calibri" w:cs="Calibri"/>
          <w:sz w:val="24"/>
          <w14:ligatures w14:val="none"/>
        </w:rPr>
        <w:t xml:space="preserve">Wu Y, Zhang J, Tian Y, et al. 20(S)-Ginsenoside Rh2 overcomes gemcitabine resistance in pancreatic cancer by inhibiting LAMC2-modulated ABC transporters. J Adv Res. </w:t>
      </w:r>
      <w:proofErr w:type="gramStart"/>
      <w:r>
        <w:rPr>
          <w:rFonts w:ascii="Calibri" w:eastAsia="宋体" w:hAnsi="Calibri" w:cs="Calibri"/>
          <w:sz w:val="24"/>
          <w14:ligatures w14:val="none"/>
        </w:rPr>
        <w:t>2025;73:743</w:t>
      </w:r>
      <w:proofErr w:type="gramEnd"/>
      <w:r w:rsidR="00D95783" w:rsidRPr="00D95783">
        <w:rPr>
          <w:rFonts w:ascii="Calibri" w:eastAsia="宋体" w:hAnsi="Calibri" w:cs="Calibri"/>
          <w:sz w:val="24"/>
          <w14:ligatures w14:val="none"/>
        </w:rPr>
        <w:t>–</w:t>
      </w:r>
      <w:r>
        <w:rPr>
          <w:rFonts w:ascii="Calibri" w:eastAsia="宋体" w:hAnsi="Calibri" w:cs="Calibri"/>
          <w:sz w:val="24"/>
          <w14:ligatures w14:val="none"/>
        </w:rPr>
        <w:t>760.</w:t>
      </w:r>
      <w:bookmarkEnd w:id="13"/>
    </w:p>
    <w:p w14:paraId="443278A0"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4" w:name="_Ref238621348"/>
      <w:r>
        <w:rPr>
          <w:rFonts w:ascii="Calibri" w:eastAsia="宋体" w:hAnsi="Calibri" w:cs="Calibri"/>
          <w:color w:val="FF0000"/>
          <w:sz w:val="24"/>
          <w14:ligatures w14:val="none"/>
        </w:rPr>
        <w:t>Sun Y, Gu M, Zhu L</w:t>
      </w:r>
      <w:proofErr w:type="gramStart"/>
      <w:r>
        <w:rPr>
          <w:rFonts w:ascii="Calibri" w:eastAsia="宋体" w:hAnsi="Calibri" w:cs="Calibri"/>
          <w:color w:val="FF0000"/>
          <w:sz w:val="24"/>
          <w14:ligatures w14:val="none"/>
        </w:rPr>
        <w:t>, ,</w:t>
      </w:r>
      <w:proofErr w:type="gramEnd"/>
      <w:r>
        <w:rPr>
          <w:rFonts w:ascii="Calibri" w:eastAsia="宋体" w:hAnsi="Calibri" w:cs="Calibri"/>
          <w:color w:val="FF0000"/>
          <w:sz w:val="24"/>
          <w14:ligatures w14:val="none"/>
        </w:rPr>
        <w:t xml:space="preserve"> et al. Gemcitabine upregulates ABCG2/BCRP and modulates the intracellular pharmacokinetic profiles of bioluminescence in pancreatic cancer cells. Anticancer Drugs. 2016;27(3):183–191.</w:t>
      </w:r>
      <w:r>
        <w:rPr>
          <w:rFonts w:ascii="Calibri" w:eastAsia="宋体" w:hAnsi="Calibri" w:cs="Calibri"/>
          <w:sz w:val="24"/>
          <w14:ligatures w14:val="none"/>
        </w:rPr>
        <w:t xml:space="preserve"> </w:t>
      </w:r>
      <w:bookmarkEnd w:id="14"/>
    </w:p>
    <w:p w14:paraId="5F4A5DCD"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5" w:name="_Ref225698045"/>
      <w:r>
        <w:rPr>
          <w:rFonts w:ascii="Calibri" w:eastAsia="宋体" w:hAnsi="Calibri" w:cs="Calibri" w:hint="eastAsia"/>
          <w:sz w:val="24"/>
          <w14:ligatures w14:val="none"/>
        </w:rPr>
        <w:t xml:space="preserve">Patel A, Saraswat A, Patel H, et al. Palmitoyl carnitine-anchored nanoliposomes for </w:t>
      </w:r>
      <w:proofErr w:type="spellStart"/>
      <w:r>
        <w:rPr>
          <w:rFonts w:ascii="Calibri" w:eastAsia="宋体" w:hAnsi="Calibri" w:cs="Calibri" w:hint="eastAsia"/>
          <w:sz w:val="24"/>
          <w14:ligatures w14:val="none"/>
        </w:rPr>
        <w:t>neovasculature</w:t>
      </w:r>
      <w:proofErr w:type="spellEnd"/>
      <w:r>
        <w:rPr>
          <w:rFonts w:ascii="Calibri" w:eastAsia="宋体" w:hAnsi="Calibri" w:cs="Calibri" w:hint="eastAsia"/>
          <w:sz w:val="24"/>
          <w14:ligatures w14:val="none"/>
        </w:rPr>
        <w:t xml:space="preserve">-specific delivery of gemcitabine </w:t>
      </w:r>
      <w:proofErr w:type="spellStart"/>
      <w:r>
        <w:rPr>
          <w:rFonts w:ascii="Calibri" w:eastAsia="宋体" w:hAnsi="Calibri" w:cs="Calibri" w:hint="eastAsia"/>
          <w:sz w:val="24"/>
          <w14:ligatures w14:val="none"/>
        </w:rPr>
        <w:t>elaidate</w:t>
      </w:r>
      <w:proofErr w:type="spellEnd"/>
      <w:r>
        <w:rPr>
          <w:rFonts w:ascii="Calibri" w:eastAsia="宋体" w:hAnsi="Calibri" w:cs="Calibri" w:hint="eastAsia"/>
          <w:sz w:val="24"/>
          <w14:ligatures w14:val="none"/>
        </w:rPr>
        <w:t xml:space="preserve"> to treat pancreatic cancer. Cancers (Basel). </w:t>
      </w:r>
      <w:proofErr w:type="gramStart"/>
      <w:r>
        <w:rPr>
          <w:rFonts w:ascii="Calibri" w:eastAsia="宋体" w:hAnsi="Calibri" w:cs="Calibri" w:hint="eastAsia"/>
          <w:sz w:val="24"/>
          <w14:ligatures w14:val="none"/>
        </w:rPr>
        <w:t>2022;15:92</w:t>
      </w:r>
      <w:proofErr w:type="gramEnd"/>
      <w:r>
        <w:rPr>
          <w:rFonts w:ascii="Calibri" w:eastAsia="宋体" w:hAnsi="Calibri" w:cs="Calibri" w:hint="eastAsia"/>
          <w:sz w:val="24"/>
          <w14:ligatures w14:val="none"/>
        </w:rPr>
        <w:t>.</w:t>
      </w:r>
      <w:bookmarkEnd w:id="15"/>
    </w:p>
    <w:p w14:paraId="42FD6CD8" w14:textId="49BEB939"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6" w:name="_Ref225698065"/>
      <w:proofErr w:type="spellStart"/>
      <w:r>
        <w:rPr>
          <w:rFonts w:ascii="Calibri" w:eastAsia="宋体" w:hAnsi="Calibri" w:cs="Calibri"/>
          <w:sz w:val="24"/>
          <w14:ligatures w14:val="none"/>
        </w:rPr>
        <w:t>Yanova</w:t>
      </w:r>
      <w:proofErr w:type="spellEnd"/>
      <w:r>
        <w:rPr>
          <w:rFonts w:ascii="Calibri" w:eastAsia="宋体" w:hAnsi="Calibri" w:cs="Calibri"/>
          <w:sz w:val="24"/>
          <w14:ligatures w14:val="none"/>
        </w:rPr>
        <w:t xml:space="preserve"> MR, </w:t>
      </w:r>
      <w:proofErr w:type="spellStart"/>
      <w:r>
        <w:rPr>
          <w:rFonts w:ascii="Calibri" w:eastAsia="宋体" w:hAnsi="Calibri" w:cs="Calibri"/>
          <w:sz w:val="24"/>
          <w14:ligatures w14:val="none"/>
        </w:rPr>
        <w:t>Zhiyanov</w:t>
      </w:r>
      <w:proofErr w:type="spellEnd"/>
      <w:r>
        <w:rPr>
          <w:rFonts w:ascii="Calibri" w:eastAsia="宋体" w:hAnsi="Calibri" w:cs="Calibri"/>
          <w:sz w:val="24"/>
          <w14:ligatures w14:val="none"/>
        </w:rPr>
        <w:t xml:space="preserve"> AP, </w:t>
      </w:r>
      <w:proofErr w:type="spellStart"/>
      <w:r>
        <w:rPr>
          <w:rFonts w:ascii="Calibri" w:eastAsia="宋体" w:hAnsi="Calibri" w:cs="Calibri"/>
          <w:sz w:val="24"/>
          <w14:ligatures w14:val="none"/>
        </w:rPr>
        <w:t>Antipenko</w:t>
      </w:r>
      <w:proofErr w:type="spellEnd"/>
      <w:r>
        <w:rPr>
          <w:rFonts w:ascii="Calibri" w:eastAsia="宋体" w:hAnsi="Calibri" w:cs="Calibri"/>
          <w:sz w:val="24"/>
          <w14:ligatures w14:val="none"/>
        </w:rPr>
        <w:t xml:space="preserve"> ID, et al. Intracellular gemcitabine monophosphate levels predict chemotherapy efficacy in gemcitabine-treated patients with bladder cancer. </w:t>
      </w:r>
      <w:proofErr w:type="spellStart"/>
      <w:r>
        <w:rPr>
          <w:rFonts w:ascii="Calibri" w:eastAsia="宋体" w:hAnsi="Calibri" w:cs="Calibri"/>
          <w:sz w:val="24"/>
          <w14:ligatures w14:val="none"/>
        </w:rPr>
        <w:t>Dokl</w:t>
      </w:r>
      <w:proofErr w:type="spellEnd"/>
      <w:r>
        <w:rPr>
          <w:rFonts w:ascii="Calibri" w:eastAsia="宋体" w:hAnsi="Calibri" w:cs="Calibri"/>
          <w:sz w:val="24"/>
          <w14:ligatures w14:val="none"/>
        </w:rPr>
        <w:t xml:space="preserve"> </w:t>
      </w:r>
      <w:proofErr w:type="spellStart"/>
      <w:r>
        <w:rPr>
          <w:rFonts w:ascii="Calibri" w:eastAsia="宋体" w:hAnsi="Calibri" w:cs="Calibri"/>
          <w:sz w:val="24"/>
          <w14:ligatures w14:val="none"/>
        </w:rPr>
        <w:t>Biochem</w:t>
      </w:r>
      <w:proofErr w:type="spellEnd"/>
      <w:r>
        <w:rPr>
          <w:rFonts w:ascii="Calibri" w:eastAsia="宋体" w:hAnsi="Calibri" w:cs="Calibri"/>
          <w:sz w:val="24"/>
          <w14:ligatures w14:val="none"/>
        </w:rPr>
        <w:t xml:space="preserve"> Biophys. </w:t>
      </w:r>
      <w:proofErr w:type="gramStart"/>
      <w:r>
        <w:rPr>
          <w:rFonts w:ascii="Calibri" w:eastAsia="宋体" w:hAnsi="Calibri" w:cs="Calibri"/>
          <w:sz w:val="24"/>
          <w14:ligatures w14:val="none"/>
        </w:rPr>
        <w:t>2023;513:324</w:t>
      </w:r>
      <w:proofErr w:type="gramEnd"/>
      <w:r w:rsidR="00D95783" w:rsidRPr="00D95783">
        <w:rPr>
          <w:rFonts w:ascii="Calibri" w:eastAsia="宋体" w:hAnsi="Calibri" w:cs="Calibri"/>
          <w:sz w:val="24"/>
          <w14:ligatures w14:val="none"/>
        </w:rPr>
        <w:t>–</w:t>
      </w:r>
      <w:r>
        <w:rPr>
          <w:rFonts w:ascii="Calibri" w:eastAsia="宋体" w:hAnsi="Calibri" w:cs="Calibri"/>
          <w:sz w:val="24"/>
          <w14:ligatures w14:val="none"/>
        </w:rPr>
        <w:t>327.</w:t>
      </w:r>
      <w:bookmarkEnd w:id="16"/>
    </w:p>
    <w:p w14:paraId="0F457F7A" w14:textId="271EBD8D"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bookmarkStart w:id="17" w:name="_Ref227701685"/>
      <w:r>
        <w:rPr>
          <w:rFonts w:ascii="Calibri" w:eastAsia="宋体" w:hAnsi="Calibri" w:cs="Calibri"/>
          <w:sz w:val="24"/>
          <w14:ligatures w14:val="none"/>
        </w:rPr>
        <w:t xml:space="preserve">Ren J, Su T, Ding J, et al. Chlorophyllin exerts synergistic anti-tumor effect with gemcitabine in pancreatic cancer by inducing </w:t>
      </w:r>
      <w:proofErr w:type="spellStart"/>
      <w:r>
        <w:rPr>
          <w:rFonts w:ascii="Calibri" w:eastAsia="宋体" w:hAnsi="Calibri" w:cs="Calibri"/>
          <w:sz w:val="24"/>
          <w14:ligatures w14:val="none"/>
        </w:rPr>
        <w:t>cuproptosis</w:t>
      </w:r>
      <w:proofErr w:type="spellEnd"/>
      <w:r>
        <w:rPr>
          <w:rFonts w:ascii="Calibri" w:eastAsia="宋体" w:hAnsi="Calibri" w:cs="Calibri"/>
          <w:sz w:val="24"/>
          <w14:ligatures w14:val="none"/>
        </w:rPr>
        <w:t>. Mol Med. 2025;31(1):126</w:t>
      </w:r>
      <w:r>
        <w:rPr>
          <w:rFonts w:ascii="Calibri" w:eastAsia="宋体" w:hAnsi="Calibri" w:cs="Calibri" w:hint="eastAsia"/>
          <w:sz w:val="24"/>
          <w14:ligatures w14:val="none"/>
        </w:rPr>
        <w:t xml:space="preserve">. </w:t>
      </w:r>
      <w:bookmarkEnd w:id="17"/>
    </w:p>
    <w:p w14:paraId="78381919" w14:textId="77777777" w:rsidR="00BE1D3D" w:rsidRDefault="00000000">
      <w:pPr>
        <w:pStyle w:val="af3"/>
        <w:numPr>
          <w:ilvl w:val="0"/>
          <w:numId w:val="1"/>
        </w:numPr>
        <w:autoSpaceDE w:val="0"/>
        <w:adjustRightInd w:val="0"/>
        <w:snapToGrid w:val="0"/>
        <w:spacing w:after="0" w:line="240" w:lineRule="auto"/>
        <w:ind w:left="0" w:firstLine="0"/>
        <w:jc w:val="both"/>
        <w:rPr>
          <w:rFonts w:ascii="Calibri" w:eastAsia="宋体" w:hAnsi="Calibri" w:cs="Calibri"/>
          <w:sz w:val="24"/>
          <w14:ligatures w14:val="none"/>
        </w:rPr>
      </w:pPr>
      <w:r>
        <w:rPr>
          <w:rFonts w:ascii="Calibri" w:eastAsia="宋体" w:hAnsi="Calibri" w:cs="Calibri"/>
          <w:sz w:val="24"/>
          <w14:ligatures w14:val="none"/>
        </w:rPr>
        <w:br w:type="page"/>
      </w:r>
    </w:p>
    <w:p w14:paraId="1B27D39D" w14:textId="77777777" w:rsidR="00BE1D3D" w:rsidRDefault="00000000">
      <w:pPr>
        <w:autoSpaceDE w:val="0"/>
        <w:adjustRightInd w:val="0"/>
        <w:snapToGrid w:val="0"/>
        <w:spacing w:after="0" w:line="240" w:lineRule="auto"/>
        <w:jc w:val="both"/>
        <w:rPr>
          <w:rFonts w:ascii="Calibri" w:eastAsia="宋体" w:hAnsi="Calibri" w:cs="Calibri"/>
          <w:b/>
          <w:bCs/>
          <w:sz w:val="28"/>
          <w:szCs w:val="28"/>
          <w14:ligatures w14:val="none"/>
        </w:rPr>
      </w:pPr>
      <w:r>
        <w:rPr>
          <w:rFonts w:ascii="Calibri" w:eastAsia="宋体" w:hAnsi="Calibri" w:cs="Calibri" w:hint="eastAsia"/>
          <w:b/>
          <w:bCs/>
          <w:sz w:val="28"/>
          <w:szCs w:val="28"/>
          <w14:ligatures w14:val="none"/>
        </w:rPr>
        <w:lastRenderedPageBreak/>
        <w:t>Figure and Table Legends</w:t>
      </w:r>
    </w:p>
    <w:p w14:paraId="61EDE781"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Figure 1. Workflow for integrated LC</w:t>
      </w:r>
      <w:r>
        <w:rPr>
          <w:rFonts w:ascii="Calibri" w:eastAsia="宋体" w:hAnsi="Calibri" w:cs="Calibri" w:hint="eastAsia"/>
          <w:sz w:val="24"/>
          <w14:ligatures w14:val="none"/>
        </w:rPr>
        <w:t>-</w:t>
      </w:r>
      <w:r>
        <w:rPr>
          <w:rFonts w:ascii="Calibri" w:eastAsia="宋体" w:hAnsi="Calibri" w:cs="Calibri" w:hint="eastAsia"/>
          <w:b/>
          <w:bCs/>
          <w:sz w:val="24"/>
          <w14:ligatures w14:val="none"/>
        </w:rPr>
        <w:t>MS/MS</w:t>
      </w:r>
      <w:r>
        <w:rPr>
          <w:rFonts w:ascii="Calibri" w:eastAsia="宋体" w:hAnsi="Calibri" w:cs="Calibri" w:hint="eastAsia"/>
          <w:sz w:val="24"/>
          <w14:ligatures w14:val="none"/>
        </w:rPr>
        <w:t>-</w:t>
      </w:r>
      <w:r>
        <w:rPr>
          <w:rFonts w:ascii="Calibri" w:eastAsia="宋体" w:hAnsi="Calibri" w:cs="Calibri" w:hint="eastAsia"/>
          <w:b/>
          <w:bCs/>
          <w:sz w:val="24"/>
          <w14:ligatures w14:val="none"/>
        </w:rPr>
        <w:t>BLI pharmacokinetic</w:t>
      </w:r>
      <w:r>
        <w:rPr>
          <w:rFonts w:ascii="Calibri" w:eastAsia="宋体" w:hAnsi="Calibri" w:cs="Calibri" w:hint="eastAsia"/>
          <w:sz w:val="24"/>
          <w14:ligatures w14:val="none"/>
        </w:rPr>
        <w:t>-</w:t>
      </w:r>
      <w:r>
        <w:rPr>
          <w:rFonts w:ascii="Calibri" w:eastAsia="宋体" w:hAnsi="Calibri" w:cs="Calibri" w:hint="eastAsia"/>
          <w:b/>
          <w:bCs/>
          <w:sz w:val="24"/>
          <w14:ligatures w14:val="none"/>
        </w:rPr>
        <w:t>pharmacodynamic analysis.</w:t>
      </w:r>
    </w:p>
    <w:p w14:paraId="7ED725E9"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 xml:space="preserve">Schematic overview of the experimental workflow linking intracellular gemcitabine pharmacokinetics (PK) with functional pharmacodynamic (PD) responses in pancreatic cancer models. The workflow includes intracellular drug quantification by LC-MS/MS, </w:t>
      </w:r>
      <w:r>
        <w:rPr>
          <w:rFonts w:ascii="Calibri" w:eastAsia="宋体" w:hAnsi="Calibri" w:cs="Calibri" w:hint="eastAsia"/>
          <w:i/>
          <w:iCs/>
          <w:color w:val="FF0000"/>
          <w:sz w:val="24"/>
          <w14:ligatures w14:val="none"/>
        </w:rPr>
        <w:t>in vitro</w:t>
      </w:r>
      <w:r>
        <w:rPr>
          <w:rFonts w:ascii="Calibri" w:eastAsia="宋体" w:hAnsi="Calibri" w:cs="Calibri" w:hint="eastAsia"/>
          <w:color w:val="FF0000"/>
          <w:sz w:val="24"/>
          <w14:ligatures w14:val="none"/>
        </w:rPr>
        <w:t xml:space="preserve"> </w:t>
      </w:r>
      <w:r>
        <w:rPr>
          <w:rFonts w:ascii="Calibri" w:eastAsia="宋体" w:hAnsi="Calibri" w:cs="Calibri" w:hint="eastAsia"/>
          <w:sz w:val="24"/>
          <w14:ligatures w14:val="none"/>
        </w:rPr>
        <w:t>bioluminescence imaging (BLI) to monitor treatment-induced changes in viable cell burden, and longitudinal</w:t>
      </w:r>
      <w:r>
        <w:rPr>
          <w:rFonts w:ascii="Calibri" w:eastAsia="宋体" w:hAnsi="Calibri" w:cs="Calibri" w:hint="eastAsia"/>
          <w:i/>
          <w:iCs/>
          <w:sz w:val="24"/>
          <w14:ligatures w14:val="none"/>
        </w:rPr>
        <w:t xml:space="preserve"> </w:t>
      </w:r>
      <w:r>
        <w:rPr>
          <w:rFonts w:ascii="Calibri" w:eastAsia="宋体" w:hAnsi="Calibri" w:cs="Calibri" w:hint="eastAsia"/>
          <w:i/>
          <w:iCs/>
          <w:color w:val="FF0000"/>
          <w:sz w:val="24"/>
          <w14:ligatures w14:val="none"/>
        </w:rPr>
        <w:t>in vivo</w:t>
      </w:r>
      <w:r>
        <w:rPr>
          <w:rFonts w:ascii="Calibri" w:eastAsia="宋体" w:hAnsi="Calibri" w:cs="Calibri" w:hint="eastAsia"/>
          <w:i/>
          <w:iCs/>
          <w:sz w:val="24"/>
          <w14:ligatures w14:val="none"/>
        </w:rPr>
        <w:t xml:space="preserve"> </w:t>
      </w:r>
      <w:r>
        <w:rPr>
          <w:rFonts w:ascii="Calibri" w:eastAsia="宋体" w:hAnsi="Calibri" w:cs="Calibri" w:hint="eastAsia"/>
          <w:sz w:val="24"/>
          <w14:ligatures w14:val="none"/>
        </w:rPr>
        <w:t>BLI to evaluate tumor response in mouse models. Data obtained from LC-MS/MS and BLI measurements are integrated through normalization, parameter extraction, and two-step translational mapping to establish relationships between intracellular drug exposure and tumor growth inhibition.</w:t>
      </w:r>
    </w:p>
    <w:p w14:paraId="1ED66AFC"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22D30B75"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b/>
          <w:bCs/>
          <w:sz w:val="24"/>
          <w14:ligatures w14:val="none"/>
        </w:rPr>
        <w:t>Figure 2. Effect of CSE on intracellular gemcitabine accumulation.</w:t>
      </w:r>
    </w:p>
    <w:p w14:paraId="156B4D0A"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 xml:space="preserve">(A) Time-dependent intracellular accumulation of gemcitabine (GEM) following GEM monotherapy at 24, 48, and 72 h.(B) Intracellular GEM accumulation in cells pretreated with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 (CSE) for 24 or 48 h prior to exposure to GEM for 24 h.</w:t>
      </w:r>
    </w:p>
    <w:p w14:paraId="507741B0"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0A1FDA9A"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 xml:space="preserve">Figure 3. </w:t>
      </w:r>
      <w:r>
        <w:rPr>
          <w:rFonts w:ascii="Calibri" w:eastAsia="宋体" w:hAnsi="Calibri" w:cs="Calibri" w:hint="eastAsia"/>
          <w:b/>
          <w:bCs/>
          <w:i/>
          <w:iCs/>
          <w:color w:val="FF0000"/>
          <w:sz w:val="24"/>
          <w14:ligatures w14:val="none"/>
        </w:rPr>
        <w:t>In vitro</w:t>
      </w:r>
      <w:r>
        <w:rPr>
          <w:rFonts w:ascii="Calibri" w:eastAsia="宋体" w:hAnsi="Calibri" w:cs="Calibri" w:hint="eastAsia"/>
          <w:b/>
          <w:bCs/>
          <w:sz w:val="24"/>
          <w14:ligatures w14:val="none"/>
        </w:rPr>
        <w:t xml:space="preserve"> bioluminescence imaging (BLI) response and intracellular gemcitabine (GEM) accumulation in pancreatic cancer cells.</w:t>
      </w:r>
    </w:p>
    <w:p w14:paraId="22F8184E" w14:textId="5453765A" w:rsidR="009E250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(A</w:t>
      </w:r>
      <w:r>
        <w:rPr>
          <w:rFonts w:ascii="Calibri" w:eastAsia="宋体" w:hAnsi="Calibri" w:cs="Calibri"/>
          <w:color w:val="FF0000"/>
          <w:sz w:val="24"/>
          <w14:ligatures w14:val="none"/>
        </w:rPr>
        <w:t>–</w:t>
      </w:r>
      <w:r>
        <w:rPr>
          <w:rFonts w:ascii="Calibri" w:eastAsia="宋体" w:hAnsi="Calibri" w:cs="Calibri" w:hint="eastAsia"/>
          <w:sz w:val="24"/>
          <w14:ligatures w14:val="none"/>
        </w:rPr>
        <w:t xml:space="preserve">C) Time-dependent bioluminescence imaging (BLI) signals in BxPC-3-luc pancreatic cancer cells treated with solvent control, GEM,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 (CSE), or the combination of GEM + CSE for 24, 48, and 72 h. Photon flux values (</w:t>
      </w:r>
      <w:proofErr w:type="spellStart"/>
      <w:r>
        <w:rPr>
          <w:rFonts w:ascii="Calibri" w:eastAsia="宋体" w:hAnsi="Calibri" w:cs="Calibri" w:hint="eastAsia"/>
          <w:sz w:val="24"/>
          <w14:ligatures w14:val="none"/>
        </w:rPr>
        <w:t>BLI</w:t>
      </w:r>
      <w:r>
        <w:rPr>
          <w:rFonts w:ascii="Calibri" w:eastAsia="宋体" w:hAnsi="Calibri" w:cs="Calibri" w:hint="eastAsia"/>
          <w:sz w:val="24"/>
          <w:vertAlign w:val="subscript"/>
          <w14:ligatures w14:val="none"/>
        </w:rPr>
        <w:t>rel</w:t>
      </w:r>
      <w:proofErr w:type="spellEnd"/>
      <w:r>
        <w:rPr>
          <w:rFonts w:ascii="Calibri" w:eastAsia="宋体" w:hAnsi="Calibri" w:cs="Calibri" w:hint="eastAsia"/>
          <w:sz w:val="24"/>
          <w14:ligatures w14:val="none"/>
        </w:rPr>
        <w:t>) were normalized to total protein content to correct for variation in cell number.</w:t>
      </w:r>
      <w:r w:rsidR="00512493">
        <w:rPr>
          <w:rFonts w:ascii="Calibri" w:eastAsia="宋体" w:hAnsi="Calibri" w:cs="Calibri" w:hint="eastAsia"/>
          <w:sz w:val="24"/>
          <w14:ligatures w14:val="none"/>
        </w:rPr>
        <w:t xml:space="preserve"> </w:t>
      </w:r>
      <w:r>
        <w:rPr>
          <w:rFonts w:ascii="Calibri" w:eastAsia="宋体" w:hAnsi="Calibri" w:cs="Calibri" w:hint="eastAsia"/>
          <w:sz w:val="24"/>
          <w14:ligatures w14:val="none"/>
        </w:rPr>
        <w:t>(D) Intracellular GEM concentrations measured by LC-MS/MS at 24, 48, and 72 h in GEM and GEM+CSE treatment groups.</w:t>
      </w:r>
    </w:p>
    <w:p w14:paraId="6665B51E" w14:textId="77777777" w:rsidR="009357F4" w:rsidRPr="000526A8" w:rsidRDefault="009357F4">
      <w:pPr>
        <w:autoSpaceDE w:val="0"/>
        <w:adjustRightInd w:val="0"/>
        <w:snapToGrid w:val="0"/>
        <w:spacing w:after="0" w:line="240" w:lineRule="auto"/>
        <w:jc w:val="both"/>
        <w:rPr>
          <w:rFonts w:ascii="Calibri" w:eastAsia="宋体" w:hAnsi="Calibri" w:cs="Calibri"/>
          <w:color w:val="FF0000"/>
          <w:sz w:val="24"/>
          <w14:ligatures w14:val="none"/>
        </w:rPr>
      </w:pPr>
      <w:r w:rsidRPr="000526A8">
        <w:rPr>
          <w:rFonts w:ascii="Calibri" w:eastAsia="宋体" w:hAnsi="Calibri" w:cs="Calibri"/>
          <w:color w:val="FF0000"/>
          <w:sz w:val="24"/>
          <w14:ligatures w14:val="none"/>
        </w:rPr>
        <w:t xml:space="preserve">Data are presented as mean ± SD (n = 6 independent experiments). Paired comparisons between the GEM and GEM+CSE groups were performed separately at each predefined time point without multiple-comparison adjustment. Statistical significance is indicated as follows: </w:t>
      </w:r>
      <w:r w:rsidRPr="000526A8">
        <w:rPr>
          <w:rFonts w:ascii="Calibri" w:eastAsia="宋体" w:hAnsi="Calibri" w:cs="Calibri"/>
          <w:i/>
          <w:iCs/>
          <w:color w:val="FF0000"/>
          <w:sz w:val="24"/>
          <w:vertAlign w:val="superscript"/>
          <w14:ligatures w14:val="none"/>
        </w:rPr>
        <w:t>**</w:t>
      </w:r>
      <w:r w:rsidRPr="000526A8">
        <w:rPr>
          <w:rFonts w:ascii="Calibri" w:eastAsia="宋体" w:hAnsi="Calibri" w:cs="Calibri"/>
          <w:i/>
          <w:iCs/>
          <w:color w:val="FF0000"/>
          <w:sz w:val="24"/>
          <w14:ligatures w14:val="none"/>
        </w:rPr>
        <w:t>p</w:t>
      </w:r>
      <w:r w:rsidRPr="000526A8">
        <w:rPr>
          <w:rFonts w:ascii="Calibri" w:eastAsia="宋体" w:hAnsi="Calibri" w:cs="Calibri"/>
          <w:color w:val="FF0000"/>
          <w:sz w:val="24"/>
          <w14:ligatures w14:val="none"/>
        </w:rPr>
        <w:t xml:space="preserve"> &lt; 0.01 vs. GEM at 24 h; </w:t>
      </w:r>
      <w:r w:rsidRPr="000526A8">
        <w:rPr>
          <w:rFonts w:ascii="Calibri" w:eastAsia="宋体" w:hAnsi="Calibri" w:cs="Calibri"/>
          <w:i/>
          <w:iCs/>
          <w:color w:val="FF0000"/>
          <w:sz w:val="24"/>
          <w:vertAlign w:val="superscript"/>
          <w14:ligatures w14:val="none"/>
        </w:rPr>
        <w:t>##</w:t>
      </w:r>
      <w:r w:rsidRPr="000526A8">
        <w:rPr>
          <w:rFonts w:ascii="Calibri" w:eastAsia="宋体" w:hAnsi="Calibri" w:cs="Calibri"/>
          <w:i/>
          <w:iCs/>
          <w:color w:val="FF0000"/>
          <w:sz w:val="24"/>
          <w14:ligatures w14:val="none"/>
        </w:rPr>
        <w:t>p</w:t>
      </w:r>
      <w:r w:rsidRPr="000526A8">
        <w:rPr>
          <w:rFonts w:ascii="Calibri" w:eastAsia="宋体" w:hAnsi="Calibri" w:cs="Calibri"/>
          <w:color w:val="FF0000"/>
          <w:sz w:val="24"/>
          <w14:ligatures w14:val="none"/>
        </w:rPr>
        <w:t xml:space="preserve"> &lt; 0.01 vs. GEM at 48 h; </w:t>
      </w:r>
      <w:r w:rsidRPr="000526A8">
        <w:rPr>
          <w:rFonts w:ascii="Calibri" w:eastAsia="宋体" w:hAnsi="Calibri" w:cs="Calibri"/>
          <w:i/>
          <w:iCs/>
          <w:color w:val="FF0000"/>
          <w:sz w:val="24"/>
          <w:vertAlign w:val="superscript"/>
          <w14:ligatures w14:val="none"/>
        </w:rPr>
        <w:t>&amp;&amp;</w:t>
      </w:r>
      <w:r w:rsidRPr="000526A8">
        <w:rPr>
          <w:rFonts w:ascii="Calibri" w:eastAsia="宋体" w:hAnsi="Calibri" w:cs="Calibri"/>
          <w:i/>
          <w:iCs/>
          <w:color w:val="FF0000"/>
          <w:sz w:val="24"/>
          <w14:ligatures w14:val="none"/>
        </w:rPr>
        <w:t>p</w:t>
      </w:r>
      <w:r w:rsidRPr="000526A8">
        <w:rPr>
          <w:rFonts w:ascii="Calibri" w:eastAsia="宋体" w:hAnsi="Calibri" w:cs="Calibri"/>
          <w:color w:val="FF0000"/>
          <w:sz w:val="24"/>
          <w14:ligatures w14:val="none"/>
        </w:rPr>
        <w:t xml:space="preserve"> &lt; 0.01 vs. GEM at 72 h.</w:t>
      </w:r>
    </w:p>
    <w:p w14:paraId="63E5328B" w14:textId="7E498AFB" w:rsidR="00BE1D3D" w:rsidRDefault="00000000">
      <w:pPr>
        <w:autoSpaceDE w:val="0"/>
        <w:adjustRightInd w:val="0"/>
        <w:snapToGrid w:val="0"/>
        <w:spacing w:after="0" w:line="240" w:lineRule="auto"/>
        <w:jc w:val="both"/>
        <w:rPr>
          <w:rFonts w:ascii="Calibri" w:eastAsia="宋体" w:hAnsi="Calibri" w:cs="Calibri"/>
          <w:sz w:val="24"/>
          <w14:ligatures w14:val="none"/>
        </w:rPr>
      </w:pPr>
      <w:r w:rsidRPr="00F92C68">
        <w:rPr>
          <w:rFonts w:ascii="Calibri" w:eastAsia="宋体" w:hAnsi="Calibri" w:cs="Calibri" w:hint="eastAsia"/>
          <w:sz w:val="24"/>
          <w14:ligatures w14:val="none"/>
        </w:rPr>
        <w:t xml:space="preserve">Abbreviations: BLI, bioluminescence imaging; GEM, gemcitabine; CSE, </w:t>
      </w:r>
      <w:proofErr w:type="spellStart"/>
      <w:r w:rsidRPr="00F92C68">
        <w:rPr>
          <w:rFonts w:ascii="Calibri" w:eastAsia="宋体" w:hAnsi="Calibri" w:cs="Calibri" w:hint="eastAsia"/>
          <w:sz w:val="24"/>
          <w14:ligatures w14:val="none"/>
        </w:rPr>
        <w:t>Coix</w:t>
      </w:r>
      <w:proofErr w:type="spellEnd"/>
      <w:r w:rsidRPr="00F92C68">
        <w:rPr>
          <w:rFonts w:ascii="Calibri" w:eastAsia="宋体" w:hAnsi="Calibri" w:cs="Calibri" w:hint="eastAsia"/>
          <w:sz w:val="24"/>
          <w14:ligatures w14:val="none"/>
        </w:rPr>
        <w:t xml:space="preserve"> seed ext</w:t>
      </w:r>
      <w:r>
        <w:rPr>
          <w:rFonts w:ascii="Calibri" w:eastAsia="宋体" w:hAnsi="Calibri" w:cs="Calibri" w:hint="eastAsia"/>
          <w:sz w:val="24"/>
          <w14:ligatures w14:val="none"/>
        </w:rPr>
        <w:t>ract.</w:t>
      </w:r>
    </w:p>
    <w:p w14:paraId="6AD0DFD4"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6A27B6FB"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 xml:space="preserve">Figure 4. Quantitative pharmacokinetic parameters of </w:t>
      </w:r>
      <w:r>
        <w:rPr>
          <w:rFonts w:ascii="Calibri" w:eastAsia="宋体" w:hAnsi="Calibri" w:cs="Calibri" w:hint="eastAsia"/>
          <w:b/>
          <w:bCs/>
          <w:i/>
          <w:iCs/>
          <w:sz w:val="24"/>
          <w14:ligatures w14:val="none"/>
        </w:rPr>
        <w:t>in vitro</w:t>
      </w:r>
      <w:r>
        <w:rPr>
          <w:rFonts w:ascii="Calibri" w:eastAsia="宋体" w:hAnsi="Calibri" w:cs="Calibri" w:hint="eastAsia"/>
          <w:b/>
          <w:bCs/>
          <w:sz w:val="24"/>
          <w14:ligatures w14:val="none"/>
        </w:rPr>
        <w:t xml:space="preserve"> bioluminescence imaging (BLI) decay. </w:t>
      </w:r>
    </w:p>
    <w:p w14:paraId="2D0D3669" w14:textId="63D693A9" w:rsidR="00810A8E" w:rsidRPr="000526A8" w:rsidRDefault="00000000">
      <w:pPr>
        <w:autoSpaceDE w:val="0"/>
        <w:adjustRightInd w:val="0"/>
        <w:snapToGrid w:val="0"/>
        <w:spacing w:after="0" w:line="240" w:lineRule="auto"/>
        <w:jc w:val="both"/>
        <w:rPr>
          <w:rFonts w:ascii="Calibri" w:eastAsia="宋体" w:hAnsi="Calibri" w:cs="Calibri"/>
          <w:color w:val="FF0000"/>
          <w:sz w:val="24"/>
          <w14:ligatures w14:val="none"/>
        </w:rPr>
      </w:pPr>
      <w:r>
        <w:rPr>
          <w:rFonts w:ascii="Calibri" w:eastAsia="宋体" w:hAnsi="Calibri" w:cs="Calibri" w:hint="eastAsia"/>
          <w:sz w:val="24"/>
          <w14:ligatures w14:val="none"/>
        </w:rPr>
        <w:t>The bioluminescent decay profiles from BxPC-3-luc cells were analyzed using a non-compartmental model (DAS 4.0 software) at 24, 48, and 72 h. (A) Area under the curve (</w:t>
      </w:r>
      <w:proofErr w:type="spellStart"/>
      <w:r>
        <w:rPr>
          <w:rFonts w:ascii="Calibri" w:eastAsia="宋体" w:hAnsi="Calibri" w:cs="Calibri" w:hint="eastAsia"/>
          <w:sz w:val="24"/>
          <w14:ligatures w14:val="none"/>
        </w:rPr>
        <w:t>AUC</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representing total bioluminescent exposure. (B) Elimination rate constant (</w:t>
      </w:r>
      <w:proofErr w:type="spellStart"/>
      <w:r>
        <w:rPr>
          <w:rFonts w:ascii="Calibri" w:eastAsia="宋体" w:hAnsi="Calibri" w:cs="Calibri" w:hint="eastAsia"/>
          <w:sz w:val="24"/>
          <w14:ligatures w14:val="none"/>
        </w:rPr>
        <w:t>K</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indicating the rate of signal decay. (C) Mean residence time (</w:t>
      </w:r>
      <w:proofErr w:type="spellStart"/>
      <w:r>
        <w:rPr>
          <w:rFonts w:ascii="Calibri" w:eastAsia="宋体" w:hAnsi="Calibri" w:cs="Calibri" w:hint="eastAsia"/>
          <w:sz w:val="24"/>
          <w14:ligatures w14:val="none"/>
        </w:rPr>
        <w:t>MRT</w:t>
      </w:r>
      <w:r>
        <w:rPr>
          <w:rFonts w:ascii="Calibri" w:eastAsia="宋体" w:hAnsi="Calibri" w:cs="Calibri" w:hint="eastAsia"/>
          <w:sz w:val="24"/>
          <w:vertAlign w:val="subscript"/>
          <w14:ligatures w14:val="none"/>
        </w:rPr>
        <w:t>luc</w:t>
      </w:r>
      <w:proofErr w:type="spellEnd"/>
      <w:r>
        <w:rPr>
          <w:rFonts w:ascii="Calibri" w:eastAsia="宋体" w:hAnsi="Calibri" w:cs="Calibri" w:hint="eastAsia"/>
          <w:sz w:val="24"/>
          <w14:ligatures w14:val="none"/>
        </w:rPr>
        <w:t xml:space="preserve">), reflecting the average duration of the bioluminescent signal. </w:t>
      </w:r>
      <w:bookmarkStart w:id="18" w:name="OLE_LINK2"/>
      <w:r>
        <w:rPr>
          <w:rFonts w:ascii="Calibri" w:eastAsia="宋体" w:hAnsi="Calibri" w:cs="Calibri" w:hint="eastAsia"/>
          <w:sz w:val="24"/>
          <w14:ligatures w14:val="none"/>
        </w:rPr>
        <w:t xml:space="preserve">Data are presented as mean </w:t>
      </w:r>
      <w:r>
        <w:rPr>
          <w:rFonts w:ascii="Calibri" w:eastAsia="宋体" w:hAnsi="Calibri" w:cs="Calibri" w:hint="eastAsia"/>
          <w:sz w:val="24"/>
          <w14:ligatures w14:val="none"/>
        </w:rPr>
        <w:t>±</w:t>
      </w:r>
      <w:r>
        <w:rPr>
          <w:rFonts w:ascii="Calibri" w:eastAsia="宋体" w:hAnsi="Calibri" w:cs="Calibri" w:hint="eastAsia"/>
          <w:sz w:val="24"/>
          <w14:ligatures w14:val="none"/>
        </w:rPr>
        <w:t xml:space="preserve"> SD. </w:t>
      </w:r>
      <w:bookmarkEnd w:id="18"/>
      <w:r w:rsidR="00810A8E" w:rsidRPr="000526A8">
        <w:rPr>
          <w:rFonts w:ascii="Calibri" w:eastAsia="宋体" w:hAnsi="Calibri" w:cs="Calibri"/>
          <w:color w:val="FF0000"/>
          <w:sz w:val="24"/>
          <w14:ligatures w14:val="none"/>
        </w:rPr>
        <w:t xml:space="preserve">For comparisons between the Solvent and GEM groups across time points, a mixed-effects model with Dunnett’s multiple-comparisons adjustment was used, and the resulting adjusted </w:t>
      </w:r>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color w:val="FF0000"/>
          <w:sz w:val="24"/>
          <w14:ligatures w14:val="none"/>
        </w:rPr>
        <w:t xml:space="preserve">-values </w:t>
      </w:r>
      <w:proofErr w:type="gramStart"/>
      <w:r w:rsidR="00810A8E" w:rsidRPr="000526A8">
        <w:rPr>
          <w:rFonts w:ascii="Calibri" w:eastAsia="宋体" w:hAnsi="Calibri" w:cs="Calibri"/>
          <w:color w:val="FF0000"/>
          <w:sz w:val="24"/>
          <w14:ligatures w14:val="none"/>
        </w:rPr>
        <w:t>(</w:t>
      </w:r>
      <w:proofErr w:type="spellStart"/>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i/>
          <w:iCs/>
          <w:color w:val="FF0000"/>
          <w:sz w:val="24"/>
          <w:vertAlign w:val="subscript"/>
          <w14:ligatures w14:val="none"/>
        </w:rPr>
        <w:t>adj</w:t>
      </w:r>
      <w:proofErr w:type="spellEnd"/>
      <w:r w:rsidR="00810A8E" w:rsidRPr="000526A8">
        <w:rPr>
          <w:rFonts w:ascii="Calibri" w:eastAsia="宋体" w:hAnsi="Calibri" w:cs="Calibri"/>
          <w:color w:val="FF0000"/>
          <w:sz w:val="24"/>
          <w14:ligatures w14:val="none"/>
        </w:rPr>
        <w:t>)</w:t>
      </w:r>
      <w:proofErr w:type="gramEnd"/>
      <w:r w:rsidR="00810A8E" w:rsidRPr="000526A8">
        <w:rPr>
          <w:rFonts w:ascii="Calibri" w:eastAsia="宋体" w:hAnsi="Calibri" w:cs="Calibri"/>
          <w:color w:val="FF0000"/>
          <w:sz w:val="24"/>
          <w14:ligatures w14:val="none"/>
        </w:rPr>
        <w:t xml:space="preserve"> are reported. Comparisons between the GEM and GEM+CSE groups at each time point were performed using paired tests without adjustment for multiple comparisons, and the corresponding unadjusted </w:t>
      </w:r>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color w:val="FF0000"/>
          <w:sz w:val="24"/>
          <w14:ligatures w14:val="none"/>
        </w:rPr>
        <w:t>-values (</w:t>
      </w:r>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color w:val="FF0000"/>
          <w:sz w:val="24"/>
          <w14:ligatures w14:val="none"/>
        </w:rPr>
        <w:t>) are reported. Statistical significance is indicated as follows:</w:t>
      </w:r>
      <w:r w:rsidR="00810A8E" w:rsidRPr="000526A8">
        <w:rPr>
          <w:rFonts w:ascii="Calibri" w:eastAsia="宋体" w:hAnsi="Calibri" w:cs="Calibri"/>
          <w:i/>
          <w:iCs/>
          <w:color w:val="FF0000"/>
          <w:sz w:val="24"/>
          <w14:ligatures w14:val="none"/>
        </w:rPr>
        <w:t xml:space="preserve"> </w:t>
      </w:r>
      <w:r w:rsidR="00810A8E" w:rsidRPr="000526A8">
        <w:rPr>
          <w:rFonts w:ascii="Calibri" w:eastAsia="宋体" w:hAnsi="Calibri" w:cs="Calibri"/>
          <w:i/>
          <w:iCs/>
          <w:color w:val="FF0000"/>
          <w:sz w:val="24"/>
          <w:vertAlign w:val="superscript"/>
          <w14:ligatures w14:val="none"/>
        </w:rPr>
        <w:t>*</w:t>
      </w:r>
      <w:proofErr w:type="spellStart"/>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i/>
          <w:iCs/>
          <w:color w:val="FF0000"/>
          <w:sz w:val="24"/>
          <w:vertAlign w:val="subscript"/>
          <w14:ligatures w14:val="none"/>
        </w:rPr>
        <w:t>adj</w:t>
      </w:r>
      <w:proofErr w:type="spellEnd"/>
      <w:r w:rsidR="00810A8E" w:rsidRPr="000526A8">
        <w:rPr>
          <w:rFonts w:ascii="Calibri" w:eastAsia="宋体" w:hAnsi="Calibri" w:cs="Calibri"/>
          <w:color w:val="FF0000"/>
          <w:sz w:val="24"/>
          <w14:ligatures w14:val="none"/>
        </w:rPr>
        <w:t xml:space="preserve"> &lt; 0.05 and </w:t>
      </w:r>
      <w:r w:rsidR="00810A8E" w:rsidRPr="000526A8">
        <w:rPr>
          <w:rFonts w:ascii="Calibri" w:eastAsia="宋体" w:hAnsi="Calibri" w:cs="Calibri" w:hint="eastAsia"/>
          <w:i/>
          <w:iCs/>
          <w:color w:val="FF0000"/>
          <w:sz w:val="24"/>
          <w:vertAlign w:val="superscript"/>
          <w14:ligatures w14:val="none"/>
        </w:rPr>
        <w:t>**</w:t>
      </w:r>
      <w:proofErr w:type="spellStart"/>
      <w:r w:rsidR="00810A8E" w:rsidRPr="000526A8">
        <w:rPr>
          <w:rFonts w:ascii="Calibri" w:eastAsia="宋体" w:hAnsi="Calibri" w:cs="Calibri"/>
          <w:i/>
          <w:iCs/>
          <w:color w:val="FF0000"/>
          <w:sz w:val="24"/>
          <w14:ligatures w14:val="none"/>
        </w:rPr>
        <w:t>p</w:t>
      </w:r>
      <w:r w:rsidR="00810A8E" w:rsidRPr="000526A8">
        <w:rPr>
          <w:rFonts w:ascii="Calibri" w:eastAsia="宋体" w:hAnsi="Calibri" w:cs="Calibri"/>
          <w:i/>
          <w:iCs/>
          <w:color w:val="FF0000"/>
          <w:sz w:val="24"/>
          <w:vertAlign w:val="subscript"/>
          <w14:ligatures w14:val="none"/>
        </w:rPr>
        <w:t>adj</w:t>
      </w:r>
      <w:proofErr w:type="spellEnd"/>
      <w:r w:rsidR="00810A8E" w:rsidRPr="000526A8">
        <w:rPr>
          <w:rFonts w:ascii="Calibri" w:eastAsia="宋体" w:hAnsi="Calibri" w:cs="Calibri"/>
          <w:color w:val="FF0000"/>
          <w:sz w:val="24"/>
          <w14:ligatures w14:val="none"/>
        </w:rPr>
        <w:t xml:space="preserve"> &lt; 0.01 for comparisons between the GEM and Solvent groups; ns, not significant.</w:t>
      </w:r>
    </w:p>
    <w:p w14:paraId="7469D5DC" w14:textId="23451A43" w:rsidR="00BE1D3D" w:rsidRDefault="00000000">
      <w:pPr>
        <w:autoSpaceDE w:val="0"/>
        <w:adjustRightInd w:val="0"/>
        <w:snapToGrid w:val="0"/>
        <w:spacing w:after="0" w:line="240" w:lineRule="auto"/>
        <w:jc w:val="both"/>
        <w:rPr>
          <w:rFonts w:ascii="Calibri" w:eastAsia="宋体" w:hAnsi="Calibri" w:cs="Calibri"/>
          <w:sz w:val="24"/>
          <w14:ligatures w14:val="none"/>
        </w:rPr>
      </w:pPr>
      <w:r w:rsidRPr="00F92C68">
        <w:rPr>
          <w:rFonts w:ascii="Calibri" w:eastAsia="宋体" w:hAnsi="Calibri" w:cs="Calibri" w:hint="eastAsia"/>
          <w:sz w:val="24"/>
          <w14:ligatures w14:val="none"/>
        </w:rPr>
        <w:t xml:space="preserve">Abbreviations: </w:t>
      </w:r>
      <w:proofErr w:type="spellStart"/>
      <w:r w:rsidRPr="00F92C68">
        <w:rPr>
          <w:rFonts w:ascii="Calibri" w:eastAsia="宋体" w:hAnsi="Calibri" w:cs="Calibri"/>
          <w:color w:val="FF0000"/>
          <w:sz w:val="24"/>
          <w14:ligatures w14:val="none"/>
        </w:rPr>
        <w:t>AUC</w:t>
      </w:r>
      <w:r w:rsidRPr="00F92C68">
        <w:rPr>
          <w:rFonts w:ascii="Calibri" w:eastAsia="宋体" w:hAnsi="Calibri" w:cs="Calibri"/>
          <w:color w:val="FF0000"/>
          <w:sz w:val="24"/>
          <w:vertAlign w:val="subscript"/>
          <w14:ligatures w14:val="none"/>
        </w:rPr>
        <w:t>luc</w:t>
      </w:r>
      <w:proofErr w:type="spellEnd"/>
      <w:r w:rsidRPr="00F92C68">
        <w:rPr>
          <w:rFonts w:ascii="Calibri" w:eastAsia="宋体" w:hAnsi="Calibri" w:cs="Calibri"/>
          <w:color w:val="FF0000"/>
          <w:sz w:val="24"/>
          <w14:ligatures w14:val="none"/>
        </w:rPr>
        <w:t xml:space="preserve">, area under the normalized bioluminescence signal–time curve; </w:t>
      </w:r>
      <w:proofErr w:type="spellStart"/>
      <w:r w:rsidRPr="00F92C68">
        <w:rPr>
          <w:rFonts w:ascii="Calibri" w:eastAsia="宋体" w:hAnsi="Calibri" w:cs="Calibri"/>
          <w:color w:val="FF0000"/>
          <w:sz w:val="24"/>
          <w14:ligatures w14:val="none"/>
        </w:rPr>
        <w:t>K</w:t>
      </w:r>
      <w:r w:rsidRPr="00F92C68">
        <w:rPr>
          <w:rFonts w:ascii="Calibri" w:eastAsia="宋体" w:hAnsi="Calibri" w:cs="Calibri"/>
          <w:color w:val="FF0000"/>
          <w:sz w:val="24"/>
          <w:vertAlign w:val="subscript"/>
          <w14:ligatures w14:val="none"/>
        </w:rPr>
        <w:t>luc</w:t>
      </w:r>
      <w:proofErr w:type="spellEnd"/>
      <w:r w:rsidRPr="00F92C68">
        <w:rPr>
          <w:rFonts w:ascii="Calibri" w:eastAsia="宋体" w:hAnsi="Calibri" w:cs="Calibri"/>
          <w:color w:val="FF0000"/>
          <w:sz w:val="24"/>
          <w14:ligatures w14:val="none"/>
        </w:rPr>
        <w:t>, BLI</w:t>
      </w:r>
      <w:r>
        <w:rPr>
          <w:rFonts w:ascii="Calibri" w:eastAsia="宋体" w:hAnsi="Calibri" w:cs="Calibri"/>
          <w:color w:val="FF0000"/>
          <w:sz w:val="24"/>
          <w14:ligatures w14:val="none"/>
        </w:rPr>
        <w:t xml:space="preserve"> signal elimination rate constant; </w:t>
      </w:r>
      <w:proofErr w:type="spellStart"/>
      <w:r>
        <w:rPr>
          <w:rFonts w:ascii="Calibri" w:eastAsia="宋体" w:hAnsi="Calibri" w:cs="Calibri"/>
          <w:color w:val="FF0000"/>
          <w:sz w:val="24"/>
          <w14:ligatures w14:val="none"/>
        </w:rPr>
        <w:t>MRT</w:t>
      </w:r>
      <w:r>
        <w:rPr>
          <w:rFonts w:ascii="Calibri" w:eastAsia="宋体" w:hAnsi="Calibri" w:cs="Calibri"/>
          <w:color w:val="FF0000"/>
          <w:sz w:val="24"/>
          <w:vertAlign w:val="subscript"/>
          <w14:ligatures w14:val="none"/>
        </w:rPr>
        <w:t>luc</w:t>
      </w:r>
      <w:proofErr w:type="spellEnd"/>
      <w:r>
        <w:rPr>
          <w:rFonts w:ascii="Calibri" w:eastAsia="宋体" w:hAnsi="Calibri" w:cs="Calibri"/>
          <w:color w:val="FF0000"/>
          <w:sz w:val="24"/>
          <w14:ligatures w14:val="none"/>
        </w:rPr>
        <w:t>, mean residence time of the BLI signal</w:t>
      </w:r>
      <w:r>
        <w:rPr>
          <w:rFonts w:ascii="Calibri" w:eastAsia="宋体" w:hAnsi="Calibri" w:cs="Calibri" w:hint="eastAsia"/>
          <w:color w:val="FF0000"/>
          <w:sz w:val="24"/>
          <w14:ligatures w14:val="none"/>
        </w:rPr>
        <w:t>;</w:t>
      </w:r>
      <w:r>
        <w:rPr>
          <w:rFonts w:ascii="Calibri" w:eastAsia="宋体" w:hAnsi="Calibri" w:cs="Calibri" w:hint="eastAsia"/>
          <w:sz w:val="24"/>
          <w14:ligatures w14:val="none"/>
        </w:rPr>
        <w:t xml:space="preserve"> GEM, gemcitabine; CSE, </w:t>
      </w:r>
      <w:proofErr w:type="spellStart"/>
      <w:r>
        <w:rPr>
          <w:rFonts w:ascii="Calibri" w:eastAsia="宋体" w:hAnsi="Calibri" w:cs="Calibri" w:hint="eastAsia"/>
          <w:sz w:val="24"/>
          <w14:ligatures w14:val="none"/>
        </w:rPr>
        <w:t>Coix</w:t>
      </w:r>
      <w:proofErr w:type="spellEnd"/>
      <w:r>
        <w:rPr>
          <w:rFonts w:ascii="Calibri" w:eastAsia="宋体" w:hAnsi="Calibri" w:cs="Calibri" w:hint="eastAsia"/>
          <w:sz w:val="24"/>
          <w14:ligatures w14:val="none"/>
        </w:rPr>
        <w:t xml:space="preserve"> seed extract.</w:t>
      </w:r>
    </w:p>
    <w:p w14:paraId="1B3E3FF3"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3E281DD3"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Figure 5.</w:t>
      </w:r>
      <w:r>
        <w:rPr>
          <w:rFonts w:ascii="Calibri" w:eastAsia="宋体" w:hAnsi="Calibri" w:cs="Calibri" w:hint="eastAsia"/>
          <w:b/>
          <w:bCs/>
          <w:color w:val="FF0000"/>
          <w:sz w:val="24"/>
          <w14:ligatures w14:val="none"/>
        </w:rPr>
        <w:t xml:space="preserve"> </w:t>
      </w:r>
      <w:r>
        <w:rPr>
          <w:rFonts w:ascii="Calibri" w:eastAsia="宋体" w:hAnsi="Calibri" w:cs="Calibri" w:hint="eastAsia"/>
          <w:b/>
          <w:bCs/>
          <w:i/>
          <w:iCs/>
          <w:color w:val="FF0000"/>
          <w:sz w:val="24"/>
          <w14:ligatures w14:val="none"/>
        </w:rPr>
        <w:t>In vivo</w:t>
      </w:r>
      <w:r>
        <w:rPr>
          <w:rFonts w:ascii="Calibri" w:eastAsia="宋体" w:hAnsi="Calibri" w:cs="Calibri" w:hint="eastAsia"/>
          <w:b/>
          <w:bCs/>
          <w:sz w:val="24"/>
          <w14:ligatures w14:val="none"/>
        </w:rPr>
        <w:t xml:space="preserve"> anti-tumor efficacy and pharmacokinetic profiles of gemcitabine and </w:t>
      </w:r>
      <w:proofErr w:type="spellStart"/>
      <w:r>
        <w:rPr>
          <w:rFonts w:ascii="Calibri" w:eastAsia="宋体" w:hAnsi="Calibri" w:cs="Calibri" w:hint="eastAsia"/>
          <w:b/>
          <w:bCs/>
          <w:sz w:val="24"/>
          <w14:ligatures w14:val="none"/>
        </w:rPr>
        <w:t>Coix</w:t>
      </w:r>
      <w:proofErr w:type="spellEnd"/>
      <w:r>
        <w:rPr>
          <w:rFonts w:ascii="Calibri" w:eastAsia="宋体" w:hAnsi="Calibri" w:cs="Calibri" w:hint="eastAsia"/>
          <w:b/>
          <w:bCs/>
          <w:sz w:val="24"/>
          <w14:ligatures w14:val="none"/>
        </w:rPr>
        <w:t xml:space="preserve"> seed extract. </w:t>
      </w:r>
    </w:p>
    <w:p w14:paraId="687A63AF" w14:textId="02FACE73" w:rsidR="00C91831" w:rsidRPr="00C91831" w:rsidRDefault="00C91831" w:rsidP="00C91831">
      <w:pPr>
        <w:autoSpaceDE w:val="0"/>
        <w:adjustRightInd w:val="0"/>
        <w:snapToGrid w:val="0"/>
        <w:spacing w:after="0" w:line="240" w:lineRule="auto"/>
        <w:jc w:val="both"/>
        <w:rPr>
          <w:rFonts w:ascii="Calibri" w:eastAsia="宋体" w:hAnsi="Calibri" w:cs="Calibri"/>
          <w:color w:val="EE0000"/>
          <w:sz w:val="24"/>
          <w14:ligatures w14:val="none"/>
        </w:rPr>
      </w:pPr>
      <w:r w:rsidRPr="00C91831">
        <w:rPr>
          <w:rFonts w:ascii="Calibri" w:eastAsia="宋体" w:hAnsi="Calibri" w:cs="Calibri" w:hint="eastAsia"/>
          <w:sz w:val="24"/>
          <w14:ligatures w14:val="none"/>
        </w:rPr>
        <w:t>Relative tumor growth rate (T/C, %) in BxPC-3-luc xenograft models following treatment with solvent control, GEM, CSE, or GEM+CSE. (B) Area under the plasma concentration</w:t>
      </w:r>
      <w:r w:rsidRPr="00C91831">
        <w:rPr>
          <w:rFonts w:ascii="Calibri" w:eastAsia="宋体" w:hAnsi="Calibri" w:cs="Calibri"/>
          <w:sz w:val="24"/>
          <w14:ligatures w14:val="none"/>
        </w:rPr>
        <w:t>–</w:t>
      </w:r>
      <w:r w:rsidRPr="00C91831">
        <w:rPr>
          <w:rFonts w:ascii="Calibri" w:eastAsia="宋体" w:hAnsi="Calibri" w:cs="Calibri" w:hint="eastAsia"/>
          <w:sz w:val="24"/>
          <w14:ligatures w14:val="none"/>
        </w:rPr>
        <w:t>time curve (AUC</w:t>
      </w:r>
      <w:r w:rsidRPr="00C91831">
        <w:rPr>
          <w:rFonts w:ascii="Calibri" w:eastAsia="宋体" w:hAnsi="Calibri" w:cs="Calibri" w:hint="eastAsia"/>
          <w:sz w:val="24"/>
          <w:vertAlign w:val="subscript"/>
          <w14:ligatures w14:val="none"/>
        </w:rPr>
        <w:t>0</w:t>
      </w:r>
      <w:r w:rsidRPr="00C91831">
        <w:rPr>
          <w:rFonts w:ascii="Calibri" w:eastAsia="宋体" w:hAnsi="Calibri" w:cs="Calibri"/>
          <w:sz w:val="24"/>
          <w:vertAlign w:val="subscript"/>
          <w14:ligatures w14:val="none"/>
        </w:rPr>
        <w:t>–</w:t>
      </w:r>
      <w:r w:rsidRPr="00C91831">
        <w:rPr>
          <w:rFonts w:ascii="Calibri" w:eastAsia="宋体" w:hAnsi="Calibri" w:cs="Calibri" w:hint="eastAsia"/>
          <w:sz w:val="24"/>
          <w:vertAlign w:val="subscript"/>
          <w14:ligatures w14:val="none"/>
        </w:rPr>
        <w:t>t</w:t>
      </w:r>
      <w:r w:rsidRPr="00C91831">
        <w:rPr>
          <w:rFonts w:ascii="Calibri" w:eastAsia="宋体" w:hAnsi="Calibri" w:cs="Calibri" w:hint="eastAsia"/>
          <w:sz w:val="24"/>
          <w14:ligatures w14:val="none"/>
        </w:rPr>
        <w:t>). (C) Maximum plasma concentration (</w:t>
      </w:r>
      <w:proofErr w:type="spellStart"/>
      <w:r w:rsidRPr="00C91831">
        <w:rPr>
          <w:rFonts w:ascii="Calibri" w:eastAsia="宋体" w:hAnsi="Calibri" w:cs="Calibri" w:hint="eastAsia"/>
          <w:sz w:val="24"/>
          <w14:ligatures w14:val="none"/>
        </w:rPr>
        <w:t>C</w:t>
      </w:r>
      <w:r w:rsidRPr="00C91831">
        <w:rPr>
          <w:rFonts w:ascii="Calibri" w:eastAsia="宋体" w:hAnsi="Calibri" w:cs="Calibri" w:hint="eastAsia"/>
          <w:sz w:val="24"/>
          <w:vertAlign w:val="subscript"/>
          <w14:ligatures w14:val="none"/>
        </w:rPr>
        <w:t>max</w:t>
      </w:r>
      <w:proofErr w:type="spellEnd"/>
      <w:r w:rsidRPr="00C91831">
        <w:rPr>
          <w:rFonts w:ascii="Calibri" w:eastAsia="宋体" w:hAnsi="Calibri" w:cs="Calibri" w:hint="eastAsia"/>
          <w:sz w:val="24"/>
          <w14:ligatures w14:val="none"/>
        </w:rPr>
        <w:t>). (D) Elimination half-life (T</w:t>
      </w:r>
      <w:r w:rsidRPr="00C91831">
        <w:rPr>
          <w:rFonts w:ascii="Calibri" w:eastAsia="宋体" w:hAnsi="Calibri" w:cs="Calibri" w:hint="eastAsia"/>
          <w:sz w:val="24"/>
          <w:vertAlign w:val="subscript"/>
          <w14:ligatures w14:val="none"/>
        </w:rPr>
        <w:t>1/2</w:t>
      </w:r>
      <w:r w:rsidRPr="00C91831">
        <w:rPr>
          <w:rFonts w:ascii="Calibri" w:eastAsia="宋体" w:hAnsi="Calibri" w:cs="Calibri" w:hint="eastAsia"/>
          <w:sz w:val="24"/>
          <w14:ligatures w14:val="none"/>
        </w:rPr>
        <w:t>). The PK parameters shown in (B</w:t>
      </w:r>
      <w:r w:rsidRPr="00C91831">
        <w:rPr>
          <w:rFonts w:ascii="Calibri" w:eastAsia="宋体" w:hAnsi="Calibri" w:cs="Calibri"/>
          <w:sz w:val="24"/>
          <w14:ligatures w14:val="none"/>
        </w:rPr>
        <w:t>–</w:t>
      </w:r>
      <w:r w:rsidRPr="00C91831">
        <w:rPr>
          <w:rFonts w:ascii="Calibri" w:eastAsia="宋体" w:hAnsi="Calibri" w:cs="Calibri" w:hint="eastAsia"/>
          <w:sz w:val="24"/>
          <w14:ligatures w14:val="none"/>
        </w:rPr>
        <w:t>D) were recalculated from the plasma concentration</w:t>
      </w:r>
      <w:r w:rsidRPr="00C91831">
        <w:rPr>
          <w:rFonts w:ascii="Calibri" w:eastAsia="宋体" w:hAnsi="Calibri" w:cs="Calibri"/>
          <w:sz w:val="24"/>
          <w14:ligatures w14:val="none"/>
        </w:rPr>
        <w:t>–</w:t>
      </w:r>
      <w:r w:rsidRPr="00C91831">
        <w:rPr>
          <w:rFonts w:ascii="Calibri" w:eastAsia="宋体" w:hAnsi="Calibri" w:cs="Calibri" w:hint="eastAsia"/>
          <w:sz w:val="24"/>
          <w14:ligatures w14:val="none"/>
        </w:rPr>
        <w:t>time data reported in the corresponding source study and are presented as source-derived systemic PK parameters.</w:t>
      </w:r>
      <w:r w:rsidRPr="00C91831">
        <w:rPr>
          <w:rFonts w:ascii="Calibri" w:eastAsia="宋体" w:hAnsi="Calibri" w:cs="Calibri" w:hint="eastAsia"/>
          <w:color w:val="EE0000"/>
          <w:sz w:val="24"/>
          <w14:ligatures w14:val="none"/>
        </w:rPr>
        <w:t xml:space="preserve"> </w:t>
      </w:r>
      <w:r w:rsidRPr="00F92C68">
        <w:rPr>
          <w:rFonts w:ascii="Calibri" w:eastAsia="宋体" w:hAnsi="Calibri" w:cs="Calibri" w:hint="eastAsia"/>
          <w:color w:val="EE0000"/>
          <w:sz w:val="24"/>
          <w14:ligatures w14:val="none"/>
        </w:rPr>
        <w:t xml:space="preserve">Data are presented as mean </w:t>
      </w:r>
      <w:r w:rsidRPr="00F92C68">
        <w:rPr>
          <w:rFonts w:ascii="Calibri" w:eastAsia="宋体" w:hAnsi="Calibri" w:cs="Calibri" w:hint="eastAsia"/>
          <w:color w:val="EE0000"/>
          <w:sz w:val="24"/>
          <w14:ligatures w14:val="none"/>
        </w:rPr>
        <w:t>±</w:t>
      </w:r>
      <w:r w:rsidRPr="00F92C68">
        <w:rPr>
          <w:rFonts w:ascii="Calibri" w:eastAsia="宋体" w:hAnsi="Calibri" w:cs="Calibri" w:hint="eastAsia"/>
          <w:color w:val="EE0000"/>
          <w:sz w:val="24"/>
          <w14:ligatures w14:val="none"/>
        </w:rPr>
        <w:t xml:space="preserve"> SD. For panel A, longitudinal treatment effects were analyzed using a mixed-effects model, with Dunnett</w:t>
      </w:r>
      <w:r w:rsidRPr="00F92C68">
        <w:rPr>
          <w:rFonts w:ascii="Calibri" w:eastAsia="宋体" w:hAnsi="Calibri" w:cs="Calibri" w:hint="eastAsia"/>
          <w:color w:val="EE0000"/>
          <w:sz w:val="24"/>
          <w14:ligatures w14:val="none"/>
        </w:rPr>
        <w:t>’</w:t>
      </w:r>
      <w:r w:rsidRPr="00F92C68">
        <w:rPr>
          <w:rFonts w:ascii="Calibri" w:eastAsia="宋体" w:hAnsi="Calibri" w:cs="Calibri" w:hint="eastAsia"/>
          <w:color w:val="EE0000"/>
          <w:sz w:val="24"/>
          <w14:ligatures w14:val="none"/>
        </w:rPr>
        <w:t>s multiple-comparisons correction for comparisons with the solvent group. The prespecified GEM versus GEM+CSE comparison was analyzed using a paired test without multiple-comparison adjustment. Statistical significance is indicated as follows:</w:t>
      </w:r>
      <w:r w:rsidRPr="00F92C68">
        <w:rPr>
          <w:rFonts w:ascii="Calibri" w:eastAsia="宋体" w:hAnsi="Calibri" w:cs="Calibri" w:hint="eastAsia"/>
          <w:color w:val="EE0000"/>
          <w:sz w:val="24"/>
          <w:vertAlign w:val="superscript"/>
          <w14:ligatures w14:val="none"/>
        </w:rPr>
        <w:t xml:space="preserve"> </w:t>
      </w:r>
      <w:r w:rsidRPr="00F92C68">
        <w:rPr>
          <w:rFonts w:ascii="Calibri" w:eastAsia="宋体" w:hAnsi="Calibri" w:cs="Calibri" w:hint="eastAsia"/>
          <w:i/>
          <w:iCs/>
          <w:color w:val="EE0000"/>
          <w:sz w:val="24"/>
          <w:vertAlign w:val="superscript"/>
          <w14:ligatures w14:val="none"/>
        </w:rPr>
        <w:t>**</w:t>
      </w:r>
      <w:proofErr w:type="spellStart"/>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i/>
          <w:iCs/>
          <w:color w:val="EE0000"/>
          <w:sz w:val="24"/>
          <w:vertAlign w:val="subscript"/>
          <w14:ligatures w14:val="none"/>
        </w:rPr>
        <w:t>adj</w:t>
      </w:r>
      <w:proofErr w:type="spellEnd"/>
      <w:r w:rsidRPr="00F92C68">
        <w:rPr>
          <w:rFonts w:ascii="Calibri" w:eastAsia="宋体" w:hAnsi="Calibri" w:cs="Calibri" w:hint="eastAsia"/>
          <w:i/>
          <w:iCs/>
          <w:color w:val="EE0000"/>
          <w:sz w:val="24"/>
          <w14:ligatures w14:val="none"/>
        </w:rPr>
        <w:t xml:space="preserve"> </w:t>
      </w:r>
      <w:r w:rsidRPr="00F92C68">
        <w:rPr>
          <w:rFonts w:ascii="Calibri" w:eastAsia="宋体" w:hAnsi="Calibri" w:cs="Calibri" w:hint="eastAsia"/>
          <w:color w:val="EE0000"/>
          <w:sz w:val="24"/>
          <w14:ligatures w14:val="none"/>
        </w:rPr>
        <w:t xml:space="preserve">&lt; 0.01 versus the solvent group; </w:t>
      </w:r>
      <w:r w:rsidRPr="00F92C68">
        <w:rPr>
          <w:rFonts w:ascii="Calibri" w:eastAsia="宋体" w:hAnsi="Calibri" w:cs="Calibri" w:hint="eastAsia"/>
          <w:i/>
          <w:iCs/>
          <w:color w:val="EE0000"/>
          <w:sz w:val="24"/>
          <w:vertAlign w:val="superscript"/>
          <w14:ligatures w14:val="none"/>
        </w:rPr>
        <w:t>#</w:t>
      </w:r>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color w:val="EE0000"/>
          <w:sz w:val="24"/>
          <w14:ligatures w14:val="none"/>
        </w:rPr>
        <w:t xml:space="preserve"> &lt; 0.05 versus the GEM group. For panels B</w:t>
      </w:r>
      <w:r w:rsidRPr="00F92C68">
        <w:rPr>
          <w:rFonts w:ascii="Calibri" w:eastAsia="宋体" w:hAnsi="Calibri" w:cs="Calibri"/>
          <w:color w:val="EE0000"/>
          <w:sz w:val="24"/>
          <w14:ligatures w14:val="none"/>
        </w:rPr>
        <w:t>–</w:t>
      </w:r>
      <w:r w:rsidRPr="00F92C68">
        <w:rPr>
          <w:rFonts w:ascii="Calibri" w:eastAsia="宋体" w:hAnsi="Calibri" w:cs="Calibri" w:hint="eastAsia"/>
          <w:color w:val="EE0000"/>
          <w:sz w:val="24"/>
          <w14:ligatures w14:val="none"/>
        </w:rPr>
        <w:t>C,</w:t>
      </w:r>
      <w:r w:rsidRPr="00F92C68">
        <w:rPr>
          <w:rFonts w:ascii="Calibri" w:eastAsia="宋体" w:hAnsi="Calibri" w:cs="Calibri" w:hint="eastAsia"/>
          <w:i/>
          <w:iCs/>
          <w:color w:val="EE0000"/>
          <w:sz w:val="24"/>
          <w14:ligatures w14:val="none"/>
        </w:rPr>
        <w:t xml:space="preserve"> </w:t>
      </w:r>
      <w:r w:rsidRPr="00F92C68">
        <w:rPr>
          <w:rFonts w:ascii="Calibri" w:eastAsia="宋体" w:hAnsi="Calibri" w:cs="Calibri" w:hint="eastAsia"/>
          <w:i/>
          <w:iCs/>
          <w:color w:val="EE0000"/>
          <w:sz w:val="24"/>
          <w:vertAlign w:val="superscript"/>
          <w14:ligatures w14:val="none"/>
        </w:rPr>
        <w:t>**</w:t>
      </w:r>
      <w:proofErr w:type="spellStart"/>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i/>
          <w:iCs/>
          <w:color w:val="EE0000"/>
          <w:sz w:val="24"/>
          <w:vertAlign w:val="subscript"/>
          <w14:ligatures w14:val="none"/>
        </w:rPr>
        <w:t>adj</w:t>
      </w:r>
      <w:proofErr w:type="spellEnd"/>
      <w:r w:rsidRPr="00F92C68">
        <w:rPr>
          <w:rFonts w:ascii="Calibri" w:eastAsia="宋体" w:hAnsi="Calibri" w:cs="Calibri" w:hint="eastAsia"/>
          <w:color w:val="EE0000"/>
          <w:sz w:val="24"/>
          <w14:ligatures w14:val="none"/>
        </w:rPr>
        <w:t xml:space="preserve"> &lt; 0.01 versus the GEM group; for panel D, </w:t>
      </w:r>
      <w:r w:rsidRPr="00F92C68">
        <w:rPr>
          <w:rFonts w:ascii="Calibri" w:eastAsia="宋体" w:hAnsi="Calibri" w:cs="Calibri" w:hint="eastAsia"/>
          <w:i/>
          <w:iCs/>
          <w:color w:val="EE0000"/>
          <w:sz w:val="24"/>
          <w:vertAlign w:val="superscript"/>
          <w14:ligatures w14:val="none"/>
        </w:rPr>
        <w:t>*</w:t>
      </w:r>
      <w:proofErr w:type="spellStart"/>
      <w:r w:rsidRPr="00F92C68">
        <w:rPr>
          <w:rFonts w:ascii="Calibri" w:eastAsia="宋体" w:hAnsi="Calibri" w:cs="Calibri" w:hint="eastAsia"/>
          <w:i/>
          <w:iCs/>
          <w:color w:val="EE0000"/>
          <w:sz w:val="24"/>
          <w14:ligatures w14:val="none"/>
        </w:rPr>
        <w:t>p</w:t>
      </w:r>
      <w:r w:rsidRPr="00F92C68">
        <w:rPr>
          <w:rFonts w:ascii="Calibri" w:eastAsia="宋体" w:hAnsi="Calibri" w:cs="Calibri" w:hint="eastAsia"/>
          <w:i/>
          <w:iCs/>
          <w:color w:val="EE0000"/>
          <w:sz w:val="24"/>
          <w:vertAlign w:val="subscript"/>
          <w14:ligatures w14:val="none"/>
        </w:rPr>
        <w:t>adj</w:t>
      </w:r>
      <w:proofErr w:type="spellEnd"/>
      <w:r w:rsidRPr="00F92C68">
        <w:rPr>
          <w:rFonts w:ascii="Calibri" w:eastAsia="宋体" w:hAnsi="Calibri" w:cs="Calibri" w:hint="eastAsia"/>
          <w:color w:val="EE0000"/>
          <w:sz w:val="24"/>
          <w14:ligatures w14:val="none"/>
        </w:rPr>
        <w:t xml:space="preserve"> &lt; 0.05 versus the GEM group.</w:t>
      </w:r>
    </w:p>
    <w:p w14:paraId="23831EFD" w14:textId="7F728C39" w:rsidR="00BE1D3D" w:rsidRPr="00C91831" w:rsidRDefault="00000000" w:rsidP="00C91831">
      <w:pPr>
        <w:autoSpaceDE w:val="0"/>
        <w:adjustRightInd w:val="0"/>
        <w:snapToGrid w:val="0"/>
        <w:spacing w:after="0" w:line="240" w:lineRule="auto"/>
        <w:jc w:val="both"/>
        <w:rPr>
          <w:rFonts w:ascii="Calibri" w:eastAsia="宋体" w:hAnsi="Calibri" w:cs="Calibri"/>
          <w:sz w:val="24"/>
          <w14:ligatures w14:val="none"/>
        </w:rPr>
      </w:pPr>
      <w:r w:rsidRPr="00C91831">
        <w:rPr>
          <w:rFonts w:ascii="Calibri" w:eastAsia="宋体" w:hAnsi="Calibri" w:cs="Calibri"/>
          <w:sz w:val="24"/>
          <w14:ligatures w14:val="none"/>
        </w:rPr>
        <w:t xml:space="preserve">Abbreviations: GEM, gemcitabine; CSE, </w:t>
      </w:r>
      <w:proofErr w:type="spellStart"/>
      <w:r w:rsidRPr="00C91831">
        <w:rPr>
          <w:rFonts w:ascii="Calibri" w:eastAsia="宋体" w:hAnsi="Calibri" w:cs="Calibri"/>
          <w:sz w:val="24"/>
          <w14:ligatures w14:val="none"/>
        </w:rPr>
        <w:t>Coix</w:t>
      </w:r>
      <w:proofErr w:type="spellEnd"/>
      <w:r w:rsidRPr="00C91831">
        <w:rPr>
          <w:rFonts w:ascii="Calibri" w:eastAsia="宋体" w:hAnsi="Calibri" w:cs="Calibri"/>
          <w:sz w:val="24"/>
          <w14:ligatures w14:val="none"/>
        </w:rPr>
        <w:t xml:space="preserve"> seed extract; T/C, treatment/control ratio; AUC</w:t>
      </w:r>
      <w:r w:rsidRPr="00C91831">
        <w:rPr>
          <w:rFonts w:ascii="Calibri" w:eastAsia="宋体" w:hAnsi="Calibri" w:cs="Calibri" w:hint="eastAsia"/>
          <w:sz w:val="24"/>
          <w:vertAlign w:val="subscript"/>
          <w14:ligatures w14:val="none"/>
        </w:rPr>
        <w:t>0-</w:t>
      </w:r>
      <w:r w:rsidRPr="00C91831">
        <w:rPr>
          <w:rFonts w:ascii="Calibri" w:eastAsia="宋体" w:hAnsi="Calibri" w:cs="Calibri"/>
          <w:sz w:val="24"/>
          <w:vertAlign w:val="subscript"/>
          <w14:ligatures w14:val="none"/>
        </w:rPr>
        <w:t>t</w:t>
      </w:r>
      <w:r w:rsidRPr="00C91831">
        <w:rPr>
          <w:rFonts w:ascii="Calibri" w:eastAsia="宋体" w:hAnsi="Calibri" w:cs="Calibri"/>
          <w:sz w:val="24"/>
          <w14:ligatures w14:val="none"/>
        </w:rPr>
        <w:t>, area under the plasma concentration</w:t>
      </w:r>
      <w:r w:rsidR="00F171B5" w:rsidRPr="00C91831">
        <w:rPr>
          <w:rFonts w:ascii="Calibri" w:eastAsia="宋体" w:hAnsi="Calibri" w:cs="Calibri"/>
          <w:color w:val="EE0000"/>
          <w:sz w:val="24"/>
          <w14:ligatures w14:val="none"/>
        </w:rPr>
        <w:t>–</w:t>
      </w:r>
      <w:r w:rsidRPr="00C91831">
        <w:rPr>
          <w:rFonts w:ascii="Calibri" w:eastAsia="宋体" w:hAnsi="Calibri" w:cs="Calibri"/>
          <w:sz w:val="24"/>
          <w14:ligatures w14:val="none"/>
        </w:rPr>
        <w:t xml:space="preserve">time curve; </w:t>
      </w:r>
      <w:proofErr w:type="spellStart"/>
      <w:r w:rsidRPr="00C91831">
        <w:rPr>
          <w:rFonts w:ascii="Calibri" w:eastAsia="宋体" w:hAnsi="Calibri" w:cs="Calibri"/>
          <w:sz w:val="24"/>
          <w14:ligatures w14:val="none"/>
        </w:rPr>
        <w:t>C</w:t>
      </w:r>
      <w:r w:rsidRPr="00C91831">
        <w:rPr>
          <w:rFonts w:ascii="Calibri" w:eastAsia="宋体" w:hAnsi="Calibri" w:cs="Calibri"/>
          <w:sz w:val="24"/>
          <w:vertAlign w:val="subscript"/>
          <w14:ligatures w14:val="none"/>
        </w:rPr>
        <w:t>max</w:t>
      </w:r>
      <w:proofErr w:type="spellEnd"/>
      <w:r w:rsidRPr="00C91831">
        <w:rPr>
          <w:rFonts w:ascii="Calibri" w:eastAsia="宋体" w:hAnsi="Calibri" w:cs="Calibri"/>
          <w:sz w:val="24"/>
          <w14:ligatures w14:val="none"/>
        </w:rPr>
        <w:t>, maximum plasma concentration; T</w:t>
      </w:r>
      <w:r w:rsidRPr="00C91831">
        <w:rPr>
          <w:rFonts w:ascii="Calibri" w:eastAsia="宋体" w:hAnsi="Calibri" w:cs="Calibri" w:hint="eastAsia"/>
          <w:sz w:val="24"/>
          <w:vertAlign w:val="subscript"/>
          <w14:ligatures w14:val="none"/>
        </w:rPr>
        <w:t>1/2</w:t>
      </w:r>
      <w:r w:rsidRPr="00C91831">
        <w:rPr>
          <w:rFonts w:ascii="Calibri" w:eastAsia="宋体" w:hAnsi="Calibri" w:cs="Calibri"/>
          <w:sz w:val="24"/>
          <w14:ligatures w14:val="none"/>
        </w:rPr>
        <w:t>, elimination half-life.</w:t>
      </w:r>
    </w:p>
    <w:p w14:paraId="7848960A"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3CDE7912" w14:textId="77777777" w:rsidR="00D95783" w:rsidRPr="00444CEC" w:rsidRDefault="00000000">
      <w:pPr>
        <w:autoSpaceDE w:val="0"/>
        <w:adjustRightInd w:val="0"/>
        <w:snapToGrid w:val="0"/>
        <w:spacing w:after="0" w:line="240" w:lineRule="auto"/>
        <w:jc w:val="both"/>
        <w:rPr>
          <w:rFonts w:ascii="Calibri" w:eastAsia="宋体" w:hAnsi="Calibri" w:cs="Calibri"/>
          <w:b/>
          <w:bCs/>
          <w:color w:val="FF0000"/>
          <w:sz w:val="24"/>
          <w14:ligatures w14:val="none"/>
        </w:rPr>
      </w:pPr>
      <w:r w:rsidRPr="00444CEC">
        <w:rPr>
          <w:rFonts w:ascii="Calibri" w:eastAsia="宋体" w:hAnsi="Calibri" w:cs="Calibri"/>
          <w:b/>
          <w:bCs/>
          <w:color w:val="FF0000"/>
          <w:sz w:val="24"/>
          <w14:ligatures w14:val="none"/>
        </w:rPr>
        <w:t xml:space="preserve">Figure 6. Associations between BLI-derived exposure parameters and pharmacodynamic endpoints. </w:t>
      </w:r>
    </w:p>
    <w:p w14:paraId="13B0FE70" w14:textId="5AC61DA7" w:rsidR="00BE1D3D" w:rsidRDefault="000B40F1" w:rsidP="000B40F1">
      <w:pPr>
        <w:autoSpaceDE w:val="0"/>
        <w:adjustRightInd w:val="0"/>
        <w:snapToGrid w:val="0"/>
        <w:spacing w:after="0" w:line="240" w:lineRule="auto"/>
        <w:jc w:val="both"/>
        <w:rPr>
          <w:rFonts w:ascii="Calibri" w:eastAsia="宋体" w:hAnsi="Calibri" w:cs="Calibri"/>
          <w:sz w:val="24"/>
          <w14:ligatures w14:val="none"/>
        </w:rPr>
      </w:pPr>
      <w:r w:rsidRPr="00444CEC">
        <w:rPr>
          <w:rFonts w:ascii="Calibri" w:eastAsia="宋体" w:hAnsi="Calibri" w:cs="Calibri"/>
          <w:color w:val="FF0000"/>
          <w:sz w:val="24"/>
          <w14:ligatures w14:val="none"/>
        </w:rPr>
        <w:t xml:space="preserve">(A) Relationship between </w:t>
      </w:r>
      <w:r w:rsidRPr="00444CEC">
        <w:rPr>
          <w:rFonts w:ascii="Calibri" w:eastAsia="宋体" w:hAnsi="Calibri" w:cs="Calibri"/>
          <w:i/>
          <w:iCs/>
          <w:color w:val="FF0000"/>
          <w:sz w:val="24"/>
          <w14:ligatures w14:val="none"/>
        </w:rPr>
        <w:t>in vitro</w:t>
      </w:r>
      <w:r w:rsidRPr="00444CEC">
        <w:rPr>
          <w:rFonts w:ascii="Calibri" w:eastAsia="宋体" w:hAnsi="Calibri" w:cs="Calibri"/>
          <w:color w:val="FF0000"/>
          <w:sz w:val="24"/>
          <w14:ligatures w14:val="none"/>
        </w:rPr>
        <w:t xml:space="preserve"> IC₅₀ (</w:t>
      </w:r>
      <w:proofErr w:type="spellStart"/>
      <w:r w:rsidRPr="00444CEC">
        <w:rPr>
          <w:rFonts w:ascii="Calibri" w:eastAsia="宋体" w:hAnsi="Calibri" w:cs="Calibri"/>
          <w:color w:val="FF0000"/>
          <w:sz w:val="24"/>
          <w14:ligatures w14:val="none"/>
        </w:rPr>
        <w:t>μM</w:t>
      </w:r>
      <w:proofErr w:type="spellEnd"/>
      <w:r w:rsidRPr="00444CEC">
        <w:rPr>
          <w:rFonts w:ascii="Calibri" w:eastAsia="宋体" w:hAnsi="Calibri" w:cs="Calibri"/>
          <w:color w:val="FF0000"/>
          <w:sz w:val="24"/>
          <w14:ligatures w14:val="none"/>
        </w:rPr>
        <w:t xml:space="preserve">) and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vitro</w:t>
      </w:r>
      <w:proofErr w:type="spellEnd"/>
      <w:r w:rsidRPr="00444CEC">
        <w:rPr>
          <w:rFonts w:ascii="Calibri" w:eastAsia="宋体" w:hAnsi="Calibri" w:cs="Calibri"/>
          <w:color w:val="FF0000"/>
          <w:sz w:val="24"/>
          <w14:ligatures w14:val="none"/>
        </w:rPr>
        <w:t xml:space="preserve">, where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vitro</w:t>
      </w:r>
      <w:proofErr w:type="spellEnd"/>
      <w:r w:rsidRPr="00444CEC">
        <w:rPr>
          <w:rFonts w:ascii="Calibri" w:eastAsia="宋体" w:hAnsi="Calibri" w:cs="Calibri"/>
          <w:color w:val="FF0000"/>
          <w:sz w:val="24"/>
          <w14:ligatures w14:val="none"/>
        </w:rPr>
        <w:t xml:space="preserve"> denotes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luc</w:t>
      </w:r>
      <w:proofErr w:type="spellEnd"/>
      <w:r w:rsidRPr="00444CEC">
        <w:rPr>
          <w:rFonts w:ascii="Calibri" w:eastAsia="宋体" w:hAnsi="Calibri" w:cs="Calibri"/>
          <w:color w:val="FF0000"/>
          <w:sz w:val="24"/>
          <w14:ligatures w14:val="none"/>
        </w:rPr>
        <w:t xml:space="preserve"> calculated from the </w:t>
      </w:r>
      <w:r w:rsidRPr="00444CEC">
        <w:rPr>
          <w:rFonts w:ascii="Calibri" w:eastAsia="宋体" w:hAnsi="Calibri" w:cs="Calibri"/>
          <w:i/>
          <w:iCs/>
          <w:color w:val="FF0000"/>
          <w:sz w:val="24"/>
          <w14:ligatures w14:val="none"/>
        </w:rPr>
        <w:t>in vitro</w:t>
      </w:r>
      <w:r w:rsidRPr="00444CEC">
        <w:rPr>
          <w:rFonts w:ascii="Calibri" w:eastAsia="宋体" w:hAnsi="Calibri" w:cs="Calibri"/>
          <w:color w:val="FF0000"/>
          <w:sz w:val="24"/>
          <w14:ligatures w14:val="none"/>
        </w:rPr>
        <w:t xml:space="preserve"> BLI signal–time profile. (B) Relationship between </w:t>
      </w:r>
      <w:r w:rsidRPr="00444CEC">
        <w:rPr>
          <w:rFonts w:ascii="Calibri" w:eastAsia="宋体" w:hAnsi="Calibri" w:cs="Calibri"/>
          <w:i/>
          <w:iCs/>
          <w:color w:val="FF0000"/>
          <w:sz w:val="24"/>
          <w14:ligatures w14:val="none"/>
        </w:rPr>
        <w:t>in vivo</w:t>
      </w:r>
      <w:r w:rsidRPr="00444CEC">
        <w:rPr>
          <w:rFonts w:ascii="Calibri" w:eastAsia="宋体" w:hAnsi="Calibri" w:cs="Calibri"/>
          <w:color w:val="FF0000"/>
          <w:sz w:val="24"/>
          <w14:ligatures w14:val="none"/>
        </w:rPr>
        <w:t xml:space="preserve"> TGI and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vivo</w:t>
      </w:r>
      <w:proofErr w:type="spellEnd"/>
      <w:r w:rsidRPr="00444CEC">
        <w:rPr>
          <w:rFonts w:ascii="Calibri" w:eastAsia="宋体" w:hAnsi="Calibri" w:cs="Calibri"/>
          <w:color w:val="FF0000"/>
          <w:sz w:val="24"/>
          <w14:ligatures w14:val="none"/>
        </w:rPr>
        <w:t xml:space="preserve">, where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vivo</w:t>
      </w:r>
      <w:proofErr w:type="spellEnd"/>
      <w:r w:rsidRPr="00444CEC">
        <w:rPr>
          <w:rFonts w:ascii="Calibri" w:eastAsia="宋体" w:hAnsi="Calibri" w:cs="Calibri"/>
          <w:color w:val="FF0000"/>
          <w:sz w:val="24"/>
          <w14:ligatures w14:val="none"/>
        </w:rPr>
        <w:t xml:space="preserve"> denotes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luc</w:t>
      </w:r>
      <w:proofErr w:type="spellEnd"/>
      <w:r w:rsidRPr="00444CEC">
        <w:rPr>
          <w:rFonts w:ascii="Calibri" w:eastAsia="宋体" w:hAnsi="Calibri" w:cs="Calibri"/>
          <w:color w:val="FF0000"/>
          <w:sz w:val="24"/>
          <w14:ligatures w14:val="none"/>
        </w:rPr>
        <w:t xml:space="preserve"> calculated from the </w:t>
      </w:r>
      <w:r w:rsidRPr="00444CEC">
        <w:rPr>
          <w:rFonts w:ascii="Calibri" w:eastAsia="宋体" w:hAnsi="Calibri" w:cs="Calibri"/>
          <w:i/>
          <w:iCs/>
          <w:color w:val="FF0000"/>
          <w:sz w:val="24"/>
          <w14:ligatures w14:val="none"/>
        </w:rPr>
        <w:t>in vivo</w:t>
      </w:r>
      <w:r w:rsidRPr="00444CEC">
        <w:rPr>
          <w:rFonts w:ascii="Calibri" w:eastAsia="宋体" w:hAnsi="Calibri" w:cs="Calibri"/>
          <w:color w:val="FF0000"/>
          <w:sz w:val="24"/>
          <w14:ligatures w14:val="none"/>
        </w:rPr>
        <w:t xml:space="preserve"> BLI signal–time profile. (C) Relationship between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vitro</w:t>
      </w:r>
      <w:proofErr w:type="spellEnd"/>
      <w:r w:rsidRPr="00444CEC">
        <w:rPr>
          <w:rFonts w:ascii="Calibri" w:eastAsia="宋体" w:hAnsi="Calibri" w:cs="Calibri"/>
          <w:color w:val="FF0000"/>
          <w:sz w:val="24"/>
          <w14:ligatures w14:val="none"/>
        </w:rPr>
        <w:t xml:space="preserve"> and </w:t>
      </w:r>
      <w:proofErr w:type="spellStart"/>
      <w:r w:rsidRPr="00444CEC">
        <w:rPr>
          <w:rFonts w:ascii="Calibri" w:eastAsia="宋体" w:hAnsi="Calibri" w:cs="Calibri"/>
          <w:color w:val="FF0000"/>
          <w:sz w:val="24"/>
          <w14:ligatures w14:val="none"/>
        </w:rPr>
        <w:t>AUC</w:t>
      </w:r>
      <w:r w:rsidRPr="00444CEC">
        <w:rPr>
          <w:rFonts w:ascii="Calibri" w:eastAsia="宋体" w:hAnsi="Calibri" w:cs="Calibri"/>
          <w:color w:val="FF0000"/>
          <w:sz w:val="24"/>
          <w:vertAlign w:val="subscript"/>
          <w14:ligatures w14:val="none"/>
        </w:rPr>
        <w:t>vivo</w:t>
      </w:r>
      <w:proofErr w:type="spellEnd"/>
      <w:r w:rsidRPr="00444CEC">
        <w:rPr>
          <w:rFonts w:ascii="Calibri" w:eastAsia="宋体" w:hAnsi="Calibri" w:cs="Calibri"/>
          <w:color w:val="FF0000"/>
          <w:sz w:val="24"/>
          <w14:ligatures w14:val="none"/>
        </w:rPr>
        <w:t xml:space="preserve">. (D) Relationship between </w:t>
      </w:r>
      <w:proofErr w:type="gramStart"/>
      <w:r w:rsidRPr="00444CEC">
        <w:rPr>
          <w:rFonts w:ascii="Calibri" w:eastAsia="宋体" w:hAnsi="Calibri" w:cs="Calibri"/>
          <w:color w:val="FF0000"/>
          <w:sz w:val="24"/>
          <w14:ligatures w14:val="none"/>
        </w:rPr>
        <w:t>ln(</w:t>
      </w:r>
      <w:proofErr w:type="gramEnd"/>
      <w:r w:rsidRPr="00444CEC">
        <w:rPr>
          <w:rFonts w:ascii="Calibri" w:eastAsia="宋体" w:hAnsi="Calibri" w:cs="Calibri"/>
          <w:color w:val="FF0000"/>
          <w:sz w:val="24"/>
          <w14:ligatures w14:val="none"/>
        </w:rPr>
        <w:t xml:space="preserve">IC₅₀) and </w:t>
      </w:r>
      <w:proofErr w:type="gramStart"/>
      <w:r w:rsidRPr="00444CEC">
        <w:rPr>
          <w:rFonts w:ascii="Calibri" w:eastAsia="宋体" w:hAnsi="Calibri" w:cs="Calibri"/>
          <w:color w:val="FF0000"/>
          <w:sz w:val="24"/>
          <w14:ligatures w14:val="none"/>
        </w:rPr>
        <w:t>ln(</w:t>
      </w:r>
      <w:proofErr w:type="gramEnd"/>
      <w:r w:rsidRPr="00444CEC">
        <w:rPr>
          <w:rFonts w:ascii="Calibri" w:eastAsia="宋体" w:hAnsi="Calibri" w:cs="Calibri"/>
          <w:color w:val="FF0000"/>
          <w:sz w:val="24"/>
          <w14:ligatures w14:val="none"/>
        </w:rPr>
        <w:t>TGI) in the GEM, CSE, and GEM+CSE groups. Linear regression analyses were performed separately for each treatment group. The coefficients of determina</w:t>
      </w:r>
      <w:r w:rsidRPr="00444CEC">
        <w:rPr>
          <w:rFonts w:ascii="Calibri" w:eastAsia="宋体" w:hAnsi="Calibri" w:cs="Calibri" w:hint="eastAsia"/>
          <w:color w:val="FF0000"/>
          <w:sz w:val="24"/>
          <w14:ligatures w14:val="none"/>
        </w:rPr>
        <w:t xml:space="preserve">tion </w:t>
      </w:r>
      <w:proofErr w:type="gramStart"/>
      <w:r w:rsidRPr="00444CEC">
        <w:rPr>
          <w:rFonts w:ascii="Calibri" w:eastAsia="宋体" w:hAnsi="Calibri" w:cs="Calibri" w:hint="eastAsia"/>
          <w:color w:val="FF0000"/>
          <w:sz w:val="24"/>
          <w14:ligatures w14:val="none"/>
        </w:rPr>
        <w:t>(R</w:t>
      </w:r>
      <w:r w:rsidRPr="00444CEC">
        <w:rPr>
          <w:rFonts w:ascii="Calibri" w:eastAsia="宋体" w:hAnsi="Calibri" w:cs="Calibri" w:hint="eastAsia"/>
          <w:color w:val="FF0000"/>
          <w:sz w:val="24"/>
          <w14:ligatures w14:val="none"/>
        </w:rPr>
        <w:t>²</w:t>
      </w:r>
      <w:r w:rsidRPr="00444CEC">
        <w:rPr>
          <w:rFonts w:ascii="Calibri" w:eastAsia="宋体" w:hAnsi="Calibri" w:cs="Calibri" w:hint="eastAsia"/>
          <w:color w:val="FF0000"/>
          <w:sz w:val="24"/>
          <w14:ligatures w14:val="none"/>
        </w:rPr>
        <w:t>)</w:t>
      </w:r>
      <w:proofErr w:type="gramEnd"/>
      <w:r w:rsidRPr="00444CEC">
        <w:rPr>
          <w:rFonts w:ascii="Calibri" w:eastAsia="宋体" w:hAnsi="Calibri" w:cs="Calibri" w:hint="eastAsia"/>
          <w:color w:val="FF0000"/>
          <w:sz w:val="24"/>
          <w14:ligatures w14:val="none"/>
        </w:rPr>
        <w:t xml:space="preserve"> and BH-adjusted </w:t>
      </w:r>
      <w:r w:rsidRPr="00444CEC">
        <w:rPr>
          <w:rFonts w:ascii="Calibri" w:eastAsia="宋体" w:hAnsi="Calibri" w:cs="Calibri" w:hint="eastAsia"/>
          <w:i/>
          <w:iCs/>
          <w:color w:val="FF0000"/>
          <w:sz w:val="24"/>
          <w14:ligatures w14:val="none"/>
        </w:rPr>
        <w:t>p</w:t>
      </w:r>
      <w:r w:rsidRPr="00444CEC">
        <w:rPr>
          <w:rFonts w:ascii="Calibri" w:eastAsia="宋体" w:hAnsi="Calibri" w:cs="Calibri" w:hint="eastAsia"/>
          <w:color w:val="FF0000"/>
          <w:sz w:val="24"/>
          <w14:ligatures w14:val="none"/>
        </w:rPr>
        <w:t xml:space="preserve">-values </w:t>
      </w:r>
      <w:proofErr w:type="gramStart"/>
      <w:r w:rsidRPr="00444CEC">
        <w:rPr>
          <w:rFonts w:ascii="Calibri" w:eastAsia="宋体" w:hAnsi="Calibri" w:cs="Calibri" w:hint="eastAsia"/>
          <w:color w:val="FF0000"/>
          <w:sz w:val="24"/>
          <w14:ligatures w14:val="none"/>
        </w:rPr>
        <w:t>(</w:t>
      </w:r>
      <w:proofErr w:type="spellStart"/>
      <w:r w:rsidRPr="00444CEC">
        <w:rPr>
          <w:rFonts w:ascii="Calibri" w:eastAsia="宋体" w:hAnsi="Calibri" w:cs="Calibri" w:hint="eastAsia"/>
          <w:i/>
          <w:iCs/>
          <w:color w:val="FF0000"/>
          <w:sz w:val="24"/>
          <w14:ligatures w14:val="none"/>
        </w:rPr>
        <w:t>p</w:t>
      </w:r>
      <w:r w:rsidRPr="00444CEC">
        <w:rPr>
          <w:rFonts w:ascii="Calibri" w:eastAsia="宋体" w:hAnsi="Calibri" w:cs="Calibri" w:hint="eastAsia"/>
          <w:i/>
          <w:iCs/>
          <w:color w:val="FF0000"/>
          <w:sz w:val="24"/>
          <w:vertAlign w:val="subscript"/>
          <w14:ligatures w14:val="none"/>
        </w:rPr>
        <w:t>adj</w:t>
      </w:r>
      <w:proofErr w:type="spellEnd"/>
      <w:r w:rsidRPr="00444CEC">
        <w:rPr>
          <w:rFonts w:ascii="Calibri" w:eastAsia="宋体" w:hAnsi="Calibri" w:cs="Calibri" w:hint="eastAsia"/>
          <w:color w:val="FF0000"/>
          <w:sz w:val="24"/>
          <w14:ligatures w14:val="none"/>
        </w:rPr>
        <w:t>)</w:t>
      </w:r>
      <w:proofErr w:type="gramEnd"/>
      <w:r w:rsidRPr="00444CEC">
        <w:rPr>
          <w:rFonts w:ascii="Calibri" w:eastAsia="宋体" w:hAnsi="Calibri" w:cs="Calibri" w:hint="eastAsia"/>
          <w:color w:val="FF0000"/>
          <w:sz w:val="24"/>
          <w14:ligatures w14:val="none"/>
        </w:rPr>
        <w:t xml:space="preserve"> are shown for each regression analysis. In Figure 6B, the associations between </w:t>
      </w:r>
      <w:proofErr w:type="spellStart"/>
      <w:r w:rsidRPr="00444CEC">
        <w:rPr>
          <w:rFonts w:ascii="Calibri" w:eastAsia="宋体" w:hAnsi="Calibri" w:cs="Calibri" w:hint="eastAsia"/>
          <w:color w:val="FF0000"/>
          <w:sz w:val="24"/>
          <w14:ligatures w14:val="none"/>
        </w:rPr>
        <w:t>AUC</w:t>
      </w:r>
      <w:r w:rsidRPr="00444CEC">
        <w:rPr>
          <w:rFonts w:ascii="Calibri" w:eastAsia="宋体" w:hAnsi="Calibri" w:cs="Calibri" w:hint="eastAsia"/>
          <w:color w:val="FF0000"/>
          <w:sz w:val="24"/>
          <w:vertAlign w:val="subscript"/>
          <w14:ligatures w14:val="none"/>
        </w:rPr>
        <w:t>vivo</w:t>
      </w:r>
      <w:proofErr w:type="spellEnd"/>
      <w:r w:rsidRPr="00444CEC">
        <w:rPr>
          <w:rFonts w:ascii="Calibri" w:eastAsia="宋体" w:hAnsi="Calibri" w:cs="Calibri" w:hint="eastAsia"/>
          <w:color w:val="FF0000"/>
          <w:sz w:val="24"/>
          <w14:ligatures w14:val="none"/>
        </w:rPr>
        <w:t xml:space="preserve"> and TGI were statistically significant in the GEM and CSE groups (</w:t>
      </w:r>
      <w:proofErr w:type="spellStart"/>
      <w:r w:rsidRPr="00444CEC">
        <w:rPr>
          <w:rFonts w:ascii="Calibri" w:eastAsia="宋体" w:hAnsi="Calibri" w:cs="Calibri" w:hint="eastAsia"/>
          <w:i/>
          <w:iCs/>
          <w:color w:val="FF0000"/>
          <w:sz w:val="24"/>
          <w14:ligatures w14:val="none"/>
        </w:rPr>
        <w:t>p</w:t>
      </w:r>
      <w:r w:rsidRPr="00444CEC">
        <w:rPr>
          <w:rFonts w:ascii="Calibri" w:eastAsia="宋体" w:hAnsi="Calibri" w:cs="Calibri" w:hint="eastAsia"/>
          <w:i/>
          <w:iCs/>
          <w:color w:val="FF0000"/>
          <w:sz w:val="24"/>
          <w:vertAlign w:val="subscript"/>
          <w14:ligatures w14:val="none"/>
        </w:rPr>
        <w:t>adj</w:t>
      </w:r>
      <w:proofErr w:type="spellEnd"/>
      <w:r w:rsidRPr="00444CEC">
        <w:rPr>
          <w:rFonts w:ascii="Calibri" w:eastAsia="宋体" w:hAnsi="Calibri" w:cs="Calibri" w:hint="eastAsia"/>
          <w:i/>
          <w:iCs/>
          <w:color w:val="FF0000"/>
          <w:sz w:val="24"/>
          <w:vertAlign w:val="subscript"/>
          <w14:ligatures w14:val="none"/>
        </w:rPr>
        <w:t xml:space="preserve"> </w:t>
      </w:r>
      <w:r w:rsidRPr="00444CEC">
        <w:rPr>
          <w:rFonts w:ascii="Calibri" w:eastAsia="宋体" w:hAnsi="Calibri" w:cs="Calibri" w:hint="eastAsia"/>
          <w:color w:val="FF0000"/>
          <w:sz w:val="24"/>
          <w14:ligatures w14:val="none"/>
        </w:rPr>
        <w:t>&lt; 0.05) but did not reach statistical significance in the GEM+CSE group (</w:t>
      </w:r>
      <w:proofErr w:type="spellStart"/>
      <w:r w:rsidRPr="00444CEC">
        <w:rPr>
          <w:rFonts w:ascii="Calibri" w:eastAsia="宋体" w:hAnsi="Calibri" w:cs="Calibri" w:hint="eastAsia"/>
          <w:i/>
          <w:iCs/>
          <w:color w:val="FF0000"/>
          <w:sz w:val="24"/>
          <w14:ligatures w14:val="none"/>
        </w:rPr>
        <w:t>p</w:t>
      </w:r>
      <w:r w:rsidRPr="00444CEC">
        <w:rPr>
          <w:rFonts w:ascii="Calibri" w:eastAsia="宋体" w:hAnsi="Calibri" w:cs="Calibri" w:hint="eastAsia"/>
          <w:i/>
          <w:iCs/>
          <w:color w:val="FF0000"/>
          <w:sz w:val="24"/>
          <w:vertAlign w:val="subscript"/>
          <w14:ligatures w14:val="none"/>
        </w:rPr>
        <w:t>adj</w:t>
      </w:r>
      <w:proofErr w:type="spellEnd"/>
      <w:r w:rsidRPr="00444CEC">
        <w:rPr>
          <w:rFonts w:ascii="Calibri" w:eastAsia="宋体" w:hAnsi="Calibri" w:cs="Calibri" w:hint="eastAsia"/>
          <w:color w:val="FF0000"/>
          <w:sz w:val="24"/>
          <w14:ligatures w14:val="none"/>
        </w:rPr>
        <w:t xml:space="preserve"> &gt; 0.05). These analyses represent exploratory associations between </w:t>
      </w:r>
      <w:r w:rsidRPr="00444CEC">
        <w:rPr>
          <w:rFonts w:ascii="Calibri" w:eastAsia="宋体" w:hAnsi="Calibri" w:cs="Calibri" w:hint="eastAsia"/>
          <w:i/>
          <w:iCs/>
          <w:color w:val="FF0000"/>
          <w:sz w:val="24"/>
          <w14:ligatures w14:val="none"/>
        </w:rPr>
        <w:t>in vitro</w:t>
      </w:r>
      <w:r w:rsidRPr="00444CEC">
        <w:rPr>
          <w:rFonts w:ascii="Calibri" w:eastAsia="宋体" w:hAnsi="Calibri" w:cs="Calibri" w:hint="eastAsia"/>
          <w:color w:val="FF0000"/>
          <w:sz w:val="24"/>
          <w14:ligatures w14:val="none"/>
        </w:rPr>
        <w:t xml:space="preserve"> drug sensitivity, BLI-derived exposure, and </w:t>
      </w:r>
      <w:r w:rsidRPr="00444CEC">
        <w:rPr>
          <w:rFonts w:ascii="Calibri" w:eastAsia="宋体" w:hAnsi="Calibri" w:cs="Calibri" w:hint="eastAsia"/>
          <w:i/>
          <w:iCs/>
          <w:color w:val="FF0000"/>
          <w:sz w:val="24"/>
          <w14:ligatures w14:val="none"/>
        </w:rPr>
        <w:t>in vivo</w:t>
      </w:r>
      <w:r w:rsidRPr="00444CEC">
        <w:rPr>
          <w:rFonts w:ascii="Calibri" w:eastAsia="宋体" w:hAnsi="Calibri" w:cs="Calibri" w:hint="eastAsia"/>
          <w:color w:val="FF0000"/>
          <w:sz w:val="24"/>
          <w14:ligatures w14:val="none"/>
        </w:rPr>
        <w:t xml:space="preserve"> antitumor efficacy and do not establish predictive validity or a causal relationship.</w:t>
      </w:r>
      <w:r w:rsidR="005E108C" w:rsidRPr="005E108C">
        <w:rPr>
          <w:rFonts w:ascii="Calibri" w:eastAsia="宋体" w:hAnsi="Calibri" w:cs="Calibri"/>
          <w:color w:val="EE0000"/>
          <w:sz w:val="24"/>
          <w14:ligatures w14:val="none"/>
        </w:rPr>
        <w:t xml:space="preserve"> </w:t>
      </w:r>
    </w:p>
    <w:p w14:paraId="081DCB75"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7A1306E4"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 xml:space="preserve">Table 1. MRM transitions, source parameters, chromatographic conditions, and assay validation metrics for intracellular gemcitabine and </w:t>
      </w:r>
      <w:proofErr w:type="spellStart"/>
      <w:r>
        <w:rPr>
          <w:rFonts w:ascii="Calibri" w:eastAsia="宋体" w:hAnsi="Calibri" w:cs="Calibri" w:hint="eastAsia"/>
          <w:b/>
          <w:bCs/>
          <w:sz w:val="24"/>
          <w14:ligatures w14:val="none"/>
        </w:rPr>
        <w:t>dFdU</w:t>
      </w:r>
      <w:proofErr w:type="spellEnd"/>
      <w:r>
        <w:rPr>
          <w:rFonts w:ascii="Calibri" w:eastAsia="宋体" w:hAnsi="Calibri" w:cs="Calibri" w:hint="eastAsia"/>
          <w:b/>
          <w:bCs/>
          <w:sz w:val="24"/>
          <w14:ligatures w14:val="none"/>
        </w:rPr>
        <w:t xml:space="preserve"> quantification.</w:t>
      </w:r>
    </w:p>
    <w:p w14:paraId="46FC4C4B"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Include analytes, precursor/product ions, collision parameters, retention times, calibration ranges, weighting models, LOD, LLOQ, recovery, matrix effect, and precision/accuracy acceptance criteria.</w:t>
      </w:r>
    </w:p>
    <w:p w14:paraId="5807AFA3" w14:textId="77777777" w:rsidR="00BE1D3D" w:rsidRDefault="00BE1D3D">
      <w:pPr>
        <w:autoSpaceDE w:val="0"/>
        <w:adjustRightInd w:val="0"/>
        <w:snapToGrid w:val="0"/>
        <w:spacing w:after="0" w:line="240" w:lineRule="auto"/>
        <w:jc w:val="both"/>
        <w:rPr>
          <w:rFonts w:ascii="Calibri" w:eastAsia="宋体" w:hAnsi="Calibri" w:cs="Calibri"/>
          <w:sz w:val="24"/>
          <w14:ligatures w14:val="none"/>
        </w:rPr>
      </w:pPr>
    </w:p>
    <w:p w14:paraId="39E9EA9D" w14:textId="77777777" w:rsidR="00BE1D3D" w:rsidRDefault="00000000">
      <w:pPr>
        <w:autoSpaceDE w:val="0"/>
        <w:adjustRightInd w:val="0"/>
        <w:snapToGrid w:val="0"/>
        <w:spacing w:after="0" w:line="240" w:lineRule="auto"/>
        <w:jc w:val="both"/>
        <w:rPr>
          <w:rFonts w:ascii="Calibri" w:eastAsia="宋体" w:hAnsi="Calibri" w:cs="Calibri"/>
          <w:b/>
          <w:bCs/>
          <w:sz w:val="24"/>
          <w14:ligatures w14:val="none"/>
        </w:rPr>
      </w:pPr>
      <w:r>
        <w:rPr>
          <w:rFonts w:ascii="Calibri" w:eastAsia="宋体" w:hAnsi="Calibri" w:cs="Calibri" w:hint="eastAsia"/>
          <w:b/>
          <w:bCs/>
          <w:sz w:val="24"/>
          <w14:ligatures w14:val="none"/>
        </w:rPr>
        <w:t>Table 2. Common problems, likely causes, and troubleshooting strategies for the integrated LC-MS/MS-BLI workflow.</w:t>
      </w:r>
    </w:p>
    <w:p w14:paraId="5DDA602D" w14:textId="77777777" w:rsidR="00BE1D3D" w:rsidRDefault="00000000">
      <w:pPr>
        <w:autoSpaceDE w:val="0"/>
        <w:adjustRightInd w:val="0"/>
        <w:snapToGrid w:val="0"/>
        <w:spacing w:after="0" w:line="240" w:lineRule="auto"/>
        <w:jc w:val="both"/>
        <w:rPr>
          <w:rFonts w:ascii="Calibri" w:eastAsia="宋体" w:hAnsi="Calibri" w:cs="Calibri"/>
          <w:sz w:val="24"/>
          <w14:ligatures w14:val="none"/>
        </w:rPr>
      </w:pPr>
      <w:r>
        <w:rPr>
          <w:rFonts w:ascii="Calibri" w:eastAsia="宋体" w:hAnsi="Calibri" w:cs="Calibri" w:hint="eastAsia"/>
          <w:sz w:val="24"/>
          <w14:ligatures w14:val="none"/>
        </w:rPr>
        <w:t>Examples should include poor chromatographic peak shape, inconsistent intracellular concentrations, signal saturation during imaging, mismatched group ordering, unstable ROIs, and poor regression fits.</w:t>
      </w:r>
    </w:p>
    <w:sectPr w:rsidR="00BE1D3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EA3E8" w14:textId="77777777" w:rsidR="002561E0" w:rsidRDefault="002561E0">
      <w:pPr>
        <w:spacing w:line="240" w:lineRule="auto"/>
        <w:rPr>
          <w:rFonts w:hint="eastAsia"/>
        </w:rPr>
      </w:pPr>
      <w:r>
        <w:separator/>
      </w:r>
    </w:p>
  </w:endnote>
  <w:endnote w:type="continuationSeparator" w:id="0">
    <w:p w14:paraId="0BBDE14E" w14:textId="77777777" w:rsidR="002561E0" w:rsidRDefault="002561E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CABC" w14:textId="77777777" w:rsidR="00365664" w:rsidRDefault="00365664">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2824"/>
      <w:docPartObj>
        <w:docPartGallery w:val="Page Numbers (Bottom of Page)"/>
        <w:docPartUnique/>
      </w:docPartObj>
    </w:sdtPr>
    <w:sdtContent>
      <w:p w14:paraId="42D2B6CC" w14:textId="514FDE78" w:rsidR="00365664" w:rsidRDefault="00365664">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44DD4150" w14:textId="223CF20F" w:rsidR="00365664" w:rsidRDefault="00365664">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6236" w14:textId="77777777" w:rsidR="00365664" w:rsidRDefault="0036566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693C" w14:textId="77777777" w:rsidR="002561E0" w:rsidRDefault="002561E0">
      <w:pPr>
        <w:spacing w:after="0"/>
        <w:rPr>
          <w:rFonts w:hint="eastAsia"/>
        </w:rPr>
      </w:pPr>
      <w:r>
        <w:separator/>
      </w:r>
    </w:p>
  </w:footnote>
  <w:footnote w:type="continuationSeparator" w:id="0">
    <w:p w14:paraId="4DF49D32" w14:textId="77777777" w:rsidR="002561E0" w:rsidRDefault="002561E0">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8DC5" w14:textId="77777777" w:rsidR="00365664" w:rsidRDefault="00365664">
    <w:pPr>
      <w:pStyle w:val="a7"/>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A7C9" w14:textId="77777777" w:rsidR="00365664" w:rsidRDefault="00365664">
    <w:pPr>
      <w:pStyle w:val="a7"/>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421D" w14:textId="77777777" w:rsidR="00365664" w:rsidRDefault="00365664">
    <w:pPr>
      <w:pStyle w:val="a7"/>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F22"/>
    <w:multiLevelType w:val="hybridMultilevel"/>
    <w:tmpl w:val="BC6AB4C0"/>
    <w:lvl w:ilvl="0" w:tplc="0862E78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5170129"/>
    <w:multiLevelType w:val="multilevel"/>
    <w:tmpl w:val="05170129"/>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2045595289">
    <w:abstractNumId w:val="1"/>
  </w:num>
  <w:num w:numId="2" w16cid:durableId="161783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471"/>
    <w:rsid w:val="00012C66"/>
    <w:rsid w:val="00014C09"/>
    <w:rsid w:val="000320BA"/>
    <w:rsid w:val="00035DA1"/>
    <w:rsid w:val="0003680F"/>
    <w:rsid w:val="0004570D"/>
    <w:rsid w:val="000526A8"/>
    <w:rsid w:val="00064EC7"/>
    <w:rsid w:val="00067FA4"/>
    <w:rsid w:val="00080224"/>
    <w:rsid w:val="000838FC"/>
    <w:rsid w:val="00086AEE"/>
    <w:rsid w:val="00086F0F"/>
    <w:rsid w:val="000874D1"/>
    <w:rsid w:val="00090F30"/>
    <w:rsid w:val="00092EBE"/>
    <w:rsid w:val="0009626D"/>
    <w:rsid w:val="00096BCA"/>
    <w:rsid w:val="000A1590"/>
    <w:rsid w:val="000A2BB9"/>
    <w:rsid w:val="000A4CE1"/>
    <w:rsid w:val="000A5CE9"/>
    <w:rsid w:val="000B0B7B"/>
    <w:rsid w:val="000B1E20"/>
    <w:rsid w:val="000B2B57"/>
    <w:rsid w:val="000B40F1"/>
    <w:rsid w:val="000B43AE"/>
    <w:rsid w:val="000B7D8D"/>
    <w:rsid w:val="000C4959"/>
    <w:rsid w:val="000C52BB"/>
    <w:rsid w:val="000C594B"/>
    <w:rsid w:val="000D781C"/>
    <w:rsid w:val="000E5604"/>
    <w:rsid w:val="001032C8"/>
    <w:rsid w:val="00106E52"/>
    <w:rsid w:val="001324B8"/>
    <w:rsid w:val="00146B3A"/>
    <w:rsid w:val="00146E95"/>
    <w:rsid w:val="00150C75"/>
    <w:rsid w:val="00155994"/>
    <w:rsid w:val="001719BB"/>
    <w:rsid w:val="00180BC8"/>
    <w:rsid w:val="001823C3"/>
    <w:rsid w:val="00197122"/>
    <w:rsid w:val="001A0700"/>
    <w:rsid w:val="001A2C39"/>
    <w:rsid w:val="001A6111"/>
    <w:rsid w:val="001B248F"/>
    <w:rsid w:val="001B5716"/>
    <w:rsid w:val="001C1900"/>
    <w:rsid w:val="001C39ED"/>
    <w:rsid w:val="001C768E"/>
    <w:rsid w:val="001E1683"/>
    <w:rsid w:val="001E1784"/>
    <w:rsid w:val="001E2F30"/>
    <w:rsid w:val="001E60CA"/>
    <w:rsid w:val="001F4F3B"/>
    <w:rsid w:val="001F74F5"/>
    <w:rsid w:val="001F7869"/>
    <w:rsid w:val="00211823"/>
    <w:rsid w:val="00214FA3"/>
    <w:rsid w:val="00215C02"/>
    <w:rsid w:val="00225B5E"/>
    <w:rsid w:val="00230C1E"/>
    <w:rsid w:val="00231BD7"/>
    <w:rsid w:val="00233679"/>
    <w:rsid w:val="00233AEA"/>
    <w:rsid w:val="00240829"/>
    <w:rsid w:val="00242608"/>
    <w:rsid w:val="00243D98"/>
    <w:rsid w:val="002509F2"/>
    <w:rsid w:val="00256078"/>
    <w:rsid w:val="002561E0"/>
    <w:rsid w:val="002603E7"/>
    <w:rsid w:val="002608A2"/>
    <w:rsid w:val="0026430C"/>
    <w:rsid w:val="002662F8"/>
    <w:rsid w:val="00270E31"/>
    <w:rsid w:val="00275730"/>
    <w:rsid w:val="00281846"/>
    <w:rsid w:val="002921AC"/>
    <w:rsid w:val="002A1C76"/>
    <w:rsid w:val="002B1EC7"/>
    <w:rsid w:val="002B3C62"/>
    <w:rsid w:val="002B6385"/>
    <w:rsid w:val="002C6B41"/>
    <w:rsid w:val="002D216C"/>
    <w:rsid w:val="002D487E"/>
    <w:rsid w:val="002E421E"/>
    <w:rsid w:val="002F2964"/>
    <w:rsid w:val="002F3876"/>
    <w:rsid w:val="002F5C38"/>
    <w:rsid w:val="00300420"/>
    <w:rsid w:val="00302F94"/>
    <w:rsid w:val="00304D07"/>
    <w:rsid w:val="00310B5E"/>
    <w:rsid w:val="0031588B"/>
    <w:rsid w:val="00322862"/>
    <w:rsid w:val="003344F8"/>
    <w:rsid w:val="00340747"/>
    <w:rsid w:val="0034075B"/>
    <w:rsid w:val="00340F6E"/>
    <w:rsid w:val="00351A64"/>
    <w:rsid w:val="0036066B"/>
    <w:rsid w:val="00360761"/>
    <w:rsid w:val="00364950"/>
    <w:rsid w:val="003650A2"/>
    <w:rsid w:val="00365664"/>
    <w:rsid w:val="00367A98"/>
    <w:rsid w:val="00383D60"/>
    <w:rsid w:val="00384A9A"/>
    <w:rsid w:val="003A466C"/>
    <w:rsid w:val="003B04C2"/>
    <w:rsid w:val="003B190A"/>
    <w:rsid w:val="003B6217"/>
    <w:rsid w:val="003B72FA"/>
    <w:rsid w:val="003C0C80"/>
    <w:rsid w:val="003C3503"/>
    <w:rsid w:val="003C3D45"/>
    <w:rsid w:val="003C5360"/>
    <w:rsid w:val="003D1DC4"/>
    <w:rsid w:val="003D3125"/>
    <w:rsid w:val="003E271E"/>
    <w:rsid w:val="003E2E1D"/>
    <w:rsid w:val="003E6BBE"/>
    <w:rsid w:val="003E7065"/>
    <w:rsid w:val="003F12A8"/>
    <w:rsid w:val="003F4536"/>
    <w:rsid w:val="0040574D"/>
    <w:rsid w:val="00415502"/>
    <w:rsid w:val="00423181"/>
    <w:rsid w:val="00436E0F"/>
    <w:rsid w:val="00441BD8"/>
    <w:rsid w:val="00444CEC"/>
    <w:rsid w:val="00445C18"/>
    <w:rsid w:val="00446862"/>
    <w:rsid w:val="00450574"/>
    <w:rsid w:val="00457EA0"/>
    <w:rsid w:val="004641DD"/>
    <w:rsid w:val="0048175B"/>
    <w:rsid w:val="00486B78"/>
    <w:rsid w:val="00494708"/>
    <w:rsid w:val="004A035A"/>
    <w:rsid w:val="004A5BFB"/>
    <w:rsid w:val="004B2453"/>
    <w:rsid w:val="004B3A79"/>
    <w:rsid w:val="004C5843"/>
    <w:rsid w:val="004C58FC"/>
    <w:rsid w:val="004C6A62"/>
    <w:rsid w:val="004C6BAC"/>
    <w:rsid w:val="004D34D5"/>
    <w:rsid w:val="004D7F33"/>
    <w:rsid w:val="004E135D"/>
    <w:rsid w:val="004E2101"/>
    <w:rsid w:val="004E56C2"/>
    <w:rsid w:val="00500F0F"/>
    <w:rsid w:val="00503B63"/>
    <w:rsid w:val="00512493"/>
    <w:rsid w:val="00512558"/>
    <w:rsid w:val="00514456"/>
    <w:rsid w:val="00531903"/>
    <w:rsid w:val="00534A74"/>
    <w:rsid w:val="005367B5"/>
    <w:rsid w:val="00541331"/>
    <w:rsid w:val="005463DF"/>
    <w:rsid w:val="0055169D"/>
    <w:rsid w:val="00552029"/>
    <w:rsid w:val="0055246D"/>
    <w:rsid w:val="00555461"/>
    <w:rsid w:val="005556D6"/>
    <w:rsid w:val="005602D7"/>
    <w:rsid w:val="0056524E"/>
    <w:rsid w:val="00576159"/>
    <w:rsid w:val="00584379"/>
    <w:rsid w:val="0058665E"/>
    <w:rsid w:val="005867F5"/>
    <w:rsid w:val="0059117E"/>
    <w:rsid w:val="00591561"/>
    <w:rsid w:val="00593E3E"/>
    <w:rsid w:val="005A0505"/>
    <w:rsid w:val="005A25B9"/>
    <w:rsid w:val="005B0BE4"/>
    <w:rsid w:val="005B7426"/>
    <w:rsid w:val="005C0986"/>
    <w:rsid w:val="005C582C"/>
    <w:rsid w:val="005D4280"/>
    <w:rsid w:val="005D4E2A"/>
    <w:rsid w:val="005D5CCD"/>
    <w:rsid w:val="005D75CD"/>
    <w:rsid w:val="005E108C"/>
    <w:rsid w:val="005E17F3"/>
    <w:rsid w:val="005E3FB6"/>
    <w:rsid w:val="005E52B2"/>
    <w:rsid w:val="005F4011"/>
    <w:rsid w:val="005F7D8A"/>
    <w:rsid w:val="006011E2"/>
    <w:rsid w:val="00607BA0"/>
    <w:rsid w:val="0061509A"/>
    <w:rsid w:val="00615F7B"/>
    <w:rsid w:val="0062018D"/>
    <w:rsid w:val="00620434"/>
    <w:rsid w:val="00626AB5"/>
    <w:rsid w:val="00633B1D"/>
    <w:rsid w:val="00640AE8"/>
    <w:rsid w:val="006426D0"/>
    <w:rsid w:val="00642E5C"/>
    <w:rsid w:val="00646131"/>
    <w:rsid w:val="00646993"/>
    <w:rsid w:val="0065436C"/>
    <w:rsid w:val="00662D95"/>
    <w:rsid w:val="00663F69"/>
    <w:rsid w:val="00666FD0"/>
    <w:rsid w:val="006767D5"/>
    <w:rsid w:val="00676E65"/>
    <w:rsid w:val="006772CB"/>
    <w:rsid w:val="00685A5F"/>
    <w:rsid w:val="00686EF2"/>
    <w:rsid w:val="0069170B"/>
    <w:rsid w:val="006A65E2"/>
    <w:rsid w:val="006B75B4"/>
    <w:rsid w:val="006D657F"/>
    <w:rsid w:val="006E2AC4"/>
    <w:rsid w:val="006E4012"/>
    <w:rsid w:val="006E457A"/>
    <w:rsid w:val="006F29A3"/>
    <w:rsid w:val="006F7E18"/>
    <w:rsid w:val="00713D0D"/>
    <w:rsid w:val="007202E2"/>
    <w:rsid w:val="00723FC7"/>
    <w:rsid w:val="00734701"/>
    <w:rsid w:val="00743791"/>
    <w:rsid w:val="0074581A"/>
    <w:rsid w:val="0075028C"/>
    <w:rsid w:val="0075481A"/>
    <w:rsid w:val="00766220"/>
    <w:rsid w:val="007814D9"/>
    <w:rsid w:val="00792549"/>
    <w:rsid w:val="00792ADB"/>
    <w:rsid w:val="007978CB"/>
    <w:rsid w:val="007A5489"/>
    <w:rsid w:val="007A683E"/>
    <w:rsid w:val="007B18BE"/>
    <w:rsid w:val="007B1FB5"/>
    <w:rsid w:val="007B24CA"/>
    <w:rsid w:val="007B57AF"/>
    <w:rsid w:val="007B744E"/>
    <w:rsid w:val="007C5672"/>
    <w:rsid w:val="007D130A"/>
    <w:rsid w:val="007D2F1C"/>
    <w:rsid w:val="007D45B5"/>
    <w:rsid w:val="007E1E89"/>
    <w:rsid w:val="00802BF3"/>
    <w:rsid w:val="0080539C"/>
    <w:rsid w:val="00810A8E"/>
    <w:rsid w:val="00820623"/>
    <w:rsid w:val="00835711"/>
    <w:rsid w:val="00837426"/>
    <w:rsid w:val="00840ABF"/>
    <w:rsid w:val="00842AC8"/>
    <w:rsid w:val="00844275"/>
    <w:rsid w:val="00845108"/>
    <w:rsid w:val="00850CD0"/>
    <w:rsid w:val="00852152"/>
    <w:rsid w:val="008567A7"/>
    <w:rsid w:val="00857736"/>
    <w:rsid w:val="00861B01"/>
    <w:rsid w:val="00874DF7"/>
    <w:rsid w:val="008775D1"/>
    <w:rsid w:val="00892F92"/>
    <w:rsid w:val="00895D9D"/>
    <w:rsid w:val="0089675A"/>
    <w:rsid w:val="008A1BE9"/>
    <w:rsid w:val="008A5DDF"/>
    <w:rsid w:val="008B10B4"/>
    <w:rsid w:val="008C70CB"/>
    <w:rsid w:val="008D2742"/>
    <w:rsid w:val="008D680F"/>
    <w:rsid w:val="008E34CD"/>
    <w:rsid w:val="008E385A"/>
    <w:rsid w:val="008E5D6D"/>
    <w:rsid w:val="008F245C"/>
    <w:rsid w:val="00901471"/>
    <w:rsid w:val="00905B11"/>
    <w:rsid w:val="0090626D"/>
    <w:rsid w:val="00912B9C"/>
    <w:rsid w:val="00920595"/>
    <w:rsid w:val="00920F22"/>
    <w:rsid w:val="00930B9C"/>
    <w:rsid w:val="00934D43"/>
    <w:rsid w:val="009357F4"/>
    <w:rsid w:val="00935FA6"/>
    <w:rsid w:val="00940669"/>
    <w:rsid w:val="00941346"/>
    <w:rsid w:val="009444D0"/>
    <w:rsid w:val="009543A4"/>
    <w:rsid w:val="00954816"/>
    <w:rsid w:val="00960263"/>
    <w:rsid w:val="009641D7"/>
    <w:rsid w:val="0097086C"/>
    <w:rsid w:val="00983189"/>
    <w:rsid w:val="009846BE"/>
    <w:rsid w:val="0098640C"/>
    <w:rsid w:val="00993369"/>
    <w:rsid w:val="009A3C77"/>
    <w:rsid w:val="009A5212"/>
    <w:rsid w:val="009A6533"/>
    <w:rsid w:val="009B0A25"/>
    <w:rsid w:val="009B4E1A"/>
    <w:rsid w:val="009C0B5C"/>
    <w:rsid w:val="009D2485"/>
    <w:rsid w:val="009D412C"/>
    <w:rsid w:val="009E0058"/>
    <w:rsid w:val="009E250D"/>
    <w:rsid w:val="009E4135"/>
    <w:rsid w:val="009E73D7"/>
    <w:rsid w:val="009F0525"/>
    <w:rsid w:val="009F7634"/>
    <w:rsid w:val="00A03B96"/>
    <w:rsid w:val="00A072D8"/>
    <w:rsid w:val="00A0732D"/>
    <w:rsid w:val="00A12694"/>
    <w:rsid w:val="00A1377F"/>
    <w:rsid w:val="00A14BE1"/>
    <w:rsid w:val="00A26ACE"/>
    <w:rsid w:val="00A26D0D"/>
    <w:rsid w:val="00A3292B"/>
    <w:rsid w:val="00A3643B"/>
    <w:rsid w:val="00A668D0"/>
    <w:rsid w:val="00A77332"/>
    <w:rsid w:val="00A845E6"/>
    <w:rsid w:val="00A87A93"/>
    <w:rsid w:val="00A91A8B"/>
    <w:rsid w:val="00A923FB"/>
    <w:rsid w:val="00AA1BF7"/>
    <w:rsid w:val="00AA5233"/>
    <w:rsid w:val="00AA6FA8"/>
    <w:rsid w:val="00AB23CE"/>
    <w:rsid w:val="00AC3D62"/>
    <w:rsid w:val="00AD034B"/>
    <w:rsid w:val="00AD0EE2"/>
    <w:rsid w:val="00AD7B4D"/>
    <w:rsid w:val="00AF249F"/>
    <w:rsid w:val="00AF7078"/>
    <w:rsid w:val="00B02DA7"/>
    <w:rsid w:val="00B162FE"/>
    <w:rsid w:val="00B22D66"/>
    <w:rsid w:val="00B3143C"/>
    <w:rsid w:val="00B35BB4"/>
    <w:rsid w:val="00B45490"/>
    <w:rsid w:val="00B462E2"/>
    <w:rsid w:val="00B467F1"/>
    <w:rsid w:val="00B54F37"/>
    <w:rsid w:val="00B614C8"/>
    <w:rsid w:val="00B632DC"/>
    <w:rsid w:val="00B70CCC"/>
    <w:rsid w:val="00B75A21"/>
    <w:rsid w:val="00B82270"/>
    <w:rsid w:val="00B8300F"/>
    <w:rsid w:val="00B83664"/>
    <w:rsid w:val="00B90135"/>
    <w:rsid w:val="00BA1518"/>
    <w:rsid w:val="00BA3365"/>
    <w:rsid w:val="00BB169A"/>
    <w:rsid w:val="00BB245F"/>
    <w:rsid w:val="00BB2CB7"/>
    <w:rsid w:val="00BC0DD1"/>
    <w:rsid w:val="00BC7F9B"/>
    <w:rsid w:val="00BD0190"/>
    <w:rsid w:val="00BD6763"/>
    <w:rsid w:val="00BE1D3D"/>
    <w:rsid w:val="00BE77B9"/>
    <w:rsid w:val="00BF1EB9"/>
    <w:rsid w:val="00BF39B2"/>
    <w:rsid w:val="00BF3A6B"/>
    <w:rsid w:val="00C1665B"/>
    <w:rsid w:val="00C23347"/>
    <w:rsid w:val="00C2354B"/>
    <w:rsid w:val="00C23A35"/>
    <w:rsid w:val="00C27C98"/>
    <w:rsid w:val="00C303BF"/>
    <w:rsid w:val="00C41D4E"/>
    <w:rsid w:val="00C426A9"/>
    <w:rsid w:val="00C43F26"/>
    <w:rsid w:val="00C478D4"/>
    <w:rsid w:val="00C50DD4"/>
    <w:rsid w:val="00C64034"/>
    <w:rsid w:val="00C7429E"/>
    <w:rsid w:val="00C75361"/>
    <w:rsid w:val="00C77140"/>
    <w:rsid w:val="00C86A74"/>
    <w:rsid w:val="00C91831"/>
    <w:rsid w:val="00C97504"/>
    <w:rsid w:val="00CA2B39"/>
    <w:rsid w:val="00CB0766"/>
    <w:rsid w:val="00CB15C4"/>
    <w:rsid w:val="00CB389F"/>
    <w:rsid w:val="00CC1A11"/>
    <w:rsid w:val="00CC6AF2"/>
    <w:rsid w:val="00CD38E6"/>
    <w:rsid w:val="00CD7390"/>
    <w:rsid w:val="00CE72F1"/>
    <w:rsid w:val="00CF34AB"/>
    <w:rsid w:val="00CF6E3F"/>
    <w:rsid w:val="00D01F12"/>
    <w:rsid w:val="00D10598"/>
    <w:rsid w:val="00D12F4E"/>
    <w:rsid w:val="00D137CE"/>
    <w:rsid w:val="00D165E9"/>
    <w:rsid w:val="00D17687"/>
    <w:rsid w:val="00D22306"/>
    <w:rsid w:val="00D22416"/>
    <w:rsid w:val="00D23A4B"/>
    <w:rsid w:val="00D3146E"/>
    <w:rsid w:val="00D35CC8"/>
    <w:rsid w:val="00D36189"/>
    <w:rsid w:val="00D372FC"/>
    <w:rsid w:val="00D3788D"/>
    <w:rsid w:val="00D429AC"/>
    <w:rsid w:val="00D42B67"/>
    <w:rsid w:val="00D527A5"/>
    <w:rsid w:val="00D619AA"/>
    <w:rsid w:val="00D6682E"/>
    <w:rsid w:val="00D85838"/>
    <w:rsid w:val="00D87773"/>
    <w:rsid w:val="00D95783"/>
    <w:rsid w:val="00D969A2"/>
    <w:rsid w:val="00D96B75"/>
    <w:rsid w:val="00DA26CB"/>
    <w:rsid w:val="00DB1ECC"/>
    <w:rsid w:val="00DB6C5A"/>
    <w:rsid w:val="00DC2BED"/>
    <w:rsid w:val="00DC5F3F"/>
    <w:rsid w:val="00DD75F9"/>
    <w:rsid w:val="00DE155C"/>
    <w:rsid w:val="00DE172D"/>
    <w:rsid w:val="00DE6254"/>
    <w:rsid w:val="00DF655B"/>
    <w:rsid w:val="00DF6E46"/>
    <w:rsid w:val="00E05FE5"/>
    <w:rsid w:val="00E0616B"/>
    <w:rsid w:val="00E06307"/>
    <w:rsid w:val="00E13807"/>
    <w:rsid w:val="00E20E45"/>
    <w:rsid w:val="00E22A84"/>
    <w:rsid w:val="00E27311"/>
    <w:rsid w:val="00E33C51"/>
    <w:rsid w:val="00E33E63"/>
    <w:rsid w:val="00E3738E"/>
    <w:rsid w:val="00E41704"/>
    <w:rsid w:val="00E439CF"/>
    <w:rsid w:val="00E44D77"/>
    <w:rsid w:val="00E53BAF"/>
    <w:rsid w:val="00E5627E"/>
    <w:rsid w:val="00E701B9"/>
    <w:rsid w:val="00E915EB"/>
    <w:rsid w:val="00E92074"/>
    <w:rsid w:val="00E94DA7"/>
    <w:rsid w:val="00E95BAB"/>
    <w:rsid w:val="00E97F68"/>
    <w:rsid w:val="00EA0C9E"/>
    <w:rsid w:val="00EA0E57"/>
    <w:rsid w:val="00EA2A7A"/>
    <w:rsid w:val="00EA72F5"/>
    <w:rsid w:val="00EB15E5"/>
    <w:rsid w:val="00EB23A1"/>
    <w:rsid w:val="00EC0E80"/>
    <w:rsid w:val="00EC1376"/>
    <w:rsid w:val="00EC15C5"/>
    <w:rsid w:val="00EC37DA"/>
    <w:rsid w:val="00EC3927"/>
    <w:rsid w:val="00ED6110"/>
    <w:rsid w:val="00EE4704"/>
    <w:rsid w:val="00EE7785"/>
    <w:rsid w:val="00EF71C7"/>
    <w:rsid w:val="00F005C4"/>
    <w:rsid w:val="00F01B6D"/>
    <w:rsid w:val="00F1206D"/>
    <w:rsid w:val="00F171B5"/>
    <w:rsid w:val="00F17592"/>
    <w:rsid w:val="00F2775E"/>
    <w:rsid w:val="00F53EAA"/>
    <w:rsid w:val="00F5595D"/>
    <w:rsid w:val="00F627BC"/>
    <w:rsid w:val="00F72199"/>
    <w:rsid w:val="00F76C4D"/>
    <w:rsid w:val="00F8627B"/>
    <w:rsid w:val="00F905C6"/>
    <w:rsid w:val="00F92C68"/>
    <w:rsid w:val="00FC0885"/>
    <w:rsid w:val="00FC3B03"/>
    <w:rsid w:val="00FC75EA"/>
    <w:rsid w:val="00FD090F"/>
    <w:rsid w:val="00FD0BC5"/>
    <w:rsid w:val="00FD1B0B"/>
    <w:rsid w:val="00FD3562"/>
    <w:rsid w:val="00FD4960"/>
    <w:rsid w:val="00FD6569"/>
    <w:rsid w:val="00FE115F"/>
    <w:rsid w:val="00FE27D3"/>
    <w:rsid w:val="00FE4C7D"/>
    <w:rsid w:val="00FF5D3E"/>
    <w:rsid w:val="00FF7B7D"/>
    <w:rsid w:val="046E0BB1"/>
    <w:rsid w:val="079C405A"/>
    <w:rsid w:val="08140956"/>
    <w:rsid w:val="0E467A90"/>
    <w:rsid w:val="13771908"/>
    <w:rsid w:val="254047D6"/>
    <w:rsid w:val="39CB7ED3"/>
    <w:rsid w:val="3B5612E6"/>
    <w:rsid w:val="3B6F457B"/>
    <w:rsid w:val="49C1268F"/>
    <w:rsid w:val="4C6B0C38"/>
    <w:rsid w:val="4C6F7FEC"/>
    <w:rsid w:val="54BF24F7"/>
    <w:rsid w:val="61B4550E"/>
    <w:rsid w:val="63076C2D"/>
    <w:rsid w:val="66EF5898"/>
    <w:rsid w:val="6986313B"/>
    <w:rsid w:val="7163541B"/>
    <w:rsid w:val="741E6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49873"/>
  <w15:docId w15:val="{50981808-95F8-411E-BDB4-CA27940C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uiPriority w:val="99"/>
    <w:semiHidden/>
    <w:unhideWhenUsed/>
    <w:qFormat/>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qFormat/>
  </w:style>
  <w:style w:type="character" w:styleId="af">
    <w:name w:val="Hyperlink"/>
    <w:basedOn w:val="a0"/>
    <w:uiPriority w:val="99"/>
    <w:unhideWhenUsed/>
    <w:qFormat/>
    <w:rPr>
      <w:color w:val="467886" w:themeColor="hyperlink"/>
      <w:u w:val="single"/>
    </w:rPr>
  </w:style>
  <w:style w:type="character" w:styleId="af0">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2"/>
      <w:szCs w:val="24"/>
      <w14:ligatures w14:val="standardContextual"/>
    </w:rPr>
  </w:style>
  <w:style w:type="character" w:styleId="af6">
    <w:name w:val="Placeholder Text"/>
    <w:basedOn w:val="a0"/>
    <w:uiPriority w:val="99"/>
    <w:unhideWhenUsed/>
    <w:qFormat/>
    <w:rPr>
      <w:color w:val="666666"/>
    </w:rPr>
  </w:style>
  <w:style w:type="paragraph" w:customStyle="1" w:styleId="31">
    <w:name w:val="修订3"/>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41">
    <w:name w:val="修订4"/>
    <w:hidden/>
    <w:uiPriority w:val="99"/>
    <w:unhideWhenUsed/>
    <w:qFormat/>
    <w:rPr>
      <w:rFonts w:asciiTheme="minorHAnsi" w:eastAsiaTheme="minorEastAsia" w:hAnsiTheme="minorHAnsi" w:cstheme="minorBidi"/>
      <w:kern w:val="2"/>
      <w:sz w:val="22"/>
      <w:szCs w:val="24"/>
      <w14:ligatures w14:val="standardContextual"/>
    </w:rPr>
  </w:style>
  <w:style w:type="character" w:customStyle="1" w:styleId="14">
    <w:name w:val="未处理的提及1"/>
    <w:basedOn w:val="a0"/>
    <w:uiPriority w:val="99"/>
    <w:semiHidden/>
    <w:unhideWhenUsed/>
    <w:qFormat/>
    <w:rPr>
      <w:color w:val="605E5C"/>
      <w:shd w:val="clear" w:color="auto" w:fill="E1DFDD"/>
    </w:rPr>
  </w:style>
  <w:style w:type="paragraph" w:customStyle="1" w:styleId="51">
    <w:name w:val="修订5"/>
    <w:hidden/>
    <w:uiPriority w:val="99"/>
    <w:unhideWhenUsed/>
    <w:qFormat/>
    <w:rPr>
      <w:rFonts w:asciiTheme="minorHAnsi" w:eastAsiaTheme="minorEastAsia" w:hAnsiTheme="minorHAnsi" w:cstheme="minorBidi"/>
      <w:kern w:val="2"/>
      <w:sz w:val="22"/>
      <w:szCs w:val="24"/>
      <w14:ligatures w14:val="standardContextual"/>
    </w:rPr>
  </w:style>
  <w:style w:type="paragraph" w:styleId="af7">
    <w:name w:val="Revision"/>
    <w:hidden/>
    <w:uiPriority w:val="99"/>
    <w:unhideWhenUsed/>
    <w:rsid w:val="00DF655B"/>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C38F1-C759-45A3-AD27-33B2665DF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19</Pages>
  <Words>7736</Words>
  <Characters>49204</Characters>
  <Application>Microsoft Office Word</Application>
  <DocSecurity>0</DocSecurity>
  <Lines>781</Lines>
  <Paragraphs>257</Paragraphs>
  <ScaleCrop>false</ScaleCrop>
  <Company/>
  <LinksUpToDate>false</LinksUpToDate>
  <CharactersWithSpaces>56683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yu2930049382@outlook.com</dc:creator>
  <cp:lastModifiedBy>YU2930049382@outlook.com</cp:lastModifiedBy>
  <cp:revision>204</cp:revision>
  <dcterms:created xsi:type="dcterms:W3CDTF">2026-01-26T15:46:00Z</dcterms:created>
  <dcterms:modified xsi:type="dcterms:W3CDTF">2026-09-16T05:26:00Z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eyJoZGlkIjoiMzEwNTM5NzYwMDRjMzkwZTVkZjY2ODkwMGIxNGU0OTUiLCJ1c2VySWQiOiIxMzgyMDM1ODk1In0=</vt:lpwstr>
  </property>
  <property fmtid="{D5CDD505-2E9C-101B-9397-08002B2CF9AE}" pid="3" name="KSOProductBuildVer">
    <vt:lpwstr>2052-12.1.0.28043</vt:lpwstr>
  </property>
  <property fmtid="{D5CDD505-2E9C-101B-9397-08002B2CF9AE}" pid="4" name="ICV">
    <vt:lpwstr>745BD1A4F16B4EB4A8EC0A6250501DC2_13</vt:lpwstr>
  </property>
</Properties>
</file>