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D05CA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71298</w:t>
      </w:r>
    </w:p>
    <w:p w14:paraId="2F6924E5" w14:textId="77777777" w:rsidR="00D05CA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Ruchira Mukherji</w:t>
      </w:r>
    </w:p>
    <w:p w14:paraId="40042248" w14:textId="77777777" w:rsidR="00D05CA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D05CA2">
          <w:rPr>
            <w:rStyle w:val="Hyperlink"/>
            <w:rFonts w:eastAsia="Times New Roman" w:cstheme="minorHAnsi"/>
            <w:b/>
          </w:rPr>
          <w:t>https://review.jove.com/files_upload.php?src=21745938</w:t>
        </w:r>
      </w:hyperlink>
    </w:p>
    <w:p w14:paraId="6FB9233B" w14:textId="77777777" w:rsidR="00D05CA2" w:rsidRDefault="00D05CA2">
      <w:pPr>
        <w:outlineLvl w:val="0"/>
        <w:rPr>
          <w:rFonts w:eastAsia="Times New Roman" w:cstheme="minorHAnsi"/>
          <w:b/>
        </w:rPr>
      </w:pPr>
    </w:p>
    <w:p w14:paraId="2C89778F" w14:textId="77777777" w:rsidR="00D05CA2" w:rsidRDefault="00D05CA2">
      <w:pPr>
        <w:outlineLvl w:val="0"/>
        <w:rPr>
          <w:rFonts w:eastAsia="Times New Roman" w:cstheme="minorHAnsi"/>
          <w:b/>
        </w:rPr>
      </w:pPr>
    </w:p>
    <w:p w14:paraId="19BADD77" w14:textId="77777777" w:rsidR="00D05CA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Coupling Intracellular Gemcitabine Quantification with Bioluminescence Imaging to Visualize Pharmacokinetic–Pharmacodynamic Relationships in Pancreatic Cancer Models</w:t>
      </w:r>
    </w:p>
    <w:p w14:paraId="30BC7CCC" w14:textId="77777777" w:rsidR="00D05CA2" w:rsidRDefault="00D05CA2">
      <w:pPr>
        <w:outlineLvl w:val="0"/>
        <w:rPr>
          <w:rFonts w:eastAsia="Times New Roman" w:cstheme="minorHAnsi"/>
          <w:b/>
        </w:rPr>
      </w:pPr>
    </w:p>
    <w:p w14:paraId="4A0C5B67" w14:textId="77777777" w:rsidR="00D05CA2" w:rsidRDefault="00D05CA2">
      <w:pPr>
        <w:outlineLvl w:val="0"/>
        <w:rPr>
          <w:rFonts w:eastAsia="Times New Roman" w:cstheme="minorHAnsi"/>
          <w:b/>
        </w:rPr>
      </w:pPr>
    </w:p>
    <w:p w14:paraId="571B4839" w14:textId="77777777" w:rsidR="00D05CA2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E8AC33" w14:textId="77777777" w:rsidR="00D05CA2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Xinyu Gao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Wenbin Wang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Ruiying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sz w:val="28"/>
          <w:szCs w:val="28"/>
        </w:rPr>
        <w:t>, Xinyu Wang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Fangping Wu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Kaidi Chen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Mancang Gu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33CD999C" w14:textId="77777777" w:rsidR="00D05CA2" w:rsidRDefault="00D05CA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2080CA0" w14:textId="77777777" w:rsidR="00D05CA2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School of Pharmaceutical Sciences, Zhejiang Chinese Medical University</w:t>
      </w:r>
    </w:p>
    <w:p w14:paraId="59D9107E" w14:textId="77777777" w:rsidR="00D05CA2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Academy of Chinese Medical Sciences, Zhejiang Chinese Medical University</w:t>
      </w:r>
    </w:p>
    <w:p w14:paraId="775A9EB7" w14:textId="77777777" w:rsidR="00D05CA2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>Institute for Innovation in Modern Traditional Chinese Medicine, The First Affiliated Hospital of Zhejiang Chinese Medical University, Zhejiang Provincial Hospital of Traditional Chinese Medicine</w:t>
      </w:r>
    </w:p>
    <w:p w14:paraId="6A87D6BA" w14:textId="26F8C3DD" w:rsidR="00D05CA2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Cs/>
          <w:sz w:val="28"/>
          <w:szCs w:val="28"/>
        </w:rPr>
        <w:t>School of Basic Medical Sciences, Guangzhou University of Chinese Medic</w:t>
      </w:r>
      <w:r w:rsidR="001F0A85">
        <w:rPr>
          <w:rFonts w:eastAsia="Times New Roman" w:cstheme="minorHAnsi"/>
          <w:bCs/>
          <w:sz w:val="28"/>
          <w:szCs w:val="28"/>
        </w:rPr>
        <w:t>ine</w:t>
      </w:r>
    </w:p>
    <w:p w14:paraId="4FDD3434" w14:textId="77777777" w:rsidR="00D05CA2" w:rsidRDefault="00D05CA2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7101797C" w14:textId="77777777" w:rsidR="00D356FD" w:rsidRDefault="00D356FD">
      <w:pPr>
        <w:outlineLvl w:val="0"/>
        <w:rPr>
          <w:rFonts w:eastAsia="Times New Roman" w:cstheme="minorHAnsi"/>
        </w:rPr>
      </w:pPr>
    </w:p>
    <w:p w14:paraId="74288581" w14:textId="77777777" w:rsidR="00D05CA2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 w14:textId="77777777" w:rsidR="00D05CA2" w:rsidRDefault="00D05CA2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7777777" w:rsidR="00D05CA2" w:rsidRDefault="00000000">
      <w:pPr>
        <w:adjustRightInd w:val="0"/>
        <w:snapToGrid w:val="0"/>
        <w:rPr>
          <w:rFonts w:ascii="Calibri" w:hAnsi="Calibri" w:cs="Calibri"/>
        </w:rPr>
      </w:pPr>
      <w:r>
        <w:rPr>
          <w:rFonts w:ascii="Calibri" w:hAnsi="Calibri" w:cs="Calibri" w:hint="eastAsia"/>
        </w:rPr>
        <w:t>Mancang Gu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8" w:history="1">
        <w:r w:rsidR="00D05CA2">
          <w:rPr>
            <w:rStyle w:val="Hyperlink"/>
            <w:rFonts w:ascii="Calibri" w:hAnsi="Calibri" w:cs="Calibri"/>
          </w:rPr>
          <w:t>gmancang@zcmu.edu.cn</w:t>
        </w:r>
      </w:hyperlink>
    </w:p>
    <w:p w14:paraId="1B4B2D7A" w14:textId="77777777" w:rsidR="00D05CA2" w:rsidRDefault="00D05CA2">
      <w:pPr>
        <w:outlineLvl w:val="0"/>
        <w:rPr>
          <w:rFonts w:eastAsia="Times New Roman" w:cstheme="minorHAnsi"/>
        </w:rPr>
      </w:pPr>
    </w:p>
    <w:p w14:paraId="2E1C6668" w14:textId="77777777" w:rsidR="00D05CA2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43E32BCD" w14:textId="77777777" w:rsidR="00D05CA2" w:rsidRDefault="00D05CA2">
      <w:pPr>
        <w:adjustRightInd w:val="0"/>
        <w:snapToGrid w:val="0"/>
        <w:rPr>
          <w:rFonts w:cstheme="minorHAnsi"/>
          <w:b/>
          <w:sz w:val="22"/>
          <w:szCs w:val="22"/>
        </w:rPr>
      </w:pPr>
    </w:p>
    <w:p w14:paraId="487F1031" w14:textId="77777777" w:rsidR="00D05CA2" w:rsidRDefault="00D05CA2">
      <w:pPr>
        <w:adjustRightInd w:val="0"/>
        <w:snapToGrid w:val="0"/>
        <w:rPr>
          <w:rFonts w:ascii="Calibri" w:hAnsi="Calibri" w:cs="Calibri"/>
        </w:rPr>
      </w:pPr>
      <w:hyperlink r:id="rId9" w:history="1">
        <w:r>
          <w:rPr>
            <w:rStyle w:val="Hyperlink"/>
            <w:rFonts w:ascii="Calibri" w:hAnsi="Calibri" w:cs="Calibri"/>
          </w:rPr>
          <w:t>202412210402026@zcmu.edu.cn</w:t>
        </w:r>
      </w:hyperlink>
      <w:r>
        <w:rPr>
          <w:rFonts w:ascii="Calibri" w:hAnsi="Calibri" w:cs="Calibri"/>
        </w:rPr>
        <w:t xml:space="preserve"> </w:t>
      </w:r>
    </w:p>
    <w:p w14:paraId="710BE017" w14:textId="77777777" w:rsidR="00D05CA2" w:rsidRDefault="00D05CA2">
      <w:pPr>
        <w:adjustRightInd w:val="0"/>
        <w:snapToGrid w:val="0"/>
        <w:rPr>
          <w:rFonts w:ascii="Calibri" w:hAnsi="Calibri" w:cs="Calibri"/>
        </w:rPr>
      </w:pPr>
      <w:hyperlink r:id="rId10" w:history="1">
        <w:r>
          <w:rPr>
            <w:rStyle w:val="Hyperlink"/>
            <w:rFonts w:ascii="Calibri" w:hAnsi="Calibri" w:cs="Calibri"/>
          </w:rPr>
          <w:t>202412215201001@zcmu.edu.cn</w:t>
        </w:r>
      </w:hyperlink>
      <w:r>
        <w:rPr>
          <w:rFonts w:ascii="Calibri" w:hAnsi="Calibri" w:cs="Calibri"/>
        </w:rPr>
        <w:t xml:space="preserve"> </w:t>
      </w:r>
    </w:p>
    <w:p w14:paraId="0907DF02" w14:textId="77777777" w:rsidR="00D05CA2" w:rsidRDefault="00D05CA2">
      <w:pPr>
        <w:adjustRightInd w:val="0"/>
        <w:snapToGrid w:val="0"/>
        <w:rPr>
          <w:rFonts w:ascii="Calibri" w:hAnsi="Calibri" w:cs="Calibri"/>
        </w:rPr>
      </w:pPr>
      <w:hyperlink r:id="rId11" w:history="1">
        <w:r>
          <w:rPr>
            <w:rStyle w:val="Hyperlink"/>
            <w:rFonts w:ascii="Calibri" w:hAnsi="Calibri" w:cs="Calibri"/>
          </w:rPr>
          <w:t>297866606@qq.com</w:t>
        </w:r>
      </w:hyperlink>
      <w:r>
        <w:rPr>
          <w:rFonts w:ascii="Calibri" w:hAnsi="Calibri" w:cs="Calibri"/>
        </w:rPr>
        <w:t xml:space="preserve"> </w:t>
      </w:r>
    </w:p>
    <w:p w14:paraId="08994FB7" w14:textId="77777777" w:rsidR="00D05CA2" w:rsidRDefault="00D05CA2">
      <w:pPr>
        <w:adjustRightInd w:val="0"/>
        <w:snapToGrid w:val="0"/>
        <w:rPr>
          <w:rFonts w:ascii="Calibri" w:hAnsi="Calibri" w:cs="Calibri"/>
        </w:rPr>
      </w:pPr>
      <w:hyperlink r:id="rId12" w:history="1">
        <w:r>
          <w:rPr>
            <w:rStyle w:val="Hyperlink"/>
            <w:rFonts w:ascii="Calibri" w:hAnsi="Calibri" w:cs="Calibri"/>
          </w:rPr>
          <w:t>wangxinyu202019@163.com</w:t>
        </w:r>
      </w:hyperlink>
      <w:r>
        <w:rPr>
          <w:rFonts w:ascii="Calibri" w:hAnsi="Calibri" w:cs="Calibri"/>
        </w:rPr>
        <w:t xml:space="preserve"> </w:t>
      </w:r>
    </w:p>
    <w:p w14:paraId="7C93D08E" w14:textId="77777777" w:rsidR="00D05CA2" w:rsidRDefault="00D05CA2">
      <w:pPr>
        <w:adjustRightInd w:val="0"/>
        <w:snapToGrid w:val="0"/>
        <w:rPr>
          <w:rFonts w:ascii="Calibri" w:hAnsi="Calibri" w:cs="Calibri"/>
        </w:rPr>
      </w:pPr>
      <w:hyperlink r:id="rId13" w:history="1">
        <w:r>
          <w:rPr>
            <w:rStyle w:val="Hyperlink"/>
            <w:rFonts w:ascii="Calibri" w:hAnsi="Calibri" w:cs="Calibri"/>
          </w:rPr>
          <w:t>wufangping2020@163.com</w:t>
        </w:r>
      </w:hyperlink>
    </w:p>
    <w:p w14:paraId="6F84F159" w14:textId="77777777" w:rsidR="00D05CA2" w:rsidRDefault="00D05CA2">
      <w:pPr>
        <w:outlineLvl w:val="0"/>
        <w:rPr>
          <w:rFonts w:cstheme="minorHAnsi"/>
          <w:b/>
          <w:sz w:val="22"/>
          <w:szCs w:val="22"/>
        </w:rPr>
      </w:pPr>
      <w:hyperlink r:id="rId14" w:history="1">
        <w:r>
          <w:rPr>
            <w:rStyle w:val="Hyperlink"/>
            <w:rFonts w:ascii="Calibri" w:hAnsi="Calibri" w:cs="Calibri"/>
          </w:rPr>
          <w:t>202011113511009@zcmu.edu.cn</w:t>
        </w:r>
      </w:hyperlink>
      <w:r>
        <w:rPr>
          <w:rFonts w:ascii="Calibri" w:hAnsi="Calibri" w:cs="Calibri"/>
        </w:rPr>
        <w:t xml:space="preserve"> </w:t>
      </w:r>
    </w:p>
    <w:p w14:paraId="5A2BE33C" w14:textId="77777777" w:rsidR="00D05CA2" w:rsidRDefault="00D05CA2">
      <w:pPr>
        <w:outlineLvl w:val="0"/>
        <w:rPr>
          <w:rFonts w:cstheme="minorHAnsi"/>
          <w:b/>
          <w:sz w:val="22"/>
          <w:szCs w:val="22"/>
        </w:rPr>
      </w:pPr>
      <w:hyperlink r:id="rId15" w:history="1">
        <w:r>
          <w:rPr>
            <w:rStyle w:val="Hyperlink"/>
            <w:rFonts w:ascii="Calibri" w:hAnsi="Calibri" w:cs="Calibri"/>
          </w:rPr>
          <w:t>gmancang@zcmu.edu.cn</w:t>
        </w:r>
      </w:hyperlink>
    </w:p>
    <w:p w14:paraId="60B95108" w14:textId="77777777" w:rsidR="00D05CA2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D05CA2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4967516" w:rsidR="00D05CA2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>
        <w:rPr>
          <w:rFonts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4E7C3E85" w14:textId="77777777" w:rsidR="00D05CA2" w:rsidRDefault="00D05CA2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ACFE524" w:rsidR="00D05CA2" w:rsidRDefault="00000000">
      <w:pPr>
        <w:spacing w:before="120"/>
        <w:ind w:left="216" w:hanging="216"/>
        <w:rPr>
          <w:rFonts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>
        <w:rPr>
          <w:rFonts w:cstheme="minorHAnsi" w:hint="eastAsia"/>
          <w:b/>
          <w:lang w:eastAsia="zh-CN"/>
        </w:rPr>
        <w:t>No</w:t>
      </w:r>
    </w:p>
    <w:p w14:paraId="1C68C2BA" w14:textId="20416215" w:rsidR="00D05CA2" w:rsidRPr="0042329C" w:rsidRDefault="0042329C">
      <w:pPr>
        <w:spacing w:before="120"/>
        <w:rPr>
          <w:rFonts w:cstheme="minorHAnsi"/>
          <w:i/>
          <w:iCs/>
        </w:rPr>
      </w:pPr>
      <w:r w:rsidRPr="0042329C">
        <w:rPr>
          <w:rFonts w:cstheme="minorHAnsi"/>
          <w:b/>
          <w:bCs/>
          <w:i/>
          <w:iCs/>
          <w:color w:val="00B0F0"/>
        </w:rPr>
        <w:t>Videographer</w:t>
      </w:r>
      <w:r w:rsidRPr="0042329C">
        <w:rPr>
          <w:rFonts w:cstheme="minorHAnsi"/>
          <w:i/>
          <w:iCs/>
          <w:color w:val="00B0F0"/>
        </w:rPr>
        <w:t xml:space="preserve">: Please film the computer/device screen for all shots labeled </w:t>
      </w:r>
      <w:r w:rsidRPr="0042329C">
        <w:rPr>
          <w:rFonts w:cstheme="minorHAnsi"/>
          <w:b/>
          <w:bCs/>
          <w:i/>
          <w:iCs/>
          <w:color w:val="00B0F0"/>
        </w:rPr>
        <w:t>SCREEN</w:t>
      </w:r>
      <w:r w:rsidRPr="0042329C">
        <w:rPr>
          <w:rFonts w:cstheme="minorHAnsi"/>
          <w:i/>
          <w:iCs/>
          <w:color w:val="00B0F0"/>
        </w:rPr>
        <w:t xml:space="preserve">, since the author said </w:t>
      </w:r>
      <w:r w:rsidRPr="0042329C">
        <w:rPr>
          <w:rFonts w:cstheme="minorHAnsi"/>
          <w:b/>
          <w:bCs/>
          <w:i/>
          <w:iCs/>
          <w:color w:val="00B0F0"/>
        </w:rPr>
        <w:t>No</w:t>
      </w:r>
      <w:r w:rsidRPr="0042329C">
        <w:rPr>
          <w:rFonts w:cstheme="minorHAnsi"/>
          <w:i/>
          <w:iCs/>
          <w:color w:val="00B0F0"/>
        </w:rPr>
        <w:t xml:space="preserve"> to the software question.</w:t>
      </w:r>
    </w:p>
    <w:p w14:paraId="503D7934" w14:textId="77777777" w:rsidR="0042329C" w:rsidRDefault="0042329C">
      <w:pPr>
        <w:spacing w:before="120"/>
        <w:rPr>
          <w:rFonts w:eastAsia="Times New Roman" w:cstheme="minorHAnsi"/>
          <w:b/>
        </w:rPr>
      </w:pPr>
    </w:p>
    <w:p w14:paraId="7A03162F" w14:textId="2846FFA6" w:rsidR="00D05CA2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</w:t>
      </w:r>
      <w:r w:rsidR="0080293D">
        <w:rPr>
          <w:rFonts w:eastAsia="Times New Roman" w:cstheme="minorHAnsi"/>
        </w:rPr>
        <w:t xml:space="preserve"> </w:t>
      </w:r>
      <w:r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D05CA2" w:rsidRDefault="00D05CA2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D05CA2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D05CA2" w:rsidRDefault="00D05CA2">
      <w:pPr>
        <w:rPr>
          <w:rFonts w:cstheme="minorHAnsi"/>
          <w:b/>
          <w:sz w:val="22"/>
          <w:szCs w:val="22"/>
        </w:rPr>
      </w:pPr>
    </w:p>
    <w:p w14:paraId="67386C83" w14:textId="77777777" w:rsidR="00D05CA2" w:rsidRDefault="00D05CA2">
      <w:pPr>
        <w:rPr>
          <w:rFonts w:cstheme="minorHAnsi"/>
          <w:b/>
          <w:sz w:val="22"/>
          <w:szCs w:val="22"/>
        </w:rPr>
      </w:pPr>
    </w:p>
    <w:p w14:paraId="7AA7BBC5" w14:textId="77777777" w:rsidR="00D05CA2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7843485" w:rsidR="00D05CA2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</w:t>
      </w:r>
      <w:r w:rsidR="00556FEE">
        <w:rPr>
          <w:rFonts w:cstheme="minorHAnsi"/>
          <w:bCs/>
          <w:sz w:val="22"/>
          <w:szCs w:val="22"/>
        </w:rPr>
        <w:t>6</w:t>
      </w:r>
      <w:r>
        <w:rPr>
          <w:rFonts w:cstheme="minorHAnsi"/>
          <w:bCs/>
          <w:sz w:val="22"/>
          <w:szCs w:val="22"/>
        </w:rPr>
        <w:t xml:space="preserve">  </w:t>
      </w:r>
    </w:p>
    <w:p w14:paraId="5AAC9C6C" w14:textId="286D9178" w:rsidR="00D05CA2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720D41">
        <w:rPr>
          <w:rFonts w:cstheme="minorHAnsi"/>
          <w:bCs/>
          <w:sz w:val="22"/>
          <w:szCs w:val="22"/>
        </w:rPr>
        <w:t>35</w:t>
      </w:r>
      <w:r>
        <w:rPr>
          <w:rFonts w:cstheme="minorHAnsi"/>
          <w:bCs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D05CA2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D05CA2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65488333" w14:textId="77777777" w:rsidR="00D05CA2" w:rsidRDefault="00D05CA2">
      <w:pPr>
        <w:rPr>
          <w:rFonts w:eastAsia="Times New Roman" w:cstheme="minorHAnsi"/>
          <w:b/>
        </w:rPr>
      </w:pPr>
    </w:p>
    <w:p w14:paraId="32998071" w14:textId="5EEF5325" w:rsidR="00D05CA2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EE0155">
        <w:rPr>
          <w:rFonts w:cstheme="minorHAnsi"/>
          <w:color w:val="auto"/>
          <w:highlight w:val="yellow"/>
          <w:shd w:val="clear" w:color="auto" w:fill="FFFFFF"/>
        </w:rPr>
        <w:t>S</w:t>
      </w:r>
      <w:r w:rsidR="00365341">
        <w:rPr>
          <w:rFonts w:cstheme="minorHAnsi"/>
          <w:color w:val="auto"/>
          <w:highlight w:val="yellow"/>
          <w:shd w:val="clear" w:color="auto" w:fill="FFFFFF"/>
        </w:rPr>
        <w:t>ome s</w:t>
      </w:r>
      <w:r w:rsidR="00EE0155">
        <w:rPr>
          <w:rFonts w:cstheme="minorHAnsi"/>
          <w:color w:val="auto"/>
          <w:highlight w:val="yellow"/>
          <w:shd w:val="clear" w:color="auto" w:fill="FFFFFF"/>
        </w:rPr>
        <w:t xml:space="preserve">tatements have been edited for length and clarity.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05CA2" w:rsidRDefault="00D05CA2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D05CA2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D05CA2" w:rsidRDefault="00D05CA2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D05CA2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5928288" w14:textId="77777777" w:rsidR="00D05CA2" w:rsidRPr="00EE0155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Xinyu Gao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 w:hint="eastAsia"/>
        </w:rPr>
        <w:t>This protocol integrates traditionally separate drug exposure and imaging measurements, enabling quantitative assessment of exposure-response relationships across experimental models.</w:t>
      </w:r>
    </w:p>
    <w:p w14:paraId="5D2AC9CF" w14:textId="77777777" w:rsidR="00EE0155" w:rsidRDefault="00EE0155" w:rsidP="00EE0155">
      <w:pPr>
        <w:pStyle w:val="ListParagraph"/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EC1692" w14:textId="77777777" w:rsidR="00EE0155" w:rsidRDefault="00EE0155" w:rsidP="00EE015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D05CA2" w:rsidRDefault="00D05CA2">
      <w:pPr>
        <w:rPr>
          <w:rFonts w:eastAsia="Times New Roman" w:cstheme="minorHAnsi"/>
          <w:b/>
          <w:bCs/>
        </w:rPr>
      </w:pPr>
    </w:p>
    <w:p w14:paraId="0B0139AD" w14:textId="77777777" w:rsidR="00D05CA2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490E6309" w14:textId="60DC3923" w:rsidR="00D05CA2" w:rsidRPr="00EE0155" w:rsidRDefault="00000000" w:rsidP="00EE0155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Xinyu Gao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365341" w:rsidRPr="00365341">
        <w:rPr>
          <w:rFonts w:cstheme="minorHAnsi"/>
        </w:rPr>
        <w:t>Existing methods assess intracellular drug exposure and functional responses separately. This protocol integrates both measurements within a single analytical workflow.</w:t>
      </w:r>
    </w:p>
    <w:p w14:paraId="0F9979E9" w14:textId="77777777" w:rsidR="00EE0155" w:rsidRDefault="00EE0155" w:rsidP="00EE0155">
      <w:pPr>
        <w:pStyle w:val="ListParagraph"/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0FF3020D" w14:textId="77777777" w:rsidR="00EE0155" w:rsidRDefault="00EE0155" w:rsidP="00EE0155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77777777" w:rsidR="00D05CA2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D05CA2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2BC3E50E" w:rsidR="00D05CA2" w:rsidRPr="00EE0155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Xinyu Gao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F41C2" w:rsidRPr="001F41C2">
        <w:rPr>
          <w:rFonts w:cstheme="minorHAnsi"/>
        </w:rPr>
        <w:t>This protocol allows researchers to study intracellular pharmacokinetics alongside imaging-derived pharmacodynamic responses in both in vitro and in vivo models</w:t>
      </w:r>
      <w:r>
        <w:rPr>
          <w:rFonts w:cstheme="minorHAnsi" w:hint="eastAsia"/>
        </w:rPr>
        <w:t>.</w:t>
      </w:r>
    </w:p>
    <w:p w14:paraId="7B06BA4D" w14:textId="77777777" w:rsidR="00EE0155" w:rsidRDefault="00EE0155" w:rsidP="00EE0155">
      <w:pPr>
        <w:pStyle w:val="ListParagraph"/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131DD87C" w14:textId="77777777" w:rsidR="00EE0155" w:rsidRDefault="00EE0155" w:rsidP="00EE015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D05CA2" w:rsidRDefault="00D05CA2">
      <w:pPr>
        <w:rPr>
          <w:rFonts w:eastAsia="Times New Roman" w:cstheme="minorHAnsi"/>
          <w:b/>
          <w:bCs/>
        </w:rPr>
      </w:pPr>
    </w:p>
    <w:p w14:paraId="650FC038" w14:textId="77777777" w:rsidR="00D05CA2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2DF27ABD" w:rsidR="00D05CA2" w:rsidRPr="00EE0155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lastRenderedPageBreak/>
        <w:t>Xinyu Gao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F41C2" w:rsidRPr="001F41C2">
        <w:rPr>
          <w:rFonts w:cstheme="minorHAnsi"/>
        </w:rPr>
        <w:t>The key challenge is obtaining comparable data through consistent LC-MS/MS sample handling, BLI normalization, and identical imaging settings across experimental groups</w:t>
      </w:r>
      <w:r>
        <w:rPr>
          <w:rFonts w:cstheme="minorHAnsi" w:hint="eastAsia"/>
        </w:rPr>
        <w:t>.</w:t>
      </w:r>
    </w:p>
    <w:p w14:paraId="64050859" w14:textId="77777777" w:rsidR="00EE0155" w:rsidRDefault="00EE0155" w:rsidP="00EE0155">
      <w:pPr>
        <w:pStyle w:val="ListParagraph"/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446B50BC" w14:textId="77777777" w:rsidR="00EE0155" w:rsidRDefault="00EE0155" w:rsidP="00EE015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D05CA2" w:rsidRDefault="00D05CA2">
      <w:pPr>
        <w:rPr>
          <w:rFonts w:eastAsia="Times New Roman" w:cstheme="minorHAnsi"/>
          <w:b/>
          <w:bCs/>
        </w:rPr>
      </w:pPr>
    </w:p>
    <w:p w14:paraId="18C04A67" w14:textId="77777777" w:rsidR="00D05CA2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3F311A2" w14:textId="69AFA93C" w:rsidR="00D05CA2" w:rsidRPr="00EE0155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Xinyu Gao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1F41C2" w:rsidRPr="001F41C2">
        <w:rPr>
          <w:rFonts w:cstheme="minorHAnsi"/>
        </w:rPr>
        <w:t>Future studies could adapt this workflow to other drugs and metabolites and test therapies designed to alter intracellular drug disposition</w:t>
      </w:r>
      <w:r>
        <w:rPr>
          <w:rFonts w:cstheme="minorHAnsi" w:hint="eastAsia"/>
        </w:rPr>
        <w:t>.</w:t>
      </w:r>
    </w:p>
    <w:p w14:paraId="426CE622" w14:textId="77777777" w:rsidR="00EE0155" w:rsidRDefault="00EE0155" w:rsidP="00EE0155">
      <w:pPr>
        <w:pStyle w:val="ListParagraph"/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085BBCF6" w14:textId="77777777" w:rsidR="00EE0155" w:rsidRDefault="00EE0155" w:rsidP="00EE015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D05CA2" w:rsidRDefault="00D05CA2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D05CA2" w:rsidRDefault="00D05CA2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D05CA2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D5D05C" w14:textId="77777777" w:rsidR="00D05CA2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234F0D07" w14:textId="77777777" w:rsidR="00D05CA2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>
        <w:rPr>
          <w:rFonts w:ascii="Calibri" w:hAnsi="Calibri" w:cs="Calibri" w:hint="eastAsia"/>
        </w:rPr>
        <w:t>of Zhejiang Chinese Medical University</w:t>
      </w:r>
    </w:p>
    <w:p w14:paraId="2AB394E5" w14:textId="77777777" w:rsidR="00D05CA2" w:rsidRDefault="00D05CA2">
      <w:pPr>
        <w:ind w:left="360"/>
        <w:rPr>
          <w:rFonts w:cstheme="minorHAnsi"/>
          <w:b/>
          <w:i/>
          <w:color w:val="0000FF"/>
        </w:rPr>
      </w:pPr>
    </w:p>
    <w:p w14:paraId="3C78C807" w14:textId="77777777" w:rsidR="00D05CA2" w:rsidRDefault="00D05CA2">
      <w:pPr>
        <w:rPr>
          <w:rFonts w:cstheme="minorHAnsi"/>
          <w:b/>
          <w:i/>
          <w:color w:val="0000FF"/>
        </w:rPr>
      </w:pPr>
    </w:p>
    <w:p w14:paraId="08FB6FAB" w14:textId="77777777" w:rsidR="00D05CA2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D05CA2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D05CA2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777777" w:rsidR="00D05CA2" w:rsidRDefault="00000000">
      <w:pPr>
        <w:pStyle w:val="ListParagraph"/>
        <w:keepNext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Intracellular Gemcitabine Quantification by LC-MS/MS</w:t>
      </w:r>
    </w:p>
    <w:p w14:paraId="314C5FBA" w14:textId="77777777" w:rsidR="00D05CA2" w:rsidRPr="00F77B6B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F77B6B">
        <w:rPr>
          <w:rFonts w:cstheme="minorHAnsi"/>
          <w:b/>
          <w:bCs/>
        </w:rPr>
        <w:t xml:space="preserve">Demonstrator: </w:t>
      </w:r>
      <w:r w:rsidRPr="00F77B6B">
        <w:rPr>
          <w:rFonts w:cstheme="minorHAnsi" w:hint="eastAsia"/>
          <w:b/>
          <w:bCs/>
          <w:lang w:eastAsia="zh-CN"/>
        </w:rPr>
        <w:t>Xinyu Gao</w:t>
      </w:r>
      <w:r w:rsidRPr="00F77B6B">
        <w:rPr>
          <w:rFonts w:cstheme="minorHAnsi"/>
          <w:b/>
          <w:bCs/>
        </w:rPr>
        <w:t xml:space="preserve"> </w:t>
      </w:r>
    </w:p>
    <w:p w14:paraId="6FE16670" w14:textId="77777777" w:rsidR="00D05CA2" w:rsidRDefault="00D05CA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F9C693" w14:textId="3FA4619C" w:rsidR="00D05CA2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Begin by obtaining BxPC-3 </w:t>
      </w:r>
      <w:r>
        <w:rPr>
          <w:i/>
          <w:color w:val="EE0000"/>
        </w:rPr>
        <w:t>(b‑x‑p‑c‑three)</w:t>
      </w:r>
      <w:r>
        <w:rPr>
          <w:color w:val="7030A0"/>
        </w:rPr>
        <w:t xml:space="preserve"> human pancreatic cancer cells from a certified cell bank and routinely maintain them in </w:t>
      </w:r>
      <w:r>
        <w:rPr>
          <w:rFonts w:hint="eastAsia"/>
          <w:color w:val="7030A0"/>
          <w:lang w:eastAsia="zh-CN"/>
        </w:rPr>
        <w:t>T25</w:t>
      </w:r>
      <w:r w:rsidR="00D27FBE">
        <w:rPr>
          <w:color w:val="7030A0"/>
          <w:lang w:eastAsia="zh-CN"/>
        </w:rPr>
        <w:t xml:space="preserve"> </w:t>
      </w:r>
      <w:r w:rsidR="00D27FBE">
        <w:rPr>
          <w:i/>
          <w:color w:val="EE0000"/>
        </w:rPr>
        <w:t xml:space="preserve">(t – </w:t>
      </w:r>
      <w:r w:rsidR="00155FAD">
        <w:rPr>
          <w:i/>
          <w:color w:val="EE0000"/>
        </w:rPr>
        <w:t>twenty-five</w:t>
      </w:r>
      <w:r w:rsidR="00D27FBE">
        <w:rPr>
          <w:i/>
          <w:color w:val="EE0000"/>
        </w:rPr>
        <w:t>)</w:t>
      </w:r>
      <w:r w:rsidR="00D27FBE">
        <w:rPr>
          <w:color w:val="7030A0"/>
        </w:rPr>
        <w:t xml:space="preserve"> </w:t>
      </w:r>
      <w:r>
        <w:rPr>
          <w:rFonts w:hint="eastAsia"/>
          <w:color w:val="7030A0"/>
          <w:lang w:eastAsia="zh-CN"/>
        </w:rPr>
        <w:t>culture flasks containing 5 m</w:t>
      </w:r>
      <w:r w:rsidR="00F77B6B">
        <w:rPr>
          <w:color w:val="7030A0"/>
          <w:lang w:eastAsia="zh-CN"/>
        </w:rPr>
        <w:t>illiliters</w:t>
      </w:r>
      <w:r>
        <w:rPr>
          <w:rFonts w:hint="eastAsia"/>
          <w:color w:val="7030A0"/>
          <w:lang w:eastAsia="zh-CN"/>
        </w:rPr>
        <w:t xml:space="preserve"> of </w:t>
      </w:r>
      <w:r>
        <w:rPr>
          <w:color w:val="7030A0"/>
        </w:rPr>
        <w:t xml:space="preserve">RPMI-1640 medium </w:t>
      </w:r>
      <w:r w:rsidR="00F77B6B">
        <w:rPr>
          <w:color w:val="7030A0"/>
        </w:rPr>
        <w:t>with</w:t>
      </w:r>
      <w:r>
        <w:rPr>
          <w:color w:val="7030A0"/>
        </w:rPr>
        <w:t xml:space="preserve"> 10% FBS and 1% penicillin-streptomycin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</w:p>
    <w:p w14:paraId="1B85424E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>
        <w:rPr>
          <w:color w:val="000000"/>
        </w:rPr>
        <w:t xml:space="preserve">Talent maintaining BxPC-3 cells in a </w:t>
      </w:r>
      <w:r>
        <w:rPr>
          <w:rFonts w:hint="eastAsia"/>
          <w:color w:val="000000"/>
          <w:lang w:eastAsia="zh-CN"/>
        </w:rPr>
        <w:t xml:space="preserve">T25 </w:t>
      </w:r>
      <w:r>
        <w:rPr>
          <w:color w:val="000000"/>
        </w:rPr>
        <w:t>culture flask containing</w:t>
      </w:r>
      <w:r>
        <w:rPr>
          <w:rFonts w:hint="eastAsia"/>
          <w:color w:val="000000"/>
          <w:lang w:eastAsia="zh-CN"/>
        </w:rPr>
        <w:t xml:space="preserve"> 5mL of</w:t>
      </w:r>
      <w:r>
        <w:rPr>
          <w:color w:val="000000"/>
        </w:rPr>
        <w:t xml:space="preserve"> complete RPMI-1640 medium. (representative shot)</w:t>
      </w:r>
    </w:p>
    <w:p w14:paraId="4E43D668" w14:textId="77777777" w:rsidR="00D05CA2" w:rsidRDefault="00D05CA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4C6B477" w14:textId="77777777" w:rsidR="00D05CA2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Generate firefly luciferase-expressing BxPC-3 cells by stable transfection and select positive clones with 2 micrograms per milliliter puromycin </w:t>
      </w:r>
      <w:r>
        <w:rPr>
          <w:b/>
          <w:color w:val="7030A0"/>
        </w:rPr>
        <w:t>[1]</w:t>
      </w:r>
      <w:r>
        <w:rPr>
          <w:color w:val="7030A0"/>
        </w:rPr>
        <w:t xml:space="preserve">. Incubate the cells at 37 degrees Celsius in 5% carbon dioxide and passage at appropriate intervals </w:t>
      </w:r>
      <w:r>
        <w:rPr>
          <w:b/>
          <w:color w:val="7030A0"/>
        </w:rPr>
        <w:t>[2-TXT]</w:t>
      </w:r>
      <w:r>
        <w:rPr>
          <w:color w:val="7030A0"/>
        </w:rPr>
        <w:t>.</w:t>
      </w:r>
    </w:p>
    <w:p w14:paraId="1E1E597A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puromycin-containing selection medium to transfected BxPC-3 cells</w:t>
      </w:r>
      <w:r>
        <w:rPr>
          <w:rFonts w:hint="eastAsia"/>
          <w:color w:val="000000"/>
          <w:lang w:eastAsia="zh-CN"/>
        </w:rPr>
        <w:t xml:space="preserve"> cultured in a T25 flask</w:t>
      </w:r>
      <w:r>
        <w:rPr>
          <w:color w:val="000000"/>
        </w:rPr>
        <w:t>. (representative shot)</w:t>
      </w:r>
    </w:p>
    <w:p w14:paraId="0D5B6D1F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placing the culture flask into the 37 degrees Celsius incubator. </w:t>
      </w:r>
      <w:r>
        <w:rPr>
          <w:b/>
          <w:bCs/>
          <w:color w:val="000000"/>
        </w:rPr>
        <w:t>TXT- See text protocol for cell confluence and passage number details</w:t>
      </w:r>
    </w:p>
    <w:p w14:paraId="7605F9E4" w14:textId="77777777" w:rsidR="00D05CA2" w:rsidRDefault="00D05CA2">
      <w:pPr>
        <w:spacing w:before="120"/>
        <w:ind w:left="907"/>
        <w:rPr>
          <w:rFonts w:cstheme="minorHAnsi"/>
        </w:rPr>
      </w:pPr>
    </w:p>
    <w:p w14:paraId="06BEB6B0" w14:textId="28443C43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Seed two hundred thousand BxPC-3 cells per well in 6-well plates with 2 milliliters of complete medium </w:t>
      </w:r>
      <w:r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and incubate for 12 to 16 hours under standard conditions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02A3DE76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seeding BxPC-3 cells into the wells of a 6-well plate containing complete medium.</w:t>
      </w:r>
    </w:p>
    <w:p w14:paraId="4D3FEAD5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culture plate into the 37 degrees Celsius incubator.</w:t>
      </w:r>
    </w:p>
    <w:p w14:paraId="229D2BBE" w14:textId="77777777" w:rsidR="00D05CA2" w:rsidRDefault="00D05CA2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C71E30E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Prepare vehicle, gemcitabine, CSE </w:t>
      </w:r>
      <w:r>
        <w:rPr>
          <w:i/>
          <w:color w:val="EE0000"/>
        </w:rPr>
        <w:t>(c‑s‑e)</w:t>
      </w:r>
      <w:r>
        <w:rPr>
          <w:color w:val="7030A0"/>
        </w:rPr>
        <w:t xml:space="preserve">, and gemcitabine plus CSE treatment media, using 6.5 micromolar gemcitabine and 666.78 micrograms per milliliter CSE while keeping dimethyl sulfoxide below 0.1% volume per volume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</w:p>
    <w:p w14:paraId="6F5542D9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preparing the four-treatment media at the specified final concentrations.</w:t>
      </w:r>
    </w:p>
    <w:p w14:paraId="57478F67" w14:textId="77777777" w:rsidR="00D05CA2" w:rsidRDefault="00D05CA2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49E5DEAE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Replace the medium in the 6-well plates with 2 milliliters of the appropriate treatment medium, then incubate for 24, 48, or 72 hours, according to the experimental design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3485B264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replacing the culture medium in the 6-well plate with the appropriate treatment medium before incubation. (representative shot)</w:t>
      </w:r>
    </w:p>
    <w:p w14:paraId="08196678" w14:textId="77777777" w:rsidR="00D05CA2" w:rsidRDefault="00D05CA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536A5CD" w14:textId="3812EE75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At each sampling time point, collect the cells by trypsinization</w:t>
      </w:r>
      <w:r w:rsidR="00560D64">
        <w:rPr>
          <w:color w:val="7030A0"/>
        </w:rPr>
        <w:t xml:space="preserve"> in a 15-milliliter tube</w:t>
      </w:r>
      <w:r>
        <w:rPr>
          <w:color w:val="7030A0"/>
        </w:rPr>
        <w:t xml:space="preserve">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centrifuge the suspension at 900 </w:t>
      </w:r>
      <w:r w:rsidR="00717539">
        <w:rPr>
          <w:color w:val="7030A0"/>
        </w:rPr>
        <w:t>rpm</w:t>
      </w:r>
      <w:r>
        <w:rPr>
          <w:color w:val="7030A0"/>
        </w:rPr>
        <w:t xml:space="preserve"> for 5 minutes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and store the pellets at minus 20 degrees Celsius after discarding the supernatant, until further use </w:t>
      </w:r>
      <w:r>
        <w:rPr>
          <w:b/>
          <w:color w:val="7030A0"/>
        </w:rPr>
        <w:t>[3]</w:t>
      </w:r>
      <w:r>
        <w:rPr>
          <w:color w:val="7030A0"/>
        </w:rPr>
        <w:t xml:space="preserve">. </w:t>
      </w:r>
    </w:p>
    <w:p w14:paraId="1EBBB633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collecting trypsinized cells in a </w:t>
      </w:r>
      <w:r>
        <w:rPr>
          <w:rFonts w:hint="eastAsia"/>
          <w:color w:val="000000"/>
          <w:lang w:eastAsia="zh-CN"/>
        </w:rPr>
        <w:t xml:space="preserve">15-milliliter centrifuge </w:t>
      </w:r>
      <w:r>
        <w:rPr>
          <w:color w:val="000000"/>
        </w:rPr>
        <w:t xml:space="preserve">tube. </w:t>
      </w:r>
    </w:p>
    <w:p w14:paraId="76C53B98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placing the tube containing cell suspension in the centrifuge. </w:t>
      </w:r>
    </w:p>
    <w:p w14:paraId="653A5E3A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cell pellet at minus 20 degrees Celsius after discarding the supernatant.</w:t>
      </w:r>
    </w:p>
    <w:p w14:paraId="4641CBF5" w14:textId="77777777" w:rsidR="00D05CA2" w:rsidRDefault="00D05CA2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88632A9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To prepare cellular extracts, resuspend each frozen pellet in 100 microliters of ultrapure water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lyse them by performing seven freeze-thaw cycles using liquid nitrogen and room temperature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</w:p>
    <w:p w14:paraId="15207612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resuspending the cell pellet in 100 microliters of ultrapure water.</w:t>
      </w:r>
    </w:p>
    <w:p w14:paraId="5AB0ECE3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alternating the sample between liquid nitrogen and room-temperature to lyse the cells.</w:t>
      </w:r>
    </w:p>
    <w:p w14:paraId="46F5B1C0" w14:textId="77777777" w:rsidR="00D05CA2" w:rsidRDefault="00D05CA2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7A248A21" w14:textId="754CF654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Then centrifuge at 14,000 </w:t>
      </w:r>
      <w:r w:rsidR="00560D64">
        <w:rPr>
          <w:color w:val="7030A0"/>
        </w:rPr>
        <w:t>rpm</w:t>
      </w:r>
      <w:r>
        <w:rPr>
          <w:color w:val="7030A0"/>
        </w:rPr>
        <w:t xml:space="preserve"> for 10 minutes at 4 degrees Celsius </w:t>
      </w:r>
      <w:r>
        <w:rPr>
          <w:b/>
          <w:bCs/>
          <w:color w:val="7030A0"/>
        </w:rPr>
        <w:t xml:space="preserve">[1] </w:t>
      </w:r>
      <w:r>
        <w:rPr>
          <w:color w:val="7030A0"/>
        </w:rPr>
        <w:t>and collect the supernatant</w:t>
      </w:r>
      <w:r w:rsidR="00A0184E">
        <w:rPr>
          <w:color w:val="7030A0"/>
        </w:rPr>
        <w:t xml:space="preserve"> in a fresh 15-milliliter conical tube</w:t>
      </w:r>
      <w:r>
        <w:rPr>
          <w:color w:val="7030A0"/>
        </w:rPr>
        <w:t xml:space="preserve">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761E135C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placing the </w:t>
      </w:r>
      <w:r>
        <w:rPr>
          <w:rFonts w:hint="eastAsia"/>
          <w:color w:val="000000"/>
          <w:lang w:eastAsia="zh-CN"/>
        </w:rPr>
        <w:t xml:space="preserve">15-milliliter centrifuge </w:t>
      </w:r>
      <w:r>
        <w:rPr>
          <w:color w:val="000000"/>
        </w:rPr>
        <w:t>tube containing lysed cell pellet in the centrifuge.</w:t>
      </w:r>
    </w:p>
    <w:p w14:paraId="0D626C9A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collecting the supernatant from the tubes after centrifugation.</w:t>
      </w:r>
    </w:p>
    <w:p w14:paraId="5A2C71FE" w14:textId="77777777" w:rsidR="00D05CA2" w:rsidRDefault="00D05CA2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17CCFA7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Add 10 volumes of acetonitrile to precipitate proteins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then evaporate the extract to near dryness under nitrogen at 30 degrees Celsius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318525E0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adding acetonitrile to the supernatant </w:t>
      </w:r>
      <w:r>
        <w:rPr>
          <w:rFonts w:hint="eastAsia"/>
          <w:color w:val="000000"/>
          <w:lang w:eastAsia="zh-CN"/>
        </w:rPr>
        <w:t xml:space="preserve">in a 15-milliliter centrifuge tube </w:t>
      </w:r>
      <w:r>
        <w:rPr>
          <w:color w:val="000000"/>
        </w:rPr>
        <w:t xml:space="preserve">to precipitate proteins. </w:t>
      </w:r>
    </w:p>
    <w:p w14:paraId="4116AF3D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extract under nitrogen for solvent evaporation.</w:t>
      </w:r>
    </w:p>
    <w:p w14:paraId="1E4D8BE8" w14:textId="77777777" w:rsidR="00D05CA2" w:rsidRDefault="00D05CA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AF1999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 xml:space="preserve">Install an Ultimate XB-C18 </w:t>
      </w:r>
      <w:r>
        <w:rPr>
          <w:i/>
          <w:iCs/>
          <w:color w:val="EE0000"/>
        </w:rPr>
        <w:t>(x-b-c eighteen)</w:t>
      </w:r>
      <w:r>
        <w:rPr>
          <w:color w:val="EE0000"/>
        </w:rPr>
        <w:t xml:space="preserve"> </w:t>
      </w:r>
      <w:r>
        <w:rPr>
          <w:color w:val="7030A0"/>
        </w:rPr>
        <w:t xml:space="preserve">column measuring 2.1 by 100 millimeters with a 1.8-micrometer particle size while maintaining it at 30 degrees Celsius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</w:p>
    <w:p w14:paraId="6A5D6541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attaching a specific C18 column to the LC-MS/MS system.</w:t>
      </w:r>
    </w:p>
    <w:p w14:paraId="6EAAA63F" w14:textId="77777777" w:rsidR="00D05CA2" w:rsidRDefault="00D05CA2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1FFD0778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Use acetonitrile as mobile phase A and 1 millimolar ammonium acetate at pH 6.8 as mobile phase B, with a flow rate of 0.3 milliliters per minute and a 1-microliter injection volume </w:t>
      </w:r>
      <w:r>
        <w:rPr>
          <w:b/>
          <w:color w:val="7030A0"/>
        </w:rPr>
        <w:t>[1]</w:t>
      </w:r>
      <w:r>
        <w:rPr>
          <w:color w:val="7030A0"/>
        </w:rPr>
        <w:t xml:space="preserve">. Program the mobile-phase gradient according to the parameters specified in the text protocol </w:t>
      </w:r>
      <w:r>
        <w:rPr>
          <w:b/>
          <w:color w:val="7030A0"/>
        </w:rPr>
        <w:t>[2-TXT]</w:t>
      </w:r>
      <w:r>
        <w:rPr>
          <w:color w:val="7030A0"/>
        </w:rPr>
        <w:t>.</w:t>
      </w:r>
    </w:p>
    <w:p w14:paraId="4914454F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preparing the mobile phases A and B for the LC-MS/MS system.</w:t>
      </w:r>
    </w:p>
    <w:p w14:paraId="29B3C2D0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AD54C5">
        <w:rPr>
          <w:color w:val="000000"/>
        </w:rPr>
        <w:t>SCREEN</w:t>
      </w:r>
      <w:r>
        <w:rPr>
          <w:color w:val="000000"/>
        </w:rPr>
        <w:t>: The gradient program being entered, along with flow rate, column temperature, and injection volume in the instrument software</w:t>
      </w:r>
      <w:r>
        <w:rPr>
          <w:b/>
          <w:bCs/>
          <w:color w:val="000000"/>
        </w:rPr>
        <w:t>. TXT- See text protocol for gradient program detail</w:t>
      </w:r>
      <w:r>
        <w:rPr>
          <w:color w:val="000000"/>
        </w:rPr>
        <w:t>s</w:t>
      </w:r>
    </w:p>
    <w:p w14:paraId="1CEABF4C" w14:textId="77777777" w:rsidR="001C11E4" w:rsidRDefault="001C11E4" w:rsidP="001C11E4">
      <w:pPr>
        <w:spacing w:before="120"/>
        <w:rPr>
          <w:rFonts w:cstheme="minorHAnsi"/>
          <w:b/>
          <w:bCs/>
          <w:i/>
          <w:iCs/>
          <w:color w:val="00B0F0"/>
        </w:rPr>
      </w:pPr>
    </w:p>
    <w:p w14:paraId="1071EC26" w14:textId="3256208F" w:rsidR="001C11E4" w:rsidRPr="0042329C" w:rsidRDefault="001C11E4" w:rsidP="001C11E4">
      <w:pPr>
        <w:spacing w:before="120"/>
        <w:ind w:left="720"/>
        <w:rPr>
          <w:rFonts w:cstheme="minorHAnsi"/>
          <w:i/>
          <w:iCs/>
        </w:rPr>
      </w:pPr>
      <w:r w:rsidRPr="0042329C">
        <w:rPr>
          <w:rFonts w:cstheme="minorHAnsi"/>
          <w:b/>
          <w:bCs/>
          <w:i/>
          <w:iCs/>
          <w:color w:val="00B0F0"/>
        </w:rPr>
        <w:t>Videographer</w:t>
      </w:r>
      <w:r w:rsidRPr="0042329C">
        <w:rPr>
          <w:rFonts w:cstheme="minorHAnsi"/>
          <w:i/>
          <w:iCs/>
          <w:color w:val="00B0F0"/>
        </w:rPr>
        <w:t xml:space="preserve">: Please film the computer/device screen for all shots labeled </w:t>
      </w:r>
      <w:r w:rsidRPr="0042329C">
        <w:rPr>
          <w:rFonts w:cstheme="minorHAnsi"/>
          <w:b/>
          <w:bCs/>
          <w:i/>
          <w:iCs/>
          <w:color w:val="00B0F0"/>
        </w:rPr>
        <w:t>SCREEN</w:t>
      </w:r>
      <w:r w:rsidRPr="0042329C">
        <w:rPr>
          <w:rFonts w:cstheme="minorHAnsi"/>
          <w:i/>
          <w:iCs/>
          <w:color w:val="00B0F0"/>
        </w:rPr>
        <w:t xml:space="preserve">, since the author said </w:t>
      </w:r>
      <w:r w:rsidRPr="0042329C">
        <w:rPr>
          <w:rFonts w:cstheme="minorHAnsi"/>
          <w:b/>
          <w:bCs/>
          <w:i/>
          <w:iCs/>
          <w:color w:val="00B0F0"/>
        </w:rPr>
        <w:t>No</w:t>
      </w:r>
      <w:r w:rsidRPr="0042329C">
        <w:rPr>
          <w:rFonts w:cstheme="minorHAnsi"/>
          <w:i/>
          <w:iCs/>
          <w:color w:val="00B0F0"/>
        </w:rPr>
        <w:t xml:space="preserve"> to the software question.</w:t>
      </w:r>
    </w:p>
    <w:p w14:paraId="0A2D894D" w14:textId="77777777" w:rsidR="00D05CA2" w:rsidRPr="001C11E4" w:rsidRDefault="00D05CA2" w:rsidP="001C11E4">
      <w:pPr>
        <w:keepLines/>
        <w:spacing w:before="120"/>
        <w:ind w:left="907"/>
        <w:rPr>
          <w:rFonts w:cstheme="minorHAnsi"/>
        </w:rPr>
      </w:pPr>
    </w:p>
    <w:p w14:paraId="7027D789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Operate the mass spectrometer in positive electrospray ionization mode and acquire data in multiple reaction monitoring mode </w:t>
      </w:r>
      <w:r>
        <w:rPr>
          <w:b/>
          <w:color w:val="7030A0"/>
        </w:rPr>
        <w:t>[1]</w:t>
      </w:r>
      <w:r>
        <w:rPr>
          <w:color w:val="7030A0"/>
        </w:rPr>
        <w:t xml:space="preserve">. Configure the LC–MS/MS </w:t>
      </w:r>
      <w:r>
        <w:rPr>
          <w:i/>
          <w:iCs/>
          <w:color w:val="EE0000"/>
        </w:rPr>
        <w:t>(l-c m-s m-s)</w:t>
      </w:r>
      <w:r>
        <w:rPr>
          <w:color w:val="EE0000"/>
        </w:rPr>
        <w:t xml:space="preserve"> </w:t>
      </w:r>
      <w:r>
        <w:rPr>
          <w:color w:val="7030A0"/>
        </w:rPr>
        <w:t xml:space="preserve"> method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, prepare the calibration and quality-control samples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, and perform method validation as described in the text protocol </w:t>
      </w:r>
      <w:r>
        <w:rPr>
          <w:b/>
          <w:bCs/>
          <w:color w:val="7030A0"/>
        </w:rPr>
        <w:t>[4].</w:t>
      </w:r>
    </w:p>
    <w:p w14:paraId="43848CA5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FF5086">
        <w:rPr>
          <w:color w:val="000000"/>
        </w:rPr>
        <w:t>SCREEN</w:t>
      </w:r>
      <w:r>
        <w:rPr>
          <w:color w:val="000000"/>
        </w:rPr>
        <w:t>: Positive electrospray ionization and multiple reaction monitoring acquisition modes being selected.</w:t>
      </w:r>
    </w:p>
    <w:p w14:paraId="4F1462BE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FF5086">
        <w:rPr>
          <w:color w:val="000000"/>
        </w:rPr>
        <w:t>SCREEN</w:t>
      </w:r>
      <w:r>
        <w:rPr>
          <w:color w:val="000000"/>
        </w:rPr>
        <w:t>: The analyte transitions and source settings being entered in the mass spectrometry method.</w:t>
      </w:r>
    </w:p>
    <w:p w14:paraId="5C1CF3D4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preparing the calibration standards and placing duplicate samples in the autosampler.</w:t>
      </w:r>
    </w:p>
    <w:p w14:paraId="5DC2FFEE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FF5086">
        <w:rPr>
          <w:color w:val="000000"/>
        </w:rPr>
        <w:t>SCREEN</w:t>
      </w:r>
      <w:r>
        <w:rPr>
          <w:color w:val="000000"/>
        </w:rPr>
        <w:t>: The assay validation outputs being reviewed for selectivity, linearity, recovery, accuracy, precision, stability, and matrix effect.</w:t>
      </w:r>
    </w:p>
    <w:p w14:paraId="476A4176" w14:textId="77777777" w:rsidR="00D05CA2" w:rsidRDefault="00D05CA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157733" w14:textId="77777777" w:rsidR="00D05CA2" w:rsidRDefault="00000000">
      <w:pPr>
        <w:pStyle w:val="ListParagraph"/>
        <w:keepNext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Bioluminescence Imaging of Treatment Response</w:t>
      </w:r>
    </w:p>
    <w:p w14:paraId="4C9316A3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With intracellular gemcitabine exposure quantified, next establish the complementary in vitro BLI </w:t>
      </w:r>
      <w:r>
        <w:rPr>
          <w:i/>
          <w:color w:val="EE0000"/>
        </w:rPr>
        <w:t>(b‑l‑i)</w:t>
      </w:r>
      <w:r>
        <w:rPr>
          <w:color w:val="7030A0"/>
        </w:rPr>
        <w:t xml:space="preserve"> workflow to visualize functional treatment responses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41D8419C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arranging BxPC-3-luc cells, a black 96-well plate, and the imaging materials for the BLI workflow.</w:t>
      </w:r>
    </w:p>
    <w:p w14:paraId="2059D8B6" w14:textId="77777777" w:rsidR="00D05CA2" w:rsidRDefault="00D05CA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1DB8C32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 xml:space="preserve">Seed five thousand BxPC-3-luc cells per well in black 96-well plates with 100 microliters of complete medium </w:t>
      </w:r>
      <w:r>
        <w:rPr>
          <w:b/>
          <w:color w:val="7030A0"/>
        </w:rPr>
        <w:t>[1]</w:t>
      </w:r>
      <w:r>
        <w:rPr>
          <w:color w:val="7030A0"/>
        </w:rPr>
        <w:t xml:space="preserve">. Incubate the plate overnight at 37 degrees Celsius in 5% carbon dioxide </w:t>
      </w:r>
      <w:r>
        <w:rPr>
          <w:b/>
          <w:color w:val="7030A0"/>
        </w:rPr>
        <w:t>[2]</w:t>
      </w:r>
      <w:r>
        <w:rPr>
          <w:color w:val="7030A0"/>
        </w:rPr>
        <w:t>.</w:t>
      </w:r>
    </w:p>
    <w:p w14:paraId="4E9E17FB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seeding BxPC-3-luc cells into the wells of a black 96-well plate.</w:t>
      </w:r>
    </w:p>
    <w:p w14:paraId="220ACC68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96-well plate in the 37 degrees Celsius incubator.</w:t>
      </w:r>
    </w:p>
    <w:p w14:paraId="13506B8E" w14:textId="77777777" w:rsidR="00D05CA2" w:rsidRDefault="00D05CA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437F992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Replace the medium with 100 microliters of treatment medium containing vehicle, gemcitabine, CSE, or gemcitabine plus CSE </w:t>
      </w:r>
      <w:r>
        <w:rPr>
          <w:b/>
          <w:color w:val="7030A0"/>
        </w:rPr>
        <w:t>[1]</w:t>
      </w:r>
      <w:r>
        <w:rPr>
          <w:color w:val="7030A0"/>
        </w:rPr>
        <w:t xml:space="preserve">. Incubate the cells for the planned treatment duration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782C6A8B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replacing the medium in the black 96-well plate with the appropriate treatment medium.</w:t>
      </w:r>
    </w:p>
    <w:p w14:paraId="5B0060C6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treated plate in the 37 degrees Celsius incubator for the planned duration.</w:t>
      </w:r>
    </w:p>
    <w:p w14:paraId="2F9B6989" w14:textId="77777777" w:rsidR="00D05CA2" w:rsidRDefault="00D05CA2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8E212D1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Add luciferin to each well to a final concentration of 150 micrograms per milliliter </w:t>
      </w:r>
      <w:r>
        <w:rPr>
          <w:b/>
          <w:color w:val="7030A0"/>
        </w:rPr>
        <w:t>[1]</w:t>
      </w:r>
      <w:r>
        <w:rPr>
          <w:color w:val="7030A0"/>
        </w:rPr>
        <w:t xml:space="preserve"> and incubate the plate for 10 minutes at 37 degrees Celsius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15221536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luciferin to each well of the treated plate.</w:t>
      </w:r>
    </w:p>
    <w:p w14:paraId="57948425" w14:textId="77777777" w:rsidR="00D05CA2" w:rsidRDefault="00000000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placing the plate in the 37 degrees Celsius incubator for 10 minutes.</w:t>
      </w:r>
    </w:p>
    <w:p w14:paraId="62A2A85E" w14:textId="77777777" w:rsidR="00D05CA2" w:rsidRDefault="00D05CA2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F3ADBCA" w14:textId="77777777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Place the plate in the imaging chamber and acquire images using identical settings for all groups </w:t>
      </w:r>
      <w:r>
        <w:rPr>
          <w:b/>
          <w:color w:val="7030A0"/>
        </w:rPr>
        <w:t>[1-TXT]</w:t>
      </w:r>
      <w:r>
        <w:rPr>
          <w:color w:val="7030A0"/>
        </w:rPr>
        <w:t>.</w:t>
      </w:r>
    </w:p>
    <w:p w14:paraId="12EC975D" w14:textId="74766E5B" w:rsidR="00D05CA2" w:rsidRPr="00A01AC8" w:rsidRDefault="00000000" w:rsidP="009A189D">
      <w:pPr>
        <w:pStyle w:val="ListParagraph"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placing the plate in the imaging chamber and acquiring images with fixed settings. </w:t>
      </w:r>
      <w:r>
        <w:rPr>
          <w:b/>
          <w:bCs/>
          <w:color w:val="000000"/>
        </w:rPr>
        <w:t>TXT – See text protocol imaging acquisition details</w:t>
      </w:r>
    </w:p>
    <w:p w14:paraId="3C20B6F1" w14:textId="77777777" w:rsidR="00A01AC8" w:rsidRPr="009A189D" w:rsidRDefault="00A01AC8" w:rsidP="00A01AC8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CCDB661" w14:textId="4F380302" w:rsidR="009A189D" w:rsidRPr="009A189D" w:rsidRDefault="00835336" w:rsidP="009A189D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 w:rsidRPr="00835336">
        <w:rPr>
          <w:color w:val="7030A0"/>
        </w:rPr>
        <w:t>After background subtraction, export the total photon flux in photons per second, measure total protein in each well using a standard assay, and normalize the flux to protein content to account for differences in cell density</w:t>
      </w:r>
      <w:r w:rsidRPr="00835336">
        <w:rPr>
          <w:b/>
          <w:color w:val="7030A0"/>
        </w:rPr>
        <w:t xml:space="preserve"> </w:t>
      </w:r>
      <w:r w:rsidRPr="009A189D">
        <w:rPr>
          <w:b/>
          <w:color w:val="7030A0"/>
        </w:rPr>
        <w:t>[</w:t>
      </w:r>
      <w:r w:rsidR="009A189D">
        <w:rPr>
          <w:b/>
          <w:color w:val="7030A0"/>
        </w:rPr>
        <w:t>1</w:t>
      </w:r>
      <w:r w:rsidRPr="009A189D">
        <w:rPr>
          <w:b/>
          <w:color w:val="7030A0"/>
        </w:rPr>
        <w:t>]</w:t>
      </w:r>
      <w:r w:rsidRPr="009A189D">
        <w:rPr>
          <w:color w:val="7030A0"/>
        </w:rPr>
        <w:t>.</w:t>
      </w:r>
    </w:p>
    <w:p w14:paraId="5B53FB72" w14:textId="310DED08" w:rsidR="00D05CA2" w:rsidRPr="009A189D" w:rsidRDefault="00000000" w:rsidP="009A189D">
      <w:pPr>
        <w:pStyle w:val="ListParagraph"/>
        <w:keepNext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9A189D">
        <w:rPr>
          <w:rFonts w:hint="eastAsia"/>
          <w:color w:val="000000"/>
          <w:lang w:eastAsia="zh-CN"/>
        </w:rPr>
        <w:t>WIDE: Final normalized BLI time-course data being presented.</w:t>
      </w:r>
    </w:p>
    <w:p w14:paraId="57CFAC31" w14:textId="77777777" w:rsidR="009A189D" w:rsidRDefault="009A189D">
      <w:pPr>
        <w:pStyle w:val="ListParagraph"/>
        <w:rPr>
          <w:rFonts w:cstheme="minorHAnsi"/>
        </w:rPr>
      </w:pPr>
    </w:p>
    <w:p w14:paraId="77732800" w14:textId="77777777" w:rsidR="00D05CA2" w:rsidRDefault="00000000">
      <w:pPr>
        <w:pStyle w:val="ListParagraph"/>
        <w:keepNext/>
        <w:numPr>
          <w:ilvl w:val="0"/>
          <w:numId w:val="2"/>
        </w:numPr>
        <w:spacing w:before="120"/>
        <w:contextualSpacing w:val="0"/>
        <w:rPr>
          <w:rFonts w:eastAsia="Times New Roman" w:cstheme="minorHAnsi"/>
          <w:color w:val="000000"/>
        </w:rPr>
      </w:pPr>
      <w:r>
        <w:rPr>
          <w:b/>
          <w:color w:val="000000"/>
        </w:rPr>
        <w:lastRenderedPageBreak/>
        <w:t>PK/PD Data Integration and Correlation</w:t>
      </w:r>
    </w:p>
    <w:p w14:paraId="17D278D8" w14:textId="49E44AD2" w:rsidR="00D05CA2" w:rsidRDefault="00865A7A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Post-</w:t>
      </w:r>
      <w:r w:rsidR="004E5C2B" w:rsidRPr="004E5C2B">
        <w:rPr>
          <w:color w:val="7030A0"/>
        </w:rPr>
        <w:t>complet</w:t>
      </w:r>
      <w:r>
        <w:rPr>
          <w:color w:val="7030A0"/>
        </w:rPr>
        <w:t>ion of</w:t>
      </w:r>
      <w:r w:rsidR="004E5C2B" w:rsidRPr="004E5C2B">
        <w:rPr>
          <w:color w:val="7030A0"/>
        </w:rPr>
        <w:t xml:space="preserve"> the LC-MS/MS and BLI measurements, integrate the intracellular gemcitabine concentration and normalized BLI time-course data in GraphPad Prism, then use the gemcitabine concentration–time profile to calculate the intracellular AUC</w:t>
      </w:r>
      <w:r w:rsidR="004E5C2B">
        <w:rPr>
          <w:color w:val="7030A0"/>
        </w:rPr>
        <w:t xml:space="preserve"> </w:t>
      </w:r>
      <w:r w:rsidR="004E5C2B">
        <w:rPr>
          <w:i/>
          <w:color w:val="EE0000"/>
        </w:rPr>
        <w:t>(a</w:t>
      </w:r>
      <w:r w:rsidR="004E5C2B">
        <w:rPr>
          <w:rFonts w:ascii="Cambria Math" w:hAnsi="Cambria Math" w:cs="Cambria Math"/>
          <w:i/>
          <w:color w:val="EE0000"/>
        </w:rPr>
        <w:t>‑</w:t>
      </w:r>
      <w:r w:rsidR="004E5C2B">
        <w:rPr>
          <w:i/>
          <w:color w:val="EE0000"/>
        </w:rPr>
        <w:t>u</w:t>
      </w:r>
      <w:r w:rsidR="004E5C2B">
        <w:rPr>
          <w:rFonts w:ascii="Cambria Math" w:hAnsi="Cambria Math" w:cs="Cambria Math"/>
          <w:i/>
          <w:color w:val="EE0000"/>
        </w:rPr>
        <w:t>‑</w:t>
      </w:r>
      <w:r w:rsidR="004E5C2B">
        <w:rPr>
          <w:i/>
          <w:color w:val="EE0000"/>
        </w:rPr>
        <w:t>c)</w:t>
      </w:r>
      <w:r w:rsidR="004E5C2B">
        <w:rPr>
          <w:color w:val="7030A0"/>
        </w:rPr>
        <w:t xml:space="preserve"> </w:t>
      </w:r>
      <w:r w:rsidR="004E5C2B" w:rsidRPr="004E5C2B">
        <w:rPr>
          <w:color w:val="7030A0"/>
        </w:rPr>
        <w:t>in DAS 4.</w:t>
      </w:r>
      <w:r w:rsidR="004E5C2B">
        <w:rPr>
          <w:color w:val="7030A0"/>
        </w:rPr>
        <w:t xml:space="preserve">0 </w:t>
      </w:r>
      <w:r>
        <w:rPr>
          <w:i/>
          <w:color w:val="EE0000"/>
        </w:rPr>
        <w:t>(d-a-s four point zero)</w:t>
      </w:r>
      <w:r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362E9C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32FF1ED5" w14:textId="48BEAAEC" w:rsidR="00D05CA2" w:rsidRPr="005D4216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362E9C">
        <w:rPr>
          <w:rFonts w:hint="eastAsia"/>
          <w:color w:val="000000"/>
        </w:rPr>
        <w:t>WIDE: Final intracellular gemcitabine concentration-time profiles and normalized BLI time-course data being presented.</w:t>
      </w:r>
    </w:p>
    <w:p w14:paraId="6C9A4A4F" w14:textId="77777777" w:rsidR="005D4216" w:rsidRPr="00362E9C" w:rsidRDefault="005D4216" w:rsidP="005D421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746791D" w14:textId="304BEA34" w:rsidR="00D05CA2" w:rsidRDefault="00000000">
      <w:pPr>
        <w:pStyle w:val="ListParagraph"/>
        <w:keepNext/>
        <w:keepLines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Calculate AUCluc </w:t>
      </w:r>
      <w:r>
        <w:rPr>
          <w:i/>
          <w:color w:val="EE0000"/>
        </w:rPr>
        <w:t>(a</w:t>
      </w:r>
      <w:r>
        <w:rPr>
          <w:rFonts w:ascii="Cambria Math" w:hAnsi="Cambria Math" w:cs="Cambria Math"/>
          <w:i/>
          <w:color w:val="EE0000"/>
        </w:rPr>
        <w:t>‑</w:t>
      </w:r>
      <w:r>
        <w:rPr>
          <w:i/>
          <w:color w:val="EE0000"/>
        </w:rPr>
        <w:t>u</w:t>
      </w:r>
      <w:r>
        <w:rPr>
          <w:rFonts w:ascii="Cambria Math" w:hAnsi="Cambria Math" w:cs="Cambria Math"/>
          <w:i/>
          <w:color w:val="EE0000"/>
        </w:rPr>
        <w:t>‑</w:t>
      </w:r>
      <w:r>
        <w:rPr>
          <w:i/>
          <w:color w:val="EE0000"/>
        </w:rPr>
        <w:t>c luc)</w:t>
      </w:r>
      <w:r>
        <w:rPr>
          <w:color w:val="7030A0"/>
        </w:rPr>
        <w:t xml:space="preserve"> , Kluc </w:t>
      </w:r>
      <w:r>
        <w:rPr>
          <w:i/>
          <w:color w:val="EE0000"/>
        </w:rPr>
        <w:t>(k-luc)</w:t>
      </w:r>
      <w:r>
        <w:rPr>
          <w:color w:val="7030A0"/>
        </w:rPr>
        <w:t xml:space="preserve">, and MRTluc </w:t>
      </w:r>
      <w:r>
        <w:rPr>
          <w:i/>
          <w:color w:val="EE0000"/>
        </w:rPr>
        <w:t>(m-r-t luc)</w:t>
      </w:r>
      <w:r>
        <w:rPr>
          <w:color w:val="7030A0"/>
        </w:rPr>
        <w:t xml:space="preserve"> from the normalized BLI signal-time profiles in DAS 4.0 using a noncompartmental model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50345AC0" w14:textId="106592CE" w:rsidR="00D05CA2" w:rsidRPr="005D4216" w:rsidRDefault="00000000">
      <w:pPr>
        <w:pStyle w:val="ListParagraph"/>
        <w:keepNext/>
        <w:keepLines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F43D35">
        <w:rPr>
          <w:rFonts w:hint="eastAsia"/>
          <w:color w:val="000000"/>
        </w:rPr>
        <w:t>WIDE: Final BLI-derived parameters, including AUCluc, Kluc, and MRTluc, being presented.</w:t>
      </w:r>
    </w:p>
    <w:p w14:paraId="039A6BE1" w14:textId="77777777" w:rsidR="005D4216" w:rsidRPr="00F43D35" w:rsidRDefault="005D4216" w:rsidP="005D4216">
      <w:pPr>
        <w:pStyle w:val="ListParagraph"/>
        <w:keepNext/>
        <w:keepLines/>
        <w:spacing w:before="120"/>
        <w:ind w:left="1627"/>
        <w:contextualSpacing w:val="0"/>
        <w:rPr>
          <w:rFonts w:cstheme="minorHAnsi"/>
        </w:rPr>
      </w:pPr>
    </w:p>
    <w:p w14:paraId="004EA261" w14:textId="5918CF11" w:rsidR="00D05CA2" w:rsidRDefault="00000000" w:rsidP="004E5C2B">
      <w:pPr>
        <w:pStyle w:val="ListParagraph"/>
        <w:keepNext/>
        <w:keepLines/>
        <w:numPr>
          <w:ilvl w:val="1"/>
          <w:numId w:val="2"/>
        </w:numPr>
        <w:spacing w:before="120" w:after="240"/>
        <w:contextualSpacing w:val="0"/>
        <w:rPr>
          <w:rFonts w:cstheme="minorHAnsi"/>
        </w:rPr>
      </w:pPr>
      <w:r>
        <w:rPr>
          <w:color w:val="7030A0"/>
        </w:rPr>
        <w:t xml:space="preserve">Export the intracellular exposure metrics and BLI-derived parameters into the statistical analysis software and perform linear regression between intracellular exposure and the specified BLI-derived parameters for the analyses </w:t>
      </w:r>
      <w:r>
        <w:rPr>
          <w:b/>
          <w:color w:val="7030A0"/>
        </w:rPr>
        <w:t>[</w:t>
      </w:r>
      <w:r w:rsidR="00F43D35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09689C4F" w14:textId="7E9A3666" w:rsidR="00D05CA2" w:rsidRDefault="00000000" w:rsidP="004E5C2B">
      <w:pPr>
        <w:pStyle w:val="ListParagraph"/>
        <w:numPr>
          <w:ilvl w:val="2"/>
          <w:numId w:val="2"/>
        </w:numPr>
        <w:spacing w:after="240"/>
        <w:rPr>
          <w:rFonts w:cstheme="minorHAnsi"/>
        </w:rPr>
      </w:pPr>
      <w:r w:rsidRPr="00F43D35">
        <w:rPr>
          <w:rFonts w:hint="eastAsia"/>
          <w:color w:val="000000"/>
        </w:rPr>
        <w:t>WIDE: Final linear regression results showing the relationship between intracellular gemcitabine exposure and BLI-derived parameters.</w:t>
      </w:r>
      <w:r>
        <w:rPr>
          <w:rFonts w:cstheme="minorHAnsi"/>
        </w:rPr>
        <w:br w:type="page"/>
      </w:r>
    </w:p>
    <w:p w14:paraId="7A4F1842" w14:textId="7D25DDAA" w:rsidR="00D05CA2" w:rsidRDefault="00000000" w:rsidP="00362E9C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D05CA2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D05CA2" w:rsidRDefault="00D05CA2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0762088" w14:textId="2AE7CDE4" w:rsidR="00D05CA2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7030A0"/>
        </w:rPr>
        <w:t xml:space="preserve">GEM </w:t>
      </w:r>
      <w:r w:rsidR="00A01AC8">
        <w:rPr>
          <w:i/>
          <w:color w:val="EE0000"/>
        </w:rPr>
        <w:t>(g</w:t>
      </w:r>
      <w:r w:rsidR="0075124C">
        <w:rPr>
          <w:i/>
          <w:color w:val="EE0000"/>
        </w:rPr>
        <w:t>em</w:t>
      </w:r>
      <w:r w:rsidR="00A01AC8">
        <w:rPr>
          <w:i/>
          <w:color w:val="EE0000"/>
        </w:rPr>
        <w:t>)</w:t>
      </w:r>
      <w:r w:rsidR="00A01AC8">
        <w:rPr>
          <w:color w:val="7030A0"/>
        </w:rPr>
        <w:t xml:space="preserve"> </w:t>
      </w:r>
      <w:r>
        <w:rPr>
          <w:rFonts w:cstheme="minorHAnsi"/>
          <w:color w:val="7030A0"/>
        </w:rPr>
        <w:t>reduced relative tumor growth compared with the solvent control, whereas CSE produced a more moderate reduction</w:t>
      </w:r>
      <w:r>
        <w:rPr>
          <w:rFonts w:cstheme="minorHAnsi"/>
          <w:b/>
          <w:bCs/>
          <w:color w:val="7030A0"/>
        </w:rPr>
        <w:t xml:space="preserve"> [1]</w:t>
      </w:r>
      <w:r>
        <w:rPr>
          <w:rFonts w:cstheme="minorHAnsi"/>
          <w:color w:val="7030A0"/>
        </w:rPr>
        <w:t>. GEM</w:t>
      </w:r>
      <w:r w:rsidR="00A01AC8">
        <w:rPr>
          <w:rFonts w:cstheme="minorHAnsi"/>
          <w:color w:val="7030A0"/>
        </w:rPr>
        <w:t xml:space="preserve"> plus </w:t>
      </w:r>
      <w:r>
        <w:rPr>
          <w:rFonts w:cstheme="minorHAnsi"/>
          <w:color w:val="7030A0"/>
        </w:rPr>
        <w:t xml:space="preserve">CSE produced the lowest relative tumor growth and enhanced the anti-tumor effect observed with GEM alone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6900F1D3" w14:textId="77777777" w:rsidR="00D05CA2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5. </w:t>
      </w:r>
      <w:r>
        <w:rPr>
          <w:rFonts w:cstheme="minorHAnsi"/>
          <w:b/>
          <w:bCs/>
          <w:i/>
          <w:iCs/>
          <w:color w:val="00B0F0"/>
        </w:rPr>
        <w:t xml:space="preserve">Video Editor: </w:t>
      </w:r>
      <w:r>
        <w:rPr>
          <w:rFonts w:cstheme="minorHAnsi"/>
          <w:i/>
          <w:iCs/>
          <w:color w:val="00B0F0"/>
        </w:rPr>
        <w:t xml:space="preserve">In Panel A in the upper-left, highlight the blue solvent-control bar, followed by the lower purple GEM and teal CSE bars. </w:t>
      </w:r>
    </w:p>
    <w:p w14:paraId="2DB1F357" w14:textId="77777777" w:rsidR="00D05CA2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5. </w:t>
      </w:r>
      <w:r>
        <w:rPr>
          <w:rFonts w:cstheme="minorHAnsi"/>
          <w:b/>
          <w:bCs/>
          <w:i/>
          <w:iCs/>
          <w:color w:val="00B0F0"/>
        </w:rPr>
        <w:t xml:space="preserve">Video Editor: </w:t>
      </w:r>
      <w:r>
        <w:rPr>
          <w:rFonts w:cstheme="minorHAnsi"/>
          <w:i/>
          <w:iCs/>
          <w:color w:val="00B0F0"/>
        </w:rPr>
        <w:t>Please highlight the grey GEM+CSE bar in Panel A.</w:t>
      </w:r>
    </w:p>
    <w:p w14:paraId="09A4A63E" w14:textId="77777777" w:rsidR="00D05CA2" w:rsidRDefault="00D05CA2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C8CF87B" w14:textId="77777777" w:rsidR="00D05CA2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7030A0"/>
        </w:rPr>
        <w:t xml:space="preserve">The source-derived pharmacokinetic analysis showed that combined treatment increased systemic drug exposure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elevated the maximum plasma concentration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and prolonged the elimination half-life compared with GEM monotherapy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186CE424" w14:textId="77777777" w:rsidR="00D05CA2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5.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In Panel B in the upper-right, highlight the purple GEM and grey GEM+CSE bars, emphasizing the higher AUC₀–t with combined treatment.</w:t>
      </w:r>
    </w:p>
    <w:p w14:paraId="76535164" w14:textId="77777777" w:rsidR="00D05CA2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5.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In Panel C in the lower-left, highlight the purple GEM and grey GEM+CSE bars, emphasizing the higher Cmax with combined treatment.</w:t>
      </w:r>
    </w:p>
    <w:p w14:paraId="75666BC6" w14:textId="77777777" w:rsidR="00D05CA2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5.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In Panel D in the lower-right, highlight the purple GEM and grey GEM+CSE bars, emphasizing the longer elimination half-life with combined treatment.</w:t>
      </w:r>
    </w:p>
    <w:p w14:paraId="3200E475" w14:textId="77777777" w:rsidR="00D05CA2" w:rsidRDefault="00D05CA2">
      <w:pPr>
        <w:spacing w:before="120"/>
        <w:outlineLvl w:val="0"/>
        <w:rPr>
          <w:rFonts w:cstheme="minorHAnsi"/>
        </w:rPr>
      </w:pPr>
    </w:p>
    <w:p w14:paraId="6A7B5B4B" w14:textId="4B73562C" w:rsidR="00D05CA2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i/>
          <w:iCs/>
          <w:color w:val="7030A0"/>
        </w:rPr>
        <w:t>In vitro</w:t>
      </w:r>
      <w:r>
        <w:rPr>
          <w:rFonts w:cstheme="minorHAnsi"/>
          <w:color w:val="7030A0"/>
        </w:rPr>
        <w:t xml:space="preserve"> IC₅₀ </w:t>
      </w:r>
      <w:r w:rsidR="00F23D1F">
        <w:rPr>
          <w:i/>
          <w:color w:val="EE0000"/>
        </w:rPr>
        <w:t>(I-C fifty)</w:t>
      </w:r>
      <w:r w:rsidR="00F23D1F">
        <w:rPr>
          <w:color w:val="7030A0"/>
        </w:rPr>
        <w:t xml:space="preserve"> </w:t>
      </w:r>
      <w:r>
        <w:rPr>
          <w:rFonts w:cstheme="minorHAnsi"/>
          <w:color w:val="7030A0"/>
        </w:rPr>
        <w:t xml:space="preserve">values were positively associated with BLI-derived </w:t>
      </w:r>
      <w:r>
        <w:rPr>
          <w:rFonts w:cstheme="minorHAnsi"/>
          <w:i/>
          <w:iCs/>
          <w:color w:val="7030A0"/>
        </w:rPr>
        <w:t>in vitro</w:t>
      </w:r>
      <w:r>
        <w:rPr>
          <w:rFonts w:cstheme="minorHAnsi"/>
          <w:color w:val="7030A0"/>
        </w:rPr>
        <w:t xml:space="preserve"> exposure across the GEM, CSE, and GEM</w:t>
      </w:r>
      <w:r w:rsidR="00F23D1F">
        <w:rPr>
          <w:rFonts w:cstheme="minorHAnsi"/>
          <w:color w:val="7030A0"/>
        </w:rPr>
        <w:t xml:space="preserve"> plus </w:t>
      </w:r>
      <w:r>
        <w:rPr>
          <w:rFonts w:cstheme="minorHAnsi"/>
          <w:color w:val="7030A0"/>
        </w:rPr>
        <w:t xml:space="preserve">CSE treatment groups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</w:p>
    <w:p w14:paraId="6EF68EE2" w14:textId="77777777" w:rsidR="00D05CA2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 xml:space="preserve">In Panel A on the upper left, highlight the blue GEM circles, lavender CSE squares, and gray GEM+CSE triangles. </w:t>
      </w:r>
    </w:p>
    <w:p w14:paraId="71CA0A35" w14:textId="77777777" w:rsidR="00D05CA2" w:rsidRDefault="00D05CA2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1BA524BD" w14:textId="04722559" w:rsidR="00D05CA2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7030A0"/>
        </w:rPr>
        <w:t xml:space="preserve">BLI-derived </w:t>
      </w:r>
      <w:r>
        <w:rPr>
          <w:rFonts w:cstheme="minorHAnsi"/>
          <w:i/>
          <w:iCs/>
          <w:color w:val="7030A0"/>
        </w:rPr>
        <w:t>in vivo</w:t>
      </w:r>
      <w:r>
        <w:rPr>
          <w:rFonts w:cstheme="minorHAnsi"/>
          <w:color w:val="7030A0"/>
        </w:rPr>
        <w:t xml:space="preserve"> exposure was significantly associated with tumor growth inhibition in the GEM and CSE groups, whereas the association did not reach statistical significance in the GEM</w:t>
      </w:r>
      <w:r w:rsidR="006E3FC9">
        <w:rPr>
          <w:rFonts w:cstheme="minorHAnsi"/>
          <w:color w:val="7030A0"/>
        </w:rPr>
        <w:t xml:space="preserve"> plus </w:t>
      </w:r>
      <w:r>
        <w:rPr>
          <w:rFonts w:cstheme="minorHAnsi"/>
          <w:color w:val="7030A0"/>
        </w:rPr>
        <w:t xml:space="preserve">CSE group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</w:p>
    <w:p w14:paraId="4BFDD0AC" w14:textId="77777777" w:rsidR="00D05CA2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 xml:space="preserve">In Panel B on the upper right, highlight the GEM and CSE data and their statistically significant regression results. </w:t>
      </w:r>
    </w:p>
    <w:p w14:paraId="06D5393A" w14:textId="77777777" w:rsidR="00D05CA2" w:rsidRDefault="00D05CA2">
      <w:pPr>
        <w:pStyle w:val="ListParagraph"/>
        <w:spacing w:before="120"/>
        <w:ind w:left="907"/>
        <w:contextualSpacing w:val="0"/>
        <w:outlineLvl w:val="0"/>
        <w:rPr>
          <w:rFonts w:cstheme="minorHAnsi"/>
          <w:b/>
          <w:bCs/>
        </w:rPr>
      </w:pPr>
    </w:p>
    <w:p w14:paraId="2A0085A3" w14:textId="7F2DE67B" w:rsidR="00D05CA2" w:rsidRDefault="00000000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i/>
          <w:iCs/>
          <w:color w:val="7030A0"/>
        </w:rPr>
        <w:t>In vitro</w:t>
      </w:r>
      <w:r>
        <w:rPr>
          <w:rFonts w:cstheme="minorHAnsi"/>
          <w:color w:val="7030A0"/>
        </w:rPr>
        <w:t xml:space="preserve"> and </w:t>
      </w:r>
      <w:r>
        <w:rPr>
          <w:rFonts w:cstheme="minorHAnsi"/>
          <w:i/>
          <w:iCs/>
          <w:color w:val="7030A0"/>
        </w:rPr>
        <w:t>in vivo</w:t>
      </w:r>
      <w:r>
        <w:rPr>
          <w:rFonts w:cstheme="minorHAnsi"/>
          <w:color w:val="7030A0"/>
        </w:rPr>
        <w:t xml:space="preserve"> BLI-derived exposure parameters showed positive associations across all treatment groups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The logarithmically transformed IC₅₀ and tumor growth inhibition values showed inverse relationships within the GEM, CSE, and GEM</w:t>
      </w:r>
      <w:r w:rsidR="00BD56BC">
        <w:rPr>
          <w:rFonts w:cstheme="minorHAnsi"/>
          <w:color w:val="7030A0"/>
        </w:rPr>
        <w:t xml:space="preserve"> plus </w:t>
      </w:r>
      <w:r>
        <w:rPr>
          <w:rFonts w:cstheme="minorHAnsi"/>
          <w:color w:val="7030A0"/>
        </w:rPr>
        <w:t xml:space="preserve">CSE groups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</w:p>
    <w:p w14:paraId="71138099" w14:textId="77777777" w:rsidR="00D05CA2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In Panel C on the lower left, trace the positive relationship between the BLI-derived in vivo and in vitro exposure parameters for all treatment group.</w:t>
      </w:r>
    </w:p>
    <w:p w14:paraId="79D3CE29" w14:textId="77777777" w:rsidR="00D05CA2" w:rsidRDefault="00000000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6. </w:t>
      </w:r>
      <w:r>
        <w:rPr>
          <w:rFonts w:cstheme="minorHAnsi"/>
          <w:b/>
          <w:bCs/>
          <w:i/>
          <w:iCs/>
          <w:color w:val="00B0F0"/>
        </w:rPr>
        <w:t>Video Editor:</w:t>
      </w:r>
      <w:r>
        <w:rPr>
          <w:rFonts w:cstheme="minorHAnsi"/>
          <w:color w:val="00B0F0"/>
        </w:rPr>
        <w:t xml:space="preserve"> </w:t>
      </w:r>
      <w:r>
        <w:rPr>
          <w:rFonts w:cstheme="minorHAnsi"/>
          <w:i/>
          <w:iCs/>
          <w:color w:val="00B0F0"/>
        </w:rPr>
        <w:t>In Panel D on the lower right, highlight the downward orientation of the GEM, CSE, and GEM+CSE association regions.</w:t>
      </w:r>
    </w:p>
    <w:p w14:paraId="4D98F447" w14:textId="77777777" w:rsidR="00D05CA2" w:rsidRDefault="00D05CA2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77777777" w:rsidR="00D05CA2" w:rsidRDefault="00D05CA2">
      <w:pPr>
        <w:rPr>
          <w:rFonts w:eastAsia="Times New Roman" w:cstheme="minorHAnsi"/>
          <w:sz w:val="52"/>
        </w:rPr>
      </w:pPr>
    </w:p>
    <w:sectPr w:rsidR="00D05CA2">
      <w:headerReference w:type="default" r:id="rId16"/>
      <w:footerReference w:type="even" r:id="rId17"/>
      <w:footerReference w:type="default" r:id="rId18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02599" w14:textId="77777777" w:rsidR="000D6F0B" w:rsidRDefault="000D6F0B">
      <w:r>
        <w:separator/>
      </w:r>
    </w:p>
  </w:endnote>
  <w:endnote w:type="continuationSeparator" w:id="0">
    <w:p w14:paraId="7AD6D75A" w14:textId="77777777" w:rsidR="000D6F0B" w:rsidRDefault="000D6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default"/>
    <w:sig w:usb0="00000000" w:usb1="00000000" w:usb2="00000000" w:usb3="00000000" w:csb0="000001BF" w:csb1="00000000"/>
  </w:font>
  <w:font w:name="GJKHG F+ Helvetica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D05CA2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D05CA2" w:rsidRDefault="00D05CA2">
    <w:pPr>
      <w:pStyle w:val="Footer"/>
      <w:ind w:right="360"/>
    </w:pPr>
  </w:p>
  <w:p w14:paraId="1151463A" w14:textId="77777777" w:rsidR="00D05CA2" w:rsidRDefault="00D05CA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4A7D88" w:rsidR="00D05CA2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1F0A8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1361F5">
      <w:rPr>
        <w:rFonts w:cstheme="minorHAnsi"/>
        <w:lang w:val="en-IN"/>
      </w:rPr>
      <w:t>Sep 25, 2026</w:t>
    </w:r>
    <w:r w:rsidR="001361F5"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8AEC3" w14:textId="77777777" w:rsidR="000D6F0B" w:rsidRDefault="000D6F0B">
      <w:r>
        <w:separator/>
      </w:r>
    </w:p>
  </w:footnote>
  <w:footnote w:type="continuationSeparator" w:id="0">
    <w:p w14:paraId="05C10393" w14:textId="77777777" w:rsidR="000D6F0B" w:rsidRDefault="000D6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1C7C7A6" w:rsidR="00D05CA2" w:rsidRPr="001361F5" w:rsidRDefault="00000000" w:rsidP="001361F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1361F5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A2C5759" wp14:editId="621FA3D5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61F5" w:rsidRPr="001361F5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D05CA2" w:rsidRDefault="00D05CA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38D4A47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9CC2733"/>
    <w:multiLevelType w:val="multilevel"/>
    <w:tmpl w:val="29CC2733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C6D403E"/>
    <w:multiLevelType w:val="multilevel"/>
    <w:tmpl w:val="4C6D403E"/>
    <w:lvl w:ilvl="0">
      <w:start w:val="1"/>
      <w:numFmt w:val="decimal"/>
      <w:lvlText w:val="%1."/>
      <w:lvlJc w:val="left"/>
      <w:pPr>
        <w:ind w:left="800" w:hanging="440"/>
      </w:pPr>
    </w:lvl>
    <w:lvl w:ilvl="1">
      <w:start w:val="1"/>
      <w:numFmt w:val="lowerLetter"/>
      <w:lvlText w:val="%2)"/>
      <w:lvlJc w:val="left"/>
      <w:pPr>
        <w:ind w:left="1240" w:hanging="440"/>
      </w:pPr>
    </w:lvl>
    <w:lvl w:ilvl="2">
      <w:start w:val="1"/>
      <w:numFmt w:val="lowerRoman"/>
      <w:lvlText w:val="%3."/>
      <w:lvlJc w:val="right"/>
      <w:pPr>
        <w:ind w:left="1680" w:hanging="440"/>
      </w:pPr>
    </w:lvl>
    <w:lvl w:ilvl="3">
      <w:start w:val="1"/>
      <w:numFmt w:val="decimal"/>
      <w:lvlText w:val="%4."/>
      <w:lvlJc w:val="left"/>
      <w:pPr>
        <w:ind w:left="2120" w:hanging="440"/>
      </w:pPr>
    </w:lvl>
    <w:lvl w:ilvl="4">
      <w:start w:val="1"/>
      <w:numFmt w:val="lowerLetter"/>
      <w:lvlText w:val="%5)"/>
      <w:lvlJc w:val="left"/>
      <w:pPr>
        <w:ind w:left="2560" w:hanging="440"/>
      </w:pPr>
    </w:lvl>
    <w:lvl w:ilvl="5">
      <w:start w:val="1"/>
      <w:numFmt w:val="lowerRoman"/>
      <w:lvlText w:val="%6."/>
      <w:lvlJc w:val="right"/>
      <w:pPr>
        <w:ind w:left="3000" w:hanging="440"/>
      </w:pPr>
    </w:lvl>
    <w:lvl w:ilvl="6">
      <w:start w:val="1"/>
      <w:numFmt w:val="decimal"/>
      <w:lvlText w:val="%7."/>
      <w:lvlJc w:val="left"/>
      <w:pPr>
        <w:ind w:left="3440" w:hanging="440"/>
      </w:pPr>
    </w:lvl>
    <w:lvl w:ilvl="7">
      <w:start w:val="1"/>
      <w:numFmt w:val="lowerLetter"/>
      <w:lvlText w:val="%8)"/>
      <w:lvlJc w:val="left"/>
      <w:pPr>
        <w:ind w:left="3880" w:hanging="440"/>
      </w:pPr>
    </w:lvl>
    <w:lvl w:ilvl="8">
      <w:start w:val="1"/>
      <w:numFmt w:val="lowerRoman"/>
      <w:lvlText w:val="%9."/>
      <w:lvlJc w:val="right"/>
      <w:pPr>
        <w:ind w:left="4320" w:hanging="440"/>
      </w:pPr>
    </w:lvl>
  </w:abstractNum>
  <w:abstractNum w:abstractNumId="5" w15:restartNumberingAfterBreak="0">
    <w:nsid w:val="6D687795"/>
    <w:multiLevelType w:val="multilevel"/>
    <w:tmpl w:val="373C606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E55705"/>
    <w:multiLevelType w:val="multilevel"/>
    <w:tmpl w:val="77E55705"/>
    <w:lvl w:ilvl="0">
      <w:start w:val="1"/>
      <w:numFmt w:val="decimal"/>
      <w:lvlText w:val="%1."/>
      <w:lvlJc w:val="left"/>
      <w:pPr>
        <w:ind w:left="1347" w:hanging="440"/>
      </w:pPr>
    </w:lvl>
    <w:lvl w:ilvl="1">
      <w:start w:val="1"/>
      <w:numFmt w:val="lowerLetter"/>
      <w:lvlText w:val="%2)"/>
      <w:lvlJc w:val="left"/>
      <w:pPr>
        <w:ind w:left="1787" w:hanging="440"/>
      </w:pPr>
    </w:lvl>
    <w:lvl w:ilvl="2">
      <w:start w:val="1"/>
      <w:numFmt w:val="lowerRoman"/>
      <w:lvlText w:val="%3."/>
      <w:lvlJc w:val="right"/>
      <w:pPr>
        <w:ind w:left="2227" w:hanging="440"/>
      </w:pPr>
    </w:lvl>
    <w:lvl w:ilvl="3">
      <w:start w:val="1"/>
      <w:numFmt w:val="decimal"/>
      <w:lvlText w:val="%4."/>
      <w:lvlJc w:val="left"/>
      <w:pPr>
        <w:ind w:left="2667" w:hanging="440"/>
      </w:pPr>
    </w:lvl>
    <w:lvl w:ilvl="4">
      <w:start w:val="1"/>
      <w:numFmt w:val="lowerLetter"/>
      <w:lvlText w:val="%5)"/>
      <w:lvlJc w:val="left"/>
      <w:pPr>
        <w:ind w:left="3107" w:hanging="440"/>
      </w:pPr>
    </w:lvl>
    <w:lvl w:ilvl="5">
      <w:start w:val="1"/>
      <w:numFmt w:val="lowerRoman"/>
      <w:lvlText w:val="%6."/>
      <w:lvlJc w:val="right"/>
      <w:pPr>
        <w:ind w:left="3547" w:hanging="440"/>
      </w:pPr>
    </w:lvl>
    <w:lvl w:ilvl="6">
      <w:start w:val="1"/>
      <w:numFmt w:val="decimal"/>
      <w:lvlText w:val="%7."/>
      <w:lvlJc w:val="left"/>
      <w:pPr>
        <w:ind w:left="3987" w:hanging="440"/>
      </w:pPr>
    </w:lvl>
    <w:lvl w:ilvl="7">
      <w:start w:val="1"/>
      <w:numFmt w:val="lowerLetter"/>
      <w:lvlText w:val="%8)"/>
      <w:lvlJc w:val="left"/>
      <w:pPr>
        <w:ind w:left="4427" w:hanging="440"/>
      </w:pPr>
    </w:lvl>
    <w:lvl w:ilvl="8">
      <w:start w:val="1"/>
      <w:numFmt w:val="lowerRoman"/>
      <w:lvlText w:val="%9."/>
      <w:lvlJc w:val="right"/>
      <w:pPr>
        <w:ind w:left="4867" w:hanging="440"/>
      </w:pPr>
    </w:lvl>
  </w:abstractNum>
  <w:abstractNum w:abstractNumId="8" w15:restartNumberingAfterBreak="0">
    <w:nsid w:val="7F4F3FAC"/>
    <w:multiLevelType w:val="multilevel"/>
    <w:tmpl w:val="7F4F3FAC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732802722">
    <w:abstractNumId w:val="6"/>
  </w:num>
  <w:num w:numId="2" w16cid:durableId="418067158">
    <w:abstractNumId w:val="5"/>
  </w:num>
  <w:num w:numId="3" w16cid:durableId="1703047775">
    <w:abstractNumId w:val="3"/>
  </w:num>
  <w:num w:numId="4" w16cid:durableId="280695370">
    <w:abstractNumId w:val="1"/>
  </w:num>
  <w:num w:numId="5" w16cid:durableId="2023387396">
    <w:abstractNumId w:val="2"/>
  </w:num>
  <w:num w:numId="6" w16cid:durableId="805322119">
    <w:abstractNumId w:val="4"/>
  </w:num>
  <w:num w:numId="7" w16cid:durableId="1070344825">
    <w:abstractNumId w:val="7"/>
  </w:num>
  <w:num w:numId="8" w16cid:durableId="635335567">
    <w:abstractNumId w:val="8"/>
  </w:num>
  <w:num w:numId="9" w16cid:durableId="424616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8AB"/>
    <w:rsid w:val="00010DD0"/>
    <w:rsid w:val="0001266D"/>
    <w:rsid w:val="00012B08"/>
    <w:rsid w:val="00012B54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1C1A"/>
    <w:rsid w:val="00055137"/>
    <w:rsid w:val="00073E5B"/>
    <w:rsid w:val="00074929"/>
    <w:rsid w:val="00083792"/>
    <w:rsid w:val="00085F90"/>
    <w:rsid w:val="0008613B"/>
    <w:rsid w:val="00086C71"/>
    <w:rsid w:val="00090BAC"/>
    <w:rsid w:val="0009624C"/>
    <w:rsid w:val="000A2498"/>
    <w:rsid w:val="000A3ACB"/>
    <w:rsid w:val="000B0B1A"/>
    <w:rsid w:val="000B1993"/>
    <w:rsid w:val="000B2085"/>
    <w:rsid w:val="000B387A"/>
    <w:rsid w:val="000B4E9A"/>
    <w:rsid w:val="000C27AE"/>
    <w:rsid w:val="000C36D5"/>
    <w:rsid w:val="000C39AF"/>
    <w:rsid w:val="000C6AEE"/>
    <w:rsid w:val="000C7BC7"/>
    <w:rsid w:val="000D065F"/>
    <w:rsid w:val="000D0D24"/>
    <w:rsid w:val="000D17E8"/>
    <w:rsid w:val="000D2C59"/>
    <w:rsid w:val="000D35D9"/>
    <w:rsid w:val="000D4669"/>
    <w:rsid w:val="000D67E3"/>
    <w:rsid w:val="000D6F0B"/>
    <w:rsid w:val="000E1C29"/>
    <w:rsid w:val="000E236A"/>
    <w:rsid w:val="000E5459"/>
    <w:rsid w:val="000E6166"/>
    <w:rsid w:val="000F05F6"/>
    <w:rsid w:val="000F0F14"/>
    <w:rsid w:val="000F1A61"/>
    <w:rsid w:val="000F326F"/>
    <w:rsid w:val="000F3CD2"/>
    <w:rsid w:val="001016BD"/>
    <w:rsid w:val="001026D1"/>
    <w:rsid w:val="001052C8"/>
    <w:rsid w:val="00106F46"/>
    <w:rsid w:val="00110EA0"/>
    <w:rsid w:val="001115D1"/>
    <w:rsid w:val="00113B4A"/>
    <w:rsid w:val="00113F3E"/>
    <w:rsid w:val="0011473F"/>
    <w:rsid w:val="00125924"/>
    <w:rsid w:val="00126973"/>
    <w:rsid w:val="001302B1"/>
    <w:rsid w:val="001305B7"/>
    <w:rsid w:val="00132945"/>
    <w:rsid w:val="0013319E"/>
    <w:rsid w:val="001331E3"/>
    <w:rsid w:val="00135714"/>
    <w:rsid w:val="001361F5"/>
    <w:rsid w:val="00142D32"/>
    <w:rsid w:val="00143557"/>
    <w:rsid w:val="001469E6"/>
    <w:rsid w:val="00151824"/>
    <w:rsid w:val="001528A5"/>
    <w:rsid w:val="00152AA6"/>
    <w:rsid w:val="00155FAD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11E4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0A85"/>
    <w:rsid w:val="001F41C2"/>
    <w:rsid w:val="001F615E"/>
    <w:rsid w:val="00214268"/>
    <w:rsid w:val="002152AB"/>
    <w:rsid w:val="00226089"/>
    <w:rsid w:val="0023551C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582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B9A"/>
    <w:rsid w:val="002B26D4"/>
    <w:rsid w:val="002B55D9"/>
    <w:rsid w:val="002B7584"/>
    <w:rsid w:val="002C54DB"/>
    <w:rsid w:val="002D48BB"/>
    <w:rsid w:val="002D4ADD"/>
    <w:rsid w:val="002D52A1"/>
    <w:rsid w:val="002D7AA6"/>
    <w:rsid w:val="002E1F4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570C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E9C"/>
    <w:rsid w:val="00363153"/>
    <w:rsid w:val="00364249"/>
    <w:rsid w:val="00365341"/>
    <w:rsid w:val="003672FC"/>
    <w:rsid w:val="003754A7"/>
    <w:rsid w:val="00384BC6"/>
    <w:rsid w:val="0038502C"/>
    <w:rsid w:val="00386777"/>
    <w:rsid w:val="00395684"/>
    <w:rsid w:val="00397B9D"/>
    <w:rsid w:val="003A1109"/>
    <w:rsid w:val="003A1596"/>
    <w:rsid w:val="003A49C2"/>
    <w:rsid w:val="003A6D9E"/>
    <w:rsid w:val="003B00BE"/>
    <w:rsid w:val="003B38F8"/>
    <w:rsid w:val="003B3E2A"/>
    <w:rsid w:val="003B5E26"/>
    <w:rsid w:val="003C1044"/>
    <w:rsid w:val="003C2AEF"/>
    <w:rsid w:val="003C32EC"/>
    <w:rsid w:val="003C5C5F"/>
    <w:rsid w:val="003D0847"/>
    <w:rsid w:val="003D0FD6"/>
    <w:rsid w:val="003D40E8"/>
    <w:rsid w:val="003E2BC9"/>
    <w:rsid w:val="003F3E28"/>
    <w:rsid w:val="003F4B52"/>
    <w:rsid w:val="004018D8"/>
    <w:rsid w:val="004025BB"/>
    <w:rsid w:val="004034B6"/>
    <w:rsid w:val="004074BF"/>
    <w:rsid w:val="004114EA"/>
    <w:rsid w:val="00414B4F"/>
    <w:rsid w:val="004150BE"/>
    <w:rsid w:val="00420A1E"/>
    <w:rsid w:val="00421271"/>
    <w:rsid w:val="0042329C"/>
    <w:rsid w:val="004232DB"/>
    <w:rsid w:val="00424E8D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6E71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C2B"/>
    <w:rsid w:val="004F664D"/>
    <w:rsid w:val="00500FA1"/>
    <w:rsid w:val="0050227D"/>
    <w:rsid w:val="0051075A"/>
    <w:rsid w:val="00511F52"/>
    <w:rsid w:val="00513853"/>
    <w:rsid w:val="0052184A"/>
    <w:rsid w:val="00524258"/>
    <w:rsid w:val="00526383"/>
    <w:rsid w:val="00530DD9"/>
    <w:rsid w:val="005320E4"/>
    <w:rsid w:val="00534B83"/>
    <w:rsid w:val="005363E2"/>
    <w:rsid w:val="00536D89"/>
    <w:rsid w:val="00544E06"/>
    <w:rsid w:val="005463CB"/>
    <w:rsid w:val="00547699"/>
    <w:rsid w:val="00552F41"/>
    <w:rsid w:val="00556FEE"/>
    <w:rsid w:val="00557116"/>
    <w:rsid w:val="0055763A"/>
    <w:rsid w:val="00560D64"/>
    <w:rsid w:val="005611F3"/>
    <w:rsid w:val="00565757"/>
    <w:rsid w:val="005702FC"/>
    <w:rsid w:val="00577769"/>
    <w:rsid w:val="0058214E"/>
    <w:rsid w:val="005829FA"/>
    <w:rsid w:val="0058375F"/>
    <w:rsid w:val="00585BBE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4216"/>
    <w:rsid w:val="005D783F"/>
    <w:rsid w:val="005E27DD"/>
    <w:rsid w:val="005E2B7E"/>
    <w:rsid w:val="005E5F20"/>
    <w:rsid w:val="005F0509"/>
    <w:rsid w:val="005F18A3"/>
    <w:rsid w:val="005F1ADF"/>
    <w:rsid w:val="005F3D8A"/>
    <w:rsid w:val="00604177"/>
    <w:rsid w:val="006137EC"/>
    <w:rsid w:val="00622BE8"/>
    <w:rsid w:val="00626AF2"/>
    <w:rsid w:val="006346FE"/>
    <w:rsid w:val="00637544"/>
    <w:rsid w:val="006402D4"/>
    <w:rsid w:val="006442FF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A8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EBD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65C0"/>
    <w:rsid w:val="006D7676"/>
    <w:rsid w:val="006E16D4"/>
    <w:rsid w:val="006E3FC9"/>
    <w:rsid w:val="006F06AF"/>
    <w:rsid w:val="006F2681"/>
    <w:rsid w:val="00700ADD"/>
    <w:rsid w:val="00704CB3"/>
    <w:rsid w:val="00710EA3"/>
    <w:rsid w:val="0071156C"/>
    <w:rsid w:val="0071294C"/>
    <w:rsid w:val="00717539"/>
    <w:rsid w:val="00720D41"/>
    <w:rsid w:val="00724E3B"/>
    <w:rsid w:val="00730D4A"/>
    <w:rsid w:val="00731E5D"/>
    <w:rsid w:val="00736551"/>
    <w:rsid w:val="00736CF8"/>
    <w:rsid w:val="00740CFB"/>
    <w:rsid w:val="007458C6"/>
    <w:rsid w:val="00745D4B"/>
    <w:rsid w:val="00746865"/>
    <w:rsid w:val="007474E4"/>
    <w:rsid w:val="0075124C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293D"/>
    <w:rsid w:val="00804C75"/>
    <w:rsid w:val="00806B1B"/>
    <w:rsid w:val="00806BC9"/>
    <w:rsid w:val="008123C3"/>
    <w:rsid w:val="00816A1A"/>
    <w:rsid w:val="00816F53"/>
    <w:rsid w:val="00817D9F"/>
    <w:rsid w:val="00831E2A"/>
    <w:rsid w:val="00831FBF"/>
    <w:rsid w:val="00832FA5"/>
    <w:rsid w:val="00833C0A"/>
    <w:rsid w:val="00835336"/>
    <w:rsid w:val="0083566C"/>
    <w:rsid w:val="00836659"/>
    <w:rsid w:val="008373A7"/>
    <w:rsid w:val="008459FC"/>
    <w:rsid w:val="00851B3E"/>
    <w:rsid w:val="00851C4B"/>
    <w:rsid w:val="00854994"/>
    <w:rsid w:val="00856503"/>
    <w:rsid w:val="00860BC3"/>
    <w:rsid w:val="0086243E"/>
    <w:rsid w:val="00865A7A"/>
    <w:rsid w:val="00866E40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79B4"/>
    <w:rsid w:val="008C642C"/>
    <w:rsid w:val="008D0E4A"/>
    <w:rsid w:val="008D2A6A"/>
    <w:rsid w:val="008D4D9E"/>
    <w:rsid w:val="008D52FB"/>
    <w:rsid w:val="008D5443"/>
    <w:rsid w:val="008D58EC"/>
    <w:rsid w:val="008D69D0"/>
    <w:rsid w:val="008E4564"/>
    <w:rsid w:val="008E74F7"/>
    <w:rsid w:val="008F239E"/>
    <w:rsid w:val="008F45B7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58D5"/>
    <w:rsid w:val="00941F06"/>
    <w:rsid w:val="009422BF"/>
    <w:rsid w:val="009431F3"/>
    <w:rsid w:val="009448BC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568"/>
    <w:rsid w:val="00987081"/>
    <w:rsid w:val="00992857"/>
    <w:rsid w:val="00993FB0"/>
    <w:rsid w:val="00997611"/>
    <w:rsid w:val="009A094B"/>
    <w:rsid w:val="009A0E7C"/>
    <w:rsid w:val="009A189D"/>
    <w:rsid w:val="009A2C33"/>
    <w:rsid w:val="009A3CBD"/>
    <w:rsid w:val="009B2183"/>
    <w:rsid w:val="009B3807"/>
    <w:rsid w:val="009B4EE3"/>
    <w:rsid w:val="009B671E"/>
    <w:rsid w:val="009B7E5A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184E"/>
    <w:rsid w:val="00A01AC8"/>
    <w:rsid w:val="00A021D5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A17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DBB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4C5"/>
    <w:rsid w:val="00AD5A94"/>
    <w:rsid w:val="00AE11E8"/>
    <w:rsid w:val="00AE2480"/>
    <w:rsid w:val="00AF3977"/>
    <w:rsid w:val="00AF623F"/>
    <w:rsid w:val="00AF6253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3F0"/>
    <w:rsid w:val="00B36993"/>
    <w:rsid w:val="00B40E12"/>
    <w:rsid w:val="00B435B8"/>
    <w:rsid w:val="00B4499C"/>
    <w:rsid w:val="00B509E9"/>
    <w:rsid w:val="00B5116D"/>
    <w:rsid w:val="00B51359"/>
    <w:rsid w:val="00B534BA"/>
    <w:rsid w:val="00B60E0A"/>
    <w:rsid w:val="00B6201D"/>
    <w:rsid w:val="00B653B7"/>
    <w:rsid w:val="00B66A14"/>
    <w:rsid w:val="00B7250F"/>
    <w:rsid w:val="00B73A90"/>
    <w:rsid w:val="00B807E5"/>
    <w:rsid w:val="00B847A0"/>
    <w:rsid w:val="00B87BC5"/>
    <w:rsid w:val="00B87D12"/>
    <w:rsid w:val="00BA0371"/>
    <w:rsid w:val="00BA2292"/>
    <w:rsid w:val="00BA2EF5"/>
    <w:rsid w:val="00BB27C1"/>
    <w:rsid w:val="00BB572B"/>
    <w:rsid w:val="00BC01E5"/>
    <w:rsid w:val="00BC3F28"/>
    <w:rsid w:val="00BC6DA7"/>
    <w:rsid w:val="00BC7E90"/>
    <w:rsid w:val="00BD4346"/>
    <w:rsid w:val="00BD56BC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0EAC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5CA2"/>
    <w:rsid w:val="00D065C4"/>
    <w:rsid w:val="00D103FE"/>
    <w:rsid w:val="00D10BFA"/>
    <w:rsid w:val="00D10F00"/>
    <w:rsid w:val="00D1296E"/>
    <w:rsid w:val="00D13549"/>
    <w:rsid w:val="00D150D8"/>
    <w:rsid w:val="00D1763F"/>
    <w:rsid w:val="00D27FBE"/>
    <w:rsid w:val="00D30007"/>
    <w:rsid w:val="00D300CE"/>
    <w:rsid w:val="00D351FF"/>
    <w:rsid w:val="00D356FD"/>
    <w:rsid w:val="00D367C0"/>
    <w:rsid w:val="00D37C1A"/>
    <w:rsid w:val="00D406D6"/>
    <w:rsid w:val="00D45AF7"/>
    <w:rsid w:val="00D466AF"/>
    <w:rsid w:val="00D473BF"/>
    <w:rsid w:val="00D47642"/>
    <w:rsid w:val="00D50A19"/>
    <w:rsid w:val="00D5169F"/>
    <w:rsid w:val="00D53725"/>
    <w:rsid w:val="00D630A2"/>
    <w:rsid w:val="00D6314B"/>
    <w:rsid w:val="00D654B4"/>
    <w:rsid w:val="00D662C7"/>
    <w:rsid w:val="00D712A3"/>
    <w:rsid w:val="00D7203B"/>
    <w:rsid w:val="00D75084"/>
    <w:rsid w:val="00D75193"/>
    <w:rsid w:val="00D7547B"/>
    <w:rsid w:val="00D76EA6"/>
    <w:rsid w:val="00D80912"/>
    <w:rsid w:val="00D80DEB"/>
    <w:rsid w:val="00D819BA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12A9"/>
    <w:rsid w:val="00E04E62"/>
    <w:rsid w:val="00E04EFB"/>
    <w:rsid w:val="00E06B75"/>
    <w:rsid w:val="00E072C2"/>
    <w:rsid w:val="00E200C4"/>
    <w:rsid w:val="00E24673"/>
    <w:rsid w:val="00E24898"/>
    <w:rsid w:val="00E27EF5"/>
    <w:rsid w:val="00E355EE"/>
    <w:rsid w:val="00E35FB3"/>
    <w:rsid w:val="00E44C46"/>
    <w:rsid w:val="00E4663E"/>
    <w:rsid w:val="00E52377"/>
    <w:rsid w:val="00E53E57"/>
    <w:rsid w:val="00E55496"/>
    <w:rsid w:val="00E55F56"/>
    <w:rsid w:val="00E64911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BE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0155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78D"/>
    <w:rsid w:val="00F146E3"/>
    <w:rsid w:val="00F153F4"/>
    <w:rsid w:val="00F22F5E"/>
    <w:rsid w:val="00F23D1F"/>
    <w:rsid w:val="00F255A2"/>
    <w:rsid w:val="00F3061E"/>
    <w:rsid w:val="00F31655"/>
    <w:rsid w:val="00F35094"/>
    <w:rsid w:val="00F35B29"/>
    <w:rsid w:val="00F3618A"/>
    <w:rsid w:val="00F43D35"/>
    <w:rsid w:val="00F4412A"/>
    <w:rsid w:val="00F46421"/>
    <w:rsid w:val="00F53D49"/>
    <w:rsid w:val="00F563AC"/>
    <w:rsid w:val="00F56A75"/>
    <w:rsid w:val="00F60150"/>
    <w:rsid w:val="00F60B45"/>
    <w:rsid w:val="00F60C18"/>
    <w:rsid w:val="00F64FB6"/>
    <w:rsid w:val="00F728FB"/>
    <w:rsid w:val="00F734E7"/>
    <w:rsid w:val="00F7561F"/>
    <w:rsid w:val="00F76A1C"/>
    <w:rsid w:val="00F77B6B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E88"/>
    <w:rsid w:val="00FD00B1"/>
    <w:rsid w:val="00FD1497"/>
    <w:rsid w:val="00FE059A"/>
    <w:rsid w:val="00FF25E5"/>
    <w:rsid w:val="00FF335E"/>
    <w:rsid w:val="00FF34BC"/>
    <w:rsid w:val="00FF5086"/>
    <w:rsid w:val="00FF6490"/>
    <w:rsid w:val="00FF6C56"/>
    <w:rsid w:val="00FF754B"/>
    <w:rsid w:val="0B583770"/>
    <w:rsid w:val="1EDF6DFF"/>
    <w:rsid w:val="28DC268C"/>
    <w:rsid w:val="2A5B724C"/>
    <w:rsid w:val="30AB0C46"/>
    <w:rsid w:val="39F74BA5"/>
    <w:rsid w:val="3C02607A"/>
    <w:rsid w:val="57A44FAD"/>
    <w:rsid w:val="5B116408"/>
    <w:rsid w:val="776B5496"/>
    <w:rsid w:val="7B1E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490DB3"/>
  <w14:defaultImageDpi w14:val="330"/>
  <w15:docId w15:val="{EE487DE8-E7F1-4C7D-AEE2-68DFCDBD7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Revision1">
    <w:name w:val="Revision1"/>
    <w:hidden/>
    <w:uiPriority w:val="99"/>
    <w:unhideWhenUsed/>
    <w:qFormat/>
    <w:rPr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ancang@zcmu.edu.cn" TargetMode="External"/><Relationship Id="rId13" Type="http://schemas.openxmlformats.org/officeDocument/2006/relationships/hyperlink" Target="mailto:wufangping2020@163.com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745938" TargetMode="External"/><Relationship Id="rId12" Type="http://schemas.openxmlformats.org/officeDocument/2006/relationships/hyperlink" Target="mailto:wangxinyu202019@163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297866606@qq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gmancang@zcmu.edu.cn" TargetMode="External"/><Relationship Id="rId10" Type="http://schemas.openxmlformats.org/officeDocument/2006/relationships/hyperlink" Target="mailto:202412215201001@zcmu.edu.c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202412210402026@zcmu.edu.cn" TargetMode="External"/><Relationship Id="rId14" Type="http://schemas.openxmlformats.org/officeDocument/2006/relationships/hyperlink" Target="mailto:202011113511009@zcmu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12</Pages>
  <Words>2323</Words>
  <Characters>13247</Characters>
  <Application>Microsoft Office Word</Application>
  <DocSecurity>0</DocSecurity>
  <Lines>110</Lines>
  <Paragraphs>31</Paragraphs>
  <ScaleCrop>false</ScaleCrop>
  <Company>UC Irvine</Company>
  <LinksUpToDate>false</LinksUpToDate>
  <CharactersWithSpaces>15539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Ruchira  Mukherji</cp:lastModifiedBy>
  <cp:revision>47</cp:revision>
  <dcterms:created xsi:type="dcterms:W3CDTF">2026-09-20T06:10:00Z</dcterms:created>
  <dcterms:modified xsi:type="dcterms:W3CDTF">2026-09-25T03:33:00Z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eyJoZGlkIjoiMzEwNTM5NzYwMDRjMzkwZTVkZjY2ODkwMGIxNGU0OTUiLCJ1c2VySWQiOiIxMzgyMDM1ODk1In0=</vt:lpwstr>
  </property>
  <property fmtid="{D5CDD505-2E9C-101B-9397-08002B2CF9AE}" pid="4" name="KSOProductBuildVer">
    <vt:lpwstr>2052-12.1.0.28505</vt:lpwstr>
  </property>
  <property fmtid="{D5CDD505-2E9C-101B-9397-08002B2CF9AE}" pid="5" name="ICV">
    <vt:lpwstr>4AF00C00256B418D87F9883ABF0F5500_12</vt:lpwstr>
  </property>
</Properties>
</file>