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B89B0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012A9">
        <w:rPr>
          <w:rFonts w:eastAsia="Times New Roman" w:cstheme="minorHAnsi"/>
          <w:b/>
        </w:rPr>
        <w:t>71298</w:t>
      </w:r>
    </w:p>
    <w:p w14:paraId="2F6924E5" w14:textId="45DA115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012A9">
        <w:rPr>
          <w:rFonts w:eastAsia="Times New Roman" w:cstheme="minorHAnsi"/>
          <w:b/>
        </w:rPr>
        <w:t>Ruchira Mukherji</w:t>
      </w:r>
    </w:p>
    <w:p w14:paraId="40042248" w14:textId="77777777" w:rsidR="00E012A9" w:rsidRPr="00E012A9" w:rsidRDefault="004E0C5A" w:rsidP="00E012A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012A9" w:rsidRPr="00E012A9">
          <w:rPr>
            <w:rStyle w:val="Hyperlink"/>
            <w:rFonts w:eastAsia="Times New Roman" w:cstheme="minorHAnsi"/>
            <w:b/>
          </w:rPr>
          <w:t>https://review.jove.com/files_upload.php?src=21745938</w:t>
        </w:r>
      </w:hyperlink>
    </w:p>
    <w:p w14:paraId="6FB9233B" w14:textId="79A3EF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9BADD77" w14:textId="77777777" w:rsidR="00E012A9" w:rsidRPr="00E012A9" w:rsidRDefault="004E0C5A" w:rsidP="00E012A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12A9" w:rsidRPr="00E012A9">
        <w:rPr>
          <w:rFonts w:eastAsia="Times New Roman" w:cstheme="minorHAnsi"/>
          <w:b/>
          <w:sz w:val="32"/>
          <w:szCs w:val="32"/>
        </w:rPr>
        <w:t>Coupling Intracellular Gemcitabine Quantification with Bioluminescence Imaging to Visualize Pharmacokinetic–Pharmacodynamic Relationships in Pancreatic Cancer Models</w:t>
      </w:r>
    </w:p>
    <w:p w14:paraId="30BC7CCC" w14:textId="30CECD7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E8AC33" w14:textId="0CC18D9E" w:rsidR="00E012A9" w:rsidRPr="00E012A9" w:rsidRDefault="00E012A9" w:rsidP="00E012A9">
      <w:pPr>
        <w:outlineLvl w:val="0"/>
        <w:rPr>
          <w:rFonts w:eastAsia="Times New Roman" w:cstheme="minorHAnsi"/>
          <w:b/>
          <w:sz w:val="28"/>
          <w:szCs w:val="28"/>
        </w:rPr>
      </w:pPr>
      <w:r w:rsidRPr="00E012A9">
        <w:rPr>
          <w:rFonts w:eastAsia="Times New Roman" w:cstheme="minorHAnsi"/>
          <w:b/>
          <w:sz w:val="28"/>
          <w:szCs w:val="28"/>
        </w:rPr>
        <w:t>Xinyu Gao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/>
          <w:sz w:val="28"/>
          <w:szCs w:val="28"/>
        </w:rPr>
        <w:t>, Wenbin Wang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/>
          <w:sz w:val="28"/>
          <w:szCs w:val="28"/>
        </w:rPr>
        <w:t>, Ruiying Zhang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12A9">
        <w:rPr>
          <w:rFonts w:eastAsia="Times New Roman" w:cstheme="minorHAnsi"/>
          <w:b/>
          <w:sz w:val="28"/>
          <w:szCs w:val="28"/>
        </w:rPr>
        <w:t>, Xinyu Wang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/>
          <w:sz w:val="28"/>
          <w:szCs w:val="28"/>
        </w:rPr>
        <w:t>, Fangping Wu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/>
          <w:sz w:val="28"/>
          <w:szCs w:val="28"/>
        </w:rPr>
        <w:t>, Kaidi Chen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/>
          <w:sz w:val="28"/>
          <w:szCs w:val="28"/>
        </w:rPr>
        <w:t>, Mancang Gu</w:t>
      </w:r>
      <w:r w:rsidRPr="00E012A9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080CA0" w14:textId="0EA27DA2" w:rsidR="00E012A9" w:rsidRPr="00E012A9" w:rsidRDefault="00E012A9" w:rsidP="00E012A9">
      <w:pPr>
        <w:outlineLvl w:val="0"/>
        <w:rPr>
          <w:rFonts w:eastAsia="Times New Roman" w:cstheme="minorHAnsi"/>
          <w:bCs/>
          <w:sz w:val="28"/>
          <w:szCs w:val="28"/>
        </w:rPr>
      </w:pPr>
      <w:r w:rsidRPr="00E012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012A9">
        <w:rPr>
          <w:rFonts w:eastAsia="Times New Roman" w:cstheme="minorHAnsi"/>
          <w:bCs/>
          <w:sz w:val="28"/>
          <w:szCs w:val="28"/>
        </w:rPr>
        <w:t>School of Pharmaceutical Sciences, Zhejiang Chinese Medical University</w:t>
      </w:r>
    </w:p>
    <w:p w14:paraId="59D9107E" w14:textId="2D86D56A" w:rsidR="00E012A9" w:rsidRPr="00E012A9" w:rsidRDefault="00E012A9" w:rsidP="00E012A9">
      <w:pPr>
        <w:outlineLvl w:val="0"/>
        <w:rPr>
          <w:rFonts w:eastAsia="Times New Roman" w:cstheme="minorHAnsi"/>
          <w:bCs/>
          <w:sz w:val="28"/>
          <w:szCs w:val="28"/>
        </w:rPr>
      </w:pPr>
      <w:r w:rsidRPr="00E012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012A9">
        <w:rPr>
          <w:rFonts w:eastAsia="Times New Roman" w:cstheme="minorHAnsi"/>
          <w:bCs/>
          <w:sz w:val="28"/>
          <w:szCs w:val="28"/>
        </w:rPr>
        <w:t>Academy of Chinese Medical Sciences, Zhejiang Chinese Medical University</w:t>
      </w:r>
    </w:p>
    <w:p w14:paraId="775A9EB7" w14:textId="5C1CFECC" w:rsidR="00E012A9" w:rsidRPr="00E012A9" w:rsidRDefault="00E012A9" w:rsidP="00E012A9">
      <w:pPr>
        <w:outlineLvl w:val="0"/>
        <w:rPr>
          <w:rFonts w:eastAsia="Times New Roman" w:cstheme="minorHAnsi"/>
          <w:bCs/>
          <w:sz w:val="28"/>
          <w:szCs w:val="28"/>
        </w:rPr>
      </w:pPr>
      <w:r w:rsidRPr="00E012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012A9">
        <w:rPr>
          <w:rFonts w:eastAsia="Times New Roman" w:cstheme="minorHAnsi"/>
          <w:bCs/>
          <w:sz w:val="28"/>
          <w:szCs w:val="28"/>
        </w:rPr>
        <w:t>Institute for Innovation in Modern Traditional Chinese Medicine, The First Affiliated Hospital of Zhejiang Chinese Medical University, Zhejiang Provincial Hospital of Traditional Chinese Medicine</w:t>
      </w:r>
    </w:p>
    <w:p w14:paraId="6A87D6BA" w14:textId="53E7B86D" w:rsidR="00E012A9" w:rsidRPr="00E012A9" w:rsidRDefault="00E012A9" w:rsidP="00E012A9">
      <w:pPr>
        <w:outlineLvl w:val="0"/>
        <w:rPr>
          <w:rFonts w:eastAsia="Times New Roman" w:cstheme="minorHAnsi"/>
          <w:bCs/>
          <w:sz w:val="28"/>
          <w:szCs w:val="28"/>
        </w:rPr>
      </w:pPr>
      <w:r w:rsidRPr="00E012A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E012A9">
        <w:rPr>
          <w:rFonts w:eastAsia="Times New Roman" w:cstheme="minorHAnsi"/>
          <w:bCs/>
          <w:sz w:val="28"/>
          <w:szCs w:val="28"/>
        </w:rPr>
        <w:t>School of Basic Medical Sciences, Guangzhou University of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D2F01D5" w:rsidR="00D6314B" w:rsidRPr="00B509E9" w:rsidRDefault="00B509E9" w:rsidP="00B509E9">
      <w:pPr>
        <w:adjustRightInd w:val="0"/>
        <w:snapToGrid w:val="0"/>
        <w:rPr>
          <w:rFonts w:ascii="Calibri" w:hAnsi="Calibri" w:cs="Calibri"/>
        </w:rPr>
      </w:pPr>
      <w:r>
        <w:rPr>
          <w:rFonts w:ascii="Calibri" w:hAnsi="Calibri" w:cs="Calibri" w:hint="eastAsia"/>
        </w:rPr>
        <w:t>Mancang Gu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144555">
          <w:rPr>
            <w:rStyle w:val="Hyperlink"/>
            <w:rFonts w:ascii="Calibri" w:hAnsi="Calibri" w:cs="Calibri"/>
          </w:rPr>
          <w:t>gmancang@zcmu.edu.cn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3E32BCD" w14:textId="77777777" w:rsidR="00B509E9" w:rsidRDefault="00B509E9" w:rsidP="00B509E9">
      <w:pPr>
        <w:adjustRightInd w:val="0"/>
        <w:snapToGrid w:val="0"/>
        <w:rPr>
          <w:rFonts w:cstheme="minorHAnsi"/>
          <w:b/>
          <w:sz w:val="22"/>
          <w:szCs w:val="22"/>
        </w:rPr>
      </w:pPr>
    </w:p>
    <w:p w14:paraId="487F1031" w14:textId="77777777" w:rsidR="00B509E9" w:rsidRDefault="00B509E9" w:rsidP="00B509E9">
      <w:pPr>
        <w:adjustRightInd w:val="0"/>
        <w:snapToGrid w:val="0"/>
        <w:rPr>
          <w:rFonts w:ascii="Calibri" w:hAnsi="Calibri" w:cs="Calibri"/>
        </w:rPr>
      </w:pPr>
      <w:hyperlink r:id="rId9" w:history="1">
        <w:r w:rsidRPr="00144555">
          <w:rPr>
            <w:rStyle w:val="Hyperlink"/>
            <w:rFonts w:ascii="Calibri" w:hAnsi="Calibri" w:cs="Calibri"/>
          </w:rPr>
          <w:t>202412210402026@zcmu.edu.cn</w:t>
        </w:r>
      </w:hyperlink>
      <w:r>
        <w:rPr>
          <w:rFonts w:ascii="Calibri" w:hAnsi="Calibri" w:cs="Calibri"/>
        </w:rPr>
        <w:t xml:space="preserve"> </w:t>
      </w:r>
    </w:p>
    <w:p w14:paraId="710BE017" w14:textId="3B655134" w:rsidR="00B509E9" w:rsidRDefault="00B509E9" w:rsidP="00B509E9">
      <w:pPr>
        <w:adjustRightInd w:val="0"/>
        <w:snapToGrid w:val="0"/>
        <w:rPr>
          <w:rFonts w:ascii="Calibri" w:hAnsi="Calibri" w:cs="Calibri"/>
        </w:rPr>
      </w:pPr>
      <w:hyperlink r:id="rId10" w:history="1">
        <w:r w:rsidRPr="00144555">
          <w:rPr>
            <w:rStyle w:val="Hyperlink"/>
            <w:rFonts w:ascii="Calibri" w:hAnsi="Calibri" w:cs="Calibri"/>
          </w:rPr>
          <w:t>202412215201001@zcmu.edu.cn</w:t>
        </w:r>
      </w:hyperlink>
      <w:r>
        <w:rPr>
          <w:rFonts w:ascii="Calibri" w:hAnsi="Calibri" w:cs="Calibri"/>
        </w:rPr>
        <w:t xml:space="preserve"> </w:t>
      </w:r>
    </w:p>
    <w:p w14:paraId="0907DF02" w14:textId="77777777" w:rsidR="00B509E9" w:rsidRDefault="00B509E9" w:rsidP="00B509E9">
      <w:pPr>
        <w:adjustRightInd w:val="0"/>
        <w:snapToGrid w:val="0"/>
        <w:rPr>
          <w:rFonts w:ascii="Calibri" w:eastAsia="SimSun" w:hAnsi="Calibri" w:cs="Calibri"/>
        </w:rPr>
      </w:pPr>
      <w:hyperlink r:id="rId11" w:history="1">
        <w:r w:rsidRPr="00144555">
          <w:rPr>
            <w:rStyle w:val="Hyperlink"/>
            <w:rFonts w:ascii="Calibri" w:eastAsia="SimSun" w:hAnsi="Calibri" w:cs="Calibri"/>
          </w:rPr>
          <w:t>297866606@qq.com</w:t>
        </w:r>
      </w:hyperlink>
      <w:r>
        <w:rPr>
          <w:rFonts w:ascii="Calibri" w:eastAsia="SimSun" w:hAnsi="Calibri" w:cs="Calibri"/>
        </w:rPr>
        <w:t xml:space="preserve"> </w:t>
      </w:r>
    </w:p>
    <w:p w14:paraId="08994FB7" w14:textId="1DF5A1F5" w:rsidR="00B509E9" w:rsidRPr="00B509E9" w:rsidRDefault="00B509E9" w:rsidP="00B509E9">
      <w:pPr>
        <w:adjustRightInd w:val="0"/>
        <w:snapToGrid w:val="0"/>
        <w:rPr>
          <w:rFonts w:ascii="Calibri" w:eastAsia="SimSun" w:hAnsi="Calibri" w:cs="Calibri"/>
        </w:rPr>
      </w:pPr>
      <w:hyperlink r:id="rId12" w:history="1">
        <w:r w:rsidRPr="00144555">
          <w:rPr>
            <w:rStyle w:val="Hyperlink"/>
            <w:rFonts w:ascii="Calibri" w:hAnsi="Calibri" w:cs="Calibri"/>
          </w:rPr>
          <w:t>wangxinyu202019@163.com</w:t>
        </w:r>
      </w:hyperlink>
      <w:r>
        <w:rPr>
          <w:rFonts w:ascii="Calibri" w:hAnsi="Calibri" w:cs="Calibri"/>
        </w:rPr>
        <w:t xml:space="preserve"> </w:t>
      </w:r>
    </w:p>
    <w:p w14:paraId="7C93D08E" w14:textId="67799F29" w:rsidR="00B509E9" w:rsidRDefault="00B509E9" w:rsidP="00B509E9">
      <w:pPr>
        <w:adjustRightInd w:val="0"/>
        <w:snapToGrid w:val="0"/>
        <w:rPr>
          <w:rFonts w:ascii="Calibri" w:hAnsi="Calibri" w:cs="Calibri"/>
        </w:rPr>
      </w:pPr>
      <w:hyperlink r:id="rId13" w:history="1">
        <w:r w:rsidRPr="00144555">
          <w:rPr>
            <w:rStyle w:val="Hyperlink"/>
            <w:rFonts w:ascii="Calibri" w:hAnsi="Calibri" w:cs="Calibri"/>
          </w:rPr>
          <w:t>wufangping2020@163.com</w:t>
        </w:r>
      </w:hyperlink>
    </w:p>
    <w:p w14:paraId="6F84F159" w14:textId="0B2616A7" w:rsidR="003B5E26" w:rsidRPr="00B07A3B" w:rsidRDefault="00B509E9" w:rsidP="00B509E9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144555">
          <w:rPr>
            <w:rStyle w:val="Hyperlink"/>
            <w:rFonts w:ascii="Calibri" w:hAnsi="Calibri" w:cs="Calibri"/>
          </w:rPr>
          <w:t>202011113511009@zcmu.edu.cn</w:t>
        </w:r>
      </w:hyperlink>
      <w:r>
        <w:rPr>
          <w:rFonts w:ascii="Calibri" w:hAnsi="Calibri" w:cs="Calibri"/>
        </w:rPr>
        <w:t xml:space="preserve"> </w:t>
      </w:r>
    </w:p>
    <w:p w14:paraId="5A2BE33C" w14:textId="2678A3C6" w:rsidR="001E230F" w:rsidRPr="00B07A3B" w:rsidRDefault="00B509E9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144555">
          <w:rPr>
            <w:rStyle w:val="Hyperlink"/>
            <w:rFonts w:ascii="Calibri" w:hAnsi="Calibri" w:cs="Calibri"/>
          </w:rPr>
          <w:t>gmancang@zcmu.edu.cn</w:t>
        </w:r>
      </w:hyperlink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61A0A16" w:rsidR="001331E3" w:rsidRPr="001305B7" w:rsidRDefault="001305B7" w:rsidP="001305B7">
      <w:pPr>
        <w:spacing w:before="120"/>
        <w:ind w:left="720"/>
        <w:rPr>
          <w:rFonts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>
        <w:rPr>
          <w:rFonts w:cstheme="minorHAnsi"/>
          <w:b/>
        </w:rPr>
        <w:t xml:space="preserve"> </w:t>
      </w:r>
      <w:hyperlink r:id="rId18" w:history="1">
        <w:r w:rsidR="00E06B75" w:rsidRPr="00144555">
          <w:rPr>
            <w:rStyle w:val="Hyperlink"/>
            <w:rFonts w:eastAsia="Times New Roman" w:cstheme="minorHAnsi"/>
            <w:b/>
          </w:rPr>
          <w:t>https://review.jove.com/files_upload.php?src=21745938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58357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B1EBD">
        <w:rPr>
          <w:rFonts w:cstheme="minorHAnsi"/>
          <w:bCs/>
          <w:sz w:val="22"/>
          <w:szCs w:val="22"/>
        </w:rPr>
        <w:t xml:space="preserve"> 27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32E205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77769">
        <w:rPr>
          <w:rFonts w:cstheme="minorHAnsi"/>
          <w:bCs/>
          <w:sz w:val="22"/>
          <w:szCs w:val="22"/>
        </w:rPr>
        <w:t>42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268AF9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E04E62">
        <w:rPr>
          <w:rFonts w:eastAsia="Times New Roman" w:cstheme="minorHAnsi"/>
        </w:rPr>
        <w:t xml:space="preserve">at </w:t>
      </w:r>
      <w:r w:rsidR="00E04E62">
        <w:rPr>
          <w:rFonts w:ascii="Calibri" w:eastAsia="SimSun" w:hAnsi="Calibri" w:cs="Calibri" w:hint="eastAsia"/>
        </w:rPr>
        <w:t>of Zhejiang Chinese Medical University</w:t>
      </w:r>
    </w:p>
    <w:p w14:paraId="2AB394E5" w14:textId="2CB99805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EF28810" w:rsidR="00CE10F2" w:rsidRPr="0086243E" w:rsidRDefault="0086243E" w:rsidP="0086243E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Intracellular Gemcitabine Quantification by LC-MS/MS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F9C693" w14:textId="148266B1" w:rsidR="0086243E" w:rsidRPr="00EB2BED" w:rsidRDefault="00F255A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by obtaining</w:t>
      </w:r>
      <w:r w:rsidR="0086243E">
        <w:rPr>
          <w:color w:val="7030A0"/>
        </w:rPr>
        <w:t xml:space="preserve"> BxPC-3 </w:t>
      </w:r>
      <w:r w:rsidR="0086243E">
        <w:rPr>
          <w:i/>
          <w:color w:val="EE0000"/>
        </w:rPr>
        <w:t>(b‑x‑p‑c‑three)</w:t>
      </w:r>
      <w:r w:rsidR="0086243E">
        <w:rPr>
          <w:color w:val="7030A0"/>
        </w:rPr>
        <w:t xml:space="preserve"> human pancreatic cancer cells from a certified cell bank</w:t>
      </w:r>
      <w:r w:rsidR="000A3ACB">
        <w:rPr>
          <w:color w:val="7030A0"/>
        </w:rPr>
        <w:t xml:space="preserve"> and </w:t>
      </w:r>
      <w:commentRangeStart w:id="2"/>
      <w:r>
        <w:rPr>
          <w:color w:val="7030A0"/>
        </w:rPr>
        <w:t>routinely maintain</w:t>
      </w:r>
      <w:r w:rsidR="00A021D5">
        <w:rPr>
          <w:color w:val="7030A0"/>
        </w:rPr>
        <w:t xml:space="preserve"> them</w:t>
      </w:r>
      <w:r w:rsidR="0086243E">
        <w:rPr>
          <w:color w:val="7030A0"/>
        </w:rPr>
        <w:t xml:space="preserve"> </w:t>
      </w:r>
      <w:commentRangeEnd w:id="2"/>
      <w:r w:rsidR="006B1EBD">
        <w:rPr>
          <w:rStyle w:val="CommentReference"/>
          <w:color w:val="7030A0"/>
          <w:sz w:val="24"/>
          <w:szCs w:val="24"/>
        </w:rPr>
        <w:commentReference w:id="2"/>
      </w:r>
      <w:r w:rsidR="0086243E">
        <w:rPr>
          <w:color w:val="7030A0"/>
        </w:rPr>
        <w:t xml:space="preserve">in RPMI-1640 medium containing 10% </w:t>
      </w:r>
      <w:r>
        <w:rPr>
          <w:color w:val="7030A0"/>
        </w:rPr>
        <w:t>FBS</w:t>
      </w:r>
      <w:r w:rsidR="0086243E">
        <w:rPr>
          <w:color w:val="7030A0"/>
        </w:rPr>
        <w:t xml:space="preserve"> and 1% penicillin-streptomycin </w:t>
      </w:r>
      <w:r w:rsidR="0086243E">
        <w:rPr>
          <w:b/>
          <w:color w:val="7030A0"/>
        </w:rPr>
        <w:t>[1]</w:t>
      </w:r>
      <w:r w:rsidR="0086243E">
        <w:rPr>
          <w:color w:val="7030A0"/>
        </w:rPr>
        <w:t xml:space="preserve">. </w:t>
      </w:r>
    </w:p>
    <w:p w14:paraId="1B85424E" w14:textId="64F7FA2B" w:rsidR="00EB2BED" w:rsidRPr="00EB2BED" w:rsidRDefault="00EB2BED" w:rsidP="00EB2BE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0A3ACB">
        <w:rPr>
          <w:rFonts w:cstheme="minorHAnsi"/>
        </w:rPr>
        <w:t xml:space="preserve"> </w:t>
      </w:r>
      <w:r>
        <w:rPr>
          <w:color w:val="000000"/>
        </w:rPr>
        <w:t>Talent maintaining BxPC-3 cells in a culture flask containing complete RPMI-1640 medium.</w:t>
      </w:r>
      <w:r w:rsidR="000A3ACB">
        <w:rPr>
          <w:color w:val="000000"/>
        </w:rPr>
        <w:t xml:space="preserve"> (representative shot)</w:t>
      </w:r>
    </w:p>
    <w:p w14:paraId="4E43D668" w14:textId="77777777" w:rsidR="00EB2BED" w:rsidRPr="0086243E" w:rsidRDefault="00EB2BED" w:rsidP="00EB2BE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4C6B477" w14:textId="5981C71A" w:rsidR="00125924" w:rsidRPr="00B07A3B" w:rsidRDefault="0086243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Generate firefly luciferase-expressing BxPC-3 cells by stable transfection and select positive clones with 2 micrograms per milliliter puromycin </w:t>
      </w:r>
      <w:r>
        <w:rPr>
          <w:b/>
          <w:color w:val="7030A0"/>
        </w:rPr>
        <w:t>[1]</w:t>
      </w:r>
      <w:r>
        <w:rPr>
          <w:color w:val="7030A0"/>
        </w:rPr>
        <w:t>. Incubate the cells at 37 degrees Celsius in 5% carbon dioxide</w:t>
      </w:r>
      <w:r w:rsidR="00736551">
        <w:rPr>
          <w:color w:val="7030A0"/>
        </w:rPr>
        <w:t xml:space="preserve"> and passage at appropriate intervals</w:t>
      </w:r>
      <w:r w:rsidR="000A3ACB">
        <w:rPr>
          <w:color w:val="7030A0"/>
        </w:rPr>
        <w:t xml:space="preserve"> </w:t>
      </w:r>
      <w:r>
        <w:rPr>
          <w:b/>
          <w:color w:val="7030A0"/>
        </w:rPr>
        <w:t>[2</w:t>
      </w:r>
      <w:r w:rsidR="000A3ACB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E1E597A" w14:textId="7A641321" w:rsidR="00EB2BED" w:rsidRDefault="00EB2BED" w:rsidP="00EB2BE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puromycin-containing selection medium to </w:t>
      </w:r>
      <w:commentRangeStart w:id="3"/>
      <w:r>
        <w:rPr>
          <w:color w:val="000000"/>
        </w:rPr>
        <w:t>transfected BxPC-3 cells.</w:t>
      </w:r>
      <w:commentRangeEnd w:id="3"/>
      <w:r w:rsidR="006B1EBD">
        <w:rPr>
          <w:rStyle w:val="CommentReference"/>
          <w:color w:val="000000"/>
          <w:sz w:val="24"/>
          <w:szCs w:val="24"/>
        </w:rPr>
        <w:commentReference w:id="3"/>
      </w:r>
      <w:r w:rsidR="0031570C">
        <w:rPr>
          <w:color w:val="000000"/>
        </w:rPr>
        <w:t xml:space="preserve"> (representative shot)</w:t>
      </w:r>
    </w:p>
    <w:p w14:paraId="0D5B6D1F" w14:textId="5EFE4635" w:rsidR="00EB2BED" w:rsidRDefault="00EB2BED" w:rsidP="00EB2BE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0A3ACB">
        <w:rPr>
          <w:color w:val="000000"/>
        </w:rPr>
        <w:t xml:space="preserve">placing </w:t>
      </w:r>
      <w:r>
        <w:rPr>
          <w:color w:val="000000"/>
        </w:rPr>
        <w:t xml:space="preserve">the culture flask </w:t>
      </w:r>
      <w:r w:rsidR="000D4669">
        <w:rPr>
          <w:color w:val="000000"/>
        </w:rPr>
        <w:t>in</w:t>
      </w:r>
      <w:r>
        <w:rPr>
          <w:color w:val="000000"/>
        </w:rPr>
        <w:t>to the 37 degrees Celsius incubator.</w:t>
      </w:r>
      <w:r w:rsidR="000A3ACB">
        <w:rPr>
          <w:color w:val="000000"/>
        </w:rPr>
        <w:t xml:space="preserve"> </w:t>
      </w:r>
      <w:r w:rsidR="000A3ACB" w:rsidRPr="004074BF">
        <w:rPr>
          <w:b/>
          <w:bCs/>
          <w:color w:val="000000"/>
        </w:rPr>
        <w:t xml:space="preserve">TXT- See text protocol for </w:t>
      </w:r>
      <w:r w:rsidR="004074BF" w:rsidRPr="004074BF">
        <w:rPr>
          <w:b/>
          <w:bCs/>
          <w:color w:val="000000"/>
        </w:rPr>
        <w:t>cell confluence and passage number details</w:t>
      </w:r>
    </w:p>
    <w:p w14:paraId="7605F9E4" w14:textId="7FEF65B9" w:rsidR="00C34F4C" w:rsidRDefault="00C34F4C" w:rsidP="00EB2BED">
      <w:pPr>
        <w:spacing w:before="120"/>
        <w:ind w:left="907"/>
        <w:rPr>
          <w:rFonts w:cstheme="minorHAnsi"/>
        </w:rPr>
      </w:pPr>
    </w:p>
    <w:p w14:paraId="06BEB6B0" w14:textId="5E61F9D1" w:rsidR="00B73A90" w:rsidRPr="00B73A90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Seed </w:t>
      </w:r>
      <w:r w:rsidR="00B73A90">
        <w:rPr>
          <w:color w:val="7030A0"/>
        </w:rPr>
        <w:t xml:space="preserve">two hundred </w:t>
      </w:r>
      <w:r w:rsidR="006B1EBD">
        <w:rPr>
          <w:color w:val="7030A0"/>
        </w:rPr>
        <w:t xml:space="preserve">thousand </w:t>
      </w:r>
      <w:commentRangeStart w:id="4"/>
      <w:r w:rsidR="006B1EBD">
        <w:rPr>
          <w:color w:val="7030A0"/>
        </w:rPr>
        <w:t xml:space="preserve">transfected </w:t>
      </w:r>
      <w:r>
        <w:rPr>
          <w:color w:val="7030A0"/>
        </w:rPr>
        <w:t xml:space="preserve">BxPC-3 cells </w:t>
      </w:r>
      <w:commentRangeEnd w:id="4"/>
      <w:r w:rsidR="006B1EBD">
        <w:rPr>
          <w:rStyle w:val="CommentReference"/>
          <w:color w:val="7030A0"/>
          <w:sz w:val="24"/>
          <w:szCs w:val="24"/>
        </w:rPr>
        <w:commentReference w:id="4"/>
      </w:r>
      <w:r>
        <w:rPr>
          <w:color w:val="7030A0"/>
        </w:rPr>
        <w:t xml:space="preserve">per well in 6-well plates with 2 milliliters of complete medium </w:t>
      </w:r>
      <w:r w:rsidR="00B73A90" w:rsidRPr="00B73A90">
        <w:rPr>
          <w:b/>
          <w:bCs/>
          <w:color w:val="7030A0"/>
        </w:rPr>
        <w:t xml:space="preserve">[1] </w:t>
      </w:r>
      <w:r>
        <w:rPr>
          <w:color w:val="7030A0"/>
        </w:rPr>
        <w:t>and incubate for 12 to 16 hours</w:t>
      </w:r>
      <w:r w:rsidR="006B1EBD">
        <w:rPr>
          <w:color w:val="7030A0"/>
        </w:rPr>
        <w:t xml:space="preserve"> under standard conditions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B73A9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02A3DE76" w14:textId="77777777" w:rsidR="00B73A90" w:rsidRPr="00B73A90" w:rsidRDefault="00B73A90" w:rsidP="00B73A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BxPC-3 cells into the wells of a 6-well plate containing complete medium.</w:t>
      </w:r>
    </w:p>
    <w:p w14:paraId="4D3FEAD5" w14:textId="10B36F1D" w:rsidR="00B73A90" w:rsidRDefault="00B73A90" w:rsidP="00B73A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culture plate </w:t>
      </w:r>
      <w:r w:rsidR="000D4669">
        <w:rPr>
          <w:color w:val="000000"/>
        </w:rPr>
        <w:t>into</w:t>
      </w:r>
      <w:r>
        <w:rPr>
          <w:color w:val="000000"/>
        </w:rPr>
        <w:t xml:space="preserve"> the 37 degrees Celsius incubator.</w:t>
      </w:r>
    </w:p>
    <w:p w14:paraId="229D2BBE" w14:textId="77777777" w:rsidR="00B73A90" w:rsidRPr="00B73A90" w:rsidRDefault="00B73A90" w:rsidP="00B73A9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C71E30E" w14:textId="77777777" w:rsidR="00B73A90" w:rsidRPr="00B73A90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Prepare vehicle, gemcitabine, CSE </w:t>
      </w:r>
      <w:r>
        <w:rPr>
          <w:i/>
          <w:color w:val="EE0000"/>
        </w:rPr>
        <w:t>(c‑s‑e)</w:t>
      </w:r>
      <w:r>
        <w:rPr>
          <w:color w:val="7030A0"/>
        </w:rPr>
        <w:t xml:space="preserve">, and gemcitabine plus CSE treatment media, using 6.5 micromolar gemcitabine and 666.78 micrograms per milliliter CSE while keeping dimethyl sulfoxide below 0.1% volume per volume </w:t>
      </w:r>
      <w:r>
        <w:rPr>
          <w:b/>
          <w:color w:val="7030A0"/>
        </w:rPr>
        <w:t>[</w:t>
      </w:r>
      <w:r w:rsidR="00B73A9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6F5542D9" w14:textId="51FC1217" w:rsidR="00B73A90" w:rsidRDefault="00B73A90" w:rsidP="00B73A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preparing the </w:t>
      </w:r>
      <w:r w:rsidR="00D7203B">
        <w:rPr>
          <w:color w:val="000000"/>
        </w:rPr>
        <w:t>four-treatment</w:t>
      </w:r>
      <w:r>
        <w:rPr>
          <w:color w:val="000000"/>
        </w:rPr>
        <w:t xml:space="preserve"> media at the specified final concentrations.</w:t>
      </w:r>
    </w:p>
    <w:p w14:paraId="57478F67" w14:textId="77777777" w:rsidR="00B73A90" w:rsidRPr="00B73A90" w:rsidRDefault="00B73A90" w:rsidP="00B73A9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49E5DEAE" w14:textId="06CCA4AC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Replace the medium</w:t>
      </w:r>
      <w:r w:rsidR="00B73A90">
        <w:rPr>
          <w:color w:val="7030A0"/>
        </w:rPr>
        <w:t xml:space="preserve"> in the 6-well plates</w:t>
      </w:r>
      <w:r>
        <w:rPr>
          <w:color w:val="7030A0"/>
        </w:rPr>
        <w:t xml:space="preserve"> with 2 milliliters of the appropriate treatment medium</w:t>
      </w:r>
      <w:r w:rsidR="003C5C5F">
        <w:rPr>
          <w:color w:val="7030A0"/>
        </w:rPr>
        <w:t>, then</w:t>
      </w:r>
      <w:r>
        <w:rPr>
          <w:color w:val="7030A0"/>
        </w:rPr>
        <w:t xml:space="preserve"> incubate for 24, 48, or 72 hours, according to the experimental design </w:t>
      </w:r>
      <w:r>
        <w:rPr>
          <w:b/>
          <w:color w:val="7030A0"/>
        </w:rPr>
        <w:t>[</w:t>
      </w:r>
      <w:r w:rsidR="00B73A9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485B264" w14:textId="64E1B9C0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replacing the culture medium</w:t>
      </w:r>
      <w:r w:rsidR="00CB0EAC">
        <w:rPr>
          <w:color w:val="000000"/>
        </w:rPr>
        <w:t xml:space="preserve"> in the 6-well plate</w:t>
      </w:r>
      <w:r>
        <w:rPr>
          <w:color w:val="000000"/>
        </w:rPr>
        <w:t xml:space="preserve"> with the appropriate treatment medium before incubation.</w:t>
      </w:r>
      <w:r w:rsidR="00D7203B">
        <w:rPr>
          <w:color w:val="000000"/>
        </w:rPr>
        <w:t xml:space="preserve"> (representative shot)</w:t>
      </w:r>
    </w:p>
    <w:p w14:paraId="08196678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36A5CD" w14:textId="532291E4" w:rsidR="000D4669" w:rsidRPr="00816A1A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At each sampling time point, collect the cells by trypsinization</w:t>
      </w:r>
      <w:r w:rsidR="000D4669">
        <w:rPr>
          <w:color w:val="7030A0"/>
        </w:rPr>
        <w:t xml:space="preserve"> </w:t>
      </w:r>
      <w:r w:rsidR="000D4669" w:rsidRPr="000D4669">
        <w:rPr>
          <w:b/>
          <w:bCs/>
          <w:color w:val="7030A0"/>
        </w:rPr>
        <w:t>[1]</w:t>
      </w:r>
      <w:r>
        <w:rPr>
          <w:color w:val="7030A0"/>
        </w:rPr>
        <w:t xml:space="preserve">, centrifuge the suspension at 900 </w:t>
      </w:r>
      <w:r w:rsidR="00B353F0">
        <w:rPr>
          <w:color w:val="7030A0"/>
        </w:rPr>
        <w:t xml:space="preserve">revolutions per minute </w:t>
      </w:r>
      <w:r>
        <w:rPr>
          <w:color w:val="7030A0"/>
        </w:rPr>
        <w:t>for 5 minutes</w:t>
      </w:r>
      <w:r w:rsidR="000D4669">
        <w:rPr>
          <w:color w:val="7030A0"/>
        </w:rPr>
        <w:t xml:space="preserve"> </w:t>
      </w:r>
      <w:r w:rsidR="000D4669" w:rsidRPr="000D4669">
        <w:rPr>
          <w:b/>
          <w:bCs/>
          <w:color w:val="7030A0"/>
        </w:rPr>
        <w:t>[2]</w:t>
      </w:r>
      <w:r>
        <w:rPr>
          <w:color w:val="7030A0"/>
        </w:rPr>
        <w:t xml:space="preserve">, and store the pellets at minus 20 degrees Celsius </w:t>
      </w:r>
      <w:r w:rsidR="000D4669">
        <w:rPr>
          <w:color w:val="7030A0"/>
        </w:rPr>
        <w:t>after discarding the supernatant</w:t>
      </w:r>
      <w:r w:rsidR="00051C1A">
        <w:rPr>
          <w:color w:val="7030A0"/>
        </w:rPr>
        <w:t>, until further use</w:t>
      </w:r>
      <w:r w:rsidR="000D4669"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0D4669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1EBBB633" w14:textId="1B9EDD70" w:rsidR="00D7203B" w:rsidRPr="00D7203B" w:rsidRDefault="00816A1A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D7203B">
        <w:rPr>
          <w:color w:val="000000"/>
        </w:rPr>
        <w:t xml:space="preserve">collecting trypsinized </w:t>
      </w:r>
      <w:r>
        <w:rPr>
          <w:color w:val="000000"/>
        </w:rPr>
        <w:t xml:space="preserve">cells in </w:t>
      </w:r>
      <w:commentRangeStart w:id="5"/>
      <w:r>
        <w:rPr>
          <w:color w:val="000000"/>
        </w:rPr>
        <w:t>a tube</w:t>
      </w:r>
      <w:commentRangeEnd w:id="5"/>
      <w:r w:rsidR="00D7203B">
        <w:rPr>
          <w:rStyle w:val="CommentReference"/>
          <w:color w:val="000000"/>
          <w:sz w:val="24"/>
          <w:szCs w:val="24"/>
        </w:rPr>
        <w:commentReference w:id="5"/>
      </w:r>
      <w:r w:rsidR="00D7203B">
        <w:rPr>
          <w:color w:val="000000"/>
        </w:rPr>
        <w:t xml:space="preserve">. </w:t>
      </w:r>
    </w:p>
    <w:p w14:paraId="76C53B98" w14:textId="58937CA2" w:rsidR="00D7203B" w:rsidRPr="00D7203B" w:rsidRDefault="00D7203B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tube containing cell suspension in the centrifuge.</w:t>
      </w:r>
      <w:r w:rsidR="00816A1A">
        <w:rPr>
          <w:color w:val="000000"/>
        </w:rPr>
        <w:t xml:space="preserve"> </w:t>
      </w:r>
    </w:p>
    <w:p w14:paraId="653A5E3A" w14:textId="37FB6C58" w:rsidR="00816A1A" w:rsidRDefault="00D7203B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816A1A">
        <w:rPr>
          <w:color w:val="000000"/>
        </w:rPr>
        <w:t>placing the cell pellet at minus 20 degrees Celsius</w:t>
      </w:r>
      <w:r>
        <w:rPr>
          <w:color w:val="000000"/>
        </w:rPr>
        <w:t xml:space="preserve"> after discarding the supernatant.</w:t>
      </w:r>
    </w:p>
    <w:p w14:paraId="4641CBF5" w14:textId="77777777" w:rsidR="00816A1A" w:rsidRPr="000D4669" w:rsidRDefault="00816A1A" w:rsidP="00816A1A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88632A9" w14:textId="2D43B328" w:rsidR="000D4669" w:rsidRPr="00816A1A" w:rsidRDefault="00051C1A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To prepare cellular extracts, r</w:t>
      </w:r>
      <w:r w:rsidR="00FF6490">
        <w:rPr>
          <w:color w:val="7030A0"/>
        </w:rPr>
        <w:t xml:space="preserve">esuspend </w:t>
      </w:r>
      <w:r w:rsidR="00F255A2">
        <w:rPr>
          <w:color w:val="7030A0"/>
        </w:rPr>
        <w:t xml:space="preserve">each </w:t>
      </w:r>
      <w:r w:rsidR="00F60150">
        <w:rPr>
          <w:color w:val="7030A0"/>
        </w:rPr>
        <w:t xml:space="preserve">frozen </w:t>
      </w:r>
      <w:r w:rsidR="00F255A2">
        <w:rPr>
          <w:color w:val="7030A0"/>
        </w:rPr>
        <w:t>pellet in 100 microliters of ultrapure water</w:t>
      </w:r>
      <w:r w:rsidR="00FF6490">
        <w:rPr>
          <w:color w:val="7030A0"/>
        </w:rPr>
        <w:t xml:space="preserve"> </w:t>
      </w:r>
      <w:r w:rsidR="00FF6490" w:rsidRPr="00FF6490">
        <w:rPr>
          <w:b/>
          <w:bCs/>
          <w:color w:val="7030A0"/>
        </w:rPr>
        <w:t>[1]</w:t>
      </w:r>
      <w:r w:rsidR="00F255A2">
        <w:rPr>
          <w:color w:val="7030A0"/>
        </w:rPr>
        <w:t xml:space="preserve"> </w:t>
      </w:r>
      <w:r w:rsidR="00FF6490">
        <w:rPr>
          <w:color w:val="7030A0"/>
        </w:rPr>
        <w:t>and lyse them by</w:t>
      </w:r>
      <w:r w:rsidR="000D4669">
        <w:rPr>
          <w:color w:val="7030A0"/>
        </w:rPr>
        <w:t xml:space="preserve"> performing</w:t>
      </w:r>
      <w:r w:rsidR="00F255A2">
        <w:rPr>
          <w:color w:val="7030A0"/>
        </w:rPr>
        <w:t xml:space="preserve"> seven freeze-thaw cycles using liquid nitrogen and room temperature</w:t>
      </w:r>
      <w:r w:rsidR="000D4669">
        <w:rPr>
          <w:color w:val="7030A0"/>
        </w:rPr>
        <w:t xml:space="preserve"> </w:t>
      </w:r>
      <w:r w:rsidR="000D4669" w:rsidRPr="000D4669">
        <w:rPr>
          <w:b/>
          <w:bCs/>
          <w:color w:val="7030A0"/>
        </w:rPr>
        <w:t>[</w:t>
      </w:r>
      <w:r w:rsidR="00FF6490">
        <w:rPr>
          <w:b/>
          <w:bCs/>
          <w:color w:val="7030A0"/>
        </w:rPr>
        <w:t>2</w:t>
      </w:r>
      <w:r w:rsidR="000D4669" w:rsidRPr="000D4669">
        <w:rPr>
          <w:b/>
          <w:bCs/>
          <w:color w:val="7030A0"/>
        </w:rPr>
        <w:t>]</w:t>
      </w:r>
      <w:r w:rsidR="00F255A2">
        <w:rPr>
          <w:color w:val="7030A0"/>
        </w:rPr>
        <w:t xml:space="preserve">. </w:t>
      </w:r>
    </w:p>
    <w:p w14:paraId="15207612" w14:textId="7958C9D9" w:rsidR="00FF6490" w:rsidRPr="00FF6490" w:rsidRDefault="00FF6490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816A1A">
        <w:rPr>
          <w:color w:val="000000"/>
        </w:rPr>
        <w:t xml:space="preserve">: </w:t>
      </w:r>
      <w:r>
        <w:rPr>
          <w:color w:val="000000"/>
        </w:rPr>
        <w:t>Talent resuspending the cell pellet in 100 microliters of ultrapure water.</w:t>
      </w:r>
    </w:p>
    <w:p w14:paraId="5AB0ECE3" w14:textId="08853590" w:rsidR="00816A1A" w:rsidRDefault="00FF6490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816A1A">
        <w:rPr>
          <w:color w:val="000000"/>
        </w:rPr>
        <w:t>Talent alternating the sample between liquid nitrogen and room-temperature</w:t>
      </w:r>
      <w:r>
        <w:rPr>
          <w:color w:val="000000"/>
        </w:rPr>
        <w:t xml:space="preserve"> to lyse the cells</w:t>
      </w:r>
      <w:r w:rsidR="00816A1A">
        <w:rPr>
          <w:color w:val="000000"/>
        </w:rPr>
        <w:t>.</w:t>
      </w:r>
    </w:p>
    <w:p w14:paraId="46F5B1C0" w14:textId="77777777" w:rsidR="00816A1A" w:rsidRPr="000D4669" w:rsidRDefault="00816A1A" w:rsidP="00816A1A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7A248A21" w14:textId="6BB4224F" w:rsidR="000D4669" w:rsidRPr="00816A1A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Then centrifuge at 14,000 revolutions per minute for 10 minutes at 4 degrees Celsius </w:t>
      </w:r>
      <w:r w:rsidR="00FF6490" w:rsidRPr="00FF6490"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collect the supernatant </w:t>
      </w:r>
      <w:r>
        <w:rPr>
          <w:b/>
          <w:color w:val="7030A0"/>
        </w:rPr>
        <w:t>[</w:t>
      </w:r>
      <w:r w:rsidR="00FF649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761E135C" w14:textId="58BB0B1C" w:rsidR="00816A1A" w:rsidRPr="00FF6490" w:rsidRDefault="00816A1A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FF6490">
        <w:rPr>
          <w:color w:val="000000"/>
        </w:rPr>
        <w:t xml:space="preserve"> placing the </w:t>
      </w:r>
      <w:commentRangeStart w:id="6"/>
      <w:r w:rsidR="00FF6490">
        <w:rPr>
          <w:color w:val="000000"/>
        </w:rPr>
        <w:t xml:space="preserve">tube </w:t>
      </w:r>
      <w:commentRangeEnd w:id="6"/>
      <w:r w:rsidR="00FF6490">
        <w:rPr>
          <w:rStyle w:val="CommentReference"/>
          <w:color w:val="000000"/>
          <w:sz w:val="24"/>
          <w:szCs w:val="24"/>
        </w:rPr>
        <w:commentReference w:id="6"/>
      </w:r>
      <w:r w:rsidR="00FF6490">
        <w:rPr>
          <w:color w:val="000000"/>
        </w:rPr>
        <w:t>containing lysed cell pellet in the centrifuge</w:t>
      </w:r>
      <w:r>
        <w:rPr>
          <w:color w:val="000000"/>
        </w:rPr>
        <w:t>.</w:t>
      </w:r>
    </w:p>
    <w:p w14:paraId="0D626C9A" w14:textId="10BC91D7" w:rsidR="00FF6490" w:rsidRDefault="00FF6490" w:rsidP="00816A1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collecting the supernatant from the tubes after centrifugation.</w:t>
      </w:r>
    </w:p>
    <w:p w14:paraId="5A2C71FE" w14:textId="77777777" w:rsidR="00816A1A" w:rsidRPr="000D4669" w:rsidRDefault="00816A1A" w:rsidP="00816A1A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17CCFA7" w14:textId="71F13A4B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</w:t>
      </w:r>
      <w:commentRangeStart w:id="7"/>
      <w:r>
        <w:rPr>
          <w:color w:val="7030A0"/>
        </w:rPr>
        <w:t>10 volumes of acetonitrile to precipitate proteins</w:t>
      </w:r>
      <w:r w:rsidR="000D4669">
        <w:rPr>
          <w:color w:val="7030A0"/>
        </w:rPr>
        <w:t xml:space="preserve"> </w:t>
      </w:r>
      <w:commentRangeEnd w:id="7"/>
      <w:r w:rsidR="00856503" w:rsidRPr="000D4669">
        <w:rPr>
          <w:rStyle w:val="CommentReference"/>
          <w:b/>
          <w:bCs/>
          <w:color w:val="7030A0"/>
          <w:sz w:val="24"/>
          <w:szCs w:val="24"/>
        </w:rPr>
        <w:commentReference w:id="7"/>
      </w:r>
      <w:r w:rsidR="000D4669" w:rsidRPr="000D4669">
        <w:rPr>
          <w:b/>
          <w:bCs/>
          <w:color w:val="7030A0"/>
        </w:rPr>
        <w:t>[1]</w:t>
      </w:r>
      <w:r>
        <w:rPr>
          <w:color w:val="7030A0"/>
        </w:rPr>
        <w:t xml:space="preserve">, then evaporate the extract to near dryness under nitrogen at 30 degrees Celsius </w:t>
      </w:r>
      <w:r>
        <w:rPr>
          <w:b/>
          <w:color w:val="7030A0"/>
        </w:rPr>
        <w:t>[</w:t>
      </w:r>
      <w:r w:rsidR="000D4669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18525E0" w14:textId="627D3512" w:rsidR="00FF6490" w:rsidRPr="00FF6490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acetonitrile to the supernatant</w:t>
      </w:r>
      <w:r w:rsidR="00FF6490">
        <w:rPr>
          <w:color w:val="000000"/>
        </w:rPr>
        <w:t xml:space="preserve"> to precipitate proteins.</w:t>
      </w:r>
      <w:r>
        <w:rPr>
          <w:color w:val="000000"/>
        </w:rPr>
        <w:t xml:space="preserve"> </w:t>
      </w:r>
    </w:p>
    <w:p w14:paraId="4116AF3D" w14:textId="10C3319D" w:rsidR="00F255A2" w:rsidRDefault="00FF6490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F255A2">
        <w:rPr>
          <w:color w:val="000000"/>
        </w:rPr>
        <w:t xml:space="preserve"> placing the extract under nitrogen for </w:t>
      </w:r>
      <w:r w:rsidR="00E64911">
        <w:rPr>
          <w:color w:val="000000"/>
        </w:rPr>
        <w:t xml:space="preserve">solvent </w:t>
      </w:r>
      <w:r w:rsidR="00F255A2">
        <w:rPr>
          <w:color w:val="000000"/>
        </w:rPr>
        <w:t>evaporation.</w:t>
      </w:r>
    </w:p>
    <w:p w14:paraId="1E4D8BE8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AF1999" w14:textId="020532E2" w:rsidR="00D80912" w:rsidRPr="00D8091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Install an Ultimate XB-C18 </w:t>
      </w:r>
      <w:r w:rsidR="003A1596" w:rsidRPr="003A1596">
        <w:rPr>
          <w:i/>
          <w:iCs/>
          <w:color w:val="EE0000"/>
        </w:rPr>
        <w:t>(x-b-c eighteen)</w:t>
      </w:r>
      <w:r w:rsidR="003A1596" w:rsidRPr="003A1596">
        <w:rPr>
          <w:color w:val="EE0000"/>
        </w:rPr>
        <w:t xml:space="preserve"> </w:t>
      </w:r>
      <w:r>
        <w:rPr>
          <w:color w:val="7030A0"/>
        </w:rPr>
        <w:t xml:space="preserve">column measuring 2.1 by 100 millimeters with a 1.8-micrometer particle </w:t>
      </w:r>
      <w:r w:rsidR="00D80912">
        <w:rPr>
          <w:color w:val="7030A0"/>
        </w:rPr>
        <w:t xml:space="preserve">size </w:t>
      </w:r>
      <w:r w:rsidR="0058375F">
        <w:rPr>
          <w:color w:val="7030A0"/>
        </w:rPr>
        <w:t>while</w:t>
      </w:r>
      <w:r>
        <w:rPr>
          <w:color w:val="7030A0"/>
        </w:rPr>
        <w:t xml:space="preserve"> maintain</w:t>
      </w:r>
      <w:r w:rsidR="0058375F">
        <w:rPr>
          <w:color w:val="7030A0"/>
        </w:rPr>
        <w:t>ing</w:t>
      </w:r>
      <w:r>
        <w:rPr>
          <w:color w:val="7030A0"/>
        </w:rPr>
        <w:t xml:space="preserve"> it at 30 degrees Celsius</w:t>
      </w:r>
      <w:r w:rsidR="00D80912">
        <w:rPr>
          <w:color w:val="7030A0"/>
        </w:rPr>
        <w:t xml:space="preserve"> </w:t>
      </w:r>
      <w:r w:rsidR="00D80912" w:rsidRPr="00D80912"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6A5D6541" w14:textId="6BF34AA8" w:rsidR="00D80912" w:rsidRDefault="00D80912" w:rsidP="00D8091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856503">
        <w:rPr>
          <w:color w:val="000000"/>
        </w:rPr>
        <w:t xml:space="preserve">Talent </w:t>
      </w:r>
      <w:r w:rsidR="003A1596">
        <w:rPr>
          <w:color w:val="000000"/>
        </w:rPr>
        <w:t>attaching a specific C18 column to the LC-MS</w:t>
      </w:r>
      <w:r w:rsidR="0058375F">
        <w:rPr>
          <w:color w:val="000000"/>
        </w:rPr>
        <w:t>/MS</w:t>
      </w:r>
      <w:r w:rsidR="009A094B">
        <w:rPr>
          <w:color w:val="000000"/>
        </w:rPr>
        <w:t xml:space="preserve"> system</w:t>
      </w:r>
      <w:r w:rsidR="003A1596">
        <w:rPr>
          <w:color w:val="000000"/>
        </w:rPr>
        <w:t>.</w:t>
      </w:r>
    </w:p>
    <w:p w14:paraId="6EAAA63F" w14:textId="77777777" w:rsidR="00D80912" w:rsidRPr="00D80912" w:rsidRDefault="00D80912" w:rsidP="00D8091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FFD0778" w14:textId="30ADB9BE" w:rsidR="00F255A2" w:rsidRPr="00D80912" w:rsidRDefault="00F255A2" w:rsidP="00D8091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Use acetonitrile as mobile phase A and 1 millimolar ammonium acetate at pH 6.8 as mobile phase B, with a flow rate of 0.3 milliliters per minute and a 1-microliter injection volume </w:t>
      </w:r>
      <w:r>
        <w:rPr>
          <w:b/>
          <w:color w:val="7030A0"/>
        </w:rPr>
        <w:t>[</w:t>
      </w:r>
      <w:r w:rsidR="00D80912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  <w:r w:rsidR="00D80912" w:rsidRPr="00D80912">
        <w:rPr>
          <w:color w:val="7030A0"/>
        </w:rPr>
        <w:t>Program the mobile-phase gradient according to the parameters specified in the text protocol</w:t>
      </w:r>
      <w:r w:rsidRPr="00D80912">
        <w:rPr>
          <w:color w:val="7030A0"/>
        </w:rPr>
        <w:t xml:space="preserve"> </w:t>
      </w:r>
      <w:r w:rsidRPr="00D80912">
        <w:rPr>
          <w:b/>
          <w:color w:val="7030A0"/>
        </w:rPr>
        <w:t>[</w:t>
      </w:r>
      <w:r w:rsidR="00D80912">
        <w:rPr>
          <w:b/>
          <w:color w:val="7030A0"/>
        </w:rPr>
        <w:t>2-TXT</w:t>
      </w:r>
      <w:r w:rsidRPr="00D80912">
        <w:rPr>
          <w:b/>
          <w:color w:val="7030A0"/>
        </w:rPr>
        <w:t>]</w:t>
      </w:r>
      <w:r w:rsidRPr="00D80912">
        <w:rPr>
          <w:color w:val="7030A0"/>
        </w:rPr>
        <w:t>.</w:t>
      </w:r>
    </w:p>
    <w:p w14:paraId="4914454F" w14:textId="4CDF1354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A1596">
        <w:rPr>
          <w:color w:val="000000"/>
        </w:rPr>
        <w:t xml:space="preserve">Talent preparing the </w:t>
      </w:r>
      <w:r>
        <w:rPr>
          <w:color w:val="000000"/>
        </w:rPr>
        <w:t xml:space="preserve">mobile phases A and B </w:t>
      </w:r>
      <w:r w:rsidR="003A1596">
        <w:rPr>
          <w:color w:val="000000"/>
        </w:rPr>
        <w:t>for</w:t>
      </w:r>
      <w:r>
        <w:rPr>
          <w:color w:val="000000"/>
        </w:rPr>
        <w:t xml:space="preserve"> the LC-MS/MS system.</w:t>
      </w:r>
    </w:p>
    <w:p w14:paraId="29B3C2D0" w14:textId="06320181" w:rsidR="00F255A2" w:rsidRPr="0023551C" w:rsidRDefault="0027158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1582">
        <w:rPr>
          <w:color w:val="000000"/>
          <w:highlight w:val="yellow"/>
        </w:rPr>
        <w:t>SCREEN</w:t>
      </w:r>
      <w:r w:rsidR="0023551C">
        <w:rPr>
          <w:color w:val="000000"/>
        </w:rPr>
        <w:t xml:space="preserve">: </w:t>
      </w:r>
      <w:r w:rsidR="00D819BA">
        <w:rPr>
          <w:color w:val="000000"/>
        </w:rPr>
        <w:t xml:space="preserve">The </w:t>
      </w:r>
      <w:r w:rsidR="00F255A2">
        <w:rPr>
          <w:color w:val="000000"/>
        </w:rPr>
        <w:t>gradient program</w:t>
      </w:r>
      <w:r w:rsidR="00D819BA">
        <w:rPr>
          <w:color w:val="000000"/>
        </w:rPr>
        <w:t xml:space="preserve"> being entered</w:t>
      </w:r>
      <w:r w:rsidR="00F255A2">
        <w:rPr>
          <w:color w:val="000000"/>
        </w:rPr>
        <w:t>,</w:t>
      </w:r>
      <w:r w:rsidR="00D819BA">
        <w:rPr>
          <w:color w:val="000000"/>
        </w:rPr>
        <w:t xml:space="preserve"> along with</w:t>
      </w:r>
      <w:r w:rsidR="00F255A2">
        <w:rPr>
          <w:color w:val="000000"/>
        </w:rPr>
        <w:t xml:space="preserve"> flow rate, column temperature, and injection volume in the instrument software</w:t>
      </w:r>
      <w:r w:rsidR="00F255A2" w:rsidRPr="00132945">
        <w:rPr>
          <w:b/>
          <w:bCs/>
          <w:color w:val="000000"/>
        </w:rPr>
        <w:t>.</w:t>
      </w:r>
      <w:r w:rsidR="003A6D9E" w:rsidRPr="00132945">
        <w:rPr>
          <w:b/>
          <w:bCs/>
          <w:color w:val="000000"/>
        </w:rPr>
        <w:t xml:space="preserve"> TXT- See text protocol f</w:t>
      </w:r>
      <w:r>
        <w:rPr>
          <w:b/>
          <w:bCs/>
          <w:color w:val="000000"/>
        </w:rPr>
        <w:t>or</w:t>
      </w:r>
      <w:r w:rsidR="003A6D9E" w:rsidRPr="00132945">
        <w:rPr>
          <w:b/>
          <w:bCs/>
          <w:color w:val="000000"/>
        </w:rPr>
        <w:t xml:space="preserve"> gradient</w:t>
      </w:r>
      <w:r w:rsidR="009A094B" w:rsidRPr="00132945">
        <w:rPr>
          <w:b/>
          <w:bCs/>
          <w:color w:val="000000"/>
        </w:rPr>
        <w:t xml:space="preserve"> program</w:t>
      </w:r>
      <w:r w:rsidR="003A6D9E" w:rsidRPr="00132945">
        <w:rPr>
          <w:b/>
          <w:bCs/>
          <w:color w:val="000000"/>
        </w:rPr>
        <w:t xml:space="preserve"> detail</w:t>
      </w:r>
      <w:r w:rsidR="000C7BC7">
        <w:rPr>
          <w:color w:val="000000"/>
        </w:rPr>
        <w:t>s</w:t>
      </w:r>
    </w:p>
    <w:p w14:paraId="0A2D894D" w14:textId="77777777" w:rsidR="0023551C" w:rsidRPr="00110EA0" w:rsidRDefault="0023551C" w:rsidP="0023551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7027D789" w14:textId="0B9032A4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Operate the mass spectrometer in positive electrospray ionization mode and acquire data in multiple reaction monitoring mode </w:t>
      </w:r>
      <w:r>
        <w:rPr>
          <w:b/>
          <w:color w:val="7030A0"/>
        </w:rPr>
        <w:t>[1]</w:t>
      </w:r>
      <w:r>
        <w:rPr>
          <w:color w:val="7030A0"/>
        </w:rPr>
        <w:t>.</w:t>
      </w:r>
      <w:r w:rsidR="00D80912">
        <w:rPr>
          <w:color w:val="7030A0"/>
        </w:rPr>
        <w:t xml:space="preserve"> </w:t>
      </w:r>
      <w:r w:rsidR="00D80912" w:rsidRPr="00D80912">
        <w:rPr>
          <w:color w:val="7030A0"/>
        </w:rPr>
        <w:t>Configure the LC–MS/MS</w:t>
      </w:r>
      <w:r w:rsidR="00BA2292">
        <w:rPr>
          <w:color w:val="7030A0"/>
        </w:rPr>
        <w:t xml:space="preserve"> </w:t>
      </w:r>
      <w:r w:rsidR="00BA2292" w:rsidRPr="003A1596">
        <w:rPr>
          <w:i/>
          <w:iCs/>
          <w:color w:val="EE0000"/>
        </w:rPr>
        <w:t>(</w:t>
      </w:r>
      <w:r w:rsidR="00BA2292">
        <w:rPr>
          <w:i/>
          <w:iCs/>
          <w:color w:val="EE0000"/>
        </w:rPr>
        <w:t>l-c m-s m-s</w:t>
      </w:r>
      <w:r w:rsidR="00BA2292" w:rsidRPr="003A1596">
        <w:rPr>
          <w:i/>
          <w:iCs/>
          <w:color w:val="EE0000"/>
        </w:rPr>
        <w:t>)</w:t>
      </w:r>
      <w:r w:rsidR="00BA2292" w:rsidRPr="003A1596">
        <w:rPr>
          <w:color w:val="EE0000"/>
        </w:rPr>
        <w:t xml:space="preserve"> </w:t>
      </w:r>
      <w:r w:rsidR="00D80912" w:rsidRPr="00D80912">
        <w:rPr>
          <w:color w:val="7030A0"/>
        </w:rPr>
        <w:t xml:space="preserve"> method</w:t>
      </w:r>
      <w:r w:rsidR="00BA2292">
        <w:rPr>
          <w:color w:val="7030A0"/>
        </w:rPr>
        <w:t xml:space="preserve"> </w:t>
      </w:r>
      <w:r w:rsidR="00BA2292" w:rsidRPr="00BA2292">
        <w:rPr>
          <w:b/>
          <w:bCs/>
          <w:color w:val="7030A0"/>
        </w:rPr>
        <w:t>[2]</w:t>
      </w:r>
      <w:r w:rsidR="00D80912" w:rsidRPr="00D80912">
        <w:rPr>
          <w:color w:val="7030A0"/>
        </w:rPr>
        <w:t>, prepare the calibration and quality-control samples</w:t>
      </w:r>
      <w:r w:rsidR="00BA2292">
        <w:rPr>
          <w:color w:val="7030A0"/>
        </w:rPr>
        <w:t xml:space="preserve"> </w:t>
      </w:r>
      <w:r w:rsidR="00BA2292" w:rsidRPr="00BA2292">
        <w:rPr>
          <w:b/>
          <w:bCs/>
          <w:color w:val="7030A0"/>
        </w:rPr>
        <w:t>[3]</w:t>
      </w:r>
      <w:r w:rsidR="00D80912" w:rsidRPr="00D80912">
        <w:rPr>
          <w:color w:val="7030A0"/>
        </w:rPr>
        <w:t>, and perform method validation as described in the text protocol</w:t>
      </w:r>
      <w:r w:rsidR="00D80912">
        <w:rPr>
          <w:color w:val="7030A0"/>
        </w:rPr>
        <w:t xml:space="preserve"> </w:t>
      </w:r>
      <w:r w:rsidR="00D80912" w:rsidRPr="00D80912">
        <w:rPr>
          <w:b/>
          <w:bCs/>
          <w:color w:val="7030A0"/>
        </w:rPr>
        <w:t>[</w:t>
      </w:r>
      <w:r w:rsidR="00BA2292">
        <w:rPr>
          <w:b/>
          <w:bCs/>
          <w:color w:val="7030A0"/>
        </w:rPr>
        <w:t>4</w:t>
      </w:r>
      <w:r w:rsidR="00D80912" w:rsidRPr="00D80912">
        <w:rPr>
          <w:b/>
          <w:bCs/>
          <w:color w:val="7030A0"/>
        </w:rPr>
        <w:t>]</w:t>
      </w:r>
      <w:r w:rsidR="00D80912">
        <w:rPr>
          <w:b/>
          <w:bCs/>
          <w:color w:val="7030A0"/>
        </w:rPr>
        <w:t>.</w:t>
      </w:r>
    </w:p>
    <w:p w14:paraId="43848CA5" w14:textId="5C31815B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1582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31655">
        <w:rPr>
          <w:color w:val="000000"/>
        </w:rPr>
        <w:t>Positive</w:t>
      </w:r>
      <w:r>
        <w:rPr>
          <w:color w:val="000000"/>
        </w:rPr>
        <w:t xml:space="preserve"> electrospray ionization and multiple reaction monitoring acquisition modes</w:t>
      </w:r>
      <w:r w:rsidR="00F31655">
        <w:rPr>
          <w:color w:val="000000"/>
        </w:rPr>
        <w:t xml:space="preserve"> being selected</w:t>
      </w:r>
      <w:r>
        <w:rPr>
          <w:color w:val="000000"/>
        </w:rPr>
        <w:t>.</w:t>
      </w:r>
    </w:p>
    <w:p w14:paraId="4F1462BE" w14:textId="5FAFDA9E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2292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31655">
        <w:rPr>
          <w:color w:val="000000"/>
        </w:rPr>
        <w:t>T</w:t>
      </w:r>
      <w:r>
        <w:rPr>
          <w:color w:val="000000"/>
        </w:rPr>
        <w:t xml:space="preserve">he analyte transitions and source settings </w:t>
      </w:r>
      <w:r w:rsidR="00F31655">
        <w:rPr>
          <w:color w:val="000000"/>
        </w:rPr>
        <w:t xml:space="preserve">being entered </w:t>
      </w:r>
      <w:r>
        <w:rPr>
          <w:color w:val="000000"/>
        </w:rPr>
        <w:t>in the mass spectrometry method.</w:t>
      </w:r>
    </w:p>
    <w:p w14:paraId="5C1CF3D4" w14:textId="0167983B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preparing the calibration standards and placing duplicate samples in the autosampler.</w:t>
      </w:r>
    </w:p>
    <w:p w14:paraId="5DC2FFEE" w14:textId="40AB1970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2292">
        <w:rPr>
          <w:color w:val="000000"/>
          <w:highlight w:val="yellow"/>
        </w:rPr>
        <w:lastRenderedPageBreak/>
        <w:t>SCREEN</w:t>
      </w:r>
      <w:r>
        <w:rPr>
          <w:color w:val="000000"/>
        </w:rPr>
        <w:t>: T</w:t>
      </w:r>
      <w:r w:rsidR="00F31655">
        <w:rPr>
          <w:color w:val="000000"/>
        </w:rPr>
        <w:t xml:space="preserve">he </w:t>
      </w:r>
      <w:r>
        <w:rPr>
          <w:color w:val="000000"/>
        </w:rPr>
        <w:t xml:space="preserve">assay validation outputs </w:t>
      </w:r>
      <w:r w:rsidR="00F31655">
        <w:rPr>
          <w:color w:val="000000"/>
        </w:rPr>
        <w:t xml:space="preserve">being reviewed </w:t>
      </w:r>
      <w:r>
        <w:rPr>
          <w:color w:val="000000"/>
        </w:rPr>
        <w:t>for selectivity, linearity, recovery, accuracy, precision, stability, and matrix effect.</w:t>
      </w:r>
    </w:p>
    <w:p w14:paraId="61B146FD" w14:textId="68FD32B9" w:rsidR="0023551C" w:rsidRPr="00F255A2" w:rsidRDefault="0023551C" w:rsidP="0023551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>
        <w:rPr>
          <w:rFonts w:cstheme="minorHAnsi"/>
          <w:b/>
        </w:rPr>
        <w:t xml:space="preserve"> </w:t>
      </w:r>
      <w:hyperlink r:id="rId23" w:history="1">
        <w:r w:rsidRPr="00144555">
          <w:rPr>
            <w:rStyle w:val="Hyperlink"/>
            <w:rFonts w:eastAsia="Times New Roman" w:cstheme="minorHAnsi"/>
            <w:b/>
          </w:rPr>
          <w:t>https://review.jove.com/files_upload.php?src=21745938</w:t>
        </w:r>
      </w:hyperlink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157733" w14:textId="77777777" w:rsidR="00F255A2" w:rsidRDefault="00F255A2" w:rsidP="00F255A2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Bioluminescence Imaging of Treatment Response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9316A3" w14:textId="77777777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With intracellular gemcitabine exposure quantified, next establish the complementary in vitro BLI </w:t>
      </w:r>
      <w:r>
        <w:rPr>
          <w:i/>
          <w:color w:val="EE0000"/>
        </w:rPr>
        <w:t>(b‑l‑i)</w:t>
      </w:r>
      <w:r>
        <w:rPr>
          <w:color w:val="7030A0"/>
        </w:rPr>
        <w:t xml:space="preserve"> workflow to visualize functional treatment responses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41D8419C" w14:textId="77777777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arranging BxPC-3-luc cells, a black 96-well plate, and the imaging materials for the BLI workflow.</w:t>
      </w:r>
    </w:p>
    <w:p w14:paraId="2059D8B6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DB8C32" w14:textId="677F8644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Seed </w:t>
      </w:r>
      <w:r w:rsidR="00A40A17">
        <w:rPr>
          <w:color w:val="7030A0"/>
        </w:rPr>
        <w:t>five thousand</w:t>
      </w:r>
      <w:r>
        <w:rPr>
          <w:color w:val="7030A0"/>
        </w:rPr>
        <w:t xml:space="preserve"> BxPC-3-luc cells per well in black 96-well plates with 100 microliters of complete medium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plate overnight at 37 degrees Celsius in 5% carbon dioxide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E9E17FB" w14:textId="77777777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BxPC-3-luc cells into the wells of a black 96-well plate.</w:t>
      </w:r>
    </w:p>
    <w:p w14:paraId="220ACC68" w14:textId="77777777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96-well plate in the 37 degrees Celsius incubator.</w:t>
      </w:r>
    </w:p>
    <w:p w14:paraId="13506B8E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37F992" w14:textId="77777777" w:rsidR="00A40A17" w:rsidRPr="00A40A17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Replace the medium with 100 microliters of treatment medium containing vehicle, gemcitabine, CSE, or gemcitabine plus CSE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cells for the planned treatment duration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782C6A8B" w14:textId="77777777" w:rsidR="00A40A17" w:rsidRDefault="00A40A17" w:rsidP="00A40A1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replacing the medium in the black 96-well plate with the appropriate treatment medium.</w:t>
      </w:r>
    </w:p>
    <w:p w14:paraId="5B0060C6" w14:textId="175A35BF" w:rsidR="00A40A17" w:rsidRDefault="00A40A17" w:rsidP="00A40A1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treated plate in the 37 degrees Celsius incubator for the planned duration.</w:t>
      </w:r>
    </w:p>
    <w:p w14:paraId="2F9B6989" w14:textId="77777777" w:rsidR="00A40A17" w:rsidRPr="00A40A17" w:rsidRDefault="00A40A17" w:rsidP="00A40A17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8E212D1" w14:textId="373B637D" w:rsidR="00A40A17" w:rsidRPr="00A40A17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luciferin to each well to a final concentration of 150 micrograms per </w:t>
      </w:r>
      <w:r w:rsidR="00A40A17">
        <w:rPr>
          <w:color w:val="7030A0"/>
        </w:rPr>
        <w:t xml:space="preserve">milliliter </w:t>
      </w:r>
      <w:r w:rsidR="00A40A17">
        <w:rPr>
          <w:b/>
          <w:color w:val="7030A0"/>
        </w:rPr>
        <w:t>[1]</w:t>
      </w:r>
      <w:r w:rsidR="00A40A17">
        <w:rPr>
          <w:color w:val="7030A0"/>
        </w:rPr>
        <w:t xml:space="preserve"> and</w:t>
      </w:r>
      <w:r>
        <w:rPr>
          <w:color w:val="7030A0"/>
        </w:rPr>
        <w:t xml:space="preserve"> incubate the plate for 10 minutes at 37 degrees Celsius </w:t>
      </w:r>
      <w:r>
        <w:rPr>
          <w:b/>
          <w:color w:val="7030A0"/>
        </w:rPr>
        <w:t>[</w:t>
      </w:r>
      <w:r w:rsidR="00A40A17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15221536" w14:textId="77777777" w:rsidR="00A40A17" w:rsidRDefault="00A40A17" w:rsidP="00A40A1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luciferin to each well of the treated plate.</w:t>
      </w:r>
    </w:p>
    <w:p w14:paraId="57948425" w14:textId="77777777" w:rsidR="00A40A17" w:rsidRDefault="00A40A17" w:rsidP="00A40A1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plate in the 37 degrees Celsius incubator for 10 minutes.</w:t>
      </w:r>
    </w:p>
    <w:p w14:paraId="62A2A85E" w14:textId="77777777" w:rsidR="00A40A17" w:rsidRPr="00A40A17" w:rsidRDefault="00A40A17" w:rsidP="00A40A17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F3ADBCA" w14:textId="2ED64185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Place the plate in the imaging chamber and acquire images using identical settings for all groups </w:t>
      </w:r>
      <w:r>
        <w:rPr>
          <w:b/>
          <w:color w:val="7030A0"/>
        </w:rPr>
        <w:t>[</w:t>
      </w:r>
      <w:r w:rsidR="008D69D0">
        <w:rPr>
          <w:b/>
          <w:color w:val="7030A0"/>
        </w:rPr>
        <w:t>1</w:t>
      </w:r>
      <w:r w:rsidR="00A40A17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70B98AA" w14:textId="4FE9A352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plate in the imaging chamber and acquiring images with fixed settings.</w:t>
      </w:r>
      <w:r w:rsidR="00A40A17">
        <w:rPr>
          <w:color w:val="000000"/>
        </w:rPr>
        <w:t xml:space="preserve"> </w:t>
      </w:r>
      <w:r w:rsidR="00A40A17" w:rsidRPr="00086C71">
        <w:rPr>
          <w:b/>
          <w:bCs/>
          <w:color w:val="000000"/>
        </w:rPr>
        <w:t xml:space="preserve">TXT – See text protocol imaging </w:t>
      </w:r>
      <w:r w:rsidR="00086C71" w:rsidRPr="00086C71">
        <w:rPr>
          <w:b/>
          <w:bCs/>
          <w:color w:val="000000"/>
        </w:rPr>
        <w:t>acquisition</w:t>
      </w:r>
      <w:r w:rsidR="00A40A17" w:rsidRPr="00086C71">
        <w:rPr>
          <w:b/>
          <w:bCs/>
          <w:color w:val="000000"/>
        </w:rPr>
        <w:t xml:space="preserve"> details</w:t>
      </w:r>
    </w:p>
    <w:p w14:paraId="12EC975D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396C2A3" w14:textId="77777777" w:rsidR="00AF6253" w:rsidRPr="00AF6253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Open the imaging software and select the </w:t>
      </w:r>
      <w:r w:rsidRPr="00086C71">
        <w:rPr>
          <w:b/>
          <w:bCs/>
          <w:color w:val="7030A0"/>
        </w:rPr>
        <w:t>ROI</w:t>
      </w:r>
      <w:r>
        <w:rPr>
          <w:color w:val="7030A0"/>
        </w:rPr>
        <w:t xml:space="preserve"> </w:t>
      </w:r>
      <w:r>
        <w:rPr>
          <w:i/>
          <w:color w:val="EE0000"/>
        </w:rPr>
        <w:t>(r‑o‑i)</w:t>
      </w:r>
      <w:r>
        <w:rPr>
          <w:color w:val="7030A0"/>
        </w:rPr>
        <w:t xml:space="preserve"> tool </w:t>
      </w:r>
      <w:r>
        <w:rPr>
          <w:b/>
          <w:color w:val="7030A0"/>
        </w:rPr>
        <w:t>[1]</w:t>
      </w:r>
      <w:r>
        <w:rPr>
          <w:color w:val="7030A0"/>
        </w:rPr>
        <w:t xml:space="preserve">. Draw identical circular ROIs over each well and one background ROI over a blank well </w:t>
      </w:r>
      <w:r>
        <w:rPr>
          <w:b/>
          <w:color w:val="7030A0"/>
        </w:rPr>
        <w:t>[2]</w:t>
      </w:r>
      <w:r>
        <w:rPr>
          <w:color w:val="7030A0"/>
        </w:rPr>
        <w:t xml:space="preserve">. After background subtraction, export total photon flux in photons per second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575C7222" w14:textId="20CCB415" w:rsidR="00AF6253" w:rsidRDefault="00AF6253" w:rsidP="00AF625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86C71">
        <w:rPr>
          <w:color w:val="000000"/>
          <w:highlight w:val="yellow"/>
        </w:rPr>
        <w:t>SCREEN</w:t>
      </w:r>
      <w:r>
        <w:rPr>
          <w:color w:val="000000"/>
        </w:rPr>
        <w:t>:</w:t>
      </w:r>
      <w:r w:rsidR="000F3CD2">
        <w:rPr>
          <w:color w:val="000000"/>
        </w:rPr>
        <w:t xml:space="preserve"> T</w:t>
      </w:r>
      <w:r>
        <w:rPr>
          <w:color w:val="000000"/>
        </w:rPr>
        <w:t>he imaging software</w:t>
      </w:r>
      <w:r w:rsidR="000F3CD2">
        <w:rPr>
          <w:color w:val="000000"/>
        </w:rPr>
        <w:t xml:space="preserve"> being opened</w:t>
      </w:r>
      <w:r>
        <w:rPr>
          <w:color w:val="000000"/>
        </w:rPr>
        <w:t xml:space="preserve"> and the ROI tool</w:t>
      </w:r>
      <w:r w:rsidR="000F3CD2">
        <w:rPr>
          <w:color w:val="000000"/>
        </w:rPr>
        <w:t xml:space="preserve"> being selected</w:t>
      </w:r>
      <w:r>
        <w:rPr>
          <w:color w:val="000000"/>
        </w:rPr>
        <w:t>.</w:t>
      </w:r>
    </w:p>
    <w:p w14:paraId="4889843C" w14:textId="5E0CAB04" w:rsidR="00AF6253" w:rsidRPr="00AF6253" w:rsidRDefault="00AF6253" w:rsidP="00AF625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86C7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F3CD2">
        <w:rPr>
          <w:color w:val="000000"/>
        </w:rPr>
        <w:t>I</w:t>
      </w:r>
      <w:r>
        <w:rPr>
          <w:color w:val="000000"/>
        </w:rPr>
        <w:t xml:space="preserve">dentical ROIs </w:t>
      </w:r>
      <w:r w:rsidR="000F3CD2">
        <w:rPr>
          <w:color w:val="000000"/>
        </w:rPr>
        <w:t xml:space="preserve">being drawn </w:t>
      </w:r>
      <w:r w:rsidR="00086C71">
        <w:rPr>
          <w:color w:val="000000"/>
        </w:rPr>
        <w:t xml:space="preserve">over each well </w:t>
      </w:r>
      <w:r>
        <w:rPr>
          <w:color w:val="000000"/>
        </w:rPr>
        <w:t xml:space="preserve">and a background ROI </w:t>
      </w:r>
      <w:r w:rsidR="000F3CD2">
        <w:rPr>
          <w:color w:val="000000"/>
        </w:rPr>
        <w:t xml:space="preserve">being drawn </w:t>
      </w:r>
      <w:r>
        <w:rPr>
          <w:color w:val="000000"/>
        </w:rPr>
        <w:t>over a blank well.</w:t>
      </w:r>
    </w:p>
    <w:p w14:paraId="16946E69" w14:textId="6947523D" w:rsidR="00AF6253" w:rsidRPr="00AF6253" w:rsidRDefault="00AF6253" w:rsidP="00AF625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3E5B">
        <w:rPr>
          <w:color w:val="000000"/>
          <w:highlight w:val="yellow"/>
        </w:rPr>
        <w:t>SCREEN</w:t>
      </w:r>
      <w:r w:rsidRPr="00AF6253">
        <w:rPr>
          <w:color w:val="000000"/>
        </w:rPr>
        <w:t>: T</w:t>
      </w:r>
      <w:r w:rsidR="000F3CD2">
        <w:rPr>
          <w:color w:val="000000"/>
        </w:rPr>
        <w:t>he b</w:t>
      </w:r>
      <w:r w:rsidRPr="00AF6253">
        <w:rPr>
          <w:color w:val="000000"/>
        </w:rPr>
        <w:t xml:space="preserve">ackground </w:t>
      </w:r>
      <w:r w:rsidR="000F3CD2">
        <w:rPr>
          <w:color w:val="000000"/>
        </w:rPr>
        <w:t xml:space="preserve">being subtracted </w:t>
      </w:r>
      <w:r w:rsidRPr="00AF6253">
        <w:rPr>
          <w:color w:val="000000"/>
        </w:rPr>
        <w:t>and the total photon flux values</w:t>
      </w:r>
      <w:r w:rsidR="000F3CD2">
        <w:rPr>
          <w:color w:val="000000"/>
        </w:rPr>
        <w:t xml:space="preserve"> being exported.</w:t>
      </w:r>
    </w:p>
    <w:p w14:paraId="67E0EA8A" w14:textId="5EA2DCDE" w:rsidR="00F255A2" w:rsidRPr="00AF6253" w:rsidRDefault="00F255A2" w:rsidP="00AF6253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Measure total protein content in each well using a standard protein quantification assay </w:t>
      </w:r>
      <w:r>
        <w:rPr>
          <w:b/>
          <w:color w:val="7030A0"/>
        </w:rPr>
        <w:t>[</w:t>
      </w:r>
      <w:r w:rsidR="00AF6253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 and normalize the photon flux to total protein content to account for differences in cell density </w:t>
      </w:r>
      <w:r>
        <w:rPr>
          <w:b/>
          <w:color w:val="7030A0"/>
        </w:rPr>
        <w:t>[</w:t>
      </w:r>
      <w:r w:rsidR="00AF6253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A9295F6" w14:textId="3D052A5D" w:rsidR="00F255A2" w:rsidRDefault="006B1EBD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B1EBD">
        <w:rPr>
          <w:color w:val="000000"/>
          <w:highlight w:val="yellow"/>
        </w:rPr>
        <w:t>SCREEN</w:t>
      </w:r>
      <w:r w:rsidR="00F255A2">
        <w:rPr>
          <w:color w:val="000000"/>
        </w:rPr>
        <w:t>: Total protein content in the wells</w:t>
      </w:r>
      <w:r w:rsidR="006D65C0">
        <w:rPr>
          <w:color w:val="000000"/>
        </w:rPr>
        <w:t xml:space="preserve"> being measured</w:t>
      </w:r>
      <w:r w:rsidR="00F255A2">
        <w:rPr>
          <w:color w:val="000000"/>
        </w:rPr>
        <w:t xml:space="preserve"> using a standard protein quantification assay.</w:t>
      </w:r>
    </w:p>
    <w:p w14:paraId="248FD270" w14:textId="31B21974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B1EB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6D65C0">
        <w:rPr>
          <w:color w:val="000000"/>
        </w:rPr>
        <w:t>The</w:t>
      </w:r>
      <w:r>
        <w:rPr>
          <w:color w:val="000000"/>
        </w:rPr>
        <w:t xml:space="preserve"> background-corrected photon flux </w:t>
      </w:r>
      <w:r w:rsidR="006D65C0">
        <w:rPr>
          <w:color w:val="000000"/>
        </w:rPr>
        <w:t xml:space="preserve">being normalized </w:t>
      </w:r>
      <w:r>
        <w:rPr>
          <w:color w:val="000000"/>
        </w:rPr>
        <w:t>to total protein content.</w:t>
      </w:r>
    </w:p>
    <w:p w14:paraId="5B53FB72" w14:textId="77777777" w:rsidR="00F255A2" w:rsidRDefault="00F255A2" w:rsidP="00F255A2">
      <w:pPr>
        <w:spacing w:before="120"/>
        <w:rPr>
          <w:rFonts w:cstheme="minorHAnsi"/>
        </w:rPr>
      </w:pPr>
    </w:p>
    <w:p w14:paraId="3FE21D81" w14:textId="77777777" w:rsidR="00F255A2" w:rsidRDefault="00F255A2" w:rsidP="00F255A2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PK/PD Data Integration and Correlation</w:t>
      </w:r>
    </w:p>
    <w:p w14:paraId="6092B694" w14:textId="77777777" w:rsidR="00F255A2" w:rsidRDefault="00F255A2" w:rsidP="00F255A2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80679567"/>
          <w:placeholder>
            <w:docPart w:val="50C6E9A2C53E4471AB629E92041F6B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732800" w14:textId="77777777" w:rsidR="00F255A2" w:rsidRPr="00B07A3B" w:rsidRDefault="00F255A2" w:rsidP="00F255A2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7D278D8" w14:textId="7484CB17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completing the LC-MS/MS and BLI measurements, integrate the intracellular gemcitabine concentrations and normalized BLI time-course data in </w:t>
      </w:r>
      <w:r w:rsidRPr="006B1EBD">
        <w:rPr>
          <w:b/>
          <w:bCs/>
          <w:color w:val="7030A0"/>
        </w:rPr>
        <w:t>GraphPad Prism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Use the intracellular gemcitabine concentration-time profile to calculate the intracellular AUC </w:t>
      </w:r>
      <w:r>
        <w:rPr>
          <w:i/>
          <w:color w:val="EE0000"/>
        </w:rPr>
        <w:t>(a‑u‑c)</w:t>
      </w:r>
      <w:r>
        <w:rPr>
          <w:color w:val="7030A0"/>
        </w:rPr>
        <w:t xml:space="preserve"> in </w:t>
      </w:r>
      <w:r w:rsidRPr="006B1EBD">
        <w:rPr>
          <w:b/>
          <w:bCs/>
          <w:color w:val="7030A0"/>
        </w:rPr>
        <w:t>DAS 4.0</w:t>
      </w:r>
      <w:r>
        <w:rPr>
          <w:color w:val="7030A0"/>
        </w:rPr>
        <w:t xml:space="preserve"> </w:t>
      </w:r>
      <w:r w:rsidR="00A90DBB">
        <w:rPr>
          <w:i/>
          <w:color w:val="EE0000"/>
        </w:rPr>
        <w:t>(d-a-s four point zero)</w:t>
      </w:r>
      <w:r w:rsidR="00A90DBB"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0072BF3A" w14:textId="2EC1B3C9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B1EBD">
        <w:rPr>
          <w:color w:val="000000"/>
          <w:highlight w:val="yellow"/>
        </w:rPr>
        <w:t>SCREEN</w:t>
      </w:r>
      <w:r>
        <w:rPr>
          <w:color w:val="000000"/>
        </w:rPr>
        <w:t xml:space="preserve">: The intracellular gemcitabine concentrations and normalized BLI time-course data </w:t>
      </w:r>
      <w:r w:rsidR="008B79B4">
        <w:rPr>
          <w:color w:val="000000"/>
        </w:rPr>
        <w:t xml:space="preserve"> being imported </w:t>
      </w:r>
      <w:r>
        <w:rPr>
          <w:color w:val="000000"/>
        </w:rPr>
        <w:t>into GraphPad Prism.</w:t>
      </w:r>
    </w:p>
    <w:p w14:paraId="4D1ED5DB" w14:textId="0815ADE0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B1EBD">
        <w:rPr>
          <w:color w:val="000000"/>
          <w:highlight w:val="yellow"/>
        </w:rPr>
        <w:t>SCREEN</w:t>
      </w:r>
      <w:r>
        <w:rPr>
          <w:color w:val="000000"/>
        </w:rPr>
        <w:t xml:space="preserve">: The intracellular AUC </w:t>
      </w:r>
      <w:r w:rsidR="008B79B4">
        <w:rPr>
          <w:color w:val="000000"/>
        </w:rPr>
        <w:t xml:space="preserve">being calculated </w:t>
      </w:r>
      <w:r>
        <w:rPr>
          <w:color w:val="000000"/>
        </w:rPr>
        <w:t>from the LC-MS/MS concentration-time profile in DAS 4.0.</w:t>
      </w:r>
    </w:p>
    <w:p w14:paraId="32FF1ED5" w14:textId="77777777" w:rsidR="00F255A2" w:rsidRDefault="00F255A2" w:rsidP="00F255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746791D" w14:textId="77777777" w:rsidR="006B1EBD" w:rsidRPr="006B1EBD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>Calculate AUCluc</w:t>
      </w:r>
      <w:r w:rsidR="00D351FF">
        <w:rPr>
          <w:color w:val="7030A0"/>
        </w:rPr>
        <w:t xml:space="preserve"> </w:t>
      </w:r>
      <w:r w:rsidR="00D351FF">
        <w:rPr>
          <w:i/>
          <w:color w:val="EE0000"/>
        </w:rPr>
        <w:t>(a</w:t>
      </w:r>
      <w:r w:rsidR="00D351FF">
        <w:rPr>
          <w:rFonts w:ascii="Cambria Math" w:hAnsi="Cambria Math" w:cs="Cambria Math"/>
          <w:i/>
          <w:color w:val="EE0000"/>
        </w:rPr>
        <w:t>‑</w:t>
      </w:r>
      <w:r w:rsidR="00D351FF">
        <w:rPr>
          <w:i/>
          <w:color w:val="EE0000"/>
        </w:rPr>
        <w:t>u</w:t>
      </w:r>
      <w:r w:rsidR="00D351FF">
        <w:rPr>
          <w:rFonts w:ascii="Cambria Math" w:hAnsi="Cambria Math" w:cs="Cambria Math"/>
          <w:i/>
          <w:color w:val="EE0000"/>
        </w:rPr>
        <w:t>‑</w:t>
      </w:r>
      <w:r w:rsidR="00D351FF">
        <w:rPr>
          <w:i/>
          <w:color w:val="EE0000"/>
        </w:rPr>
        <w:t>c luc)</w:t>
      </w:r>
      <w:r w:rsidR="00D351FF">
        <w:rPr>
          <w:color w:val="7030A0"/>
        </w:rPr>
        <w:t xml:space="preserve">  </w:t>
      </w:r>
      <w:r>
        <w:rPr>
          <w:color w:val="7030A0"/>
        </w:rPr>
        <w:t>, Kluc</w:t>
      </w:r>
      <w:r w:rsidR="00D351FF">
        <w:rPr>
          <w:color w:val="7030A0"/>
        </w:rPr>
        <w:t xml:space="preserve"> </w:t>
      </w:r>
      <w:r w:rsidR="00D351FF">
        <w:rPr>
          <w:i/>
          <w:color w:val="EE0000"/>
        </w:rPr>
        <w:t>(k-luc)</w:t>
      </w:r>
      <w:r>
        <w:rPr>
          <w:color w:val="7030A0"/>
        </w:rPr>
        <w:t>, and MRTluc</w:t>
      </w:r>
      <w:r w:rsidR="00D351FF">
        <w:rPr>
          <w:color w:val="7030A0"/>
        </w:rPr>
        <w:t xml:space="preserve"> </w:t>
      </w:r>
      <w:r w:rsidR="00D351FF">
        <w:rPr>
          <w:i/>
          <w:color w:val="EE0000"/>
        </w:rPr>
        <w:t>(m-r-t luc)</w:t>
      </w:r>
      <w:r w:rsidR="00D351FF">
        <w:rPr>
          <w:color w:val="7030A0"/>
        </w:rPr>
        <w:t xml:space="preserve"> </w:t>
      </w:r>
      <w:r>
        <w:rPr>
          <w:color w:val="7030A0"/>
        </w:rPr>
        <w:t xml:space="preserve"> from the normalized BLI signal-time profiles in DAS 4.0 using a noncompartmental model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38A5C02" w14:textId="35C7D1F7" w:rsidR="006B1EBD" w:rsidRDefault="006B1EBD" w:rsidP="006B1EB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B1EBD">
        <w:rPr>
          <w:color w:val="000000"/>
          <w:highlight w:val="yellow"/>
        </w:rPr>
        <w:t>SCREEN</w:t>
      </w:r>
      <w:r>
        <w:rPr>
          <w:color w:val="000000"/>
        </w:rPr>
        <w:t xml:space="preserve">: AUCluc, Kluc, and MRTluc </w:t>
      </w:r>
      <w:r w:rsidR="00986568">
        <w:rPr>
          <w:color w:val="000000"/>
        </w:rPr>
        <w:t xml:space="preserve">being calculated </w:t>
      </w:r>
      <w:r>
        <w:rPr>
          <w:color w:val="000000"/>
        </w:rPr>
        <w:t>from the normalized BLI signal-time profiles.</w:t>
      </w:r>
    </w:p>
    <w:p w14:paraId="50345AC0" w14:textId="77777777" w:rsidR="006B1EBD" w:rsidRPr="006B1EBD" w:rsidRDefault="006B1EBD" w:rsidP="006B1EBD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04EA261" w14:textId="6243011F" w:rsidR="00F255A2" w:rsidRDefault="00F255A2" w:rsidP="00F255A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Export the intracellular exposure metrics and BLI-derived parameters into the statistical analysis software </w:t>
      </w:r>
      <w:r>
        <w:rPr>
          <w:b/>
          <w:color w:val="7030A0"/>
        </w:rPr>
        <w:t>[2]</w:t>
      </w:r>
      <w:r>
        <w:rPr>
          <w:color w:val="7030A0"/>
        </w:rPr>
        <w:t xml:space="preserve"> and perform linear regression between intracellular exposure and the specified BLI-derived parameters for the analyse</w:t>
      </w:r>
      <w:r w:rsidR="00D351FF">
        <w:rPr>
          <w:color w:val="7030A0"/>
        </w:rPr>
        <w:t xml:space="preserve">s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2A5484BF" w14:textId="658F4129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05B7">
        <w:rPr>
          <w:color w:val="000000"/>
          <w:highlight w:val="yellow"/>
        </w:rPr>
        <w:t>SCREEN</w:t>
      </w:r>
      <w:r>
        <w:rPr>
          <w:color w:val="000000"/>
        </w:rPr>
        <w:t>: The intracellular exposure metrics and BLI-derived parameters</w:t>
      </w:r>
      <w:r w:rsidR="00526383">
        <w:rPr>
          <w:color w:val="000000"/>
        </w:rPr>
        <w:t xml:space="preserve"> being opened</w:t>
      </w:r>
      <w:r>
        <w:rPr>
          <w:color w:val="000000"/>
        </w:rPr>
        <w:t xml:space="preserve"> for statistical analysis.</w:t>
      </w:r>
    </w:p>
    <w:p w14:paraId="07756A28" w14:textId="793E2D6A" w:rsidR="00F255A2" w:rsidRDefault="00F255A2" w:rsidP="00F255A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05B7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526383">
        <w:rPr>
          <w:color w:val="000000"/>
        </w:rPr>
        <w:t>L</w:t>
      </w:r>
      <w:r>
        <w:rPr>
          <w:color w:val="000000"/>
        </w:rPr>
        <w:t xml:space="preserve">inear regression analysis </w:t>
      </w:r>
      <w:r w:rsidR="00526383">
        <w:rPr>
          <w:color w:val="000000"/>
        </w:rPr>
        <w:t>being performed on the specified dataset</w:t>
      </w:r>
      <w:r>
        <w:rPr>
          <w:color w:val="000000"/>
        </w:rPr>
        <w:t>.</w:t>
      </w:r>
    </w:p>
    <w:p w14:paraId="09689C4F" w14:textId="4F8924C2" w:rsidR="00495959" w:rsidRPr="00F255A2" w:rsidRDefault="00495959" w:rsidP="00F255A2">
      <w:pPr>
        <w:spacing w:before="120"/>
        <w:rPr>
          <w:rFonts w:cstheme="minorHAnsi"/>
        </w:rPr>
      </w:pPr>
      <w:r w:rsidRPr="00F255A2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D0BB34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C6E88">
        <w:rPr>
          <w:rFonts w:eastAsia="Times New Roman" w:cstheme="minorHAnsi"/>
          <w:bCs/>
        </w:rPr>
        <w:t>142.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762088" w14:textId="316CB882" w:rsidR="00F53D49" w:rsidRPr="00F1178D" w:rsidRDefault="00F1178D" w:rsidP="00F53D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1178D">
        <w:rPr>
          <w:rFonts w:cstheme="minorHAnsi"/>
          <w:color w:val="7030A0"/>
        </w:rPr>
        <w:t>GEM reduced relative tumor growth compared with the solvent control, whereas CSE produced a more moderate reduction</w:t>
      </w:r>
      <w:r w:rsidRPr="00F1178D">
        <w:rPr>
          <w:rFonts w:cstheme="minorHAnsi"/>
          <w:b/>
          <w:bCs/>
          <w:color w:val="7030A0"/>
        </w:rPr>
        <w:t xml:space="preserve"> [1]</w:t>
      </w:r>
      <w:r w:rsidRPr="00F1178D">
        <w:rPr>
          <w:rFonts w:cstheme="minorHAnsi"/>
          <w:color w:val="7030A0"/>
        </w:rPr>
        <w:t xml:space="preserve">. GEM+CSE produced the lowest relative tumor growth and enhanced the anti-tumor effect observed with GEM alone </w:t>
      </w:r>
      <w:r w:rsidRPr="00F1178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2]</w:t>
      </w:r>
      <w:r w:rsidRPr="00F1178D">
        <w:rPr>
          <w:rFonts w:cstheme="minorHAnsi"/>
          <w:color w:val="7030A0"/>
        </w:rPr>
        <w:t xml:space="preserve">. </w:t>
      </w:r>
    </w:p>
    <w:p w14:paraId="6900F1D3" w14:textId="77777777" w:rsidR="00F1178D" w:rsidRPr="00F1178D" w:rsidRDefault="00F1178D" w:rsidP="00F117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F1178D">
        <w:rPr>
          <w:rFonts w:cstheme="minorHAnsi"/>
        </w:rPr>
        <w:t xml:space="preserve">Figure 5. </w:t>
      </w:r>
      <w:r w:rsidRPr="00F1178D">
        <w:rPr>
          <w:rFonts w:cstheme="minorHAnsi"/>
          <w:b/>
          <w:bCs/>
          <w:i/>
          <w:iCs/>
          <w:color w:val="00B0F0"/>
        </w:rPr>
        <w:t xml:space="preserve">Video Editor: </w:t>
      </w:r>
      <w:r w:rsidRPr="00F1178D">
        <w:rPr>
          <w:rFonts w:cstheme="minorHAnsi"/>
          <w:i/>
          <w:iCs/>
          <w:color w:val="00B0F0"/>
        </w:rPr>
        <w:t xml:space="preserve">In Panel A in the upper-left, highlight the blue solvent-control bar, followed by the lower purple GEM and teal CSE bars. </w:t>
      </w:r>
    </w:p>
    <w:p w14:paraId="2DB1F357" w14:textId="73C02176" w:rsidR="00F1178D" w:rsidRPr="00D065C4" w:rsidRDefault="00F1178D" w:rsidP="00F117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F1178D">
        <w:rPr>
          <w:rFonts w:cstheme="minorHAnsi"/>
        </w:rPr>
        <w:t xml:space="preserve">Figure 5. </w:t>
      </w:r>
      <w:r w:rsidRPr="00F1178D">
        <w:rPr>
          <w:rFonts w:cstheme="minorHAnsi"/>
          <w:b/>
          <w:bCs/>
          <w:i/>
          <w:iCs/>
          <w:color w:val="00B0F0"/>
        </w:rPr>
        <w:t xml:space="preserve">Video Editor: </w:t>
      </w:r>
      <w:r w:rsidRPr="00F1178D">
        <w:rPr>
          <w:rFonts w:cstheme="minorHAnsi"/>
          <w:i/>
          <w:iCs/>
          <w:color w:val="00B0F0"/>
        </w:rPr>
        <w:t>Please highlight the grey GEM+CSE bar in Panel A</w:t>
      </w:r>
      <w:r w:rsidR="00113B4A">
        <w:rPr>
          <w:rFonts w:cstheme="minorHAnsi"/>
          <w:i/>
          <w:iCs/>
          <w:color w:val="00B0F0"/>
        </w:rPr>
        <w:t>.</w:t>
      </w:r>
    </w:p>
    <w:p w14:paraId="09A4A63E" w14:textId="77777777" w:rsidR="00D065C4" w:rsidRPr="00F1178D" w:rsidRDefault="00D065C4" w:rsidP="00D065C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C8CF87B" w14:textId="038BD7F1" w:rsidR="00F53D49" w:rsidRPr="00F1178D" w:rsidRDefault="00F53D49" w:rsidP="00F53D4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53D49">
        <w:rPr>
          <w:rFonts w:cstheme="minorHAnsi"/>
          <w:color w:val="7030A0"/>
        </w:rPr>
        <w:t xml:space="preserve">The source-derived pharmacokinetic analysis showed that combined treatment increased systemic drug exposure </w:t>
      </w:r>
      <w:r w:rsidRPr="00F53D4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F53D49">
        <w:rPr>
          <w:rFonts w:cstheme="minorHAnsi"/>
          <w:b/>
          <w:bCs/>
          <w:color w:val="7030A0"/>
        </w:rPr>
        <w:t>]</w:t>
      </w:r>
      <w:r w:rsidRPr="00F53D49">
        <w:rPr>
          <w:rFonts w:cstheme="minorHAnsi"/>
          <w:color w:val="7030A0"/>
        </w:rPr>
        <w:t xml:space="preserve">, elevated the maximum plasma concentration </w:t>
      </w:r>
      <w:r w:rsidRPr="00F53D4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F53D49">
        <w:rPr>
          <w:rFonts w:cstheme="minorHAnsi"/>
          <w:b/>
          <w:bCs/>
          <w:color w:val="7030A0"/>
        </w:rPr>
        <w:t>]</w:t>
      </w:r>
      <w:r w:rsidRPr="00F53D49">
        <w:rPr>
          <w:rFonts w:cstheme="minorHAnsi"/>
          <w:color w:val="7030A0"/>
        </w:rPr>
        <w:t xml:space="preserve">, and prolonged the elimination half-life compared with GEM monotherapy </w:t>
      </w:r>
      <w:r w:rsidRPr="00F53D4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F53D49">
        <w:rPr>
          <w:rFonts w:cstheme="minorHAnsi"/>
          <w:b/>
          <w:bCs/>
          <w:color w:val="7030A0"/>
        </w:rPr>
        <w:t>]</w:t>
      </w:r>
      <w:r w:rsidRPr="00F53D49">
        <w:rPr>
          <w:rFonts w:cstheme="minorHAnsi"/>
          <w:color w:val="7030A0"/>
        </w:rPr>
        <w:t>.</w:t>
      </w:r>
    </w:p>
    <w:p w14:paraId="186CE424" w14:textId="69CC0E6A" w:rsidR="00F1178D" w:rsidRDefault="00F1178D" w:rsidP="00F117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F1178D">
        <w:rPr>
          <w:rFonts w:cstheme="minorHAnsi"/>
        </w:rPr>
        <w:t>Figure 5.</w:t>
      </w:r>
      <w:r w:rsidR="00D065C4">
        <w:rPr>
          <w:rFonts w:cstheme="minorHAnsi"/>
        </w:rPr>
        <w:t xml:space="preserve"> </w:t>
      </w:r>
      <w:r w:rsidR="00D065C4" w:rsidRPr="00D065C4">
        <w:rPr>
          <w:rFonts w:cstheme="minorHAnsi"/>
          <w:b/>
          <w:bCs/>
          <w:i/>
          <w:iCs/>
          <w:color w:val="00B0F0"/>
        </w:rPr>
        <w:t>Video Editor:</w:t>
      </w:r>
      <w:r w:rsidR="00D065C4" w:rsidRPr="00D065C4">
        <w:rPr>
          <w:rFonts w:cstheme="minorHAnsi"/>
          <w:color w:val="00B0F0"/>
        </w:rPr>
        <w:t xml:space="preserve"> </w:t>
      </w:r>
      <w:r w:rsidR="00D065C4" w:rsidRPr="00D065C4">
        <w:rPr>
          <w:rFonts w:cstheme="minorHAnsi"/>
          <w:i/>
          <w:iCs/>
          <w:color w:val="00B0F0"/>
        </w:rPr>
        <w:t>In Panel B in the upper-right, highlight the purple GEM and grey GEM+CSE bars, emphasizing the higher AUC₀–t with combined treatment.</w:t>
      </w:r>
    </w:p>
    <w:p w14:paraId="76535164" w14:textId="566822BF" w:rsidR="00F1178D" w:rsidRDefault="00F1178D" w:rsidP="00F117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F1178D">
        <w:rPr>
          <w:rFonts w:cstheme="minorHAnsi"/>
        </w:rPr>
        <w:t>Figure 5.</w:t>
      </w:r>
      <w:r w:rsidR="00D065C4">
        <w:rPr>
          <w:rFonts w:cstheme="minorHAnsi"/>
        </w:rPr>
        <w:t xml:space="preserve"> </w:t>
      </w:r>
      <w:r w:rsidR="00D065C4" w:rsidRPr="00D065C4">
        <w:rPr>
          <w:rFonts w:cstheme="minorHAnsi"/>
          <w:b/>
          <w:bCs/>
          <w:i/>
          <w:iCs/>
          <w:color w:val="00B0F0"/>
        </w:rPr>
        <w:t>Video Editor:</w:t>
      </w:r>
      <w:r w:rsidR="00D065C4" w:rsidRPr="00D065C4">
        <w:rPr>
          <w:rFonts w:cstheme="minorHAnsi"/>
          <w:color w:val="00B0F0"/>
        </w:rPr>
        <w:t xml:space="preserve"> </w:t>
      </w:r>
      <w:r w:rsidR="00D065C4" w:rsidRPr="00D065C4">
        <w:rPr>
          <w:rFonts w:cstheme="minorHAnsi"/>
          <w:i/>
          <w:iCs/>
          <w:color w:val="00B0F0"/>
        </w:rPr>
        <w:t>In Panel C in the lower-left, highlight the purple GEM and grey GEM+CSE bars, emphasizing the higher Cmax with combined treatment.</w:t>
      </w:r>
    </w:p>
    <w:p w14:paraId="75666BC6" w14:textId="02E86E22" w:rsidR="00F1178D" w:rsidRDefault="00F1178D" w:rsidP="00F1178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F1178D">
        <w:rPr>
          <w:rFonts w:cstheme="minorHAnsi"/>
        </w:rPr>
        <w:t>Figure 5.</w:t>
      </w:r>
      <w:r w:rsidR="00D065C4">
        <w:rPr>
          <w:rFonts w:cstheme="minorHAnsi"/>
        </w:rPr>
        <w:t xml:space="preserve"> </w:t>
      </w:r>
      <w:r w:rsidR="00D065C4" w:rsidRPr="00D065C4">
        <w:rPr>
          <w:rFonts w:cstheme="minorHAnsi"/>
          <w:b/>
          <w:bCs/>
          <w:i/>
          <w:iCs/>
          <w:color w:val="00B0F0"/>
        </w:rPr>
        <w:t>Video Editor:</w:t>
      </w:r>
      <w:r w:rsidR="00D065C4" w:rsidRPr="00D065C4">
        <w:rPr>
          <w:rFonts w:cstheme="minorHAnsi"/>
          <w:color w:val="00B0F0"/>
        </w:rPr>
        <w:t xml:space="preserve"> </w:t>
      </w:r>
      <w:r w:rsidR="00D065C4" w:rsidRPr="00D065C4">
        <w:rPr>
          <w:rFonts w:cstheme="minorHAnsi"/>
          <w:i/>
          <w:iCs/>
          <w:color w:val="00B0F0"/>
        </w:rPr>
        <w:t>In Panel D in the lower-right, highlight the purple GEM and grey GEM+CSE bars, emphasizing the longer elimination half-life with combined treatment.</w:t>
      </w:r>
    </w:p>
    <w:p w14:paraId="3200E475" w14:textId="77777777" w:rsidR="00F1178D" w:rsidRPr="00F1178D" w:rsidRDefault="00F1178D" w:rsidP="00F1178D">
      <w:pPr>
        <w:spacing w:before="120"/>
        <w:outlineLvl w:val="0"/>
        <w:rPr>
          <w:rFonts w:cstheme="minorHAnsi"/>
        </w:rPr>
      </w:pPr>
    </w:p>
    <w:p w14:paraId="6A7B5B4B" w14:textId="77777777" w:rsidR="0031570C" w:rsidRPr="0031570C" w:rsidRDefault="0031570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1570C">
        <w:rPr>
          <w:rFonts w:cstheme="minorHAnsi"/>
          <w:i/>
          <w:iCs/>
          <w:color w:val="7030A0"/>
        </w:rPr>
        <w:t>In vitro</w:t>
      </w:r>
      <w:r w:rsidRPr="0031570C">
        <w:rPr>
          <w:rFonts w:cstheme="minorHAnsi"/>
          <w:color w:val="7030A0"/>
        </w:rPr>
        <w:t xml:space="preserve"> IC₅₀ values were positively associated with BLI-derived </w:t>
      </w:r>
      <w:r w:rsidRPr="0031570C">
        <w:rPr>
          <w:rFonts w:cstheme="minorHAnsi"/>
          <w:i/>
          <w:iCs/>
          <w:color w:val="7030A0"/>
        </w:rPr>
        <w:t>in vitro</w:t>
      </w:r>
      <w:r w:rsidRPr="0031570C">
        <w:rPr>
          <w:rFonts w:cstheme="minorHAnsi"/>
          <w:color w:val="7030A0"/>
        </w:rPr>
        <w:t xml:space="preserve"> exposure across the GEM, CSE, and GEM+CSE treatment groups </w:t>
      </w:r>
      <w:r w:rsidRPr="0031570C">
        <w:rPr>
          <w:rFonts w:cstheme="minorHAnsi"/>
          <w:b/>
          <w:bCs/>
          <w:color w:val="7030A0"/>
        </w:rPr>
        <w:t>[1]</w:t>
      </w:r>
      <w:r w:rsidRPr="0031570C">
        <w:rPr>
          <w:rFonts w:cstheme="minorHAnsi"/>
          <w:color w:val="7030A0"/>
        </w:rPr>
        <w:t xml:space="preserve">. </w:t>
      </w:r>
    </w:p>
    <w:p w14:paraId="6EF68EE2" w14:textId="6AE9F8BE" w:rsidR="0031570C" w:rsidRPr="00B07A3B" w:rsidRDefault="0031570C" w:rsidP="003157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31570C">
        <w:rPr>
          <w:rFonts w:cstheme="minorHAnsi"/>
        </w:rPr>
        <w:t xml:space="preserve">Figure 6. </w:t>
      </w:r>
      <w:r w:rsidRPr="00D065C4">
        <w:rPr>
          <w:rFonts w:cstheme="minorHAnsi"/>
          <w:b/>
          <w:bCs/>
          <w:i/>
          <w:iCs/>
          <w:color w:val="00B0F0"/>
        </w:rPr>
        <w:t>Video Editor:</w:t>
      </w:r>
      <w:r w:rsidRPr="00D065C4">
        <w:rPr>
          <w:rFonts w:cstheme="minorHAnsi"/>
          <w:color w:val="00B0F0"/>
        </w:rPr>
        <w:t xml:space="preserve"> </w:t>
      </w:r>
      <w:r w:rsidRPr="00D065C4">
        <w:rPr>
          <w:rFonts w:cstheme="minorHAnsi"/>
          <w:i/>
          <w:iCs/>
          <w:color w:val="00B0F0"/>
        </w:rPr>
        <w:t xml:space="preserve">In Panel A on the upper left, highlight the blue GEM circles, lavender CSE squares, and gray GEM+CSE triangles. </w:t>
      </w:r>
    </w:p>
    <w:p w14:paraId="71CA0A35" w14:textId="77777777" w:rsidR="0031570C" w:rsidRPr="0031570C" w:rsidRDefault="0031570C" w:rsidP="0031570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BA524BD" w14:textId="6F919F24" w:rsidR="0031570C" w:rsidRPr="0031570C" w:rsidRDefault="0031570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1570C">
        <w:rPr>
          <w:rFonts w:cstheme="minorHAnsi"/>
          <w:color w:val="7030A0"/>
        </w:rPr>
        <w:t xml:space="preserve">BLI-derived </w:t>
      </w:r>
      <w:r w:rsidRPr="0031570C">
        <w:rPr>
          <w:rFonts w:cstheme="minorHAnsi"/>
          <w:i/>
          <w:iCs/>
          <w:color w:val="7030A0"/>
        </w:rPr>
        <w:t>in vivo</w:t>
      </w:r>
      <w:r w:rsidRPr="0031570C">
        <w:rPr>
          <w:rFonts w:cstheme="minorHAnsi"/>
          <w:color w:val="7030A0"/>
        </w:rPr>
        <w:t xml:space="preserve"> exposure was significantly associated with tumor growth inhibition in the GEM and CSE groups, whereas the association did not reach statistical significance in the GEM+CSE group </w:t>
      </w:r>
      <w:r w:rsidRPr="0031570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1570C">
        <w:rPr>
          <w:rFonts w:cstheme="minorHAnsi"/>
          <w:b/>
          <w:bCs/>
          <w:color w:val="7030A0"/>
        </w:rPr>
        <w:t>]</w:t>
      </w:r>
      <w:r w:rsidRPr="0031570C">
        <w:rPr>
          <w:rFonts w:cstheme="minorHAnsi"/>
          <w:color w:val="7030A0"/>
        </w:rPr>
        <w:t xml:space="preserve">. </w:t>
      </w:r>
    </w:p>
    <w:p w14:paraId="4BFDD0AC" w14:textId="673861F7" w:rsidR="0031570C" w:rsidRPr="00B07A3B" w:rsidRDefault="0031570C" w:rsidP="0031570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6. </w:t>
      </w:r>
      <w:r w:rsidRPr="00FC6E88">
        <w:rPr>
          <w:rFonts w:cstheme="minorHAnsi"/>
          <w:b/>
          <w:bCs/>
          <w:i/>
          <w:iCs/>
          <w:color w:val="00B0F0"/>
        </w:rPr>
        <w:t>Video Editor:</w:t>
      </w:r>
      <w:r w:rsidRPr="00FC6E88">
        <w:rPr>
          <w:rFonts w:cstheme="minorHAnsi"/>
          <w:color w:val="00B0F0"/>
        </w:rPr>
        <w:t xml:space="preserve"> </w:t>
      </w:r>
      <w:r w:rsidR="00552F41" w:rsidRPr="00FC6E88">
        <w:rPr>
          <w:rFonts w:cstheme="minorHAnsi"/>
          <w:i/>
          <w:iCs/>
          <w:color w:val="00B0F0"/>
        </w:rPr>
        <w:t>I</w:t>
      </w:r>
      <w:r w:rsidRPr="00FC6E88">
        <w:rPr>
          <w:rFonts w:cstheme="minorHAnsi"/>
          <w:i/>
          <w:iCs/>
          <w:color w:val="00B0F0"/>
        </w:rPr>
        <w:t xml:space="preserve">n Panel B on the upper right, highlight the GEM and CSE data and their statistically significant regression results. </w:t>
      </w:r>
    </w:p>
    <w:p w14:paraId="06D5393A" w14:textId="77777777" w:rsidR="0031570C" w:rsidRPr="0031570C" w:rsidRDefault="0031570C" w:rsidP="0031570C">
      <w:pPr>
        <w:pStyle w:val="ListParagraph"/>
        <w:spacing w:before="120"/>
        <w:ind w:left="907"/>
        <w:contextualSpacing w:val="0"/>
        <w:outlineLvl w:val="0"/>
        <w:rPr>
          <w:rFonts w:cstheme="minorHAnsi"/>
          <w:b/>
          <w:bCs/>
        </w:rPr>
      </w:pPr>
    </w:p>
    <w:p w14:paraId="2A0085A3" w14:textId="1027DCE0" w:rsidR="00495959" w:rsidRPr="00B07A3B" w:rsidRDefault="0031570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1570C">
        <w:rPr>
          <w:rFonts w:cstheme="minorHAnsi"/>
          <w:i/>
          <w:iCs/>
          <w:color w:val="7030A0"/>
        </w:rPr>
        <w:t>In vitro</w:t>
      </w:r>
      <w:r w:rsidRPr="0031570C">
        <w:rPr>
          <w:rFonts w:cstheme="minorHAnsi"/>
          <w:color w:val="7030A0"/>
        </w:rPr>
        <w:t xml:space="preserve"> and </w:t>
      </w:r>
      <w:r w:rsidRPr="0031570C">
        <w:rPr>
          <w:rFonts w:cstheme="minorHAnsi"/>
          <w:i/>
          <w:iCs/>
          <w:color w:val="7030A0"/>
        </w:rPr>
        <w:t>in vivo</w:t>
      </w:r>
      <w:r w:rsidRPr="0031570C">
        <w:rPr>
          <w:rFonts w:cstheme="minorHAnsi"/>
          <w:color w:val="7030A0"/>
        </w:rPr>
        <w:t xml:space="preserve"> BLI-derived exposure parameters showed positive associations across all treatment groups </w:t>
      </w:r>
      <w:r w:rsidRPr="0031570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1570C">
        <w:rPr>
          <w:rFonts w:cstheme="minorHAnsi"/>
          <w:b/>
          <w:bCs/>
          <w:color w:val="7030A0"/>
        </w:rPr>
        <w:t>]</w:t>
      </w:r>
      <w:r w:rsidRPr="0031570C">
        <w:rPr>
          <w:rFonts w:cstheme="minorHAnsi"/>
          <w:color w:val="7030A0"/>
        </w:rPr>
        <w:t xml:space="preserve">. The logarithmically transformed IC₅₀ and tumor growth inhibition values showed inverse relationships within the GEM, CSE, and GEM+CSE groups </w:t>
      </w:r>
      <w:r w:rsidRPr="0031570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1570C">
        <w:rPr>
          <w:rFonts w:cstheme="minorHAnsi"/>
          <w:b/>
          <w:bCs/>
          <w:color w:val="7030A0"/>
        </w:rPr>
        <w:t>]</w:t>
      </w:r>
      <w:r w:rsidRPr="0031570C">
        <w:rPr>
          <w:rFonts w:cstheme="minorHAnsi"/>
          <w:color w:val="7030A0"/>
        </w:rPr>
        <w:t xml:space="preserve">. </w:t>
      </w:r>
    </w:p>
    <w:p w14:paraId="71138099" w14:textId="55615B73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52F41">
        <w:rPr>
          <w:rFonts w:cstheme="minorHAnsi"/>
        </w:rPr>
        <w:t xml:space="preserve"> </w:t>
      </w:r>
      <w:r w:rsidR="00552F41" w:rsidRPr="00552F41">
        <w:rPr>
          <w:rFonts w:cstheme="minorHAnsi"/>
        </w:rPr>
        <w:t xml:space="preserve">Figure 6. </w:t>
      </w:r>
      <w:r w:rsidR="00552F41" w:rsidRPr="00D065C4">
        <w:rPr>
          <w:rFonts w:cstheme="minorHAnsi"/>
          <w:b/>
          <w:bCs/>
          <w:i/>
          <w:iCs/>
          <w:color w:val="00B0F0"/>
        </w:rPr>
        <w:t>Video Editor:</w:t>
      </w:r>
      <w:r w:rsidR="00552F41" w:rsidRPr="00D065C4">
        <w:rPr>
          <w:rFonts w:cstheme="minorHAnsi"/>
          <w:color w:val="00B0F0"/>
        </w:rPr>
        <w:t xml:space="preserve"> </w:t>
      </w:r>
      <w:r w:rsidR="00552F41" w:rsidRPr="00D065C4">
        <w:rPr>
          <w:rFonts w:cstheme="minorHAnsi"/>
          <w:i/>
          <w:iCs/>
          <w:color w:val="00B0F0"/>
        </w:rPr>
        <w:t xml:space="preserve">In Panel C on the lower left, trace the positive relationship between the BLI-derived in vivo and in vitro exposure parameters for </w:t>
      </w:r>
      <w:r w:rsidR="00E200C4">
        <w:rPr>
          <w:rFonts w:cstheme="minorHAnsi"/>
          <w:i/>
          <w:iCs/>
          <w:color w:val="00B0F0"/>
        </w:rPr>
        <w:t>all</w:t>
      </w:r>
      <w:r w:rsidR="00552F41" w:rsidRPr="00D065C4">
        <w:rPr>
          <w:rFonts w:cstheme="minorHAnsi"/>
          <w:i/>
          <w:iCs/>
          <w:color w:val="00B0F0"/>
        </w:rPr>
        <w:t xml:space="preserve"> treatment group.</w:t>
      </w:r>
    </w:p>
    <w:p w14:paraId="79D3CE29" w14:textId="20A022B8" w:rsidR="00495959" w:rsidRPr="00B07A3B" w:rsidRDefault="0031570C" w:rsidP="009D108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065C4">
        <w:rPr>
          <w:rFonts w:cstheme="minorHAnsi"/>
        </w:rPr>
        <w:t>LAB MEDIA:</w:t>
      </w:r>
      <w:r w:rsidR="00552F41" w:rsidRPr="00D065C4">
        <w:rPr>
          <w:rFonts w:cstheme="minorHAnsi"/>
        </w:rPr>
        <w:t xml:space="preserve"> Figure 6. </w:t>
      </w:r>
      <w:r w:rsidR="00552F41" w:rsidRPr="00D065C4">
        <w:rPr>
          <w:rFonts w:cstheme="minorHAnsi"/>
          <w:b/>
          <w:bCs/>
          <w:i/>
          <w:iCs/>
          <w:color w:val="00B0F0"/>
        </w:rPr>
        <w:t>Video Editor:</w:t>
      </w:r>
      <w:r w:rsidR="00552F41" w:rsidRPr="00D065C4">
        <w:rPr>
          <w:rFonts w:cstheme="minorHAnsi"/>
          <w:color w:val="00B0F0"/>
        </w:rPr>
        <w:t xml:space="preserve"> </w:t>
      </w:r>
      <w:r w:rsidR="00552F41" w:rsidRPr="00D065C4">
        <w:rPr>
          <w:rFonts w:cstheme="minorHAnsi"/>
          <w:i/>
          <w:iCs/>
          <w:color w:val="00B0F0"/>
        </w:rPr>
        <w:t>In Panel D on the lower right, highlight the downward orientation of the GEM, CSE, and GEM+CSE association region</w:t>
      </w:r>
      <w:r w:rsidR="00D065C4">
        <w:rPr>
          <w:rFonts w:cstheme="minorHAnsi"/>
          <w:i/>
          <w:iCs/>
          <w:color w:val="00B0F0"/>
        </w:rPr>
        <w:t>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9-17T17:39:00Z" w:initials="RM">
    <w:p w14:paraId="6AC99C57" w14:textId="77777777" w:rsidR="006B1EBD" w:rsidRDefault="006B1EBD" w:rsidP="006B1EB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could you please specify if these cells were maintained in flasks or plates. Also specify the volume of the plate/flask used.</w:t>
      </w:r>
    </w:p>
  </w:comment>
  <w:comment w:id="3" w:author="Ruchira  Mukherji" w:date="2026-09-17T17:40:00Z" w:initials="RM">
    <w:p w14:paraId="6AA9E7D7" w14:textId="77777777" w:rsidR="006B1EBD" w:rsidRDefault="006B1EBD" w:rsidP="006B1EB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in this step, were the transfected cells in flasks or plates</w:t>
      </w:r>
    </w:p>
  </w:comment>
  <w:comment w:id="4" w:author="Ruchira  Mukherji" w:date="2026-09-17T17:43:00Z" w:initials="RM">
    <w:p w14:paraId="10E9A6FA" w14:textId="77777777" w:rsidR="002D4ADD" w:rsidRDefault="006B1EBD" w:rsidP="002D4ADD">
      <w:pPr>
        <w:pStyle w:val="CommentText"/>
      </w:pPr>
      <w:r>
        <w:rPr>
          <w:rStyle w:val="CommentReference"/>
        </w:rPr>
        <w:annotationRef/>
      </w:r>
      <w:r w:rsidR="002D4ADD">
        <w:rPr>
          <w:color w:val="000000"/>
          <w:lang w:val="en-IN"/>
        </w:rPr>
        <w:t xml:space="preserve">Authors please confirm that in this </w:t>
      </w:r>
      <w:r w:rsidR="002D4ADD">
        <w:rPr>
          <w:b/>
          <w:bCs/>
          <w:color w:val="000000"/>
          <w:lang w:val="en-IN"/>
        </w:rPr>
        <w:t xml:space="preserve">transfected </w:t>
      </w:r>
      <w:r w:rsidR="002D4ADD">
        <w:rPr>
          <w:color w:val="000000"/>
          <w:lang w:val="en-IN"/>
        </w:rPr>
        <w:t>BxPC-3 cells were used. If not, then were these the wild type cells?</w:t>
      </w:r>
    </w:p>
  </w:comment>
  <w:comment w:id="5" w:author="Ruchira  Mukherji" w:date="2026-09-17T16:25:00Z" w:initials="RM">
    <w:p w14:paraId="16114716" w14:textId="77777777" w:rsidR="00D7203B" w:rsidRDefault="00D7203B" w:rsidP="00D7203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could you please specify the volume to the tube used here.</w:t>
      </w:r>
    </w:p>
  </w:comment>
  <w:comment w:id="6" w:author="Ruchira  Mukherji" w:date="2026-09-17T17:20:00Z" w:initials="RM">
    <w:p w14:paraId="5E4490A0" w14:textId="77777777" w:rsidR="00FF6490" w:rsidRDefault="00FF6490" w:rsidP="00FF649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specify the volume of tube used here.</w:t>
      </w:r>
    </w:p>
  </w:comment>
  <w:comment w:id="7" w:author="Ruchira  Mukherji" w:date="2026-09-17T17:52:00Z" w:initials="RM">
    <w:p w14:paraId="7021B0A9" w14:textId="63C61971" w:rsidR="00856503" w:rsidRDefault="00856503" w:rsidP="0085650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 please specify the volume of tube used in this step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C99C57" w15:done="0"/>
  <w15:commentEx w15:paraId="6AA9E7D7" w15:done="0"/>
  <w15:commentEx w15:paraId="10E9A6FA" w15:done="0"/>
  <w15:commentEx w15:paraId="16114716" w15:done="0"/>
  <w15:commentEx w15:paraId="5E4490A0" w15:done="0"/>
  <w15:commentEx w15:paraId="7021B0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B907A0" w16cex:dateUtc="2026-09-17T12:09:00Z"/>
  <w16cex:commentExtensible w16cex:durableId="58345D13" w16cex:dateUtc="2026-09-17T12:10:00Z"/>
  <w16cex:commentExtensible w16cex:durableId="6650BCAF" w16cex:dateUtc="2026-09-17T12:13:00Z"/>
  <w16cex:commentExtensible w16cex:durableId="1194EB31" w16cex:dateUtc="2026-09-17T10:55:00Z"/>
  <w16cex:commentExtensible w16cex:durableId="0968846F" w16cex:dateUtc="2026-09-17T11:50:00Z"/>
  <w16cex:commentExtensible w16cex:durableId="63A3420C" w16cex:dateUtc="2026-09-17T1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C99C57" w16cid:durableId="5DB907A0"/>
  <w16cid:commentId w16cid:paraId="6AA9E7D7" w16cid:durableId="58345D13"/>
  <w16cid:commentId w16cid:paraId="10E9A6FA" w16cid:durableId="6650BCAF"/>
  <w16cid:commentId w16cid:paraId="16114716" w16cid:durableId="1194EB31"/>
  <w16cid:commentId w16cid:paraId="5E4490A0" w16cid:durableId="0968846F"/>
  <w16cid:commentId w16cid:paraId="7021B0A9" w16cid:durableId="63A342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3421" w14:textId="77777777" w:rsidR="000B1993" w:rsidRDefault="000B1993">
      <w:r>
        <w:separator/>
      </w:r>
    </w:p>
    <w:p w14:paraId="578E9095" w14:textId="77777777" w:rsidR="000B1993" w:rsidRDefault="000B1993"/>
  </w:endnote>
  <w:endnote w:type="continuationSeparator" w:id="0">
    <w:p w14:paraId="1F25A1EC" w14:textId="77777777" w:rsidR="000B1993" w:rsidRDefault="000B1993">
      <w:r>
        <w:continuationSeparator/>
      </w:r>
    </w:p>
    <w:p w14:paraId="01C1A631" w14:textId="77777777" w:rsidR="000B1993" w:rsidRDefault="000B19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2C206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C5C5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25779" w14:textId="77777777" w:rsidR="000B1993" w:rsidRDefault="000B1993">
      <w:r>
        <w:separator/>
      </w:r>
    </w:p>
    <w:p w14:paraId="66429DEA" w14:textId="77777777" w:rsidR="000B1993" w:rsidRDefault="000B1993"/>
  </w:footnote>
  <w:footnote w:type="continuationSeparator" w:id="0">
    <w:p w14:paraId="33C6DAA9" w14:textId="77777777" w:rsidR="000B1993" w:rsidRDefault="000B1993">
      <w:r>
        <w:continuationSeparator/>
      </w:r>
    </w:p>
    <w:p w14:paraId="6EBF50D8" w14:textId="77777777" w:rsidR="000B1993" w:rsidRDefault="000B19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B54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C1A"/>
    <w:rsid w:val="00055137"/>
    <w:rsid w:val="00073E5B"/>
    <w:rsid w:val="00074929"/>
    <w:rsid w:val="00083792"/>
    <w:rsid w:val="00085F90"/>
    <w:rsid w:val="0008613B"/>
    <w:rsid w:val="00086C71"/>
    <w:rsid w:val="00090BAC"/>
    <w:rsid w:val="0009624C"/>
    <w:rsid w:val="000A2498"/>
    <w:rsid w:val="000A3ACB"/>
    <w:rsid w:val="000B0B1A"/>
    <w:rsid w:val="000B1993"/>
    <w:rsid w:val="000B2085"/>
    <w:rsid w:val="000B387A"/>
    <w:rsid w:val="000B4E9A"/>
    <w:rsid w:val="000C27AE"/>
    <w:rsid w:val="000C36D5"/>
    <w:rsid w:val="000C39AF"/>
    <w:rsid w:val="000C6AEE"/>
    <w:rsid w:val="000C7BC7"/>
    <w:rsid w:val="000D065F"/>
    <w:rsid w:val="000D0D24"/>
    <w:rsid w:val="000D17E8"/>
    <w:rsid w:val="000D2C59"/>
    <w:rsid w:val="000D35D9"/>
    <w:rsid w:val="000D466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CD2"/>
    <w:rsid w:val="001016BD"/>
    <w:rsid w:val="001026D1"/>
    <w:rsid w:val="001052C8"/>
    <w:rsid w:val="00106F46"/>
    <w:rsid w:val="00110EA0"/>
    <w:rsid w:val="001115D1"/>
    <w:rsid w:val="00113B4A"/>
    <w:rsid w:val="00113F3E"/>
    <w:rsid w:val="0011473F"/>
    <w:rsid w:val="00125924"/>
    <w:rsid w:val="00126973"/>
    <w:rsid w:val="001302B1"/>
    <w:rsid w:val="001305B7"/>
    <w:rsid w:val="00132945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551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58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4ADD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70C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1596"/>
    <w:rsid w:val="003A49C2"/>
    <w:rsid w:val="003A6D9E"/>
    <w:rsid w:val="003B00BE"/>
    <w:rsid w:val="003B3E2A"/>
    <w:rsid w:val="003B5E26"/>
    <w:rsid w:val="003C1044"/>
    <w:rsid w:val="003C2AEF"/>
    <w:rsid w:val="003C32EC"/>
    <w:rsid w:val="003C5C5F"/>
    <w:rsid w:val="003D0847"/>
    <w:rsid w:val="003D0FD6"/>
    <w:rsid w:val="003D40E8"/>
    <w:rsid w:val="003E2BC9"/>
    <w:rsid w:val="003F4B52"/>
    <w:rsid w:val="004018D8"/>
    <w:rsid w:val="004025BB"/>
    <w:rsid w:val="004034B6"/>
    <w:rsid w:val="004074BF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7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26383"/>
    <w:rsid w:val="00530DD9"/>
    <w:rsid w:val="005320E4"/>
    <w:rsid w:val="00534B83"/>
    <w:rsid w:val="005363E2"/>
    <w:rsid w:val="00536D89"/>
    <w:rsid w:val="00544E06"/>
    <w:rsid w:val="005463CB"/>
    <w:rsid w:val="00547699"/>
    <w:rsid w:val="00552F41"/>
    <w:rsid w:val="00557116"/>
    <w:rsid w:val="0055763A"/>
    <w:rsid w:val="005611F3"/>
    <w:rsid w:val="00565757"/>
    <w:rsid w:val="00577769"/>
    <w:rsid w:val="0058214E"/>
    <w:rsid w:val="005829FA"/>
    <w:rsid w:val="0058375F"/>
    <w:rsid w:val="00585BBE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2FF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A8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EB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5C0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551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A1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503"/>
    <w:rsid w:val="00860BC3"/>
    <w:rsid w:val="0086243E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9B4"/>
    <w:rsid w:val="008C642C"/>
    <w:rsid w:val="008D0E4A"/>
    <w:rsid w:val="008D2A6A"/>
    <w:rsid w:val="008D52FB"/>
    <w:rsid w:val="008D5443"/>
    <w:rsid w:val="008D58EC"/>
    <w:rsid w:val="008D69D0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8D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568"/>
    <w:rsid w:val="00987081"/>
    <w:rsid w:val="00992857"/>
    <w:rsid w:val="00993FB0"/>
    <w:rsid w:val="00997611"/>
    <w:rsid w:val="009A094B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1D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A17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DB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253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3F0"/>
    <w:rsid w:val="00B36993"/>
    <w:rsid w:val="00B40E12"/>
    <w:rsid w:val="00B435B8"/>
    <w:rsid w:val="00B4499C"/>
    <w:rsid w:val="00B509E9"/>
    <w:rsid w:val="00B5116D"/>
    <w:rsid w:val="00B51359"/>
    <w:rsid w:val="00B534BA"/>
    <w:rsid w:val="00B60E0A"/>
    <w:rsid w:val="00B6201D"/>
    <w:rsid w:val="00B653B7"/>
    <w:rsid w:val="00B66A14"/>
    <w:rsid w:val="00B7250F"/>
    <w:rsid w:val="00B73A90"/>
    <w:rsid w:val="00B807E5"/>
    <w:rsid w:val="00B847A0"/>
    <w:rsid w:val="00B87BC5"/>
    <w:rsid w:val="00B87D12"/>
    <w:rsid w:val="00BA0371"/>
    <w:rsid w:val="00BA2292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0EAC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5C4"/>
    <w:rsid w:val="00D103FE"/>
    <w:rsid w:val="00D10BFA"/>
    <w:rsid w:val="00D10F00"/>
    <w:rsid w:val="00D1296E"/>
    <w:rsid w:val="00D13549"/>
    <w:rsid w:val="00D150D8"/>
    <w:rsid w:val="00D1763F"/>
    <w:rsid w:val="00D30007"/>
    <w:rsid w:val="00D300CE"/>
    <w:rsid w:val="00D351FF"/>
    <w:rsid w:val="00D367C0"/>
    <w:rsid w:val="00D37C1A"/>
    <w:rsid w:val="00D406D6"/>
    <w:rsid w:val="00D45AF7"/>
    <w:rsid w:val="00D466AF"/>
    <w:rsid w:val="00D473BF"/>
    <w:rsid w:val="00D47642"/>
    <w:rsid w:val="00D50A19"/>
    <w:rsid w:val="00D5169F"/>
    <w:rsid w:val="00D53725"/>
    <w:rsid w:val="00D630A2"/>
    <w:rsid w:val="00D6314B"/>
    <w:rsid w:val="00D654B4"/>
    <w:rsid w:val="00D662C7"/>
    <w:rsid w:val="00D712A3"/>
    <w:rsid w:val="00D7203B"/>
    <w:rsid w:val="00D75084"/>
    <w:rsid w:val="00D75193"/>
    <w:rsid w:val="00D7547B"/>
    <w:rsid w:val="00D80912"/>
    <w:rsid w:val="00D80DEB"/>
    <w:rsid w:val="00D819B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2A9"/>
    <w:rsid w:val="00E04E62"/>
    <w:rsid w:val="00E04EFB"/>
    <w:rsid w:val="00E06B75"/>
    <w:rsid w:val="00E072C2"/>
    <w:rsid w:val="00E200C4"/>
    <w:rsid w:val="00E24673"/>
    <w:rsid w:val="00E24898"/>
    <w:rsid w:val="00E27EF5"/>
    <w:rsid w:val="00E355EE"/>
    <w:rsid w:val="00E35FB3"/>
    <w:rsid w:val="00E44C46"/>
    <w:rsid w:val="00E4663E"/>
    <w:rsid w:val="00E52377"/>
    <w:rsid w:val="00E53E57"/>
    <w:rsid w:val="00E55496"/>
    <w:rsid w:val="00E55F56"/>
    <w:rsid w:val="00E6491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BE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78D"/>
    <w:rsid w:val="00F146E3"/>
    <w:rsid w:val="00F153F4"/>
    <w:rsid w:val="00F22F5E"/>
    <w:rsid w:val="00F255A2"/>
    <w:rsid w:val="00F3061E"/>
    <w:rsid w:val="00F31655"/>
    <w:rsid w:val="00F35094"/>
    <w:rsid w:val="00F35B29"/>
    <w:rsid w:val="00F3618A"/>
    <w:rsid w:val="00F4412A"/>
    <w:rsid w:val="00F46421"/>
    <w:rsid w:val="00F53D49"/>
    <w:rsid w:val="00F563AC"/>
    <w:rsid w:val="00F56A75"/>
    <w:rsid w:val="00F6015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E88"/>
    <w:rsid w:val="00FD00B1"/>
    <w:rsid w:val="00FD1497"/>
    <w:rsid w:val="00FE059A"/>
    <w:rsid w:val="00FF25E5"/>
    <w:rsid w:val="00FF335E"/>
    <w:rsid w:val="00FF34BC"/>
    <w:rsid w:val="00FF6490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wufangping2020@163.com" TargetMode="External"/><Relationship Id="rId18" Type="http://schemas.openxmlformats.org/officeDocument/2006/relationships/hyperlink" Target="https://review.jove.com/files_upload.php?src=21745938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files_upload.php?src=21745938" TargetMode="External"/><Relationship Id="rId12" Type="http://schemas.openxmlformats.org/officeDocument/2006/relationships/hyperlink" Target="mailto:wangxinyu202019@163.com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header" Target="header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microsoft.com/office/2011/relationships/commentsExtended" Target="commentsExtended.xm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97866606@qq.com" TargetMode="External"/><Relationship Id="rId24" Type="http://schemas.openxmlformats.org/officeDocument/2006/relationships/header" Target="header1.xml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gmancang@zcmu.edu.cn" TargetMode="External"/><Relationship Id="rId23" Type="http://schemas.openxmlformats.org/officeDocument/2006/relationships/hyperlink" Target="https://review.jove.com/files_upload.php?src=21745938" TargetMode="External"/><Relationship Id="rId28" Type="http://schemas.openxmlformats.org/officeDocument/2006/relationships/header" Target="header3.xml"/><Relationship Id="rId10" Type="http://schemas.openxmlformats.org/officeDocument/2006/relationships/hyperlink" Target="mailto:202412215201001@zcmu.edu.cn" TargetMode="External"/><Relationship Id="rId19" Type="http://schemas.openxmlformats.org/officeDocument/2006/relationships/comments" Target="comments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202412210402026@zcmu.edu.cn" TargetMode="External"/><Relationship Id="rId14" Type="http://schemas.openxmlformats.org/officeDocument/2006/relationships/hyperlink" Target="mailto:202011113511009@zcmu.edu.cn" TargetMode="External"/><Relationship Id="rId22" Type="http://schemas.microsoft.com/office/2018/08/relationships/commentsExtensible" Target="commentsExtensible.xml"/><Relationship Id="rId27" Type="http://schemas.openxmlformats.org/officeDocument/2006/relationships/footer" Target="footer2.xml"/><Relationship Id="rId30" Type="http://schemas.openxmlformats.org/officeDocument/2006/relationships/fontTable" Target="fontTable.xml"/><Relationship Id="rId8" Type="http://schemas.openxmlformats.org/officeDocument/2006/relationships/hyperlink" Target="mailto:gmancang@zcmu.edu.c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0C6E9A2C53E4471AB629E92041F6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AB71-42D9-43C2-81B6-943ABE6F6C49}"/>
      </w:docPartPr>
      <w:docPartBody>
        <w:p w:rsidR="00ED6D7C" w:rsidRDefault="003B4DAA" w:rsidP="003B4DAA">
          <w:pPr>
            <w:pStyle w:val="50C6E9A2C53E4471AB629E92041F6B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B4DAA"/>
    <w:rsid w:val="003C2AEF"/>
    <w:rsid w:val="003C4629"/>
    <w:rsid w:val="003D5DD0"/>
    <w:rsid w:val="003E657A"/>
    <w:rsid w:val="003F25B4"/>
    <w:rsid w:val="004232DB"/>
    <w:rsid w:val="0045037E"/>
    <w:rsid w:val="004A526F"/>
    <w:rsid w:val="004A6E71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4A80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D53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3AC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6D7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0C6E9A2C53E4471AB629E92041F6B1C">
    <w:name w:val="50C6E9A2C53E4471AB629E92041F6B1C"/>
    <w:rsid w:val="003B4DA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3028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137</cp:revision>
  <dcterms:created xsi:type="dcterms:W3CDTF">2025-01-20T00:16:00Z</dcterms:created>
  <dcterms:modified xsi:type="dcterms:W3CDTF">2026-09-17T12:43:00Z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