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B2561" w:rsidRDefault="00000000">
      <w:pPr>
        <w:rPr>
          <w:b/>
          <w:bCs/>
        </w:rPr>
      </w:pPr>
      <w:r>
        <w:rPr>
          <w:b/>
          <w:bCs/>
        </w:rPr>
        <w:t>Submission ID #: 71239</w:t>
      </w:r>
    </w:p>
    <w:p w14:paraId="00000002" w14:textId="77777777" w:rsidR="00EB2561" w:rsidRDefault="00000000">
      <w:pPr>
        <w:rPr>
          <w:b/>
          <w:bCs/>
        </w:rPr>
      </w:pPr>
      <w:r>
        <w:rPr>
          <w:b/>
          <w:bCs/>
        </w:rPr>
        <w:t>Scriptwriter Name: Pallavi Sharma</w:t>
      </w:r>
    </w:p>
    <w:p w14:paraId="00000003" w14:textId="77777777" w:rsidR="00EB2561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EB2561">
          <w:rPr>
            <w:b/>
            <w:bCs/>
            <w:color w:val="0000FF"/>
            <w:u w:val="single"/>
          </w:rPr>
          <w:t>https://review.jove.com/account/file-uploader?src=21727943</w:t>
        </w:r>
      </w:hyperlink>
    </w:p>
    <w:p w14:paraId="00000004" w14:textId="77777777" w:rsidR="00EB2561" w:rsidRDefault="00EB2561">
      <w:pPr>
        <w:rPr>
          <w:b/>
          <w:bCs/>
        </w:rPr>
      </w:pPr>
    </w:p>
    <w:p w14:paraId="00000005" w14:textId="77777777" w:rsidR="00EB2561" w:rsidRDefault="00000000"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Patient-Specific Electric Field Simulation in Spinal Metastasis Electrochemotherapy</w:t>
      </w:r>
    </w:p>
    <w:p w14:paraId="00000006" w14:textId="77777777" w:rsidR="00EB2561" w:rsidRDefault="00EB2561">
      <w:pPr>
        <w:rPr>
          <w:b/>
          <w:bCs/>
        </w:rPr>
      </w:pPr>
    </w:p>
    <w:p w14:paraId="00000007" w14:textId="77777777" w:rsidR="00EB2561" w:rsidRDefault="00EB2561">
      <w:pPr>
        <w:rPr>
          <w:b/>
          <w:bCs/>
        </w:rPr>
      </w:pPr>
    </w:p>
    <w:p w14:paraId="00000008" w14:textId="77777777" w:rsidR="00EB2561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9" w14:textId="77777777" w:rsidR="00EB2561" w:rsidRDefault="00EB2561">
      <w:pPr>
        <w:rPr>
          <w:b/>
          <w:bCs/>
          <w:sz w:val="28"/>
          <w:szCs w:val="28"/>
        </w:rPr>
      </w:pPr>
    </w:p>
    <w:p w14:paraId="0000000A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</w:rPr>
        <w:t>Paul Beunon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*, Baptiste Bonnet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Lambros Tselikas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Paul Janvier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Genti Xhepa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Olivier Sutter</w:t>
      </w:r>
      <w:r>
        <w:rPr>
          <w:sz w:val="28"/>
          <w:szCs w:val="28"/>
          <w:vertAlign w:val="superscript"/>
        </w:rPr>
        <w:t>2,3</w:t>
      </w:r>
      <w:r>
        <w:rPr>
          <w:sz w:val="28"/>
          <w:szCs w:val="28"/>
        </w:rPr>
        <w:t>, Baudouin Denis de Senneville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, Luc Lafitte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, Olivier Seror</w:t>
      </w:r>
      <w:r>
        <w:rPr>
          <w:sz w:val="28"/>
          <w:szCs w:val="28"/>
          <w:vertAlign w:val="superscript"/>
        </w:rPr>
        <w:t>2,3</w:t>
      </w:r>
      <w:r>
        <w:rPr>
          <w:sz w:val="28"/>
          <w:szCs w:val="28"/>
        </w:rPr>
        <w:t>, Lluis M. Mir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, Frederic Deschamps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Clair Poignard</w:t>
      </w:r>
      <w:r>
        <w:rPr>
          <w:sz w:val="28"/>
          <w:szCs w:val="28"/>
          <w:vertAlign w:val="superscript"/>
        </w:rPr>
        <w:t>3</w:t>
      </w:r>
    </w:p>
    <w:p w14:paraId="0000000B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Department of Anesthesiology, Surgery and Interventional Radiology, Gustave Roussy</w:t>
      </w:r>
    </w:p>
    <w:p w14:paraId="0000000C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Interventional Radiology Department, </w:t>
      </w:r>
      <w:proofErr w:type="spellStart"/>
      <w:r>
        <w:rPr>
          <w:sz w:val="28"/>
          <w:szCs w:val="28"/>
        </w:rPr>
        <w:t>Avicenne</w:t>
      </w:r>
      <w:proofErr w:type="spellEnd"/>
      <w:r>
        <w:rPr>
          <w:sz w:val="28"/>
          <w:szCs w:val="28"/>
        </w:rPr>
        <w:t xml:space="preserve"> Hospital</w:t>
      </w:r>
    </w:p>
    <w:p w14:paraId="0000000D" w14:textId="77777777" w:rsidR="00EB2561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proofErr w:type="gramStart"/>
      <w:r>
        <w:rPr>
          <w:sz w:val="28"/>
          <w:szCs w:val="28"/>
        </w:rPr>
        <w:t>AIMOKA :</w:t>
      </w:r>
      <w:proofErr w:type="gramEnd"/>
      <w:r>
        <w:rPr>
          <w:sz w:val="28"/>
          <w:szCs w:val="28"/>
        </w:rPr>
        <w:t xml:space="preserve"> Inria, Assistance </w:t>
      </w:r>
      <w:proofErr w:type="spellStart"/>
      <w:r>
        <w:rPr>
          <w:sz w:val="28"/>
          <w:szCs w:val="28"/>
        </w:rPr>
        <w:t>Publique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Hôpitaux</w:t>
      </w:r>
      <w:proofErr w:type="spellEnd"/>
      <w:r>
        <w:rPr>
          <w:sz w:val="28"/>
          <w:szCs w:val="28"/>
        </w:rPr>
        <w:t xml:space="preserve"> de Paris, Université Sorbonne Paris Nord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CNRS, INRIA, University of Bordeaux</w:t>
      </w:r>
    </w:p>
    <w:p w14:paraId="0000000E" w14:textId="77777777" w:rsidR="00EB2561" w:rsidRDefault="00000000">
      <w:pPr>
        <w:rPr>
          <w:b/>
          <w:bCs/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UMR 9018 METSY, Université Paris-Saclay, CNRS, Gustave Roussy</w:t>
      </w:r>
    </w:p>
    <w:p w14:paraId="0000000F" w14:textId="77777777" w:rsidR="00EB2561" w:rsidRDefault="00EB2561">
      <w:pPr>
        <w:widowControl w:val="0"/>
        <w:rPr>
          <w:color w:val="000000"/>
        </w:rPr>
      </w:pPr>
    </w:p>
    <w:p w14:paraId="00000012" w14:textId="77777777" w:rsidR="00EB2561" w:rsidRDefault="00EB2561"/>
    <w:p w14:paraId="00000013" w14:textId="77777777" w:rsidR="00EB2561" w:rsidRDefault="00000000">
      <w:pPr>
        <w:rPr>
          <w:b/>
          <w:bCs/>
        </w:rPr>
      </w:pPr>
      <w:bookmarkStart w:id="0" w:name="_heading=h.5i1zqlkcw060" w:colFirst="0" w:colLast="0"/>
      <w:bookmarkEnd w:id="0"/>
      <w:r>
        <w:rPr>
          <w:b/>
          <w:bCs/>
        </w:rPr>
        <w:t xml:space="preserve">Corresponding Authors: </w:t>
      </w:r>
    </w:p>
    <w:p w14:paraId="00000014" w14:textId="77777777" w:rsidR="00EB2561" w:rsidRDefault="00000000">
      <w:proofErr w:type="spellStart"/>
      <w:r>
        <w:t>Beunon</w:t>
      </w:r>
      <w:proofErr w:type="spellEnd"/>
      <w:r>
        <w:t xml:space="preserve"> Paul</w:t>
      </w:r>
      <w:r>
        <w:tab/>
      </w:r>
      <w:r>
        <w:tab/>
      </w:r>
      <w:r>
        <w:tab/>
      </w:r>
      <w:r>
        <w:tab/>
        <w:t>(</w:t>
      </w:r>
      <w:hyperlink r:id="rId9">
        <w:r w:rsidR="00EB2561">
          <w:rPr>
            <w:color w:val="0000FF"/>
            <w:u w:val="single"/>
          </w:rPr>
          <w:t>paul.beunon@gustaveroussy.fr</w:t>
        </w:r>
      </w:hyperlink>
      <w:r>
        <w:rPr>
          <w:color w:val="1155CC"/>
          <w:u w:val="single"/>
        </w:rPr>
        <w:t>)</w:t>
      </w:r>
    </w:p>
    <w:p w14:paraId="00000015" w14:textId="77777777" w:rsidR="00EB2561" w:rsidRDefault="00EB2561"/>
    <w:p w14:paraId="00000016" w14:textId="77777777" w:rsidR="00EB2561" w:rsidRDefault="00EB2561"/>
    <w:p w14:paraId="00000017" w14:textId="77777777" w:rsidR="00EB2561" w:rsidRDefault="00000000">
      <w:proofErr w:type="gramStart"/>
      <w:r>
        <w:rPr>
          <w:b/>
          <w:bCs/>
        </w:rPr>
        <w:t>Email Addresses</w:t>
      </w:r>
      <w:proofErr w:type="gramEnd"/>
      <w:r>
        <w:rPr>
          <w:b/>
          <w:bCs/>
        </w:rPr>
        <w:t xml:space="preserve"> for All Authors:</w:t>
      </w:r>
      <w:r>
        <w:t xml:space="preserve"> </w:t>
      </w:r>
    </w:p>
    <w:p w14:paraId="00000018" w14:textId="77777777" w:rsidR="00EB2561" w:rsidRDefault="00000000">
      <w:pPr>
        <w:rPr>
          <w:color w:val="1155CC"/>
          <w:u w:val="single"/>
        </w:rPr>
      </w:pPr>
      <w:r>
        <w:t xml:space="preserve">Baptiste Bonnet </w:t>
      </w:r>
      <w:r>
        <w:tab/>
      </w:r>
      <w:r>
        <w:tab/>
      </w:r>
      <w:r>
        <w:tab/>
        <w:t>(</w:t>
      </w:r>
      <w:hyperlink r:id="rId10">
        <w:r w:rsidR="00EB2561">
          <w:rPr>
            <w:color w:val="0000FF"/>
            <w:u w:val="single"/>
          </w:rPr>
          <w:t>baptiste.bonnet@gustaveroussy.fr</w:t>
        </w:r>
      </w:hyperlink>
      <w:r>
        <w:rPr>
          <w:color w:val="1155CC"/>
          <w:u w:val="single"/>
        </w:rPr>
        <w:t>)</w:t>
      </w:r>
    </w:p>
    <w:p w14:paraId="00000019" w14:textId="77777777" w:rsidR="00EB2561" w:rsidRDefault="00000000">
      <w:r>
        <w:t>Lambros Tselikas</w:t>
      </w:r>
      <w:r>
        <w:tab/>
      </w:r>
      <w:r>
        <w:tab/>
      </w:r>
      <w:r>
        <w:tab/>
        <w:t>(</w:t>
      </w:r>
      <w:hyperlink r:id="rId11">
        <w:r w:rsidR="00EB2561">
          <w:rPr>
            <w:color w:val="0000FF"/>
            <w:u w:val="single"/>
          </w:rPr>
          <w:t>lambros.tselikas@gustaveroussy.fr</w:t>
        </w:r>
      </w:hyperlink>
      <w:r>
        <w:rPr>
          <w:color w:val="1155CC"/>
          <w:u w:val="single"/>
        </w:rPr>
        <w:t>)</w:t>
      </w:r>
    </w:p>
    <w:p w14:paraId="0000001A" w14:textId="77777777" w:rsidR="00EB2561" w:rsidRDefault="00000000">
      <w:r>
        <w:t>Paul Janvier</w:t>
      </w:r>
      <w:r>
        <w:tab/>
      </w:r>
      <w:r>
        <w:tab/>
      </w:r>
      <w:r>
        <w:tab/>
      </w:r>
      <w:r>
        <w:tab/>
        <w:t>(</w:t>
      </w:r>
      <w:hyperlink r:id="rId12">
        <w:r w:rsidR="00EB2561">
          <w:rPr>
            <w:color w:val="0000FF"/>
            <w:u w:val="single"/>
          </w:rPr>
          <w:t>paul.janvier@gustaveroussy.fr</w:t>
        </w:r>
      </w:hyperlink>
      <w:r>
        <w:rPr>
          <w:color w:val="1155CC"/>
          <w:u w:val="single"/>
        </w:rPr>
        <w:t>)</w:t>
      </w:r>
    </w:p>
    <w:p w14:paraId="0000001B" w14:textId="77777777" w:rsidR="00EB2561" w:rsidRDefault="00000000">
      <w:r>
        <w:t>Genti Xhepa</w:t>
      </w:r>
      <w:r>
        <w:tab/>
      </w:r>
      <w:r>
        <w:tab/>
      </w:r>
      <w:r>
        <w:tab/>
      </w:r>
      <w:r>
        <w:tab/>
        <w:t>(</w:t>
      </w:r>
      <w:hyperlink r:id="rId13">
        <w:r w:rsidR="00EB2561">
          <w:rPr>
            <w:color w:val="0000FF"/>
            <w:u w:val="single"/>
          </w:rPr>
          <w:t>genti.xhepa@gustaveroussy.fr</w:t>
        </w:r>
      </w:hyperlink>
      <w:r>
        <w:rPr>
          <w:color w:val="1155CC"/>
          <w:u w:val="single"/>
        </w:rPr>
        <w:t>)</w:t>
      </w:r>
    </w:p>
    <w:p w14:paraId="0000001C" w14:textId="77777777" w:rsidR="00EB2561" w:rsidRDefault="00000000">
      <w:r>
        <w:t>Olivier Sutter</w:t>
      </w:r>
      <w:r>
        <w:tab/>
      </w:r>
      <w:r>
        <w:tab/>
      </w:r>
      <w:r>
        <w:tab/>
      </w:r>
      <w:r>
        <w:tab/>
        <w:t>(</w:t>
      </w:r>
      <w:hyperlink r:id="rId14">
        <w:r w:rsidR="00EB2561">
          <w:rPr>
            <w:color w:val="0000FF"/>
            <w:u w:val="single"/>
          </w:rPr>
          <w:t>olivier.sutter@aphp.fr</w:t>
        </w:r>
      </w:hyperlink>
      <w:r>
        <w:rPr>
          <w:color w:val="1155CC"/>
          <w:u w:val="single"/>
        </w:rPr>
        <w:t>)</w:t>
      </w:r>
    </w:p>
    <w:p w14:paraId="0000001D" w14:textId="77777777" w:rsidR="00EB2561" w:rsidRDefault="00000000">
      <w:r>
        <w:t xml:space="preserve">Baudouin Denis de </w:t>
      </w:r>
      <w:proofErr w:type="spellStart"/>
      <w:r>
        <w:t>Senneville</w:t>
      </w:r>
      <w:proofErr w:type="spellEnd"/>
      <w:r>
        <w:tab/>
      </w:r>
      <w:r>
        <w:tab/>
        <w:t>(</w:t>
      </w:r>
      <w:hyperlink r:id="rId15">
        <w:r w:rsidR="00EB2561">
          <w:rPr>
            <w:color w:val="0000FF"/>
            <w:u w:val="single"/>
          </w:rPr>
          <w:t>baudouin.denis-de-senneville@inria.fr</w:t>
        </w:r>
      </w:hyperlink>
      <w:r>
        <w:rPr>
          <w:color w:val="1155CC"/>
          <w:u w:val="single"/>
        </w:rPr>
        <w:t>)</w:t>
      </w:r>
    </w:p>
    <w:p w14:paraId="0000001E" w14:textId="77777777" w:rsidR="00EB2561" w:rsidRPr="00BB3960" w:rsidRDefault="00000000">
      <w:pPr>
        <w:rPr>
          <w:lang w:val="it-CH"/>
        </w:rPr>
      </w:pPr>
      <w:r w:rsidRPr="00BB3960">
        <w:rPr>
          <w:lang w:val="it-CH"/>
        </w:rPr>
        <w:t>Luc Lafitte</w:t>
      </w:r>
      <w:r w:rsidRPr="00BB3960">
        <w:rPr>
          <w:lang w:val="it-CH"/>
        </w:rPr>
        <w:tab/>
      </w:r>
      <w:r w:rsidRPr="00BB3960">
        <w:rPr>
          <w:lang w:val="it-CH"/>
        </w:rPr>
        <w:tab/>
      </w:r>
      <w:r w:rsidRPr="00BB3960">
        <w:rPr>
          <w:lang w:val="it-CH"/>
        </w:rPr>
        <w:tab/>
      </w:r>
      <w:r w:rsidRPr="00BB3960">
        <w:rPr>
          <w:lang w:val="it-CH"/>
        </w:rPr>
        <w:tab/>
        <w:t>(</w:t>
      </w:r>
      <w:r w:rsidR="00EB2561">
        <w:fldChar w:fldCharType="begin"/>
      </w:r>
      <w:r w:rsidR="00EB2561" w:rsidRPr="00F650EF">
        <w:rPr>
          <w:lang w:val="it-CH"/>
        </w:rPr>
        <w:instrText>HYPERLINK "mailto:luc.lafitte@inria.fr" \h</w:instrText>
      </w:r>
      <w:r w:rsidR="00EB2561">
        <w:fldChar w:fldCharType="separate"/>
      </w:r>
      <w:r w:rsidR="00EB2561" w:rsidRPr="00BB3960">
        <w:rPr>
          <w:color w:val="0000FF"/>
          <w:u w:val="single"/>
          <w:lang w:val="it-CH"/>
        </w:rPr>
        <w:t>luc.lafitte@inria.fr</w:t>
      </w:r>
      <w:r w:rsidR="00EB2561">
        <w:fldChar w:fldCharType="end"/>
      </w:r>
      <w:r w:rsidRPr="00BB3960">
        <w:rPr>
          <w:color w:val="1155CC"/>
          <w:u w:val="single"/>
          <w:lang w:val="it-CH"/>
        </w:rPr>
        <w:t>)</w:t>
      </w:r>
    </w:p>
    <w:p w14:paraId="0000001F" w14:textId="77777777" w:rsidR="00EB2561" w:rsidRDefault="00000000">
      <w:r>
        <w:t>Olivier Seror</w:t>
      </w:r>
      <w:r>
        <w:tab/>
      </w:r>
      <w:r>
        <w:tab/>
      </w:r>
      <w:r>
        <w:tab/>
      </w:r>
      <w:r>
        <w:tab/>
        <w:t>(</w:t>
      </w:r>
      <w:hyperlink r:id="rId16">
        <w:r w:rsidR="00EB2561">
          <w:rPr>
            <w:color w:val="0000FF"/>
            <w:u w:val="single"/>
          </w:rPr>
          <w:t>olivier.seror@aphp.fr</w:t>
        </w:r>
      </w:hyperlink>
      <w:r>
        <w:rPr>
          <w:color w:val="1155CC"/>
          <w:u w:val="single"/>
        </w:rPr>
        <w:t>)</w:t>
      </w:r>
    </w:p>
    <w:p w14:paraId="00000020" w14:textId="77777777" w:rsidR="00EB2561" w:rsidRDefault="00000000">
      <w:pPr>
        <w:rPr>
          <w:color w:val="1155CC"/>
          <w:u w:val="single"/>
        </w:rPr>
      </w:pPr>
      <w:r>
        <w:t>Lluis M. Mir</w:t>
      </w:r>
      <w:r>
        <w:tab/>
      </w:r>
      <w:r>
        <w:tab/>
      </w:r>
      <w:r>
        <w:tab/>
      </w:r>
      <w:r>
        <w:tab/>
        <w:t>(</w:t>
      </w:r>
      <w:hyperlink r:id="rId17">
        <w:r w:rsidR="00EB2561">
          <w:rPr>
            <w:color w:val="1155CC"/>
            <w:u w:val="single"/>
          </w:rPr>
          <w:t>luis.mir@cnrs.fr</w:t>
        </w:r>
      </w:hyperlink>
      <w:r>
        <w:rPr>
          <w:color w:val="1155CC"/>
          <w:u w:val="single"/>
        </w:rPr>
        <w:t>)</w:t>
      </w:r>
    </w:p>
    <w:p w14:paraId="00000021" w14:textId="77777777" w:rsidR="00EB2561" w:rsidRDefault="00000000">
      <w:r>
        <w:t>Frederic Deschamps</w:t>
      </w:r>
      <w:r>
        <w:tab/>
      </w:r>
      <w:r>
        <w:tab/>
      </w:r>
      <w:r>
        <w:tab/>
        <w:t>(</w:t>
      </w:r>
      <w:hyperlink r:id="rId18">
        <w:r w:rsidR="00EB2561">
          <w:rPr>
            <w:color w:val="0000FF"/>
            <w:u w:val="single"/>
          </w:rPr>
          <w:t>frederic.deschamps@gustaveroussy.fr</w:t>
        </w:r>
      </w:hyperlink>
      <w:r>
        <w:rPr>
          <w:color w:val="1155CC"/>
          <w:u w:val="single"/>
        </w:rPr>
        <w:t>)</w:t>
      </w:r>
    </w:p>
    <w:p w14:paraId="00000022" w14:textId="77777777" w:rsidR="00EB2561" w:rsidRDefault="00000000">
      <w:pPr>
        <w:rPr>
          <w:color w:val="1155CC"/>
          <w:u w:val="single"/>
        </w:rPr>
      </w:pPr>
      <w:r>
        <w:t>Clair Poignard</w:t>
      </w:r>
      <w:r>
        <w:tab/>
      </w:r>
      <w:r>
        <w:tab/>
      </w:r>
      <w:r>
        <w:tab/>
      </w:r>
      <w:r>
        <w:tab/>
        <w:t>(</w:t>
      </w:r>
      <w:hyperlink r:id="rId19">
        <w:r w:rsidR="00EB2561">
          <w:rPr>
            <w:color w:val="0000FF"/>
            <w:u w:val="single"/>
          </w:rPr>
          <w:t>clair.poignard@inria.fr</w:t>
        </w:r>
      </w:hyperlink>
      <w:r>
        <w:rPr>
          <w:color w:val="1155CC"/>
          <w:u w:val="single"/>
        </w:rPr>
        <w:t>)</w:t>
      </w:r>
    </w:p>
    <w:p w14:paraId="00000023" w14:textId="77777777" w:rsidR="00EB2561" w:rsidRDefault="00000000">
      <w:proofErr w:type="spellStart"/>
      <w:r>
        <w:t>Beunon</w:t>
      </w:r>
      <w:proofErr w:type="spellEnd"/>
      <w:r>
        <w:t xml:space="preserve"> Paul</w:t>
      </w:r>
      <w:r>
        <w:tab/>
      </w:r>
      <w:r>
        <w:tab/>
      </w:r>
      <w:r>
        <w:tab/>
      </w:r>
      <w:r>
        <w:tab/>
        <w:t>(</w:t>
      </w:r>
      <w:hyperlink r:id="rId20">
        <w:r w:rsidR="00EB2561">
          <w:rPr>
            <w:color w:val="0000FF"/>
            <w:u w:val="single"/>
          </w:rPr>
          <w:t>paul.beunon@gustaveroussy.fr</w:t>
        </w:r>
      </w:hyperlink>
      <w:r>
        <w:rPr>
          <w:color w:val="1155CC"/>
          <w:u w:val="single"/>
        </w:rPr>
        <w:t>)</w:t>
      </w:r>
    </w:p>
    <w:p w14:paraId="00000025" w14:textId="77777777" w:rsidR="00EB2561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6" w14:textId="77777777" w:rsidR="00EB2561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r w:rsidRPr="0078539C">
        <w:rPr>
          <w:b/>
          <w:bCs/>
        </w:rPr>
        <w:t>No.</w:t>
      </w:r>
      <w:r w:rsidRPr="0078539C">
        <w:t xml:space="preserve"> </w:t>
      </w:r>
      <w:r>
        <w:t xml:space="preserve"> </w:t>
      </w:r>
    </w:p>
    <w:p w14:paraId="00000027" w14:textId="77777777" w:rsidR="00EB2561" w:rsidRDefault="00EB2561">
      <w:pPr>
        <w:spacing w:before="120"/>
        <w:rPr>
          <w:b/>
          <w:bCs/>
          <w:color w:val="7F7F7F"/>
        </w:rPr>
      </w:pPr>
    </w:p>
    <w:p w14:paraId="00000028" w14:textId="77777777" w:rsidR="00EB2561" w:rsidRDefault="00EB2561">
      <w:pPr>
        <w:spacing w:before="120"/>
        <w:ind w:left="720"/>
        <w:rPr>
          <w:b/>
          <w:bCs/>
          <w:color w:val="7F7F7F"/>
        </w:rPr>
      </w:pPr>
    </w:p>
    <w:p w14:paraId="00000029" w14:textId="77777777" w:rsidR="00EB2561" w:rsidRPr="0078539C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 w:rsidRPr="0078539C">
        <w:rPr>
          <w:b/>
          <w:bCs/>
        </w:rPr>
        <w:t xml:space="preserve"> Yes</w:t>
      </w:r>
    </w:p>
    <w:p w14:paraId="577179B1" w14:textId="77777777" w:rsidR="0078539C" w:rsidRDefault="0078539C" w:rsidP="007853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color w:val="000000"/>
        </w:rPr>
        <w:t xml:space="preserve"> </w:t>
      </w:r>
      <w:hyperlink r:id="rId21">
        <w:r>
          <w:rPr>
            <w:b/>
            <w:bCs/>
            <w:color w:val="0000FF"/>
            <w:u w:val="single"/>
          </w:rPr>
          <w:t>https://review.jove.com/account/file-uploader?src=21727943</w:t>
        </w:r>
      </w:hyperlink>
    </w:p>
    <w:p w14:paraId="0000002D" w14:textId="77777777" w:rsidR="00EB2561" w:rsidRDefault="00EB2561">
      <w:pPr>
        <w:spacing w:before="120"/>
        <w:rPr>
          <w:b/>
          <w:bCs/>
        </w:rPr>
      </w:pPr>
    </w:p>
    <w:p w14:paraId="0000002E" w14:textId="77777777" w:rsidR="00EB2561" w:rsidRPr="0078539C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</w:t>
      </w:r>
      <w:proofErr w:type="gramStart"/>
      <w:r>
        <w:t>filming need to</w:t>
      </w:r>
      <w:proofErr w:type="gramEnd"/>
      <w:r>
        <w:t xml:space="preserve"> take place in multiple locations? </w:t>
      </w:r>
      <w:r>
        <w:rPr>
          <w:b/>
          <w:bCs/>
        </w:rPr>
        <w:t xml:space="preserve"> </w:t>
      </w:r>
      <w:r w:rsidRPr="0078539C">
        <w:rPr>
          <w:b/>
          <w:bCs/>
        </w:rPr>
        <w:t>No.</w:t>
      </w:r>
    </w:p>
    <w:p w14:paraId="058770E7" w14:textId="77777777" w:rsidR="00F650EF" w:rsidRDefault="00F650EF">
      <w:pPr>
        <w:spacing w:before="120"/>
      </w:pPr>
    </w:p>
    <w:p w14:paraId="0000002F" w14:textId="77777777" w:rsidR="00EB2561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Pr="0078539C">
        <w:rPr>
          <w:b/>
          <w:bCs/>
        </w:rPr>
        <w:t>Yes</w:t>
      </w:r>
    </w:p>
    <w:p w14:paraId="00000030" w14:textId="77777777" w:rsidR="00EB2561" w:rsidRDefault="00EB2561">
      <w:pPr>
        <w:rPr>
          <w:b/>
          <w:bCs/>
          <w:sz w:val="22"/>
          <w:szCs w:val="22"/>
        </w:rPr>
      </w:pPr>
    </w:p>
    <w:p w14:paraId="6D6BEC9B" w14:textId="77777777" w:rsidR="00744C35" w:rsidRDefault="00744C35"/>
    <w:p w14:paraId="7FAD7610" w14:textId="77777777" w:rsidR="00744C35" w:rsidRDefault="00744C35"/>
    <w:p w14:paraId="00000036" w14:textId="6060E13B" w:rsidR="00EB2561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7" w14:textId="77777777" w:rsidR="00EB2561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</w:t>
      </w:r>
      <w:proofErr w:type="gramStart"/>
      <w:r>
        <w:rPr>
          <w:sz w:val="22"/>
          <w:szCs w:val="22"/>
        </w:rPr>
        <w:t>:  38</w:t>
      </w:r>
      <w:proofErr w:type="gramEnd"/>
    </w:p>
    <w:p w14:paraId="00000038" w14:textId="77777777" w:rsidR="00EB2561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57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00000039" w14:textId="77777777" w:rsidR="00EB2561" w:rsidRDefault="00000000">
      <w:pPr>
        <w:pStyle w:val="Heading1"/>
      </w:pPr>
      <w:r>
        <w:lastRenderedPageBreak/>
        <w:t>Introduction</w:t>
      </w:r>
    </w:p>
    <w:p w14:paraId="0000003A" w14:textId="77777777" w:rsidR="00EB2561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3B" w14:textId="77777777" w:rsidR="00EB2561" w:rsidRDefault="00EB2561">
      <w:pPr>
        <w:rPr>
          <w:b/>
          <w:bCs/>
        </w:rPr>
      </w:pPr>
    </w:p>
    <w:p w14:paraId="00000043" w14:textId="77777777" w:rsidR="00EB2561" w:rsidRDefault="00000000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00000044" w14:textId="77777777" w:rsidR="00EB2561" w:rsidRDefault="00EB2561">
      <w:pPr>
        <w:rPr>
          <w:b/>
          <w:bCs/>
          <w:color w:val="000000"/>
          <w:highlight w:val="white"/>
        </w:rPr>
      </w:pPr>
    </w:p>
    <w:p w14:paraId="00000045" w14:textId="77777777" w:rsidR="00EB2561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46" w14:textId="77777777" w:rsidR="00EB2561" w:rsidRDefault="00EB2561">
      <w:pPr>
        <w:rPr>
          <w:b/>
          <w:bCs/>
          <w:color w:val="000000"/>
          <w:highlight w:val="white"/>
        </w:rPr>
      </w:pPr>
    </w:p>
    <w:p w14:paraId="00000047" w14:textId="77777777" w:rsidR="00EB2561" w:rsidRDefault="00000000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8" w14:textId="139C89DE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BB3960">
        <w:rPr>
          <w:b/>
          <w:bCs/>
          <w:u w:val="single"/>
        </w:rPr>
        <w:t xml:space="preserve">Paul Beunon: </w:t>
      </w:r>
      <w:r w:rsidRPr="00BB3960">
        <w:t xml:space="preserve">Our protocol simulates patient-specific electric fields during spinal electrochemotherapy and compares them with post-treatment tumor necrosis. </w:t>
      </w:r>
    </w:p>
    <w:p w14:paraId="34248DE4" w14:textId="735B6B25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2655F6">
        <w:rPr>
          <w:rStyle w:val="AuthorName"/>
          <w:rFonts w:eastAsia="Times"/>
          <w:b w:val="0"/>
          <w:bCs/>
          <w:u w:val="none"/>
        </w:rPr>
        <w:t xml:space="preserve"> </w:t>
      </w:r>
      <w:r w:rsidR="002655F6" w:rsidRPr="002655F6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7.4.1</w:t>
      </w:r>
    </w:p>
    <w:p w14:paraId="0E497BF1" w14:textId="77777777" w:rsidR="00F650EF" w:rsidRPr="00BB3960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49" w14:textId="77777777" w:rsidR="00EB2561" w:rsidRDefault="00EB2561">
      <w:pPr>
        <w:rPr>
          <w:b/>
          <w:bCs/>
        </w:rPr>
      </w:pPr>
    </w:p>
    <w:p w14:paraId="0000004A" w14:textId="77777777" w:rsidR="00EB2561" w:rsidRDefault="00000000">
      <w:r>
        <w:t>Describe the research gap or limitation in existing methods and how this protocol addresses them.</w:t>
      </w:r>
    </w:p>
    <w:p w14:paraId="0000004B" w14:textId="77777777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 w:rsidRPr="00F650EF">
        <w:rPr>
          <w:b/>
          <w:bCs/>
          <w:u w:val="single"/>
        </w:rPr>
        <w:t>Paul Beunon:</w:t>
      </w:r>
      <w:r w:rsidRPr="00BB3960">
        <w:t xml:space="preserve"> Existing workflows rarely validate simulated electric fields against three-dimensional treatment response in spinal metastatic disease. </w:t>
      </w:r>
    </w:p>
    <w:p w14:paraId="5B7A0AB1" w14:textId="77777777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F25E2C9" w14:textId="77777777" w:rsidR="00F650EF" w:rsidRPr="00BB3960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left="907"/>
      </w:pPr>
    </w:p>
    <w:p w14:paraId="0000004E" w14:textId="77777777" w:rsidR="00EB2561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6E2D1680" w14:textId="77777777" w:rsid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0000051" w14:textId="77777777" w:rsidR="00EB2561" w:rsidRDefault="00EB2561">
      <w:pPr>
        <w:rPr>
          <w:b/>
          <w:bCs/>
        </w:rPr>
      </w:pPr>
    </w:p>
    <w:p w14:paraId="00000052" w14:textId="77777777" w:rsidR="00EB2561" w:rsidRDefault="00000000">
      <w:pPr>
        <w:rPr>
          <w:sz w:val="28"/>
          <w:szCs w:val="28"/>
        </w:rPr>
      </w:pPr>
      <w:r>
        <w:t>Describe the most important consideration or challenge when performing this protocol.</w:t>
      </w:r>
    </w:p>
    <w:p w14:paraId="00000053" w14:textId="027DDDD0" w:rsidR="00EB2561" w:rsidRPr="00F650E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F650EF">
        <w:rPr>
          <w:b/>
          <w:bCs/>
          <w:u w:val="single"/>
        </w:rPr>
        <w:t>Paul Beunon:</w:t>
      </w:r>
      <w:r w:rsidR="00F650EF" w:rsidRPr="00F650EF">
        <w:rPr>
          <w:b/>
          <w:bCs/>
          <w:u w:val="single"/>
        </w:rPr>
        <w:t xml:space="preserve"> </w:t>
      </w:r>
      <w:r>
        <w:t>The main challenge is identifying the relevant isodose threshold for each treatment, organ, and clinical setting.</w:t>
      </w:r>
    </w:p>
    <w:p w14:paraId="66E5A035" w14:textId="3B0DC454" w:rsidR="00F650EF" w:rsidRPr="0078539C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78539C">
        <w:rPr>
          <w:rStyle w:val="AuthorName"/>
          <w:rFonts w:eastAsia="Times"/>
          <w:b w:val="0"/>
          <w:bCs/>
          <w:u w:val="none"/>
        </w:rPr>
        <w:t xml:space="preserve"> </w:t>
      </w:r>
      <w:r w:rsidR="0078539C" w:rsidRPr="0078539C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6.3.2</w:t>
      </w:r>
    </w:p>
    <w:p w14:paraId="0928377E" w14:textId="77777777" w:rsid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0000054" w14:textId="77777777" w:rsidR="00EB2561" w:rsidRDefault="00EB2561"/>
    <w:p w14:paraId="00000055" w14:textId="77777777" w:rsidR="00EB2561" w:rsidRDefault="00000000">
      <w:pPr>
        <w:rPr>
          <w:sz w:val="28"/>
          <w:szCs w:val="28"/>
        </w:rPr>
      </w:pPr>
      <w:r>
        <w:t>Are there any additional methods or analyses that can be performed following this procedure?</w:t>
      </w:r>
    </w:p>
    <w:p w14:paraId="00000056" w14:textId="77777777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650EF">
        <w:rPr>
          <w:b/>
          <w:bCs/>
          <w:u w:val="single"/>
        </w:rPr>
        <w:lastRenderedPageBreak/>
        <w:t>Paul Beunon:</w:t>
      </w:r>
      <w:r w:rsidRPr="00F650EF">
        <w:t xml:space="preserve"> Additional analyses can test automated segmentation, registration uncertainty, and dose-response relationships across electric-field thresholds.</w:t>
      </w:r>
    </w:p>
    <w:p w14:paraId="44AB589B" w14:textId="77777777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6F8DFB7" w14:textId="77777777" w:rsidR="00F650EF" w:rsidRP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57" w14:textId="77777777" w:rsidR="00EB2561" w:rsidRPr="00F650EF" w:rsidRDefault="00EB2561">
      <w:pPr>
        <w:rPr>
          <w:b/>
          <w:bCs/>
        </w:rPr>
      </w:pPr>
    </w:p>
    <w:p w14:paraId="00000058" w14:textId="77777777" w:rsidR="00EB2561" w:rsidRDefault="00000000">
      <w:pPr>
        <w:rPr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0000059" w14:textId="41EDF477" w:rsidR="00EB256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650EF">
        <w:rPr>
          <w:b/>
          <w:bCs/>
          <w:u w:val="single"/>
        </w:rPr>
        <w:t>Paul Beunon</w:t>
      </w:r>
      <w:proofErr w:type="gramStart"/>
      <w:r w:rsidRPr="00F650EF">
        <w:rPr>
          <w:b/>
          <w:bCs/>
          <w:u w:val="single"/>
        </w:rPr>
        <w:t>:</w:t>
      </w:r>
      <w:r w:rsidRPr="00F650EF">
        <w:t xml:space="preserve">  Future</w:t>
      </w:r>
      <w:proofErr w:type="gramEnd"/>
      <w:r w:rsidRPr="00F650EF">
        <w:t xml:space="preserve"> studies should validate these early findings in larger spinal metastasis cohorts and other electrochemotherapy indications.</w:t>
      </w:r>
    </w:p>
    <w:p w14:paraId="12BD84FA" w14:textId="77777777" w:rsidR="00F650EF" w:rsidRPr="00EF4E10" w:rsidRDefault="00F650EF" w:rsidP="00F650E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AFCE3D7" w14:textId="77777777" w:rsidR="00F650EF" w:rsidRPr="00F650EF" w:rsidRDefault="00F650EF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5A" w14:textId="77777777" w:rsidR="00EB2561" w:rsidRPr="00F650EF" w:rsidRDefault="00EB2561">
      <w:pPr>
        <w:rPr>
          <w:b/>
          <w:bCs/>
        </w:rPr>
      </w:pPr>
    </w:p>
    <w:p w14:paraId="0000005B" w14:textId="77777777" w:rsidR="00EB2561" w:rsidRPr="00F650EF" w:rsidRDefault="00EB2561">
      <w:pPr>
        <w:rPr>
          <w:b/>
          <w:bCs/>
        </w:rPr>
      </w:pPr>
    </w:p>
    <w:p w14:paraId="0000005C" w14:textId="77777777" w:rsidR="00EB2561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C91D56F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44521B36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765049E1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7A8F547B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55BD342E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301FC29B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4A8302A9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57C273F2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ABFE7D5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F6D9AFC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6B0E7758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5AFBD398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982CC52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670F5FF7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B676E81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18D3E73B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6D02C1F8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33B76195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</w:rPr>
      </w:pPr>
      <w:r w:rsidRPr="0062081E">
        <w:rPr>
          <w:rFonts w:eastAsia="Times New Roman"/>
          <w:b/>
        </w:rPr>
        <w:lastRenderedPageBreak/>
        <w:t xml:space="preserve">Testimonial Questions (OPTIONAL): </w:t>
      </w:r>
    </w:p>
    <w:p w14:paraId="1D2770ED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</w:rPr>
      </w:pPr>
    </w:p>
    <w:p w14:paraId="0D24037D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  <w:i/>
          <w:iCs/>
          <w:color w:val="0000FF"/>
        </w:rPr>
      </w:pPr>
      <w:r w:rsidRPr="0062081E">
        <w:rPr>
          <w:rFonts w:eastAsia="Times New Roman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9A683E7" w14:textId="77777777" w:rsidR="007B569B" w:rsidRPr="0062081E" w:rsidRDefault="007B569B" w:rsidP="007B569B">
      <w:pPr>
        <w:contextualSpacing/>
        <w:outlineLvl w:val="0"/>
        <w:rPr>
          <w:rFonts w:eastAsia="Times New Roman"/>
          <w:b/>
        </w:rPr>
      </w:pPr>
    </w:p>
    <w:p w14:paraId="441EFA90" w14:textId="77777777" w:rsidR="007B569B" w:rsidRPr="0062081E" w:rsidRDefault="007B569B" w:rsidP="007B569B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/>
          <w:b w:val="0"/>
        </w:rPr>
      </w:pPr>
      <w:r w:rsidRPr="0062081E">
        <w:t xml:space="preserve">Testimonial statements will </w:t>
      </w:r>
      <w:r w:rsidRPr="0062081E">
        <w:rPr>
          <w:rStyle w:val="Strong"/>
        </w:rPr>
        <w:t>not appear in the video</w:t>
      </w:r>
      <w:r w:rsidRPr="0062081E">
        <w:t xml:space="preserve"> but may be featured in the journal’s promotional materials.</w:t>
      </w:r>
    </w:p>
    <w:p w14:paraId="737F4CF6" w14:textId="77777777" w:rsidR="007B569B" w:rsidRPr="0062081E" w:rsidRDefault="007B569B" w:rsidP="007B569B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/>
          <w:bCs/>
        </w:rPr>
      </w:pPr>
      <w:r w:rsidRPr="0062081E">
        <w:rPr>
          <w:rStyle w:val="Strong"/>
        </w:rPr>
        <w:t>Provide the full name and position</w:t>
      </w:r>
      <w:r w:rsidRPr="0062081E">
        <w:t xml:space="preserve"> (e.g., Director of [Institute Name], Senior Researcher [University Name], etc.) of the author delivering the testimonial. </w:t>
      </w:r>
    </w:p>
    <w:p w14:paraId="75B873B9" w14:textId="77777777" w:rsidR="007B569B" w:rsidRPr="0062081E" w:rsidRDefault="007B569B" w:rsidP="007B569B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/>
          <w:bCs/>
        </w:rPr>
      </w:pPr>
      <w:r w:rsidRPr="0062081E">
        <w:t xml:space="preserve">Please </w:t>
      </w:r>
      <w:r w:rsidRPr="0062081E">
        <w:rPr>
          <w:rStyle w:val="Strong"/>
        </w:rPr>
        <w:t>answer the testimonial question live during the shoot</w:t>
      </w:r>
      <w:r w:rsidRPr="0062081E">
        <w:t xml:space="preserve">, speaking naturally and in your own words in </w:t>
      </w:r>
      <w:r w:rsidRPr="0062081E">
        <w:rPr>
          <w:rStyle w:val="Strong"/>
        </w:rPr>
        <w:t>complete sentences</w:t>
      </w:r>
      <w:r w:rsidRPr="0062081E">
        <w:t>.</w:t>
      </w:r>
    </w:p>
    <w:p w14:paraId="403C71E0" w14:textId="77777777" w:rsidR="007B569B" w:rsidRDefault="007B569B" w:rsidP="007B569B">
      <w:pPr>
        <w:spacing w:before="120"/>
        <w:rPr>
          <w:lang w:val="en-IN"/>
        </w:rPr>
      </w:pPr>
    </w:p>
    <w:p w14:paraId="0CAA6835" w14:textId="77777777" w:rsidR="007B569B" w:rsidRPr="002D2798" w:rsidRDefault="007B569B" w:rsidP="007B569B">
      <w:pPr>
        <w:spacing w:before="120"/>
        <w:rPr>
          <w:rFonts w:eastAsia="Times New Roman"/>
          <w:lang w:val="en-IN"/>
        </w:rPr>
      </w:pPr>
      <w:r w:rsidRPr="002D2798">
        <w:rPr>
          <w:color w:val="000000"/>
          <w:shd w:val="clear" w:color="auto" w:fill="FFFFFF"/>
        </w:rPr>
        <w:t xml:space="preserve">What problem in your field of research does your </w:t>
      </w:r>
      <w:r>
        <w:rPr>
          <w:color w:val="000000"/>
          <w:shd w:val="clear" w:color="auto" w:fill="FFFFFF"/>
        </w:rPr>
        <w:t xml:space="preserve">JoVE </w:t>
      </w:r>
      <w:r w:rsidRPr="002D2798">
        <w:rPr>
          <w:color w:val="000000"/>
          <w:shd w:val="clear" w:color="auto" w:fill="FFFFFF"/>
        </w:rPr>
        <w:t>article address?</w:t>
      </w:r>
    </w:p>
    <w:p w14:paraId="006C7E0B" w14:textId="72B03BE4" w:rsidR="007B569B" w:rsidRPr="007B569B" w:rsidRDefault="007B569B" w:rsidP="007B569B">
      <w:pPr>
        <w:pStyle w:val="ListParagraph"/>
        <w:numPr>
          <w:ilvl w:val="1"/>
          <w:numId w:val="3"/>
        </w:numPr>
        <w:rPr>
          <w:rFonts w:eastAsia="Times New Roman"/>
          <w:b/>
          <w:bCs/>
        </w:rPr>
      </w:pPr>
      <w:r w:rsidRPr="007B569B">
        <w:rPr>
          <w:rFonts w:eastAsia="Times New Roman"/>
          <w:b/>
          <w:bCs/>
        </w:rPr>
        <w:t>Dr. Paul Beunon, MD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MSc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Interventional Radiologist</w:t>
      </w:r>
      <w:proofErr w:type="gramStart"/>
      <w:r>
        <w:rPr>
          <w:rFonts w:eastAsia="Times New Roman"/>
          <w:b/>
          <w:bCs/>
        </w:rPr>
        <w:t xml:space="preserve">: </w:t>
      </w:r>
      <w:r w:rsidRPr="007B569B">
        <w:rPr>
          <w:rFonts w:eastAsia="Times New Roman"/>
        </w:rPr>
        <w:t xml:space="preserve"> </w:t>
      </w:r>
      <w:r w:rsidRPr="0062081E">
        <w:t>(</w:t>
      </w:r>
      <w:proofErr w:type="gramEnd"/>
      <w:r w:rsidRPr="0062081E">
        <w:t>authors will present their testimonial statements live)</w:t>
      </w:r>
    </w:p>
    <w:p w14:paraId="3A07DA81" w14:textId="77777777" w:rsidR="007B569B" w:rsidRPr="00EF4E10" w:rsidRDefault="007B569B" w:rsidP="007B5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7B23C97" w14:textId="77777777" w:rsidR="007B569B" w:rsidRPr="007B569B" w:rsidRDefault="007B569B" w:rsidP="007B569B">
      <w:pPr>
        <w:pStyle w:val="ListParagraph"/>
        <w:spacing w:before="120"/>
        <w:ind w:left="360"/>
        <w:rPr>
          <w:rFonts w:eastAsia="Times New Roman"/>
        </w:rPr>
      </w:pPr>
    </w:p>
    <w:p w14:paraId="5D2C15BB" w14:textId="77777777" w:rsidR="007B569B" w:rsidRPr="0062081E" w:rsidRDefault="007B569B" w:rsidP="007B569B">
      <w:pPr>
        <w:spacing w:before="120"/>
        <w:rPr>
          <w:rFonts w:eastAsia="Times New Roman"/>
        </w:rPr>
      </w:pPr>
      <w:r w:rsidRPr="00B3483F">
        <w:rPr>
          <w:color w:val="000000"/>
          <w:shd w:val="clear" w:color="auto" w:fill="FFFFFF"/>
        </w:rPr>
        <w:t>What is the key takeaway you hope viewers remember after watching your video article?</w:t>
      </w:r>
    </w:p>
    <w:p w14:paraId="7F4A8770" w14:textId="1E941E35" w:rsidR="007B569B" w:rsidRPr="007B569B" w:rsidRDefault="007B569B" w:rsidP="007B569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/>
        </w:rPr>
      </w:pPr>
      <w:r w:rsidRPr="007B569B">
        <w:rPr>
          <w:rFonts w:eastAsia="Times New Roman"/>
          <w:b/>
          <w:bCs/>
        </w:rPr>
        <w:t>Dr. Paul Beunon, MD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MSc</w:t>
      </w:r>
      <w:r>
        <w:rPr>
          <w:rFonts w:eastAsia="Times New Roman"/>
          <w:b/>
          <w:bCs/>
        </w:rPr>
        <w:t>,</w:t>
      </w:r>
      <w:r w:rsidRPr="007B569B">
        <w:rPr>
          <w:rFonts w:eastAsia="Times New Roman"/>
          <w:b/>
          <w:bCs/>
        </w:rPr>
        <w:t xml:space="preserve"> Interventional Radiologist</w:t>
      </w:r>
      <w:r w:rsidRPr="0062081E">
        <w:t>: (authors will present their testimonial statements live)</w:t>
      </w:r>
    </w:p>
    <w:p w14:paraId="6D036897" w14:textId="77777777" w:rsidR="007B569B" w:rsidRPr="00EF4E10" w:rsidRDefault="007B569B" w:rsidP="007B56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82C77F9" w14:textId="77777777" w:rsidR="007B569B" w:rsidRPr="00B3483F" w:rsidRDefault="007B569B" w:rsidP="007B569B">
      <w:pPr>
        <w:pStyle w:val="ListParagraph"/>
        <w:spacing w:before="120"/>
        <w:ind w:left="907"/>
        <w:contextualSpacing w:val="0"/>
        <w:rPr>
          <w:rFonts w:eastAsia="Times New Roman"/>
        </w:rPr>
      </w:pPr>
    </w:p>
    <w:p w14:paraId="5A288E70" w14:textId="77777777" w:rsidR="007B569B" w:rsidRPr="0062081E" w:rsidRDefault="007B569B" w:rsidP="007B569B">
      <w:pPr>
        <w:pStyle w:val="ListParagraph"/>
        <w:spacing w:before="120"/>
        <w:ind w:left="907"/>
        <w:contextualSpacing w:val="0"/>
        <w:rPr>
          <w:rFonts w:eastAsia="Times New Roman"/>
        </w:rPr>
      </w:pPr>
    </w:p>
    <w:p w14:paraId="60ED53A6" w14:textId="77777777" w:rsidR="007B569B" w:rsidRPr="0062081E" w:rsidRDefault="007B569B" w:rsidP="007B569B"/>
    <w:p w14:paraId="091CDF83" w14:textId="77777777" w:rsidR="007B569B" w:rsidRDefault="007B569B">
      <w:pPr>
        <w:spacing w:before="120"/>
        <w:rPr>
          <w:b/>
          <w:bCs/>
          <w:i/>
          <w:iCs/>
          <w:color w:val="0000FF"/>
        </w:rPr>
      </w:pPr>
    </w:p>
    <w:p w14:paraId="0000005D" w14:textId="77777777" w:rsidR="00EB2561" w:rsidRDefault="00000000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0000005E" w14:textId="469D26CE" w:rsidR="00EB2561" w:rsidRPr="00F650EF" w:rsidRDefault="00000000">
      <w:pPr>
        <w:ind w:left="360"/>
        <w:rPr>
          <w:rFonts w:asciiTheme="majorHAnsi" w:hAnsiTheme="majorHAnsi" w:cstheme="majorHAnsi"/>
          <w:b/>
          <w:bCs/>
          <w:i/>
          <w:iCs/>
          <w:color w:val="0000FF"/>
        </w:rPr>
      </w:pPr>
      <w:r>
        <w:br/>
      </w:r>
      <w:r w:rsidRPr="00F650EF">
        <w:rPr>
          <w:rFonts w:asciiTheme="majorHAnsi" w:hAnsiTheme="majorHAnsi" w:cstheme="majorHAnsi"/>
        </w:rPr>
        <w:t xml:space="preserve">This research has been approved by the Institutional Review Board </w:t>
      </w:r>
      <w:r w:rsidR="00F650EF" w:rsidRPr="00F650EF">
        <w:rPr>
          <w:rFonts w:asciiTheme="majorHAnsi" w:hAnsiTheme="majorHAnsi" w:cstheme="majorHAnsi"/>
        </w:rPr>
        <w:t>at Université Paris-Saclay</w:t>
      </w:r>
    </w:p>
    <w:p w14:paraId="0000005F" w14:textId="77777777" w:rsidR="00EB2561" w:rsidRDefault="00EB2561">
      <w:pPr>
        <w:rPr>
          <w:b/>
          <w:bCs/>
          <w:i/>
          <w:iCs/>
          <w:color w:val="0000FF"/>
        </w:rPr>
      </w:pPr>
    </w:p>
    <w:p w14:paraId="00000060" w14:textId="77777777" w:rsidR="00EB2561" w:rsidRDefault="00000000">
      <w:pPr>
        <w:rPr>
          <w:b/>
          <w:bCs/>
        </w:rPr>
      </w:pPr>
      <w:r>
        <w:br w:type="page"/>
      </w:r>
    </w:p>
    <w:p w14:paraId="00000061" w14:textId="77777777" w:rsidR="00EB2561" w:rsidRDefault="00000000">
      <w:pPr>
        <w:pStyle w:val="Heading1"/>
      </w:pPr>
      <w:r>
        <w:lastRenderedPageBreak/>
        <w:t xml:space="preserve">Protocol  </w:t>
      </w:r>
    </w:p>
    <w:p w14:paraId="00000067" w14:textId="77777777" w:rsidR="00EB2561" w:rsidRDefault="00000000">
      <w:pPr>
        <w:rPr>
          <w:i/>
          <w:iCs/>
          <w:color w:val="0000FF"/>
        </w:rPr>
      </w:pPr>
      <w:bookmarkStart w:id="1" w:name="_heading=h.qrvu9elr4lng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i/>
          <w:iCs/>
          <w:color w:val="0000FF"/>
        </w:rPr>
        <w:t>shotlist</w:t>
      </w:r>
      <w:proofErr w:type="spellEnd"/>
      <w:proofErr w:type="gramEnd"/>
      <w:r>
        <w:rPr>
          <w:i/>
          <w:iCs/>
          <w:color w:val="0000FF"/>
        </w:rPr>
        <w:t>.</w:t>
      </w:r>
    </w:p>
    <w:p w14:paraId="00000068" w14:textId="77777777" w:rsidR="00EB25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Anatomical Segmentation on Initial CT (</w:t>
      </w:r>
      <w:proofErr w:type="spellStart"/>
      <w:r>
        <w:rPr>
          <w:b/>
          <w:bCs/>
          <w:color w:val="000000"/>
        </w:rPr>
        <w:t>CTi</w:t>
      </w:r>
      <w:proofErr w:type="spellEnd"/>
      <w:r>
        <w:rPr>
          <w:b/>
          <w:bCs/>
          <w:color w:val="000000"/>
        </w:rPr>
        <w:t>)</w:t>
      </w:r>
    </w:p>
    <w:p w14:paraId="0000006C" w14:textId="7025D76D" w:rsidR="00EB2561" w:rsidRDefault="00000000" w:rsidP="00F650EF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>Demonstrator:</w:t>
      </w:r>
      <w:r w:rsidR="00BB3960">
        <w:rPr>
          <w:b/>
          <w:bCs/>
          <w:color w:val="000000"/>
        </w:rPr>
        <w:t xml:space="preserve"> </w:t>
      </w:r>
      <w:r>
        <w:rPr>
          <w:b/>
          <w:bCs/>
        </w:rPr>
        <w:t>Paul Beunon</w:t>
      </w:r>
    </w:p>
    <w:p w14:paraId="0000006D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importing the data into 3D slicer and setting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</w:t>
      </w:r>
      <w:r>
        <w:rPr>
          <w:i/>
          <w:iCs/>
          <w:color w:val="EE0000"/>
        </w:rPr>
        <w:t>(C-T-I)</w:t>
      </w:r>
      <w:r>
        <w:rPr>
          <w:color w:val="7030A0"/>
        </w:rPr>
        <w:t xml:space="preserve"> as the reference volume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open the Segment Editor module and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create a segment named Cortical bone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Use the </w:t>
      </w:r>
      <w:r>
        <w:rPr>
          <w:b/>
          <w:bCs/>
          <w:color w:val="7030A0"/>
        </w:rPr>
        <w:t>Threshold</w:t>
      </w:r>
      <w:r>
        <w:rPr>
          <w:color w:val="7030A0"/>
        </w:rPr>
        <w:t xml:space="preserve"> tool on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to isolate high-density cortical bone and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refine the segment manually using </w:t>
      </w:r>
      <w:r>
        <w:rPr>
          <w:b/>
          <w:bCs/>
          <w:color w:val="7030A0"/>
        </w:rPr>
        <w:t>Scissors</w:t>
      </w:r>
      <w:r>
        <w:rPr>
          <w:color w:val="7030A0"/>
        </w:rPr>
        <w:t xml:space="preserve"> or </w:t>
      </w:r>
      <w:r>
        <w:rPr>
          <w:b/>
          <w:bCs/>
          <w:color w:val="7030A0"/>
        </w:rPr>
        <w:t>Paint</w:t>
      </w:r>
      <w:r>
        <w:rPr>
          <w:color w:val="7030A0"/>
        </w:rPr>
        <w:t xml:space="preserve"> tools if needed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6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WIDE: Talent in front of the computer with the software window displayed on the screen</w:t>
      </w:r>
    </w:p>
    <w:p w14:paraId="0000006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Display the software interface as the Segment Editor module is opened. Show creation of a new segment and </w:t>
      </w:r>
      <w:proofErr w:type="gramStart"/>
      <w:r>
        <w:rPr>
          <w:color w:val="000000"/>
        </w:rPr>
        <w:t>naming</w:t>
      </w:r>
      <w:proofErr w:type="gramEnd"/>
      <w:r>
        <w:rPr>
          <w:color w:val="000000"/>
        </w:rPr>
        <w:t xml:space="preserve"> it Cortical bone.</w:t>
      </w:r>
    </w:p>
    <w:p w14:paraId="00000070" w14:textId="77777777" w:rsidR="00EB256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>
        <w:rPr>
          <w:color w:val="000000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color w:val="000000"/>
        </w:rPr>
        <w:t xml:space="preserve"> </w:t>
      </w:r>
      <w:hyperlink r:id="rId22">
        <w:r w:rsidR="00EB2561">
          <w:rPr>
            <w:b/>
            <w:bCs/>
            <w:color w:val="0000FF"/>
            <w:u w:val="single"/>
          </w:rPr>
          <w:t>https://review.jove.com/account/file-uploader?src=21727943</w:t>
        </w:r>
      </w:hyperlink>
    </w:p>
    <w:p w14:paraId="0000007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the Threshold tool applied on </w:t>
      </w:r>
      <w:proofErr w:type="spellStart"/>
      <w:r>
        <w:rPr>
          <w:color w:val="000000"/>
        </w:rPr>
        <w:t>CTi</w:t>
      </w:r>
      <w:proofErr w:type="spellEnd"/>
      <w:r>
        <w:rPr>
          <w:color w:val="000000"/>
        </w:rPr>
        <w:t xml:space="preserve"> highlighting high-density cortical bone. Show manual refinement using Scissors or Paint tools on the segment.</w:t>
      </w:r>
    </w:p>
    <w:p w14:paraId="00000072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Create a segment named Fat. Use the </w:t>
      </w:r>
      <w:r>
        <w:rPr>
          <w:b/>
          <w:bCs/>
          <w:color w:val="7030A0"/>
        </w:rPr>
        <w:t>Threshold</w:t>
      </w:r>
      <w:r>
        <w:rPr>
          <w:color w:val="7030A0"/>
        </w:rPr>
        <w:t xml:space="preserve"> tool to select low-density fat in the perirenal or subcutaneous space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73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creation of a new segment and naming it Fat. Show the Threshold tool selecting low-density fat regions.</w:t>
      </w:r>
    </w:p>
    <w:p w14:paraId="00000074" w14:textId="46C180B5" w:rsidR="00EB2561" w:rsidRDefault="00E84D7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Next, c</w:t>
      </w:r>
      <w:r w:rsidR="0078539C">
        <w:rPr>
          <w:color w:val="7030A0"/>
        </w:rPr>
        <w:t>onstruct</w:t>
      </w:r>
      <w:r>
        <w:rPr>
          <w:color w:val="7030A0"/>
        </w:rPr>
        <w:t xml:space="preserve"> an intervertebral disc segment and use the 3D Paint tool on axial, sagittal, and coronal views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Check </w:t>
      </w:r>
      <w:r>
        <w:rPr>
          <w:b/>
          <w:bCs/>
          <w:color w:val="7030A0"/>
        </w:rPr>
        <w:t>Paint outside existing segments</w:t>
      </w:r>
      <w:r>
        <w:rPr>
          <w:color w:val="7030A0"/>
        </w:rPr>
        <w:t xml:space="preserve"> to restrict painting to empty voxels and avoid overwriting existing segments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5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creation of a new segment and naming it Intervertebral disc. Show the 3D Paint tool applied across axial, sagittal, and coronal views.</w:t>
      </w:r>
    </w:p>
    <w:p w14:paraId="00000076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enabling Paint outside existing segments option in the interface.</w:t>
      </w:r>
    </w:p>
    <w:p w14:paraId="00000077" w14:textId="65FAD260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Then, </w:t>
      </w:r>
      <w:r w:rsidR="0078539C">
        <w:rPr>
          <w:color w:val="7030A0"/>
        </w:rPr>
        <w:t>set up</w:t>
      </w:r>
      <w:r>
        <w:rPr>
          <w:color w:val="7030A0"/>
        </w:rPr>
        <w:t xml:space="preserve"> a</w:t>
      </w:r>
      <w:r w:rsidR="0078539C">
        <w:rPr>
          <w:color w:val="7030A0"/>
        </w:rPr>
        <w:t xml:space="preserve"> </w:t>
      </w:r>
      <w:r>
        <w:rPr>
          <w:color w:val="7030A0"/>
        </w:rPr>
        <w:t>Cancellous bone</w:t>
      </w:r>
      <w:r w:rsidR="0078539C">
        <w:rPr>
          <w:color w:val="7030A0"/>
        </w:rPr>
        <w:t xml:space="preserve"> segment</w:t>
      </w:r>
      <w:r>
        <w:rPr>
          <w:color w:val="7030A0"/>
        </w:rPr>
        <w:t xml:space="preserve"> for vertebral cancellous bone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Use the 3D Paint tool to fill the internal trabecular compartments. Check </w:t>
      </w:r>
      <w:r w:rsidR="00744C35" w:rsidRPr="00744C35">
        <w:rPr>
          <w:color w:val="7030A0"/>
        </w:rPr>
        <w:t>the</w:t>
      </w:r>
      <w:r w:rsidR="00744C35">
        <w:rPr>
          <w:b/>
          <w:bCs/>
          <w:color w:val="7030A0"/>
        </w:rPr>
        <w:t xml:space="preserve"> paint</w:t>
      </w:r>
      <w:r w:rsidRPr="00E84D77">
        <w:rPr>
          <w:b/>
          <w:bCs/>
          <w:color w:val="7030A0"/>
        </w:rPr>
        <w:t xml:space="preserve"> outside existing segments</w:t>
      </w:r>
      <w:r>
        <w:rPr>
          <w:color w:val="7030A0"/>
        </w:rPr>
        <w:t xml:space="preserve"> as described previously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creation of a new segment and naming it Cancellous bone.</w:t>
      </w:r>
    </w:p>
    <w:p w14:paraId="0000007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the 3D Paint tool filling internal trabecular regions. Show </w:t>
      </w:r>
      <w:r>
        <w:rPr>
          <w:color w:val="000000"/>
        </w:rPr>
        <w:lastRenderedPageBreak/>
        <w:t>enabling Paint outside existing segments option.</w:t>
      </w:r>
    </w:p>
    <w:p w14:paraId="0000007A" w14:textId="10BFF6D2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Create a segment </w:t>
      </w:r>
      <w:r w:rsidR="00E84D77">
        <w:rPr>
          <w:color w:val="7030A0"/>
        </w:rPr>
        <w:t>labeled</w:t>
      </w:r>
      <w:r>
        <w:rPr>
          <w:color w:val="7030A0"/>
        </w:rPr>
        <w:t xml:space="preserve"> Spinal cord </w:t>
      </w:r>
      <w:r>
        <w:rPr>
          <w:b/>
          <w:bCs/>
          <w:color w:val="7030A0"/>
        </w:rPr>
        <w:t>[1]</w:t>
      </w:r>
      <w:r w:rsidR="00744C35">
        <w:rPr>
          <w:color w:val="7030A0"/>
        </w:rPr>
        <w:t xml:space="preserve"> and u</w:t>
      </w:r>
      <w:r>
        <w:rPr>
          <w:color w:val="7030A0"/>
        </w:rPr>
        <w:t xml:space="preserve">se the 3D Paint tool to manually contour the cord on axial slices from above to below the treated levels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creation of a new segment and naming it Spinal cord.</w:t>
      </w:r>
    </w:p>
    <w:p w14:paraId="0000007C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manual contouring of the spinal cord on sequential axial slices.</w:t>
      </w:r>
    </w:p>
    <w:p w14:paraId="0000007D" w14:textId="013E9979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Next, </w:t>
      </w:r>
      <w:r w:rsidR="00E84D77">
        <w:rPr>
          <w:color w:val="7030A0"/>
        </w:rPr>
        <w:t>define</w:t>
      </w:r>
      <w:r>
        <w:rPr>
          <w:color w:val="7030A0"/>
        </w:rPr>
        <w:t xml:space="preserve"> a segment named Cerebro-spinal fluid. Use the 3D Paint tool to fill the cerebrospinal fluid space surrounding the spinal cord within the thecal sac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Check Paint outside existing segments to avoid overwriting existing segments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creation of a new segment and naming it Cerebro-spinal fluid. The 3D Paint tool filling the cerebrospinal fluid space is being shown.</w:t>
      </w:r>
    </w:p>
    <w:p w14:paraId="0000007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enabling Paint outside existing segments option.</w:t>
      </w:r>
    </w:p>
    <w:p w14:paraId="00000080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Create additional segments for cement, coils, or lungs if present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Use the </w:t>
      </w:r>
      <w:r>
        <w:rPr>
          <w:b/>
          <w:bCs/>
          <w:color w:val="7030A0"/>
        </w:rPr>
        <w:t>Threshold</w:t>
      </w:r>
      <w:r>
        <w:rPr>
          <w:color w:val="7030A0"/>
        </w:rPr>
        <w:t xml:space="preserve"> tool to identify hyperdense cement or coils and hypodense lung parenchyma. Perform manual correction as needed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8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creation of additional segments for cement, coils, or lungs.</w:t>
      </w:r>
    </w:p>
    <w:p w14:paraId="0000008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the Threshold tool highlighting hyperdense and hypodense regions. Show manual correction of segmented regions.</w:t>
      </w:r>
    </w:p>
    <w:p w14:paraId="00000083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Save the updated Slicer scene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84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saving the scene using the software save option.</w:t>
      </w:r>
      <w:r>
        <w:rPr>
          <w:color w:val="000000"/>
        </w:rPr>
        <w:br/>
      </w:r>
    </w:p>
    <w:p w14:paraId="00000085" w14:textId="77777777" w:rsidR="00EB2561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t>MRI Fusion and Tumor Segmentation</w:t>
      </w:r>
    </w:p>
    <w:p w14:paraId="00000086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Import the pre-procedural MRI volume </w:t>
      </w:r>
      <w:proofErr w:type="spellStart"/>
      <w:r>
        <w:rPr>
          <w:color w:val="7030A0"/>
        </w:rPr>
        <w:t>MRIp</w:t>
      </w:r>
      <w:proofErr w:type="spellEnd"/>
      <w:r>
        <w:rPr>
          <w:color w:val="7030A0"/>
        </w:rPr>
        <w:t xml:space="preserve"> </w:t>
      </w:r>
      <w:r>
        <w:rPr>
          <w:i/>
          <w:iCs/>
          <w:color w:val="EE0000"/>
        </w:rPr>
        <w:t>(M-R-I-P)</w:t>
      </w:r>
      <w:r>
        <w:rPr>
          <w:color w:val="EE0000"/>
        </w:rPr>
        <w:t xml:space="preserve"> </w:t>
      </w:r>
      <w:r>
        <w:rPr>
          <w:color w:val="7030A0"/>
        </w:rPr>
        <w:t xml:space="preserve">into the Slicer scene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87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the Slicer interface as the </w:t>
      </w:r>
      <w:proofErr w:type="spellStart"/>
      <w:r>
        <w:rPr>
          <w:color w:val="000000"/>
        </w:rPr>
        <w:t>MRIp</w:t>
      </w:r>
      <w:proofErr w:type="spellEnd"/>
      <w:r>
        <w:rPr>
          <w:color w:val="000000"/>
        </w:rPr>
        <w:t xml:space="preserve"> volume is imported into the scene.</w:t>
      </w:r>
    </w:p>
    <w:p w14:paraId="00000088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Use the </w:t>
      </w:r>
      <w:r>
        <w:rPr>
          <w:b/>
          <w:bCs/>
          <w:color w:val="7030A0"/>
        </w:rPr>
        <w:t>Transforms</w:t>
      </w:r>
      <w:r>
        <w:rPr>
          <w:color w:val="7030A0"/>
        </w:rPr>
        <w:t xml:space="preserve"> module to perform rigid registration of </w:t>
      </w:r>
      <w:proofErr w:type="spellStart"/>
      <w:r>
        <w:rPr>
          <w:color w:val="7030A0"/>
        </w:rPr>
        <w:t>MRIp</w:t>
      </w:r>
      <w:proofErr w:type="spellEnd"/>
      <w:r>
        <w:rPr>
          <w:color w:val="7030A0"/>
        </w:rPr>
        <w:t xml:space="preserve"> onto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using vertebral osseous landmarks at the treated level to guide registration </w:t>
      </w:r>
      <w:r>
        <w:rPr>
          <w:b/>
          <w:bCs/>
          <w:color w:val="7030A0"/>
        </w:rPr>
        <w:t>[1].</w:t>
      </w:r>
    </w:p>
    <w:p w14:paraId="0000008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opening the Transforms module and initiating rigid registration. Show alignment of </w:t>
      </w:r>
      <w:proofErr w:type="spellStart"/>
      <w:r>
        <w:rPr>
          <w:color w:val="000000"/>
        </w:rPr>
        <w:t>MRIp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CTi</w:t>
      </w:r>
      <w:proofErr w:type="spellEnd"/>
      <w:r>
        <w:rPr>
          <w:color w:val="000000"/>
        </w:rPr>
        <w:t xml:space="preserve"> using vertebral osseous landmarks.</w:t>
      </w:r>
    </w:p>
    <w:p w14:paraId="0000008A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Apply the transform to </w:t>
      </w:r>
      <w:proofErr w:type="spellStart"/>
      <w:r>
        <w:rPr>
          <w:color w:val="7030A0"/>
        </w:rPr>
        <w:t>MRIp</w:t>
      </w:r>
      <w:proofErr w:type="spellEnd"/>
      <w:r>
        <w:rPr>
          <w:color w:val="7030A0"/>
        </w:rPr>
        <w:t xml:space="preserve"> and visually assess co-registration in axial and sagittal planes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Accept the registration only if the visual alignment and target registration error are less than 2.5 millimeters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0000008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applying the transform to </w:t>
      </w:r>
      <w:proofErr w:type="spellStart"/>
      <w:r>
        <w:rPr>
          <w:color w:val="000000"/>
        </w:rPr>
        <w:t>MRIp</w:t>
      </w:r>
      <w:proofErr w:type="spellEnd"/>
      <w:r>
        <w:rPr>
          <w:color w:val="000000"/>
        </w:rPr>
        <w:t xml:space="preserve"> and show visual inspection of alignment in axial and sagittal views.</w:t>
      </w:r>
    </w:p>
    <w:p w14:paraId="0000008C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confirmation of acceptable registration criteria.</w:t>
      </w:r>
    </w:p>
    <w:p w14:paraId="0000008D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Then, create a new segment named Tumor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Use the </w:t>
      </w:r>
      <w:r>
        <w:rPr>
          <w:b/>
          <w:bCs/>
          <w:color w:val="7030A0"/>
        </w:rPr>
        <w:t>Paint</w:t>
      </w:r>
      <w:r>
        <w:rPr>
          <w:color w:val="7030A0"/>
        </w:rPr>
        <w:t xml:space="preserve"> tool on </w:t>
      </w:r>
      <w:proofErr w:type="spellStart"/>
      <w:r>
        <w:rPr>
          <w:color w:val="7030A0"/>
        </w:rPr>
        <w:t>MRIp</w:t>
      </w:r>
      <w:proofErr w:type="spellEnd"/>
      <w:r>
        <w:rPr>
          <w:color w:val="7030A0"/>
        </w:rPr>
        <w:t xml:space="preserve"> to manually delineate epidural and vertebral tumor involvement at baseline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8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creation of a new segment and naming it Tumor.</w:t>
      </w:r>
    </w:p>
    <w:p w14:paraId="0000008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manual delineation of tumor regions using the Paint tool.</w:t>
      </w:r>
    </w:p>
    <w:p w14:paraId="00000090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Apply optional smoothing to the Tumor segment to obtain a coherent three-dimensional volume without gaps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save the updated Slicer scene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application of smoothing to the Tumor segment.</w:t>
      </w:r>
    </w:p>
    <w:p w14:paraId="0000009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saving the scene using the software save option.</w:t>
      </w:r>
    </w:p>
    <w:p w14:paraId="00000093" w14:textId="77777777" w:rsidR="00EB2561" w:rsidRDefault="00EB25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4" w14:textId="77777777" w:rsidR="00EB2561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t>CT with Needle Fusion and Electrode Definition in AI4DEEP</w:t>
      </w:r>
    </w:p>
    <w:p w14:paraId="00000095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Import the intra-procedural computed tomography volume with needles </w:t>
      </w:r>
      <w:proofErr w:type="spellStart"/>
      <w:r>
        <w:rPr>
          <w:color w:val="7030A0"/>
        </w:rPr>
        <w:t>CTa</w:t>
      </w:r>
      <w:proofErr w:type="spellEnd"/>
      <w:r>
        <w:rPr>
          <w:color w:val="7030A0"/>
        </w:rPr>
        <w:t xml:space="preserve"> into the 3D Slicer scene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6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the Slicer interface as the </w:t>
      </w:r>
      <w:proofErr w:type="spellStart"/>
      <w:r>
        <w:rPr>
          <w:color w:val="000000"/>
        </w:rPr>
        <w:t>CTa</w:t>
      </w:r>
      <w:proofErr w:type="spellEnd"/>
      <w:r>
        <w:rPr>
          <w:color w:val="000000"/>
        </w:rPr>
        <w:t xml:space="preserve"> volume is imported into the scene.</w:t>
      </w:r>
    </w:p>
    <w:p w14:paraId="00000097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Use the Transforms module to perform rigid registration of </w:t>
      </w:r>
      <w:proofErr w:type="spellStart"/>
      <w:r>
        <w:rPr>
          <w:color w:val="7030A0"/>
        </w:rPr>
        <w:t>CTa</w:t>
      </w:r>
      <w:proofErr w:type="spellEnd"/>
      <w:r>
        <w:rPr>
          <w:color w:val="7030A0"/>
        </w:rPr>
        <w:t xml:space="preserve"> onto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Use the same vertebral bony landmarks as in the previous step to guide alignment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opening the Transforms module and initiating rigid registration.</w:t>
      </w:r>
    </w:p>
    <w:p w14:paraId="0000009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alignment of </w:t>
      </w:r>
      <w:proofErr w:type="spellStart"/>
      <w:r>
        <w:rPr>
          <w:color w:val="000000"/>
        </w:rPr>
        <w:t>CTa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CTi</w:t>
      </w:r>
      <w:proofErr w:type="spellEnd"/>
      <w:r>
        <w:rPr>
          <w:color w:val="000000"/>
        </w:rPr>
        <w:t xml:space="preserve"> using vertebral bony landmarks.</w:t>
      </w:r>
    </w:p>
    <w:p w14:paraId="0000009A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Launch the AI4DEEP </w:t>
      </w:r>
      <w:r>
        <w:rPr>
          <w:i/>
          <w:iCs/>
          <w:color w:val="EE0000"/>
        </w:rPr>
        <w:t xml:space="preserve">(A-I-Four-Deep) </w:t>
      </w:r>
      <w:r>
        <w:rPr>
          <w:color w:val="7030A0"/>
        </w:rPr>
        <w:t xml:space="preserve">module and create one virtual needle for each electrode, starting from the active electrode tip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opening the AI4DEEP module in the interface and creation of virtual needles from each active electrode tip.</w:t>
      </w:r>
    </w:p>
    <w:p w14:paraId="0000009C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Verify in axial, coronal, and sagittal views that each Electrode number matches accurately with a single physical active tip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D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multi-planar views confirming alignment between each Electrode number and the physical active tip.</w:t>
      </w:r>
    </w:p>
    <w:p w14:paraId="0000009E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Save the updated scene containing anatomical structures, tumor segmentation, and electrode geometry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saving the scene using the software save option.</w:t>
      </w:r>
    </w:p>
    <w:p w14:paraId="000000A0" w14:textId="77777777" w:rsidR="00EB2561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Tissue Mapping and Electrode Parameter Setup in AI4DEEP</w:t>
      </w:r>
    </w:p>
    <w:p w14:paraId="000000A1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AI4DEEP interface, assign each anatomical segment to a corresponding tissue class with predefined electrical conductivity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the AI4DEEP interface with the segment-to-tissue assignment panel open.</w:t>
      </w:r>
    </w:p>
    <w:p w14:paraId="000000A3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Set the default background tissue to muscle conductivity so that all non-segmented voxels are treated as muscle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4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setting the default background tissue to muscle in the AI4DEEP interface.</w:t>
      </w:r>
    </w:p>
    <w:p w14:paraId="000000A5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Confirm in the AI4DEEP summary panel that each segment is mapped to the expected tissue type and </w:t>
      </w:r>
      <w:proofErr w:type="gramStart"/>
      <w:r>
        <w:rPr>
          <w:color w:val="7030A0"/>
        </w:rPr>
        <w:t>conductivity, and</w:t>
      </w:r>
      <w:proofErr w:type="gramEnd"/>
      <w:r>
        <w:rPr>
          <w:color w:val="7030A0"/>
        </w:rPr>
        <w:t xml:space="preserve"> save the configuration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6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</w:t>
      </w:r>
      <w:r>
        <w:rPr>
          <w:color w:val="000000"/>
          <w:highlight w:val="yellow"/>
        </w:rPr>
        <w:t>CREEN</w:t>
      </w:r>
      <w:r>
        <w:rPr>
          <w:color w:val="000000"/>
        </w:rPr>
        <w:t>: Show the AI4DEEP summary panel displaying segment-to-tissue mappings and conductivities and saving the configuration in the interface.</w:t>
      </w:r>
    </w:p>
    <w:p w14:paraId="000000A7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AI4DEEP interface, specify the active tip length for each electrode according to the clinical procedure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Set the electrode diameter to 1.8 millimeters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A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the AI4DEEP interface with electrode parameter settings open.</w:t>
      </w:r>
    </w:p>
    <w:p w14:paraId="000000A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entry of active tip length and electrode diameter values for each electrode.</w:t>
      </w:r>
    </w:p>
    <w:p w14:paraId="000000AA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Enter the clinically applied electric field amplitude in volts per centimeter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input of electric field amplitude values in the AI4DEEP interface.</w:t>
      </w:r>
    </w:p>
    <w:p w14:paraId="000000AC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Then, define the electrode pairs that were activated during the treatment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D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selection or assignment of electrode pairs in the interface.</w:t>
      </w:r>
    </w:p>
    <w:p w14:paraId="000000AE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Let AI4DEEP compute the applied voltage for each electrode pair based on the inter-electrode distance while ensuring the requested voltage-to-distance ratio in volts per centimeter is respected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automatic computation of applied voltage values for electrode pairs.</w:t>
      </w:r>
    </w:p>
    <w:p w14:paraId="000000B0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Set the number of pulses to 8 and the pulse duration to 100 microseconds according to the clinical protocol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Save the AI4DEEP configuration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B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entry of pulse number and pulse duration parameters.</w:t>
      </w:r>
    </w:p>
    <w:p w14:paraId="000000B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saving the configuration in the interface.</w:t>
      </w:r>
    </w:p>
    <w:p w14:paraId="000000B3" w14:textId="77777777" w:rsidR="00EB2561" w:rsidRDefault="00EB25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4" w14:textId="77777777" w:rsidR="00EB25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Electric Field Simulation and Isodose-Based Tumor Coverage Analysis</w:t>
      </w:r>
    </w:p>
    <w:p w14:paraId="000000B5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AI4DEEP interface, start the electrostatic field computation using the configured anatomy, conductivities, and electrode parameters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B6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the AI4DEEP interface as the electrostatic field computation is initiated.</w:t>
      </w:r>
    </w:p>
    <w:p w14:paraId="000000B7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Allow the software to automatically generate the geometrical configuration and solve the linear electrostatic potential using high-order unfitted finite difference methods on the medical image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Then, save the simulation output and the updated Slicer scene </w:t>
      </w:r>
      <w:r>
        <w:rPr>
          <w:b/>
          <w:bCs/>
          <w:color w:val="7030A0"/>
        </w:rPr>
        <w:lastRenderedPageBreak/>
        <w:t>[2]</w:t>
      </w:r>
      <w:r>
        <w:rPr>
          <w:color w:val="7030A0"/>
        </w:rPr>
        <w:t>.</w:t>
      </w:r>
    </w:p>
    <w:p w14:paraId="000000B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the computation process running in the AI4DEEP interface.</w:t>
      </w:r>
    </w:p>
    <w:p w14:paraId="000000B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saving the simulation results and the updated scene in the interface.</w:t>
      </w:r>
    </w:p>
    <w:p w14:paraId="000000BA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AI4DEEP interface, select the option to generate electric field </w:t>
      </w:r>
      <w:proofErr w:type="spellStart"/>
      <w:r>
        <w:rPr>
          <w:color w:val="7030A0"/>
        </w:rPr>
        <w:t>isosurfaces</w:t>
      </w:r>
      <w:proofErr w:type="spellEnd"/>
      <w:r>
        <w:rPr>
          <w:color w:val="7030A0"/>
        </w:rPr>
        <w:t xml:space="preserve"> from the simulated field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a range of isodose thresholds and generate the corresponding three-dimensional isodose maps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B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 xml:space="preserve">: Show the AI4DEEP interface with the </w:t>
      </w:r>
      <w:proofErr w:type="spellStart"/>
      <w:r>
        <w:rPr>
          <w:color w:val="000000"/>
        </w:rPr>
        <w:t>isosurface</w:t>
      </w:r>
      <w:proofErr w:type="spellEnd"/>
      <w:r>
        <w:rPr>
          <w:color w:val="000000"/>
        </w:rPr>
        <w:t xml:space="preserve"> generation option selected.</w:t>
      </w:r>
    </w:p>
    <w:p w14:paraId="000000BC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selection of multiple isodose threshold values and generation of 3D isodose maps.</w:t>
      </w:r>
    </w:p>
    <w:p w14:paraId="000000BD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Display individual isodose maps in a three-dimensional view to observe the spatial field distribution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 field typically ranges from pale yellow at low amplitudes to red at high amplitudes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B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3D visualization of individual isodose maps in the viewer.</w:t>
      </w:r>
    </w:p>
    <w:p w14:paraId="000000B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color variation from low to high field amplitudes in the </w:t>
      </w:r>
      <w:proofErr w:type="gramStart"/>
      <w:r>
        <w:rPr>
          <w:color w:val="000000"/>
        </w:rPr>
        <w:t>displayed maps</w:t>
      </w:r>
      <w:proofErr w:type="gramEnd"/>
      <w:r>
        <w:rPr>
          <w:color w:val="000000"/>
        </w:rPr>
        <w:t>.</w:t>
      </w:r>
    </w:p>
    <w:p w14:paraId="000000C0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each isodose, record the percentage of tumor coverage values automatically computed based on the overlap between the isodose volume and the Tumor segmentation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C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tumor coverage percentages displayed for each isodose level in the interface.</w:t>
      </w:r>
    </w:p>
    <w:p w14:paraId="000000C2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Save all isodose segments or models and the tumor coverage values for subsequent analysis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C3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saving isodose segments and associated tumor coverage data.</w:t>
      </w:r>
      <w:r>
        <w:rPr>
          <w:color w:val="000000"/>
        </w:rPr>
        <w:br/>
      </w:r>
    </w:p>
    <w:p w14:paraId="000000C4" w14:textId="217324AF" w:rsidR="00EB2561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t>Post-</w:t>
      </w:r>
      <w:r w:rsidR="007B569B">
        <w:rPr>
          <w:b/>
          <w:bCs/>
          <w:color w:val="000000"/>
        </w:rPr>
        <w:t>P</w:t>
      </w:r>
      <w:r>
        <w:rPr>
          <w:b/>
          <w:bCs/>
          <w:color w:val="000000"/>
        </w:rPr>
        <w:t>rocedural MRI Selection</w:t>
      </w:r>
      <w:r w:rsidR="0078539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and Necrosis Segmentation</w:t>
      </w:r>
    </w:p>
    <w:p w14:paraId="000000C5" w14:textId="77777777" w:rsidR="00EB256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360"/>
        <w:jc w:val="both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808080"/>
          <w:highlight w:val="yellow"/>
        </w:rPr>
        <w:t>Click here to enter name of demonstrator(s)</w:t>
      </w:r>
      <w:r>
        <w:rPr>
          <w:color w:val="000000"/>
        </w:rPr>
        <w:t xml:space="preserve"> </w:t>
      </w:r>
    </w:p>
    <w:p w14:paraId="000000C6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Perform follow-up MRI at 6 weeks after electrochemotherapy and every 2 months thereafter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the MRI scan showing the largest necrotic volume or best radiological response for segmentation to account for heterogeneous and delayed treatment response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C7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a series of follow-up MRI scans with one selected for analysis.</w:t>
      </w:r>
    </w:p>
    <w:p w14:paraId="000000C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Highlight the selected MRI demonstrating the largest necrotic volume.</w:t>
      </w:r>
    </w:p>
    <w:p w14:paraId="000000C9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Import the post-treatment contrast-enhanced T1 fat-suppressed axial sequence </w:t>
      </w:r>
      <w:r>
        <w:rPr>
          <w:color w:val="7030A0"/>
        </w:rPr>
        <w:lastRenderedPageBreak/>
        <w:t xml:space="preserve">centered on the treated levels MRIs into 3D Slicer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CA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importing the MRIs dataset into the Slicer interface.</w:t>
      </w:r>
    </w:p>
    <w:p w14:paraId="000000CB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Perform rigid registration of MRIs onto </w:t>
      </w:r>
      <w:proofErr w:type="spellStart"/>
      <w:r>
        <w:rPr>
          <w:color w:val="7030A0"/>
        </w:rPr>
        <w:t>CTi</w:t>
      </w:r>
      <w:proofErr w:type="spellEnd"/>
      <w:r>
        <w:rPr>
          <w:color w:val="7030A0"/>
        </w:rPr>
        <w:t xml:space="preserve"> using the same predefined vertebral landmarks as used previously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Apply the transform and calculate the target registration error from the same reference landmarks and confirm it is less than or equal to 2.5 millimeters to document registration accuracy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CC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rigid registration of MRIs to </w:t>
      </w:r>
      <w:proofErr w:type="spellStart"/>
      <w:r>
        <w:rPr>
          <w:color w:val="000000"/>
        </w:rPr>
        <w:t>CTi</w:t>
      </w:r>
      <w:proofErr w:type="spellEnd"/>
      <w:r>
        <w:rPr>
          <w:color w:val="000000"/>
        </w:rPr>
        <w:t xml:space="preserve"> using vertebral landmarks.</w:t>
      </w:r>
    </w:p>
    <w:p w14:paraId="000000CD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applying the transform to MRIs. Show calculation and verification of target registration error values.</w:t>
      </w:r>
    </w:p>
    <w:p w14:paraId="000000CE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Create a new segment named Tumor necrosis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Use the </w:t>
      </w:r>
      <w:r>
        <w:rPr>
          <w:b/>
          <w:bCs/>
          <w:color w:val="7030A0"/>
        </w:rPr>
        <w:t>Paint</w:t>
      </w:r>
      <w:r>
        <w:rPr>
          <w:color w:val="7030A0"/>
        </w:rPr>
        <w:t xml:space="preserve"> tool to manually delineate the non-enhancing necrotic portion of the tumor on the post-electrochemotherapy magnetic resonance imaging slice by slice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C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creation of a new segment and naming it Tumor necrosis.</w:t>
      </w:r>
    </w:p>
    <w:p w14:paraId="000000D0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</w:t>
      </w:r>
      <w:r>
        <w:rPr>
          <w:color w:val="000000"/>
        </w:rPr>
        <w:t>: Show slice-by-slice manual delineation of necrotic tumor regions using the Paint tool.</w:t>
      </w:r>
    </w:p>
    <w:p w14:paraId="000000D1" w14:textId="26D6ACA6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When multiple follow-up </w:t>
      </w:r>
      <w:r w:rsidR="007B569B">
        <w:rPr>
          <w:color w:val="7030A0"/>
        </w:rPr>
        <w:t>MRI</w:t>
      </w:r>
      <w:r>
        <w:rPr>
          <w:color w:val="7030A0"/>
        </w:rPr>
        <w:t xml:space="preserve"> datasets are available, select the examination demonstrating the largest necrotic volume or best radiological response and use this dataset for segmentation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D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</w:t>
      </w:r>
      <w:r>
        <w:rPr>
          <w:color w:val="000000"/>
          <w:highlight w:val="yellow"/>
        </w:rPr>
        <w:t>CREEN</w:t>
      </w:r>
      <w:r>
        <w:rPr>
          <w:color w:val="000000"/>
        </w:rPr>
        <w:t>: Show comparison of multiple follow-up MRIs with selection of the optimal dataset.</w:t>
      </w:r>
    </w:p>
    <w:p w14:paraId="000000D3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Apply optional smoothing to the Tumor necrosis segment to obtain a coherent contiguous volume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Then, perform a quantitative comparison between the simulated field and necrosis </w:t>
      </w:r>
      <w:r>
        <w:rPr>
          <w:b/>
          <w:bCs/>
          <w:color w:val="7030A0"/>
        </w:rPr>
        <w:t>[2].</w:t>
      </w:r>
    </w:p>
    <w:p w14:paraId="000000D4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  <w:highlight w:val="yellow"/>
        </w:rPr>
        <w:t>SCREEN:</w:t>
      </w:r>
      <w:r>
        <w:rPr>
          <w:color w:val="000000"/>
        </w:rPr>
        <w:t xml:space="preserve"> Show smoothing applied to the Tumor necrosis segment.</w:t>
      </w:r>
    </w:p>
    <w:p w14:paraId="000000D5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0"/>
          <w:id w:val="-664374912"/>
        </w:sdtPr>
        <w:sdtContent/>
      </w:sdt>
      <w:r>
        <w:rPr>
          <w:color w:val="000000"/>
        </w:rPr>
        <w:t>Talent at the computer screen showing the simulated field and necrosis plots.</w:t>
      </w:r>
    </w:p>
    <w:p w14:paraId="000000D6" w14:textId="77777777" w:rsidR="00EB2561" w:rsidRDefault="00EB2561"/>
    <w:p w14:paraId="33FF4FF2" w14:textId="77777777" w:rsidR="00F650EF" w:rsidRDefault="00F650EF">
      <w:pPr>
        <w:rPr>
          <w:sz w:val="52"/>
          <w:szCs w:val="52"/>
        </w:rPr>
      </w:pPr>
      <w:r>
        <w:br w:type="page"/>
      </w:r>
    </w:p>
    <w:p w14:paraId="000000DD" w14:textId="76C66436" w:rsidR="00EB2561" w:rsidRDefault="00000000" w:rsidP="00BB3960">
      <w:pPr>
        <w:pStyle w:val="Heading1"/>
      </w:pPr>
      <w:r>
        <w:lastRenderedPageBreak/>
        <w:t>Results</w:t>
      </w:r>
    </w:p>
    <w:p w14:paraId="000000DE" w14:textId="77777777" w:rsidR="00EB25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DF" w14:textId="77777777" w:rsidR="00EB2561" w:rsidRDefault="00EB2561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E0" w14:textId="67C312F5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Mean Dice similarity coefficients showed a bell-shaped relationship across the cohort </w:t>
      </w:r>
      <w:r>
        <w:rPr>
          <w:b/>
          <w:bCs/>
          <w:color w:val="7030A0"/>
        </w:rPr>
        <w:t>[1].</w:t>
      </w:r>
      <w:r>
        <w:rPr>
          <w:color w:val="7030A0"/>
        </w:rPr>
        <w:t xml:space="preserve"> The values peaked between 160–200 volts per centimeter </w:t>
      </w:r>
      <w:r>
        <w:rPr>
          <w:b/>
          <w:bCs/>
          <w:color w:val="7030A0"/>
        </w:rPr>
        <w:t>[2]</w:t>
      </w:r>
      <w:r w:rsidR="0078539C">
        <w:rPr>
          <w:b/>
          <w:bCs/>
          <w:color w:val="7030A0"/>
        </w:rPr>
        <w:t xml:space="preserve">, </w:t>
      </w:r>
      <w:r w:rsidR="0078539C" w:rsidRPr="0078539C">
        <w:rPr>
          <w:color w:val="7030A0"/>
        </w:rPr>
        <w:t>and the</w:t>
      </w:r>
      <w:r w:rsidR="0078539C">
        <w:rPr>
          <w:b/>
          <w:bCs/>
          <w:color w:val="7030A0"/>
        </w:rPr>
        <w:t xml:space="preserve"> </w:t>
      </w:r>
      <w:r w:rsidR="0078539C">
        <w:rPr>
          <w:color w:val="7030A0"/>
        </w:rPr>
        <w:t>t</w:t>
      </w:r>
      <w:r>
        <w:rPr>
          <w:color w:val="7030A0"/>
        </w:rPr>
        <w:t xml:space="preserve">umor coverage gradually declined with increasing thresholds </w:t>
      </w:r>
      <w:r>
        <w:rPr>
          <w:b/>
          <w:bCs/>
          <w:color w:val="7030A0"/>
        </w:rPr>
        <w:t>[3].</w:t>
      </w:r>
    </w:p>
    <w:p w14:paraId="000000E1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2. </w:t>
      </w:r>
    </w:p>
    <w:p w14:paraId="000000E2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Highlight the red line around the 160 to 200 volts per centimeter marks</w:t>
      </w:r>
    </w:p>
    <w:p w14:paraId="000000E3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Highlight the blue line labeled “Tumor coverage,” showing it moving downward from left to right</w:t>
      </w:r>
    </w:p>
    <w:p w14:paraId="000000E4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Marked heterogeneity was observed between cases, with Best Dice values ranging from 0.0156 to 0.7684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corresponding Best Iso values ranging from 100 to 500 volt per centimeter </w:t>
      </w:r>
      <w:r>
        <w:rPr>
          <w:b/>
          <w:bCs/>
          <w:color w:val="7030A0"/>
        </w:rPr>
        <w:t>[2].</w:t>
      </w:r>
    </w:p>
    <w:p w14:paraId="000000E5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3. </w:t>
      </w:r>
      <w:r>
        <w:rPr>
          <w:i/>
          <w:iCs/>
          <w:color w:val="0000FF"/>
        </w:rPr>
        <w:t>Video editor: Show the spread of different colored lines across the graph.</w:t>
      </w:r>
    </w:p>
    <w:p w14:paraId="000000E6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3. </w:t>
      </w:r>
      <w:r>
        <w:rPr>
          <w:i/>
          <w:iCs/>
          <w:color w:val="0000FF"/>
        </w:rPr>
        <w:t>Video editor: Highlight the full horizontal axis from 100 to 500 volt per centimeter.</w:t>
      </w:r>
    </w:p>
    <w:p w14:paraId="000000E7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 representative overlay showed spatial correspondence between post-treatment tumor necrosis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the 200 </w:t>
      </w:r>
      <w:proofErr w:type="gramStart"/>
      <w:r>
        <w:rPr>
          <w:color w:val="7030A0"/>
        </w:rPr>
        <w:t>volt</w:t>
      </w:r>
      <w:proofErr w:type="gramEnd"/>
      <w:r>
        <w:rPr>
          <w:color w:val="7030A0"/>
        </w:rPr>
        <w:t xml:space="preserve"> per centimeter isodose volume </w:t>
      </w:r>
      <w:r>
        <w:rPr>
          <w:b/>
          <w:bCs/>
          <w:color w:val="7030A0"/>
        </w:rPr>
        <w:t>[2].</w:t>
      </w:r>
    </w:p>
    <w:p w14:paraId="000000E8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4. </w:t>
      </w:r>
      <w:r>
        <w:rPr>
          <w:i/>
          <w:iCs/>
          <w:color w:val="0000FF"/>
        </w:rPr>
        <w:t>Video editor: Highlight the green shaded region labeled necrosis.</w:t>
      </w:r>
    </w:p>
    <w:p w14:paraId="000000E9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4. </w:t>
      </w:r>
      <w:r>
        <w:rPr>
          <w:i/>
          <w:iCs/>
          <w:color w:val="0000FF"/>
        </w:rPr>
        <w:t>Video editor: Highlight the yellow shaded region labeled 200 volt per centimeter.</w:t>
      </w:r>
    </w:p>
    <w:p w14:paraId="000000EA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first electrochemotherapy session showed limited necrosis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whereas a second procedure demonstrated substantially increased tumor coverage at 200 volts per centimeter </w:t>
      </w:r>
      <w:r>
        <w:rPr>
          <w:b/>
          <w:bCs/>
          <w:color w:val="7030A0"/>
        </w:rPr>
        <w:t>[2].</w:t>
      </w:r>
    </w:p>
    <w:p w14:paraId="000000EB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5. </w:t>
      </w:r>
      <w:r>
        <w:rPr>
          <w:i/>
          <w:iCs/>
          <w:color w:val="0000FF"/>
        </w:rPr>
        <w:t>Video editor: Highlight figure A and B.</w:t>
      </w:r>
    </w:p>
    <w:p w14:paraId="000000EC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5. </w:t>
      </w:r>
      <w:r>
        <w:rPr>
          <w:i/>
          <w:iCs/>
          <w:color w:val="0000FF"/>
        </w:rPr>
        <w:t>Video editor: Highlight figure C and D</w:t>
      </w:r>
    </w:p>
    <w:p w14:paraId="000000ED" w14:textId="77777777" w:rsidR="00EB256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300 </w:t>
      </w:r>
      <w:proofErr w:type="gramStart"/>
      <w:r>
        <w:rPr>
          <w:color w:val="7030A0"/>
        </w:rPr>
        <w:t>volt</w:t>
      </w:r>
      <w:proofErr w:type="gramEnd"/>
      <w:r>
        <w:rPr>
          <w:color w:val="7030A0"/>
        </w:rPr>
        <w:t xml:space="preserve"> per centimeter isodose extended into the right S1 foramen </w:t>
      </w:r>
      <w:r>
        <w:rPr>
          <w:b/>
          <w:bCs/>
          <w:color w:val="7030A0"/>
        </w:rPr>
        <w:t>[1],</w:t>
      </w:r>
      <w:r>
        <w:rPr>
          <w:color w:val="7030A0"/>
        </w:rPr>
        <w:t xml:space="preserve"> while the contralateral root remained outside the high-field region </w:t>
      </w:r>
      <w:r>
        <w:rPr>
          <w:b/>
          <w:bCs/>
          <w:color w:val="7030A0"/>
        </w:rPr>
        <w:t>[2].</w:t>
      </w:r>
    </w:p>
    <w:p w14:paraId="000000EE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6. Video editor: Highlight the orange region extending into the right side near the S1 roots label.</w:t>
      </w:r>
    </w:p>
    <w:p w14:paraId="000000EF" w14:textId="77777777" w:rsidR="00EB256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6. Video editor: Highlight the opposite side where no orange </w:t>
      </w:r>
      <w:r>
        <w:rPr>
          <w:color w:val="000000"/>
        </w:rPr>
        <w:lastRenderedPageBreak/>
        <w:t>region is present.</w:t>
      </w:r>
    </w:p>
    <w:p w14:paraId="000000F0" w14:textId="77777777" w:rsidR="00EB2561" w:rsidRDefault="00EB2561"/>
    <w:p w14:paraId="000000F1" w14:textId="77777777" w:rsidR="00EB2561" w:rsidRDefault="00EB2561">
      <w:pPr>
        <w:rPr>
          <w:sz w:val="52"/>
          <w:szCs w:val="52"/>
        </w:rPr>
      </w:pPr>
    </w:p>
    <w:sectPr w:rsidR="00EB2561">
      <w:headerReference w:type="default" r:id="rId23"/>
      <w:footerReference w:type="even" r:id="rId24"/>
      <w:footerReference w:type="default" r:id="rId25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5607F" w14:textId="77777777" w:rsidR="00221D07" w:rsidRDefault="00221D07">
      <w:r>
        <w:separator/>
      </w:r>
    </w:p>
  </w:endnote>
  <w:endnote w:type="continuationSeparator" w:id="0">
    <w:p w14:paraId="6893F05A" w14:textId="77777777" w:rsidR="00221D07" w:rsidRDefault="0022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0E00079-362B-4526-9F0A-13C28CBA138B}"/>
    <w:embedBold r:id="rId2" w:fontKey="{04CD69A4-AB5D-4B0F-9C56-141173D0BF67}"/>
    <w:embedItalic r:id="rId3" w:fontKey="{875F3EB3-C2B9-4215-A4E3-009DC47BC84E}"/>
    <w:embedBoldItalic r:id="rId4" w:fontKey="{9D6F81A7-C1E2-4873-B047-49BBB30F42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FDFBD00-C510-4FDB-A739-BAD7DA18A0BF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0816433C-1FCA-4D03-BAFC-143628A57D1A}"/>
    <w:embedItalic r:id="rId7" w:fontKey="{7D06DA7F-F3AE-44F7-BCCB-3DC551ADECC0}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7A0692E-8540-4D54-94F1-0C300DEE7D5A}"/>
    <w:embedItalic r:id="rId9" w:fontKey="{991C7CBF-32E9-4D8B-A256-DAD5404541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4" w14:textId="77777777" w:rsidR="00EB25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F5" w14:textId="77777777" w:rsidR="00EB2561" w:rsidRDefault="00EB25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F6" w14:textId="77777777" w:rsidR="00EB2561" w:rsidRDefault="00EB25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7" w14:textId="6BF7D2B8" w:rsidR="00EB25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Symbol" w:eastAsia="Symbol" w:hAnsi="Symbol" w:cs="Symbol"/>
        <w:color w:val="000000"/>
      </w:rPr>
      <w:t>©</w:t>
    </w:r>
    <w:r>
      <w:rPr>
        <w:color w:val="000000"/>
      </w:rPr>
      <w:t xml:space="preserve"> 2026, Journal of Visualized Experiments</w:t>
    </w:r>
    <w:r>
      <w:rPr>
        <w:color w:val="000000"/>
      </w:rPr>
      <w:tab/>
    </w:r>
    <w:r w:rsidR="00744C35">
      <w:rPr>
        <w:color w:val="000000"/>
      </w:rPr>
      <w:t xml:space="preserve">     May 7, </w:t>
    </w:r>
    <w:proofErr w:type="gramStart"/>
    <w:r w:rsidR="00744C35">
      <w:rPr>
        <w:color w:val="000000"/>
      </w:rPr>
      <w:t>2026</w:t>
    </w:r>
    <w:proofErr w:type="gramEnd"/>
    <w:r w:rsidR="00744C35">
      <w:rPr>
        <w:color w:val="000000"/>
      </w:rPr>
      <w:t xml:space="preserve">   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3960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BB3960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99E7" w14:textId="77777777" w:rsidR="00221D07" w:rsidRDefault="00221D07">
      <w:r>
        <w:separator/>
      </w:r>
    </w:p>
  </w:footnote>
  <w:footnote w:type="continuationSeparator" w:id="0">
    <w:p w14:paraId="5EC9487B" w14:textId="77777777" w:rsidR="00221D07" w:rsidRDefault="00221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2" w14:textId="39D34240" w:rsidR="00EB2561" w:rsidRPr="00744C35" w:rsidRDefault="00000000" w:rsidP="00744C3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00B050"/>
        <w:sz w:val="28"/>
        <w:szCs w:val="28"/>
        <w:u w:val="single"/>
      </w:rPr>
    </w:pPr>
    <w:r w:rsidRPr="00744C35">
      <w:rPr>
        <w:noProof/>
        <w:color w:val="00B050"/>
      </w:rPr>
      <w:drawing>
        <wp:anchor distT="0" distB="0" distL="114300" distR="114300" simplePos="0" relativeHeight="251658240" behindDoc="0" locked="0" layoutInCell="1" hidden="0" allowOverlap="1" wp14:anchorId="086605BA" wp14:editId="4CF66698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44C35" w:rsidRPr="00744C35">
      <w:rPr>
        <w:b/>
        <w:bCs/>
        <w:color w:val="00B050"/>
        <w:sz w:val="28"/>
        <w:szCs w:val="28"/>
        <w:u w:val="single"/>
      </w:rPr>
      <w:t>FINAL SCRIPT: APPROVED FOR FILMING</w:t>
    </w:r>
  </w:p>
  <w:p w14:paraId="000000F3" w14:textId="77777777" w:rsidR="00EB2561" w:rsidRDefault="00EB25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B3E29"/>
    <w:multiLevelType w:val="multilevel"/>
    <w:tmpl w:val="F3A8152E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16A5D86"/>
    <w:multiLevelType w:val="multilevel"/>
    <w:tmpl w:val="57ACB5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F94E66"/>
    <w:multiLevelType w:val="multilevel"/>
    <w:tmpl w:val="B52CE98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AC06EC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F00C55"/>
    <w:multiLevelType w:val="multilevel"/>
    <w:tmpl w:val="7A8EFBEA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num w:numId="1" w16cid:durableId="696010293">
    <w:abstractNumId w:val="1"/>
  </w:num>
  <w:num w:numId="2" w16cid:durableId="455948888">
    <w:abstractNumId w:val="0"/>
  </w:num>
  <w:num w:numId="3" w16cid:durableId="798765901">
    <w:abstractNumId w:val="2"/>
  </w:num>
  <w:num w:numId="4" w16cid:durableId="380981259">
    <w:abstractNumId w:val="5"/>
  </w:num>
  <w:num w:numId="5" w16cid:durableId="294288860">
    <w:abstractNumId w:val="3"/>
  </w:num>
  <w:num w:numId="6" w16cid:durableId="599022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61"/>
    <w:rsid w:val="00073F76"/>
    <w:rsid w:val="00221D07"/>
    <w:rsid w:val="002655F6"/>
    <w:rsid w:val="00744C35"/>
    <w:rsid w:val="0078539C"/>
    <w:rsid w:val="007B569B"/>
    <w:rsid w:val="008004A5"/>
    <w:rsid w:val="00832460"/>
    <w:rsid w:val="00956D51"/>
    <w:rsid w:val="009A0BEC"/>
    <w:rsid w:val="00A26B27"/>
    <w:rsid w:val="00AB5BAA"/>
    <w:rsid w:val="00AD20DD"/>
    <w:rsid w:val="00BB3960"/>
    <w:rsid w:val="00DF585D"/>
    <w:rsid w:val="00E84D77"/>
    <w:rsid w:val="00EB2561"/>
    <w:rsid w:val="00F6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67ECA"/>
  <w15:docId w15:val="{98DA9B51-1425-4E89-B23F-84A5792B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39C"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B3960"/>
    <w:pPr>
      <w:ind w:left="720"/>
      <w:contextualSpacing/>
    </w:pPr>
  </w:style>
  <w:style w:type="character" w:customStyle="1" w:styleId="AuthorName">
    <w:name w:val="AuthorName"/>
    <w:basedOn w:val="DefaultParagraphFont"/>
    <w:uiPriority w:val="1"/>
    <w:qFormat/>
    <w:rsid w:val="00F650EF"/>
    <w:rPr>
      <w:rFonts w:ascii="Calibri" w:eastAsia="Times New Roman" w:hAnsi="Calibri" w:cs="Calibri"/>
      <w:b/>
      <w:szCs w:val="24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50EF"/>
  </w:style>
  <w:style w:type="character" w:styleId="Strong">
    <w:name w:val="Strong"/>
    <w:basedOn w:val="DefaultParagraphFont"/>
    <w:uiPriority w:val="22"/>
    <w:qFormat/>
    <w:rsid w:val="007B56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44C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C35"/>
  </w:style>
  <w:style w:type="paragraph" w:styleId="Footer">
    <w:name w:val="footer"/>
    <w:basedOn w:val="Normal"/>
    <w:link w:val="FooterChar"/>
    <w:uiPriority w:val="99"/>
    <w:unhideWhenUsed/>
    <w:rsid w:val="00744C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27943" TargetMode="External"/><Relationship Id="rId13" Type="http://schemas.openxmlformats.org/officeDocument/2006/relationships/hyperlink" Target="mailto:genti.xhepa@gustaveroussy.fr" TargetMode="External"/><Relationship Id="rId18" Type="http://schemas.openxmlformats.org/officeDocument/2006/relationships/hyperlink" Target="mailto:frederic.deschamps@gustaveroussy.f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eview.jove.com/account/file-uploader?src=21727943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aul.janvier@gustaveroussy.fr" TargetMode="External"/><Relationship Id="rId17" Type="http://schemas.openxmlformats.org/officeDocument/2006/relationships/hyperlink" Target="mailto:luis.mir@cnrs.fr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olivier.seror@aphp.fr" TargetMode="External"/><Relationship Id="rId20" Type="http://schemas.openxmlformats.org/officeDocument/2006/relationships/hyperlink" Target="mailto:paul.beunon@gustaveroussy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mbros.tselikas@gustaveroussy.fr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baudouin.denis-de-senneville@inria.fr" TargetMode="External"/><Relationship Id="rId23" Type="http://schemas.openxmlformats.org/officeDocument/2006/relationships/header" Target="header1.xml"/><Relationship Id="rId10" Type="http://schemas.openxmlformats.org/officeDocument/2006/relationships/hyperlink" Target="mailto:baptiste.bonnet@gustaveroussy.fr" TargetMode="External"/><Relationship Id="rId19" Type="http://schemas.openxmlformats.org/officeDocument/2006/relationships/hyperlink" Target="mailto:clair.poignard@inria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ul.beunon@gustaveroussy.fr" TargetMode="External"/><Relationship Id="rId14" Type="http://schemas.openxmlformats.org/officeDocument/2006/relationships/hyperlink" Target="mailto:olivier.sutter@aphp.fr" TargetMode="External"/><Relationship Id="rId22" Type="http://schemas.openxmlformats.org/officeDocument/2006/relationships/hyperlink" Target="https://review.jove.com/account/file-uploader?src=21727943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1K5rsXfPdqTS/HKeoCbjTsKm5g==">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3040</Words>
  <Characters>17967</Characters>
  <Application>Microsoft Office Word</Application>
  <DocSecurity>0</DocSecurity>
  <Lines>408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 Sharma</dc:creator>
  <cp:keywords/>
  <dc:description/>
  <cp:lastModifiedBy>Pallavi  Sharma</cp:lastModifiedBy>
  <cp:revision>2</cp:revision>
  <dcterms:created xsi:type="dcterms:W3CDTF">2026-05-07T06:21:00Z</dcterms:created>
  <dcterms:modified xsi:type="dcterms:W3CDTF">2026-05-07T06:21:00Z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