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</w:t>
      </w:r>
      <w:r w:rsidR="00AA6509" w:rsidRPr="00AA6509">
        <w:rPr>
          <w:rStyle w:val="ArticleTitle"/>
          <w:rFonts w:cstheme="minorHAnsi"/>
        </w:rPr>
        <w:t xml:space="preserve">Deficient </w:t>
      </w:r>
      <w:r w:rsidR="00AA6509" w:rsidRPr="00AA6509">
        <w:rPr>
          <w:rStyle w:val="ArticleTitle"/>
          <w:rFonts w:cstheme="minorHAnsi"/>
        </w:rPr>
        <w:t>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AA6509" w:rsidRDefault="00AA6509" w:rsidP="00AA6509">
      <w:pPr>
        <w:outlineLvl w:val="0"/>
        <w:rPr>
          <w:rFonts w:cstheme="minorHAnsi"/>
          <w:bCs/>
        </w:rPr>
      </w:pPr>
      <w:r w:rsidRPr="00AA6509">
        <w:rPr>
          <w:rFonts w:cstheme="minorHAnsi"/>
          <w:bCs/>
        </w:rPr>
        <w:t>Antonio Moreno</w:t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  <w:t>morenoantonio60@uc.cl</w:t>
      </w:r>
    </w:p>
    <w:p w14:paraId="6ACCA869" w14:textId="77777777" w:rsidR="00AA6509" w:rsidRPr="00AA6509" w:rsidRDefault="00AA6509" w:rsidP="00AA6509">
      <w:pPr>
        <w:outlineLvl w:val="0"/>
        <w:rPr>
          <w:rFonts w:cstheme="minorHAnsi"/>
          <w:bCs/>
        </w:rPr>
      </w:pPr>
      <w:r w:rsidRPr="00AA6509">
        <w:rPr>
          <w:rFonts w:cstheme="minorHAnsi"/>
          <w:bCs/>
        </w:rPr>
        <w:t>Claudia Parra-Ruiz</w:t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  <w:t>cpparra2@uc.cl</w:t>
      </w:r>
    </w:p>
    <w:p w14:paraId="12916965" w14:textId="4865C5C5" w:rsidR="003B5E26" w:rsidRPr="004F6CCB" w:rsidRDefault="00AA6509" w:rsidP="00AA6509">
      <w:pPr>
        <w:outlineLvl w:val="0"/>
        <w:rPr>
          <w:rFonts w:cstheme="minorHAnsi"/>
          <w:bCs/>
        </w:rPr>
      </w:pPr>
      <w:r w:rsidRPr="00AA6509">
        <w:rPr>
          <w:rFonts w:cstheme="minorHAnsi"/>
          <w:bCs/>
        </w:rPr>
        <w:t>Francisca Stolzenbach</w:t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</w:r>
      <w:r w:rsidRPr="00AA6509">
        <w:rPr>
          <w:rFonts w:cstheme="minorHAnsi"/>
          <w:bCs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49FCD3FA" w:rsidR="00AA6509" w:rsidRPr="00AA6509" w:rsidRDefault="00AA6509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Mitochondrial </w:t>
      </w:r>
      <w:r w:rsidRPr="00AA6509">
        <w:rPr>
          <w:rFonts w:cstheme="minorHAnsi"/>
          <w:b/>
          <w:bCs/>
        </w:rPr>
        <w:t xml:space="preserve">Isolation </w:t>
      </w:r>
      <w:r w:rsidRPr="00AA6509">
        <w:rPr>
          <w:rFonts w:cstheme="minorHAnsi"/>
          <w:b/>
          <w:bCs/>
        </w:rPr>
        <w:t xml:space="preserve">and </w:t>
      </w:r>
      <w:r w:rsidRPr="00AA6509">
        <w:rPr>
          <w:rFonts w:cstheme="minorHAnsi"/>
          <w:b/>
          <w:bCs/>
        </w:rPr>
        <w:t xml:space="preserve">Transfer Assay </w:t>
      </w:r>
    </w:p>
    <w:p w14:paraId="75DFC648" w14:textId="6B45EBB5" w:rsidR="00CE10F2" w:rsidRDefault="00CE10F2" w:rsidP="00AA650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333DB92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 xml:space="preserve">100 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9050550" w14:textId="3524D189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To begin, seed the 2 × 10⁶ donor cells, HepG2 cells or preadipocytes</w:t>
      </w:r>
      <w:r>
        <w:rPr>
          <w:lang w:eastAsia="en-IN"/>
        </w:rPr>
        <w:t xml:space="preserve">, in the dish </w:t>
      </w:r>
      <w:r w:rsidRPr="00525C4D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525C4D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8A0CC3">
        <w:rPr>
          <w:lang w:eastAsia="en-IN"/>
        </w:rPr>
        <w:t xml:space="preserve">  Grow the cells until they reach 80% confluence for the HepG2 cells or 100% confluence for the preadipocytes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donor cells into the 100 millimeter culture dishes in the biosafety cabinet.</w:t>
      </w:r>
    </w:p>
    <w:p w14:paraId="3117E59A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Shot of the donor cells at the appropriate confluence in the culture dish.</w:t>
      </w:r>
    </w:p>
    <w:p w14:paraId="7CD003CF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the 100 nanomolar MitoTracker Deep Red FM in the fetal bovine serum-free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MitoTracker Deep Red FM staining solution to the donor cells.</w:t>
      </w:r>
    </w:p>
    <w:p w14:paraId="4DE9353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cells with the growth medium.</w:t>
      </w:r>
    </w:p>
    <w:p w14:paraId="6D0C9B2C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Detach the cells using trypsin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Collect the cell suspension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Centrifuge the </w:t>
      </w:r>
      <w:r w:rsidRPr="008A0CC3">
        <w:rPr>
          <w:lang w:eastAsia="en-IN"/>
        </w:rPr>
        <w:lastRenderedPageBreak/>
        <w:t xml:space="preserve">suspension at 300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5 minutes at 4 degrees Celsius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17A9D10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trypsin to detach the cells.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73B5ED68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milliliter of the mitochondrial isolation buffer supplemented with bovine serum albumin,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Using a tuberculin syringe, pass the suspension through the syringe 5 times to disrupt the plasma membrane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Using an insulin syringe, pass the suspension through the syringe at least 10 times to homogenize it until the solution is light brown and lacks visible clumps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 mitochondrial isolation buffer supplemented with bovine serum albumin, protease inhibitors, and phosphatase inhibitors.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42A13031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Centrifuge the supernatant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Wash the mitochondrial pellet 3 times with the mitochondrial isolation buffer supplemented with bovine serum albumin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0145D4C4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bovine serum albumin-free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Quantify the protein concentration using the bicinchoninic acid protein assay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mitochondrial pellet in bovine serum albumin-free mitochondrial isolation buffer.</w:t>
      </w:r>
    </w:p>
    <w:p w14:paraId="710B6789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performing the bicinchoninic acid protein assay.</w:t>
      </w:r>
    </w:p>
    <w:p w14:paraId="5D8FF8F7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the recipient preadipocytes at 5 × 10⁵ cells per well in the 12-well plates containing 18 millimeter coverslips for microscopy 24 hours before the assay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WIDE: Talent seeding the recipient preadipocytes into the 12-well plates containing 18 millimeter coverslips.</w:t>
      </w:r>
    </w:p>
    <w:p w14:paraId="2D071E81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lastRenderedPageBreak/>
        <w:t xml:space="preserve">Add the isolated donor mitochondria directly to the recipient medium at a ratio of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cells for 24 to 120 hours, corresponding to days 1, 3, and 5 of differentiation, at 37 degrees Celsius in a humidified incubator with 5% carbon dioxide prior to analysis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9EB28F" w14:textId="6EB28748" w:rsidR="00525C4D" w:rsidRDefault="00AA6509" w:rsidP="00525C4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Live </w:t>
      </w:r>
      <w:r w:rsidRPr="00AA6509">
        <w:rPr>
          <w:rFonts w:cstheme="minorHAnsi"/>
          <w:b/>
          <w:bCs/>
        </w:rPr>
        <w:t>Cell Imaging Assay</w:t>
      </w:r>
    </w:p>
    <w:p w14:paraId="21350F16" w14:textId="77777777" w:rsidR="00525C4D" w:rsidRDefault="00525C4D" w:rsidP="00525C4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F0AAC4483E6B4A18BA6A7229D431203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24023B" w14:textId="273C7A30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8A0CC3">
        <w:rPr>
          <w:lang w:eastAsia="en-IN"/>
        </w:rPr>
        <w:t xml:space="preserve">eed the primary preadipocytes derived from postnatal day 0.5 neonatal mice into the 12-well plates containing 18 millimeter coverslips, following the previously detailed specific cell density and media requirements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4D766B92" w14:textId="16FFD44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primary preadipocytes into the 12-well plates containing 18 millimeter coverslips.</w:t>
      </w:r>
    </w:p>
    <w:p w14:paraId="5309AD95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Isolate the mitochondria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Execute the mitochondrial transfer assay using the donor cells previously labeled with MitoTracker Deep Red FM, as previously specified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35551C6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isolating the mitochondria.</w:t>
      </w:r>
    </w:p>
    <w:p w14:paraId="1D2F44C8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performing the mitochondrial transfer assay with the previously labeled donor cells.</w:t>
      </w:r>
    </w:p>
    <w:p w14:paraId="396E6A5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Maintain the recipient cultures in a humidified incubator at 37 degrees Celsius with 5% carbon dioxide for 24 hours to allow for the mitochondrial uptake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5BF1B86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recipient cultures into the humidified incubator.</w:t>
      </w:r>
    </w:p>
    <w:p w14:paraId="633D62B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Prepare a 70 nanomolar MitoTracker Green working solution by diluting the stock in the fetal bovine serum-free culture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450047D7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preparing the MitoTracker Green working solution in the fetal bovine serum-free culture medium.</w:t>
      </w:r>
    </w:p>
    <w:p w14:paraId="36D0E2A4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Aspirate the growth medium from the 12-well plates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 and replace it with the 70 nanomolar MitoTracker Green solution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plates for 25 minutes at 37 degrees Celsius in a humidified incubator with 5% carbon dioxide to counterstain the total mitochondrial network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69377C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Talent aspirating the growth medium from the 12-well plates.</w:t>
      </w:r>
    </w:p>
    <w:p w14:paraId="6266209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70 nanomolar MitoTracker Green solution to the wells.</w:t>
      </w:r>
    </w:p>
    <w:p w14:paraId="02FC6BB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plates into the humidified incubator.</w:t>
      </w:r>
    </w:p>
    <w:p w14:paraId="28BDFE50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Remove the staining solution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 and wash the coverslips 2 times with 1 milliliter of the warm, complete culture medium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1BD215F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removing the staining solution from the wells.</w:t>
      </w:r>
    </w:p>
    <w:p w14:paraId="65A05E9E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coverslips with the warm, complete culture medium.</w:t>
      </w:r>
    </w:p>
    <w:p w14:paraId="545AC9B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Replace the final volume with the phenol red-free complete medium to minimize the background autofluorescence during acquisition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39F91DB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phenol red-free complete medium to the wells.</w:t>
      </w:r>
    </w:p>
    <w:p w14:paraId="24F4C939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Transfer the coverslips or the plate to the confocal microscope stage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Set the microscope incubation chamber to maintain a constant environment of 37 degrees Celsius and 5% carbon dioxide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DD852D7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transferring the coverslips or the plate to the confocal microscope stage.</w:t>
      </w:r>
    </w:p>
    <w:p w14:paraId="4EEEF8B7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setting the microscope incubation chamber.</w:t>
      </w:r>
    </w:p>
    <w:p w14:paraId="40C872ED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Capture the images immediately using the appropriate excitation and emission settings for both the far-red MitoTracker Deep Red FM and green MitoTracker Green channels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Refer to the supplemental file for additional details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4EDBDE5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capturing the images using the far-red and green channels.</w:t>
      </w:r>
    </w:p>
    <w:p w14:paraId="0F9AE531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Shot of the supplemental file with the additional imaging details.</w:t>
      </w: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77777777" w:rsidR="00525C4D" w:rsidRDefault="00495959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B07A3B">
        <w:rPr>
          <w:rFonts w:cstheme="minorHAnsi"/>
        </w:rPr>
        <w:t>Step 1</w:t>
      </w:r>
      <w:r w:rsidR="00525C4D" w:rsidRPr="008A0CC3">
        <w:rPr>
          <w:lang w:eastAsia="en-IN"/>
        </w:rPr>
        <w:t xml:space="preserve">Flow cytometry analysis showed that approximately 60% of preadipocytes were positive for the MitoTracker Deep Red signal </w:t>
      </w:r>
      <w:r w:rsidR="00525C4D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, indicating efficient uptake of exogenous mitochondria.</w:t>
      </w:r>
    </w:p>
    <w:p w14:paraId="4305825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1E. Video editor: Highlight the large population shifted to the right on the MitoTracker Deep Red axis that is positive for MitoTracker Deep Red staining.</w:t>
      </w:r>
    </w:p>
    <w:p w14:paraId="45673D78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Live-cell confocal microscopy revealed colocalization of the exogenous MitoTracker Deep Red-stained mitochondria with the endogenous MitoTracker Green-stained mitochondrial network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24ADFEF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1F. Video editor: Highlight the merged image where the magenta MitoTracker Deep Red signal overlaps with the green MitoTracker Green mitochondrial network.</w:t>
      </w:r>
    </w:p>
    <w:p w14:paraId="421AD917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 approximately 50% of cells remained negative for MitoTracker Deep Red signal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the overall efficacy of exogenous mitochondria incorporation was approximately 50%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1B072A4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1G. Video editor: Highlight the Manders' colocalization coefficient values shown for the mitochondria-treated groups.</w:t>
      </w:r>
    </w:p>
    <w:p w14:paraId="7CED1D2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1G. Video editor: Highlight the mitochondria-treated groups represented by the orange and red box plots.</w:t>
      </w:r>
    </w:p>
    <w:p w14:paraId="2F8593E7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remained detectable after 1 day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3 days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 xml:space="preserve">, and 5 days </w:t>
      </w:r>
      <w:r w:rsidRPr="008A0CC3">
        <w:rPr>
          <w:b/>
          <w:lang w:eastAsia="en-IN"/>
        </w:rPr>
        <w:t>[3]</w:t>
      </w:r>
      <w:r w:rsidRPr="008A0CC3">
        <w:rPr>
          <w:lang w:eastAsia="en-IN"/>
        </w:rPr>
        <w:t xml:space="preserve"> of differentiation.</w:t>
      </w:r>
    </w:p>
    <w:p w14:paraId="3287DA4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data point at day 1 for the differentiated plus human mitochondria group.</w:t>
      </w:r>
    </w:p>
    <w:p w14:paraId="20CD11E9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data point at day 3 for the differentiated plus human mitochondria group.</w:t>
      </w:r>
    </w:p>
    <w:p w14:paraId="7634DBC0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LAB MEDIA: Figure 1H. Video editor: Highlight the data point at day 5 for the differentiated plus human mitochondria group.</w:t>
      </w:r>
    </w:p>
    <w:p w14:paraId="64DF5939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levels rapidly declined in cells that were not induced to differentiate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becoming undetectable at day 3 of differentiation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676EBEF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line for the non-differentiated plus human mitochondria group as it decreases across the time points.</w:t>
      </w:r>
    </w:p>
    <w:p w14:paraId="1E9FF839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LAB MEDIA: Figure 1H. Video editor: Highlight the data point at day 3 for the non-differentiated plus human mitochondria group near zero on the vertical axis.</w:t>
      </w:r>
    </w:p>
    <w:sectPr w:rsidR="00525C4D" w:rsidRPr="008A0CC3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A330" w14:textId="77777777" w:rsidR="00F50673" w:rsidRDefault="00F50673">
      <w:r>
        <w:separator/>
      </w:r>
    </w:p>
    <w:p w14:paraId="786765CA" w14:textId="77777777" w:rsidR="00F50673" w:rsidRDefault="00F50673"/>
  </w:endnote>
  <w:endnote w:type="continuationSeparator" w:id="0">
    <w:p w14:paraId="1F31F1BE" w14:textId="77777777" w:rsidR="00F50673" w:rsidRDefault="00F50673">
      <w:r>
        <w:continuationSeparator/>
      </w:r>
    </w:p>
    <w:p w14:paraId="5A13C8DC" w14:textId="77777777" w:rsidR="00F50673" w:rsidRDefault="00F506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5FC0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5C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AA69C" w14:textId="77777777" w:rsidR="00F50673" w:rsidRDefault="00F50673">
      <w:r>
        <w:separator/>
      </w:r>
    </w:p>
    <w:p w14:paraId="38467734" w14:textId="77777777" w:rsidR="00F50673" w:rsidRDefault="00F50673"/>
  </w:footnote>
  <w:footnote w:type="continuationSeparator" w:id="0">
    <w:p w14:paraId="7F31E5FC" w14:textId="77777777" w:rsidR="00F50673" w:rsidRDefault="00F50673">
      <w:r>
        <w:continuationSeparator/>
      </w:r>
    </w:p>
    <w:p w14:paraId="3850DF53" w14:textId="77777777" w:rsidR="00F50673" w:rsidRDefault="00F506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673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2306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0AAC4483E6B4A18BA6A7229D4312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1C1E0-DE3D-44B3-961C-1A046BBFC85E}"/>
      </w:docPartPr>
      <w:docPartBody>
        <w:p w:rsidR="00000000" w:rsidRDefault="000E54EE" w:rsidP="000E54EE">
          <w:pPr>
            <w:pStyle w:val="F0AAC4483E6B4A18BA6A7229D431203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54EE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60BE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2F59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0AAC4483E6B4A18BA6A7229D431203B">
    <w:name w:val="F0AAC4483E6B4A18BA6A7229D431203B"/>
    <w:rsid w:val="000E54E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2447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2026-06-22T20:39:00Z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