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B6F3D8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A6509">
        <w:rPr>
          <w:rFonts w:eastAsia="Times New Roman" w:cstheme="minorHAnsi"/>
          <w:b/>
        </w:rPr>
        <w:t>71223</w:t>
      </w:r>
    </w:p>
    <w:p w14:paraId="2F6924E5" w14:textId="413960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A6509">
        <w:rPr>
          <w:rFonts w:eastAsia="Times New Roman" w:cstheme="minorHAnsi"/>
          <w:b/>
        </w:rPr>
        <w:t>Poornima G</w:t>
      </w:r>
    </w:p>
    <w:p w14:paraId="6FB9233B" w14:textId="72DFF8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A6509" w:rsidRPr="00265418">
          <w:rPr>
            <w:rStyle w:val="Hyperlink"/>
            <w:rFonts w:eastAsia="Times New Roman" w:cstheme="minorHAnsi"/>
            <w:b/>
          </w:rPr>
          <w:t>https://review.jove.com/account/file-uploader?src=21723063</w:t>
        </w:r>
      </w:hyperlink>
      <w:r w:rsidR="00AA650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A3FFB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A6509" w:rsidRPr="00AA6509">
        <w:rPr>
          <w:rStyle w:val="ArticleTitle"/>
          <w:rFonts w:cstheme="minorHAnsi"/>
        </w:rPr>
        <w:t>Exogenous Mitochondrial Transfer in Differentiating Brown Adipocytes and AGPAT2-Deficient Preadipocytes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5D9877" w14:textId="78754C1A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  <w:r w:rsidRPr="00AA6509">
        <w:rPr>
          <w:rFonts w:eastAsia="Times New Roman" w:cstheme="minorHAnsi"/>
          <w:b/>
          <w:sz w:val="28"/>
          <w:szCs w:val="28"/>
        </w:rPr>
        <w:t>Antonio Moreno, Claudia Parra-Ruiz, Francisca Stolzenbach, Víctor Cortés</w:t>
      </w:r>
    </w:p>
    <w:p w14:paraId="56AED4DC" w14:textId="77777777" w:rsidR="00AA6509" w:rsidRPr="00AA6509" w:rsidRDefault="00AA6509" w:rsidP="00AA650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28EEA4" w14:textId="46F5810C" w:rsidR="00AA6509" w:rsidRPr="007E2614" w:rsidRDefault="00AA6509" w:rsidP="00AA6509">
      <w:pPr>
        <w:outlineLvl w:val="0"/>
        <w:rPr>
          <w:rFonts w:eastAsia="Times New Roman" w:cstheme="minorHAnsi"/>
          <w:bCs/>
          <w:sz w:val="28"/>
          <w:szCs w:val="28"/>
        </w:rPr>
      </w:pPr>
      <w:r w:rsidRPr="007E2614">
        <w:rPr>
          <w:rFonts w:eastAsia="Times New Roman" w:cstheme="minorHAnsi"/>
          <w:bCs/>
          <w:sz w:val="28"/>
          <w:szCs w:val="28"/>
        </w:rPr>
        <w:t>Department of Nutrition, Diabetes and Metabolism, School of Medicine, Pontificia Universidad Católica de Chile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691431B2" w:rsidR="00D6314B" w:rsidRPr="00B07A3B" w:rsidRDefault="00AA6509" w:rsidP="004E0C5A">
      <w:pPr>
        <w:outlineLvl w:val="0"/>
        <w:rPr>
          <w:rFonts w:eastAsia="Times New Roman" w:cstheme="minorHAnsi"/>
        </w:rPr>
      </w:pPr>
      <w:bookmarkStart w:id="0" w:name="_Hlk25233958"/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511112D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Antonio Moreno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morenoantonio60@uc.cl</w:t>
      </w:r>
    </w:p>
    <w:p w14:paraId="6ACCA869" w14:textId="77777777" w:rsidR="00AA6509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Claudia Parra-Ruiz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cpparra2@uc.cl</w:t>
      </w:r>
    </w:p>
    <w:p w14:paraId="12916965" w14:textId="4865C5C5" w:rsidR="003B5E26" w:rsidRPr="00262873" w:rsidRDefault="00AA6509" w:rsidP="00AA6509">
      <w:pPr>
        <w:outlineLvl w:val="0"/>
        <w:rPr>
          <w:rFonts w:cstheme="minorHAnsi"/>
          <w:bCs/>
          <w:lang w:val="es-CL"/>
        </w:rPr>
      </w:pPr>
      <w:r w:rsidRPr="00262873">
        <w:rPr>
          <w:rFonts w:cstheme="minorHAnsi"/>
          <w:bCs/>
          <w:lang w:val="es-CL"/>
        </w:rPr>
        <w:t>Francisca Stolzenbach</w:t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</w:r>
      <w:r w:rsidRPr="00262873">
        <w:rPr>
          <w:rFonts w:cstheme="minorHAnsi"/>
          <w:bCs/>
          <w:lang w:val="es-CL"/>
        </w:rPr>
        <w:tab/>
        <w:t>maria.stolzenbach@uc.cl</w:t>
      </w:r>
    </w:p>
    <w:p w14:paraId="3A58076B" w14:textId="77777777" w:rsidR="00AA6509" w:rsidRPr="00B07A3B" w:rsidRDefault="00AA6509" w:rsidP="00AA6509">
      <w:pPr>
        <w:outlineLvl w:val="0"/>
        <w:rPr>
          <w:rFonts w:eastAsia="Times New Roman" w:cstheme="minorHAnsi"/>
        </w:rPr>
      </w:pPr>
      <w:r w:rsidRPr="00AA6509">
        <w:rPr>
          <w:rFonts w:eastAsia="Times New Roman" w:cstheme="minorHAnsi"/>
        </w:rPr>
        <w:t>Víctor Cortés</w:t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</w:r>
      <w:r w:rsidRPr="00AA6509">
        <w:rPr>
          <w:rFonts w:eastAsia="Times New Roman" w:cstheme="minorHAnsi"/>
        </w:rPr>
        <w:tab/>
        <w:t xml:space="preserve">vcortesm@uc.cl 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60871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27F4A">
        <w:rPr>
          <w:rFonts w:eastAsia="Times New Roman" w:cstheme="minorHAnsi"/>
          <w:b/>
          <w:bCs/>
        </w:rPr>
        <w:t>Yes (shot 2.2.2)</w:t>
      </w:r>
      <w:r w:rsidR="00027F4A">
        <w:rPr>
          <w:rFonts w:eastAsia="Times New Roman" w:cstheme="minorHAnsi"/>
          <w:b/>
          <w:bCs/>
        </w:rPr>
        <w:br/>
      </w:r>
      <w:r w:rsidR="00027F4A">
        <w:rPr>
          <w:rFonts w:eastAsia="Times New Roman" w:cstheme="minorHAnsi"/>
          <w:b/>
          <w:bCs/>
        </w:rPr>
        <w:br/>
      </w:r>
      <w:r w:rsidR="00027F4A" w:rsidRPr="00027F4A">
        <w:rPr>
          <w:rFonts w:eastAsia="Times New Roman" w:cstheme="minorHAnsi"/>
          <w:b/>
          <w:bCs/>
          <w:highlight w:val="yellow"/>
        </w:rPr>
        <w:t>Authors: Please provide the scope image for 2.2.2</w:t>
      </w:r>
      <w:r w:rsidR="007E2614">
        <w:rPr>
          <w:rFonts w:eastAsia="Times New Roman" w:cstheme="minorHAnsi"/>
          <w:b/>
          <w:bCs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66744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FBC758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89BC5C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E2614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A5370CB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525C4D">
        <w:rPr>
          <w:rFonts w:cstheme="minorHAnsi"/>
          <w:bCs/>
          <w:sz w:val="22"/>
          <w:szCs w:val="22"/>
        </w:rPr>
        <w:t>20</w:t>
      </w:r>
    </w:p>
    <w:p w14:paraId="5AAC9C6C" w14:textId="3387B46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525C4D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C724BBF" w:rsidR="007D61A8" w:rsidRPr="007E2614" w:rsidRDefault="002149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21497B">
        <w:rPr>
          <w:rFonts w:cstheme="minorHAnsi"/>
        </w:rPr>
        <w:t xml:space="preserve">This study examines if mitochondrial mass drives adipogenesis and whether </w:t>
      </w:r>
      <w:r w:rsidR="007E2614" w:rsidRPr="007E2614">
        <w:rPr>
          <w:rFonts w:cstheme="minorHAnsi"/>
        </w:rPr>
        <w:t xml:space="preserve">Exogenous Mitochondrial </w:t>
      </w:r>
      <w:r w:rsidRPr="0021497B">
        <w:rPr>
          <w:rFonts w:cstheme="minorHAnsi"/>
        </w:rPr>
        <w:t>transfer can rescue impaired differentiation caused by AGPAT2 gene deficiency.</w:t>
      </w:r>
    </w:p>
    <w:p w14:paraId="7EA568C2" w14:textId="53EE7624" w:rsidR="007E2614" w:rsidRPr="00B07A3B" w:rsidRDefault="007E2614" w:rsidP="007E261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E3727EE" w:rsidR="007D61A8" w:rsidRPr="007E2614" w:rsidRDefault="0021497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1497B">
        <w:rPr>
          <w:rFonts w:cstheme="minorHAnsi"/>
        </w:rPr>
        <w:t>Genetic methods alter signaling alongside mitochondrial mass; this protocol uses exogenous transfer to isolate mass effects during adipogenesis</w:t>
      </w:r>
      <w:r w:rsidR="007E2614">
        <w:rPr>
          <w:rFonts w:cstheme="minorHAnsi"/>
        </w:rPr>
        <w:t>.</w:t>
      </w:r>
    </w:p>
    <w:p w14:paraId="1C378E64" w14:textId="062209CA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7D0B263" w:rsidR="00D75084" w:rsidRPr="007E2614" w:rsidRDefault="00FD3B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D3BE4">
        <w:rPr>
          <w:rFonts w:cstheme="minorHAnsi"/>
        </w:rPr>
        <w:t>This protocol measures the specific impact of mitochondrial mass on cell differentiation, network integration, metabolic rescue, and cellular bioenergetic function</w:t>
      </w:r>
      <w:r w:rsidR="007E2614">
        <w:rPr>
          <w:rFonts w:cstheme="minorHAnsi"/>
        </w:rPr>
        <w:t>.</w:t>
      </w:r>
    </w:p>
    <w:p w14:paraId="7C211330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C89C0F2" w14:textId="77777777" w:rsidR="007E2614" w:rsidRPr="00D75084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57C70FB" w:rsidR="007D61A8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E2614">
        <w:rPr>
          <w:rFonts w:eastAsia="Times New Roman" w:cstheme="minorHAnsi"/>
        </w:rPr>
        <w:t>A key challenge is m</w:t>
      </w:r>
      <w:r w:rsidRPr="00FD3BE4">
        <w:rPr>
          <w:rFonts w:cstheme="minorHAnsi"/>
        </w:rPr>
        <w:t>aintaining the structural integrity and bioenergetic viability of isolated mitochondria to ensure their functional integration into the host cell network.</w:t>
      </w:r>
    </w:p>
    <w:p w14:paraId="3A70D7A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3D62C5E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31353DE" w:rsidR="00333FA4" w:rsidRPr="007E2614" w:rsidRDefault="00FD3B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Antonio Moreno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E2614">
        <w:rPr>
          <w:rFonts w:cstheme="minorHAnsi"/>
        </w:rPr>
        <w:t xml:space="preserve">Following this procedure, Seahorse assays for bioenergetics can be performed, and </w:t>
      </w:r>
      <w:r w:rsidRPr="00FD3BE4">
        <w:rPr>
          <w:rFonts w:cstheme="minorHAnsi"/>
        </w:rPr>
        <w:t>mitochondrial fusion-fission dynamics</w:t>
      </w:r>
      <w:r w:rsidR="007E2614">
        <w:rPr>
          <w:rFonts w:cstheme="minorHAnsi"/>
        </w:rPr>
        <w:t xml:space="preserve"> can be measured.</w:t>
      </w:r>
    </w:p>
    <w:p w14:paraId="7753C63F" w14:textId="77777777" w:rsidR="007E2614" w:rsidRPr="00D75084" w:rsidRDefault="007E2614" w:rsidP="007E2614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E2614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27D9898" w14:textId="77777777" w:rsidR="007E2614" w:rsidRPr="00B07A3B" w:rsidRDefault="007E2614" w:rsidP="007E2614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E2D9F31" w:rsidR="00A13CC3" w:rsidRDefault="00FF25E5" w:rsidP="00AA650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AA6509" w:rsidRPr="00AA6509">
        <w:rPr>
          <w:rFonts w:eastAsia="Times New Roman" w:cstheme="minorHAnsi"/>
        </w:rPr>
        <w:t>Institutional Animal Care and Use Committee at Pontificia Universidad Católica de Chile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A456150" w14:textId="77777777" w:rsidR="00AA6509" w:rsidRDefault="00AA6509" w:rsidP="00AA6509">
      <w:pPr>
        <w:pStyle w:val="ListParagraph"/>
        <w:ind w:left="360"/>
        <w:rPr>
          <w:rFonts w:cstheme="minorHAnsi"/>
          <w:b/>
          <w:bCs/>
        </w:rPr>
      </w:pPr>
    </w:p>
    <w:p w14:paraId="26717FF0" w14:textId="49FCD3FA" w:rsidR="00AA6509" w:rsidRPr="00AA6509" w:rsidRDefault="00AA6509" w:rsidP="00AA650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AA6509">
        <w:rPr>
          <w:rFonts w:cstheme="minorHAnsi"/>
          <w:b/>
          <w:bCs/>
        </w:rPr>
        <w:t xml:space="preserve">Mitochondrial Isolation and Transfer Assay </w:t>
      </w:r>
    </w:p>
    <w:p w14:paraId="314C5FBA" w14:textId="5F82AA3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3E94">
        <w:rPr>
          <w:rFonts w:cstheme="minorHAnsi"/>
        </w:rPr>
        <w:t>Antonio Moreno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F881DC4" w:rsidR="00125924" w:rsidRPr="00525C4D" w:rsidRDefault="00525C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 xml:space="preserve">To </w:t>
      </w:r>
      <w:r w:rsidRPr="00525C4D">
        <w:rPr>
          <w:rFonts w:cstheme="minorHAnsi"/>
          <w:color w:val="7030A0"/>
        </w:rPr>
        <w:t xml:space="preserve">begin, place </w:t>
      </w:r>
      <w:r w:rsidRPr="00525C4D">
        <w:rPr>
          <w:color w:val="7030A0"/>
          <w:lang w:eastAsia="en-IN"/>
        </w:rPr>
        <w:t>100</w:t>
      </w:r>
      <w:r w:rsidR="00532A37">
        <w:rPr>
          <w:color w:val="7030A0"/>
          <w:lang w:eastAsia="en-IN"/>
        </w:rPr>
        <w:t>-</w:t>
      </w:r>
      <w:r w:rsidRPr="00525C4D">
        <w:rPr>
          <w:color w:val="7030A0"/>
          <w:lang w:eastAsia="en-IN"/>
        </w:rPr>
        <w:t xml:space="preserve">millimeter culture dishes in the biosafety cabinet </w:t>
      </w:r>
      <w:r w:rsidRPr="00525C4D">
        <w:rPr>
          <w:b/>
          <w:bCs/>
          <w:color w:val="7030A0"/>
          <w:lang w:eastAsia="en-IN"/>
        </w:rPr>
        <w:t>[1]</w:t>
      </w:r>
      <w:r w:rsidRPr="00525C4D">
        <w:rPr>
          <w:color w:val="7030A0"/>
          <w:lang w:eastAsia="en-IN"/>
        </w:rPr>
        <w:t>.</w:t>
      </w:r>
    </w:p>
    <w:p w14:paraId="7605F9E4" w14:textId="7C6E6C64" w:rsidR="00C34F4C" w:rsidRPr="00532A37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25C4D">
        <w:rPr>
          <w:rFonts w:cstheme="minorHAnsi"/>
        </w:rPr>
        <w:t>Talent placing the dishes in the biosafety cabinet.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0BB384C1" w14:textId="77777777" w:rsidR="00532A37" w:rsidRPr="00B07A3B" w:rsidRDefault="00532A37" w:rsidP="00532A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050550" w14:textId="4C41A2DC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="00525C4D" w:rsidRPr="008A0CC3">
        <w:rPr>
          <w:lang w:eastAsia="en-IN"/>
        </w:rPr>
        <w:t xml:space="preserve">eed the 2 × 10⁶ donor cells, </w:t>
      </w:r>
      <w:r>
        <w:rPr>
          <w:lang w:eastAsia="en-IN"/>
        </w:rPr>
        <w:t xml:space="preserve">either </w:t>
      </w:r>
      <w:r w:rsidR="00525C4D" w:rsidRPr="008A0CC3">
        <w:rPr>
          <w:lang w:eastAsia="en-IN"/>
        </w:rPr>
        <w:t>HepG2 cells or preadipocytes</w:t>
      </w:r>
      <w:r w:rsidR="00525C4D">
        <w:rPr>
          <w:lang w:eastAsia="en-IN"/>
        </w:rPr>
        <w:t xml:space="preserve">, in the dish </w:t>
      </w:r>
      <w:r w:rsidR="00525C4D" w:rsidRPr="00525C4D">
        <w:rPr>
          <w:b/>
          <w:bCs/>
          <w:lang w:eastAsia="en-IN"/>
        </w:rPr>
        <w:t>[</w:t>
      </w:r>
      <w:r w:rsidR="00525C4D">
        <w:rPr>
          <w:b/>
          <w:bCs/>
          <w:lang w:eastAsia="en-IN"/>
        </w:rPr>
        <w:t>1</w:t>
      </w:r>
      <w:r w:rsidR="00525C4D" w:rsidRPr="00525C4D">
        <w:rPr>
          <w:b/>
          <w:bCs/>
          <w:lang w:eastAsia="en-IN"/>
        </w:rPr>
        <w:t>]</w:t>
      </w:r>
      <w:r w:rsidR="00525C4D">
        <w:rPr>
          <w:lang w:eastAsia="en-IN"/>
        </w:rPr>
        <w:t>.</w:t>
      </w:r>
      <w:r w:rsidR="00525C4D" w:rsidRPr="008A0CC3">
        <w:rPr>
          <w:lang w:eastAsia="en-IN"/>
        </w:rPr>
        <w:t xml:space="preserve">  Grow the cells until they reach 80% confluence for the HepG2 cells or 100% confluence for the preadipocytes </w:t>
      </w:r>
      <w:r w:rsidR="00525C4D" w:rsidRPr="008A0CC3">
        <w:rPr>
          <w:b/>
          <w:bCs/>
          <w:lang w:eastAsia="en-IN"/>
        </w:rPr>
        <w:t>[2]</w:t>
      </w:r>
      <w:r w:rsidR="00525C4D" w:rsidRPr="008A0CC3">
        <w:rPr>
          <w:lang w:eastAsia="en-IN"/>
        </w:rPr>
        <w:t>.</w:t>
      </w:r>
    </w:p>
    <w:p w14:paraId="70A97C71" w14:textId="7C7D54AB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seeding the donor cells into the 100 millimeter culture dishes in the biosafety cabinet.</w:t>
      </w:r>
    </w:p>
    <w:p w14:paraId="3117E59A" w14:textId="5C4A93E8" w:rsidR="00525C4D" w:rsidRDefault="00892F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92F4D">
        <w:rPr>
          <w:highlight w:val="yellow"/>
          <w:lang w:val="en-IN" w:eastAsia="en-IN"/>
        </w:rPr>
        <w:t>SCOPE</w:t>
      </w:r>
      <w:commentRangeStart w:id="1"/>
      <w:commentRangeStart w:id="2"/>
      <w:commentRangeStart w:id="3"/>
      <w:r>
        <w:rPr>
          <w:lang w:val="en-IN" w:eastAsia="en-IN"/>
        </w:rPr>
        <w:t>:</w:t>
      </w:r>
      <w:r w:rsidR="00532A37">
        <w:rPr>
          <w:lang w:val="en-IN" w:eastAsia="en-IN"/>
        </w:rPr>
        <w:t xml:space="preserve"> s</w:t>
      </w:r>
      <w:r w:rsidR="00525C4D" w:rsidRPr="008A0CC3">
        <w:rPr>
          <w:lang w:val="en-IN" w:eastAsia="en-IN"/>
        </w:rPr>
        <w:t>hot of the donor cells at the appropriate confluence in the culture dish</w:t>
      </w:r>
      <w:commentRangeEnd w:id="1"/>
      <w:r w:rsidR="00532A37" w:rsidRPr="008A0CC3">
        <w:rPr>
          <w:rStyle w:val="CommentReference"/>
          <w:sz w:val="24"/>
          <w:szCs w:val="24"/>
          <w:lang w:val="en-IN" w:eastAsia="en-IN"/>
        </w:rPr>
        <w:commentReference w:id="1"/>
      </w:r>
      <w:commentRangeEnd w:id="2"/>
      <w:r w:rsidR="00177E49" w:rsidRPr="008A0CC3">
        <w:rPr>
          <w:rStyle w:val="CommentReference"/>
          <w:sz w:val="24"/>
          <w:szCs w:val="24"/>
          <w:lang w:val="en-IN" w:eastAsia="en-IN"/>
        </w:rPr>
        <w:commentReference w:id="2"/>
      </w:r>
      <w:commentRangeEnd w:id="3"/>
      <w:r w:rsidR="009B36BD" w:rsidRPr="008A0CC3">
        <w:rPr>
          <w:rStyle w:val="CommentReference"/>
          <w:sz w:val="24"/>
          <w:szCs w:val="24"/>
          <w:lang w:val="en-IN" w:eastAsia="en-IN"/>
        </w:rPr>
        <w:commentReference w:id="3"/>
      </w:r>
      <w:r w:rsidR="00525C4D" w:rsidRPr="008A0CC3">
        <w:rPr>
          <w:lang w:val="en-IN" w:eastAsia="en-IN"/>
        </w:rPr>
        <w:t>.</w:t>
      </w:r>
      <w:r w:rsidR="00532A37">
        <w:rPr>
          <w:lang w:val="en-IN" w:eastAsia="en-IN"/>
        </w:rPr>
        <w:br/>
      </w:r>
    </w:p>
    <w:p w14:paraId="077091D6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CD003CF" w14:textId="1C9EFD64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Stain the donor cells with the 100 nanomolar MitoTracker Deep Red FM in the </w:t>
      </w:r>
      <w:r w:rsidR="00532A37">
        <w:rPr>
          <w:lang w:eastAsia="en-IN"/>
        </w:rPr>
        <w:t>FBS</w:t>
      </w:r>
      <w:r w:rsidRPr="008A0CC3">
        <w:rPr>
          <w:lang w:eastAsia="en-IN"/>
        </w:rPr>
        <w:t xml:space="preserve">-free medium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Incubate the cells for 30 minutes at 37 degrees Celsius in a 5% carbon dioxide incubator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532F053F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MitoTracker Deep Red FM staining solution to the donor cells.</w:t>
      </w:r>
    </w:p>
    <w:p w14:paraId="4DE93533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culture dish into the incubator.</w:t>
      </w:r>
    </w:p>
    <w:p w14:paraId="2C986B19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6AAD446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Wash the cells 2 times with the growth medium to remove the excess dye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629E46BD" w14:textId="21EFF1F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washing the cells </w:t>
      </w:r>
      <w:r w:rsidR="00532A37">
        <w:rPr>
          <w:lang w:val="en-IN" w:eastAsia="en-IN"/>
        </w:rPr>
        <w:t>by adding</w:t>
      </w:r>
      <w:r w:rsidRPr="008A0CC3">
        <w:rPr>
          <w:lang w:val="en-IN" w:eastAsia="en-IN"/>
        </w:rPr>
        <w:t xml:space="preserve"> the growth medium</w:t>
      </w:r>
      <w:r w:rsidR="00532A37">
        <w:rPr>
          <w:lang w:val="en-IN" w:eastAsia="en-IN"/>
        </w:rPr>
        <w:t xml:space="preserve"> and removing it</w:t>
      </w:r>
      <w:r w:rsidRPr="008A0CC3">
        <w:rPr>
          <w:lang w:val="en-IN" w:eastAsia="en-IN"/>
        </w:rPr>
        <w:t>.</w:t>
      </w:r>
    </w:p>
    <w:p w14:paraId="417BE392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6D0C9B2C" w14:textId="4A63A065" w:rsidR="00525C4D" w:rsidRPr="008A0CC3" w:rsidRDefault="00532A37" w:rsidP="00525C4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="00525C4D" w:rsidRPr="008A0CC3">
        <w:rPr>
          <w:lang w:eastAsia="en-IN"/>
        </w:rPr>
        <w:t>etach the cells using</w:t>
      </w:r>
      <w:r w:rsidR="009B36BD">
        <w:rPr>
          <w:lang w:eastAsia="en-IN"/>
        </w:rPr>
        <w:t xml:space="preserve"> 0.25%</w:t>
      </w:r>
      <w:r w:rsidR="00525C4D" w:rsidRPr="008A0CC3">
        <w:rPr>
          <w:lang w:eastAsia="en-IN"/>
        </w:rPr>
        <w:t xml:space="preserve"> trypsin </w:t>
      </w:r>
      <w:r w:rsidR="00020D65">
        <w:rPr>
          <w:lang w:eastAsia="en-IN"/>
        </w:rPr>
        <w:t>A</w:t>
      </w:r>
      <w:r w:rsidR="009B36BD">
        <w:rPr>
          <w:lang w:eastAsia="en-IN"/>
        </w:rPr>
        <w:t xml:space="preserve"> </w:t>
      </w:r>
      <w:r w:rsidR="00525C4D" w:rsidRPr="008A0CC3">
        <w:rPr>
          <w:b/>
          <w:bCs/>
          <w:lang w:eastAsia="en-IN"/>
        </w:rPr>
        <w:t>[1]</w:t>
      </w:r>
      <w:r w:rsidR="00525C4D" w:rsidRPr="008A0CC3">
        <w:rPr>
          <w:lang w:eastAsia="en-IN"/>
        </w:rPr>
        <w:t xml:space="preserve">. Collect the cell suspension </w:t>
      </w:r>
      <w:r w:rsidR="00525C4D" w:rsidRPr="008A0CC3">
        <w:rPr>
          <w:b/>
          <w:bCs/>
          <w:lang w:eastAsia="en-IN"/>
        </w:rPr>
        <w:t>[2]</w:t>
      </w:r>
      <w:r>
        <w:rPr>
          <w:lang w:eastAsia="en-IN"/>
        </w:rPr>
        <w:t xml:space="preserve"> and c</w:t>
      </w:r>
      <w:r w:rsidR="00525C4D" w:rsidRPr="008A0CC3">
        <w:rPr>
          <w:lang w:eastAsia="en-IN"/>
        </w:rPr>
        <w:t xml:space="preserve">entrifuge </w:t>
      </w:r>
      <w:r>
        <w:rPr>
          <w:lang w:eastAsia="en-IN"/>
        </w:rPr>
        <w:t xml:space="preserve">it </w:t>
      </w:r>
      <w:r w:rsidR="00525C4D" w:rsidRPr="008A0CC3">
        <w:rPr>
          <w:lang w:eastAsia="en-IN"/>
        </w:rPr>
        <w:t xml:space="preserve">at 300 </w:t>
      </w:r>
      <w:r w:rsidR="00525C4D" w:rsidRPr="00525C4D">
        <w:rPr>
          <w:i/>
          <w:iCs/>
          <w:lang w:eastAsia="en-IN"/>
        </w:rPr>
        <w:t>g</w:t>
      </w:r>
      <w:r w:rsidR="00525C4D" w:rsidRPr="008A0CC3">
        <w:rPr>
          <w:lang w:eastAsia="en-IN"/>
        </w:rPr>
        <w:t xml:space="preserve"> for 5 minutes at 4 degrees Celsius </w:t>
      </w:r>
      <w:r w:rsidR="00525C4D" w:rsidRPr="008A0CC3">
        <w:rPr>
          <w:b/>
          <w:bCs/>
          <w:lang w:eastAsia="en-IN"/>
        </w:rPr>
        <w:t>[3]</w:t>
      </w:r>
      <w:r w:rsidR="00525C4D" w:rsidRPr="008A0CC3">
        <w:rPr>
          <w:lang w:eastAsia="en-IN"/>
        </w:rPr>
        <w:t>.</w:t>
      </w:r>
    </w:p>
    <w:p w14:paraId="17A9D10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trypsin to detach the cells.</w:t>
      </w:r>
    </w:p>
    <w:p w14:paraId="68C41476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cell suspension.</w:t>
      </w:r>
    </w:p>
    <w:p w14:paraId="4551F1CC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cell suspension into the centrifuge.</w:t>
      </w:r>
    </w:p>
    <w:p w14:paraId="5525A138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73B5ED68" w14:textId="542DC136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pellet in 1 milliliter of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, protease inhibitors, and phosphatase inhibitors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</w:t>
      </w:r>
      <w:r w:rsidR="00532A37" w:rsidRPr="00532A37">
        <w:rPr>
          <w:lang w:eastAsia="en-IN"/>
        </w:rPr>
        <w:t xml:space="preserve">Disrupt the plasma membrane by passing the suspension through a tuberculin syringe </w:t>
      </w:r>
      <w:r w:rsidRPr="008A0CC3">
        <w:rPr>
          <w:lang w:eastAsia="en-IN"/>
        </w:rPr>
        <w:t>5 times</w:t>
      </w:r>
      <w:r w:rsidR="00532A37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  <w:r w:rsidR="00532A37">
        <w:rPr>
          <w:lang w:eastAsia="en-IN"/>
        </w:rPr>
        <w:t xml:space="preserve"> Then, </w:t>
      </w:r>
      <w:r w:rsidRPr="008A0CC3">
        <w:rPr>
          <w:lang w:eastAsia="en-IN"/>
        </w:rPr>
        <w:t xml:space="preserve">pass the suspension through </w:t>
      </w:r>
      <w:r w:rsidR="00532A37">
        <w:rPr>
          <w:lang w:eastAsia="en-IN"/>
        </w:rPr>
        <w:t>an insulin</w:t>
      </w:r>
      <w:r w:rsidRPr="008A0CC3">
        <w:rPr>
          <w:lang w:eastAsia="en-IN"/>
        </w:rPr>
        <w:t xml:space="preserve"> syringe at least 10 times to homogenize it until the solution is light brown and lacks visible clumps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2561A7DE" w14:textId="42AFEBF1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pellet in the</w:t>
      </w:r>
      <w:r w:rsidR="00532A37">
        <w:rPr>
          <w:lang w:val="en-IN" w:eastAsia="en-IN"/>
        </w:rPr>
        <w:t xml:space="preserve"> </w:t>
      </w:r>
      <w:r w:rsidR="00532A37" w:rsidRPr="008A0CC3">
        <w:rPr>
          <w:lang w:val="en-IN" w:eastAsia="en-IN"/>
        </w:rPr>
        <w:t>supplemented</w:t>
      </w:r>
      <w:r w:rsidRPr="008A0CC3">
        <w:rPr>
          <w:lang w:val="en-IN" w:eastAsia="en-IN"/>
        </w:rPr>
        <w:t xml:space="preserve"> mitochondrial isolation buffer.</w:t>
      </w:r>
    </w:p>
    <w:p w14:paraId="2E71B78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tuberculin syringe multiple times.</w:t>
      </w:r>
    </w:p>
    <w:p w14:paraId="5B99B11E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passing the suspension through the insulin syringe until a homogeneous light-brown solution is obtained.</w:t>
      </w:r>
    </w:p>
    <w:p w14:paraId="6FF161BF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322CC343" w14:textId="77777777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Centrifuge the homogenate at 900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11 minutes at 4 degrees Celsius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A4BA260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homogenate into the centrifuge.</w:t>
      </w:r>
    </w:p>
    <w:p w14:paraId="1BB144A0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42A13031" w14:textId="2467E242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Collect the supernatant </w:t>
      </w:r>
      <w:r w:rsidRPr="008A0CC3">
        <w:rPr>
          <w:b/>
          <w:bCs/>
          <w:lang w:eastAsia="en-IN"/>
        </w:rPr>
        <w:t>[1]</w:t>
      </w:r>
      <w:r w:rsidR="00020D65">
        <w:rPr>
          <w:lang w:eastAsia="en-IN"/>
        </w:rPr>
        <w:t xml:space="preserve"> and c</w:t>
      </w:r>
      <w:r w:rsidRPr="008A0CC3">
        <w:rPr>
          <w:lang w:eastAsia="en-IN"/>
        </w:rPr>
        <w:t xml:space="preserve">entrifuge </w:t>
      </w:r>
      <w:r w:rsidR="00020D65">
        <w:rPr>
          <w:lang w:eastAsia="en-IN"/>
        </w:rPr>
        <w:t>it</w:t>
      </w:r>
      <w:r w:rsidRPr="008A0CC3">
        <w:rPr>
          <w:lang w:eastAsia="en-IN"/>
        </w:rPr>
        <w:t xml:space="preserve"> at 10,000 </w:t>
      </w:r>
      <w:r w:rsidRPr="00525C4D">
        <w:rPr>
          <w:i/>
          <w:iCs/>
          <w:lang w:eastAsia="en-IN"/>
        </w:rPr>
        <w:t>g</w:t>
      </w:r>
      <w:r w:rsidRPr="008A0CC3">
        <w:rPr>
          <w:lang w:eastAsia="en-IN"/>
        </w:rPr>
        <w:t xml:space="preserve"> for 10 minutes at 4 degrees Celsius to pellet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Wash the mitochondrial pellet 3 times with the mitochondrial isolation buffer supplemented with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3CC29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collecting the supernatant.</w:t>
      </w:r>
    </w:p>
    <w:p w14:paraId="0F250042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supernatant into the centrifuge.</w:t>
      </w:r>
    </w:p>
    <w:p w14:paraId="19879402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washing the mitochondrial pellet with the mitochondrial isolation buffer supplemented with bovine serum albumin.</w:t>
      </w:r>
    </w:p>
    <w:p w14:paraId="7B2057C1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0145D4C4" w14:textId="4F5E06B8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Resuspend the mitochondrial pellet in 100 microliters of </w:t>
      </w:r>
      <w:r w:rsidR="00532A37">
        <w:rPr>
          <w:lang w:eastAsia="en-IN"/>
        </w:rPr>
        <w:t>BSA</w:t>
      </w:r>
      <w:r w:rsidRPr="008A0CC3">
        <w:rPr>
          <w:lang w:eastAsia="en-IN"/>
        </w:rPr>
        <w:t xml:space="preserve">-free mitochondrial isolation buffer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Quantify the protein concentration using the bicinchoninic acid protein assay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>.</w:t>
      </w:r>
    </w:p>
    <w:p w14:paraId="6F0013F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resuspending the mitochondrial pellet in bovine serum albumin-free mitochondrial isolation buffer.</w:t>
      </w:r>
    </w:p>
    <w:p w14:paraId="710B6789" w14:textId="47C3F36B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Talent </w:t>
      </w:r>
      <w:r w:rsidR="00532A37">
        <w:rPr>
          <w:lang w:val="en-IN" w:eastAsia="en-IN"/>
        </w:rPr>
        <w:t>adding</w:t>
      </w:r>
      <w:r w:rsidRPr="008A0CC3">
        <w:rPr>
          <w:lang w:val="en-IN" w:eastAsia="en-IN"/>
        </w:rPr>
        <w:t xml:space="preserve"> the bicinchoninic acid protein assay</w:t>
      </w:r>
      <w:r w:rsidR="00532A37">
        <w:rPr>
          <w:lang w:val="en-IN" w:eastAsia="en-IN"/>
        </w:rPr>
        <w:t xml:space="preserve"> reagent to a sample tube</w:t>
      </w:r>
      <w:r w:rsidRPr="008A0CC3">
        <w:rPr>
          <w:lang w:val="en-IN" w:eastAsia="en-IN"/>
        </w:rPr>
        <w:t>.</w:t>
      </w:r>
    </w:p>
    <w:p w14:paraId="2CDFEB9A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5D8FF8F7" w14:textId="1F72E52F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Seed </w:t>
      </w:r>
      <w:commentRangeStart w:id="4"/>
      <w:commentRangeStart w:id="5"/>
      <w:commentRangeStart w:id="6"/>
      <w:r w:rsidRPr="008A0CC3">
        <w:rPr>
          <w:lang w:eastAsia="en-IN"/>
        </w:rPr>
        <w:t xml:space="preserve">the recipient </w:t>
      </w:r>
      <w:r w:rsidR="009B36BD" w:rsidRPr="009B36BD">
        <w:rPr>
          <w:lang w:eastAsia="en-IN"/>
        </w:rPr>
        <w:t>primary preadipocytes derived from P</w:t>
      </w:r>
      <w:r w:rsidR="009B36BD">
        <w:rPr>
          <w:lang w:eastAsia="en-IN"/>
        </w:rPr>
        <w:t>-</w:t>
      </w:r>
      <w:r w:rsidR="009B36BD" w:rsidRPr="009B36BD">
        <w:rPr>
          <w:lang w:eastAsia="en-IN"/>
        </w:rPr>
        <w:t>0.5 neonatal mice</w:t>
      </w:r>
      <w:r w:rsidRPr="008A0CC3">
        <w:rPr>
          <w:lang w:eastAsia="en-IN"/>
        </w:rPr>
        <w:t xml:space="preserve"> </w:t>
      </w:r>
      <w:commentRangeEnd w:id="4"/>
      <w:r w:rsidR="00020D65" w:rsidRPr="008A0CC3">
        <w:rPr>
          <w:rStyle w:val="CommentReference"/>
          <w:sz w:val="24"/>
          <w:szCs w:val="24"/>
          <w:lang w:eastAsia="en-IN"/>
        </w:rPr>
        <w:commentReference w:id="4"/>
      </w:r>
      <w:commentRangeEnd w:id="5"/>
      <w:r w:rsidR="00177E49" w:rsidRPr="008A0CC3">
        <w:rPr>
          <w:rStyle w:val="CommentReference"/>
          <w:sz w:val="24"/>
          <w:szCs w:val="24"/>
          <w:lang w:eastAsia="en-IN"/>
        </w:rPr>
        <w:commentReference w:id="5"/>
      </w:r>
      <w:commentRangeEnd w:id="6"/>
      <w:r w:rsidR="009B36BD" w:rsidRPr="008A0CC3">
        <w:rPr>
          <w:rStyle w:val="CommentReference"/>
          <w:sz w:val="24"/>
          <w:szCs w:val="24"/>
          <w:lang w:eastAsia="en-IN"/>
        </w:rPr>
        <w:commentReference w:id="6"/>
      </w:r>
      <w:r w:rsidRPr="008A0CC3">
        <w:rPr>
          <w:lang w:eastAsia="en-IN"/>
        </w:rPr>
        <w:t xml:space="preserve">at 5 × 10⁵ cells per well in the 12-well plates containing 18 millimeter coverslips for microscopy 24 hours before the assay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>.</w:t>
      </w:r>
    </w:p>
    <w:p w14:paraId="774F01DB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WIDE: Talent seeding the recipient preadipocytes into the 12-well plates containing 18 millimeter coverslips.</w:t>
      </w:r>
    </w:p>
    <w:p w14:paraId="0C7BF36D" w14:textId="77777777" w:rsidR="00532A37" w:rsidRPr="008A0CC3" w:rsidRDefault="00532A37" w:rsidP="00532A37">
      <w:pPr>
        <w:pStyle w:val="ShotDescription"/>
        <w:ind w:firstLine="0"/>
        <w:rPr>
          <w:lang w:val="en-IN" w:eastAsia="en-IN"/>
        </w:rPr>
      </w:pPr>
    </w:p>
    <w:p w14:paraId="2D071E81" w14:textId="68DF97CC" w:rsidR="00525C4D" w:rsidRPr="008A0CC3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Add the isolated donor mitochondria directly to the recipient medium at a ratio of 10 micrograms of mitochondrial protein per 10⁵ cells </w:t>
      </w:r>
      <w:r w:rsidRPr="008A0CC3">
        <w:rPr>
          <w:b/>
          <w:bCs/>
          <w:lang w:eastAsia="en-IN"/>
        </w:rPr>
        <w:t>[1]</w:t>
      </w:r>
      <w:r w:rsidRPr="008A0CC3">
        <w:rPr>
          <w:lang w:eastAsia="en-IN"/>
        </w:rPr>
        <w:t xml:space="preserve">. Rock the plates gently to distribute the mitochondria </w:t>
      </w:r>
      <w:r w:rsidRPr="008A0CC3">
        <w:rPr>
          <w:b/>
          <w:bCs/>
          <w:lang w:eastAsia="en-IN"/>
        </w:rPr>
        <w:t>[2]</w:t>
      </w:r>
      <w:r w:rsidRPr="008A0CC3">
        <w:rPr>
          <w:lang w:eastAsia="en-IN"/>
        </w:rPr>
        <w:t xml:space="preserve">. Incubate the cells for 24 to 120 hours, </w:t>
      </w:r>
      <w:r w:rsidR="00FF39EA" w:rsidRPr="00FF39EA">
        <w:rPr>
          <w:lang w:eastAsia="en-IN"/>
        </w:rPr>
        <w:t>corresponding to differentiation days 1, 3, and 5</w:t>
      </w:r>
      <w:r w:rsidRPr="008A0CC3">
        <w:rPr>
          <w:lang w:eastAsia="en-IN"/>
        </w:rPr>
        <w:t xml:space="preserve">, at 37 degrees Celsius in a humidified incubator with 5% carbon dioxide prior to analysis </w:t>
      </w:r>
      <w:r w:rsidRPr="008A0CC3">
        <w:rPr>
          <w:b/>
          <w:bCs/>
          <w:lang w:eastAsia="en-IN"/>
        </w:rPr>
        <w:t>[3]</w:t>
      </w:r>
      <w:r w:rsidRPr="008A0CC3">
        <w:rPr>
          <w:lang w:eastAsia="en-IN"/>
        </w:rPr>
        <w:t>.</w:t>
      </w:r>
    </w:p>
    <w:p w14:paraId="0529FCBB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adding the isolated donor mitochondria to the recipient medium.</w:t>
      </w:r>
    </w:p>
    <w:p w14:paraId="36D13873" w14:textId="7777777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gently rocking the plate to distribute the mitochondria.</w:t>
      </w:r>
    </w:p>
    <w:p w14:paraId="136F5531" w14:textId="77777777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>Talent placing the plate into the incubator.</w:t>
      </w:r>
    </w:p>
    <w:p w14:paraId="0BDCDC60" w14:textId="77777777" w:rsidR="00020D65" w:rsidRDefault="00020D65" w:rsidP="00020D65">
      <w:pPr>
        <w:pStyle w:val="ShotDescription"/>
        <w:ind w:firstLine="0"/>
        <w:rPr>
          <w:lang w:val="en-IN" w:eastAsia="en-IN"/>
        </w:rPr>
      </w:pPr>
    </w:p>
    <w:p w14:paraId="1798479D" w14:textId="45475E09" w:rsidR="00020D65" w:rsidRPr="00020D65" w:rsidRDefault="00020D65" w:rsidP="00020D65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020D65">
        <w:rPr>
          <w:color w:val="7030A0"/>
          <w:lang w:val="en-IN" w:eastAsia="en-IN"/>
        </w:rPr>
        <w:t xml:space="preserve">Counterstain the recipient cells with Mito Tracker Green and image them by confocal microscopy </w:t>
      </w:r>
      <w:r w:rsidRPr="00020D65">
        <w:rPr>
          <w:b/>
          <w:bCs/>
          <w:color w:val="7030A0"/>
          <w:lang w:val="en-IN" w:eastAsia="en-IN"/>
        </w:rPr>
        <w:t>[1]</w:t>
      </w:r>
      <w:r w:rsidRPr="00020D65">
        <w:rPr>
          <w:color w:val="7030A0"/>
          <w:lang w:val="en-IN" w:eastAsia="en-IN"/>
        </w:rPr>
        <w:t>.</w:t>
      </w:r>
    </w:p>
    <w:p w14:paraId="406E6D89" w14:textId="517691C3" w:rsidR="00020D65" w:rsidRDefault="00020D65" w:rsidP="00020D6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stain to the cells.</w:t>
      </w:r>
    </w:p>
    <w:p w14:paraId="1DD072F8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42EC23A5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087A5C7F" w14:textId="77777777" w:rsidR="00525C4D" w:rsidRDefault="00525C4D" w:rsidP="00525C4D">
      <w:pPr>
        <w:pStyle w:val="ShotDescription"/>
        <w:ind w:left="907" w:firstLine="0"/>
        <w:rPr>
          <w:lang w:val="en-IN" w:eastAsia="en-IN"/>
        </w:rPr>
      </w:pPr>
    </w:p>
    <w:p w14:paraId="3A4DD2D9" w14:textId="77777777" w:rsidR="00525C4D" w:rsidRDefault="00525C4D" w:rsidP="00525C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574AF6" w14:textId="77777777" w:rsidR="00525C4D" w:rsidRDefault="00525C4D" w:rsidP="00525C4D"/>
    <w:p w14:paraId="63E3A81D" w14:textId="77777777" w:rsidR="00525C4D" w:rsidRDefault="00525C4D" w:rsidP="00525C4D"/>
    <w:p w14:paraId="2FB55E31" w14:textId="77777777" w:rsidR="00525C4D" w:rsidRDefault="00525C4D" w:rsidP="00525C4D"/>
    <w:p w14:paraId="5BEB48BA" w14:textId="77777777" w:rsidR="00525C4D" w:rsidRDefault="00525C4D" w:rsidP="00525C4D"/>
    <w:p w14:paraId="6C51F9FC" w14:textId="77777777" w:rsidR="00525C4D" w:rsidRDefault="00525C4D" w:rsidP="00525C4D"/>
    <w:p w14:paraId="1FF02066" w14:textId="77777777" w:rsidR="00525C4D" w:rsidRDefault="00525C4D" w:rsidP="00525C4D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8C480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D911CA9" w14:textId="5F8E680E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>Flow cytometry analysis showed that approximately 60% of preadipocytes were positive for the MitoTracker Deep Red signal, indicating efficient uptake of exogenous mitochondria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4305825F" w14:textId="26E57E79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1E. </w:t>
      </w:r>
      <w:r w:rsidRPr="00FF39EA">
        <w:rPr>
          <w:i/>
          <w:iCs/>
          <w:color w:val="3333FF"/>
          <w:lang w:val="en-IN" w:eastAsia="en-IN"/>
        </w:rPr>
        <w:t xml:space="preserve">Video editor: Highlight the </w:t>
      </w:r>
      <w:r w:rsidR="00FF39EA" w:rsidRPr="00FF39EA">
        <w:rPr>
          <w:i/>
          <w:iCs/>
          <w:color w:val="3333FF"/>
          <w:lang w:val="en-IN" w:eastAsia="en-IN"/>
        </w:rPr>
        <w:t>2 curves labelled “</w:t>
      </w:r>
      <w:r w:rsidRPr="00FF39EA">
        <w:rPr>
          <w:i/>
          <w:iCs/>
          <w:color w:val="3333FF"/>
          <w:lang w:val="en-IN" w:eastAsia="en-IN"/>
        </w:rPr>
        <w:t>MitoTracker Deep Red</w:t>
      </w:r>
      <w:r w:rsidR="00FF39EA" w:rsidRPr="00FF39EA">
        <w:rPr>
          <w:i/>
          <w:iCs/>
          <w:color w:val="3333FF"/>
          <w:lang w:val="en-IN" w:eastAsia="en-IN"/>
        </w:rPr>
        <w:t>”</w:t>
      </w:r>
      <w:r w:rsidRPr="008A0CC3">
        <w:rPr>
          <w:lang w:val="en-IN" w:eastAsia="en-IN"/>
        </w:rPr>
        <w:t>.</w:t>
      </w:r>
    </w:p>
    <w:p w14:paraId="06BC999E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5673D78" w14:textId="77777777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Live-cell confocal microscopy revealed colocalization of the exogenous MitoTracker Deep Red-stained mitochondria with the endogenous MitoTracker Green-stained mitochondrial network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>.</w:t>
      </w:r>
    </w:p>
    <w:p w14:paraId="24ADFEF6" w14:textId="029F11F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1F. </w:t>
      </w:r>
      <w:r w:rsidRPr="00FF39EA">
        <w:rPr>
          <w:i/>
          <w:iCs/>
          <w:color w:val="3333FF"/>
          <w:lang w:val="en-IN" w:eastAsia="en-IN"/>
        </w:rPr>
        <w:t>Video editor: Highlight the merged image</w:t>
      </w:r>
      <w:r w:rsidR="00FF39EA" w:rsidRPr="00FF39EA">
        <w:rPr>
          <w:i/>
          <w:iCs/>
          <w:color w:val="3333FF"/>
          <w:lang w:val="en-IN" w:eastAsia="en-IN"/>
        </w:rPr>
        <w:t>s in the 3rd column for row 2 and 3 (Mito rows</w:t>
      </w:r>
      <w:r w:rsidR="00FF39EA">
        <w:rPr>
          <w:lang w:val="en-IN" w:eastAsia="en-IN"/>
        </w:rPr>
        <w:t>)</w:t>
      </w:r>
      <w:r w:rsidRPr="008A0CC3">
        <w:rPr>
          <w:lang w:val="en-IN" w:eastAsia="en-IN"/>
        </w:rPr>
        <w:t>.</w:t>
      </w:r>
    </w:p>
    <w:p w14:paraId="7A35756C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421AD917" w14:textId="2F1312C3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As approximately 50% of cells remained negative for MitoTracker Deep Red signal, the overall efficacy of exogenous mitochondria incorporation was approximately 50% </w:t>
      </w:r>
      <w:r w:rsidRPr="008A0CC3">
        <w:rPr>
          <w:b/>
          <w:lang w:eastAsia="en-IN"/>
        </w:rPr>
        <w:t>[</w:t>
      </w:r>
      <w:r w:rsidR="00FF39EA">
        <w:rPr>
          <w:b/>
          <w:lang w:eastAsia="en-IN"/>
        </w:rPr>
        <w:t>1</w:t>
      </w:r>
      <w:r w:rsidRPr="008A0CC3">
        <w:rPr>
          <w:b/>
          <w:lang w:eastAsia="en-IN"/>
        </w:rPr>
        <w:t>]</w:t>
      </w:r>
      <w:r w:rsidRPr="008A0CC3">
        <w:rPr>
          <w:lang w:eastAsia="en-IN"/>
        </w:rPr>
        <w:t>.</w:t>
      </w:r>
    </w:p>
    <w:p w14:paraId="7CED1D2F" w14:textId="00E13ACB" w:rsidR="00525C4D" w:rsidRDefault="00525C4D" w:rsidP="00FF39E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1G. </w:t>
      </w:r>
      <w:r w:rsidRPr="00FF39EA">
        <w:rPr>
          <w:i/>
          <w:iCs/>
          <w:color w:val="3333FF"/>
          <w:lang w:val="en-IN" w:eastAsia="en-IN"/>
        </w:rPr>
        <w:t>Video editor: Highlight the</w:t>
      </w:r>
      <w:r w:rsidR="00FF39EA" w:rsidRPr="00FF39EA">
        <w:rPr>
          <w:i/>
          <w:iCs/>
          <w:color w:val="3333FF"/>
          <w:lang w:val="en-IN" w:eastAsia="en-IN"/>
        </w:rPr>
        <w:t xml:space="preserve"> 2</w:t>
      </w:r>
      <w:r w:rsidRPr="00FF39EA">
        <w:rPr>
          <w:i/>
          <w:iCs/>
          <w:color w:val="3333FF"/>
          <w:lang w:val="en-IN" w:eastAsia="en-IN"/>
        </w:rPr>
        <w:t xml:space="preserve"> </w:t>
      </w:r>
      <w:r w:rsidR="00FF39EA" w:rsidRPr="00FF39EA">
        <w:rPr>
          <w:i/>
          <w:iCs/>
          <w:color w:val="3333FF"/>
          <w:lang w:val="en-IN" w:eastAsia="en-IN"/>
        </w:rPr>
        <w:t>Mito bars</w:t>
      </w:r>
    </w:p>
    <w:p w14:paraId="51EA839A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2F8593E7" w14:textId="3CAD5F72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remained detectable after 1 day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3 days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, and 5 days of differentiation</w:t>
      </w:r>
      <w:r w:rsidR="00FF39EA">
        <w:rPr>
          <w:lang w:eastAsia="en-IN"/>
        </w:rPr>
        <w:t xml:space="preserve"> </w:t>
      </w:r>
      <w:r w:rsidR="00FF39EA" w:rsidRPr="008A0CC3">
        <w:rPr>
          <w:b/>
          <w:lang w:eastAsia="en-IN"/>
        </w:rPr>
        <w:t>[3]</w:t>
      </w:r>
      <w:r w:rsidRPr="008A0CC3">
        <w:rPr>
          <w:lang w:eastAsia="en-IN"/>
        </w:rPr>
        <w:t>.</w:t>
      </w:r>
    </w:p>
    <w:p w14:paraId="3287DA43" w14:textId="19D146BA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1 for the differentiated </w:t>
      </w:r>
      <w:r w:rsidR="00FF39EA" w:rsidRPr="00FF39EA">
        <w:rPr>
          <w:i/>
          <w:iCs/>
          <w:color w:val="3333FF"/>
          <w:lang w:val="en-IN" w:eastAsia="en-IN"/>
        </w:rPr>
        <w:t xml:space="preserve">+ hMito </w:t>
      </w:r>
      <w:r w:rsidRPr="00FF39EA">
        <w:rPr>
          <w:i/>
          <w:iCs/>
          <w:color w:val="3333FF"/>
          <w:lang w:val="en-IN" w:eastAsia="en-IN"/>
        </w:rPr>
        <w:t>group</w:t>
      </w:r>
      <w:r w:rsidRPr="008A0CC3">
        <w:rPr>
          <w:lang w:val="en-IN" w:eastAsia="en-IN"/>
        </w:rPr>
        <w:t>.</w:t>
      </w:r>
    </w:p>
    <w:p w14:paraId="20CD11E9" w14:textId="05767AD0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7634DBC0" w14:textId="44CE62B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5 for the 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F968C1D" w14:textId="77777777" w:rsidR="00FF39EA" w:rsidRPr="008A0CC3" w:rsidRDefault="00FF39EA" w:rsidP="00FF39EA">
      <w:pPr>
        <w:pStyle w:val="ShotDescription"/>
        <w:ind w:firstLine="0"/>
        <w:rPr>
          <w:lang w:val="en-IN" w:eastAsia="en-IN"/>
        </w:rPr>
      </w:pPr>
    </w:p>
    <w:p w14:paraId="64DF5939" w14:textId="670174CC" w:rsidR="00525C4D" w:rsidRDefault="00525C4D" w:rsidP="00525C4D">
      <w:pPr>
        <w:pStyle w:val="Narration"/>
        <w:numPr>
          <w:ilvl w:val="1"/>
          <w:numId w:val="3"/>
        </w:numPr>
        <w:rPr>
          <w:lang w:eastAsia="en-IN"/>
        </w:rPr>
      </w:pPr>
      <w:r w:rsidRPr="008A0CC3">
        <w:rPr>
          <w:lang w:eastAsia="en-IN"/>
        </w:rPr>
        <w:t xml:space="preserve">Human mitochondrial DNA levels rapidly declined in cells that were not induced to differentiate </w:t>
      </w:r>
      <w:r w:rsidRPr="008A0CC3">
        <w:rPr>
          <w:b/>
          <w:lang w:eastAsia="en-IN"/>
        </w:rPr>
        <w:t>[1]</w:t>
      </w:r>
      <w:r w:rsidRPr="008A0CC3">
        <w:rPr>
          <w:lang w:eastAsia="en-IN"/>
        </w:rPr>
        <w:t xml:space="preserve">, becoming </w:t>
      </w:r>
      <w:r w:rsidR="00FF39EA">
        <w:rPr>
          <w:lang w:eastAsia="en-IN"/>
        </w:rPr>
        <w:t xml:space="preserve">almost </w:t>
      </w:r>
      <w:r w:rsidRPr="008A0CC3">
        <w:rPr>
          <w:lang w:eastAsia="en-IN"/>
        </w:rPr>
        <w:t xml:space="preserve">undetectable at day 3 </w:t>
      </w:r>
      <w:r w:rsidRPr="008A0CC3">
        <w:rPr>
          <w:b/>
          <w:lang w:eastAsia="en-IN"/>
        </w:rPr>
        <w:t>[2]</w:t>
      </w:r>
      <w:r w:rsidRPr="008A0CC3">
        <w:rPr>
          <w:lang w:eastAsia="en-IN"/>
        </w:rPr>
        <w:t>.</w:t>
      </w:r>
    </w:p>
    <w:p w14:paraId="676EBEF0" w14:textId="5FDE3E04" w:rsidR="00525C4D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>Video editor: Highlight the line for the 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p w14:paraId="1E9FF839" w14:textId="0D95D2C7" w:rsidR="00525C4D" w:rsidRPr="008A0CC3" w:rsidRDefault="00525C4D" w:rsidP="00525C4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A0CC3">
        <w:rPr>
          <w:lang w:val="en-IN" w:eastAsia="en-IN"/>
        </w:rPr>
        <w:t xml:space="preserve">LAB MEDIA: Figure 1H. </w:t>
      </w:r>
      <w:r w:rsidRPr="00FF39EA">
        <w:rPr>
          <w:i/>
          <w:iCs/>
          <w:color w:val="3333FF"/>
          <w:lang w:val="en-IN" w:eastAsia="en-IN"/>
        </w:rPr>
        <w:t xml:space="preserve">Video editor: Highlight the data point at day 3 for the </w:t>
      </w:r>
      <w:r w:rsidRPr="00FF39EA">
        <w:rPr>
          <w:i/>
          <w:iCs/>
          <w:color w:val="3333FF"/>
          <w:lang w:val="en-IN" w:eastAsia="en-IN"/>
        </w:rPr>
        <w:lastRenderedPageBreak/>
        <w:t>non-</w:t>
      </w:r>
      <w:r w:rsidR="00FF39EA" w:rsidRPr="00FF39EA">
        <w:rPr>
          <w:i/>
          <w:iCs/>
          <w:color w:val="3333FF"/>
          <w:lang w:val="en-IN" w:eastAsia="en-IN"/>
        </w:rPr>
        <w:t>differentiated + hMito group</w:t>
      </w:r>
      <w:r w:rsidRPr="008A0CC3">
        <w:rPr>
          <w:lang w:val="en-IN" w:eastAsia="en-IN"/>
        </w:rPr>
        <w:t>.</w:t>
      </w:r>
    </w:p>
    <w:sectPr w:rsidR="00525C4D" w:rsidRPr="008A0CC3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7-01T00:03:00Z" w:initials="PG">
    <w:p w14:paraId="08742F2A" w14:textId="77777777" w:rsidR="00532A37" w:rsidRDefault="00532A37" w:rsidP="00532A37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 xml:space="preserve">Authors: Can you please provide a microscopic image showing the required confluence? </w:t>
      </w:r>
    </w:p>
  </w:comment>
  <w:comment w:id="2" w:author="Antonio Daniel Moreno Torres" w:date="2026-07-01T13:05:00Z" w:initials="AM">
    <w:p w14:paraId="012C0BF5" w14:textId="77777777" w:rsidR="00177E49" w:rsidRDefault="00177E49" w:rsidP="00177E49">
      <w:pPr>
        <w:pStyle w:val="CommentText"/>
      </w:pPr>
      <w:r>
        <w:rPr>
          <w:rStyle w:val="CommentReference"/>
        </w:rPr>
        <w:annotationRef/>
      </w:r>
      <w:r>
        <w:t>We will still have the cells available for imaging on the day of the recording, so they will be at the right confluence; would you like to take the captures yourselves, or would you prefer that we take them and send them to you?</w:t>
      </w:r>
    </w:p>
  </w:comment>
  <w:comment w:id="3" w:author="Poornima  G" w:date="2026-07-07T11:14:00Z" w:initials="PG">
    <w:p w14:paraId="6C8DE814" w14:textId="77777777" w:rsidR="009B36BD" w:rsidRDefault="009B36BD" w:rsidP="009B36B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take a picture under the microscope and send us the image.</w:t>
      </w:r>
    </w:p>
  </w:comment>
  <w:comment w:id="4" w:author="Poornima  G" w:date="2026-07-01T00:12:00Z" w:initials="PG">
    <w:p w14:paraId="0664898D" w14:textId="77777777" w:rsidR="00020D65" w:rsidRDefault="00020D65" w:rsidP="00020D65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it better to instead say “primary preadipocytes derived from P0.5 neonatal mice ”?</w:t>
      </w:r>
    </w:p>
  </w:comment>
  <w:comment w:id="5" w:author="Antonio Daniel Moreno Torres" w:date="2026-07-01T13:07:00Z" w:initials="AM">
    <w:p w14:paraId="44F54EA0" w14:textId="77777777" w:rsidR="00177E49" w:rsidRDefault="00177E49" w:rsidP="00177E49">
      <w:pPr>
        <w:pStyle w:val="CommentText"/>
      </w:pPr>
      <w:r>
        <w:rPr>
          <w:rStyle w:val="CommentReference"/>
        </w:rPr>
        <w:annotationRef/>
      </w:r>
      <w:r>
        <w:t>I see your point, and for the sake of the video, perhaps so; the idea was to distinguish between the adipocytes receiving the mitochondria and those from which the mitochondria would be extracted.</w:t>
      </w:r>
    </w:p>
  </w:comment>
  <w:comment w:id="6" w:author="Poornima  G" w:date="2026-07-07T11:14:00Z" w:initials="PG">
    <w:p w14:paraId="6B0D2BD0" w14:textId="77777777" w:rsidR="009B36BD" w:rsidRDefault="009B36BD" w:rsidP="009B36BD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Sure, added. Please check if the sentence is correct.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742F2A" w15:done="0"/>
  <w15:commentEx w15:paraId="012C0BF5" w15:paraIdParent="08742F2A" w15:done="0"/>
  <w15:commentEx w15:paraId="6C8DE814" w15:paraIdParent="08742F2A" w15:done="0"/>
  <w15:commentEx w15:paraId="0664898D" w15:done="0"/>
  <w15:commentEx w15:paraId="44F54EA0" w15:paraIdParent="0664898D" w15:done="0"/>
  <w15:commentEx w15:paraId="6B0D2BD0" w15:paraIdParent="066489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69F9A85" w16cex:dateUtc="2026-06-30T18:33:00Z"/>
  <w16cex:commentExtensible w16cex:durableId="40478252" w16cex:dateUtc="2026-07-01T17:05:00Z"/>
  <w16cex:commentExtensible w16cex:durableId="3B913397" w16cex:dateUtc="2026-07-07T05:44:00Z"/>
  <w16cex:commentExtensible w16cex:durableId="3CEFA6F9" w16cex:dateUtc="2026-06-30T18:42:00Z"/>
  <w16cex:commentExtensible w16cex:durableId="32DCE494" w16cex:dateUtc="2026-07-01T17:07:00Z"/>
  <w16cex:commentExtensible w16cex:durableId="41A20FEA" w16cex:dateUtc="2026-07-07T05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742F2A" w16cid:durableId="469F9A85"/>
  <w16cid:commentId w16cid:paraId="012C0BF5" w16cid:durableId="40478252"/>
  <w16cid:commentId w16cid:paraId="6C8DE814" w16cid:durableId="3B913397"/>
  <w16cid:commentId w16cid:paraId="0664898D" w16cid:durableId="3CEFA6F9"/>
  <w16cid:commentId w16cid:paraId="44F54EA0" w16cid:durableId="32DCE494"/>
  <w16cid:commentId w16cid:paraId="6B0D2BD0" w16cid:durableId="41A20F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2DC26" w14:textId="77777777" w:rsidR="006B063D" w:rsidRDefault="006B063D">
      <w:r>
        <w:separator/>
      </w:r>
    </w:p>
    <w:p w14:paraId="72645E64" w14:textId="77777777" w:rsidR="006B063D" w:rsidRDefault="006B063D"/>
  </w:endnote>
  <w:endnote w:type="continuationSeparator" w:id="0">
    <w:p w14:paraId="2574E959" w14:textId="77777777" w:rsidR="006B063D" w:rsidRDefault="006B063D">
      <w:r>
        <w:continuationSeparator/>
      </w:r>
    </w:p>
    <w:p w14:paraId="1128C55D" w14:textId="77777777" w:rsidR="006B063D" w:rsidRDefault="006B0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3D75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36B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F39EA">
      <w:rPr>
        <w:rFonts w:cstheme="minorHAnsi"/>
      </w:rPr>
      <w:t>June 30, 2026</w:t>
    </w:r>
    <w:r w:rsidR="00FF39E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1DC6" w14:textId="77777777" w:rsidR="006B063D" w:rsidRDefault="006B063D">
      <w:r>
        <w:separator/>
      </w:r>
    </w:p>
    <w:p w14:paraId="3C9835D8" w14:textId="77777777" w:rsidR="006B063D" w:rsidRDefault="006B063D"/>
  </w:footnote>
  <w:footnote w:type="continuationSeparator" w:id="0">
    <w:p w14:paraId="2E8F9C56" w14:textId="77777777" w:rsidR="006B063D" w:rsidRDefault="006B063D">
      <w:r>
        <w:continuationSeparator/>
      </w:r>
    </w:p>
    <w:p w14:paraId="566D6E07" w14:textId="77777777" w:rsidR="006B063D" w:rsidRDefault="006B0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7CA1C3E" w:rsidR="00336C61" w:rsidRPr="006D3AC7" w:rsidRDefault="00336C61" w:rsidP="00FF39E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FF39E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Antonio Daniel Moreno Torres">
    <w15:presenceInfo w15:providerId="AD" w15:userId="S::morenoantonio60@uc.cl::54b7ad3c-6797-470a-90a2-99642bf4ca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395"/>
    <w:rsid w:val="0001266D"/>
    <w:rsid w:val="00012B08"/>
    <w:rsid w:val="00013862"/>
    <w:rsid w:val="00020D65"/>
    <w:rsid w:val="00022B29"/>
    <w:rsid w:val="00023E22"/>
    <w:rsid w:val="00024282"/>
    <w:rsid w:val="00024322"/>
    <w:rsid w:val="00025DE9"/>
    <w:rsid w:val="00027F4A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E9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77E49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9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87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BE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052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5ABF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81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C8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25C4D"/>
    <w:rsid w:val="00530DD9"/>
    <w:rsid w:val="005320E4"/>
    <w:rsid w:val="00532A3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63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0CC"/>
    <w:rsid w:val="007D61A8"/>
    <w:rsid w:val="007E261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2F4D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6BD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509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4BE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2F6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3BE4"/>
    <w:rsid w:val="00FE059A"/>
    <w:rsid w:val="00FF0061"/>
    <w:rsid w:val="00FF25E5"/>
    <w:rsid w:val="00FF335E"/>
    <w:rsid w:val="00FF34BC"/>
    <w:rsid w:val="00FF39E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25C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25C4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25C4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25C4D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25C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25C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306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1437</Words>
  <Characters>8194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9612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5</cp:revision>
  <dcterms:created xsi:type="dcterms:W3CDTF">2026-07-07T05:45:00Z</dcterms:created>
  <dcterms:modified xsi:type="dcterms:W3CDTF">2026-07-07T05:47:00Z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