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6F3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A6509">
        <w:rPr>
          <w:rFonts w:eastAsia="Times New Roman" w:cstheme="minorHAnsi"/>
          <w:b/>
        </w:rPr>
        <w:t>71223</w:t>
      </w:r>
    </w:p>
    <w:p w14:paraId="2F6924E5" w14:textId="413960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A6509">
        <w:rPr>
          <w:rFonts w:eastAsia="Times New Roman" w:cstheme="minorHAnsi"/>
          <w:b/>
        </w:rPr>
        <w:t>Poornima G</w:t>
      </w:r>
    </w:p>
    <w:p w14:paraId="6FB9233B" w14:textId="72DFF8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A6509" w:rsidRPr="00265418">
          <w:rPr>
            <w:rStyle w:val="Hyperlink"/>
            <w:rFonts w:eastAsia="Times New Roman" w:cstheme="minorHAnsi"/>
            <w:b/>
          </w:rPr>
          <w:t>https://review.jove.com/account/file-uploader?src=21723063</w:t>
        </w:r>
      </w:hyperlink>
      <w:r w:rsidR="00AA650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3FFB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A6509" w:rsidRPr="00AA6509">
        <w:rPr>
          <w:rStyle w:val="ArticleTitle"/>
          <w:rFonts w:cstheme="minorHAnsi"/>
        </w:rPr>
        <w:t>Exogenous Mitochondrial Transfer in Differentiating Brown Adipocytes and AGPAT2-</w:t>
      </w:r>
      <w:r w:rsidR="00AA6509" w:rsidRPr="00AA6509">
        <w:rPr>
          <w:rStyle w:val="ArticleTitle"/>
          <w:rFonts w:cstheme="minorHAnsi"/>
        </w:rPr>
        <w:t xml:space="preserve">Deficient </w:t>
      </w:r>
      <w:r w:rsidR="00AA6509" w:rsidRPr="00AA6509">
        <w:rPr>
          <w:rStyle w:val="ArticleTitle"/>
          <w:rFonts w:cstheme="minorHAnsi"/>
        </w:rPr>
        <w:t>Preadipocytes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5D9877" w14:textId="78754C1A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  <w:r w:rsidRPr="00AA6509">
        <w:rPr>
          <w:rFonts w:eastAsia="Times New Roman" w:cstheme="minorHAnsi"/>
          <w:b/>
          <w:sz w:val="28"/>
          <w:szCs w:val="28"/>
        </w:rPr>
        <w:t>Antonio Moreno, Claudia Parra-Ruiz, Francisca Stolzenbach, Víctor Cortés</w:t>
      </w:r>
    </w:p>
    <w:p w14:paraId="56AED4DC" w14:textId="77777777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28EEA4" w14:textId="46F5810C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  <w:r w:rsidRPr="00AA6509">
        <w:rPr>
          <w:rFonts w:eastAsia="Times New Roman" w:cstheme="minorHAnsi"/>
          <w:b/>
          <w:sz w:val="28"/>
          <w:szCs w:val="28"/>
        </w:rPr>
        <w:t>Department of Nutrition, Diabetes and Metabolism, School of Medicine, Pontificia Universidad Católica de Chile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691431B2" w:rsidR="00D6314B" w:rsidRPr="00B07A3B" w:rsidRDefault="00AA6509" w:rsidP="004E0C5A">
      <w:pPr>
        <w:outlineLvl w:val="0"/>
        <w:rPr>
          <w:rFonts w:eastAsia="Times New Roman" w:cstheme="minorHAnsi"/>
        </w:rPr>
      </w:pPr>
      <w:bookmarkStart w:id="0" w:name="_Hlk25233958"/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511112D" w14:textId="77777777" w:rsidR="00AA6509" w:rsidRPr="00AA6509" w:rsidRDefault="00AA6509" w:rsidP="00AA6509">
      <w:pPr>
        <w:outlineLvl w:val="0"/>
        <w:rPr>
          <w:rFonts w:cstheme="minorHAnsi"/>
          <w:bCs/>
        </w:rPr>
      </w:pPr>
      <w:r w:rsidRPr="00AA6509">
        <w:rPr>
          <w:rFonts w:cstheme="minorHAnsi"/>
          <w:bCs/>
        </w:rPr>
        <w:t>Antonio Moreno</w:t>
      </w:r>
      <w:r w:rsidRPr="00AA6509">
        <w:rPr>
          <w:rFonts w:cstheme="minorHAnsi"/>
          <w:bCs/>
        </w:rPr>
        <w:tab/>
      </w:r>
      <w:r w:rsidRPr="00AA6509">
        <w:rPr>
          <w:rFonts w:cstheme="minorHAnsi"/>
          <w:bCs/>
        </w:rPr>
        <w:tab/>
      </w:r>
      <w:r w:rsidRPr="00AA6509">
        <w:rPr>
          <w:rFonts w:cstheme="minorHAnsi"/>
          <w:bCs/>
        </w:rPr>
        <w:tab/>
        <w:t>morenoantonio60@uc.cl</w:t>
      </w:r>
    </w:p>
    <w:p w14:paraId="6ACCA869" w14:textId="77777777" w:rsidR="00AA6509" w:rsidRPr="00AA6509" w:rsidRDefault="00AA6509" w:rsidP="00AA6509">
      <w:pPr>
        <w:outlineLvl w:val="0"/>
        <w:rPr>
          <w:rFonts w:cstheme="minorHAnsi"/>
          <w:bCs/>
        </w:rPr>
      </w:pPr>
      <w:r w:rsidRPr="00AA6509">
        <w:rPr>
          <w:rFonts w:cstheme="minorHAnsi"/>
          <w:bCs/>
        </w:rPr>
        <w:t>Claudia Parra-Ruiz</w:t>
      </w:r>
      <w:r w:rsidRPr="00AA6509">
        <w:rPr>
          <w:rFonts w:cstheme="minorHAnsi"/>
          <w:bCs/>
        </w:rPr>
        <w:tab/>
      </w:r>
      <w:r w:rsidRPr="00AA6509">
        <w:rPr>
          <w:rFonts w:cstheme="minorHAnsi"/>
          <w:bCs/>
        </w:rPr>
        <w:tab/>
      </w:r>
      <w:r w:rsidRPr="00AA6509">
        <w:rPr>
          <w:rFonts w:cstheme="minorHAnsi"/>
          <w:bCs/>
        </w:rPr>
        <w:tab/>
        <w:t>cpparra2@uc.cl</w:t>
      </w:r>
    </w:p>
    <w:p w14:paraId="12916965" w14:textId="4865C5C5" w:rsidR="003B5E26" w:rsidRPr="004F6CCB" w:rsidRDefault="00AA6509" w:rsidP="00AA6509">
      <w:pPr>
        <w:outlineLvl w:val="0"/>
        <w:rPr>
          <w:rFonts w:cstheme="minorHAnsi"/>
          <w:bCs/>
        </w:rPr>
      </w:pPr>
      <w:r w:rsidRPr="00AA6509">
        <w:rPr>
          <w:rFonts w:cstheme="minorHAnsi"/>
          <w:bCs/>
        </w:rPr>
        <w:t>Francisca Stolzenbach</w:t>
      </w:r>
      <w:r w:rsidRPr="00AA6509">
        <w:rPr>
          <w:rFonts w:cstheme="minorHAnsi"/>
          <w:bCs/>
        </w:rPr>
        <w:tab/>
      </w:r>
      <w:r w:rsidRPr="00AA6509">
        <w:rPr>
          <w:rFonts w:cstheme="minorHAnsi"/>
          <w:bCs/>
        </w:rPr>
        <w:tab/>
      </w:r>
      <w:r w:rsidRPr="00AA6509">
        <w:rPr>
          <w:rFonts w:cstheme="minorHAnsi"/>
          <w:bCs/>
        </w:rPr>
        <w:tab/>
        <w:t>maria.stolzenbach@uc.cl</w:t>
      </w:r>
    </w:p>
    <w:p w14:paraId="3A58076B" w14:textId="77777777" w:rsidR="00AA6509" w:rsidRPr="00B07A3B" w:rsidRDefault="00AA6509" w:rsidP="00AA6509">
      <w:pPr>
        <w:outlineLvl w:val="0"/>
        <w:rPr>
          <w:rFonts w:eastAsia="Times New Roman" w:cstheme="minorHAnsi"/>
        </w:rPr>
      </w:pPr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A5370CB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525C4D">
        <w:rPr>
          <w:rFonts w:cstheme="minorHAnsi"/>
          <w:bCs/>
          <w:sz w:val="22"/>
          <w:szCs w:val="22"/>
        </w:rPr>
        <w:t>20</w:t>
      </w:r>
    </w:p>
    <w:p w14:paraId="5AAC9C6C" w14:textId="3387B4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525C4D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E2D9F31" w:rsidR="00A13CC3" w:rsidRDefault="00FF25E5" w:rsidP="00AA650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A6509" w:rsidRPr="00AA6509">
        <w:rPr>
          <w:rFonts w:eastAsia="Times New Roman" w:cstheme="minorHAnsi"/>
        </w:rPr>
        <w:t>Institutional Animal Care and Use Committee at Pontificia Universidad Católica de Chile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A456150" w14:textId="77777777" w:rsidR="00AA6509" w:rsidRDefault="00AA6509" w:rsidP="00AA6509">
      <w:pPr>
        <w:pStyle w:val="ListParagraph"/>
        <w:ind w:left="360"/>
        <w:rPr>
          <w:rFonts w:cstheme="minorHAnsi"/>
          <w:b/>
          <w:bCs/>
        </w:rPr>
      </w:pPr>
    </w:p>
    <w:p w14:paraId="26717FF0" w14:textId="49FCD3FA" w:rsidR="00AA6509" w:rsidRPr="00AA6509" w:rsidRDefault="00AA6509" w:rsidP="00AA6509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AA6509">
        <w:rPr>
          <w:rFonts w:cstheme="minorHAnsi"/>
          <w:b/>
          <w:bCs/>
        </w:rPr>
        <w:t xml:space="preserve">Mitochondrial </w:t>
      </w:r>
      <w:r w:rsidRPr="00AA6509">
        <w:rPr>
          <w:rFonts w:cstheme="minorHAnsi"/>
          <w:b/>
          <w:bCs/>
        </w:rPr>
        <w:t xml:space="preserve">Isolation </w:t>
      </w:r>
      <w:r w:rsidRPr="00AA6509">
        <w:rPr>
          <w:rFonts w:cstheme="minorHAnsi"/>
          <w:b/>
          <w:bCs/>
        </w:rPr>
        <w:t xml:space="preserve">and </w:t>
      </w:r>
      <w:r w:rsidRPr="00AA6509">
        <w:rPr>
          <w:rFonts w:cstheme="minorHAnsi"/>
          <w:b/>
          <w:bCs/>
        </w:rPr>
        <w:t xml:space="preserve">Transfer Assay </w:t>
      </w:r>
    </w:p>
    <w:p w14:paraId="75DFC648" w14:textId="6B45EBB5" w:rsidR="00CE10F2" w:rsidRDefault="00CE10F2" w:rsidP="00AA650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333DB92" w:rsidR="00125924" w:rsidRPr="00525C4D" w:rsidRDefault="00525C4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To </w:t>
      </w:r>
      <w:r w:rsidRPr="00525C4D">
        <w:rPr>
          <w:rFonts w:cstheme="minorHAnsi"/>
          <w:color w:val="7030A0"/>
        </w:rPr>
        <w:t xml:space="preserve">begin, place </w:t>
      </w:r>
      <w:r w:rsidRPr="00525C4D">
        <w:rPr>
          <w:color w:val="7030A0"/>
          <w:lang w:eastAsia="en-IN"/>
        </w:rPr>
        <w:t xml:space="preserve">100 millimeter culture dishes in the biosafety cabinet </w:t>
      </w:r>
      <w:r w:rsidRPr="00525C4D">
        <w:rPr>
          <w:b/>
          <w:bCs/>
          <w:color w:val="7030A0"/>
          <w:lang w:eastAsia="en-IN"/>
        </w:rPr>
        <w:t>[1]</w:t>
      </w:r>
      <w:r w:rsidRPr="00525C4D">
        <w:rPr>
          <w:color w:val="7030A0"/>
          <w:lang w:eastAsia="en-IN"/>
        </w:rPr>
        <w:t>.</w:t>
      </w:r>
    </w:p>
    <w:p w14:paraId="7605F9E4" w14:textId="7C6E6C64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25C4D">
        <w:rPr>
          <w:rFonts w:cstheme="minorHAnsi"/>
        </w:rPr>
        <w:t>Talent placing the dishes in the biosafety cabinet.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19050550" w14:textId="3524D189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To begin, seed the 2 × 10⁶ donor cells, HepG2 cells or preadipocytes</w:t>
      </w:r>
      <w:r>
        <w:rPr>
          <w:lang w:eastAsia="en-IN"/>
        </w:rPr>
        <w:t xml:space="preserve">, in the dish </w:t>
      </w:r>
      <w:r w:rsidRPr="00525C4D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525C4D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Pr="008A0CC3">
        <w:rPr>
          <w:lang w:eastAsia="en-IN"/>
        </w:rPr>
        <w:t xml:space="preserve">  Grow the cells until they reach 80% confluence for the HepG2 cells or 100% confluence for the preadipocytes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70A97C71" w14:textId="7C7D54AB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seeding the donor cells into the 100 millimeter culture dishes in the biosafety cabinet.</w:t>
      </w:r>
    </w:p>
    <w:p w14:paraId="3117E59A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Shot of the donor cells at the appropriate confluence in the culture dish.</w:t>
      </w:r>
    </w:p>
    <w:p w14:paraId="7CD003CF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Stain the donor cells with the 100 nanomolar MitoTracker Deep Red FM in the fetal bovine serum-free medium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Incubate the cells for 30 minutes at 37 degrees Celsius in a 5% carbon dioxide incubator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532F053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MitoTracker Deep Red FM staining solution to the donor cells.</w:t>
      </w:r>
    </w:p>
    <w:p w14:paraId="4DE9353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culture dish into the incubator.</w:t>
      </w:r>
    </w:p>
    <w:p w14:paraId="06AAD446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Wash the cells 2 times with the growth medium to remove the excess dye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629E46BD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washing the cells with the growth medium.</w:t>
      </w:r>
    </w:p>
    <w:p w14:paraId="6D0C9B2C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Detach the cells using trypsin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Collect the cell suspension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Centrifuge the </w:t>
      </w:r>
      <w:r w:rsidRPr="008A0CC3">
        <w:rPr>
          <w:lang w:eastAsia="en-IN"/>
        </w:rPr>
        <w:lastRenderedPageBreak/>
        <w:t xml:space="preserve">suspension at 300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5 minutes at 4 degrees Celsius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17A9D10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trypsin to detach the cells.</w:t>
      </w:r>
    </w:p>
    <w:p w14:paraId="68C41476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cell suspension.</w:t>
      </w:r>
    </w:p>
    <w:p w14:paraId="4551F1CC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cell suspension into the centrifuge.</w:t>
      </w:r>
    </w:p>
    <w:p w14:paraId="73B5ED68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pellet in 1 milliliter of the mitochondrial isolation buffer supplemented with bovine serum albumin, protease inhibitors, and phosphatase inhibitors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Using a tuberculin syringe, pass the suspension through the syringe 5 times to disrupt the plasma membrane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Using an insulin syringe, pass the suspension through the syringe at least 10 times to homogenize it until the solution is light brown and lacks visible clumps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2561A7DE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pellet in the mitochondrial isolation buffer supplemented with bovine serum albumin, protease inhibitors, and phosphatase inhibitors.</w:t>
      </w:r>
    </w:p>
    <w:p w14:paraId="2E71B78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tuberculin syringe multiple times.</w:t>
      </w:r>
    </w:p>
    <w:p w14:paraId="5B99B11E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insulin syringe until a homogeneous light-brown solution is obtained.</w:t>
      </w:r>
    </w:p>
    <w:p w14:paraId="322CC343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Centrifuge the homogenate at 900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11 minutes at 4 degrees Celsius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A4BA260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homogenate into the centrifuge.</w:t>
      </w:r>
    </w:p>
    <w:p w14:paraId="42A13031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Collect the supernatant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Centrifuge the supernatant at 10,000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10 minutes at 4 degrees Celsius to pellet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Wash the mitochondrial pellet 3 times with the mitochondrial isolation buffer supplemented with bovine serum albumin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3CC29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supernatant.</w:t>
      </w:r>
    </w:p>
    <w:p w14:paraId="0F250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supernatant into the centrifuge.</w:t>
      </w:r>
    </w:p>
    <w:p w14:paraId="1987940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washing the mitochondrial pellet with the mitochondrial isolation buffer supplemented with bovine serum albumin.</w:t>
      </w:r>
    </w:p>
    <w:p w14:paraId="0145D4C4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mitochondrial pellet in 100 microliters of bovine serum albumin-free mitochondrial isolation buffer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Quantify the protein concentration using the bicinchoninic acid protein assay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6F0013F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mitochondrial pellet in bovine serum albumin-free mitochondrial isolation buffer.</w:t>
      </w:r>
    </w:p>
    <w:p w14:paraId="710B6789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performing the bicinchoninic acid protein assay.</w:t>
      </w:r>
    </w:p>
    <w:p w14:paraId="5D8FF8F7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Seed the recipient preadipocytes at 5 × 10⁵ cells per well in the 12-well plates containing 18 millimeter coverslips for microscopy 24 hours before the assay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74F01D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WIDE: Talent seeding the recipient preadipocytes into the 12-well plates containing 18 millimeter coverslips.</w:t>
      </w:r>
    </w:p>
    <w:p w14:paraId="2D071E81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lastRenderedPageBreak/>
        <w:t xml:space="preserve">Add the isolated donor mitochondria directly to the recipient medium at a ratio of 10 micrograms of mitochondrial protein per 10⁵ cells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Rock the plates gently to distribute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Incubate the cells for 24 to 120 hours, corresponding to days 1, 3, and 5 of differentiation, at 37 degrees Celsius in a humidified incubator with 5% carbon dioxide prior to analysis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0529FCB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isolated donor mitochondria to the recipient medium.</w:t>
      </w:r>
    </w:p>
    <w:p w14:paraId="36D1387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gently rocking the plate to distribute the mitochondria.</w:t>
      </w:r>
    </w:p>
    <w:p w14:paraId="136F5531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plate into the incubator.</w:t>
      </w:r>
    </w:p>
    <w:p w14:paraId="1DD072F8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42EC23A5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087A5C7F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3A4DD2D9" w14:textId="77777777" w:rsidR="00525C4D" w:rsidRDefault="00525C4D" w:rsidP="00525C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69EB28F" w14:textId="6EB28748" w:rsidR="00525C4D" w:rsidRDefault="00AA6509" w:rsidP="00525C4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A6509">
        <w:rPr>
          <w:rFonts w:cstheme="minorHAnsi"/>
          <w:b/>
          <w:bCs/>
        </w:rPr>
        <w:t xml:space="preserve">Live </w:t>
      </w:r>
      <w:r w:rsidRPr="00AA6509">
        <w:rPr>
          <w:rFonts w:cstheme="minorHAnsi"/>
          <w:b/>
          <w:bCs/>
        </w:rPr>
        <w:t>Cell Imaging Assay</w:t>
      </w:r>
    </w:p>
    <w:p w14:paraId="21350F16" w14:textId="77777777" w:rsidR="00525C4D" w:rsidRDefault="00525C4D" w:rsidP="00525C4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F0AAC4483E6B4A18BA6A7229D431203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124023B" w14:textId="273C7A30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Pr="008A0CC3">
        <w:rPr>
          <w:lang w:eastAsia="en-IN"/>
        </w:rPr>
        <w:t xml:space="preserve">eed the primary preadipocytes derived from postnatal day 0.5 neonatal mice into the 12-well plates containing 18 millimeter coverslips, following the previously detailed specific cell density and media requirements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4D766B92" w14:textId="16FFD44B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seeding the primary preadipocytes into the 12-well plates containing 18 millimeter coverslips.</w:t>
      </w:r>
    </w:p>
    <w:p w14:paraId="5309AD95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Isolate the mitochondria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Execute the mitochondrial transfer assay using the donor cells previously labeled with MitoTracker Deep Red FM, as previously specified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35551C66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isolating the mitochondria.</w:t>
      </w:r>
    </w:p>
    <w:p w14:paraId="1D2F44C8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performing the mitochondrial transfer assay with the previously labeled donor cells.</w:t>
      </w:r>
    </w:p>
    <w:p w14:paraId="396E6A53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Maintain the recipient cultures in a humidified incubator at 37 degrees Celsius with 5% carbon dioxide for 24 hours to allow for the mitochondrial uptake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5BF1B86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recipient cultures into the humidified incubator.</w:t>
      </w:r>
    </w:p>
    <w:p w14:paraId="633D62B3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Prepare a 70 nanomolar MitoTracker Green working solution by diluting the stock in the fetal bovine serum-free culture medium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450047D7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preparing the MitoTracker Green working solution in the fetal bovine serum-free culture medium.</w:t>
      </w:r>
    </w:p>
    <w:p w14:paraId="36D0E2A4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Aspirate the growth medium from the 12-well plates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 and replace it with the 70 nanomolar MitoTracker Green solution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Incubate the plates for 25 minutes at 37 degrees Celsius in a humidified incubator with 5% carbon dioxide to counterstain the total mitochondrial network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069377C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lastRenderedPageBreak/>
        <w:t>Talent aspirating the growth medium from the 12-well plates.</w:t>
      </w:r>
    </w:p>
    <w:p w14:paraId="6266209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70 nanomolar MitoTracker Green solution to the wells.</w:t>
      </w:r>
    </w:p>
    <w:p w14:paraId="02FC6BBE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plates into the humidified incubator.</w:t>
      </w:r>
    </w:p>
    <w:p w14:paraId="28BDFE50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Remove the staining solution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 and wash the coverslips 2 times with 1 milliliter of the warm, complete culture medium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1BD215F0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removing the staining solution from the wells.</w:t>
      </w:r>
    </w:p>
    <w:p w14:paraId="65A05E9E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washing the coverslips with the warm, complete culture medium.</w:t>
      </w:r>
    </w:p>
    <w:p w14:paraId="545AC9B6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Replace the final volume with the phenol red-free complete medium to minimize the background autofluorescence during acquisition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39F91DB0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phenol red-free complete medium to the wells.</w:t>
      </w:r>
    </w:p>
    <w:p w14:paraId="24F4C939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Transfer the coverslips or the plate to the confocal microscope stage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Set the microscope incubation chamber to maintain a constant environment of 37 degrees Celsius and 5% carbon dioxide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5DD852D7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transferring the coverslips or the plate to the confocal microscope stage.</w:t>
      </w:r>
    </w:p>
    <w:p w14:paraId="4EEEF8B7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setting the microscope incubation chamber.</w:t>
      </w:r>
    </w:p>
    <w:p w14:paraId="40C872ED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Capture the images immediately using the appropriate excitation and emission settings for both the far-red MitoTracker Deep Red FM and green MitoTracker Green channels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Refer to the supplemental file for additional details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64EDBDE5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capturing the images using the far-red and green channels.</w:t>
      </w:r>
    </w:p>
    <w:p w14:paraId="0F9AE531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Shot of the supplemental file with the additional imaging details.</w:t>
      </w:r>
    </w:p>
    <w:p w14:paraId="44574AF6" w14:textId="77777777" w:rsidR="00525C4D" w:rsidRDefault="00525C4D" w:rsidP="00525C4D"/>
    <w:p w14:paraId="63E3A81D" w14:textId="77777777" w:rsidR="00525C4D" w:rsidRDefault="00525C4D" w:rsidP="00525C4D"/>
    <w:p w14:paraId="2FB55E31" w14:textId="77777777" w:rsidR="00525C4D" w:rsidRDefault="00525C4D" w:rsidP="00525C4D"/>
    <w:p w14:paraId="5BEB48BA" w14:textId="77777777" w:rsidR="00525C4D" w:rsidRDefault="00525C4D" w:rsidP="00525C4D"/>
    <w:p w14:paraId="6C51F9FC" w14:textId="77777777" w:rsidR="00525C4D" w:rsidRDefault="00525C4D" w:rsidP="00525C4D"/>
    <w:p w14:paraId="1FF02066" w14:textId="77777777" w:rsidR="00525C4D" w:rsidRDefault="00525C4D" w:rsidP="00525C4D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8C4804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D911CA9" w14:textId="77777777" w:rsidR="00525C4D" w:rsidRDefault="00495959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B07A3B">
        <w:rPr>
          <w:rFonts w:cstheme="minorHAnsi"/>
        </w:rPr>
        <w:t>Step 1</w:t>
      </w:r>
      <w:r w:rsidR="00525C4D" w:rsidRPr="008A0CC3">
        <w:rPr>
          <w:lang w:eastAsia="en-IN"/>
        </w:rPr>
        <w:t xml:space="preserve">Flow cytometry analysis showed that approximately 60% of preadipocytes were positive for the MitoTracker Deep Red signal </w:t>
      </w:r>
      <w:r w:rsidR="00525C4D" w:rsidRPr="008A0CC3">
        <w:rPr>
          <w:b/>
          <w:lang w:eastAsia="en-IN"/>
        </w:rPr>
        <w:t>[1]</w:t>
      </w:r>
      <w:r w:rsidR="00525C4D" w:rsidRPr="008A0CC3">
        <w:rPr>
          <w:lang w:eastAsia="en-IN"/>
        </w:rPr>
        <w:t>, indicating efficient uptake of exogenous mitochondria.</w:t>
      </w:r>
    </w:p>
    <w:p w14:paraId="4305825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1E. Video editor: Highlight the large population shifted to the right on the MitoTracker Deep Red axis that is positive for MitoTracker Deep Red staining.</w:t>
      </w:r>
    </w:p>
    <w:p w14:paraId="45673D78" w14:textId="77777777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Live-cell confocal microscopy revealed colocalization of the exogenous MitoTracker Deep Red-stained mitochondria with the endogenous MitoTracker Green-stained mitochondrial network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>.</w:t>
      </w:r>
    </w:p>
    <w:p w14:paraId="24ADFEF6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1F. Video editor: Highlight the merged image where the magenta MitoTracker Deep Red signal overlaps with the green MitoTracker Green mitochondrial network.</w:t>
      </w:r>
    </w:p>
    <w:p w14:paraId="421AD917" w14:textId="77777777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As approximately 50% of cells remained negative for MitoTracker Deep Red signal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 xml:space="preserve">, the overall efficacy of exogenous mitochondria incorporation was approximately 50% </w:t>
      </w:r>
      <w:r w:rsidRPr="008A0CC3">
        <w:rPr>
          <w:b/>
          <w:lang w:eastAsia="en-IN"/>
        </w:rPr>
        <w:t>[2]</w:t>
      </w:r>
      <w:r w:rsidRPr="008A0CC3">
        <w:rPr>
          <w:lang w:eastAsia="en-IN"/>
        </w:rPr>
        <w:t>.</w:t>
      </w:r>
    </w:p>
    <w:p w14:paraId="1B072A43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1G. Video editor: Highlight the Manders' colocalization coefficient values shown for the mitochondria-treated groups.</w:t>
      </w:r>
    </w:p>
    <w:p w14:paraId="7CED1D2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1G. Video editor: Highlight the mitochondria-treated groups represented by the orange and red box plots.</w:t>
      </w:r>
    </w:p>
    <w:p w14:paraId="2F8593E7" w14:textId="77777777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Human mitochondrial DNA remained detectable after 1 day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 xml:space="preserve">, 3 days </w:t>
      </w:r>
      <w:r w:rsidRPr="008A0CC3">
        <w:rPr>
          <w:b/>
          <w:lang w:eastAsia="en-IN"/>
        </w:rPr>
        <w:t>[2]</w:t>
      </w:r>
      <w:r w:rsidRPr="008A0CC3">
        <w:rPr>
          <w:lang w:eastAsia="en-IN"/>
        </w:rPr>
        <w:t xml:space="preserve">, and 5 days </w:t>
      </w:r>
      <w:r w:rsidRPr="008A0CC3">
        <w:rPr>
          <w:b/>
          <w:lang w:eastAsia="en-IN"/>
        </w:rPr>
        <w:t>[3]</w:t>
      </w:r>
      <w:r w:rsidRPr="008A0CC3">
        <w:rPr>
          <w:lang w:eastAsia="en-IN"/>
        </w:rPr>
        <w:t xml:space="preserve"> of differentiation.</w:t>
      </w:r>
    </w:p>
    <w:p w14:paraId="3287DA43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1H. Video editor: Highlight the data point at day 1 for the differentiated plus human mitochondria group.</w:t>
      </w:r>
    </w:p>
    <w:p w14:paraId="20CD11E9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1H. Video editor: Highlight the data point at day 3 for the differentiated plus human mitochondria group.</w:t>
      </w:r>
    </w:p>
    <w:p w14:paraId="7634DBC0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lastRenderedPageBreak/>
        <w:t>LAB MEDIA: Figure 1H. Video editor: Highlight the data point at day 5 for the differentiated plus human mitochondria group.</w:t>
      </w:r>
    </w:p>
    <w:p w14:paraId="64DF5939" w14:textId="77777777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Human mitochondrial DNA levels rapidly declined in cells that were not induced to differentiate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 xml:space="preserve">, becoming undetectable at day 3 of differentiation </w:t>
      </w:r>
      <w:r w:rsidRPr="008A0CC3">
        <w:rPr>
          <w:b/>
          <w:lang w:eastAsia="en-IN"/>
        </w:rPr>
        <w:t>[2]</w:t>
      </w:r>
      <w:r w:rsidRPr="008A0CC3">
        <w:rPr>
          <w:lang w:eastAsia="en-IN"/>
        </w:rPr>
        <w:t>.</w:t>
      </w:r>
    </w:p>
    <w:p w14:paraId="676EBEF0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1H. Video editor: Highlight the line for the non-differentiated plus human mitochondria group as it decreases across the time points.</w:t>
      </w:r>
    </w:p>
    <w:p w14:paraId="1E9FF839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1H. Video editor: Highlight the data point at day 3 for the non-differentiated plus human mitochondria group near zero on the vertical axis.</w:t>
      </w:r>
    </w:p>
    <w:sectPr w:rsidR="00525C4D" w:rsidRPr="008A0CC3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3BF4B" w14:textId="77777777" w:rsidR="00434C84" w:rsidRDefault="00434C84">
      <w:r>
        <w:separator/>
      </w:r>
    </w:p>
    <w:p w14:paraId="15AE72D2" w14:textId="77777777" w:rsidR="00434C84" w:rsidRDefault="00434C84"/>
  </w:endnote>
  <w:endnote w:type="continuationSeparator" w:id="0">
    <w:p w14:paraId="67B086C0" w14:textId="77777777" w:rsidR="00434C84" w:rsidRDefault="00434C84">
      <w:r>
        <w:continuationSeparator/>
      </w:r>
    </w:p>
    <w:p w14:paraId="7A2E6A5C" w14:textId="77777777" w:rsidR="00434C84" w:rsidRDefault="00434C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E5FC05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25C4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FC5CE" w14:textId="77777777" w:rsidR="00434C84" w:rsidRDefault="00434C84">
      <w:r>
        <w:separator/>
      </w:r>
    </w:p>
    <w:p w14:paraId="41743E5C" w14:textId="77777777" w:rsidR="00434C84" w:rsidRDefault="00434C84"/>
  </w:footnote>
  <w:footnote w:type="continuationSeparator" w:id="0">
    <w:p w14:paraId="6211A937" w14:textId="77777777" w:rsidR="00434C84" w:rsidRDefault="00434C84">
      <w:r>
        <w:continuationSeparator/>
      </w:r>
    </w:p>
    <w:p w14:paraId="5A95855C" w14:textId="77777777" w:rsidR="00434C84" w:rsidRDefault="00434C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BE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4C8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25C4D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509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2F69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25C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5C4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25C4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25C4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25C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25C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72306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0AAC4483E6B4A18BA6A7229D4312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1C1E0-DE3D-44B3-961C-1A046BBFC85E}"/>
      </w:docPartPr>
      <w:docPartBody>
        <w:p w:rsidR="00000000" w:rsidRDefault="000E54EE" w:rsidP="000E54EE">
          <w:pPr>
            <w:pStyle w:val="F0AAC4483E6B4A18BA6A7229D431203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E54EE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60BE"/>
    <w:rsid w:val="00287B01"/>
    <w:rsid w:val="002F6418"/>
    <w:rsid w:val="002F76E2"/>
    <w:rsid w:val="00321749"/>
    <w:rsid w:val="003260D7"/>
    <w:rsid w:val="00344E88"/>
    <w:rsid w:val="00356726"/>
    <w:rsid w:val="00384C7D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0AAC4483E6B4A18BA6A7229D431203B">
    <w:name w:val="F0AAC4483E6B4A18BA6A7229D431203B"/>
    <w:rsid w:val="000E54E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2447</Words>
  <Characters>13949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2026-06-22T20:40:00Z</dcterms:created>
  <dcterms:modified xsi:type="dcterms:W3CDTF">2026-06-22T20:40:00Z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