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7246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2784">
        <w:rPr>
          <w:rFonts w:eastAsia="Times New Roman" w:cstheme="minorHAnsi"/>
          <w:b/>
        </w:rPr>
        <w:t>71208</w:t>
      </w:r>
    </w:p>
    <w:p w14:paraId="2F6924E5" w14:textId="1234F0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2784">
        <w:rPr>
          <w:rFonts w:eastAsia="Times New Roman" w:cstheme="minorHAnsi"/>
          <w:b/>
        </w:rPr>
        <w:t>Poornima G</w:t>
      </w:r>
    </w:p>
    <w:p w14:paraId="6FB9233B" w14:textId="40676B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14B3" w:rsidRPr="006D3FE3">
          <w:rPr>
            <w:rStyle w:val="Hyperlink"/>
            <w:rFonts w:eastAsia="Times New Roman" w:cstheme="minorHAnsi"/>
            <w:b/>
          </w:rPr>
          <w:t>https://review.jove.com/account/file-uploader?src=21718488</w:t>
        </w:r>
      </w:hyperlink>
      <w:r w:rsidR="00E514B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CA85E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2784" w:rsidRPr="00BD2784">
        <w:rPr>
          <w:rStyle w:val="ArticleTitle"/>
          <w:rFonts w:cstheme="minorHAnsi"/>
        </w:rPr>
        <w:t>Standardized Protocol to Evaluate the Effect of Surface Treatments, Luting Cements, and Thermocycling on PEEK–Composite Bond Strength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919FC8" w14:textId="77777777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IN"/>
        </w:rPr>
      </w:pPr>
      <w:r w:rsidRPr="00BD2784">
        <w:rPr>
          <w:rFonts w:eastAsia="Times New Roman" w:cstheme="minorHAnsi"/>
          <w:b/>
          <w:sz w:val="28"/>
          <w:szCs w:val="28"/>
          <w:lang w:val="en-IN"/>
        </w:rPr>
        <w:t>Kilinc Zeynep Cigdem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>, Dikbas Idil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>, Erkul Selen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</w:p>
    <w:p w14:paraId="1CABBC9C" w14:textId="77777777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</w:p>
    <w:p w14:paraId="036F7761" w14:textId="1AA30A54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514B3">
        <w:rPr>
          <w:rFonts w:eastAsia="Times New Roman" w:cstheme="minorHAnsi"/>
          <w:bCs/>
          <w:sz w:val="28"/>
          <w:szCs w:val="28"/>
        </w:rPr>
        <w:t>Private practice, Istanbul</w:t>
      </w:r>
    </w:p>
    <w:p w14:paraId="45E152D1" w14:textId="36C5B7EE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514B3">
        <w:rPr>
          <w:rFonts w:eastAsia="Times New Roman" w:cstheme="minorHAnsi"/>
          <w:bCs/>
          <w:sz w:val="28"/>
          <w:szCs w:val="28"/>
        </w:rPr>
        <w:t>Department of Prosthodontics, Faculty of Dentistry, Yeditepe University</w:t>
      </w:r>
    </w:p>
    <w:p w14:paraId="174431D3" w14:textId="77777777" w:rsidR="00E514B3" w:rsidRPr="00BD2784" w:rsidRDefault="00E514B3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037A72" w14:textId="5B49503F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2E2F6AC" w:rsidR="004E0C5A" w:rsidRDefault="00E514B3" w:rsidP="004E0C5A">
      <w:pPr>
        <w:outlineLvl w:val="0"/>
        <w:rPr>
          <w:rFonts w:eastAsia="Times New Roman" w:cstheme="minorHAnsi"/>
        </w:rPr>
      </w:pPr>
      <w:bookmarkStart w:id="0" w:name="_Hlk25233958"/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AED73CB" w14:textId="77777777" w:rsidR="00E514B3" w:rsidRPr="00E514B3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Kilinc Zeynep Cigdem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>zeynepklnc@gmail.com</w:t>
      </w:r>
    </w:p>
    <w:p w14:paraId="12916965" w14:textId="32803054" w:rsidR="003B5E26" w:rsidRPr="004F6CCB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Dikbas Idil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 xml:space="preserve">idil.dikbas@yeditepe.edu.tr </w:t>
      </w:r>
    </w:p>
    <w:p w14:paraId="397108F7" w14:textId="77777777" w:rsidR="00E514B3" w:rsidRDefault="00E514B3" w:rsidP="00E514B3">
      <w:pPr>
        <w:outlineLvl w:val="0"/>
        <w:rPr>
          <w:rFonts w:eastAsia="Times New Roman" w:cstheme="minorHAnsi"/>
        </w:rPr>
      </w:pPr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3FFF1F1D" w14:textId="77777777" w:rsidR="008D3072" w:rsidRPr="008D3072" w:rsidRDefault="008D3072" w:rsidP="008D3072"/>
    <w:p w14:paraId="22834088" w14:textId="1794377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3F3EA7" w:rsidRPr="003F3EA7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E0A8C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6D92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47A3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F3EA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17B1A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BD2784">
        <w:rPr>
          <w:rFonts w:cstheme="minorHAnsi"/>
          <w:bCs/>
          <w:sz w:val="22"/>
          <w:szCs w:val="22"/>
        </w:rPr>
        <w:t>19</w:t>
      </w:r>
    </w:p>
    <w:p w14:paraId="5AAC9C6C" w14:textId="719642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BD2784">
        <w:rPr>
          <w:rFonts w:cstheme="minorHAnsi"/>
          <w:bCs/>
          <w:sz w:val="22"/>
          <w:szCs w:val="22"/>
        </w:rPr>
        <w:t xml:space="preserve">29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843B639" w:rsidR="007D61A8" w:rsidRPr="008D3072" w:rsidRDefault="001352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study presents a standardized protocol to evaluate the effects of surface treatment, cement type, and thermocycling on PEEK–composite bond strength.</w:t>
      </w:r>
    </w:p>
    <w:p w14:paraId="7812DD46" w14:textId="2BCEC0FD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2DD9805" w:rsidR="007D61A8" w:rsidRPr="008D3072" w:rsidRDefault="00762E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The protocol facilitates consistent evaluation of bonding approaches that may improve the long-term performance of PEEK restorations.</w:t>
      </w:r>
    </w:p>
    <w:p w14:paraId="4F05C9E5" w14:textId="4616094D" w:rsidR="008D3072" w:rsidRPr="00D75084" w:rsidRDefault="008D3072" w:rsidP="008D307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1411BA9" w:rsidR="00D75084" w:rsidRPr="008D3072" w:rsidRDefault="005E0B6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used to measure the durability of PEEK–composite adhesion under simulated clinical conditions.</w:t>
      </w:r>
    </w:p>
    <w:p w14:paraId="1694AF40" w14:textId="04D23613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C71B23E" w:rsidR="007D61A8" w:rsidRPr="008D3072" w:rsidRDefault="005E0B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5E0B61">
        <w:t>Safe handling of sulfuric acid and laser equipment is essential to ensure operator safety and procedural consistency.</w:t>
      </w:r>
    </w:p>
    <w:p w14:paraId="0328E047" w14:textId="6FF2EA0E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E7333B4" w:rsidR="00333FA4" w:rsidRPr="008D3072" w:rsidRDefault="007543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4306">
        <w:t xml:space="preserve">Future studies can evaluate additional surface treatments, </w:t>
      </w:r>
      <w:r w:rsidR="005603CA">
        <w:t xml:space="preserve">different </w:t>
      </w:r>
      <w:r w:rsidRPr="00754306">
        <w:t>cements, composites, and thermocycling conditions to optimize PEEK bonding.</w:t>
      </w:r>
    </w:p>
    <w:p w14:paraId="7B256CE9" w14:textId="4C9EC3FD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ED1F90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820A3E6" w:rsidR="00CE10F2" w:rsidRDefault="00E514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t>Cementing Composite Resin Discs to Treated PEEK Surfaces</w:t>
      </w:r>
    </w:p>
    <w:p w14:paraId="314C5FBA" w14:textId="6BE1A3C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03CA">
        <w:rPr>
          <w:rFonts w:cstheme="minorHAnsi"/>
        </w:rPr>
        <w:t>Selen Erkul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408061B" w:rsidR="00125924" w:rsidRPr="00B07A3B" w:rsidRDefault="00255DC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5DCD">
        <w:rPr>
          <w:rFonts w:cstheme="minorHAnsi"/>
          <w:color w:val="7030A0"/>
        </w:rPr>
        <w:t>To begin, obtain poly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 xml:space="preserve">ketone or PEEK </w:t>
      </w:r>
      <w:r w:rsidRPr="00255DC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peak</w:t>
      </w:r>
      <w:r w:rsidRPr="00255DCD">
        <w:rPr>
          <w:rFonts w:cstheme="minorHAnsi"/>
          <w:i/>
          <w:iCs/>
          <w:color w:val="EE0000"/>
        </w:rPr>
        <w:t>)</w:t>
      </w:r>
      <w:r w:rsidRPr="00255DCD">
        <w:rPr>
          <w:rFonts w:cstheme="minorHAnsi"/>
        </w:rPr>
        <w:t xml:space="preserve"> </w:t>
      </w:r>
      <w:r w:rsidRPr="00255DCD">
        <w:rPr>
          <w:rFonts w:cstheme="minorHAnsi"/>
          <w:color w:val="7030A0"/>
        </w:rPr>
        <w:t xml:space="preserve">disc specimens </w:t>
      </w:r>
      <w:r w:rsidRPr="00255DCD">
        <w:rPr>
          <w:rFonts w:cstheme="minorHAnsi"/>
          <w:b/>
          <w:bCs/>
          <w:color w:val="7030A0"/>
        </w:rPr>
        <w:t>[1]</w:t>
      </w:r>
      <w:r w:rsidRPr="00255DCD">
        <w:rPr>
          <w:rFonts w:cstheme="minorHAnsi"/>
          <w:color w:val="7030A0"/>
        </w:rPr>
        <w:t xml:space="preserve"> and surface-treat them according to the designated protocols </w:t>
      </w:r>
      <w:r w:rsidRPr="00255DCD">
        <w:rPr>
          <w:rFonts w:cstheme="minorHAnsi"/>
          <w:b/>
          <w:bCs/>
          <w:color w:val="7030A0"/>
        </w:rPr>
        <w:t>[2 and 3]</w:t>
      </w:r>
      <w:r w:rsidRPr="00255DCD">
        <w:rPr>
          <w:rFonts w:cstheme="minorHAnsi"/>
          <w:color w:val="7030A0"/>
        </w:rPr>
        <w:t xml:space="preserve">. </w:t>
      </w:r>
    </w:p>
    <w:p w14:paraId="7605F9E4" w14:textId="087C1A1C" w:rsidR="00C34F4C" w:rsidRPr="00255DC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55DCD">
        <w:rPr>
          <w:rFonts w:cstheme="minorHAnsi"/>
        </w:rPr>
        <w:t>Talent placing the PEEK discs on the work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D1B94E0" w14:textId="77B844A1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sandblasting the disc. </w:t>
      </w:r>
      <w:r w:rsidRPr="00255DCD">
        <w:rPr>
          <w:rFonts w:cstheme="minorHAnsi"/>
          <w:b/>
          <w:bCs/>
          <w:highlight w:val="yellow"/>
        </w:rPr>
        <w:t>Authors</w:t>
      </w:r>
      <w:r w:rsidRPr="00255DCD">
        <w:rPr>
          <w:rFonts w:cstheme="minorHAnsi"/>
          <w:highlight w:val="yellow"/>
        </w:rPr>
        <w:t>: This is a representative shot only</w:t>
      </w:r>
    </w:p>
    <w:p w14:paraId="02A619E7" w14:textId="56E8E0F9" w:rsidR="00255DCD" w:rsidRDefault="00255DCD" w:rsidP="00255DC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</w:t>
      </w:r>
      <w:r>
        <w:rPr>
          <w:rFonts w:cstheme="minorHAnsi"/>
          <w:b/>
          <w:bCs/>
          <w:i/>
          <w:iCs/>
          <w:color w:val="0000FF"/>
          <w:lang w:val="en-IN"/>
        </w:rPr>
        <w:t xml:space="preserve"> editor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show 2.1.2 and 2.1.3 using split screen</w:t>
      </w:r>
    </w:p>
    <w:p w14:paraId="580730A3" w14:textId="38AD2733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TEXT ON PLAIN BACKGROUND </w:t>
      </w:r>
    </w:p>
    <w:p w14:paraId="76ECF359" w14:textId="5CAFD35A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  <w:b/>
          <w:bCs/>
        </w:rPr>
      </w:pPr>
      <w:r w:rsidRPr="00255DCD">
        <w:rPr>
          <w:rFonts w:cstheme="minorHAnsi"/>
          <w:b/>
          <w:bCs/>
        </w:rPr>
        <w:t>Four surface treatment groups:</w:t>
      </w:r>
    </w:p>
    <w:p w14:paraId="74BDF26B" w14:textId="77777777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 xml:space="preserve">Sandblasted </w:t>
      </w:r>
    </w:p>
    <w:p w14:paraId="3609ED14" w14:textId="6288D18E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Sulfuric acid</w:t>
      </w:r>
      <w:r>
        <w:rPr>
          <w:rFonts w:cstheme="minorHAnsi"/>
        </w:rPr>
        <w:t>-</w:t>
      </w:r>
      <w:r w:rsidRPr="00255DCD">
        <w:rPr>
          <w:rFonts w:cstheme="minorHAnsi"/>
        </w:rPr>
        <w:t xml:space="preserve">etched </w:t>
      </w:r>
    </w:p>
    <w:p w14:paraId="35D8FBFF" w14:textId="0D65A820" w:rsid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Erbium-doped Yttrium Aluminum Garnet laser</w:t>
      </w:r>
      <w:r>
        <w:rPr>
          <w:rFonts w:cstheme="minorHAnsi"/>
        </w:rPr>
        <w:t>-</w:t>
      </w:r>
      <w:r w:rsidRPr="00255DCD">
        <w:rPr>
          <w:rFonts w:cstheme="minorHAnsi"/>
        </w:rPr>
        <w:t>treated</w:t>
      </w:r>
    </w:p>
    <w:p w14:paraId="13CEB7A9" w14:textId="77777777" w:rsidR="008D3072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541B5421" w14:textId="79F80F97" w:rsidR="008D3072" w:rsidRDefault="008D3072" w:rsidP="008D3072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Control: </w:t>
      </w:r>
      <w:r w:rsidRPr="00255DCD">
        <w:rPr>
          <w:rFonts w:cstheme="minorHAnsi"/>
        </w:rPr>
        <w:t>Untreat</w:t>
      </w:r>
      <w:r>
        <w:rPr>
          <w:rFonts w:cstheme="minorHAnsi"/>
        </w:rPr>
        <w:t>ed</w:t>
      </w:r>
    </w:p>
    <w:p w14:paraId="5A69A1DA" w14:textId="77777777" w:rsidR="008D3072" w:rsidRPr="00255DCD" w:rsidRDefault="008D3072" w:rsidP="008D3072">
      <w:pPr>
        <w:pStyle w:val="ListParagraph"/>
        <w:spacing w:before="120"/>
        <w:ind w:left="1627"/>
        <w:rPr>
          <w:rFonts w:cstheme="minorHAnsi"/>
        </w:rPr>
      </w:pPr>
    </w:p>
    <w:p w14:paraId="52BDBD7D" w14:textId="77777777" w:rsidR="008D3072" w:rsidRPr="00255DCD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6E8691A1" w14:textId="67F30AD6" w:rsidR="00BD2784" w:rsidRPr="002533B2" w:rsidRDefault="008D3072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5DCD">
        <w:rPr>
          <w:rFonts w:cstheme="minorHAnsi"/>
        </w:rPr>
        <w:t xml:space="preserve">Prepare standardized indirect composite resin discs </w:t>
      </w:r>
      <w:r>
        <w:rPr>
          <w:rFonts w:cstheme="minorHAnsi"/>
        </w:rPr>
        <w:t>for bonding</w:t>
      </w:r>
      <w:r w:rsidRPr="00255DCD">
        <w:rPr>
          <w:rFonts w:cstheme="minorHAnsi"/>
        </w:rPr>
        <w:t xml:space="preserve"> to the treated PEEK surfaces using different luting cements </w:t>
      </w:r>
      <w:r w:rsidRPr="00255DCD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255DCD">
        <w:rPr>
          <w:rFonts w:cstheme="minorHAnsi"/>
          <w:b/>
          <w:bCs/>
        </w:rPr>
        <w:t>]</w:t>
      </w:r>
      <w:r w:rsidRPr="00255DCD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BD2784">
        <w:rPr>
          <w:lang w:eastAsia="en-IN"/>
        </w:rPr>
        <w:t>D</w:t>
      </w:r>
      <w:r w:rsidR="00BD2784" w:rsidRPr="002533B2">
        <w:rPr>
          <w:lang w:eastAsia="en-IN"/>
        </w:rPr>
        <w:t>ivide each surface treatment group into zinc oxide non-eugenol cement and self-adhesive resin cement</w:t>
      </w:r>
      <w:r w:rsidR="00BD2784">
        <w:rPr>
          <w:lang w:eastAsia="en-IN"/>
        </w:rPr>
        <w:t xml:space="preserve"> groups</w:t>
      </w:r>
      <w:r w:rsidR="00BD2784" w:rsidRPr="002533B2">
        <w:rPr>
          <w:lang w:eastAsia="en-IN"/>
        </w:rPr>
        <w:t xml:space="preserve"> </w:t>
      </w:r>
      <w:r w:rsidR="00BD2784" w:rsidRPr="002533B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D2784" w:rsidRPr="002533B2">
        <w:rPr>
          <w:b/>
          <w:bCs/>
          <w:lang w:eastAsia="en-IN"/>
        </w:rPr>
        <w:t>]</w:t>
      </w:r>
      <w:r w:rsidR="00BD2784" w:rsidRPr="002533B2">
        <w:rPr>
          <w:lang w:eastAsia="en-IN"/>
        </w:rPr>
        <w:t>.</w:t>
      </w:r>
    </w:p>
    <w:p w14:paraId="66082D41" w14:textId="77777777" w:rsidR="008D3072" w:rsidRPr="008D3072" w:rsidRDefault="008D3072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rFonts w:cstheme="minorHAnsi"/>
        </w:rPr>
        <w:t>Shot of the talent showing the prepared indirect composite resin discs</w:t>
      </w:r>
      <w:r>
        <w:rPr>
          <w:rFonts w:cstheme="minorHAnsi"/>
        </w:rPr>
        <w:t>.</w:t>
      </w:r>
    </w:p>
    <w:p w14:paraId="3B8DB09E" w14:textId="49AF52CC" w:rsidR="00BD2784" w:rsidRDefault="00BD2784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lang w:val="en-IN" w:eastAsia="en-IN"/>
        </w:rPr>
        <w:t xml:space="preserve">Talent separating PEEK discs into 2 containers labelled as </w:t>
      </w:r>
      <w:r w:rsidRPr="002533B2">
        <w:rPr>
          <w:lang w:eastAsia="en-IN"/>
        </w:rPr>
        <w:t>zinc oxide non-eugenol cement and self-adhesive resin cement</w:t>
      </w:r>
      <w:r w:rsidRPr="008D3072">
        <w:rPr>
          <w:lang w:val="en-IN" w:eastAsia="en-IN"/>
        </w:rPr>
        <w:t>.</w:t>
      </w:r>
    </w:p>
    <w:p w14:paraId="54CBAADE" w14:textId="77777777" w:rsidR="008D3072" w:rsidRPr="008D3072" w:rsidRDefault="008D3072" w:rsidP="008D3072">
      <w:pPr>
        <w:pStyle w:val="ListParagraph"/>
        <w:spacing w:before="120"/>
        <w:ind w:left="1627"/>
        <w:contextualSpacing w:val="0"/>
        <w:rPr>
          <w:lang w:val="en-IN" w:eastAsia="en-IN"/>
        </w:rPr>
      </w:pPr>
    </w:p>
    <w:p w14:paraId="45BD833A" w14:textId="0F2C83E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zinc oxide non-eugenol cement, dispense equal lengths of the base and catalyst pastes onto a mixing pad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Mix for approximately 20 seconds until a homogeneous consistency is achieved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Using a spatula, apply the mixed cement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with gentle pressure to minimize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>.</w:t>
      </w:r>
    </w:p>
    <w:p w14:paraId="12601C2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equal lengths of the base and catalyst pastes onto a mixing pad.</w:t>
      </w:r>
    </w:p>
    <w:p w14:paraId="0C246347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mixing the cement pastes on the mixing pad.</w:t>
      </w:r>
    </w:p>
    <w:p w14:paraId="6B01583B" w14:textId="30D2437A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lastRenderedPageBreak/>
        <w:t xml:space="preserve">Talent applying the mixed cement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 with a spatula.</w:t>
      </w:r>
    </w:p>
    <w:p w14:paraId="0664AC0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2DA2CD8A" w14:textId="1FC2C52D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attach an automix tip to the syringe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dispense a small initial amount to ensure proper mixing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Then, apply the cement directly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while keeping the tip in contact to maintain continuous flow and reduce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 xml:space="preserve">. Cover the entire bonding area with a uniform layer </w:t>
      </w:r>
      <w:r w:rsidRPr="002533B2">
        <w:rPr>
          <w:b/>
          <w:bCs/>
          <w:lang w:eastAsia="en-IN"/>
        </w:rPr>
        <w:t>[4]</w:t>
      </w:r>
      <w:r w:rsidRPr="002533B2">
        <w:rPr>
          <w:lang w:eastAsia="en-IN"/>
        </w:rPr>
        <w:t>.</w:t>
      </w:r>
    </w:p>
    <w:p w14:paraId="59B3F59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attaching an automix tip to the syringe.</w:t>
      </w:r>
    </w:p>
    <w:p w14:paraId="67E135C9" w14:textId="4A7A4639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a small initial amount of the self-adhesive resin cement</w:t>
      </w:r>
      <w:r w:rsidR="0002711C">
        <w:rPr>
          <w:lang w:val="en-IN" w:eastAsia="en-IN"/>
        </w:rPr>
        <w:t xml:space="preserve"> to test</w:t>
      </w:r>
      <w:r w:rsidRPr="002533B2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BD2784">
        <w:rPr>
          <w:b/>
          <w:bCs/>
          <w:highlight w:val="yellow"/>
          <w:lang w:val="en-IN" w:eastAsia="en-IN"/>
        </w:rPr>
        <w:t>Authors</w:t>
      </w:r>
      <w:r w:rsidRPr="00BD2784">
        <w:rPr>
          <w:highlight w:val="yellow"/>
          <w:lang w:val="en-IN" w:eastAsia="en-IN"/>
        </w:rPr>
        <w:t>: What will you check this on first?</w:t>
      </w:r>
    </w:p>
    <w:p w14:paraId="45D945FF" w14:textId="7EF36A94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starting to </w:t>
      </w:r>
      <w:r w:rsidRPr="002533B2">
        <w:rPr>
          <w:lang w:val="en-IN" w:eastAsia="en-IN"/>
        </w:rPr>
        <w:t xml:space="preserve">apply the self-adhesive resin cement directly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3B5F29A5" w14:textId="0768664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continuing and </w:t>
      </w:r>
      <w:r w:rsidRPr="002533B2">
        <w:rPr>
          <w:lang w:val="en-IN" w:eastAsia="en-IN"/>
        </w:rPr>
        <w:t>covering the entire bonding area with a uniform layer.</w:t>
      </w:r>
      <w:r w:rsidR="0002711C">
        <w:rPr>
          <w:lang w:val="en-IN" w:eastAsia="en-IN"/>
        </w:rPr>
        <w:t xml:space="preserve"> </w:t>
      </w:r>
      <w:r w:rsidR="0002711C" w:rsidRPr="0002711C">
        <w:rPr>
          <w:b/>
          <w:bCs/>
          <w:highlight w:val="yellow"/>
          <w:lang w:val="en-IN" w:eastAsia="en-IN"/>
        </w:rPr>
        <w:t>Authors</w:t>
      </w:r>
      <w:r w:rsidR="0002711C" w:rsidRPr="0002711C">
        <w:rPr>
          <w:highlight w:val="yellow"/>
          <w:lang w:val="en-IN" w:eastAsia="en-IN"/>
        </w:rPr>
        <w:t>: Show the fully covered sampl</w:t>
      </w:r>
      <w:r w:rsidR="0002711C">
        <w:rPr>
          <w:highlight w:val="yellow"/>
          <w:lang w:val="en-IN" w:eastAsia="en-IN"/>
        </w:rPr>
        <w:t>e at the end of this shot</w:t>
      </w:r>
    </w:p>
    <w:p w14:paraId="6F34DF3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CCD68E5" w14:textId="11D55069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Position the composite disc centrally onto the cement-covered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</w:t>
      </w:r>
    </w:p>
    <w:p w14:paraId="7F3DFDBE" w14:textId="2E2D1D00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positioning the composite disc centrally on the cement-covered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47CE47FB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E326C99" w14:textId="789F498B" w:rsidR="00BD2784" w:rsidRPr="002533B2" w:rsidRDefault="0002711C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BD2784" w:rsidRPr="002533B2">
        <w:rPr>
          <w:lang w:eastAsia="en-IN"/>
        </w:rPr>
        <w:t xml:space="preserve">pply a constant vertical load of 500 grams for 10 seconds to standardize cement thickness and ensure uniform adaptation </w:t>
      </w:r>
      <w:r w:rsidR="00BD2784" w:rsidRPr="002533B2">
        <w:rPr>
          <w:b/>
          <w:bCs/>
          <w:lang w:eastAsia="en-IN"/>
        </w:rPr>
        <w:t>[1]</w:t>
      </w:r>
      <w:r w:rsidR="00BD2784" w:rsidRPr="002533B2">
        <w:rPr>
          <w:lang w:eastAsia="en-IN"/>
        </w:rPr>
        <w:t>.</w:t>
      </w:r>
    </w:p>
    <w:p w14:paraId="3F7CE79F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a constant vertical load to the specimen.</w:t>
      </w:r>
    </w:p>
    <w:p w14:paraId="1C59E9C8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5CEA7E3" w14:textId="77777777" w:rsidR="00BD2784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Remove excess cement from the margins using a microbrush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40B833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removing excess cement from the margins with a microbrush.</w:t>
      </w:r>
    </w:p>
    <w:p w14:paraId="22F30031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8B6717B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zinc oxide non-eugenol cement, allow a setting time of 6 minutes under the applied load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A2C6FF8" w14:textId="5B05B6D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keeping the zinc oxide non-eugenol cement specimen </w:t>
      </w:r>
      <w:r w:rsidR="0002711C">
        <w:rPr>
          <w:lang w:val="en-IN" w:eastAsia="en-IN"/>
        </w:rPr>
        <w:t>aside under the applied load</w:t>
      </w:r>
      <w:r w:rsidRPr="002533B2">
        <w:rPr>
          <w:lang w:val="en-IN" w:eastAsia="en-IN"/>
        </w:rPr>
        <w:t>.</w:t>
      </w:r>
    </w:p>
    <w:p w14:paraId="500D896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5D079B3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polymerize with a light-curing device from all directions for a total of 80 seconds at a distance of 5 millimeters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9D9A47D" w14:textId="5A0CCA1E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polymerizing the self-adhesive resin cement specimen </w:t>
      </w:r>
      <w:r w:rsidR="0002711C">
        <w:rPr>
          <w:lang w:val="en-IN" w:eastAsia="en-IN"/>
        </w:rPr>
        <w:t>with</w:t>
      </w:r>
      <w:r w:rsidRPr="002533B2">
        <w:rPr>
          <w:lang w:val="en-IN" w:eastAsia="en-IN"/>
        </w:rPr>
        <w:t xml:space="preserve"> a light-curing device.</w:t>
      </w:r>
    </w:p>
    <w:p w14:paraId="2BEC4AE8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4743BF5" w14:textId="0E2CCBB6" w:rsidR="00BD2784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1"/>
      <w:commentRangeStart w:id="2"/>
      <w:r w:rsidRPr="00E514B3">
        <w:rPr>
          <w:rFonts w:cstheme="minorHAnsi"/>
          <w:b/>
          <w:bCs/>
        </w:rPr>
        <w:t>Thermocycling PEEK–Composite Assemblies</w:t>
      </w:r>
      <w:commentRangeEnd w:id="1"/>
      <w:r w:rsidR="00C04BD3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  <w:commentRangeEnd w:id="2"/>
      <w:r w:rsidR="006F04F4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6A2CF8F3" w14:textId="77777777" w:rsidR="00BD2784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52696214"/>
          <w:placeholder>
            <w:docPart w:val="0F538AFE1457435F8CBE2610F75B00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33CB5E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7DC5742A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34BCC09" w14:textId="441E4DD9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Divide each cement subgroup into two additional subgroups </w:t>
      </w:r>
      <w:r>
        <w:rPr>
          <w:lang w:eastAsia="en-IN"/>
        </w:rPr>
        <w:t>and subject the samples from one of the groups to</w:t>
      </w:r>
      <w:r w:rsidRPr="002533B2">
        <w:rPr>
          <w:lang w:eastAsia="en-IN"/>
        </w:rPr>
        <w:t xml:space="preserve"> thermocycling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7DDF38DA" w14:textId="0B7D0C04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dividing each cement subgroup into thermocycling and non-thermocycling subgroups.</w:t>
      </w:r>
      <w:r w:rsidR="006F04F4">
        <w:rPr>
          <w:lang w:val="en-IN" w:eastAsia="en-IN"/>
        </w:rPr>
        <w:t xml:space="preserve"> </w:t>
      </w:r>
      <w:r w:rsidR="006F04F4" w:rsidRPr="006F04F4">
        <w:rPr>
          <w:b/>
          <w:bCs/>
          <w:highlight w:val="yellow"/>
          <w:lang w:val="en-IN" w:eastAsia="en-IN"/>
        </w:rPr>
        <w:t>Authors</w:t>
      </w:r>
      <w:r w:rsidR="006F04F4" w:rsidRPr="006F04F4">
        <w:rPr>
          <w:highlight w:val="yellow"/>
          <w:lang w:val="en-IN" w:eastAsia="en-IN"/>
        </w:rPr>
        <w:t>: Keep the containers labelled</w:t>
      </w:r>
    </w:p>
    <w:p w14:paraId="0820A187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794FD40" w14:textId="72A9EAA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>Subject specimens in the thermocycling group to 5,500 cycles between 5 and 55 degrees Celsius</w:t>
      </w:r>
      <w:r>
        <w:rPr>
          <w:lang w:eastAsia="en-IN"/>
        </w:rPr>
        <w:t xml:space="preserve"> </w:t>
      </w:r>
      <w:r w:rsidRPr="002533B2">
        <w:rPr>
          <w:lang w:eastAsia="en-IN"/>
        </w:rPr>
        <w:t xml:space="preserve">using a thermocycling device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29C47C68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placing the thermocycling group specimens into the thermocycling device.</w:t>
      </w:r>
    </w:p>
    <w:p w14:paraId="55006D2E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1E57ADE" w14:textId="11F2FEB3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Set the dwell time in each bath to 30 seconds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set the transfer time between baths to 2 seconds</w:t>
      </w:r>
      <w:r w:rsidR="006F04F4">
        <w:rPr>
          <w:lang w:eastAsia="en-IN"/>
        </w:rPr>
        <w:t xml:space="preserve">. </w:t>
      </w:r>
      <w:r w:rsidR="006F04F4" w:rsidRPr="002533B2">
        <w:rPr>
          <w:lang w:eastAsia="en-IN"/>
        </w:rPr>
        <w:t>Maintain identical cycling conditions for all specimens throughout the procedure</w:t>
      </w:r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>.</w:t>
      </w:r>
    </w:p>
    <w:p w14:paraId="0BA795BB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setting the dwell time on the thermocycling device.</w:t>
      </w:r>
    </w:p>
    <w:p w14:paraId="3727DCCF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adjusting the transfer time on the thermocycling device.</w:t>
      </w:r>
    </w:p>
    <w:p w14:paraId="43AEE719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1772797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FA75C40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0943D648" w14:textId="544520BF" w:rsidR="00BD2784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3"/>
      <w:commentRangeStart w:id="4"/>
      <w:commentRangeStart w:id="5"/>
      <w:r w:rsidRPr="00E514B3">
        <w:rPr>
          <w:rFonts w:cstheme="minorHAnsi"/>
          <w:b/>
          <w:bCs/>
        </w:rPr>
        <w:t>Shear Bond Strength Testing</w:t>
      </w:r>
      <w:commentRangeEnd w:id="3"/>
      <w:r w:rsidR="00C04BD3">
        <w:rPr>
          <w:rStyle w:val="CommentReference"/>
          <w:rFonts w:cstheme="minorHAnsi"/>
          <w:b/>
          <w:bCs/>
          <w:sz w:val="24"/>
          <w:szCs w:val="24"/>
        </w:rPr>
        <w:commentReference w:id="3"/>
      </w:r>
      <w:commentRangeEnd w:id="4"/>
      <w:r w:rsidR="0002711C">
        <w:rPr>
          <w:rStyle w:val="CommentReference"/>
          <w:rFonts w:cstheme="minorHAnsi"/>
          <w:b/>
          <w:bCs/>
          <w:sz w:val="24"/>
          <w:szCs w:val="24"/>
        </w:rPr>
        <w:commentReference w:id="4"/>
      </w:r>
      <w:commentRangeEnd w:id="5"/>
      <w:r w:rsidR="006F04F4">
        <w:rPr>
          <w:rStyle w:val="CommentReference"/>
          <w:rFonts w:cstheme="minorHAnsi"/>
          <w:b/>
          <w:bCs/>
          <w:sz w:val="24"/>
          <w:szCs w:val="24"/>
        </w:rPr>
        <w:commentReference w:id="5"/>
      </w:r>
    </w:p>
    <w:p w14:paraId="0A804647" w14:textId="77777777" w:rsidR="00BD2784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E18E25A410AB47718738B424D9C60E6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0E7000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1B75089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66AB8E23" w14:textId="1BFF4A14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Embed each cemented </w:t>
      </w:r>
      <w:r>
        <w:rPr>
          <w:lang w:eastAsia="en-IN"/>
        </w:rPr>
        <w:t>PEEK</w:t>
      </w:r>
      <w:r w:rsidRPr="002533B2">
        <w:rPr>
          <w:lang w:eastAsia="en-IN"/>
        </w:rPr>
        <w:t xml:space="preserve">–cement–composite assembly in self-curing acrylic resin using stainless steel molds measuring 15 millimeters in diameter and </w:t>
      </w:r>
      <w:r w:rsidR="006F04F4">
        <w:rPr>
          <w:lang w:eastAsia="en-IN"/>
        </w:rPr>
        <w:t xml:space="preserve">in </w:t>
      </w:r>
      <w:r w:rsidRPr="002533B2">
        <w:rPr>
          <w:lang w:eastAsia="en-IN"/>
        </w:rPr>
        <w:t xml:space="preserve">height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E78C93A" w14:textId="5CDBF226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embedding the cemented polyetheretherketone–cement–composite assembly in self-curing acrylic resin using stainless steel molds.</w:t>
      </w:r>
    </w:p>
    <w:p w14:paraId="0E401A2E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ACCA137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Mount each specimen in the universal testing machine using a custom jig to ensure </w:t>
      </w:r>
      <w:r w:rsidRPr="002533B2">
        <w:rPr>
          <w:lang w:eastAsia="en-IN"/>
        </w:rPr>
        <w:lastRenderedPageBreak/>
        <w:t xml:space="preserve">stable positioning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7751B170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mounting the specimen in the universal testing machine with a custom jig.</w:t>
      </w:r>
    </w:p>
    <w:p w14:paraId="43D29EE7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14111C90" w14:textId="0586170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Align the loading blade parallel to the bonding interface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position it as close </w:t>
      </w:r>
      <w:r>
        <w:rPr>
          <w:lang w:eastAsia="en-IN"/>
        </w:rPr>
        <w:t xml:space="preserve">to the interface as possible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>.</w:t>
      </w:r>
    </w:p>
    <w:p w14:paraId="6F8171FD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aligning the loading blade parallel to the bonding interface.</w:t>
      </w:r>
    </w:p>
    <w:p w14:paraId="53FEE128" w14:textId="422C85A0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adjusting the </w:t>
      </w:r>
      <w:r w:rsidRPr="002533B2">
        <w:rPr>
          <w:lang w:val="en-IN" w:eastAsia="en-IN"/>
        </w:rPr>
        <w:t xml:space="preserve">positioning </w:t>
      </w:r>
      <w:r>
        <w:rPr>
          <w:lang w:val="en-IN" w:eastAsia="en-IN"/>
        </w:rPr>
        <w:t>such that the</w:t>
      </w:r>
      <w:r w:rsidRPr="002533B2">
        <w:rPr>
          <w:lang w:val="en-IN" w:eastAsia="en-IN"/>
        </w:rPr>
        <w:t xml:space="preserve"> blade </w:t>
      </w:r>
      <w:r>
        <w:rPr>
          <w:lang w:val="en-IN" w:eastAsia="en-IN"/>
        </w:rPr>
        <w:t xml:space="preserve">is </w:t>
      </w:r>
      <w:r w:rsidRPr="002533B2">
        <w:rPr>
          <w:lang w:val="en-IN" w:eastAsia="en-IN"/>
        </w:rPr>
        <w:t>close to the interface.</w:t>
      </w:r>
    </w:p>
    <w:p w14:paraId="271EF846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410AB3F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Apply shear force at a crosshead speed of 1 millimeter per minute until failure occurs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3E86896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shear force to the specimen in the universal testing machine.</w:t>
      </w:r>
    </w:p>
    <w:p w14:paraId="36FD7E6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A52BFB0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Record the maximum load at failure in newtons for each specimen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3909967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recording the maximum load at failure.</w:t>
      </w:r>
    </w:p>
    <w:p w14:paraId="529E883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D59F5C9" w14:textId="67E026F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Pr="002533B2">
        <w:rPr>
          <w:lang w:eastAsia="en-IN"/>
        </w:rPr>
        <w:t xml:space="preserve">alculate shear bond strength </w:t>
      </w:r>
      <w:r>
        <w:rPr>
          <w:lang w:eastAsia="en-IN"/>
        </w:rPr>
        <w:t xml:space="preserve">in megapascals using the formula </w:t>
      </w:r>
      <w:r w:rsidRPr="002533B2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2533B2">
        <w:rPr>
          <w:b/>
          <w:bCs/>
          <w:lang w:eastAsia="en-IN"/>
        </w:rPr>
        <w:t>]</w:t>
      </w:r>
      <w:r w:rsidRPr="002533B2">
        <w:rPr>
          <w:lang w:eastAsia="en-IN"/>
        </w:rPr>
        <w:t>.</w:t>
      </w:r>
    </w:p>
    <w:p w14:paraId="3F36F30A" w14:textId="0E996A15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calculating the shear bond strength values</w:t>
      </w:r>
      <w:r>
        <w:rPr>
          <w:lang w:val="en-IN" w:eastAsia="en-IN"/>
        </w:rPr>
        <w:t xml:space="preserve"> in the notebook or computer</w:t>
      </w:r>
      <w:r w:rsidRPr="002533B2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BD2784">
        <w:rPr>
          <w:b/>
          <w:bCs/>
          <w:lang w:val="en-IN" w:eastAsia="en-IN"/>
        </w:rPr>
        <w:t>TXT: SBS (MPa) = Load (N) / bonding area (mm²)</w:t>
      </w:r>
    </w:p>
    <w:p w14:paraId="3A16AA5D" w14:textId="77777777" w:rsidR="00BD2784" w:rsidRPr="002533B2" w:rsidRDefault="00BD2784" w:rsidP="00BD2784"/>
    <w:p w14:paraId="54B0D4E5" w14:textId="23422DA1" w:rsidR="00CE10F2" w:rsidRPr="00B07A3B" w:rsidRDefault="00CE10F2" w:rsidP="00BD278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76FAE5C" w14:textId="77777777" w:rsidR="006F04F4" w:rsidRDefault="006F04F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221D83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3CAC2F" w14:textId="3FEC5953" w:rsidR="00BD2784" w:rsidRDefault="00BD2784" w:rsidP="00BD2784">
      <w:pPr>
        <w:pStyle w:val="Narration"/>
        <w:numPr>
          <w:ilvl w:val="1"/>
          <w:numId w:val="3"/>
        </w:numPr>
      </w:pPr>
      <w:r>
        <w:t xml:space="preserve">Self-adhesive resin cement showed higher shear bond strength values </w:t>
      </w:r>
      <w:r w:rsidR="00B77D88" w:rsidRPr="000648A1">
        <w:rPr>
          <w:b/>
        </w:rPr>
        <w:t>[1]</w:t>
      </w:r>
      <w:r w:rsidR="00B77D88">
        <w:rPr>
          <w:b/>
        </w:rPr>
        <w:t xml:space="preserve"> </w:t>
      </w:r>
      <w:r>
        <w:t xml:space="preserve">than zinc oxide non-eugenol cement across all surface treatment groups </w:t>
      </w:r>
      <w:r w:rsidRPr="000648A1">
        <w:rPr>
          <w:b/>
        </w:rPr>
        <w:t>[</w:t>
      </w:r>
      <w:r w:rsidR="00B77D88">
        <w:rPr>
          <w:b/>
        </w:rPr>
        <w:t>2</w:t>
      </w:r>
      <w:r w:rsidRPr="000648A1">
        <w:rPr>
          <w:b/>
        </w:rPr>
        <w:t>]</w:t>
      </w:r>
      <w:r>
        <w:t>.</w:t>
      </w:r>
    </w:p>
    <w:p w14:paraId="0D6FABBA" w14:textId="77777777" w:rsidR="00B77D88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columns for “RelyX U200”</w:t>
      </w:r>
    </w:p>
    <w:p w14:paraId="26A626C5" w14:textId="0D240CEF" w:rsidR="00BD2784" w:rsidRDefault="00B77D88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columns for </w:t>
      </w:r>
      <w:r w:rsidR="00BD2784" w:rsidRPr="00764A0C">
        <w:rPr>
          <w:i/>
          <w:iCs/>
          <w:color w:val="3333FF"/>
        </w:rPr>
        <w:t>“TempBond NE”</w:t>
      </w:r>
    </w:p>
    <w:p w14:paraId="4F2A2709" w14:textId="77777777" w:rsidR="00BD2784" w:rsidRDefault="00BD2784" w:rsidP="00BD2784"/>
    <w:p w14:paraId="09DABD66" w14:textId="77777777" w:rsidR="00BD2784" w:rsidRDefault="00BD2784" w:rsidP="00BD2784"/>
    <w:p w14:paraId="27A0B651" w14:textId="2B8C9AF0" w:rsidR="00BD2784" w:rsidRDefault="00BD2784" w:rsidP="00BD2784">
      <w:pPr>
        <w:pStyle w:val="Narration"/>
        <w:numPr>
          <w:ilvl w:val="1"/>
          <w:numId w:val="3"/>
        </w:numPr>
      </w:pPr>
      <w:r>
        <w:t>The specimens luted with temporary cement after thermocycling showed the lowest shear bond strength values</w:t>
      </w:r>
      <w:r w:rsidR="00B77D88">
        <w:t xml:space="preserve"> compared to other groups</w:t>
      </w:r>
      <w:r>
        <w:t xml:space="preserve"> </w:t>
      </w:r>
      <w:r w:rsidRPr="000648A1">
        <w:rPr>
          <w:b/>
        </w:rPr>
        <w:t>[1]</w:t>
      </w:r>
      <w:r>
        <w:t>.</w:t>
      </w:r>
    </w:p>
    <w:p w14:paraId="5B7F071C" w14:textId="26C3A657" w:rsidR="00BD2784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“TempBond NE</w:t>
      </w:r>
      <w:r w:rsidR="00B77D88" w:rsidRPr="00764A0C">
        <w:rPr>
          <w:i/>
          <w:iCs/>
          <w:color w:val="3333FF"/>
        </w:rPr>
        <w:t>+</w:t>
      </w:r>
      <w:r w:rsidRPr="00764A0C">
        <w:rPr>
          <w:i/>
          <w:iCs/>
          <w:color w:val="3333FF"/>
        </w:rPr>
        <w:t>thermocycling”</w:t>
      </w:r>
      <w:r w:rsidR="00B77D88" w:rsidRPr="00764A0C">
        <w:rPr>
          <w:i/>
          <w:iCs/>
          <w:color w:val="3333FF"/>
        </w:rPr>
        <w:t xml:space="preserve"> column</w:t>
      </w:r>
    </w:p>
    <w:p w14:paraId="3340942A" w14:textId="77777777" w:rsidR="00BD2784" w:rsidRDefault="00BD2784" w:rsidP="00BD2784"/>
    <w:p w14:paraId="4F80E4AD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Thermocycling reduced the shear bond strength values for both cement types </w:t>
      </w:r>
      <w:r w:rsidRPr="000648A1">
        <w:rPr>
          <w:b/>
        </w:rPr>
        <w:t>[1]</w:t>
      </w:r>
      <w:r>
        <w:t>.</w:t>
      </w:r>
    </w:p>
    <w:p w14:paraId="1ED19D63" w14:textId="2402A37D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</w:t>
      </w:r>
      <w:r w:rsidR="00764A0C">
        <w:t>2</w:t>
      </w:r>
      <w:r>
        <w:t xml:space="preserve">. </w:t>
      </w:r>
      <w:r w:rsidRPr="00764A0C">
        <w:rPr>
          <w:i/>
          <w:iCs/>
          <w:color w:val="3333FF"/>
        </w:rPr>
        <w:t xml:space="preserve">Video editor: Highlight the </w:t>
      </w:r>
      <w:r w:rsidR="00764A0C" w:rsidRPr="00764A0C">
        <w:rPr>
          <w:i/>
          <w:iCs/>
          <w:color w:val="3333FF"/>
        </w:rPr>
        <w:t xml:space="preserve">columns </w:t>
      </w:r>
      <w:r w:rsidR="00764A0C" w:rsidRPr="00764A0C">
        <w:rPr>
          <w:i/>
          <w:iCs/>
          <w:color w:val="3333FF"/>
        </w:rPr>
        <w:t xml:space="preserve">“TempBond NE+thermocycling” </w:t>
      </w:r>
      <w:r w:rsidR="00764A0C" w:rsidRPr="00764A0C">
        <w:rPr>
          <w:i/>
          <w:iCs/>
          <w:color w:val="3333FF"/>
        </w:rPr>
        <w:t xml:space="preserve">and </w:t>
      </w:r>
      <w:r w:rsidR="00764A0C" w:rsidRPr="00764A0C">
        <w:rPr>
          <w:i/>
          <w:iCs/>
          <w:color w:val="3333FF"/>
        </w:rPr>
        <w:t>RelyX U200 + thermocycling</w:t>
      </w:r>
      <w:r w:rsidR="00764A0C">
        <w:t xml:space="preserve">” </w:t>
      </w:r>
    </w:p>
    <w:p w14:paraId="6A8F9EF4" w14:textId="77777777" w:rsidR="00BD2784" w:rsidRDefault="00BD2784" w:rsidP="00BD2784"/>
    <w:p w14:paraId="3B4EB1AB" w14:textId="77777777" w:rsidR="00BD2784" w:rsidRDefault="00BD2784" w:rsidP="00BD2784"/>
    <w:p w14:paraId="2139356C" w14:textId="77777777" w:rsidR="00764A0C" w:rsidRDefault="00764A0C" w:rsidP="00764A0C">
      <w:pPr>
        <w:pStyle w:val="Narration"/>
        <w:numPr>
          <w:ilvl w:val="1"/>
          <w:numId w:val="3"/>
        </w:numPr>
      </w:pPr>
      <w:r>
        <w:t xml:space="preserve">The sandblasted specimens luted with resin cement without thermocycling showed the highest shear bond strength values </w:t>
      </w:r>
      <w:r w:rsidRPr="000648A1">
        <w:rPr>
          <w:b/>
        </w:rPr>
        <w:t>[1]</w:t>
      </w:r>
      <w:r>
        <w:t>.</w:t>
      </w:r>
    </w:p>
    <w:p w14:paraId="2AC3341F" w14:textId="77777777" w:rsidR="00764A0C" w:rsidRDefault="00764A0C" w:rsidP="00764A0C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“Sandblasting” row under “RelyX U200 + no thermocycling” showing 25.134 value</w:t>
      </w:r>
    </w:p>
    <w:p w14:paraId="0382584F" w14:textId="3A531AD5" w:rsidR="00764A0C" w:rsidRDefault="00764A0C" w:rsidP="00764A0C">
      <w:pPr>
        <w:pStyle w:val="Narration"/>
        <w:ind w:firstLine="0"/>
      </w:pPr>
    </w:p>
    <w:p w14:paraId="2EA1DDD6" w14:textId="3FC4FF49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sulfuric acid–etched and laser-treated specimens demonstrated intermediate shear bond strength values </w:t>
      </w:r>
      <w:r w:rsidRPr="000648A1">
        <w:rPr>
          <w:b/>
        </w:rPr>
        <w:t>[1]</w:t>
      </w:r>
      <w:r>
        <w:t>.</w:t>
      </w:r>
    </w:p>
    <w:p w14:paraId="12C81DBB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rows labeled “Acid etching” and “Laser irradiation”</w:t>
      </w:r>
    </w:p>
    <w:p w14:paraId="2229513F" w14:textId="77777777" w:rsidR="00BD2784" w:rsidRDefault="00BD2784" w:rsidP="00BD2784"/>
    <w:p w14:paraId="261EAE36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untreated polyetheretherketone surfaces luted with temporary cement showed shear bond strength values comparable to or higher than the treated surfaces </w:t>
      </w:r>
      <w:r w:rsidRPr="000648A1">
        <w:rPr>
          <w:b/>
        </w:rPr>
        <w:t>[1]</w:t>
      </w:r>
      <w:r>
        <w:t>.</w:t>
      </w:r>
    </w:p>
    <w:p w14:paraId="020E1CAC" w14:textId="20816FC1" w:rsidR="00BD2784" w:rsidRPr="000648A1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“Control” row under </w:t>
      </w:r>
      <w:r w:rsidR="00764A0C" w:rsidRPr="00764A0C">
        <w:rPr>
          <w:i/>
          <w:iCs/>
          <w:color w:val="3333FF"/>
        </w:rPr>
        <w:t xml:space="preserve">both the </w:t>
      </w:r>
      <w:r w:rsidRPr="00764A0C">
        <w:rPr>
          <w:i/>
          <w:iCs/>
          <w:color w:val="3333FF"/>
        </w:rPr>
        <w:t xml:space="preserve"> “TempBond NE” columns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elen mert" w:date="2026-06-03T09:06:00Z" w:initials="sm">
    <w:p w14:paraId="3B872DA1" w14:textId="77777777" w:rsidR="00C04BD3" w:rsidRDefault="00C04BD3" w:rsidP="00C04BD3">
      <w:r>
        <w:rPr>
          <w:rStyle w:val="CommentReference"/>
        </w:rPr>
        <w:annotationRef/>
      </w:r>
      <w:r>
        <w:rPr>
          <w:lang w:val="x-none" w:eastAsia="x-none"/>
        </w:rPr>
        <w:t>This procedure may be illustrated using photographs.</w:t>
      </w:r>
    </w:p>
  </w:comment>
  <w:comment w:id="2" w:author="Poornima  G" w:date="2026-06-26T11:02:00Z" w:initials="PG">
    <w:p w14:paraId="2BC9AB85" w14:textId="77777777" w:rsidR="00764A0C" w:rsidRDefault="006F04F4" w:rsidP="00764A0C">
      <w:pPr>
        <w:pStyle w:val="CommentText"/>
      </w:pPr>
      <w:r>
        <w:rPr>
          <w:rStyle w:val="CommentReference"/>
        </w:rPr>
        <w:annotationRef/>
      </w:r>
      <w:r w:rsidR="00764A0C">
        <w:rPr>
          <w:b/>
          <w:bCs/>
          <w:color w:val="000000"/>
          <w:highlight w:val="yellow"/>
          <w:lang w:val="en-IN"/>
        </w:rPr>
        <w:t>Authors</w:t>
      </w:r>
      <w:r w:rsidR="00764A0C">
        <w:rPr>
          <w:color w:val="000000"/>
          <w:highlight w:val="yellow"/>
          <w:lang w:val="en-IN"/>
        </w:rPr>
        <w:t>: As per our guidelines, we cannot use photographs for the protocol video. The video needs to contain actions that demonstrate how to perform the protocol.</w:t>
      </w:r>
      <w:r w:rsidR="00764A0C">
        <w:rPr>
          <w:color w:val="000000"/>
          <w:highlight w:val="yellow"/>
          <w:lang w:val="en-IN"/>
        </w:rPr>
        <w:br/>
      </w:r>
      <w:r w:rsidR="00764A0C">
        <w:rPr>
          <w:b/>
          <w:bCs/>
          <w:color w:val="000000"/>
          <w:highlight w:val="yellow"/>
          <w:lang w:val="en-IN"/>
        </w:rPr>
        <w:t>We can accommodate only 1 or 2 photographs</w:t>
      </w:r>
      <w:r w:rsidR="00764A0C">
        <w:rPr>
          <w:color w:val="000000"/>
          <w:highlight w:val="yellow"/>
          <w:lang w:val="en-IN"/>
        </w:rPr>
        <w:br/>
        <w:t>We request that you perform these procedures live so that our videographer can film them.</w:t>
      </w:r>
      <w:r w:rsidR="00764A0C">
        <w:rPr>
          <w:color w:val="000000"/>
          <w:highlight w:val="yellow"/>
          <w:lang w:val="en-IN"/>
        </w:rPr>
        <w:br/>
      </w:r>
      <w:r w:rsidR="00764A0C">
        <w:rPr>
          <w:b/>
          <w:bCs/>
          <w:color w:val="000000"/>
          <w:highlight w:val="yellow"/>
          <w:lang w:val="en-IN"/>
        </w:rPr>
        <w:t>But</w:t>
      </w:r>
      <w:r w:rsidR="00764A0C">
        <w:rPr>
          <w:color w:val="000000"/>
          <w:highlight w:val="yellow"/>
          <w:lang w:val="en-IN"/>
        </w:rPr>
        <w:t xml:space="preserve"> if a live demonstration is not possible, we will have to delete sections 3 and 4 and instead show only text summarising the key steps in concise bullet points. But this will be our last resort. Please let me know how you wish to proceed.</w:t>
      </w:r>
    </w:p>
  </w:comment>
  <w:comment w:id="3" w:author="selen mert" w:date="2026-06-03T09:06:00Z" w:initials="sm">
    <w:p w14:paraId="745DA970" w14:textId="77777777" w:rsidR="00C04BD3" w:rsidRDefault="00C04BD3" w:rsidP="00C04BD3">
      <w:r>
        <w:rPr>
          <w:rStyle w:val="CommentReference"/>
        </w:rPr>
        <w:annotationRef/>
      </w:r>
      <w:r>
        <w:rPr>
          <w:lang w:val="x-none" w:eastAsia="x-none"/>
        </w:rPr>
        <w:t>This procedure may be illustrated using photographs of the testing setup and representative testing process.</w:t>
      </w:r>
    </w:p>
  </w:comment>
  <w:comment w:id="4" w:author="Poornima  G" w:date="2026-06-26T10:54:00Z" w:initials="PG">
    <w:p w14:paraId="37B2D99C" w14:textId="77777777" w:rsidR="0002711C" w:rsidRDefault="0002711C" w:rsidP="000271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As per our guidelines, we cannot use photographs for the protocol video. The video needs to contain actions that demonstrate how to perform the protocol.</w:t>
      </w:r>
    </w:p>
  </w:comment>
  <w:comment w:id="5" w:author="Poornima  G" w:date="2026-06-26T11:00:00Z" w:initials="PG">
    <w:p w14:paraId="0E12EC2F" w14:textId="77777777" w:rsidR="006F04F4" w:rsidRDefault="006F04F4" w:rsidP="006F04F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We request that you perform these procedures so that our videographer can film them.</w:t>
      </w:r>
      <w:r>
        <w:rPr>
          <w:highlight w:val="yellow"/>
          <w:lang w:val="en-IN"/>
        </w:rPr>
        <w:br/>
      </w:r>
      <w:r>
        <w:rPr>
          <w:highlight w:val="yellow"/>
          <w:lang w:val="en-IN"/>
        </w:rPr>
        <w:br/>
        <w:t>But if a live demonstration is not possible, we will have to delete sections 3 and 4 and instead show only text summarising the key steps in concise bullet points. But this will be our last resort. Please let me know how you wish to proceed.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872DA1" w15:done="0"/>
  <w15:commentEx w15:paraId="2BC9AB85" w15:paraIdParent="3B872DA1" w15:done="0"/>
  <w15:commentEx w15:paraId="745DA970" w15:done="0"/>
  <w15:commentEx w15:paraId="37B2D99C" w15:paraIdParent="745DA970" w15:done="0"/>
  <w15:commentEx w15:paraId="0E12EC2F" w15:paraIdParent="745DA97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2606D3" w16cex:dateUtc="2026-06-03T06:06:00Z"/>
  <w16cex:commentExtensible w16cex:durableId="3FB10D97" w16cex:dateUtc="2026-06-26T05:32:00Z"/>
  <w16cex:commentExtensible w16cex:durableId="552A7473" w16cex:dateUtc="2026-06-03T06:06:00Z"/>
  <w16cex:commentExtensible w16cex:durableId="12F7D9C3" w16cex:dateUtc="2026-06-26T05:24:00Z"/>
  <w16cex:commentExtensible w16cex:durableId="3EC6CEE9" w16cex:dateUtc="2026-06-26T05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872DA1" w16cid:durableId="412606D3"/>
  <w16cid:commentId w16cid:paraId="2BC9AB85" w16cid:durableId="3FB10D97"/>
  <w16cid:commentId w16cid:paraId="745DA970" w16cid:durableId="552A7473"/>
  <w16cid:commentId w16cid:paraId="37B2D99C" w16cid:durableId="12F7D9C3"/>
  <w16cid:commentId w16cid:paraId="0E12EC2F" w16cid:durableId="3EC6CE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1ACF" w14:textId="77777777" w:rsidR="002122A0" w:rsidRDefault="002122A0">
      <w:r>
        <w:separator/>
      </w:r>
    </w:p>
    <w:p w14:paraId="7FE86437" w14:textId="77777777" w:rsidR="002122A0" w:rsidRDefault="002122A0"/>
  </w:endnote>
  <w:endnote w:type="continuationSeparator" w:id="0">
    <w:p w14:paraId="35F073E3" w14:textId="77777777" w:rsidR="002122A0" w:rsidRDefault="002122A0">
      <w:r>
        <w:continuationSeparator/>
      </w:r>
    </w:p>
    <w:p w14:paraId="649A9471" w14:textId="77777777" w:rsidR="002122A0" w:rsidRDefault="00212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5075B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D307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64A0C">
      <w:rPr>
        <w:rFonts w:cstheme="minorHAnsi"/>
      </w:rPr>
      <w:t>June 26, 2026</w:t>
    </w:r>
    <w:r w:rsidR="00764A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7CE0A" w14:textId="77777777" w:rsidR="002122A0" w:rsidRDefault="002122A0">
      <w:r>
        <w:separator/>
      </w:r>
    </w:p>
    <w:p w14:paraId="29C80836" w14:textId="77777777" w:rsidR="002122A0" w:rsidRDefault="002122A0"/>
  </w:footnote>
  <w:footnote w:type="continuationSeparator" w:id="0">
    <w:p w14:paraId="7F34692B" w14:textId="77777777" w:rsidR="002122A0" w:rsidRDefault="002122A0">
      <w:r>
        <w:continuationSeparator/>
      </w:r>
    </w:p>
    <w:p w14:paraId="18B386CB" w14:textId="77777777" w:rsidR="002122A0" w:rsidRDefault="002122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FF5A9E" w:rsidR="00336C61" w:rsidRPr="006D3AC7" w:rsidRDefault="00336C61" w:rsidP="00764A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764A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len mert">
    <w15:presenceInfo w15:providerId="Windows Live" w15:userId="1a07e5b792974c74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11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2DE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2A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C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EA7"/>
    <w:rsid w:val="003F4B52"/>
    <w:rsid w:val="004018D8"/>
    <w:rsid w:val="004025BB"/>
    <w:rsid w:val="004034B6"/>
    <w:rsid w:val="004114EA"/>
    <w:rsid w:val="00414B4F"/>
    <w:rsid w:val="004150BE"/>
    <w:rsid w:val="00415EA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3C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B61"/>
    <w:rsid w:val="005E27DD"/>
    <w:rsid w:val="005E2B7E"/>
    <w:rsid w:val="005E5F20"/>
    <w:rsid w:val="005F0509"/>
    <w:rsid w:val="005F18A3"/>
    <w:rsid w:val="005F1ADF"/>
    <w:rsid w:val="005F428A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4F4"/>
    <w:rsid w:val="006F06AF"/>
    <w:rsid w:val="006F2681"/>
    <w:rsid w:val="00710EA3"/>
    <w:rsid w:val="0071156C"/>
    <w:rsid w:val="0071294C"/>
    <w:rsid w:val="00724E3B"/>
    <w:rsid w:val="00730D4A"/>
    <w:rsid w:val="00731E5D"/>
    <w:rsid w:val="00732DBA"/>
    <w:rsid w:val="00736CF8"/>
    <w:rsid w:val="00740CFB"/>
    <w:rsid w:val="007458C6"/>
    <w:rsid w:val="00745D4B"/>
    <w:rsid w:val="00746865"/>
    <w:rsid w:val="007474E4"/>
    <w:rsid w:val="00754306"/>
    <w:rsid w:val="007548F3"/>
    <w:rsid w:val="007574EC"/>
    <w:rsid w:val="00762E0F"/>
    <w:rsid w:val="00764A0C"/>
    <w:rsid w:val="0076691B"/>
    <w:rsid w:val="0077071A"/>
    <w:rsid w:val="007713F9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3072"/>
    <w:rsid w:val="008D52FB"/>
    <w:rsid w:val="008D5443"/>
    <w:rsid w:val="008D58EC"/>
    <w:rsid w:val="008D5CA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D8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78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BD3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02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B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FD8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D2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D2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D2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D2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D2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D2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8488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8E25A410AB47718738B424D9C60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A31F-35F9-4FCC-B8E8-F691A7178FC2}"/>
      </w:docPartPr>
      <w:docPartBody>
        <w:p w:rsidR="008E7280" w:rsidRDefault="00A25F87" w:rsidP="00A25F87">
          <w:pPr>
            <w:pStyle w:val="E18E25A410AB47718738B424D9C60E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538AFE1457435F8CBE2610F75B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09DA3-E5DF-425C-9F84-D0AC33CA037D}"/>
      </w:docPartPr>
      <w:docPartBody>
        <w:p w:rsidR="008E7280" w:rsidRDefault="00A25F87" w:rsidP="00A25F87">
          <w:pPr>
            <w:pStyle w:val="0F538AFE1457435F8CBE2610F75B00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2DBA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E7280"/>
    <w:rsid w:val="008F498E"/>
    <w:rsid w:val="009333F9"/>
    <w:rsid w:val="00937B16"/>
    <w:rsid w:val="009670EA"/>
    <w:rsid w:val="00976622"/>
    <w:rsid w:val="009E354D"/>
    <w:rsid w:val="00A12489"/>
    <w:rsid w:val="00A128CE"/>
    <w:rsid w:val="00A25F87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2704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0328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5021"/>
    <w:rsid w:val="00DF0B9C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18E25A410AB47718738B424D9C60E66">
    <w:name w:val="E18E25A410AB47718738B424D9C60E66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538AFE1457435F8CBE2610F75B002B">
    <w:name w:val="0F538AFE1457435F8CBE2610F75B002B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1584</Words>
  <Characters>9032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2026-06-26T05:52:00Z</dcterms:created>
  <dcterms:modified xsi:type="dcterms:W3CDTF">2026-06-26T05:52:00Z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