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7246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2784">
        <w:rPr>
          <w:rFonts w:eastAsia="Times New Roman" w:cstheme="minorHAnsi"/>
          <w:b/>
        </w:rPr>
        <w:t>71208</w:t>
      </w:r>
    </w:p>
    <w:p w14:paraId="2F6924E5" w14:textId="1234F08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2784">
        <w:rPr>
          <w:rFonts w:eastAsia="Times New Roman" w:cstheme="minorHAnsi"/>
          <w:b/>
        </w:rPr>
        <w:t>Poornima G</w:t>
      </w:r>
    </w:p>
    <w:p w14:paraId="6FB9233B" w14:textId="40676B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514B3" w:rsidRPr="006D3FE3">
          <w:rPr>
            <w:rStyle w:val="Hyperlink"/>
            <w:rFonts w:eastAsia="Times New Roman" w:cstheme="minorHAnsi"/>
            <w:b/>
          </w:rPr>
          <w:t>https://review.jove.com/account/file-uploader?src=21718488</w:t>
        </w:r>
      </w:hyperlink>
      <w:r w:rsidR="00E514B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CA85E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2784" w:rsidRPr="00BD2784">
        <w:rPr>
          <w:rStyle w:val="ArticleTitle"/>
          <w:rFonts w:cstheme="minorHAnsi"/>
        </w:rPr>
        <w:t>Standardized Protocol to Evaluate the Effect of Surface Treatments, Luting Cements, and Thermocycling on PEEK–Composite Bond Strength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919FC8" w14:textId="77777777" w:rsidR="00BD2784" w:rsidRPr="00BD2784" w:rsidRDefault="00BD2784" w:rsidP="00BD2784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IN"/>
        </w:rPr>
      </w:pPr>
      <w:r w:rsidRPr="00BD2784">
        <w:rPr>
          <w:rFonts w:eastAsia="Times New Roman" w:cstheme="minorHAnsi"/>
          <w:b/>
          <w:sz w:val="28"/>
          <w:szCs w:val="28"/>
          <w:lang w:val="en-IN"/>
        </w:rPr>
        <w:t>Kilinc Zeynep Cigdem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</w:t>
      </w:r>
      <w:r w:rsidRPr="00BD2784">
        <w:rPr>
          <w:rFonts w:eastAsia="Times New Roman" w:cstheme="minorHAnsi"/>
          <w:b/>
          <w:sz w:val="28"/>
          <w:szCs w:val="28"/>
          <w:lang w:val="en-IN"/>
        </w:rPr>
        <w:t>, Dikbas Idil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2</w:t>
      </w:r>
      <w:r w:rsidRPr="00BD2784">
        <w:rPr>
          <w:rFonts w:eastAsia="Times New Roman" w:cstheme="minorHAnsi"/>
          <w:b/>
          <w:sz w:val="28"/>
          <w:szCs w:val="28"/>
          <w:lang w:val="en-IN"/>
        </w:rPr>
        <w:t>, Erkul Selen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2</w:t>
      </w:r>
    </w:p>
    <w:p w14:paraId="1CABBC9C" w14:textId="77777777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</w:p>
    <w:p w14:paraId="036F7761" w14:textId="5A2DEE84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</w:rPr>
      </w:pPr>
      <w:r w:rsidRPr="00E514B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514B3">
        <w:rPr>
          <w:rFonts w:eastAsia="Times New Roman" w:cstheme="minorHAnsi"/>
          <w:bCs/>
          <w:sz w:val="28"/>
          <w:szCs w:val="28"/>
        </w:rPr>
        <w:t>Private practice, Bagdat cad. No:300, Istanbul</w:t>
      </w:r>
    </w:p>
    <w:p w14:paraId="45E152D1" w14:textId="36C5B7EE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</w:rPr>
      </w:pPr>
      <w:r w:rsidRPr="00E514B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514B3">
        <w:rPr>
          <w:rFonts w:eastAsia="Times New Roman" w:cstheme="minorHAnsi"/>
          <w:bCs/>
          <w:sz w:val="28"/>
          <w:szCs w:val="28"/>
        </w:rPr>
        <w:t>Department of Prosthodontics, Faculty of Dentistry, Yeditepe University</w:t>
      </w:r>
    </w:p>
    <w:p w14:paraId="174431D3" w14:textId="77777777" w:rsidR="00E514B3" w:rsidRPr="00BD2784" w:rsidRDefault="00E514B3" w:rsidP="00BD278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D037A72" w14:textId="5B49503F" w:rsidR="00BD2784" w:rsidRPr="00BD2784" w:rsidRDefault="00BD2784" w:rsidP="00BD278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2E2F6AC" w:rsidR="004E0C5A" w:rsidRDefault="00E514B3" w:rsidP="004E0C5A">
      <w:pPr>
        <w:outlineLvl w:val="0"/>
        <w:rPr>
          <w:rFonts w:eastAsia="Times New Roman" w:cstheme="minorHAnsi"/>
        </w:rPr>
      </w:pPr>
      <w:bookmarkStart w:id="0" w:name="_Hlk25233958"/>
      <w:r w:rsidRPr="00E514B3">
        <w:rPr>
          <w:rFonts w:eastAsia="Times New Roman" w:cstheme="minorHAnsi"/>
        </w:rPr>
        <w:t xml:space="preserve">Selen Erkul </w:t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  <w:t>selen.mert@yeditepe.edu.tr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AED73CB" w14:textId="77777777" w:rsidR="00E514B3" w:rsidRPr="00E514B3" w:rsidRDefault="00E514B3" w:rsidP="00E514B3">
      <w:pPr>
        <w:outlineLvl w:val="0"/>
        <w:rPr>
          <w:rFonts w:cstheme="minorHAnsi"/>
          <w:bCs/>
        </w:rPr>
      </w:pPr>
      <w:r w:rsidRPr="00E514B3">
        <w:rPr>
          <w:rFonts w:cstheme="minorHAnsi"/>
          <w:bCs/>
        </w:rPr>
        <w:t>Kilinc Zeynep Cigdem</w:t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  <w:t>zeynepklnc@gmail.com</w:t>
      </w:r>
    </w:p>
    <w:p w14:paraId="12916965" w14:textId="32803054" w:rsidR="003B5E26" w:rsidRPr="004F6CCB" w:rsidRDefault="00E514B3" w:rsidP="00E514B3">
      <w:pPr>
        <w:outlineLvl w:val="0"/>
        <w:rPr>
          <w:rFonts w:cstheme="minorHAnsi"/>
          <w:bCs/>
        </w:rPr>
      </w:pPr>
      <w:r w:rsidRPr="00E514B3">
        <w:rPr>
          <w:rFonts w:cstheme="minorHAnsi"/>
          <w:bCs/>
        </w:rPr>
        <w:t>Dikbas Idil</w:t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  <w:t xml:space="preserve">idil.dikbas@yeditepe.edu.tr </w:t>
      </w:r>
    </w:p>
    <w:p w14:paraId="397108F7" w14:textId="77777777" w:rsidR="00E514B3" w:rsidRDefault="00E514B3" w:rsidP="00E514B3">
      <w:pPr>
        <w:outlineLvl w:val="0"/>
        <w:rPr>
          <w:rFonts w:eastAsia="Times New Roman" w:cstheme="minorHAnsi"/>
        </w:rPr>
      </w:pPr>
      <w:r w:rsidRPr="00E514B3">
        <w:rPr>
          <w:rFonts w:eastAsia="Times New Roman" w:cstheme="minorHAnsi"/>
        </w:rPr>
        <w:t xml:space="preserve">Selen Erkul </w:t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  <w:t>selen.mert@yeditepe.edu.tr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17B1A6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BD2784">
        <w:rPr>
          <w:rFonts w:cstheme="minorHAnsi"/>
          <w:bCs/>
          <w:sz w:val="22"/>
          <w:szCs w:val="22"/>
        </w:rPr>
        <w:t>19</w:t>
      </w:r>
    </w:p>
    <w:p w14:paraId="5AAC9C6C" w14:textId="7196428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BD2784">
        <w:rPr>
          <w:rFonts w:cstheme="minorHAnsi"/>
          <w:bCs/>
          <w:sz w:val="22"/>
          <w:szCs w:val="22"/>
        </w:rPr>
        <w:t xml:space="preserve">29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ED1F90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820A3E6" w:rsidR="00CE10F2" w:rsidRDefault="00E514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514B3">
        <w:rPr>
          <w:rFonts w:cstheme="minorHAnsi"/>
          <w:b/>
          <w:bCs/>
        </w:rPr>
        <w:t>Cementing Composite Resin Discs to Treated PEEK Surfaces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725A059" w:rsidR="00125924" w:rsidRPr="00B07A3B" w:rsidRDefault="00255DC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55DCD">
        <w:rPr>
          <w:rFonts w:cstheme="minorHAnsi"/>
          <w:color w:val="7030A0"/>
        </w:rPr>
        <w:t>To begin, obtain poly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>ether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>ether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 xml:space="preserve">ketone </w:t>
      </w:r>
      <w:r w:rsidRPr="00255DCD">
        <w:rPr>
          <w:rFonts w:cstheme="minorHAnsi"/>
          <w:color w:val="7030A0"/>
        </w:rPr>
        <w:t xml:space="preserve">or </w:t>
      </w:r>
      <w:r w:rsidRPr="00255DCD">
        <w:rPr>
          <w:rFonts w:cstheme="minorHAnsi"/>
          <w:color w:val="7030A0"/>
        </w:rPr>
        <w:t>PEEK</w:t>
      </w:r>
      <w:r w:rsidRPr="00255DCD">
        <w:rPr>
          <w:rFonts w:cstheme="minorHAnsi"/>
          <w:color w:val="7030A0"/>
        </w:rPr>
        <w:t xml:space="preserve"> </w:t>
      </w:r>
      <w:r w:rsidRPr="00255DCD">
        <w:rPr>
          <w:rFonts w:cstheme="minorHAnsi"/>
          <w:i/>
          <w:iCs/>
          <w:color w:val="EE0000"/>
        </w:rPr>
        <w:t>(</w:t>
      </w:r>
      <w:r>
        <w:rPr>
          <w:rFonts w:cstheme="minorHAnsi"/>
          <w:i/>
          <w:iCs/>
          <w:color w:val="EE0000"/>
        </w:rPr>
        <w:t>peak</w:t>
      </w:r>
      <w:r w:rsidRPr="00255DCD">
        <w:rPr>
          <w:rFonts w:cstheme="minorHAnsi"/>
          <w:i/>
          <w:iCs/>
          <w:color w:val="EE0000"/>
        </w:rPr>
        <w:t>)</w:t>
      </w:r>
      <w:r w:rsidRPr="00255DCD">
        <w:rPr>
          <w:rFonts w:cstheme="minorHAnsi"/>
        </w:rPr>
        <w:t xml:space="preserve"> </w:t>
      </w:r>
      <w:r w:rsidRPr="00255DCD">
        <w:rPr>
          <w:rFonts w:cstheme="minorHAnsi"/>
          <w:color w:val="7030A0"/>
        </w:rPr>
        <w:t xml:space="preserve">disc specimens </w:t>
      </w:r>
      <w:r w:rsidRPr="00255DCD">
        <w:rPr>
          <w:rFonts w:cstheme="minorHAnsi"/>
          <w:b/>
          <w:bCs/>
          <w:color w:val="7030A0"/>
        </w:rPr>
        <w:t>[1]</w:t>
      </w:r>
      <w:r w:rsidRPr="00255DCD">
        <w:rPr>
          <w:rFonts w:cstheme="minorHAnsi"/>
          <w:color w:val="7030A0"/>
        </w:rPr>
        <w:t xml:space="preserve"> </w:t>
      </w:r>
      <w:r w:rsidRPr="00255DCD">
        <w:rPr>
          <w:rFonts w:cstheme="minorHAnsi"/>
          <w:color w:val="7030A0"/>
        </w:rPr>
        <w:t>and surface-treat them according to the designated protocols</w:t>
      </w:r>
      <w:r w:rsidRPr="00255DCD">
        <w:rPr>
          <w:rFonts w:cstheme="minorHAnsi"/>
          <w:color w:val="7030A0"/>
        </w:rPr>
        <w:t xml:space="preserve"> </w:t>
      </w:r>
      <w:r w:rsidRPr="00255DCD">
        <w:rPr>
          <w:rFonts w:cstheme="minorHAnsi"/>
          <w:b/>
          <w:bCs/>
          <w:color w:val="7030A0"/>
        </w:rPr>
        <w:t>[2 and 3]</w:t>
      </w:r>
      <w:r w:rsidRPr="00255DCD">
        <w:rPr>
          <w:rFonts w:cstheme="minorHAnsi"/>
          <w:color w:val="7030A0"/>
        </w:rPr>
        <w:t>.</w:t>
      </w:r>
      <w:r w:rsidRPr="00255DCD">
        <w:rPr>
          <w:rFonts w:cstheme="minorHAnsi"/>
          <w:color w:val="7030A0"/>
        </w:rPr>
        <w:t xml:space="preserve"> </w:t>
      </w:r>
      <w:r w:rsidRPr="00255DCD">
        <w:rPr>
          <w:rFonts w:cstheme="minorHAnsi"/>
          <w:color w:val="7030A0"/>
        </w:rPr>
        <w:t>Prepare standardized indirect composite resin discs to bond them to the treated PEEK surfaces using different luting cements</w:t>
      </w:r>
      <w:r w:rsidRPr="00255DCD">
        <w:rPr>
          <w:rFonts w:cstheme="minorHAnsi"/>
          <w:color w:val="7030A0"/>
        </w:rPr>
        <w:t xml:space="preserve"> </w:t>
      </w:r>
      <w:r w:rsidRPr="00255DCD">
        <w:rPr>
          <w:rFonts w:cstheme="minorHAnsi"/>
          <w:b/>
          <w:bCs/>
          <w:color w:val="7030A0"/>
        </w:rPr>
        <w:t>[4]</w:t>
      </w:r>
      <w:r w:rsidRPr="00255DCD">
        <w:rPr>
          <w:rFonts w:cstheme="minorHAnsi"/>
          <w:color w:val="7030A0"/>
        </w:rPr>
        <w:t>.</w:t>
      </w:r>
    </w:p>
    <w:p w14:paraId="7605F9E4" w14:textId="087C1A1C" w:rsidR="00C34F4C" w:rsidRPr="00255DC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55DCD">
        <w:rPr>
          <w:rFonts w:cstheme="minorHAnsi"/>
        </w:rPr>
        <w:t>Talent placing the PEEK discs on the work surface.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3D1B94E0" w14:textId="77B844A1" w:rsidR="00255DCD" w:rsidRDefault="00255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sandblasting the disc. </w:t>
      </w:r>
      <w:r w:rsidRPr="00255DCD">
        <w:rPr>
          <w:rFonts w:cstheme="minorHAnsi"/>
          <w:b/>
          <w:bCs/>
          <w:highlight w:val="yellow"/>
        </w:rPr>
        <w:t>Authors</w:t>
      </w:r>
      <w:r w:rsidRPr="00255DCD">
        <w:rPr>
          <w:rFonts w:cstheme="minorHAnsi"/>
          <w:highlight w:val="yellow"/>
        </w:rPr>
        <w:t>: This is a representative shot only</w:t>
      </w:r>
    </w:p>
    <w:p w14:paraId="02A619E7" w14:textId="56E8E0F9" w:rsidR="00255DCD" w:rsidRDefault="00255DCD" w:rsidP="00255DCD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</w:t>
      </w:r>
      <w:r>
        <w:rPr>
          <w:rFonts w:cstheme="minorHAnsi"/>
          <w:b/>
          <w:bCs/>
          <w:i/>
          <w:iCs/>
          <w:color w:val="0000FF"/>
          <w:lang w:val="en-IN"/>
        </w:rPr>
        <w:t xml:space="preserve"> editor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show 2.1.2 and 2.1.3 using split screen</w:t>
      </w:r>
    </w:p>
    <w:p w14:paraId="580730A3" w14:textId="38AD2733" w:rsidR="00255DCD" w:rsidRDefault="00255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TEXT ON PLAIN BACKGROUND </w:t>
      </w:r>
    </w:p>
    <w:p w14:paraId="76ECF359" w14:textId="5CAFD35A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  <w:b/>
          <w:bCs/>
        </w:rPr>
      </w:pPr>
      <w:r w:rsidRPr="00255DCD">
        <w:rPr>
          <w:rFonts w:cstheme="minorHAnsi"/>
          <w:b/>
          <w:bCs/>
        </w:rPr>
        <w:t xml:space="preserve">Four </w:t>
      </w:r>
      <w:r w:rsidRPr="00255DCD">
        <w:rPr>
          <w:rFonts w:cstheme="minorHAnsi"/>
          <w:b/>
          <w:bCs/>
        </w:rPr>
        <w:t>surface treatment groups:</w:t>
      </w:r>
    </w:p>
    <w:p w14:paraId="7B4081BC" w14:textId="77777777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 xml:space="preserve">Untreated (Control) </w:t>
      </w:r>
    </w:p>
    <w:p w14:paraId="74BDF26B" w14:textId="77777777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 xml:space="preserve">Sandblasted </w:t>
      </w:r>
    </w:p>
    <w:p w14:paraId="3609ED14" w14:textId="6288D18E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>Sulfuric acid</w:t>
      </w:r>
      <w:r>
        <w:rPr>
          <w:rFonts w:cstheme="minorHAnsi"/>
        </w:rPr>
        <w:t>-</w:t>
      </w:r>
      <w:r w:rsidRPr="00255DCD">
        <w:rPr>
          <w:rFonts w:cstheme="minorHAnsi"/>
        </w:rPr>
        <w:t xml:space="preserve">etched </w:t>
      </w:r>
    </w:p>
    <w:p w14:paraId="35D8FBFF" w14:textId="0D65A820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>Erbium-doped Yttrium Aluminum Garnet laser</w:t>
      </w:r>
      <w:r>
        <w:rPr>
          <w:rFonts w:cstheme="minorHAnsi"/>
        </w:rPr>
        <w:t>-</w:t>
      </w:r>
      <w:r w:rsidRPr="00255DCD">
        <w:rPr>
          <w:rFonts w:cstheme="minorHAnsi"/>
        </w:rPr>
        <w:t>treated</w:t>
      </w:r>
    </w:p>
    <w:p w14:paraId="0E90F4B2" w14:textId="45121127" w:rsidR="00255DCD" w:rsidRPr="00B07A3B" w:rsidRDefault="00255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the talent showing the prepared indirect composite resin discs.</w:t>
      </w:r>
      <w:r>
        <w:rPr>
          <w:rFonts w:cstheme="minorHAnsi"/>
        </w:rPr>
        <w:br/>
      </w:r>
    </w:p>
    <w:p w14:paraId="6E8691A1" w14:textId="110AE4AD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Pr="002533B2">
        <w:rPr>
          <w:lang w:eastAsia="en-IN"/>
        </w:rPr>
        <w:t>ivide each surface treatment group into zinc oxide non-eugenol cement and self-adhesive resin cement</w:t>
      </w:r>
      <w:r>
        <w:rPr>
          <w:lang w:eastAsia="en-IN"/>
        </w:rPr>
        <w:t xml:space="preserve"> groups</w:t>
      </w:r>
      <w:r w:rsidRPr="002533B2">
        <w:rPr>
          <w:lang w:eastAsia="en-IN"/>
        </w:rPr>
        <w:t xml:space="preserve">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3B8DB09E" w14:textId="03674FB0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separating </w:t>
      </w:r>
      <w:r>
        <w:rPr>
          <w:lang w:val="en-IN" w:eastAsia="en-IN"/>
        </w:rPr>
        <w:t xml:space="preserve">PEEK discs into 2 containers labelled as </w:t>
      </w:r>
      <w:r w:rsidRPr="002533B2">
        <w:rPr>
          <w:lang w:eastAsia="en-IN"/>
        </w:rPr>
        <w:t>zinc oxide non-eugenol cement and self-adhesive resin cement</w:t>
      </w:r>
      <w:r w:rsidRPr="002533B2">
        <w:rPr>
          <w:lang w:val="en-IN" w:eastAsia="en-IN"/>
        </w:rPr>
        <w:t>.</w:t>
      </w:r>
    </w:p>
    <w:p w14:paraId="45BD833A" w14:textId="0F2C83EE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lastRenderedPageBreak/>
        <w:t xml:space="preserve">For the zinc oxide non-eugenol cement, dispense equal lengths of the base and catalyst pastes onto a mixing pad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. Mix for approximately 20 seconds until a homogeneous consistency is achieved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 xml:space="preserve">. Using a spatula, apply the mixed cement to the treated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with gentle pressure to minimize air entrapment </w:t>
      </w:r>
      <w:r w:rsidRPr="002533B2">
        <w:rPr>
          <w:b/>
          <w:bCs/>
          <w:lang w:eastAsia="en-IN"/>
        </w:rPr>
        <w:t>[3]</w:t>
      </w:r>
      <w:r w:rsidRPr="002533B2">
        <w:rPr>
          <w:lang w:eastAsia="en-IN"/>
        </w:rPr>
        <w:t>.</w:t>
      </w:r>
    </w:p>
    <w:p w14:paraId="12601C25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dispensing equal lengths of the base and catalyst pastes onto a mixing pad.</w:t>
      </w:r>
    </w:p>
    <w:p w14:paraId="0C246347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mixing the cement pastes on the mixing pad.</w:t>
      </w:r>
    </w:p>
    <w:p w14:paraId="6B01583B" w14:textId="30D2437A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applying the mixed cement to the treated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 with a spatula.</w:t>
      </w:r>
    </w:p>
    <w:p w14:paraId="0664AC00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2DA2CD8A" w14:textId="1FC2C52D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self-adhesive resin cement, attach an automix tip to the syringe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 and dispense a small initial amount to ensure proper mixing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 xml:space="preserve">. Then, apply the cement directly to the treated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while keeping the tip in contact to maintain continuous flow and reduce air entrapment </w:t>
      </w:r>
      <w:r w:rsidRPr="002533B2">
        <w:rPr>
          <w:b/>
          <w:bCs/>
          <w:lang w:eastAsia="en-IN"/>
        </w:rPr>
        <w:t>[3]</w:t>
      </w:r>
      <w:r w:rsidRPr="002533B2">
        <w:rPr>
          <w:lang w:eastAsia="en-IN"/>
        </w:rPr>
        <w:t xml:space="preserve">. Cover the entire bonding area with a uniform layer </w:t>
      </w:r>
      <w:r w:rsidRPr="002533B2">
        <w:rPr>
          <w:b/>
          <w:bCs/>
          <w:lang w:eastAsia="en-IN"/>
        </w:rPr>
        <w:t>[4]</w:t>
      </w:r>
      <w:r w:rsidRPr="002533B2">
        <w:rPr>
          <w:lang w:eastAsia="en-IN"/>
        </w:rPr>
        <w:t>.</w:t>
      </w:r>
    </w:p>
    <w:p w14:paraId="59B3F595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attaching an automix tip to the syringe.</w:t>
      </w:r>
    </w:p>
    <w:p w14:paraId="67E135C9" w14:textId="7D2459CF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dispensing a small initial amount of the self-adhesive resin cement.</w:t>
      </w:r>
      <w:r>
        <w:rPr>
          <w:lang w:val="en-IN" w:eastAsia="en-IN"/>
        </w:rPr>
        <w:t xml:space="preserve"> </w:t>
      </w:r>
      <w:r w:rsidRPr="00BD2784">
        <w:rPr>
          <w:b/>
          <w:bCs/>
          <w:highlight w:val="yellow"/>
          <w:lang w:val="en-IN" w:eastAsia="en-IN"/>
        </w:rPr>
        <w:t>Authors</w:t>
      </w:r>
      <w:r w:rsidRPr="00BD2784">
        <w:rPr>
          <w:highlight w:val="yellow"/>
          <w:lang w:val="en-IN" w:eastAsia="en-IN"/>
        </w:rPr>
        <w:t>: What will you check this on first?</w:t>
      </w:r>
    </w:p>
    <w:p w14:paraId="45D945FF" w14:textId="0BDB9942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applying the self-adhesive resin cement directly to the treated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surface.</w:t>
      </w:r>
    </w:p>
    <w:p w14:paraId="3B5F29A5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covering the entire bonding area with a uniform layer.</w:t>
      </w:r>
    </w:p>
    <w:p w14:paraId="6F34DF35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4CCD68E5" w14:textId="62037C7C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Position the composite disc centrally onto the cement-covered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using visual alignment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. Apply a standardized load to ensure consistent seating and cement thickness while avoiding lateral movement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>.</w:t>
      </w:r>
    </w:p>
    <w:p w14:paraId="7F3DFDBE" w14:textId="2E2D1D00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positioning the composite disc centrally on the cement-covered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surface.</w:t>
      </w:r>
    </w:p>
    <w:p w14:paraId="083C5917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applying a standardized load without lateral movement.</w:t>
      </w:r>
    </w:p>
    <w:p w14:paraId="47CE47FB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0E326C99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Apply a constant vertical load of 500 grams for 10 seconds to standardize cement thickness and ensure uniform adaptation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3F7CE79F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applying a constant vertical load to the specimen.</w:t>
      </w:r>
    </w:p>
    <w:p w14:paraId="1C59E9C8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35CEA7E3" w14:textId="77777777" w:rsidR="00BD2784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Remove excess cement from the margins using a microbrush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540B833C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removing excess cement from the margins with a microbrush.</w:t>
      </w:r>
    </w:p>
    <w:p w14:paraId="22F30031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58B6717B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lastRenderedPageBreak/>
        <w:t xml:space="preserve">For the zinc oxide non-eugenol cement, allow a setting time of 6 minutes under the applied load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6A2C6FF8" w14:textId="51AD2A76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keeping the zinc oxide non-eugenol cement specimen </w:t>
      </w:r>
      <w:r>
        <w:rPr>
          <w:lang w:val="en-IN" w:eastAsia="en-IN"/>
        </w:rPr>
        <w:t xml:space="preserve">kept </w:t>
      </w:r>
      <w:r w:rsidRPr="002533B2">
        <w:rPr>
          <w:lang w:val="en-IN" w:eastAsia="en-IN"/>
        </w:rPr>
        <w:t>under the applied load</w:t>
      </w:r>
      <w:r>
        <w:rPr>
          <w:lang w:val="en-IN" w:eastAsia="en-IN"/>
        </w:rPr>
        <w:t xml:space="preserve"> aside</w:t>
      </w:r>
      <w:r w:rsidRPr="002533B2">
        <w:rPr>
          <w:lang w:val="en-IN" w:eastAsia="en-IN"/>
        </w:rPr>
        <w:t>.</w:t>
      </w:r>
    </w:p>
    <w:p w14:paraId="500D8965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45D079B3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self-adhesive resin cement, polymerize with a light-curing device from all directions for a total of 80 seconds at a distance of 5 millimeters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69D9A47D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polymerizing the self-adhesive resin cement specimen with a light-curing device.</w:t>
      </w:r>
    </w:p>
    <w:p w14:paraId="2BEC4AE8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34743BF5" w14:textId="0E2CCBB6" w:rsidR="00BD2784" w:rsidRDefault="00E514B3" w:rsidP="00BD27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514B3">
        <w:rPr>
          <w:rFonts w:cstheme="minorHAnsi"/>
          <w:b/>
          <w:bCs/>
        </w:rPr>
        <w:t>Thermocycling PEEK–Composite Assemblies</w:t>
      </w:r>
    </w:p>
    <w:p w14:paraId="6A2CF8F3" w14:textId="77777777" w:rsidR="00BD2784" w:rsidRDefault="00BD2784" w:rsidP="00BD278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52696214"/>
          <w:placeholder>
            <w:docPart w:val="0F538AFE1457435F8CBE2610F75B002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033CB5E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7DC5742A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334BCC09" w14:textId="441E4DD9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Divide each cement subgroup into two additional subgroups </w:t>
      </w:r>
      <w:r>
        <w:rPr>
          <w:lang w:eastAsia="en-IN"/>
        </w:rPr>
        <w:t>and subject the samples from one of the groups to</w:t>
      </w:r>
      <w:r w:rsidRPr="002533B2">
        <w:rPr>
          <w:lang w:eastAsia="en-IN"/>
        </w:rPr>
        <w:t xml:space="preserve"> thermocycling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7DDF38DA" w14:textId="452F3290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dividing each cement subgroup into thermocycling and non-thermocycling subgroups.</w:t>
      </w:r>
    </w:p>
    <w:p w14:paraId="0820A187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7794FD40" w14:textId="72A9EAAE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>Subject specimens in the thermocycling group to 5,500 cycles between 5 and 55 degrees Celsius</w:t>
      </w:r>
      <w:r>
        <w:rPr>
          <w:lang w:eastAsia="en-IN"/>
        </w:rPr>
        <w:t xml:space="preserve"> </w:t>
      </w:r>
      <w:r w:rsidRPr="002533B2">
        <w:rPr>
          <w:lang w:eastAsia="en-IN"/>
        </w:rPr>
        <w:t xml:space="preserve">using a thermocycling device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29C47C68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placing the thermocycling group specimens into the thermocycling device.</w:t>
      </w:r>
    </w:p>
    <w:p w14:paraId="55006D2E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71E57ADE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Set the dwell time in each bath to 30 seconds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 and set the transfer time between baths to 2 seconds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>.</w:t>
      </w:r>
    </w:p>
    <w:p w14:paraId="0BA795BB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setting the dwell time on the thermocycling device.</w:t>
      </w:r>
    </w:p>
    <w:p w14:paraId="3727DCCF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adjusting the transfer time on the thermocycling device.</w:t>
      </w:r>
    </w:p>
    <w:p w14:paraId="43AEE719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0F4EBBAE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Maintain identical cycling conditions for all specimens throughout the procedure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5A82CAD1" w14:textId="0BBE39B2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showing the </w:t>
      </w:r>
      <w:r w:rsidRPr="002533B2">
        <w:rPr>
          <w:lang w:val="en-IN" w:eastAsia="en-IN"/>
        </w:rPr>
        <w:t>identical cycling conditions for all specimens</w:t>
      </w:r>
      <w:r>
        <w:rPr>
          <w:lang w:val="en-IN" w:eastAsia="en-IN"/>
        </w:rPr>
        <w:t xml:space="preserve"> slots</w:t>
      </w:r>
      <w:r w:rsidRPr="002533B2">
        <w:rPr>
          <w:lang w:val="en-IN" w:eastAsia="en-IN"/>
        </w:rPr>
        <w:t>.</w:t>
      </w:r>
    </w:p>
    <w:p w14:paraId="01772797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3FA75C40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0943D648" w14:textId="544520BF" w:rsidR="00BD2784" w:rsidRDefault="00E514B3" w:rsidP="00BD27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514B3">
        <w:rPr>
          <w:rFonts w:cstheme="minorHAnsi"/>
          <w:b/>
          <w:bCs/>
        </w:rPr>
        <w:lastRenderedPageBreak/>
        <w:t>Shear Bond Strength Testing</w:t>
      </w:r>
    </w:p>
    <w:p w14:paraId="0A804647" w14:textId="77777777" w:rsidR="00BD2784" w:rsidRDefault="00BD2784" w:rsidP="00BD278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E18E25A410AB47718738B424D9C60E6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40E7000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31B75089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66AB8E23" w14:textId="1EE57558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Embed each cemented </w:t>
      </w:r>
      <w:r>
        <w:rPr>
          <w:lang w:eastAsia="en-IN"/>
        </w:rPr>
        <w:t>PEEK</w:t>
      </w:r>
      <w:r w:rsidRPr="002533B2">
        <w:rPr>
          <w:lang w:eastAsia="en-IN"/>
        </w:rPr>
        <w:t xml:space="preserve">–cement–composite assembly in self-curing acrylic resin using stainless steel molds measuring 15 millimeters in diameter and 15 millimeters in height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5E78C93A" w14:textId="5CDBF226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embedding the cemented polyetheretherketone–cement–composite assembly in self-curing acrylic resin using stainless steel molds.</w:t>
      </w:r>
    </w:p>
    <w:p w14:paraId="0E401A2E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5ACCA137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Mount each specimen in the universal testing machine using a custom jig to ensure stable positioning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7751B170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mounting the specimen in the universal testing machine with a custom jig.</w:t>
      </w:r>
    </w:p>
    <w:p w14:paraId="43D29EE7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14111C90" w14:textId="0586170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Align the loading blade parallel to the bonding interface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 and position it as close </w:t>
      </w:r>
      <w:r>
        <w:rPr>
          <w:lang w:eastAsia="en-IN"/>
        </w:rPr>
        <w:t xml:space="preserve">to the interface as possible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>.</w:t>
      </w:r>
    </w:p>
    <w:p w14:paraId="6F8171FD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aligning the loading blade parallel to the bonding interface.</w:t>
      </w:r>
    </w:p>
    <w:p w14:paraId="53FEE128" w14:textId="422C85A0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adjusting the </w:t>
      </w:r>
      <w:r w:rsidRPr="002533B2">
        <w:rPr>
          <w:lang w:val="en-IN" w:eastAsia="en-IN"/>
        </w:rPr>
        <w:t xml:space="preserve">positioning </w:t>
      </w:r>
      <w:r>
        <w:rPr>
          <w:lang w:val="en-IN" w:eastAsia="en-IN"/>
        </w:rPr>
        <w:t>such that the</w:t>
      </w:r>
      <w:r w:rsidRPr="002533B2">
        <w:rPr>
          <w:lang w:val="en-IN" w:eastAsia="en-IN"/>
        </w:rPr>
        <w:t xml:space="preserve"> blade </w:t>
      </w:r>
      <w:r>
        <w:rPr>
          <w:lang w:val="en-IN" w:eastAsia="en-IN"/>
        </w:rPr>
        <w:t xml:space="preserve">is </w:t>
      </w:r>
      <w:r w:rsidRPr="002533B2">
        <w:rPr>
          <w:lang w:val="en-IN" w:eastAsia="en-IN"/>
        </w:rPr>
        <w:t>close to the interface.</w:t>
      </w:r>
    </w:p>
    <w:p w14:paraId="271EF846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7410AB3F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Apply shear force at a crosshead speed of 1 millimeter per minute until failure occurs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3E86896C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applying shear force to the specimen in the universal testing machine.</w:t>
      </w:r>
    </w:p>
    <w:p w14:paraId="36FD7E60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4A52BFB0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Record the maximum load at failure in newtons for each specimen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63909967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recording the maximum load at failure.</w:t>
      </w:r>
    </w:p>
    <w:p w14:paraId="529E8830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3D59F5C9" w14:textId="67E026FE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Pr="002533B2">
        <w:rPr>
          <w:lang w:eastAsia="en-IN"/>
        </w:rPr>
        <w:t xml:space="preserve">alculate shear bond strength </w:t>
      </w:r>
      <w:r>
        <w:rPr>
          <w:lang w:eastAsia="en-IN"/>
        </w:rPr>
        <w:t xml:space="preserve">in megapascals using the formula </w:t>
      </w:r>
      <w:r w:rsidRPr="002533B2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2533B2">
        <w:rPr>
          <w:b/>
          <w:bCs/>
          <w:lang w:eastAsia="en-IN"/>
        </w:rPr>
        <w:t>]</w:t>
      </w:r>
      <w:r w:rsidRPr="002533B2">
        <w:rPr>
          <w:lang w:eastAsia="en-IN"/>
        </w:rPr>
        <w:t>.</w:t>
      </w:r>
    </w:p>
    <w:p w14:paraId="3F36F30A" w14:textId="0E996A15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calculating the shear bond strength values</w:t>
      </w:r>
      <w:r>
        <w:rPr>
          <w:lang w:val="en-IN" w:eastAsia="en-IN"/>
        </w:rPr>
        <w:t xml:space="preserve"> in the notebook or computer</w:t>
      </w:r>
      <w:r w:rsidRPr="002533B2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BD2784">
        <w:rPr>
          <w:b/>
          <w:bCs/>
          <w:lang w:val="en-IN" w:eastAsia="en-IN"/>
        </w:rPr>
        <w:t xml:space="preserve">TXT: </w:t>
      </w:r>
      <w:r w:rsidRPr="00BD2784">
        <w:rPr>
          <w:b/>
          <w:bCs/>
          <w:lang w:val="en-IN" w:eastAsia="en-IN"/>
        </w:rPr>
        <w:t>SBS (MPa) = Load (N) / bonding area (mm²)</w:t>
      </w:r>
    </w:p>
    <w:p w14:paraId="3A16AA5D" w14:textId="77777777" w:rsidR="00BD2784" w:rsidRPr="002533B2" w:rsidRDefault="00BD2784" w:rsidP="00BD2784"/>
    <w:p w14:paraId="54B0D4E5" w14:textId="23422DA1" w:rsidR="00CE10F2" w:rsidRPr="00B07A3B" w:rsidRDefault="00CE10F2" w:rsidP="00BD278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3CAC2F" w14:textId="0D463C5D" w:rsidR="00BD2784" w:rsidRDefault="00BD2784" w:rsidP="00BD2784">
      <w:pPr>
        <w:pStyle w:val="Narration"/>
        <w:numPr>
          <w:ilvl w:val="1"/>
          <w:numId w:val="3"/>
        </w:numPr>
      </w:pPr>
      <w:r>
        <w:t xml:space="preserve">Self-adhesive resin cement showed higher shear bond strength values than zinc oxide non-eugenol cement across all surface treatment groups </w:t>
      </w:r>
      <w:r w:rsidRPr="000648A1">
        <w:rPr>
          <w:b/>
        </w:rPr>
        <w:t>[1]</w:t>
      </w:r>
      <w:r>
        <w:t>.</w:t>
      </w:r>
    </w:p>
    <w:p w14:paraId="26A626C5" w14:textId="77777777" w:rsidR="00BD2784" w:rsidRDefault="00BD2784" w:rsidP="00BD2784">
      <w:pPr>
        <w:pStyle w:val="ShotDescription"/>
        <w:numPr>
          <w:ilvl w:val="2"/>
          <w:numId w:val="3"/>
        </w:numPr>
      </w:pPr>
      <w:r>
        <w:t>LAB MEDIA: Table 2. Video editor: Highlight the columns for “RelyX U200” and compare them with the columns for “TempBond NE”</w:t>
      </w:r>
    </w:p>
    <w:p w14:paraId="4F2A2709" w14:textId="77777777" w:rsidR="00BD2784" w:rsidRDefault="00BD2784" w:rsidP="00BD2784"/>
    <w:p w14:paraId="1F286B73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sandblasted specimens luted with resin cement without thermocycling showed the highest shear bond strength values </w:t>
      </w:r>
      <w:r w:rsidRPr="000648A1">
        <w:rPr>
          <w:b/>
        </w:rPr>
        <w:t>[1]</w:t>
      </w:r>
      <w:r>
        <w:t>.</w:t>
      </w:r>
    </w:p>
    <w:p w14:paraId="6CAED2D2" w14:textId="77777777" w:rsidR="00BD2784" w:rsidRDefault="00BD2784" w:rsidP="00BD2784">
      <w:pPr>
        <w:pStyle w:val="ShotDescription"/>
        <w:numPr>
          <w:ilvl w:val="2"/>
          <w:numId w:val="3"/>
        </w:numPr>
      </w:pPr>
      <w:r>
        <w:t>LAB MEDIA: Table 2. Video editor: Highlight the “Sandblasting” row under “RelyX U200” and “no thermocycling”</w:t>
      </w:r>
    </w:p>
    <w:p w14:paraId="09DABD66" w14:textId="77777777" w:rsidR="00BD2784" w:rsidRDefault="00BD2784" w:rsidP="00BD2784"/>
    <w:p w14:paraId="27A0B651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specimens luted with temporary cement after thermocycling showed the lowest shear bond strength values </w:t>
      </w:r>
      <w:r w:rsidRPr="000648A1">
        <w:rPr>
          <w:b/>
        </w:rPr>
        <w:t>[1]</w:t>
      </w:r>
      <w:r>
        <w:t>.</w:t>
      </w:r>
    </w:p>
    <w:p w14:paraId="5B7F071C" w14:textId="77777777" w:rsidR="00BD2784" w:rsidRDefault="00BD2784" w:rsidP="00BD2784">
      <w:pPr>
        <w:pStyle w:val="ShotDescription"/>
        <w:numPr>
          <w:ilvl w:val="2"/>
          <w:numId w:val="3"/>
        </w:numPr>
      </w:pPr>
      <w:r>
        <w:t>LAB MEDIA: Table 2. Video editor: Highlight the “TempBond NE” column under “thermocycling”</w:t>
      </w:r>
    </w:p>
    <w:p w14:paraId="3340942A" w14:textId="77777777" w:rsidR="00BD2784" w:rsidRDefault="00BD2784" w:rsidP="00BD2784"/>
    <w:p w14:paraId="4F80E4AD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Thermocycling reduced the shear bond strength values for both cement types </w:t>
      </w:r>
      <w:r w:rsidRPr="000648A1">
        <w:rPr>
          <w:b/>
        </w:rPr>
        <w:t>[1]</w:t>
      </w:r>
      <w:r>
        <w:t>.</w:t>
      </w:r>
    </w:p>
    <w:p w14:paraId="1ED19D63" w14:textId="77777777" w:rsidR="00BD2784" w:rsidRDefault="00BD2784" w:rsidP="00BD2784">
      <w:pPr>
        <w:pStyle w:val="ShotDescription"/>
        <w:numPr>
          <w:ilvl w:val="2"/>
          <w:numId w:val="3"/>
        </w:numPr>
      </w:pPr>
      <w:r>
        <w:t>LAB MEDIA: Table 3. Video editor: Highlight the row labeled “Thermal Cycle”</w:t>
      </w:r>
    </w:p>
    <w:p w14:paraId="6A8F9EF4" w14:textId="77777777" w:rsidR="00BD2784" w:rsidRDefault="00BD2784" w:rsidP="00BD2784"/>
    <w:p w14:paraId="22D1D521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specimens luted with resin cement maintained higher shear bond strength values than the corresponding temporary cement groups after thermocycling </w:t>
      </w:r>
      <w:r w:rsidRPr="000648A1">
        <w:rPr>
          <w:b/>
        </w:rPr>
        <w:t>[1]</w:t>
      </w:r>
      <w:r>
        <w:t>.</w:t>
      </w:r>
    </w:p>
    <w:p w14:paraId="66EA0856" w14:textId="77777777" w:rsidR="00BD2784" w:rsidRDefault="00BD2784" w:rsidP="00BD2784">
      <w:pPr>
        <w:pStyle w:val="ShotDescription"/>
        <w:numPr>
          <w:ilvl w:val="2"/>
          <w:numId w:val="3"/>
        </w:numPr>
      </w:pPr>
      <w:r>
        <w:t>LAB MEDIA: Table 2. Video editor: Highlight the “thermocycling” columns for “RelyX U200” and “TempBond NE”</w:t>
      </w:r>
    </w:p>
    <w:p w14:paraId="3B4EB1AB" w14:textId="77777777" w:rsidR="00BD2784" w:rsidRDefault="00BD2784" w:rsidP="00BD2784"/>
    <w:p w14:paraId="5502D293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sandblasted specimens showed higher shear bond strength values compared with the other surface treatment groups when resin cement was used </w:t>
      </w:r>
      <w:r w:rsidRPr="000648A1">
        <w:rPr>
          <w:b/>
        </w:rPr>
        <w:t>[1]</w:t>
      </w:r>
      <w:r>
        <w:t>.</w:t>
      </w:r>
    </w:p>
    <w:p w14:paraId="685528FE" w14:textId="77777777" w:rsidR="00BD2784" w:rsidRDefault="00BD2784" w:rsidP="00BD2784">
      <w:pPr>
        <w:pStyle w:val="ShotDescription"/>
        <w:numPr>
          <w:ilvl w:val="2"/>
          <w:numId w:val="3"/>
        </w:numPr>
      </w:pPr>
      <w:r>
        <w:lastRenderedPageBreak/>
        <w:t>LAB MEDIA: Table 2. Video editor: Highlight the “Sandblasting” row under the “RelyX U200” columns</w:t>
      </w:r>
    </w:p>
    <w:p w14:paraId="26127F14" w14:textId="77777777" w:rsidR="00BD2784" w:rsidRDefault="00BD2784" w:rsidP="00BD2784"/>
    <w:p w14:paraId="2EA1DDD6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sulfuric acid–etched and laser-treated specimens demonstrated intermediate shear bond strength values </w:t>
      </w:r>
      <w:r w:rsidRPr="000648A1">
        <w:rPr>
          <w:b/>
        </w:rPr>
        <w:t>[1]</w:t>
      </w:r>
      <w:r>
        <w:t>.</w:t>
      </w:r>
    </w:p>
    <w:p w14:paraId="12C81DBB" w14:textId="77777777" w:rsidR="00BD2784" w:rsidRDefault="00BD2784" w:rsidP="00BD2784">
      <w:pPr>
        <w:pStyle w:val="ShotDescription"/>
        <w:numPr>
          <w:ilvl w:val="2"/>
          <w:numId w:val="3"/>
        </w:numPr>
      </w:pPr>
      <w:r>
        <w:t>LAB MEDIA: Table 2. Video editor: Highlight the rows labeled “Acid etching” and “Laser irradiation”</w:t>
      </w:r>
    </w:p>
    <w:p w14:paraId="2229513F" w14:textId="77777777" w:rsidR="00BD2784" w:rsidRDefault="00BD2784" w:rsidP="00BD2784"/>
    <w:p w14:paraId="261EAE36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untreated polyetheretherketone surfaces luted with temporary cement showed shear bond strength values comparable to or higher than the treated surfaces </w:t>
      </w:r>
      <w:r w:rsidRPr="000648A1">
        <w:rPr>
          <w:b/>
        </w:rPr>
        <w:t>[1]</w:t>
      </w:r>
      <w:r>
        <w:t>.</w:t>
      </w:r>
    </w:p>
    <w:p w14:paraId="020E1CAC" w14:textId="77777777" w:rsidR="00BD2784" w:rsidRPr="000648A1" w:rsidRDefault="00BD2784" w:rsidP="00BD2784">
      <w:pPr>
        <w:pStyle w:val="ShotDescription"/>
        <w:numPr>
          <w:ilvl w:val="2"/>
          <w:numId w:val="3"/>
        </w:numPr>
      </w:pPr>
      <w:r>
        <w:t>LAB MEDIA: Table 2. Video editor: Highlight the “Control” row under the “TempBond NE” columns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551AA" w14:textId="77777777" w:rsidR="00415EA7" w:rsidRDefault="00415EA7">
      <w:r>
        <w:separator/>
      </w:r>
    </w:p>
    <w:p w14:paraId="19BA9EF5" w14:textId="77777777" w:rsidR="00415EA7" w:rsidRDefault="00415EA7"/>
  </w:endnote>
  <w:endnote w:type="continuationSeparator" w:id="0">
    <w:p w14:paraId="2F4E0119" w14:textId="77777777" w:rsidR="00415EA7" w:rsidRDefault="00415EA7">
      <w:r>
        <w:continuationSeparator/>
      </w:r>
    </w:p>
    <w:p w14:paraId="5E8CDB8B" w14:textId="77777777" w:rsidR="00415EA7" w:rsidRDefault="00415E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1BFB0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55DC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30AA8" w14:textId="77777777" w:rsidR="00415EA7" w:rsidRDefault="00415EA7">
      <w:r>
        <w:separator/>
      </w:r>
    </w:p>
    <w:p w14:paraId="082CBCBB" w14:textId="77777777" w:rsidR="00415EA7" w:rsidRDefault="00415EA7"/>
  </w:footnote>
  <w:footnote w:type="continuationSeparator" w:id="0">
    <w:p w14:paraId="39D663FD" w14:textId="77777777" w:rsidR="00415EA7" w:rsidRDefault="00415EA7">
      <w:r>
        <w:continuationSeparator/>
      </w:r>
    </w:p>
    <w:p w14:paraId="70C6C5B0" w14:textId="77777777" w:rsidR="00415EA7" w:rsidRDefault="00415E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31B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5DCD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5EA7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3F9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784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4B3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D278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D278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D278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D278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D278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D278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71848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18E25A410AB47718738B424D9C60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DA31F-35F9-4FCC-B8E8-F691A7178FC2}"/>
      </w:docPartPr>
      <w:docPartBody>
        <w:p w:rsidR="00000000" w:rsidRDefault="00A25F87" w:rsidP="00A25F87">
          <w:pPr>
            <w:pStyle w:val="E18E25A410AB47718738B424D9C60E6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F538AFE1457435F8CBE2610F75B0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09DA3-E5DF-425C-9F84-D0AC33CA037D}"/>
      </w:docPartPr>
      <w:docPartBody>
        <w:p w:rsidR="00000000" w:rsidRDefault="00A25F87" w:rsidP="00A25F87">
          <w:pPr>
            <w:pStyle w:val="0F538AFE1457435F8CBE2610F75B002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31B4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25F87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27040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18E25A410AB47718738B424D9C60E66">
    <w:name w:val="E18E25A410AB47718738B424D9C60E66"/>
    <w:rsid w:val="00A25F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F538AFE1457435F8CBE2610F75B002B">
    <w:name w:val="0F538AFE1457435F8CBE2610F75B002B"/>
    <w:rsid w:val="00A25F8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11</Pages>
  <Words>2082</Words>
  <Characters>12832</Characters>
  <Application>Microsoft Office Word</Application>
  <DocSecurity>0</DocSecurity>
  <Lines>206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65</cp:revision>
  <dcterms:created xsi:type="dcterms:W3CDTF">2025-01-20T00:16:00Z</dcterms:created>
  <dcterms:modified xsi:type="dcterms:W3CDTF">2026-05-30T13:21:00Z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