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DD8EC" w14:textId="04C78626" w:rsidR="007A73E6"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b/>
          <w:szCs w:val="24"/>
        </w:rPr>
        <w:t>TITLE</w:t>
      </w:r>
    </w:p>
    <w:p w14:paraId="18AD7FA6" w14:textId="024821CE"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A Single Intravenous Dose of Indole-</w:t>
      </w:r>
      <w:r w:rsidR="007A73E6" w:rsidRPr="008A0491">
        <w:rPr>
          <w:rFonts w:asciiTheme="majorHAnsi" w:hAnsiTheme="majorHAnsi" w:cstheme="majorHAnsi"/>
          <w:szCs w:val="24"/>
        </w:rPr>
        <w:t>p</w:t>
      </w:r>
      <w:r w:rsidRPr="008A0491">
        <w:rPr>
          <w:rFonts w:asciiTheme="majorHAnsi" w:hAnsiTheme="majorHAnsi" w:cstheme="majorHAnsi"/>
          <w:szCs w:val="24"/>
        </w:rPr>
        <w:t xml:space="preserve">roducing Attenuated </w:t>
      </w:r>
      <w:r w:rsidRPr="00641645">
        <w:rPr>
          <w:rFonts w:asciiTheme="majorHAnsi" w:hAnsiTheme="majorHAnsi" w:cstheme="majorHAnsi"/>
          <w:i/>
          <w:iCs/>
          <w:szCs w:val="24"/>
        </w:rPr>
        <w:t>Brucella</w:t>
      </w:r>
      <w:r w:rsidRPr="008A0491">
        <w:rPr>
          <w:rFonts w:asciiTheme="majorHAnsi" w:hAnsiTheme="majorHAnsi" w:cstheme="majorHAnsi"/>
          <w:szCs w:val="24"/>
        </w:rPr>
        <w:t xml:space="preserve"> in NOD Mice: Assess</w:t>
      </w:r>
      <w:r w:rsidR="007A73E6" w:rsidRPr="008A0491">
        <w:rPr>
          <w:rFonts w:asciiTheme="majorHAnsi" w:hAnsiTheme="majorHAnsi" w:cstheme="majorHAnsi"/>
          <w:szCs w:val="24"/>
        </w:rPr>
        <w:t xml:space="preserve">ment of </w:t>
      </w:r>
      <w:r w:rsidRPr="008A0491">
        <w:rPr>
          <w:rFonts w:asciiTheme="majorHAnsi" w:hAnsiTheme="majorHAnsi" w:cstheme="majorHAnsi"/>
          <w:szCs w:val="24"/>
        </w:rPr>
        <w:t xml:space="preserve">Type 1 Diabetes </w:t>
      </w:r>
      <w:r w:rsidR="001E5AFA">
        <w:rPr>
          <w:rFonts w:asciiTheme="majorHAnsi" w:hAnsiTheme="majorHAnsi" w:cstheme="majorHAnsi"/>
          <w:szCs w:val="24"/>
        </w:rPr>
        <w:t>Onset</w:t>
      </w:r>
      <w:r w:rsidRPr="008A0491">
        <w:rPr>
          <w:rFonts w:asciiTheme="majorHAnsi" w:hAnsiTheme="majorHAnsi" w:cstheme="majorHAnsi"/>
          <w:szCs w:val="24"/>
        </w:rPr>
        <w:t xml:space="preserve"> and Islet Immune Remodeling</w:t>
      </w:r>
    </w:p>
    <w:p w14:paraId="37582907" w14:textId="77777777" w:rsidR="007A73E6" w:rsidRPr="008A0491" w:rsidRDefault="007A73E6" w:rsidP="008A0491">
      <w:pPr>
        <w:spacing w:after="0"/>
        <w:jc w:val="both"/>
        <w:rPr>
          <w:rFonts w:asciiTheme="majorHAnsi" w:hAnsiTheme="majorHAnsi" w:cstheme="majorHAnsi"/>
          <w:szCs w:val="24"/>
        </w:rPr>
      </w:pPr>
    </w:p>
    <w:p w14:paraId="5306BCC6" w14:textId="77777777"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b/>
          <w:szCs w:val="24"/>
        </w:rPr>
        <w:t>AUTHORS AND AFFILIATIONS</w:t>
      </w:r>
    </w:p>
    <w:p w14:paraId="15DBC661" w14:textId="77777777" w:rsidR="007A73E6"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 xml:space="preserve">Kaylee Delgado¹*, Leslie G. Adams²*, Paul de Figueiredo³#, Jianxun Song¹# </w:t>
      </w:r>
    </w:p>
    <w:p w14:paraId="2F2E2A24" w14:textId="77777777" w:rsidR="007A73E6" w:rsidRPr="008A0491" w:rsidRDefault="007A73E6" w:rsidP="008A0491">
      <w:pPr>
        <w:spacing w:after="0"/>
        <w:jc w:val="both"/>
        <w:rPr>
          <w:rFonts w:asciiTheme="majorHAnsi" w:hAnsiTheme="majorHAnsi" w:cstheme="majorHAnsi"/>
          <w:szCs w:val="24"/>
        </w:rPr>
      </w:pPr>
    </w:p>
    <w:p w14:paraId="1C5FD277" w14:textId="77777777" w:rsidR="007A73E6"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 xml:space="preserve">*Equal contribution </w:t>
      </w:r>
    </w:p>
    <w:p w14:paraId="443311AA" w14:textId="77777777" w:rsidR="00C94BAA" w:rsidRPr="008A0491" w:rsidRDefault="00C94BAA" w:rsidP="008A0491">
      <w:pPr>
        <w:spacing w:after="0"/>
        <w:jc w:val="both"/>
        <w:rPr>
          <w:rFonts w:asciiTheme="majorHAnsi" w:hAnsiTheme="majorHAnsi" w:cstheme="majorHAnsi"/>
          <w:szCs w:val="24"/>
        </w:rPr>
      </w:pPr>
    </w:p>
    <w:p w14:paraId="3844CF29" w14:textId="2EE938C1"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¹Department of Microbial Pathogenesis and Immunology, Texas A&amp;M University Health Science Center, Bryan, TX 77807, USA</w:t>
      </w:r>
      <w:r w:rsidRPr="008A0491">
        <w:rPr>
          <w:rFonts w:asciiTheme="majorHAnsi" w:hAnsiTheme="majorHAnsi" w:cstheme="majorHAnsi"/>
          <w:szCs w:val="24"/>
        </w:rPr>
        <w:br/>
        <w:t>²Department of Veterinary Pathobiology, College of Veterinary Medicine &amp; Biomedical Sciences, Texas A&amp;M University, College Station, TX 77843, USA</w:t>
      </w:r>
      <w:r w:rsidRPr="008A0491">
        <w:rPr>
          <w:rFonts w:asciiTheme="majorHAnsi" w:hAnsiTheme="majorHAnsi" w:cstheme="majorHAnsi"/>
          <w:szCs w:val="24"/>
        </w:rPr>
        <w:br/>
        <w:t>³Bond Life Sciences Center, The University of Missouri, Columbia, MO 65211, USA</w:t>
      </w:r>
    </w:p>
    <w:p w14:paraId="2F8D1845" w14:textId="77777777" w:rsidR="004A403B" w:rsidRPr="008A0491" w:rsidRDefault="004A403B" w:rsidP="008A0491">
      <w:pPr>
        <w:spacing w:after="0"/>
        <w:jc w:val="both"/>
        <w:rPr>
          <w:rFonts w:asciiTheme="majorHAnsi" w:hAnsiTheme="majorHAnsi" w:cstheme="majorHAnsi"/>
          <w:szCs w:val="24"/>
        </w:rPr>
      </w:pPr>
    </w:p>
    <w:p w14:paraId="34DE603D" w14:textId="0113107A" w:rsidR="004A403B" w:rsidRPr="008A0491" w:rsidRDefault="004A403B" w:rsidP="008A0491">
      <w:pPr>
        <w:spacing w:after="0"/>
        <w:jc w:val="both"/>
        <w:rPr>
          <w:rFonts w:asciiTheme="majorHAnsi" w:hAnsiTheme="majorHAnsi" w:cstheme="majorHAnsi"/>
          <w:b/>
          <w:bCs/>
          <w:szCs w:val="24"/>
        </w:rPr>
      </w:pPr>
      <w:r w:rsidRPr="008A0491">
        <w:rPr>
          <w:rFonts w:asciiTheme="majorHAnsi" w:hAnsiTheme="majorHAnsi" w:cstheme="majorHAnsi"/>
          <w:b/>
          <w:bCs/>
          <w:szCs w:val="24"/>
        </w:rPr>
        <w:t>Email addresses of the co-authors:</w:t>
      </w:r>
    </w:p>
    <w:p w14:paraId="7B2FB724" w14:textId="021032C9" w:rsidR="004A403B" w:rsidRPr="008A0491" w:rsidRDefault="004A403B" w:rsidP="008A0491">
      <w:pPr>
        <w:spacing w:after="0"/>
        <w:jc w:val="both"/>
        <w:rPr>
          <w:rFonts w:asciiTheme="majorHAnsi" w:hAnsiTheme="majorHAnsi" w:cstheme="majorHAnsi"/>
          <w:szCs w:val="24"/>
        </w:rPr>
      </w:pPr>
      <w:r w:rsidRPr="008A0491">
        <w:rPr>
          <w:rFonts w:asciiTheme="majorHAnsi" w:hAnsiTheme="majorHAnsi" w:cstheme="majorHAnsi"/>
          <w:szCs w:val="24"/>
        </w:rPr>
        <w:t>Kaylee Delgado</w:t>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t>Kaylee_delgado@tamu.edu</w:t>
      </w:r>
    </w:p>
    <w:p w14:paraId="7A790776" w14:textId="05E009EE" w:rsidR="004A403B" w:rsidRPr="008A0491" w:rsidRDefault="004A403B" w:rsidP="008A0491">
      <w:pPr>
        <w:spacing w:after="0"/>
        <w:jc w:val="both"/>
        <w:rPr>
          <w:rFonts w:asciiTheme="majorHAnsi" w:hAnsiTheme="majorHAnsi" w:cstheme="majorHAnsi"/>
          <w:szCs w:val="24"/>
        </w:rPr>
      </w:pPr>
      <w:r w:rsidRPr="008A0491">
        <w:rPr>
          <w:rFonts w:asciiTheme="majorHAnsi" w:hAnsiTheme="majorHAnsi" w:cstheme="majorHAnsi"/>
          <w:szCs w:val="24"/>
        </w:rPr>
        <w:t>Leslie G. Adams</w:t>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t>gadams@cvm.tamu.edu</w:t>
      </w:r>
    </w:p>
    <w:p w14:paraId="6C733CAD" w14:textId="77777777" w:rsidR="00E17B43" w:rsidRPr="008A0491" w:rsidRDefault="00E17B43" w:rsidP="008A0491">
      <w:pPr>
        <w:spacing w:after="0"/>
        <w:jc w:val="both"/>
        <w:rPr>
          <w:rFonts w:asciiTheme="majorHAnsi" w:hAnsiTheme="majorHAnsi" w:cstheme="majorHAnsi"/>
          <w:szCs w:val="24"/>
        </w:rPr>
      </w:pPr>
    </w:p>
    <w:p w14:paraId="58DD2A21" w14:textId="7414BB17" w:rsidR="00E17B43" w:rsidRPr="008A0491" w:rsidRDefault="00E17B43" w:rsidP="008A0491">
      <w:pPr>
        <w:spacing w:after="0"/>
        <w:jc w:val="both"/>
        <w:rPr>
          <w:rFonts w:asciiTheme="majorHAnsi" w:hAnsiTheme="majorHAnsi" w:cstheme="majorHAnsi"/>
          <w:b/>
          <w:bCs/>
          <w:szCs w:val="24"/>
        </w:rPr>
      </w:pPr>
      <w:r w:rsidRPr="008A0491">
        <w:rPr>
          <w:rFonts w:asciiTheme="majorHAnsi" w:hAnsiTheme="majorHAnsi" w:cstheme="majorHAnsi"/>
          <w:b/>
          <w:bCs/>
          <w:szCs w:val="24"/>
        </w:rPr>
        <w:t>#Corresponding authors</w:t>
      </w:r>
      <w:r w:rsidR="000E269F" w:rsidRPr="008A0491">
        <w:rPr>
          <w:rFonts w:asciiTheme="majorHAnsi" w:hAnsiTheme="majorHAnsi" w:cstheme="majorHAnsi"/>
          <w:b/>
          <w:bCs/>
          <w:szCs w:val="24"/>
        </w:rPr>
        <w:t>:</w:t>
      </w:r>
    </w:p>
    <w:p w14:paraId="2F15E9C5" w14:textId="46DDAEA4" w:rsidR="004A403B" w:rsidRPr="008A0491" w:rsidRDefault="004A403B" w:rsidP="008A0491">
      <w:pPr>
        <w:spacing w:after="0"/>
        <w:jc w:val="both"/>
        <w:rPr>
          <w:rFonts w:asciiTheme="majorHAnsi" w:hAnsiTheme="majorHAnsi" w:cstheme="majorHAnsi"/>
          <w:szCs w:val="24"/>
        </w:rPr>
      </w:pPr>
      <w:r w:rsidRPr="008A0491">
        <w:rPr>
          <w:rFonts w:asciiTheme="majorHAnsi" w:hAnsiTheme="majorHAnsi" w:cstheme="majorHAnsi"/>
          <w:szCs w:val="24"/>
        </w:rPr>
        <w:t>Paul de Figueiredo</w:t>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t>paullifescience@missouri.edu</w:t>
      </w:r>
    </w:p>
    <w:p w14:paraId="16B10A4D" w14:textId="5F83FA82" w:rsidR="004A403B" w:rsidRPr="008A0491" w:rsidRDefault="004A403B" w:rsidP="008A0491">
      <w:pPr>
        <w:spacing w:after="0"/>
        <w:jc w:val="both"/>
        <w:rPr>
          <w:rFonts w:asciiTheme="majorHAnsi" w:hAnsiTheme="majorHAnsi" w:cstheme="majorHAnsi"/>
          <w:szCs w:val="24"/>
        </w:rPr>
      </w:pPr>
      <w:r w:rsidRPr="008A0491">
        <w:rPr>
          <w:rFonts w:asciiTheme="majorHAnsi" w:hAnsiTheme="majorHAnsi" w:cstheme="majorHAnsi"/>
          <w:szCs w:val="24"/>
        </w:rPr>
        <w:t>Jianxun Song</w:t>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890BB9" w:rsidRPr="008A0491">
        <w:rPr>
          <w:rFonts w:asciiTheme="majorHAnsi" w:hAnsiTheme="majorHAnsi" w:cstheme="majorHAnsi"/>
          <w:szCs w:val="24"/>
        </w:rPr>
        <w:tab/>
      </w:r>
      <w:r w:rsidR="006E4226" w:rsidRPr="008A0491">
        <w:rPr>
          <w:rFonts w:asciiTheme="majorHAnsi" w:hAnsiTheme="majorHAnsi" w:cstheme="majorHAnsi"/>
          <w:szCs w:val="24"/>
        </w:rPr>
        <w:t>jus35@tamu.edu</w:t>
      </w:r>
    </w:p>
    <w:p w14:paraId="39BB6A24" w14:textId="77777777" w:rsidR="004A403B" w:rsidRPr="008A0491" w:rsidRDefault="004A403B" w:rsidP="008A0491">
      <w:pPr>
        <w:spacing w:after="0"/>
        <w:jc w:val="both"/>
        <w:rPr>
          <w:rFonts w:asciiTheme="majorHAnsi" w:hAnsiTheme="majorHAnsi" w:cstheme="majorHAnsi"/>
          <w:szCs w:val="24"/>
        </w:rPr>
      </w:pPr>
    </w:p>
    <w:p w14:paraId="42CC1DBA" w14:textId="77777777"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b/>
          <w:szCs w:val="24"/>
        </w:rPr>
        <w:t>SUMMARY</w:t>
      </w:r>
    </w:p>
    <w:p w14:paraId="2B9D4D80" w14:textId="77777777"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 xml:space="preserve">This protocol describes intravenous administration of an indole-producing attenuated </w:t>
      </w:r>
      <w:r w:rsidRPr="008A0491">
        <w:rPr>
          <w:rFonts w:asciiTheme="majorHAnsi" w:hAnsiTheme="majorHAnsi" w:cstheme="majorHAnsi"/>
          <w:i/>
          <w:iCs/>
          <w:szCs w:val="24"/>
        </w:rPr>
        <w:t>Brucella melitensis</w:t>
      </w:r>
      <w:r w:rsidRPr="008A0491">
        <w:rPr>
          <w:rFonts w:asciiTheme="majorHAnsi" w:hAnsiTheme="majorHAnsi" w:cstheme="majorHAnsi"/>
          <w:szCs w:val="24"/>
        </w:rPr>
        <w:t xml:space="preserve"> strain to NOD/ShiLtJ mice, followed by longitudinal diabetes monitoring, pancreatic histology, and optional high-plex spatial proteomics and single-cell RNA sequencing to assess islet immune reprogramming.</w:t>
      </w:r>
    </w:p>
    <w:p w14:paraId="0B903B25" w14:textId="77777777" w:rsidR="00E52A4E" w:rsidRPr="008A0491" w:rsidRDefault="00E52A4E" w:rsidP="008A0491">
      <w:pPr>
        <w:spacing w:after="0"/>
        <w:jc w:val="both"/>
        <w:rPr>
          <w:rFonts w:asciiTheme="majorHAnsi" w:hAnsiTheme="majorHAnsi" w:cstheme="majorHAnsi"/>
          <w:szCs w:val="24"/>
        </w:rPr>
      </w:pPr>
    </w:p>
    <w:p w14:paraId="4CB2F4AD" w14:textId="77777777"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b/>
          <w:szCs w:val="24"/>
        </w:rPr>
        <w:t>ABSTRACT</w:t>
      </w:r>
    </w:p>
    <w:p w14:paraId="799DF4CA" w14:textId="3312519D" w:rsidR="008B0E4E"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Type 1 diabetes (T1D) results from autoimmune destruction of pancreatic β cells, and current therapies fail to restore durable immune tolerance. Metabolically engineered bacteria producing immunomodulatory metabolites represent a promising single-dose therapeutic strategy. Here, this p</w:t>
      </w:r>
      <w:r w:rsidR="00E52A4E" w:rsidRPr="008A0491">
        <w:rPr>
          <w:rFonts w:asciiTheme="majorHAnsi" w:hAnsiTheme="majorHAnsi" w:cstheme="majorHAnsi"/>
          <w:szCs w:val="24"/>
        </w:rPr>
        <w:t>aper</w:t>
      </w:r>
      <w:r w:rsidRPr="008A0491">
        <w:rPr>
          <w:rFonts w:asciiTheme="majorHAnsi" w:hAnsiTheme="majorHAnsi" w:cstheme="majorHAnsi"/>
          <w:szCs w:val="24"/>
        </w:rPr>
        <w:t xml:space="preserve"> presents a comprehensive protocol in which a single intravenous administration of an indole-producing attenuated </w:t>
      </w:r>
      <w:r w:rsidRPr="008A0491">
        <w:rPr>
          <w:rFonts w:asciiTheme="majorHAnsi" w:hAnsiTheme="majorHAnsi" w:cstheme="majorHAnsi"/>
          <w:i/>
          <w:iCs/>
          <w:szCs w:val="24"/>
        </w:rPr>
        <w:t>Brucella melitensis</w:t>
      </w:r>
      <w:r w:rsidRPr="008A0491">
        <w:rPr>
          <w:rFonts w:asciiTheme="majorHAnsi" w:hAnsiTheme="majorHAnsi" w:cstheme="majorHAnsi"/>
          <w:szCs w:val="24"/>
        </w:rPr>
        <w:t xml:space="preserve"> strain BmΔvjbR::tnaA </w:t>
      </w:r>
      <w:r w:rsidR="001F7654" w:rsidRPr="001F7654">
        <w:rPr>
          <w:rFonts w:asciiTheme="majorHAnsi" w:hAnsiTheme="majorHAnsi" w:cstheme="majorHAnsi"/>
          <w:szCs w:val="24"/>
        </w:rPr>
        <w:t>is used to assess effects on</w:t>
      </w:r>
      <w:r w:rsidR="001901D4" w:rsidRPr="008A0491">
        <w:rPr>
          <w:rFonts w:asciiTheme="majorHAnsi" w:hAnsiTheme="majorHAnsi" w:cstheme="majorHAnsi"/>
          <w:szCs w:val="24"/>
        </w:rPr>
        <w:t xml:space="preserve"> </w:t>
      </w:r>
      <w:r w:rsidR="001E5AFA">
        <w:rPr>
          <w:rFonts w:asciiTheme="majorHAnsi" w:hAnsiTheme="majorHAnsi" w:cstheme="majorHAnsi"/>
          <w:szCs w:val="24"/>
        </w:rPr>
        <w:t xml:space="preserve">the </w:t>
      </w:r>
      <w:r w:rsidR="001901D4" w:rsidRPr="008A0491">
        <w:rPr>
          <w:rFonts w:asciiTheme="majorHAnsi" w:hAnsiTheme="majorHAnsi" w:cstheme="majorHAnsi"/>
          <w:szCs w:val="24"/>
        </w:rPr>
        <w:t>onset of autoimmune diabetes in prediabetic female NOD/ShiLtJ mice</w:t>
      </w:r>
      <w:r w:rsidRPr="008A0491">
        <w:rPr>
          <w:rFonts w:asciiTheme="majorHAnsi" w:hAnsiTheme="majorHAnsi" w:cstheme="majorHAnsi"/>
          <w:szCs w:val="24"/>
        </w:rPr>
        <w:t>.</w:t>
      </w:r>
    </w:p>
    <w:p w14:paraId="00461A47" w14:textId="42A6E5B0" w:rsidR="00C05256"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br/>
        <w:t xml:space="preserve">The protocol begins with </w:t>
      </w:r>
      <w:r w:rsidR="001901D4" w:rsidRPr="008A0491">
        <w:rPr>
          <w:rFonts w:asciiTheme="majorHAnsi" w:hAnsiTheme="majorHAnsi" w:cstheme="majorHAnsi"/>
          <w:szCs w:val="24"/>
        </w:rPr>
        <w:t>preparing BmΔvjbR::tnaA from frozen glycerol stocks, growing it in selective media to mid-log phase, and calculating</w:t>
      </w:r>
      <w:r w:rsidRPr="008A0491">
        <w:rPr>
          <w:rFonts w:asciiTheme="majorHAnsi" w:hAnsiTheme="majorHAnsi" w:cstheme="majorHAnsi"/>
          <w:szCs w:val="24"/>
        </w:rPr>
        <w:t xml:space="preserve"> colony-forming units based on optical density. </w:t>
      </w:r>
      <w:r w:rsidR="008B0E4E" w:rsidRPr="008A0491">
        <w:rPr>
          <w:rFonts w:asciiTheme="majorHAnsi" w:hAnsiTheme="majorHAnsi" w:cstheme="majorHAnsi"/>
          <w:szCs w:val="24"/>
        </w:rPr>
        <w:t>F</w:t>
      </w:r>
      <w:r w:rsidRPr="008A0491">
        <w:rPr>
          <w:rFonts w:asciiTheme="majorHAnsi" w:hAnsiTheme="majorHAnsi" w:cstheme="majorHAnsi"/>
          <w:szCs w:val="24"/>
        </w:rPr>
        <w:t>emale NOD mice</w:t>
      </w:r>
      <w:r w:rsidR="001901D4" w:rsidRPr="008A0491">
        <w:rPr>
          <w:rFonts w:asciiTheme="majorHAnsi" w:hAnsiTheme="majorHAnsi" w:cstheme="majorHAnsi"/>
          <w:szCs w:val="24"/>
        </w:rPr>
        <w:t>,</w:t>
      </w:r>
      <w:r w:rsidR="008B0E4E" w:rsidRPr="008A0491">
        <w:rPr>
          <w:rFonts w:asciiTheme="majorHAnsi" w:hAnsiTheme="majorHAnsi" w:cstheme="majorHAnsi"/>
          <w:szCs w:val="24"/>
        </w:rPr>
        <w:t xml:space="preserve"> &lt;5-week-old</w:t>
      </w:r>
      <w:r w:rsidRPr="008A0491">
        <w:rPr>
          <w:rFonts w:asciiTheme="majorHAnsi" w:hAnsiTheme="majorHAnsi" w:cstheme="majorHAnsi"/>
          <w:szCs w:val="24"/>
        </w:rPr>
        <w:t xml:space="preserve"> are restrained without anesthesia and injected intravenously via lateral tail vein with a defined bacterial dose in phosphate-buffered saline while maintained on heating pads. Blood glucose is monitored </w:t>
      </w:r>
      <w:r w:rsidR="00540942" w:rsidRPr="008A0491">
        <w:rPr>
          <w:rFonts w:asciiTheme="majorHAnsi" w:hAnsiTheme="majorHAnsi" w:cstheme="majorHAnsi"/>
          <w:szCs w:val="24"/>
        </w:rPr>
        <w:t>2x</w:t>
      </w:r>
      <w:r w:rsidRPr="008A0491">
        <w:rPr>
          <w:rFonts w:asciiTheme="majorHAnsi" w:hAnsiTheme="majorHAnsi" w:cstheme="majorHAnsi"/>
          <w:szCs w:val="24"/>
        </w:rPr>
        <w:t xml:space="preserve"> weekly after a </w:t>
      </w:r>
      <w:r w:rsidR="00540942" w:rsidRPr="008A0491">
        <w:rPr>
          <w:rFonts w:asciiTheme="majorHAnsi" w:hAnsiTheme="majorHAnsi" w:cstheme="majorHAnsi"/>
          <w:szCs w:val="24"/>
        </w:rPr>
        <w:t>2 h</w:t>
      </w:r>
      <w:r w:rsidRPr="008A0491">
        <w:rPr>
          <w:rFonts w:asciiTheme="majorHAnsi" w:hAnsiTheme="majorHAnsi" w:cstheme="majorHAnsi"/>
          <w:szCs w:val="24"/>
        </w:rPr>
        <w:t xml:space="preserve"> fast for 70–105 days, with diabetes defined as glucose ≥250 mg/dL on two </w:t>
      </w:r>
      <w:r w:rsidRPr="008A0491">
        <w:rPr>
          <w:rFonts w:asciiTheme="majorHAnsi" w:hAnsiTheme="majorHAnsi" w:cstheme="majorHAnsi"/>
          <w:szCs w:val="24"/>
        </w:rPr>
        <w:lastRenderedPageBreak/>
        <w:t xml:space="preserve">consecutive readings. At experimental endpoints, harvested pancreas </w:t>
      </w:r>
      <w:proofErr w:type="gramStart"/>
      <w:r w:rsidRPr="008A0491">
        <w:rPr>
          <w:rFonts w:asciiTheme="majorHAnsi" w:hAnsiTheme="majorHAnsi" w:cstheme="majorHAnsi"/>
          <w:szCs w:val="24"/>
        </w:rPr>
        <w:t>are</w:t>
      </w:r>
      <w:proofErr w:type="gramEnd"/>
      <w:r w:rsidRPr="008A0491">
        <w:rPr>
          <w:rFonts w:asciiTheme="majorHAnsi" w:hAnsiTheme="majorHAnsi" w:cstheme="majorHAnsi"/>
          <w:szCs w:val="24"/>
        </w:rPr>
        <w:t xml:space="preserve"> fixed in neutral-buffered formalin for 72 h, paraffin-embedded, and sectioned for hematoxylin and eosin staining, insulin immunohistochemistry, and total islet area quantification. Formalin-fixed paraffin-embedded sections are submitted for spatial proteomics with a 25-marker antibody panel to visualize regulatory and effector immune populations. Finally, fresh pancreatic tissue undergoes single</w:t>
      </w:r>
      <w:r w:rsidR="00C05256" w:rsidRPr="008A0491">
        <w:rPr>
          <w:rFonts w:asciiTheme="majorHAnsi" w:hAnsiTheme="majorHAnsi" w:cstheme="majorHAnsi"/>
          <w:szCs w:val="24"/>
        </w:rPr>
        <w:t>-</w:t>
      </w:r>
      <w:r w:rsidRPr="008A0491">
        <w:rPr>
          <w:rFonts w:asciiTheme="majorHAnsi" w:hAnsiTheme="majorHAnsi" w:cstheme="majorHAnsi"/>
          <w:szCs w:val="24"/>
        </w:rPr>
        <w:t>cell isolation, 3′ library preparation, sequencing, and Seurat-based bioinformatics analysis to profile transcriptional changes across immune and stromal populations.</w:t>
      </w:r>
    </w:p>
    <w:p w14:paraId="08616E23" w14:textId="1F0AE6D4"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br/>
        <w:t>This integrated protocol enables reproducible single-dose bacterial therapy delivery and multi-modal characterization of islet immune remodeling, providing a framework for testing metabolite-engineered microbes in autoimmune models and dissecting tissue-specific immune mechanisms at single-cell resolution.</w:t>
      </w:r>
    </w:p>
    <w:p w14:paraId="2EDCA3AE" w14:textId="77777777" w:rsidR="00C05256" w:rsidRPr="008A0491" w:rsidRDefault="00C05256" w:rsidP="008A0491">
      <w:pPr>
        <w:spacing w:after="0"/>
        <w:jc w:val="both"/>
        <w:rPr>
          <w:rFonts w:asciiTheme="majorHAnsi" w:hAnsiTheme="majorHAnsi" w:cstheme="majorHAnsi"/>
          <w:szCs w:val="24"/>
        </w:rPr>
      </w:pPr>
    </w:p>
    <w:p w14:paraId="00D18E43" w14:textId="23933F3A" w:rsidR="001B150E" w:rsidRPr="001B150E" w:rsidRDefault="001B150E" w:rsidP="008A0491">
      <w:pPr>
        <w:spacing w:after="0"/>
        <w:jc w:val="both"/>
        <w:outlineLvl w:val="1"/>
        <w:rPr>
          <w:rFonts w:asciiTheme="majorHAnsi" w:eastAsia="Times New Roman" w:hAnsiTheme="majorHAnsi" w:cstheme="majorHAnsi"/>
          <w:b/>
          <w:bCs/>
          <w:szCs w:val="24"/>
          <w:lang w:val="en-IN" w:eastAsia="en-IN"/>
        </w:rPr>
      </w:pPr>
      <w:r w:rsidRPr="001B150E">
        <w:rPr>
          <w:rFonts w:asciiTheme="majorHAnsi" w:eastAsia="Times New Roman" w:hAnsiTheme="majorHAnsi" w:cstheme="majorHAnsi"/>
          <w:b/>
          <w:bCs/>
          <w:szCs w:val="24"/>
          <w:lang w:val="en-IN" w:eastAsia="en-IN"/>
        </w:rPr>
        <w:t>I</w:t>
      </w:r>
      <w:r w:rsidR="00746A4F" w:rsidRPr="008A0491">
        <w:rPr>
          <w:rFonts w:asciiTheme="majorHAnsi" w:eastAsia="Times New Roman" w:hAnsiTheme="majorHAnsi" w:cstheme="majorHAnsi"/>
          <w:b/>
          <w:bCs/>
          <w:szCs w:val="24"/>
          <w:lang w:val="en-IN" w:eastAsia="en-IN"/>
        </w:rPr>
        <w:t>NTRODUCTION</w:t>
      </w:r>
    </w:p>
    <w:p w14:paraId="024B3F11" w14:textId="7DF58BDF" w:rsidR="001B150E" w:rsidRPr="008A0491" w:rsidRDefault="001B150E" w:rsidP="008A0491">
      <w:pPr>
        <w:spacing w:after="0"/>
        <w:jc w:val="both"/>
        <w:rPr>
          <w:rFonts w:asciiTheme="majorHAnsi" w:eastAsia="Times New Roman" w:hAnsiTheme="majorHAnsi" w:cstheme="majorHAnsi"/>
          <w:szCs w:val="24"/>
          <w:lang w:val="en-IN" w:eastAsia="en-IN"/>
        </w:rPr>
      </w:pPr>
      <w:r w:rsidRPr="001B150E">
        <w:rPr>
          <w:rFonts w:asciiTheme="majorHAnsi" w:eastAsia="Times New Roman" w:hAnsiTheme="majorHAnsi" w:cstheme="majorHAnsi"/>
          <w:szCs w:val="24"/>
          <w:lang w:val="en-IN" w:eastAsia="en-IN"/>
        </w:rPr>
        <w:t>Type 1 diabetes (T1D) is a chronic autoimmune disease characterized by immune-mediated destruction of insulin-producing pancreatic β cells, leading to lifelong insulin dependence and increased risk of vascular complications</w:t>
      </w:r>
      <w:r w:rsidRPr="001B150E">
        <w:rPr>
          <w:rFonts w:asciiTheme="majorHAnsi" w:eastAsia="Times New Roman" w:hAnsiTheme="majorHAnsi" w:cstheme="majorHAnsi"/>
          <w:szCs w:val="24"/>
          <w:vertAlign w:val="superscript"/>
          <w:lang w:val="en-IN" w:eastAsia="en-IN"/>
        </w:rPr>
        <w:t>1</w:t>
      </w:r>
      <w:r w:rsidRPr="001B150E">
        <w:rPr>
          <w:rFonts w:asciiTheme="majorHAnsi" w:eastAsia="Times New Roman" w:hAnsiTheme="majorHAnsi" w:cstheme="majorHAnsi"/>
          <w:szCs w:val="24"/>
          <w:lang w:val="en-IN" w:eastAsia="en-IN"/>
        </w:rPr>
        <w:t>. The NOD/ShiLtJ mouse recapitulates key features of human autoimmune diabetes, including spontaneous insulitis and progression to overt diabetes, and is widely used as a preclinical model for mechanistic and therapeutic studies</w:t>
      </w:r>
      <w:r w:rsidRPr="001B150E">
        <w:rPr>
          <w:rFonts w:asciiTheme="majorHAnsi" w:eastAsia="Times New Roman" w:hAnsiTheme="majorHAnsi" w:cstheme="majorHAnsi"/>
          <w:szCs w:val="24"/>
          <w:vertAlign w:val="superscript"/>
          <w:lang w:val="en-IN" w:eastAsia="en-IN"/>
        </w:rPr>
        <w:t>1-3</w:t>
      </w:r>
      <w:r w:rsidRPr="001B150E">
        <w:rPr>
          <w:rFonts w:asciiTheme="majorHAnsi" w:eastAsia="Times New Roman" w:hAnsiTheme="majorHAnsi" w:cstheme="majorHAnsi"/>
          <w:szCs w:val="24"/>
          <w:lang w:val="en-IN" w:eastAsia="en-IN"/>
        </w:rPr>
        <w:t>. Current T1D therapies—including immunosuppressive drugs, monoclonal antibodies, and adoptive regulatory T-cell (Treg) therapies—can transiently slow disease progression but often fail to provide durable restoration of immune tolerance or sustained preservation of β-cell mass</w:t>
      </w:r>
      <w:r w:rsidRPr="001B150E">
        <w:rPr>
          <w:rFonts w:asciiTheme="majorHAnsi" w:eastAsia="Times New Roman" w:hAnsiTheme="majorHAnsi" w:cstheme="majorHAnsi"/>
          <w:szCs w:val="24"/>
          <w:vertAlign w:val="superscript"/>
          <w:lang w:val="en-IN" w:eastAsia="en-IN"/>
        </w:rPr>
        <w:t>1,2,4-11</w:t>
      </w:r>
      <w:r w:rsidRPr="001B150E">
        <w:rPr>
          <w:rFonts w:asciiTheme="majorHAnsi" w:eastAsia="Times New Roman" w:hAnsiTheme="majorHAnsi" w:cstheme="majorHAnsi"/>
          <w:szCs w:val="24"/>
          <w:lang w:val="en-IN" w:eastAsia="en-IN"/>
        </w:rPr>
        <w:t>.</w:t>
      </w:r>
    </w:p>
    <w:p w14:paraId="1509F83F" w14:textId="77777777" w:rsidR="0077588F" w:rsidRPr="001B150E" w:rsidRDefault="0077588F" w:rsidP="008A0491">
      <w:pPr>
        <w:spacing w:after="0"/>
        <w:jc w:val="both"/>
        <w:rPr>
          <w:rFonts w:asciiTheme="majorHAnsi" w:eastAsia="Times New Roman" w:hAnsiTheme="majorHAnsi" w:cstheme="majorHAnsi"/>
          <w:szCs w:val="24"/>
          <w:lang w:val="en-IN" w:eastAsia="en-IN"/>
        </w:rPr>
      </w:pPr>
    </w:p>
    <w:p w14:paraId="1BBF0E6D" w14:textId="14FC1A3E" w:rsidR="001B150E" w:rsidRPr="008A0491" w:rsidRDefault="001B150E" w:rsidP="008A0491">
      <w:pPr>
        <w:spacing w:after="0"/>
        <w:jc w:val="both"/>
        <w:rPr>
          <w:rFonts w:asciiTheme="majorHAnsi" w:eastAsia="Times New Roman" w:hAnsiTheme="majorHAnsi" w:cstheme="majorHAnsi"/>
          <w:szCs w:val="24"/>
          <w:lang w:val="en-IN" w:eastAsia="en-IN"/>
        </w:rPr>
      </w:pPr>
      <w:r w:rsidRPr="001B150E">
        <w:rPr>
          <w:rFonts w:asciiTheme="majorHAnsi" w:eastAsia="Times New Roman" w:hAnsiTheme="majorHAnsi" w:cstheme="majorHAnsi"/>
          <w:szCs w:val="24"/>
          <w:lang w:val="en-IN" w:eastAsia="en-IN"/>
        </w:rPr>
        <w:t>Targeting Tregs and other regulatory populations is a major focus of emerging T1D therapies, including autologous polyclonal Treg infusions, engineered antigen-specific Tregs, and IL-2–based regimens</w:t>
      </w:r>
      <w:r w:rsidRPr="001B150E">
        <w:rPr>
          <w:rFonts w:asciiTheme="majorHAnsi" w:eastAsia="Times New Roman" w:hAnsiTheme="majorHAnsi" w:cstheme="majorHAnsi"/>
          <w:szCs w:val="24"/>
          <w:vertAlign w:val="superscript"/>
          <w:lang w:val="en-IN" w:eastAsia="en-IN"/>
        </w:rPr>
        <w:t>1,2,4-11</w:t>
      </w:r>
      <w:r w:rsidRPr="001B150E">
        <w:rPr>
          <w:rFonts w:asciiTheme="majorHAnsi" w:eastAsia="Times New Roman" w:hAnsiTheme="majorHAnsi" w:cstheme="majorHAnsi"/>
          <w:szCs w:val="24"/>
          <w:lang w:val="en-IN" w:eastAsia="en-IN"/>
        </w:rPr>
        <w:t>. However, a pro-inflammatory microenvironment within pancreatic islets can undermine the efficacy of these approaches, emphasizing the need to locally reprogram tissue-resident immune networks</w:t>
      </w:r>
      <w:r w:rsidRPr="001B150E">
        <w:rPr>
          <w:rFonts w:asciiTheme="majorHAnsi" w:eastAsia="Times New Roman" w:hAnsiTheme="majorHAnsi" w:cstheme="majorHAnsi"/>
          <w:szCs w:val="24"/>
          <w:vertAlign w:val="superscript"/>
          <w:lang w:val="en-IN" w:eastAsia="en-IN"/>
        </w:rPr>
        <w:t>2,7</w:t>
      </w:r>
      <w:r w:rsidRPr="001B150E">
        <w:rPr>
          <w:rFonts w:asciiTheme="majorHAnsi" w:eastAsia="Times New Roman" w:hAnsiTheme="majorHAnsi" w:cstheme="majorHAnsi"/>
          <w:szCs w:val="24"/>
          <w:lang w:val="en-IN" w:eastAsia="en-IN"/>
        </w:rPr>
        <w:t>. Microbial-derived tryptophan metabolites, particularly indole and related compounds, can modulate both innate and adaptive immunity by promoting regulatory T-cell differentiation, inducing anti-inflammatory macrophage polarization, and suppressing Th17 responses</w:t>
      </w:r>
      <w:r w:rsidRPr="001B150E">
        <w:rPr>
          <w:rFonts w:asciiTheme="majorHAnsi" w:eastAsia="Times New Roman" w:hAnsiTheme="majorHAnsi" w:cstheme="majorHAnsi"/>
          <w:szCs w:val="24"/>
          <w:vertAlign w:val="superscript"/>
          <w:lang w:val="en-IN" w:eastAsia="en-IN"/>
        </w:rPr>
        <w:t>12,13</w:t>
      </w:r>
      <w:r w:rsidRPr="001B150E">
        <w:rPr>
          <w:rFonts w:asciiTheme="majorHAnsi" w:eastAsia="Times New Roman" w:hAnsiTheme="majorHAnsi" w:cstheme="majorHAnsi"/>
          <w:szCs w:val="24"/>
          <w:lang w:val="en-IN" w:eastAsia="en-IN"/>
        </w:rPr>
        <w:t>. Live microbial therapeutics and metabolically engineered bacteria therefore represent a promising strategy to deliver immunomodulatory metabolites in situ and reshape tissue immunity</w:t>
      </w:r>
      <w:r w:rsidRPr="001B150E">
        <w:rPr>
          <w:rFonts w:asciiTheme="majorHAnsi" w:eastAsia="Times New Roman" w:hAnsiTheme="majorHAnsi" w:cstheme="majorHAnsi"/>
          <w:szCs w:val="24"/>
          <w:vertAlign w:val="superscript"/>
          <w:lang w:val="en-IN" w:eastAsia="en-IN"/>
        </w:rPr>
        <w:t>12-18</w:t>
      </w:r>
      <w:r w:rsidRPr="001B150E">
        <w:rPr>
          <w:rFonts w:asciiTheme="majorHAnsi" w:eastAsia="Times New Roman" w:hAnsiTheme="majorHAnsi" w:cstheme="majorHAnsi"/>
          <w:szCs w:val="24"/>
          <w:lang w:val="en-IN" w:eastAsia="en-IN"/>
        </w:rPr>
        <w:t>.</w:t>
      </w:r>
    </w:p>
    <w:p w14:paraId="2BB37E28" w14:textId="77777777" w:rsidR="0077588F" w:rsidRPr="001B150E" w:rsidRDefault="0077588F" w:rsidP="008A0491">
      <w:pPr>
        <w:spacing w:after="0"/>
        <w:jc w:val="both"/>
        <w:rPr>
          <w:rFonts w:asciiTheme="majorHAnsi" w:eastAsia="Times New Roman" w:hAnsiTheme="majorHAnsi" w:cstheme="majorHAnsi"/>
          <w:szCs w:val="24"/>
          <w:lang w:val="en-IN" w:eastAsia="en-IN"/>
        </w:rPr>
      </w:pPr>
    </w:p>
    <w:p w14:paraId="0B9920C3" w14:textId="7EA20F69" w:rsidR="001B150E" w:rsidRPr="008A0491" w:rsidRDefault="001B150E" w:rsidP="008A0491">
      <w:pPr>
        <w:spacing w:after="0"/>
        <w:jc w:val="both"/>
        <w:rPr>
          <w:rFonts w:asciiTheme="majorHAnsi" w:eastAsia="Times New Roman" w:hAnsiTheme="majorHAnsi" w:cstheme="majorHAnsi"/>
          <w:szCs w:val="24"/>
          <w:lang w:val="en-IN" w:eastAsia="en-IN"/>
        </w:rPr>
      </w:pPr>
      <w:r w:rsidRPr="001B150E">
        <w:rPr>
          <w:rFonts w:asciiTheme="majorHAnsi" w:eastAsia="Times New Roman" w:hAnsiTheme="majorHAnsi" w:cstheme="majorHAnsi"/>
          <w:szCs w:val="24"/>
          <w:lang w:val="en-IN" w:eastAsia="en-IN"/>
        </w:rPr>
        <w:t xml:space="preserve">We previously developed a metabolically engineered </w:t>
      </w:r>
      <w:r w:rsidRPr="001B150E">
        <w:rPr>
          <w:rFonts w:asciiTheme="majorHAnsi" w:eastAsia="Times New Roman" w:hAnsiTheme="majorHAnsi" w:cstheme="majorHAnsi"/>
          <w:i/>
          <w:iCs/>
          <w:szCs w:val="24"/>
          <w:lang w:val="en-IN" w:eastAsia="en-IN"/>
        </w:rPr>
        <w:t>Brucella melitensis</w:t>
      </w:r>
      <w:r w:rsidRPr="001B150E">
        <w:rPr>
          <w:rFonts w:asciiTheme="majorHAnsi" w:eastAsia="Times New Roman" w:hAnsiTheme="majorHAnsi" w:cstheme="majorHAnsi"/>
          <w:szCs w:val="24"/>
          <w:lang w:val="en-IN" w:eastAsia="en-IN"/>
        </w:rPr>
        <w:t xml:space="preserve"> strain, BmΔvjbR::tnaA, that constitutively produces indole and controls autoimmune arthritis by expanding Tregs and </w:t>
      </w:r>
      <w:proofErr w:type="spellStart"/>
      <w:r w:rsidRPr="001B150E">
        <w:rPr>
          <w:rFonts w:asciiTheme="majorHAnsi" w:eastAsia="Times New Roman" w:hAnsiTheme="majorHAnsi" w:cstheme="majorHAnsi"/>
          <w:szCs w:val="24"/>
          <w:lang w:val="en-IN" w:eastAsia="en-IN"/>
        </w:rPr>
        <w:t>remodeling</w:t>
      </w:r>
      <w:proofErr w:type="spellEnd"/>
      <w:r w:rsidRPr="001B150E">
        <w:rPr>
          <w:rFonts w:asciiTheme="majorHAnsi" w:eastAsia="Times New Roman" w:hAnsiTheme="majorHAnsi" w:cstheme="majorHAnsi"/>
          <w:szCs w:val="24"/>
          <w:lang w:val="en-IN" w:eastAsia="en-IN"/>
        </w:rPr>
        <w:t xml:space="preserve"> inflammatory microenvironments</w:t>
      </w:r>
      <w:r w:rsidRPr="001B150E">
        <w:rPr>
          <w:rFonts w:asciiTheme="majorHAnsi" w:eastAsia="Times New Roman" w:hAnsiTheme="majorHAnsi" w:cstheme="majorHAnsi"/>
          <w:szCs w:val="24"/>
          <w:vertAlign w:val="superscript"/>
          <w:lang w:val="en-IN" w:eastAsia="en-IN"/>
        </w:rPr>
        <w:t>14-16</w:t>
      </w:r>
      <w:r w:rsidRPr="001B150E">
        <w:rPr>
          <w:rFonts w:asciiTheme="majorHAnsi" w:eastAsia="Times New Roman" w:hAnsiTheme="majorHAnsi" w:cstheme="majorHAnsi"/>
          <w:szCs w:val="24"/>
          <w:lang w:val="en-IN" w:eastAsia="en-IN"/>
        </w:rPr>
        <w:t xml:space="preserve">. Attenuated </w:t>
      </w:r>
      <w:r w:rsidRPr="001B150E">
        <w:rPr>
          <w:rFonts w:asciiTheme="majorHAnsi" w:eastAsia="Times New Roman" w:hAnsiTheme="majorHAnsi" w:cstheme="majorHAnsi"/>
          <w:i/>
          <w:iCs/>
          <w:szCs w:val="24"/>
          <w:lang w:val="en-IN" w:eastAsia="en-IN"/>
        </w:rPr>
        <w:t>Brucella</w:t>
      </w:r>
      <w:r w:rsidRPr="001B150E">
        <w:rPr>
          <w:rFonts w:asciiTheme="majorHAnsi" w:eastAsia="Times New Roman" w:hAnsiTheme="majorHAnsi" w:cstheme="majorHAnsi"/>
          <w:szCs w:val="24"/>
          <w:lang w:val="en-IN" w:eastAsia="en-IN"/>
        </w:rPr>
        <w:t xml:space="preserve"> strains such as BmΔvjbR have been extensively characterized as vaccine platforms and can be genetically modified to carry immunoregulatory payloads</w:t>
      </w:r>
      <w:r w:rsidRPr="001B150E">
        <w:rPr>
          <w:rFonts w:asciiTheme="majorHAnsi" w:eastAsia="Times New Roman" w:hAnsiTheme="majorHAnsi" w:cstheme="majorHAnsi"/>
          <w:szCs w:val="24"/>
          <w:vertAlign w:val="superscript"/>
          <w:lang w:val="en-IN" w:eastAsia="en-IN"/>
        </w:rPr>
        <w:t>14-16</w:t>
      </w:r>
      <w:r w:rsidRPr="001B150E">
        <w:rPr>
          <w:rFonts w:asciiTheme="majorHAnsi" w:eastAsia="Times New Roman" w:hAnsiTheme="majorHAnsi" w:cstheme="majorHAnsi"/>
          <w:szCs w:val="24"/>
          <w:lang w:val="en-IN" w:eastAsia="en-IN"/>
        </w:rPr>
        <w:t>.</w:t>
      </w:r>
    </w:p>
    <w:p w14:paraId="43BB9552" w14:textId="77777777" w:rsidR="0077588F" w:rsidRPr="001B150E" w:rsidRDefault="0077588F" w:rsidP="008A0491">
      <w:pPr>
        <w:spacing w:after="0"/>
        <w:jc w:val="both"/>
        <w:rPr>
          <w:rFonts w:asciiTheme="majorHAnsi" w:eastAsia="Times New Roman" w:hAnsiTheme="majorHAnsi" w:cstheme="majorHAnsi"/>
          <w:szCs w:val="24"/>
          <w:lang w:val="en-IN" w:eastAsia="en-IN"/>
        </w:rPr>
      </w:pPr>
    </w:p>
    <w:p w14:paraId="38E9D009" w14:textId="338892B8" w:rsidR="001B150E" w:rsidRPr="001B150E" w:rsidRDefault="001B150E" w:rsidP="008A0491">
      <w:pPr>
        <w:spacing w:after="0"/>
        <w:jc w:val="both"/>
        <w:rPr>
          <w:rFonts w:asciiTheme="majorHAnsi" w:eastAsia="Times New Roman" w:hAnsiTheme="majorHAnsi" w:cstheme="majorHAnsi"/>
          <w:szCs w:val="24"/>
          <w:lang w:val="en-IN" w:eastAsia="en-IN"/>
        </w:rPr>
      </w:pPr>
      <w:r w:rsidRPr="001B150E">
        <w:rPr>
          <w:rFonts w:asciiTheme="majorHAnsi" w:eastAsia="Times New Roman" w:hAnsiTheme="majorHAnsi" w:cstheme="majorHAnsi"/>
          <w:szCs w:val="24"/>
          <w:lang w:val="en-IN" w:eastAsia="en-IN"/>
        </w:rPr>
        <w:lastRenderedPageBreak/>
        <w:t>Here, we present a detailed protocol for evaluating a single intravenous dose of BmΔvjbR::tnaA in the NOD/ShiLtJ model, including bacterial preparation, standardized intravenous administration, diabetes monitoring, and multi-modal analysis of pancreatic tissue by histology, high-plex spatial proteomics, and single-cell RNA-seq. This workflow provides a practical framework for testing metabolite-engineered microbes as single-dose immunotherapies in organ-specific autoimmunity.</w:t>
      </w:r>
      <w:r w:rsidR="0077588F" w:rsidRPr="008A0491">
        <w:rPr>
          <w:rFonts w:asciiTheme="majorHAnsi" w:eastAsia="Times New Roman" w:hAnsiTheme="majorHAnsi" w:cstheme="majorHAnsi"/>
          <w:szCs w:val="24"/>
          <w:lang w:val="en-IN" w:eastAsia="en-IN"/>
        </w:rPr>
        <w:t xml:space="preserve"> </w:t>
      </w:r>
      <w:r w:rsidRPr="001B150E">
        <w:rPr>
          <w:rFonts w:asciiTheme="majorHAnsi" w:eastAsia="Times New Roman" w:hAnsiTheme="majorHAnsi" w:cstheme="majorHAnsi"/>
          <w:szCs w:val="24"/>
          <w:lang w:val="en-IN" w:eastAsia="en-IN"/>
        </w:rPr>
        <w:t>A prior dose-response analysis demonstrated safety and tolerability up to 1 × 10¹⁰ CFU of the attenuated strain.</w:t>
      </w:r>
    </w:p>
    <w:p w14:paraId="75D4102A" w14:textId="77777777" w:rsidR="00DD2EE7" w:rsidRPr="008A0491" w:rsidRDefault="00DD2EE7" w:rsidP="008A0491">
      <w:pPr>
        <w:spacing w:after="0"/>
        <w:jc w:val="both"/>
        <w:rPr>
          <w:rFonts w:asciiTheme="majorHAnsi" w:hAnsiTheme="majorHAnsi" w:cstheme="majorHAnsi"/>
          <w:szCs w:val="24"/>
        </w:rPr>
      </w:pPr>
    </w:p>
    <w:p w14:paraId="08AFEB5D" w14:textId="77777777" w:rsidR="003F775D" w:rsidRPr="008A0491" w:rsidRDefault="00307D1C" w:rsidP="008A0491">
      <w:pPr>
        <w:spacing w:after="0"/>
        <w:jc w:val="both"/>
        <w:rPr>
          <w:rFonts w:asciiTheme="majorHAnsi" w:hAnsiTheme="majorHAnsi" w:cstheme="majorHAnsi"/>
          <w:b/>
          <w:szCs w:val="24"/>
        </w:rPr>
      </w:pPr>
      <w:r w:rsidRPr="008A0491">
        <w:rPr>
          <w:rFonts w:asciiTheme="majorHAnsi" w:hAnsiTheme="majorHAnsi" w:cstheme="majorHAnsi"/>
          <w:b/>
          <w:szCs w:val="24"/>
        </w:rPr>
        <w:t>PROTOCOL</w:t>
      </w:r>
    </w:p>
    <w:p w14:paraId="56A0EBD8" w14:textId="77777777" w:rsidR="00DD2EE7" w:rsidRPr="008A0491" w:rsidRDefault="00DD2EE7" w:rsidP="008A0491">
      <w:pPr>
        <w:spacing w:after="0"/>
        <w:jc w:val="both"/>
        <w:rPr>
          <w:rFonts w:asciiTheme="majorHAnsi" w:hAnsiTheme="majorHAnsi" w:cstheme="majorHAnsi"/>
          <w:szCs w:val="24"/>
        </w:rPr>
      </w:pPr>
    </w:p>
    <w:p w14:paraId="5FE4FFA3" w14:textId="3BB68F02"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All animal experiments were conducted in strict accordance with ethical guidelines and approved by the Institutional Animal Care and Use Committee (IACUC) of Texas A&amp;M University (Protocol Number: 2021-0123).</w:t>
      </w:r>
    </w:p>
    <w:p w14:paraId="298DDECE" w14:textId="77777777" w:rsidR="00A1630E" w:rsidRPr="008A0491" w:rsidRDefault="00A1630E" w:rsidP="008A0491">
      <w:pPr>
        <w:spacing w:after="0"/>
        <w:jc w:val="both"/>
        <w:rPr>
          <w:rFonts w:asciiTheme="majorHAnsi" w:hAnsiTheme="majorHAnsi" w:cstheme="majorHAnsi"/>
          <w:szCs w:val="24"/>
        </w:rPr>
      </w:pPr>
    </w:p>
    <w:p w14:paraId="3842673B" w14:textId="3B9EE82B" w:rsidR="00F322D8" w:rsidRPr="00935A12" w:rsidRDefault="00F322D8" w:rsidP="008A0491">
      <w:pPr>
        <w:pStyle w:val="ListParagraph"/>
        <w:numPr>
          <w:ilvl w:val="0"/>
          <w:numId w:val="57"/>
        </w:numPr>
        <w:spacing w:after="0"/>
        <w:ind w:left="0" w:firstLine="0"/>
        <w:jc w:val="both"/>
        <w:outlineLvl w:val="1"/>
        <w:rPr>
          <w:rFonts w:asciiTheme="majorHAnsi" w:eastAsia="Times New Roman" w:hAnsiTheme="majorHAnsi" w:cstheme="majorHAnsi"/>
          <w:b/>
          <w:bCs/>
          <w:szCs w:val="24"/>
          <w:lang w:val="en-IN" w:eastAsia="en-IN"/>
        </w:rPr>
      </w:pPr>
      <w:r w:rsidRPr="00935A12">
        <w:rPr>
          <w:rFonts w:asciiTheme="majorHAnsi" w:eastAsia="Times New Roman" w:hAnsiTheme="majorHAnsi" w:cstheme="majorHAnsi"/>
          <w:b/>
          <w:bCs/>
          <w:szCs w:val="24"/>
          <w:lang w:val="en-IN" w:eastAsia="en-IN"/>
        </w:rPr>
        <w:t xml:space="preserve">Preparation and </w:t>
      </w:r>
      <w:r w:rsidR="00C6482C" w:rsidRPr="00935A12">
        <w:rPr>
          <w:rFonts w:asciiTheme="majorHAnsi" w:eastAsia="Times New Roman" w:hAnsiTheme="majorHAnsi" w:cstheme="majorHAnsi"/>
          <w:b/>
          <w:bCs/>
          <w:szCs w:val="24"/>
          <w:lang w:val="en-IN" w:eastAsia="en-IN"/>
        </w:rPr>
        <w:t>c</w:t>
      </w:r>
      <w:r w:rsidRPr="00935A12">
        <w:rPr>
          <w:rFonts w:asciiTheme="majorHAnsi" w:eastAsia="Times New Roman" w:hAnsiTheme="majorHAnsi" w:cstheme="majorHAnsi"/>
          <w:b/>
          <w:bCs/>
          <w:szCs w:val="24"/>
          <w:lang w:val="en-IN" w:eastAsia="en-IN"/>
        </w:rPr>
        <w:t>haracterization of BmΔvjbR::tnaA</w:t>
      </w:r>
    </w:p>
    <w:p w14:paraId="782F7BD0" w14:textId="77777777" w:rsidR="00C6482C" w:rsidRPr="00935A12" w:rsidRDefault="00C6482C" w:rsidP="008A0491">
      <w:pPr>
        <w:spacing w:after="0"/>
        <w:jc w:val="both"/>
        <w:outlineLvl w:val="1"/>
        <w:rPr>
          <w:rFonts w:asciiTheme="majorHAnsi" w:eastAsia="Times New Roman" w:hAnsiTheme="majorHAnsi" w:cstheme="majorHAnsi"/>
          <w:b/>
          <w:bCs/>
          <w:szCs w:val="24"/>
          <w:lang w:val="en-IN" w:eastAsia="en-IN"/>
        </w:rPr>
      </w:pPr>
    </w:p>
    <w:p w14:paraId="667F0E42" w14:textId="3EA421D7"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Bacterial </w:t>
      </w:r>
      <w:r w:rsidR="00C6482C" w:rsidRPr="00935A12">
        <w:rPr>
          <w:rFonts w:asciiTheme="majorHAnsi" w:eastAsia="Times New Roman" w:hAnsiTheme="majorHAnsi" w:cstheme="majorHAnsi"/>
          <w:szCs w:val="24"/>
          <w:lang w:val="en-IN" w:eastAsia="en-IN"/>
        </w:rPr>
        <w:t>s</w:t>
      </w:r>
      <w:r w:rsidRPr="00935A12">
        <w:rPr>
          <w:rFonts w:asciiTheme="majorHAnsi" w:eastAsia="Times New Roman" w:hAnsiTheme="majorHAnsi" w:cstheme="majorHAnsi"/>
          <w:szCs w:val="24"/>
          <w:lang w:val="en-IN" w:eastAsia="en-IN"/>
        </w:rPr>
        <w:t xml:space="preserve">train </w:t>
      </w:r>
      <w:r w:rsidR="00C6482C" w:rsidRPr="00935A12">
        <w:rPr>
          <w:rFonts w:asciiTheme="majorHAnsi" w:eastAsia="Times New Roman" w:hAnsiTheme="majorHAnsi" w:cstheme="majorHAnsi"/>
          <w:szCs w:val="24"/>
          <w:lang w:val="en-IN" w:eastAsia="en-IN"/>
        </w:rPr>
        <w:t>b</w:t>
      </w:r>
      <w:r w:rsidRPr="00935A12">
        <w:rPr>
          <w:rFonts w:asciiTheme="majorHAnsi" w:eastAsia="Times New Roman" w:hAnsiTheme="majorHAnsi" w:cstheme="majorHAnsi"/>
          <w:szCs w:val="24"/>
          <w:lang w:val="en-IN" w:eastAsia="en-IN"/>
        </w:rPr>
        <w:t xml:space="preserve">ackground and </w:t>
      </w:r>
      <w:r w:rsidR="00C6482C" w:rsidRPr="00935A12">
        <w:rPr>
          <w:rFonts w:asciiTheme="majorHAnsi" w:eastAsia="Times New Roman" w:hAnsiTheme="majorHAnsi" w:cstheme="majorHAnsi"/>
          <w:szCs w:val="24"/>
          <w:lang w:val="en-IN" w:eastAsia="en-IN"/>
        </w:rPr>
        <w:t>s</w:t>
      </w:r>
      <w:r w:rsidRPr="00935A12">
        <w:rPr>
          <w:rFonts w:asciiTheme="majorHAnsi" w:eastAsia="Times New Roman" w:hAnsiTheme="majorHAnsi" w:cstheme="majorHAnsi"/>
          <w:szCs w:val="24"/>
          <w:lang w:val="en-IN" w:eastAsia="en-IN"/>
        </w:rPr>
        <w:t>torage</w:t>
      </w:r>
    </w:p>
    <w:p w14:paraId="4772DF48" w14:textId="77777777" w:rsidR="00C6482C" w:rsidRPr="00935A12" w:rsidRDefault="00C6482C" w:rsidP="008A0491">
      <w:pPr>
        <w:pStyle w:val="ListParagraph"/>
        <w:spacing w:after="0"/>
        <w:ind w:left="0"/>
        <w:jc w:val="both"/>
        <w:outlineLvl w:val="2"/>
        <w:rPr>
          <w:rFonts w:asciiTheme="majorHAnsi" w:eastAsia="Times New Roman" w:hAnsiTheme="majorHAnsi" w:cstheme="majorHAnsi"/>
          <w:b/>
          <w:bCs/>
          <w:szCs w:val="24"/>
          <w:lang w:val="en-IN" w:eastAsia="en-IN"/>
        </w:rPr>
      </w:pPr>
    </w:p>
    <w:p w14:paraId="3352F349" w14:textId="65941EFF" w:rsidR="00F322D8" w:rsidRPr="00935A12" w:rsidRDefault="00F322D8" w:rsidP="008A0491">
      <w:pPr>
        <w:spacing w:after="0"/>
        <w:jc w:val="both"/>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NOTE: BmΔvjbR::tnaA is derived from </w:t>
      </w:r>
      <w:r w:rsidRPr="00935A12">
        <w:rPr>
          <w:rFonts w:asciiTheme="majorHAnsi" w:eastAsia="Times New Roman" w:hAnsiTheme="majorHAnsi" w:cstheme="majorHAnsi"/>
          <w:i/>
          <w:iCs/>
          <w:szCs w:val="24"/>
          <w:lang w:val="en-IN" w:eastAsia="en-IN"/>
        </w:rPr>
        <w:t>Brucella melitensis</w:t>
      </w:r>
      <w:r w:rsidRPr="00935A12">
        <w:rPr>
          <w:rFonts w:asciiTheme="majorHAnsi" w:eastAsia="Times New Roman" w:hAnsiTheme="majorHAnsi" w:cstheme="majorHAnsi"/>
          <w:szCs w:val="24"/>
          <w:lang w:val="en-IN" w:eastAsia="en-IN"/>
        </w:rPr>
        <w:t xml:space="preserve"> 16M with deletion of the vjbR virulence regulator and insertion of the </w:t>
      </w:r>
      <w:r w:rsidRPr="00935A12">
        <w:rPr>
          <w:rFonts w:asciiTheme="majorHAnsi" w:eastAsia="Times New Roman" w:hAnsiTheme="majorHAnsi" w:cstheme="majorHAnsi"/>
          <w:i/>
          <w:iCs/>
          <w:szCs w:val="24"/>
          <w:lang w:val="en-IN" w:eastAsia="en-IN"/>
        </w:rPr>
        <w:t>Escherichia coli</w:t>
      </w:r>
      <w:r w:rsidRPr="00935A12">
        <w:rPr>
          <w:rFonts w:asciiTheme="majorHAnsi" w:eastAsia="Times New Roman" w:hAnsiTheme="majorHAnsi" w:cstheme="majorHAnsi"/>
          <w:szCs w:val="24"/>
          <w:lang w:val="en-IN" w:eastAsia="en-IN"/>
        </w:rPr>
        <w:t xml:space="preserve"> </w:t>
      </w:r>
      <w:r w:rsidRPr="00935A12">
        <w:rPr>
          <w:rFonts w:asciiTheme="majorHAnsi" w:eastAsia="Times New Roman" w:hAnsiTheme="majorHAnsi" w:cstheme="majorHAnsi"/>
          <w:i/>
          <w:iCs/>
          <w:szCs w:val="24"/>
          <w:lang w:val="en-IN" w:eastAsia="en-IN"/>
        </w:rPr>
        <w:t>tnaA</w:t>
      </w:r>
      <w:r w:rsidRPr="00935A12">
        <w:rPr>
          <w:rFonts w:asciiTheme="majorHAnsi" w:eastAsia="Times New Roman" w:hAnsiTheme="majorHAnsi" w:cstheme="majorHAnsi"/>
          <w:szCs w:val="24"/>
          <w:lang w:val="en-IN" w:eastAsia="en-IN"/>
        </w:rPr>
        <w:t xml:space="preserve"> gene for constitutive indole production, as previously described</w:t>
      </w:r>
      <w:r w:rsidR="00BF76C5" w:rsidRPr="00935A12">
        <w:rPr>
          <w:rFonts w:asciiTheme="majorHAnsi" w:eastAsia="Times New Roman" w:hAnsiTheme="majorHAnsi" w:cstheme="majorHAnsi"/>
          <w:szCs w:val="24"/>
          <w:vertAlign w:val="superscript"/>
          <w:lang w:val="en-IN" w:eastAsia="en-IN"/>
        </w:rPr>
        <w:t>14-16</w:t>
      </w:r>
      <w:r w:rsidRPr="00935A12">
        <w:rPr>
          <w:rFonts w:asciiTheme="majorHAnsi" w:eastAsia="Times New Roman" w:hAnsiTheme="majorHAnsi" w:cstheme="majorHAnsi"/>
          <w:szCs w:val="24"/>
          <w:lang w:val="en-IN" w:eastAsia="en-IN"/>
        </w:rPr>
        <w:t>.</w:t>
      </w:r>
    </w:p>
    <w:p w14:paraId="118CAF13" w14:textId="77777777" w:rsidR="00BB01C3" w:rsidRPr="00935A12" w:rsidRDefault="00BB01C3" w:rsidP="008A0491">
      <w:pPr>
        <w:spacing w:after="0"/>
        <w:jc w:val="both"/>
        <w:rPr>
          <w:rFonts w:asciiTheme="majorHAnsi" w:eastAsia="Times New Roman" w:hAnsiTheme="majorHAnsi" w:cstheme="majorHAnsi"/>
          <w:szCs w:val="24"/>
          <w:lang w:val="en-IN" w:eastAsia="en-IN"/>
        </w:rPr>
      </w:pPr>
    </w:p>
    <w:p w14:paraId="104C1449" w14:textId="1001560D" w:rsidR="00F322D8" w:rsidRPr="00935A12" w:rsidRDefault="00F322D8" w:rsidP="008A0491">
      <w:pPr>
        <w:pStyle w:val="ListParagraph"/>
        <w:numPr>
          <w:ilvl w:val="2"/>
          <w:numId w:val="58"/>
        </w:numPr>
        <w:spacing w:after="0"/>
        <w:ind w:left="0" w:firstLine="0"/>
        <w:jc w:val="both"/>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Maintain glycerol stocks at −80 °C in 20% glycerol. </w:t>
      </w:r>
    </w:p>
    <w:p w14:paraId="51B2E30D" w14:textId="04F1E670" w:rsidR="00F322D8" w:rsidRPr="00935A12" w:rsidRDefault="00F322D8" w:rsidP="008A0491">
      <w:pPr>
        <w:spacing w:after="0"/>
        <w:jc w:val="both"/>
        <w:rPr>
          <w:rFonts w:asciiTheme="majorHAnsi" w:eastAsia="Times New Roman" w:hAnsiTheme="majorHAnsi" w:cstheme="majorHAnsi"/>
          <w:szCs w:val="24"/>
          <w:lang w:val="en-IN" w:eastAsia="en-IN"/>
        </w:rPr>
      </w:pPr>
    </w:p>
    <w:p w14:paraId="56BD3BD8" w14:textId="37B4C7EA"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Bacterial </w:t>
      </w:r>
      <w:r w:rsidR="00866043" w:rsidRPr="00935A12">
        <w:rPr>
          <w:rFonts w:asciiTheme="majorHAnsi" w:eastAsia="Times New Roman" w:hAnsiTheme="majorHAnsi" w:cstheme="majorHAnsi"/>
          <w:szCs w:val="24"/>
          <w:lang w:val="en-IN" w:eastAsia="en-IN"/>
        </w:rPr>
        <w:t>c</w:t>
      </w:r>
      <w:r w:rsidRPr="00935A12">
        <w:rPr>
          <w:rFonts w:asciiTheme="majorHAnsi" w:eastAsia="Times New Roman" w:hAnsiTheme="majorHAnsi" w:cstheme="majorHAnsi"/>
          <w:szCs w:val="24"/>
          <w:lang w:val="en-IN" w:eastAsia="en-IN"/>
        </w:rPr>
        <w:t xml:space="preserve">ulture on </w:t>
      </w:r>
      <w:r w:rsidR="00866043" w:rsidRPr="00935A12">
        <w:rPr>
          <w:rFonts w:asciiTheme="majorHAnsi" w:eastAsia="Times New Roman" w:hAnsiTheme="majorHAnsi" w:cstheme="majorHAnsi"/>
          <w:szCs w:val="24"/>
          <w:lang w:val="en-IN" w:eastAsia="en-IN"/>
        </w:rPr>
        <w:t>s</w:t>
      </w:r>
      <w:r w:rsidRPr="00935A12">
        <w:rPr>
          <w:rFonts w:asciiTheme="majorHAnsi" w:eastAsia="Times New Roman" w:hAnsiTheme="majorHAnsi" w:cstheme="majorHAnsi"/>
          <w:szCs w:val="24"/>
          <w:lang w:val="en-IN" w:eastAsia="en-IN"/>
        </w:rPr>
        <w:t xml:space="preserve">elective </w:t>
      </w:r>
      <w:r w:rsidR="00866043" w:rsidRPr="00935A12">
        <w:rPr>
          <w:rFonts w:asciiTheme="majorHAnsi" w:eastAsia="Times New Roman" w:hAnsiTheme="majorHAnsi" w:cstheme="majorHAnsi"/>
          <w:szCs w:val="24"/>
          <w:lang w:val="en-IN" w:eastAsia="en-IN"/>
        </w:rPr>
        <w:t>a</w:t>
      </w:r>
      <w:r w:rsidRPr="00935A12">
        <w:rPr>
          <w:rFonts w:asciiTheme="majorHAnsi" w:eastAsia="Times New Roman" w:hAnsiTheme="majorHAnsi" w:cstheme="majorHAnsi"/>
          <w:szCs w:val="24"/>
          <w:lang w:val="en-IN" w:eastAsia="en-IN"/>
        </w:rPr>
        <w:t>gar</w:t>
      </w:r>
    </w:p>
    <w:p w14:paraId="708DE595" w14:textId="77777777" w:rsidR="00866043" w:rsidRPr="00935A12" w:rsidRDefault="00866043" w:rsidP="008A0491">
      <w:pPr>
        <w:pStyle w:val="ListParagraph"/>
        <w:spacing w:after="0"/>
        <w:ind w:left="0"/>
        <w:jc w:val="both"/>
        <w:outlineLvl w:val="2"/>
        <w:rPr>
          <w:rFonts w:asciiTheme="majorHAnsi" w:eastAsia="Times New Roman" w:hAnsiTheme="majorHAnsi" w:cstheme="majorHAnsi"/>
          <w:b/>
          <w:bCs/>
          <w:szCs w:val="24"/>
          <w:lang w:val="en-IN" w:eastAsia="en-IN"/>
        </w:rPr>
      </w:pPr>
    </w:p>
    <w:p w14:paraId="056B4E34" w14:textId="778F6ADF"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Retrieve a frozen glycerol stock from −80 °C storage. Streak 10–20 µL onto tryptic soy agar (TSA) plates supplemented with chloramphenicol (25–30 µg/mL). </w:t>
      </w:r>
    </w:p>
    <w:p w14:paraId="5204D3B4" w14:textId="77777777" w:rsidR="00866043" w:rsidRPr="00935A12" w:rsidRDefault="00866043" w:rsidP="008A0491">
      <w:pPr>
        <w:pStyle w:val="ListParagraph"/>
        <w:spacing w:after="0"/>
        <w:ind w:left="0"/>
        <w:jc w:val="both"/>
        <w:rPr>
          <w:rFonts w:asciiTheme="majorHAnsi" w:eastAsia="Times New Roman" w:hAnsiTheme="majorHAnsi" w:cstheme="majorHAnsi"/>
          <w:szCs w:val="24"/>
          <w:lang w:val="en-IN" w:eastAsia="en-IN"/>
        </w:rPr>
      </w:pPr>
    </w:p>
    <w:p w14:paraId="00A3C888" w14:textId="191D36CE"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Incubate plates at 37 °C under ambient CO₂ conditions for 48–72 h until individual colonies (2–3 mm diameter) are visible. </w:t>
      </w:r>
    </w:p>
    <w:p w14:paraId="315BB91F" w14:textId="77777777" w:rsidR="00866043" w:rsidRPr="00935A12" w:rsidRDefault="00866043" w:rsidP="008A0491">
      <w:pPr>
        <w:spacing w:after="0"/>
        <w:jc w:val="both"/>
        <w:rPr>
          <w:rFonts w:asciiTheme="majorHAnsi" w:eastAsia="Times New Roman" w:hAnsiTheme="majorHAnsi" w:cstheme="majorHAnsi"/>
          <w:szCs w:val="24"/>
          <w:lang w:val="en-IN" w:eastAsia="en-IN"/>
        </w:rPr>
      </w:pPr>
    </w:p>
    <w:p w14:paraId="2650C041" w14:textId="77777777" w:rsidR="00F322D8" w:rsidRPr="00935A12" w:rsidRDefault="00F322D8" w:rsidP="008A0491">
      <w:pPr>
        <w:spacing w:after="0"/>
        <w:jc w:val="both"/>
        <w:rPr>
          <w:rFonts w:asciiTheme="majorHAnsi" w:eastAsia="Times New Roman" w:hAnsiTheme="majorHAnsi" w:cstheme="majorHAnsi"/>
          <w:szCs w:val="24"/>
          <w:lang w:val="en-IN" w:eastAsia="en-IN"/>
        </w:rPr>
      </w:pPr>
      <w:r w:rsidRPr="00935A12">
        <w:rPr>
          <w:rFonts w:asciiTheme="majorHAnsi" w:eastAsia="Times New Roman" w:hAnsiTheme="majorHAnsi" w:cstheme="majorHAnsi"/>
          <w:szCs w:val="24"/>
          <w:lang w:val="en-IN" w:eastAsia="en-IN"/>
        </w:rPr>
        <w:t xml:space="preserve">CAUTION: Work with </w:t>
      </w:r>
      <w:r w:rsidRPr="00935A12">
        <w:rPr>
          <w:rFonts w:asciiTheme="majorHAnsi" w:eastAsia="Times New Roman" w:hAnsiTheme="majorHAnsi" w:cstheme="majorHAnsi"/>
          <w:i/>
          <w:iCs/>
          <w:szCs w:val="24"/>
          <w:lang w:val="en-IN" w:eastAsia="en-IN"/>
        </w:rPr>
        <w:t>Brucella</w:t>
      </w:r>
      <w:r w:rsidRPr="00935A12">
        <w:rPr>
          <w:rFonts w:asciiTheme="majorHAnsi" w:eastAsia="Times New Roman" w:hAnsiTheme="majorHAnsi" w:cstheme="majorHAnsi"/>
          <w:szCs w:val="24"/>
          <w:lang w:val="en-IN" w:eastAsia="en-IN"/>
        </w:rPr>
        <w:t xml:space="preserve"> strains requires appropriate biosafety level facilities (minimum BSL2). Follow institutional biosafety protocols and required approvals.</w:t>
      </w:r>
    </w:p>
    <w:p w14:paraId="02EC55F5" w14:textId="559E57DA"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3FAA5CE7" w14:textId="21ECF5BC"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Liquid </w:t>
      </w:r>
      <w:r w:rsidR="00866043" w:rsidRPr="00935A12">
        <w:rPr>
          <w:rFonts w:asciiTheme="majorHAnsi" w:eastAsia="Times New Roman" w:hAnsiTheme="majorHAnsi" w:cstheme="majorHAnsi"/>
          <w:szCs w:val="24"/>
          <w:highlight w:val="yellow"/>
          <w:lang w:val="en-IN" w:eastAsia="en-IN"/>
        </w:rPr>
        <w:t>c</w:t>
      </w:r>
      <w:r w:rsidRPr="00935A12">
        <w:rPr>
          <w:rFonts w:asciiTheme="majorHAnsi" w:eastAsia="Times New Roman" w:hAnsiTheme="majorHAnsi" w:cstheme="majorHAnsi"/>
          <w:szCs w:val="24"/>
          <w:highlight w:val="yellow"/>
          <w:lang w:val="en-IN" w:eastAsia="en-IN"/>
        </w:rPr>
        <w:t xml:space="preserve">ulture </w:t>
      </w:r>
      <w:r w:rsidR="00866043" w:rsidRPr="00935A12">
        <w:rPr>
          <w:rFonts w:asciiTheme="majorHAnsi" w:eastAsia="Times New Roman" w:hAnsiTheme="majorHAnsi" w:cstheme="majorHAnsi"/>
          <w:szCs w:val="24"/>
          <w:highlight w:val="yellow"/>
          <w:lang w:val="en-IN" w:eastAsia="en-IN"/>
        </w:rPr>
        <w:t>p</w:t>
      </w:r>
      <w:r w:rsidRPr="00935A12">
        <w:rPr>
          <w:rFonts w:asciiTheme="majorHAnsi" w:eastAsia="Times New Roman" w:hAnsiTheme="majorHAnsi" w:cstheme="majorHAnsi"/>
          <w:szCs w:val="24"/>
          <w:highlight w:val="yellow"/>
          <w:lang w:val="en-IN" w:eastAsia="en-IN"/>
        </w:rPr>
        <w:t>reparation</w:t>
      </w:r>
    </w:p>
    <w:p w14:paraId="7236A83A" w14:textId="77777777" w:rsidR="00866043" w:rsidRPr="00935A12" w:rsidRDefault="00866043" w:rsidP="008A0491">
      <w:pPr>
        <w:pStyle w:val="ListParagraph"/>
        <w:spacing w:after="0"/>
        <w:ind w:left="0"/>
        <w:jc w:val="both"/>
        <w:outlineLvl w:val="2"/>
        <w:rPr>
          <w:rFonts w:asciiTheme="majorHAnsi" w:eastAsia="Times New Roman" w:hAnsiTheme="majorHAnsi" w:cstheme="majorHAnsi"/>
          <w:b/>
          <w:bCs/>
          <w:szCs w:val="24"/>
          <w:highlight w:val="yellow"/>
          <w:lang w:val="en-IN" w:eastAsia="en-IN"/>
        </w:rPr>
      </w:pPr>
    </w:p>
    <w:p w14:paraId="6AFBE1FE" w14:textId="0B2E8569"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Select a fresh TSA plate (≤1 week old). Pick 2–3 isolated colonies using a sterile loop. </w:t>
      </w:r>
    </w:p>
    <w:p w14:paraId="3EFF177F" w14:textId="77777777" w:rsidR="00866043" w:rsidRPr="00935A12" w:rsidRDefault="00866043" w:rsidP="008A0491">
      <w:pPr>
        <w:pStyle w:val="ListParagraph"/>
        <w:spacing w:after="0"/>
        <w:ind w:left="0"/>
        <w:jc w:val="both"/>
        <w:rPr>
          <w:rFonts w:asciiTheme="majorHAnsi" w:eastAsia="Times New Roman" w:hAnsiTheme="majorHAnsi" w:cstheme="majorHAnsi"/>
          <w:szCs w:val="24"/>
          <w:highlight w:val="yellow"/>
          <w:lang w:val="en-IN" w:eastAsia="en-IN"/>
        </w:rPr>
      </w:pPr>
    </w:p>
    <w:p w14:paraId="5FFBCBF8" w14:textId="3D1AB887"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Inoculate into 10 mL</w:t>
      </w:r>
      <w:r w:rsidR="00866043" w:rsidRPr="00935A12">
        <w:rPr>
          <w:rFonts w:asciiTheme="majorHAnsi" w:eastAsia="Times New Roman" w:hAnsiTheme="majorHAnsi" w:cstheme="majorHAnsi"/>
          <w:szCs w:val="24"/>
          <w:highlight w:val="yellow"/>
          <w:lang w:val="en-IN" w:eastAsia="en-IN"/>
        </w:rPr>
        <w:t xml:space="preserve"> of</w:t>
      </w:r>
      <w:r w:rsidRPr="00935A12">
        <w:rPr>
          <w:rFonts w:asciiTheme="majorHAnsi" w:eastAsia="Times New Roman" w:hAnsiTheme="majorHAnsi" w:cstheme="majorHAnsi"/>
          <w:szCs w:val="24"/>
          <w:highlight w:val="yellow"/>
          <w:lang w:val="en-IN" w:eastAsia="en-IN"/>
        </w:rPr>
        <w:t xml:space="preserve"> tryptic soy broth (TSB) supplemented with chloramphenicol (25–30 µg/mL) in a sterile 15 mL tube. Incubate at 37 °C with shaking at 250 rpm under ambient CO₂ conditions. </w:t>
      </w:r>
    </w:p>
    <w:p w14:paraId="3AFACC9B" w14:textId="77777777" w:rsidR="00866043" w:rsidRPr="00935A12" w:rsidRDefault="00866043" w:rsidP="008A0491">
      <w:pPr>
        <w:spacing w:after="0"/>
        <w:jc w:val="both"/>
        <w:rPr>
          <w:rFonts w:asciiTheme="majorHAnsi" w:eastAsia="Times New Roman" w:hAnsiTheme="majorHAnsi" w:cstheme="majorHAnsi"/>
          <w:szCs w:val="24"/>
          <w:highlight w:val="yellow"/>
          <w:lang w:val="en-IN" w:eastAsia="en-IN"/>
        </w:rPr>
      </w:pPr>
    </w:p>
    <w:p w14:paraId="59CCD3A4"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lastRenderedPageBreak/>
        <w:t>NOTE: For scale-up, use a 250 mL baffled Erlenmeyer flask.</w:t>
      </w:r>
    </w:p>
    <w:p w14:paraId="21E01FA9" w14:textId="5792F140"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2E2B4B25" w14:textId="46A5A6D9"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Growth </w:t>
      </w:r>
      <w:r w:rsidR="00866043" w:rsidRPr="00935A12">
        <w:rPr>
          <w:rFonts w:asciiTheme="majorHAnsi" w:eastAsia="Times New Roman" w:hAnsiTheme="majorHAnsi" w:cstheme="majorHAnsi"/>
          <w:szCs w:val="24"/>
          <w:highlight w:val="yellow"/>
          <w:lang w:val="en-IN" w:eastAsia="en-IN"/>
        </w:rPr>
        <w:t>m</w:t>
      </w:r>
      <w:r w:rsidRPr="00935A12">
        <w:rPr>
          <w:rFonts w:asciiTheme="majorHAnsi" w:eastAsia="Times New Roman" w:hAnsiTheme="majorHAnsi" w:cstheme="majorHAnsi"/>
          <w:szCs w:val="24"/>
          <w:highlight w:val="yellow"/>
          <w:lang w:val="en-IN" w:eastAsia="en-IN"/>
        </w:rPr>
        <w:t xml:space="preserve">onitoring and </w:t>
      </w:r>
      <w:r w:rsidR="00866043" w:rsidRPr="00935A12">
        <w:rPr>
          <w:rFonts w:asciiTheme="majorHAnsi" w:eastAsia="Times New Roman" w:hAnsiTheme="majorHAnsi" w:cstheme="majorHAnsi"/>
          <w:szCs w:val="24"/>
          <w:highlight w:val="yellow"/>
          <w:lang w:val="en-IN" w:eastAsia="en-IN"/>
        </w:rPr>
        <w:t>h</w:t>
      </w:r>
      <w:r w:rsidRPr="00935A12">
        <w:rPr>
          <w:rFonts w:asciiTheme="majorHAnsi" w:eastAsia="Times New Roman" w:hAnsiTheme="majorHAnsi" w:cstheme="majorHAnsi"/>
          <w:szCs w:val="24"/>
          <w:highlight w:val="yellow"/>
          <w:lang w:val="en-IN" w:eastAsia="en-IN"/>
        </w:rPr>
        <w:t>arvest</w:t>
      </w:r>
    </w:p>
    <w:p w14:paraId="1DD1E836" w14:textId="77777777" w:rsidR="00866043" w:rsidRPr="00935A12" w:rsidRDefault="00866043" w:rsidP="008A0491">
      <w:pPr>
        <w:pStyle w:val="ListParagraph"/>
        <w:spacing w:after="0"/>
        <w:ind w:left="0"/>
        <w:jc w:val="both"/>
        <w:outlineLvl w:val="2"/>
        <w:rPr>
          <w:rFonts w:asciiTheme="majorHAnsi" w:eastAsia="Times New Roman" w:hAnsiTheme="majorHAnsi" w:cstheme="majorHAnsi"/>
          <w:b/>
          <w:bCs/>
          <w:szCs w:val="24"/>
          <w:highlight w:val="yellow"/>
          <w:lang w:val="en-IN" w:eastAsia="en-IN"/>
        </w:rPr>
      </w:pPr>
    </w:p>
    <w:p w14:paraId="4DEE9F7C" w14:textId="6D8B8EE9"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Blank the spectrophotometer using sterile TSB supplemented with chloramphenicol. </w:t>
      </w:r>
    </w:p>
    <w:p w14:paraId="196A6C5F" w14:textId="77777777" w:rsidR="0029370A" w:rsidRPr="00935A12" w:rsidRDefault="0029370A" w:rsidP="008A0491">
      <w:pPr>
        <w:pStyle w:val="ListParagraph"/>
        <w:spacing w:after="0"/>
        <w:ind w:left="0"/>
        <w:jc w:val="both"/>
        <w:rPr>
          <w:rFonts w:asciiTheme="majorHAnsi" w:eastAsia="Times New Roman" w:hAnsiTheme="majorHAnsi" w:cstheme="majorHAnsi"/>
          <w:szCs w:val="24"/>
          <w:highlight w:val="yellow"/>
          <w:lang w:val="en-IN" w:eastAsia="en-IN"/>
        </w:rPr>
      </w:pPr>
    </w:p>
    <w:p w14:paraId="5669381B" w14:textId="10DDE688"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Measure OD₆₀₀ every 2–3 h. </w:t>
      </w:r>
    </w:p>
    <w:p w14:paraId="6B685770" w14:textId="77777777" w:rsidR="0029370A" w:rsidRPr="00935A12" w:rsidRDefault="0029370A" w:rsidP="008A0491">
      <w:pPr>
        <w:spacing w:after="0"/>
        <w:jc w:val="both"/>
        <w:rPr>
          <w:rFonts w:asciiTheme="majorHAnsi" w:eastAsia="Times New Roman" w:hAnsiTheme="majorHAnsi" w:cstheme="majorHAnsi"/>
          <w:szCs w:val="24"/>
          <w:highlight w:val="yellow"/>
          <w:lang w:val="en-IN" w:eastAsia="en-IN"/>
        </w:rPr>
      </w:pPr>
    </w:p>
    <w:p w14:paraId="1D9A3868" w14:textId="66D19688"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Continue incubation until OD₆₀₀ reaches 2.0 ± 0.2 (approximately 18–24 h). </w:t>
      </w:r>
    </w:p>
    <w:p w14:paraId="13646A39" w14:textId="77777777" w:rsidR="0029370A" w:rsidRPr="00935A12" w:rsidRDefault="0029370A" w:rsidP="008A0491">
      <w:pPr>
        <w:spacing w:after="0"/>
        <w:jc w:val="both"/>
        <w:rPr>
          <w:rFonts w:asciiTheme="majorHAnsi" w:eastAsia="Times New Roman" w:hAnsiTheme="majorHAnsi" w:cstheme="majorHAnsi"/>
          <w:szCs w:val="24"/>
          <w:highlight w:val="yellow"/>
          <w:lang w:val="en-IN" w:eastAsia="en-IN"/>
        </w:rPr>
      </w:pPr>
    </w:p>
    <w:p w14:paraId="4072A408"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CRITICAL STEP: Harvest at OD₆₀₀ = 2.0 ± 0.2 for consistent bacterial concentration and viability.</w:t>
      </w:r>
    </w:p>
    <w:p w14:paraId="090B8DDE"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w:t>
      </w:r>
      <w:r w:rsidRPr="00935A12">
        <w:rPr>
          <w:rFonts w:asciiTheme="majorHAnsi" w:eastAsia="Times New Roman" w:hAnsiTheme="majorHAnsi" w:cstheme="majorHAnsi"/>
          <w:b/>
          <w:bCs/>
          <w:szCs w:val="24"/>
          <w:highlight w:val="yellow"/>
          <w:lang w:val="en-IN" w:eastAsia="en-IN"/>
        </w:rPr>
        <w:t>:</w:t>
      </w:r>
      <w:r w:rsidRPr="00935A12">
        <w:rPr>
          <w:rFonts w:asciiTheme="majorHAnsi" w:eastAsia="Times New Roman" w:hAnsiTheme="majorHAnsi" w:cstheme="majorHAnsi"/>
          <w:szCs w:val="24"/>
          <w:highlight w:val="yellow"/>
          <w:lang w:val="en-IN" w:eastAsia="en-IN"/>
        </w:rPr>
        <w:t xml:space="preserve"> Under these conditions, OD₆₀₀ ≈ 2.0 corresponds to mid-to-late log phase.</w:t>
      </w:r>
    </w:p>
    <w:p w14:paraId="1B4E31A7" w14:textId="27A48BB4"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21D38965" w14:textId="6271CA07"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CFU </w:t>
      </w:r>
      <w:r w:rsidR="0029370A" w:rsidRPr="00935A12">
        <w:rPr>
          <w:rFonts w:asciiTheme="majorHAnsi" w:eastAsia="Times New Roman" w:hAnsiTheme="majorHAnsi" w:cstheme="majorHAnsi"/>
          <w:szCs w:val="24"/>
          <w:highlight w:val="yellow"/>
          <w:lang w:val="en-IN" w:eastAsia="en-IN"/>
        </w:rPr>
        <w:t>e</w:t>
      </w:r>
      <w:r w:rsidRPr="00935A12">
        <w:rPr>
          <w:rFonts w:asciiTheme="majorHAnsi" w:eastAsia="Times New Roman" w:hAnsiTheme="majorHAnsi" w:cstheme="majorHAnsi"/>
          <w:szCs w:val="24"/>
          <w:highlight w:val="yellow"/>
          <w:lang w:val="en-IN" w:eastAsia="en-IN"/>
        </w:rPr>
        <w:t>stimation</w:t>
      </w:r>
    </w:p>
    <w:p w14:paraId="541E88FD" w14:textId="77777777" w:rsidR="0029370A" w:rsidRPr="00935A12" w:rsidRDefault="0029370A" w:rsidP="008A0491">
      <w:pPr>
        <w:pStyle w:val="ListParagraph"/>
        <w:spacing w:after="0"/>
        <w:ind w:left="0"/>
        <w:jc w:val="both"/>
        <w:outlineLvl w:val="2"/>
        <w:rPr>
          <w:rFonts w:asciiTheme="majorHAnsi" w:eastAsia="Times New Roman" w:hAnsiTheme="majorHAnsi" w:cstheme="majorHAnsi"/>
          <w:b/>
          <w:bCs/>
          <w:szCs w:val="24"/>
          <w:highlight w:val="yellow"/>
          <w:lang w:val="en-IN" w:eastAsia="en-IN"/>
        </w:rPr>
      </w:pPr>
    </w:p>
    <w:p w14:paraId="4B4AA43C" w14:textId="1C07F799"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Estimate bacterial concentration using the relationship:</w:t>
      </w:r>
      <w:r w:rsidRPr="00935A12">
        <w:rPr>
          <w:rFonts w:asciiTheme="majorHAnsi" w:eastAsia="Times New Roman" w:hAnsiTheme="majorHAnsi" w:cstheme="majorHAnsi"/>
          <w:szCs w:val="24"/>
          <w:highlight w:val="yellow"/>
          <w:lang w:val="en-IN" w:eastAsia="en-IN"/>
        </w:rPr>
        <w:br/>
        <w:t xml:space="preserve">OD₆₀₀ = 1 corresponds to 5 × 10⁹ CFU/mL. </w:t>
      </w:r>
    </w:p>
    <w:p w14:paraId="2BC71717" w14:textId="77777777" w:rsidR="0029370A" w:rsidRPr="00935A12" w:rsidRDefault="0029370A" w:rsidP="008A0491">
      <w:pPr>
        <w:pStyle w:val="ListParagraph"/>
        <w:spacing w:after="0"/>
        <w:ind w:left="0"/>
        <w:jc w:val="both"/>
        <w:rPr>
          <w:rFonts w:asciiTheme="majorHAnsi" w:eastAsia="Times New Roman" w:hAnsiTheme="majorHAnsi" w:cstheme="majorHAnsi"/>
          <w:szCs w:val="24"/>
          <w:highlight w:val="yellow"/>
          <w:lang w:val="en-IN" w:eastAsia="en-IN"/>
        </w:rPr>
      </w:pPr>
    </w:p>
    <w:p w14:paraId="098B62A6"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 A 10 mL culture at OD₆₀₀ = 2.0 contains approximately 1 × 10¹¹ CFU.</w:t>
      </w:r>
    </w:p>
    <w:p w14:paraId="7C1B8914" w14:textId="77777777" w:rsidR="0029370A" w:rsidRPr="00935A12" w:rsidRDefault="0029370A" w:rsidP="008A0491">
      <w:pPr>
        <w:spacing w:after="0"/>
        <w:jc w:val="both"/>
        <w:rPr>
          <w:rFonts w:asciiTheme="majorHAnsi" w:eastAsia="Times New Roman" w:hAnsiTheme="majorHAnsi" w:cstheme="majorHAnsi"/>
          <w:szCs w:val="24"/>
          <w:highlight w:val="yellow"/>
          <w:lang w:val="en-IN" w:eastAsia="en-IN"/>
        </w:rPr>
      </w:pPr>
    </w:p>
    <w:p w14:paraId="3254F223" w14:textId="552F8FB2"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b/>
          <w:bCs/>
          <w:szCs w:val="24"/>
          <w:highlight w:val="yellow"/>
          <w:lang w:val="en-IN" w:eastAsia="en-IN"/>
        </w:rPr>
        <w:t>OPTIONAL:</w:t>
      </w:r>
      <w:r w:rsidR="0029370A" w:rsidRPr="00935A12">
        <w:rPr>
          <w:rFonts w:asciiTheme="majorHAnsi" w:eastAsia="Times New Roman" w:hAnsiTheme="majorHAnsi" w:cstheme="majorHAnsi"/>
          <w:b/>
          <w:bCs/>
          <w:szCs w:val="24"/>
          <w:highlight w:val="yellow"/>
          <w:lang w:val="en-IN" w:eastAsia="en-IN"/>
        </w:rPr>
        <w:t xml:space="preserve"> </w:t>
      </w:r>
      <w:r w:rsidRPr="00935A12">
        <w:rPr>
          <w:rFonts w:asciiTheme="majorHAnsi" w:eastAsia="Times New Roman" w:hAnsiTheme="majorHAnsi" w:cstheme="majorHAnsi"/>
          <w:szCs w:val="24"/>
          <w:highlight w:val="yellow"/>
          <w:lang w:val="en-IN" w:eastAsia="en-IN"/>
        </w:rPr>
        <w:t xml:space="preserve">Prepare 10-fold serial dilutions (10⁻⁶ to 10⁻⁹) in sterile PBS. Plate 100 µL onto TSA supplemented with chloramphenicol. Incubate at 37 °C for 48–72 h. Count colonies to confirm CFU. </w:t>
      </w:r>
    </w:p>
    <w:p w14:paraId="7FD9E8C6" w14:textId="0DEA212A"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65C3FFBE" w14:textId="4681987E"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Bacterial </w:t>
      </w:r>
      <w:r w:rsidR="00BA1636" w:rsidRPr="00935A12">
        <w:rPr>
          <w:rFonts w:asciiTheme="majorHAnsi" w:eastAsia="Times New Roman" w:hAnsiTheme="majorHAnsi" w:cstheme="majorHAnsi"/>
          <w:szCs w:val="24"/>
          <w:highlight w:val="yellow"/>
          <w:lang w:val="en-IN" w:eastAsia="en-IN"/>
        </w:rPr>
        <w:t>h</w:t>
      </w:r>
      <w:r w:rsidRPr="00935A12">
        <w:rPr>
          <w:rFonts w:asciiTheme="majorHAnsi" w:eastAsia="Times New Roman" w:hAnsiTheme="majorHAnsi" w:cstheme="majorHAnsi"/>
          <w:szCs w:val="24"/>
          <w:highlight w:val="yellow"/>
          <w:lang w:val="en-IN" w:eastAsia="en-IN"/>
        </w:rPr>
        <w:t xml:space="preserve">arvest and </w:t>
      </w:r>
      <w:r w:rsidR="00BA1636" w:rsidRPr="00935A12">
        <w:rPr>
          <w:rFonts w:asciiTheme="majorHAnsi" w:eastAsia="Times New Roman" w:hAnsiTheme="majorHAnsi" w:cstheme="majorHAnsi"/>
          <w:szCs w:val="24"/>
          <w:highlight w:val="yellow"/>
          <w:lang w:val="en-IN" w:eastAsia="en-IN"/>
        </w:rPr>
        <w:t>c</w:t>
      </w:r>
      <w:r w:rsidRPr="00935A12">
        <w:rPr>
          <w:rFonts w:asciiTheme="majorHAnsi" w:eastAsia="Times New Roman" w:hAnsiTheme="majorHAnsi" w:cstheme="majorHAnsi"/>
          <w:szCs w:val="24"/>
          <w:highlight w:val="yellow"/>
          <w:lang w:val="en-IN" w:eastAsia="en-IN"/>
        </w:rPr>
        <w:t>oncentration</w:t>
      </w:r>
    </w:p>
    <w:p w14:paraId="5F45FB90" w14:textId="77777777" w:rsidR="00BA1636" w:rsidRPr="00935A12" w:rsidRDefault="00BA1636" w:rsidP="008A0491">
      <w:pPr>
        <w:pStyle w:val="ListParagraph"/>
        <w:spacing w:after="0"/>
        <w:ind w:left="0"/>
        <w:jc w:val="both"/>
        <w:outlineLvl w:val="2"/>
        <w:rPr>
          <w:rFonts w:asciiTheme="majorHAnsi" w:eastAsia="Times New Roman" w:hAnsiTheme="majorHAnsi" w:cstheme="majorHAnsi"/>
          <w:b/>
          <w:bCs/>
          <w:szCs w:val="24"/>
          <w:highlight w:val="yellow"/>
          <w:lang w:val="en-IN" w:eastAsia="en-IN"/>
        </w:rPr>
      </w:pPr>
    </w:p>
    <w:p w14:paraId="0EB20FBA" w14:textId="77777777" w:rsidR="00BA1636"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Transfer the 10 mL culture to a sterile 15 mL conical tube. </w:t>
      </w:r>
    </w:p>
    <w:p w14:paraId="3BCEBCC5" w14:textId="77777777" w:rsidR="00BA1636" w:rsidRPr="00935A12" w:rsidRDefault="00BA1636" w:rsidP="008A0491">
      <w:pPr>
        <w:pStyle w:val="ListParagraph"/>
        <w:spacing w:after="0"/>
        <w:ind w:left="0"/>
        <w:jc w:val="both"/>
        <w:rPr>
          <w:rFonts w:asciiTheme="majorHAnsi" w:eastAsia="Times New Roman" w:hAnsiTheme="majorHAnsi" w:cstheme="majorHAnsi"/>
          <w:szCs w:val="24"/>
          <w:highlight w:val="yellow"/>
          <w:lang w:val="en-IN" w:eastAsia="en-IN"/>
        </w:rPr>
      </w:pPr>
    </w:p>
    <w:p w14:paraId="7BF2325C" w14:textId="37C71DD0"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Centrifuge at 3,000–4,000 × </w:t>
      </w:r>
      <w:r w:rsidRPr="00935A12">
        <w:rPr>
          <w:rFonts w:asciiTheme="majorHAnsi" w:eastAsia="Times New Roman" w:hAnsiTheme="majorHAnsi" w:cstheme="majorHAnsi"/>
          <w:i/>
          <w:iCs/>
          <w:szCs w:val="24"/>
          <w:highlight w:val="yellow"/>
          <w:lang w:val="en-IN" w:eastAsia="en-IN"/>
        </w:rPr>
        <w:t>g</w:t>
      </w:r>
      <w:r w:rsidRPr="00935A12">
        <w:rPr>
          <w:rFonts w:asciiTheme="majorHAnsi" w:eastAsia="Times New Roman" w:hAnsiTheme="majorHAnsi" w:cstheme="majorHAnsi"/>
          <w:szCs w:val="24"/>
          <w:highlight w:val="yellow"/>
          <w:lang w:val="en-IN" w:eastAsia="en-IN"/>
        </w:rPr>
        <w:t xml:space="preserve"> for 10 min at room temperature. </w:t>
      </w:r>
    </w:p>
    <w:p w14:paraId="21776401" w14:textId="77777777" w:rsidR="00BA1636" w:rsidRPr="00935A12" w:rsidRDefault="00BA1636" w:rsidP="008A0491">
      <w:pPr>
        <w:pStyle w:val="ListParagraph"/>
        <w:spacing w:after="0"/>
        <w:ind w:left="0"/>
        <w:jc w:val="both"/>
        <w:rPr>
          <w:rFonts w:asciiTheme="majorHAnsi" w:eastAsia="Times New Roman" w:hAnsiTheme="majorHAnsi" w:cstheme="majorHAnsi"/>
          <w:szCs w:val="24"/>
          <w:highlight w:val="yellow"/>
          <w:lang w:val="en-IN" w:eastAsia="en-IN"/>
        </w:rPr>
      </w:pPr>
    </w:p>
    <w:p w14:paraId="1582F37A" w14:textId="200FD1A7"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Carefully aspirate and discard the supernatant without disturbing the pellet. </w:t>
      </w:r>
    </w:p>
    <w:p w14:paraId="5BC35321" w14:textId="62AA0C82"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6F590196" w14:textId="3520EC38"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Resuspension for </w:t>
      </w:r>
      <w:r w:rsidR="00830291" w:rsidRPr="00935A12">
        <w:rPr>
          <w:rFonts w:asciiTheme="majorHAnsi" w:eastAsia="Times New Roman" w:hAnsiTheme="majorHAnsi" w:cstheme="majorHAnsi"/>
          <w:szCs w:val="24"/>
          <w:highlight w:val="yellow"/>
          <w:lang w:val="en-IN" w:eastAsia="en-IN"/>
        </w:rPr>
        <w:t>i</w:t>
      </w:r>
      <w:r w:rsidRPr="00935A12">
        <w:rPr>
          <w:rFonts w:asciiTheme="majorHAnsi" w:eastAsia="Times New Roman" w:hAnsiTheme="majorHAnsi" w:cstheme="majorHAnsi"/>
          <w:szCs w:val="24"/>
          <w:highlight w:val="yellow"/>
          <w:lang w:val="en-IN" w:eastAsia="en-IN"/>
        </w:rPr>
        <w:t>njection</w:t>
      </w:r>
    </w:p>
    <w:p w14:paraId="2A81AB6F" w14:textId="77777777" w:rsidR="00830291" w:rsidRPr="00935A12" w:rsidRDefault="00830291" w:rsidP="008A0491">
      <w:pPr>
        <w:pStyle w:val="ListParagraph"/>
        <w:spacing w:after="0"/>
        <w:ind w:left="0"/>
        <w:jc w:val="both"/>
        <w:outlineLvl w:val="2"/>
        <w:rPr>
          <w:rFonts w:asciiTheme="majorHAnsi" w:eastAsia="Times New Roman" w:hAnsiTheme="majorHAnsi" w:cstheme="majorHAnsi"/>
          <w:b/>
          <w:bCs/>
          <w:szCs w:val="24"/>
          <w:highlight w:val="yellow"/>
          <w:lang w:val="en-IN" w:eastAsia="en-IN"/>
        </w:rPr>
      </w:pPr>
    </w:p>
    <w:p w14:paraId="1A4D35DD" w14:textId="2B0BA9AD" w:rsidR="00F322D8" w:rsidRPr="00935A12" w:rsidRDefault="00F322D8" w:rsidP="008A0491">
      <w:pPr>
        <w:pStyle w:val="ListParagraph"/>
        <w:numPr>
          <w:ilvl w:val="2"/>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Add 1 mL</w:t>
      </w:r>
      <w:r w:rsidR="00830291" w:rsidRPr="00935A12">
        <w:rPr>
          <w:rFonts w:asciiTheme="majorHAnsi" w:eastAsia="Times New Roman" w:hAnsiTheme="majorHAnsi" w:cstheme="majorHAnsi"/>
          <w:szCs w:val="24"/>
          <w:highlight w:val="yellow"/>
          <w:lang w:val="en-IN" w:eastAsia="en-IN"/>
        </w:rPr>
        <w:t xml:space="preserve"> of</w:t>
      </w:r>
      <w:r w:rsidRPr="00935A12">
        <w:rPr>
          <w:rFonts w:asciiTheme="majorHAnsi" w:eastAsia="Times New Roman" w:hAnsiTheme="majorHAnsi" w:cstheme="majorHAnsi"/>
          <w:szCs w:val="24"/>
          <w:highlight w:val="yellow"/>
          <w:lang w:val="en-IN" w:eastAsia="en-IN"/>
        </w:rPr>
        <w:t xml:space="preserve"> sterile, endotoxin-free 1× phosphate-buffered saline (PBS, pH 7.4) to the bacterial pellet. Gently resuspend by pipetting 10–15</w:t>
      </w:r>
      <w:r w:rsidR="00830291" w:rsidRPr="00935A12">
        <w:rPr>
          <w:rFonts w:asciiTheme="majorHAnsi" w:eastAsia="Times New Roman" w:hAnsiTheme="majorHAnsi" w:cstheme="majorHAnsi"/>
          <w:szCs w:val="24"/>
          <w:highlight w:val="yellow"/>
          <w:lang w:val="en-IN" w:eastAsia="en-IN"/>
        </w:rPr>
        <w:t>x</w:t>
      </w:r>
      <w:r w:rsidRPr="00935A12">
        <w:rPr>
          <w:rFonts w:asciiTheme="majorHAnsi" w:eastAsia="Times New Roman" w:hAnsiTheme="majorHAnsi" w:cstheme="majorHAnsi"/>
          <w:szCs w:val="24"/>
          <w:highlight w:val="yellow"/>
          <w:lang w:val="en-IN" w:eastAsia="en-IN"/>
        </w:rPr>
        <w:t xml:space="preserve"> until a homogeneous suspension is achieved with no visible clumps. </w:t>
      </w:r>
    </w:p>
    <w:p w14:paraId="241AAC25" w14:textId="77777777" w:rsidR="00830291" w:rsidRPr="00935A12" w:rsidRDefault="00830291" w:rsidP="008A0491">
      <w:pPr>
        <w:pStyle w:val="ListParagraph"/>
        <w:spacing w:after="0"/>
        <w:ind w:left="0"/>
        <w:jc w:val="both"/>
        <w:rPr>
          <w:rFonts w:asciiTheme="majorHAnsi" w:eastAsia="Times New Roman" w:hAnsiTheme="majorHAnsi" w:cstheme="majorHAnsi"/>
          <w:szCs w:val="24"/>
          <w:highlight w:val="yellow"/>
          <w:lang w:val="en-IN" w:eastAsia="en-IN"/>
        </w:rPr>
      </w:pPr>
    </w:p>
    <w:p w14:paraId="1F18318F"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 The final concentration is approximately 1 × 10¹¹ CFU/mL.</w:t>
      </w:r>
    </w:p>
    <w:p w14:paraId="7E31FF5B" w14:textId="6F62B5B0" w:rsidR="00F322D8" w:rsidRPr="00935A12" w:rsidRDefault="00F322D8" w:rsidP="008A0491">
      <w:pPr>
        <w:pStyle w:val="ListParagraph"/>
        <w:spacing w:after="0"/>
        <w:ind w:left="0"/>
        <w:jc w:val="both"/>
        <w:rPr>
          <w:rFonts w:asciiTheme="majorHAnsi" w:eastAsia="Times New Roman" w:hAnsiTheme="majorHAnsi" w:cstheme="majorHAnsi"/>
          <w:szCs w:val="24"/>
          <w:highlight w:val="yellow"/>
          <w:lang w:val="en-IN" w:eastAsia="en-IN"/>
        </w:rPr>
      </w:pPr>
    </w:p>
    <w:p w14:paraId="5F1E400A" w14:textId="3BF6A7F0" w:rsidR="00F322D8" w:rsidRPr="00935A12" w:rsidRDefault="00F322D8" w:rsidP="008A0491">
      <w:pPr>
        <w:pStyle w:val="ListParagraph"/>
        <w:numPr>
          <w:ilvl w:val="1"/>
          <w:numId w:val="57"/>
        </w:numPr>
        <w:spacing w:after="0"/>
        <w:ind w:left="0" w:firstLine="0"/>
        <w:jc w:val="both"/>
        <w:outlineLvl w:val="2"/>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Storage and </w:t>
      </w:r>
      <w:r w:rsidR="00830291" w:rsidRPr="00935A12">
        <w:rPr>
          <w:rFonts w:asciiTheme="majorHAnsi" w:eastAsia="Times New Roman" w:hAnsiTheme="majorHAnsi" w:cstheme="majorHAnsi"/>
          <w:szCs w:val="24"/>
          <w:highlight w:val="yellow"/>
          <w:lang w:val="en-IN" w:eastAsia="en-IN"/>
        </w:rPr>
        <w:t>u</w:t>
      </w:r>
      <w:r w:rsidRPr="00935A12">
        <w:rPr>
          <w:rFonts w:asciiTheme="majorHAnsi" w:eastAsia="Times New Roman" w:hAnsiTheme="majorHAnsi" w:cstheme="majorHAnsi"/>
          <w:szCs w:val="24"/>
          <w:highlight w:val="yellow"/>
          <w:lang w:val="en-IN" w:eastAsia="en-IN"/>
        </w:rPr>
        <w:t>se</w:t>
      </w:r>
    </w:p>
    <w:p w14:paraId="73FCB3F8" w14:textId="77777777" w:rsidR="00830291" w:rsidRPr="00935A12" w:rsidRDefault="00830291" w:rsidP="008A0491">
      <w:pPr>
        <w:pStyle w:val="ListParagraph"/>
        <w:spacing w:after="0"/>
        <w:ind w:left="0"/>
        <w:jc w:val="both"/>
        <w:outlineLvl w:val="2"/>
        <w:rPr>
          <w:rFonts w:asciiTheme="majorHAnsi" w:eastAsia="Times New Roman" w:hAnsiTheme="majorHAnsi" w:cstheme="majorHAnsi"/>
          <w:szCs w:val="24"/>
          <w:highlight w:val="yellow"/>
          <w:lang w:val="en-IN" w:eastAsia="en-IN"/>
        </w:rPr>
      </w:pPr>
    </w:p>
    <w:p w14:paraId="58A1D98E" w14:textId="7BE2F768" w:rsidR="00F322D8" w:rsidRPr="00935A12" w:rsidRDefault="00F322D8" w:rsidP="008A0491">
      <w:pPr>
        <w:pStyle w:val="ListParagraph"/>
        <w:numPr>
          <w:ilvl w:val="2"/>
          <w:numId w:val="59"/>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lastRenderedPageBreak/>
        <w:t xml:space="preserve">Keep the bacterial suspension on ice in a closed tube. Use the suspension for intravenous injections within 4 h of preparation. </w:t>
      </w:r>
    </w:p>
    <w:p w14:paraId="5C06E108" w14:textId="77777777" w:rsidR="00830291" w:rsidRPr="00935A12" w:rsidRDefault="00830291" w:rsidP="008A0491">
      <w:pPr>
        <w:pStyle w:val="ListParagraph"/>
        <w:spacing w:after="0"/>
        <w:ind w:left="0"/>
        <w:jc w:val="both"/>
        <w:rPr>
          <w:rFonts w:asciiTheme="majorHAnsi" w:eastAsia="Times New Roman" w:hAnsiTheme="majorHAnsi" w:cstheme="majorHAnsi"/>
          <w:szCs w:val="24"/>
          <w:highlight w:val="yellow"/>
          <w:lang w:val="en-IN" w:eastAsia="en-IN"/>
        </w:rPr>
      </w:pPr>
    </w:p>
    <w:p w14:paraId="5423F214" w14:textId="6024F395"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 Do not freeze or store overnight, as bacterial viability decreases.</w:t>
      </w:r>
      <w:r w:rsidRPr="00935A12">
        <w:rPr>
          <w:rFonts w:asciiTheme="majorHAnsi" w:eastAsia="Times New Roman" w:hAnsiTheme="majorHAnsi" w:cstheme="majorHAnsi"/>
          <w:szCs w:val="24"/>
          <w:highlight w:val="yellow"/>
          <w:lang w:val="en-IN" w:eastAsia="en-IN"/>
        </w:rPr>
        <w:br/>
        <w:t>PAUSE POINT: Bacteria may be held on ice for up to 4 h; same-day use is recommended.</w:t>
      </w:r>
    </w:p>
    <w:p w14:paraId="020ACCC6" w14:textId="5B0DBCEF"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735E83CB" w14:textId="3D7E2C78" w:rsidR="00F322D8" w:rsidRPr="00935A12" w:rsidRDefault="00F322D8" w:rsidP="008A0491">
      <w:pPr>
        <w:pStyle w:val="ListParagraph"/>
        <w:numPr>
          <w:ilvl w:val="0"/>
          <w:numId w:val="57"/>
        </w:numPr>
        <w:spacing w:after="0"/>
        <w:ind w:left="0" w:firstLine="0"/>
        <w:jc w:val="both"/>
        <w:outlineLvl w:val="1"/>
        <w:rPr>
          <w:rFonts w:asciiTheme="majorHAnsi" w:eastAsia="Times New Roman" w:hAnsiTheme="majorHAnsi" w:cstheme="majorHAnsi"/>
          <w:b/>
          <w:bCs/>
          <w:szCs w:val="24"/>
          <w:highlight w:val="yellow"/>
          <w:lang w:val="en-IN" w:eastAsia="en-IN"/>
        </w:rPr>
      </w:pPr>
      <w:r w:rsidRPr="00935A12">
        <w:rPr>
          <w:rFonts w:asciiTheme="majorHAnsi" w:eastAsia="Times New Roman" w:hAnsiTheme="majorHAnsi" w:cstheme="majorHAnsi"/>
          <w:b/>
          <w:bCs/>
          <w:szCs w:val="24"/>
          <w:highlight w:val="yellow"/>
          <w:lang w:val="en-IN" w:eastAsia="en-IN"/>
        </w:rPr>
        <w:t xml:space="preserve">NOD/ShiLtJ </w:t>
      </w:r>
      <w:r w:rsidR="00830291" w:rsidRPr="00935A12">
        <w:rPr>
          <w:rFonts w:asciiTheme="majorHAnsi" w:eastAsia="Times New Roman" w:hAnsiTheme="majorHAnsi" w:cstheme="majorHAnsi"/>
          <w:b/>
          <w:bCs/>
          <w:szCs w:val="24"/>
          <w:highlight w:val="yellow"/>
          <w:lang w:val="en-IN" w:eastAsia="en-IN"/>
        </w:rPr>
        <w:t>m</w:t>
      </w:r>
      <w:r w:rsidRPr="00935A12">
        <w:rPr>
          <w:rFonts w:asciiTheme="majorHAnsi" w:eastAsia="Times New Roman" w:hAnsiTheme="majorHAnsi" w:cstheme="majorHAnsi"/>
          <w:b/>
          <w:bCs/>
          <w:szCs w:val="24"/>
          <w:highlight w:val="yellow"/>
          <w:lang w:val="en-IN" w:eastAsia="en-IN"/>
        </w:rPr>
        <w:t xml:space="preserve">ouse </w:t>
      </w:r>
      <w:r w:rsidR="00830291" w:rsidRPr="00935A12">
        <w:rPr>
          <w:rFonts w:asciiTheme="majorHAnsi" w:eastAsia="Times New Roman" w:hAnsiTheme="majorHAnsi" w:cstheme="majorHAnsi"/>
          <w:b/>
          <w:bCs/>
          <w:szCs w:val="24"/>
          <w:highlight w:val="yellow"/>
          <w:lang w:val="en-IN" w:eastAsia="en-IN"/>
        </w:rPr>
        <w:t>p</w:t>
      </w:r>
      <w:r w:rsidRPr="00935A12">
        <w:rPr>
          <w:rFonts w:asciiTheme="majorHAnsi" w:eastAsia="Times New Roman" w:hAnsiTheme="majorHAnsi" w:cstheme="majorHAnsi"/>
          <w:b/>
          <w:bCs/>
          <w:szCs w:val="24"/>
          <w:highlight w:val="yellow"/>
          <w:lang w:val="en-IN" w:eastAsia="en-IN"/>
        </w:rPr>
        <w:t xml:space="preserve">rocurement, </w:t>
      </w:r>
      <w:r w:rsidR="00830291" w:rsidRPr="00935A12">
        <w:rPr>
          <w:rFonts w:asciiTheme="majorHAnsi" w:eastAsia="Times New Roman" w:hAnsiTheme="majorHAnsi" w:cstheme="majorHAnsi"/>
          <w:b/>
          <w:bCs/>
          <w:szCs w:val="24"/>
          <w:highlight w:val="yellow"/>
          <w:lang w:val="en-IN" w:eastAsia="en-IN"/>
        </w:rPr>
        <w:t>h</w:t>
      </w:r>
      <w:r w:rsidRPr="00935A12">
        <w:rPr>
          <w:rFonts w:asciiTheme="majorHAnsi" w:eastAsia="Times New Roman" w:hAnsiTheme="majorHAnsi" w:cstheme="majorHAnsi"/>
          <w:b/>
          <w:bCs/>
          <w:szCs w:val="24"/>
          <w:highlight w:val="yellow"/>
          <w:lang w:val="en-IN" w:eastAsia="en-IN"/>
        </w:rPr>
        <w:t xml:space="preserve">ousing, and </w:t>
      </w:r>
      <w:r w:rsidR="00830291" w:rsidRPr="00935A12">
        <w:rPr>
          <w:rFonts w:asciiTheme="majorHAnsi" w:eastAsia="Times New Roman" w:hAnsiTheme="majorHAnsi" w:cstheme="majorHAnsi"/>
          <w:b/>
          <w:bCs/>
          <w:szCs w:val="24"/>
          <w:highlight w:val="yellow"/>
          <w:lang w:val="en-IN" w:eastAsia="en-IN"/>
        </w:rPr>
        <w:t>p</w:t>
      </w:r>
      <w:r w:rsidRPr="00935A12">
        <w:rPr>
          <w:rFonts w:asciiTheme="majorHAnsi" w:eastAsia="Times New Roman" w:hAnsiTheme="majorHAnsi" w:cstheme="majorHAnsi"/>
          <w:b/>
          <w:bCs/>
          <w:szCs w:val="24"/>
          <w:highlight w:val="yellow"/>
          <w:lang w:val="en-IN" w:eastAsia="en-IN"/>
        </w:rPr>
        <w:t>reparation</w:t>
      </w:r>
    </w:p>
    <w:p w14:paraId="49790FBC" w14:textId="77777777" w:rsidR="00830291" w:rsidRPr="00935A12" w:rsidRDefault="00830291" w:rsidP="008A0491">
      <w:pPr>
        <w:pStyle w:val="ListParagraph"/>
        <w:spacing w:after="0"/>
        <w:ind w:left="0"/>
        <w:jc w:val="both"/>
        <w:outlineLvl w:val="1"/>
        <w:rPr>
          <w:rFonts w:asciiTheme="majorHAnsi" w:eastAsia="Times New Roman" w:hAnsiTheme="majorHAnsi" w:cstheme="majorHAnsi"/>
          <w:b/>
          <w:bCs/>
          <w:szCs w:val="24"/>
          <w:highlight w:val="yellow"/>
          <w:lang w:val="en-IN" w:eastAsia="en-IN"/>
        </w:rPr>
      </w:pPr>
    </w:p>
    <w:p w14:paraId="72FF5382" w14:textId="2E873012"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Obtain female NOD/ShiLtJ mice. Acclimate mice for at least 7 days prior to experimentation. </w:t>
      </w:r>
    </w:p>
    <w:p w14:paraId="4BE59FD1" w14:textId="77777777" w:rsidR="00050FE2" w:rsidRPr="00935A12" w:rsidRDefault="00050FE2" w:rsidP="008A0491">
      <w:pPr>
        <w:pStyle w:val="ListParagraph"/>
        <w:spacing w:after="0"/>
        <w:ind w:left="0"/>
        <w:jc w:val="both"/>
        <w:rPr>
          <w:rFonts w:asciiTheme="majorHAnsi" w:eastAsia="Times New Roman" w:hAnsiTheme="majorHAnsi" w:cstheme="majorHAnsi"/>
          <w:szCs w:val="24"/>
          <w:highlight w:val="yellow"/>
          <w:lang w:val="en-IN" w:eastAsia="en-IN"/>
        </w:rPr>
      </w:pPr>
    </w:p>
    <w:p w14:paraId="48338641"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 Use female mice due to higher and more consistent diabetes incidence.</w:t>
      </w:r>
    </w:p>
    <w:p w14:paraId="7BB25855" w14:textId="5DF3BC1A"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74ABE9B4" w14:textId="39D0DD83"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House mice in individually ventilated cages under specific pathogen-free conditions. </w:t>
      </w:r>
      <w:r w:rsidR="00050FE2" w:rsidRPr="00935A12">
        <w:rPr>
          <w:rFonts w:asciiTheme="majorHAnsi" w:eastAsia="Times New Roman" w:hAnsiTheme="majorHAnsi" w:cstheme="majorHAnsi"/>
          <w:szCs w:val="24"/>
          <w:highlight w:val="yellow"/>
          <w:lang w:val="en-IN" w:eastAsia="en-IN"/>
        </w:rPr>
        <w:t xml:space="preserve"> </w:t>
      </w:r>
      <w:r w:rsidRPr="00935A12">
        <w:rPr>
          <w:rFonts w:asciiTheme="majorHAnsi" w:eastAsia="Times New Roman" w:hAnsiTheme="majorHAnsi" w:cstheme="majorHAnsi"/>
          <w:szCs w:val="24"/>
          <w:highlight w:val="yellow"/>
          <w:lang w:val="en-IN" w:eastAsia="en-IN"/>
        </w:rPr>
        <w:t xml:space="preserve">Maintain up to </w:t>
      </w:r>
      <w:r w:rsidR="00050FE2" w:rsidRPr="00935A12">
        <w:rPr>
          <w:rFonts w:asciiTheme="majorHAnsi" w:eastAsia="Times New Roman" w:hAnsiTheme="majorHAnsi" w:cstheme="majorHAnsi"/>
          <w:szCs w:val="24"/>
          <w:highlight w:val="yellow"/>
          <w:lang w:val="en-IN" w:eastAsia="en-IN"/>
        </w:rPr>
        <w:t>five</w:t>
      </w:r>
      <w:r w:rsidRPr="00935A12">
        <w:rPr>
          <w:rFonts w:asciiTheme="majorHAnsi" w:eastAsia="Times New Roman" w:hAnsiTheme="majorHAnsi" w:cstheme="majorHAnsi"/>
          <w:szCs w:val="24"/>
          <w:highlight w:val="yellow"/>
          <w:lang w:val="en-IN" w:eastAsia="en-IN"/>
        </w:rPr>
        <w:t xml:space="preserve"> mice per cage. </w:t>
      </w:r>
    </w:p>
    <w:p w14:paraId="03CF1365" w14:textId="77777777" w:rsidR="00050FE2" w:rsidRPr="00935A12" w:rsidRDefault="00050FE2" w:rsidP="008A0491">
      <w:pPr>
        <w:pStyle w:val="ListParagraph"/>
        <w:spacing w:after="0"/>
        <w:ind w:left="0"/>
        <w:jc w:val="both"/>
        <w:rPr>
          <w:rFonts w:asciiTheme="majorHAnsi" w:eastAsia="Times New Roman" w:hAnsiTheme="majorHAnsi" w:cstheme="majorHAnsi"/>
          <w:szCs w:val="24"/>
          <w:highlight w:val="yellow"/>
          <w:lang w:val="en-IN" w:eastAsia="en-IN"/>
        </w:rPr>
      </w:pPr>
    </w:p>
    <w:p w14:paraId="4081EE4D" w14:textId="0B3FFE47"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Provide bedding, environmental enrichment, food, and water </w:t>
      </w:r>
      <w:r w:rsidRPr="00935A12">
        <w:rPr>
          <w:rFonts w:asciiTheme="majorHAnsi" w:eastAsia="Times New Roman" w:hAnsiTheme="majorHAnsi" w:cstheme="majorHAnsi"/>
          <w:i/>
          <w:iCs/>
          <w:szCs w:val="24"/>
          <w:highlight w:val="yellow"/>
          <w:lang w:val="en-IN" w:eastAsia="en-IN"/>
        </w:rPr>
        <w:t>ad libitum</w:t>
      </w:r>
      <w:r w:rsidRPr="00935A12">
        <w:rPr>
          <w:rFonts w:asciiTheme="majorHAnsi" w:eastAsia="Times New Roman" w:hAnsiTheme="majorHAnsi" w:cstheme="majorHAnsi"/>
          <w:szCs w:val="24"/>
          <w:highlight w:val="yellow"/>
          <w:lang w:val="en-IN" w:eastAsia="en-IN"/>
        </w:rPr>
        <w:t>. Maintain temperature at 20–24 °C, humidity at 40–60%, and a 12</w:t>
      </w:r>
      <w:r w:rsidR="00050FE2" w:rsidRPr="00935A12">
        <w:rPr>
          <w:rFonts w:asciiTheme="majorHAnsi" w:eastAsia="Times New Roman" w:hAnsiTheme="majorHAnsi" w:cstheme="majorHAnsi"/>
          <w:szCs w:val="24"/>
          <w:highlight w:val="yellow"/>
          <w:lang w:val="en-IN" w:eastAsia="en-IN"/>
        </w:rPr>
        <w:t xml:space="preserve"> h</w:t>
      </w:r>
      <w:r w:rsidRPr="00935A12">
        <w:rPr>
          <w:rFonts w:asciiTheme="majorHAnsi" w:eastAsia="Times New Roman" w:hAnsiTheme="majorHAnsi" w:cstheme="majorHAnsi"/>
          <w:szCs w:val="24"/>
          <w:highlight w:val="yellow"/>
          <w:lang w:val="en-IN" w:eastAsia="en-IN"/>
        </w:rPr>
        <w:t xml:space="preserve"> light/dark cycle. </w:t>
      </w:r>
    </w:p>
    <w:p w14:paraId="31DCEDEC" w14:textId="77777777" w:rsidR="00050FE2" w:rsidRPr="00935A12" w:rsidRDefault="00050FE2" w:rsidP="008A0491">
      <w:pPr>
        <w:spacing w:after="0"/>
        <w:jc w:val="both"/>
        <w:rPr>
          <w:rFonts w:asciiTheme="majorHAnsi" w:eastAsia="Times New Roman" w:hAnsiTheme="majorHAnsi" w:cstheme="majorHAnsi"/>
          <w:szCs w:val="24"/>
          <w:highlight w:val="yellow"/>
          <w:lang w:val="en-IN" w:eastAsia="en-IN"/>
        </w:rPr>
      </w:pPr>
    </w:p>
    <w:p w14:paraId="7BF193C4" w14:textId="4263236F"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Use mice younger than 5 weeks of age. Record baseline body weights. </w:t>
      </w:r>
    </w:p>
    <w:p w14:paraId="69DDBA87" w14:textId="77777777" w:rsidR="00050FE2" w:rsidRPr="00935A12" w:rsidRDefault="00050FE2" w:rsidP="008A0491">
      <w:pPr>
        <w:spacing w:after="0"/>
        <w:jc w:val="both"/>
        <w:rPr>
          <w:rFonts w:asciiTheme="majorHAnsi" w:eastAsia="Times New Roman" w:hAnsiTheme="majorHAnsi" w:cstheme="majorHAnsi"/>
          <w:szCs w:val="24"/>
          <w:highlight w:val="yellow"/>
          <w:lang w:val="en-IN" w:eastAsia="en-IN"/>
        </w:rPr>
      </w:pPr>
    </w:p>
    <w:p w14:paraId="1980E488" w14:textId="2B698031"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Randomize mice at the cage level into treatment and control groups. Assign unique identifiers (ear tag or tail tattoo) to each mouse. </w:t>
      </w:r>
    </w:p>
    <w:p w14:paraId="3DA03E12" w14:textId="77777777" w:rsidR="00050FE2" w:rsidRPr="00935A12" w:rsidRDefault="00050FE2" w:rsidP="008A0491">
      <w:pPr>
        <w:spacing w:after="0"/>
        <w:jc w:val="both"/>
        <w:rPr>
          <w:rFonts w:asciiTheme="majorHAnsi" w:eastAsia="Times New Roman" w:hAnsiTheme="majorHAnsi" w:cstheme="majorHAnsi"/>
          <w:szCs w:val="24"/>
          <w:highlight w:val="yellow"/>
          <w:lang w:val="en-IN" w:eastAsia="en-IN"/>
        </w:rPr>
      </w:pPr>
    </w:p>
    <w:p w14:paraId="00CC012A"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 Maintain a master record of all mice and group assignments.</w:t>
      </w:r>
    </w:p>
    <w:p w14:paraId="2D554DE0" w14:textId="5BCEEFC2"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740A2CDE" w14:textId="0F1F7EDD"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Transfer cages to the procedure room at least 30 min prior to injection. Place </w:t>
      </w:r>
      <w:r w:rsidR="00050FE2" w:rsidRPr="00935A12">
        <w:rPr>
          <w:rFonts w:asciiTheme="majorHAnsi" w:eastAsia="Times New Roman" w:hAnsiTheme="majorHAnsi" w:cstheme="majorHAnsi"/>
          <w:szCs w:val="24"/>
          <w:highlight w:val="yellow"/>
          <w:lang w:val="en-IN" w:eastAsia="en-IN"/>
        </w:rPr>
        <w:t xml:space="preserve">the </w:t>
      </w:r>
      <w:r w:rsidRPr="00935A12">
        <w:rPr>
          <w:rFonts w:asciiTheme="majorHAnsi" w:eastAsia="Times New Roman" w:hAnsiTheme="majorHAnsi" w:cstheme="majorHAnsi"/>
          <w:szCs w:val="24"/>
          <w:highlight w:val="yellow"/>
          <w:lang w:val="en-IN" w:eastAsia="en-IN"/>
        </w:rPr>
        <w:t xml:space="preserve">cages on heating pads set to 37–40 °C to promote tail vein dilation. </w:t>
      </w:r>
    </w:p>
    <w:p w14:paraId="45684233" w14:textId="661732EA"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4BC07A9D" w14:textId="3BEB2BEF" w:rsidR="00F322D8" w:rsidRPr="00935A12" w:rsidRDefault="00F322D8" w:rsidP="008A0491">
      <w:pPr>
        <w:pStyle w:val="ListParagraph"/>
        <w:numPr>
          <w:ilvl w:val="0"/>
          <w:numId w:val="57"/>
        </w:numPr>
        <w:spacing w:after="0"/>
        <w:ind w:left="0" w:firstLine="0"/>
        <w:jc w:val="both"/>
        <w:outlineLvl w:val="1"/>
        <w:rPr>
          <w:rFonts w:asciiTheme="majorHAnsi" w:eastAsia="Times New Roman" w:hAnsiTheme="majorHAnsi" w:cstheme="majorHAnsi"/>
          <w:b/>
          <w:bCs/>
          <w:szCs w:val="24"/>
          <w:highlight w:val="yellow"/>
          <w:lang w:val="en-IN" w:eastAsia="en-IN"/>
        </w:rPr>
      </w:pPr>
      <w:r w:rsidRPr="00935A12">
        <w:rPr>
          <w:rFonts w:asciiTheme="majorHAnsi" w:eastAsia="Times New Roman" w:hAnsiTheme="majorHAnsi" w:cstheme="majorHAnsi"/>
          <w:b/>
          <w:bCs/>
          <w:szCs w:val="24"/>
          <w:highlight w:val="yellow"/>
          <w:lang w:val="en-IN" w:eastAsia="en-IN"/>
        </w:rPr>
        <w:t xml:space="preserve">Intravenous </w:t>
      </w:r>
      <w:r w:rsidR="00050FE2" w:rsidRPr="00935A12">
        <w:rPr>
          <w:rFonts w:asciiTheme="majorHAnsi" w:eastAsia="Times New Roman" w:hAnsiTheme="majorHAnsi" w:cstheme="majorHAnsi"/>
          <w:b/>
          <w:bCs/>
          <w:szCs w:val="24"/>
          <w:highlight w:val="yellow"/>
          <w:lang w:val="en-IN" w:eastAsia="en-IN"/>
        </w:rPr>
        <w:t>a</w:t>
      </w:r>
      <w:r w:rsidRPr="00935A12">
        <w:rPr>
          <w:rFonts w:asciiTheme="majorHAnsi" w:eastAsia="Times New Roman" w:hAnsiTheme="majorHAnsi" w:cstheme="majorHAnsi"/>
          <w:b/>
          <w:bCs/>
          <w:szCs w:val="24"/>
          <w:highlight w:val="yellow"/>
          <w:lang w:val="en-IN" w:eastAsia="en-IN"/>
        </w:rPr>
        <w:t xml:space="preserve">dministration via </w:t>
      </w:r>
      <w:r w:rsidR="00050FE2" w:rsidRPr="00935A12">
        <w:rPr>
          <w:rFonts w:asciiTheme="majorHAnsi" w:eastAsia="Times New Roman" w:hAnsiTheme="majorHAnsi" w:cstheme="majorHAnsi"/>
          <w:b/>
          <w:bCs/>
          <w:szCs w:val="24"/>
          <w:highlight w:val="yellow"/>
          <w:lang w:val="en-IN" w:eastAsia="en-IN"/>
        </w:rPr>
        <w:t>l</w:t>
      </w:r>
      <w:r w:rsidRPr="00935A12">
        <w:rPr>
          <w:rFonts w:asciiTheme="majorHAnsi" w:eastAsia="Times New Roman" w:hAnsiTheme="majorHAnsi" w:cstheme="majorHAnsi"/>
          <w:b/>
          <w:bCs/>
          <w:szCs w:val="24"/>
          <w:highlight w:val="yellow"/>
          <w:lang w:val="en-IN" w:eastAsia="en-IN"/>
        </w:rPr>
        <w:t xml:space="preserve">ateral </w:t>
      </w:r>
      <w:r w:rsidR="00050FE2" w:rsidRPr="00935A12">
        <w:rPr>
          <w:rFonts w:asciiTheme="majorHAnsi" w:eastAsia="Times New Roman" w:hAnsiTheme="majorHAnsi" w:cstheme="majorHAnsi"/>
          <w:b/>
          <w:bCs/>
          <w:szCs w:val="24"/>
          <w:highlight w:val="yellow"/>
          <w:lang w:val="en-IN" w:eastAsia="en-IN"/>
        </w:rPr>
        <w:t>t</w:t>
      </w:r>
      <w:r w:rsidRPr="00935A12">
        <w:rPr>
          <w:rFonts w:asciiTheme="majorHAnsi" w:eastAsia="Times New Roman" w:hAnsiTheme="majorHAnsi" w:cstheme="majorHAnsi"/>
          <w:b/>
          <w:bCs/>
          <w:szCs w:val="24"/>
          <w:highlight w:val="yellow"/>
          <w:lang w:val="en-IN" w:eastAsia="en-IN"/>
        </w:rPr>
        <w:t xml:space="preserve">ail </w:t>
      </w:r>
      <w:r w:rsidR="00050FE2" w:rsidRPr="00935A12">
        <w:rPr>
          <w:rFonts w:asciiTheme="majorHAnsi" w:eastAsia="Times New Roman" w:hAnsiTheme="majorHAnsi" w:cstheme="majorHAnsi"/>
          <w:b/>
          <w:bCs/>
          <w:szCs w:val="24"/>
          <w:highlight w:val="yellow"/>
          <w:lang w:val="en-IN" w:eastAsia="en-IN"/>
        </w:rPr>
        <w:t>v</w:t>
      </w:r>
      <w:r w:rsidRPr="00935A12">
        <w:rPr>
          <w:rFonts w:asciiTheme="majorHAnsi" w:eastAsia="Times New Roman" w:hAnsiTheme="majorHAnsi" w:cstheme="majorHAnsi"/>
          <w:b/>
          <w:bCs/>
          <w:szCs w:val="24"/>
          <w:highlight w:val="yellow"/>
          <w:lang w:val="en-IN" w:eastAsia="en-IN"/>
        </w:rPr>
        <w:t>ein</w:t>
      </w:r>
    </w:p>
    <w:p w14:paraId="7938A3AB" w14:textId="77777777" w:rsidR="00050FE2" w:rsidRPr="00935A12" w:rsidRDefault="00050FE2" w:rsidP="008A0491">
      <w:pPr>
        <w:pStyle w:val="ListParagraph"/>
        <w:spacing w:after="0"/>
        <w:ind w:left="0"/>
        <w:jc w:val="both"/>
        <w:outlineLvl w:val="1"/>
        <w:rPr>
          <w:rFonts w:asciiTheme="majorHAnsi" w:eastAsia="Times New Roman" w:hAnsiTheme="majorHAnsi" w:cstheme="majorHAnsi"/>
          <w:b/>
          <w:bCs/>
          <w:szCs w:val="24"/>
          <w:highlight w:val="yellow"/>
          <w:lang w:val="en-IN" w:eastAsia="en-IN"/>
        </w:rPr>
      </w:pPr>
    </w:p>
    <w:p w14:paraId="2F646B85" w14:textId="07A413FD"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Using sterile technique, draw 100 µL of the bacterial suspension into sterile insulin syringes (29G–30G). Label each syringe with the corresponding mouse ID. </w:t>
      </w:r>
    </w:p>
    <w:p w14:paraId="07800255" w14:textId="77777777" w:rsidR="00050FE2" w:rsidRPr="00935A12" w:rsidRDefault="00050FE2" w:rsidP="008A0491">
      <w:pPr>
        <w:pStyle w:val="ListParagraph"/>
        <w:spacing w:after="0"/>
        <w:ind w:left="0"/>
        <w:jc w:val="both"/>
        <w:rPr>
          <w:rFonts w:asciiTheme="majorHAnsi" w:eastAsia="Times New Roman" w:hAnsiTheme="majorHAnsi" w:cstheme="majorHAnsi"/>
          <w:szCs w:val="24"/>
          <w:highlight w:val="yellow"/>
          <w:lang w:val="en-IN" w:eastAsia="en-IN"/>
        </w:rPr>
      </w:pPr>
    </w:p>
    <w:p w14:paraId="3A7DA2A9" w14:textId="04F52087"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Prepare control syringes containing 100 µL </w:t>
      </w:r>
      <w:r w:rsidR="00050FE2" w:rsidRPr="00935A12">
        <w:rPr>
          <w:rFonts w:asciiTheme="majorHAnsi" w:eastAsia="Times New Roman" w:hAnsiTheme="majorHAnsi" w:cstheme="majorHAnsi"/>
          <w:szCs w:val="24"/>
          <w:highlight w:val="yellow"/>
          <w:lang w:val="en-IN" w:eastAsia="en-IN"/>
        </w:rPr>
        <w:t xml:space="preserve">of </w:t>
      </w:r>
      <w:r w:rsidRPr="00935A12">
        <w:rPr>
          <w:rFonts w:asciiTheme="majorHAnsi" w:eastAsia="Times New Roman" w:hAnsiTheme="majorHAnsi" w:cstheme="majorHAnsi"/>
          <w:szCs w:val="24"/>
          <w:highlight w:val="yellow"/>
          <w:lang w:val="en-IN" w:eastAsia="en-IN"/>
        </w:rPr>
        <w:t xml:space="preserve">sterile PBS. </w:t>
      </w:r>
    </w:p>
    <w:p w14:paraId="76EED707" w14:textId="77777777" w:rsidR="00050FE2" w:rsidRPr="00935A12" w:rsidRDefault="00050FE2" w:rsidP="008A0491">
      <w:pPr>
        <w:spacing w:after="0"/>
        <w:jc w:val="both"/>
        <w:rPr>
          <w:rFonts w:asciiTheme="majorHAnsi" w:eastAsia="Times New Roman" w:hAnsiTheme="majorHAnsi" w:cstheme="majorHAnsi"/>
          <w:szCs w:val="24"/>
          <w:highlight w:val="yellow"/>
          <w:lang w:val="en-IN" w:eastAsia="en-IN"/>
        </w:rPr>
      </w:pPr>
    </w:p>
    <w:p w14:paraId="00D602F8"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w:t>
      </w:r>
      <w:r w:rsidRPr="00935A12">
        <w:rPr>
          <w:rFonts w:asciiTheme="majorHAnsi" w:eastAsia="Times New Roman" w:hAnsiTheme="majorHAnsi" w:cstheme="majorHAnsi"/>
          <w:b/>
          <w:bCs/>
          <w:szCs w:val="24"/>
          <w:highlight w:val="yellow"/>
          <w:lang w:val="en-IN" w:eastAsia="en-IN"/>
        </w:rPr>
        <w:t>:</w:t>
      </w:r>
      <w:r w:rsidRPr="00935A12">
        <w:rPr>
          <w:rFonts w:asciiTheme="majorHAnsi" w:eastAsia="Times New Roman" w:hAnsiTheme="majorHAnsi" w:cstheme="majorHAnsi"/>
          <w:szCs w:val="24"/>
          <w:highlight w:val="yellow"/>
          <w:lang w:val="en-IN" w:eastAsia="en-IN"/>
        </w:rPr>
        <w:t xml:space="preserve"> Prepare syringes immediately before injection.</w:t>
      </w:r>
    </w:p>
    <w:p w14:paraId="2D3C81D7" w14:textId="43832F9B"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1A786FB8" w14:textId="4896D227"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Place each mouse in a restrainer</w:t>
      </w:r>
      <w:r w:rsidR="00050FE2" w:rsidRPr="00935A12">
        <w:rPr>
          <w:rFonts w:asciiTheme="majorHAnsi" w:eastAsia="Times New Roman" w:hAnsiTheme="majorHAnsi" w:cstheme="majorHAnsi"/>
          <w:szCs w:val="24"/>
          <w:highlight w:val="yellow"/>
          <w:lang w:val="en-IN" w:eastAsia="en-IN"/>
        </w:rPr>
        <w:t>,</w:t>
      </w:r>
      <w:r w:rsidRPr="00935A12">
        <w:rPr>
          <w:rFonts w:asciiTheme="majorHAnsi" w:eastAsia="Times New Roman" w:hAnsiTheme="majorHAnsi" w:cstheme="majorHAnsi"/>
          <w:szCs w:val="24"/>
          <w:highlight w:val="yellow"/>
          <w:lang w:val="en-IN" w:eastAsia="en-IN"/>
        </w:rPr>
        <w:t xml:space="preserve"> allowing access to the tail. </w:t>
      </w:r>
    </w:p>
    <w:p w14:paraId="7CA80A3C" w14:textId="77777777" w:rsidR="00050FE2" w:rsidRPr="00935A12" w:rsidRDefault="00050FE2" w:rsidP="008A0491">
      <w:pPr>
        <w:pStyle w:val="ListParagraph"/>
        <w:spacing w:after="0"/>
        <w:ind w:left="0"/>
        <w:jc w:val="both"/>
        <w:rPr>
          <w:rFonts w:asciiTheme="majorHAnsi" w:eastAsia="Times New Roman" w:hAnsiTheme="majorHAnsi" w:cstheme="majorHAnsi"/>
          <w:szCs w:val="24"/>
          <w:highlight w:val="yellow"/>
          <w:lang w:val="en-IN" w:eastAsia="en-IN"/>
        </w:rPr>
      </w:pPr>
    </w:p>
    <w:p w14:paraId="1962A2CD"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NOTE: Do not use </w:t>
      </w:r>
      <w:proofErr w:type="spellStart"/>
      <w:r w:rsidRPr="00935A12">
        <w:rPr>
          <w:rFonts w:asciiTheme="majorHAnsi" w:eastAsia="Times New Roman" w:hAnsiTheme="majorHAnsi" w:cstheme="majorHAnsi"/>
          <w:szCs w:val="24"/>
          <w:highlight w:val="yellow"/>
          <w:lang w:val="en-IN" w:eastAsia="en-IN"/>
        </w:rPr>
        <w:t>anesthesia</w:t>
      </w:r>
      <w:proofErr w:type="spellEnd"/>
      <w:r w:rsidRPr="00935A12">
        <w:rPr>
          <w:rFonts w:asciiTheme="majorHAnsi" w:eastAsia="Times New Roman" w:hAnsiTheme="majorHAnsi" w:cstheme="majorHAnsi"/>
          <w:szCs w:val="24"/>
          <w:highlight w:val="yellow"/>
          <w:lang w:val="en-IN" w:eastAsia="en-IN"/>
        </w:rPr>
        <w:t xml:space="preserve"> for tail vein injections.</w:t>
      </w:r>
    </w:p>
    <w:p w14:paraId="780C5019" w14:textId="574CB19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74ADEBE3" w14:textId="5A81F1E8"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Wipe the tail with 70% ethanol and allow to air dry. </w:t>
      </w:r>
    </w:p>
    <w:p w14:paraId="27712515" w14:textId="77777777" w:rsidR="00050FE2" w:rsidRPr="00935A12" w:rsidRDefault="00050FE2" w:rsidP="008A0491">
      <w:pPr>
        <w:pStyle w:val="ListParagraph"/>
        <w:spacing w:after="0"/>
        <w:ind w:left="0"/>
        <w:jc w:val="both"/>
        <w:rPr>
          <w:rFonts w:asciiTheme="majorHAnsi" w:eastAsia="Times New Roman" w:hAnsiTheme="majorHAnsi" w:cstheme="majorHAnsi"/>
          <w:szCs w:val="24"/>
          <w:highlight w:val="yellow"/>
          <w:lang w:val="en-IN" w:eastAsia="en-IN"/>
        </w:rPr>
      </w:pPr>
    </w:p>
    <w:p w14:paraId="4F3F54C1" w14:textId="5B5AA024"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lastRenderedPageBreak/>
        <w:t xml:space="preserve">Visualize the lateral tail veins under adequate lighting. </w:t>
      </w:r>
    </w:p>
    <w:p w14:paraId="621C4DF2" w14:textId="77777777" w:rsidR="00050FE2" w:rsidRPr="00935A12" w:rsidRDefault="00050FE2" w:rsidP="008A0491">
      <w:pPr>
        <w:spacing w:after="0"/>
        <w:jc w:val="both"/>
        <w:rPr>
          <w:rFonts w:asciiTheme="majorHAnsi" w:eastAsia="Times New Roman" w:hAnsiTheme="majorHAnsi" w:cstheme="majorHAnsi"/>
          <w:szCs w:val="24"/>
          <w:highlight w:val="yellow"/>
          <w:lang w:val="en-IN" w:eastAsia="en-IN"/>
        </w:rPr>
      </w:pPr>
    </w:p>
    <w:p w14:paraId="4BA36287"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TIP: Warm the tail if veins are not visible.</w:t>
      </w:r>
    </w:p>
    <w:p w14:paraId="5607BCE4" w14:textId="5E2F5721"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3EC57D33" w14:textId="77777777" w:rsidR="00050FE2"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Hold the distal third of the tail with gentle tension. Insert the needle bevel-up at a shallow angle (10–15°) into the lateral vein.</w:t>
      </w:r>
    </w:p>
    <w:p w14:paraId="29F8CBEF" w14:textId="365A3C3B" w:rsidR="00F322D8" w:rsidRPr="00935A12" w:rsidRDefault="00F322D8" w:rsidP="008A0491">
      <w:pPr>
        <w:pStyle w:val="ListParagraph"/>
        <w:spacing w:after="0"/>
        <w:ind w:left="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 </w:t>
      </w:r>
    </w:p>
    <w:p w14:paraId="4CA7F4B3" w14:textId="11CB6DB4"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Inject 100 µL slowly over 5–10 s. Withdraw the needle and apply gentle pressure with sterile gauze. </w:t>
      </w:r>
    </w:p>
    <w:p w14:paraId="1970BBEE" w14:textId="77777777" w:rsidR="00050FE2" w:rsidRPr="00935A12" w:rsidRDefault="00050FE2" w:rsidP="008A0491">
      <w:pPr>
        <w:spacing w:after="0"/>
        <w:jc w:val="both"/>
        <w:rPr>
          <w:rFonts w:asciiTheme="majorHAnsi" w:eastAsia="Times New Roman" w:hAnsiTheme="majorHAnsi" w:cstheme="majorHAnsi"/>
          <w:szCs w:val="24"/>
          <w:highlight w:val="yellow"/>
          <w:lang w:val="en-IN" w:eastAsia="en-IN"/>
        </w:rPr>
      </w:pPr>
    </w:p>
    <w:p w14:paraId="10728161" w14:textId="201B57BA" w:rsidR="00050FE2"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CRITICAL STEP: Confirm successful intravenous injection by absence of resistance, swelling, or blanching.</w:t>
      </w:r>
    </w:p>
    <w:p w14:paraId="155EDAA1" w14:textId="6449AA43"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50E0B216" w14:textId="28663024"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Return the mouse to its cage on a heating pad. Observe for 5–10 min for signs of distress. Record any adverse events. </w:t>
      </w:r>
    </w:p>
    <w:p w14:paraId="571CDF91" w14:textId="3A7DB8C8"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2F91D927" w14:textId="661D48F0"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Perform injections for all mice in randomized order within a 2</w:t>
      </w:r>
      <w:r w:rsidR="00A04139" w:rsidRPr="00935A12">
        <w:rPr>
          <w:rFonts w:asciiTheme="majorHAnsi" w:eastAsia="Times New Roman" w:hAnsiTheme="majorHAnsi" w:cstheme="majorHAnsi"/>
          <w:szCs w:val="24"/>
          <w:highlight w:val="yellow"/>
          <w:lang w:val="en-IN" w:eastAsia="en-IN"/>
        </w:rPr>
        <w:t xml:space="preserve"> h</w:t>
      </w:r>
      <w:r w:rsidRPr="00935A12">
        <w:rPr>
          <w:rFonts w:asciiTheme="majorHAnsi" w:eastAsia="Times New Roman" w:hAnsiTheme="majorHAnsi" w:cstheme="majorHAnsi"/>
          <w:szCs w:val="24"/>
          <w:highlight w:val="yellow"/>
          <w:lang w:val="en-IN" w:eastAsia="en-IN"/>
        </w:rPr>
        <w:t xml:space="preserve"> window. </w:t>
      </w:r>
    </w:p>
    <w:p w14:paraId="09447D58" w14:textId="7D9AAED4"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23895A15" w14:textId="679F696C" w:rsidR="00F322D8" w:rsidRPr="00935A12" w:rsidRDefault="00F322D8" w:rsidP="008A0491">
      <w:pPr>
        <w:pStyle w:val="ListParagraph"/>
        <w:numPr>
          <w:ilvl w:val="0"/>
          <w:numId w:val="57"/>
        </w:numPr>
        <w:spacing w:after="0"/>
        <w:ind w:left="0" w:firstLine="0"/>
        <w:jc w:val="both"/>
        <w:outlineLvl w:val="1"/>
        <w:rPr>
          <w:rFonts w:asciiTheme="majorHAnsi" w:eastAsia="Times New Roman" w:hAnsiTheme="majorHAnsi" w:cstheme="majorHAnsi"/>
          <w:b/>
          <w:bCs/>
          <w:szCs w:val="24"/>
          <w:highlight w:val="yellow"/>
          <w:lang w:val="en-IN" w:eastAsia="en-IN"/>
        </w:rPr>
      </w:pPr>
      <w:r w:rsidRPr="00935A12">
        <w:rPr>
          <w:rFonts w:asciiTheme="majorHAnsi" w:eastAsia="Times New Roman" w:hAnsiTheme="majorHAnsi" w:cstheme="majorHAnsi"/>
          <w:b/>
          <w:bCs/>
          <w:szCs w:val="24"/>
          <w:highlight w:val="yellow"/>
          <w:lang w:val="en-IN" w:eastAsia="en-IN"/>
        </w:rPr>
        <w:t xml:space="preserve">Blood </w:t>
      </w:r>
      <w:r w:rsidR="00A04139" w:rsidRPr="00935A12">
        <w:rPr>
          <w:rFonts w:asciiTheme="majorHAnsi" w:eastAsia="Times New Roman" w:hAnsiTheme="majorHAnsi" w:cstheme="majorHAnsi"/>
          <w:b/>
          <w:bCs/>
          <w:szCs w:val="24"/>
          <w:highlight w:val="yellow"/>
          <w:lang w:val="en-IN" w:eastAsia="en-IN"/>
        </w:rPr>
        <w:t>g</w:t>
      </w:r>
      <w:r w:rsidRPr="00935A12">
        <w:rPr>
          <w:rFonts w:asciiTheme="majorHAnsi" w:eastAsia="Times New Roman" w:hAnsiTheme="majorHAnsi" w:cstheme="majorHAnsi"/>
          <w:b/>
          <w:bCs/>
          <w:szCs w:val="24"/>
          <w:highlight w:val="yellow"/>
          <w:lang w:val="en-IN" w:eastAsia="en-IN"/>
        </w:rPr>
        <w:t xml:space="preserve">lucose </w:t>
      </w:r>
      <w:r w:rsidR="00A04139" w:rsidRPr="00935A12">
        <w:rPr>
          <w:rFonts w:asciiTheme="majorHAnsi" w:eastAsia="Times New Roman" w:hAnsiTheme="majorHAnsi" w:cstheme="majorHAnsi"/>
          <w:b/>
          <w:bCs/>
          <w:szCs w:val="24"/>
          <w:highlight w:val="yellow"/>
          <w:lang w:val="en-IN" w:eastAsia="en-IN"/>
        </w:rPr>
        <w:t>m</w:t>
      </w:r>
      <w:r w:rsidRPr="00935A12">
        <w:rPr>
          <w:rFonts w:asciiTheme="majorHAnsi" w:eastAsia="Times New Roman" w:hAnsiTheme="majorHAnsi" w:cstheme="majorHAnsi"/>
          <w:b/>
          <w:bCs/>
          <w:szCs w:val="24"/>
          <w:highlight w:val="yellow"/>
          <w:lang w:val="en-IN" w:eastAsia="en-IN"/>
        </w:rPr>
        <w:t xml:space="preserve">onitoring and </w:t>
      </w:r>
      <w:r w:rsidR="00A04139" w:rsidRPr="00935A12">
        <w:rPr>
          <w:rFonts w:asciiTheme="majorHAnsi" w:eastAsia="Times New Roman" w:hAnsiTheme="majorHAnsi" w:cstheme="majorHAnsi"/>
          <w:b/>
          <w:bCs/>
          <w:szCs w:val="24"/>
          <w:highlight w:val="yellow"/>
          <w:lang w:val="en-IN" w:eastAsia="en-IN"/>
        </w:rPr>
        <w:t>d</w:t>
      </w:r>
      <w:r w:rsidRPr="00935A12">
        <w:rPr>
          <w:rFonts w:asciiTheme="majorHAnsi" w:eastAsia="Times New Roman" w:hAnsiTheme="majorHAnsi" w:cstheme="majorHAnsi"/>
          <w:b/>
          <w:bCs/>
          <w:szCs w:val="24"/>
          <w:highlight w:val="yellow"/>
          <w:lang w:val="en-IN" w:eastAsia="en-IN"/>
        </w:rPr>
        <w:t xml:space="preserve">iabetes </w:t>
      </w:r>
      <w:r w:rsidR="00A04139" w:rsidRPr="00935A12">
        <w:rPr>
          <w:rFonts w:asciiTheme="majorHAnsi" w:eastAsia="Times New Roman" w:hAnsiTheme="majorHAnsi" w:cstheme="majorHAnsi"/>
          <w:b/>
          <w:bCs/>
          <w:szCs w:val="24"/>
          <w:highlight w:val="yellow"/>
          <w:lang w:val="en-IN" w:eastAsia="en-IN"/>
        </w:rPr>
        <w:t>d</w:t>
      </w:r>
      <w:r w:rsidRPr="00935A12">
        <w:rPr>
          <w:rFonts w:asciiTheme="majorHAnsi" w:eastAsia="Times New Roman" w:hAnsiTheme="majorHAnsi" w:cstheme="majorHAnsi"/>
          <w:b/>
          <w:bCs/>
          <w:szCs w:val="24"/>
          <w:highlight w:val="yellow"/>
          <w:lang w:val="en-IN" w:eastAsia="en-IN"/>
        </w:rPr>
        <w:t>efinition</w:t>
      </w:r>
    </w:p>
    <w:p w14:paraId="3B237646" w14:textId="77777777" w:rsidR="00A04139" w:rsidRPr="00935A12" w:rsidRDefault="00A04139" w:rsidP="008A0491">
      <w:pPr>
        <w:pStyle w:val="ListParagraph"/>
        <w:spacing w:after="0"/>
        <w:ind w:left="0"/>
        <w:jc w:val="both"/>
        <w:outlineLvl w:val="1"/>
        <w:rPr>
          <w:rFonts w:asciiTheme="majorHAnsi" w:eastAsia="Times New Roman" w:hAnsiTheme="majorHAnsi" w:cstheme="majorHAnsi"/>
          <w:b/>
          <w:bCs/>
          <w:szCs w:val="24"/>
          <w:highlight w:val="yellow"/>
          <w:lang w:val="en-IN" w:eastAsia="en-IN"/>
        </w:rPr>
      </w:pPr>
    </w:p>
    <w:p w14:paraId="7DCBCEBA" w14:textId="718BAB33"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Begin glucose monitoring 7 days after injection. Measure blood glucose </w:t>
      </w:r>
      <w:r w:rsidR="00523CA4" w:rsidRPr="00935A12">
        <w:rPr>
          <w:rFonts w:asciiTheme="majorHAnsi" w:eastAsia="Times New Roman" w:hAnsiTheme="majorHAnsi" w:cstheme="majorHAnsi"/>
          <w:szCs w:val="24"/>
          <w:highlight w:val="yellow"/>
          <w:lang w:val="en-IN" w:eastAsia="en-IN"/>
        </w:rPr>
        <w:t>2x</w:t>
      </w:r>
      <w:r w:rsidRPr="00935A12">
        <w:rPr>
          <w:rFonts w:asciiTheme="majorHAnsi" w:eastAsia="Times New Roman" w:hAnsiTheme="majorHAnsi" w:cstheme="majorHAnsi"/>
          <w:szCs w:val="24"/>
          <w:highlight w:val="yellow"/>
          <w:lang w:val="en-IN" w:eastAsia="en-IN"/>
        </w:rPr>
        <w:t xml:space="preserve"> weekly until study endpoint. </w:t>
      </w:r>
    </w:p>
    <w:p w14:paraId="0EC6B2EE" w14:textId="7C4C98B0"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42559B5C" w14:textId="6CF609BD"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Remove food 2 h</w:t>
      </w:r>
      <w:r w:rsidR="00523CA4" w:rsidRPr="00935A12">
        <w:rPr>
          <w:rFonts w:asciiTheme="majorHAnsi" w:eastAsia="Times New Roman" w:hAnsiTheme="majorHAnsi" w:cstheme="majorHAnsi"/>
          <w:szCs w:val="24"/>
          <w:highlight w:val="yellow"/>
          <w:lang w:val="en-IN" w:eastAsia="en-IN"/>
        </w:rPr>
        <w:t xml:space="preserve"> </w:t>
      </w:r>
      <w:r w:rsidRPr="00935A12">
        <w:rPr>
          <w:rFonts w:asciiTheme="majorHAnsi" w:eastAsia="Times New Roman" w:hAnsiTheme="majorHAnsi" w:cstheme="majorHAnsi"/>
          <w:szCs w:val="24"/>
          <w:highlight w:val="yellow"/>
          <w:lang w:val="en-IN" w:eastAsia="en-IN"/>
        </w:rPr>
        <w:t xml:space="preserve">prior to measurement while maintaining water access. </w:t>
      </w:r>
    </w:p>
    <w:p w14:paraId="6935FAA7" w14:textId="54A2474B"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4C1B659E" w14:textId="4164529A"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Restrain the mouse. Clean the tail tip with 70% ethanol. </w:t>
      </w:r>
    </w:p>
    <w:p w14:paraId="00ED8A57" w14:textId="77777777" w:rsidR="00AA3F17" w:rsidRPr="00935A12" w:rsidRDefault="00AA3F17" w:rsidP="008A0491">
      <w:pPr>
        <w:spacing w:after="0"/>
        <w:jc w:val="both"/>
        <w:rPr>
          <w:rFonts w:asciiTheme="majorHAnsi" w:eastAsia="Times New Roman" w:hAnsiTheme="majorHAnsi" w:cstheme="majorHAnsi"/>
          <w:szCs w:val="24"/>
          <w:highlight w:val="yellow"/>
          <w:lang w:val="en-IN" w:eastAsia="en-IN"/>
        </w:rPr>
      </w:pPr>
    </w:p>
    <w:p w14:paraId="547B614A" w14:textId="6A45E6E5"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Nick the tail using a sterile lancet or needle. Discard the first drop of blood. Collect the second drop on a glucometer test strip. Record blood glucose values along with mouse ID and date. </w:t>
      </w:r>
    </w:p>
    <w:p w14:paraId="4BA43634" w14:textId="77777777" w:rsidR="00AA3F17" w:rsidRPr="00935A12" w:rsidRDefault="00AA3F17" w:rsidP="008A0491">
      <w:pPr>
        <w:spacing w:after="0"/>
        <w:jc w:val="both"/>
        <w:rPr>
          <w:rFonts w:asciiTheme="majorHAnsi" w:eastAsia="Times New Roman" w:hAnsiTheme="majorHAnsi" w:cstheme="majorHAnsi"/>
          <w:szCs w:val="24"/>
          <w:highlight w:val="yellow"/>
          <w:lang w:val="en-IN" w:eastAsia="en-IN"/>
        </w:rPr>
      </w:pPr>
    </w:p>
    <w:p w14:paraId="1C5031EC" w14:textId="77777777"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NOTE: Use a new site if the tail tip becomes scarred.</w:t>
      </w:r>
    </w:p>
    <w:p w14:paraId="4B97DCA3" w14:textId="14DA9D06"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1BA33392" w14:textId="62348B30"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Define diabetes as blood glucose ≥</w:t>
      </w:r>
      <w:r w:rsidR="00AA3F17" w:rsidRPr="00935A12">
        <w:rPr>
          <w:rFonts w:asciiTheme="majorHAnsi" w:eastAsia="Times New Roman" w:hAnsiTheme="majorHAnsi" w:cstheme="majorHAnsi"/>
          <w:szCs w:val="24"/>
          <w:highlight w:val="yellow"/>
          <w:lang w:val="en-IN" w:eastAsia="en-IN"/>
        </w:rPr>
        <w:t xml:space="preserve"> </w:t>
      </w:r>
      <w:r w:rsidRPr="00935A12">
        <w:rPr>
          <w:rFonts w:asciiTheme="majorHAnsi" w:eastAsia="Times New Roman" w:hAnsiTheme="majorHAnsi" w:cstheme="majorHAnsi"/>
          <w:szCs w:val="24"/>
          <w:highlight w:val="yellow"/>
          <w:lang w:val="en-IN" w:eastAsia="en-IN"/>
        </w:rPr>
        <w:t xml:space="preserve">250 mg/dL on two consecutive measurements separated by at least 24 h. </w:t>
      </w:r>
    </w:p>
    <w:p w14:paraId="5EFE2E65" w14:textId="39119B1B" w:rsidR="00F322D8" w:rsidRPr="00935A12" w:rsidRDefault="00F322D8" w:rsidP="008A0491">
      <w:pPr>
        <w:spacing w:after="0"/>
        <w:jc w:val="both"/>
        <w:rPr>
          <w:rFonts w:asciiTheme="majorHAnsi" w:eastAsia="Times New Roman" w:hAnsiTheme="majorHAnsi" w:cstheme="majorHAnsi"/>
          <w:szCs w:val="24"/>
          <w:highlight w:val="yellow"/>
          <w:lang w:val="en-IN" w:eastAsia="en-IN"/>
        </w:rPr>
      </w:pPr>
    </w:p>
    <w:p w14:paraId="2E74D7F7" w14:textId="15F5911D" w:rsidR="00F322D8" w:rsidRPr="00935A12" w:rsidRDefault="00F322D8" w:rsidP="008A0491">
      <w:pPr>
        <w:pStyle w:val="ListParagraph"/>
        <w:numPr>
          <w:ilvl w:val="1"/>
          <w:numId w:val="57"/>
        </w:numPr>
        <w:spacing w:after="0"/>
        <w:ind w:left="0" w:firstLine="0"/>
        <w:jc w:val="both"/>
        <w:rPr>
          <w:rFonts w:asciiTheme="majorHAnsi" w:eastAsia="Times New Roman" w:hAnsiTheme="majorHAnsi" w:cstheme="majorHAnsi"/>
          <w:szCs w:val="24"/>
          <w:highlight w:val="yellow"/>
          <w:lang w:val="en-IN" w:eastAsia="en-IN"/>
        </w:rPr>
      </w:pPr>
      <w:r w:rsidRPr="00935A12">
        <w:rPr>
          <w:rFonts w:asciiTheme="majorHAnsi" w:eastAsia="Times New Roman" w:hAnsiTheme="majorHAnsi" w:cstheme="majorHAnsi"/>
          <w:szCs w:val="24"/>
          <w:highlight w:val="yellow"/>
          <w:lang w:val="en-IN" w:eastAsia="en-IN"/>
        </w:rPr>
        <w:t xml:space="preserve">Euthanize mice exhibiting severe disease signs according to institutional guidelines. </w:t>
      </w:r>
    </w:p>
    <w:p w14:paraId="538DD846" w14:textId="57A06AA6" w:rsidR="00F322D8" w:rsidRPr="00F322D8" w:rsidRDefault="00F322D8" w:rsidP="008A0491">
      <w:pPr>
        <w:spacing w:after="0"/>
        <w:jc w:val="both"/>
        <w:rPr>
          <w:rFonts w:asciiTheme="majorHAnsi" w:eastAsia="Times New Roman" w:hAnsiTheme="majorHAnsi" w:cstheme="majorHAnsi"/>
          <w:szCs w:val="24"/>
          <w:lang w:val="en-IN" w:eastAsia="en-IN"/>
        </w:rPr>
      </w:pPr>
    </w:p>
    <w:p w14:paraId="03AEE274" w14:textId="481EDDF5" w:rsidR="00F322D8" w:rsidRPr="008A0491" w:rsidRDefault="00F322D8" w:rsidP="008A0491">
      <w:pPr>
        <w:pStyle w:val="ListParagraph"/>
        <w:numPr>
          <w:ilvl w:val="0"/>
          <w:numId w:val="57"/>
        </w:numPr>
        <w:spacing w:after="0"/>
        <w:ind w:left="0" w:firstLine="0"/>
        <w:jc w:val="both"/>
        <w:outlineLvl w:val="1"/>
        <w:rPr>
          <w:rFonts w:asciiTheme="majorHAnsi" w:eastAsia="Times New Roman" w:hAnsiTheme="majorHAnsi" w:cstheme="majorHAnsi"/>
          <w:b/>
          <w:bCs/>
          <w:szCs w:val="24"/>
          <w:lang w:val="en-IN" w:eastAsia="en-IN"/>
        </w:rPr>
      </w:pPr>
      <w:r w:rsidRPr="008A0491">
        <w:rPr>
          <w:rFonts w:asciiTheme="majorHAnsi" w:eastAsia="Times New Roman" w:hAnsiTheme="majorHAnsi" w:cstheme="majorHAnsi"/>
          <w:b/>
          <w:bCs/>
          <w:szCs w:val="24"/>
          <w:lang w:val="en-IN" w:eastAsia="en-IN"/>
        </w:rPr>
        <w:t xml:space="preserve">Pancreas </w:t>
      </w:r>
      <w:r w:rsidR="00526980" w:rsidRPr="008A0491">
        <w:rPr>
          <w:rFonts w:asciiTheme="majorHAnsi" w:eastAsia="Times New Roman" w:hAnsiTheme="majorHAnsi" w:cstheme="majorHAnsi"/>
          <w:b/>
          <w:bCs/>
          <w:szCs w:val="24"/>
          <w:lang w:val="en-IN" w:eastAsia="en-IN"/>
        </w:rPr>
        <w:t>h</w:t>
      </w:r>
      <w:r w:rsidRPr="008A0491">
        <w:rPr>
          <w:rFonts w:asciiTheme="majorHAnsi" w:eastAsia="Times New Roman" w:hAnsiTheme="majorHAnsi" w:cstheme="majorHAnsi"/>
          <w:b/>
          <w:bCs/>
          <w:szCs w:val="24"/>
          <w:lang w:val="en-IN" w:eastAsia="en-IN"/>
        </w:rPr>
        <w:t xml:space="preserve">arvest, </w:t>
      </w:r>
      <w:r w:rsidR="00526980" w:rsidRPr="008A0491">
        <w:rPr>
          <w:rFonts w:asciiTheme="majorHAnsi" w:eastAsia="Times New Roman" w:hAnsiTheme="majorHAnsi" w:cstheme="majorHAnsi"/>
          <w:b/>
          <w:bCs/>
          <w:szCs w:val="24"/>
          <w:lang w:val="en-IN" w:eastAsia="en-IN"/>
        </w:rPr>
        <w:t>f</w:t>
      </w:r>
      <w:r w:rsidRPr="008A0491">
        <w:rPr>
          <w:rFonts w:asciiTheme="majorHAnsi" w:eastAsia="Times New Roman" w:hAnsiTheme="majorHAnsi" w:cstheme="majorHAnsi"/>
          <w:b/>
          <w:bCs/>
          <w:szCs w:val="24"/>
          <w:lang w:val="en-IN" w:eastAsia="en-IN"/>
        </w:rPr>
        <w:t xml:space="preserve">ixation, and </w:t>
      </w:r>
      <w:r w:rsidR="00526980" w:rsidRPr="008A0491">
        <w:rPr>
          <w:rFonts w:asciiTheme="majorHAnsi" w:eastAsia="Times New Roman" w:hAnsiTheme="majorHAnsi" w:cstheme="majorHAnsi"/>
          <w:b/>
          <w:bCs/>
          <w:szCs w:val="24"/>
          <w:lang w:val="en-IN" w:eastAsia="en-IN"/>
        </w:rPr>
        <w:t>p</w:t>
      </w:r>
      <w:r w:rsidRPr="008A0491">
        <w:rPr>
          <w:rFonts w:asciiTheme="majorHAnsi" w:eastAsia="Times New Roman" w:hAnsiTheme="majorHAnsi" w:cstheme="majorHAnsi"/>
          <w:b/>
          <w:bCs/>
          <w:szCs w:val="24"/>
          <w:lang w:val="en-IN" w:eastAsia="en-IN"/>
        </w:rPr>
        <w:t>rocessing</w:t>
      </w:r>
    </w:p>
    <w:p w14:paraId="60A955D4" w14:textId="77777777" w:rsidR="00526980" w:rsidRPr="008A0491" w:rsidRDefault="00526980" w:rsidP="008A0491">
      <w:pPr>
        <w:pStyle w:val="ListParagraph"/>
        <w:spacing w:after="0"/>
        <w:ind w:left="0"/>
        <w:jc w:val="both"/>
        <w:outlineLvl w:val="1"/>
        <w:rPr>
          <w:rFonts w:asciiTheme="majorHAnsi" w:eastAsia="Times New Roman" w:hAnsiTheme="majorHAnsi" w:cstheme="majorHAnsi"/>
          <w:b/>
          <w:bCs/>
          <w:szCs w:val="24"/>
          <w:lang w:val="en-IN" w:eastAsia="en-IN"/>
        </w:rPr>
      </w:pPr>
    </w:p>
    <w:p w14:paraId="58B463DB" w14:textId="41D5C240"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Euthanize mice according to approved protocols. Dissect and collect the pancreas carefully, including all lobes. </w:t>
      </w:r>
    </w:p>
    <w:p w14:paraId="1B67A77F" w14:textId="017C65EF" w:rsidR="00F322D8" w:rsidRPr="00F322D8" w:rsidRDefault="00F322D8" w:rsidP="008A0491">
      <w:pPr>
        <w:spacing w:after="0"/>
        <w:jc w:val="both"/>
        <w:rPr>
          <w:rFonts w:asciiTheme="majorHAnsi" w:eastAsia="Times New Roman" w:hAnsiTheme="majorHAnsi" w:cstheme="majorHAnsi"/>
          <w:szCs w:val="24"/>
          <w:lang w:val="en-IN" w:eastAsia="en-IN"/>
        </w:rPr>
      </w:pPr>
    </w:p>
    <w:p w14:paraId="586A6574" w14:textId="42674E54"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lastRenderedPageBreak/>
        <w:t xml:space="preserve">Place the pancreas into 10% neutral buffered formalin at a minimum 10:1 fixative-to-tissue volume ratio. Fix for 72 h at room temperature. </w:t>
      </w:r>
    </w:p>
    <w:p w14:paraId="4C3E0024" w14:textId="77777777" w:rsidR="00526980" w:rsidRPr="008A0491" w:rsidRDefault="00526980" w:rsidP="008A0491">
      <w:pPr>
        <w:spacing w:after="0"/>
        <w:jc w:val="both"/>
        <w:rPr>
          <w:rFonts w:asciiTheme="majorHAnsi" w:eastAsia="Times New Roman" w:hAnsiTheme="majorHAnsi" w:cstheme="majorHAnsi"/>
          <w:szCs w:val="24"/>
          <w:lang w:val="en-IN" w:eastAsia="en-IN"/>
        </w:rPr>
      </w:pPr>
    </w:p>
    <w:p w14:paraId="04C302F0" w14:textId="77777777" w:rsidR="00F322D8" w:rsidRPr="00F322D8" w:rsidRDefault="00F322D8" w:rsidP="008A0491">
      <w:pPr>
        <w:spacing w:after="0"/>
        <w:jc w:val="both"/>
        <w:rPr>
          <w:rFonts w:asciiTheme="majorHAnsi" w:eastAsia="Times New Roman" w:hAnsiTheme="majorHAnsi" w:cstheme="majorHAnsi"/>
          <w:szCs w:val="24"/>
          <w:lang w:val="en-IN" w:eastAsia="en-IN"/>
        </w:rPr>
      </w:pPr>
      <w:r w:rsidRPr="00F322D8">
        <w:rPr>
          <w:rFonts w:asciiTheme="majorHAnsi" w:eastAsia="Times New Roman" w:hAnsiTheme="majorHAnsi" w:cstheme="majorHAnsi"/>
          <w:szCs w:val="24"/>
          <w:lang w:val="en-IN" w:eastAsia="en-IN"/>
        </w:rPr>
        <w:t>CAUTION: Handle formalin in a chemical fume hood with appropriate PPE.</w:t>
      </w:r>
    </w:p>
    <w:p w14:paraId="485464F6" w14:textId="7395F230" w:rsidR="00F322D8" w:rsidRPr="00F322D8" w:rsidRDefault="00F322D8" w:rsidP="008A0491">
      <w:pPr>
        <w:spacing w:after="0"/>
        <w:jc w:val="both"/>
        <w:rPr>
          <w:rFonts w:asciiTheme="majorHAnsi" w:eastAsia="Times New Roman" w:hAnsiTheme="majorHAnsi" w:cstheme="majorHAnsi"/>
          <w:szCs w:val="24"/>
          <w:lang w:val="en-IN" w:eastAsia="en-IN"/>
        </w:rPr>
      </w:pPr>
    </w:p>
    <w:p w14:paraId="1458BFEB" w14:textId="496898C4"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Transfer tissues to 70% ethanol after fixation. </w:t>
      </w:r>
    </w:p>
    <w:p w14:paraId="2BC743BC" w14:textId="21AC3ED3" w:rsidR="00F322D8" w:rsidRPr="00F322D8" w:rsidRDefault="00F322D8" w:rsidP="008A0491">
      <w:pPr>
        <w:spacing w:after="0"/>
        <w:jc w:val="both"/>
        <w:rPr>
          <w:rFonts w:asciiTheme="majorHAnsi" w:eastAsia="Times New Roman" w:hAnsiTheme="majorHAnsi" w:cstheme="majorHAnsi"/>
          <w:szCs w:val="24"/>
          <w:lang w:val="en-IN" w:eastAsia="en-IN"/>
        </w:rPr>
      </w:pPr>
    </w:p>
    <w:p w14:paraId="0F2B990C" w14:textId="1D251D76"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Submit fixed tissues to a histology core facility for paraffin embedding</w:t>
      </w:r>
      <w:r w:rsidR="002F4C45" w:rsidRPr="008A0491">
        <w:rPr>
          <w:rFonts w:asciiTheme="majorHAnsi" w:eastAsia="Times New Roman" w:hAnsiTheme="majorHAnsi" w:cstheme="majorHAnsi"/>
          <w:szCs w:val="24"/>
          <w:lang w:val="en-IN" w:eastAsia="en-IN"/>
        </w:rPr>
        <w:t xml:space="preserve">, </w:t>
      </w:r>
      <w:r w:rsidRPr="008A0491">
        <w:rPr>
          <w:rFonts w:asciiTheme="majorHAnsi" w:eastAsia="Times New Roman" w:hAnsiTheme="majorHAnsi" w:cstheme="majorHAnsi"/>
          <w:szCs w:val="24"/>
          <w:lang w:val="en-IN" w:eastAsia="en-IN"/>
        </w:rPr>
        <w:t>sectioning at 5 µm thickness on positively charged slides</w:t>
      </w:r>
      <w:r w:rsidR="002F4C45" w:rsidRPr="008A0491">
        <w:rPr>
          <w:rFonts w:asciiTheme="majorHAnsi" w:eastAsia="Times New Roman" w:hAnsiTheme="majorHAnsi" w:cstheme="majorHAnsi"/>
          <w:szCs w:val="24"/>
          <w:lang w:val="en-IN" w:eastAsia="en-IN"/>
        </w:rPr>
        <w:t xml:space="preserve">, </w:t>
      </w:r>
      <w:proofErr w:type="spellStart"/>
      <w:r w:rsidRPr="008A0491">
        <w:rPr>
          <w:rFonts w:asciiTheme="majorHAnsi" w:eastAsia="Times New Roman" w:hAnsiTheme="majorHAnsi" w:cstheme="majorHAnsi"/>
          <w:szCs w:val="24"/>
          <w:lang w:val="en-IN" w:eastAsia="en-IN"/>
        </w:rPr>
        <w:t>hematoxylin</w:t>
      </w:r>
      <w:proofErr w:type="spellEnd"/>
      <w:r w:rsidRPr="008A0491">
        <w:rPr>
          <w:rFonts w:asciiTheme="majorHAnsi" w:eastAsia="Times New Roman" w:hAnsiTheme="majorHAnsi" w:cstheme="majorHAnsi"/>
          <w:szCs w:val="24"/>
          <w:lang w:val="en-IN" w:eastAsia="en-IN"/>
        </w:rPr>
        <w:t xml:space="preserve"> and eosin staining</w:t>
      </w:r>
      <w:r w:rsidR="00B621F6" w:rsidRPr="008A0491">
        <w:rPr>
          <w:rFonts w:asciiTheme="majorHAnsi" w:eastAsia="Times New Roman" w:hAnsiTheme="majorHAnsi" w:cstheme="majorHAnsi"/>
          <w:szCs w:val="24"/>
          <w:lang w:val="en-IN" w:eastAsia="en-IN"/>
        </w:rPr>
        <w:t>,</w:t>
      </w:r>
      <w:r w:rsidRPr="008A0491">
        <w:rPr>
          <w:rFonts w:asciiTheme="majorHAnsi" w:eastAsia="Times New Roman" w:hAnsiTheme="majorHAnsi" w:cstheme="majorHAnsi"/>
          <w:szCs w:val="24"/>
          <w:lang w:val="en-IN" w:eastAsia="en-IN"/>
        </w:rPr>
        <w:t xml:space="preserve"> and insulin immunohistochemistry. </w:t>
      </w:r>
    </w:p>
    <w:p w14:paraId="009C5928" w14:textId="77777777" w:rsidR="00B621F6" w:rsidRPr="008A0491" w:rsidRDefault="00B621F6" w:rsidP="008A0491">
      <w:pPr>
        <w:spacing w:after="0"/>
        <w:jc w:val="both"/>
        <w:rPr>
          <w:rFonts w:asciiTheme="majorHAnsi" w:eastAsia="Times New Roman" w:hAnsiTheme="majorHAnsi" w:cstheme="majorHAnsi"/>
          <w:szCs w:val="24"/>
          <w:lang w:val="en-IN" w:eastAsia="en-IN"/>
        </w:rPr>
      </w:pPr>
    </w:p>
    <w:p w14:paraId="169B1A88" w14:textId="77777777" w:rsidR="00F322D8" w:rsidRPr="00F322D8" w:rsidRDefault="00F322D8" w:rsidP="008A0491">
      <w:pPr>
        <w:spacing w:after="0"/>
        <w:jc w:val="both"/>
        <w:rPr>
          <w:rFonts w:asciiTheme="majorHAnsi" w:eastAsia="Times New Roman" w:hAnsiTheme="majorHAnsi" w:cstheme="majorHAnsi"/>
          <w:szCs w:val="24"/>
          <w:lang w:val="en-IN" w:eastAsia="en-IN"/>
        </w:rPr>
      </w:pPr>
      <w:r w:rsidRPr="00F322D8">
        <w:rPr>
          <w:rFonts w:asciiTheme="majorHAnsi" w:eastAsia="Times New Roman" w:hAnsiTheme="majorHAnsi" w:cstheme="majorHAnsi"/>
          <w:szCs w:val="24"/>
          <w:lang w:val="en-IN" w:eastAsia="en-IN"/>
        </w:rPr>
        <w:t>NOTE: Request unstained sections if additional downstream analyses are planned.</w:t>
      </w:r>
    </w:p>
    <w:p w14:paraId="57559D96" w14:textId="676E5063" w:rsidR="00F322D8" w:rsidRPr="00F322D8" w:rsidRDefault="00F322D8" w:rsidP="008A0491">
      <w:pPr>
        <w:spacing w:after="0"/>
        <w:jc w:val="both"/>
        <w:rPr>
          <w:rFonts w:asciiTheme="majorHAnsi" w:eastAsia="Times New Roman" w:hAnsiTheme="majorHAnsi" w:cstheme="majorHAnsi"/>
          <w:szCs w:val="24"/>
          <w:lang w:val="en-IN" w:eastAsia="en-IN"/>
        </w:rPr>
      </w:pPr>
    </w:p>
    <w:p w14:paraId="0A8B5697" w14:textId="4C9E1690" w:rsidR="00F322D8" w:rsidRPr="008A0491" w:rsidRDefault="00F322D8" w:rsidP="008A0491">
      <w:pPr>
        <w:pStyle w:val="ListParagraph"/>
        <w:numPr>
          <w:ilvl w:val="0"/>
          <w:numId w:val="57"/>
        </w:numPr>
        <w:spacing w:after="0"/>
        <w:ind w:left="0" w:firstLine="0"/>
        <w:jc w:val="both"/>
        <w:outlineLvl w:val="1"/>
        <w:rPr>
          <w:rFonts w:asciiTheme="majorHAnsi" w:eastAsia="Times New Roman" w:hAnsiTheme="majorHAnsi" w:cstheme="majorHAnsi"/>
          <w:b/>
          <w:bCs/>
          <w:szCs w:val="24"/>
          <w:lang w:val="en-IN" w:eastAsia="en-IN"/>
        </w:rPr>
      </w:pPr>
      <w:r w:rsidRPr="008A0491">
        <w:rPr>
          <w:rFonts w:asciiTheme="majorHAnsi" w:eastAsia="Times New Roman" w:hAnsiTheme="majorHAnsi" w:cstheme="majorHAnsi"/>
          <w:b/>
          <w:bCs/>
          <w:szCs w:val="24"/>
          <w:lang w:val="en-IN" w:eastAsia="en-IN"/>
        </w:rPr>
        <w:t xml:space="preserve">Histological </w:t>
      </w:r>
      <w:r w:rsidR="00B621F6" w:rsidRPr="008A0491">
        <w:rPr>
          <w:rFonts w:asciiTheme="majorHAnsi" w:eastAsia="Times New Roman" w:hAnsiTheme="majorHAnsi" w:cstheme="majorHAnsi"/>
          <w:b/>
          <w:bCs/>
          <w:szCs w:val="24"/>
          <w:lang w:val="en-IN" w:eastAsia="en-IN"/>
        </w:rPr>
        <w:t>e</w:t>
      </w:r>
      <w:r w:rsidRPr="008A0491">
        <w:rPr>
          <w:rFonts w:asciiTheme="majorHAnsi" w:eastAsia="Times New Roman" w:hAnsiTheme="majorHAnsi" w:cstheme="majorHAnsi"/>
          <w:b/>
          <w:bCs/>
          <w:szCs w:val="24"/>
          <w:lang w:val="en-IN" w:eastAsia="en-IN"/>
        </w:rPr>
        <w:t xml:space="preserve">valuation and </w:t>
      </w:r>
      <w:r w:rsidR="00B621F6" w:rsidRPr="008A0491">
        <w:rPr>
          <w:rFonts w:asciiTheme="majorHAnsi" w:eastAsia="Times New Roman" w:hAnsiTheme="majorHAnsi" w:cstheme="majorHAnsi"/>
          <w:b/>
          <w:bCs/>
          <w:szCs w:val="24"/>
          <w:lang w:val="en-IN" w:eastAsia="en-IN"/>
        </w:rPr>
        <w:t>i</w:t>
      </w:r>
      <w:r w:rsidRPr="008A0491">
        <w:rPr>
          <w:rFonts w:asciiTheme="majorHAnsi" w:eastAsia="Times New Roman" w:hAnsiTheme="majorHAnsi" w:cstheme="majorHAnsi"/>
          <w:b/>
          <w:bCs/>
          <w:szCs w:val="24"/>
          <w:lang w:val="en-IN" w:eastAsia="en-IN"/>
        </w:rPr>
        <w:t xml:space="preserve">slet </w:t>
      </w:r>
      <w:r w:rsidR="00B621F6" w:rsidRPr="008A0491">
        <w:rPr>
          <w:rFonts w:asciiTheme="majorHAnsi" w:eastAsia="Times New Roman" w:hAnsiTheme="majorHAnsi" w:cstheme="majorHAnsi"/>
          <w:b/>
          <w:bCs/>
          <w:szCs w:val="24"/>
          <w:lang w:val="en-IN" w:eastAsia="en-IN"/>
        </w:rPr>
        <w:t>a</w:t>
      </w:r>
      <w:r w:rsidRPr="008A0491">
        <w:rPr>
          <w:rFonts w:asciiTheme="majorHAnsi" w:eastAsia="Times New Roman" w:hAnsiTheme="majorHAnsi" w:cstheme="majorHAnsi"/>
          <w:b/>
          <w:bCs/>
          <w:szCs w:val="24"/>
          <w:lang w:val="en-IN" w:eastAsia="en-IN"/>
        </w:rPr>
        <w:t xml:space="preserve">rea </w:t>
      </w:r>
      <w:r w:rsidR="00B621F6" w:rsidRPr="008A0491">
        <w:rPr>
          <w:rFonts w:asciiTheme="majorHAnsi" w:eastAsia="Times New Roman" w:hAnsiTheme="majorHAnsi" w:cstheme="majorHAnsi"/>
          <w:b/>
          <w:bCs/>
          <w:szCs w:val="24"/>
          <w:lang w:val="en-IN" w:eastAsia="en-IN"/>
        </w:rPr>
        <w:t>q</w:t>
      </w:r>
      <w:r w:rsidRPr="008A0491">
        <w:rPr>
          <w:rFonts w:asciiTheme="majorHAnsi" w:eastAsia="Times New Roman" w:hAnsiTheme="majorHAnsi" w:cstheme="majorHAnsi"/>
          <w:b/>
          <w:bCs/>
          <w:szCs w:val="24"/>
          <w:lang w:val="en-IN" w:eastAsia="en-IN"/>
        </w:rPr>
        <w:t>uantification</w:t>
      </w:r>
    </w:p>
    <w:p w14:paraId="0664EB10" w14:textId="77777777" w:rsidR="00B621F6" w:rsidRPr="008A0491" w:rsidRDefault="00B621F6" w:rsidP="008A0491">
      <w:pPr>
        <w:pStyle w:val="ListParagraph"/>
        <w:spacing w:after="0"/>
        <w:ind w:left="0"/>
        <w:jc w:val="both"/>
        <w:outlineLvl w:val="1"/>
        <w:rPr>
          <w:rFonts w:asciiTheme="majorHAnsi" w:eastAsia="Times New Roman" w:hAnsiTheme="majorHAnsi" w:cstheme="majorHAnsi"/>
          <w:b/>
          <w:bCs/>
          <w:szCs w:val="24"/>
          <w:lang w:val="en-IN" w:eastAsia="en-IN"/>
        </w:rPr>
      </w:pPr>
    </w:p>
    <w:p w14:paraId="07D25B75" w14:textId="72389E40"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Acquire whole-slide images using a slide scanner or microscope. </w:t>
      </w:r>
    </w:p>
    <w:p w14:paraId="2C0B4403" w14:textId="61423EEB" w:rsidR="00F322D8" w:rsidRPr="00F322D8" w:rsidRDefault="00F322D8" w:rsidP="008A0491">
      <w:pPr>
        <w:spacing w:after="0"/>
        <w:jc w:val="both"/>
        <w:rPr>
          <w:rFonts w:asciiTheme="majorHAnsi" w:eastAsia="Times New Roman" w:hAnsiTheme="majorHAnsi" w:cstheme="majorHAnsi"/>
          <w:szCs w:val="24"/>
          <w:lang w:val="en-IN" w:eastAsia="en-IN"/>
        </w:rPr>
      </w:pPr>
    </w:p>
    <w:p w14:paraId="6321A7A5" w14:textId="5821E084"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Open images in </w:t>
      </w:r>
      <w:r w:rsidR="00B621F6" w:rsidRPr="008A0491">
        <w:rPr>
          <w:rFonts w:asciiTheme="majorHAnsi" w:eastAsia="Times New Roman" w:hAnsiTheme="majorHAnsi" w:cstheme="majorHAnsi"/>
          <w:szCs w:val="24"/>
          <w:lang w:val="en-IN" w:eastAsia="en-IN"/>
        </w:rPr>
        <w:t xml:space="preserve">the referenced </w:t>
      </w:r>
      <w:r w:rsidRPr="008A0491">
        <w:rPr>
          <w:rFonts w:asciiTheme="majorHAnsi" w:eastAsia="Times New Roman" w:hAnsiTheme="majorHAnsi" w:cstheme="majorHAnsi"/>
          <w:szCs w:val="24"/>
          <w:lang w:val="en-IN" w:eastAsia="en-IN"/>
        </w:rPr>
        <w:t xml:space="preserve">software. Manually annotate islets using appropriate tools. </w:t>
      </w:r>
    </w:p>
    <w:p w14:paraId="1D29454D" w14:textId="0D62DAB7" w:rsidR="00F322D8" w:rsidRPr="00F322D8" w:rsidRDefault="00F322D8" w:rsidP="008A0491">
      <w:pPr>
        <w:spacing w:after="0"/>
        <w:jc w:val="both"/>
        <w:rPr>
          <w:rFonts w:asciiTheme="majorHAnsi" w:eastAsia="Times New Roman" w:hAnsiTheme="majorHAnsi" w:cstheme="majorHAnsi"/>
          <w:szCs w:val="24"/>
          <w:lang w:val="en-IN" w:eastAsia="en-IN"/>
        </w:rPr>
      </w:pPr>
    </w:p>
    <w:p w14:paraId="67B67C64" w14:textId="48C62321"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Measure islet area using annotation tools. </w:t>
      </w:r>
    </w:p>
    <w:p w14:paraId="492CE0FB" w14:textId="77777777" w:rsidR="00F344A3" w:rsidRPr="008A0491" w:rsidRDefault="00F344A3" w:rsidP="008A0491">
      <w:pPr>
        <w:spacing w:after="0"/>
        <w:jc w:val="both"/>
        <w:rPr>
          <w:rFonts w:asciiTheme="majorHAnsi" w:eastAsia="Times New Roman" w:hAnsiTheme="majorHAnsi" w:cstheme="majorHAnsi"/>
          <w:szCs w:val="24"/>
          <w:lang w:val="en-IN" w:eastAsia="en-IN"/>
        </w:rPr>
      </w:pPr>
    </w:p>
    <w:p w14:paraId="5ECEF725" w14:textId="5528A546"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Export measurements for analysis. </w:t>
      </w:r>
    </w:p>
    <w:p w14:paraId="240B14B3" w14:textId="77777777" w:rsidR="00F344A3" w:rsidRPr="008A0491" w:rsidRDefault="00F344A3" w:rsidP="008A0491">
      <w:pPr>
        <w:spacing w:after="0"/>
        <w:jc w:val="both"/>
        <w:rPr>
          <w:rFonts w:asciiTheme="majorHAnsi" w:eastAsia="Times New Roman" w:hAnsiTheme="majorHAnsi" w:cstheme="majorHAnsi"/>
          <w:szCs w:val="24"/>
          <w:lang w:val="en-IN" w:eastAsia="en-IN"/>
        </w:rPr>
      </w:pPr>
    </w:p>
    <w:p w14:paraId="44EC3915" w14:textId="77777777" w:rsidR="00F322D8" w:rsidRPr="00F322D8" w:rsidRDefault="00F322D8" w:rsidP="008A0491">
      <w:pPr>
        <w:spacing w:after="0"/>
        <w:jc w:val="both"/>
        <w:rPr>
          <w:rFonts w:asciiTheme="majorHAnsi" w:eastAsia="Times New Roman" w:hAnsiTheme="majorHAnsi" w:cstheme="majorHAnsi"/>
          <w:szCs w:val="24"/>
          <w:lang w:val="en-IN" w:eastAsia="en-IN"/>
        </w:rPr>
      </w:pPr>
      <w:r w:rsidRPr="00F322D8">
        <w:rPr>
          <w:rFonts w:asciiTheme="majorHAnsi" w:eastAsia="Times New Roman" w:hAnsiTheme="majorHAnsi" w:cstheme="majorHAnsi"/>
          <w:szCs w:val="24"/>
          <w:lang w:val="en-IN" w:eastAsia="en-IN"/>
        </w:rPr>
        <w:t>NOTE: Total islet area includes endocrine and infiltrating cells.</w:t>
      </w:r>
    </w:p>
    <w:p w14:paraId="3556B106" w14:textId="1A2B5EE3" w:rsidR="00F322D8" w:rsidRPr="00F322D8" w:rsidRDefault="00F322D8" w:rsidP="008A0491">
      <w:pPr>
        <w:spacing w:after="0"/>
        <w:jc w:val="both"/>
        <w:rPr>
          <w:rFonts w:asciiTheme="majorHAnsi" w:eastAsia="Times New Roman" w:hAnsiTheme="majorHAnsi" w:cstheme="majorHAnsi"/>
          <w:szCs w:val="24"/>
          <w:lang w:val="en-IN" w:eastAsia="en-IN"/>
        </w:rPr>
      </w:pPr>
    </w:p>
    <w:p w14:paraId="59D1F737" w14:textId="145A8DB6" w:rsidR="00F322D8" w:rsidRPr="008A0491" w:rsidRDefault="009866CD" w:rsidP="008A0491">
      <w:pPr>
        <w:pStyle w:val="ListParagraph"/>
        <w:numPr>
          <w:ilvl w:val="0"/>
          <w:numId w:val="57"/>
        </w:numPr>
        <w:spacing w:after="0"/>
        <w:ind w:left="0" w:firstLine="0"/>
        <w:jc w:val="both"/>
        <w:outlineLvl w:val="2"/>
        <w:rPr>
          <w:rFonts w:asciiTheme="majorHAnsi" w:eastAsia="Times New Roman" w:hAnsiTheme="majorHAnsi" w:cstheme="majorHAnsi"/>
          <w:b/>
          <w:bCs/>
          <w:szCs w:val="24"/>
          <w:lang w:val="en-IN" w:eastAsia="en-IN"/>
        </w:rPr>
      </w:pPr>
      <w:r w:rsidRPr="008A0491">
        <w:rPr>
          <w:rFonts w:asciiTheme="majorHAnsi" w:eastAsia="Times New Roman" w:hAnsiTheme="majorHAnsi" w:cstheme="majorHAnsi"/>
          <w:b/>
          <w:bCs/>
          <w:szCs w:val="24"/>
          <w:lang w:val="en-IN" w:eastAsia="en-IN"/>
        </w:rPr>
        <w:t xml:space="preserve">Various downstream analyses </w:t>
      </w:r>
    </w:p>
    <w:p w14:paraId="057509FF" w14:textId="77777777" w:rsidR="009866CD" w:rsidRPr="008A0491" w:rsidRDefault="009866CD" w:rsidP="008A0491">
      <w:pPr>
        <w:pStyle w:val="ListParagraph"/>
        <w:spacing w:after="0"/>
        <w:ind w:left="0"/>
        <w:jc w:val="both"/>
        <w:outlineLvl w:val="2"/>
        <w:rPr>
          <w:rFonts w:asciiTheme="majorHAnsi" w:eastAsia="Times New Roman" w:hAnsiTheme="majorHAnsi" w:cstheme="majorHAnsi"/>
          <w:b/>
          <w:bCs/>
          <w:szCs w:val="24"/>
          <w:lang w:val="en-IN" w:eastAsia="en-IN"/>
        </w:rPr>
      </w:pPr>
    </w:p>
    <w:p w14:paraId="650E189D" w14:textId="1C0340E8" w:rsidR="00F322D8" w:rsidRPr="008A0491" w:rsidRDefault="00F322D8" w:rsidP="008A0491">
      <w:pPr>
        <w:pStyle w:val="ListParagraph"/>
        <w:numPr>
          <w:ilvl w:val="1"/>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Calculate mean islet area per mouse. Compare groups using appropriate statistical tests. </w:t>
      </w:r>
    </w:p>
    <w:p w14:paraId="68D339B1" w14:textId="7D250112" w:rsidR="00F322D8" w:rsidRPr="00F322D8" w:rsidRDefault="00F322D8" w:rsidP="008A0491">
      <w:pPr>
        <w:spacing w:after="0"/>
        <w:jc w:val="both"/>
        <w:rPr>
          <w:rFonts w:asciiTheme="majorHAnsi" w:eastAsia="Times New Roman" w:hAnsiTheme="majorHAnsi" w:cstheme="majorHAnsi"/>
          <w:szCs w:val="24"/>
          <w:lang w:val="en-IN" w:eastAsia="en-IN"/>
        </w:rPr>
      </w:pPr>
    </w:p>
    <w:p w14:paraId="0A592268" w14:textId="3D8F6444" w:rsidR="00F322D8" w:rsidRPr="008A0491" w:rsidRDefault="00F322D8" w:rsidP="008A0491">
      <w:pPr>
        <w:pStyle w:val="ListParagraph"/>
        <w:numPr>
          <w:ilvl w:val="1"/>
          <w:numId w:val="57"/>
        </w:numPr>
        <w:spacing w:after="0"/>
        <w:ind w:left="0" w:firstLine="0"/>
        <w:jc w:val="both"/>
        <w:outlineLvl w:val="1"/>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Optional: Spatial </w:t>
      </w:r>
      <w:r w:rsidR="009866CD" w:rsidRPr="008A0491">
        <w:rPr>
          <w:rFonts w:asciiTheme="majorHAnsi" w:eastAsia="Times New Roman" w:hAnsiTheme="majorHAnsi" w:cstheme="majorHAnsi"/>
          <w:szCs w:val="24"/>
          <w:lang w:val="en-IN" w:eastAsia="en-IN"/>
        </w:rPr>
        <w:t>p</w:t>
      </w:r>
      <w:r w:rsidRPr="008A0491">
        <w:rPr>
          <w:rFonts w:asciiTheme="majorHAnsi" w:eastAsia="Times New Roman" w:hAnsiTheme="majorHAnsi" w:cstheme="majorHAnsi"/>
          <w:szCs w:val="24"/>
          <w:lang w:val="en-IN" w:eastAsia="en-IN"/>
        </w:rPr>
        <w:t xml:space="preserve">roteomics </w:t>
      </w:r>
      <w:r w:rsidR="009866CD" w:rsidRPr="008A0491">
        <w:rPr>
          <w:rFonts w:asciiTheme="majorHAnsi" w:eastAsia="Times New Roman" w:hAnsiTheme="majorHAnsi" w:cstheme="majorHAnsi"/>
          <w:szCs w:val="24"/>
          <w:lang w:val="en-IN" w:eastAsia="en-IN"/>
        </w:rPr>
        <w:t>a</w:t>
      </w:r>
      <w:r w:rsidRPr="008A0491">
        <w:rPr>
          <w:rFonts w:asciiTheme="majorHAnsi" w:eastAsia="Times New Roman" w:hAnsiTheme="majorHAnsi" w:cstheme="majorHAnsi"/>
          <w:szCs w:val="24"/>
          <w:lang w:val="en-IN" w:eastAsia="en-IN"/>
        </w:rPr>
        <w:t>nalysis</w:t>
      </w:r>
      <w:r w:rsidR="004A7F8C" w:rsidRPr="008A0491">
        <w:rPr>
          <w:rFonts w:asciiTheme="majorHAnsi" w:eastAsia="Times New Roman" w:hAnsiTheme="majorHAnsi" w:cstheme="majorHAnsi"/>
          <w:szCs w:val="24"/>
          <w:lang w:val="en-IN" w:eastAsia="en-IN"/>
        </w:rPr>
        <w:t xml:space="preserve"> (see </w:t>
      </w:r>
      <w:r w:rsidR="004A7F8C" w:rsidRPr="008A0491">
        <w:rPr>
          <w:rFonts w:asciiTheme="majorHAnsi" w:eastAsia="Times New Roman" w:hAnsiTheme="majorHAnsi" w:cstheme="majorHAnsi"/>
          <w:b/>
          <w:bCs/>
          <w:szCs w:val="24"/>
          <w:lang w:val="en-IN" w:eastAsia="en-IN"/>
        </w:rPr>
        <w:t>Supplemental Table S1</w:t>
      </w:r>
      <w:r w:rsidR="004A7F8C" w:rsidRPr="008A0491">
        <w:rPr>
          <w:rFonts w:asciiTheme="majorHAnsi" w:eastAsia="Times New Roman" w:hAnsiTheme="majorHAnsi" w:cstheme="majorHAnsi"/>
          <w:szCs w:val="24"/>
          <w:lang w:val="en-IN" w:eastAsia="en-IN"/>
        </w:rPr>
        <w:t>)</w:t>
      </w:r>
    </w:p>
    <w:p w14:paraId="7D37E812" w14:textId="77777777" w:rsidR="009866CD" w:rsidRPr="008A0491" w:rsidRDefault="009866CD" w:rsidP="008A0491">
      <w:pPr>
        <w:spacing w:after="0"/>
        <w:jc w:val="both"/>
        <w:outlineLvl w:val="1"/>
        <w:rPr>
          <w:rFonts w:asciiTheme="majorHAnsi" w:eastAsia="Times New Roman" w:hAnsiTheme="majorHAnsi" w:cstheme="majorHAnsi"/>
          <w:b/>
          <w:bCs/>
          <w:szCs w:val="24"/>
          <w:lang w:val="en-IN" w:eastAsia="en-IN"/>
        </w:rPr>
      </w:pPr>
    </w:p>
    <w:p w14:paraId="06DE3932" w14:textId="75BD29E8" w:rsidR="00F322D8" w:rsidRPr="008A0491"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Prepare FFPE sections on positively charged slides. Submit samples to a spatial proteomics service provider. Provide antibody panel specifications. </w:t>
      </w:r>
    </w:p>
    <w:p w14:paraId="1644F57A" w14:textId="4365607A" w:rsidR="00F322D8" w:rsidRPr="00F322D8" w:rsidRDefault="00F322D8" w:rsidP="008A0491">
      <w:pPr>
        <w:spacing w:after="0"/>
        <w:jc w:val="both"/>
        <w:rPr>
          <w:rFonts w:asciiTheme="majorHAnsi" w:eastAsia="Times New Roman" w:hAnsiTheme="majorHAnsi" w:cstheme="majorHAnsi"/>
          <w:szCs w:val="24"/>
          <w:lang w:val="en-IN" w:eastAsia="en-IN"/>
        </w:rPr>
      </w:pPr>
    </w:p>
    <w:p w14:paraId="6E8A19A4" w14:textId="0257A1B8" w:rsidR="00F322D8" w:rsidRPr="008A0491" w:rsidRDefault="00F322D8" w:rsidP="008A0491">
      <w:pPr>
        <w:pStyle w:val="ListParagraph"/>
        <w:numPr>
          <w:ilvl w:val="1"/>
          <w:numId w:val="57"/>
        </w:numPr>
        <w:spacing w:after="0"/>
        <w:ind w:left="0" w:firstLine="0"/>
        <w:jc w:val="both"/>
        <w:outlineLvl w:val="1"/>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Optional: Single-</w:t>
      </w:r>
      <w:r w:rsidR="009866CD" w:rsidRPr="008A0491">
        <w:rPr>
          <w:rFonts w:asciiTheme="majorHAnsi" w:eastAsia="Times New Roman" w:hAnsiTheme="majorHAnsi" w:cstheme="majorHAnsi"/>
          <w:szCs w:val="24"/>
          <w:lang w:val="en-IN" w:eastAsia="en-IN"/>
        </w:rPr>
        <w:t>c</w:t>
      </w:r>
      <w:r w:rsidRPr="008A0491">
        <w:rPr>
          <w:rFonts w:asciiTheme="majorHAnsi" w:eastAsia="Times New Roman" w:hAnsiTheme="majorHAnsi" w:cstheme="majorHAnsi"/>
          <w:szCs w:val="24"/>
          <w:lang w:val="en-IN" w:eastAsia="en-IN"/>
        </w:rPr>
        <w:t xml:space="preserve">ell RNA </w:t>
      </w:r>
      <w:r w:rsidR="009866CD" w:rsidRPr="008A0491">
        <w:rPr>
          <w:rFonts w:asciiTheme="majorHAnsi" w:eastAsia="Times New Roman" w:hAnsiTheme="majorHAnsi" w:cstheme="majorHAnsi"/>
          <w:szCs w:val="24"/>
          <w:lang w:val="en-IN" w:eastAsia="en-IN"/>
        </w:rPr>
        <w:t>s</w:t>
      </w:r>
      <w:r w:rsidRPr="008A0491">
        <w:rPr>
          <w:rFonts w:asciiTheme="majorHAnsi" w:eastAsia="Times New Roman" w:hAnsiTheme="majorHAnsi" w:cstheme="majorHAnsi"/>
          <w:szCs w:val="24"/>
          <w:lang w:val="en-IN" w:eastAsia="en-IN"/>
        </w:rPr>
        <w:t>equencing</w:t>
      </w:r>
      <w:r w:rsidR="004A7F8C" w:rsidRPr="008A0491">
        <w:rPr>
          <w:rFonts w:asciiTheme="majorHAnsi" w:eastAsia="Times New Roman" w:hAnsiTheme="majorHAnsi" w:cstheme="majorHAnsi"/>
          <w:szCs w:val="24"/>
          <w:lang w:val="en-IN" w:eastAsia="en-IN"/>
        </w:rPr>
        <w:t xml:space="preserve"> (see </w:t>
      </w:r>
      <w:r w:rsidR="004A7F8C" w:rsidRPr="008A0491">
        <w:rPr>
          <w:rFonts w:asciiTheme="majorHAnsi" w:eastAsia="Times New Roman" w:hAnsiTheme="majorHAnsi" w:cstheme="majorHAnsi"/>
          <w:b/>
          <w:bCs/>
          <w:szCs w:val="24"/>
          <w:lang w:val="en-IN" w:eastAsia="en-IN"/>
        </w:rPr>
        <w:t>Supplemental Table S2</w:t>
      </w:r>
      <w:r w:rsidR="004A7F8C" w:rsidRPr="008A0491">
        <w:rPr>
          <w:rFonts w:asciiTheme="majorHAnsi" w:eastAsia="Times New Roman" w:hAnsiTheme="majorHAnsi" w:cstheme="majorHAnsi"/>
          <w:szCs w:val="24"/>
          <w:lang w:val="en-IN" w:eastAsia="en-IN"/>
        </w:rPr>
        <w:t>)</w:t>
      </w:r>
    </w:p>
    <w:p w14:paraId="242CB9F0" w14:textId="77777777" w:rsidR="009866CD" w:rsidRPr="008A0491" w:rsidRDefault="009866CD" w:rsidP="008A0491">
      <w:pPr>
        <w:pStyle w:val="ListParagraph"/>
        <w:spacing w:after="0"/>
        <w:ind w:left="0"/>
        <w:jc w:val="both"/>
        <w:outlineLvl w:val="1"/>
        <w:rPr>
          <w:rFonts w:asciiTheme="majorHAnsi" w:eastAsia="Times New Roman" w:hAnsiTheme="majorHAnsi" w:cstheme="majorHAnsi"/>
          <w:b/>
          <w:bCs/>
          <w:szCs w:val="24"/>
          <w:lang w:val="en-IN" w:eastAsia="en-IN"/>
        </w:rPr>
      </w:pPr>
    </w:p>
    <w:p w14:paraId="6FE7E506" w14:textId="575D89A7" w:rsidR="00F322D8" w:rsidRPr="008A0491"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Harvest pancreas and place </w:t>
      </w:r>
      <w:r w:rsidR="009866CD" w:rsidRPr="008A0491">
        <w:rPr>
          <w:rFonts w:asciiTheme="majorHAnsi" w:eastAsia="Times New Roman" w:hAnsiTheme="majorHAnsi" w:cstheme="majorHAnsi"/>
          <w:szCs w:val="24"/>
          <w:lang w:val="en-IN" w:eastAsia="en-IN"/>
        </w:rPr>
        <w:t xml:space="preserve">them </w:t>
      </w:r>
      <w:r w:rsidRPr="008A0491">
        <w:rPr>
          <w:rFonts w:asciiTheme="majorHAnsi" w:eastAsia="Times New Roman" w:hAnsiTheme="majorHAnsi" w:cstheme="majorHAnsi"/>
          <w:szCs w:val="24"/>
          <w:lang w:val="en-IN" w:eastAsia="en-IN"/>
        </w:rPr>
        <w:t xml:space="preserve">in cold medium. </w:t>
      </w:r>
    </w:p>
    <w:p w14:paraId="2E4A0986" w14:textId="450CDEB3" w:rsidR="00F322D8" w:rsidRPr="00F322D8" w:rsidRDefault="00F322D8" w:rsidP="008A0491">
      <w:pPr>
        <w:spacing w:after="0"/>
        <w:jc w:val="both"/>
        <w:rPr>
          <w:rFonts w:asciiTheme="majorHAnsi" w:eastAsia="Times New Roman" w:hAnsiTheme="majorHAnsi" w:cstheme="majorHAnsi"/>
          <w:szCs w:val="24"/>
          <w:lang w:val="en-IN" w:eastAsia="en-IN"/>
        </w:rPr>
      </w:pPr>
    </w:p>
    <w:p w14:paraId="0C857CCB" w14:textId="77E76B61" w:rsidR="00F322D8" w:rsidRPr="008A0491"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Submit samples to a genomics core facility for single-cell isolation and library preparation. </w:t>
      </w:r>
    </w:p>
    <w:p w14:paraId="78111EC8" w14:textId="32043992" w:rsidR="00F322D8" w:rsidRPr="00F322D8" w:rsidRDefault="00F322D8" w:rsidP="008A0491">
      <w:pPr>
        <w:spacing w:after="0"/>
        <w:jc w:val="both"/>
        <w:rPr>
          <w:rFonts w:asciiTheme="majorHAnsi" w:eastAsia="Times New Roman" w:hAnsiTheme="majorHAnsi" w:cstheme="majorHAnsi"/>
          <w:szCs w:val="24"/>
          <w:lang w:val="en-IN" w:eastAsia="en-IN"/>
        </w:rPr>
      </w:pPr>
    </w:p>
    <w:p w14:paraId="2316E7C8" w14:textId="05AE4AD4" w:rsidR="00F322D8" w:rsidRPr="008A0491"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Process sequencing data using appropriate pipelines (e.g., Cell Ranger, Seurat). </w:t>
      </w:r>
    </w:p>
    <w:p w14:paraId="40C69A0E" w14:textId="3591D3FB" w:rsidR="00F322D8" w:rsidRPr="00F322D8" w:rsidRDefault="00F322D8" w:rsidP="008A0491">
      <w:pPr>
        <w:spacing w:after="0"/>
        <w:jc w:val="both"/>
        <w:rPr>
          <w:rFonts w:asciiTheme="majorHAnsi" w:eastAsia="Times New Roman" w:hAnsiTheme="majorHAnsi" w:cstheme="majorHAnsi"/>
          <w:szCs w:val="24"/>
          <w:lang w:val="en-IN" w:eastAsia="en-IN"/>
        </w:rPr>
      </w:pPr>
    </w:p>
    <w:p w14:paraId="086D724F" w14:textId="6729F2CC" w:rsidR="00F322D8" w:rsidRPr="008A0491" w:rsidRDefault="00F322D8" w:rsidP="008A0491">
      <w:pPr>
        <w:pStyle w:val="ListParagraph"/>
        <w:numPr>
          <w:ilvl w:val="2"/>
          <w:numId w:val="57"/>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Deposit sequencing data in a public repository prior to publication.</w:t>
      </w:r>
    </w:p>
    <w:p w14:paraId="04F829AF" w14:textId="77777777" w:rsidR="00A1630E" w:rsidRPr="008A0491" w:rsidRDefault="00A1630E" w:rsidP="008A0491">
      <w:pPr>
        <w:spacing w:after="0"/>
        <w:jc w:val="both"/>
        <w:rPr>
          <w:rFonts w:asciiTheme="majorHAnsi" w:hAnsiTheme="majorHAnsi" w:cstheme="majorHAnsi"/>
          <w:szCs w:val="24"/>
        </w:rPr>
      </w:pPr>
    </w:p>
    <w:p w14:paraId="6589EEB5" w14:textId="77777777"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b/>
          <w:szCs w:val="24"/>
        </w:rPr>
        <w:t>REPRESENTATIVE RESULTS</w:t>
      </w:r>
    </w:p>
    <w:p w14:paraId="28B11B8F" w14:textId="57531B46" w:rsidR="0024207B" w:rsidRPr="008A0491" w:rsidRDefault="0024207B" w:rsidP="008A0491">
      <w:pPr>
        <w:spacing w:after="0"/>
        <w:jc w:val="both"/>
        <w:rPr>
          <w:rFonts w:asciiTheme="majorHAnsi" w:eastAsia="Times New Roman" w:hAnsiTheme="majorHAnsi" w:cstheme="majorHAnsi"/>
          <w:szCs w:val="24"/>
          <w:lang w:val="en-IN" w:eastAsia="en-IN"/>
        </w:rPr>
      </w:pPr>
      <w:r w:rsidRPr="0024207B">
        <w:rPr>
          <w:rFonts w:asciiTheme="majorHAnsi" w:eastAsia="Times New Roman" w:hAnsiTheme="majorHAnsi" w:cstheme="majorHAnsi"/>
          <w:szCs w:val="24"/>
          <w:lang w:val="en-IN" w:eastAsia="en-IN"/>
        </w:rPr>
        <w:t xml:space="preserve">While the broader protocol described in this manuscript has since been optimized </w:t>
      </w:r>
      <w:r w:rsidR="009866CD" w:rsidRPr="008A0491">
        <w:rPr>
          <w:rFonts w:asciiTheme="majorHAnsi" w:eastAsia="Times New Roman" w:hAnsiTheme="majorHAnsi" w:cstheme="majorHAnsi"/>
          <w:szCs w:val="24"/>
          <w:lang w:val="en-IN" w:eastAsia="en-IN"/>
        </w:rPr>
        <w:t xml:space="preserve">into a single-dose preventive regimen, these pilot outcomes are presented here solely to illustrate the expected histological and </w:t>
      </w:r>
      <w:proofErr w:type="spellStart"/>
      <w:r w:rsidR="009866CD" w:rsidRPr="008A0491">
        <w:rPr>
          <w:rFonts w:asciiTheme="majorHAnsi" w:eastAsia="Times New Roman" w:hAnsiTheme="majorHAnsi" w:cstheme="majorHAnsi"/>
          <w:szCs w:val="24"/>
          <w:lang w:val="en-IN" w:eastAsia="en-IN"/>
        </w:rPr>
        <w:t>glycemic</w:t>
      </w:r>
      <w:proofErr w:type="spellEnd"/>
      <w:r w:rsidR="009866CD" w:rsidRPr="008A0491">
        <w:rPr>
          <w:rFonts w:asciiTheme="majorHAnsi" w:eastAsia="Times New Roman" w:hAnsiTheme="majorHAnsi" w:cstheme="majorHAnsi"/>
          <w:szCs w:val="24"/>
          <w:lang w:val="en-IN" w:eastAsia="en-IN"/>
        </w:rPr>
        <w:t xml:space="preserve"> readouts achievable with</w:t>
      </w:r>
      <w:r w:rsidRPr="0024207B">
        <w:rPr>
          <w:rFonts w:asciiTheme="majorHAnsi" w:eastAsia="Times New Roman" w:hAnsiTheme="majorHAnsi" w:cstheme="majorHAnsi"/>
          <w:szCs w:val="24"/>
          <w:lang w:val="en-IN" w:eastAsia="en-IN"/>
        </w:rPr>
        <w:t xml:space="preserve"> this workflow.</w:t>
      </w:r>
    </w:p>
    <w:p w14:paraId="772F6A8B" w14:textId="77777777" w:rsidR="009866CD" w:rsidRPr="0024207B" w:rsidRDefault="009866CD" w:rsidP="008A0491">
      <w:pPr>
        <w:spacing w:after="0"/>
        <w:jc w:val="both"/>
        <w:rPr>
          <w:rFonts w:asciiTheme="majorHAnsi" w:eastAsia="Times New Roman" w:hAnsiTheme="majorHAnsi" w:cstheme="majorHAnsi"/>
          <w:szCs w:val="24"/>
          <w:lang w:val="en-IN" w:eastAsia="en-IN"/>
        </w:rPr>
      </w:pPr>
    </w:p>
    <w:p w14:paraId="60B3F3C7" w14:textId="2C2BD805" w:rsidR="0024207B" w:rsidRPr="008A0491" w:rsidRDefault="0024207B" w:rsidP="008A0491">
      <w:pPr>
        <w:spacing w:after="0"/>
        <w:jc w:val="both"/>
        <w:rPr>
          <w:rFonts w:asciiTheme="majorHAnsi" w:eastAsia="Times New Roman" w:hAnsiTheme="majorHAnsi" w:cstheme="majorHAnsi"/>
          <w:szCs w:val="24"/>
          <w:lang w:val="en-IN" w:eastAsia="en-IN"/>
        </w:rPr>
      </w:pPr>
      <w:r w:rsidRPr="0024207B">
        <w:rPr>
          <w:rFonts w:asciiTheme="majorHAnsi" w:eastAsia="Times New Roman" w:hAnsiTheme="majorHAnsi" w:cstheme="majorHAnsi"/>
          <w:szCs w:val="24"/>
          <w:lang w:val="en-IN" w:eastAsia="en-IN"/>
        </w:rPr>
        <w:t xml:space="preserve">The overall disease context and contrast between healthy and type 1 diabetic pancreas are illustrated schematically in </w:t>
      </w:r>
      <w:r w:rsidRPr="0024207B">
        <w:rPr>
          <w:rFonts w:asciiTheme="majorHAnsi" w:eastAsia="Times New Roman" w:hAnsiTheme="majorHAnsi" w:cstheme="majorHAnsi"/>
          <w:b/>
          <w:bCs/>
          <w:szCs w:val="24"/>
          <w:lang w:val="en-IN" w:eastAsia="en-IN"/>
        </w:rPr>
        <w:t>Figure 1A</w:t>
      </w:r>
      <w:r w:rsidRPr="0024207B">
        <w:rPr>
          <w:rFonts w:asciiTheme="majorHAnsi" w:eastAsia="Times New Roman" w:hAnsiTheme="majorHAnsi" w:cstheme="majorHAnsi"/>
          <w:szCs w:val="24"/>
          <w:lang w:val="en-IN" w:eastAsia="en-IN"/>
        </w:rPr>
        <w:t>. The autoimmune destruction of β cells and resulting loss of insulin production depicted in this schematic reflect the established pathogenesis of T1D in both humans and NOD mice 1B.</w:t>
      </w:r>
      <w:r w:rsidR="00DE2273" w:rsidRPr="008A0491">
        <w:rPr>
          <w:rFonts w:asciiTheme="majorHAnsi" w:eastAsia="Times New Roman" w:hAnsiTheme="majorHAnsi" w:cstheme="majorHAnsi"/>
          <w:szCs w:val="24"/>
          <w:lang w:val="en-IN" w:eastAsia="en-IN"/>
        </w:rPr>
        <w:t xml:space="preserve"> </w:t>
      </w:r>
      <w:r w:rsidRPr="0024207B">
        <w:rPr>
          <w:rFonts w:asciiTheme="majorHAnsi" w:eastAsia="Times New Roman" w:hAnsiTheme="majorHAnsi" w:cstheme="majorHAnsi"/>
          <w:szCs w:val="24"/>
          <w:lang w:val="en-IN" w:eastAsia="en-IN"/>
        </w:rPr>
        <w:t xml:space="preserve">Female NOD/ShiLtJ mice were enrolled according to the experimental scheme summarized in </w:t>
      </w:r>
      <w:r w:rsidRPr="0024207B">
        <w:rPr>
          <w:rFonts w:asciiTheme="majorHAnsi" w:eastAsia="Times New Roman" w:hAnsiTheme="majorHAnsi" w:cstheme="majorHAnsi"/>
          <w:b/>
          <w:bCs/>
          <w:szCs w:val="24"/>
          <w:lang w:val="en-IN" w:eastAsia="en-IN"/>
        </w:rPr>
        <w:t>Figure 2A</w:t>
      </w:r>
      <w:r w:rsidRPr="0024207B">
        <w:rPr>
          <w:rFonts w:asciiTheme="majorHAnsi" w:eastAsia="Times New Roman" w:hAnsiTheme="majorHAnsi" w:cstheme="majorHAnsi"/>
          <w:szCs w:val="24"/>
          <w:lang w:val="en-IN" w:eastAsia="en-IN"/>
        </w:rPr>
        <w:t>.</w:t>
      </w:r>
    </w:p>
    <w:p w14:paraId="2AE68128" w14:textId="77777777" w:rsidR="00DE2273" w:rsidRPr="0024207B" w:rsidRDefault="00DE2273" w:rsidP="008A0491">
      <w:pPr>
        <w:spacing w:after="0"/>
        <w:jc w:val="both"/>
        <w:rPr>
          <w:rFonts w:asciiTheme="majorHAnsi" w:eastAsia="Times New Roman" w:hAnsiTheme="majorHAnsi" w:cstheme="majorHAnsi"/>
          <w:szCs w:val="24"/>
          <w:lang w:val="en-IN" w:eastAsia="en-IN"/>
        </w:rPr>
      </w:pPr>
    </w:p>
    <w:p w14:paraId="644C8B34" w14:textId="64312E04" w:rsidR="0024207B" w:rsidRPr="008A0491" w:rsidRDefault="001F2B94" w:rsidP="008A0491">
      <w:pPr>
        <w:spacing w:after="0"/>
        <w:jc w:val="both"/>
        <w:rPr>
          <w:rFonts w:asciiTheme="majorHAnsi" w:eastAsia="Times New Roman" w:hAnsiTheme="majorHAnsi" w:cstheme="majorHAnsi"/>
          <w:szCs w:val="24"/>
          <w:lang w:val="en-IN" w:eastAsia="en-IN"/>
        </w:rPr>
      </w:pPr>
      <w:r w:rsidRPr="0024207B">
        <w:rPr>
          <w:rFonts w:asciiTheme="majorHAnsi" w:eastAsia="Times New Roman" w:hAnsiTheme="majorHAnsi" w:cstheme="majorHAnsi"/>
          <w:szCs w:val="24"/>
          <w:lang w:val="en-IN" w:eastAsia="en-IN"/>
        </w:rPr>
        <w:t xml:space="preserve">The representative proof-of-concept data shown in </w:t>
      </w:r>
      <w:r w:rsidRPr="0024207B">
        <w:rPr>
          <w:rFonts w:asciiTheme="majorHAnsi" w:eastAsia="Times New Roman" w:hAnsiTheme="majorHAnsi" w:cstheme="majorHAnsi"/>
          <w:b/>
          <w:bCs/>
          <w:szCs w:val="24"/>
          <w:lang w:val="en-IN" w:eastAsia="en-IN"/>
        </w:rPr>
        <w:t>Figure 3</w:t>
      </w:r>
      <w:r w:rsidRPr="0024207B">
        <w:rPr>
          <w:rFonts w:asciiTheme="majorHAnsi" w:eastAsia="Times New Roman" w:hAnsiTheme="majorHAnsi" w:cstheme="majorHAnsi"/>
          <w:szCs w:val="24"/>
          <w:lang w:val="en-IN" w:eastAsia="en-IN"/>
        </w:rPr>
        <w:t xml:space="preserve"> (glucose trajectories and total islet area) were derived from an initial pilot cohort that utilized a two-dose administration schedule (Day 0 and Day 21). </w:t>
      </w:r>
      <w:r w:rsidR="0024207B" w:rsidRPr="0024207B">
        <w:rPr>
          <w:rFonts w:asciiTheme="majorHAnsi" w:eastAsia="Times New Roman" w:hAnsiTheme="majorHAnsi" w:cstheme="majorHAnsi"/>
          <w:szCs w:val="24"/>
          <w:lang w:val="en-IN" w:eastAsia="en-IN"/>
        </w:rPr>
        <w:t xml:space="preserve">In this study, longitudinal blood glucose measurements demonstrated that BmΔvjbR::tnaA-treated mice maintained more stable glycemia and showed delayed onset of </w:t>
      </w:r>
      <w:proofErr w:type="spellStart"/>
      <w:r w:rsidR="0024207B" w:rsidRPr="0024207B">
        <w:rPr>
          <w:rFonts w:asciiTheme="majorHAnsi" w:eastAsia="Times New Roman" w:hAnsiTheme="majorHAnsi" w:cstheme="majorHAnsi"/>
          <w:szCs w:val="24"/>
          <w:lang w:val="en-IN" w:eastAsia="en-IN"/>
        </w:rPr>
        <w:t>hyperglycemia</w:t>
      </w:r>
      <w:proofErr w:type="spellEnd"/>
      <w:r w:rsidR="0024207B" w:rsidRPr="0024207B">
        <w:rPr>
          <w:rFonts w:asciiTheme="majorHAnsi" w:eastAsia="Times New Roman" w:hAnsiTheme="majorHAnsi" w:cstheme="majorHAnsi"/>
          <w:szCs w:val="24"/>
          <w:lang w:val="en-IN" w:eastAsia="en-IN"/>
        </w:rPr>
        <w:t xml:space="preserve"> compared with vehicle-treated controls (</w:t>
      </w:r>
      <w:r w:rsidR="0024207B" w:rsidRPr="0024207B">
        <w:rPr>
          <w:rFonts w:asciiTheme="majorHAnsi" w:eastAsia="Times New Roman" w:hAnsiTheme="majorHAnsi" w:cstheme="majorHAnsi"/>
          <w:b/>
          <w:bCs/>
          <w:szCs w:val="24"/>
          <w:lang w:val="en-IN" w:eastAsia="en-IN"/>
        </w:rPr>
        <w:t>Figure 3A</w:t>
      </w:r>
      <w:r w:rsidR="0024207B" w:rsidRPr="0024207B">
        <w:rPr>
          <w:rFonts w:asciiTheme="majorHAnsi" w:eastAsia="Times New Roman" w:hAnsiTheme="majorHAnsi" w:cstheme="majorHAnsi"/>
          <w:szCs w:val="24"/>
          <w:lang w:val="en-IN" w:eastAsia="en-IN"/>
        </w:rPr>
        <w:t>).</w:t>
      </w:r>
      <w:r w:rsidR="00DE2273" w:rsidRPr="008A0491">
        <w:rPr>
          <w:rFonts w:asciiTheme="majorHAnsi" w:eastAsia="Times New Roman" w:hAnsiTheme="majorHAnsi" w:cstheme="majorHAnsi"/>
          <w:szCs w:val="24"/>
          <w:lang w:val="en-IN" w:eastAsia="en-IN"/>
        </w:rPr>
        <w:t xml:space="preserve"> </w:t>
      </w:r>
      <w:r w:rsidR="0024207B" w:rsidRPr="0024207B">
        <w:rPr>
          <w:rFonts w:asciiTheme="majorHAnsi" w:eastAsia="Times New Roman" w:hAnsiTheme="majorHAnsi" w:cstheme="majorHAnsi"/>
          <w:szCs w:val="24"/>
          <w:lang w:val="en-IN" w:eastAsia="en-IN"/>
        </w:rPr>
        <w:t>Histologic and morphometric analyses further evaluated islet preservation. Quantification of total islet area revealed higher islet area fractions in BmΔvjbR::tnaA-treated mice relative to diabetic controls (</w:t>
      </w:r>
      <w:r w:rsidR="0024207B" w:rsidRPr="0024207B">
        <w:rPr>
          <w:rFonts w:asciiTheme="majorHAnsi" w:eastAsia="Times New Roman" w:hAnsiTheme="majorHAnsi" w:cstheme="majorHAnsi"/>
          <w:b/>
          <w:bCs/>
          <w:szCs w:val="24"/>
          <w:lang w:val="en-IN" w:eastAsia="en-IN"/>
        </w:rPr>
        <w:t>Figure 3B</w:t>
      </w:r>
      <w:r w:rsidR="0024207B" w:rsidRPr="0024207B">
        <w:rPr>
          <w:rFonts w:asciiTheme="majorHAnsi" w:eastAsia="Times New Roman" w:hAnsiTheme="majorHAnsi" w:cstheme="majorHAnsi"/>
          <w:szCs w:val="24"/>
          <w:lang w:val="en-IN" w:eastAsia="en-IN"/>
        </w:rPr>
        <w:t>), consistent with sustained islet mass</w:t>
      </w:r>
      <w:r w:rsidR="0024207B" w:rsidRPr="0024207B">
        <w:rPr>
          <w:rFonts w:asciiTheme="majorHAnsi" w:eastAsia="Times New Roman" w:hAnsiTheme="majorHAnsi" w:cstheme="majorHAnsi"/>
          <w:szCs w:val="24"/>
          <w:vertAlign w:val="superscript"/>
          <w:lang w:val="en-IN" w:eastAsia="en-IN"/>
        </w:rPr>
        <w:t>6,19</w:t>
      </w:r>
      <w:r w:rsidR="0024207B" w:rsidRPr="0024207B">
        <w:rPr>
          <w:rFonts w:asciiTheme="majorHAnsi" w:eastAsia="Times New Roman" w:hAnsiTheme="majorHAnsi" w:cstheme="majorHAnsi"/>
          <w:szCs w:val="24"/>
          <w:lang w:val="en-IN" w:eastAsia="en-IN"/>
        </w:rPr>
        <w:t>.</w:t>
      </w:r>
    </w:p>
    <w:p w14:paraId="6A4C560E" w14:textId="77777777" w:rsidR="00DE2273" w:rsidRPr="0024207B" w:rsidRDefault="00DE2273" w:rsidP="008A0491">
      <w:pPr>
        <w:spacing w:after="0"/>
        <w:jc w:val="both"/>
        <w:rPr>
          <w:rFonts w:asciiTheme="majorHAnsi" w:eastAsia="Times New Roman" w:hAnsiTheme="majorHAnsi" w:cstheme="majorHAnsi"/>
          <w:szCs w:val="24"/>
          <w:lang w:val="en-IN" w:eastAsia="en-IN"/>
        </w:rPr>
      </w:pPr>
    </w:p>
    <w:p w14:paraId="678529B9" w14:textId="77777777" w:rsidR="0024207B" w:rsidRPr="0024207B" w:rsidRDefault="0024207B" w:rsidP="008A0491">
      <w:pPr>
        <w:spacing w:after="0"/>
        <w:jc w:val="both"/>
        <w:rPr>
          <w:rFonts w:asciiTheme="majorHAnsi" w:eastAsia="Times New Roman" w:hAnsiTheme="majorHAnsi" w:cstheme="majorHAnsi"/>
          <w:szCs w:val="24"/>
          <w:lang w:val="en-IN" w:eastAsia="en-IN"/>
        </w:rPr>
      </w:pPr>
      <w:r w:rsidRPr="0024207B">
        <w:rPr>
          <w:rFonts w:asciiTheme="majorHAnsi" w:eastAsia="Times New Roman" w:hAnsiTheme="majorHAnsi" w:cstheme="majorHAnsi"/>
          <w:szCs w:val="24"/>
          <w:lang w:val="en-IN" w:eastAsia="en-IN"/>
        </w:rPr>
        <w:t>Representative H&amp;E and insulin immunohistochemistry images showed severe insulitis, islet disruption, and reduced insulin staining in diabetic control mice, whereas non-diabetic controls and BmΔvjbR::tnaA-treated mice (both non-diabetic and recovered T1D) displayed preserved islet architecture and robust insulin expression (</w:t>
      </w:r>
      <w:r w:rsidRPr="0024207B">
        <w:rPr>
          <w:rFonts w:asciiTheme="majorHAnsi" w:eastAsia="Times New Roman" w:hAnsiTheme="majorHAnsi" w:cstheme="majorHAnsi"/>
          <w:b/>
          <w:bCs/>
          <w:szCs w:val="24"/>
          <w:lang w:val="en-IN" w:eastAsia="en-IN"/>
        </w:rPr>
        <w:t>Figure 3C</w:t>
      </w:r>
      <w:r w:rsidRPr="0024207B">
        <w:rPr>
          <w:rFonts w:asciiTheme="majorHAnsi" w:eastAsia="Times New Roman" w:hAnsiTheme="majorHAnsi" w:cstheme="majorHAnsi"/>
          <w:szCs w:val="24"/>
          <w:lang w:val="en-IN" w:eastAsia="en-IN"/>
        </w:rPr>
        <w:t>) 6.</w:t>
      </w:r>
    </w:p>
    <w:p w14:paraId="47194344" w14:textId="77777777" w:rsidR="00F56685" w:rsidRPr="008A0491" w:rsidRDefault="00F56685" w:rsidP="008A0491">
      <w:pPr>
        <w:spacing w:after="0"/>
        <w:jc w:val="both"/>
        <w:rPr>
          <w:rFonts w:asciiTheme="majorHAnsi" w:hAnsiTheme="majorHAnsi" w:cstheme="majorHAnsi"/>
          <w:szCs w:val="24"/>
        </w:rPr>
      </w:pPr>
    </w:p>
    <w:p w14:paraId="2900E94D" w14:textId="39F84795" w:rsidR="001D7F4F" w:rsidRPr="001D7F4F" w:rsidRDefault="001D7F4F" w:rsidP="008A0491">
      <w:pPr>
        <w:spacing w:after="0"/>
        <w:jc w:val="both"/>
        <w:outlineLvl w:val="1"/>
        <w:rPr>
          <w:rFonts w:asciiTheme="majorHAnsi" w:eastAsia="Times New Roman" w:hAnsiTheme="majorHAnsi" w:cstheme="majorHAnsi"/>
          <w:b/>
          <w:bCs/>
          <w:szCs w:val="24"/>
          <w:lang w:val="en-IN" w:eastAsia="en-IN"/>
        </w:rPr>
      </w:pPr>
      <w:r w:rsidRPr="001D7F4F">
        <w:rPr>
          <w:rFonts w:asciiTheme="majorHAnsi" w:eastAsia="Times New Roman" w:hAnsiTheme="majorHAnsi" w:cstheme="majorHAnsi"/>
          <w:b/>
          <w:bCs/>
          <w:szCs w:val="24"/>
          <w:lang w:val="en-IN" w:eastAsia="en-IN"/>
        </w:rPr>
        <w:t>F</w:t>
      </w:r>
      <w:r w:rsidR="00DE2273" w:rsidRPr="008A0491">
        <w:rPr>
          <w:rFonts w:asciiTheme="majorHAnsi" w:eastAsia="Times New Roman" w:hAnsiTheme="majorHAnsi" w:cstheme="majorHAnsi"/>
          <w:b/>
          <w:bCs/>
          <w:szCs w:val="24"/>
          <w:lang w:val="en-IN" w:eastAsia="en-IN"/>
        </w:rPr>
        <w:t>IGURE AND TABLE LEGENDS:</w:t>
      </w:r>
    </w:p>
    <w:p w14:paraId="2302E4A0" w14:textId="2C012EEB" w:rsidR="001D7F4F" w:rsidRPr="001D7F4F" w:rsidRDefault="001D7F4F" w:rsidP="008A0491">
      <w:pPr>
        <w:spacing w:after="0"/>
        <w:jc w:val="both"/>
        <w:rPr>
          <w:rFonts w:asciiTheme="majorHAnsi" w:eastAsia="Times New Roman" w:hAnsiTheme="majorHAnsi" w:cstheme="majorHAnsi"/>
          <w:szCs w:val="24"/>
          <w:lang w:val="en-IN" w:eastAsia="en-IN"/>
        </w:rPr>
      </w:pPr>
      <w:r w:rsidRPr="001D7F4F">
        <w:rPr>
          <w:rFonts w:asciiTheme="majorHAnsi" w:eastAsia="Times New Roman" w:hAnsiTheme="majorHAnsi" w:cstheme="majorHAnsi"/>
          <w:b/>
          <w:bCs/>
          <w:szCs w:val="24"/>
          <w:lang w:val="en-IN" w:eastAsia="en-IN"/>
        </w:rPr>
        <w:t>Figure 1. Schematic of healthy v</w:t>
      </w:r>
      <w:r w:rsidR="00DE2273" w:rsidRPr="008A0491">
        <w:rPr>
          <w:rFonts w:asciiTheme="majorHAnsi" w:eastAsia="Times New Roman" w:hAnsiTheme="majorHAnsi" w:cstheme="majorHAnsi"/>
          <w:b/>
          <w:bCs/>
          <w:szCs w:val="24"/>
          <w:lang w:val="en-IN" w:eastAsia="en-IN"/>
        </w:rPr>
        <w:t>ersus</w:t>
      </w:r>
      <w:r w:rsidRPr="001D7F4F">
        <w:rPr>
          <w:rFonts w:asciiTheme="majorHAnsi" w:eastAsia="Times New Roman" w:hAnsiTheme="majorHAnsi" w:cstheme="majorHAnsi"/>
          <w:b/>
          <w:bCs/>
          <w:szCs w:val="24"/>
          <w:lang w:val="en-IN" w:eastAsia="en-IN"/>
        </w:rPr>
        <w:t xml:space="preserve"> type 1 diabetic pancreas and disease burden and treatment challenges</w:t>
      </w:r>
      <w:r w:rsidR="00DE2273" w:rsidRPr="008A0491">
        <w:rPr>
          <w:rFonts w:asciiTheme="majorHAnsi" w:eastAsia="Times New Roman" w:hAnsiTheme="majorHAnsi" w:cstheme="majorHAnsi"/>
          <w:b/>
          <w:bCs/>
          <w:szCs w:val="24"/>
          <w:lang w:val="en-IN" w:eastAsia="en-IN"/>
        </w:rPr>
        <w:t>.</w:t>
      </w:r>
      <w:r w:rsidR="00DE2273"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 xml:space="preserve">Schematic illustration of glucose homeostasis in a </w:t>
      </w:r>
      <w:r w:rsidR="00DE2273" w:rsidRPr="008A0491">
        <w:rPr>
          <w:rFonts w:asciiTheme="majorHAnsi" w:eastAsia="Times New Roman" w:hAnsiTheme="majorHAnsi" w:cstheme="majorHAnsi"/>
          <w:szCs w:val="24"/>
          <w:lang w:val="en-IN" w:eastAsia="en-IN"/>
        </w:rPr>
        <w:t>(</w:t>
      </w:r>
      <w:r w:rsidR="00DE2273" w:rsidRPr="008A0491">
        <w:rPr>
          <w:rFonts w:asciiTheme="majorHAnsi" w:eastAsia="Times New Roman" w:hAnsiTheme="majorHAnsi" w:cstheme="majorHAnsi"/>
          <w:b/>
          <w:bCs/>
          <w:szCs w:val="24"/>
          <w:lang w:val="en-IN" w:eastAsia="en-IN"/>
        </w:rPr>
        <w:t>A</w:t>
      </w:r>
      <w:r w:rsidR="00DE2273"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 xml:space="preserve">healthy pancreas versus a </w:t>
      </w:r>
      <w:r w:rsidR="00DE2273" w:rsidRPr="008A0491">
        <w:rPr>
          <w:rFonts w:asciiTheme="majorHAnsi" w:eastAsia="Times New Roman" w:hAnsiTheme="majorHAnsi" w:cstheme="majorHAnsi"/>
          <w:szCs w:val="24"/>
          <w:lang w:val="en-IN" w:eastAsia="en-IN"/>
        </w:rPr>
        <w:t>(</w:t>
      </w:r>
      <w:r w:rsidR="00DE2273" w:rsidRPr="008A0491">
        <w:rPr>
          <w:rFonts w:asciiTheme="majorHAnsi" w:eastAsia="Times New Roman" w:hAnsiTheme="majorHAnsi" w:cstheme="majorHAnsi"/>
          <w:b/>
          <w:bCs/>
          <w:szCs w:val="24"/>
          <w:lang w:val="en-IN" w:eastAsia="en-IN"/>
        </w:rPr>
        <w:t>B</w:t>
      </w:r>
      <w:r w:rsidR="00DE2273"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 xml:space="preserve">type 1 diabetic pancreas. In the healthy state, β cells in the pancreas produce insulin, which binds insulin receptors on peripheral tissues to promote glucose uptake and maintain normoglycemia. In type 1 diabetes, autoimmune destruction of β cells leads to a damaged pancreas, reduced or absent insulin production, inactive insulin receptors, and sustained </w:t>
      </w:r>
      <w:proofErr w:type="spellStart"/>
      <w:r w:rsidRPr="001D7F4F">
        <w:rPr>
          <w:rFonts w:asciiTheme="majorHAnsi" w:eastAsia="Times New Roman" w:hAnsiTheme="majorHAnsi" w:cstheme="majorHAnsi"/>
          <w:szCs w:val="24"/>
          <w:lang w:val="en-IN" w:eastAsia="en-IN"/>
        </w:rPr>
        <w:t>hyperglycemia</w:t>
      </w:r>
      <w:proofErr w:type="spellEnd"/>
      <w:r w:rsidRPr="001D7F4F">
        <w:rPr>
          <w:rFonts w:asciiTheme="majorHAnsi" w:eastAsia="Times New Roman" w:hAnsiTheme="majorHAnsi" w:cstheme="majorHAnsi"/>
          <w:szCs w:val="24"/>
          <w:lang w:val="en-IN" w:eastAsia="en-IN"/>
        </w:rPr>
        <w:t xml:space="preserve">. </w:t>
      </w:r>
      <w:r w:rsidR="00DE2273" w:rsidRPr="008A0491">
        <w:rPr>
          <w:rFonts w:asciiTheme="majorHAnsi" w:eastAsia="Times New Roman" w:hAnsiTheme="majorHAnsi" w:cstheme="majorHAnsi"/>
          <w:szCs w:val="24"/>
          <w:lang w:val="en-IN" w:eastAsia="en-IN"/>
        </w:rPr>
        <w:t>(</w:t>
      </w:r>
      <w:r w:rsidR="00DE2273" w:rsidRPr="008A0491">
        <w:rPr>
          <w:rFonts w:asciiTheme="majorHAnsi" w:eastAsia="Times New Roman" w:hAnsiTheme="majorHAnsi" w:cstheme="majorHAnsi"/>
          <w:b/>
          <w:bCs/>
          <w:szCs w:val="24"/>
          <w:lang w:val="en-IN" w:eastAsia="en-IN"/>
        </w:rPr>
        <w:t>C</w:t>
      </w:r>
      <w:r w:rsidR="00DE2273"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Major complications of T1D, including vision problems, cardiovascular disease, diabetic ketoacidosis, impaired wound healing, and life-long treatment requirements.</w:t>
      </w:r>
    </w:p>
    <w:p w14:paraId="410983B3" w14:textId="2AFE2589" w:rsidR="001D7F4F" w:rsidRPr="001D7F4F" w:rsidRDefault="001D7F4F" w:rsidP="008A0491">
      <w:pPr>
        <w:spacing w:after="0"/>
        <w:jc w:val="both"/>
        <w:rPr>
          <w:rFonts w:asciiTheme="majorHAnsi" w:eastAsia="Times New Roman" w:hAnsiTheme="majorHAnsi" w:cstheme="majorHAnsi"/>
          <w:szCs w:val="24"/>
          <w:lang w:val="en-IN" w:eastAsia="en-IN"/>
        </w:rPr>
      </w:pPr>
    </w:p>
    <w:p w14:paraId="250E3EFF" w14:textId="082FE8D9" w:rsidR="001D7F4F" w:rsidRPr="001D7F4F" w:rsidRDefault="001D7F4F" w:rsidP="008A0491">
      <w:pPr>
        <w:spacing w:after="0"/>
        <w:jc w:val="both"/>
        <w:rPr>
          <w:rFonts w:asciiTheme="majorHAnsi" w:eastAsia="Times New Roman" w:hAnsiTheme="majorHAnsi" w:cstheme="majorHAnsi"/>
          <w:szCs w:val="24"/>
          <w:lang w:val="en-IN" w:eastAsia="en-IN"/>
        </w:rPr>
      </w:pPr>
      <w:r w:rsidRPr="001D7F4F">
        <w:rPr>
          <w:rFonts w:asciiTheme="majorHAnsi" w:eastAsia="Times New Roman" w:hAnsiTheme="majorHAnsi" w:cstheme="majorHAnsi"/>
          <w:b/>
          <w:bCs/>
          <w:szCs w:val="24"/>
          <w:lang w:val="en-IN" w:eastAsia="en-IN"/>
        </w:rPr>
        <w:t>Figure 2. Experimental design for single-dose BmΔvjbR::tnaA treatment in NOD mice</w:t>
      </w:r>
      <w:r w:rsidR="00DE2273" w:rsidRPr="008A0491">
        <w:rPr>
          <w:rFonts w:asciiTheme="majorHAnsi" w:eastAsia="Times New Roman" w:hAnsiTheme="majorHAnsi" w:cstheme="majorHAnsi"/>
          <w:b/>
          <w:bCs/>
          <w:szCs w:val="24"/>
          <w:lang w:val="en-IN" w:eastAsia="en-IN"/>
        </w:rPr>
        <w:t>.</w:t>
      </w:r>
      <w:r w:rsidR="00DE2273"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 xml:space="preserve">Overview of the experimental design used to evaluate BmΔvjbR::tnaA in NOD/ShiLtJ mice. Female NOD mice are enrolled at pre-diabetic stages. A single intravenous dose of BmΔvjbR::tnaA is administered, and blood glucose is monitored two times per week </w:t>
      </w:r>
      <w:r w:rsidRPr="001D7F4F">
        <w:rPr>
          <w:rFonts w:asciiTheme="majorHAnsi" w:eastAsia="Times New Roman" w:hAnsiTheme="majorHAnsi" w:cstheme="majorHAnsi"/>
          <w:szCs w:val="24"/>
          <w:lang w:val="en-IN" w:eastAsia="en-IN"/>
        </w:rPr>
        <w:lastRenderedPageBreak/>
        <w:t>following a 2</w:t>
      </w:r>
      <w:r w:rsidR="00183EDD" w:rsidRPr="008A0491">
        <w:rPr>
          <w:rFonts w:asciiTheme="majorHAnsi" w:eastAsia="Times New Roman" w:hAnsiTheme="majorHAnsi" w:cstheme="majorHAnsi"/>
          <w:szCs w:val="24"/>
          <w:lang w:val="en-IN" w:eastAsia="en-IN"/>
        </w:rPr>
        <w:t xml:space="preserve"> h</w:t>
      </w:r>
      <w:r w:rsidRPr="001D7F4F">
        <w:rPr>
          <w:rFonts w:asciiTheme="majorHAnsi" w:eastAsia="Times New Roman" w:hAnsiTheme="majorHAnsi" w:cstheme="majorHAnsi"/>
          <w:szCs w:val="24"/>
          <w:lang w:val="en-IN" w:eastAsia="en-IN"/>
        </w:rPr>
        <w:t xml:space="preserve"> fast, without </w:t>
      </w:r>
      <w:proofErr w:type="spellStart"/>
      <w:r w:rsidRPr="001D7F4F">
        <w:rPr>
          <w:rFonts w:asciiTheme="majorHAnsi" w:eastAsia="Times New Roman" w:hAnsiTheme="majorHAnsi" w:cstheme="majorHAnsi"/>
          <w:szCs w:val="24"/>
          <w:lang w:val="en-IN" w:eastAsia="en-IN"/>
        </w:rPr>
        <w:t>anesthesia</w:t>
      </w:r>
      <w:proofErr w:type="spellEnd"/>
      <w:r w:rsidRPr="001D7F4F">
        <w:rPr>
          <w:rFonts w:asciiTheme="majorHAnsi" w:eastAsia="Times New Roman" w:hAnsiTheme="majorHAnsi" w:cstheme="majorHAnsi"/>
          <w:szCs w:val="24"/>
          <w:lang w:val="en-IN" w:eastAsia="en-IN"/>
        </w:rPr>
        <w:t>, for the duration of the study. Mice are classified as diabetic when blood glucose exceeds the predefined threshold on two consecutive measurements. At experimental endpoints, pancreatic and other tissues are collected for histology, immunohistochemistry, spatial proteomics, and single-cell RNA sequencing.</w:t>
      </w:r>
    </w:p>
    <w:p w14:paraId="2E9395BA" w14:textId="50624C3B" w:rsidR="001D7F4F" w:rsidRPr="001D7F4F" w:rsidRDefault="001D7F4F" w:rsidP="008A0491">
      <w:pPr>
        <w:spacing w:after="0"/>
        <w:jc w:val="both"/>
        <w:rPr>
          <w:rFonts w:asciiTheme="majorHAnsi" w:eastAsia="Times New Roman" w:hAnsiTheme="majorHAnsi" w:cstheme="majorHAnsi"/>
          <w:szCs w:val="24"/>
          <w:lang w:val="en-IN" w:eastAsia="en-IN"/>
        </w:rPr>
      </w:pPr>
    </w:p>
    <w:p w14:paraId="6EE3D948" w14:textId="3A2EBC2D" w:rsidR="001D7F4F" w:rsidRPr="008A0491" w:rsidRDefault="001D7F4F" w:rsidP="008A0491">
      <w:pPr>
        <w:spacing w:after="0"/>
        <w:jc w:val="both"/>
        <w:rPr>
          <w:rFonts w:asciiTheme="majorHAnsi" w:eastAsia="Times New Roman" w:hAnsiTheme="majorHAnsi" w:cstheme="majorHAnsi"/>
          <w:szCs w:val="24"/>
          <w:lang w:val="en-IN" w:eastAsia="en-IN"/>
        </w:rPr>
      </w:pPr>
      <w:r w:rsidRPr="001D7F4F">
        <w:rPr>
          <w:rFonts w:asciiTheme="majorHAnsi" w:eastAsia="Times New Roman" w:hAnsiTheme="majorHAnsi" w:cstheme="majorHAnsi"/>
          <w:b/>
          <w:bCs/>
          <w:szCs w:val="24"/>
          <w:lang w:val="en-IN" w:eastAsia="en-IN"/>
        </w:rPr>
        <w:t xml:space="preserve">Figure 3. Pilot study showing representative </w:t>
      </w:r>
      <w:proofErr w:type="spellStart"/>
      <w:r w:rsidRPr="001D7F4F">
        <w:rPr>
          <w:rFonts w:asciiTheme="majorHAnsi" w:eastAsia="Times New Roman" w:hAnsiTheme="majorHAnsi" w:cstheme="majorHAnsi"/>
          <w:b/>
          <w:bCs/>
          <w:szCs w:val="24"/>
          <w:lang w:val="en-IN" w:eastAsia="en-IN"/>
        </w:rPr>
        <w:t>glycemic</w:t>
      </w:r>
      <w:proofErr w:type="spellEnd"/>
      <w:r w:rsidRPr="001D7F4F">
        <w:rPr>
          <w:rFonts w:asciiTheme="majorHAnsi" w:eastAsia="Times New Roman" w:hAnsiTheme="majorHAnsi" w:cstheme="majorHAnsi"/>
          <w:b/>
          <w:bCs/>
          <w:szCs w:val="24"/>
          <w:lang w:val="en-IN" w:eastAsia="en-IN"/>
        </w:rPr>
        <w:t xml:space="preserve"> and histological outcomes following BmΔvjbR::tnaA treatment</w:t>
      </w:r>
      <w:r w:rsidR="00183EDD" w:rsidRPr="008A0491">
        <w:rPr>
          <w:rFonts w:asciiTheme="majorHAnsi" w:eastAsia="Times New Roman" w:hAnsiTheme="majorHAnsi" w:cstheme="majorHAnsi"/>
          <w:b/>
          <w:bCs/>
          <w:szCs w:val="24"/>
          <w:lang w:val="en-IN" w:eastAsia="en-IN"/>
        </w:rPr>
        <w:t>.</w:t>
      </w:r>
      <w:r w:rsidR="00183EDD"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Pilot evaluation of BmΔvjbR::tnaA in female NOD mice. (</w:t>
      </w:r>
      <w:r w:rsidRPr="001D7F4F">
        <w:rPr>
          <w:rFonts w:asciiTheme="majorHAnsi" w:eastAsia="Times New Roman" w:hAnsiTheme="majorHAnsi" w:cstheme="majorHAnsi"/>
          <w:b/>
          <w:bCs/>
          <w:szCs w:val="24"/>
          <w:lang w:val="en-IN" w:eastAsia="en-IN"/>
        </w:rPr>
        <w:t>A</w:t>
      </w:r>
      <w:r w:rsidRPr="001D7F4F">
        <w:rPr>
          <w:rFonts w:asciiTheme="majorHAnsi" w:eastAsia="Times New Roman" w:hAnsiTheme="majorHAnsi" w:cstheme="majorHAnsi"/>
          <w:szCs w:val="24"/>
          <w:lang w:val="en-IN" w:eastAsia="en-IN"/>
        </w:rPr>
        <w:t xml:space="preserve">) Longitudinal blood glucose measurements (mg/dL) over time demonstrate </w:t>
      </w:r>
      <w:proofErr w:type="spellStart"/>
      <w:r w:rsidRPr="001D7F4F">
        <w:rPr>
          <w:rFonts w:asciiTheme="majorHAnsi" w:eastAsia="Times New Roman" w:hAnsiTheme="majorHAnsi" w:cstheme="majorHAnsi"/>
          <w:szCs w:val="24"/>
          <w:lang w:val="en-IN" w:eastAsia="en-IN"/>
        </w:rPr>
        <w:t>glycemic</w:t>
      </w:r>
      <w:proofErr w:type="spellEnd"/>
      <w:r w:rsidRPr="001D7F4F">
        <w:rPr>
          <w:rFonts w:asciiTheme="majorHAnsi" w:eastAsia="Times New Roman" w:hAnsiTheme="majorHAnsi" w:cstheme="majorHAnsi"/>
          <w:szCs w:val="24"/>
          <w:lang w:val="en-IN" w:eastAsia="en-IN"/>
        </w:rPr>
        <w:t xml:space="preserve"> trends in BmΔvjbR::tnaA-treated mice compared with vehicle-treated controls. (</w:t>
      </w:r>
      <w:r w:rsidRPr="001D7F4F">
        <w:rPr>
          <w:rFonts w:asciiTheme="majorHAnsi" w:eastAsia="Times New Roman" w:hAnsiTheme="majorHAnsi" w:cstheme="majorHAnsi"/>
          <w:b/>
          <w:bCs/>
          <w:szCs w:val="24"/>
          <w:lang w:val="en-IN" w:eastAsia="en-IN"/>
        </w:rPr>
        <w:t>B</w:t>
      </w:r>
      <w:r w:rsidRPr="001D7F4F">
        <w:rPr>
          <w:rFonts w:asciiTheme="majorHAnsi" w:eastAsia="Times New Roman" w:hAnsiTheme="majorHAnsi" w:cstheme="majorHAnsi"/>
          <w:szCs w:val="24"/>
          <w:lang w:val="en-IN" w:eastAsia="en-IN"/>
        </w:rPr>
        <w:t>) Islet area fraction for individual mice is shown. (</w:t>
      </w:r>
      <w:r w:rsidRPr="001D7F4F">
        <w:rPr>
          <w:rFonts w:asciiTheme="majorHAnsi" w:eastAsia="Times New Roman" w:hAnsiTheme="majorHAnsi" w:cstheme="majorHAnsi"/>
          <w:b/>
          <w:bCs/>
          <w:szCs w:val="24"/>
          <w:lang w:val="en-IN" w:eastAsia="en-IN"/>
        </w:rPr>
        <w:t>C</w:t>
      </w:r>
      <w:r w:rsidRPr="001D7F4F">
        <w:rPr>
          <w:rFonts w:asciiTheme="majorHAnsi" w:eastAsia="Times New Roman" w:hAnsiTheme="majorHAnsi" w:cstheme="majorHAnsi"/>
          <w:szCs w:val="24"/>
          <w:lang w:val="en-IN" w:eastAsia="en-IN"/>
        </w:rPr>
        <w:t>) Representative pancreatic histology: H&amp;E staining and insulin</w:t>
      </w:r>
      <w:r w:rsidR="006E6758" w:rsidRPr="008A0491">
        <w:rPr>
          <w:rFonts w:asciiTheme="majorHAnsi" w:eastAsia="Times New Roman" w:hAnsiTheme="majorHAnsi" w:cstheme="majorHAnsi"/>
          <w:szCs w:val="24"/>
          <w:lang w:val="en-IN" w:eastAsia="en-IN"/>
        </w:rPr>
        <w:t xml:space="preserve"> </w:t>
      </w:r>
      <w:r w:rsidRPr="001D7F4F">
        <w:rPr>
          <w:rFonts w:asciiTheme="majorHAnsi" w:eastAsia="Times New Roman" w:hAnsiTheme="majorHAnsi" w:cstheme="majorHAnsi"/>
          <w:szCs w:val="24"/>
          <w:lang w:val="en-IN" w:eastAsia="en-IN"/>
        </w:rPr>
        <w:t>IHC from non-diabetic control, diabetic control, BmΔvjbR::tnaA-treated non-diabetic, and BmΔvjbR::tnaA-treated recovered T1D mice.</w:t>
      </w:r>
      <w:r w:rsidR="006E6758" w:rsidRPr="008A0491">
        <w:rPr>
          <w:rFonts w:asciiTheme="majorHAnsi" w:eastAsia="Times New Roman" w:hAnsiTheme="majorHAnsi" w:cstheme="majorHAnsi"/>
          <w:szCs w:val="24"/>
          <w:lang w:val="en-IN" w:eastAsia="en-IN"/>
        </w:rPr>
        <w:t xml:space="preserve"> Abbreviations: </w:t>
      </w:r>
      <w:r w:rsidR="006E6758" w:rsidRPr="001D7F4F">
        <w:rPr>
          <w:rFonts w:asciiTheme="majorHAnsi" w:eastAsia="Times New Roman" w:hAnsiTheme="majorHAnsi" w:cstheme="majorHAnsi"/>
          <w:szCs w:val="24"/>
          <w:lang w:val="en-IN" w:eastAsia="en-IN"/>
        </w:rPr>
        <w:t>CR1: Control - not diabetic at time of collection; CL1: Control - diabetic at time of collection; TR1: TNA-treated - not diabetic at time of collection; TL1: TNA-treated - recovered T1D</w:t>
      </w:r>
      <w:r w:rsidR="006E6758" w:rsidRPr="008A0491">
        <w:rPr>
          <w:rFonts w:asciiTheme="majorHAnsi" w:eastAsia="Times New Roman" w:hAnsiTheme="majorHAnsi" w:cstheme="majorHAnsi"/>
          <w:szCs w:val="24"/>
          <w:lang w:val="en-IN" w:eastAsia="en-IN"/>
        </w:rPr>
        <w:t xml:space="preserve">; IHC = immunohistochemistry; </w:t>
      </w:r>
      <w:r w:rsidR="00FD5DCB" w:rsidRPr="008A0491">
        <w:rPr>
          <w:rFonts w:asciiTheme="majorHAnsi" w:eastAsia="Times New Roman" w:hAnsiTheme="majorHAnsi" w:cstheme="majorHAnsi"/>
          <w:szCs w:val="24"/>
          <w:lang w:val="en-IN" w:eastAsia="en-IN"/>
        </w:rPr>
        <w:t xml:space="preserve">H&amp;E = </w:t>
      </w:r>
      <w:proofErr w:type="spellStart"/>
      <w:r w:rsidR="00FD5DCB" w:rsidRPr="008A0491">
        <w:rPr>
          <w:rFonts w:asciiTheme="majorHAnsi" w:eastAsia="Times New Roman" w:hAnsiTheme="majorHAnsi" w:cstheme="majorHAnsi"/>
          <w:szCs w:val="24"/>
          <w:lang w:val="en-IN" w:eastAsia="en-IN"/>
        </w:rPr>
        <w:t>hematoxylin</w:t>
      </w:r>
      <w:proofErr w:type="spellEnd"/>
      <w:r w:rsidR="00FD5DCB" w:rsidRPr="008A0491">
        <w:rPr>
          <w:rFonts w:asciiTheme="majorHAnsi" w:eastAsia="Times New Roman" w:hAnsiTheme="majorHAnsi" w:cstheme="majorHAnsi"/>
          <w:szCs w:val="24"/>
          <w:lang w:val="en-IN" w:eastAsia="en-IN"/>
        </w:rPr>
        <w:t xml:space="preserve"> and eosin. </w:t>
      </w:r>
    </w:p>
    <w:p w14:paraId="5C28DE09" w14:textId="77777777" w:rsidR="006E6758" w:rsidRPr="008A0491" w:rsidRDefault="006E6758" w:rsidP="008A0491">
      <w:pPr>
        <w:spacing w:after="0"/>
        <w:jc w:val="both"/>
        <w:rPr>
          <w:rFonts w:asciiTheme="majorHAnsi" w:eastAsia="Times New Roman" w:hAnsiTheme="majorHAnsi" w:cstheme="majorHAnsi"/>
          <w:szCs w:val="24"/>
          <w:lang w:val="en-IN" w:eastAsia="en-IN"/>
        </w:rPr>
      </w:pPr>
    </w:p>
    <w:p w14:paraId="37533E2A" w14:textId="746FF3FF" w:rsidR="007F4970" w:rsidRPr="008A0491" w:rsidRDefault="007F4970" w:rsidP="008A0491">
      <w:pPr>
        <w:spacing w:after="0"/>
        <w:jc w:val="both"/>
        <w:rPr>
          <w:rFonts w:asciiTheme="majorHAnsi" w:eastAsia="Times New Roman" w:hAnsiTheme="majorHAnsi" w:cstheme="majorHAnsi"/>
          <w:szCs w:val="24"/>
          <w:lang w:val="en-IN" w:eastAsia="en-IN"/>
        </w:rPr>
      </w:pPr>
      <w:r w:rsidRPr="007F4970">
        <w:rPr>
          <w:rFonts w:asciiTheme="majorHAnsi" w:eastAsia="Times New Roman" w:hAnsiTheme="majorHAnsi" w:cstheme="majorHAnsi"/>
          <w:b/>
          <w:bCs/>
          <w:szCs w:val="24"/>
          <w:lang w:val="en-IN" w:eastAsia="en-IN"/>
        </w:rPr>
        <w:t xml:space="preserve">Supplemental Table </w:t>
      </w:r>
      <w:r w:rsidR="00F22F87" w:rsidRPr="008A0491">
        <w:rPr>
          <w:rFonts w:asciiTheme="majorHAnsi" w:eastAsia="Times New Roman" w:hAnsiTheme="majorHAnsi" w:cstheme="majorHAnsi"/>
          <w:b/>
          <w:bCs/>
          <w:szCs w:val="24"/>
          <w:lang w:val="en-IN" w:eastAsia="en-IN"/>
        </w:rPr>
        <w:t>S</w:t>
      </w:r>
      <w:r w:rsidRPr="007F4970">
        <w:rPr>
          <w:rFonts w:asciiTheme="majorHAnsi" w:eastAsia="Times New Roman" w:hAnsiTheme="majorHAnsi" w:cstheme="majorHAnsi"/>
          <w:b/>
          <w:bCs/>
          <w:szCs w:val="24"/>
          <w:lang w:val="en-IN" w:eastAsia="en-IN"/>
        </w:rPr>
        <w:t>1. Complete Akoya spatial proteomics antibody panel.</w:t>
      </w:r>
      <w:r w:rsidR="00AF2D53" w:rsidRPr="008A0491">
        <w:rPr>
          <w:rFonts w:asciiTheme="majorHAnsi" w:eastAsia="Times New Roman" w:hAnsiTheme="majorHAnsi" w:cstheme="majorHAnsi"/>
          <w:szCs w:val="24"/>
          <w:lang w:val="en-IN" w:eastAsia="en-IN"/>
        </w:rPr>
        <w:t xml:space="preserve"> </w:t>
      </w:r>
      <w:r w:rsidRPr="007F4970">
        <w:rPr>
          <w:rFonts w:asciiTheme="majorHAnsi" w:eastAsia="Times New Roman" w:hAnsiTheme="majorHAnsi" w:cstheme="majorHAnsi"/>
          <w:szCs w:val="24"/>
          <w:lang w:val="en-IN" w:eastAsia="en-IN"/>
        </w:rPr>
        <w:t>This table lists the 25 markers (including DAPI) used for high-plex spatial profiling of formalin-fixed paraffin-embedded pancreatic sections.</w:t>
      </w:r>
    </w:p>
    <w:p w14:paraId="1F85F719" w14:textId="77777777" w:rsidR="00AF2D53" w:rsidRPr="007F4970" w:rsidRDefault="00AF2D53" w:rsidP="008A0491">
      <w:pPr>
        <w:spacing w:after="0"/>
        <w:jc w:val="both"/>
        <w:rPr>
          <w:rFonts w:asciiTheme="majorHAnsi" w:eastAsia="Times New Roman" w:hAnsiTheme="majorHAnsi" w:cstheme="majorHAnsi"/>
          <w:szCs w:val="24"/>
          <w:lang w:val="en-IN" w:eastAsia="en-IN"/>
        </w:rPr>
      </w:pPr>
    </w:p>
    <w:p w14:paraId="0F8492AC" w14:textId="2B687083" w:rsidR="007F4970" w:rsidRPr="007F4970" w:rsidRDefault="007F4970" w:rsidP="008A0491">
      <w:pPr>
        <w:spacing w:after="0"/>
        <w:jc w:val="both"/>
        <w:rPr>
          <w:rFonts w:asciiTheme="majorHAnsi" w:eastAsia="Times New Roman" w:hAnsiTheme="majorHAnsi" w:cstheme="majorHAnsi"/>
          <w:szCs w:val="24"/>
          <w:lang w:val="en-IN" w:eastAsia="en-IN"/>
        </w:rPr>
      </w:pPr>
      <w:r w:rsidRPr="007F4970">
        <w:rPr>
          <w:rFonts w:asciiTheme="majorHAnsi" w:eastAsia="Times New Roman" w:hAnsiTheme="majorHAnsi" w:cstheme="majorHAnsi"/>
          <w:b/>
          <w:bCs/>
          <w:szCs w:val="24"/>
          <w:lang w:val="en-IN" w:eastAsia="en-IN"/>
        </w:rPr>
        <w:t xml:space="preserve">Supplemental Table </w:t>
      </w:r>
      <w:r w:rsidR="00F22F87" w:rsidRPr="008A0491">
        <w:rPr>
          <w:rFonts w:asciiTheme="majorHAnsi" w:eastAsia="Times New Roman" w:hAnsiTheme="majorHAnsi" w:cstheme="majorHAnsi"/>
          <w:b/>
          <w:bCs/>
          <w:szCs w:val="24"/>
          <w:lang w:val="en-IN" w:eastAsia="en-IN"/>
        </w:rPr>
        <w:t>S</w:t>
      </w:r>
      <w:r w:rsidRPr="007F4970">
        <w:rPr>
          <w:rFonts w:asciiTheme="majorHAnsi" w:eastAsia="Times New Roman" w:hAnsiTheme="majorHAnsi" w:cstheme="majorHAnsi"/>
          <w:b/>
          <w:bCs/>
          <w:szCs w:val="24"/>
          <w:lang w:val="en-IN" w:eastAsia="en-IN"/>
        </w:rPr>
        <w:t>2. Single-cell RNA sequencing cluster annotations.</w:t>
      </w:r>
      <w:r w:rsidR="00AF2D53" w:rsidRPr="008A0491">
        <w:rPr>
          <w:rFonts w:asciiTheme="majorHAnsi" w:eastAsia="Times New Roman" w:hAnsiTheme="majorHAnsi" w:cstheme="majorHAnsi"/>
          <w:szCs w:val="24"/>
          <w:lang w:val="en-IN" w:eastAsia="en-IN"/>
        </w:rPr>
        <w:t xml:space="preserve"> </w:t>
      </w:r>
      <w:r w:rsidRPr="007F4970">
        <w:rPr>
          <w:rFonts w:asciiTheme="majorHAnsi" w:eastAsia="Times New Roman" w:hAnsiTheme="majorHAnsi" w:cstheme="majorHAnsi"/>
          <w:szCs w:val="24"/>
          <w:lang w:val="en-IN" w:eastAsia="en-IN"/>
        </w:rPr>
        <w:t>This table provides cluster-to-cell-type assignments and key identifying marker genes (e.g., Foxp3, Ms4a1) for the 17 distinct cellular clusters identified in the transcriptomic analysis.</w:t>
      </w:r>
    </w:p>
    <w:p w14:paraId="76B054D4" w14:textId="77777777" w:rsidR="007F4970" w:rsidRPr="001D7F4F" w:rsidRDefault="007F4970" w:rsidP="008A0491">
      <w:pPr>
        <w:spacing w:after="0"/>
        <w:jc w:val="both"/>
        <w:rPr>
          <w:rFonts w:asciiTheme="majorHAnsi" w:eastAsia="Times New Roman" w:hAnsiTheme="majorHAnsi" w:cstheme="majorHAnsi"/>
          <w:szCs w:val="24"/>
          <w:lang w:val="en-IN" w:eastAsia="en-IN"/>
        </w:rPr>
      </w:pPr>
    </w:p>
    <w:p w14:paraId="1C80C365" w14:textId="26A08381" w:rsidR="00753A6A" w:rsidRPr="00753A6A" w:rsidRDefault="00753A6A" w:rsidP="008A0491">
      <w:pPr>
        <w:spacing w:after="0"/>
        <w:jc w:val="both"/>
        <w:outlineLvl w:val="1"/>
        <w:rPr>
          <w:rFonts w:asciiTheme="majorHAnsi" w:eastAsia="Times New Roman" w:hAnsiTheme="majorHAnsi" w:cstheme="majorHAnsi"/>
          <w:b/>
          <w:bCs/>
          <w:szCs w:val="24"/>
          <w:lang w:val="en-IN" w:eastAsia="en-IN"/>
        </w:rPr>
      </w:pPr>
      <w:r w:rsidRPr="00753A6A">
        <w:rPr>
          <w:rFonts w:asciiTheme="majorHAnsi" w:eastAsia="Times New Roman" w:hAnsiTheme="majorHAnsi" w:cstheme="majorHAnsi"/>
          <w:b/>
          <w:bCs/>
          <w:szCs w:val="24"/>
          <w:lang w:val="en-IN" w:eastAsia="en-IN"/>
        </w:rPr>
        <w:t>D</w:t>
      </w:r>
      <w:r w:rsidR="00AF2D53" w:rsidRPr="008A0491">
        <w:rPr>
          <w:rFonts w:asciiTheme="majorHAnsi" w:eastAsia="Times New Roman" w:hAnsiTheme="majorHAnsi" w:cstheme="majorHAnsi"/>
          <w:b/>
          <w:bCs/>
          <w:szCs w:val="24"/>
          <w:lang w:val="en-IN" w:eastAsia="en-IN"/>
        </w:rPr>
        <w:t>ISCUSSION</w:t>
      </w:r>
    </w:p>
    <w:p w14:paraId="12D4BC88" w14:textId="77777777"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A critical limitation of the representative outcomes presented herein is that the data provided to illustrate the analytical endpoints (</w:t>
      </w:r>
      <w:r w:rsidRPr="00753A6A">
        <w:rPr>
          <w:rFonts w:asciiTheme="majorHAnsi" w:eastAsia="Times New Roman" w:hAnsiTheme="majorHAnsi" w:cstheme="majorHAnsi"/>
          <w:b/>
          <w:bCs/>
          <w:szCs w:val="24"/>
          <w:lang w:val="en-IN" w:eastAsia="en-IN"/>
        </w:rPr>
        <w:t>Figure 3</w:t>
      </w:r>
      <w:r w:rsidRPr="00753A6A">
        <w:rPr>
          <w:rFonts w:asciiTheme="majorHAnsi" w:eastAsia="Times New Roman" w:hAnsiTheme="majorHAnsi" w:cstheme="majorHAnsi"/>
          <w:szCs w:val="24"/>
          <w:lang w:val="en-IN" w:eastAsia="en-IN"/>
        </w:rPr>
        <w:t>) were derived from an early pilot cohort utilizing a two-dose schedule. Because this protocol has been refined to a single-dose preventative regimen, future larger-scale studies utilizing the optimized single-dose protocol described here are required to establish formal statistical efficacy.</w:t>
      </w:r>
    </w:p>
    <w:p w14:paraId="76CA1BC6"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065161C9" w14:textId="4D29B91B"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 xml:space="preserve">This </w:t>
      </w:r>
      <w:proofErr w:type="spellStart"/>
      <w:r w:rsidRPr="00753A6A">
        <w:rPr>
          <w:rFonts w:asciiTheme="majorHAnsi" w:eastAsia="Times New Roman" w:hAnsiTheme="majorHAnsi" w:cstheme="majorHAnsi"/>
          <w:szCs w:val="24"/>
          <w:lang w:val="en-IN" w:eastAsia="en-IN"/>
        </w:rPr>
        <w:t>JoVE</w:t>
      </w:r>
      <w:proofErr w:type="spellEnd"/>
      <w:r w:rsidRPr="00753A6A">
        <w:rPr>
          <w:rFonts w:asciiTheme="majorHAnsi" w:eastAsia="Times New Roman" w:hAnsiTheme="majorHAnsi" w:cstheme="majorHAnsi"/>
          <w:szCs w:val="24"/>
          <w:lang w:val="en-IN" w:eastAsia="en-IN"/>
        </w:rPr>
        <w:t xml:space="preserve"> protocol describes a single-dose intravenous administration of an indole-producing attenuated </w:t>
      </w:r>
      <w:r w:rsidRPr="00753A6A">
        <w:rPr>
          <w:rFonts w:asciiTheme="majorHAnsi" w:eastAsia="Times New Roman" w:hAnsiTheme="majorHAnsi" w:cstheme="majorHAnsi"/>
          <w:i/>
          <w:iCs/>
          <w:szCs w:val="24"/>
          <w:lang w:val="en-IN" w:eastAsia="en-IN"/>
        </w:rPr>
        <w:t>Brucella melitensis</w:t>
      </w:r>
      <w:r w:rsidRPr="00753A6A">
        <w:rPr>
          <w:rFonts w:asciiTheme="majorHAnsi" w:eastAsia="Times New Roman" w:hAnsiTheme="majorHAnsi" w:cstheme="majorHAnsi"/>
          <w:szCs w:val="24"/>
          <w:lang w:val="en-IN" w:eastAsia="en-IN"/>
        </w:rPr>
        <w:t xml:space="preserve"> strain in NOD/ShiLtJ mice, combined with standardized monitoring and histologic assessment, and demonstrates that this workflow can capture pilot efficacy signals in type 1 diabetes. In the pilot cohort presented here, BmΔvjbR::tnaA delayed diabetes onset and preserved islet architecture relative to vehicle controls, as evidenced by longitudinal blood glucose measurements and increased total islet area with maintained insulin staining (</w:t>
      </w:r>
      <w:r w:rsidRPr="00753A6A">
        <w:rPr>
          <w:rFonts w:asciiTheme="majorHAnsi" w:eastAsia="Times New Roman" w:hAnsiTheme="majorHAnsi" w:cstheme="majorHAnsi"/>
          <w:b/>
          <w:bCs/>
          <w:szCs w:val="24"/>
          <w:lang w:val="en-IN" w:eastAsia="en-IN"/>
        </w:rPr>
        <w:t>Figure 3A–C</w:t>
      </w:r>
      <w:r w:rsidRPr="00753A6A">
        <w:rPr>
          <w:rFonts w:asciiTheme="majorHAnsi" w:eastAsia="Times New Roman" w:hAnsiTheme="majorHAnsi" w:cstheme="majorHAnsi"/>
          <w:szCs w:val="24"/>
          <w:lang w:val="en-IN" w:eastAsia="en-IN"/>
        </w:rPr>
        <w:t>)</w:t>
      </w:r>
      <w:r w:rsidRPr="00753A6A">
        <w:rPr>
          <w:rFonts w:asciiTheme="majorHAnsi" w:eastAsia="Times New Roman" w:hAnsiTheme="majorHAnsi" w:cstheme="majorHAnsi"/>
          <w:szCs w:val="24"/>
          <w:vertAlign w:val="superscript"/>
          <w:lang w:val="en-IN" w:eastAsia="en-IN"/>
        </w:rPr>
        <w:t>6</w:t>
      </w:r>
      <w:r w:rsidRPr="00753A6A">
        <w:rPr>
          <w:rFonts w:asciiTheme="majorHAnsi" w:eastAsia="Times New Roman" w:hAnsiTheme="majorHAnsi" w:cstheme="majorHAnsi"/>
          <w:szCs w:val="24"/>
          <w:lang w:val="en-IN" w:eastAsia="en-IN"/>
        </w:rPr>
        <w:t>. These findings are in line with prior studies showing that metabolic engineering of bacteria and microbial-derived tryptophan metabolites can suppress inflammation and promote regulatory immune programs</w:t>
      </w:r>
      <w:r w:rsidRPr="00753A6A">
        <w:rPr>
          <w:rFonts w:asciiTheme="majorHAnsi" w:eastAsia="Times New Roman" w:hAnsiTheme="majorHAnsi" w:cstheme="majorHAnsi"/>
          <w:szCs w:val="24"/>
          <w:vertAlign w:val="superscript"/>
          <w:lang w:val="en-IN" w:eastAsia="en-IN"/>
        </w:rPr>
        <w:t>12-14,16</w:t>
      </w:r>
      <w:r w:rsidRPr="00753A6A">
        <w:rPr>
          <w:rFonts w:asciiTheme="majorHAnsi" w:eastAsia="Times New Roman" w:hAnsiTheme="majorHAnsi" w:cstheme="majorHAnsi"/>
          <w:szCs w:val="24"/>
          <w:lang w:val="en-IN" w:eastAsia="en-IN"/>
        </w:rPr>
        <w:t>.</w:t>
      </w:r>
    </w:p>
    <w:p w14:paraId="6CDDC27C"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7B210E38" w14:textId="0703DEE8"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Relative to existing T1D interventions such as autologous Treg infusions or IL-2–based therapies</w:t>
      </w:r>
      <w:r w:rsidRPr="00753A6A">
        <w:rPr>
          <w:rFonts w:asciiTheme="majorHAnsi" w:eastAsia="Times New Roman" w:hAnsiTheme="majorHAnsi" w:cstheme="majorHAnsi"/>
          <w:szCs w:val="24"/>
          <w:vertAlign w:val="superscript"/>
          <w:lang w:val="en-IN" w:eastAsia="en-IN"/>
        </w:rPr>
        <w:t>1,2,4,5,10</w:t>
      </w:r>
      <w:r w:rsidRPr="00753A6A">
        <w:rPr>
          <w:rFonts w:asciiTheme="majorHAnsi" w:eastAsia="Times New Roman" w:hAnsiTheme="majorHAnsi" w:cstheme="majorHAnsi"/>
          <w:szCs w:val="24"/>
          <w:lang w:val="en-IN" w:eastAsia="en-IN"/>
        </w:rPr>
        <w:t xml:space="preserve">, a live metabolically engineered bacterium offers several conceptual </w:t>
      </w:r>
      <w:r w:rsidRPr="00753A6A">
        <w:rPr>
          <w:rFonts w:asciiTheme="majorHAnsi" w:eastAsia="Times New Roman" w:hAnsiTheme="majorHAnsi" w:cstheme="majorHAnsi"/>
          <w:szCs w:val="24"/>
          <w:lang w:val="en-IN" w:eastAsia="en-IN"/>
        </w:rPr>
        <w:lastRenderedPageBreak/>
        <w:t xml:space="preserve">advantages. First, sustained </w:t>
      </w:r>
      <w:r w:rsidRPr="00753A6A">
        <w:rPr>
          <w:rFonts w:asciiTheme="majorHAnsi" w:eastAsia="Times New Roman" w:hAnsiTheme="majorHAnsi" w:cstheme="majorHAnsi"/>
          <w:i/>
          <w:iCs/>
          <w:szCs w:val="24"/>
          <w:lang w:val="en-IN" w:eastAsia="en-IN"/>
        </w:rPr>
        <w:t>in situ</w:t>
      </w:r>
      <w:r w:rsidRPr="00753A6A">
        <w:rPr>
          <w:rFonts w:asciiTheme="majorHAnsi" w:eastAsia="Times New Roman" w:hAnsiTheme="majorHAnsi" w:cstheme="majorHAnsi"/>
          <w:szCs w:val="24"/>
          <w:lang w:val="en-IN" w:eastAsia="en-IN"/>
        </w:rPr>
        <w:t xml:space="preserve"> metabolite production may support immune modulation following administration, as suggested by expanded preventative cohorts reported elsewhere</w:t>
      </w:r>
      <w:r w:rsidRPr="00753A6A">
        <w:rPr>
          <w:rFonts w:asciiTheme="majorHAnsi" w:eastAsia="Times New Roman" w:hAnsiTheme="majorHAnsi" w:cstheme="majorHAnsi"/>
          <w:szCs w:val="24"/>
          <w:vertAlign w:val="superscript"/>
          <w:lang w:val="en-IN" w:eastAsia="en-IN"/>
        </w:rPr>
        <w:t>14,15</w:t>
      </w:r>
      <w:r w:rsidRPr="00753A6A">
        <w:rPr>
          <w:rFonts w:asciiTheme="majorHAnsi" w:eastAsia="Times New Roman" w:hAnsiTheme="majorHAnsi" w:cstheme="majorHAnsi"/>
          <w:szCs w:val="24"/>
          <w:lang w:val="en-IN" w:eastAsia="en-IN"/>
        </w:rPr>
        <w:t>. This supports the idea that sustained in situ metabolite production and immune “re-training” may substitute for repeated administration of biological agents</w:t>
      </w:r>
      <w:r w:rsidRPr="00753A6A">
        <w:rPr>
          <w:rFonts w:asciiTheme="majorHAnsi" w:eastAsia="Times New Roman" w:hAnsiTheme="majorHAnsi" w:cstheme="majorHAnsi"/>
          <w:szCs w:val="24"/>
          <w:vertAlign w:val="superscript"/>
          <w:lang w:val="en-IN" w:eastAsia="en-IN"/>
        </w:rPr>
        <w:t>4,7</w:t>
      </w:r>
      <w:r w:rsidRPr="00753A6A">
        <w:rPr>
          <w:rFonts w:asciiTheme="majorHAnsi" w:eastAsia="Times New Roman" w:hAnsiTheme="majorHAnsi" w:cstheme="majorHAnsi"/>
          <w:szCs w:val="24"/>
          <w:lang w:val="en-IN" w:eastAsia="en-IN"/>
        </w:rPr>
        <w:t>. Second, the BmΔvjbR::tnaA strain is attenuated yet immunogenic, enabling transient interaction with host immune cells while maintaining an acceptable safety profile in preclinical models</w:t>
      </w:r>
      <w:r w:rsidRPr="00753A6A">
        <w:rPr>
          <w:rFonts w:asciiTheme="majorHAnsi" w:eastAsia="Times New Roman" w:hAnsiTheme="majorHAnsi" w:cstheme="majorHAnsi"/>
          <w:szCs w:val="24"/>
          <w:vertAlign w:val="superscript"/>
          <w:lang w:val="en-IN" w:eastAsia="en-IN"/>
        </w:rPr>
        <w:t>14-16</w:t>
      </w:r>
      <w:r w:rsidRPr="00753A6A">
        <w:rPr>
          <w:rFonts w:asciiTheme="majorHAnsi" w:eastAsia="Times New Roman" w:hAnsiTheme="majorHAnsi" w:cstheme="majorHAnsi"/>
          <w:szCs w:val="24"/>
          <w:lang w:val="en-IN" w:eastAsia="en-IN"/>
        </w:rPr>
        <w:t>. Third, microbial manufacturing is scalable and could be more cost-effective than complex cell-based therapies, consistent with broader efforts to harness microbes as therapeutic platforms for autoimmunity</w:t>
      </w:r>
      <w:r w:rsidRPr="00753A6A">
        <w:rPr>
          <w:rFonts w:asciiTheme="majorHAnsi" w:eastAsia="Times New Roman" w:hAnsiTheme="majorHAnsi" w:cstheme="majorHAnsi"/>
          <w:szCs w:val="24"/>
          <w:vertAlign w:val="superscript"/>
          <w:lang w:val="en-IN" w:eastAsia="en-IN"/>
        </w:rPr>
        <w:t>14-18</w:t>
      </w:r>
      <w:r w:rsidRPr="00753A6A">
        <w:rPr>
          <w:rFonts w:asciiTheme="majorHAnsi" w:eastAsia="Times New Roman" w:hAnsiTheme="majorHAnsi" w:cstheme="majorHAnsi"/>
          <w:szCs w:val="24"/>
          <w:lang w:val="en-IN" w:eastAsia="en-IN"/>
        </w:rPr>
        <w:t>.</w:t>
      </w:r>
    </w:p>
    <w:p w14:paraId="4835A211"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3E2B6F02" w14:textId="1574CA60"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Several limitations of the current implementation should be acknowledged. The pilot cohort is small and provides proof-of-concept rather than definitive efficacy estimates; larger, randomized studies will be needed to fully characterize dose–response relationships and long-term protection. A parental BmΔvjbR control group was not included in this pilot, limiting the ability to dissect contributions of the Brucella backbone versus indole production</w:t>
      </w:r>
      <w:r w:rsidRPr="00753A6A">
        <w:rPr>
          <w:rFonts w:asciiTheme="majorHAnsi" w:eastAsia="Times New Roman" w:hAnsiTheme="majorHAnsi" w:cstheme="majorHAnsi"/>
          <w:szCs w:val="24"/>
          <w:vertAlign w:val="superscript"/>
          <w:lang w:val="en-IN" w:eastAsia="en-IN"/>
        </w:rPr>
        <w:t>14,15</w:t>
      </w:r>
      <w:r w:rsidRPr="00753A6A">
        <w:rPr>
          <w:rFonts w:asciiTheme="majorHAnsi" w:eastAsia="Times New Roman" w:hAnsiTheme="majorHAnsi" w:cstheme="majorHAnsi"/>
          <w:szCs w:val="24"/>
          <w:lang w:val="en-IN" w:eastAsia="en-IN"/>
        </w:rPr>
        <w:t>. Quantitative morphometry focused on total islet area rather than β-cell–specific area and did not systematically incorporate markers of β-cell stress or proliferation; thus, the protocol as presented primarily distinguishes gross islet preservation versus destruction and does not resolve finer β-cell biology</w:t>
      </w:r>
      <w:r w:rsidRPr="00753A6A">
        <w:rPr>
          <w:rFonts w:asciiTheme="majorHAnsi" w:eastAsia="Times New Roman" w:hAnsiTheme="majorHAnsi" w:cstheme="majorHAnsi"/>
          <w:szCs w:val="24"/>
          <w:vertAlign w:val="superscript"/>
          <w:lang w:val="en-IN" w:eastAsia="en-IN"/>
        </w:rPr>
        <w:t>6,9</w:t>
      </w:r>
      <w:r w:rsidRPr="00753A6A">
        <w:rPr>
          <w:rFonts w:asciiTheme="majorHAnsi" w:eastAsia="Times New Roman" w:hAnsiTheme="majorHAnsi" w:cstheme="majorHAnsi"/>
          <w:szCs w:val="24"/>
          <w:lang w:val="en-IN" w:eastAsia="en-IN"/>
        </w:rPr>
        <w:t>.</w:t>
      </w:r>
    </w:p>
    <w:p w14:paraId="788CABC1"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234E7286" w14:textId="447EEDA0"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The protocol includes optional modules for spatial proteomics and single-cell RNA-</w:t>
      </w:r>
      <w:proofErr w:type="spellStart"/>
      <w:r w:rsidRPr="00753A6A">
        <w:rPr>
          <w:rFonts w:asciiTheme="majorHAnsi" w:eastAsia="Times New Roman" w:hAnsiTheme="majorHAnsi" w:cstheme="majorHAnsi"/>
          <w:szCs w:val="24"/>
          <w:lang w:val="en-IN" w:eastAsia="en-IN"/>
        </w:rPr>
        <w:t>seq</w:t>
      </w:r>
      <w:proofErr w:type="spellEnd"/>
      <w:r w:rsidRPr="00753A6A">
        <w:rPr>
          <w:rFonts w:asciiTheme="majorHAnsi" w:eastAsia="Times New Roman" w:hAnsiTheme="majorHAnsi" w:cstheme="majorHAnsi"/>
          <w:szCs w:val="24"/>
          <w:lang w:val="en-IN" w:eastAsia="en-IN"/>
        </w:rPr>
        <w:t xml:space="preserve"> that are not fully illustrated in the pilot data here but can be integrated in future experiments. High-plex spatial proteomics can be used to map T-cell and macrophage phenotypes around islets and to identify tolerant versus inflammatory cellular </w:t>
      </w:r>
      <w:proofErr w:type="spellStart"/>
      <w:r w:rsidRPr="00753A6A">
        <w:rPr>
          <w:rFonts w:asciiTheme="majorHAnsi" w:eastAsia="Times New Roman" w:hAnsiTheme="majorHAnsi" w:cstheme="majorHAnsi"/>
          <w:szCs w:val="24"/>
          <w:lang w:val="en-IN" w:eastAsia="en-IN"/>
        </w:rPr>
        <w:t>neighborhoods</w:t>
      </w:r>
      <w:proofErr w:type="spellEnd"/>
      <w:r w:rsidRPr="00753A6A">
        <w:rPr>
          <w:rFonts w:asciiTheme="majorHAnsi" w:eastAsia="Times New Roman" w:hAnsiTheme="majorHAnsi" w:cstheme="majorHAnsi"/>
          <w:szCs w:val="24"/>
          <w:lang w:val="en-IN" w:eastAsia="en-IN"/>
        </w:rPr>
        <w:t>, extending prior work on indole, Tregs, and macrophage polarization</w:t>
      </w:r>
      <w:r w:rsidRPr="00753A6A">
        <w:rPr>
          <w:rFonts w:asciiTheme="majorHAnsi" w:eastAsia="Times New Roman" w:hAnsiTheme="majorHAnsi" w:cstheme="majorHAnsi"/>
          <w:szCs w:val="24"/>
          <w:vertAlign w:val="superscript"/>
          <w:lang w:val="en-IN" w:eastAsia="en-IN"/>
        </w:rPr>
        <w:t>12-14</w:t>
      </w:r>
      <w:r w:rsidRPr="00753A6A">
        <w:rPr>
          <w:rFonts w:asciiTheme="majorHAnsi" w:eastAsia="Times New Roman" w:hAnsiTheme="majorHAnsi" w:cstheme="majorHAnsi"/>
          <w:szCs w:val="24"/>
          <w:lang w:val="en-IN" w:eastAsia="en-IN"/>
        </w:rPr>
        <w:t>. Similarly, coupling this workflow to single-cell RNA-</w:t>
      </w:r>
      <w:proofErr w:type="spellStart"/>
      <w:r w:rsidRPr="00753A6A">
        <w:rPr>
          <w:rFonts w:asciiTheme="majorHAnsi" w:eastAsia="Times New Roman" w:hAnsiTheme="majorHAnsi" w:cstheme="majorHAnsi"/>
          <w:szCs w:val="24"/>
          <w:lang w:val="en-IN" w:eastAsia="en-IN"/>
        </w:rPr>
        <w:t>seq</w:t>
      </w:r>
      <w:proofErr w:type="spellEnd"/>
      <w:r w:rsidRPr="00753A6A">
        <w:rPr>
          <w:rFonts w:asciiTheme="majorHAnsi" w:eastAsia="Times New Roman" w:hAnsiTheme="majorHAnsi" w:cstheme="majorHAnsi"/>
          <w:szCs w:val="24"/>
          <w:lang w:val="en-IN" w:eastAsia="en-IN"/>
        </w:rPr>
        <w:t xml:space="preserve"> and Seurat-based analysis</w:t>
      </w:r>
      <w:r w:rsidRPr="00753A6A">
        <w:rPr>
          <w:rFonts w:asciiTheme="majorHAnsi" w:eastAsia="Times New Roman" w:hAnsiTheme="majorHAnsi" w:cstheme="majorHAnsi"/>
          <w:szCs w:val="24"/>
          <w:vertAlign w:val="superscript"/>
          <w:lang w:val="en-IN" w:eastAsia="en-IN"/>
        </w:rPr>
        <w:t>20</w:t>
      </w:r>
      <w:r w:rsidRPr="00753A6A">
        <w:rPr>
          <w:rFonts w:asciiTheme="majorHAnsi" w:eastAsia="Times New Roman" w:hAnsiTheme="majorHAnsi" w:cstheme="majorHAnsi"/>
          <w:szCs w:val="24"/>
          <w:lang w:val="en-IN" w:eastAsia="en-IN"/>
        </w:rPr>
        <w:t xml:space="preserve"> allows investigation of transcriptional reprogramming across multiple immune and stromal compartments. In separate studies, we and others have used such approaches to link regulatory T cells, IL-10 </w:t>
      </w:r>
      <w:proofErr w:type="spellStart"/>
      <w:r w:rsidRPr="00753A6A">
        <w:rPr>
          <w:rFonts w:asciiTheme="majorHAnsi" w:eastAsia="Times New Roman" w:hAnsiTheme="majorHAnsi" w:cstheme="majorHAnsi"/>
          <w:szCs w:val="24"/>
          <w:lang w:val="en-IN" w:eastAsia="en-IN"/>
        </w:rPr>
        <w:t>signaling</w:t>
      </w:r>
      <w:proofErr w:type="spellEnd"/>
      <w:r w:rsidRPr="00753A6A">
        <w:rPr>
          <w:rFonts w:asciiTheme="majorHAnsi" w:eastAsia="Times New Roman" w:hAnsiTheme="majorHAnsi" w:cstheme="majorHAnsi"/>
          <w:szCs w:val="24"/>
          <w:lang w:val="en-IN" w:eastAsia="en-IN"/>
        </w:rPr>
        <w:t>, and M2-like macrophage signatures to restored tolerance in autoimmune disease</w:t>
      </w:r>
      <w:r w:rsidRPr="00753A6A">
        <w:rPr>
          <w:rFonts w:asciiTheme="majorHAnsi" w:eastAsia="Times New Roman" w:hAnsiTheme="majorHAnsi" w:cstheme="majorHAnsi"/>
          <w:szCs w:val="24"/>
          <w:vertAlign w:val="superscript"/>
          <w:lang w:val="en-IN" w:eastAsia="en-IN"/>
        </w:rPr>
        <w:t>1,2,4-11</w:t>
      </w:r>
      <w:r w:rsidRPr="00753A6A">
        <w:rPr>
          <w:rFonts w:asciiTheme="majorHAnsi" w:eastAsia="Times New Roman" w:hAnsiTheme="majorHAnsi" w:cstheme="majorHAnsi"/>
          <w:szCs w:val="24"/>
          <w:lang w:val="en-IN" w:eastAsia="en-IN"/>
        </w:rPr>
        <w:t>; these findings, although not shown in detail here, illustrate the analytical potential of the protocol beyond the pilot readouts.</w:t>
      </w:r>
    </w:p>
    <w:p w14:paraId="2BABCB3F"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138C4D82" w14:textId="63A091AF"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Future applications of this protocol could address the current limitations and broaden its translational scope. Including treatment arms with parental BmΔvjbR, exogenous indole, or additional engineered strains will help parse mechanistic contributions of bacterial components and metabolite production</w:t>
      </w:r>
      <w:r w:rsidRPr="00753A6A">
        <w:rPr>
          <w:rFonts w:asciiTheme="majorHAnsi" w:eastAsia="Times New Roman" w:hAnsiTheme="majorHAnsi" w:cstheme="majorHAnsi"/>
          <w:szCs w:val="24"/>
          <w:vertAlign w:val="superscript"/>
          <w:lang w:val="en-IN" w:eastAsia="en-IN"/>
        </w:rPr>
        <w:t>12-14,16</w:t>
      </w:r>
      <w:r w:rsidRPr="00753A6A">
        <w:rPr>
          <w:rFonts w:asciiTheme="majorHAnsi" w:eastAsia="Times New Roman" w:hAnsiTheme="majorHAnsi" w:cstheme="majorHAnsi"/>
          <w:szCs w:val="24"/>
          <w:lang w:val="en-IN" w:eastAsia="en-IN"/>
        </w:rPr>
        <w:t>. Refining image analysis pipelines to quantify insulin-positive β-cell area and integrating β-cell identity and stress markers would deepen insights into β-cell preservation versus regeneration</w:t>
      </w:r>
      <w:r w:rsidRPr="00753A6A">
        <w:rPr>
          <w:rFonts w:asciiTheme="majorHAnsi" w:eastAsia="Times New Roman" w:hAnsiTheme="majorHAnsi" w:cstheme="majorHAnsi"/>
          <w:szCs w:val="24"/>
          <w:vertAlign w:val="superscript"/>
          <w:lang w:val="en-IN" w:eastAsia="en-IN"/>
        </w:rPr>
        <w:t>6,9,10,19</w:t>
      </w:r>
      <w:r w:rsidRPr="00753A6A">
        <w:rPr>
          <w:rFonts w:asciiTheme="majorHAnsi" w:eastAsia="Times New Roman" w:hAnsiTheme="majorHAnsi" w:cstheme="majorHAnsi"/>
          <w:szCs w:val="24"/>
          <w:lang w:val="en-IN" w:eastAsia="en-IN"/>
        </w:rPr>
        <w:t xml:space="preserve">. Extending spatial and single-cell workflows to draining lymph nodes and systemic lymphoid organs may reveal how local islet reprogramming integrates with systemic immune changes in T1D 2,7,17. Finally, adapting this pipeline to humanized mouse models and other organ-specific autoimmune diseases could test the broader generalizability of metabolically engineered </w:t>
      </w:r>
      <w:r w:rsidRPr="00753A6A">
        <w:rPr>
          <w:rFonts w:asciiTheme="majorHAnsi" w:eastAsia="Times New Roman" w:hAnsiTheme="majorHAnsi" w:cstheme="majorHAnsi"/>
          <w:i/>
          <w:iCs/>
          <w:szCs w:val="24"/>
          <w:lang w:val="en-IN" w:eastAsia="en-IN"/>
        </w:rPr>
        <w:t>Brucella</w:t>
      </w:r>
      <w:r w:rsidRPr="00753A6A">
        <w:rPr>
          <w:rFonts w:asciiTheme="majorHAnsi" w:eastAsia="Times New Roman" w:hAnsiTheme="majorHAnsi" w:cstheme="majorHAnsi"/>
          <w:szCs w:val="24"/>
          <w:lang w:val="en-IN" w:eastAsia="en-IN"/>
        </w:rPr>
        <w:t xml:space="preserve"> strains and related microbial platforms as single-dose immunotherapies</w:t>
      </w:r>
      <w:r w:rsidRPr="00753A6A">
        <w:rPr>
          <w:rFonts w:asciiTheme="majorHAnsi" w:eastAsia="Times New Roman" w:hAnsiTheme="majorHAnsi" w:cstheme="majorHAnsi"/>
          <w:szCs w:val="24"/>
          <w:vertAlign w:val="superscript"/>
          <w:lang w:val="en-IN" w:eastAsia="en-IN"/>
        </w:rPr>
        <w:t>11,16-18</w:t>
      </w:r>
      <w:r w:rsidRPr="00753A6A">
        <w:rPr>
          <w:rFonts w:asciiTheme="majorHAnsi" w:eastAsia="Times New Roman" w:hAnsiTheme="majorHAnsi" w:cstheme="majorHAnsi"/>
          <w:szCs w:val="24"/>
          <w:lang w:val="en-IN" w:eastAsia="en-IN"/>
        </w:rPr>
        <w:t>.</w:t>
      </w:r>
    </w:p>
    <w:p w14:paraId="39DDD8BA"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08862B01" w14:textId="1F25C572" w:rsidR="00753A6A" w:rsidRPr="008A0491" w:rsidRDefault="00753A6A" w:rsidP="008A0491">
      <w:pPr>
        <w:spacing w:after="0"/>
        <w:jc w:val="both"/>
        <w:rPr>
          <w:rFonts w:asciiTheme="majorHAnsi" w:eastAsia="Times New Roman" w:hAnsiTheme="majorHAnsi" w:cstheme="majorHAnsi"/>
          <w:szCs w:val="24"/>
          <w:lang w:val="en-IN" w:eastAsia="en-IN"/>
        </w:rPr>
      </w:pPr>
      <w:r w:rsidRPr="00753A6A">
        <w:rPr>
          <w:rFonts w:asciiTheme="majorHAnsi" w:eastAsia="Times New Roman" w:hAnsiTheme="majorHAnsi" w:cstheme="majorHAnsi"/>
          <w:szCs w:val="24"/>
          <w:lang w:val="en-IN" w:eastAsia="en-IN"/>
        </w:rPr>
        <w:t>Overall, this article provides a reproducible framework for delivering an engineered live bacterial therapeutic in NOD mice and for measuring key pilot endpoints—blood glucose trajectories and islet structure—while also outlining optional extensions to high-dimensional spatial and single-cell analyses</w:t>
      </w:r>
      <w:r w:rsidRPr="00753A6A">
        <w:rPr>
          <w:rFonts w:asciiTheme="majorHAnsi" w:eastAsia="Times New Roman" w:hAnsiTheme="majorHAnsi" w:cstheme="majorHAnsi"/>
          <w:szCs w:val="24"/>
          <w:vertAlign w:val="superscript"/>
          <w:lang w:val="en-IN" w:eastAsia="en-IN"/>
        </w:rPr>
        <w:t>19,20</w:t>
      </w:r>
      <w:r w:rsidRPr="00753A6A">
        <w:rPr>
          <w:rFonts w:asciiTheme="majorHAnsi" w:eastAsia="Times New Roman" w:hAnsiTheme="majorHAnsi" w:cstheme="majorHAnsi"/>
          <w:szCs w:val="24"/>
          <w:lang w:val="en-IN" w:eastAsia="en-IN"/>
        </w:rPr>
        <w:t>.</w:t>
      </w:r>
    </w:p>
    <w:p w14:paraId="03CD19D8" w14:textId="77777777" w:rsidR="00FE4011" w:rsidRPr="00753A6A" w:rsidRDefault="00FE4011" w:rsidP="008A0491">
      <w:pPr>
        <w:spacing w:after="0"/>
        <w:jc w:val="both"/>
        <w:rPr>
          <w:rFonts w:asciiTheme="majorHAnsi" w:eastAsia="Times New Roman" w:hAnsiTheme="majorHAnsi" w:cstheme="majorHAnsi"/>
          <w:szCs w:val="24"/>
          <w:lang w:val="en-IN" w:eastAsia="en-IN"/>
        </w:rPr>
      </w:pPr>
    </w:p>
    <w:p w14:paraId="5AE2174B" w14:textId="77777777" w:rsidR="003F775D" w:rsidRPr="008A0491" w:rsidRDefault="00307D1C" w:rsidP="008A0491">
      <w:pPr>
        <w:spacing w:after="0"/>
        <w:jc w:val="both"/>
        <w:rPr>
          <w:rFonts w:asciiTheme="majorHAnsi" w:hAnsiTheme="majorHAnsi" w:cstheme="majorHAnsi"/>
          <w:b/>
          <w:szCs w:val="24"/>
        </w:rPr>
      </w:pPr>
      <w:r w:rsidRPr="008A0491">
        <w:rPr>
          <w:rFonts w:asciiTheme="majorHAnsi" w:hAnsiTheme="majorHAnsi" w:cstheme="majorHAnsi"/>
          <w:b/>
          <w:szCs w:val="24"/>
        </w:rPr>
        <w:t>ACKNOWLEDGMENTS</w:t>
      </w:r>
    </w:p>
    <w:p w14:paraId="24258E0F" w14:textId="77777777" w:rsidR="00153E99" w:rsidRPr="008A0491" w:rsidRDefault="00B35B9E" w:rsidP="008A0491">
      <w:pPr>
        <w:spacing w:after="0"/>
        <w:jc w:val="both"/>
        <w:rPr>
          <w:rFonts w:asciiTheme="majorHAnsi" w:hAnsiTheme="majorHAnsi" w:cstheme="majorHAnsi"/>
          <w:szCs w:val="24"/>
        </w:rPr>
      </w:pPr>
      <w:r w:rsidRPr="008A0491">
        <w:rPr>
          <w:rFonts w:asciiTheme="majorHAnsi" w:hAnsiTheme="majorHAnsi" w:cstheme="majorHAnsi"/>
          <w:szCs w:val="24"/>
        </w:rPr>
        <w:t xml:space="preserve">This work was supported by National Institutes of Health Grants R01CA273002 and R21AI167793 to J.S. and </w:t>
      </w:r>
      <w:proofErr w:type="spellStart"/>
      <w:r w:rsidRPr="008A0491">
        <w:rPr>
          <w:rFonts w:asciiTheme="majorHAnsi" w:hAnsiTheme="majorHAnsi" w:cstheme="majorHAnsi"/>
          <w:szCs w:val="24"/>
        </w:rPr>
        <w:t>P.d.F.</w:t>
      </w:r>
      <w:proofErr w:type="spellEnd"/>
      <w:r w:rsidRPr="008A0491">
        <w:rPr>
          <w:rFonts w:asciiTheme="majorHAnsi" w:hAnsiTheme="majorHAnsi" w:cstheme="majorHAnsi"/>
          <w:szCs w:val="24"/>
        </w:rPr>
        <w:t>, and by an NIH Institutional National Research Service Award (T32) supporting K.D. We acknowledge the Texas A&amp;M University Health Science Center for institutional support. We thank Dr. Yava Jones-Hall for blinded histopathology assessments, the Song laboratory for pilot and animal technical support, the Texas A&amp;M Institute for Genome Sciences &amp; Society (TIGSS) Molecular Genomics Workspace for single-cell RNA-seq library preparation and sequencing, the TIGSS Bioinformatics Core for data analysis and interpretation, and Akoya Biosciences for spatial proteomics services.</w:t>
      </w:r>
      <w:r w:rsidR="00153E99" w:rsidRPr="008A0491">
        <w:rPr>
          <w:rFonts w:asciiTheme="majorHAnsi" w:hAnsiTheme="majorHAnsi" w:cstheme="majorHAnsi"/>
          <w:szCs w:val="24"/>
        </w:rPr>
        <w:t xml:space="preserve"> We acknowledge the support of the Texas A&amp;M Institute for Genome Sciences &amp; Society (TIGSS) Bioinformatics Core (TBC) for their assistance.</w:t>
      </w:r>
    </w:p>
    <w:p w14:paraId="75C730A0" w14:textId="4FC79EA7" w:rsidR="00B35B9E" w:rsidRPr="008A0491" w:rsidRDefault="00B35B9E" w:rsidP="008A0491">
      <w:pPr>
        <w:pBdr>
          <w:top w:val="nil"/>
          <w:left w:val="nil"/>
          <w:bottom w:val="nil"/>
          <w:right w:val="nil"/>
          <w:between w:val="nil"/>
        </w:pBdr>
        <w:spacing w:after="0"/>
        <w:jc w:val="both"/>
        <w:rPr>
          <w:rFonts w:asciiTheme="majorHAnsi" w:hAnsiTheme="majorHAnsi" w:cstheme="majorHAnsi"/>
          <w:szCs w:val="24"/>
        </w:rPr>
      </w:pPr>
    </w:p>
    <w:p w14:paraId="2EA488DD" w14:textId="77777777"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b/>
          <w:szCs w:val="24"/>
        </w:rPr>
        <w:t>DISCLOSURES</w:t>
      </w:r>
    </w:p>
    <w:p w14:paraId="79236059" w14:textId="13A4A5E0" w:rsidR="003F775D" w:rsidRPr="008A0491" w:rsidRDefault="00307D1C" w:rsidP="008A0491">
      <w:pPr>
        <w:spacing w:after="0"/>
        <w:jc w:val="both"/>
        <w:rPr>
          <w:rFonts w:asciiTheme="majorHAnsi" w:hAnsiTheme="majorHAnsi" w:cstheme="majorHAnsi"/>
          <w:szCs w:val="24"/>
        </w:rPr>
      </w:pPr>
      <w:r w:rsidRPr="008A0491">
        <w:rPr>
          <w:rFonts w:asciiTheme="majorHAnsi" w:hAnsiTheme="majorHAnsi" w:cstheme="majorHAnsi"/>
          <w:szCs w:val="24"/>
        </w:rPr>
        <w:t xml:space="preserve">The authors </w:t>
      </w:r>
      <w:r w:rsidR="00FE4011" w:rsidRPr="008A0491">
        <w:rPr>
          <w:rFonts w:asciiTheme="majorHAnsi" w:hAnsiTheme="majorHAnsi" w:cstheme="majorHAnsi"/>
          <w:szCs w:val="24"/>
        </w:rPr>
        <w:t>have</w:t>
      </w:r>
      <w:r w:rsidRPr="008A0491">
        <w:rPr>
          <w:rFonts w:asciiTheme="majorHAnsi" w:hAnsiTheme="majorHAnsi" w:cstheme="majorHAnsi"/>
          <w:szCs w:val="24"/>
        </w:rPr>
        <w:t xml:space="preserve"> no competing financial interests. </w:t>
      </w:r>
    </w:p>
    <w:p w14:paraId="58B72AC3" w14:textId="77777777" w:rsidR="003335A5" w:rsidRPr="008A0491" w:rsidRDefault="003335A5" w:rsidP="008A0491">
      <w:pPr>
        <w:spacing w:after="0"/>
        <w:jc w:val="both"/>
        <w:rPr>
          <w:rFonts w:asciiTheme="majorHAnsi" w:hAnsiTheme="majorHAnsi" w:cstheme="majorHAnsi"/>
          <w:szCs w:val="24"/>
        </w:rPr>
      </w:pPr>
    </w:p>
    <w:p w14:paraId="19369026" w14:textId="73B57BE7" w:rsidR="00D26333" w:rsidRPr="008A0491" w:rsidRDefault="00D26333" w:rsidP="008A0491">
      <w:pPr>
        <w:spacing w:after="0"/>
        <w:jc w:val="both"/>
        <w:rPr>
          <w:rFonts w:asciiTheme="majorHAnsi" w:hAnsiTheme="majorHAnsi" w:cstheme="majorHAnsi"/>
          <w:b/>
          <w:bCs/>
          <w:szCs w:val="24"/>
        </w:rPr>
      </w:pPr>
      <w:r w:rsidRPr="008A0491">
        <w:rPr>
          <w:rFonts w:asciiTheme="majorHAnsi" w:hAnsiTheme="majorHAnsi" w:cstheme="majorHAnsi"/>
          <w:b/>
          <w:bCs/>
          <w:szCs w:val="24"/>
        </w:rPr>
        <w:t>REFERENCES</w:t>
      </w:r>
    </w:p>
    <w:p w14:paraId="4DF7B9C4" w14:textId="7A2262E1"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Bender C, et al. A phase 2 randomized trial with autologous polyclonal expanded regulatory T cells in children with new-onset type 1 diabetes. Sci Transl Med. 2024;16:eadn2404. </w:t>
      </w:r>
    </w:p>
    <w:p w14:paraId="339E80A0" w14:textId="3D3B87CF"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Yang SJ, et al. Pancreatic islet-specific engineered Tregs exhibit robust antigen-specific and bystander immune suppression in type 1 diabetes models. Sci Transl Med. 2022;14:eabn1716. </w:t>
      </w:r>
    </w:p>
    <w:p w14:paraId="62B94D98" w14:textId="02FB9A72"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The Jackson Laboratory. NOD/ShiLtJ (001976) datasheet.  </w:t>
      </w:r>
      <w:r w:rsidRPr="008A0491">
        <w:rPr>
          <w:rFonts w:asciiTheme="majorHAnsi" w:eastAsia="Times New Roman" w:hAnsiTheme="majorHAnsi" w:cstheme="majorHAnsi"/>
          <w:szCs w:val="24"/>
          <w:u w:val="single"/>
          <w:lang w:val="en-IN" w:eastAsia="en-IN"/>
        </w:rPr>
        <w:t>https://www.jax.org/strain/001976</w:t>
      </w:r>
      <w:r w:rsidRPr="008A0491">
        <w:rPr>
          <w:rFonts w:asciiTheme="majorHAnsi" w:eastAsia="Times New Roman" w:hAnsiTheme="majorHAnsi" w:cstheme="majorHAnsi"/>
          <w:szCs w:val="24"/>
          <w:lang w:val="en-IN" w:eastAsia="en-IN"/>
        </w:rPr>
        <w:t xml:space="preserve"> </w:t>
      </w:r>
      <w:r w:rsidR="001D5217" w:rsidRPr="008A0491">
        <w:rPr>
          <w:rFonts w:asciiTheme="majorHAnsi" w:eastAsia="Times New Roman" w:hAnsiTheme="majorHAnsi" w:cstheme="majorHAnsi"/>
          <w:szCs w:val="24"/>
          <w:lang w:val="en-IN" w:eastAsia="en-IN"/>
        </w:rPr>
        <w:t>(2026).</w:t>
      </w:r>
    </w:p>
    <w:p w14:paraId="79E2A764" w14:textId="6BDB52ED"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Raeber ME, et al. Interleukin-2 immunotherapy reveals human regulatory T cell subsets with distinct functional and tissue-homing characteristics. Immunity. 2024;57(9):2232-50.e10. </w:t>
      </w:r>
    </w:p>
    <w:p w14:paraId="073CAC1B" w14:textId="36B183B9"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Efe O, et al. A humanized IL-2 mutein expands Tregs and prolongs transplant survival in preclinical models. J Clin Invest. 2024;134(5)</w:t>
      </w:r>
      <w:r w:rsidR="00F424B7" w:rsidRPr="008A0491">
        <w:rPr>
          <w:rFonts w:asciiTheme="majorHAnsi" w:eastAsia="Times New Roman" w:hAnsiTheme="majorHAnsi" w:cstheme="majorHAnsi"/>
          <w:szCs w:val="24"/>
          <w:lang w:val="en-IN" w:eastAsia="en-IN"/>
        </w:rPr>
        <w:t>:e173107</w:t>
      </w:r>
      <w:r w:rsidRPr="008A0491">
        <w:rPr>
          <w:rFonts w:asciiTheme="majorHAnsi" w:eastAsia="Times New Roman" w:hAnsiTheme="majorHAnsi" w:cstheme="majorHAnsi"/>
          <w:szCs w:val="24"/>
          <w:lang w:val="en-IN" w:eastAsia="en-IN"/>
        </w:rPr>
        <w:t>.</w:t>
      </w:r>
    </w:p>
    <w:p w14:paraId="3DA33631" w14:textId="423B011B"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Haque M, et al. Stem cell-derived tissue-associated regulatory T cells suppress the activity of pathogenic cells in autoimmune diabetes. JCI Insight. 2019;4(7)</w:t>
      </w:r>
      <w:r w:rsidR="001930FD" w:rsidRPr="008A0491">
        <w:rPr>
          <w:rFonts w:asciiTheme="majorHAnsi" w:eastAsia="Times New Roman" w:hAnsiTheme="majorHAnsi" w:cstheme="majorHAnsi"/>
          <w:szCs w:val="24"/>
          <w:lang w:val="en-IN" w:eastAsia="en-IN"/>
        </w:rPr>
        <w:t>:</w:t>
      </w:r>
      <w:r w:rsidR="001930FD" w:rsidRPr="008A0491">
        <w:rPr>
          <w:rFonts w:asciiTheme="majorHAnsi" w:eastAsia="Times New Roman" w:hAnsiTheme="majorHAnsi" w:cstheme="majorHAnsi"/>
          <w:szCs w:val="24"/>
          <w:lang w:eastAsia="en-IN"/>
        </w:rPr>
        <w:t>e126471</w:t>
      </w:r>
      <w:r w:rsidRPr="008A0491">
        <w:rPr>
          <w:rFonts w:asciiTheme="majorHAnsi" w:eastAsia="Times New Roman" w:hAnsiTheme="majorHAnsi" w:cstheme="majorHAnsi"/>
          <w:szCs w:val="24"/>
          <w:lang w:val="en-IN" w:eastAsia="en-IN"/>
        </w:rPr>
        <w:t>.</w:t>
      </w:r>
    </w:p>
    <w:p w14:paraId="3962B9FC" w14:textId="6F6E1096"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Su W, et al. Protein prenylation drives discrete </w:t>
      </w:r>
      <w:proofErr w:type="spellStart"/>
      <w:r w:rsidRPr="008A0491">
        <w:rPr>
          <w:rFonts w:asciiTheme="majorHAnsi" w:eastAsia="Times New Roman" w:hAnsiTheme="majorHAnsi" w:cstheme="majorHAnsi"/>
          <w:szCs w:val="24"/>
          <w:lang w:val="en-IN" w:eastAsia="en-IN"/>
        </w:rPr>
        <w:t>signaling</w:t>
      </w:r>
      <w:proofErr w:type="spellEnd"/>
      <w:r w:rsidRPr="008A0491">
        <w:rPr>
          <w:rFonts w:asciiTheme="majorHAnsi" w:eastAsia="Times New Roman" w:hAnsiTheme="majorHAnsi" w:cstheme="majorHAnsi"/>
          <w:szCs w:val="24"/>
          <w:lang w:val="en-IN" w:eastAsia="en-IN"/>
        </w:rPr>
        <w:t xml:space="preserve"> programs for the differentiation and maintenance of effector Treg cells. Cell Metab. 2020;32(6):996-1011.e17. </w:t>
      </w:r>
    </w:p>
    <w:p w14:paraId="1B85DDA1" w14:textId="7E9CA751"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Hassan M, </w:t>
      </w:r>
      <w:proofErr w:type="spellStart"/>
      <w:r w:rsidRPr="008A0491">
        <w:rPr>
          <w:rFonts w:asciiTheme="majorHAnsi" w:eastAsia="Times New Roman" w:hAnsiTheme="majorHAnsi" w:cstheme="majorHAnsi"/>
          <w:szCs w:val="24"/>
          <w:lang w:val="en-IN" w:eastAsia="en-IN"/>
        </w:rPr>
        <w:t>Elzallat</w:t>
      </w:r>
      <w:proofErr w:type="spellEnd"/>
      <w:r w:rsidRPr="008A0491">
        <w:rPr>
          <w:rFonts w:asciiTheme="majorHAnsi" w:eastAsia="Times New Roman" w:hAnsiTheme="majorHAnsi" w:cstheme="majorHAnsi"/>
          <w:szCs w:val="24"/>
          <w:lang w:val="en-IN" w:eastAsia="en-IN"/>
        </w:rPr>
        <w:t xml:space="preserve"> M, Mohammed DM, Balata M, El-</w:t>
      </w:r>
      <w:proofErr w:type="spellStart"/>
      <w:r w:rsidRPr="008A0491">
        <w:rPr>
          <w:rFonts w:asciiTheme="majorHAnsi" w:eastAsia="Times New Roman" w:hAnsiTheme="majorHAnsi" w:cstheme="majorHAnsi"/>
          <w:szCs w:val="24"/>
          <w:lang w:val="en-IN" w:eastAsia="en-IN"/>
        </w:rPr>
        <w:t>Maadawy</w:t>
      </w:r>
      <w:proofErr w:type="spellEnd"/>
      <w:r w:rsidRPr="008A0491">
        <w:rPr>
          <w:rFonts w:asciiTheme="majorHAnsi" w:eastAsia="Times New Roman" w:hAnsiTheme="majorHAnsi" w:cstheme="majorHAnsi"/>
          <w:szCs w:val="24"/>
          <w:lang w:val="en-IN" w:eastAsia="en-IN"/>
        </w:rPr>
        <w:t xml:space="preserve"> WH. Exploiting regulatory T cells (Tregs): cutting-edge therapy for autoimmune diseases. Int </w:t>
      </w:r>
      <w:proofErr w:type="spellStart"/>
      <w:r w:rsidRPr="008A0491">
        <w:rPr>
          <w:rFonts w:asciiTheme="majorHAnsi" w:eastAsia="Times New Roman" w:hAnsiTheme="majorHAnsi" w:cstheme="majorHAnsi"/>
          <w:szCs w:val="24"/>
          <w:lang w:val="en-IN" w:eastAsia="en-IN"/>
        </w:rPr>
        <w:t>Immunopharmacol</w:t>
      </w:r>
      <w:proofErr w:type="spellEnd"/>
      <w:r w:rsidRPr="008A0491">
        <w:rPr>
          <w:rFonts w:asciiTheme="majorHAnsi" w:eastAsia="Times New Roman" w:hAnsiTheme="majorHAnsi" w:cstheme="majorHAnsi"/>
          <w:szCs w:val="24"/>
          <w:lang w:val="en-IN" w:eastAsia="en-IN"/>
        </w:rPr>
        <w:t xml:space="preserve">. 2025;155:114624. </w:t>
      </w:r>
    </w:p>
    <w:p w14:paraId="79941E3C" w14:textId="67ADBA35"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lastRenderedPageBreak/>
        <w:t xml:space="preserve">Chen X, et al. Differential roles of human CD4+ and CD8+ regulatory T cells in controlling self-reactive immune responses. Nat Immunol. 2025;26(2):230-9. </w:t>
      </w:r>
    </w:p>
    <w:p w14:paraId="4258DF34" w14:textId="0670F746"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Huang Q, Zhu J. Regulatory T cell-based therapy in type 1 diabetes: latest breakthroughs and evidence. Int </w:t>
      </w:r>
      <w:proofErr w:type="spellStart"/>
      <w:r w:rsidRPr="008A0491">
        <w:rPr>
          <w:rFonts w:asciiTheme="majorHAnsi" w:eastAsia="Times New Roman" w:hAnsiTheme="majorHAnsi" w:cstheme="majorHAnsi"/>
          <w:szCs w:val="24"/>
          <w:lang w:val="en-IN" w:eastAsia="en-IN"/>
        </w:rPr>
        <w:t>Immunopharmacol</w:t>
      </w:r>
      <w:proofErr w:type="spellEnd"/>
      <w:r w:rsidRPr="008A0491">
        <w:rPr>
          <w:rFonts w:asciiTheme="majorHAnsi" w:eastAsia="Times New Roman" w:hAnsiTheme="majorHAnsi" w:cstheme="majorHAnsi"/>
          <w:szCs w:val="24"/>
          <w:lang w:val="en-IN" w:eastAsia="en-IN"/>
        </w:rPr>
        <w:t xml:space="preserve">. 2024;140:112724. </w:t>
      </w:r>
    </w:p>
    <w:p w14:paraId="6677AE06" w14:textId="704330DA"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Passerini L, Forlani A, Gregori S. Advances in regulatory cell therapy for type 1 diabetes: emerging strategies and future directions. </w:t>
      </w:r>
      <w:proofErr w:type="spellStart"/>
      <w:r w:rsidRPr="008A0491">
        <w:rPr>
          <w:rFonts w:asciiTheme="majorHAnsi" w:eastAsia="Times New Roman" w:hAnsiTheme="majorHAnsi" w:cstheme="majorHAnsi"/>
          <w:szCs w:val="24"/>
          <w:lang w:val="en-IN" w:eastAsia="en-IN"/>
        </w:rPr>
        <w:t>Eur</w:t>
      </w:r>
      <w:proofErr w:type="spellEnd"/>
      <w:r w:rsidRPr="008A0491">
        <w:rPr>
          <w:rFonts w:asciiTheme="majorHAnsi" w:eastAsia="Times New Roman" w:hAnsiTheme="majorHAnsi" w:cstheme="majorHAnsi"/>
          <w:szCs w:val="24"/>
          <w:lang w:val="en-IN" w:eastAsia="en-IN"/>
        </w:rPr>
        <w:t xml:space="preserve"> J Immunol. 2025;55(5):e202451722. </w:t>
      </w:r>
    </w:p>
    <w:p w14:paraId="185BF7BF" w14:textId="1F094E2D"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Singh NP, et al. Dietary indoles suppress delayed-type hypersensitivity by inducing a switch from proinflammatory Th17 cells to anti-inflammatory regulatory T cells through regulation of microRNA. J Immunol. 2016;196(3):1108-22. </w:t>
      </w:r>
    </w:p>
    <w:p w14:paraId="1B3C0C84" w14:textId="06708B33"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Krishnan S, et al. Gut microbiota-derived tryptophan metabolites modulate inflammatory response in hepatocytes and macrophages. Cell Rep. 2018;23(4):1099-1111. </w:t>
      </w:r>
    </w:p>
    <w:p w14:paraId="69B8EB48" w14:textId="36A7D17D"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Das JK, et al. A metabolically engineered bacterium controls autoimmunity and inflammation by </w:t>
      </w:r>
      <w:proofErr w:type="spellStart"/>
      <w:r w:rsidRPr="008A0491">
        <w:rPr>
          <w:rFonts w:asciiTheme="majorHAnsi" w:eastAsia="Times New Roman" w:hAnsiTheme="majorHAnsi" w:cstheme="majorHAnsi"/>
          <w:szCs w:val="24"/>
          <w:lang w:val="en-IN" w:eastAsia="en-IN"/>
        </w:rPr>
        <w:t>remodeling</w:t>
      </w:r>
      <w:proofErr w:type="spellEnd"/>
      <w:r w:rsidRPr="008A0491">
        <w:rPr>
          <w:rFonts w:asciiTheme="majorHAnsi" w:eastAsia="Times New Roman" w:hAnsiTheme="majorHAnsi" w:cstheme="majorHAnsi"/>
          <w:szCs w:val="24"/>
          <w:lang w:val="en-IN" w:eastAsia="en-IN"/>
        </w:rPr>
        <w:t xml:space="preserve"> the pro-inflammatory microenvironment. Gut Microbes. 2022;14(1):2143222. </w:t>
      </w:r>
    </w:p>
    <w:p w14:paraId="7627265C" w14:textId="49CFD3F5"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Plocica J, et al. Engineering live attenuated vaccines: old dogs learning new tricks. J Transl Autoimmun. 2023;6:100198. </w:t>
      </w:r>
    </w:p>
    <w:p w14:paraId="56F78544" w14:textId="5C262DEE"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Bender E. Could a bacteria-stuffed pill cure autoimmune diseases? Nature. 2020;577:S12-3. </w:t>
      </w:r>
    </w:p>
    <w:p w14:paraId="70C066A1" w14:textId="0707580B"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Chen G, Wang C, Wan Q, Dong F, </w:t>
      </w:r>
      <w:proofErr w:type="spellStart"/>
      <w:r w:rsidRPr="008A0491">
        <w:rPr>
          <w:rFonts w:asciiTheme="majorHAnsi" w:eastAsia="Times New Roman" w:hAnsiTheme="majorHAnsi" w:cstheme="majorHAnsi"/>
          <w:szCs w:val="24"/>
          <w:lang w:val="en-IN" w:eastAsia="en-IN"/>
        </w:rPr>
        <w:t>Radstake</w:t>
      </w:r>
      <w:proofErr w:type="spellEnd"/>
      <w:r w:rsidRPr="008A0491">
        <w:rPr>
          <w:rFonts w:asciiTheme="majorHAnsi" w:eastAsia="Times New Roman" w:hAnsiTheme="majorHAnsi" w:cstheme="majorHAnsi"/>
          <w:szCs w:val="24"/>
          <w:lang w:val="en-IN" w:eastAsia="en-IN"/>
        </w:rPr>
        <w:t xml:space="preserve"> T. Editorial: next generation therapeutic modality to cure autoimmune diseases. Front Immunol. 2025;16:1631995. </w:t>
      </w:r>
    </w:p>
    <w:p w14:paraId="202E2208" w14:textId="0B49E1BB"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Adedokun AI, et al. Exploring immunotherapeutic strategies for bacterial and viral diseases. </w:t>
      </w:r>
      <w:proofErr w:type="spellStart"/>
      <w:r w:rsidRPr="008A0491">
        <w:rPr>
          <w:rFonts w:asciiTheme="majorHAnsi" w:eastAsia="Times New Roman" w:hAnsiTheme="majorHAnsi" w:cstheme="majorHAnsi"/>
          <w:szCs w:val="24"/>
          <w:lang w:val="en-IN" w:eastAsia="en-IN"/>
        </w:rPr>
        <w:t>Explor</w:t>
      </w:r>
      <w:proofErr w:type="spellEnd"/>
      <w:r w:rsidRPr="008A0491">
        <w:rPr>
          <w:rFonts w:asciiTheme="majorHAnsi" w:eastAsia="Times New Roman" w:hAnsiTheme="majorHAnsi" w:cstheme="majorHAnsi"/>
          <w:szCs w:val="24"/>
          <w:lang w:val="en-IN" w:eastAsia="en-IN"/>
        </w:rPr>
        <w:t xml:space="preserve"> Immunol. 2025;5</w:t>
      </w:r>
      <w:r w:rsidR="009210AC" w:rsidRPr="008A0491">
        <w:rPr>
          <w:rFonts w:asciiTheme="majorHAnsi" w:eastAsia="Times New Roman" w:hAnsiTheme="majorHAnsi" w:cstheme="majorHAnsi"/>
          <w:szCs w:val="24"/>
          <w:lang w:val="en-IN" w:eastAsia="en-IN"/>
        </w:rPr>
        <w:t>:</w:t>
      </w:r>
      <w:r w:rsidR="009210AC" w:rsidRPr="008A0491">
        <w:rPr>
          <w:rFonts w:asciiTheme="majorHAnsi" w:eastAsia="Times New Roman" w:hAnsiTheme="majorHAnsi" w:cstheme="majorHAnsi"/>
          <w:szCs w:val="24"/>
          <w:lang w:eastAsia="en-IN"/>
        </w:rPr>
        <w:t>100320</w:t>
      </w:r>
      <w:r w:rsidRPr="008A0491">
        <w:rPr>
          <w:rFonts w:asciiTheme="majorHAnsi" w:eastAsia="Times New Roman" w:hAnsiTheme="majorHAnsi" w:cstheme="majorHAnsi"/>
          <w:szCs w:val="24"/>
          <w:lang w:val="en-IN" w:eastAsia="en-IN"/>
        </w:rPr>
        <w:t xml:space="preserve">. </w:t>
      </w:r>
    </w:p>
    <w:p w14:paraId="24DC43FB" w14:textId="21116020" w:rsidR="00D26333" w:rsidRPr="008A0491" w:rsidRDefault="00D26333" w:rsidP="008A0491">
      <w:pPr>
        <w:pStyle w:val="ListParagraph"/>
        <w:numPr>
          <w:ilvl w:val="0"/>
          <w:numId w:val="55"/>
        </w:numPr>
        <w:spacing w:after="0"/>
        <w:ind w:left="0" w:firstLine="0"/>
        <w:jc w:val="both"/>
        <w:rPr>
          <w:rFonts w:asciiTheme="majorHAnsi" w:eastAsia="Times New Roman" w:hAnsiTheme="majorHAnsi" w:cstheme="majorHAnsi"/>
          <w:szCs w:val="24"/>
          <w:lang w:val="en-IN" w:eastAsia="en-IN"/>
        </w:rPr>
      </w:pPr>
      <w:r w:rsidRPr="008A0491">
        <w:rPr>
          <w:rFonts w:asciiTheme="majorHAnsi" w:eastAsia="Times New Roman" w:hAnsiTheme="majorHAnsi" w:cstheme="majorHAnsi"/>
          <w:szCs w:val="24"/>
          <w:lang w:val="en-IN" w:eastAsia="en-IN"/>
        </w:rPr>
        <w:t xml:space="preserve">Bankhead P, et al. QuPath: open source software for digital pathology image analysis. Sci Rep. 2017;7(1):16878. </w:t>
      </w:r>
    </w:p>
    <w:p w14:paraId="3345E3BF" w14:textId="14524147" w:rsidR="003F775D" w:rsidRPr="008A0491" w:rsidRDefault="00D26333" w:rsidP="008A0491">
      <w:pPr>
        <w:pStyle w:val="ListParagraph"/>
        <w:numPr>
          <w:ilvl w:val="0"/>
          <w:numId w:val="55"/>
        </w:numPr>
        <w:spacing w:after="0"/>
        <w:ind w:left="0" w:firstLine="0"/>
        <w:jc w:val="both"/>
        <w:rPr>
          <w:rFonts w:asciiTheme="majorHAnsi" w:hAnsiTheme="majorHAnsi" w:cstheme="majorHAnsi"/>
          <w:szCs w:val="24"/>
        </w:rPr>
      </w:pPr>
      <w:r w:rsidRPr="008A0491">
        <w:rPr>
          <w:rFonts w:asciiTheme="majorHAnsi" w:eastAsia="Times New Roman" w:hAnsiTheme="majorHAnsi" w:cstheme="majorHAnsi"/>
          <w:szCs w:val="24"/>
          <w:lang w:val="en-IN" w:eastAsia="en-IN"/>
        </w:rPr>
        <w:t xml:space="preserve">Satija R, Farrell JA, </w:t>
      </w:r>
      <w:proofErr w:type="spellStart"/>
      <w:r w:rsidRPr="008A0491">
        <w:rPr>
          <w:rFonts w:asciiTheme="majorHAnsi" w:eastAsia="Times New Roman" w:hAnsiTheme="majorHAnsi" w:cstheme="majorHAnsi"/>
          <w:szCs w:val="24"/>
          <w:lang w:val="en-IN" w:eastAsia="en-IN"/>
        </w:rPr>
        <w:t>Gennert</w:t>
      </w:r>
      <w:proofErr w:type="spellEnd"/>
      <w:r w:rsidRPr="008A0491">
        <w:rPr>
          <w:rFonts w:asciiTheme="majorHAnsi" w:eastAsia="Times New Roman" w:hAnsiTheme="majorHAnsi" w:cstheme="majorHAnsi"/>
          <w:szCs w:val="24"/>
          <w:lang w:val="en-IN" w:eastAsia="en-IN"/>
        </w:rPr>
        <w:t xml:space="preserve"> D, Schier AF, Regev A. Spatial reconstruction of single-cell gene expression data. Nat </w:t>
      </w:r>
      <w:proofErr w:type="spellStart"/>
      <w:r w:rsidRPr="008A0491">
        <w:rPr>
          <w:rFonts w:asciiTheme="majorHAnsi" w:eastAsia="Times New Roman" w:hAnsiTheme="majorHAnsi" w:cstheme="majorHAnsi"/>
          <w:szCs w:val="24"/>
          <w:lang w:val="en-IN" w:eastAsia="en-IN"/>
        </w:rPr>
        <w:t>Biotechnol</w:t>
      </w:r>
      <w:proofErr w:type="spellEnd"/>
      <w:r w:rsidRPr="008A0491">
        <w:rPr>
          <w:rFonts w:asciiTheme="majorHAnsi" w:eastAsia="Times New Roman" w:hAnsiTheme="majorHAnsi" w:cstheme="majorHAnsi"/>
          <w:szCs w:val="24"/>
          <w:lang w:val="en-IN" w:eastAsia="en-IN"/>
        </w:rPr>
        <w:t>. 2015;33(5):495-502.</w:t>
      </w:r>
    </w:p>
    <w:sectPr w:rsidR="003F775D" w:rsidRPr="008A0491" w:rsidSect="006A0F73">
      <w:pgSz w:w="12240" w:h="15840"/>
      <w:pgMar w:top="1440" w:right="1800" w:bottom="1440" w:left="180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B5DF7" w14:textId="77777777" w:rsidR="00F94793" w:rsidRDefault="00F94793" w:rsidP="00E446BC">
      <w:pPr>
        <w:spacing w:after="0"/>
      </w:pPr>
      <w:r>
        <w:separator/>
      </w:r>
    </w:p>
  </w:endnote>
  <w:endnote w:type="continuationSeparator" w:id="0">
    <w:p w14:paraId="472FA476" w14:textId="77777777" w:rsidR="00F94793" w:rsidRDefault="00F94793" w:rsidP="00E446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72C1" w14:textId="77777777" w:rsidR="00F94793" w:rsidRDefault="00F94793" w:rsidP="00E446BC">
      <w:pPr>
        <w:spacing w:after="0"/>
      </w:pPr>
      <w:r>
        <w:separator/>
      </w:r>
    </w:p>
  </w:footnote>
  <w:footnote w:type="continuationSeparator" w:id="0">
    <w:p w14:paraId="79DFA810" w14:textId="77777777" w:rsidR="00F94793" w:rsidRDefault="00F94793" w:rsidP="00E446B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992D8B"/>
    <w:multiLevelType w:val="multilevel"/>
    <w:tmpl w:val="D9148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59282C"/>
    <w:multiLevelType w:val="multilevel"/>
    <w:tmpl w:val="D3364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DF6845"/>
    <w:multiLevelType w:val="hybridMultilevel"/>
    <w:tmpl w:val="C0F40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DE1D1F"/>
    <w:multiLevelType w:val="hybridMultilevel"/>
    <w:tmpl w:val="AD18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740653"/>
    <w:multiLevelType w:val="hybridMultilevel"/>
    <w:tmpl w:val="A3D24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557635"/>
    <w:multiLevelType w:val="multilevel"/>
    <w:tmpl w:val="22C68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0C73FD"/>
    <w:multiLevelType w:val="hybridMultilevel"/>
    <w:tmpl w:val="3126EFBE"/>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1F3C07D6"/>
    <w:multiLevelType w:val="multilevel"/>
    <w:tmpl w:val="92FAE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0468AD"/>
    <w:multiLevelType w:val="multilevel"/>
    <w:tmpl w:val="E4EA7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AC1C4D"/>
    <w:multiLevelType w:val="multilevel"/>
    <w:tmpl w:val="C6F2E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521BDC"/>
    <w:multiLevelType w:val="multilevel"/>
    <w:tmpl w:val="F4840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593981"/>
    <w:multiLevelType w:val="multilevel"/>
    <w:tmpl w:val="92D22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1B6DA1"/>
    <w:multiLevelType w:val="hybridMultilevel"/>
    <w:tmpl w:val="0D72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7F39F8"/>
    <w:multiLevelType w:val="multilevel"/>
    <w:tmpl w:val="3974A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012FF9"/>
    <w:multiLevelType w:val="multilevel"/>
    <w:tmpl w:val="53729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022884"/>
    <w:multiLevelType w:val="multilevel"/>
    <w:tmpl w:val="2010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9C2555"/>
    <w:multiLevelType w:val="multilevel"/>
    <w:tmpl w:val="DC84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8B7D13"/>
    <w:multiLevelType w:val="multilevel"/>
    <w:tmpl w:val="1B5CE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56551F"/>
    <w:multiLevelType w:val="multilevel"/>
    <w:tmpl w:val="9A9CC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FD3767"/>
    <w:multiLevelType w:val="multilevel"/>
    <w:tmpl w:val="6ECE3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747E20"/>
    <w:multiLevelType w:val="multilevel"/>
    <w:tmpl w:val="B1D83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687E71"/>
    <w:multiLevelType w:val="multilevel"/>
    <w:tmpl w:val="ED081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827813"/>
    <w:multiLevelType w:val="multilevel"/>
    <w:tmpl w:val="751AD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5F18AA"/>
    <w:multiLevelType w:val="multilevel"/>
    <w:tmpl w:val="7AA821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93B18D2"/>
    <w:multiLevelType w:val="multilevel"/>
    <w:tmpl w:val="D9C26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D9538C"/>
    <w:multiLevelType w:val="multilevel"/>
    <w:tmpl w:val="DEA4CE04"/>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9EE7598"/>
    <w:multiLevelType w:val="multilevel"/>
    <w:tmpl w:val="26A88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B4602F8"/>
    <w:multiLevelType w:val="multilevel"/>
    <w:tmpl w:val="45E6F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C9E0473"/>
    <w:multiLevelType w:val="multilevel"/>
    <w:tmpl w:val="D9CC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F4443D"/>
    <w:multiLevelType w:val="multilevel"/>
    <w:tmpl w:val="16089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BD5E3E"/>
    <w:multiLevelType w:val="multilevel"/>
    <w:tmpl w:val="92A2D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28214A1"/>
    <w:multiLevelType w:val="multilevel"/>
    <w:tmpl w:val="55E25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546564"/>
    <w:multiLevelType w:val="hybridMultilevel"/>
    <w:tmpl w:val="02C0F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265934"/>
    <w:multiLevelType w:val="multilevel"/>
    <w:tmpl w:val="BC269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8E6FBA"/>
    <w:multiLevelType w:val="multilevel"/>
    <w:tmpl w:val="2640E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F812591"/>
    <w:multiLevelType w:val="multilevel"/>
    <w:tmpl w:val="D37CCEB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096179E"/>
    <w:multiLevelType w:val="multilevel"/>
    <w:tmpl w:val="63122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2356503"/>
    <w:multiLevelType w:val="multilevel"/>
    <w:tmpl w:val="0784C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3EC1D1F"/>
    <w:multiLevelType w:val="multilevel"/>
    <w:tmpl w:val="D340B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4DB753F"/>
    <w:multiLevelType w:val="multilevel"/>
    <w:tmpl w:val="84F29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D0E7245"/>
    <w:multiLevelType w:val="hybridMultilevel"/>
    <w:tmpl w:val="11F0A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9F1DB9"/>
    <w:multiLevelType w:val="hybridMultilevel"/>
    <w:tmpl w:val="EB829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2C1CCD"/>
    <w:multiLevelType w:val="multilevel"/>
    <w:tmpl w:val="3642E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10933F0"/>
    <w:multiLevelType w:val="multilevel"/>
    <w:tmpl w:val="82EAF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2DC27CA"/>
    <w:multiLevelType w:val="hybridMultilevel"/>
    <w:tmpl w:val="34204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14D7F"/>
    <w:multiLevelType w:val="multilevel"/>
    <w:tmpl w:val="A2E6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8B51354"/>
    <w:multiLevelType w:val="hybridMultilevel"/>
    <w:tmpl w:val="450687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7AB00858"/>
    <w:multiLevelType w:val="multilevel"/>
    <w:tmpl w:val="AD3A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C9B201E"/>
    <w:multiLevelType w:val="multilevel"/>
    <w:tmpl w:val="B3BE2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EA55549"/>
    <w:multiLevelType w:val="multilevel"/>
    <w:tmpl w:val="25582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0301476">
    <w:abstractNumId w:val="8"/>
  </w:num>
  <w:num w:numId="2" w16cid:durableId="218979085">
    <w:abstractNumId w:val="6"/>
  </w:num>
  <w:num w:numId="3" w16cid:durableId="20981690">
    <w:abstractNumId w:val="5"/>
  </w:num>
  <w:num w:numId="4" w16cid:durableId="1883864928">
    <w:abstractNumId w:val="4"/>
  </w:num>
  <w:num w:numId="5" w16cid:durableId="647900500">
    <w:abstractNumId w:val="7"/>
  </w:num>
  <w:num w:numId="6" w16cid:durableId="1341784346">
    <w:abstractNumId w:val="3"/>
  </w:num>
  <w:num w:numId="7" w16cid:durableId="628097327">
    <w:abstractNumId w:val="2"/>
  </w:num>
  <w:num w:numId="8" w16cid:durableId="1979915237">
    <w:abstractNumId w:val="1"/>
  </w:num>
  <w:num w:numId="9" w16cid:durableId="1738743922">
    <w:abstractNumId w:val="0"/>
  </w:num>
  <w:num w:numId="10" w16cid:durableId="2104497896">
    <w:abstractNumId w:val="11"/>
  </w:num>
  <w:num w:numId="11" w16cid:durableId="1450199388">
    <w:abstractNumId w:val="12"/>
  </w:num>
  <w:num w:numId="12" w16cid:durableId="489709930">
    <w:abstractNumId w:val="41"/>
  </w:num>
  <w:num w:numId="13" w16cid:durableId="1493449764">
    <w:abstractNumId w:val="50"/>
  </w:num>
  <w:num w:numId="14" w16cid:durableId="1428842003">
    <w:abstractNumId w:val="21"/>
  </w:num>
  <w:num w:numId="15" w16cid:durableId="2026200676">
    <w:abstractNumId w:val="49"/>
  </w:num>
  <w:num w:numId="16" w16cid:durableId="1227380891">
    <w:abstractNumId w:val="53"/>
  </w:num>
  <w:num w:numId="17" w16cid:durableId="455833778">
    <w:abstractNumId w:val="13"/>
  </w:num>
  <w:num w:numId="18" w16cid:durableId="1486387433">
    <w:abstractNumId w:val="24"/>
  </w:num>
  <w:num w:numId="19" w16cid:durableId="1982877663">
    <w:abstractNumId w:val="43"/>
  </w:num>
  <w:num w:numId="20" w16cid:durableId="1845436249">
    <w:abstractNumId w:val="52"/>
  </w:num>
  <w:num w:numId="21" w16cid:durableId="1775438753">
    <w:abstractNumId w:val="40"/>
  </w:num>
  <w:num w:numId="22" w16cid:durableId="2063556674">
    <w:abstractNumId w:val="35"/>
  </w:num>
  <w:num w:numId="23" w16cid:durableId="835150130">
    <w:abstractNumId w:val="14"/>
  </w:num>
  <w:num w:numId="24" w16cid:durableId="844594786">
    <w:abstractNumId w:val="57"/>
  </w:num>
  <w:num w:numId="25" w16cid:durableId="246425170">
    <w:abstractNumId w:val="31"/>
  </w:num>
  <w:num w:numId="26" w16cid:durableId="117993903">
    <w:abstractNumId w:val="27"/>
  </w:num>
  <w:num w:numId="27" w16cid:durableId="1816988887">
    <w:abstractNumId w:val="18"/>
  </w:num>
  <w:num w:numId="28" w16cid:durableId="1768960771">
    <w:abstractNumId w:val="25"/>
  </w:num>
  <w:num w:numId="29" w16cid:durableId="235669042">
    <w:abstractNumId w:val="26"/>
  </w:num>
  <w:num w:numId="30" w16cid:durableId="245382639">
    <w:abstractNumId w:val="46"/>
  </w:num>
  <w:num w:numId="31" w16cid:durableId="402266049">
    <w:abstractNumId w:val="23"/>
  </w:num>
  <w:num w:numId="32" w16cid:durableId="149251875">
    <w:abstractNumId w:val="51"/>
  </w:num>
  <w:num w:numId="33" w16cid:durableId="905604588">
    <w:abstractNumId w:val="56"/>
  </w:num>
  <w:num w:numId="34" w16cid:durableId="702289635">
    <w:abstractNumId w:val="36"/>
  </w:num>
  <w:num w:numId="35" w16cid:durableId="1990742814">
    <w:abstractNumId w:val="33"/>
  </w:num>
  <w:num w:numId="36" w16cid:durableId="198009637">
    <w:abstractNumId w:val="48"/>
  </w:num>
  <w:num w:numId="37" w16cid:durableId="1784226153">
    <w:abstractNumId w:val="38"/>
  </w:num>
  <w:num w:numId="38" w16cid:durableId="546726806">
    <w:abstractNumId w:val="9"/>
  </w:num>
  <w:num w:numId="39" w16cid:durableId="497959968">
    <w:abstractNumId w:val="30"/>
  </w:num>
  <w:num w:numId="40" w16cid:durableId="1070268478">
    <w:abstractNumId w:val="28"/>
  </w:num>
  <w:num w:numId="41" w16cid:durableId="195001426">
    <w:abstractNumId w:val="54"/>
  </w:num>
  <w:num w:numId="42" w16cid:durableId="578632856">
    <w:abstractNumId w:val="17"/>
  </w:num>
  <w:num w:numId="43" w16cid:durableId="1338195636">
    <w:abstractNumId w:val="29"/>
  </w:num>
  <w:num w:numId="44" w16cid:durableId="1910995262">
    <w:abstractNumId w:val="37"/>
  </w:num>
  <w:num w:numId="45" w16cid:durableId="802188095">
    <w:abstractNumId w:val="10"/>
  </w:num>
  <w:num w:numId="46" w16cid:durableId="1698120293">
    <w:abstractNumId w:val="20"/>
  </w:num>
  <w:num w:numId="47" w16cid:durableId="1990398979">
    <w:abstractNumId w:val="39"/>
  </w:num>
  <w:num w:numId="48" w16cid:durableId="2094278402">
    <w:abstractNumId w:val="47"/>
  </w:num>
  <w:num w:numId="49" w16cid:durableId="1607885388">
    <w:abstractNumId w:val="19"/>
  </w:num>
  <w:num w:numId="50" w16cid:durableId="734082896">
    <w:abstractNumId w:val="42"/>
  </w:num>
  <w:num w:numId="51" w16cid:durableId="197164591">
    <w:abstractNumId w:val="22"/>
  </w:num>
  <w:num w:numId="52" w16cid:durableId="216747533">
    <w:abstractNumId w:val="16"/>
  </w:num>
  <w:num w:numId="53" w16cid:durableId="1456026622">
    <w:abstractNumId w:val="58"/>
  </w:num>
  <w:num w:numId="54" w16cid:durableId="2098212826">
    <w:abstractNumId w:val="45"/>
  </w:num>
  <w:num w:numId="55" w16cid:durableId="694502564">
    <w:abstractNumId w:val="55"/>
  </w:num>
  <w:num w:numId="56" w16cid:durableId="1323194701">
    <w:abstractNumId w:val="15"/>
  </w:num>
  <w:num w:numId="57" w16cid:durableId="1246957741">
    <w:abstractNumId w:val="32"/>
  </w:num>
  <w:num w:numId="58" w16cid:durableId="1387021435">
    <w:abstractNumId w:val="44"/>
  </w:num>
  <w:num w:numId="59" w16cid:durableId="593288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FE2"/>
    <w:rsid w:val="0006063C"/>
    <w:rsid w:val="000615C0"/>
    <w:rsid w:val="000E269F"/>
    <w:rsid w:val="00104D5D"/>
    <w:rsid w:val="0015074B"/>
    <w:rsid w:val="00153E99"/>
    <w:rsid w:val="00177316"/>
    <w:rsid w:val="00183EDD"/>
    <w:rsid w:val="001901D4"/>
    <w:rsid w:val="001930FD"/>
    <w:rsid w:val="001B08D2"/>
    <w:rsid w:val="001B150E"/>
    <w:rsid w:val="001D5217"/>
    <w:rsid w:val="001D7F4F"/>
    <w:rsid w:val="001E5AFA"/>
    <w:rsid w:val="001F2B94"/>
    <w:rsid w:val="001F3663"/>
    <w:rsid w:val="001F7654"/>
    <w:rsid w:val="002371D3"/>
    <w:rsid w:val="0024207B"/>
    <w:rsid w:val="0029370A"/>
    <w:rsid w:val="0029639D"/>
    <w:rsid w:val="002F4C45"/>
    <w:rsid w:val="00307D1C"/>
    <w:rsid w:val="00326F90"/>
    <w:rsid w:val="0033084C"/>
    <w:rsid w:val="003335A5"/>
    <w:rsid w:val="003F775D"/>
    <w:rsid w:val="00431D41"/>
    <w:rsid w:val="004321B2"/>
    <w:rsid w:val="00444D7C"/>
    <w:rsid w:val="00453968"/>
    <w:rsid w:val="004A403B"/>
    <w:rsid w:val="004A7F8C"/>
    <w:rsid w:val="004B53B4"/>
    <w:rsid w:val="004F6F4B"/>
    <w:rsid w:val="00523CA4"/>
    <w:rsid w:val="00526980"/>
    <w:rsid w:val="00540942"/>
    <w:rsid w:val="00641645"/>
    <w:rsid w:val="006A0F73"/>
    <w:rsid w:val="006E4226"/>
    <w:rsid w:val="006E48BC"/>
    <w:rsid w:val="006E6758"/>
    <w:rsid w:val="00724029"/>
    <w:rsid w:val="00730330"/>
    <w:rsid w:val="00735F89"/>
    <w:rsid w:val="00746A4F"/>
    <w:rsid w:val="00753A6A"/>
    <w:rsid w:val="0077588F"/>
    <w:rsid w:val="007A73E6"/>
    <w:rsid w:val="007F4970"/>
    <w:rsid w:val="00830291"/>
    <w:rsid w:val="00840225"/>
    <w:rsid w:val="00866043"/>
    <w:rsid w:val="008812D1"/>
    <w:rsid w:val="00884942"/>
    <w:rsid w:val="00890BB9"/>
    <w:rsid w:val="008A0491"/>
    <w:rsid w:val="008B0E4E"/>
    <w:rsid w:val="008C4528"/>
    <w:rsid w:val="008E1380"/>
    <w:rsid w:val="009210AC"/>
    <w:rsid w:val="009337D7"/>
    <w:rsid w:val="00935A12"/>
    <w:rsid w:val="009866CD"/>
    <w:rsid w:val="00994216"/>
    <w:rsid w:val="00994AE5"/>
    <w:rsid w:val="00A04139"/>
    <w:rsid w:val="00A1630E"/>
    <w:rsid w:val="00AA05B3"/>
    <w:rsid w:val="00AA1D8D"/>
    <w:rsid w:val="00AA3F17"/>
    <w:rsid w:val="00AF2D53"/>
    <w:rsid w:val="00AF4CBE"/>
    <w:rsid w:val="00B16AB0"/>
    <w:rsid w:val="00B35B9E"/>
    <w:rsid w:val="00B47730"/>
    <w:rsid w:val="00B621F6"/>
    <w:rsid w:val="00BA1636"/>
    <w:rsid w:val="00BB01C3"/>
    <w:rsid w:val="00BC0BB0"/>
    <w:rsid w:val="00BF76C5"/>
    <w:rsid w:val="00C05256"/>
    <w:rsid w:val="00C22122"/>
    <w:rsid w:val="00C378C4"/>
    <w:rsid w:val="00C62FBB"/>
    <w:rsid w:val="00C6482C"/>
    <w:rsid w:val="00C94BAA"/>
    <w:rsid w:val="00CB0664"/>
    <w:rsid w:val="00CB64A4"/>
    <w:rsid w:val="00D12CE1"/>
    <w:rsid w:val="00D21A9C"/>
    <w:rsid w:val="00D26333"/>
    <w:rsid w:val="00DC48FC"/>
    <w:rsid w:val="00DD2EE7"/>
    <w:rsid w:val="00DD4595"/>
    <w:rsid w:val="00DE2273"/>
    <w:rsid w:val="00E17B43"/>
    <w:rsid w:val="00E446BC"/>
    <w:rsid w:val="00E4581E"/>
    <w:rsid w:val="00E52A4E"/>
    <w:rsid w:val="00E61D8C"/>
    <w:rsid w:val="00E85358"/>
    <w:rsid w:val="00EB5B09"/>
    <w:rsid w:val="00EF1BA8"/>
    <w:rsid w:val="00F06952"/>
    <w:rsid w:val="00F22F87"/>
    <w:rsid w:val="00F322D8"/>
    <w:rsid w:val="00F344A3"/>
    <w:rsid w:val="00F424B7"/>
    <w:rsid w:val="00F56685"/>
    <w:rsid w:val="00F61F8D"/>
    <w:rsid w:val="00F6319A"/>
    <w:rsid w:val="00F94793"/>
    <w:rsid w:val="00FC693F"/>
    <w:rsid w:val="00FD5DCB"/>
    <w:rsid w:val="00FE40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08334"/>
  <w14:defaultImageDpi w14:val="330"/>
  <w15:docId w15:val="{F22B8DB4-CB62-7A48-A8F9-93382A4DE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40" w:line="240" w:lineRule="auto"/>
    </w:pPr>
    <w:rPr>
      <w:rFonts w:ascii="Calibri" w:hAnsi="Calibri"/>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E44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4051</Words>
  <Characters>23097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Delgado, Kaylee</cp:lastModifiedBy>
  <cp:revision>5</cp:revision>
  <dcterms:created xsi:type="dcterms:W3CDTF">2026-04-07T13:00:00Z</dcterms:created>
  <dcterms:modified xsi:type="dcterms:W3CDTF">2026-04-09T18:24:00Z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69951420-00f7-4bf3-95e8-5795e781122b</vt:lpwstr>
  </property>
</Properties>
</file>