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3B97C0" w14:textId="2058F804" w:rsidR="00E4327E" w:rsidRPr="00570688" w:rsidRDefault="00000000" w:rsidP="003A5BF4">
      <w:pPr>
        <w:pBdr>
          <w:top w:val="nil"/>
          <w:left w:val="nil"/>
          <w:bottom w:val="nil"/>
          <w:right w:val="nil"/>
          <w:between w:val="nil"/>
        </w:pBdr>
        <w:rPr>
          <w:b/>
          <w:bCs/>
          <w:color w:val="000000" w:themeColor="text1"/>
        </w:rPr>
      </w:pPr>
      <w:r w:rsidRPr="00570688">
        <w:rPr>
          <w:b/>
          <w:bCs/>
          <w:color w:val="000000" w:themeColor="text1"/>
        </w:rPr>
        <w:t>TITLE:</w:t>
      </w:r>
    </w:p>
    <w:p w14:paraId="59AAC127" w14:textId="585B5B61" w:rsidR="006E4797" w:rsidRPr="00570688" w:rsidRDefault="00000000" w:rsidP="003A5BF4">
      <w:pPr>
        <w:pBdr>
          <w:top w:val="nil"/>
          <w:left w:val="nil"/>
          <w:bottom w:val="nil"/>
          <w:right w:val="nil"/>
          <w:between w:val="nil"/>
        </w:pBdr>
        <w:rPr>
          <w:color w:val="000000" w:themeColor="text1"/>
        </w:rPr>
      </w:pPr>
      <w:r w:rsidRPr="00570688">
        <w:rPr>
          <w:color w:val="000000" w:themeColor="text1"/>
        </w:rPr>
        <w:t xml:space="preserve">A Cost-Effective Workflow for </w:t>
      </w:r>
      <w:r w:rsidR="00D9386F" w:rsidRPr="00570688">
        <w:rPr>
          <w:color w:val="000000" w:themeColor="text1"/>
        </w:rPr>
        <w:t xml:space="preserve">Mono- and </w:t>
      </w:r>
      <w:r w:rsidRPr="00570688">
        <w:rPr>
          <w:color w:val="000000" w:themeColor="text1"/>
        </w:rPr>
        <w:t xml:space="preserve">Multiplex Immunofluorescence in Adherent </w:t>
      </w:r>
      <w:r w:rsidR="002525D8" w:rsidRPr="00570688">
        <w:rPr>
          <w:color w:val="000000" w:themeColor="text1"/>
        </w:rPr>
        <w:t>Two-Dimensional</w:t>
      </w:r>
      <w:r w:rsidRPr="00570688">
        <w:rPr>
          <w:color w:val="000000" w:themeColor="text1"/>
        </w:rPr>
        <w:t xml:space="preserve"> Cell Cultures on Glass Coverslips</w:t>
      </w:r>
    </w:p>
    <w:p w14:paraId="06C0C87E" w14:textId="77777777" w:rsidR="006E4797" w:rsidRPr="00570688" w:rsidRDefault="006E4797" w:rsidP="003A5BF4">
      <w:pPr>
        <w:rPr>
          <w:b/>
          <w:color w:val="000000" w:themeColor="text1"/>
        </w:rPr>
      </w:pPr>
    </w:p>
    <w:p w14:paraId="3F087138" w14:textId="77777777" w:rsidR="00E4327E" w:rsidRPr="00570688" w:rsidRDefault="00000000" w:rsidP="003A5BF4">
      <w:pPr>
        <w:rPr>
          <w:b/>
          <w:color w:val="000000" w:themeColor="text1"/>
        </w:rPr>
      </w:pPr>
      <w:r w:rsidRPr="00570688">
        <w:rPr>
          <w:b/>
          <w:color w:val="000000" w:themeColor="text1"/>
        </w:rPr>
        <w:t>AUTHORS AND AFFILIATIONS:</w:t>
      </w:r>
    </w:p>
    <w:p w14:paraId="2CC9364B" w14:textId="49559BDB" w:rsidR="00EC521F" w:rsidRPr="00570688" w:rsidRDefault="00000000" w:rsidP="003A5BF4">
      <w:pPr>
        <w:rPr>
          <w:color w:val="000000" w:themeColor="text1"/>
        </w:rPr>
      </w:pPr>
      <w:r w:rsidRPr="00570688">
        <w:rPr>
          <w:b/>
          <w:color w:val="000000" w:themeColor="text1"/>
        </w:rPr>
        <w:t xml:space="preserve"> </w:t>
      </w:r>
      <w:r w:rsidRPr="00570688">
        <w:rPr>
          <w:color w:val="000000" w:themeColor="text1"/>
        </w:rPr>
        <w:t>Jean Luz</w:t>
      </w:r>
      <w:r w:rsidRPr="00570688">
        <w:rPr>
          <w:color w:val="000000" w:themeColor="text1"/>
          <w:vertAlign w:val="superscript"/>
        </w:rPr>
        <w:t>1</w:t>
      </w:r>
      <w:r w:rsidRPr="00570688">
        <w:rPr>
          <w:color w:val="000000" w:themeColor="text1"/>
        </w:rPr>
        <w:t>, Bryan Eric Strauss</w:t>
      </w:r>
      <w:r w:rsidR="00E4327E" w:rsidRPr="00570688">
        <w:rPr>
          <w:color w:val="000000" w:themeColor="text1"/>
          <w:vertAlign w:val="superscript"/>
        </w:rPr>
        <w:t>1*</w:t>
      </w:r>
      <w:r w:rsidRPr="00570688">
        <w:rPr>
          <w:color w:val="000000" w:themeColor="text1"/>
        </w:rPr>
        <w:tab/>
      </w:r>
    </w:p>
    <w:p w14:paraId="39D81718" w14:textId="77777777" w:rsidR="006E53F8" w:rsidRPr="00570688" w:rsidRDefault="006E53F8" w:rsidP="003A5BF4">
      <w:pPr>
        <w:pBdr>
          <w:top w:val="nil"/>
          <w:left w:val="nil"/>
          <w:bottom w:val="nil"/>
          <w:right w:val="nil"/>
          <w:between w:val="nil"/>
        </w:pBdr>
        <w:rPr>
          <w:color w:val="000000" w:themeColor="text1"/>
        </w:rPr>
      </w:pPr>
    </w:p>
    <w:p w14:paraId="5AD2BB45" w14:textId="278B5685" w:rsidR="006E53F8" w:rsidRPr="00570688" w:rsidRDefault="006E53F8" w:rsidP="003A5BF4">
      <w:pPr>
        <w:pBdr>
          <w:top w:val="nil"/>
          <w:left w:val="nil"/>
          <w:bottom w:val="nil"/>
          <w:right w:val="nil"/>
          <w:between w:val="nil"/>
        </w:pBdr>
        <w:rPr>
          <w:color w:val="000000" w:themeColor="text1"/>
          <w:lang w:val="pt-BR"/>
        </w:rPr>
      </w:pPr>
      <w:r w:rsidRPr="00570688">
        <w:rPr>
          <w:color w:val="000000" w:themeColor="text1"/>
          <w:lang w:val="pt-BR"/>
        </w:rPr>
        <w:t>¹Laboratório de Vetores Virais (LVV), Centro de Investigação Translacional em Oncologia (CTO)/LIM24, Centro de Estudos e Tecnologias Convergentes para Oncologia de Precisão (C2PO), Instituto do Câncer do Estado de São Paulo (ICESP), Faculdade de Medicina, Universidade de São Paulo (FMUSP), São Paulo, Brazil.</w:t>
      </w:r>
    </w:p>
    <w:p w14:paraId="79A5C631" w14:textId="77777777" w:rsidR="00C33C96" w:rsidRPr="00570688" w:rsidRDefault="00C33C96" w:rsidP="003A5BF4">
      <w:pPr>
        <w:pBdr>
          <w:top w:val="nil"/>
          <w:left w:val="nil"/>
          <w:bottom w:val="nil"/>
          <w:right w:val="nil"/>
          <w:between w:val="nil"/>
        </w:pBdr>
        <w:rPr>
          <w:color w:val="000000" w:themeColor="text1"/>
          <w:lang w:val="pt-BR"/>
        </w:rPr>
      </w:pPr>
    </w:p>
    <w:p w14:paraId="02FBBCA1" w14:textId="45627493" w:rsidR="00C33C96" w:rsidRPr="00832A7E" w:rsidRDefault="00C33C96" w:rsidP="003A5BF4">
      <w:pPr>
        <w:pBdr>
          <w:top w:val="nil"/>
          <w:left w:val="nil"/>
          <w:bottom w:val="nil"/>
          <w:right w:val="nil"/>
          <w:between w:val="nil"/>
        </w:pBdr>
        <w:rPr>
          <w:b/>
          <w:bCs/>
          <w:color w:val="000000" w:themeColor="text1"/>
        </w:rPr>
      </w:pPr>
      <w:r w:rsidRPr="00832A7E">
        <w:rPr>
          <w:b/>
          <w:bCs/>
          <w:color w:val="000000" w:themeColor="text1"/>
        </w:rPr>
        <w:t>Email address of the co</w:t>
      </w:r>
      <w:r w:rsidR="00682BDF" w:rsidRPr="00832A7E">
        <w:rPr>
          <w:b/>
          <w:bCs/>
          <w:color w:val="000000" w:themeColor="text1"/>
        </w:rPr>
        <w:t>-</w:t>
      </w:r>
      <w:r w:rsidRPr="00832A7E">
        <w:rPr>
          <w:b/>
          <w:bCs/>
          <w:color w:val="000000" w:themeColor="text1"/>
        </w:rPr>
        <w:t>author:</w:t>
      </w:r>
    </w:p>
    <w:p w14:paraId="6ADE7BA8" w14:textId="019D87F4" w:rsidR="00821934" w:rsidRPr="00570688" w:rsidRDefault="00C33C96" w:rsidP="003A5BF4">
      <w:pPr>
        <w:rPr>
          <w:color w:val="000000" w:themeColor="text1"/>
        </w:rPr>
      </w:pPr>
      <w:r w:rsidRPr="00570688">
        <w:rPr>
          <w:color w:val="000000" w:themeColor="text1"/>
        </w:rPr>
        <w:t>Jean</w:t>
      </w:r>
      <w:r w:rsidR="00821934" w:rsidRPr="00570688">
        <w:rPr>
          <w:color w:val="000000" w:themeColor="text1"/>
        </w:rPr>
        <w:t xml:space="preserve"> </w:t>
      </w:r>
      <w:r w:rsidRPr="00570688">
        <w:rPr>
          <w:color w:val="000000" w:themeColor="text1"/>
        </w:rPr>
        <w:t>Luz</w:t>
      </w:r>
      <w:r w:rsidR="00821934" w:rsidRPr="00570688">
        <w:rPr>
          <w:color w:val="000000" w:themeColor="text1"/>
        </w:rPr>
        <w:tab/>
      </w:r>
      <w:r w:rsidR="00821934" w:rsidRPr="00570688">
        <w:rPr>
          <w:color w:val="000000" w:themeColor="text1"/>
        </w:rPr>
        <w:tab/>
      </w:r>
      <w:r w:rsidR="00821934" w:rsidRPr="00570688">
        <w:rPr>
          <w:color w:val="000000" w:themeColor="text1"/>
        </w:rPr>
        <w:tab/>
      </w:r>
      <w:r w:rsidR="00821934" w:rsidRPr="00570688">
        <w:rPr>
          <w:color w:val="000000" w:themeColor="text1"/>
        </w:rPr>
        <w:tab/>
        <w:t>(jc.santosluz@usp.br)</w:t>
      </w:r>
    </w:p>
    <w:p w14:paraId="5E89E26B" w14:textId="77777777" w:rsidR="007B7B74" w:rsidRPr="00832A7E" w:rsidRDefault="007B7B74" w:rsidP="003A5BF4">
      <w:pPr>
        <w:pBdr>
          <w:top w:val="nil"/>
          <w:left w:val="nil"/>
          <w:bottom w:val="nil"/>
          <w:right w:val="nil"/>
          <w:between w:val="nil"/>
        </w:pBdr>
        <w:rPr>
          <w:color w:val="000000" w:themeColor="text1"/>
        </w:rPr>
      </w:pPr>
    </w:p>
    <w:p w14:paraId="618FA9EC" w14:textId="1F5D0B6C" w:rsidR="00E4327E" w:rsidRPr="00570688" w:rsidRDefault="00000000" w:rsidP="003A5BF4">
      <w:pPr>
        <w:pBdr>
          <w:top w:val="nil"/>
          <w:left w:val="nil"/>
          <w:bottom w:val="nil"/>
          <w:right w:val="nil"/>
          <w:between w:val="nil"/>
        </w:pBdr>
        <w:rPr>
          <w:color w:val="000000" w:themeColor="text1"/>
        </w:rPr>
      </w:pPr>
      <w:r w:rsidRPr="00570688">
        <w:rPr>
          <w:color w:val="000000" w:themeColor="text1"/>
        </w:rPr>
        <w:t>*</w:t>
      </w:r>
      <w:proofErr w:type="gramStart"/>
      <w:r w:rsidR="007B7B74" w:rsidRPr="00570688">
        <w:rPr>
          <w:b/>
          <w:bCs/>
          <w:color w:val="000000" w:themeColor="text1"/>
        </w:rPr>
        <w:t>CORRESPONDING</w:t>
      </w:r>
      <w:proofErr w:type="gramEnd"/>
      <w:r w:rsidR="007B7B74" w:rsidRPr="00570688">
        <w:rPr>
          <w:b/>
          <w:bCs/>
          <w:color w:val="000000" w:themeColor="text1"/>
        </w:rPr>
        <w:t xml:space="preserve"> AUTHOR:</w:t>
      </w:r>
      <w:r w:rsidR="007B7B74" w:rsidRPr="00570688">
        <w:rPr>
          <w:color w:val="000000" w:themeColor="text1"/>
        </w:rPr>
        <w:t xml:space="preserve"> </w:t>
      </w:r>
    </w:p>
    <w:p w14:paraId="367CDD3D" w14:textId="67D88591" w:rsidR="00E4327E" w:rsidRPr="00570688" w:rsidRDefault="007B7B74" w:rsidP="003A5BF4">
      <w:pPr>
        <w:pBdr>
          <w:top w:val="nil"/>
          <w:left w:val="nil"/>
          <w:bottom w:val="nil"/>
          <w:right w:val="nil"/>
          <w:between w:val="nil"/>
        </w:pBdr>
        <w:rPr>
          <w:color w:val="000000" w:themeColor="text1"/>
        </w:rPr>
      </w:pPr>
      <w:r w:rsidRPr="00570688">
        <w:rPr>
          <w:color w:val="000000" w:themeColor="text1"/>
        </w:rPr>
        <w:t>Bryan Eric Strauss</w:t>
      </w:r>
      <w:r w:rsidRPr="00570688">
        <w:rPr>
          <w:color w:val="000000" w:themeColor="text1"/>
        </w:rPr>
        <w:tab/>
      </w:r>
      <w:r w:rsidRPr="00570688">
        <w:rPr>
          <w:color w:val="000000" w:themeColor="text1"/>
        </w:rPr>
        <w:tab/>
      </w:r>
      <w:r w:rsidRPr="00570688">
        <w:rPr>
          <w:color w:val="000000" w:themeColor="text1"/>
        </w:rPr>
        <w:tab/>
        <w:t>(bstrauss@usp.br)</w:t>
      </w:r>
    </w:p>
    <w:p w14:paraId="141ABDE5" w14:textId="5B9F614B" w:rsidR="006E4797" w:rsidRPr="00570688" w:rsidRDefault="00000000" w:rsidP="003A5BF4">
      <w:pPr>
        <w:pBdr>
          <w:top w:val="nil"/>
          <w:left w:val="nil"/>
          <w:bottom w:val="nil"/>
          <w:right w:val="nil"/>
          <w:between w:val="nil"/>
        </w:pBdr>
        <w:rPr>
          <w:color w:val="000000" w:themeColor="text1"/>
        </w:rPr>
      </w:pPr>
      <w:r w:rsidRPr="00570688">
        <w:rPr>
          <w:color w:val="000000" w:themeColor="text1"/>
        </w:rPr>
        <w:tab/>
      </w:r>
      <w:r w:rsidR="00AB0906" w:rsidRPr="00570688">
        <w:rPr>
          <w:color w:val="000000" w:themeColor="text1"/>
        </w:rPr>
        <w:t xml:space="preserve"> </w:t>
      </w:r>
    </w:p>
    <w:p w14:paraId="2AD47B8A" w14:textId="77777777" w:rsidR="00E4327E" w:rsidRPr="00570688" w:rsidRDefault="00000000" w:rsidP="003A5BF4">
      <w:pPr>
        <w:rPr>
          <w:b/>
          <w:color w:val="000000" w:themeColor="text1"/>
        </w:rPr>
      </w:pPr>
      <w:r w:rsidRPr="00570688">
        <w:rPr>
          <w:b/>
          <w:color w:val="000000" w:themeColor="text1"/>
        </w:rPr>
        <w:t>SUMMARY:</w:t>
      </w:r>
    </w:p>
    <w:p w14:paraId="44297AC4" w14:textId="7BD76CAF" w:rsidR="007F4DB8" w:rsidRPr="00570688" w:rsidRDefault="00000000" w:rsidP="003A5BF4">
      <w:pPr>
        <w:rPr>
          <w:color w:val="000000" w:themeColor="text1"/>
        </w:rPr>
      </w:pPr>
      <w:r w:rsidRPr="00570688">
        <w:rPr>
          <w:color w:val="000000" w:themeColor="text1"/>
        </w:rPr>
        <w:t>This protocol describes a cost-effective workflow for mono- and multiplex immunofluorescence</w:t>
      </w:r>
      <w:r w:rsidR="00F0762B" w:rsidRPr="00570688">
        <w:rPr>
          <w:color w:val="000000" w:themeColor="text1"/>
        </w:rPr>
        <w:t xml:space="preserve"> (IF) </w:t>
      </w:r>
      <w:r w:rsidRPr="00570688">
        <w:rPr>
          <w:color w:val="000000" w:themeColor="text1"/>
        </w:rPr>
        <w:t xml:space="preserve">of adherent </w:t>
      </w:r>
      <w:r w:rsidR="002525D8" w:rsidRPr="00570688">
        <w:rPr>
          <w:color w:val="000000" w:themeColor="text1"/>
        </w:rPr>
        <w:t xml:space="preserve">two-dimensional </w:t>
      </w:r>
      <w:r w:rsidRPr="00570688">
        <w:rPr>
          <w:color w:val="000000" w:themeColor="text1"/>
        </w:rPr>
        <w:t>cell cultures, reducing experimental costs through inexpensive glass coverslips, standard 24-well plates, and low-volume staining conditions that minimize antibody consumption, while providing a representative approach for protein localization with standard fluorescence microscopy.</w:t>
      </w:r>
    </w:p>
    <w:p w14:paraId="690F83F9" w14:textId="50E45768" w:rsidR="00E4327E" w:rsidRPr="00570688" w:rsidRDefault="00000000" w:rsidP="003A5BF4">
      <w:pPr>
        <w:rPr>
          <w:color w:val="000000" w:themeColor="text1"/>
        </w:rPr>
      </w:pPr>
      <w:r w:rsidRPr="00570688">
        <w:rPr>
          <w:b/>
          <w:color w:val="000000" w:themeColor="text1"/>
        </w:rPr>
        <w:br/>
        <w:t>ABSTRACT:</w:t>
      </w:r>
      <w:r w:rsidRPr="00570688">
        <w:rPr>
          <w:color w:val="000000" w:themeColor="text1"/>
        </w:rPr>
        <w:t xml:space="preserve"> </w:t>
      </w:r>
    </w:p>
    <w:p w14:paraId="40A249E6" w14:textId="28048DAC" w:rsidR="006E4797" w:rsidRPr="00570688" w:rsidRDefault="00000000" w:rsidP="003A5BF4">
      <w:pPr>
        <w:rPr>
          <w:color w:val="000000" w:themeColor="text1"/>
        </w:rPr>
      </w:pPr>
      <w:r w:rsidRPr="00570688">
        <w:rPr>
          <w:color w:val="000000" w:themeColor="text1"/>
        </w:rPr>
        <w:t>Immunofluorescence (IF) microscopy is a widely used technique for visualizing protein localization and co-distribution at single-cell resolution while preserving cellular morphology and subcellular organization.</w:t>
      </w:r>
      <w:r w:rsidR="00207CA2" w:rsidRPr="00570688">
        <w:rPr>
          <w:color w:val="000000" w:themeColor="text1"/>
        </w:rPr>
        <w:t xml:space="preserve"> </w:t>
      </w:r>
      <w:r w:rsidR="0028346B" w:rsidRPr="00570688">
        <w:rPr>
          <w:color w:val="000000" w:themeColor="text1"/>
        </w:rPr>
        <w:t xml:space="preserve">The goal of this protocol is to present a practical and cost-effective workflow for </w:t>
      </w:r>
      <w:r w:rsidR="00996715" w:rsidRPr="00570688">
        <w:rPr>
          <w:color w:val="000000" w:themeColor="text1"/>
        </w:rPr>
        <w:t xml:space="preserve">mono- </w:t>
      </w:r>
      <w:r w:rsidR="0028346B" w:rsidRPr="00570688">
        <w:rPr>
          <w:color w:val="000000" w:themeColor="text1"/>
        </w:rPr>
        <w:t>and multiplex immunofluorescence staining of adherent 2D cell cultures using standard laboratory materials. The method relies on culturing cells on inexpensive glass coverslips placed in conventional 24-well plates and implements multiplexing through host-species separation of primary antibodies, spectrally distinct fluorophores, and robust control conditions</w:t>
      </w:r>
      <w:r w:rsidR="00996715" w:rsidRPr="00570688">
        <w:rPr>
          <w:color w:val="000000" w:themeColor="text1"/>
        </w:rPr>
        <w:t xml:space="preserve">, including no-primary, no-antibody, single-stain, and crosstalk controls to ensure </w:t>
      </w:r>
      <w:r w:rsidR="007B7B74" w:rsidRPr="00570688">
        <w:rPr>
          <w:color w:val="000000" w:themeColor="text1"/>
        </w:rPr>
        <w:t>interpretability of multiplex IF</w:t>
      </w:r>
      <w:r w:rsidR="0028346B" w:rsidRPr="00570688">
        <w:rPr>
          <w:color w:val="000000" w:themeColor="text1"/>
        </w:rPr>
        <w:t xml:space="preserve">. Low-volume staining steps are used to reduce reagent and antibody consumption without compromising signal quality. This workflow avoids the need for specialized imaging plates or chambers and is compatible with routine widefield or confocal fluorescence microscopy. </w:t>
      </w:r>
      <w:r w:rsidR="00B56B8F" w:rsidRPr="00570688">
        <w:rPr>
          <w:color w:val="000000" w:themeColor="text1"/>
        </w:rPr>
        <w:t xml:space="preserve">Overall, this protocol provides an accessible and practical immunofluorescence workflow for representative assessment of protein localization and co-distribution in adherent cell cultures. Adaptation to other cell types or antibody panels requires target-specific optimization, including antibody validation, fixation and permeabilization conditions, fluorophore selection, and </w:t>
      </w:r>
      <w:r w:rsidR="00C33C96" w:rsidRPr="00570688">
        <w:rPr>
          <w:color w:val="000000" w:themeColor="text1"/>
        </w:rPr>
        <w:t>compatibility with microscope and filter sets</w:t>
      </w:r>
      <w:r w:rsidR="00B56B8F" w:rsidRPr="00570688">
        <w:rPr>
          <w:color w:val="000000" w:themeColor="text1"/>
        </w:rPr>
        <w:t xml:space="preserve">. </w:t>
      </w:r>
    </w:p>
    <w:p w14:paraId="2CF9CD54" w14:textId="77777777" w:rsidR="006E4797" w:rsidRPr="00570688" w:rsidRDefault="006E4797" w:rsidP="003A5BF4">
      <w:pPr>
        <w:rPr>
          <w:color w:val="000000" w:themeColor="text1"/>
        </w:rPr>
      </w:pPr>
    </w:p>
    <w:p w14:paraId="6A67E457" w14:textId="77777777" w:rsidR="00E4327E" w:rsidRPr="00570688" w:rsidRDefault="00000000" w:rsidP="003A5BF4">
      <w:pPr>
        <w:rPr>
          <w:color w:val="000000" w:themeColor="text1"/>
        </w:rPr>
      </w:pPr>
      <w:r w:rsidRPr="00570688">
        <w:rPr>
          <w:b/>
          <w:color w:val="000000" w:themeColor="text1"/>
        </w:rPr>
        <w:t>INTRODUCTION:</w:t>
      </w:r>
      <w:r w:rsidRPr="00570688">
        <w:rPr>
          <w:color w:val="000000" w:themeColor="text1"/>
        </w:rPr>
        <w:t xml:space="preserve"> </w:t>
      </w:r>
    </w:p>
    <w:p w14:paraId="7CD8BC67" w14:textId="4881FFCB" w:rsidR="00D76543" w:rsidRPr="00570688" w:rsidRDefault="00000000" w:rsidP="003A5BF4">
      <w:pPr>
        <w:rPr>
          <w:color w:val="000000" w:themeColor="text1"/>
        </w:rPr>
      </w:pPr>
      <w:r w:rsidRPr="00570688">
        <w:rPr>
          <w:color w:val="000000" w:themeColor="text1"/>
        </w:rPr>
        <w:lastRenderedPageBreak/>
        <w:t xml:space="preserve">Immunofluorescence (IF) microscopy is widely used to visualize the subcellular localization, relative abundance, and </w:t>
      </w:r>
      <w:r w:rsidR="007B7B74" w:rsidRPr="00570688">
        <w:rPr>
          <w:color w:val="000000" w:themeColor="text1"/>
        </w:rPr>
        <w:t xml:space="preserve">colocalization of proteins in fixed cells, </w:t>
      </w:r>
      <w:r w:rsidR="00F0762B" w:rsidRPr="00570688">
        <w:rPr>
          <w:color w:val="000000" w:themeColor="text1"/>
        </w:rPr>
        <w:t>thereby linking molecular markers to cellular morphology and subcellular context</w:t>
      </w:r>
      <w:r w:rsidR="00F0762B" w:rsidRPr="00570688">
        <w:rPr>
          <w:color w:val="000000" w:themeColor="text1"/>
          <w:vertAlign w:val="superscript"/>
        </w:rPr>
        <w:t>1,2</w:t>
      </w:r>
      <w:r w:rsidR="00257D8F" w:rsidRPr="00570688">
        <w:rPr>
          <w:color w:val="000000" w:themeColor="text1"/>
        </w:rPr>
        <w:t>. I</w:t>
      </w:r>
      <w:r w:rsidRPr="00570688">
        <w:rPr>
          <w:color w:val="000000" w:themeColor="text1"/>
        </w:rPr>
        <w:t>n contrast to bulk readouts (e.g., immunoblotting) or dissociative single-cell assays (e.g., flow cytometry), IF preserves cellular spatial organization and is particularly useful for assessing cell-to-cell phenotypic heterogeneity and changes in subcellular protein distribution at single-cell resolution</w:t>
      </w:r>
      <w:r w:rsidR="00A64657" w:rsidRPr="00570688">
        <w:rPr>
          <w:color w:val="000000" w:themeColor="text1"/>
          <w:vertAlign w:val="superscript"/>
        </w:rPr>
        <w:t>3,</w:t>
      </w:r>
      <w:r w:rsidR="00756BE3" w:rsidRPr="00570688">
        <w:rPr>
          <w:color w:val="000000" w:themeColor="text1"/>
          <w:vertAlign w:val="superscript"/>
        </w:rPr>
        <w:t>4,</w:t>
      </w:r>
      <w:r w:rsidR="00524643" w:rsidRPr="00570688">
        <w:rPr>
          <w:color w:val="000000" w:themeColor="text1"/>
          <w:vertAlign w:val="superscript"/>
        </w:rPr>
        <w:t>5</w:t>
      </w:r>
      <w:r w:rsidRPr="00570688">
        <w:rPr>
          <w:color w:val="000000" w:themeColor="text1"/>
        </w:rPr>
        <w:t>. As experimental questions increasingly require simultaneous assessment of multiple markers, multiplex IF enables the concurrent detection of two or more targets within the same specimen, commonly by combining primary antibodies raised in different host species with spectrally distinct fluorophores</w:t>
      </w:r>
      <w:r w:rsidR="00702A43" w:rsidRPr="00570688">
        <w:rPr>
          <w:color w:val="000000" w:themeColor="text1"/>
          <w:vertAlign w:val="superscript"/>
        </w:rPr>
        <w:t>6</w:t>
      </w:r>
      <w:r w:rsidR="00C93957" w:rsidRPr="00570688">
        <w:rPr>
          <w:color w:val="000000" w:themeColor="text1"/>
        </w:rPr>
        <w:t xml:space="preserve"> (</w:t>
      </w:r>
      <w:r w:rsidR="00C93957" w:rsidRPr="00570688">
        <w:rPr>
          <w:b/>
          <w:bCs/>
          <w:color w:val="000000" w:themeColor="text1"/>
        </w:rPr>
        <w:t>Figure 1</w:t>
      </w:r>
      <w:r w:rsidR="00C93957" w:rsidRPr="00570688">
        <w:rPr>
          <w:color w:val="000000" w:themeColor="text1"/>
        </w:rPr>
        <w:t>)</w:t>
      </w:r>
      <w:r w:rsidR="003E6C8E" w:rsidRPr="00570688">
        <w:rPr>
          <w:color w:val="000000" w:themeColor="text1"/>
        </w:rPr>
        <w:t>, using direct and/or indirect detection strategies (</w:t>
      </w:r>
      <w:r w:rsidR="003E6C8E" w:rsidRPr="00570688">
        <w:rPr>
          <w:b/>
          <w:bCs/>
          <w:color w:val="000000" w:themeColor="text1"/>
        </w:rPr>
        <w:t>Figure 2</w:t>
      </w:r>
      <w:r w:rsidR="003E6C8E" w:rsidRPr="00570688">
        <w:rPr>
          <w:color w:val="000000" w:themeColor="text1"/>
        </w:rPr>
        <w:t>)</w:t>
      </w:r>
      <w:r w:rsidRPr="00570688">
        <w:rPr>
          <w:color w:val="000000" w:themeColor="text1"/>
        </w:rPr>
        <w:t>. However, multiplexing introduces key technical challenges, especially antibody cross-reactivity and spectral crosstalk, that can compromise interpretability unless addressed through careful panel design and rigorous control conditions</w:t>
      </w:r>
      <w:r w:rsidR="004C1AC4" w:rsidRPr="00570688">
        <w:rPr>
          <w:color w:val="000000" w:themeColor="text1"/>
          <w:vertAlign w:val="superscript"/>
        </w:rPr>
        <w:t>7</w:t>
      </w:r>
      <w:r w:rsidR="00736D84" w:rsidRPr="00570688">
        <w:rPr>
          <w:color w:val="000000" w:themeColor="text1"/>
          <w:vertAlign w:val="superscript"/>
        </w:rPr>
        <w:t>,8</w:t>
      </w:r>
      <w:r w:rsidRPr="00570688">
        <w:rPr>
          <w:color w:val="000000" w:themeColor="text1"/>
        </w:rPr>
        <w:t xml:space="preserve">. </w:t>
      </w:r>
      <w:r w:rsidRPr="00570688">
        <w:rPr>
          <w:color w:val="000000" w:themeColor="text1"/>
        </w:rPr>
        <w:tab/>
      </w:r>
    </w:p>
    <w:p w14:paraId="5AD30AAE" w14:textId="77777777" w:rsidR="00E4327E" w:rsidRPr="00570688" w:rsidRDefault="00E4327E" w:rsidP="003A5BF4">
      <w:pPr>
        <w:rPr>
          <w:color w:val="000000" w:themeColor="text1"/>
        </w:rPr>
      </w:pPr>
    </w:p>
    <w:p w14:paraId="68596667" w14:textId="670DFBED" w:rsidR="006E4797" w:rsidRPr="00570688" w:rsidRDefault="00000000" w:rsidP="003A5BF4">
      <w:pPr>
        <w:rPr>
          <w:color w:val="000000" w:themeColor="text1"/>
        </w:rPr>
      </w:pPr>
      <w:r w:rsidRPr="00570688">
        <w:rPr>
          <w:color w:val="000000" w:themeColor="text1"/>
        </w:rPr>
        <w:t xml:space="preserve"> The overall goal of this method is to provide a practical, low-cost workflow that is broadly applicable to immunofluorescence-validated antibodies and optimized for routine imaging of adherent 2D cultures. Multiplexing is implemented through host-species separation, spectrally distinct fluorophores, and control groups that verify background levels and staining performance</w:t>
      </w:r>
      <w:r w:rsidR="00E3359C" w:rsidRPr="00570688">
        <w:rPr>
          <w:color w:val="000000" w:themeColor="text1"/>
          <w:vertAlign w:val="superscript"/>
        </w:rPr>
        <w:t>9</w:t>
      </w:r>
      <w:r w:rsidR="00A31A3A" w:rsidRPr="00570688">
        <w:rPr>
          <w:color w:val="000000" w:themeColor="text1"/>
          <w:vertAlign w:val="superscript"/>
        </w:rPr>
        <w:t>,10</w:t>
      </w:r>
      <w:r w:rsidRPr="00570688">
        <w:rPr>
          <w:color w:val="000000" w:themeColor="text1"/>
        </w:rPr>
        <w:t xml:space="preserve">. </w:t>
      </w:r>
      <w:r w:rsidR="00E61ECB" w:rsidRPr="00570688">
        <w:rPr>
          <w:color w:val="000000" w:themeColor="text1"/>
        </w:rPr>
        <w:t>By using 12 mm glass coverslips in standard 24-well plates rather than specialized chambered slides, this workflow avoids a dedicated, higher-cost consumable in favor of materials that are standard stock in most cell culture laboratories. The workflow also uses substantially less staining solution per unit growth area (150 µL for ≈1.13 cm², or ≈133 µL/cm²) than comparable chambered coverslip formats</w:t>
      </w:r>
      <w:r w:rsidR="000A4F9A" w:rsidRPr="00570688">
        <w:rPr>
          <w:color w:val="000000" w:themeColor="text1"/>
          <w:vertAlign w:val="superscript"/>
        </w:rPr>
        <w:t>11,12</w:t>
      </w:r>
      <w:r w:rsidR="00E61ECB" w:rsidRPr="00570688">
        <w:rPr>
          <w:color w:val="000000" w:themeColor="text1"/>
        </w:rPr>
        <w:t xml:space="preserve">, which typically require 300–500 µL/cm², corresponding to an approximately 2- to 4-fold reduction in per-area antibody and reagent consumption. </w:t>
      </w:r>
      <w:r w:rsidRPr="00570688">
        <w:rPr>
          <w:color w:val="000000" w:themeColor="text1"/>
        </w:rPr>
        <w:t xml:space="preserve">Accordingly, the protocol supports </w:t>
      </w:r>
      <w:r w:rsidR="005803EA" w:rsidRPr="00570688">
        <w:rPr>
          <w:color w:val="000000" w:themeColor="text1"/>
        </w:rPr>
        <w:t xml:space="preserve">qualitative </w:t>
      </w:r>
      <w:r w:rsidRPr="00570688">
        <w:rPr>
          <w:color w:val="000000" w:themeColor="text1"/>
        </w:rPr>
        <w:t>multi-target assessment of marker localization and co-distribution using standard widefield or confocal microscopes</w:t>
      </w:r>
      <w:r w:rsidR="00E4327E" w:rsidRPr="00570688">
        <w:rPr>
          <w:color w:val="000000" w:themeColor="text1"/>
        </w:rPr>
        <w:t>, along with</w:t>
      </w:r>
      <w:r w:rsidRPr="00570688">
        <w:rPr>
          <w:color w:val="000000" w:themeColor="text1"/>
        </w:rPr>
        <w:t xml:space="preserve"> cytoskeletal and nuclear counterstains.</w:t>
      </w:r>
      <w:r w:rsidR="00C043C3" w:rsidRPr="00570688">
        <w:rPr>
          <w:color w:val="000000" w:themeColor="text1"/>
        </w:rPr>
        <w:t xml:space="preserve"> This workflow is intended for conventional fixed-cell multiplex IF based on host-species separation and spectral </w:t>
      </w:r>
      <w:proofErr w:type="gramStart"/>
      <w:r w:rsidR="00C043C3" w:rsidRPr="00570688">
        <w:rPr>
          <w:color w:val="000000" w:themeColor="text1"/>
        </w:rPr>
        <w:t>distinction, and</w:t>
      </w:r>
      <w:proofErr w:type="gramEnd"/>
      <w:r w:rsidR="00C043C3" w:rsidRPr="00570688">
        <w:rPr>
          <w:color w:val="000000" w:themeColor="text1"/>
        </w:rPr>
        <w:t xml:space="preserve"> is not designed for iterative or high-dimensional multiplex approaches.</w:t>
      </w:r>
    </w:p>
    <w:p w14:paraId="48BA6B0A" w14:textId="77777777" w:rsidR="006E4797" w:rsidRPr="00570688" w:rsidRDefault="006E4797" w:rsidP="003A5BF4">
      <w:pPr>
        <w:rPr>
          <w:b/>
          <w:color w:val="000000" w:themeColor="text1"/>
        </w:rPr>
      </w:pPr>
    </w:p>
    <w:p w14:paraId="3421DE18" w14:textId="77777777" w:rsidR="00E4327E" w:rsidRPr="00570688" w:rsidRDefault="00000000" w:rsidP="003A5BF4">
      <w:pPr>
        <w:rPr>
          <w:color w:val="000000" w:themeColor="text1"/>
        </w:rPr>
      </w:pPr>
      <w:r w:rsidRPr="00570688">
        <w:rPr>
          <w:b/>
          <w:color w:val="000000" w:themeColor="text1"/>
        </w:rPr>
        <w:t>PROTOCOL:</w:t>
      </w:r>
      <w:r w:rsidRPr="00570688">
        <w:rPr>
          <w:color w:val="000000" w:themeColor="text1"/>
        </w:rPr>
        <w:t xml:space="preserve"> </w:t>
      </w:r>
    </w:p>
    <w:p w14:paraId="0D521BC5" w14:textId="4AD5D29A" w:rsidR="00615B8D" w:rsidRPr="00570688" w:rsidRDefault="00615B8D" w:rsidP="003A5BF4">
      <w:pPr>
        <w:rPr>
          <w:color w:val="000000" w:themeColor="text1"/>
        </w:rPr>
      </w:pPr>
      <w:r w:rsidRPr="00570688">
        <w:rPr>
          <w:color w:val="000000" w:themeColor="text1"/>
        </w:rPr>
        <w:t xml:space="preserve">This study did not involve human participants or animal subjects. All experiments were performed using the D17 canine osteosarcoma cell line, an established cell line obtained from a public cell bank (Banco de </w:t>
      </w:r>
      <w:proofErr w:type="spellStart"/>
      <w:r w:rsidRPr="00570688">
        <w:rPr>
          <w:color w:val="000000" w:themeColor="text1"/>
        </w:rPr>
        <w:t>Células</w:t>
      </w:r>
      <w:proofErr w:type="spellEnd"/>
      <w:r w:rsidRPr="00570688">
        <w:rPr>
          <w:color w:val="000000" w:themeColor="text1"/>
        </w:rPr>
        <w:t xml:space="preserve"> do Rio de Janeiro, Cat. No. 0276). No ethical approval was therefore required.</w:t>
      </w:r>
    </w:p>
    <w:p w14:paraId="5017A3ED" w14:textId="77777777" w:rsidR="003A5BF4" w:rsidRPr="00570688" w:rsidRDefault="003A5BF4" w:rsidP="003A5BF4">
      <w:pPr>
        <w:rPr>
          <w:color w:val="000000" w:themeColor="text1"/>
        </w:rPr>
      </w:pPr>
    </w:p>
    <w:p w14:paraId="6D44C317" w14:textId="57176B7A" w:rsidR="00E4327E" w:rsidRPr="00570688" w:rsidRDefault="00C33C96" w:rsidP="003A5BF4">
      <w:pPr>
        <w:pStyle w:val="PargrafodaLista"/>
        <w:numPr>
          <w:ilvl w:val="0"/>
          <w:numId w:val="26"/>
        </w:numPr>
        <w:spacing w:after="0" w:line="240" w:lineRule="auto"/>
        <w:ind w:left="0" w:firstLine="0"/>
        <w:jc w:val="both"/>
        <w:rPr>
          <w:rFonts w:ascii="Calibri" w:hAnsi="Calibri" w:cs="Calibri"/>
          <w:b/>
          <w:bCs/>
          <w:color w:val="000000" w:themeColor="text1"/>
          <w:sz w:val="24"/>
          <w:szCs w:val="24"/>
        </w:rPr>
      </w:pPr>
      <w:r w:rsidRPr="00570688">
        <w:rPr>
          <w:rFonts w:ascii="Calibri" w:hAnsi="Calibri" w:cs="Calibri"/>
          <w:b/>
          <w:bCs/>
          <w:color w:val="000000" w:themeColor="text1"/>
          <w:sz w:val="24"/>
          <w:szCs w:val="24"/>
        </w:rPr>
        <w:t>Cell line maintenance</w:t>
      </w:r>
    </w:p>
    <w:p w14:paraId="469DDC0A" w14:textId="77777777" w:rsidR="007A327E" w:rsidRPr="00570688" w:rsidRDefault="007A327E" w:rsidP="003A5BF4">
      <w:pPr>
        <w:pStyle w:val="PargrafodaLista"/>
        <w:spacing w:after="0" w:line="240" w:lineRule="auto"/>
        <w:ind w:left="0"/>
        <w:jc w:val="both"/>
        <w:rPr>
          <w:rFonts w:ascii="Calibri" w:hAnsi="Calibri" w:cs="Calibri"/>
          <w:b/>
          <w:bCs/>
          <w:color w:val="000000" w:themeColor="text1"/>
          <w:sz w:val="24"/>
          <w:szCs w:val="24"/>
        </w:rPr>
      </w:pPr>
    </w:p>
    <w:p w14:paraId="3282F377" w14:textId="365452BE" w:rsidR="007A327E" w:rsidRPr="00570688" w:rsidRDefault="00000000" w:rsidP="003A5BF4">
      <w:pPr>
        <w:pStyle w:val="PargrafodaLista"/>
        <w:numPr>
          <w:ilvl w:val="1"/>
          <w:numId w:val="26"/>
        </w:numPr>
        <w:pBdr>
          <w:top w:val="nil"/>
          <w:left w:val="nil"/>
          <w:bottom w:val="nil"/>
          <w:right w:val="nil"/>
          <w:between w:val="nil"/>
        </w:pBdr>
        <w:spacing w:after="0" w:line="240" w:lineRule="auto"/>
        <w:ind w:left="0" w:firstLine="0"/>
        <w:jc w:val="both"/>
        <w:rPr>
          <w:rFonts w:ascii="Calibri" w:hAnsi="Calibri" w:cs="Calibri"/>
          <w:color w:val="000000" w:themeColor="text1"/>
          <w:sz w:val="24"/>
          <w:szCs w:val="24"/>
        </w:rPr>
      </w:pPr>
      <w:r w:rsidRPr="00570688">
        <w:rPr>
          <w:rFonts w:ascii="Calibri" w:hAnsi="Calibri" w:cs="Calibri"/>
          <w:color w:val="000000" w:themeColor="text1"/>
          <w:sz w:val="24"/>
          <w:szCs w:val="24"/>
        </w:rPr>
        <w:t xml:space="preserve">Maintain adherent cells under standard culture conditions (37 °C, 5% CO₂, humidified incubator) using the appropriate complete medium for the cell line used. </w:t>
      </w:r>
    </w:p>
    <w:p w14:paraId="618A2C00" w14:textId="77777777" w:rsidR="007A327E" w:rsidRPr="00570688" w:rsidRDefault="007A327E" w:rsidP="003A5BF4">
      <w:pPr>
        <w:pStyle w:val="PargrafodaLista"/>
        <w:pBdr>
          <w:top w:val="nil"/>
          <w:left w:val="nil"/>
          <w:bottom w:val="nil"/>
          <w:right w:val="nil"/>
          <w:between w:val="nil"/>
        </w:pBdr>
        <w:spacing w:after="0" w:line="240" w:lineRule="auto"/>
        <w:ind w:left="0"/>
        <w:jc w:val="both"/>
        <w:rPr>
          <w:rFonts w:ascii="Calibri" w:hAnsi="Calibri" w:cs="Calibri"/>
          <w:color w:val="000000" w:themeColor="text1"/>
          <w:sz w:val="24"/>
          <w:szCs w:val="24"/>
        </w:rPr>
      </w:pPr>
    </w:p>
    <w:p w14:paraId="7C52CAB8" w14:textId="3712F319" w:rsidR="003F2D46" w:rsidRPr="00570688" w:rsidRDefault="003F2D46" w:rsidP="003A5BF4">
      <w:pPr>
        <w:pStyle w:val="PargrafodaLista"/>
        <w:pBdr>
          <w:top w:val="nil"/>
          <w:left w:val="nil"/>
          <w:bottom w:val="nil"/>
          <w:right w:val="nil"/>
          <w:between w:val="nil"/>
        </w:pBdr>
        <w:spacing w:after="0" w:line="240" w:lineRule="auto"/>
        <w:ind w:left="0"/>
        <w:jc w:val="both"/>
        <w:rPr>
          <w:rFonts w:ascii="Calibri" w:hAnsi="Calibri" w:cs="Calibri"/>
          <w:color w:val="000000" w:themeColor="text1"/>
          <w:sz w:val="24"/>
          <w:szCs w:val="24"/>
        </w:rPr>
      </w:pPr>
      <w:r w:rsidRPr="00570688">
        <w:rPr>
          <w:rFonts w:ascii="Calibri" w:hAnsi="Calibri" w:cs="Calibri"/>
          <w:color w:val="000000" w:themeColor="text1"/>
          <w:sz w:val="24"/>
          <w:szCs w:val="24"/>
        </w:rPr>
        <w:t xml:space="preserve">NOTE: As a representative example, D17 canine osteosarcoma cells </w:t>
      </w:r>
      <w:r w:rsidR="00B25903" w:rsidRPr="00570688">
        <w:rPr>
          <w:rFonts w:ascii="Calibri" w:hAnsi="Calibri" w:cs="Calibri"/>
          <w:color w:val="000000" w:themeColor="text1"/>
          <w:sz w:val="24"/>
          <w:szCs w:val="24"/>
        </w:rPr>
        <w:t xml:space="preserve">(Banco de </w:t>
      </w:r>
      <w:proofErr w:type="spellStart"/>
      <w:r w:rsidR="00B25903" w:rsidRPr="00570688">
        <w:rPr>
          <w:rFonts w:ascii="Calibri" w:hAnsi="Calibri" w:cs="Calibri"/>
          <w:color w:val="000000" w:themeColor="text1"/>
          <w:sz w:val="24"/>
          <w:szCs w:val="24"/>
        </w:rPr>
        <w:t>Células</w:t>
      </w:r>
      <w:proofErr w:type="spellEnd"/>
      <w:r w:rsidR="00B25903" w:rsidRPr="00570688">
        <w:rPr>
          <w:rFonts w:ascii="Calibri" w:hAnsi="Calibri" w:cs="Calibri"/>
          <w:color w:val="000000" w:themeColor="text1"/>
          <w:sz w:val="24"/>
          <w:szCs w:val="24"/>
        </w:rPr>
        <w:t xml:space="preserve"> do Rio de Janeiro [BCRJ], Cat. No. 0276) </w:t>
      </w:r>
      <w:r w:rsidRPr="00570688">
        <w:rPr>
          <w:rFonts w:ascii="Calibri" w:hAnsi="Calibri" w:cs="Calibri"/>
          <w:color w:val="000000" w:themeColor="text1"/>
          <w:sz w:val="24"/>
          <w:szCs w:val="24"/>
        </w:rPr>
        <w:t xml:space="preserve">are maintained in Dulbecco's Modified Eagle Medium (DMEM) supplemented with 10% fetal bovine serum (FBS) and 1% </w:t>
      </w:r>
      <w:r w:rsidR="00E11586" w:rsidRPr="00570688">
        <w:rPr>
          <w:rFonts w:ascii="Calibri" w:hAnsi="Calibri" w:cs="Calibri"/>
          <w:color w:val="000000" w:themeColor="text1"/>
          <w:sz w:val="24"/>
          <w:szCs w:val="24"/>
        </w:rPr>
        <w:t>antibiotic-antimycotic</w:t>
      </w:r>
      <w:r w:rsidRPr="00570688">
        <w:rPr>
          <w:rFonts w:ascii="Calibri" w:hAnsi="Calibri" w:cs="Calibri"/>
          <w:color w:val="000000" w:themeColor="text1"/>
          <w:sz w:val="24"/>
          <w:szCs w:val="24"/>
        </w:rPr>
        <w:t xml:space="preserve">, </w:t>
      </w:r>
      <w:proofErr w:type="spellStart"/>
      <w:r w:rsidRPr="00570688">
        <w:rPr>
          <w:rFonts w:ascii="Calibri" w:hAnsi="Calibri" w:cs="Calibri"/>
          <w:color w:val="000000" w:themeColor="text1"/>
          <w:sz w:val="24"/>
          <w:szCs w:val="24"/>
        </w:rPr>
        <w:t>subcultured</w:t>
      </w:r>
      <w:proofErr w:type="spellEnd"/>
      <w:r w:rsidRPr="00570688">
        <w:rPr>
          <w:rFonts w:ascii="Calibri" w:hAnsi="Calibri" w:cs="Calibri"/>
          <w:color w:val="000000" w:themeColor="text1"/>
          <w:sz w:val="24"/>
          <w:szCs w:val="24"/>
        </w:rPr>
        <w:t xml:space="preserve"> at </w:t>
      </w:r>
      <w:r w:rsidRPr="00570688">
        <w:rPr>
          <w:rFonts w:ascii="Calibri" w:hAnsi="Calibri" w:cs="Calibri"/>
          <w:color w:val="000000" w:themeColor="text1"/>
          <w:sz w:val="24"/>
          <w:szCs w:val="24"/>
        </w:rPr>
        <w:lastRenderedPageBreak/>
        <w:t>70–80% confluenc</w:t>
      </w:r>
      <w:r w:rsidR="00A648C6" w:rsidRPr="00570688">
        <w:rPr>
          <w:rFonts w:ascii="Calibri" w:hAnsi="Calibri" w:cs="Calibri"/>
          <w:color w:val="000000" w:themeColor="text1"/>
          <w:sz w:val="24"/>
          <w:szCs w:val="24"/>
        </w:rPr>
        <w:t>e</w:t>
      </w:r>
      <w:r w:rsidRPr="00570688">
        <w:rPr>
          <w:rFonts w:ascii="Calibri" w:hAnsi="Calibri" w:cs="Calibri"/>
          <w:color w:val="000000" w:themeColor="text1"/>
          <w:sz w:val="24"/>
          <w:szCs w:val="24"/>
        </w:rPr>
        <w:t xml:space="preserve"> using trypsin-EDTA</w:t>
      </w:r>
      <w:r w:rsidR="00A648C6" w:rsidRPr="00570688">
        <w:rPr>
          <w:rFonts w:ascii="Calibri" w:hAnsi="Calibri" w:cs="Calibri"/>
          <w:color w:val="000000" w:themeColor="text1"/>
          <w:sz w:val="24"/>
          <w:szCs w:val="24"/>
        </w:rPr>
        <w:t>(ethylenediaminetetraacetic acid)</w:t>
      </w:r>
      <w:r w:rsidRPr="00570688">
        <w:rPr>
          <w:rFonts w:ascii="Calibri" w:hAnsi="Calibri" w:cs="Calibri"/>
          <w:color w:val="000000" w:themeColor="text1"/>
          <w:sz w:val="24"/>
          <w:szCs w:val="24"/>
        </w:rPr>
        <w:t>, and used within a validated passage range (e.g., passages 5–20).</w:t>
      </w:r>
    </w:p>
    <w:p w14:paraId="395DB21F" w14:textId="77777777" w:rsidR="007A327E" w:rsidRPr="00570688" w:rsidRDefault="007A327E" w:rsidP="003A5BF4">
      <w:pPr>
        <w:pStyle w:val="PargrafodaLista"/>
        <w:spacing w:after="0" w:line="240" w:lineRule="auto"/>
        <w:ind w:left="0"/>
        <w:jc w:val="both"/>
        <w:rPr>
          <w:rFonts w:ascii="Calibri" w:hAnsi="Calibri" w:cs="Calibri"/>
          <w:color w:val="000000" w:themeColor="text1"/>
          <w:sz w:val="24"/>
          <w:szCs w:val="24"/>
        </w:rPr>
      </w:pPr>
    </w:p>
    <w:p w14:paraId="141138F8" w14:textId="0FE56E35" w:rsidR="00B273EA" w:rsidRPr="00570688" w:rsidRDefault="00000000" w:rsidP="003A5BF4">
      <w:pPr>
        <w:pStyle w:val="PargrafodaLista"/>
        <w:numPr>
          <w:ilvl w:val="1"/>
          <w:numId w:val="26"/>
        </w:numPr>
        <w:pBdr>
          <w:top w:val="nil"/>
          <w:left w:val="nil"/>
          <w:bottom w:val="nil"/>
          <w:right w:val="nil"/>
          <w:between w:val="nil"/>
        </w:pBdr>
        <w:spacing w:after="0" w:line="240" w:lineRule="auto"/>
        <w:ind w:left="0" w:firstLine="0"/>
        <w:jc w:val="both"/>
        <w:rPr>
          <w:rFonts w:ascii="Calibri" w:hAnsi="Calibri" w:cs="Calibri"/>
          <w:color w:val="000000" w:themeColor="text1"/>
          <w:sz w:val="24"/>
          <w:szCs w:val="24"/>
        </w:rPr>
      </w:pPr>
      <w:r w:rsidRPr="00570688">
        <w:rPr>
          <w:rFonts w:ascii="Calibri" w:hAnsi="Calibri" w:cs="Calibri"/>
          <w:color w:val="000000" w:themeColor="text1"/>
          <w:sz w:val="24"/>
          <w:szCs w:val="24"/>
        </w:rPr>
        <w:t xml:space="preserve">Confirm mycoplasma-negative status before experiments using a validated mycoplasma detection assay. </w:t>
      </w:r>
    </w:p>
    <w:p w14:paraId="73C33365" w14:textId="2EB5DC71" w:rsidR="00B273EA" w:rsidRPr="00570688" w:rsidRDefault="00000000" w:rsidP="003A5BF4">
      <w:pPr>
        <w:pBdr>
          <w:top w:val="nil"/>
          <w:left w:val="nil"/>
          <w:bottom w:val="nil"/>
          <w:right w:val="nil"/>
          <w:between w:val="nil"/>
        </w:pBdr>
        <w:rPr>
          <w:b/>
          <w:bCs/>
          <w:color w:val="000000" w:themeColor="text1"/>
        </w:rPr>
      </w:pPr>
      <w:r w:rsidRPr="00570688">
        <w:rPr>
          <w:color w:val="000000" w:themeColor="text1"/>
        </w:rPr>
        <w:br/>
      </w:r>
      <w:r w:rsidRPr="00570688">
        <w:rPr>
          <w:b/>
          <w:bCs/>
          <w:color w:val="000000" w:themeColor="text1"/>
        </w:rPr>
        <w:t>2</w:t>
      </w:r>
      <w:r w:rsidRPr="00570688">
        <w:rPr>
          <w:color w:val="000000" w:themeColor="text1"/>
        </w:rPr>
        <w:t xml:space="preserve">. </w:t>
      </w:r>
      <w:r w:rsidR="00C33C96" w:rsidRPr="00570688">
        <w:rPr>
          <w:b/>
          <w:bCs/>
          <w:color w:val="000000" w:themeColor="text1"/>
        </w:rPr>
        <w:t>Preparation of 24-well plate and glass coverslips</w:t>
      </w:r>
    </w:p>
    <w:p w14:paraId="02F45591" w14:textId="494F6432" w:rsidR="00AB77FA" w:rsidRPr="00570688" w:rsidRDefault="00AB77FA" w:rsidP="003A5BF4">
      <w:pPr>
        <w:pBdr>
          <w:top w:val="nil"/>
          <w:left w:val="nil"/>
          <w:bottom w:val="nil"/>
          <w:right w:val="nil"/>
          <w:between w:val="nil"/>
        </w:pBdr>
        <w:rPr>
          <w:color w:val="000000" w:themeColor="text1"/>
        </w:rPr>
      </w:pPr>
      <w:r w:rsidRPr="00570688">
        <w:rPr>
          <w:b/>
          <w:bCs/>
          <w:color w:val="000000" w:themeColor="text1"/>
        </w:rPr>
        <w:br/>
      </w:r>
      <w:r w:rsidRPr="00570688">
        <w:rPr>
          <w:color w:val="000000" w:themeColor="text1"/>
        </w:rPr>
        <w:t xml:space="preserve">NOTE: Coverslip surfaces </w:t>
      </w:r>
      <w:r w:rsidR="00D56D30" w:rsidRPr="00570688">
        <w:rPr>
          <w:color w:val="000000" w:themeColor="text1"/>
        </w:rPr>
        <w:t>should be</w:t>
      </w:r>
      <w:r w:rsidRPr="00570688">
        <w:rPr>
          <w:color w:val="000000" w:themeColor="text1"/>
        </w:rPr>
        <w:t xml:space="preserve"> cleaned by immersion in 70% ethanol (5 min, repeated 3×) prior to sterilization by either method described below; after sterilization, coverslips </w:t>
      </w:r>
      <w:r w:rsidR="00D56D30" w:rsidRPr="00570688">
        <w:rPr>
          <w:color w:val="000000" w:themeColor="text1"/>
        </w:rPr>
        <w:t>should be</w:t>
      </w:r>
      <w:r w:rsidRPr="00570688">
        <w:rPr>
          <w:color w:val="000000" w:themeColor="text1"/>
        </w:rPr>
        <w:t xml:space="preserve"> stored in a closed container at room temperature until use.</w:t>
      </w:r>
    </w:p>
    <w:p w14:paraId="12038065" w14:textId="77777777" w:rsidR="00C33C96" w:rsidRPr="00570688" w:rsidRDefault="00C33C96" w:rsidP="003A5BF4">
      <w:pPr>
        <w:pBdr>
          <w:top w:val="nil"/>
          <w:left w:val="nil"/>
          <w:bottom w:val="nil"/>
          <w:right w:val="nil"/>
          <w:between w:val="nil"/>
        </w:pBdr>
        <w:rPr>
          <w:color w:val="000000" w:themeColor="text1"/>
        </w:rPr>
      </w:pPr>
    </w:p>
    <w:p w14:paraId="38CAA7F9" w14:textId="787ED8EE" w:rsidR="007A327E" w:rsidRPr="00570688" w:rsidRDefault="00000000" w:rsidP="003A5BF4">
      <w:pPr>
        <w:pBdr>
          <w:top w:val="nil"/>
          <w:left w:val="nil"/>
          <w:bottom w:val="nil"/>
          <w:right w:val="nil"/>
          <w:between w:val="nil"/>
        </w:pBdr>
        <w:rPr>
          <w:color w:val="000000" w:themeColor="text1"/>
        </w:rPr>
      </w:pPr>
      <w:r w:rsidRPr="00570688">
        <w:rPr>
          <w:color w:val="000000" w:themeColor="text1"/>
        </w:rPr>
        <w:t xml:space="preserve">2.1. </w:t>
      </w:r>
      <w:r w:rsidR="00EC2A61" w:rsidRPr="00570688">
        <w:rPr>
          <w:color w:val="000000" w:themeColor="text1"/>
        </w:rPr>
        <w:t xml:space="preserve">Place clean 12 mm round glass coverslips in a glass Petri dish (or coverslip holder) and autoclave. Autoclave </w:t>
      </w:r>
      <w:r w:rsidR="00A648C6" w:rsidRPr="00570688">
        <w:rPr>
          <w:color w:val="000000" w:themeColor="text1"/>
        </w:rPr>
        <w:t xml:space="preserve">a pair of fine-tipped metal forceps </w:t>
      </w:r>
      <w:r w:rsidR="00EC2A61" w:rsidRPr="00570688">
        <w:rPr>
          <w:color w:val="000000" w:themeColor="text1"/>
        </w:rPr>
        <w:t xml:space="preserve">as well. </w:t>
      </w:r>
    </w:p>
    <w:p w14:paraId="53A973D5" w14:textId="77777777" w:rsidR="007A327E" w:rsidRPr="00570688" w:rsidRDefault="007A327E" w:rsidP="003A5BF4">
      <w:pPr>
        <w:pBdr>
          <w:top w:val="nil"/>
          <w:left w:val="nil"/>
          <w:bottom w:val="nil"/>
          <w:right w:val="nil"/>
          <w:between w:val="nil"/>
        </w:pBdr>
        <w:rPr>
          <w:color w:val="000000" w:themeColor="text1"/>
        </w:rPr>
      </w:pPr>
    </w:p>
    <w:p w14:paraId="2C9A67C1" w14:textId="6A995E16" w:rsidR="00B273EA" w:rsidRPr="00570688" w:rsidRDefault="00000000" w:rsidP="003A5BF4">
      <w:pPr>
        <w:pBdr>
          <w:top w:val="nil"/>
          <w:left w:val="nil"/>
          <w:bottom w:val="nil"/>
          <w:right w:val="nil"/>
          <w:between w:val="nil"/>
        </w:pBdr>
        <w:rPr>
          <w:color w:val="000000" w:themeColor="text1"/>
        </w:rPr>
      </w:pPr>
      <w:r w:rsidRPr="00570688">
        <w:rPr>
          <w:color w:val="000000" w:themeColor="text1"/>
        </w:rPr>
        <w:t xml:space="preserve">2.2. </w:t>
      </w:r>
      <w:r w:rsidR="00EC2A61" w:rsidRPr="00570688">
        <w:rPr>
          <w:color w:val="000000" w:themeColor="text1"/>
        </w:rPr>
        <w:t xml:space="preserve">Alternative: Clean coverslips and forceps with 70% ethanol, </w:t>
      </w:r>
      <w:proofErr w:type="gramStart"/>
      <w:r w:rsidR="00EC2A61" w:rsidRPr="00570688">
        <w:rPr>
          <w:color w:val="000000" w:themeColor="text1"/>
        </w:rPr>
        <w:t>allow to</w:t>
      </w:r>
      <w:proofErr w:type="gramEnd"/>
      <w:r w:rsidR="00EC2A61" w:rsidRPr="00570688">
        <w:rPr>
          <w:color w:val="000000" w:themeColor="text1"/>
        </w:rPr>
        <w:t xml:space="preserve"> air-dry, and surface-decontaminate by</w:t>
      </w:r>
      <w:r w:rsidR="00A648C6" w:rsidRPr="00570688">
        <w:rPr>
          <w:color w:val="000000" w:themeColor="text1"/>
        </w:rPr>
        <w:t xml:space="preserve"> ultraviolet (</w:t>
      </w:r>
      <w:r w:rsidR="00EC2A61" w:rsidRPr="00570688">
        <w:rPr>
          <w:color w:val="000000" w:themeColor="text1"/>
        </w:rPr>
        <w:t>UV</w:t>
      </w:r>
      <w:r w:rsidR="00A648C6" w:rsidRPr="00570688">
        <w:rPr>
          <w:color w:val="000000" w:themeColor="text1"/>
        </w:rPr>
        <w:t>)</w:t>
      </w:r>
      <w:r w:rsidR="00EC2A61" w:rsidRPr="00570688">
        <w:rPr>
          <w:color w:val="000000" w:themeColor="text1"/>
        </w:rPr>
        <w:t xml:space="preserve"> exposure (30 min) inside a biosafety cabinet prior to use. Store sterilized coverslips in a closed container at room temperature until use.</w:t>
      </w:r>
    </w:p>
    <w:p w14:paraId="6FCE137B" w14:textId="77777777" w:rsidR="00E4327E" w:rsidRPr="00570688" w:rsidRDefault="00E4327E" w:rsidP="003A5BF4">
      <w:pPr>
        <w:pBdr>
          <w:top w:val="nil"/>
          <w:left w:val="nil"/>
          <w:bottom w:val="nil"/>
          <w:right w:val="nil"/>
          <w:between w:val="nil"/>
        </w:pBdr>
        <w:rPr>
          <w:color w:val="000000" w:themeColor="text1"/>
        </w:rPr>
      </w:pPr>
    </w:p>
    <w:p w14:paraId="3A8B2171" w14:textId="125005AA" w:rsidR="00B273EA" w:rsidRPr="00570688" w:rsidRDefault="006408DC" w:rsidP="003A5BF4">
      <w:pPr>
        <w:pBdr>
          <w:top w:val="nil"/>
          <w:left w:val="nil"/>
          <w:bottom w:val="nil"/>
          <w:right w:val="nil"/>
          <w:between w:val="nil"/>
        </w:pBdr>
        <w:rPr>
          <w:color w:val="000000" w:themeColor="text1"/>
        </w:rPr>
      </w:pPr>
      <w:r w:rsidRPr="00570688">
        <w:rPr>
          <w:color w:val="000000" w:themeColor="text1"/>
        </w:rPr>
        <w:t>2.3</w:t>
      </w:r>
      <w:r w:rsidR="001D15B1" w:rsidRPr="00570688">
        <w:rPr>
          <w:color w:val="000000" w:themeColor="text1"/>
        </w:rPr>
        <w:t>.</w:t>
      </w:r>
      <w:r w:rsidRPr="00570688">
        <w:rPr>
          <w:color w:val="000000" w:themeColor="text1"/>
        </w:rPr>
        <w:t xml:space="preserve"> </w:t>
      </w:r>
      <w:r w:rsidR="00622F12" w:rsidRPr="00570688">
        <w:rPr>
          <w:color w:val="000000" w:themeColor="text1"/>
        </w:rPr>
        <w:t xml:space="preserve">In a biosafety cabinet, use the </w:t>
      </w:r>
      <w:r w:rsidRPr="00570688">
        <w:rPr>
          <w:color w:val="000000" w:themeColor="text1"/>
        </w:rPr>
        <w:t>sterile forceps</w:t>
      </w:r>
      <w:r w:rsidR="00622F12" w:rsidRPr="00570688">
        <w:rPr>
          <w:color w:val="000000" w:themeColor="text1"/>
        </w:rPr>
        <w:t xml:space="preserve"> to </w:t>
      </w:r>
      <w:r w:rsidRPr="00570688">
        <w:rPr>
          <w:color w:val="000000" w:themeColor="text1"/>
        </w:rPr>
        <w:t>transfer one sterile coverslip into each well designated for the experimental groups in a 24-well tissue culture plate.</w:t>
      </w:r>
    </w:p>
    <w:p w14:paraId="1AEAEC7F" w14:textId="77777777" w:rsidR="00E4327E" w:rsidRPr="00570688" w:rsidRDefault="00E4327E" w:rsidP="003A5BF4">
      <w:pPr>
        <w:pBdr>
          <w:top w:val="nil"/>
          <w:left w:val="nil"/>
          <w:bottom w:val="nil"/>
          <w:right w:val="nil"/>
          <w:between w:val="nil"/>
        </w:pBdr>
        <w:rPr>
          <w:color w:val="000000" w:themeColor="text1"/>
        </w:rPr>
      </w:pPr>
    </w:p>
    <w:p w14:paraId="702DCCB9" w14:textId="18704B1C" w:rsidR="007A327E" w:rsidRPr="00570688" w:rsidRDefault="006408DC" w:rsidP="003A5BF4">
      <w:pPr>
        <w:pBdr>
          <w:top w:val="nil"/>
          <w:left w:val="nil"/>
          <w:bottom w:val="nil"/>
          <w:right w:val="nil"/>
          <w:between w:val="nil"/>
        </w:pBdr>
        <w:rPr>
          <w:color w:val="000000" w:themeColor="text1"/>
        </w:rPr>
      </w:pPr>
      <w:r w:rsidRPr="00570688">
        <w:rPr>
          <w:color w:val="000000" w:themeColor="text1"/>
        </w:rPr>
        <w:t>2.4</w:t>
      </w:r>
      <w:r w:rsidR="001D15B1" w:rsidRPr="00570688">
        <w:rPr>
          <w:color w:val="000000" w:themeColor="text1"/>
        </w:rPr>
        <w:t>.</w:t>
      </w:r>
      <w:r w:rsidRPr="00570688">
        <w:rPr>
          <w:color w:val="000000" w:themeColor="text1"/>
        </w:rPr>
        <w:t xml:space="preserve"> Optional: coat coverslips with adhesion-promoting coatings following </w:t>
      </w:r>
      <w:r w:rsidR="00B70F37" w:rsidRPr="00570688">
        <w:rPr>
          <w:color w:val="000000" w:themeColor="text1"/>
        </w:rPr>
        <w:t xml:space="preserve">the </w:t>
      </w:r>
      <w:r w:rsidRPr="00570688">
        <w:rPr>
          <w:color w:val="000000" w:themeColor="text1"/>
        </w:rPr>
        <w:t>manufacturer</w:t>
      </w:r>
      <w:r w:rsidR="00A648C6" w:rsidRPr="00570688">
        <w:rPr>
          <w:color w:val="000000" w:themeColor="text1"/>
        </w:rPr>
        <w:t>’s</w:t>
      </w:r>
      <w:r w:rsidRPr="00570688">
        <w:rPr>
          <w:color w:val="000000" w:themeColor="text1"/>
        </w:rPr>
        <w:t xml:space="preserve"> instructions or established laboratory guidelines, if required for the cell type used</w:t>
      </w:r>
      <w:r w:rsidR="001837A6" w:rsidRPr="00570688">
        <w:rPr>
          <w:color w:val="000000" w:themeColor="text1"/>
        </w:rPr>
        <w:t xml:space="preserve">. </w:t>
      </w:r>
    </w:p>
    <w:p w14:paraId="4D9CBEB0" w14:textId="77777777" w:rsidR="007A327E" w:rsidRPr="00570688" w:rsidRDefault="007A327E" w:rsidP="003A5BF4">
      <w:pPr>
        <w:pBdr>
          <w:top w:val="nil"/>
          <w:left w:val="nil"/>
          <w:bottom w:val="nil"/>
          <w:right w:val="nil"/>
          <w:between w:val="nil"/>
        </w:pBdr>
        <w:rPr>
          <w:color w:val="000000" w:themeColor="text1"/>
        </w:rPr>
      </w:pPr>
    </w:p>
    <w:p w14:paraId="36703194" w14:textId="4A670394" w:rsidR="007A327E" w:rsidRPr="00570688" w:rsidRDefault="0035237D" w:rsidP="003A5BF4">
      <w:pPr>
        <w:pBdr>
          <w:top w:val="nil"/>
          <w:left w:val="nil"/>
          <w:bottom w:val="nil"/>
          <w:right w:val="nil"/>
          <w:between w:val="nil"/>
        </w:pBdr>
        <w:rPr>
          <w:color w:val="000000" w:themeColor="text1"/>
        </w:rPr>
      </w:pPr>
      <w:r w:rsidRPr="00570688">
        <w:rPr>
          <w:color w:val="000000" w:themeColor="text1"/>
        </w:rPr>
        <w:t xml:space="preserve">NOTE: Coating options (poly-L-lysine, collagen I, or fibronectin) and their working concentrations are listed in the </w:t>
      </w:r>
      <w:r w:rsidRPr="00795677">
        <w:rPr>
          <w:b/>
          <w:bCs/>
          <w:color w:val="000000" w:themeColor="text1"/>
        </w:rPr>
        <w:t>Table of Materials</w:t>
      </w:r>
      <w:r w:rsidRPr="00570688">
        <w:rPr>
          <w:color w:val="000000" w:themeColor="text1"/>
        </w:rPr>
        <w:t>. For most adherent cell lines cultured on glass, uncoated</w:t>
      </w:r>
      <w:r w:rsidR="00821934" w:rsidRPr="00570688">
        <w:rPr>
          <w:color w:val="000000" w:themeColor="text1"/>
        </w:rPr>
        <w:t>,</w:t>
      </w:r>
      <w:r w:rsidRPr="00570688">
        <w:rPr>
          <w:color w:val="000000" w:themeColor="text1"/>
        </w:rPr>
        <w:t xml:space="preserve"> sterilized coverslips are sufficient; coating components may be antigenic, so the selected coating should not cross-react with any antibodies in the panel.</w:t>
      </w:r>
      <w:r w:rsidRPr="00570688">
        <w:rPr>
          <w:color w:val="000000" w:themeColor="text1"/>
        </w:rPr>
        <w:tab/>
      </w:r>
      <w:r w:rsidRPr="00570688">
        <w:rPr>
          <w:color w:val="000000" w:themeColor="text1"/>
        </w:rPr>
        <w:br/>
      </w:r>
    </w:p>
    <w:p w14:paraId="068ECD16" w14:textId="492C9BFE" w:rsidR="00B273EA" w:rsidRPr="00570688" w:rsidRDefault="003B7FBA" w:rsidP="003A5BF4">
      <w:pPr>
        <w:pBdr>
          <w:top w:val="nil"/>
          <w:left w:val="nil"/>
          <w:bottom w:val="nil"/>
          <w:right w:val="nil"/>
          <w:between w:val="nil"/>
        </w:pBdr>
        <w:rPr>
          <w:color w:val="000000" w:themeColor="text1"/>
        </w:rPr>
      </w:pPr>
      <w:r w:rsidRPr="00570688">
        <w:rPr>
          <w:color w:val="000000" w:themeColor="text1"/>
        </w:rPr>
        <w:t xml:space="preserve">2.5. </w:t>
      </w:r>
      <w:r w:rsidR="00573DFF" w:rsidRPr="00570688">
        <w:rPr>
          <w:color w:val="000000" w:themeColor="text1"/>
        </w:rPr>
        <w:t xml:space="preserve">If coverslips were coated, aspirate the excess coating solution, rinse once with sterile </w:t>
      </w:r>
      <w:r w:rsidR="00A648C6" w:rsidRPr="00570688">
        <w:rPr>
          <w:color w:val="000000" w:themeColor="text1"/>
        </w:rPr>
        <w:t>phosphate-buffered saline (</w:t>
      </w:r>
      <w:r w:rsidR="00736FCC" w:rsidRPr="00570688">
        <w:rPr>
          <w:color w:val="000000" w:themeColor="text1"/>
        </w:rPr>
        <w:t>P</w:t>
      </w:r>
      <w:r w:rsidR="00573DFF" w:rsidRPr="00570688">
        <w:rPr>
          <w:color w:val="000000" w:themeColor="text1"/>
        </w:rPr>
        <w:t>BS</w:t>
      </w:r>
      <w:r w:rsidR="00A648C6" w:rsidRPr="00570688">
        <w:rPr>
          <w:color w:val="000000" w:themeColor="text1"/>
        </w:rPr>
        <w:t>)</w:t>
      </w:r>
      <w:r w:rsidR="00573DFF" w:rsidRPr="00570688">
        <w:rPr>
          <w:color w:val="000000" w:themeColor="text1"/>
        </w:rPr>
        <w:t xml:space="preserve">, and allow coverslips to air-dry in the biosafety cabinet before cell seeding. </w:t>
      </w:r>
    </w:p>
    <w:p w14:paraId="2F5E8116" w14:textId="77777777" w:rsidR="00B273EA" w:rsidRPr="00570688" w:rsidRDefault="00B273EA" w:rsidP="003A5BF4">
      <w:pPr>
        <w:pBdr>
          <w:top w:val="nil"/>
          <w:left w:val="nil"/>
          <w:bottom w:val="nil"/>
          <w:right w:val="nil"/>
          <w:between w:val="nil"/>
        </w:pBdr>
        <w:rPr>
          <w:color w:val="000000" w:themeColor="text1"/>
        </w:rPr>
      </w:pPr>
    </w:p>
    <w:p w14:paraId="0B8CE75F" w14:textId="05A59929" w:rsidR="004C6267" w:rsidRPr="00570688" w:rsidRDefault="00000000" w:rsidP="003A5BF4">
      <w:pPr>
        <w:pBdr>
          <w:top w:val="nil"/>
          <w:left w:val="nil"/>
          <w:bottom w:val="nil"/>
          <w:right w:val="nil"/>
          <w:between w:val="nil"/>
        </w:pBdr>
        <w:rPr>
          <w:b/>
          <w:bCs/>
          <w:color w:val="000000" w:themeColor="text1"/>
        </w:rPr>
      </w:pPr>
      <w:r w:rsidRPr="00570688">
        <w:rPr>
          <w:b/>
          <w:bCs/>
          <w:color w:val="000000" w:themeColor="text1"/>
        </w:rPr>
        <w:t xml:space="preserve">3. </w:t>
      </w:r>
      <w:r w:rsidR="00C33C96" w:rsidRPr="00570688">
        <w:rPr>
          <w:b/>
          <w:bCs/>
          <w:color w:val="000000" w:themeColor="text1"/>
        </w:rPr>
        <w:t>Experimental groups</w:t>
      </w:r>
    </w:p>
    <w:p w14:paraId="4FA1E477" w14:textId="77777777" w:rsidR="00E4327E" w:rsidRPr="00570688" w:rsidRDefault="00E4327E" w:rsidP="003A5BF4">
      <w:pPr>
        <w:pBdr>
          <w:top w:val="nil"/>
          <w:left w:val="nil"/>
          <w:bottom w:val="nil"/>
          <w:right w:val="nil"/>
          <w:between w:val="nil"/>
        </w:pBdr>
        <w:rPr>
          <w:b/>
          <w:bCs/>
          <w:color w:val="000000" w:themeColor="text1"/>
        </w:rPr>
      </w:pPr>
    </w:p>
    <w:p w14:paraId="2AE62843" w14:textId="77777777" w:rsidR="00747D72" w:rsidRPr="00570688" w:rsidRDefault="003D21DA" w:rsidP="003A5BF4">
      <w:pPr>
        <w:pBdr>
          <w:top w:val="nil"/>
          <w:left w:val="nil"/>
          <w:bottom w:val="nil"/>
          <w:right w:val="nil"/>
          <w:between w:val="nil"/>
        </w:pBdr>
        <w:rPr>
          <w:color w:val="000000" w:themeColor="text1"/>
        </w:rPr>
      </w:pPr>
      <w:r w:rsidRPr="00570688">
        <w:rPr>
          <w:color w:val="000000" w:themeColor="text1"/>
        </w:rPr>
        <w:t xml:space="preserve">3.1. Include a panel of controls appropriate to the multiplex design. </w:t>
      </w:r>
    </w:p>
    <w:p w14:paraId="728D3FC4" w14:textId="77777777" w:rsidR="00747D72" w:rsidRPr="00570688" w:rsidRDefault="00747D72" w:rsidP="003A5BF4">
      <w:pPr>
        <w:pBdr>
          <w:top w:val="nil"/>
          <w:left w:val="nil"/>
          <w:bottom w:val="nil"/>
          <w:right w:val="nil"/>
          <w:between w:val="nil"/>
        </w:pBdr>
        <w:rPr>
          <w:color w:val="000000" w:themeColor="text1"/>
        </w:rPr>
      </w:pPr>
    </w:p>
    <w:p w14:paraId="542DB01A" w14:textId="315EEAB0" w:rsidR="00B273EA" w:rsidRPr="00570688" w:rsidRDefault="00747D72" w:rsidP="003A5BF4">
      <w:pPr>
        <w:pBdr>
          <w:top w:val="nil"/>
          <w:left w:val="nil"/>
          <w:bottom w:val="nil"/>
          <w:right w:val="nil"/>
          <w:between w:val="nil"/>
        </w:pBdr>
        <w:rPr>
          <w:color w:val="000000" w:themeColor="text1"/>
        </w:rPr>
      </w:pPr>
      <w:r w:rsidRPr="00570688">
        <w:rPr>
          <w:color w:val="000000" w:themeColor="text1"/>
        </w:rPr>
        <w:t xml:space="preserve">NOTE: </w:t>
      </w:r>
      <w:r w:rsidR="003D21DA" w:rsidRPr="00570688">
        <w:rPr>
          <w:color w:val="000000" w:themeColor="text1"/>
        </w:rPr>
        <w:t>A no-antibody control (neither primary nor secondary antibody) reveals intrinsic autofluorescence, and a no-primary control (secondary antibody cocktail without any primary) assesses non-specific secondary binding and background across all channels simultaneously; because this protocol uses strictly spectrally distinct secondary antibodies, this single control evaluates each secondary independently within its respective channel, serving the same purpose as a secondary-only control per fluorophore. Single-stain controls, in which each primary–</w:t>
      </w:r>
      <w:r w:rsidR="003D21DA" w:rsidRPr="00570688">
        <w:rPr>
          <w:color w:val="000000" w:themeColor="text1"/>
        </w:rPr>
        <w:lastRenderedPageBreak/>
        <w:t xml:space="preserve">secondary pair is applied individually, validate the performance of each antibody before multiplex combination and, by comparison with the multiplex condition, allow </w:t>
      </w:r>
      <w:r w:rsidR="003A5BF4" w:rsidRPr="00570688">
        <w:rPr>
          <w:color w:val="000000" w:themeColor="text1"/>
        </w:rPr>
        <w:t>assessment of spectral crosstalk</w:t>
      </w:r>
      <w:r w:rsidR="003D21DA" w:rsidRPr="00570688">
        <w:rPr>
          <w:color w:val="000000" w:themeColor="text1"/>
        </w:rPr>
        <w:t xml:space="preserve"> for each fluorophore pair. Whenever possible, </w:t>
      </w:r>
      <w:proofErr w:type="gramStart"/>
      <w:r w:rsidR="003D21DA" w:rsidRPr="00570688">
        <w:rPr>
          <w:color w:val="000000" w:themeColor="text1"/>
        </w:rPr>
        <w:t>a positive</w:t>
      </w:r>
      <w:proofErr w:type="gramEnd"/>
      <w:r w:rsidR="003D21DA" w:rsidRPr="00570688">
        <w:rPr>
          <w:color w:val="000000" w:themeColor="text1"/>
        </w:rPr>
        <w:t xml:space="preserve"> control </w:t>
      </w:r>
      <w:r w:rsidR="003A5BF4" w:rsidRPr="00570688">
        <w:rPr>
          <w:color w:val="000000" w:themeColor="text1"/>
        </w:rPr>
        <w:t>that expresses the target antigen is used to confirm</w:t>
      </w:r>
      <w:r w:rsidR="003D21DA" w:rsidRPr="00570688">
        <w:rPr>
          <w:color w:val="000000" w:themeColor="text1"/>
        </w:rPr>
        <w:t xml:space="preserve"> assay performance.</w:t>
      </w:r>
      <w:r w:rsidR="003D21DA" w:rsidRPr="00570688">
        <w:rPr>
          <w:color w:val="000000" w:themeColor="text1"/>
        </w:rPr>
        <w:tab/>
      </w:r>
      <w:r w:rsidR="003D21DA" w:rsidRPr="00570688">
        <w:rPr>
          <w:color w:val="000000" w:themeColor="text1"/>
        </w:rPr>
        <w:br/>
      </w:r>
    </w:p>
    <w:p w14:paraId="77C9AA7C" w14:textId="7E0E7931" w:rsidR="00B273EA" w:rsidRPr="00570688" w:rsidRDefault="00000000" w:rsidP="003A5BF4">
      <w:pPr>
        <w:pBdr>
          <w:top w:val="nil"/>
          <w:left w:val="nil"/>
          <w:bottom w:val="nil"/>
          <w:right w:val="nil"/>
          <w:between w:val="nil"/>
        </w:pBdr>
        <w:rPr>
          <w:b/>
          <w:bCs/>
          <w:color w:val="000000" w:themeColor="text1"/>
        </w:rPr>
      </w:pPr>
      <w:r w:rsidRPr="00570688">
        <w:rPr>
          <w:b/>
          <w:bCs/>
          <w:color w:val="000000" w:themeColor="text1"/>
        </w:rPr>
        <w:t>4.</w:t>
      </w:r>
      <w:r w:rsidRPr="00570688">
        <w:rPr>
          <w:color w:val="000000" w:themeColor="text1"/>
        </w:rPr>
        <w:t xml:space="preserve"> </w:t>
      </w:r>
      <w:r w:rsidR="003A5BF4" w:rsidRPr="00570688">
        <w:rPr>
          <w:b/>
          <w:bCs/>
          <w:color w:val="000000" w:themeColor="text1"/>
        </w:rPr>
        <w:t>Cell seeding (plating) on coverslips</w:t>
      </w:r>
    </w:p>
    <w:p w14:paraId="64F9F611" w14:textId="77777777" w:rsidR="00E4327E" w:rsidRPr="00570688" w:rsidRDefault="00E4327E" w:rsidP="003A5BF4">
      <w:pPr>
        <w:pBdr>
          <w:top w:val="nil"/>
          <w:left w:val="nil"/>
          <w:bottom w:val="nil"/>
          <w:right w:val="nil"/>
          <w:between w:val="nil"/>
        </w:pBdr>
        <w:rPr>
          <w:color w:val="000000" w:themeColor="text1"/>
        </w:rPr>
      </w:pPr>
    </w:p>
    <w:p w14:paraId="0E9E5D79" w14:textId="4A66E6D6" w:rsidR="00B273EA" w:rsidRPr="00570688" w:rsidRDefault="00000000" w:rsidP="003A5BF4">
      <w:pPr>
        <w:pBdr>
          <w:top w:val="nil"/>
          <w:left w:val="nil"/>
          <w:bottom w:val="nil"/>
          <w:right w:val="nil"/>
          <w:between w:val="nil"/>
        </w:pBdr>
        <w:rPr>
          <w:color w:val="000000" w:themeColor="text1"/>
        </w:rPr>
      </w:pPr>
      <w:r w:rsidRPr="00570688">
        <w:rPr>
          <w:color w:val="000000" w:themeColor="text1"/>
        </w:rPr>
        <w:t xml:space="preserve">4.1. </w:t>
      </w:r>
      <w:r w:rsidR="00B17DAE" w:rsidRPr="00570688">
        <w:rPr>
          <w:color w:val="000000" w:themeColor="text1"/>
        </w:rPr>
        <w:t>In a biosafety cabinet, d</w:t>
      </w:r>
      <w:r w:rsidRPr="00570688">
        <w:rPr>
          <w:color w:val="000000" w:themeColor="text1"/>
        </w:rPr>
        <w:t>etach cells using trypsin (or other appropriate dissociation method), neutralize, and resuspend in complete culture medium.</w:t>
      </w:r>
    </w:p>
    <w:p w14:paraId="55A753FB" w14:textId="77777777" w:rsidR="00E4327E" w:rsidRPr="00570688" w:rsidRDefault="00E4327E" w:rsidP="003A5BF4">
      <w:pPr>
        <w:pBdr>
          <w:top w:val="nil"/>
          <w:left w:val="nil"/>
          <w:bottom w:val="nil"/>
          <w:right w:val="nil"/>
          <w:between w:val="nil"/>
        </w:pBdr>
        <w:rPr>
          <w:color w:val="000000" w:themeColor="text1"/>
        </w:rPr>
      </w:pPr>
    </w:p>
    <w:p w14:paraId="6C749956" w14:textId="1FEDF10B" w:rsidR="00B273EA" w:rsidRPr="00570688" w:rsidRDefault="00000000" w:rsidP="003A5BF4">
      <w:pPr>
        <w:pBdr>
          <w:top w:val="nil"/>
          <w:left w:val="nil"/>
          <w:bottom w:val="nil"/>
          <w:right w:val="nil"/>
          <w:between w:val="nil"/>
        </w:pBdr>
        <w:rPr>
          <w:color w:val="000000" w:themeColor="text1"/>
        </w:rPr>
      </w:pPr>
      <w:r w:rsidRPr="00570688">
        <w:rPr>
          <w:color w:val="000000" w:themeColor="text1"/>
        </w:rPr>
        <w:t>4.2. Count cells using an automated cell counter or a hemocytometer.</w:t>
      </w:r>
    </w:p>
    <w:p w14:paraId="2B16FEBB" w14:textId="77777777" w:rsidR="00E4327E" w:rsidRPr="00570688" w:rsidRDefault="00E4327E" w:rsidP="003A5BF4">
      <w:pPr>
        <w:pBdr>
          <w:top w:val="nil"/>
          <w:left w:val="nil"/>
          <w:bottom w:val="nil"/>
          <w:right w:val="nil"/>
          <w:between w:val="nil"/>
        </w:pBdr>
        <w:rPr>
          <w:color w:val="000000" w:themeColor="text1"/>
        </w:rPr>
      </w:pPr>
    </w:p>
    <w:p w14:paraId="502B62CA" w14:textId="6A1C596D" w:rsidR="00B273EA" w:rsidRPr="00570688" w:rsidRDefault="00000000" w:rsidP="003A5BF4">
      <w:pPr>
        <w:pBdr>
          <w:top w:val="nil"/>
          <w:left w:val="nil"/>
          <w:bottom w:val="nil"/>
          <w:right w:val="nil"/>
          <w:between w:val="nil"/>
        </w:pBdr>
        <w:rPr>
          <w:color w:val="000000" w:themeColor="text1"/>
        </w:rPr>
      </w:pPr>
      <w:r w:rsidRPr="00570688">
        <w:rPr>
          <w:color w:val="000000" w:themeColor="text1"/>
        </w:rPr>
        <w:t>4.3. Dilute cells to 6 × 10⁴</w:t>
      </w:r>
      <w:r w:rsidR="00A648C6" w:rsidRPr="00570688">
        <w:rPr>
          <w:color w:val="000000" w:themeColor="text1"/>
        </w:rPr>
        <w:t>–</w:t>
      </w:r>
      <w:r w:rsidRPr="00570688">
        <w:rPr>
          <w:color w:val="000000" w:themeColor="text1"/>
        </w:rPr>
        <w:t>1 × 10⁵ cells/</w:t>
      </w:r>
      <w:proofErr w:type="spellStart"/>
      <w:r w:rsidRPr="00570688">
        <w:rPr>
          <w:color w:val="000000" w:themeColor="text1"/>
        </w:rPr>
        <w:t>mL.</w:t>
      </w:r>
      <w:proofErr w:type="spellEnd"/>
    </w:p>
    <w:p w14:paraId="21687D0D" w14:textId="77777777" w:rsidR="00E4327E" w:rsidRPr="00570688" w:rsidRDefault="00E4327E" w:rsidP="003A5BF4">
      <w:pPr>
        <w:pBdr>
          <w:top w:val="nil"/>
          <w:left w:val="nil"/>
          <w:bottom w:val="nil"/>
          <w:right w:val="nil"/>
          <w:between w:val="nil"/>
        </w:pBdr>
        <w:rPr>
          <w:color w:val="000000" w:themeColor="text1"/>
        </w:rPr>
      </w:pPr>
    </w:p>
    <w:p w14:paraId="2B79C49D" w14:textId="50F2E948" w:rsidR="00B273EA" w:rsidRPr="00570688" w:rsidRDefault="00000000" w:rsidP="003A5BF4">
      <w:pPr>
        <w:pBdr>
          <w:top w:val="nil"/>
          <w:left w:val="nil"/>
          <w:bottom w:val="nil"/>
          <w:right w:val="nil"/>
          <w:between w:val="nil"/>
        </w:pBdr>
        <w:rPr>
          <w:color w:val="000000" w:themeColor="text1"/>
        </w:rPr>
      </w:pPr>
      <w:r w:rsidRPr="00570688">
        <w:rPr>
          <w:color w:val="000000" w:themeColor="text1"/>
        </w:rPr>
        <w:t>4.4. Add 0.5 mL of cell suspension per well (final: 3 × 10⁴</w:t>
      </w:r>
      <w:r w:rsidR="00A648C6" w:rsidRPr="00570688">
        <w:rPr>
          <w:color w:val="000000" w:themeColor="text1"/>
        </w:rPr>
        <w:t>–</w:t>
      </w:r>
      <w:r w:rsidRPr="00570688">
        <w:rPr>
          <w:color w:val="000000" w:themeColor="text1"/>
        </w:rPr>
        <w:t>5 × 10⁴ cells/well).</w:t>
      </w:r>
    </w:p>
    <w:p w14:paraId="2D2EC8C3" w14:textId="77777777" w:rsidR="00E4327E" w:rsidRPr="00570688" w:rsidRDefault="00E4327E" w:rsidP="003A5BF4">
      <w:pPr>
        <w:pBdr>
          <w:top w:val="nil"/>
          <w:left w:val="nil"/>
          <w:bottom w:val="nil"/>
          <w:right w:val="nil"/>
          <w:between w:val="nil"/>
        </w:pBdr>
        <w:rPr>
          <w:color w:val="000000" w:themeColor="text1"/>
        </w:rPr>
      </w:pPr>
    </w:p>
    <w:p w14:paraId="24551FC8" w14:textId="1B61AABA" w:rsidR="00926495" w:rsidRPr="00570688" w:rsidRDefault="00926495" w:rsidP="003A5BF4">
      <w:pPr>
        <w:pBdr>
          <w:top w:val="nil"/>
          <w:left w:val="nil"/>
          <w:bottom w:val="nil"/>
          <w:right w:val="nil"/>
          <w:between w:val="nil"/>
        </w:pBdr>
        <w:rPr>
          <w:color w:val="000000" w:themeColor="text1"/>
        </w:rPr>
      </w:pPr>
      <w:r w:rsidRPr="00570688">
        <w:rPr>
          <w:color w:val="000000" w:themeColor="text1"/>
        </w:rPr>
        <w:t xml:space="preserve">NOTE: If needed, a sterile pipette tip can be used to gently ensure the coverslip </w:t>
      </w:r>
      <w:proofErr w:type="gramStart"/>
      <w:r w:rsidRPr="00570688">
        <w:rPr>
          <w:color w:val="000000" w:themeColor="text1"/>
        </w:rPr>
        <w:t>lies</w:t>
      </w:r>
      <w:proofErr w:type="gramEnd"/>
      <w:r w:rsidRPr="00570688">
        <w:rPr>
          <w:color w:val="000000" w:themeColor="text1"/>
        </w:rPr>
        <w:t xml:space="preserve"> flat at the bottom of the well, avoiding scratching.</w:t>
      </w:r>
    </w:p>
    <w:p w14:paraId="7D851997" w14:textId="77777777" w:rsidR="00E4327E" w:rsidRPr="00570688" w:rsidRDefault="00E4327E" w:rsidP="003A5BF4">
      <w:pPr>
        <w:pBdr>
          <w:top w:val="nil"/>
          <w:left w:val="nil"/>
          <w:bottom w:val="nil"/>
          <w:right w:val="nil"/>
          <w:between w:val="nil"/>
        </w:pBdr>
        <w:rPr>
          <w:color w:val="000000" w:themeColor="text1"/>
        </w:rPr>
      </w:pPr>
    </w:p>
    <w:p w14:paraId="1E7BEF03" w14:textId="168C9D10" w:rsidR="00B273EA" w:rsidRPr="00570688" w:rsidRDefault="00000000" w:rsidP="003A5BF4">
      <w:pPr>
        <w:pBdr>
          <w:top w:val="nil"/>
          <w:left w:val="nil"/>
          <w:bottom w:val="nil"/>
          <w:right w:val="nil"/>
          <w:between w:val="nil"/>
        </w:pBdr>
        <w:rPr>
          <w:color w:val="000000" w:themeColor="text1"/>
        </w:rPr>
      </w:pPr>
      <w:r w:rsidRPr="00570688">
        <w:rPr>
          <w:color w:val="000000" w:themeColor="text1"/>
        </w:rPr>
        <w:t xml:space="preserve">4.5. Incubate cells under standard conditions (37 °C, 5% CO₂) until </w:t>
      </w:r>
      <w:proofErr w:type="spellStart"/>
      <w:r w:rsidR="00A648C6" w:rsidRPr="00570688">
        <w:rPr>
          <w:color w:val="000000" w:themeColor="text1"/>
        </w:rPr>
        <w:t>until</w:t>
      </w:r>
      <w:proofErr w:type="spellEnd"/>
      <w:r w:rsidR="00A648C6" w:rsidRPr="00570688">
        <w:rPr>
          <w:color w:val="000000" w:themeColor="text1"/>
        </w:rPr>
        <w:t xml:space="preserve"> cells have adhered and reached the desired confluence or experimental time point</w:t>
      </w:r>
      <w:r w:rsidRPr="00570688">
        <w:rPr>
          <w:color w:val="000000" w:themeColor="text1"/>
        </w:rPr>
        <w:t xml:space="preserve"> is reached.</w:t>
      </w:r>
    </w:p>
    <w:p w14:paraId="138D009D" w14:textId="77777777" w:rsidR="00B273EA" w:rsidRPr="00570688" w:rsidRDefault="00B273EA" w:rsidP="003A5BF4">
      <w:pPr>
        <w:pBdr>
          <w:top w:val="nil"/>
          <w:left w:val="nil"/>
          <w:bottom w:val="nil"/>
          <w:right w:val="nil"/>
          <w:between w:val="nil"/>
        </w:pBdr>
        <w:rPr>
          <w:b/>
          <w:bCs/>
          <w:color w:val="000000" w:themeColor="text1"/>
        </w:rPr>
      </w:pPr>
    </w:p>
    <w:p w14:paraId="235D3531" w14:textId="4748076E" w:rsidR="00B273EA" w:rsidRPr="00570688" w:rsidRDefault="00000000" w:rsidP="003A5BF4">
      <w:pPr>
        <w:pBdr>
          <w:top w:val="nil"/>
          <w:left w:val="nil"/>
          <w:bottom w:val="nil"/>
          <w:right w:val="nil"/>
          <w:between w:val="nil"/>
        </w:pBdr>
        <w:rPr>
          <w:b/>
          <w:bCs/>
          <w:color w:val="000000" w:themeColor="text1"/>
        </w:rPr>
      </w:pPr>
      <w:r w:rsidRPr="00570688">
        <w:rPr>
          <w:b/>
          <w:bCs/>
          <w:color w:val="000000" w:themeColor="text1"/>
        </w:rPr>
        <w:t xml:space="preserve">5. </w:t>
      </w:r>
      <w:r w:rsidR="00F0762B" w:rsidRPr="00570688">
        <w:rPr>
          <w:b/>
          <w:bCs/>
          <w:color w:val="000000" w:themeColor="text1"/>
        </w:rPr>
        <w:t xml:space="preserve">Cell treatment </w:t>
      </w:r>
      <w:r w:rsidRPr="00570688">
        <w:rPr>
          <w:b/>
          <w:bCs/>
          <w:color w:val="000000" w:themeColor="text1"/>
        </w:rPr>
        <w:t>(Optional)</w:t>
      </w:r>
    </w:p>
    <w:p w14:paraId="45CED22F" w14:textId="77777777" w:rsidR="007A327E" w:rsidRPr="00570688" w:rsidRDefault="007A327E" w:rsidP="003A5BF4">
      <w:pPr>
        <w:pBdr>
          <w:top w:val="nil"/>
          <w:left w:val="nil"/>
          <w:bottom w:val="nil"/>
          <w:right w:val="nil"/>
          <w:between w:val="nil"/>
        </w:pBdr>
        <w:rPr>
          <w:color w:val="000000" w:themeColor="text1"/>
        </w:rPr>
      </w:pPr>
    </w:p>
    <w:p w14:paraId="6E3EF6E0" w14:textId="73B9547F" w:rsidR="007A327E" w:rsidRPr="00570688" w:rsidRDefault="00000000" w:rsidP="003A5BF4">
      <w:pPr>
        <w:pBdr>
          <w:top w:val="nil"/>
          <w:left w:val="nil"/>
          <w:bottom w:val="nil"/>
          <w:right w:val="nil"/>
          <w:between w:val="nil"/>
        </w:pBdr>
        <w:rPr>
          <w:color w:val="000000" w:themeColor="text1"/>
        </w:rPr>
      </w:pPr>
      <w:r w:rsidRPr="00570688">
        <w:rPr>
          <w:color w:val="000000" w:themeColor="text1"/>
        </w:rPr>
        <w:t>5.1.</w:t>
      </w:r>
      <w:r w:rsidR="00FE57BA" w:rsidRPr="00570688">
        <w:rPr>
          <w:color w:val="000000" w:themeColor="text1"/>
        </w:rPr>
        <w:t xml:space="preserve"> </w:t>
      </w:r>
      <w:r w:rsidR="003F337C" w:rsidRPr="00570688">
        <w:rPr>
          <w:color w:val="000000" w:themeColor="text1"/>
        </w:rPr>
        <w:t xml:space="preserve">Select the treatment timing according to the experimental design. Treatment may include pharmacological </w:t>
      </w:r>
      <w:r w:rsidR="00821934" w:rsidRPr="00570688">
        <w:rPr>
          <w:color w:val="000000" w:themeColor="text1"/>
        </w:rPr>
        <w:t>therapy, cytokine stimulation, genetic manipulation to induce or knock down target gene expression, or other experimental interventions</w:t>
      </w:r>
      <w:r w:rsidR="003F337C" w:rsidRPr="00570688">
        <w:rPr>
          <w:color w:val="000000" w:themeColor="text1"/>
        </w:rPr>
        <w:t xml:space="preserve">, as applicable. </w:t>
      </w:r>
      <w:r w:rsidR="00B6002F" w:rsidRPr="00570688">
        <w:rPr>
          <w:color w:val="000000" w:themeColor="text1"/>
        </w:rPr>
        <w:tab/>
      </w:r>
    </w:p>
    <w:p w14:paraId="0550C5EE" w14:textId="04027B40" w:rsidR="00B273EA" w:rsidRPr="00570688" w:rsidRDefault="00000000" w:rsidP="003A5BF4">
      <w:pPr>
        <w:pBdr>
          <w:top w:val="nil"/>
          <w:left w:val="nil"/>
          <w:bottom w:val="nil"/>
          <w:right w:val="nil"/>
          <w:between w:val="nil"/>
        </w:pBdr>
        <w:rPr>
          <w:color w:val="000000" w:themeColor="text1"/>
        </w:rPr>
      </w:pPr>
      <w:r w:rsidRPr="00570688">
        <w:rPr>
          <w:color w:val="000000" w:themeColor="text1"/>
        </w:rPr>
        <w:br/>
      </w:r>
      <w:r w:rsidR="007811A1" w:rsidRPr="00570688">
        <w:rPr>
          <w:color w:val="000000" w:themeColor="text1"/>
        </w:rPr>
        <w:t>5.2.</w:t>
      </w:r>
      <w:r w:rsidR="00A61EC4" w:rsidRPr="00570688">
        <w:rPr>
          <w:color w:val="000000" w:themeColor="text1"/>
        </w:rPr>
        <w:t xml:space="preserve"> </w:t>
      </w:r>
      <w:r w:rsidR="007811A1" w:rsidRPr="00570688">
        <w:rPr>
          <w:color w:val="000000" w:themeColor="text1"/>
        </w:rPr>
        <w:t>Label wells to identify control and treated groups.</w:t>
      </w:r>
    </w:p>
    <w:p w14:paraId="1F4FF6B2" w14:textId="77777777" w:rsidR="007A327E" w:rsidRPr="00570688" w:rsidRDefault="007A327E" w:rsidP="003A5BF4">
      <w:pPr>
        <w:pBdr>
          <w:top w:val="nil"/>
          <w:left w:val="nil"/>
          <w:bottom w:val="nil"/>
          <w:right w:val="nil"/>
          <w:between w:val="nil"/>
        </w:pBdr>
        <w:rPr>
          <w:color w:val="000000" w:themeColor="text1"/>
        </w:rPr>
      </w:pPr>
    </w:p>
    <w:p w14:paraId="06C5E413" w14:textId="1980FBA7" w:rsidR="00B273EA" w:rsidRPr="00570688" w:rsidRDefault="00000000" w:rsidP="003A5BF4">
      <w:pPr>
        <w:pBdr>
          <w:top w:val="nil"/>
          <w:left w:val="nil"/>
          <w:bottom w:val="nil"/>
          <w:right w:val="nil"/>
          <w:between w:val="nil"/>
        </w:pBdr>
        <w:rPr>
          <w:color w:val="000000" w:themeColor="text1"/>
        </w:rPr>
      </w:pPr>
      <w:r w:rsidRPr="00570688">
        <w:rPr>
          <w:color w:val="000000" w:themeColor="text1"/>
        </w:rPr>
        <w:t>5.3.</w:t>
      </w:r>
      <w:r w:rsidR="00D4089E" w:rsidRPr="00570688">
        <w:rPr>
          <w:color w:val="000000" w:themeColor="text1"/>
        </w:rPr>
        <w:t xml:space="preserve"> </w:t>
      </w:r>
      <w:r w:rsidR="00625518" w:rsidRPr="00570688">
        <w:rPr>
          <w:color w:val="000000" w:themeColor="text1"/>
        </w:rPr>
        <w:t>Incubate for the required time points; avoid over-confluency, as overgrowth increases background and compromises morphology.</w:t>
      </w:r>
    </w:p>
    <w:p w14:paraId="79AB963F" w14:textId="77777777" w:rsidR="007A327E" w:rsidRPr="00570688" w:rsidRDefault="007A327E" w:rsidP="003A5BF4">
      <w:pPr>
        <w:pBdr>
          <w:top w:val="nil"/>
          <w:left w:val="nil"/>
          <w:bottom w:val="nil"/>
          <w:right w:val="nil"/>
          <w:between w:val="nil"/>
        </w:pBdr>
        <w:rPr>
          <w:color w:val="000000" w:themeColor="text1"/>
        </w:rPr>
      </w:pPr>
    </w:p>
    <w:p w14:paraId="05310ED0" w14:textId="5074520B" w:rsidR="003A3E1E" w:rsidRPr="00570688" w:rsidRDefault="003A3E1E" w:rsidP="003A5BF4">
      <w:pPr>
        <w:pBdr>
          <w:top w:val="nil"/>
          <w:left w:val="nil"/>
          <w:bottom w:val="nil"/>
          <w:right w:val="nil"/>
          <w:between w:val="nil"/>
        </w:pBdr>
        <w:rPr>
          <w:color w:val="000000" w:themeColor="text1"/>
        </w:rPr>
      </w:pPr>
      <w:r w:rsidRPr="00570688">
        <w:rPr>
          <w:color w:val="000000" w:themeColor="text1"/>
        </w:rPr>
        <w:t>NOTE: Cells should be adhered to the coverslip before fixation, unless the design requires fixation immediately after seeding.</w:t>
      </w:r>
    </w:p>
    <w:p w14:paraId="52BB185E" w14:textId="77777777" w:rsidR="003A3E1E" w:rsidRPr="00570688" w:rsidRDefault="003A3E1E" w:rsidP="003A5BF4">
      <w:pPr>
        <w:pBdr>
          <w:top w:val="nil"/>
          <w:left w:val="nil"/>
          <w:bottom w:val="nil"/>
          <w:right w:val="nil"/>
          <w:between w:val="nil"/>
        </w:pBdr>
        <w:rPr>
          <w:color w:val="000000" w:themeColor="text1"/>
        </w:rPr>
      </w:pPr>
    </w:p>
    <w:p w14:paraId="4A71D99A" w14:textId="0442EBC5" w:rsidR="003A3E1E" w:rsidRPr="00570688" w:rsidRDefault="003A3E1E" w:rsidP="003A5BF4">
      <w:pPr>
        <w:pBdr>
          <w:top w:val="nil"/>
          <w:left w:val="nil"/>
          <w:bottom w:val="nil"/>
          <w:right w:val="nil"/>
          <w:between w:val="nil"/>
        </w:pBdr>
        <w:rPr>
          <w:color w:val="000000" w:themeColor="text1"/>
        </w:rPr>
      </w:pPr>
      <w:r w:rsidRPr="00570688">
        <w:rPr>
          <w:color w:val="000000" w:themeColor="text1"/>
        </w:rPr>
        <w:t xml:space="preserve">5.4. For rapidly secreted targets (e.g., </w:t>
      </w:r>
      <w:r w:rsidR="00ED0226" w:rsidRPr="00570688">
        <w:rPr>
          <w:color w:val="000000" w:themeColor="text1"/>
        </w:rPr>
        <w:t>cytokines</w:t>
      </w:r>
      <w:r w:rsidRPr="00570688">
        <w:rPr>
          <w:color w:val="000000" w:themeColor="text1"/>
        </w:rPr>
        <w:t>), add brefeldin A (BFA) to the culture medium at a final concentration of 1–10 µg/mL (commonly 5 µg/mL) and incubate for 4–6 h at 37 °C, 5% CO₂ before fixation.</w:t>
      </w:r>
    </w:p>
    <w:p w14:paraId="0CB5BAB2" w14:textId="77777777" w:rsidR="003A3E1E" w:rsidRPr="00570688" w:rsidRDefault="003A3E1E" w:rsidP="003A5BF4">
      <w:pPr>
        <w:pBdr>
          <w:top w:val="nil"/>
          <w:left w:val="nil"/>
          <w:bottom w:val="nil"/>
          <w:right w:val="nil"/>
          <w:between w:val="nil"/>
        </w:pBdr>
        <w:rPr>
          <w:color w:val="000000" w:themeColor="text1"/>
        </w:rPr>
      </w:pPr>
    </w:p>
    <w:p w14:paraId="47D25D2A" w14:textId="787EFB79" w:rsidR="00B273EA" w:rsidRPr="00832A7E" w:rsidRDefault="003A3E1E" w:rsidP="003A5BF4">
      <w:pPr>
        <w:pBdr>
          <w:top w:val="nil"/>
          <w:left w:val="nil"/>
          <w:bottom w:val="nil"/>
          <w:right w:val="nil"/>
          <w:between w:val="nil"/>
        </w:pBdr>
        <w:rPr>
          <w:b/>
          <w:bCs/>
          <w:color w:val="000000" w:themeColor="text1"/>
          <w:highlight w:val="yellow"/>
        </w:rPr>
      </w:pPr>
      <w:r w:rsidRPr="00570688">
        <w:rPr>
          <w:color w:val="000000" w:themeColor="text1"/>
        </w:rPr>
        <w:t xml:space="preserve">5.5. Remove the BFA-containing medium and proceed immediately to </w:t>
      </w:r>
      <w:r w:rsidR="00486422" w:rsidRPr="00570688">
        <w:rPr>
          <w:color w:val="000000" w:themeColor="text1"/>
        </w:rPr>
        <w:t>Fixation</w:t>
      </w:r>
      <w:r w:rsidRPr="00570688">
        <w:rPr>
          <w:color w:val="000000" w:themeColor="text1"/>
        </w:rPr>
        <w:t>.</w:t>
      </w:r>
      <w:r w:rsidR="00D4089E" w:rsidRPr="00570688">
        <w:rPr>
          <w:color w:val="000000" w:themeColor="text1"/>
        </w:rPr>
        <w:tab/>
      </w:r>
      <w:r w:rsidRPr="00570688">
        <w:rPr>
          <w:color w:val="000000" w:themeColor="text1"/>
        </w:rPr>
        <w:br/>
      </w:r>
      <w:r w:rsidRPr="00570688">
        <w:rPr>
          <w:color w:val="000000" w:themeColor="text1"/>
        </w:rPr>
        <w:br/>
      </w:r>
      <w:r w:rsidR="00C33C96" w:rsidRPr="00832A7E">
        <w:rPr>
          <w:b/>
          <w:bCs/>
          <w:color w:val="000000" w:themeColor="text1"/>
          <w:highlight w:val="yellow"/>
        </w:rPr>
        <w:t>6. Immunofluorescence staining</w:t>
      </w:r>
    </w:p>
    <w:p w14:paraId="2EA218E4" w14:textId="77777777" w:rsidR="007A327E" w:rsidRPr="00832A7E" w:rsidRDefault="007A327E" w:rsidP="003A5BF4">
      <w:pPr>
        <w:pBdr>
          <w:top w:val="nil"/>
          <w:left w:val="nil"/>
          <w:bottom w:val="nil"/>
          <w:right w:val="nil"/>
          <w:between w:val="nil"/>
        </w:pBdr>
        <w:rPr>
          <w:color w:val="000000" w:themeColor="text1"/>
          <w:highlight w:val="yellow"/>
        </w:rPr>
      </w:pPr>
    </w:p>
    <w:p w14:paraId="7053C47D" w14:textId="1CAF0D43" w:rsidR="00AA0495" w:rsidRPr="00832A7E" w:rsidRDefault="00AA0495" w:rsidP="003A5BF4">
      <w:pPr>
        <w:pBdr>
          <w:top w:val="nil"/>
          <w:left w:val="nil"/>
          <w:bottom w:val="nil"/>
          <w:right w:val="nil"/>
          <w:between w:val="nil"/>
        </w:pBdr>
        <w:rPr>
          <w:color w:val="000000" w:themeColor="text1"/>
        </w:rPr>
      </w:pPr>
      <w:r w:rsidRPr="00832A7E">
        <w:rPr>
          <w:color w:val="000000" w:themeColor="text1"/>
        </w:rPr>
        <w:lastRenderedPageBreak/>
        <w:t>NOTE: From fixation onward, sterile technique is not required; staining may proceed on the bench, using a chemical fume hood whenever a CAUTION reagent is handled. Samples must not dry at any point; when aspirating, a thin buffer film is left</w:t>
      </w:r>
      <w:r w:rsidR="00F0762B" w:rsidRPr="00832A7E">
        <w:rPr>
          <w:color w:val="000000" w:themeColor="text1"/>
        </w:rPr>
        <w:t xml:space="preserve">, and the next solution is </w:t>
      </w:r>
      <w:r w:rsidRPr="00832A7E">
        <w:rPr>
          <w:color w:val="000000" w:themeColor="text1"/>
        </w:rPr>
        <w:t>added immediately.</w:t>
      </w:r>
    </w:p>
    <w:p w14:paraId="0D8B0116" w14:textId="025CD960" w:rsidR="00B273EA" w:rsidRPr="00570688" w:rsidRDefault="00000000" w:rsidP="003A5BF4">
      <w:pPr>
        <w:pBdr>
          <w:top w:val="nil"/>
          <w:left w:val="nil"/>
          <w:bottom w:val="nil"/>
          <w:right w:val="nil"/>
          <w:between w:val="nil"/>
        </w:pBdr>
        <w:rPr>
          <w:color w:val="000000" w:themeColor="text1"/>
        </w:rPr>
      </w:pPr>
      <w:r w:rsidRPr="00832A7E">
        <w:rPr>
          <w:color w:val="000000" w:themeColor="text1"/>
          <w:highlight w:val="yellow"/>
        </w:rPr>
        <w:br/>
      </w:r>
      <w:r w:rsidR="00AC5662" w:rsidRPr="00832A7E">
        <w:rPr>
          <w:color w:val="000000" w:themeColor="text1"/>
          <w:highlight w:val="yellow"/>
        </w:rPr>
        <w:t xml:space="preserve">6.1. </w:t>
      </w:r>
      <w:r w:rsidRPr="00832A7E">
        <w:rPr>
          <w:color w:val="000000" w:themeColor="text1"/>
          <w:highlight w:val="yellow"/>
        </w:rPr>
        <w:t>Fixation (choose one)</w:t>
      </w:r>
      <w:r w:rsidR="00BB5CDC" w:rsidRPr="00832A7E">
        <w:rPr>
          <w:color w:val="000000" w:themeColor="text1"/>
          <w:highlight w:val="yellow"/>
        </w:rPr>
        <w:t>:</w:t>
      </w:r>
    </w:p>
    <w:p w14:paraId="6271755C" w14:textId="77777777" w:rsidR="00DF07A0" w:rsidRPr="00570688" w:rsidRDefault="00DF07A0" w:rsidP="003A5BF4">
      <w:pPr>
        <w:pBdr>
          <w:top w:val="nil"/>
          <w:left w:val="nil"/>
          <w:bottom w:val="nil"/>
          <w:right w:val="nil"/>
          <w:between w:val="nil"/>
        </w:pBdr>
        <w:rPr>
          <w:color w:val="000000" w:themeColor="text1"/>
        </w:rPr>
      </w:pPr>
    </w:p>
    <w:p w14:paraId="75E1110A" w14:textId="12FABBEA" w:rsidR="00DF07A0" w:rsidRPr="00570688" w:rsidRDefault="00DF07A0" w:rsidP="003A5BF4">
      <w:pPr>
        <w:rPr>
          <w:b/>
          <w:color w:val="000000" w:themeColor="text1"/>
        </w:rPr>
      </w:pPr>
      <w:r w:rsidRPr="00570688">
        <w:rPr>
          <w:color w:val="000000" w:themeColor="text1"/>
        </w:rPr>
        <w:t xml:space="preserve">NOTE: The fixative is selected according to target localization and epitope sensitivity (see Discussion): </w:t>
      </w:r>
      <w:r w:rsidR="003A5BF4" w:rsidRPr="00570688">
        <w:rPr>
          <w:bCs/>
          <w:color w:val="000000" w:themeColor="text1"/>
        </w:rPr>
        <w:t>Paraformaldehyde(</w:t>
      </w:r>
      <w:r w:rsidRPr="00570688">
        <w:rPr>
          <w:color w:val="000000" w:themeColor="text1"/>
        </w:rPr>
        <w:t>PFA</w:t>
      </w:r>
      <w:r w:rsidR="003A5BF4" w:rsidRPr="00570688">
        <w:rPr>
          <w:color w:val="000000" w:themeColor="text1"/>
        </w:rPr>
        <w:t>)</w:t>
      </w:r>
      <w:r w:rsidR="00BE3BA1" w:rsidRPr="00570688">
        <w:rPr>
          <w:color w:val="000000" w:themeColor="text1"/>
        </w:rPr>
        <w:t xml:space="preserve"> (formaldehyde prepared from paraformaldehyde)</w:t>
      </w:r>
      <w:r w:rsidRPr="00570688">
        <w:rPr>
          <w:color w:val="000000" w:themeColor="text1"/>
        </w:rPr>
        <w:t xml:space="preserve"> suits most targets and is phalloidin-compatible; methanol may aid certain nuclear/phospho-epitopes but impairs F-actin staining.</w:t>
      </w:r>
    </w:p>
    <w:p w14:paraId="542F517E" w14:textId="59F06645" w:rsidR="008D11CE" w:rsidRPr="00570688" w:rsidRDefault="008D11CE" w:rsidP="003A5BF4">
      <w:pPr>
        <w:pBdr>
          <w:top w:val="nil"/>
          <w:left w:val="nil"/>
          <w:bottom w:val="nil"/>
          <w:right w:val="nil"/>
          <w:between w:val="nil"/>
        </w:pBdr>
        <w:rPr>
          <w:color w:val="000000" w:themeColor="text1"/>
        </w:rPr>
      </w:pPr>
    </w:p>
    <w:p w14:paraId="28B55DAB" w14:textId="546201E5" w:rsidR="00B273EA" w:rsidRPr="00832A7E" w:rsidRDefault="001B093B" w:rsidP="003A5BF4">
      <w:pPr>
        <w:pBdr>
          <w:top w:val="nil"/>
          <w:left w:val="nil"/>
          <w:bottom w:val="nil"/>
          <w:right w:val="nil"/>
          <w:between w:val="nil"/>
        </w:pBdr>
        <w:rPr>
          <w:color w:val="000000" w:themeColor="text1"/>
          <w:highlight w:val="yellow"/>
        </w:rPr>
      </w:pPr>
      <w:r w:rsidRPr="00832A7E">
        <w:rPr>
          <w:color w:val="000000" w:themeColor="text1"/>
          <w:highlight w:val="yellow"/>
        </w:rPr>
        <w:t>6.1.</w:t>
      </w:r>
      <w:r w:rsidR="00AC5662" w:rsidRPr="00832A7E">
        <w:rPr>
          <w:color w:val="000000" w:themeColor="text1"/>
          <w:highlight w:val="yellow"/>
        </w:rPr>
        <w:t xml:space="preserve">1. </w:t>
      </w:r>
      <w:r w:rsidRPr="00832A7E">
        <w:rPr>
          <w:color w:val="000000" w:themeColor="text1"/>
          <w:highlight w:val="yellow"/>
        </w:rPr>
        <w:t>PFA fixation (recommended for most targets):</w:t>
      </w:r>
    </w:p>
    <w:p w14:paraId="0A32F2E9" w14:textId="77777777" w:rsidR="007A327E" w:rsidRPr="00832A7E" w:rsidRDefault="007A327E" w:rsidP="003A5BF4">
      <w:pPr>
        <w:pBdr>
          <w:top w:val="nil"/>
          <w:left w:val="nil"/>
          <w:bottom w:val="nil"/>
          <w:right w:val="nil"/>
          <w:between w:val="nil"/>
        </w:pBdr>
        <w:rPr>
          <w:color w:val="000000" w:themeColor="text1"/>
          <w:highlight w:val="yellow"/>
        </w:rPr>
      </w:pPr>
    </w:p>
    <w:p w14:paraId="50D73732" w14:textId="5977CE06" w:rsidR="00B273EA" w:rsidRPr="00832A7E" w:rsidRDefault="00236CA3" w:rsidP="003A5BF4">
      <w:pPr>
        <w:pBdr>
          <w:top w:val="nil"/>
          <w:left w:val="nil"/>
          <w:bottom w:val="nil"/>
          <w:right w:val="nil"/>
          <w:between w:val="nil"/>
        </w:pBdr>
        <w:rPr>
          <w:color w:val="000000" w:themeColor="text1"/>
          <w:highlight w:val="yellow"/>
        </w:rPr>
      </w:pPr>
      <w:r w:rsidRPr="00832A7E">
        <w:rPr>
          <w:color w:val="000000" w:themeColor="text1"/>
          <w:highlight w:val="yellow"/>
        </w:rPr>
        <w:t>6.1.</w:t>
      </w:r>
      <w:proofErr w:type="gramStart"/>
      <w:r w:rsidR="00682BDF" w:rsidRPr="00832A7E">
        <w:rPr>
          <w:color w:val="000000" w:themeColor="text1"/>
          <w:highlight w:val="yellow"/>
        </w:rPr>
        <w:t>1.1</w:t>
      </w:r>
      <w:proofErr w:type="gramEnd"/>
      <w:r w:rsidR="001B093B" w:rsidRPr="00832A7E">
        <w:rPr>
          <w:color w:val="000000" w:themeColor="text1"/>
          <w:highlight w:val="yellow"/>
        </w:rPr>
        <w:t>.</w:t>
      </w:r>
      <w:r w:rsidRPr="00832A7E">
        <w:rPr>
          <w:color w:val="000000" w:themeColor="text1"/>
          <w:highlight w:val="yellow"/>
        </w:rPr>
        <w:t xml:space="preserve"> Aspirate medium and gently rinse once with </w:t>
      </w:r>
      <w:r w:rsidR="00795365" w:rsidRPr="00832A7E">
        <w:rPr>
          <w:color w:val="000000" w:themeColor="text1"/>
          <w:highlight w:val="yellow"/>
        </w:rPr>
        <w:t>Tris-buffered saline (</w:t>
      </w:r>
      <w:r w:rsidRPr="00832A7E">
        <w:rPr>
          <w:color w:val="000000" w:themeColor="text1"/>
          <w:highlight w:val="yellow"/>
        </w:rPr>
        <w:t>TBS</w:t>
      </w:r>
      <w:r w:rsidR="00795365" w:rsidRPr="00832A7E">
        <w:rPr>
          <w:color w:val="000000" w:themeColor="text1"/>
          <w:highlight w:val="yellow"/>
        </w:rPr>
        <w:t>)</w:t>
      </w:r>
      <w:r w:rsidRPr="00832A7E">
        <w:rPr>
          <w:color w:val="000000" w:themeColor="text1"/>
          <w:highlight w:val="yellow"/>
        </w:rPr>
        <w:t xml:space="preserve"> (0.5 mL/well).</w:t>
      </w:r>
    </w:p>
    <w:p w14:paraId="4CC09A16" w14:textId="77777777" w:rsidR="007A327E" w:rsidRPr="00832A7E" w:rsidRDefault="007A327E" w:rsidP="003A5BF4">
      <w:pPr>
        <w:pBdr>
          <w:top w:val="nil"/>
          <w:left w:val="nil"/>
          <w:bottom w:val="nil"/>
          <w:right w:val="nil"/>
          <w:between w:val="nil"/>
        </w:pBdr>
        <w:rPr>
          <w:color w:val="000000" w:themeColor="text1"/>
          <w:highlight w:val="yellow"/>
        </w:rPr>
      </w:pPr>
    </w:p>
    <w:p w14:paraId="6B6D5D57" w14:textId="6D71EF4A" w:rsidR="00B273EA" w:rsidRPr="00832A7E" w:rsidRDefault="00236CA3" w:rsidP="003A5BF4">
      <w:pPr>
        <w:pBdr>
          <w:top w:val="nil"/>
          <w:left w:val="nil"/>
          <w:bottom w:val="nil"/>
          <w:right w:val="nil"/>
          <w:between w:val="nil"/>
        </w:pBdr>
        <w:rPr>
          <w:color w:val="000000" w:themeColor="text1"/>
          <w:highlight w:val="yellow"/>
        </w:rPr>
      </w:pPr>
      <w:r w:rsidRPr="00832A7E">
        <w:rPr>
          <w:color w:val="000000" w:themeColor="text1"/>
          <w:highlight w:val="yellow"/>
        </w:rPr>
        <w:t>6.</w:t>
      </w:r>
      <w:r w:rsidR="001B093B" w:rsidRPr="00832A7E">
        <w:rPr>
          <w:color w:val="000000" w:themeColor="text1"/>
          <w:highlight w:val="yellow"/>
        </w:rPr>
        <w:t>1</w:t>
      </w:r>
      <w:r w:rsidRPr="00832A7E">
        <w:rPr>
          <w:color w:val="000000" w:themeColor="text1"/>
          <w:highlight w:val="yellow"/>
        </w:rPr>
        <w:t>.</w:t>
      </w:r>
      <w:r w:rsidR="00682BDF" w:rsidRPr="00832A7E">
        <w:rPr>
          <w:color w:val="000000" w:themeColor="text1"/>
          <w:highlight w:val="yellow"/>
        </w:rPr>
        <w:t>1</w:t>
      </w:r>
      <w:r w:rsidR="001B093B" w:rsidRPr="00832A7E">
        <w:rPr>
          <w:color w:val="000000" w:themeColor="text1"/>
          <w:highlight w:val="yellow"/>
        </w:rPr>
        <w:t>.</w:t>
      </w:r>
      <w:r w:rsidR="00682BDF" w:rsidRPr="00832A7E">
        <w:rPr>
          <w:color w:val="000000" w:themeColor="text1"/>
          <w:highlight w:val="yellow"/>
        </w:rPr>
        <w:t>2.</w:t>
      </w:r>
      <w:r w:rsidRPr="00832A7E">
        <w:rPr>
          <w:color w:val="000000" w:themeColor="text1"/>
          <w:highlight w:val="yellow"/>
        </w:rPr>
        <w:t xml:space="preserve"> Add 4% PFA </w:t>
      </w:r>
      <w:r w:rsidR="00750D72" w:rsidRPr="00832A7E">
        <w:rPr>
          <w:color w:val="000000" w:themeColor="text1"/>
          <w:highlight w:val="yellow"/>
        </w:rPr>
        <w:t xml:space="preserve">in </w:t>
      </w:r>
      <w:r w:rsidR="00927BCB" w:rsidRPr="00832A7E">
        <w:rPr>
          <w:color w:val="000000" w:themeColor="text1"/>
          <w:highlight w:val="yellow"/>
        </w:rPr>
        <w:t xml:space="preserve">PBS </w:t>
      </w:r>
      <w:r w:rsidR="00337B91" w:rsidRPr="00832A7E">
        <w:rPr>
          <w:color w:val="000000" w:themeColor="text1"/>
          <w:highlight w:val="yellow"/>
        </w:rPr>
        <w:t>(</w:t>
      </w:r>
      <w:r w:rsidR="00C33C96" w:rsidRPr="00832A7E">
        <w:rPr>
          <w:color w:val="000000" w:themeColor="text1"/>
          <w:highlight w:val="yellow"/>
        </w:rPr>
        <w:t>phosphate-buffered</w:t>
      </w:r>
      <w:r w:rsidR="00337B91" w:rsidRPr="00832A7E">
        <w:rPr>
          <w:color w:val="000000" w:themeColor="text1"/>
          <w:highlight w:val="yellow"/>
        </w:rPr>
        <w:t xml:space="preserve"> saline) </w:t>
      </w:r>
      <w:r w:rsidR="00750D72" w:rsidRPr="00832A7E">
        <w:rPr>
          <w:color w:val="000000" w:themeColor="text1"/>
          <w:highlight w:val="yellow"/>
        </w:rPr>
        <w:t xml:space="preserve"> </w:t>
      </w:r>
      <w:r w:rsidRPr="00832A7E">
        <w:rPr>
          <w:color w:val="000000" w:themeColor="text1"/>
          <w:highlight w:val="yellow"/>
        </w:rPr>
        <w:t>(0.5 mL/well) and incubate for 10 min at room temperature (≈25 °C).</w:t>
      </w:r>
    </w:p>
    <w:p w14:paraId="584D3853" w14:textId="77777777" w:rsidR="007A327E" w:rsidRPr="00832A7E" w:rsidRDefault="007A327E" w:rsidP="003A5BF4">
      <w:pPr>
        <w:pBdr>
          <w:top w:val="nil"/>
          <w:left w:val="nil"/>
          <w:bottom w:val="nil"/>
          <w:right w:val="nil"/>
          <w:between w:val="nil"/>
        </w:pBdr>
        <w:rPr>
          <w:color w:val="000000" w:themeColor="text1"/>
          <w:highlight w:val="yellow"/>
        </w:rPr>
      </w:pPr>
    </w:p>
    <w:p w14:paraId="0CAE4514" w14:textId="5EB86F2C" w:rsidR="007A327E" w:rsidRPr="00570688" w:rsidRDefault="00236CA3" w:rsidP="003A5BF4">
      <w:pPr>
        <w:pBdr>
          <w:top w:val="nil"/>
          <w:left w:val="nil"/>
          <w:bottom w:val="nil"/>
          <w:right w:val="nil"/>
          <w:between w:val="nil"/>
        </w:pBdr>
        <w:rPr>
          <w:color w:val="000000" w:themeColor="text1"/>
        </w:rPr>
      </w:pPr>
      <w:r w:rsidRPr="00832A7E">
        <w:rPr>
          <w:color w:val="000000" w:themeColor="text1"/>
          <w:highlight w:val="yellow"/>
        </w:rPr>
        <w:t>6.</w:t>
      </w:r>
      <w:r w:rsidR="001B093B" w:rsidRPr="00832A7E">
        <w:rPr>
          <w:color w:val="000000" w:themeColor="text1"/>
          <w:highlight w:val="yellow"/>
        </w:rPr>
        <w:t>1.</w:t>
      </w:r>
      <w:r w:rsidR="00682BDF" w:rsidRPr="00832A7E">
        <w:rPr>
          <w:color w:val="000000" w:themeColor="text1"/>
          <w:highlight w:val="yellow"/>
        </w:rPr>
        <w:t>1.3</w:t>
      </w:r>
      <w:r w:rsidRPr="00832A7E">
        <w:rPr>
          <w:color w:val="000000" w:themeColor="text1"/>
          <w:highlight w:val="yellow"/>
        </w:rPr>
        <w:t>. Aspirate PFA and wash 3× with TBS (aspirate promptly; do not let wells dry).</w:t>
      </w:r>
      <w:r w:rsidRPr="00570688">
        <w:rPr>
          <w:color w:val="000000" w:themeColor="text1"/>
        </w:rPr>
        <w:tab/>
        <w:t xml:space="preserve"> </w:t>
      </w:r>
      <w:r w:rsidRPr="00570688">
        <w:rPr>
          <w:color w:val="000000" w:themeColor="text1"/>
        </w:rPr>
        <w:br/>
      </w:r>
    </w:p>
    <w:p w14:paraId="5DA2CD30" w14:textId="3F9CA402" w:rsidR="00B273EA" w:rsidRPr="00570688" w:rsidRDefault="001B093B" w:rsidP="003A5BF4">
      <w:pPr>
        <w:pBdr>
          <w:top w:val="nil"/>
          <w:left w:val="nil"/>
          <w:bottom w:val="nil"/>
          <w:right w:val="nil"/>
          <w:between w:val="nil"/>
        </w:pBdr>
        <w:rPr>
          <w:color w:val="000000" w:themeColor="text1"/>
        </w:rPr>
      </w:pPr>
      <w:r w:rsidRPr="00570688">
        <w:rPr>
          <w:color w:val="000000" w:themeColor="text1"/>
        </w:rPr>
        <w:t xml:space="preserve">NOTE: </w:t>
      </w:r>
      <w:r w:rsidR="00BB5CDC" w:rsidRPr="00570688">
        <w:rPr>
          <w:color w:val="000000" w:themeColor="text1"/>
        </w:rPr>
        <w:t>CAUTION</w:t>
      </w:r>
      <w:r w:rsidR="00A648C6" w:rsidRPr="00570688">
        <w:rPr>
          <w:color w:val="000000" w:themeColor="text1"/>
        </w:rPr>
        <w:t>:</w:t>
      </w:r>
      <w:r w:rsidR="00BB5CDC" w:rsidRPr="00570688">
        <w:rPr>
          <w:color w:val="000000" w:themeColor="text1"/>
        </w:rPr>
        <w:t xml:space="preserve"> P</w:t>
      </w:r>
      <w:r w:rsidR="000B3217" w:rsidRPr="00570688">
        <w:rPr>
          <w:color w:val="000000" w:themeColor="text1"/>
        </w:rPr>
        <w:t xml:space="preserve">FA </w:t>
      </w:r>
      <w:r w:rsidR="00BB5CDC" w:rsidRPr="00570688">
        <w:rPr>
          <w:color w:val="000000" w:themeColor="text1"/>
        </w:rPr>
        <w:t xml:space="preserve">is toxic and a potential carcinogen. Handle PFA solutions in a certified chemical fume hood while wearing appropriate personal protective equipment (lab coat, gloves, and eye protection). Avoid inhalation and skin </w:t>
      </w:r>
      <w:proofErr w:type="gramStart"/>
      <w:r w:rsidR="00BB5CDC" w:rsidRPr="00570688">
        <w:rPr>
          <w:color w:val="000000" w:themeColor="text1"/>
        </w:rPr>
        <w:t>contact, and</w:t>
      </w:r>
      <w:proofErr w:type="gramEnd"/>
      <w:r w:rsidR="00BB5CDC" w:rsidRPr="00570688">
        <w:rPr>
          <w:color w:val="000000" w:themeColor="text1"/>
        </w:rPr>
        <w:t xml:space="preserve"> dispose of waste </w:t>
      </w:r>
      <w:r w:rsidR="002525D8" w:rsidRPr="00570688">
        <w:rPr>
          <w:color w:val="000000" w:themeColor="text1"/>
        </w:rPr>
        <w:t>in accordance with</w:t>
      </w:r>
      <w:r w:rsidR="00BB5CDC" w:rsidRPr="00570688">
        <w:rPr>
          <w:color w:val="000000" w:themeColor="text1"/>
        </w:rPr>
        <w:t xml:space="preserve"> institutional chemical safety guidelines.</w:t>
      </w:r>
    </w:p>
    <w:p w14:paraId="49A68A92" w14:textId="43475A65" w:rsidR="00B273EA" w:rsidRPr="00570688" w:rsidRDefault="00000000" w:rsidP="003A5BF4">
      <w:pPr>
        <w:pBdr>
          <w:top w:val="nil"/>
          <w:left w:val="nil"/>
          <w:bottom w:val="nil"/>
          <w:right w:val="nil"/>
          <w:between w:val="nil"/>
        </w:pBdr>
        <w:rPr>
          <w:color w:val="000000" w:themeColor="text1"/>
        </w:rPr>
      </w:pPr>
      <w:r w:rsidRPr="00570688">
        <w:rPr>
          <w:color w:val="000000" w:themeColor="text1"/>
        </w:rPr>
        <w:br/>
      </w:r>
      <w:r w:rsidR="001B093B" w:rsidRPr="00570688">
        <w:rPr>
          <w:color w:val="000000" w:themeColor="text1"/>
        </w:rPr>
        <w:t xml:space="preserve">6.2. </w:t>
      </w:r>
      <w:r w:rsidR="00B70F37" w:rsidRPr="00570688">
        <w:rPr>
          <w:color w:val="000000" w:themeColor="text1"/>
        </w:rPr>
        <w:t xml:space="preserve">Alternatively, </w:t>
      </w:r>
      <w:r w:rsidRPr="00570688">
        <w:rPr>
          <w:color w:val="000000" w:themeColor="text1"/>
        </w:rPr>
        <w:t>Methanol fixation (useful for some nuclear antigens and certain phospho-epitopes):</w:t>
      </w:r>
    </w:p>
    <w:p w14:paraId="3FD4E198" w14:textId="77777777" w:rsidR="001B093B" w:rsidRPr="00570688" w:rsidRDefault="001B093B" w:rsidP="003A5BF4">
      <w:pPr>
        <w:pBdr>
          <w:top w:val="nil"/>
          <w:left w:val="nil"/>
          <w:bottom w:val="nil"/>
          <w:right w:val="nil"/>
          <w:between w:val="nil"/>
        </w:pBdr>
        <w:rPr>
          <w:color w:val="000000" w:themeColor="text1"/>
        </w:rPr>
      </w:pPr>
    </w:p>
    <w:p w14:paraId="151EDE9B" w14:textId="62CA2D21" w:rsidR="00B273EA" w:rsidRPr="00570688" w:rsidRDefault="00E671D4" w:rsidP="003A5BF4">
      <w:pPr>
        <w:pBdr>
          <w:top w:val="nil"/>
          <w:left w:val="nil"/>
          <w:bottom w:val="nil"/>
          <w:right w:val="nil"/>
          <w:between w:val="nil"/>
        </w:pBdr>
        <w:rPr>
          <w:color w:val="000000" w:themeColor="text1"/>
        </w:rPr>
      </w:pPr>
      <w:r w:rsidRPr="00570688">
        <w:rPr>
          <w:color w:val="000000" w:themeColor="text1"/>
        </w:rPr>
        <w:t>6.</w:t>
      </w:r>
      <w:r w:rsidR="001B093B" w:rsidRPr="00570688">
        <w:rPr>
          <w:color w:val="000000" w:themeColor="text1"/>
        </w:rPr>
        <w:t>2</w:t>
      </w:r>
      <w:r w:rsidRPr="00570688">
        <w:rPr>
          <w:color w:val="000000" w:themeColor="text1"/>
        </w:rPr>
        <w:t>.</w:t>
      </w:r>
      <w:r w:rsidR="001B093B" w:rsidRPr="00570688">
        <w:rPr>
          <w:color w:val="000000" w:themeColor="text1"/>
        </w:rPr>
        <w:t>1.</w:t>
      </w:r>
      <w:r w:rsidRPr="00570688">
        <w:rPr>
          <w:color w:val="000000" w:themeColor="text1"/>
        </w:rPr>
        <w:t xml:space="preserve"> Pre-chill 100% methanol to −20 °C.</w:t>
      </w:r>
    </w:p>
    <w:p w14:paraId="25EDE8F1" w14:textId="77777777" w:rsidR="007A327E" w:rsidRPr="00570688" w:rsidRDefault="007A327E" w:rsidP="003A5BF4">
      <w:pPr>
        <w:pBdr>
          <w:top w:val="nil"/>
          <w:left w:val="nil"/>
          <w:bottom w:val="nil"/>
          <w:right w:val="nil"/>
          <w:between w:val="nil"/>
        </w:pBdr>
        <w:rPr>
          <w:color w:val="000000" w:themeColor="text1"/>
        </w:rPr>
      </w:pPr>
    </w:p>
    <w:p w14:paraId="5C4E926F" w14:textId="7F93A0BF" w:rsidR="00B273EA" w:rsidRPr="00570688" w:rsidRDefault="00E671D4" w:rsidP="003A5BF4">
      <w:pPr>
        <w:pBdr>
          <w:top w:val="nil"/>
          <w:left w:val="nil"/>
          <w:bottom w:val="nil"/>
          <w:right w:val="nil"/>
          <w:between w:val="nil"/>
        </w:pBdr>
        <w:rPr>
          <w:color w:val="000000" w:themeColor="text1"/>
        </w:rPr>
      </w:pPr>
      <w:r w:rsidRPr="00570688">
        <w:rPr>
          <w:color w:val="000000" w:themeColor="text1"/>
        </w:rPr>
        <w:t>6.</w:t>
      </w:r>
      <w:r w:rsidR="001B093B" w:rsidRPr="00570688">
        <w:rPr>
          <w:color w:val="000000" w:themeColor="text1"/>
        </w:rPr>
        <w:t>2</w:t>
      </w:r>
      <w:r w:rsidRPr="00570688">
        <w:rPr>
          <w:color w:val="000000" w:themeColor="text1"/>
        </w:rPr>
        <w:t>.</w:t>
      </w:r>
      <w:r w:rsidR="001B093B" w:rsidRPr="00570688">
        <w:rPr>
          <w:color w:val="000000" w:themeColor="text1"/>
        </w:rPr>
        <w:t>2.</w:t>
      </w:r>
      <w:r w:rsidRPr="00570688">
        <w:rPr>
          <w:color w:val="000000" w:themeColor="text1"/>
        </w:rPr>
        <w:t xml:space="preserve"> Add ice-cold methanol directly to cells (0.5 mL/well) and incubate for 5 min at −20 °C.</w:t>
      </w:r>
    </w:p>
    <w:p w14:paraId="29C17406" w14:textId="77777777" w:rsidR="007A327E" w:rsidRPr="00570688" w:rsidRDefault="007A327E" w:rsidP="003A5BF4">
      <w:pPr>
        <w:pBdr>
          <w:top w:val="nil"/>
          <w:left w:val="nil"/>
          <w:bottom w:val="nil"/>
          <w:right w:val="nil"/>
          <w:between w:val="nil"/>
        </w:pBdr>
        <w:rPr>
          <w:color w:val="000000" w:themeColor="text1"/>
        </w:rPr>
      </w:pPr>
    </w:p>
    <w:p w14:paraId="4D549A05" w14:textId="3C4F47B7" w:rsidR="00B273EA" w:rsidRPr="00570688" w:rsidRDefault="00E671D4" w:rsidP="003A5BF4">
      <w:pPr>
        <w:pBdr>
          <w:top w:val="nil"/>
          <w:left w:val="nil"/>
          <w:bottom w:val="nil"/>
          <w:right w:val="nil"/>
          <w:between w:val="nil"/>
        </w:pBdr>
        <w:rPr>
          <w:color w:val="000000" w:themeColor="text1"/>
        </w:rPr>
      </w:pPr>
      <w:r w:rsidRPr="00570688">
        <w:rPr>
          <w:color w:val="000000" w:themeColor="text1"/>
        </w:rPr>
        <w:t>6.</w:t>
      </w:r>
      <w:r w:rsidR="001B093B" w:rsidRPr="00570688">
        <w:rPr>
          <w:color w:val="000000" w:themeColor="text1"/>
        </w:rPr>
        <w:t>2</w:t>
      </w:r>
      <w:r w:rsidRPr="00570688">
        <w:rPr>
          <w:color w:val="000000" w:themeColor="text1"/>
        </w:rPr>
        <w:t>.</w:t>
      </w:r>
      <w:r w:rsidR="001B093B" w:rsidRPr="00570688">
        <w:rPr>
          <w:color w:val="000000" w:themeColor="text1"/>
        </w:rPr>
        <w:t>3.</w:t>
      </w:r>
      <w:r w:rsidRPr="00570688">
        <w:rPr>
          <w:color w:val="000000" w:themeColor="text1"/>
        </w:rPr>
        <w:t xml:space="preserve"> Wash 3× with TBS (aspirate promptly; do not let wells dry).</w:t>
      </w:r>
    </w:p>
    <w:p w14:paraId="63767FE5" w14:textId="77777777" w:rsidR="007A327E" w:rsidRPr="00570688" w:rsidRDefault="007A327E" w:rsidP="003A5BF4">
      <w:pPr>
        <w:pBdr>
          <w:top w:val="nil"/>
          <w:left w:val="nil"/>
          <w:bottom w:val="nil"/>
          <w:right w:val="nil"/>
          <w:between w:val="nil"/>
        </w:pBdr>
        <w:rPr>
          <w:color w:val="000000" w:themeColor="text1"/>
        </w:rPr>
      </w:pPr>
    </w:p>
    <w:p w14:paraId="6B0FADC5" w14:textId="0E19B51A" w:rsidR="00B273EA" w:rsidRPr="00570688" w:rsidRDefault="00926495" w:rsidP="003A5BF4">
      <w:pPr>
        <w:pBdr>
          <w:top w:val="nil"/>
          <w:left w:val="nil"/>
          <w:bottom w:val="nil"/>
          <w:right w:val="nil"/>
          <w:between w:val="nil"/>
        </w:pBdr>
        <w:rPr>
          <w:color w:val="000000" w:themeColor="text1"/>
        </w:rPr>
      </w:pPr>
      <w:r w:rsidRPr="00570688">
        <w:rPr>
          <w:color w:val="000000" w:themeColor="text1"/>
        </w:rPr>
        <w:t xml:space="preserve">NOTE: After methanol fixation, additional permeabilization may be unnecessary and should be optimized per antibody/epitope. Methanol fixation can damage membrane epitopes and </w:t>
      </w:r>
      <w:r w:rsidR="00C33C96" w:rsidRPr="00570688">
        <w:rPr>
          <w:color w:val="000000" w:themeColor="text1"/>
        </w:rPr>
        <w:t>impair</w:t>
      </w:r>
      <w:r w:rsidRPr="00570688">
        <w:rPr>
          <w:color w:val="000000" w:themeColor="text1"/>
        </w:rPr>
        <w:t xml:space="preserve"> fluorophore-conjugated phalloidin/F-actin staining.</w:t>
      </w:r>
      <w:r w:rsidRPr="00570688">
        <w:rPr>
          <w:color w:val="000000" w:themeColor="text1"/>
        </w:rPr>
        <w:tab/>
        <w:t>CAUTION:</w:t>
      </w:r>
      <w:r w:rsidR="00D4089E" w:rsidRPr="00570688">
        <w:rPr>
          <w:color w:val="000000" w:themeColor="text1"/>
        </w:rPr>
        <w:t xml:space="preserve"> </w:t>
      </w:r>
      <w:r w:rsidRPr="00570688">
        <w:rPr>
          <w:color w:val="000000" w:themeColor="text1"/>
        </w:rPr>
        <w:t>Methanol is toxic, volatile, and highly flammable. Handle in a well-ventilated area or chemical fume hood</w:t>
      </w:r>
      <w:r w:rsidR="00747D72" w:rsidRPr="00570688">
        <w:rPr>
          <w:color w:val="000000" w:themeColor="text1"/>
        </w:rPr>
        <w:t>; wear appropriate personal protective equipment; and keep</w:t>
      </w:r>
      <w:r w:rsidRPr="00570688">
        <w:rPr>
          <w:color w:val="000000" w:themeColor="text1"/>
        </w:rPr>
        <w:t xml:space="preserve"> away from open flames and heat sources.</w:t>
      </w:r>
      <w:r w:rsidR="00747D72" w:rsidRPr="00570688">
        <w:rPr>
          <w:color w:val="000000" w:themeColor="text1"/>
        </w:rPr>
        <w:t xml:space="preserve"> </w:t>
      </w:r>
      <w:r w:rsidRPr="00570688">
        <w:rPr>
          <w:color w:val="000000" w:themeColor="text1"/>
        </w:rPr>
        <w:t xml:space="preserve">OPTIONAL STOPPING POINT: After fixation, </w:t>
      </w:r>
      <w:r w:rsidR="000D3E86" w:rsidRPr="00570688">
        <w:rPr>
          <w:color w:val="000000" w:themeColor="text1"/>
        </w:rPr>
        <w:t xml:space="preserve">store samples at 4 °C in </w:t>
      </w:r>
      <w:r w:rsidR="00794223" w:rsidRPr="00570688">
        <w:rPr>
          <w:color w:val="000000" w:themeColor="text1"/>
        </w:rPr>
        <w:t>PBS</w:t>
      </w:r>
      <w:r w:rsidR="000D3E86" w:rsidRPr="00570688">
        <w:rPr>
          <w:color w:val="000000" w:themeColor="text1"/>
        </w:rPr>
        <w:t xml:space="preserve"> containing a low concentration of fixative (e.g., </w:t>
      </w:r>
      <w:r w:rsidR="003E0210" w:rsidRPr="00570688">
        <w:rPr>
          <w:color w:val="000000" w:themeColor="text1"/>
        </w:rPr>
        <w:t xml:space="preserve">PBS </w:t>
      </w:r>
      <w:r w:rsidR="000D3E86" w:rsidRPr="00570688">
        <w:rPr>
          <w:color w:val="000000" w:themeColor="text1"/>
        </w:rPr>
        <w:t xml:space="preserve"> + 0.1% PFA) for up to one week; validate storage timing for each antigen.</w:t>
      </w:r>
    </w:p>
    <w:p w14:paraId="538A4418" w14:textId="77777777" w:rsidR="00B273EA" w:rsidRPr="00570688" w:rsidRDefault="00B273EA" w:rsidP="003A5BF4">
      <w:pPr>
        <w:pBdr>
          <w:top w:val="nil"/>
          <w:left w:val="nil"/>
          <w:bottom w:val="nil"/>
          <w:right w:val="nil"/>
          <w:between w:val="nil"/>
        </w:pBdr>
        <w:rPr>
          <w:color w:val="000000" w:themeColor="text1"/>
        </w:rPr>
      </w:pPr>
    </w:p>
    <w:p w14:paraId="7A632B5A" w14:textId="6D2F217A" w:rsidR="00B273EA" w:rsidRPr="00570688" w:rsidRDefault="001B093B" w:rsidP="003A5BF4">
      <w:pPr>
        <w:pBdr>
          <w:top w:val="nil"/>
          <w:left w:val="nil"/>
          <w:bottom w:val="nil"/>
          <w:right w:val="nil"/>
          <w:between w:val="nil"/>
        </w:pBdr>
        <w:rPr>
          <w:color w:val="000000" w:themeColor="text1"/>
        </w:rPr>
      </w:pPr>
      <w:r w:rsidRPr="00570688">
        <w:rPr>
          <w:color w:val="000000" w:themeColor="text1"/>
        </w:rPr>
        <w:t>6.3. Aldehyde quenching (Optional)</w:t>
      </w:r>
    </w:p>
    <w:p w14:paraId="2615610F" w14:textId="77777777" w:rsidR="007A327E" w:rsidRPr="00570688" w:rsidRDefault="007A327E" w:rsidP="003A5BF4">
      <w:pPr>
        <w:pBdr>
          <w:top w:val="nil"/>
          <w:left w:val="nil"/>
          <w:bottom w:val="nil"/>
          <w:right w:val="nil"/>
          <w:between w:val="nil"/>
        </w:pBdr>
        <w:rPr>
          <w:color w:val="000000" w:themeColor="text1"/>
        </w:rPr>
      </w:pPr>
    </w:p>
    <w:p w14:paraId="49830558" w14:textId="6F67CEC7" w:rsidR="00B273EA" w:rsidRPr="00570688" w:rsidRDefault="00E671D4" w:rsidP="003A5BF4">
      <w:pPr>
        <w:pBdr>
          <w:top w:val="nil"/>
          <w:left w:val="nil"/>
          <w:bottom w:val="nil"/>
          <w:right w:val="nil"/>
          <w:between w:val="nil"/>
        </w:pBdr>
        <w:rPr>
          <w:color w:val="000000" w:themeColor="text1"/>
        </w:rPr>
      </w:pPr>
      <w:r w:rsidRPr="00570688">
        <w:rPr>
          <w:color w:val="000000" w:themeColor="text1"/>
        </w:rPr>
        <w:t>6.</w:t>
      </w:r>
      <w:r w:rsidR="001B093B" w:rsidRPr="00570688">
        <w:rPr>
          <w:color w:val="000000" w:themeColor="text1"/>
        </w:rPr>
        <w:t>3</w:t>
      </w:r>
      <w:r w:rsidRPr="00570688">
        <w:rPr>
          <w:color w:val="000000" w:themeColor="text1"/>
        </w:rPr>
        <w:t>.</w:t>
      </w:r>
      <w:r w:rsidR="001B093B" w:rsidRPr="00570688">
        <w:rPr>
          <w:color w:val="000000" w:themeColor="text1"/>
        </w:rPr>
        <w:t>1.</w:t>
      </w:r>
      <w:r w:rsidRPr="00570688">
        <w:rPr>
          <w:color w:val="000000" w:themeColor="text1"/>
        </w:rPr>
        <w:t xml:space="preserve"> Incubate with 50 mM glycine in TBS </w:t>
      </w:r>
      <w:r w:rsidR="00215092" w:rsidRPr="00570688">
        <w:rPr>
          <w:color w:val="000000" w:themeColor="text1"/>
        </w:rPr>
        <w:t xml:space="preserve">(0.5 mL/well) </w:t>
      </w:r>
      <w:r w:rsidRPr="00570688">
        <w:rPr>
          <w:color w:val="000000" w:themeColor="text1"/>
        </w:rPr>
        <w:t>for 5 min at room temperature (≈25 °C).</w:t>
      </w:r>
    </w:p>
    <w:p w14:paraId="67FF79DB" w14:textId="77777777" w:rsidR="007A327E" w:rsidRPr="00570688" w:rsidRDefault="007A327E" w:rsidP="003A5BF4">
      <w:pPr>
        <w:pBdr>
          <w:top w:val="nil"/>
          <w:left w:val="nil"/>
          <w:bottom w:val="nil"/>
          <w:right w:val="nil"/>
          <w:between w:val="nil"/>
        </w:pBdr>
        <w:rPr>
          <w:color w:val="000000" w:themeColor="text1"/>
        </w:rPr>
      </w:pPr>
    </w:p>
    <w:p w14:paraId="4270DF4E" w14:textId="434A1B84" w:rsidR="00B273EA" w:rsidRPr="00570688" w:rsidRDefault="00E671D4" w:rsidP="003A5BF4">
      <w:pPr>
        <w:pBdr>
          <w:top w:val="nil"/>
          <w:left w:val="nil"/>
          <w:bottom w:val="nil"/>
          <w:right w:val="nil"/>
          <w:between w:val="nil"/>
        </w:pBdr>
        <w:rPr>
          <w:color w:val="000000" w:themeColor="text1"/>
        </w:rPr>
      </w:pPr>
      <w:r w:rsidRPr="00570688">
        <w:rPr>
          <w:color w:val="000000" w:themeColor="text1"/>
        </w:rPr>
        <w:t>6.</w:t>
      </w:r>
      <w:r w:rsidR="001B093B" w:rsidRPr="00570688">
        <w:rPr>
          <w:color w:val="000000" w:themeColor="text1"/>
        </w:rPr>
        <w:t>3</w:t>
      </w:r>
      <w:r w:rsidRPr="00570688">
        <w:rPr>
          <w:color w:val="000000" w:themeColor="text1"/>
        </w:rPr>
        <w:t>.</w:t>
      </w:r>
      <w:r w:rsidR="001B093B" w:rsidRPr="00570688">
        <w:rPr>
          <w:color w:val="000000" w:themeColor="text1"/>
        </w:rPr>
        <w:t>2.</w:t>
      </w:r>
      <w:r w:rsidRPr="00570688">
        <w:rPr>
          <w:color w:val="000000" w:themeColor="text1"/>
        </w:rPr>
        <w:t xml:space="preserve"> Wash 3× with</w:t>
      </w:r>
      <w:r w:rsidR="0000570B" w:rsidRPr="00570688">
        <w:rPr>
          <w:color w:val="000000" w:themeColor="text1"/>
        </w:rPr>
        <w:t xml:space="preserve"> </w:t>
      </w:r>
      <w:r w:rsidR="00795365" w:rsidRPr="00570688">
        <w:rPr>
          <w:color w:val="000000" w:themeColor="text1"/>
        </w:rPr>
        <w:t xml:space="preserve">TBS + </w:t>
      </w:r>
      <w:r w:rsidR="00FA08BD" w:rsidRPr="00570688">
        <w:rPr>
          <w:color w:val="000000" w:themeColor="text1"/>
        </w:rPr>
        <w:t xml:space="preserve">0.05% </w:t>
      </w:r>
      <w:r w:rsidR="000166AB" w:rsidRPr="00570688">
        <w:rPr>
          <w:color w:val="000000" w:themeColor="text1"/>
        </w:rPr>
        <w:t>polysorbate 20</w:t>
      </w:r>
      <w:r w:rsidR="00795365" w:rsidRPr="00570688">
        <w:rPr>
          <w:color w:val="000000" w:themeColor="text1"/>
        </w:rPr>
        <w:t>.</w:t>
      </w:r>
    </w:p>
    <w:p w14:paraId="264B96A3" w14:textId="77777777" w:rsidR="007A327E" w:rsidRPr="00570688" w:rsidRDefault="007A327E" w:rsidP="003A5BF4">
      <w:pPr>
        <w:pBdr>
          <w:top w:val="nil"/>
          <w:left w:val="nil"/>
          <w:bottom w:val="nil"/>
          <w:right w:val="nil"/>
          <w:between w:val="nil"/>
        </w:pBdr>
        <w:rPr>
          <w:color w:val="000000" w:themeColor="text1"/>
        </w:rPr>
      </w:pPr>
    </w:p>
    <w:p w14:paraId="7F33811C" w14:textId="77777777" w:rsidR="00B273EA" w:rsidRPr="00570688" w:rsidRDefault="00000000" w:rsidP="003A5BF4">
      <w:pPr>
        <w:pBdr>
          <w:top w:val="nil"/>
          <w:left w:val="nil"/>
          <w:bottom w:val="nil"/>
          <w:right w:val="nil"/>
          <w:between w:val="nil"/>
        </w:pBdr>
        <w:rPr>
          <w:color w:val="000000" w:themeColor="text1"/>
        </w:rPr>
      </w:pPr>
      <w:r w:rsidRPr="00570688">
        <w:rPr>
          <w:color w:val="000000" w:themeColor="text1"/>
        </w:rPr>
        <w:t>NOTE: Glycine neutralizes free aldehyde groups remaining after PFA fixation, reducing fixation-related autofluorescence and improving antibody staining specificity.</w:t>
      </w:r>
    </w:p>
    <w:p w14:paraId="75ECFDD7" w14:textId="77777777" w:rsidR="00B273EA" w:rsidRPr="00570688" w:rsidRDefault="00B273EA" w:rsidP="003A5BF4">
      <w:pPr>
        <w:pBdr>
          <w:top w:val="nil"/>
          <w:left w:val="nil"/>
          <w:bottom w:val="nil"/>
          <w:right w:val="nil"/>
          <w:between w:val="nil"/>
        </w:pBdr>
        <w:rPr>
          <w:color w:val="000000" w:themeColor="text1"/>
        </w:rPr>
      </w:pPr>
    </w:p>
    <w:p w14:paraId="1FD305E3" w14:textId="44BE9138" w:rsidR="00B273EA" w:rsidRPr="00832A7E" w:rsidRDefault="001B093B" w:rsidP="003A5BF4">
      <w:pPr>
        <w:pBdr>
          <w:top w:val="nil"/>
          <w:left w:val="nil"/>
          <w:bottom w:val="nil"/>
          <w:right w:val="nil"/>
          <w:between w:val="nil"/>
        </w:pBdr>
        <w:rPr>
          <w:color w:val="000000" w:themeColor="text1"/>
          <w:highlight w:val="yellow"/>
        </w:rPr>
      </w:pPr>
      <w:r w:rsidRPr="00832A7E">
        <w:rPr>
          <w:color w:val="000000" w:themeColor="text1"/>
          <w:highlight w:val="yellow"/>
        </w:rPr>
        <w:t>6.4. Permeabilization</w:t>
      </w:r>
    </w:p>
    <w:p w14:paraId="4589DC56" w14:textId="77777777" w:rsidR="007A327E" w:rsidRPr="00832A7E" w:rsidRDefault="007A327E" w:rsidP="003A5BF4">
      <w:pPr>
        <w:pBdr>
          <w:top w:val="nil"/>
          <w:left w:val="nil"/>
          <w:bottom w:val="nil"/>
          <w:right w:val="nil"/>
          <w:between w:val="nil"/>
        </w:pBdr>
        <w:rPr>
          <w:color w:val="000000" w:themeColor="text1"/>
          <w:highlight w:val="yellow"/>
        </w:rPr>
      </w:pPr>
    </w:p>
    <w:p w14:paraId="7D9594C7" w14:textId="7BF2076A" w:rsidR="00B273EA" w:rsidRPr="00832A7E" w:rsidRDefault="00E671D4" w:rsidP="003A5BF4">
      <w:pPr>
        <w:pBdr>
          <w:top w:val="nil"/>
          <w:left w:val="nil"/>
          <w:bottom w:val="nil"/>
          <w:right w:val="nil"/>
          <w:between w:val="nil"/>
        </w:pBdr>
        <w:rPr>
          <w:color w:val="000000" w:themeColor="text1"/>
          <w:highlight w:val="yellow"/>
        </w:rPr>
      </w:pPr>
      <w:r w:rsidRPr="00832A7E">
        <w:rPr>
          <w:color w:val="000000" w:themeColor="text1"/>
          <w:highlight w:val="yellow"/>
        </w:rPr>
        <w:t>6.</w:t>
      </w:r>
      <w:r w:rsidR="001B093B" w:rsidRPr="00832A7E">
        <w:rPr>
          <w:color w:val="000000" w:themeColor="text1"/>
          <w:highlight w:val="yellow"/>
        </w:rPr>
        <w:t>4</w:t>
      </w:r>
      <w:r w:rsidRPr="00832A7E">
        <w:rPr>
          <w:color w:val="000000" w:themeColor="text1"/>
          <w:highlight w:val="yellow"/>
        </w:rPr>
        <w:t>.</w:t>
      </w:r>
      <w:r w:rsidR="001B093B" w:rsidRPr="00832A7E">
        <w:rPr>
          <w:color w:val="000000" w:themeColor="text1"/>
          <w:highlight w:val="yellow"/>
        </w:rPr>
        <w:t>1.</w:t>
      </w:r>
      <w:r w:rsidRPr="00832A7E">
        <w:rPr>
          <w:color w:val="000000" w:themeColor="text1"/>
          <w:highlight w:val="yellow"/>
        </w:rPr>
        <w:t xml:space="preserve"> </w:t>
      </w:r>
      <w:r w:rsidR="007F6D20" w:rsidRPr="00832A7E">
        <w:rPr>
          <w:color w:val="000000" w:themeColor="text1"/>
          <w:highlight w:val="yellow"/>
        </w:rPr>
        <w:t xml:space="preserve">If targeting membrane proteins, skip permeabilization and proceed to step </w:t>
      </w:r>
      <w:r w:rsidR="008A395A" w:rsidRPr="00832A7E">
        <w:rPr>
          <w:color w:val="000000" w:themeColor="text1"/>
          <w:highlight w:val="yellow"/>
        </w:rPr>
        <w:t>6.</w:t>
      </w:r>
      <w:r w:rsidR="00682BDF" w:rsidRPr="00832A7E">
        <w:rPr>
          <w:color w:val="000000" w:themeColor="text1"/>
          <w:highlight w:val="yellow"/>
        </w:rPr>
        <w:t>5</w:t>
      </w:r>
      <w:r w:rsidR="007F6D20" w:rsidRPr="00832A7E">
        <w:rPr>
          <w:color w:val="000000" w:themeColor="text1"/>
          <w:highlight w:val="yellow"/>
        </w:rPr>
        <w:t>.</w:t>
      </w:r>
      <w:r w:rsidR="00682BDF" w:rsidRPr="00832A7E">
        <w:rPr>
          <w:color w:val="000000" w:themeColor="text1"/>
          <w:highlight w:val="yellow"/>
        </w:rPr>
        <w:t>1.</w:t>
      </w:r>
      <w:r w:rsidR="007F6D20" w:rsidRPr="00832A7E">
        <w:rPr>
          <w:color w:val="000000" w:themeColor="text1"/>
          <w:highlight w:val="yellow"/>
        </w:rPr>
        <w:t xml:space="preserve"> </w:t>
      </w:r>
    </w:p>
    <w:p w14:paraId="679BA80A" w14:textId="77777777" w:rsidR="007A327E" w:rsidRPr="00832A7E" w:rsidRDefault="007A327E" w:rsidP="003A5BF4">
      <w:pPr>
        <w:pBdr>
          <w:top w:val="nil"/>
          <w:left w:val="nil"/>
          <w:bottom w:val="nil"/>
          <w:right w:val="nil"/>
          <w:between w:val="nil"/>
        </w:pBdr>
        <w:rPr>
          <w:color w:val="000000" w:themeColor="text1"/>
          <w:highlight w:val="yellow"/>
        </w:rPr>
      </w:pPr>
    </w:p>
    <w:p w14:paraId="469B59D2" w14:textId="42F212F9" w:rsidR="00B273EA" w:rsidRPr="00832A7E" w:rsidRDefault="00E671D4" w:rsidP="003A5BF4">
      <w:pPr>
        <w:pBdr>
          <w:top w:val="nil"/>
          <w:left w:val="nil"/>
          <w:bottom w:val="nil"/>
          <w:right w:val="nil"/>
          <w:between w:val="nil"/>
        </w:pBdr>
        <w:rPr>
          <w:color w:val="000000" w:themeColor="text1"/>
          <w:highlight w:val="yellow"/>
        </w:rPr>
      </w:pPr>
      <w:r w:rsidRPr="00832A7E">
        <w:rPr>
          <w:color w:val="000000" w:themeColor="text1"/>
          <w:highlight w:val="yellow"/>
        </w:rPr>
        <w:t>6.</w:t>
      </w:r>
      <w:r w:rsidR="001B093B" w:rsidRPr="00832A7E">
        <w:rPr>
          <w:color w:val="000000" w:themeColor="text1"/>
          <w:highlight w:val="yellow"/>
        </w:rPr>
        <w:t>4</w:t>
      </w:r>
      <w:r w:rsidRPr="00832A7E">
        <w:rPr>
          <w:color w:val="000000" w:themeColor="text1"/>
          <w:highlight w:val="yellow"/>
        </w:rPr>
        <w:t>.</w:t>
      </w:r>
      <w:r w:rsidR="001B093B" w:rsidRPr="00832A7E">
        <w:rPr>
          <w:color w:val="000000" w:themeColor="text1"/>
          <w:highlight w:val="yellow"/>
        </w:rPr>
        <w:t>2.</w:t>
      </w:r>
      <w:r w:rsidRPr="00832A7E">
        <w:rPr>
          <w:color w:val="000000" w:themeColor="text1"/>
          <w:highlight w:val="yellow"/>
        </w:rPr>
        <w:t xml:space="preserve"> </w:t>
      </w:r>
      <w:r w:rsidR="001F149C" w:rsidRPr="00832A7E">
        <w:rPr>
          <w:color w:val="000000" w:themeColor="text1"/>
          <w:highlight w:val="yellow"/>
        </w:rPr>
        <w:t xml:space="preserve">If targeting intracellular or nuclear proteins, permeabilize with 0.1–0.3% </w:t>
      </w:r>
      <w:r w:rsidR="00FA08BD" w:rsidRPr="00832A7E">
        <w:rPr>
          <w:color w:val="000000" w:themeColor="text1"/>
          <w:highlight w:val="yellow"/>
        </w:rPr>
        <w:t xml:space="preserve">non-ionic detergent </w:t>
      </w:r>
      <w:r w:rsidR="001F149C" w:rsidRPr="00832A7E">
        <w:rPr>
          <w:color w:val="000000" w:themeColor="text1"/>
          <w:highlight w:val="yellow"/>
        </w:rPr>
        <w:t xml:space="preserve">in TBS (0.5 mL/well) for 5–10 min at room temperature (≈25 °C). </w:t>
      </w:r>
    </w:p>
    <w:p w14:paraId="530ED1BF" w14:textId="77777777" w:rsidR="007A327E" w:rsidRPr="00832A7E" w:rsidRDefault="007A327E" w:rsidP="003A5BF4">
      <w:pPr>
        <w:pBdr>
          <w:top w:val="nil"/>
          <w:left w:val="nil"/>
          <w:bottom w:val="nil"/>
          <w:right w:val="nil"/>
          <w:between w:val="nil"/>
        </w:pBdr>
        <w:rPr>
          <w:color w:val="000000" w:themeColor="text1"/>
          <w:highlight w:val="yellow"/>
        </w:rPr>
      </w:pPr>
    </w:p>
    <w:p w14:paraId="238FA07C" w14:textId="247AEB57" w:rsidR="00DF07A0" w:rsidRPr="00570688" w:rsidRDefault="00E671D4" w:rsidP="003A5BF4">
      <w:pPr>
        <w:pBdr>
          <w:top w:val="nil"/>
          <w:left w:val="nil"/>
          <w:bottom w:val="nil"/>
          <w:right w:val="nil"/>
          <w:between w:val="nil"/>
        </w:pBdr>
        <w:rPr>
          <w:color w:val="000000" w:themeColor="text1"/>
        </w:rPr>
      </w:pPr>
      <w:r w:rsidRPr="00832A7E">
        <w:rPr>
          <w:color w:val="000000" w:themeColor="text1"/>
          <w:highlight w:val="yellow"/>
        </w:rPr>
        <w:t>6.</w:t>
      </w:r>
      <w:r w:rsidR="001B093B" w:rsidRPr="00832A7E">
        <w:rPr>
          <w:color w:val="000000" w:themeColor="text1"/>
          <w:highlight w:val="yellow"/>
        </w:rPr>
        <w:t>4</w:t>
      </w:r>
      <w:r w:rsidRPr="00832A7E">
        <w:rPr>
          <w:color w:val="000000" w:themeColor="text1"/>
          <w:highlight w:val="yellow"/>
        </w:rPr>
        <w:t>.</w:t>
      </w:r>
      <w:r w:rsidR="001B093B" w:rsidRPr="00832A7E">
        <w:rPr>
          <w:color w:val="000000" w:themeColor="text1"/>
          <w:highlight w:val="yellow"/>
        </w:rPr>
        <w:t>3.</w:t>
      </w:r>
      <w:r w:rsidRPr="00832A7E">
        <w:rPr>
          <w:color w:val="000000" w:themeColor="text1"/>
          <w:highlight w:val="yellow"/>
        </w:rPr>
        <w:t xml:space="preserve"> Wash 3× with TBST.</w:t>
      </w:r>
      <w:r w:rsidR="00701790" w:rsidRPr="00570688">
        <w:rPr>
          <w:color w:val="000000" w:themeColor="text1"/>
        </w:rPr>
        <w:tab/>
      </w:r>
      <w:r w:rsidR="00870696" w:rsidRPr="00570688">
        <w:rPr>
          <w:color w:val="000000" w:themeColor="text1"/>
        </w:rPr>
        <w:br/>
      </w:r>
    </w:p>
    <w:p w14:paraId="6B1EBFE5" w14:textId="0B20C8B0" w:rsidR="00141B02" w:rsidRPr="00570688" w:rsidRDefault="00DF07A0" w:rsidP="003A5BF4">
      <w:pPr>
        <w:pBdr>
          <w:top w:val="nil"/>
          <w:left w:val="nil"/>
          <w:bottom w:val="nil"/>
          <w:right w:val="nil"/>
          <w:between w:val="nil"/>
        </w:pBdr>
        <w:rPr>
          <w:color w:val="000000" w:themeColor="text1"/>
        </w:rPr>
      </w:pPr>
      <w:r w:rsidRPr="00570688">
        <w:rPr>
          <w:color w:val="000000" w:themeColor="text1"/>
        </w:rPr>
        <w:t xml:space="preserve">NOTE: </w:t>
      </w:r>
      <w:proofErr w:type="spellStart"/>
      <w:r w:rsidR="000166AB" w:rsidRPr="00570688">
        <w:rPr>
          <w:color w:val="000000" w:themeColor="text1"/>
        </w:rPr>
        <w:t>Octylphenol</w:t>
      </w:r>
      <w:proofErr w:type="spellEnd"/>
      <w:r w:rsidR="000166AB" w:rsidRPr="00570688">
        <w:rPr>
          <w:color w:val="000000" w:themeColor="text1"/>
        </w:rPr>
        <w:t xml:space="preserve"> ethoxylate nonionic detergent </w:t>
      </w:r>
      <w:r w:rsidRPr="00570688">
        <w:rPr>
          <w:color w:val="000000" w:themeColor="text1"/>
        </w:rPr>
        <w:t>concentration and time are optimized to the target; adequacy is judged by correct-compartment signal, preserved morphology, well-defined F-actin, and low background (see Discussion). If saponin is used, it is maintained in all subsequent antibody and wash buffers.</w:t>
      </w:r>
      <w:r w:rsidR="001B093B" w:rsidRPr="00570688">
        <w:rPr>
          <w:color w:val="000000" w:themeColor="text1"/>
        </w:rPr>
        <w:t xml:space="preserve"> </w:t>
      </w:r>
      <w:r w:rsidR="00A50A02" w:rsidRPr="00570688">
        <w:rPr>
          <w:color w:val="000000" w:themeColor="text1"/>
        </w:rPr>
        <w:t xml:space="preserve">CAUTION: </w:t>
      </w:r>
      <w:proofErr w:type="spellStart"/>
      <w:r w:rsidR="000166AB" w:rsidRPr="00570688">
        <w:rPr>
          <w:color w:val="000000" w:themeColor="text1"/>
        </w:rPr>
        <w:t>Octylphenol</w:t>
      </w:r>
      <w:proofErr w:type="spellEnd"/>
      <w:r w:rsidR="000166AB" w:rsidRPr="00570688">
        <w:rPr>
          <w:color w:val="000000" w:themeColor="text1"/>
        </w:rPr>
        <w:t xml:space="preserve"> ethoxylate nonionic detergent </w:t>
      </w:r>
      <w:r w:rsidR="00A50A02" w:rsidRPr="00570688">
        <w:rPr>
          <w:color w:val="000000" w:themeColor="text1"/>
        </w:rPr>
        <w:t>is harmful if inhaled or in contact with skin and may cause eye irritation. Handle with gloves and avoid aerosol formation.</w:t>
      </w:r>
    </w:p>
    <w:p w14:paraId="38445965" w14:textId="77777777" w:rsidR="00B273EA" w:rsidRPr="00570688" w:rsidRDefault="00B273EA" w:rsidP="003A5BF4">
      <w:pPr>
        <w:pBdr>
          <w:top w:val="nil"/>
          <w:left w:val="nil"/>
          <w:bottom w:val="nil"/>
          <w:right w:val="nil"/>
          <w:between w:val="nil"/>
        </w:pBdr>
        <w:rPr>
          <w:color w:val="000000" w:themeColor="text1"/>
        </w:rPr>
      </w:pPr>
    </w:p>
    <w:p w14:paraId="312652F5" w14:textId="1A62B36E" w:rsidR="00B273EA" w:rsidRPr="00832A7E" w:rsidRDefault="001B093B" w:rsidP="003A5BF4">
      <w:pPr>
        <w:pBdr>
          <w:top w:val="nil"/>
          <w:left w:val="nil"/>
          <w:bottom w:val="nil"/>
          <w:right w:val="nil"/>
          <w:between w:val="nil"/>
        </w:pBdr>
        <w:rPr>
          <w:color w:val="000000" w:themeColor="text1"/>
          <w:highlight w:val="yellow"/>
        </w:rPr>
      </w:pPr>
      <w:r w:rsidRPr="00832A7E">
        <w:rPr>
          <w:color w:val="000000" w:themeColor="text1"/>
          <w:highlight w:val="yellow"/>
        </w:rPr>
        <w:t>6.5. Blocking</w:t>
      </w:r>
    </w:p>
    <w:p w14:paraId="49D41F40" w14:textId="77777777" w:rsidR="007A327E" w:rsidRPr="00832A7E" w:rsidRDefault="007A327E" w:rsidP="003A5BF4">
      <w:pPr>
        <w:pBdr>
          <w:top w:val="nil"/>
          <w:left w:val="nil"/>
          <w:bottom w:val="nil"/>
          <w:right w:val="nil"/>
          <w:between w:val="nil"/>
        </w:pBdr>
        <w:rPr>
          <w:color w:val="000000" w:themeColor="text1"/>
          <w:highlight w:val="yellow"/>
        </w:rPr>
      </w:pPr>
    </w:p>
    <w:p w14:paraId="26493D9F" w14:textId="30544E74" w:rsidR="00B273EA" w:rsidRPr="00832A7E" w:rsidRDefault="00E671D4" w:rsidP="003A5BF4">
      <w:pPr>
        <w:pBdr>
          <w:top w:val="nil"/>
          <w:left w:val="nil"/>
          <w:bottom w:val="nil"/>
          <w:right w:val="nil"/>
          <w:between w:val="nil"/>
        </w:pBdr>
        <w:rPr>
          <w:color w:val="000000" w:themeColor="text1"/>
          <w:highlight w:val="yellow"/>
        </w:rPr>
      </w:pPr>
      <w:r w:rsidRPr="00832A7E">
        <w:rPr>
          <w:color w:val="000000" w:themeColor="text1"/>
          <w:highlight w:val="yellow"/>
        </w:rPr>
        <w:t>6.</w:t>
      </w:r>
      <w:r w:rsidR="001B093B" w:rsidRPr="00832A7E">
        <w:rPr>
          <w:color w:val="000000" w:themeColor="text1"/>
          <w:highlight w:val="yellow"/>
        </w:rPr>
        <w:t>5.</w:t>
      </w:r>
      <w:r w:rsidRPr="00832A7E">
        <w:rPr>
          <w:color w:val="000000" w:themeColor="text1"/>
          <w:highlight w:val="yellow"/>
        </w:rPr>
        <w:t xml:space="preserve">1. </w:t>
      </w:r>
      <w:r w:rsidR="00070BD8" w:rsidRPr="00832A7E">
        <w:rPr>
          <w:color w:val="000000" w:themeColor="text1"/>
          <w:highlight w:val="yellow"/>
        </w:rPr>
        <w:t xml:space="preserve">Add 0.5 mL/well of blocking solution (5% bovine serum albumin </w:t>
      </w:r>
      <w:r w:rsidR="00F0762B" w:rsidRPr="00832A7E">
        <w:rPr>
          <w:color w:val="000000" w:themeColor="text1"/>
          <w:highlight w:val="yellow"/>
        </w:rPr>
        <w:t>(</w:t>
      </w:r>
      <w:r w:rsidR="00070BD8" w:rsidRPr="00832A7E">
        <w:rPr>
          <w:color w:val="000000" w:themeColor="text1"/>
          <w:highlight w:val="yellow"/>
        </w:rPr>
        <w:t>BSA</w:t>
      </w:r>
      <w:r w:rsidR="00F0762B" w:rsidRPr="00832A7E">
        <w:rPr>
          <w:color w:val="000000" w:themeColor="text1"/>
          <w:highlight w:val="yellow"/>
        </w:rPr>
        <w:t>)</w:t>
      </w:r>
      <w:r w:rsidR="00070BD8" w:rsidRPr="00832A7E">
        <w:rPr>
          <w:color w:val="000000" w:themeColor="text1"/>
          <w:highlight w:val="yellow"/>
        </w:rPr>
        <w:t xml:space="preserve">, in TBS) and incubate for 30 min at room temperature (≈25 °C). </w:t>
      </w:r>
    </w:p>
    <w:p w14:paraId="55EE126A" w14:textId="77777777" w:rsidR="007A327E" w:rsidRPr="00832A7E" w:rsidRDefault="007A327E" w:rsidP="003A5BF4">
      <w:pPr>
        <w:pBdr>
          <w:top w:val="nil"/>
          <w:left w:val="nil"/>
          <w:bottom w:val="nil"/>
          <w:right w:val="nil"/>
          <w:between w:val="nil"/>
        </w:pBdr>
        <w:rPr>
          <w:color w:val="000000" w:themeColor="text1"/>
          <w:highlight w:val="yellow"/>
        </w:rPr>
      </w:pPr>
    </w:p>
    <w:p w14:paraId="62CDD493" w14:textId="548A511C" w:rsidR="00B273EA" w:rsidRPr="00832A7E" w:rsidRDefault="00F94B61" w:rsidP="003A5BF4">
      <w:pPr>
        <w:pBdr>
          <w:top w:val="nil"/>
          <w:left w:val="nil"/>
          <w:bottom w:val="nil"/>
          <w:right w:val="nil"/>
          <w:between w:val="nil"/>
        </w:pBdr>
        <w:rPr>
          <w:color w:val="000000" w:themeColor="text1"/>
          <w:highlight w:val="yellow"/>
        </w:rPr>
      </w:pPr>
      <w:r w:rsidRPr="00832A7E">
        <w:rPr>
          <w:color w:val="000000" w:themeColor="text1"/>
          <w:highlight w:val="yellow"/>
        </w:rPr>
        <w:t>6.</w:t>
      </w:r>
      <w:r w:rsidR="001B093B" w:rsidRPr="00832A7E">
        <w:rPr>
          <w:color w:val="000000" w:themeColor="text1"/>
          <w:highlight w:val="yellow"/>
        </w:rPr>
        <w:t>5.2</w:t>
      </w:r>
      <w:r w:rsidRPr="00832A7E">
        <w:rPr>
          <w:color w:val="000000" w:themeColor="text1"/>
          <w:highlight w:val="yellow"/>
        </w:rPr>
        <w:t>. Aspirate blocking buffer.</w:t>
      </w:r>
    </w:p>
    <w:p w14:paraId="44D3B36E" w14:textId="77777777" w:rsidR="007A327E" w:rsidRPr="00832A7E" w:rsidRDefault="007A327E" w:rsidP="003A5BF4">
      <w:pPr>
        <w:pBdr>
          <w:top w:val="nil"/>
          <w:left w:val="nil"/>
          <w:bottom w:val="nil"/>
          <w:right w:val="nil"/>
          <w:between w:val="nil"/>
        </w:pBdr>
        <w:rPr>
          <w:color w:val="000000" w:themeColor="text1"/>
          <w:highlight w:val="yellow"/>
        </w:rPr>
      </w:pPr>
    </w:p>
    <w:p w14:paraId="0D61071D" w14:textId="0FE03A9F" w:rsidR="00B273EA" w:rsidRPr="00832A7E" w:rsidRDefault="00F94B61" w:rsidP="003A5BF4">
      <w:pPr>
        <w:pBdr>
          <w:top w:val="nil"/>
          <w:left w:val="nil"/>
          <w:bottom w:val="nil"/>
          <w:right w:val="nil"/>
          <w:between w:val="nil"/>
        </w:pBdr>
        <w:rPr>
          <w:color w:val="000000" w:themeColor="text1"/>
          <w:highlight w:val="yellow"/>
        </w:rPr>
      </w:pPr>
      <w:r w:rsidRPr="00832A7E">
        <w:rPr>
          <w:color w:val="000000" w:themeColor="text1"/>
          <w:highlight w:val="yellow"/>
        </w:rPr>
        <w:t>6.</w:t>
      </w:r>
      <w:r w:rsidR="001B093B" w:rsidRPr="00832A7E">
        <w:rPr>
          <w:color w:val="000000" w:themeColor="text1"/>
          <w:highlight w:val="yellow"/>
        </w:rPr>
        <w:t>5.3.</w:t>
      </w:r>
      <w:r w:rsidRPr="00832A7E">
        <w:rPr>
          <w:color w:val="000000" w:themeColor="text1"/>
          <w:highlight w:val="yellow"/>
        </w:rPr>
        <w:t xml:space="preserve"> Proceed directly to primary antibody incubation (do not wash).</w:t>
      </w:r>
    </w:p>
    <w:p w14:paraId="5E5A92BD" w14:textId="77777777" w:rsidR="00B273EA" w:rsidRPr="00832A7E" w:rsidRDefault="00B273EA" w:rsidP="003A5BF4">
      <w:pPr>
        <w:pBdr>
          <w:top w:val="nil"/>
          <w:left w:val="nil"/>
          <w:bottom w:val="nil"/>
          <w:right w:val="nil"/>
          <w:between w:val="nil"/>
        </w:pBdr>
        <w:rPr>
          <w:color w:val="000000" w:themeColor="text1"/>
          <w:highlight w:val="yellow"/>
        </w:rPr>
      </w:pPr>
    </w:p>
    <w:p w14:paraId="53BC4722" w14:textId="06649A99" w:rsidR="00B273EA" w:rsidRPr="00570688" w:rsidRDefault="00EF528A" w:rsidP="003A5BF4">
      <w:pPr>
        <w:pBdr>
          <w:top w:val="nil"/>
          <w:left w:val="nil"/>
          <w:bottom w:val="nil"/>
          <w:right w:val="nil"/>
          <w:between w:val="nil"/>
        </w:pBdr>
        <w:rPr>
          <w:color w:val="000000" w:themeColor="text1"/>
        </w:rPr>
      </w:pPr>
      <w:r w:rsidRPr="00832A7E">
        <w:rPr>
          <w:color w:val="000000" w:themeColor="text1"/>
          <w:highlight w:val="yellow"/>
        </w:rPr>
        <w:t>6.6. Primary antibody incubation</w:t>
      </w:r>
    </w:p>
    <w:p w14:paraId="5367AB1A" w14:textId="7006B962" w:rsidR="00B273EA" w:rsidRPr="00570688" w:rsidRDefault="00DF07A0" w:rsidP="003A5BF4">
      <w:pPr>
        <w:pBdr>
          <w:top w:val="nil"/>
          <w:left w:val="nil"/>
          <w:bottom w:val="nil"/>
          <w:right w:val="nil"/>
          <w:between w:val="nil"/>
        </w:pBdr>
        <w:rPr>
          <w:color w:val="000000" w:themeColor="text1"/>
        </w:rPr>
      </w:pPr>
      <w:r w:rsidRPr="00570688">
        <w:rPr>
          <w:color w:val="000000" w:themeColor="text1"/>
        </w:rPr>
        <w:br/>
        <w:t>NOTE: Primary and secondary antibody dilutions are established empirically by titration (see Discussion).</w:t>
      </w:r>
    </w:p>
    <w:p w14:paraId="0667F0FD" w14:textId="1FD6A62E" w:rsidR="00B273EA" w:rsidRPr="00832A7E" w:rsidRDefault="007C70B8" w:rsidP="003A5BF4">
      <w:pPr>
        <w:rPr>
          <w:b/>
          <w:color w:val="000000" w:themeColor="text1"/>
          <w:highlight w:val="yellow"/>
        </w:rPr>
      </w:pPr>
      <w:r w:rsidRPr="00570688">
        <w:rPr>
          <w:color w:val="000000" w:themeColor="text1"/>
        </w:rPr>
        <w:br/>
      </w:r>
      <w:r w:rsidR="00F94B61" w:rsidRPr="00832A7E">
        <w:rPr>
          <w:color w:val="000000" w:themeColor="text1"/>
          <w:highlight w:val="yellow"/>
        </w:rPr>
        <w:t>6.</w:t>
      </w:r>
      <w:r w:rsidR="001B093B" w:rsidRPr="00832A7E">
        <w:rPr>
          <w:color w:val="000000" w:themeColor="text1"/>
          <w:highlight w:val="yellow"/>
        </w:rPr>
        <w:t>6.1.</w:t>
      </w:r>
      <w:r w:rsidR="00F94B61" w:rsidRPr="00832A7E">
        <w:rPr>
          <w:color w:val="000000" w:themeColor="text1"/>
          <w:highlight w:val="yellow"/>
        </w:rPr>
        <w:t xml:space="preserve"> </w:t>
      </w:r>
      <w:r w:rsidR="00753DAA" w:rsidRPr="00832A7E">
        <w:rPr>
          <w:color w:val="000000" w:themeColor="text1"/>
          <w:highlight w:val="yellow"/>
        </w:rPr>
        <w:t>Prepare single</w:t>
      </w:r>
      <w:r w:rsidR="00F0762B" w:rsidRPr="00832A7E">
        <w:rPr>
          <w:color w:val="000000" w:themeColor="text1"/>
          <w:highlight w:val="yellow"/>
        </w:rPr>
        <w:t xml:space="preserve">- or multiplex primary antibody panels in Tris-buffered saline containing 0.05% </w:t>
      </w:r>
      <w:r w:rsidR="000166AB" w:rsidRPr="00832A7E">
        <w:rPr>
          <w:color w:val="000000" w:themeColor="text1"/>
          <w:highlight w:val="yellow"/>
        </w:rPr>
        <w:t xml:space="preserve">polysorbate 20 </w:t>
      </w:r>
      <w:r w:rsidR="00F0762B" w:rsidRPr="00832A7E">
        <w:rPr>
          <w:color w:val="000000" w:themeColor="text1"/>
          <w:highlight w:val="yellow"/>
        </w:rPr>
        <w:t>and 1% BSA (</w:t>
      </w:r>
      <w:r w:rsidR="003A5BF4" w:rsidRPr="00832A7E">
        <w:rPr>
          <w:bCs/>
          <w:color w:val="000000" w:themeColor="text1"/>
          <w:highlight w:val="yellow"/>
        </w:rPr>
        <w:t>TBST supplemented with bovine serum albumin</w:t>
      </w:r>
      <w:r w:rsidR="003A5BF4" w:rsidRPr="00832A7E">
        <w:rPr>
          <w:b/>
          <w:color w:val="000000" w:themeColor="text1"/>
          <w:highlight w:val="yellow"/>
        </w:rPr>
        <w:t xml:space="preserve"> </w:t>
      </w:r>
      <w:r w:rsidR="003A5BF4" w:rsidRPr="00832A7E">
        <w:rPr>
          <w:color w:val="000000" w:themeColor="text1"/>
          <w:highlight w:val="yellow"/>
        </w:rPr>
        <w:t>(</w:t>
      </w:r>
      <w:r w:rsidR="00F0762B" w:rsidRPr="00832A7E">
        <w:rPr>
          <w:color w:val="000000" w:themeColor="text1"/>
          <w:highlight w:val="yellow"/>
        </w:rPr>
        <w:t>TBST-BSA</w:t>
      </w:r>
      <w:r w:rsidR="003A5BF4" w:rsidRPr="00832A7E">
        <w:rPr>
          <w:color w:val="000000" w:themeColor="text1"/>
          <w:highlight w:val="yellow"/>
        </w:rPr>
        <w:t>)</w:t>
      </w:r>
      <w:r w:rsidR="00F0762B" w:rsidRPr="00832A7E">
        <w:rPr>
          <w:color w:val="000000" w:themeColor="text1"/>
          <w:highlight w:val="yellow"/>
        </w:rPr>
        <w:t xml:space="preserve"> 1%),</w:t>
      </w:r>
      <w:r w:rsidR="00753DAA" w:rsidRPr="00832A7E">
        <w:rPr>
          <w:color w:val="000000" w:themeColor="text1"/>
          <w:highlight w:val="yellow"/>
        </w:rPr>
        <w:t xml:space="preserve"> using pre-optimized antibody concentrations for each target.</w:t>
      </w:r>
    </w:p>
    <w:p w14:paraId="23A8474F" w14:textId="77777777" w:rsidR="007A327E" w:rsidRPr="00832A7E" w:rsidRDefault="007A327E" w:rsidP="003A5BF4">
      <w:pPr>
        <w:pBdr>
          <w:top w:val="nil"/>
          <w:left w:val="nil"/>
          <w:bottom w:val="nil"/>
          <w:right w:val="nil"/>
          <w:between w:val="nil"/>
        </w:pBdr>
        <w:rPr>
          <w:color w:val="000000" w:themeColor="text1"/>
          <w:highlight w:val="yellow"/>
        </w:rPr>
      </w:pPr>
    </w:p>
    <w:p w14:paraId="65057ED6" w14:textId="517CFEA0" w:rsidR="00F0762B" w:rsidRPr="00832A7E" w:rsidRDefault="00F94B61" w:rsidP="003A5BF4">
      <w:pPr>
        <w:rPr>
          <w:b/>
          <w:color w:val="000000" w:themeColor="text1"/>
          <w:highlight w:val="yellow"/>
        </w:rPr>
      </w:pPr>
      <w:r w:rsidRPr="00832A7E">
        <w:rPr>
          <w:color w:val="000000" w:themeColor="text1"/>
          <w:highlight w:val="yellow"/>
        </w:rPr>
        <w:t>6.6.</w:t>
      </w:r>
      <w:r w:rsidR="001B093B" w:rsidRPr="00832A7E">
        <w:rPr>
          <w:color w:val="000000" w:themeColor="text1"/>
          <w:highlight w:val="yellow"/>
        </w:rPr>
        <w:t>2.</w:t>
      </w:r>
      <w:r w:rsidRPr="00832A7E">
        <w:rPr>
          <w:color w:val="000000" w:themeColor="text1"/>
          <w:highlight w:val="yellow"/>
        </w:rPr>
        <w:t xml:space="preserve"> For multiplex immunofluorescence, combine all unconjugated primary antibodies directed against distinct antigens from different host species (e.g., mouse anti-</w:t>
      </w:r>
      <w:r w:rsidR="00535D95" w:rsidRPr="00832A7E">
        <w:rPr>
          <w:color w:val="000000" w:themeColor="text1"/>
          <w:highlight w:val="yellow"/>
        </w:rPr>
        <w:t>interferon-β</w:t>
      </w:r>
      <w:r w:rsidR="00F0762B" w:rsidRPr="00832A7E">
        <w:rPr>
          <w:color w:val="000000" w:themeColor="text1"/>
          <w:highlight w:val="yellow"/>
        </w:rPr>
        <w:t>,</w:t>
      </w:r>
      <w:r w:rsidR="00535D95" w:rsidRPr="00832A7E">
        <w:rPr>
          <w:color w:val="000000" w:themeColor="text1"/>
          <w:highlight w:val="yellow"/>
        </w:rPr>
        <w:t xml:space="preserve"> </w:t>
      </w:r>
      <w:r w:rsidR="00F0762B" w:rsidRPr="00832A7E">
        <w:rPr>
          <w:bCs/>
          <w:color w:val="000000" w:themeColor="text1"/>
          <w:highlight w:val="yellow"/>
        </w:rPr>
        <w:t>Interferon β</w:t>
      </w:r>
    </w:p>
    <w:p w14:paraId="5C94D8A0" w14:textId="1EDFC0DE" w:rsidR="00B273EA" w:rsidRPr="00832A7E" w:rsidRDefault="00535D95" w:rsidP="003A5BF4">
      <w:pPr>
        <w:pBdr>
          <w:top w:val="nil"/>
          <w:left w:val="nil"/>
          <w:bottom w:val="nil"/>
          <w:right w:val="nil"/>
          <w:between w:val="nil"/>
        </w:pBdr>
        <w:rPr>
          <w:color w:val="000000" w:themeColor="text1"/>
          <w:highlight w:val="yellow"/>
        </w:rPr>
      </w:pPr>
      <w:r w:rsidRPr="00832A7E">
        <w:rPr>
          <w:color w:val="000000" w:themeColor="text1"/>
          <w:highlight w:val="yellow"/>
        </w:rPr>
        <w:lastRenderedPageBreak/>
        <w:t>(</w:t>
      </w:r>
      <w:r w:rsidR="004F2AC6" w:rsidRPr="00832A7E">
        <w:rPr>
          <w:color w:val="000000" w:themeColor="text1"/>
          <w:highlight w:val="yellow"/>
        </w:rPr>
        <w:t>IFN-</w:t>
      </w:r>
      <w:proofErr w:type="gramStart"/>
      <w:r w:rsidR="004F2AC6" w:rsidRPr="00832A7E">
        <w:rPr>
          <w:color w:val="000000" w:themeColor="text1"/>
          <w:highlight w:val="yellow"/>
        </w:rPr>
        <w:t>β</w:t>
      </w:r>
      <w:r w:rsidRPr="00832A7E">
        <w:rPr>
          <w:color w:val="000000" w:themeColor="text1"/>
          <w:highlight w:val="yellow"/>
        </w:rPr>
        <w:t>)</w:t>
      </w:r>
      <w:r w:rsidR="004F2AC6" w:rsidRPr="00832A7E">
        <w:rPr>
          <w:color w:val="000000" w:themeColor="text1"/>
          <w:highlight w:val="yellow"/>
        </w:rPr>
        <w:t xml:space="preserve"> </w:t>
      </w:r>
      <w:r w:rsidR="00F94B61" w:rsidRPr="00832A7E">
        <w:rPr>
          <w:color w:val="000000" w:themeColor="text1"/>
          <w:highlight w:val="yellow"/>
        </w:rPr>
        <w:t xml:space="preserve"> +</w:t>
      </w:r>
      <w:proofErr w:type="gramEnd"/>
      <w:r w:rsidR="00F94B61" w:rsidRPr="00832A7E">
        <w:rPr>
          <w:color w:val="000000" w:themeColor="text1"/>
          <w:highlight w:val="yellow"/>
        </w:rPr>
        <w:t xml:space="preserve"> rabbit anti-</w:t>
      </w:r>
      <w:r w:rsidR="005C2E95" w:rsidRPr="00832A7E">
        <w:rPr>
          <w:color w:val="000000" w:themeColor="text1"/>
          <w:highlight w:val="yellow"/>
        </w:rPr>
        <w:t>p14</w:t>
      </w:r>
      <w:r w:rsidR="007449B4" w:rsidRPr="00832A7E">
        <w:rPr>
          <w:color w:val="000000" w:themeColor="text1"/>
          <w:highlight w:val="yellow"/>
        </w:rPr>
        <w:t>ARF + goat anti-</w:t>
      </w:r>
      <w:proofErr w:type="gramStart"/>
      <w:r w:rsidR="001A14A5" w:rsidRPr="00832A7E">
        <w:rPr>
          <w:color w:val="000000" w:themeColor="text1"/>
          <w:highlight w:val="yellow"/>
        </w:rPr>
        <w:t>actin</w:t>
      </w:r>
      <w:proofErr w:type="gramEnd"/>
      <w:r w:rsidR="00F94B61" w:rsidRPr="00832A7E">
        <w:rPr>
          <w:color w:val="000000" w:themeColor="text1"/>
          <w:highlight w:val="yellow"/>
        </w:rPr>
        <w:t>) into a single antibody cocktail.</w:t>
      </w:r>
    </w:p>
    <w:p w14:paraId="734844BC" w14:textId="77777777" w:rsidR="008B369C" w:rsidRPr="00832A7E" w:rsidRDefault="008B369C" w:rsidP="003A5BF4">
      <w:pPr>
        <w:pBdr>
          <w:top w:val="nil"/>
          <w:left w:val="nil"/>
          <w:bottom w:val="nil"/>
          <w:right w:val="nil"/>
          <w:between w:val="nil"/>
        </w:pBdr>
        <w:rPr>
          <w:color w:val="000000" w:themeColor="text1"/>
          <w:highlight w:val="yellow"/>
        </w:rPr>
      </w:pPr>
    </w:p>
    <w:p w14:paraId="55474D3D" w14:textId="0A2B078D" w:rsidR="00B273EA" w:rsidRPr="00570688" w:rsidRDefault="00F94B61" w:rsidP="003A5BF4">
      <w:pPr>
        <w:pBdr>
          <w:top w:val="nil"/>
          <w:left w:val="nil"/>
          <w:bottom w:val="nil"/>
          <w:right w:val="nil"/>
          <w:between w:val="nil"/>
        </w:pBdr>
        <w:rPr>
          <w:color w:val="000000" w:themeColor="text1"/>
        </w:rPr>
      </w:pPr>
      <w:r w:rsidRPr="00832A7E">
        <w:rPr>
          <w:color w:val="000000" w:themeColor="text1"/>
          <w:highlight w:val="yellow"/>
        </w:rPr>
        <w:t>6.</w:t>
      </w:r>
      <w:r w:rsidR="001B093B" w:rsidRPr="00832A7E">
        <w:rPr>
          <w:color w:val="000000" w:themeColor="text1"/>
          <w:highlight w:val="yellow"/>
        </w:rPr>
        <w:t>6</w:t>
      </w:r>
      <w:r w:rsidRPr="00832A7E">
        <w:rPr>
          <w:color w:val="000000" w:themeColor="text1"/>
          <w:highlight w:val="yellow"/>
        </w:rPr>
        <w:t>.</w:t>
      </w:r>
      <w:r w:rsidR="001B093B" w:rsidRPr="00832A7E">
        <w:rPr>
          <w:color w:val="000000" w:themeColor="text1"/>
          <w:highlight w:val="yellow"/>
        </w:rPr>
        <w:t>3.</w:t>
      </w:r>
      <w:r w:rsidRPr="00832A7E">
        <w:rPr>
          <w:color w:val="000000" w:themeColor="text1"/>
          <w:highlight w:val="yellow"/>
        </w:rPr>
        <w:t xml:space="preserve"> Add 150 µL per well, ensuring the entire coverslip is fully covered by the antibody solution.</w:t>
      </w:r>
    </w:p>
    <w:p w14:paraId="40DA94F3" w14:textId="39AB397E" w:rsidR="00B273EA" w:rsidRPr="00832A7E" w:rsidRDefault="00E9707D" w:rsidP="003A5BF4">
      <w:pPr>
        <w:pBdr>
          <w:top w:val="nil"/>
          <w:left w:val="nil"/>
          <w:bottom w:val="nil"/>
          <w:right w:val="nil"/>
          <w:between w:val="nil"/>
        </w:pBdr>
        <w:rPr>
          <w:color w:val="000000" w:themeColor="text1"/>
          <w:highlight w:val="yellow"/>
        </w:rPr>
      </w:pPr>
      <w:r w:rsidRPr="00570688">
        <w:rPr>
          <w:color w:val="000000" w:themeColor="text1"/>
        </w:rPr>
        <w:br/>
        <w:t>NOTE: To prevent evaporation at low volume, the plate is incubated in a humidified chamber (e.g., a sealed box with damp tissue).</w:t>
      </w:r>
      <w:r w:rsidRPr="00570688">
        <w:rPr>
          <w:color w:val="000000" w:themeColor="text1"/>
        </w:rPr>
        <w:tab/>
      </w:r>
      <w:r w:rsidRPr="00570688">
        <w:rPr>
          <w:color w:val="000000" w:themeColor="text1"/>
        </w:rPr>
        <w:br/>
      </w:r>
      <w:r w:rsidRPr="00570688">
        <w:rPr>
          <w:color w:val="000000" w:themeColor="text1"/>
        </w:rPr>
        <w:br/>
      </w:r>
      <w:r w:rsidR="00F94B61" w:rsidRPr="00832A7E">
        <w:rPr>
          <w:color w:val="000000" w:themeColor="text1"/>
          <w:highlight w:val="yellow"/>
        </w:rPr>
        <w:t>6.</w:t>
      </w:r>
      <w:r w:rsidR="001B093B" w:rsidRPr="00832A7E">
        <w:rPr>
          <w:color w:val="000000" w:themeColor="text1"/>
          <w:highlight w:val="yellow"/>
        </w:rPr>
        <w:t>6</w:t>
      </w:r>
      <w:r w:rsidR="00F94B61" w:rsidRPr="00832A7E">
        <w:rPr>
          <w:color w:val="000000" w:themeColor="text1"/>
          <w:highlight w:val="yellow"/>
        </w:rPr>
        <w:t>.</w:t>
      </w:r>
      <w:r w:rsidR="001B093B" w:rsidRPr="00832A7E">
        <w:rPr>
          <w:color w:val="000000" w:themeColor="text1"/>
          <w:highlight w:val="yellow"/>
        </w:rPr>
        <w:t>4.</w:t>
      </w:r>
      <w:r w:rsidR="00F94B61" w:rsidRPr="00832A7E">
        <w:rPr>
          <w:color w:val="000000" w:themeColor="text1"/>
          <w:highlight w:val="yellow"/>
        </w:rPr>
        <w:t xml:space="preserve"> Incubate for 1.5 h at room temperature (≈25 °C) or 12–16 h at 4 °C.</w:t>
      </w:r>
    </w:p>
    <w:p w14:paraId="4C3D5B18" w14:textId="77777777" w:rsidR="002525D8" w:rsidRPr="00832A7E" w:rsidRDefault="002525D8" w:rsidP="003A5BF4">
      <w:pPr>
        <w:pBdr>
          <w:top w:val="nil"/>
          <w:left w:val="nil"/>
          <w:bottom w:val="nil"/>
          <w:right w:val="nil"/>
          <w:between w:val="nil"/>
        </w:pBdr>
        <w:rPr>
          <w:color w:val="000000" w:themeColor="text1"/>
          <w:highlight w:val="yellow"/>
        </w:rPr>
      </w:pPr>
    </w:p>
    <w:p w14:paraId="1C9102E0" w14:textId="55EEE279" w:rsidR="00B273EA" w:rsidRPr="00832A7E" w:rsidRDefault="00F94B61" w:rsidP="003A5BF4">
      <w:pPr>
        <w:pBdr>
          <w:top w:val="nil"/>
          <w:left w:val="nil"/>
          <w:bottom w:val="nil"/>
          <w:right w:val="nil"/>
          <w:between w:val="nil"/>
        </w:pBdr>
        <w:rPr>
          <w:color w:val="000000" w:themeColor="text1"/>
          <w:highlight w:val="yellow"/>
        </w:rPr>
      </w:pPr>
      <w:r w:rsidRPr="00832A7E">
        <w:rPr>
          <w:color w:val="000000" w:themeColor="text1"/>
          <w:highlight w:val="yellow"/>
        </w:rPr>
        <w:t>6.</w:t>
      </w:r>
      <w:r w:rsidR="001B093B" w:rsidRPr="00832A7E">
        <w:rPr>
          <w:color w:val="000000" w:themeColor="text1"/>
          <w:highlight w:val="yellow"/>
        </w:rPr>
        <w:t>6</w:t>
      </w:r>
      <w:r w:rsidRPr="00832A7E">
        <w:rPr>
          <w:color w:val="000000" w:themeColor="text1"/>
          <w:highlight w:val="yellow"/>
        </w:rPr>
        <w:t>.</w:t>
      </w:r>
      <w:r w:rsidR="001B093B" w:rsidRPr="00832A7E">
        <w:rPr>
          <w:color w:val="000000" w:themeColor="text1"/>
          <w:highlight w:val="yellow"/>
        </w:rPr>
        <w:t>5.</w:t>
      </w:r>
      <w:r w:rsidRPr="00832A7E">
        <w:rPr>
          <w:color w:val="000000" w:themeColor="text1"/>
          <w:highlight w:val="yellow"/>
        </w:rPr>
        <w:t xml:space="preserve"> Wash 3× with TBST for 3 min each at room temperature (≈25 °C), aspirate promptly after each wash.</w:t>
      </w:r>
    </w:p>
    <w:p w14:paraId="022801A1" w14:textId="5DACD81B" w:rsidR="00B273EA" w:rsidRPr="00570688" w:rsidRDefault="00000000" w:rsidP="003A5BF4">
      <w:pPr>
        <w:pBdr>
          <w:top w:val="nil"/>
          <w:left w:val="nil"/>
          <w:bottom w:val="nil"/>
          <w:right w:val="nil"/>
          <w:between w:val="nil"/>
        </w:pBdr>
        <w:rPr>
          <w:color w:val="000000" w:themeColor="text1"/>
        </w:rPr>
      </w:pPr>
      <w:r w:rsidRPr="00832A7E">
        <w:rPr>
          <w:color w:val="000000" w:themeColor="text1"/>
          <w:highlight w:val="yellow"/>
        </w:rPr>
        <w:br/>
      </w:r>
      <w:r w:rsidR="00AC5662" w:rsidRPr="00832A7E">
        <w:rPr>
          <w:color w:val="000000" w:themeColor="text1"/>
          <w:highlight w:val="yellow"/>
        </w:rPr>
        <w:t>6.7. Secondary</w:t>
      </w:r>
      <w:r w:rsidRPr="00832A7E">
        <w:rPr>
          <w:color w:val="000000" w:themeColor="text1"/>
          <w:highlight w:val="yellow"/>
        </w:rPr>
        <w:t xml:space="preserve"> antibody incubation </w:t>
      </w:r>
      <w:r w:rsidRPr="00EC7241">
        <w:rPr>
          <w:color w:val="000000" w:themeColor="text1"/>
        </w:rPr>
        <w:t>(and directly conjugated primaries, when applicable)</w:t>
      </w:r>
    </w:p>
    <w:p w14:paraId="1ADBADD8" w14:textId="77777777" w:rsidR="007A327E" w:rsidRPr="00570688" w:rsidRDefault="007A327E" w:rsidP="003A5BF4">
      <w:pPr>
        <w:pBdr>
          <w:top w:val="nil"/>
          <w:left w:val="nil"/>
          <w:bottom w:val="nil"/>
          <w:right w:val="nil"/>
          <w:between w:val="nil"/>
        </w:pBdr>
        <w:rPr>
          <w:color w:val="000000" w:themeColor="text1"/>
        </w:rPr>
      </w:pPr>
    </w:p>
    <w:p w14:paraId="65E42565" w14:textId="7B870ED2" w:rsidR="007A327E" w:rsidRPr="00570688" w:rsidRDefault="00E9707D" w:rsidP="003A5BF4">
      <w:pPr>
        <w:pBdr>
          <w:top w:val="nil"/>
          <w:left w:val="nil"/>
          <w:bottom w:val="nil"/>
          <w:right w:val="nil"/>
          <w:between w:val="nil"/>
        </w:pBdr>
        <w:rPr>
          <w:color w:val="000000" w:themeColor="text1"/>
        </w:rPr>
      </w:pPr>
      <w:r w:rsidRPr="00EC7241">
        <w:rPr>
          <w:color w:val="000000" w:themeColor="text1"/>
          <w:highlight w:val="yellow"/>
        </w:rPr>
        <w:t>NOTE: From this step onward, samples are kept protected from light to prevent photobleaching.</w:t>
      </w:r>
      <w:r w:rsidRPr="00570688">
        <w:rPr>
          <w:color w:val="000000" w:themeColor="text1"/>
        </w:rPr>
        <w:t xml:space="preserve"> Spectrally distinct fluorophores are used across secondary antibodies and any directly conjugated primaries to minimize</w:t>
      </w:r>
      <w:r w:rsidR="00AE1D83" w:rsidRPr="00570688">
        <w:rPr>
          <w:color w:val="000000" w:themeColor="text1"/>
        </w:rPr>
        <w:t xml:space="preserve"> crosstalk</w:t>
      </w:r>
      <w:r w:rsidRPr="00570688">
        <w:rPr>
          <w:color w:val="000000" w:themeColor="text1"/>
        </w:rPr>
        <w:t xml:space="preserve"> (e.g., </w:t>
      </w:r>
      <w:r w:rsidR="00FA08BD" w:rsidRPr="00570688">
        <w:rPr>
          <w:color w:val="000000" w:themeColor="text1"/>
        </w:rPr>
        <w:t>spectrally distinct fluorophores</w:t>
      </w:r>
      <w:r w:rsidRPr="00570688">
        <w:rPr>
          <w:color w:val="000000" w:themeColor="text1"/>
        </w:rPr>
        <w:t>), and species-specific, highly cross-adsorbed secondary antibodies are used to minimize binding to non-cognate primary antibodies. Fluorophore panel design, including nuclear and cytoskeletal markers, and microscope excitation/emission compatibility are addressed in the Discussion.</w:t>
      </w:r>
      <w:r w:rsidRPr="00570688">
        <w:rPr>
          <w:color w:val="000000" w:themeColor="text1"/>
        </w:rPr>
        <w:tab/>
      </w:r>
      <w:r w:rsidRPr="00570688">
        <w:rPr>
          <w:color w:val="000000" w:themeColor="text1"/>
        </w:rPr>
        <w:br/>
      </w:r>
    </w:p>
    <w:p w14:paraId="3E91FF80" w14:textId="163C405C" w:rsidR="00B273EA" w:rsidRPr="00832A7E" w:rsidRDefault="00870A55" w:rsidP="003A5BF4">
      <w:pPr>
        <w:pBdr>
          <w:top w:val="nil"/>
          <w:left w:val="nil"/>
          <w:bottom w:val="nil"/>
          <w:right w:val="nil"/>
          <w:between w:val="nil"/>
        </w:pBdr>
        <w:rPr>
          <w:color w:val="000000" w:themeColor="text1"/>
          <w:highlight w:val="yellow"/>
        </w:rPr>
      </w:pPr>
      <w:r w:rsidRPr="00832A7E">
        <w:rPr>
          <w:color w:val="000000" w:themeColor="text1"/>
          <w:highlight w:val="yellow"/>
        </w:rPr>
        <w:t>6.</w:t>
      </w:r>
      <w:r w:rsidR="00AC5662" w:rsidRPr="00832A7E">
        <w:rPr>
          <w:color w:val="000000" w:themeColor="text1"/>
          <w:highlight w:val="yellow"/>
        </w:rPr>
        <w:t>7</w:t>
      </w:r>
      <w:r w:rsidRPr="00832A7E">
        <w:rPr>
          <w:color w:val="000000" w:themeColor="text1"/>
          <w:highlight w:val="yellow"/>
        </w:rPr>
        <w:t>.</w:t>
      </w:r>
      <w:r w:rsidR="00AC5662" w:rsidRPr="00832A7E">
        <w:rPr>
          <w:color w:val="000000" w:themeColor="text1"/>
          <w:highlight w:val="yellow"/>
        </w:rPr>
        <w:t>1.</w:t>
      </w:r>
      <w:r w:rsidRPr="00832A7E">
        <w:rPr>
          <w:color w:val="000000" w:themeColor="text1"/>
          <w:highlight w:val="yellow"/>
        </w:rPr>
        <w:t xml:space="preserve"> Dilute secondary antibodies in TBST-BSA 1% solution using pre-optimized concentrations. For multiplex detection, combine all secondary antibodies corresponding to the host species of the primary antibodies used (one secondary per host species) into a single cocktail.</w:t>
      </w:r>
    </w:p>
    <w:p w14:paraId="5A5ECDB4" w14:textId="77777777" w:rsidR="007A327E" w:rsidRPr="00832A7E" w:rsidRDefault="007A327E" w:rsidP="003A5BF4">
      <w:pPr>
        <w:pBdr>
          <w:top w:val="nil"/>
          <w:left w:val="nil"/>
          <w:bottom w:val="nil"/>
          <w:right w:val="nil"/>
          <w:between w:val="nil"/>
        </w:pBdr>
        <w:rPr>
          <w:color w:val="000000" w:themeColor="text1"/>
          <w:highlight w:val="yellow"/>
        </w:rPr>
      </w:pPr>
    </w:p>
    <w:p w14:paraId="02039FBB" w14:textId="33729C49" w:rsidR="00B273EA" w:rsidRPr="00832A7E" w:rsidRDefault="00870A55" w:rsidP="003A5BF4">
      <w:pPr>
        <w:pBdr>
          <w:top w:val="nil"/>
          <w:left w:val="nil"/>
          <w:bottom w:val="nil"/>
          <w:right w:val="nil"/>
          <w:between w:val="nil"/>
        </w:pBdr>
        <w:rPr>
          <w:color w:val="000000" w:themeColor="text1"/>
          <w:highlight w:val="yellow"/>
        </w:rPr>
      </w:pPr>
      <w:r w:rsidRPr="00832A7E">
        <w:rPr>
          <w:color w:val="000000" w:themeColor="text1"/>
          <w:highlight w:val="yellow"/>
        </w:rPr>
        <w:t>6.</w:t>
      </w:r>
      <w:r w:rsidR="00AC5662" w:rsidRPr="00832A7E">
        <w:rPr>
          <w:color w:val="000000" w:themeColor="text1"/>
          <w:highlight w:val="yellow"/>
        </w:rPr>
        <w:t>7</w:t>
      </w:r>
      <w:r w:rsidRPr="00832A7E">
        <w:rPr>
          <w:color w:val="000000" w:themeColor="text1"/>
          <w:highlight w:val="yellow"/>
        </w:rPr>
        <w:t>.</w:t>
      </w:r>
      <w:r w:rsidR="00AC5662" w:rsidRPr="00832A7E">
        <w:rPr>
          <w:color w:val="000000" w:themeColor="text1"/>
          <w:highlight w:val="yellow"/>
        </w:rPr>
        <w:t>2.</w:t>
      </w:r>
      <w:r w:rsidRPr="00832A7E">
        <w:rPr>
          <w:color w:val="000000" w:themeColor="text1"/>
          <w:highlight w:val="yellow"/>
        </w:rPr>
        <w:t xml:space="preserve"> Add 150 µL per well, ensuring the entire coverslip is fully covered.</w:t>
      </w:r>
    </w:p>
    <w:p w14:paraId="03732B4C" w14:textId="77777777" w:rsidR="007A327E" w:rsidRPr="00832A7E" w:rsidRDefault="007A327E" w:rsidP="003A5BF4">
      <w:pPr>
        <w:pBdr>
          <w:top w:val="nil"/>
          <w:left w:val="nil"/>
          <w:bottom w:val="nil"/>
          <w:right w:val="nil"/>
          <w:between w:val="nil"/>
        </w:pBdr>
        <w:rPr>
          <w:color w:val="000000" w:themeColor="text1"/>
          <w:highlight w:val="yellow"/>
        </w:rPr>
      </w:pPr>
    </w:p>
    <w:p w14:paraId="60138553" w14:textId="116A4FB9" w:rsidR="00B273EA" w:rsidRPr="00570688" w:rsidRDefault="00870A55" w:rsidP="003A5BF4">
      <w:pPr>
        <w:pBdr>
          <w:top w:val="nil"/>
          <w:left w:val="nil"/>
          <w:bottom w:val="nil"/>
          <w:right w:val="nil"/>
          <w:between w:val="nil"/>
        </w:pBdr>
        <w:rPr>
          <w:color w:val="000000" w:themeColor="text1"/>
        </w:rPr>
      </w:pPr>
      <w:r w:rsidRPr="00832A7E">
        <w:rPr>
          <w:color w:val="000000" w:themeColor="text1"/>
          <w:highlight w:val="yellow"/>
        </w:rPr>
        <w:t>6.</w:t>
      </w:r>
      <w:r w:rsidR="00AC5662" w:rsidRPr="00832A7E">
        <w:rPr>
          <w:color w:val="000000" w:themeColor="text1"/>
          <w:highlight w:val="yellow"/>
        </w:rPr>
        <w:t>7.3.</w:t>
      </w:r>
      <w:r w:rsidRPr="00832A7E">
        <w:rPr>
          <w:color w:val="000000" w:themeColor="text1"/>
          <w:highlight w:val="yellow"/>
        </w:rPr>
        <w:t xml:space="preserve"> Incubate for 1 h at room temperature (≈25 °C).</w:t>
      </w:r>
    </w:p>
    <w:p w14:paraId="1DB1AD82" w14:textId="77777777" w:rsidR="007A327E" w:rsidRPr="00570688" w:rsidRDefault="007A327E" w:rsidP="003A5BF4">
      <w:pPr>
        <w:pBdr>
          <w:top w:val="nil"/>
          <w:left w:val="nil"/>
          <w:bottom w:val="nil"/>
          <w:right w:val="nil"/>
          <w:between w:val="nil"/>
        </w:pBdr>
        <w:rPr>
          <w:color w:val="000000" w:themeColor="text1"/>
        </w:rPr>
      </w:pPr>
    </w:p>
    <w:p w14:paraId="67EEAA6D" w14:textId="00AB2256" w:rsidR="00B273EA" w:rsidRPr="00570688" w:rsidRDefault="00000000" w:rsidP="003A5BF4">
      <w:pPr>
        <w:pBdr>
          <w:top w:val="nil"/>
          <w:left w:val="nil"/>
          <w:bottom w:val="nil"/>
          <w:right w:val="nil"/>
          <w:between w:val="nil"/>
        </w:pBdr>
        <w:rPr>
          <w:color w:val="000000" w:themeColor="text1"/>
        </w:rPr>
      </w:pPr>
      <w:r w:rsidRPr="00570688">
        <w:rPr>
          <w:color w:val="000000" w:themeColor="text1"/>
        </w:rPr>
        <w:t xml:space="preserve">NOTE: If the panel includes one or more directly conjugated primary antibodies, add them together with the secondary antibody cocktail and extend </w:t>
      </w:r>
      <w:r w:rsidR="00C33C96" w:rsidRPr="00570688">
        <w:rPr>
          <w:color w:val="000000" w:themeColor="text1"/>
        </w:rPr>
        <w:t xml:space="preserve">the incubation to 1.5 h at room temperature (approximately </w:t>
      </w:r>
      <w:r w:rsidRPr="00570688">
        <w:rPr>
          <w:color w:val="000000" w:themeColor="text1"/>
        </w:rPr>
        <w:t>25 °C).</w:t>
      </w:r>
    </w:p>
    <w:p w14:paraId="43DFF58C" w14:textId="77777777" w:rsidR="007A327E" w:rsidRPr="00570688" w:rsidRDefault="007A327E" w:rsidP="003A5BF4">
      <w:pPr>
        <w:pBdr>
          <w:top w:val="nil"/>
          <w:left w:val="nil"/>
          <w:bottom w:val="nil"/>
          <w:right w:val="nil"/>
          <w:between w:val="nil"/>
        </w:pBdr>
        <w:rPr>
          <w:color w:val="000000" w:themeColor="text1"/>
        </w:rPr>
      </w:pPr>
    </w:p>
    <w:p w14:paraId="4A0D104F" w14:textId="65B5AC33" w:rsidR="00B273EA" w:rsidRPr="00832A7E" w:rsidRDefault="00870A55" w:rsidP="003A5BF4">
      <w:pPr>
        <w:pBdr>
          <w:top w:val="nil"/>
          <w:left w:val="nil"/>
          <w:bottom w:val="nil"/>
          <w:right w:val="nil"/>
          <w:between w:val="nil"/>
        </w:pBdr>
        <w:rPr>
          <w:color w:val="000000" w:themeColor="text1"/>
          <w:highlight w:val="yellow"/>
        </w:rPr>
      </w:pPr>
      <w:r w:rsidRPr="00832A7E">
        <w:rPr>
          <w:color w:val="000000" w:themeColor="text1"/>
          <w:highlight w:val="yellow"/>
        </w:rPr>
        <w:t>6.</w:t>
      </w:r>
      <w:r w:rsidR="00AC5662" w:rsidRPr="00832A7E">
        <w:rPr>
          <w:color w:val="000000" w:themeColor="text1"/>
          <w:highlight w:val="yellow"/>
        </w:rPr>
        <w:t>7.4.</w:t>
      </w:r>
      <w:r w:rsidRPr="00832A7E">
        <w:rPr>
          <w:color w:val="000000" w:themeColor="text1"/>
          <w:highlight w:val="yellow"/>
        </w:rPr>
        <w:t xml:space="preserve"> Wash 3× with TBST for 3 min each at room temperature (≈25 °C), aspirating promptly after each wash.</w:t>
      </w:r>
    </w:p>
    <w:p w14:paraId="72377213" w14:textId="2AAF4E50" w:rsidR="00B273EA" w:rsidRPr="00832A7E" w:rsidRDefault="00000000" w:rsidP="003A5BF4">
      <w:pPr>
        <w:pBdr>
          <w:top w:val="nil"/>
          <w:left w:val="nil"/>
          <w:bottom w:val="nil"/>
          <w:right w:val="nil"/>
          <w:between w:val="nil"/>
        </w:pBdr>
        <w:rPr>
          <w:b/>
          <w:bCs/>
          <w:color w:val="000000" w:themeColor="text1"/>
          <w:highlight w:val="yellow"/>
        </w:rPr>
      </w:pPr>
      <w:r w:rsidRPr="00832A7E">
        <w:rPr>
          <w:color w:val="000000" w:themeColor="text1"/>
          <w:highlight w:val="yellow"/>
        </w:rPr>
        <w:br/>
      </w:r>
      <w:r w:rsidR="00C33C96" w:rsidRPr="00832A7E">
        <w:rPr>
          <w:b/>
          <w:bCs/>
          <w:color w:val="000000" w:themeColor="text1"/>
          <w:highlight w:val="yellow"/>
        </w:rPr>
        <w:t>7. Nuclear counterstain and f-actin staining</w:t>
      </w:r>
    </w:p>
    <w:p w14:paraId="0101C129" w14:textId="77777777" w:rsidR="007A327E" w:rsidRPr="00832A7E" w:rsidRDefault="007A327E" w:rsidP="003A5BF4">
      <w:pPr>
        <w:pBdr>
          <w:top w:val="nil"/>
          <w:left w:val="nil"/>
          <w:bottom w:val="nil"/>
          <w:right w:val="nil"/>
          <w:between w:val="nil"/>
        </w:pBdr>
        <w:rPr>
          <w:color w:val="000000" w:themeColor="text1"/>
          <w:highlight w:val="yellow"/>
        </w:rPr>
      </w:pPr>
    </w:p>
    <w:p w14:paraId="542038C3" w14:textId="79615BA3" w:rsidR="00B273EA" w:rsidRPr="00832A7E" w:rsidRDefault="00000000" w:rsidP="003A5BF4">
      <w:pPr>
        <w:pBdr>
          <w:top w:val="nil"/>
          <w:left w:val="nil"/>
          <w:bottom w:val="nil"/>
          <w:right w:val="nil"/>
          <w:between w:val="nil"/>
        </w:pBdr>
        <w:rPr>
          <w:color w:val="000000" w:themeColor="text1"/>
          <w:highlight w:val="yellow"/>
        </w:rPr>
      </w:pPr>
      <w:r w:rsidRPr="00832A7E">
        <w:rPr>
          <w:color w:val="000000" w:themeColor="text1"/>
          <w:highlight w:val="yellow"/>
        </w:rPr>
        <w:t xml:space="preserve">7.1. </w:t>
      </w:r>
      <w:r w:rsidR="00232CDC" w:rsidRPr="00832A7E">
        <w:rPr>
          <w:color w:val="000000" w:themeColor="text1"/>
          <w:highlight w:val="yellow"/>
        </w:rPr>
        <w:t xml:space="preserve">Add </w:t>
      </w:r>
      <w:r w:rsidR="00FA08BD" w:rsidRPr="00832A7E">
        <w:rPr>
          <w:color w:val="000000" w:themeColor="text1"/>
          <w:highlight w:val="yellow"/>
        </w:rPr>
        <w:t xml:space="preserve">nuclear counterstain  </w:t>
      </w:r>
      <w:r w:rsidR="00232CDC" w:rsidRPr="00832A7E">
        <w:rPr>
          <w:color w:val="000000" w:themeColor="text1"/>
          <w:highlight w:val="yellow"/>
        </w:rPr>
        <w:t xml:space="preserve">Hoechst 33342 (1:5000) diluted in TBS and incubate for 15 min at room temperature (≈25 °C), protected from light. If F-actin is to be labeled with phalloidin rather than an anti-actin antibody, include phalloidin (1:400) in the same solution. </w:t>
      </w:r>
    </w:p>
    <w:p w14:paraId="71530FA4" w14:textId="77777777" w:rsidR="007A327E" w:rsidRPr="00832A7E" w:rsidRDefault="007A327E" w:rsidP="003A5BF4">
      <w:pPr>
        <w:pBdr>
          <w:top w:val="nil"/>
          <w:left w:val="nil"/>
          <w:bottom w:val="nil"/>
          <w:right w:val="nil"/>
          <w:between w:val="nil"/>
        </w:pBdr>
        <w:rPr>
          <w:color w:val="000000" w:themeColor="text1"/>
          <w:highlight w:val="yellow"/>
        </w:rPr>
      </w:pPr>
    </w:p>
    <w:p w14:paraId="732E8666" w14:textId="3C680812" w:rsidR="00B273EA" w:rsidRPr="00832A7E" w:rsidRDefault="00000000" w:rsidP="003A5BF4">
      <w:pPr>
        <w:pBdr>
          <w:top w:val="nil"/>
          <w:left w:val="nil"/>
          <w:bottom w:val="nil"/>
          <w:right w:val="nil"/>
          <w:between w:val="nil"/>
        </w:pBdr>
        <w:rPr>
          <w:color w:val="000000" w:themeColor="text1"/>
          <w:highlight w:val="yellow"/>
        </w:rPr>
      </w:pPr>
      <w:r w:rsidRPr="00832A7E">
        <w:rPr>
          <w:color w:val="000000" w:themeColor="text1"/>
          <w:highlight w:val="yellow"/>
        </w:rPr>
        <w:t>7.2. Wash 3× with TBST, aspirating promptly after each wash (do not let wells dry).</w:t>
      </w:r>
    </w:p>
    <w:p w14:paraId="37C23499" w14:textId="77777777" w:rsidR="007A327E" w:rsidRPr="00832A7E" w:rsidRDefault="007A327E" w:rsidP="003A5BF4">
      <w:pPr>
        <w:pBdr>
          <w:top w:val="nil"/>
          <w:left w:val="nil"/>
          <w:bottom w:val="nil"/>
          <w:right w:val="nil"/>
          <w:between w:val="nil"/>
        </w:pBdr>
        <w:rPr>
          <w:color w:val="000000" w:themeColor="text1"/>
          <w:highlight w:val="yellow"/>
        </w:rPr>
      </w:pPr>
    </w:p>
    <w:p w14:paraId="5AE6F708" w14:textId="387ECFCE" w:rsidR="00B273EA" w:rsidRPr="00570688" w:rsidRDefault="00000000" w:rsidP="003A5BF4">
      <w:pPr>
        <w:pBdr>
          <w:top w:val="nil"/>
          <w:left w:val="nil"/>
          <w:bottom w:val="nil"/>
          <w:right w:val="nil"/>
          <w:between w:val="nil"/>
        </w:pBdr>
        <w:rPr>
          <w:color w:val="000000" w:themeColor="text1"/>
        </w:rPr>
      </w:pPr>
      <w:r w:rsidRPr="00832A7E">
        <w:rPr>
          <w:color w:val="000000" w:themeColor="text1"/>
          <w:highlight w:val="yellow"/>
        </w:rPr>
        <w:lastRenderedPageBreak/>
        <w:t>7.3. Add 0.5 mL TBS to each well to keep coverslips submerged until retrieval/mounting.</w:t>
      </w:r>
    </w:p>
    <w:p w14:paraId="699FD109" w14:textId="77777777" w:rsidR="00B273EA" w:rsidRPr="00570688" w:rsidRDefault="00B273EA" w:rsidP="003A5BF4">
      <w:pPr>
        <w:pBdr>
          <w:top w:val="nil"/>
          <w:left w:val="nil"/>
          <w:bottom w:val="nil"/>
          <w:right w:val="nil"/>
          <w:between w:val="nil"/>
        </w:pBdr>
        <w:rPr>
          <w:color w:val="000000" w:themeColor="text1"/>
        </w:rPr>
      </w:pPr>
    </w:p>
    <w:p w14:paraId="33232C06" w14:textId="545A24F4" w:rsidR="00B273EA" w:rsidRPr="00832A7E" w:rsidRDefault="00C33C96" w:rsidP="003A5BF4">
      <w:pPr>
        <w:pBdr>
          <w:top w:val="nil"/>
          <w:left w:val="nil"/>
          <w:bottom w:val="nil"/>
          <w:right w:val="nil"/>
          <w:between w:val="nil"/>
        </w:pBdr>
        <w:rPr>
          <w:b/>
          <w:bCs/>
          <w:color w:val="000000" w:themeColor="text1"/>
          <w:highlight w:val="yellow"/>
        </w:rPr>
      </w:pPr>
      <w:r w:rsidRPr="00832A7E">
        <w:rPr>
          <w:b/>
          <w:bCs/>
          <w:color w:val="000000" w:themeColor="text1"/>
          <w:highlight w:val="yellow"/>
        </w:rPr>
        <w:t>8. Coverslip retrieval and slide mounting</w:t>
      </w:r>
    </w:p>
    <w:p w14:paraId="79CBE3FB" w14:textId="77777777" w:rsidR="007A327E" w:rsidRPr="00832A7E" w:rsidRDefault="007A327E" w:rsidP="003A5BF4">
      <w:pPr>
        <w:pBdr>
          <w:top w:val="nil"/>
          <w:left w:val="nil"/>
          <w:bottom w:val="nil"/>
          <w:right w:val="nil"/>
          <w:between w:val="nil"/>
        </w:pBdr>
        <w:rPr>
          <w:color w:val="000000" w:themeColor="text1"/>
          <w:highlight w:val="yellow"/>
        </w:rPr>
      </w:pPr>
    </w:p>
    <w:p w14:paraId="675CAF47" w14:textId="06FD7452" w:rsidR="00B273EA" w:rsidRPr="00832A7E" w:rsidRDefault="00000000" w:rsidP="003A5BF4">
      <w:pPr>
        <w:pBdr>
          <w:top w:val="nil"/>
          <w:left w:val="nil"/>
          <w:bottom w:val="nil"/>
          <w:right w:val="nil"/>
          <w:between w:val="nil"/>
        </w:pBdr>
        <w:rPr>
          <w:color w:val="000000" w:themeColor="text1"/>
          <w:highlight w:val="yellow"/>
        </w:rPr>
      </w:pPr>
      <w:r w:rsidRPr="00832A7E">
        <w:rPr>
          <w:color w:val="000000" w:themeColor="text1"/>
          <w:highlight w:val="yellow"/>
        </w:rPr>
        <w:t>8.1. While the coverslips remain submerged in TBS, insert the tip of a fine needle or scalpel under the edge of the coverslip and gently lever it upward until one side is partially lifted. Using fine forceps, grasp the coverslip and remove it from the well.</w:t>
      </w:r>
    </w:p>
    <w:p w14:paraId="1D823B05" w14:textId="77777777" w:rsidR="007A327E" w:rsidRPr="00832A7E" w:rsidRDefault="007A327E" w:rsidP="003A5BF4">
      <w:pPr>
        <w:pBdr>
          <w:top w:val="nil"/>
          <w:left w:val="nil"/>
          <w:bottom w:val="nil"/>
          <w:right w:val="nil"/>
          <w:between w:val="nil"/>
        </w:pBdr>
        <w:rPr>
          <w:color w:val="000000" w:themeColor="text1"/>
          <w:highlight w:val="yellow"/>
        </w:rPr>
      </w:pPr>
    </w:p>
    <w:p w14:paraId="69BD3379" w14:textId="3E5684E7" w:rsidR="00B273EA" w:rsidRPr="00832A7E" w:rsidRDefault="00000000" w:rsidP="003A5BF4">
      <w:pPr>
        <w:pBdr>
          <w:top w:val="nil"/>
          <w:left w:val="nil"/>
          <w:bottom w:val="nil"/>
          <w:right w:val="nil"/>
          <w:between w:val="nil"/>
        </w:pBdr>
        <w:rPr>
          <w:color w:val="000000" w:themeColor="text1"/>
          <w:highlight w:val="yellow"/>
        </w:rPr>
      </w:pPr>
      <w:r w:rsidRPr="00832A7E">
        <w:rPr>
          <w:color w:val="000000" w:themeColor="text1"/>
          <w:highlight w:val="yellow"/>
        </w:rPr>
        <w:t xml:space="preserve">NOTE: Removing a coverslip when it is not submerged may cause it to adhere firmly to the bottom of the well due to surface tension, increasing </w:t>
      </w:r>
      <w:r w:rsidR="00C33C96" w:rsidRPr="00832A7E">
        <w:rPr>
          <w:color w:val="000000" w:themeColor="text1"/>
          <w:highlight w:val="yellow"/>
        </w:rPr>
        <w:t>the risk of breakage</w:t>
      </w:r>
      <w:r w:rsidRPr="00832A7E">
        <w:rPr>
          <w:color w:val="000000" w:themeColor="text1"/>
          <w:highlight w:val="yellow"/>
        </w:rPr>
        <w:t>.</w:t>
      </w:r>
    </w:p>
    <w:p w14:paraId="285D5FCC" w14:textId="77777777" w:rsidR="007A327E" w:rsidRPr="00832A7E" w:rsidRDefault="007A327E" w:rsidP="003A5BF4">
      <w:pPr>
        <w:pBdr>
          <w:top w:val="nil"/>
          <w:left w:val="nil"/>
          <w:bottom w:val="nil"/>
          <w:right w:val="nil"/>
          <w:between w:val="nil"/>
        </w:pBdr>
        <w:rPr>
          <w:color w:val="000000" w:themeColor="text1"/>
          <w:highlight w:val="yellow"/>
        </w:rPr>
      </w:pPr>
    </w:p>
    <w:p w14:paraId="1A6C8C64" w14:textId="0152AF96" w:rsidR="00B273EA" w:rsidRPr="00832A7E" w:rsidRDefault="00000000" w:rsidP="003A5BF4">
      <w:pPr>
        <w:pBdr>
          <w:top w:val="nil"/>
          <w:left w:val="nil"/>
          <w:bottom w:val="nil"/>
          <w:right w:val="nil"/>
          <w:between w:val="nil"/>
        </w:pBdr>
        <w:rPr>
          <w:color w:val="000000" w:themeColor="text1"/>
          <w:highlight w:val="yellow"/>
        </w:rPr>
      </w:pPr>
      <w:r w:rsidRPr="00832A7E">
        <w:rPr>
          <w:color w:val="000000" w:themeColor="text1"/>
          <w:highlight w:val="yellow"/>
        </w:rPr>
        <w:t>8.2. Holding the coverslip with forceps, carefully wick excess TBS from the edges using a vacuum aspirator or absorbent paper. Avoid touching the cell-covered surface.</w:t>
      </w:r>
    </w:p>
    <w:p w14:paraId="45C9DE0D" w14:textId="77777777" w:rsidR="007A327E" w:rsidRPr="00832A7E" w:rsidRDefault="007A327E" w:rsidP="003A5BF4">
      <w:pPr>
        <w:pBdr>
          <w:top w:val="nil"/>
          <w:left w:val="nil"/>
          <w:bottom w:val="nil"/>
          <w:right w:val="nil"/>
          <w:between w:val="nil"/>
        </w:pBdr>
        <w:rPr>
          <w:color w:val="000000" w:themeColor="text1"/>
          <w:highlight w:val="yellow"/>
        </w:rPr>
      </w:pPr>
    </w:p>
    <w:p w14:paraId="4723C406" w14:textId="32F6C761" w:rsidR="007A327E" w:rsidRPr="00832A7E" w:rsidRDefault="000009F0" w:rsidP="003A5BF4">
      <w:pPr>
        <w:pBdr>
          <w:top w:val="nil"/>
          <w:left w:val="nil"/>
          <w:bottom w:val="nil"/>
          <w:right w:val="nil"/>
          <w:between w:val="nil"/>
        </w:pBdr>
        <w:rPr>
          <w:color w:val="000000" w:themeColor="text1"/>
          <w:highlight w:val="yellow"/>
        </w:rPr>
      </w:pPr>
      <w:r w:rsidRPr="00832A7E">
        <w:rPr>
          <w:color w:val="000000" w:themeColor="text1"/>
          <w:highlight w:val="yellow"/>
        </w:rPr>
        <w:t>NOTE: Excess residual liquid should be avoided, as it can dilute the mounting medium and compromise image clarity and contrast.</w:t>
      </w:r>
      <w:r w:rsidRPr="00832A7E">
        <w:rPr>
          <w:color w:val="000000" w:themeColor="text1"/>
          <w:highlight w:val="yellow"/>
        </w:rPr>
        <w:tab/>
      </w:r>
      <w:r w:rsidRPr="00832A7E">
        <w:rPr>
          <w:color w:val="000000" w:themeColor="text1"/>
          <w:highlight w:val="yellow"/>
        </w:rPr>
        <w:br/>
      </w:r>
    </w:p>
    <w:p w14:paraId="4A8EA15D" w14:textId="250B6A20" w:rsidR="007A327E" w:rsidRPr="00570688" w:rsidRDefault="00000000" w:rsidP="003A5BF4">
      <w:pPr>
        <w:pBdr>
          <w:top w:val="nil"/>
          <w:left w:val="nil"/>
          <w:bottom w:val="nil"/>
          <w:right w:val="nil"/>
          <w:between w:val="nil"/>
        </w:pBdr>
        <w:rPr>
          <w:color w:val="000000" w:themeColor="text1"/>
        </w:rPr>
      </w:pPr>
      <w:r w:rsidRPr="00832A7E">
        <w:rPr>
          <w:color w:val="000000" w:themeColor="text1"/>
          <w:highlight w:val="yellow"/>
        </w:rPr>
        <w:t>8.3. Place the coverslip cell-side down onto a clean glass slide containing a small drop (</w:t>
      </w:r>
      <w:r w:rsidR="00A648C6" w:rsidRPr="00832A7E">
        <w:rPr>
          <w:color w:val="000000" w:themeColor="text1"/>
          <w:highlight w:val="yellow"/>
        </w:rPr>
        <w:t>≈</w:t>
      </w:r>
      <w:r w:rsidRPr="00832A7E">
        <w:rPr>
          <w:color w:val="000000" w:themeColor="text1"/>
          <w:highlight w:val="yellow"/>
        </w:rPr>
        <w:t>3 µL) of mounting medium.</w:t>
      </w:r>
      <w:r w:rsidRPr="00570688">
        <w:rPr>
          <w:color w:val="000000" w:themeColor="text1"/>
        </w:rPr>
        <w:tab/>
      </w:r>
    </w:p>
    <w:p w14:paraId="5DE01DCB" w14:textId="77777777" w:rsidR="00433B1A" w:rsidRPr="00570688" w:rsidRDefault="00433B1A" w:rsidP="003A5BF4">
      <w:pPr>
        <w:pBdr>
          <w:top w:val="nil"/>
          <w:left w:val="nil"/>
          <w:bottom w:val="nil"/>
          <w:right w:val="nil"/>
          <w:between w:val="nil"/>
        </w:pBdr>
        <w:rPr>
          <w:color w:val="000000" w:themeColor="text1"/>
        </w:rPr>
      </w:pPr>
    </w:p>
    <w:p w14:paraId="6700CD0C" w14:textId="6CACE01E" w:rsidR="00B273EA" w:rsidRPr="00570688" w:rsidRDefault="00FA0964" w:rsidP="003A5BF4">
      <w:pPr>
        <w:pBdr>
          <w:top w:val="nil"/>
          <w:left w:val="nil"/>
          <w:bottom w:val="nil"/>
          <w:right w:val="nil"/>
          <w:between w:val="nil"/>
        </w:pBdr>
        <w:rPr>
          <w:color w:val="000000" w:themeColor="text1"/>
        </w:rPr>
      </w:pPr>
      <w:r w:rsidRPr="00570688">
        <w:rPr>
          <w:color w:val="000000" w:themeColor="text1"/>
        </w:rPr>
        <w:t>NOTE: A commercial self-curing antifade medium or a homemade medium based on 80% glycerol/</w:t>
      </w:r>
      <w:r w:rsidR="00F0762B" w:rsidRPr="00570688">
        <w:rPr>
          <w:bCs/>
          <w:color w:val="000000" w:themeColor="text1"/>
        </w:rPr>
        <w:t>Phosphate-buffered saline (PBS) may be used; glycerol-based mounts are sealed with clear nail polish, and media without nuclear stain are selected</w:t>
      </w:r>
      <w:r w:rsidRPr="00570688">
        <w:rPr>
          <w:color w:val="000000" w:themeColor="text1"/>
        </w:rPr>
        <w:t xml:space="preserve"> </w:t>
      </w:r>
      <w:r w:rsidR="002525D8" w:rsidRPr="00570688">
        <w:rPr>
          <w:color w:val="000000" w:themeColor="text1"/>
        </w:rPr>
        <w:t>after counterstaining</w:t>
      </w:r>
      <w:r w:rsidRPr="00570688">
        <w:rPr>
          <w:color w:val="000000" w:themeColor="text1"/>
        </w:rPr>
        <w:t xml:space="preserve">. Storage limits and </w:t>
      </w:r>
      <w:r w:rsidR="00C33C96" w:rsidRPr="00570688">
        <w:rPr>
          <w:color w:val="000000" w:themeColor="text1"/>
        </w:rPr>
        <w:t>fluorophore stability guidance are provided</w:t>
      </w:r>
      <w:r w:rsidRPr="00570688">
        <w:rPr>
          <w:color w:val="000000" w:themeColor="text1"/>
        </w:rPr>
        <w:t xml:space="preserve"> in the Discussion.</w:t>
      </w:r>
      <w:r w:rsidRPr="00570688">
        <w:rPr>
          <w:color w:val="000000" w:themeColor="text1"/>
        </w:rPr>
        <w:tab/>
        <w:t xml:space="preserve">  </w:t>
      </w:r>
      <w:r w:rsidRPr="00570688">
        <w:rPr>
          <w:color w:val="000000" w:themeColor="text1"/>
        </w:rPr>
        <w:br/>
      </w:r>
    </w:p>
    <w:p w14:paraId="24C7438A" w14:textId="63F94241" w:rsidR="00B273EA" w:rsidRPr="00570688" w:rsidRDefault="00000000" w:rsidP="003A5BF4">
      <w:pPr>
        <w:pBdr>
          <w:top w:val="nil"/>
          <w:left w:val="nil"/>
          <w:bottom w:val="nil"/>
          <w:right w:val="nil"/>
          <w:between w:val="nil"/>
        </w:pBdr>
        <w:rPr>
          <w:color w:val="000000" w:themeColor="text1"/>
        </w:rPr>
      </w:pPr>
      <w:r w:rsidRPr="00832A7E">
        <w:rPr>
          <w:color w:val="000000" w:themeColor="text1"/>
          <w:highlight w:val="yellow"/>
        </w:rPr>
        <w:t xml:space="preserve">8.4. Allow slides to </w:t>
      </w:r>
      <w:r w:rsidR="00CB5715" w:rsidRPr="00832A7E">
        <w:rPr>
          <w:color w:val="000000" w:themeColor="text1"/>
          <w:highlight w:val="yellow"/>
        </w:rPr>
        <w:t xml:space="preserve">cure </w:t>
      </w:r>
      <w:r w:rsidRPr="00832A7E">
        <w:rPr>
          <w:color w:val="000000" w:themeColor="text1"/>
          <w:highlight w:val="yellow"/>
        </w:rPr>
        <w:t xml:space="preserve">horizontally for </w:t>
      </w:r>
      <w:r w:rsidR="00A648C6" w:rsidRPr="00832A7E">
        <w:rPr>
          <w:color w:val="000000" w:themeColor="text1"/>
          <w:highlight w:val="yellow"/>
        </w:rPr>
        <w:t>≈</w:t>
      </w:r>
      <w:r w:rsidRPr="00832A7E">
        <w:rPr>
          <w:color w:val="000000" w:themeColor="text1"/>
          <w:highlight w:val="yellow"/>
        </w:rPr>
        <w:t>24 h, protected from light, before image acquisition.</w:t>
      </w:r>
    </w:p>
    <w:p w14:paraId="4015356B" w14:textId="77777777" w:rsidR="006E4797" w:rsidRPr="00570688" w:rsidRDefault="006E4797" w:rsidP="003A5BF4">
      <w:pPr>
        <w:pBdr>
          <w:top w:val="nil"/>
          <w:left w:val="nil"/>
          <w:bottom w:val="nil"/>
          <w:right w:val="nil"/>
          <w:between w:val="nil"/>
        </w:pBdr>
        <w:rPr>
          <w:b/>
          <w:color w:val="000000" w:themeColor="text1"/>
        </w:rPr>
      </w:pPr>
    </w:p>
    <w:p w14:paraId="3CF48AFC" w14:textId="77777777" w:rsidR="00E4327E" w:rsidRPr="00570688" w:rsidRDefault="00000000" w:rsidP="003A5BF4">
      <w:pPr>
        <w:pBdr>
          <w:top w:val="nil"/>
          <w:left w:val="nil"/>
          <w:bottom w:val="nil"/>
          <w:right w:val="nil"/>
          <w:between w:val="nil"/>
        </w:pBdr>
        <w:rPr>
          <w:b/>
          <w:color w:val="000000" w:themeColor="text1"/>
        </w:rPr>
      </w:pPr>
      <w:r w:rsidRPr="00570688">
        <w:rPr>
          <w:b/>
          <w:color w:val="000000" w:themeColor="text1"/>
        </w:rPr>
        <w:t xml:space="preserve">REPRESENTATIVE </w:t>
      </w:r>
      <w:r w:rsidR="00551D82" w:rsidRPr="00570688">
        <w:rPr>
          <w:b/>
          <w:color w:val="000000" w:themeColor="text1"/>
        </w:rPr>
        <w:t xml:space="preserve">RESULTS: </w:t>
      </w:r>
    </w:p>
    <w:p w14:paraId="083F9C70" w14:textId="6A043D6D" w:rsidR="00135799" w:rsidRPr="00570688" w:rsidRDefault="00583507" w:rsidP="003A5BF4">
      <w:pPr>
        <w:pBdr>
          <w:top w:val="nil"/>
          <w:left w:val="nil"/>
          <w:bottom w:val="nil"/>
          <w:right w:val="nil"/>
          <w:between w:val="nil"/>
        </w:pBdr>
        <w:rPr>
          <w:color w:val="000000" w:themeColor="text1"/>
        </w:rPr>
      </w:pPr>
      <w:r w:rsidRPr="00570688">
        <w:rPr>
          <w:color w:val="000000" w:themeColor="text1"/>
        </w:rPr>
        <w:t xml:space="preserve">This protocol supports mono- and multiplex immunofluorescence staining of adherent canine tumor cells cultured on glass coverslips, allowing </w:t>
      </w:r>
      <w:r w:rsidR="007B7B74" w:rsidRPr="00570688">
        <w:rPr>
          <w:color w:val="000000" w:themeColor="text1"/>
        </w:rPr>
        <w:t>simultaneous visualization of nuclear, cytoplasmic, and cytoskeletal markers while preserving</w:t>
      </w:r>
      <w:r w:rsidRPr="00570688">
        <w:rPr>
          <w:color w:val="000000" w:themeColor="text1"/>
        </w:rPr>
        <w:t xml:space="preserve"> cellular morphology. Representative outcomes are illustrated in </w:t>
      </w:r>
      <w:r w:rsidR="000C5A2A" w:rsidRPr="00570688">
        <w:rPr>
          <w:b/>
          <w:bCs/>
          <w:color w:val="000000" w:themeColor="text1"/>
        </w:rPr>
        <w:t>Figure 3.</w:t>
      </w:r>
      <w:r w:rsidRPr="00570688">
        <w:rPr>
          <w:color w:val="000000" w:themeColor="text1"/>
        </w:rPr>
        <w:t xml:space="preserve"> </w:t>
      </w:r>
    </w:p>
    <w:p w14:paraId="1FDF9436" w14:textId="77777777" w:rsidR="00E4327E" w:rsidRPr="00570688" w:rsidRDefault="00E4327E" w:rsidP="003A5BF4">
      <w:pPr>
        <w:pBdr>
          <w:top w:val="nil"/>
          <w:left w:val="nil"/>
          <w:bottom w:val="nil"/>
          <w:right w:val="nil"/>
          <w:between w:val="nil"/>
        </w:pBdr>
        <w:rPr>
          <w:color w:val="000000" w:themeColor="text1"/>
        </w:rPr>
      </w:pPr>
    </w:p>
    <w:p w14:paraId="0B613CB2" w14:textId="69096077" w:rsidR="00135799" w:rsidRPr="00570688" w:rsidRDefault="003F337C" w:rsidP="003A5BF4">
      <w:pPr>
        <w:rPr>
          <w:color w:val="000000" w:themeColor="text1"/>
        </w:rPr>
      </w:pPr>
      <w:r w:rsidRPr="00570688">
        <w:rPr>
          <w:color w:val="000000" w:themeColor="text1"/>
        </w:rPr>
        <w:t>In successful experiments, D17 canine osteosarcoma cells engineered to express canine p14ARF or canine IFN-β by genetic manipulation (Section 5.1) displayed strong, spatially appropriate fluorescent signals with low background and minimal nonspecific staining. For p14ARF</w:t>
      </w:r>
      <w:r w:rsidR="00155220" w:rsidRPr="00570688">
        <w:rPr>
          <w:color w:val="000000" w:themeColor="text1"/>
        </w:rPr>
        <w:t xml:space="preserve"> expressing </w:t>
      </w:r>
      <w:r w:rsidRPr="00570688">
        <w:rPr>
          <w:color w:val="000000" w:themeColor="text1"/>
        </w:rPr>
        <w:t>cells (</w:t>
      </w:r>
      <w:r w:rsidR="000C5A2A" w:rsidRPr="00570688">
        <w:rPr>
          <w:b/>
          <w:bCs/>
          <w:color w:val="000000" w:themeColor="text1"/>
        </w:rPr>
        <w:t>Figure 3A</w:t>
      </w:r>
      <w:r w:rsidRPr="00570688">
        <w:rPr>
          <w:color w:val="000000" w:themeColor="text1"/>
        </w:rPr>
        <w:t xml:space="preserve">), immunofluorescence revealed a predominantly nuclear localization, consistent with the known subcellular distribution of p14ARF. The use of 0.3% </w:t>
      </w:r>
      <w:proofErr w:type="spellStart"/>
      <w:r w:rsidR="000166AB" w:rsidRPr="00570688">
        <w:rPr>
          <w:color w:val="000000" w:themeColor="text1"/>
        </w:rPr>
        <w:t>octylphenol</w:t>
      </w:r>
      <w:proofErr w:type="spellEnd"/>
      <w:r w:rsidR="000166AB" w:rsidRPr="00570688">
        <w:rPr>
          <w:color w:val="000000" w:themeColor="text1"/>
        </w:rPr>
        <w:t xml:space="preserve"> ethoxylate nonionic detergent </w:t>
      </w:r>
      <w:r w:rsidR="00C33C96" w:rsidRPr="00570688">
        <w:rPr>
          <w:color w:val="000000" w:themeColor="text1"/>
        </w:rPr>
        <w:t xml:space="preserve">permeabilization enabled efficient antibody access to nuclear epitopes while preserving nuclear morphology and cytoskeletal integrity, as confirmed by clear nuclear counterstaining and actin structures visualized with an </w:t>
      </w:r>
      <w:r w:rsidR="000E78A0" w:rsidRPr="00570688">
        <w:rPr>
          <w:color w:val="000000" w:themeColor="text1"/>
        </w:rPr>
        <w:t>anti-actin antibody (</w:t>
      </w:r>
      <w:r w:rsidR="000166AB" w:rsidRPr="00570688">
        <w:rPr>
          <w:color w:val="000000" w:themeColor="text1"/>
        </w:rPr>
        <w:t>orange-emitting fluorophore</w:t>
      </w:r>
      <w:r w:rsidR="000E78A0" w:rsidRPr="00570688">
        <w:rPr>
          <w:color w:val="000000" w:themeColor="text1"/>
        </w:rPr>
        <w:t>)</w:t>
      </w:r>
      <w:r w:rsidR="00851EFF" w:rsidRPr="00570688">
        <w:rPr>
          <w:color w:val="000000" w:themeColor="text1"/>
        </w:rPr>
        <w:t>.</w:t>
      </w:r>
    </w:p>
    <w:p w14:paraId="791F7881" w14:textId="77777777" w:rsidR="00E4327E" w:rsidRPr="00570688" w:rsidRDefault="00E4327E" w:rsidP="003A5BF4">
      <w:pPr>
        <w:rPr>
          <w:color w:val="000000" w:themeColor="text1"/>
        </w:rPr>
      </w:pPr>
    </w:p>
    <w:p w14:paraId="2C62417F" w14:textId="0D96A752" w:rsidR="00135799" w:rsidRPr="00570688" w:rsidRDefault="00000000" w:rsidP="003A5BF4">
      <w:pPr>
        <w:rPr>
          <w:color w:val="000000" w:themeColor="text1"/>
        </w:rPr>
      </w:pPr>
      <w:r w:rsidRPr="00570688">
        <w:rPr>
          <w:color w:val="000000" w:themeColor="text1"/>
        </w:rPr>
        <w:t xml:space="preserve">For </w:t>
      </w:r>
      <w:proofErr w:type="gramStart"/>
      <w:r w:rsidR="007B7B74" w:rsidRPr="00570688">
        <w:rPr>
          <w:color w:val="000000" w:themeColor="text1"/>
        </w:rPr>
        <w:t>IFN-β-expressing</w:t>
      </w:r>
      <w:proofErr w:type="gramEnd"/>
      <w:r w:rsidR="007B7B74" w:rsidRPr="00570688">
        <w:rPr>
          <w:color w:val="000000" w:themeColor="text1"/>
        </w:rPr>
        <w:t xml:space="preserve"> cells (</w:t>
      </w:r>
      <w:r w:rsidR="000C5A2A" w:rsidRPr="00570688">
        <w:rPr>
          <w:b/>
          <w:bCs/>
          <w:color w:val="000000" w:themeColor="text1"/>
        </w:rPr>
        <w:t>Figure 3A</w:t>
      </w:r>
      <w:r w:rsidR="007B7B74" w:rsidRPr="00570688">
        <w:rPr>
          <w:color w:val="000000" w:themeColor="text1"/>
        </w:rPr>
        <w:t xml:space="preserve">), a cytoplasmic signal was observed following incubation </w:t>
      </w:r>
      <w:r w:rsidR="007B7B74" w:rsidRPr="00570688">
        <w:rPr>
          <w:color w:val="000000" w:themeColor="text1"/>
        </w:rPr>
        <w:lastRenderedPageBreak/>
        <w:t xml:space="preserve">with BFA </w:t>
      </w:r>
      <w:r w:rsidRPr="00570688">
        <w:rPr>
          <w:color w:val="000000" w:themeColor="text1"/>
        </w:rPr>
        <w:t xml:space="preserve">to block protein secretion, allowing intracellular accumulation and detection of this soluble cytokine. Under these conditions, milder permeabilization </w:t>
      </w:r>
      <w:r w:rsidR="007B7B74" w:rsidRPr="00570688">
        <w:rPr>
          <w:color w:val="000000" w:themeColor="text1"/>
        </w:rPr>
        <w:t>was sufficient to allow</w:t>
      </w:r>
      <w:r w:rsidRPr="00570688">
        <w:rPr>
          <w:color w:val="000000" w:themeColor="text1"/>
        </w:rPr>
        <w:t xml:space="preserve"> antibody penetration without excessive extraction of cytoplasmic contents. Successful staining was characterized by </w:t>
      </w:r>
      <w:r w:rsidR="007B7B74" w:rsidRPr="00570688">
        <w:rPr>
          <w:color w:val="000000" w:themeColor="text1"/>
        </w:rPr>
        <w:t xml:space="preserve">punctate-to-diffuse cytoplasmic fluorescence, minimal nuclear </w:t>
      </w:r>
      <w:r w:rsidR="00AE1D83" w:rsidRPr="00570688">
        <w:rPr>
          <w:color w:val="000000" w:themeColor="text1"/>
        </w:rPr>
        <w:t>crosstalk</w:t>
      </w:r>
      <w:r w:rsidR="007B7B74" w:rsidRPr="00570688">
        <w:rPr>
          <w:color w:val="000000" w:themeColor="text1"/>
        </w:rPr>
        <w:t>,</w:t>
      </w:r>
      <w:r w:rsidRPr="00570688">
        <w:rPr>
          <w:color w:val="000000" w:themeColor="text1"/>
        </w:rPr>
        <w:t xml:space="preserve"> and preserved actin architecture.</w:t>
      </w:r>
    </w:p>
    <w:p w14:paraId="0627343F" w14:textId="77777777" w:rsidR="00E4327E" w:rsidRPr="00570688" w:rsidRDefault="00E4327E" w:rsidP="003A5BF4">
      <w:pPr>
        <w:rPr>
          <w:color w:val="000000" w:themeColor="text1"/>
        </w:rPr>
      </w:pPr>
    </w:p>
    <w:p w14:paraId="16A56193" w14:textId="76593935" w:rsidR="00F01DE7" w:rsidRPr="00570688" w:rsidRDefault="00000000" w:rsidP="003A5BF4">
      <w:pPr>
        <w:rPr>
          <w:color w:val="000000" w:themeColor="text1"/>
        </w:rPr>
      </w:pPr>
      <w:r w:rsidRPr="00570688">
        <w:rPr>
          <w:color w:val="000000" w:themeColor="text1"/>
        </w:rPr>
        <w:t xml:space="preserve">Suboptimal outcomes were observed when key parameters were not properly optimized. </w:t>
      </w:r>
      <w:r w:rsidR="00BA7942" w:rsidRPr="00570688">
        <w:rPr>
          <w:color w:val="000000" w:themeColor="text1"/>
        </w:rPr>
        <w:t xml:space="preserve">Insufficient permeabilization resulted in weak or absent nuclear p14ARF signal, as shown for the non-permeabilized condition (0% </w:t>
      </w:r>
      <w:proofErr w:type="spellStart"/>
      <w:r w:rsidR="000166AB" w:rsidRPr="00570688">
        <w:rPr>
          <w:color w:val="000000" w:themeColor="text1"/>
        </w:rPr>
        <w:t>octylphenol</w:t>
      </w:r>
      <w:proofErr w:type="spellEnd"/>
      <w:r w:rsidR="000166AB" w:rsidRPr="00570688">
        <w:rPr>
          <w:color w:val="000000" w:themeColor="text1"/>
        </w:rPr>
        <w:t xml:space="preserve"> ethoxylate nonionic detergent</w:t>
      </w:r>
      <w:r w:rsidR="00BA7942" w:rsidRPr="00570688">
        <w:rPr>
          <w:color w:val="000000" w:themeColor="text1"/>
        </w:rPr>
        <w:t xml:space="preserve">; </w:t>
      </w:r>
      <w:r w:rsidR="00BA7942" w:rsidRPr="00570688">
        <w:rPr>
          <w:b/>
          <w:bCs/>
          <w:color w:val="000000" w:themeColor="text1"/>
        </w:rPr>
        <w:t>Figure 3B</w:t>
      </w:r>
      <w:r w:rsidR="00BA7942" w:rsidRPr="00570688">
        <w:rPr>
          <w:color w:val="000000" w:themeColor="text1"/>
        </w:rPr>
        <w:t xml:space="preserve"> and </w:t>
      </w:r>
      <w:r w:rsidR="00BA7942" w:rsidRPr="00570688">
        <w:rPr>
          <w:b/>
          <w:bCs/>
          <w:color w:val="000000" w:themeColor="text1"/>
        </w:rPr>
        <w:t>Supplementary Figure 1</w:t>
      </w:r>
      <w:r w:rsidR="00BA7942" w:rsidRPr="00570688">
        <w:rPr>
          <w:color w:val="000000" w:themeColor="text1"/>
        </w:rPr>
        <w:t>).</w:t>
      </w:r>
      <w:r w:rsidRPr="00570688">
        <w:rPr>
          <w:color w:val="000000" w:themeColor="text1"/>
        </w:rPr>
        <w:t xml:space="preserve"> Conversely, excessive permeabilization (≥0.5%  </w:t>
      </w:r>
      <w:proofErr w:type="spellStart"/>
      <w:r w:rsidR="000166AB" w:rsidRPr="00570688">
        <w:rPr>
          <w:color w:val="000000" w:themeColor="text1"/>
        </w:rPr>
        <w:t>octylphenol</w:t>
      </w:r>
      <w:proofErr w:type="spellEnd"/>
      <w:r w:rsidR="000166AB" w:rsidRPr="00570688">
        <w:rPr>
          <w:color w:val="000000" w:themeColor="text1"/>
        </w:rPr>
        <w:t xml:space="preserve"> ethoxylate nonionic detergent </w:t>
      </w:r>
      <w:r w:rsidRPr="00570688">
        <w:rPr>
          <w:color w:val="000000" w:themeColor="text1"/>
        </w:rPr>
        <w:t xml:space="preserve">or extended incubation times) can lead to partial loss of cytoskeletal staining, increased background fluorescence, and compromised cellular morphology. In experiments with rapidly secreted proteins (e.g. IFN-β), omission of BFA frequently produced </w:t>
      </w:r>
      <w:r w:rsidR="007B7B74" w:rsidRPr="00570688">
        <w:rPr>
          <w:color w:val="000000" w:themeColor="text1"/>
        </w:rPr>
        <w:t xml:space="preserve">a </w:t>
      </w:r>
      <w:r w:rsidRPr="00570688">
        <w:rPr>
          <w:color w:val="000000" w:themeColor="text1"/>
        </w:rPr>
        <w:t>weaker intracellular signal, reflecting rapid secretion rather than protocol failure.</w:t>
      </w:r>
    </w:p>
    <w:p w14:paraId="68E3B7B7" w14:textId="77777777" w:rsidR="00F01DE7" w:rsidRPr="00570688" w:rsidRDefault="00F01DE7" w:rsidP="003A5BF4">
      <w:pPr>
        <w:rPr>
          <w:color w:val="000000" w:themeColor="text1"/>
        </w:rPr>
      </w:pPr>
    </w:p>
    <w:p w14:paraId="4E54CA1F" w14:textId="4DCB0FD6" w:rsidR="00E4327E" w:rsidRPr="00570688" w:rsidRDefault="00DE60B8" w:rsidP="003A5BF4">
      <w:pPr>
        <w:rPr>
          <w:color w:val="000000" w:themeColor="text1"/>
        </w:rPr>
      </w:pPr>
      <w:r w:rsidRPr="00570688">
        <w:rPr>
          <w:color w:val="000000" w:themeColor="text1"/>
        </w:rPr>
        <w:t>Single-stain controls (</w:t>
      </w:r>
      <w:r w:rsidRPr="00570688">
        <w:rPr>
          <w:b/>
          <w:bCs/>
          <w:color w:val="000000" w:themeColor="text1"/>
        </w:rPr>
        <w:t>Supplementary Figure 2</w:t>
      </w:r>
      <w:r w:rsidRPr="00570688">
        <w:rPr>
          <w:color w:val="000000" w:themeColor="text1"/>
        </w:rPr>
        <w:t>) showed signal only in the channel corresponding to each target, supporting the specificity of the observed immunofluorescence staining.</w:t>
      </w:r>
      <w:r w:rsidR="00B55C2C" w:rsidRPr="00570688">
        <w:rPr>
          <w:color w:val="000000" w:themeColor="text1"/>
        </w:rPr>
        <w:t xml:space="preserve"> </w:t>
      </w:r>
      <w:r w:rsidR="00F01DE7" w:rsidRPr="00570688">
        <w:rPr>
          <w:color w:val="000000" w:themeColor="text1"/>
        </w:rPr>
        <w:t xml:space="preserve">Negative control conditions, including </w:t>
      </w:r>
      <w:proofErr w:type="gramStart"/>
      <w:r w:rsidR="00F01DE7" w:rsidRPr="00570688">
        <w:rPr>
          <w:color w:val="000000" w:themeColor="text1"/>
        </w:rPr>
        <w:t>no</w:t>
      </w:r>
      <w:proofErr w:type="gramEnd"/>
      <w:r w:rsidR="00F01DE7" w:rsidRPr="00570688">
        <w:rPr>
          <w:color w:val="000000" w:themeColor="text1"/>
        </w:rPr>
        <w:t>-primary-antibody and no-antibody controls (</w:t>
      </w:r>
      <w:r w:rsidR="00F01DE7" w:rsidRPr="00570688">
        <w:rPr>
          <w:b/>
          <w:bCs/>
          <w:color w:val="000000" w:themeColor="text1"/>
        </w:rPr>
        <w:t xml:space="preserve">Supplementary Figure </w:t>
      </w:r>
      <w:r w:rsidR="00CD1214" w:rsidRPr="00570688">
        <w:rPr>
          <w:b/>
          <w:bCs/>
          <w:color w:val="000000" w:themeColor="text1"/>
        </w:rPr>
        <w:t>2</w:t>
      </w:r>
      <w:r w:rsidR="00F01DE7" w:rsidRPr="00570688">
        <w:rPr>
          <w:color w:val="000000" w:themeColor="text1"/>
        </w:rPr>
        <w:t xml:space="preserve">), </w:t>
      </w:r>
      <w:r w:rsidR="007B7B74" w:rsidRPr="00570688">
        <w:rPr>
          <w:color w:val="000000" w:themeColor="text1"/>
        </w:rPr>
        <w:t>showed the expected nuclear staining, with negligible signal in antibody-dependent channels, indicating low autofluorescence and minimal nonspecific binding of the secondary antibody</w:t>
      </w:r>
      <w:r w:rsidR="00F01DE7" w:rsidRPr="00570688">
        <w:rPr>
          <w:color w:val="000000" w:themeColor="text1"/>
        </w:rPr>
        <w:t>.</w:t>
      </w:r>
      <w:r w:rsidR="00EC2F93" w:rsidRPr="00570688">
        <w:rPr>
          <w:color w:val="000000" w:themeColor="text1"/>
        </w:rPr>
        <w:tab/>
      </w:r>
      <w:r w:rsidRPr="00570688">
        <w:rPr>
          <w:color w:val="000000" w:themeColor="text1"/>
        </w:rPr>
        <w:br/>
      </w:r>
    </w:p>
    <w:p w14:paraId="617C6E05" w14:textId="77777777" w:rsidR="00E4327E" w:rsidRPr="00570688" w:rsidRDefault="00E4327E" w:rsidP="003A5BF4">
      <w:pPr>
        <w:rPr>
          <w:color w:val="000000" w:themeColor="text1"/>
        </w:rPr>
      </w:pPr>
    </w:p>
    <w:p w14:paraId="73E28FDB" w14:textId="5133BD09" w:rsidR="006560B8" w:rsidRPr="00570688" w:rsidRDefault="00000000" w:rsidP="003A5BF4">
      <w:pPr>
        <w:rPr>
          <w:color w:val="000000" w:themeColor="text1"/>
        </w:rPr>
      </w:pPr>
      <w:r w:rsidRPr="00570688">
        <w:rPr>
          <w:color w:val="000000" w:themeColor="text1"/>
        </w:rPr>
        <w:t xml:space="preserve">Together, these representative results demonstrate that the protocol supports </w:t>
      </w:r>
      <w:r w:rsidR="007B7B74" w:rsidRPr="00570688">
        <w:rPr>
          <w:color w:val="000000" w:themeColor="text1"/>
        </w:rPr>
        <w:t>the detection of proteins with distinct subcellular localizations when fixation, permeabilization strength, and specific target-dependent strategies (e.g., secretion blocking</w:t>
      </w:r>
      <w:r w:rsidRPr="00570688">
        <w:rPr>
          <w:color w:val="000000" w:themeColor="text1"/>
        </w:rPr>
        <w:t>) are matched to target biology. Proper optimization results in strong, specific fluorescence with low background and preserved cellular morphology, whereas non-optimal conditions lead to weaker or noisier signals and altered cellular structure.</w:t>
      </w:r>
    </w:p>
    <w:p w14:paraId="2EE4DB20" w14:textId="77777777" w:rsidR="00F0762B" w:rsidRPr="00570688" w:rsidRDefault="00F0762B" w:rsidP="003A5BF4">
      <w:pPr>
        <w:rPr>
          <w:color w:val="000000" w:themeColor="text1"/>
        </w:rPr>
      </w:pPr>
    </w:p>
    <w:p w14:paraId="6D510784" w14:textId="7789933D" w:rsidR="006E4797" w:rsidRPr="00570688" w:rsidRDefault="00000000" w:rsidP="003A5BF4">
      <w:pPr>
        <w:rPr>
          <w:color w:val="000000" w:themeColor="text1"/>
        </w:rPr>
      </w:pPr>
      <w:r w:rsidRPr="00570688">
        <w:rPr>
          <w:b/>
          <w:color w:val="000000" w:themeColor="text1"/>
        </w:rPr>
        <w:t>FIGURE AND TABLE LEGENDS:</w:t>
      </w:r>
      <w:r w:rsidRPr="00570688">
        <w:rPr>
          <w:color w:val="000000" w:themeColor="text1"/>
        </w:rPr>
        <w:t xml:space="preserve"> </w:t>
      </w:r>
    </w:p>
    <w:p w14:paraId="5D90E6A6" w14:textId="11F25A14" w:rsidR="006560B8" w:rsidRPr="00570688" w:rsidRDefault="006560B8" w:rsidP="003A5BF4">
      <w:pPr>
        <w:rPr>
          <w:b/>
          <w:bCs/>
          <w:color w:val="000000" w:themeColor="text1"/>
        </w:rPr>
      </w:pPr>
      <w:r w:rsidRPr="00570688">
        <w:rPr>
          <w:b/>
          <w:bCs/>
          <w:color w:val="000000" w:themeColor="text1"/>
        </w:rPr>
        <w:t>Figure 1</w:t>
      </w:r>
      <w:r w:rsidR="00C33C96" w:rsidRPr="00570688">
        <w:rPr>
          <w:b/>
          <w:bCs/>
          <w:color w:val="000000" w:themeColor="text1"/>
        </w:rPr>
        <w:t>:</w:t>
      </w:r>
      <w:r w:rsidRPr="00570688">
        <w:rPr>
          <w:b/>
          <w:bCs/>
          <w:color w:val="000000" w:themeColor="text1"/>
        </w:rPr>
        <w:t xml:space="preserve"> Overview flowchart of the mono- and multiplex immunofluorescence workflow. </w:t>
      </w:r>
      <w:r w:rsidRPr="00570688">
        <w:rPr>
          <w:color w:val="000000" w:themeColor="text1"/>
        </w:rPr>
        <w:t>Principal steps from cell culture maintenance through image acquisition, including the two decision points requiring target-dependent selection: fixation method (PFA versus methanol) and permeabilization (based on target subcellular localization). Optional experimental treatment, including brefeldin A (BFA) pretreatment for rapidly secreted targets, is indicated as a branch prior to fixation. Optional steps not shown for clarity (e.g., aldehyde quenching) are described in the full Protocol.</w:t>
      </w:r>
    </w:p>
    <w:p w14:paraId="5A65B611" w14:textId="77777777" w:rsidR="006560B8" w:rsidRPr="00570688" w:rsidRDefault="006560B8" w:rsidP="003A5BF4">
      <w:pPr>
        <w:rPr>
          <w:b/>
          <w:bCs/>
          <w:color w:val="000000" w:themeColor="text1"/>
        </w:rPr>
      </w:pPr>
    </w:p>
    <w:p w14:paraId="2197BF44" w14:textId="70BD4F54" w:rsidR="00525E9B" w:rsidRPr="00570688" w:rsidRDefault="001A13E7" w:rsidP="003A5BF4">
      <w:pPr>
        <w:rPr>
          <w:color w:val="000000" w:themeColor="text1"/>
        </w:rPr>
      </w:pPr>
      <w:r w:rsidRPr="00570688">
        <w:rPr>
          <w:b/>
          <w:bCs/>
          <w:color w:val="000000" w:themeColor="text1"/>
        </w:rPr>
        <w:t xml:space="preserve">Figure 2: Schematic representation of antibody-based fluorescence detection strategies. </w:t>
      </w:r>
      <w:r w:rsidRPr="00570688">
        <w:rPr>
          <w:color w:val="000000" w:themeColor="text1"/>
        </w:rPr>
        <w:t xml:space="preserve">Direct detection uses fluorophore-conjugated primary antibodies, while indirect detection uses unconjugated primary antibodies paired with fluorophore-conjugated secondary antibodies, the strategy adopted throughout this protocol. For multiplex applications, indirect detection requires unconjugated primary antibodies raised in different host species, allowing each secondary </w:t>
      </w:r>
      <w:r w:rsidRPr="00570688">
        <w:rPr>
          <w:color w:val="000000" w:themeColor="text1"/>
        </w:rPr>
        <w:lastRenderedPageBreak/>
        <w:t>antibody to selectively recognize its corresponding primary without cross-reactivity.</w:t>
      </w:r>
    </w:p>
    <w:p w14:paraId="037515D9" w14:textId="77777777" w:rsidR="00700311" w:rsidRPr="00570688" w:rsidRDefault="00700311" w:rsidP="003A5BF4">
      <w:pPr>
        <w:rPr>
          <w:color w:val="000000" w:themeColor="text1"/>
        </w:rPr>
      </w:pPr>
    </w:p>
    <w:p w14:paraId="08C9976C" w14:textId="0EDE966D" w:rsidR="00700311" w:rsidRPr="00570688" w:rsidRDefault="0014737D" w:rsidP="003A5BF4">
      <w:pPr>
        <w:rPr>
          <w:color w:val="000000" w:themeColor="text1"/>
        </w:rPr>
      </w:pPr>
      <w:r w:rsidRPr="00570688">
        <w:rPr>
          <w:b/>
          <w:bCs/>
          <w:color w:val="000000" w:themeColor="text1"/>
        </w:rPr>
        <w:t>Figure</w:t>
      </w:r>
      <w:r w:rsidR="007E5C8E" w:rsidRPr="00570688">
        <w:rPr>
          <w:b/>
          <w:bCs/>
          <w:color w:val="000000" w:themeColor="text1"/>
        </w:rPr>
        <w:t xml:space="preserve"> 3</w:t>
      </w:r>
      <w:r w:rsidR="00C33C96" w:rsidRPr="00570688">
        <w:rPr>
          <w:b/>
          <w:bCs/>
          <w:color w:val="000000" w:themeColor="text1"/>
        </w:rPr>
        <w:t>:</w:t>
      </w:r>
      <w:r w:rsidRPr="00570688">
        <w:rPr>
          <w:b/>
          <w:bCs/>
          <w:color w:val="000000" w:themeColor="text1"/>
        </w:rPr>
        <w:t xml:space="preserve"> Multiplex immunofluorescence of D17 canine osteosarcoma cells. </w:t>
      </w:r>
      <w:r w:rsidRPr="00570688">
        <w:rPr>
          <w:color w:val="000000" w:themeColor="text1"/>
        </w:rPr>
        <w:t>D17 cells (5 × 10⁴) were seeded on glass coverslips in 24-well plates and fixed with 4% paraformaldehyde (PFA) for 10 min at 25</w:t>
      </w:r>
      <w:r w:rsidR="001055ED" w:rsidRPr="00570688">
        <w:rPr>
          <w:color w:val="000000" w:themeColor="text1"/>
        </w:rPr>
        <w:t xml:space="preserve"> </w:t>
      </w:r>
      <w:r w:rsidRPr="00570688">
        <w:rPr>
          <w:color w:val="000000" w:themeColor="text1"/>
        </w:rPr>
        <w:t xml:space="preserve">°C. Cells were subjected to multiplex immunofluorescence using anti-p14ARF </w:t>
      </w:r>
      <w:r w:rsidR="00682BDF" w:rsidRPr="00570688">
        <w:rPr>
          <w:color w:val="000000" w:themeColor="text1"/>
        </w:rPr>
        <w:t>(1:200; green-emitting fluorophores), anti-actin (orange-emitting fluorophores</w:t>
      </w:r>
      <w:r w:rsidRPr="00570688">
        <w:rPr>
          <w:color w:val="000000" w:themeColor="text1"/>
        </w:rPr>
        <w:t>), and anti-interferon</w:t>
      </w:r>
      <w:r w:rsidR="00765BAA" w:rsidRPr="00570688">
        <w:rPr>
          <w:color w:val="000000" w:themeColor="text1"/>
        </w:rPr>
        <w:t>-</w:t>
      </w:r>
      <w:r w:rsidRPr="00570688">
        <w:rPr>
          <w:color w:val="000000" w:themeColor="text1"/>
        </w:rPr>
        <w:t xml:space="preserve">β (IFN-β) (1:200; </w:t>
      </w:r>
      <w:r w:rsidR="000166AB" w:rsidRPr="00570688">
        <w:rPr>
          <w:color w:val="000000" w:themeColor="text1"/>
        </w:rPr>
        <w:t>far-red-emitting fluorophores</w:t>
      </w:r>
      <w:r w:rsidRPr="00570688">
        <w:rPr>
          <w:color w:val="000000" w:themeColor="text1"/>
        </w:rPr>
        <w:t xml:space="preserve">) primary antibodies, with corresponding secondary antibodies at 1:500. Nuclei were counterstained. Prior to IFN-β detection, cells were treated with </w:t>
      </w:r>
      <w:r w:rsidR="00F0762B" w:rsidRPr="00570688">
        <w:rPr>
          <w:color w:val="000000" w:themeColor="text1"/>
        </w:rPr>
        <w:t>BFA</w:t>
      </w:r>
      <w:r w:rsidRPr="00570688">
        <w:rPr>
          <w:color w:val="000000" w:themeColor="text1"/>
        </w:rPr>
        <w:t xml:space="preserve"> (5 µg/mL, 4 h) to block protein secretion. (</w:t>
      </w:r>
      <w:r w:rsidRPr="00570688">
        <w:rPr>
          <w:b/>
          <w:bCs/>
          <w:color w:val="000000" w:themeColor="text1"/>
        </w:rPr>
        <w:t>A</w:t>
      </w:r>
      <w:r w:rsidRPr="00570688">
        <w:rPr>
          <w:color w:val="000000" w:themeColor="text1"/>
        </w:rPr>
        <w:t xml:space="preserve">) Cells were permeabilized with 0.3% </w:t>
      </w:r>
      <w:r w:rsidR="00FA08BD" w:rsidRPr="00570688">
        <w:rPr>
          <w:color w:val="000000" w:themeColor="text1"/>
        </w:rPr>
        <w:t xml:space="preserve">non-ionic detergent </w:t>
      </w:r>
      <w:r w:rsidRPr="00570688">
        <w:rPr>
          <w:color w:val="000000" w:themeColor="text1"/>
        </w:rPr>
        <w:t>for 10 min at 25</w:t>
      </w:r>
      <w:r w:rsidR="001055ED" w:rsidRPr="00570688">
        <w:rPr>
          <w:color w:val="000000" w:themeColor="text1"/>
        </w:rPr>
        <w:t xml:space="preserve"> </w:t>
      </w:r>
      <w:r w:rsidRPr="00570688">
        <w:rPr>
          <w:color w:val="000000" w:themeColor="text1"/>
        </w:rPr>
        <w:t xml:space="preserve">°C. (B) Cells processed without permeabilization (0% </w:t>
      </w:r>
      <w:r w:rsidR="00FA08BD" w:rsidRPr="00570688">
        <w:rPr>
          <w:color w:val="000000" w:themeColor="text1"/>
        </w:rPr>
        <w:t xml:space="preserve">non-ionic detergent </w:t>
      </w:r>
      <w:r w:rsidRPr="00570688">
        <w:rPr>
          <w:color w:val="000000" w:themeColor="text1"/>
        </w:rPr>
        <w:t xml:space="preserve">). Representative images from 2 independent biological replicates, each performed in 2 technical replicates. Only merged channels are shown in this figure; individual channels are provided in </w:t>
      </w:r>
      <w:r w:rsidRPr="00570688">
        <w:rPr>
          <w:b/>
          <w:bCs/>
          <w:color w:val="000000" w:themeColor="text1"/>
        </w:rPr>
        <w:t>Supplementary Figure 1</w:t>
      </w:r>
      <w:r w:rsidRPr="00570688">
        <w:rPr>
          <w:color w:val="000000" w:themeColor="text1"/>
        </w:rPr>
        <w:t>. Differences in labeling are observable between conditions, particularly for p14ARF (A; arrows), an intranuclear target, whose signal was absent in the non-permeabilized group (</w:t>
      </w:r>
      <w:r w:rsidRPr="00570688">
        <w:rPr>
          <w:b/>
          <w:bCs/>
          <w:color w:val="000000" w:themeColor="text1"/>
        </w:rPr>
        <w:t>B</w:t>
      </w:r>
      <w:r w:rsidRPr="00570688">
        <w:rPr>
          <w:color w:val="000000" w:themeColor="text1"/>
        </w:rPr>
        <w:t>). Panels A and B were acquired and processed using identical settings (</w:t>
      </w:r>
      <w:r w:rsidRPr="00570688">
        <w:rPr>
          <w:b/>
          <w:bCs/>
          <w:color w:val="000000" w:themeColor="text1"/>
        </w:rPr>
        <w:t>Supplementary Table 1</w:t>
      </w:r>
      <w:r w:rsidRPr="00570688">
        <w:rPr>
          <w:color w:val="000000" w:themeColor="text1"/>
        </w:rPr>
        <w:t xml:space="preserve">). Negative and single-stain controls corresponding to this panel are shown in </w:t>
      </w:r>
      <w:r w:rsidRPr="00570688">
        <w:rPr>
          <w:b/>
          <w:bCs/>
          <w:color w:val="000000" w:themeColor="text1"/>
        </w:rPr>
        <w:t>Supplementary Figure 2</w:t>
      </w:r>
      <w:r w:rsidRPr="00570688">
        <w:rPr>
          <w:color w:val="000000" w:themeColor="text1"/>
        </w:rPr>
        <w:t>. Scale bar: 100 µm.</w:t>
      </w:r>
      <w:r w:rsidRPr="00570688">
        <w:rPr>
          <w:color w:val="000000" w:themeColor="text1"/>
        </w:rPr>
        <w:tab/>
      </w:r>
      <w:r w:rsidRPr="00570688">
        <w:rPr>
          <w:b/>
          <w:bCs/>
          <w:color w:val="000000" w:themeColor="text1"/>
        </w:rPr>
        <w:br/>
      </w:r>
      <w:r w:rsidRPr="00570688">
        <w:rPr>
          <w:b/>
          <w:bCs/>
          <w:color w:val="000000" w:themeColor="text1"/>
        </w:rPr>
        <w:br/>
      </w:r>
    </w:p>
    <w:p w14:paraId="4BB4EC8A" w14:textId="625F5AFD" w:rsidR="00700311" w:rsidRPr="00570688" w:rsidRDefault="00FC77F2" w:rsidP="003A5BF4">
      <w:pPr>
        <w:rPr>
          <w:color w:val="000000" w:themeColor="text1"/>
        </w:rPr>
      </w:pPr>
      <w:r w:rsidRPr="00570688">
        <w:rPr>
          <w:b/>
          <w:bCs/>
          <w:color w:val="000000" w:themeColor="text1"/>
        </w:rPr>
        <w:t>Supplementary Figure 1</w:t>
      </w:r>
      <w:r w:rsidR="00C33C96" w:rsidRPr="00570688">
        <w:rPr>
          <w:b/>
          <w:bCs/>
          <w:color w:val="000000" w:themeColor="text1"/>
        </w:rPr>
        <w:t>:</w:t>
      </w:r>
      <w:r w:rsidRPr="00570688">
        <w:rPr>
          <w:b/>
          <w:bCs/>
          <w:color w:val="000000" w:themeColor="text1"/>
        </w:rPr>
        <w:t xml:space="preserve"> Individual fluorescence channels corresponding to Figure </w:t>
      </w:r>
      <w:r w:rsidR="00F55017" w:rsidRPr="00570688">
        <w:rPr>
          <w:b/>
          <w:bCs/>
          <w:color w:val="000000" w:themeColor="text1"/>
        </w:rPr>
        <w:t>3</w:t>
      </w:r>
      <w:r w:rsidRPr="00570688">
        <w:rPr>
          <w:b/>
          <w:bCs/>
          <w:color w:val="000000" w:themeColor="text1"/>
        </w:rPr>
        <w:t xml:space="preserve">, organized by marker with permeabilized (left column) and non-permeabilized (right column). </w:t>
      </w:r>
      <w:r w:rsidRPr="00570688">
        <w:rPr>
          <w:color w:val="000000" w:themeColor="text1"/>
        </w:rPr>
        <w:t>Conditions shown side by side: Hoechst 33342 (</w:t>
      </w:r>
      <w:r w:rsidRPr="00570688">
        <w:rPr>
          <w:b/>
          <w:bCs/>
          <w:color w:val="000000" w:themeColor="text1"/>
        </w:rPr>
        <w:t>A, B</w:t>
      </w:r>
      <w:r w:rsidRPr="00570688">
        <w:rPr>
          <w:color w:val="000000" w:themeColor="text1"/>
        </w:rPr>
        <w:t>), p14ARF (</w:t>
      </w:r>
      <w:r w:rsidRPr="00570688">
        <w:rPr>
          <w:b/>
          <w:bCs/>
          <w:color w:val="000000" w:themeColor="text1"/>
        </w:rPr>
        <w:t>C, D</w:t>
      </w:r>
      <w:r w:rsidRPr="00570688">
        <w:rPr>
          <w:color w:val="000000" w:themeColor="text1"/>
        </w:rPr>
        <w:t xml:space="preserve">; </w:t>
      </w:r>
      <w:r w:rsidR="000166AB" w:rsidRPr="00570688">
        <w:rPr>
          <w:color w:val="000000" w:themeColor="text1"/>
        </w:rPr>
        <w:t>green-emitting fluorophores</w:t>
      </w:r>
      <w:r w:rsidRPr="00570688">
        <w:rPr>
          <w:color w:val="000000" w:themeColor="text1"/>
        </w:rPr>
        <w:t>), actin (</w:t>
      </w:r>
      <w:r w:rsidRPr="00570688">
        <w:rPr>
          <w:b/>
          <w:bCs/>
          <w:color w:val="000000" w:themeColor="text1"/>
        </w:rPr>
        <w:t>E, F</w:t>
      </w:r>
      <w:r w:rsidRPr="00570688">
        <w:rPr>
          <w:color w:val="000000" w:themeColor="text1"/>
        </w:rPr>
        <w:t xml:space="preserve">; </w:t>
      </w:r>
      <w:r w:rsidR="000166AB" w:rsidRPr="00570688">
        <w:rPr>
          <w:color w:val="000000" w:themeColor="text1"/>
        </w:rPr>
        <w:t>orange-emitting fluorophore</w:t>
      </w:r>
      <w:r w:rsidRPr="00570688">
        <w:rPr>
          <w:color w:val="000000" w:themeColor="text1"/>
        </w:rPr>
        <w:t>), and IFN-β (G</w:t>
      </w:r>
      <w:r w:rsidRPr="00570688">
        <w:rPr>
          <w:b/>
          <w:bCs/>
          <w:color w:val="000000" w:themeColor="text1"/>
        </w:rPr>
        <w:t>, H</w:t>
      </w:r>
      <w:r w:rsidRPr="00570688">
        <w:rPr>
          <w:color w:val="000000" w:themeColor="text1"/>
        </w:rPr>
        <w:t xml:space="preserve">; </w:t>
      </w:r>
      <w:r w:rsidR="000166AB" w:rsidRPr="00570688">
        <w:rPr>
          <w:color w:val="000000" w:themeColor="text1"/>
        </w:rPr>
        <w:t>far-red-emitting fluorophores</w:t>
      </w:r>
      <w:r w:rsidRPr="00570688">
        <w:rPr>
          <w:color w:val="000000" w:themeColor="text1"/>
        </w:rPr>
        <w:t xml:space="preserve">), alongside the corresponding merged panels (I, J), matching Figure </w:t>
      </w:r>
      <w:r w:rsidR="00F55017" w:rsidRPr="00570688">
        <w:rPr>
          <w:color w:val="000000" w:themeColor="text1"/>
        </w:rPr>
        <w:t>3A and 3B</w:t>
      </w:r>
      <w:r w:rsidRPr="00570688">
        <w:rPr>
          <w:color w:val="000000" w:themeColor="text1"/>
        </w:rPr>
        <w:t xml:space="preserve">, respectively. Arrows indicate representative p14ARF nuclear staining; ellipses indicate representative </w:t>
      </w:r>
      <w:proofErr w:type="gramStart"/>
      <w:r w:rsidRPr="00570688">
        <w:rPr>
          <w:color w:val="000000" w:themeColor="text1"/>
        </w:rPr>
        <w:t>actin</w:t>
      </w:r>
      <w:proofErr w:type="gramEnd"/>
      <w:r w:rsidRPr="00570688">
        <w:rPr>
          <w:color w:val="000000" w:themeColor="text1"/>
        </w:rPr>
        <w:t xml:space="preserve"> (</w:t>
      </w:r>
      <w:r w:rsidRPr="00570688">
        <w:rPr>
          <w:b/>
          <w:bCs/>
          <w:color w:val="000000" w:themeColor="text1"/>
        </w:rPr>
        <w:t>E</w:t>
      </w:r>
      <w:r w:rsidRPr="00570688">
        <w:rPr>
          <w:color w:val="000000" w:themeColor="text1"/>
        </w:rPr>
        <w:t>) and IFN-β (</w:t>
      </w:r>
      <w:r w:rsidRPr="00570688">
        <w:rPr>
          <w:b/>
          <w:bCs/>
          <w:color w:val="000000" w:themeColor="text1"/>
        </w:rPr>
        <w:t>G</w:t>
      </w:r>
      <w:r w:rsidRPr="00570688">
        <w:rPr>
          <w:color w:val="000000" w:themeColor="text1"/>
        </w:rPr>
        <w:t xml:space="preserve">) staining, respectively. Loss of p14ARF nuclear signal, along with sub-optimal labeling of IFN-β and </w:t>
      </w:r>
      <w:proofErr w:type="gramStart"/>
      <w:r w:rsidRPr="00570688">
        <w:rPr>
          <w:color w:val="000000" w:themeColor="text1"/>
        </w:rPr>
        <w:t>actin</w:t>
      </w:r>
      <w:proofErr w:type="gramEnd"/>
      <w:r w:rsidRPr="00570688">
        <w:rPr>
          <w:color w:val="000000" w:themeColor="text1"/>
        </w:rPr>
        <w:t>, is evident under non-permeabilized conditions. Residual signal observed in (</w:t>
      </w:r>
      <w:r w:rsidRPr="00570688">
        <w:rPr>
          <w:b/>
          <w:bCs/>
          <w:color w:val="000000" w:themeColor="text1"/>
        </w:rPr>
        <w:t>D</w:t>
      </w:r>
      <w:r w:rsidRPr="00570688">
        <w:rPr>
          <w:color w:val="000000" w:themeColor="text1"/>
        </w:rPr>
        <w:t>; asterisk) reflects spectral crosstalk from co-present fluorophores, confirmed by its absence in the corresponding single-stain and secondary-only controls (</w:t>
      </w:r>
      <w:r w:rsidRPr="00570688">
        <w:rPr>
          <w:b/>
          <w:bCs/>
          <w:color w:val="000000" w:themeColor="text1"/>
        </w:rPr>
        <w:t>Supplementary Figure 2</w:t>
      </w:r>
      <w:r w:rsidRPr="00570688">
        <w:rPr>
          <w:color w:val="000000" w:themeColor="text1"/>
        </w:rPr>
        <w:t>). Scale bar: 100 µm.</w:t>
      </w:r>
      <w:r w:rsidRPr="00570688">
        <w:rPr>
          <w:color w:val="000000" w:themeColor="text1"/>
        </w:rPr>
        <w:tab/>
      </w:r>
      <w:r w:rsidRPr="00570688">
        <w:rPr>
          <w:b/>
          <w:bCs/>
          <w:color w:val="000000" w:themeColor="text1"/>
        </w:rPr>
        <w:br/>
      </w:r>
      <w:r w:rsidR="00215D4D" w:rsidRPr="00570688">
        <w:rPr>
          <w:b/>
          <w:bCs/>
          <w:color w:val="000000" w:themeColor="text1"/>
        </w:rPr>
        <w:br/>
        <w:t>Supplementary Figure 2</w:t>
      </w:r>
      <w:r w:rsidR="00C33C96" w:rsidRPr="00570688">
        <w:rPr>
          <w:b/>
          <w:bCs/>
          <w:color w:val="000000" w:themeColor="text1"/>
        </w:rPr>
        <w:t>:</w:t>
      </w:r>
      <w:r w:rsidR="00215D4D" w:rsidRPr="00570688">
        <w:rPr>
          <w:b/>
          <w:bCs/>
          <w:color w:val="000000" w:themeColor="text1"/>
        </w:rPr>
        <w:t xml:space="preserve"> Combined immunofluorescence controls corresponding to the multiplex panel in Figure </w:t>
      </w:r>
      <w:r w:rsidR="003509D5" w:rsidRPr="00570688">
        <w:rPr>
          <w:b/>
          <w:bCs/>
          <w:color w:val="000000" w:themeColor="text1"/>
        </w:rPr>
        <w:t>3</w:t>
      </w:r>
      <w:r w:rsidR="00215D4D" w:rsidRPr="00570688">
        <w:rPr>
          <w:b/>
          <w:bCs/>
          <w:color w:val="000000" w:themeColor="text1"/>
        </w:rPr>
        <w:t>.</w:t>
      </w:r>
      <w:r w:rsidR="00215D4D" w:rsidRPr="00570688">
        <w:rPr>
          <w:color w:val="000000" w:themeColor="text1"/>
        </w:rPr>
        <w:t xml:space="preserve"> For each control group, individual channels (Hoechst 33342, </w:t>
      </w:r>
      <w:r w:rsidR="000166AB" w:rsidRPr="00570688">
        <w:rPr>
          <w:color w:val="000000" w:themeColor="text1"/>
        </w:rPr>
        <w:t>green-emitting fluorophores</w:t>
      </w:r>
      <w:r w:rsidR="00215D4D" w:rsidRPr="00570688">
        <w:rPr>
          <w:color w:val="000000" w:themeColor="text1"/>
        </w:rPr>
        <w:t xml:space="preserve">, </w:t>
      </w:r>
      <w:r w:rsidR="000166AB" w:rsidRPr="00570688">
        <w:rPr>
          <w:color w:val="000000" w:themeColor="text1"/>
        </w:rPr>
        <w:t>orange-emitting fluorophore</w:t>
      </w:r>
      <w:r w:rsidR="00215D4D" w:rsidRPr="00570688">
        <w:rPr>
          <w:color w:val="000000" w:themeColor="text1"/>
        </w:rPr>
        <w:t xml:space="preserve">, and </w:t>
      </w:r>
      <w:r w:rsidR="000166AB" w:rsidRPr="00570688">
        <w:rPr>
          <w:color w:val="000000" w:themeColor="text1"/>
        </w:rPr>
        <w:t>far-red-emitting fluorophores</w:t>
      </w:r>
      <w:r w:rsidR="00215D4D" w:rsidRPr="00570688">
        <w:rPr>
          <w:color w:val="000000" w:themeColor="text1"/>
        </w:rPr>
        <w:t>) are shown alongside the merge (fifth column). (</w:t>
      </w:r>
      <w:r w:rsidR="00215D4D" w:rsidRPr="00570688">
        <w:rPr>
          <w:b/>
          <w:bCs/>
          <w:color w:val="000000" w:themeColor="text1"/>
        </w:rPr>
        <w:t>A–E</w:t>
      </w:r>
      <w:r w:rsidR="00215D4D" w:rsidRPr="00570688">
        <w:rPr>
          <w:color w:val="000000" w:themeColor="text1"/>
        </w:rPr>
        <w:t>) No-antibody control: cells processed without primary or secondary antibodies. (</w:t>
      </w:r>
      <w:r w:rsidR="00215D4D" w:rsidRPr="00570688">
        <w:rPr>
          <w:b/>
          <w:bCs/>
          <w:color w:val="000000" w:themeColor="text1"/>
        </w:rPr>
        <w:t>F–J</w:t>
      </w:r>
      <w:r w:rsidR="00215D4D" w:rsidRPr="00570688">
        <w:rPr>
          <w:color w:val="000000" w:themeColor="text1"/>
        </w:rPr>
        <w:t>) Secondary-only control: cells incubated with the secondary antibody cocktail in the absence of primary antibodies. (</w:t>
      </w:r>
      <w:r w:rsidR="00215D4D" w:rsidRPr="00570688">
        <w:rPr>
          <w:b/>
          <w:bCs/>
          <w:color w:val="000000" w:themeColor="text1"/>
        </w:rPr>
        <w:t>K–O</w:t>
      </w:r>
      <w:r w:rsidR="00215D4D" w:rsidRPr="00570688">
        <w:rPr>
          <w:color w:val="000000" w:themeColor="text1"/>
        </w:rPr>
        <w:t>) p14ARF single-stain control (</w:t>
      </w:r>
      <w:r w:rsidR="000166AB" w:rsidRPr="00570688">
        <w:rPr>
          <w:color w:val="000000" w:themeColor="text1"/>
        </w:rPr>
        <w:t>green-emitting fluorophores</w:t>
      </w:r>
      <w:r w:rsidR="00215D4D" w:rsidRPr="00570688">
        <w:rPr>
          <w:color w:val="000000" w:themeColor="text1"/>
        </w:rPr>
        <w:t>). (</w:t>
      </w:r>
      <w:r w:rsidR="00215D4D" w:rsidRPr="00570688">
        <w:rPr>
          <w:b/>
          <w:bCs/>
          <w:color w:val="000000" w:themeColor="text1"/>
        </w:rPr>
        <w:t>P–T</w:t>
      </w:r>
      <w:r w:rsidR="00215D4D" w:rsidRPr="00570688">
        <w:rPr>
          <w:color w:val="000000" w:themeColor="text1"/>
        </w:rPr>
        <w:t>) Actin single-stain control (</w:t>
      </w:r>
      <w:r w:rsidR="000166AB" w:rsidRPr="00570688">
        <w:rPr>
          <w:color w:val="000000" w:themeColor="text1"/>
        </w:rPr>
        <w:t>orange-emitting fluorophore</w:t>
      </w:r>
      <w:r w:rsidR="00215D4D" w:rsidRPr="00570688">
        <w:rPr>
          <w:color w:val="000000" w:themeColor="text1"/>
        </w:rPr>
        <w:t>). (U–Y) IFN-β single-stain control (</w:t>
      </w:r>
      <w:r w:rsidR="000166AB" w:rsidRPr="00570688">
        <w:rPr>
          <w:color w:val="000000" w:themeColor="text1"/>
        </w:rPr>
        <w:t>far-red-emitting fluorophores</w:t>
      </w:r>
      <w:r w:rsidR="00215D4D" w:rsidRPr="00570688">
        <w:rPr>
          <w:color w:val="000000" w:themeColor="text1"/>
        </w:rPr>
        <w:t xml:space="preserve">). Acquisition and processing settings were identical to those used in Figure </w:t>
      </w:r>
      <w:r w:rsidR="00583507" w:rsidRPr="00570688">
        <w:rPr>
          <w:color w:val="000000" w:themeColor="text1"/>
        </w:rPr>
        <w:t>3</w:t>
      </w:r>
      <w:r w:rsidR="00215D4D" w:rsidRPr="00570688">
        <w:rPr>
          <w:color w:val="000000" w:themeColor="text1"/>
        </w:rPr>
        <w:t xml:space="preserve"> (</w:t>
      </w:r>
      <w:r w:rsidR="00215D4D" w:rsidRPr="00570688">
        <w:rPr>
          <w:b/>
          <w:bCs/>
          <w:color w:val="000000" w:themeColor="text1"/>
        </w:rPr>
        <w:t>Supplementary Table 1</w:t>
      </w:r>
      <w:r w:rsidR="00215D4D" w:rsidRPr="00570688">
        <w:rPr>
          <w:color w:val="000000" w:themeColor="text1"/>
        </w:rPr>
        <w:t>). Scale bar: 100 µm.</w:t>
      </w:r>
      <w:r w:rsidR="00215D4D" w:rsidRPr="00570688">
        <w:rPr>
          <w:color w:val="000000" w:themeColor="text1"/>
        </w:rPr>
        <w:tab/>
      </w:r>
      <w:r w:rsidR="00215D4D" w:rsidRPr="00570688">
        <w:rPr>
          <w:b/>
          <w:bCs/>
          <w:color w:val="000000" w:themeColor="text1"/>
        </w:rPr>
        <w:br/>
      </w:r>
    </w:p>
    <w:p w14:paraId="127795A2" w14:textId="5F075964" w:rsidR="00C33C96" w:rsidRPr="00570688" w:rsidRDefault="001143C2" w:rsidP="003A5BF4">
      <w:pPr>
        <w:rPr>
          <w:bCs/>
          <w:color w:val="000000" w:themeColor="text1"/>
        </w:rPr>
      </w:pPr>
      <w:r w:rsidRPr="00570688">
        <w:rPr>
          <w:b/>
          <w:color w:val="000000" w:themeColor="text1"/>
        </w:rPr>
        <w:t>Supplementary Table 1</w:t>
      </w:r>
      <w:r w:rsidR="00C33C96" w:rsidRPr="00570688">
        <w:rPr>
          <w:b/>
          <w:color w:val="000000" w:themeColor="text1"/>
        </w:rPr>
        <w:t>:</w:t>
      </w:r>
      <w:r w:rsidRPr="00570688">
        <w:rPr>
          <w:b/>
          <w:color w:val="000000" w:themeColor="text1"/>
        </w:rPr>
        <w:t xml:space="preserve"> Fluorescence filter cube specifications and acquisition order. Images were acquired sequentially on </w:t>
      </w:r>
      <w:r w:rsidR="000166AB" w:rsidRPr="00570688">
        <w:rPr>
          <w:b/>
          <w:color w:val="000000" w:themeColor="text1"/>
        </w:rPr>
        <w:t xml:space="preserve">an inverted </w:t>
      </w:r>
      <w:r w:rsidRPr="00570688">
        <w:rPr>
          <w:b/>
          <w:color w:val="000000" w:themeColor="text1"/>
        </w:rPr>
        <w:t>widefield fluorescence microscope (</w:t>
      </w:r>
      <w:r w:rsidR="000665C7" w:rsidRPr="00570688">
        <w:rPr>
          <w:color w:val="000000" w:themeColor="text1"/>
        </w:rPr>
        <w:t xml:space="preserve">40×/0.80 </w:t>
      </w:r>
      <w:r w:rsidR="000665C7" w:rsidRPr="00570688">
        <w:rPr>
          <w:color w:val="000000" w:themeColor="text1"/>
        </w:rPr>
        <w:lastRenderedPageBreak/>
        <w:t>objective</w:t>
      </w:r>
      <w:r w:rsidRPr="00570688">
        <w:rPr>
          <w:b/>
          <w:color w:val="000000" w:themeColor="text1"/>
        </w:rPr>
        <w:t>) using the filter cubes listed below, in the order shown, for every field imaged in Figure 3</w:t>
      </w:r>
      <w:r w:rsidR="00EF528A" w:rsidRPr="00570688">
        <w:rPr>
          <w:b/>
          <w:color w:val="000000" w:themeColor="text1"/>
        </w:rPr>
        <w:t>, Supplementary Figure 1,</w:t>
      </w:r>
      <w:r w:rsidRPr="00570688">
        <w:rPr>
          <w:b/>
          <w:color w:val="000000" w:themeColor="text1"/>
        </w:rPr>
        <w:t xml:space="preserve"> and </w:t>
      </w:r>
      <w:r w:rsidR="00EF528A" w:rsidRPr="00570688">
        <w:rPr>
          <w:b/>
          <w:color w:val="000000" w:themeColor="text1"/>
        </w:rPr>
        <w:t xml:space="preserve">Supplementary Figure </w:t>
      </w:r>
      <w:r w:rsidRPr="00570688">
        <w:rPr>
          <w:b/>
          <w:color w:val="000000" w:themeColor="text1"/>
        </w:rPr>
        <w:t xml:space="preserve">2. Images were acquired as single optical planes (no z-stacking). </w:t>
      </w:r>
      <w:r w:rsidRPr="00570688">
        <w:rPr>
          <w:bCs/>
          <w:color w:val="000000" w:themeColor="text1"/>
        </w:rPr>
        <w:t xml:space="preserve">Excitation intensity was set </w:t>
      </w:r>
      <w:r w:rsidR="00C33C96" w:rsidRPr="00570688">
        <w:rPr>
          <w:bCs/>
          <w:color w:val="000000" w:themeColor="text1"/>
        </w:rPr>
        <w:t xml:space="preserve">using the </w:t>
      </w:r>
      <w:r w:rsidR="000166AB" w:rsidRPr="00570688">
        <w:rPr>
          <w:color w:val="000000" w:themeColor="text1"/>
        </w:rPr>
        <w:t>illumination-intensity control or fluorescence-intensity control setting</w:t>
      </w:r>
      <w:r w:rsidR="00C33C96" w:rsidRPr="00570688">
        <w:rPr>
          <w:color w:val="000000" w:themeColor="text1"/>
        </w:rPr>
        <w:t xml:space="preserve"> at the indicated levels</w:t>
      </w:r>
      <w:r w:rsidRPr="00570688">
        <w:rPr>
          <w:color w:val="000000" w:themeColor="text1"/>
        </w:rPr>
        <w:t>,</w:t>
      </w:r>
      <w:r w:rsidRPr="00570688">
        <w:rPr>
          <w:bCs/>
          <w:color w:val="000000" w:themeColor="text1"/>
        </w:rPr>
        <w:t xml:space="preserve"> with the incident-light field diaphragm held at position 6 for all channels. Camera settings (8-bit digitization, 3072×2048 format, gamma 1.0) and a fixed digital sharpening setting were identical for all channels and panels, including the control images in </w:t>
      </w:r>
      <w:r w:rsidRPr="00570688">
        <w:rPr>
          <w:b/>
          <w:color w:val="000000" w:themeColor="text1"/>
        </w:rPr>
        <w:t>Supplementary Figure 2</w:t>
      </w:r>
      <w:r w:rsidRPr="00570688">
        <w:rPr>
          <w:bCs/>
          <w:color w:val="000000" w:themeColor="text1"/>
        </w:rPr>
        <w:t xml:space="preserve">. A single linear brightness/contrast adjustment was applied identically to all channels and panels for display. Images were exported as TIFF. </w:t>
      </w:r>
    </w:p>
    <w:p w14:paraId="3D99BD6D" w14:textId="77777777" w:rsidR="00C33C96" w:rsidRPr="00570688" w:rsidRDefault="00C33C96" w:rsidP="003A5BF4">
      <w:pPr>
        <w:rPr>
          <w:bCs/>
          <w:color w:val="000000" w:themeColor="text1"/>
        </w:rPr>
      </w:pPr>
    </w:p>
    <w:p w14:paraId="523264FA" w14:textId="6BA105E2" w:rsidR="00081EF1" w:rsidRPr="00570688" w:rsidRDefault="001143C2" w:rsidP="003A5BF4">
      <w:pPr>
        <w:rPr>
          <w:bCs/>
          <w:color w:val="000000" w:themeColor="text1"/>
        </w:rPr>
      </w:pPr>
      <w:r w:rsidRPr="00570688">
        <w:rPr>
          <w:b/>
          <w:color w:val="000000" w:themeColor="text1"/>
        </w:rPr>
        <w:t>Supplementary Table 2</w:t>
      </w:r>
      <w:r w:rsidR="00C33C96" w:rsidRPr="00570688">
        <w:rPr>
          <w:b/>
          <w:color w:val="000000" w:themeColor="text1"/>
        </w:rPr>
        <w:t>:</w:t>
      </w:r>
      <w:r w:rsidRPr="00570688">
        <w:rPr>
          <w:bCs/>
          <w:color w:val="000000" w:themeColor="text1"/>
        </w:rPr>
        <w:t xml:space="preserve"> </w:t>
      </w:r>
      <w:r w:rsidRPr="00570688">
        <w:rPr>
          <w:b/>
          <w:color w:val="000000" w:themeColor="text1"/>
        </w:rPr>
        <w:t>Troubleshooting guide for common technical issues in the immunofluorescence workflow.</w:t>
      </w:r>
      <w:r w:rsidRPr="00570688">
        <w:rPr>
          <w:bCs/>
          <w:color w:val="000000" w:themeColor="text1"/>
        </w:rPr>
        <w:t xml:space="preserve"> Common problems, likely causes, and corrective actions across the protocol.</w:t>
      </w:r>
    </w:p>
    <w:p w14:paraId="062E2721" w14:textId="77777777" w:rsidR="00081EF1" w:rsidRPr="00570688" w:rsidRDefault="00081EF1" w:rsidP="003A5BF4">
      <w:pPr>
        <w:rPr>
          <w:b/>
          <w:color w:val="000000" w:themeColor="text1"/>
        </w:rPr>
      </w:pPr>
    </w:p>
    <w:p w14:paraId="10BE8D4C" w14:textId="252B38C8" w:rsidR="00E4327E" w:rsidRPr="00570688" w:rsidRDefault="00000000" w:rsidP="003A5BF4">
      <w:pPr>
        <w:rPr>
          <w:b/>
          <w:color w:val="000000" w:themeColor="text1"/>
        </w:rPr>
      </w:pPr>
      <w:r w:rsidRPr="00570688">
        <w:rPr>
          <w:b/>
          <w:color w:val="000000" w:themeColor="text1"/>
        </w:rPr>
        <w:t xml:space="preserve">DISCUSSION: </w:t>
      </w:r>
    </w:p>
    <w:p w14:paraId="2DA2C596" w14:textId="46B6EBF1" w:rsidR="00A55483" w:rsidRPr="00570688" w:rsidRDefault="00A55483" w:rsidP="003A5BF4">
      <w:pPr>
        <w:rPr>
          <w:color w:val="000000" w:themeColor="text1"/>
        </w:rPr>
      </w:pPr>
      <w:r w:rsidRPr="00570688">
        <w:rPr>
          <w:color w:val="000000" w:themeColor="text1"/>
        </w:rPr>
        <w:t xml:space="preserve">Several steps are critical for the consistent performance of this coverslip-based immunofluorescence workflow. All procedures are performed within the confined environment of a 24-well culture well, which simplifies handling, limits sample manipulation, and enables complete coverslip coverage using low reagent volumes, thereby reducing antibody consumption per experiment. Because these low-volume solutions are prone to evaporation, incubations are best performed in a humidified chamber, and samples must never be allowed to </w:t>
      </w:r>
      <w:proofErr w:type="gramStart"/>
      <w:r w:rsidRPr="00570688">
        <w:rPr>
          <w:color w:val="000000" w:themeColor="text1"/>
        </w:rPr>
        <w:t>dry:</w:t>
      </w:r>
      <w:proofErr w:type="gramEnd"/>
      <w:r w:rsidRPr="00570688">
        <w:rPr>
          <w:color w:val="000000" w:themeColor="text1"/>
        </w:rPr>
        <w:t xml:space="preserve"> even brief drying increases background fluorescence and degrades cellular morphology. When aspirating, a thin film of buffer is left on the coverslip</w:t>
      </w:r>
      <w:r w:rsidR="00C33C96" w:rsidRPr="00570688">
        <w:rPr>
          <w:color w:val="000000" w:themeColor="text1"/>
        </w:rPr>
        <w:t xml:space="preserve">, and the next solution is </w:t>
      </w:r>
      <w:r w:rsidRPr="00570688">
        <w:rPr>
          <w:color w:val="000000" w:themeColor="text1"/>
        </w:rPr>
        <w:t>added immediately.</w:t>
      </w:r>
    </w:p>
    <w:p w14:paraId="5882C6C2" w14:textId="77777777" w:rsidR="00A55483" w:rsidRPr="00570688" w:rsidRDefault="00A55483" w:rsidP="003A5BF4">
      <w:pPr>
        <w:rPr>
          <w:color w:val="000000" w:themeColor="text1"/>
        </w:rPr>
      </w:pPr>
    </w:p>
    <w:p w14:paraId="2C0FF451" w14:textId="67B42505" w:rsidR="00A55483" w:rsidRPr="00570688" w:rsidRDefault="00A55483" w:rsidP="003A5BF4">
      <w:pPr>
        <w:rPr>
          <w:color w:val="000000" w:themeColor="text1"/>
        </w:rPr>
      </w:pPr>
      <w:r w:rsidRPr="00570688">
        <w:rPr>
          <w:color w:val="000000" w:themeColor="text1"/>
        </w:rPr>
        <w:t>Proper cell seeding density and controlled confluency at the time of fixation are essential to limit background and preserve morphology, as overgrowth increases background and compromises cellular architecture. Precise control of incubation time and temperature is likewise required throughout, since both influence fixation efficiency, antibody binding, and background signal⁵</w:t>
      </w:r>
      <w:r w:rsidRPr="00570688">
        <w:rPr>
          <w:color w:val="000000" w:themeColor="text1"/>
          <w:vertAlign w:val="superscript"/>
        </w:rPr>
        <w:t>,</w:t>
      </w:r>
      <w:r w:rsidRPr="00570688">
        <w:rPr>
          <w:color w:val="000000" w:themeColor="text1"/>
        </w:rPr>
        <w:t xml:space="preserve">¹³. </w:t>
      </w:r>
      <w:r w:rsidR="00A0260E" w:rsidRPr="00570688">
        <w:rPr>
          <w:color w:val="000000" w:themeColor="text1"/>
        </w:rPr>
        <w:t xml:space="preserve">When ambient conditions fluctuate, a temperature-controlled incubator or dry oven set to 25 °C, combined with consistent incubation timing across replicates, improves reproducibility. </w:t>
      </w:r>
    </w:p>
    <w:p w14:paraId="7B1C9A38" w14:textId="77777777" w:rsidR="00A55483" w:rsidRPr="00570688" w:rsidRDefault="00A55483" w:rsidP="003A5BF4">
      <w:pPr>
        <w:rPr>
          <w:color w:val="000000" w:themeColor="text1"/>
        </w:rPr>
      </w:pPr>
    </w:p>
    <w:p w14:paraId="13554B89" w14:textId="51BEC3A9" w:rsidR="00A55483" w:rsidRPr="00570688" w:rsidRDefault="00A55483" w:rsidP="003A5BF4">
      <w:pPr>
        <w:rPr>
          <w:color w:val="000000" w:themeColor="text1"/>
        </w:rPr>
      </w:pPr>
      <w:r w:rsidRPr="00570688">
        <w:rPr>
          <w:color w:val="000000" w:themeColor="text1"/>
        </w:rPr>
        <w:t>Fixation is the first decisive step, as it determines antigen preservation and cellular architecture⁵, and the fixative is selected according to target localization and epitope sensitivity. PFA is recommended for most membrane-associated, cytoplasmic, nuclear, and cytoskeletal targets, as it preserves architecture, maintains antigen distribution, and is compatible with phalloidin-based F-actin staining. Methanol may be preferred for certain nuclear antigens poorly detected after cross-linking fixation, particularly phospho-epitopes or aldehyde-sensitive epitopes, but it disrupts membrane integrity, extracts soluble proteins, and impairs phalloidin/F-actin staining; compatibility should be validated for each target</w:t>
      </w:r>
      <w:r w:rsidR="00CD4B17" w:rsidRPr="00570688">
        <w:rPr>
          <w:color w:val="000000" w:themeColor="text1"/>
        </w:rPr>
        <w:t xml:space="preserve"> </w:t>
      </w:r>
      <w:r w:rsidR="00CD4B17" w:rsidRPr="00570688">
        <w:rPr>
          <w:color w:val="000000" w:themeColor="text1"/>
          <w:vertAlign w:val="superscript"/>
        </w:rPr>
        <w:t>13,14,15,16</w:t>
      </w:r>
      <w:r w:rsidRPr="00570688">
        <w:rPr>
          <w:color w:val="000000" w:themeColor="text1"/>
        </w:rPr>
        <w:t xml:space="preserve">. For soluble cytokines and other rapidly secreted proteins, PFA fixation combined with BFA pretreatment retains intracellular signal prior to fixation: BFA blocks protein transport from the endoplasmic reticulum to the Golgi apparatus, promoting intracellular accumulation of secreted proteins and enabling their detection by immunofluorescence. When targets with conflicting fixation requirements must be detected simultaneously, empirical optimization is required. Glyoxal, a small dialdehyde, has been </w:t>
      </w:r>
      <w:r w:rsidRPr="00570688">
        <w:rPr>
          <w:color w:val="000000" w:themeColor="text1"/>
        </w:rPr>
        <w:lastRenderedPageBreak/>
        <w:t>reported as an alternative to PFA, with faster cross-linking, improved antigen preservation, and compatibility with immunofluorescence and super-resolution microscopy; we have no direct experience with glyoxal fixation and present it as a literature-supported option</w:t>
      </w:r>
      <w:r w:rsidR="00B6563B" w:rsidRPr="00570688">
        <w:rPr>
          <w:color w:val="000000" w:themeColor="text1"/>
          <w:vertAlign w:val="superscript"/>
        </w:rPr>
        <w:t>17,18</w:t>
      </w:r>
      <w:r w:rsidRPr="00570688">
        <w:rPr>
          <w:color w:val="000000" w:themeColor="text1"/>
        </w:rPr>
        <w:t>.</w:t>
      </w:r>
    </w:p>
    <w:p w14:paraId="4A3F7D8B" w14:textId="77777777" w:rsidR="00A55483" w:rsidRPr="00570688" w:rsidRDefault="00A55483" w:rsidP="003A5BF4">
      <w:pPr>
        <w:rPr>
          <w:color w:val="000000" w:themeColor="text1"/>
        </w:rPr>
      </w:pPr>
    </w:p>
    <w:p w14:paraId="00C00EDF" w14:textId="34909EBB" w:rsidR="00A55483" w:rsidRPr="00570688" w:rsidRDefault="00A55483" w:rsidP="003A5BF4">
      <w:pPr>
        <w:rPr>
          <w:color w:val="000000" w:themeColor="text1"/>
        </w:rPr>
      </w:pPr>
      <w:r w:rsidRPr="00570688">
        <w:rPr>
          <w:color w:val="000000" w:themeColor="text1"/>
        </w:rPr>
        <w:t xml:space="preserve">Following fixation, appropriate permeabilization enables antibody access to intracellular and nuclear epitopes while maintaining structural integrity⁵. Insufficient permeabilization typically yields weak or absent signal despite intact morphology, indicating restricted antibody access, whereas excessive permeabilization extracts soluble proteins, disrupts membranes, causes loss of cytoskeletal staining, and increases background. Detergent type, concentration, and incubation time are therefore optimized </w:t>
      </w:r>
      <w:r w:rsidR="00C33C96" w:rsidRPr="00570688">
        <w:rPr>
          <w:color w:val="000000" w:themeColor="text1"/>
        </w:rPr>
        <w:t>for</w:t>
      </w:r>
      <w:r w:rsidRPr="00570688">
        <w:rPr>
          <w:color w:val="000000" w:themeColor="text1"/>
        </w:rPr>
        <w:t xml:space="preserve"> the target. Adequate permeabilization can be judged by four criteria: (</w:t>
      </w:r>
      <w:proofErr w:type="spellStart"/>
      <w:r w:rsidRPr="00570688">
        <w:rPr>
          <w:color w:val="000000" w:themeColor="text1"/>
        </w:rPr>
        <w:t>i</w:t>
      </w:r>
      <w:proofErr w:type="spellEnd"/>
      <w:r w:rsidRPr="00570688">
        <w:rPr>
          <w:color w:val="000000" w:themeColor="text1"/>
        </w:rPr>
        <w:t xml:space="preserve">) specific signal in the expected subcellular compartment; (ii) preserved morphology, with intact nuclear and cytoplasmic boundaries resolved by Hoechst 33342 and phalloidin, respectively; (iii) well-defined F-actin staining, since diffuse or lost cytoskeletal signal indicates over-permeabilization; and (iv) low background in negative controls. If these criteria are not met, </w:t>
      </w:r>
      <w:proofErr w:type="spellStart"/>
      <w:r w:rsidR="000166AB" w:rsidRPr="00570688">
        <w:rPr>
          <w:color w:val="000000" w:themeColor="text1"/>
        </w:rPr>
        <w:t>octylphenol</w:t>
      </w:r>
      <w:proofErr w:type="spellEnd"/>
      <w:r w:rsidR="000166AB" w:rsidRPr="00570688">
        <w:rPr>
          <w:color w:val="000000" w:themeColor="text1"/>
        </w:rPr>
        <w:t xml:space="preserve"> ethoxylate nonionic detergent </w:t>
      </w:r>
      <w:r w:rsidRPr="00570688">
        <w:rPr>
          <w:color w:val="000000" w:themeColor="text1"/>
        </w:rPr>
        <w:t xml:space="preserve">concentration and/or incubation time are adjusted empirically. When membrane-associated and intracellular antigens are combined in </w:t>
      </w:r>
      <w:r w:rsidR="00C33C96" w:rsidRPr="00570688">
        <w:rPr>
          <w:color w:val="000000" w:themeColor="text1"/>
        </w:rPr>
        <w:t xml:space="preserve">a single panel, milder conditions (lower detergent concentration, shorter incubation) preserve membrane epitopes while allowing intracellular access, and </w:t>
      </w:r>
      <w:proofErr w:type="gramStart"/>
      <w:r w:rsidR="00C33C96" w:rsidRPr="00570688">
        <w:rPr>
          <w:color w:val="000000" w:themeColor="text1"/>
        </w:rPr>
        <w:t>a time</w:t>
      </w:r>
      <w:proofErr w:type="gramEnd"/>
      <w:r w:rsidR="00C33C96" w:rsidRPr="00570688">
        <w:rPr>
          <w:color w:val="000000" w:themeColor="text1"/>
        </w:rPr>
        <w:t xml:space="preserve"> course starting</w:t>
      </w:r>
      <w:r w:rsidRPr="00570688">
        <w:rPr>
          <w:color w:val="000000" w:themeColor="text1"/>
        </w:rPr>
        <w:t xml:space="preserve"> at 5 min and increasing incrementally is useful. If saponin is used instead, it must be maintained in all subsequent antibody and wash buffers, as its permeabilizing effect is reversible.</w:t>
      </w:r>
    </w:p>
    <w:p w14:paraId="63073E87" w14:textId="77777777" w:rsidR="00A55483" w:rsidRPr="00570688" w:rsidRDefault="00A55483" w:rsidP="003A5BF4">
      <w:pPr>
        <w:rPr>
          <w:color w:val="000000" w:themeColor="text1"/>
        </w:rPr>
      </w:pPr>
    </w:p>
    <w:p w14:paraId="27F69FC1" w14:textId="57391638" w:rsidR="00A55483" w:rsidRPr="00570688" w:rsidRDefault="00A55483" w:rsidP="003A5BF4">
      <w:pPr>
        <w:rPr>
          <w:color w:val="000000" w:themeColor="text1"/>
        </w:rPr>
      </w:pPr>
      <w:r w:rsidRPr="00570688">
        <w:rPr>
          <w:color w:val="000000" w:themeColor="text1"/>
        </w:rPr>
        <w:t xml:space="preserve">Antibody concentrations are established empirically by titration rather than adopted from generic recommendations. A practical approach is a serial dilution series spanning at least 3–4 concentrations above and below the manufacturer's suggested dilution (e.g., 1:50, 1:100, 1:200, and 1:400 for a recommended 1:200), applied to replicate coverslips under identical conditions. Each dilution is evaluated for specific signal intensity in the expected compartment; signal-to-background ratio, comparing stained samples with the corresponding no-primary control and secondary background with the no-antibody control; and preservation of morphology. The lowest concentration giving </w:t>
      </w:r>
      <w:r w:rsidR="00C33C96" w:rsidRPr="00570688">
        <w:rPr>
          <w:color w:val="000000" w:themeColor="text1"/>
        </w:rPr>
        <w:t xml:space="preserve">a </w:t>
      </w:r>
      <w:r w:rsidRPr="00570688">
        <w:rPr>
          <w:color w:val="000000" w:themeColor="text1"/>
        </w:rPr>
        <w:t xml:space="preserve">strong, specific signal with minimal background is selected. Persistent high background is commonly mitigated by further titration, extended blocking, or increased wash stringency, </w:t>
      </w:r>
      <w:r w:rsidR="009B4C9F" w:rsidRPr="00570688">
        <w:rPr>
          <w:color w:val="000000" w:themeColor="text1"/>
        </w:rPr>
        <w:t>whereas weak signal may reflect excessive fixation, suboptimal antibody concentration, failure of the primary antibody to recognize its target epitope, a mismatch between the secondary antibody and the host species of the primary (e.g., an anti-rabbit secondary applied to a mouse-host primary), or loss of fluorophore signal through secondary antibody degradation caused by expiry or improper storage, particularly repeated light exposure</w:t>
      </w:r>
      <w:r w:rsidRPr="00570688">
        <w:rPr>
          <w:color w:val="000000" w:themeColor="text1"/>
        </w:rPr>
        <w:t xml:space="preserve">. If signal is absent across all dilutions, it is worth extending primary incubation or switching to overnight at 4 °C, confirming antigen expression in the cell line, </w:t>
      </w:r>
      <w:r w:rsidR="00F604C7" w:rsidRPr="00570688">
        <w:rPr>
          <w:color w:val="000000" w:themeColor="text1"/>
        </w:rPr>
        <w:t xml:space="preserve">verifying antibody compatibility with the fixation and permeabilization conditions, checking the lot, storage, and expiry of the primary and secondary antibodies, </w:t>
      </w:r>
      <w:r w:rsidRPr="00570688">
        <w:rPr>
          <w:color w:val="000000" w:themeColor="text1"/>
        </w:rPr>
        <w:t xml:space="preserve">confirming that the microscope carries appropriate excitation and emission filters for the fluorophore, and, if the problem persists, testing an alternative clone. When preparing working solutions, the required cocktail volume is the number of wells multiplied by 150 µL plus roughly 10% excess to offset pipetting loss; the stock volume of each antibody equals this total divided by its dilution factor (e.g., 825 µL ÷ 200 = 4.13 µL for a 1:200 dilution), with the balance made up in TBST–BSA 1%. The same calculation </w:t>
      </w:r>
      <w:r w:rsidRPr="00570688">
        <w:rPr>
          <w:color w:val="000000" w:themeColor="text1"/>
        </w:rPr>
        <w:lastRenderedPageBreak/>
        <w:t xml:space="preserve">applies to the secondary cocktail, </w:t>
      </w:r>
      <w:r w:rsidR="00C33C96" w:rsidRPr="00570688">
        <w:rPr>
          <w:color w:val="000000" w:themeColor="text1"/>
        </w:rPr>
        <w:t>with the corresponding dilution factor substituted</w:t>
      </w:r>
      <w:r w:rsidRPr="00570688">
        <w:rPr>
          <w:color w:val="000000" w:themeColor="text1"/>
        </w:rPr>
        <w:t>.</w:t>
      </w:r>
    </w:p>
    <w:p w14:paraId="3B5B84D5" w14:textId="77777777" w:rsidR="00A55483" w:rsidRPr="00570688" w:rsidRDefault="00A55483" w:rsidP="003A5BF4">
      <w:pPr>
        <w:rPr>
          <w:color w:val="000000" w:themeColor="text1"/>
        </w:rPr>
      </w:pPr>
    </w:p>
    <w:p w14:paraId="4103B16D" w14:textId="54AAFABC" w:rsidR="00A55483" w:rsidRPr="00570688" w:rsidRDefault="00A55483" w:rsidP="003A5BF4">
      <w:pPr>
        <w:rPr>
          <w:color w:val="000000" w:themeColor="text1"/>
        </w:rPr>
      </w:pPr>
      <w:r w:rsidRPr="00570688">
        <w:rPr>
          <w:color w:val="000000" w:themeColor="text1"/>
        </w:rPr>
        <w:t xml:space="preserve">Multiplexing performance ultimately depends on fluorophore panel design. Fluorophores assigned to the primary targets, the nuclear counterstain, and the cytoskeletal marker must be coordinated to avoid spectral overlap or signal duplication, and </w:t>
      </w:r>
      <w:r w:rsidR="004837D3" w:rsidRPr="00570688">
        <w:rPr>
          <w:color w:val="000000" w:themeColor="text1"/>
        </w:rPr>
        <w:t>the imaging system must support excitation and detection of every selected fluorophore⁹</w:t>
      </w:r>
      <w:r w:rsidR="004837D3" w:rsidRPr="00570688">
        <w:rPr>
          <w:color w:val="000000" w:themeColor="text1"/>
          <w:vertAlign w:val="superscript"/>
        </w:rPr>
        <w:t>,</w:t>
      </w:r>
      <w:r w:rsidR="004837D3" w:rsidRPr="00570688">
        <w:rPr>
          <w:color w:val="000000" w:themeColor="text1"/>
        </w:rPr>
        <w:t xml:space="preserve">¹⁰; excitation and emission ranges for each filter cube are provided in </w:t>
      </w:r>
      <w:r w:rsidR="004837D3" w:rsidRPr="00570688">
        <w:rPr>
          <w:b/>
          <w:bCs/>
          <w:color w:val="000000" w:themeColor="text1"/>
        </w:rPr>
        <w:t>Supplementary Table 1</w:t>
      </w:r>
      <w:r w:rsidR="004837D3" w:rsidRPr="00570688">
        <w:rPr>
          <w:color w:val="000000" w:themeColor="text1"/>
        </w:rPr>
        <w:t>, allowing direct comparison of spectral compatibility across the panel. Users adapting this panel to other fluorophores are advised to select combinations with minimal adjacent-channel overlap where possible, and to verify the absence of crosstalk in single-stain controls before combining targets, as done here</w:t>
      </w:r>
      <w:r w:rsidRPr="00570688">
        <w:rPr>
          <w:color w:val="000000" w:themeColor="text1"/>
        </w:rPr>
        <w:t>.</w:t>
      </w:r>
      <w:r w:rsidR="00C56B86" w:rsidRPr="00570688">
        <w:rPr>
          <w:color w:val="000000" w:themeColor="text1"/>
        </w:rPr>
        <w:t xml:space="preserve"> Residual signal attributable to co-present fluorophores was observed across all acquired channels in the multiplex panel (</w:t>
      </w:r>
      <w:r w:rsidR="00C56B86" w:rsidRPr="00570688">
        <w:rPr>
          <w:b/>
          <w:bCs/>
          <w:color w:val="000000" w:themeColor="text1"/>
        </w:rPr>
        <w:t>Supplementary Figure 1</w:t>
      </w:r>
      <w:r w:rsidR="00C56B86" w:rsidRPr="00570688">
        <w:rPr>
          <w:color w:val="000000" w:themeColor="text1"/>
        </w:rPr>
        <w:t>) but was absent in the corresponding single-stain and secondary-only controls (</w:t>
      </w:r>
      <w:r w:rsidR="00C56B86" w:rsidRPr="00570688">
        <w:rPr>
          <w:b/>
          <w:bCs/>
          <w:color w:val="000000" w:themeColor="text1"/>
        </w:rPr>
        <w:t>Supplementary Figure 2</w:t>
      </w:r>
      <w:r w:rsidR="00C56B86" w:rsidRPr="00570688">
        <w:rPr>
          <w:color w:val="000000" w:themeColor="text1"/>
        </w:rPr>
        <w:t xml:space="preserve">), indicating spectral crosstalk from the broadband filter sets used in widefield acquisition (potentially reducible with confocal, laser-based excitation). Given the spatial separation between the nucleolar localization of p14ARF and the filamentous/cytoplasmic distribution of </w:t>
      </w:r>
      <w:proofErr w:type="gramStart"/>
      <w:r w:rsidR="00C56B86" w:rsidRPr="00570688">
        <w:rPr>
          <w:color w:val="000000" w:themeColor="text1"/>
        </w:rPr>
        <w:t>actin</w:t>
      </w:r>
      <w:proofErr w:type="gramEnd"/>
      <w:r w:rsidR="00C56B86" w:rsidRPr="00570688">
        <w:rPr>
          <w:color w:val="000000" w:themeColor="text1"/>
        </w:rPr>
        <w:t xml:space="preserve"> and IFN-β, this crosstalk does not compromise </w:t>
      </w:r>
      <w:r w:rsidR="00C33C96" w:rsidRPr="00570688">
        <w:rPr>
          <w:color w:val="000000" w:themeColor="text1"/>
        </w:rPr>
        <w:t xml:space="preserve">the </w:t>
      </w:r>
      <w:r w:rsidR="00C56B86" w:rsidRPr="00570688">
        <w:rPr>
          <w:color w:val="000000" w:themeColor="text1"/>
        </w:rPr>
        <w:t>interpretation of p14ARF localization in the multiplex panel</w:t>
      </w:r>
      <w:r w:rsidR="008F589C" w:rsidRPr="00570688">
        <w:rPr>
          <w:color w:val="000000" w:themeColor="text1"/>
        </w:rPr>
        <w:t xml:space="preserve">. </w:t>
      </w:r>
      <w:r w:rsidRPr="00570688">
        <w:rPr>
          <w:color w:val="000000" w:themeColor="text1"/>
        </w:rPr>
        <w:t>This workflow relies on conventional fluorophore-based multiplexing, in which the number of simultaneously resolvable targets is constrained by the available antibody host species and spectrally distinct fluorophores. Higher-order multiplexing can be achieved through cyclic immunofluorescence or spectral imaging, which permit iterative staining/bleaching or linear unmixing of overlapping fluorophores, respectively, but require specialized equipment and software not addressed here</w:t>
      </w:r>
      <w:r w:rsidR="00782A03" w:rsidRPr="00570688">
        <w:rPr>
          <w:color w:val="000000" w:themeColor="text1"/>
          <w:vertAlign w:val="superscript"/>
        </w:rPr>
        <w:t>19,20</w:t>
      </w:r>
      <w:r w:rsidRPr="00570688">
        <w:rPr>
          <w:color w:val="000000" w:themeColor="text1"/>
        </w:rPr>
        <w:t>.</w:t>
      </w:r>
    </w:p>
    <w:p w14:paraId="45BA7877" w14:textId="77777777" w:rsidR="00A55483" w:rsidRPr="00570688" w:rsidRDefault="00A55483" w:rsidP="003A5BF4">
      <w:pPr>
        <w:rPr>
          <w:color w:val="000000" w:themeColor="text1"/>
        </w:rPr>
      </w:pPr>
    </w:p>
    <w:p w14:paraId="1DAC4D37" w14:textId="53A6A139" w:rsidR="00A55483" w:rsidRPr="00570688" w:rsidRDefault="00A55483" w:rsidP="003A5BF4">
      <w:pPr>
        <w:rPr>
          <w:color w:val="000000" w:themeColor="text1"/>
        </w:rPr>
      </w:pPr>
      <w:r w:rsidRPr="00570688">
        <w:rPr>
          <w:color w:val="000000" w:themeColor="text1"/>
        </w:rPr>
        <w:t xml:space="preserve">Mounting medium affects both image quality and signal longevity. A commercial self-curing antifade medium or, as a homemade alternative, 80% glycerol in PBS (no antifade, no self-curing) may be used; </w:t>
      </w:r>
      <w:r w:rsidR="00DE10CB" w:rsidRPr="00570688">
        <w:rPr>
          <w:color w:val="000000" w:themeColor="text1"/>
        </w:rPr>
        <w:t xml:space="preserve">homemade </w:t>
      </w:r>
      <w:r w:rsidRPr="00570688">
        <w:rPr>
          <w:color w:val="000000" w:themeColor="text1"/>
        </w:rPr>
        <w:t xml:space="preserve">glycerol-based mounts are sealed with clear nail polish to prevent drying and coverslip movement, and media without nuclear stains are chosen once nuclear counterstaining has been performed. Images are best acquired promptly after curing. When immediate imaging is not possible, cured slides can be stored in a dark box at 4 °C for </w:t>
      </w:r>
      <w:r w:rsidR="00C33C96" w:rsidRPr="00570688">
        <w:rPr>
          <w:color w:val="000000" w:themeColor="text1"/>
        </w:rPr>
        <w:t xml:space="preserve">2–4 weeks or at −20 °C for up to 6 months, bearing in mind that highly photolabile fluorophores (e.g., </w:t>
      </w:r>
      <w:r w:rsidR="000166AB" w:rsidRPr="00570688">
        <w:rPr>
          <w:color w:val="000000" w:themeColor="text1"/>
        </w:rPr>
        <w:t>green-emitting fluorophores</w:t>
      </w:r>
      <w:r w:rsidR="00C33C96" w:rsidRPr="00570688">
        <w:rPr>
          <w:color w:val="000000" w:themeColor="text1"/>
        </w:rPr>
        <w:t>) lose signal over time even under optimal storage conditions</w:t>
      </w:r>
      <w:r w:rsidRPr="00570688">
        <w:rPr>
          <w:color w:val="000000" w:themeColor="text1"/>
        </w:rPr>
        <w:t xml:space="preserve">. Commercial antifade media substantially extend fluorophore stability relative to homemade glycerol-based media; when the latter are used, acquisition within 24–48 h is strongly recommended. Clear nail polish is compatible with most fluorophores and does not appreciably affect signal preservation, provided </w:t>
      </w:r>
      <w:r w:rsidR="00C33C96" w:rsidRPr="00570688">
        <w:rPr>
          <w:color w:val="000000" w:themeColor="text1"/>
        </w:rPr>
        <w:t xml:space="preserve">that at least 30 min of </w:t>
      </w:r>
      <w:r w:rsidR="000665C7" w:rsidRPr="00570688">
        <w:rPr>
          <w:color w:val="000000" w:themeColor="text1"/>
        </w:rPr>
        <w:t xml:space="preserve">dark curing </w:t>
      </w:r>
      <w:r w:rsidR="00C33C96" w:rsidRPr="00570688">
        <w:rPr>
          <w:color w:val="000000" w:themeColor="text1"/>
        </w:rPr>
        <w:t xml:space="preserve">is allowed </w:t>
      </w:r>
      <w:r w:rsidRPr="00570688">
        <w:rPr>
          <w:color w:val="000000" w:themeColor="text1"/>
        </w:rPr>
        <w:t>before storage.</w:t>
      </w:r>
    </w:p>
    <w:p w14:paraId="761B049A" w14:textId="77777777" w:rsidR="00A55483" w:rsidRPr="00570688" w:rsidRDefault="00A55483" w:rsidP="003A5BF4">
      <w:pPr>
        <w:rPr>
          <w:color w:val="000000" w:themeColor="text1"/>
        </w:rPr>
      </w:pPr>
    </w:p>
    <w:p w14:paraId="058C8F0B" w14:textId="6DBCDFCF" w:rsidR="00A55483" w:rsidRPr="00570688" w:rsidRDefault="00A55483" w:rsidP="003A5BF4">
      <w:pPr>
        <w:rPr>
          <w:color w:val="000000" w:themeColor="text1"/>
        </w:rPr>
      </w:pPr>
      <w:r w:rsidRPr="00570688">
        <w:rPr>
          <w:color w:val="000000" w:themeColor="text1"/>
        </w:rPr>
        <w:t xml:space="preserve">From the fixation step onward, sterile technique is no longer required, and staining can proceed on the bench, reserving a certified chemical fume hood for any reagent labeled CAUTION. D17 and other tumor-derived cell lines are handled </w:t>
      </w:r>
      <w:r w:rsidR="00C33C96" w:rsidRPr="00570688">
        <w:rPr>
          <w:color w:val="000000" w:themeColor="text1"/>
        </w:rPr>
        <w:t>in accordance with</w:t>
      </w:r>
      <w:r w:rsidRPr="00570688">
        <w:rPr>
          <w:color w:val="000000" w:themeColor="text1"/>
        </w:rPr>
        <w:t xml:space="preserve"> institutional biosafety guidelines for risk group 1 or 2 materials, as applicable. All materials </w:t>
      </w:r>
      <w:r w:rsidR="00C33C96" w:rsidRPr="00570688">
        <w:rPr>
          <w:color w:val="000000" w:themeColor="text1"/>
        </w:rPr>
        <w:t>that contact cultured cells, coverslips, tips, medium, and liquid waste are decontaminated before disposal: liquid waste is inactivated with bleach to a final concentration of 10% for at least 30 min, and solid waste is discarded in appropriate biological waste</w:t>
      </w:r>
      <w:r w:rsidRPr="00570688">
        <w:rPr>
          <w:color w:val="000000" w:themeColor="text1"/>
        </w:rPr>
        <w:t xml:space="preserve"> containers. Chemical waste containing PFA, methanol, </w:t>
      </w:r>
      <w:r w:rsidRPr="00570688">
        <w:rPr>
          <w:color w:val="000000" w:themeColor="text1"/>
        </w:rPr>
        <w:lastRenderedPageBreak/>
        <w:t xml:space="preserve">or </w:t>
      </w:r>
      <w:proofErr w:type="spellStart"/>
      <w:r w:rsidR="000166AB" w:rsidRPr="00570688">
        <w:rPr>
          <w:color w:val="000000" w:themeColor="text1"/>
        </w:rPr>
        <w:t>octylphenol</w:t>
      </w:r>
      <w:proofErr w:type="spellEnd"/>
      <w:r w:rsidR="000166AB" w:rsidRPr="00570688">
        <w:rPr>
          <w:color w:val="000000" w:themeColor="text1"/>
        </w:rPr>
        <w:t xml:space="preserve"> ethoxylate nonionic detergent </w:t>
      </w:r>
      <w:r w:rsidRPr="00570688">
        <w:rPr>
          <w:color w:val="000000" w:themeColor="text1"/>
        </w:rPr>
        <w:t xml:space="preserve">is segregated and disposed of </w:t>
      </w:r>
      <w:r w:rsidR="00C33C96" w:rsidRPr="00570688">
        <w:rPr>
          <w:color w:val="000000" w:themeColor="text1"/>
        </w:rPr>
        <w:t>in accordance with institutional chemical safety</w:t>
      </w:r>
      <w:r w:rsidRPr="00570688">
        <w:rPr>
          <w:color w:val="000000" w:themeColor="text1"/>
        </w:rPr>
        <w:t xml:space="preserve"> regulations.</w:t>
      </w:r>
    </w:p>
    <w:p w14:paraId="7C585FA6" w14:textId="77777777" w:rsidR="00A55483" w:rsidRPr="00570688" w:rsidRDefault="00A55483" w:rsidP="003A5BF4">
      <w:pPr>
        <w:rPr>
          <w:color w:val="000000" w:themeColor="text1"/>
        </w:rPr>
      </w:pPr>
    </w:p>
    <w:p w14:paraId="7D53895E" w14:textId="29B959A3" w:rsidR="00D4089E" w:rsidRPr="00570688" w:rsidRDefault="00A55483" w:rsidP="003A5BF4">
      <w:pPr>
        <w:rPr>
          <w:color w:val="000000" w:themeColor="text1"/>
        </w:rPr>
      </w:pPr>
      <w:r w:rsidRPr="00570688">
        <w:rPr>
          <w:color w:val="000000" w:themeColor="text1"/>
        </w:rPr>
        <w:t xml:space="preserve">Although designed to be broadly useful, this workflow is best regarded as amenable to target-dependent adaptation rather than a rigid, universal procedure; successful application depends on the investigator's understanding of each antigen's localization, solubility, epitope accessibility, and sensitivity to fixation and permeabilization. Two limitations should be emphasized. First, </w:t>
      </w:r>
      <w:r w:rsidR="00C33C96" w:rsidRPr="00570688">
        <w:rPr>
          <w:color w:val="000000" w:themeColor="text1"/>
        </w:rPr>
        <w:t>the staining assessment here is qualitative, based on comparison with negative controls and expected subcellular localization, rather than formal signal-to-background quantification; accordingly, the consistency reported here reflects reproducible qualitative staining across replicate coverslips and control conditions,</w:t>
      </w:r>
      <w:r w:rsidRPr="00570688">
        <w:rPr>
          <w:color w:val="000000" w:themeColor="text1"/>
        </w:rPr>
        <w:t xml:space="preserve"> rather than quantitatively validated performance</w:t>
      </w:r>
      <w:r w:rsidR="005803EA" w:rsidRPr="00570688">
        <w:rPr>
          <w:color w:val="000000" w:themeColor="text1"/>
        </w:rPr>
        <w:t xml:space="preserve">. </w:t>
      </w:r>
      <w:r w:rsidR="0015711D" w:rsidRPr="00570688">
        <w:rPr>
          <w:color w:val="000000" w:themeColor="text1"/>
        </w:rPr>
        <w:t xml:space="preserve">A consolidated troubleshooting guide summarizing common problems, likely causes, and corrective actions is provided in </w:t>
      </w:r>
      <w:r w:rsidR="0015711D" w:rsidRPr="00570688">
        <w:rPr>
          <w:b/>
          <w:bCs/>
          <w:color w:val="000000" w:themeColor="text1"/>
        </w:rPr>
        <w:t>Supplementary Table 2</w:t>
      </w:r>
      <w:r w:rsidR="0015711D" w:rsidRPr="00570688">
        <w:rPr>
          <w:color w:val="000000" w:themeColor="text1"/>
        </w:rPr>
        <w:t xml:space="preserve">. </w:t>
      </w:r>
      <w:r w:rsidRPr="00570688">
        <w:rPr>
          <w:color w:val="000000" w:themeColor="text1"/>
        </w:rPr>
        <w:t xml:space="preserve">Laboratories requiring quantitative readouts can use open-source platforms such as </w:t>
      </w:r>
      <w:r w:rsidR="0002470D" w:rsidRPr="00570688">
        <w:rPr>
          <w:color w:val="000000" w:themeColor="text1"/>
        </w:rPr>
        <w:t xml:space="preserve">open-source image-analysis software </w:t>
      </w:r>
      <w:r w:rsidRPr="00570688">
        <w:rPr>
          <w:color w:val="000000" w:themeColor="text1"/>
        </w:rPr>
        <w:t xml:space="preserve">for mean-intensity measurement, background subtraction, </w:t>
      </w:r>
      <w:r w:rsidR="007F161B" w:rsidRPr="00570688">
        <w:rPr>
          <w:color w:val="000000" w:themeColor="text1"/>
        </w:rPr>
        <w:t>Region of Interest (</w:t>
      </w:r>
      <w:r w:rsidRPr="00570688">
        <w:rPr>
          <w:color w:val="000000" w:themeColor="text1"/>
        </w:rPr>
        <w:t>ROI</w:t>
      </w:r>
      <w:r w:rsidR="007F161B" w:rsidRPr="00570688">
        <w:rPr>
          <w:color w:val="000000" w:themeColor="text1"/>
        </w:rPr>
        <w:t>)</w:t>
      </w:r>
      <w:r w:rsidRPr="00570688">
        <w:rPr>
          <w:color w:val="000000" w:themeColor="text1"/>
        </w:rPr>
        <w:t>-based quantification, and intensity profiling</w:t>
      </w:r>
      <w:r w:rsidR="003163F5" w:rsidRPr="00570688">
        <w:rPr>
          <w:color w:val="000000" w:themeColor="text1"/>
          <w:vertAlign w:val="superscript"/>
        </w:rPr>
        <w:t>21</w:t>
      </w:r>
      <w:r w:rsidRPr="00570688">
        <w:rPr>
          <w:color w:val="000000" w:themeColor="text1"/>
        </w:rPr>
        <w:t xml:space="preserve">. Second, the representative data </w:t>
      </w:r>
      <w:proofErr w:type="gramStart"/>
      <w:r w:rsidRPr="00570688">
        <w:rPr>
          <w:color w:val="000000" w:themeColor="text1"/>
        </w:rPr>
        <w:t>derive</w:t>
      </w:r>
      <w:proofErr w:type="gramEnd"/>
      <w:r w:rsidRPr="00570688">
        <w:rPr>
          <w:color w:val="000000" w:themeColor="text1"/>
        </w:rPr>
        <w:t xml:space="preserve"> from a single adherent canine tumor line (D17), so extension to other cell types, species, or antigen combinations will require target-specific re-optimization of fixation, permeabilization, and antibody conditions. </w:t>
      </w:r>
    </w:p>
    <w:p w14:paraId="492D0A1E" w14:textId="77777777" w:rsidR="00D4089E" w:rsidRPr="00570688" w:rsidRDefault="00D4089E" w:rsidP="003A5BF4">
      <w:pPr>
        <w:rPr>
          <w:color w:val="000000" w:themeColor="text1"/>
        </w:rPr>
      </w:pPr>
    </w:p>
    <w:p w14:paraId="49B5F6C9" w14:textId="3BA52299" w:rsidR="00A55483" w:rsidRPr="00570688" w:rsidRDefault="00A55483" w:rsidP="003A5BF4">
      <w:pPr>
        <w:rPr>
          <w:color w:val="000000" w:themeColor="text1"/>
        </w:rPr>
      </w:pPr>
      <w:r w:rsidRPr="00570688">
        <w:rPr>
          <w:color w:val="000000" w:themeColor="text1"/>
        </w:rPr>
        <w:t>In summary, this protocol provides a flexible, cost-effective workflow for mono- and multiplex immunofluorescence in adherent 2D cultures, combining low reagent consumption with consistent staining performance on standard laboratory equipment while accommodating informed, target-dependent adaptation.</w:t>
      </w:r>
    </w:p>
    <w:p w14:paraId="6AC7BC7E" w14:textId="77777777" w:rsidR="00A55483" w:rsidRPr="00570688" w:rsidRDefault="00A55483" w:rsidP="003A5BF4">
      <w:pPr>
        <w:rPr>
          <w:color w:val="000000" w:themeColor="text1"/>
        </w:rPr>
      </w:pPr>
    </w:p>
    <w:p w14:paraId="46759F36" w14:textId="77777777" w:rsidR="00207CA2" w:rsidRPr="00570688" w:rsidRDefault="00207CA2" w:rsidP="003A5BF4">
      <w:pPr>
        <w:pBdr>
          <w:top w:val="nil"/>
          <w:left w:val="nil"/>
          <w:bottom w:val="nil"/>
          <w:right w:val="nil"/>
          <w:between w:val="nil"/>
        </w:pBdr>
        <w:rPr>
          <w:b/>
          <w:color w:val="000000" w:themeColor="text1"/>
        </w:rPr>
      </w:pPr>
    </w:p>
    <w:p w14:paraId="5420836B" w14:textId="77777777" w:rsidR="00E4327E" w:rsidRPr="00570688" w:rsidRDefault="00000000" w:rsidP="003A5BF4">
      <w:pPr>
        <w:pBdr>
          <w:top w:val="nil"/>
          <w:left w:val="nil"/>
          <w:bottom w:val="nil"/>
          <w:right w:val="nil"/>
          <w:between w:val="nil"/>
        </w:pBdr>
        <w:rPr>
          <w:b/>
          <w:color w:val="000000" w:themeColor="text1"/>
          <w:lang w:val="pt-BR"/>
        </w:rPr>
      </w:pPr>
      <w:r w:rsidRPr="00570688">
        <w:rPr>
          <w:b/>
          <w:color w:val="000000" w:themeColor="text1"/>
          <w:lang w:val="pt-BR"/>
        </w:rPr>
        <w:t>ACKNOWLEDGMENTS:</w:t>
      </w:r>
    </w:p>
    <w:p w14:paraId="61A83190" w14:textId="0B4B8D72" w:rsidR="0078297A" w:rsidRPr="00570688" w:rsidRDefault="00000000" w:rsidP="003A5BF4">
      <w:pPr>
        <w:pBdr>
          <w:top w:val="nil"/>
          <w:left w:val="nil"/>
          <w:bottom w:val="nil"/>
          <w:right w:val="nil"/>
          <w:between w:val="nil"/>
        </w:pBdr>
        <w:rPr>
          <w:color w:val="000000" w:themeColor="text1"/>
          <w:lang w:val="pt-BR"/>
        </w:rPr>
      </w:pPr>
      <w:r w:rsidRPr="00570688">
        <w:rPr>
          <w:color w:val="000000" w:themeColor="text1"/>
          <w:lang w:val="pt-BR"/>
        </w:rPr>
        <w:t xml:space="preserve">This research was supported by </w:t>
      </w:r>
      <w:r w:rsidR="008F1275" w:rsidRPr="00570688">
        <w:rPr>
          <w:color w:val="000000" w:themeColor="text1"/>
          <w:lang w:val="pt-BR"/>
        </w:rPr>
        <w:t>Fundação de Amparo à Pesquisa do Estado de São Paulo</w:t>
      </w:r>
      <w:r w:rsidRPr="00570688">
        <w:rPr>
          <w:color w:val="000000" w:themeColor="text1"/>
          <w:lang w:val="pt-BR"/>
        </w:rPr>
        <w:t xml:space="preserve"> (FAPESP)</w:t>
      </w:r>
      <w:r w:rsidR="008F1275" w:rsidRPr="00570688">
        <w:rPr>
          <w:color w:val="000000" w:themeColor="text1"/>
          <w:lang w:val="pt-BR"/>
        </w:rPr>
        <w:t xml:space="preserve"> grant </w:t>
      </w:r>
      <w:r w:rsidR="0047540C" w:rsidRPr="00570688">
        <w:rPr>
          <w:color w:val="000000" w:themeColor="text1"/>
          <w:lang w:val="pt-BR"/>
        </w:rPr>
        <w:t>2023/01697-7</w:t>
      </w:r>
      <w:r w:rsidRPr="00570688">
        <w:rPr>
          <w:color w:val="000000" w:themeColor="text1"/>
          <w:lang w:val="pt-BR"/>
        </w:rPr>
        <w:t xml:space="preserve"> (</w:t>
      </w:r>
      <w:r w:rsidR="00C87BEB" w:rsidRPr="00570688">
        <w:rPr>
          <w:color w:val="000000" w:themeColor="text1"/>
          <w:lang w:val="pt-BR"/>
        </w:rPr>
        <w:t>JL</w:t>
      </w:r>
      <w:r w:rsidR="008F1275" w:rsidRPr="00570688">
        <w:rPr>
          <w:color w:val="000000" w:themeColor="text1"/>
          <w:lang w:val="pt-BR"/>
        </w:rPr>
        <w:t>)</w:t>
      </w:r>
      <w:r w:rsidRPr="00570688">
        <w:rPr>
          <w:color w:val="000000" w:themeColor="text1"/>
          <w:lang w:val="pt-BR"/>
        </w:rPr>
        <w:t xml:space="preserve"> and 2022/15913-0 (BES)</w:t>
      </w:r>
      <w:r w:rsidR="00B96EBC" w:rsidRPr="00570688">
        <w:rPr>
          <w:color w:val="000000" w:themeColor="text1"/>
          <w:lang w:val="pt-BR"/>
        </w:rPr>
        <w:t>.</w:t>
      </w:r>
      <w:r w:rsidRPr="00570688">
        <w:rPr>
          <w:color w:val="000000" w:themeColor="text1"/>
          <w:lang w:val="pt-BR"/>
        </w:rPr>
        <w:t xml:space="preserve"> Support was also received from the Conselho Nacional de Desenvolvimento Científico e Tecnológico (CNPq)</w:t>
      </w:r>
      <w:r w:rsidR="00C33C96" w:rsidRPr="00570688">
        <w:rPr>
          <w:color w:val="000000" w:themeColor="text1"/>
          <w:lang w:val="pt-BR"/>
        </w:rPr>
        <w:t>,</w:t>
      </w:r>
      <w:r w:rsidRPr="00570688">
        <w:rPr>
          <w:color w:val="000000" w:themeColor="text1"/>
          <w:lang w:val="pt-BR"/>
        </w:rPr>
        <w:t xml:space="preserve"> including grant 401811/2024-7 (BES) and fellowship 310497/2021-3 (BES).</w:t>
      </w:r>
    </w:p>
    <w:p w14:paraId="366930E2" w14:textId="77777777" w:rsidR="00245605" w:rsidRPr="00570688" w:rsidRDefault="00245605" w:rsidP="003A5BF4">
      <w:pPr>
        <w:pBdr>
          <w:top w:val="nil"/>
          <w:left w:val="nil"/>
          <w:bottom w:val="nil"/>
          <w:right w:val="nil"/>
          <w:between w:val="nil"/>
        </w:pBdr>
        <w:rPr>
          <w:b/>
          <w:color w:val="000000" w:themeColor="text1"/>
          <w:lang w:val="pt-BR"/>
        </w:rPr>
      </w:pPr>
    </w:p>
    <w:p w14:paraId="20B401EF" w14:textId="77777777" w:rsidR="00E4327E" w:rsidRPr="00570688" w:rsidRDefault="00000000" w:rsidP="003A5BF4">
      <w:pPr>
        <w:pBdr>
          <w:top w:val="nil"/>
          <w:left w:val="nil"/>
          <w:bottom w:val="nil"/>
          <w:right w:val="nil"/>
          <w:between w:val="nil"/>
        </w:pBdr>
        <w:rPr>
          <w:b/>
          <w:color w:val="000000" w:themeColor="text1"/>
        </w:rPr>
      </w:pPr>
      <w:r w:rsidRPr="00570688">
        <w:rPr>
          <w:b/>
          <w:color w:val="000000" w:themeColor="text1"/>
        </w:rPr>
        <w:t xml:space="preserve">DISCLOSURES: </w:t>
      </w:r>
    </w:p>
    <w:p w14:paraId="132340D6" w14:textId="528DB05F" w:rsidR="006E4797" w:rsidRPr="00570688" w:rsidRDefault="00000000" w:rsidP="003A5BF4">
      <w:pPr>
        <w:pBdr>
          <w:top w:val="nil"/>
          <w:left w:val="nil"/>
          <w:bottom w:val="nil"/>
          <w:right w:val="nil"/>
          <w:between w:val="nil"/>
        </w:pBdr>
        <w:rPr>
          <w:color w:val="000000" w:themeColor="text1"/>
        </w:rPr>
      </w:pPr>
      <w:r w:rsidRPr="00570688">
        <w:rPr>
          <w:color w:val="000000" w:themeColor="text1"/>
        </w:rPr>
        <w:t xml:space="preserve">The authors declare no competing financial interests. </w:t>
      </w:r>
    </w:p>
    <w:p w14:paraId="4A7B0E5C" w14:textId="77777777" w:rsidR="006E4797" w:rsidRPr="00570688" w:rsidRDefault="006E4797" w:rsidP="003A5BF4">
      <w:pPr>
        <w:rPr>
          <w:color w:val="000000" w:themeColor="text1"/>
        </w:rPr>
      </w:pPr>
    </w:p>
    <w:p w14:paraId="6DE2B73C" w14:textId="30089DE8" w:rsidR="006E4797" w:rsidRPr="00570688" w:rsidRDefault="00000000" w:rsidP="003A5BF4">
      <w:pPr>
        <w:rPr>
          <w:b/>
          <w:color w:val="000000" w:themeColor="text1"/>
        </w:rPr>
      </w:pPr>
      <w:proofErr w:type="gramStart"/>
      <w:r w:rsidRPr="00570688">
        <w:rPr>
          <w:b/>
          <w:color w:val="000000" w:themeColor="text1"/>
        </w:rPr>
        <w:t>REFERENCES</w:t>
      </w:r>
      <w:proofErr w:type="gramEnd"/>
      <w:r w:rsidRPr="00570688">
        <w:rPr>
          <w:b/>
          <w:color w:val="000000" w:themeColor="text1"/>
        </w:rPr>
        <w:t>:</w:t>
      </w:r>
      <w:r w:rsidRPr="00570688">
        <w:rPr>
          <w:color w:val="000000" w:themeColor="text1"/>
        </w:rPr>
        <w:t xml:space="preserve"> </w:t>
      </w:r>
    </w:p>
    <w:p w14:paraId="48538433" w14:textId="77777777" w:rsidR="003A37D0" w:rsidRPr="00570688" w:rsidRDefault="003A37D0" w:rsidP="000166AB">
      <w:pPr>
        <w:rPr>
          <w:color w:val="000000" w:themeColor="text1"/>
        </w:rPr>
      </w:pPr>
    </w:p>
    <w:p w14:paraId="67BF5A00" w14:textId="409B9036" w:rsidR="000166AB" w:rsidRPr="00570688" w:rsidRDefault="000166AB" w:rsidP="000166AB">
      <w:pPr>
        <w:pStyle w:val="PargrafodaLista"/>
        <w:numPr>
          <w:ilvl w:val="0"/>
          <w:numId w:val="33"/>
        </w:numPr>
        <w:spacing w:after="0" w:line="240" w:lineRule="auto"/>
        <w:ind w:left="0" w:firstLine="0"/>
        <w:jc w:val="both"/>
        <w:rPr>
          <w:rFonts w:ascii="Calibri" w:hAnsi="Calibri" w:cs="Calibri"/>
          <w:color w:val="000000" w:themeColor="text1"/>
          <w:sz w:val="24"/>
          <w:szCs w:val="24"/>
          <w:lang w:val="en-IN"/>
        </w:rPr>
      </w:pPr>
      <w:r w:rsidRPr="00570688">
        <w:rPr>
          <w:rFonts w:ascii="Calibri" w:hAnsi="Calibri" w:cs="Calibri"/>
          <w:color w:val="000000" w:themeColor="text1"/>
          <w:sz w:val="24"/>
          <w:szCs w:val="24"/>
          <w:lang w:val="en-IN"/>
        </w:rPr>
        <w:t xml:space="preserve">Yoshida SR, Maity BK, Chong S. Visualizing protein localizations in fixed cells: caveats and the underlying mechanisms. J Phys Chem B. </w:t>
      </w:r>
      <w:proofErr w:type="gramStart"/>
      <w:r w:rsidRPr="00570688">
        <w:rPr>
          <w:rFonts w:ascii="Calibri" w:hAnsi="Calibri" w:cs="Calibri"/>
          <w:color w:val="000000" w:themeColor="text1"/>
          <w:sz w:val="24"/>
          <w:szCs w:val="24"/>
          <w:lang w:val="en-IN"/>
        </w:rPr>
        <w:t>2023;127:4165</w:t>
      </w:r>
      <w:proofErr w:type="gramEnd"/>
      <w:r w:rsidRPr="00570688">
        <w:rPr>
          <w:rFonts w:ascii="Calibri" w:hAnsi="Calibri" w:cs="Calibri"/>
          <w:color w:val="000000" w:themeColor="text1"/>
          <w:sz w:val="24"/>
          <w:szCs w:val="24"/>
          <w:lang w:val="en-IN"/>
        </w:rPr>
        <w:t xml:space="preserve">–73. </w:t>
      </w:r>
    </w:p>
    <w:p w14:paraId="32ECAFCE" w14:textId="52E8E923" w:rsidR="000166AB" w:rsidRPr="00570688" w:rsidRDefault="000166AB" w:rsidP="000166AB">
      <w:pPr>
        <w:pStyle w:val="PargrafodaLista"/>
        <w:numPr>
          <w:ilvl w:val="0"/>
          <w:numId w:val="33"/>
        </w:numPr>
        <w:spacing w:after="0" w:line="240" w:lineRule="auto"/>
        <w:ind w:left="0" w:firstLine="0"/>
        <w:jc w:val="both"/>
        <w:rPr>
          <w:rFonts w:ascii="Calibri" w:hAnsi="Calibri" w:cs="Calibri"/>
          <w:color w:val="000000" w:themeColor="text1"/>
          <w:sz w:val="24"/>
          <w:szCs w:val="24"/>
          <w:lang w:val="en-IN"/>
        </w:rPr>
      </w:pPr>
      <w:r w:rsidRPr="00570688">
        <w:rPr>
          <w:rFonts w:ascii="Calibri" w:hAnsi="Calibri" w:cs="Calibri"/>
          <w:color w:val="000000" w:themeColor="text1"/>
          <w:sz w:val="24"/>
          <w:szCs w:val="24"/>
          <w:lang w:val="en-IN"/>
        </w:rPr>
        <w:t xml:space="preserve">Stadler C, et al. Immunofluorescence and fluorescent-protein tagging show high correlation for protein localization in mammalian cells. Nat Methods. </w:t>
      </w:r>
      <w:proofErr w:type="gramStart"/>
      <w:r w:rsidRPr="00570688">
        <w:rPr>
          <w:rFonts w:ascii="Calibri" w:hAnsi="Calibri" w:cs="Calibri"/>
          <w:color w:val="000000" w:themeColor="text1"/>
          <w:sz w:val="24"/>
          <w:szCs w:val="24"/>
          <w:lang w:val="en-IN"/>
        </w:rPr>
        <w:t>2013;10:315</w:t>
      </w:r>
      <w:proofErr w:type="gramEnd"/>
      <w:r w:rsidRPr="00570688">
        <w:rPr>
          <w:rFonts w:ascii="Calibri" w:hAnsi="Calibri" w:cs="Calibri"/>
          <w:color w:val="000000" w:themeColor="text1"/>
          <w:sz w:val="24"/>
          <w:szCs w:val="24"/>
          <w:lang w:val="en-IN"/>
        </w:rPr>
        <w:t xml:space="preserve">–23. </w:t>
      </w:r>
    </w:p>
    <w:p w14:paraId="3D214AB4" w14:textId="0866E32C" w:rsidR="000166AB" w:rsidRPr="00570688" w:rsidRDefault="000166AB" w:rsidP="000166AB">
      <w:pPr>
        <w:pStyle w:val="PargrafodaLista"/>
        <w:numPr>
          <w:ilvl w:val="0"/>
          <w:numId w:val="33"/>
        </w:numPr>
        <w:spacing w:after="0" w:line="240" w:lineRule="auto"/>
        <w:ind w:left="0" w:firstLine="0"/>
        <w:jc w:val="both"/>
        <w:rPr>
          <w:rFonts w:ascii="Calibri" w:hAnsi="Calibri" w:cs="Calibri"/>
          <w:color w:val="000000" w:themeColor="text1"/>
          <w:sz w:val="24"/>
          <w:szCs w:val="24"/>
          <w:lang w:val="en-IN"/>
        </w:rPr>
      </w:pPr>
      <w:proofErr w:type="spellStart"/>
      <w:r w:rsidRPr="00832A7E">
        <w:rPr>
          <w:rFonts w:ascii="Calibri" w:hAnsi="Calibri" w:cs="Calibri"/>
          <w:color w:val="000000" w:themeColor="text1"/>
          <w:sz w:val="24"/>
          <w:szCs w:val="24"/>
          <w:lang w:val="pt-BR"/>
        </w:rPr>
        <w:t>Sule</w:t>
      </w:r>
      <w:proofErr w:type="spellEnd"/>
      <w:r w:rsidRPr="00832A7E">
        <w:rPr>
          <w:rFonts w:ascii="Calibri" w:hAnsi="Calibri" w:cs="Calibri"/>
          <w:color w:val="000000" w:themeColor="text1"/>
          <w:sz w:val="24"/>
          <w:szCs w:val="24"/>
          <w:lang w:val="pt-BR"/>
        </w:rPr>
        <w:t xml:space="preserve"> RO, Rivera G, Gomes AV. </w:t>
      </w:r>
      <w:r w:rsidRPr="00570688">
        <w:rPr>
          <w:rFonts w:ascii="Calibri" w:hAnsi="Calibri" w:cs="Calibri"/>
          <w:color w:val="000000" w:themeColor="text1"/>
          <w:sz w:val="24"/>
          <w:szCs w:val="24"/>
          <w:lang w:val="en-IN"/>
        </w:rPr>
        <w:t xml:space="preserve">Western blotting (immunoblotting): history, theory, uses, protocol and problems. Biotechniques. </w:t>
      </w:r>
      <w:proofErr w:type="gramStart"/>
      <w:r w:rsidRPr="00570688">
        <w:rPr>
          <w:rFonts w:ascii="Calibri" w:hAnsi="Calibri" w:cs="Calibri"/>
          <w:color w:val="000000" w:themeColor="text1"/>
          <w:sz w:val="24"/>
          <w:szCs w:val="24"/>
          <w:lang w:val="en-IN"/>
        </w:rPr>
        <w:t>2023;75:99</w:t>
      </w:r>
      <w:proofErr w:type="gramEnd"/>
      <w:r w:rsidRPr="00570688">
        <w:rPr>
          <w:rFonts w:ascii="Calibri" w:hAnsi="Calibri" w:cs="Calibri"/>
          <w:color w:val="000000" w:themeColor="text1"/>
          <w:sz w:val="24"/>
          <w:szCs w:val="24"/>
          <w:lang w:val="en-IN"/>
        </w:rPr>
        <w:t xml:space="preserve">–114. </w:t>
      </w:r>
    </w:p>
    <w:p w14:paraId="413B9F33" w14:textId="25B3A631" w:rsidR="000166AB" w:rsidRPr="00570688" w:rsidRDefault="000166AB" w:rsidP="000166AB">
      <w:pPr>
        <w:pStyle w:val="PargrafodaLista"/>
        <w:numPr>
          <w:ilvl w:val="0"/>
          <w:numId w:val="33"/>
        </w:numPr>
        <w:spacing w:after="0" w:line="240" w:lineRule="auto"/>
        <w:ind w:left="0" w:firstLine="0"/>
        <w:jc w:val="both"/>
        <w:rPr>
          <w:rFonts w:ascii="Calibri" w:hAnsi="Calibri" w:cs="Calibri"/>
          <w:color w:val="000000" w:themeColor="text1"/>
          <w:sz w:val="24"/>
          <w:szCs w:val="24"/>
          <w:lang w:val="en-IN"/>
        </w:rPr>
      </w:pPr>
      <w:r w:rsidRPr="00570688">
        <w:rPr>
          <w:rFonts w:ascii="Calibri" w:hAnsi="Calibri" w:cs="Calibri"/>
          <w:color w:val="000000" w:themeColor="text1"/>
          <w:sz w:val="24"/>
          <w:szCs w:val="24"/>
          <w:lang w:val="en-IN"/>
        </w:rPr>
        <w:t xml:space="preserve">Han Y, Gu Y, Zhang AC, Lo YH. Review: imaging technologies for flow cytometry. Lab Chip. </w:t>
      </w:r>
      <w:proofErr w:type="gramStart"/>
      <w:r w:rsidRPr="00570688">
        <w:rPr>
          <w:rFonts w:ascii="Calibri" w:hAnsi="Calibri" w:cs="Calibri"/>
          <w:color w:val="000000" w:themeColor="text1"/>
          <w:sz w:val="24"/>
          <w:szCs w:val="24"/>
          <w:lang w:val="en-IN"/>
        </w:rPr>
        <w:t>2016;16:4639</w:t>
      </w:r>
      <w:proofErr w:type="gramEnd"/>
      <w:r w:rsidRPr="00570688">
        <w:rPr>
          <w:rFonts w:ascii="Calibri" w:hAnsi="Calibri" w:cs="Calibri"/>
          <w:color w:val="000000" w:themeColor="text1"/>
          <w:sz w:val="24"/>
          <w:szCs w:val="24"/>
          <w:lang w:val="en-IN"/>
        </w:rPr>
        <w:t xml:space="preserve">–47. </w:t>
      </w:r>
    </w:p>
    <w:p w14:paraId="27575021" w14:textId="4196A7B9" w:rsidR="000166AB" w:rsidRPr="00570688" w:rsidRDefault="000166AB" w:rsidP="000166AB">
      <w:pPr>
        <w:pStyle w:val="PargrafodaLista"/>
        <w:numPr>
          <w:ilvl w:val="0"/>
          <w:numId w:val="33"/>
        </w:numPr>
        <w:spacing w:after="0" w:line="240" w:lineRule="auto"/>
        <w:ind w:left="0" w:firstLine="0"/>
        <w:jc w:val="both"/>
        <w:rPr>
          <w:rFonts w:ascii="Calibri" w:hAnsi="Calibri" w:cs="Calibri"/>
          <w:color w:val="000000" w:themeColor="text1"/>
          <w:sz w:val="24"/>
          <w:szCs w:val="24"/>
          <w:lang w:val="en-IN"/>
        </w:rPr>
      </w:pPr>
      <w:proofErr w:type="spellStart"/>
      <w:r w:rsidRPr="00570688">
        <w:rPr>
          <w:rFonts w:ascii="Calibri" w:hAnsi="Calibri" w:cs="Calibri"/>
          <w:color w:val="000000" w:themeColor="text1"/>
          <w:sz w:val="24"/>
          <w:szCs w:val="24"/>
          <w:lang w:val="en-IN"/>
        </w:rPr>
        <w:lastRenderedPageBreak/>
        <w:t>Im</w:t>
      </w:r>
      <w:proofErr w:type="spellEnd"/>
      <w:r w:rsidRPr="00570688">
        <w:rPr>
          <w:rFonts w:ascii="Calibri" w:hAnsi="Calibri" w:cs="Calibri"/>
          <w:color w:val="000000" w:themeColor="text1"/>
          <w:sz w:val="24"/>
          <w:szCs w:val="24"/>
          <w:lang w:val="en-IN"/>
        </w:rPr>
        <w:t xml:space="preserve"> K, </w:t>
      </w:r>
      <w:proofErr w:type="spellStart"/>
      <w:r w:rsidRPr="00570688">
        <w:rPr>
          <w:rFonts w:ascii="Calibri" w:hAnsi="Calibri" w:cs="Calibri"/>
          <w:color w:val="000000" w:themeColor="text1"/>
          <w:sz w:val="24"/>
          <w:szCs w:val="24"/>
          <w:lang w:val="en-IN"/>
        </w:rPr>
        <w:t>Mareninov</w:t>
      </w:r>
      <w:proofErr w:type="spellEnd"/>
      <w:r w:rsidRPr="00570688">
        <w:rPr>
          <w:rFonts w:ascii="Calibri" w:hAnsi="Calibri" w:cs="Calibri"/>
          <w:color w:val="000000" w:themeColor="text1"/>
          <w:sz w:val="24"/>
          <w:szCs w:val="24"/>
          <w:lang w:val="en-IN"/>
        </w:rPr>
        <w:t xml:space="preserve"> S, Diaz MFP, Yong WH. An introduction to performing immunofluorescence staining. In: Yong WH, editor. Biobanking: methods and protocols. New York: Humana Press; 2019. p. 299–311. </w:t>
      </w:r>
    </w:p>
    <w:p w14:paraId="5BA9CB57" w14:textId="278ABDDD" w:rsidR="000166AB" w:rsidRPr="00570688" w:rsidRDefault="000166AB" w:rsidP="000166AB">
      <w:pPr>
        <w:pStyle w:val="PargrafodaLista"/>
        <w:numPr>
          <w:ilvl w:val="0"/>
          <w:numId w:val="33"/>
        </w:numPr>
        <w:spacing w:after="0" w:line="240" w:lineRule="auto"/>
        <w:ind w:left="0" w:firstLine="0"/>
        <w:jc w:val="both"/>
        <w:rPr>
          <w:rFonts w:ascii="Calibri" w:hAnsi="Calibri" w:cs="Calibri"/>
          <w:color w:val="000000" w:themeColor="text1"/>
          <w:sz w:val="24"/>
          <w:szCs w:val="24"/>
          <w:lang w:val="en-IN"/>
        </w:rPr>
      </w:pPr>
      <w:r w:rsidRPr="00832A7E">
        <w:rPr>
          <w:rFonts w:ascii="Calibri" w:hAnsi="Calibri" w:cs="Calibri"/>
          <w:color w:val="000000" w:themeColor="text1"/>
          <w:sz w:val="24"/>
          <w:szCs w:val="24"/>
          <w:lang w:val="pt-BR"/>
        </w:rPr>
        <w:t xml:space="preserve">Francisco-Cruz A, Parra ER, </w:t>
      </w:r>
      <w:proofErr w:type="spellStart"/>
      <w:r w:rsidRPr="00832A7E">
        <w:rPr>
          <w:rFonts w:ascii="Calibri" w:hAnsi="Calibri" w:cs="Calibri"/>
          <w:color w:val="000000" w:themeColor="text1"/>
          <w:sz w:val="24"/>
          <w:szCs w:val="24"/>
          <w:lang w:val="pt-BR"/>
        </w:rPr>
        <w:t>Tetzlaff</w:t>
      </w:r>
      <w:proofErr w:type="spellEnd"/>
      <w:r w:rsidRPr="00832A7E">
        <w:rPr>
          <w:rFonts w:ascii="Calibri" w:hAnsi="Calibri" w:cs="Calibri"/>
          <w:color w:val="000000" w:themeColor="text1"/>
          <w:sz w:val="24"/>
          <w:szCs w:val="24"/>
          <w:lang w:val="pt-BR"/>
        </w:rPr>
        <w:t xml:space="preserve"> MT, </w:t>
      </w:r>
      <w:proofErr w:type="spellStart"/>
      <w:r w:rsidRPr="00832A7E">
        <w:rPr>
          <w:rFonts w:ascii="Calibri" w:hAnsi="Calibri" w:cs="Calibri"/>
          <w:color w:val="000000" w:themeColor="text1"/>
          <w:sz w:val="24"/>
          <w:szCs w:val="24"/>
          <w:lang w:val="pt-BR"/>
        </w:rPr>
        <w:t>Wistuba</w:t>
      </w:r>
      <w:proofErr w:type="spellEnd"/>
      <w:r w:rsidRPr="00832A7E">
        <w:rPr>
          <w:rFonts w:ascii="Calibri" w:hAnsi="Calibri" w:cs="Calibri"/>
          <w:color w:val="000000" w:themeColor="text1"/>
          <w:sz w:val="24"/>
          <w:szCs w:val="24"/>
          <w:lang w:val="pt-BR"/>
        </w:rPr>
        <w:t xml:space="preserve"> II. </w:t>
      </w:r>
      <w:r w:rsidRPr="00570688">
        <w:rPr>
          <w:rFonts w:ascii="Calibri" w:hAnsi="Calibri" w:cs="Calibri"/>
          <w:color w:val="000000" w:themeColor="text1"/>
          <w:sz w:val="24"/>
          <w:szCs w:val="24"/>
          <w:lang w:val="en-IN"/>
        </w:rPr>
        <w:t xml:space="preserve">Multiplex immunofluorescence assays. In: Thurin M, </w:t>
      </w:r>
      <w:proofErr w:type="spellStart"/>
      <w:r w:rsidRPr="00570688">
        <w:rPr>
          <w:rFonts w:ascii="Calibri" w:hAnsi="Calibri" w:cs="Calibri"/>
          <w:color w:val="000000" w:themeColor="text1"/>
          <w:sz w:val="24"/>
          <w:szCs w:val="24"/>
          <w:lang w:val="en-IN"/>
        </w:rPr>
        <w:t>Cesano</w:t>
      </w:r>
      <w:proofErr w:type="spellEnd"/>
      <w:r w:rsidRPr="00570688">
        <w:rPr>
          <w:rFonts w:ascii="Calibri" w:hAnsi="Calibri" w:cs="Calibri"/>
          <w:color w:val="000000" w:themeColor="text1"/>
          <w:sz w:val="24"/>
          <w:szCs w:val="24"/>
          <w:lang w:val="en-IN"/>
        </w:rPr>
        <w:t xml:space="preserve"> A, </w:t>
      </w:r>
      <w:proofErr w:type="spellStart"/>
      <w:r w:rsidRPr="00570688">
        <w:rPr>
          <w:rFonts w:ascii="Calibri" w:hAnsi="Calibri" w:cs="Calibri"/>
          <w:color w:val="000000" w:themeColor="text1"/>
          <w:sz w:val="24"/>
          <w:szCs w:val="24"/>
          <w:lang w:val="en-IN"/>
        </w:rPr>
        <w:t>Marincola</w:t>
      </w:r>
      <w:proofErr w:type="spellEnd"/>
      <w:r w:rsidRPr="00570688">
        <w:rPr>
          <w:rFonts w:ascii="Calibri" w:hAnsi="Calibri" w:cs="Calibri"/>
          <w:color w:val="000000" w:themeColor="text1"/>
          <w:sz w:val="24"/>
          <w:szCs w:val="24"/>
          <w:lang w:val="en-IN"/>
        </w:rPr>
        <w:t xml:space="preserve"> FM, editors. Biomarkers for immunotherapy of cancer: methods and protocols. New York: Humana Press; 2020. p. 467–95. </w:t>
      </w:r>
    </w:p>
    <w:p w14:paraId="1BEAC224" w14:textId="509878FD" w:rsidR="000166AB" w:rsidRPr="00570688" w:rsidRDefault="000166AB" w:rsidP="000166AB">
      <w:pPr>
        <w:pStyle w:val="PargrafodaLista"/>
        <w:numPr>
          <w:ilvl w:val="0"/>
          <w:numId w:val="33"/>
        </w:numPr>
        <w:spacing w:after="0" w:line="240" w:lineRule="auto"/>
        <w:ind w:left="0" w:firstLine="0"/>
        <w:jc w:val="both"/>
        <w:rPr>
          <w:rFonts w:ascii="Calibri" w:hAnsi="Calibri" w:cs="Calibri"/>
          <w:color w:val="000000" w:themeColor="text1"/>
          <w:sz w:val="24"/>
          <w:szCs w:val="24"/>
          <w:lang w:val="en-IN"/>
        </w:rPr>
      </w:pPr>
      <w:r w:rsidRPr="00570688">
        <w:rPr>
          <w:rFonts w:ascii="Calibri" w:hAnsi="Calibri" w:cs="Calibri"/>
          <w:color w:val="000000" w:themeColor="text1"/>
          <w:sz w:val="24"/>
          <w:szCs w:val="24"/>
          <w:lang w:val="en-IN"/>
        </w:rPr>
        <w:t xml:space="preserve">Harms PW, et al. Multiplex immunohistochemistry and immunofluorescence: a practical update for pathologists. Mod </w:t>
      </w:r>
      <w:proofErr w:type="spellStart"/>
      <w:r w:rsidRPr="00570688">
        <w:rPr>
          <w:rFonts w:ascii="Calibri" w:hAnsi="Calibri" w:cs="Calibri"/>
          <w:color w:val="000000" w:themeColor="text1"/>
          <w:sz w:val="24"/>
          <w:szCs w:val="24"/>
          <w:lang w:val="en-IN"/>
        </w:rPr>
        <w:t>Pathol</w:t>
      </w:r>
      <w:proofErr w:type="spellEnd"/>
      <w:r w:rsidRPr="00570688">
        <w:rPr>
          <w:rFonts w:ascii="Calibri" w:hAnsi="Calibri" w:cs="Calibri"/>
          <w:color w:val="000000" w:themeColor="text1"/>
          <w:sz w:val="24"/>
          <w:szCs w:val="24"/>
          <w:lang w:val="en-IN"/>
        </w:rPr>
        <w:t xml:space="preserve">. </w:t>
      </w:r>
      <w:proofErr w:type="gramStart"/>
      <w:r w:rsidRPr="00570688">
        <w:rPr>
          <w:rFonts w:ascii="Calibri" w:hAnsi="Calibri" w:cs="Calibri"/>
          <w:color w:val="000000" w:themeColor="text1"/>
          <w:sz w:val="24"/>
          <w:szCs w:val="24"/>
          <w:lang w:val="en-IN"/>
        </w:rPr>
        <w:t>2023;36:100197</w:t>
      </w:r>
      <w:proofErr w:type="gramEnd"/>
      <w:r w:rsidRPr="00570688">
        <w:rPr>
          <w:rFonts w:ascii="Calibri" w:hAnsi="Calibri" w:cs="Calibri"/>
          <w:color w:val="000000" w:themeColor="text1"/>
          <w:sz w:val="24"/>
          <w:szCs w:val="24"/>
          <w:lang w:val="en-IN"/>
        </w:rPr>
        <w:t xml:space="preserve">. </w:t>
      </w:r>
      <w:proofErr w:type="gramStart"/>
      <w:r w:rsidRPr="00570688">
        <w:rPr>
          <w:rFonts w:ascii="Calibri" w:hAnsi="Calibri" w:cs="Calibri"/>
          <w:color w:val="000000" w:themeColor="text1"/>
          <w:sz w:val="24"/>
          <w:szCs w:val="24"/>
          <w:lang w:val="en-IN"/>
        </w:rPr>
        <w:t>doi:10.1016/j.modpat</w:t>
      </w:r>
      <w:proofErr w:type="gramEnd"/>
      <w:r w:rsidRPr="00570688">
        <w:rPr>
          <w:rFonts w:ascii="Calibri" w:hAnsi="Calibri" w:cs="Calibri"/>
          <w:color w:val="000000" w:themeColor="text1"/>
          <w:sz w:val="24"/>
          <w:szCs w:val="24"/>
          <w:lang w:val="en-IN"/>
        </w:rPr>
        <w:t xml:space="preserve">.2023.100197. </w:t>
      </w:r>
    </w:p>
    <w:p w14:paraId="1826AA62" w14:textId="57DA2527" w:rsidR="000166AB" w:rsidRPr="00570688" w:rsidRDefault="000166AB" w:rsidP="000166AB">
      <w:pPr>
        <w:pStyle w:val="PargrafodaLista"/>
        <w:numPr>
          <w:ilvl w:val="0"/>
          <w:numId w:val="33"/>
        </w:numPr>
        <w:spacing w:after="0" w:line="240" w:lineRule="auto"/>
        <w:ind w:left="0" w:firstLine="0"/>
        <w:jc w:val="both"/>
        <w:rPr>
          <w:rFonts w:ascii="Calibri" w:hAnsi="Calibri" w:cs="Calibri"/>
          <w:color w:val="000000" w:themeColor="text1"/>
          <w:sz w:val="24"/>
          <w:szCs w:val="24"/>
          <w:lang w:val="en-IN"/>
        </w:rPr>
      </w:pPr>
      <w:r w:rsidRPr="00570688">
        <w:rPr>
          <w:rFonts w:ascii="Calibri" w:hAnsi="Calibri" w:cs="Calibri"/>
          <w:color w:val="000000" w:themeColor="text1"/>
          <w:sz w:val="24"/>
          <w:szCs w:val="24"/>
          <w:lang w:val="en-IN"/>
        </w:rPr>
        <w:t xml:space="preserve">Paul I, White C, </w:t>
      </w:r>
      <w:proofErr w:type="spellStart"/>
      <w:r w:rsidRPr="00570688">
        <w:rPr>
          <w:rFonts w:ascii="Calibri" w:hAnsi="Calibri" w:cs="Calibri"/>
          <w:color w:val="000000" w:themeColor="text1"/>
          <w:sz w:val="24"/>
          <w:szCs w:val="24"/>
          <w:lang w:val="en-IN"/>
        </w:rPr>
        <w:t>Turcinovic</w:t>
      </w:r>
      <w:proofErr w:type="spellEnd"/>
      <w:r w:rsidRPr="00570688">
        <w:rPr>
          <w:rFonts w:ascii="Calibri" w:hAnsi="Calibri" w:cs="Calibri"/>
          <w:color w:val="000000" w:themeColor="text1"/>
          <w:sz w:val="24"/>
          <w:szCs w:val="24"/>
          <w:lang w:val="en-IN"/>
        </w:rPr>
        <w:t xml:space="preserve"> I, Emili A. Imaging the future: the emerging era of single-cell spatial proteomics. FEBS J. </w:t>
      </w:r>
      <w:proofErr w:type="gramStart"/>
      <w:r w:rsidRPr="00570688">
        <w:rPr>
          <w:rFonts w:ascii="Calibri" w:hAnsi="Calibri" w:cs="Calibri"/>
          <w:color w:val="000000" w:themeColor="text1"/>
          <w:sz w:val="24"/>
          <w:szCs w:val="24"/>
          <w:lang w:val="en-IN"/>
        </w:rPr>
        <w:t>2021;288:6990</w:t>
      </w:r>
      <w:proofErr w:type="gramEnd"/>
      <w:r w:rsidRPr="00570688">
        <w:rPr>
          <w:rFonts w:ascii="Calibri" w:hAnsi="Calibri" w:cs="Calibri"/>
          <w:color w:val="000000" w:themeColor="text1"/>
          <w:sz w:val="24"/>
          <w:szCs w:val="24"/>
          <w:lang w:val="en-IN"/>
        </w:rPr>
        <w:t xml:space="preserve">–7001. </w:t>
      </w:r>
    </w:p>
    <w:p w14:paraId="1E633A22" w14:textId="6018CBF5" w:rsidR="000166AB" w:rsidRPr="00570688" w:rsidRDefault="000166AB" w:rsidP="000166AB">
      <w:pPr>
        <w:pStyle w:val="PargrafodaLista"/>
        <w:numPr>
          <w:ilvl w:val="0"/>
          <w:numId w:val="33"/>
        </w:numPr>
        <w:spacing w:after="0" w:line="240" w:lineRule="auto"/>
        <w:ind w:left="0" w:firstLine="0"/>
        <w:jc w:val="both"/>
        <w:rPr>
          <w:rFonts w:ascii="Calibri" w:hAnsi="Calibri" w:cs="Calibri"/>
          <w:color w:val="000000" w:themeColor="text1"/>
          <w:sz w:val="24"/>
          <w:szCs w:val="24"/>
          <w:lang w:val="en-IN"/>
        </w:rPr>
      </w:pPr>
      <w:r w:rsidRPr="00570688">
        <w:rPr>
          <w:rFonts w:ascii="Calibri" w:hAnsi="Calibri" w:cs="Calibri"/>
          <w:color w:val="000000" w:themeColor="text1"/>
          <w:sz w:val="24"/>
          <w:szCs w:val="24"/>
          <w:lang w:val="en-IN"/>
        </w:rPr>
        <w:t xml:space="preserve">Radtke AJ, et al. IBEX: an iterative immunolabeling and chemical bleaching method for high-content imaging of diverse tissues. Nat </w:t>
      </w:r>
      <w:proofErr w:type="spellStart"/>
      <w:r w:rsidRPr="00570688">
        <w:rPr>
          <w:rFonts w:ascii="Calibri" w:hAnsi="Calibri" w:cs="Calibri"/>
          <w:color w:val="000000" w:themeColor="text1"/>
          <w:sz w:val="24"/>
          <w:szCs w:val="24"/>
          <w:lang w:val="en-IN"/>
        </w:rPr>
        <w:t>Protoc</w:t>
      </w:r>
      <w:proofErr w:type="spellEnd"/>
      <w:r w:rsidRPr="00570688">
        <w:rPr>
          <w:rFonts w:ascii="Calibri" w:hAnsi="Calibri" w:cs="Calibri"/>
          <w:color w:val="000000" w:themeColor="text1"/>
          <w:sz w:val="24"/>
          <w:szCs w:val="24"/>
          <w:lang w:val="en-IN"/>
        </w:rPr>
        <w:t xml:space="preserve">. </w:t>
      </w:r>
      <w:proofErr w:type="gramStart"/>
      <w:r w:rsidRPr="00570688">
        <w:rPr>
          <w:rFonts w:ascii="Calibri" w:hAnsi="Calibri" w:cs="Calibri"/>
          <w:color w:val="000000" w:themeColor="text1"/>
          <w:sz w:val="24"/>
          <w:szCs w:val="24"/>
          <w:lang w:val="en-IN"/>
        </w:rPr>
        <w:t>2022;17:378</w:t>
      </w:r>
      <w:proofErr w:type="gramEnd"/>
      <w:r w:rsidRPr="00570688">
        <w:rPr>
          <w:rFonts w:ascii="Calibri" w:hAnsi="Calibri" w:cs="Calibri"/>
          <w:color w:val="000000" w:themeColor="text1"/>
          <w:sz w:val="24"/>
          <w:szCs w:val="24"/>
          <w:lang w:val="en-IN"/>
        </w:rPr>
        <w:t xml:space="preserve">–401. </w:t>
      </w:r>
    </w:p>
    <w:p w14:paraId="5FB9FD98" w14:textId="4150A563" w:rsidR="000166AB" w:rsidRPr="00570688" w:rsidRDefault="000166AB" w:rsidP="000166AB">
      <w:pPr>
        <w:pStyle w:val="PargrafodaLista"/>
        <w:numPr>
          <w:ilvl w:val="0"/>
          <w:numId w:val="33"/>
        </w:numPr>
        <w:spacing w:after="0" w:line="240" w:lineRule="auto"/>
        <w:ind w:left="0" w:firstLine="0"/>
        <w:jc w:val="both"/>
        <w:rPr>
          <w:rFonts w:ascii="Calibri" w:hAnsi="Calibri" w:cs="Calibri"/>
          <w:color w:val="000000" w:themeColor="text1"/>
          <w:sz w:val="24"/>
          <w:szCs w:val="24"/>
          <w:lang w:val="en-IN"/>
        </w:rPr>
      </w:pPr>
      <w:r w:rsidRPr="00570688">
        <w:rPr>
          <w:rFonts w:ascii="Calibri" w:hAnsi="Calibri" w:cs="Calibri"/>
          <w:color w:val="000000" w:themeColor="text1"/>
          <w:sz w:val="24"/>
          <w:szCs w:val="24"/>
          <w:lang w:val="en-IN"/>
        </w:rPr>
        <w:t xml:space="preserve">Gupta V, et al. Protocol for antibody optimization and panel design in high-dimensional multiplexed immunofluorescence imaging. STAR </w:t>
      </w:r>
      <w:proofErr w:type="spellStart"/>
      <w:r w:rsidRPr="00570688">
        <w:rPr>
          <w:rFonts w:ascii="Calibri" w:hAnsi="Calibri" w:cs="Calibri"/>
          <w:color w:val="000000" w:themeColor="text1"/>
          <w:sz w:val="24"/>
          <w:szCs w:val="24"/>
          <w:lang w:val="en-IN"/>
        </w:rPr>
        <w:t>Protoc</w:t>
      </w:r>
      <w:proofErr w:type="spellEnd"/>
      <w:r w:rsidRPr="00570688">
        <w:rPr>
          <w:rFonts w:ascii="Calibri" w:hAnsi="Calibri" w:cs="Calibri"/>
          <w:color w:val="000000" w:themeColor="text1"/>
          <w:sz w:val="24"/>
          <w:szCs w:val="24"/>
          <w:lang w:val="en-IN"/>
        </w:rPr>
        <w:t xml:space="preserve">. </w:t>
      </w:r>
      <w:proofErr w:type="gramStart"/>
      <w:r w:rsidRPr="00570688">
        <w:rPr>
          <w:rFonts w:ascii="Calibri" w:hAnsi="Calibri" w:cs="Calibri"/>
          <w:color w:val="000000" w:themeColor="text1"/>
          <w:sz w:val="24"/>
          <w:szCs w:val="24"/>
          <w:lang w:val="en-IN"/>
        </w:rPr>
        <w:t>2025;6:104236</w:t>
      </w:r>
      <w:proofErr w:type="gramEnd"/>
      <w:r w:rsidRPr="00570688">
        <w:rPr>
          <w:rFonts w:ascii="Calibri" w:hAnsi="Calibri" w:cs="Calibri"/>
          <w:color w:val="000000" w:themeColor="text1"/>
          <w:sz w:val="24"/>
          <w:szCs w:val="24"/>
          <w:lang w:val="en-IN"/>
        </w:rPr>
        <w:t xml:space="preserve">. </w:t>
      </w:r>
      <w:proofErr w:type="gramStart"/>
      <w:r w:rsidRPr="00570688">
        <w:rPr>
          <w:rFonts w:ascii="Calibri" w:hAnsi="Calibri" w:cs="Calibri"/>
          <w:color w:val="000000" w:themeColor="text1"/>
          <w:sz w:val="24"/>
          <w:szCs w:val="24"/>
          <w:lang w:val="en-IN"/>
        </w:rPr>
        <w:t>doi:10.1016/j.xpro</w:t>
      </w:r>
      <w:proofErr w:type="gramEnd"/>
      <w:r w:rsidRPr="00570688">
        <w:rPr>
          <w:rFonts w:ascii="Calibri" w:hAnsi="Calibri" w:cs="Calibri"/>
          <w:color w:val="000000" w:themeColor="text1"/>
          <w:sz w:val="24"/>
          <w:szCs w:val="24"/>
          <w:lang w:val="en-IN"/>
        </w:rPr>
        <w:t xml:space="preserve">.2025.104236. </w:t>
      </w:r>
    </w:p>
    <w:p w14:paraId="7D42A8DA" w14:textId="40DA69A1" w:rsidR="000166AB" w:rsidRPr="00570688" w:rsidRDefault="000166AB" w:rsidP="000166AB">
      <w:pPr>
        <w:pStyle w:val="PargrafodaLista"/>
        <w:numPr>
          <w:ilvl w:val="0"/>
          <w:numId w:val="33"/>
        </w:numPr>
        <w:spacing w:after="0" w:line="240" w:lineRule="auto"/>
        <w:ind w:left="0" w:firstLine="0"/>
        <w:jc w:val="both"/>
        <w:rPr>
          <w:rFonts w:ascii="Calibri" w:hAnsi="Calibri" w:cs="Calibri"/>
          <w:color w:val="000000" w:themeColor="text1"/>
          <w:sz w:val="24"/>
          <w:szCs w:val="24"/>
          <w:lang w:val="en-IN"/>
        </w:rPr>
      </w:pPr>
      <w:proofErr w:type="spellStart"/>
      <w:r w:rsidRPr="00570688">
        <w:rPr>
          <w:rFonts w:ascii="Calibri" w:hAnsi="Calibri" w:cs="Calibri"/>
          <w:color w:val="000000" w:themeColor="text1"/>
          <w:sz w:val="24"/>
          <w:szCs w:val="24"/>
          <w:lang w:val="en-IN"/>
        </w:rPr>
        <w:t>ibidi</w:t>
      </w:r>
      <w:proofErr w:type="spellEnd"/>
      <w:r w:rsidRPr="00570688">
        <w:rPr>
          <w:rFonts w:ascii="Calibri" w:hAnsi="Calibri" w:cs="Calibri"/>
          <w:color w:val="000000" w:themeColor="text1"/>
          <w:sz w:val="24"/>
          <w:szCs w:val="24"/>
          <w:lang w:val="en-IN"/>
        </w:rPr>
        <w:t xml:space="preserve"> GmbH. µ-Slide 8 Well: instruction manual. Version 4.6. </w:t>
      </w:r>
      <w:proofErr w:type="spellStart"/>
      <w:r w:rsidRPr="00570688">
        <w:rPr>
          <w:rFonts w:ascii="Calibri" w:hAnsi="Calibri" w:cs="Calibri"/>
          <w:color w:val="000000" w:themeColor="text1"/>
          <w:sz w:val="24"/>
          <w:szCs w:val="24"/>
          <w:lang w:val="en-IN"/>
        </w:rPr>
        <w:t>Gräfelfing</w:t>
      </w:r>
      <w:proofErr w:type="spellEnd"/>
      <w:r w:rsidRPr="00570688">
        <w:rPr>
          <w:rFonts w:ascii="Calibri" w:hAnsi="Calibri" w:cs="Calibri"/>
          <w:color w:val="000000" w:themeColor="text1"/>
          <w:sz w:val="24"/>
          <w:szCs w:val="24"/>
          <w:lang w:val="en-IN"/>
        </w:rPr>
        <w:t xml:space="preserve">: </w:t>
      </w:r>
      <w:proofErr w:type="spellStart"/>
      <w:r w:rsidRPr="00570688">
        <w:rPr>
          <w:rFonts w:ascii="Calibri" w:hAnsi="Calibri" w:cs="Calibri"/>
          <w:color w:val="000000" w:themeColor="text1"/>
          <w:sz w:val="24"/>
          <w:szCs w:val="24"/>
          <w:lang w:val="en-IN"/>
        </w:rPr>
        <w:t>ibidi</w:t>
      </w:r>
      <w:proofErr w:type="spellEnd"/>
      <w:r w:rsidRPr="00570688">
        <w:rPr>
          <w:rFonts w:ascii="Calibri" w:hAnsi="Calibri" w:cs="Calibri"/>
          <w:color w:val="000000" w:themeColor="text1"/>
          <w:sz w:val="24"/>
          <w:szCs w:val="24"/>
          <w:lang w:val="en-IN"/>
        </w:rPr>
        <w:t xml:space="preserve"> GmbH; 2026:</w:t>
      </w:r>
      <w:hyperlink r:id="rId7" w:tgtFrame="_new" w:history="1">
        <w:r w:rsidRPr="00570688">
          <w:rPr>
            <w:rStyle w:val="Hyperlink"/>
            <w:rFonts w:ascii="Calibri" w:hAnsi="Calibri" w:cs="Calibri"/>
            <w:color w:val="000000" w:themeColor="text1"/>
            <w:sz w:val="24"/>
            <w:szCs w:val="24"/>
            <w:lang w:val="en-IN"/>
          </w:rPr>
          <w:t>https://ibidi.com/</w:t>
        </w:r>
        <w:proofErr w:type="spellStart"/>
        <w:r w:rsidRPr="00570688">
          <w:rPr>
            <w:rStyle w:val="Hyperlink"/>
            <w:rFonts w:ascii="Calibri" w:hAnsi="Calibri" w:cs="Calibri"/>
            <w:color w:val="000000" w:themeColor="text1"/>
            <w:sz w:val="24"/>
            <w:szCs w:val="24"/>
            <w:lang w:val="en-IN"/>
          </w:rPr>
          <w:t>img</w:t>
        </w:r>
        <w:proofErr w:type="spellEnd"/>
        <w:r w:rsidRPr="00570688">
          <w:rPr>
            <w:rStyle w:val="Hyperlink"/>
            <w:rFonts w:ascii="Calibri" w:hAnsi="Calibri" w:cs="Calibri"/>
            <w:color w:val="000000" w:themeColor="text1"/>
            <w:sz w:val="24"/>
            <w:szCs w:val="24"/>
            <w:lang w:val="en-IN"/>
          </w:rPr>
          <w:t>/</w:t>
        </w:r>
        <w:proofErr w:type="spellStart"/>
        <w:r w:rsidRPr="00570688">
          <w:rPr>
            <w:rStyle w:val="Hyperlink"/>
            <w:rFonts w:ascii="Calibri" w:hAnsi="Calibri" w:cs="Calibri"/>
            <w:color w:val="000000" w:themeColor="text1"/>
            <w:sz w:val="24"/>
            <w:szCs w:val="24"/>
            <w:lang w:val="en-IN"/>
          </w:rPr>
          <w:t>cms</w:t>
        </w:r>
        <w:proofErr w:type="spellEnd"/>
        <w:r w:rsidRPr="00570688">
          <w:rPr>
            <w:rStyle w:val="Hyperlink"/>
            <w:rFonts w:ascii="Calibri" w:hAnsi="Calibri" w:cs="Calibri"/>
            <w:color w:val="000000" w:themeColor="text1"/>
            <w:sz w:val="24"/>
            <w:szCs w:val="24"/>
            <w:lang w:val="en-IN"/>
          </w:rPr>
          <w:t>/downloads/in/IN_8082X_8well.pdf</w:t>
        </w:r>
      </w:hyperlink>
      <w:r w:rsidRPr="00570688">
        <w:rPr>
          <w:rFonts w:ascii="Calibri" w:hAnsi="Calibri" w:cs="Calibri"/>
          <w:color w:val="000000" w:themeColor="text1"/>
          <w:sz w:val="24"/>
          <w:szCs w:val="24"/>
          <w:lang w:val="en-IN"/>
        </w:rPr>
        <w:t xml:space="preserve"> </w:t>
      </w:r>
    </w:p>
    <w:p w14:paraId="01549DF9" w14:textId="42F10903" w:rsidR="000166AB" w:rsidRPr="00570688" w:rsidRDefault="000166AB" w:rsidP="000166AB">
      <w:pPr>
        <w:pStyle w:val="PargrafodaLista"/>
        <w:numPr>
          <w:ilvl w:val="0"/>
          <w:numId w:val="33"/>
        </w:numPr>
        <w:spacing w:after="0" w:line="240" w:lineRule="auto"/>
        <w:ind w:left="0" w:firstLine="0"/>
        <w:jc w:val="both"/>
        <w:rPr>
          <w:rFonts w:ascii="Calibri" w:hAnsi="Calibri" w:cs="Calibri"/>
          <w:color w:val="000000" w:themeColor="text1"/>
          <w:sz w:val="24"/>
          <w:szCs w:val="24"/>
          <w:lang w:val="en-IN"/>
        </w:rPr>
      </w:pPr>
      <w:proofErr w:type="spellStart"/>
      <w:r w:rsidRPr="00570688">
        <w:rPr>
          <w:rFonts w:ascii="Calibri" w:hAnsi="Calibri" w:cs="Calibri"/>
          <w:color w:val="000000" w:themeColor="text1"/>
          <w:sz w:val="24"/>
          <w:szCs w:val="24"/>
          <w:lang w:val="en-IN"/>
        </w:rPr>
        <w:t>Thermo</w:t>
      </w:r>
      <w:proofErr w:type="spellEnd"/>
      <w:r w:rsidRPr="00570688">
        <w:rPr>
          <w:rFonts w:ascii="Calibri" w:hAnsi="Calibri" w:cs="Calibri"/>
          <w:color w:val="000000" w:themeColor="text1"/>
          <w:sz w:val="24"/>
          <w:szCs w:val="24"/>
          <w:lang w:val="en-IN"/>
        </w:rPr>
        <w:t xml:space="preserve"> Fisher Scientific. Coating Nunc Lab-Tek and Lab-Tek II chamber slides and chambered </w:t>
      </w:r>
      <w:proofErr w:type="spellStart"/>
      <w:r w:rsidRPr="00570688">
        <w:rPr>
          <w:rFonts w:ascii="Calibri" w:hAnsi="Calibri" w:cs="Calibri"/>
          <w:color w:val="000000" w:themeColor="text1"/>
          <w:sz w:val="24"/>
          <w:szCs w:val="24"/>
          <w:lang w:val="en-IN"/>
        </w:rPr>
        <w:t>coverglasses</w:t>
      </w:r>
      <w:proofErr w:type="spellEnd"/>
      <w:r w:rsidRPr="00570688">
        <w:rPr>
          <w:rFonts w:ascii="Calibri" w:hAnsi="Calibri" w:cs="Calibri"/>
          <w:color w:val="000000" w:themeColor="text1"/>
          <w:sz w:val="24"/>
          <w:szCs w:val="24"/>
          <w:lang w:val="en-IN"/>
        </w:rPr>
        <w:t xml:space="preserve"> [protocol]. Waltham, MA: </w:t>
      </w:r>
      <w:proofErr w:type="spellStart"/>
      <w:r w:rsidRPr="00570688">
        <w:rPr>
          <w:rFonts w:ascii="Calibri" w:hAnsi="Calibri" w:cs="Calibri"/>
          <w:color w:val="000000" w:themeColor="text1"/>
          <w:sz w:val="24"/>
          <w:szCs w:val="24"/>
          <w:lang w:val="en-IN"/>
        </w:rPr>
        <w:t>Thermo</w:t>
      </w:r>
      <w:proofErr w:type="spellEnd"/>
      <w:r w:rsidRPr="00570688">
        <w:rPr>
          <w:rFonts w:ascii="Calibri" w:hAnsi="Calibri" w:cs="Calibri"/>
          <w:color w:val="000000" w:themeColor="text1"/>
          <w:sz w:val="24"/>
          <w:szCs w:val="24"/>
          <w:lang w:val="en-IN"/>
        </w:rPr>
        <w:t xml:space="preserve"> Fisher Scientific; 2017:</w:t>
      </w:r>
      <w:hyperlink r:id="rId8" w:tgtFrame="_new" w:history="1">
        <w:r w:rsidRPr="00570688">
          <w:rPr>
            <w:rStyle w:val="Hyperlink"/>
            <w:rFonts w:ascii="Calibri" w:hAnsi="Calibri" w:cs="Calibri"/>
            <w:color w:val="000000" w:themeColor="text1"/>
            <w:sz w:val="24"/>
            <w:szCs w:val="24"/>
            <w:lang w:val="en-IN"/>
          </w:rPr>
          <w:t>https://documents.thermofisher.com/TFS-Assets/LCD/Instructions/ECM-Coating-Protocol-for-Lab-Tek-and-Lab-Tek-II.pdf</w:t>
        </w:r>
      </w:hyperlink>
      <w:r w:rsidRPr="00570688">
        <w:rPr>
          <w:rFonts w:ascii="Calibri" w:hAnsi="Calibri" w:cs="Calibri"/>
          <w:color w:val="000000" w:themeColor="text1"/>
          <w:sz w:val="24"/>
          <w:szCs w:val="24"/>
          <w:lang w:val="en-IN"/>
        </w:rPr>
        <w:t xml:space="preserve"> </w:t>
      </w:r>
    </w:p>
    <w:p w14:paraId="263D06CA" w14:textId="460DA069" w:rsidR="000166AB" w:rsidRPr="00570688" w:rsidRDefault="000166AB" w:rsidP="000166AB">
      <w:pPr>
        <w:pStyle w:val="PargrafodaLista"/>
        <w:numPr>
          <w:ilvl w:val="0"/>
          <w:numId w:val="33"/>
        </w:numPr>
        <w:spacing w:after="0" w:line="240" w:lineRule="auto"/>
        <w:ind w:left="0" w:firstLine="0"/>
        <w:jc w:val="both"/>
        <w:rPr>
          <w:rFonts w:ascii="Calibri" w:hAnsi="Calibri" w:cs="Calibri"/>
          <w:color w:val="000000" w:themeColor="text1"/>
          <w:sz w:val="24"/>
          <w:szCs w:val="24"/>
          <w:lang w:val="en-IN"/>
        </w:rPr>
      </w:pPr>
      <w:r w:rsidRPr="00570688">
        <w:rPr>
          <w:rFonts w:ascii="Calibri" w:hAnsi="Calibri" w:cs="Calibri"/>
          <w:color w:val="000000" w:themeColor="text1"/>
          <w:sz w:val="24"/>
          <w:szCs w:val="24"/>
          <w:lang w:val="en-IN"/>
        </w:rPr>
        <w:t xml:space="preserve">Schnell U, Dijk F, </w:t>
      </w:r>
      <w:proofErr w:type="spellStart"/>
      <w:r w:rsidRPr="00570688">
        <w:rPr>
          <w:rFonts w:ascii="Calibri" w:hAnsi="Calibri" w:cs="Calibri"/>
          <w:color w:val="000000" w:themeColor="text1"/>
          <w:sz w:val="24"/>
          <w:szCs w:val="24"/>
          <w:lang w:val="en-IN"/>
        </w:rPr>
        <w:t>Sjollema</w:t>
      </w:r>
      <w:proofErr w:type="spellEnd"/>
      <w:r w:rsidRPr="00570688">
        <w:rPr>
          <w:rFonts w:ascii="Calibri" w:hAnsi="Calibri" w:cs="Calibri"/>
          <w:color w:val="000000" w:themeColor="text1"/>
          <w:sz w:val="24"/>
          <w:szCs w:val="24"/>
          <w:lang w:val="en-IN"/>
        </w:rPr>
        <w:t xml:space="preserve"> KA, </w:t>
      </w:r>
      <w:proofErr w:type="spellStart"/>
      <w:r w:rsidRPr="00570688">
        <w:rPr>
          <w:rFonts w:ascii="Calibri" w:hAnsi="Calibri" w:cs="Calibri"/>
          <w:color w:val="000000" w:themeColor="text1"/>
          <w:sz w:val="24"/>
          <w:szCs w:val="24"/>
          <w:lang w:val="en-IN"/>
        </w:rPr>
        <w:t>Giepmans</w:t>
      </w:r>
      <w:proofErr w:type="spellEnd"/>
      <w:r w:rsidRPr="00570688">
        <w:rPr>
          <w:rFonts w:ascii="Calibri" w:hAnsi="Calibri" w:cs="Calibri"/>
          <w:color w:val="000000" w:themeColor="text1"/>
          <w:sz w:val="24"/>
          <w:szCs w:val="24"/>
          <w:lang w:val="en-IN"/>
        </w:rPr>
        <w:t xml:space="preserve"> BNG. Immunolabeling artifacts and the need for live-cell imaging. Nat Methods. </w:t>
      </w:r>
      <w:proofErr w:type="gramStart"/>
      <w:r w:rsidRPr="00570688">
        <w:rPr>
          <w:rFonts w:ascii="Calibri" w:hAnsi="Calibri" w:cs="Calibri"/>
          <w:color w:val="000000" w:themeColor="text1"/>
          <w:sz w:val="24"/>
          <w:szCs w:val="24"/>
          <w:lang w:val="en-IN"/>
        </w:rPr>
        <w:t>2012;9:152</w:t>
      </w:r>
      <w:proofErr w:type="gramEnd"/>
      <w:r w:rsidRPr="00570688">
        <w:rPr>
          <w:rFonts w:ascii="Calibri" w:hAnsi="Calibri" w:cs="Calibri"/>
          <w:color w:val="000000" w:themeColor="text1"/>
          <w:sz w:val="24"/>
          <w:szCs w:val="24"/>
          <w:lang w:val="en-IN"/>
        </w:rPr>
        <w:t xml:space="preserve">–8. </w:t>
      </w:r>
    </w:p>
    <w:p w14:paraId="0E3A491B" w14:textId="53E22529" w:rsidR="000166AB" w:rsidRPr="00570688" w:rsidRDefault="000166AB" w:rsidP="000166AB">
      <w:pPr>
        <w:pStyle w:val="PargrafodaLista"/>
        <w:numPr>
          <w:ilvl w:val="0"/>
          <w:numId w:val="33"/>
        </w:numPr>
        <w:spacing w:after="0" w:line="240" w:lineRule="auto"/>
        <w:ind w:left="0" w:firstLine="0"/>
        <w:jc w:val="both"/>
        <w:rPr>
          <w:rFonts w:ascii="Calibri" w:hAnsi="Calibri" w:cs="Calibri"/>
          <w:color w:val="000000" w:themeColor="text1"/>
          <w:sz w:val="24"/>
          <w:szCs w:val="24"/>
          <w:lang w:val="en-IN"/>
        </w:rPr>
      </w:pPr>
      <w:r w:rsidRPr="00570688">
        <w:rPr>
          <w:rFonts w:ascii="Calibri" w:hAnsi="Calibri" w:cs="Calibri"/>
          <w:color w:val="000000" w:themeColor="text1"/>
          <w:sz w:val="24"/>
          <w:szCs w:val="24"/>
          <w:lang w:val="en-IN"/>
        </w:rPr>
        <w:t xml:space="preserve">Piña R, et al. Ten approaches that improve immunostaining: a review of the latest advances for the optimization of immunofluorescence. Int J Mol Sci. </w:t>
      </w:r>
      <w:proofErr w:type="gramStart"/>
      <w:r w:rsidRPr="00570688">
        <w:rPr>
          <w:rFonts w:ascii="Calibri" w:hAnsi="Calibri" w:cs="Calibri"/>
          <w:color w:val="000000" w:themeColor="text1"/>
          <w:sz w:val="24"/>
          <w:szCs w:val="24"/>
          <w:lang w:val="en-IN"/>
        </w:rPr>
        <w:t>2022;23:1426</w:t>
      </w:r>
      <w:proofErr w:type="gramEnd"/>
      <w:r w:rsidRPr="00570688">
        <w:rPr>
          <w:rFonts w:ascii="Calibri" w:hAnsi="Calibri" w:cs="Calibri"/>
          <w:color w:val="000000" w:themeColor="text1"/>
          <w:sz w:val="24"/>
          <w:szCs w:val="24"/>
          <w:lang w:val="en-IN"/>
        </w:rPr>
        <w:t xml:space="preserve">. doi:10.3390/ijms23031426. </w:t>
      </w:r>
    </w:p>
    <w:p w14:paraId="6D1347FE" w14:textId="56702061" w:rsidR="000166AB" w:rsidRPr="00570688" w:rsidRDefault="000166AB" w:rsidP="000166AB">
      <w:pPr>
        <w:pStyle w:val="PargrafodaLista"/>
        <w:numPr>
          <w:ilvl w:val="0"/>
          <w:numId w:val="33"/>
        </w:numPr>
        <w:spacing w:after="0" w:line="240" w:lineRule="auto"/>
        <w:ind w:left="0" w:firstLine="0"/>
        <w:jc w:val="both"/>
        <w:rPr>
          <w:rFonts w:ascii="Calibri" w:hAnsi="Calibri" w:cs="Calibri"/>
          <w:color w:val="000000" w:themeColor="text1"/>
          <w:sz w:val="24"/>
          <w:szCs w:val="24"/>
          <w:lang w:val="en-IN"/>
        </w:rPr>
      </w:pPr>
      <w:r w:rsidRPr="00570688">
        <w:rPr>
          <w:rFonts w:ascii="Calibri" w:hAnsi="Calibri" w:cs="Calibri"/>
          <w:color w:val="000000" w:themeColor="text1"/>
          <w:sz w:val="24"/>
          <w:szCs w:val="24"/>
          <w:lang w:val="en-IN"/>
        </w:rPr>
        <w:t xml:space="preserve">Lopata A, et al. </w:t>
      </w:r>
      <w:proofErr w:type="spellStart"/>
      <w:r w:rsidRPr="00570688">
        <w:rPr>
          <w:rFonts w:ascii="Calibri" w:hAnsi="Calibri" w:cs="Calibri"/>
          <w:color w:val="000000" w:themeColor="text1"/>
          <w:sz w:val="24"/>
          <w:szCs w:val="24"/>
          <w:lang w:val="en-IN"/>
        </w:rPr>
        <w:t>Affimer</w:t>
      </w:r>
      <w:proofErr w:type="spellEnd"/>
      <w:r w:rsidRPr="00570688">
        <w:rPr>
          <w:rFonts w:ascii="Calibri" w:hAnsi="Calibri" w:cs="Calibri"/>
          <w:color w:val="000000" w:themeColor="text1"/>
          <w:sz w:val="24"/>
          <w:szCs w:val="24"/>
          <w:lang w:val="en-IN"/>
        </w:rPr>
        <w:t xml:space="preserve"> proteins for F-actin: novel affinity reagents that label F-actin in live and fixed cells. Sci Rep. </w:t>
      </w:r>
      <w:proofErr w:type="gramStart"/>
      <w:r w:rsidRPr="00570688">
        <w:rPr>
          <w:rFonts w:ascii="Calibri" w:hAnsi="Calibri" w:cs="Calibri"/>
          <w:color w:val="000000" w:themeColor="text1"/>
          <w:sz w:val="24"/>
          <w:szCs w:val="24"/>
          <w:lang w:val="en-IN"/>
        </w:rPr>
        <w:t>2018;8:6572</w:t>
      </w:r>
      <w:proofErr w:type="gramEnd"/>
      <w:r w:rsidRPr="00570688">
        <w:rPr>
          <w:rFonts w:ascii="Calibri" w:hAnsi="Calibri" w:cs="Calibri"/>
          <w:color w:val="000000" w:themeColor="text1"/>
          <w:sz w:val="24"/>
          <w:szCs w:val="24"/>
          <w:lang w:val="en-IN"/>
        </w:rPr>
        <w:t xml:space="preserve">. doi:10.1038/s41598-018-24953-4. </w:t>
      </w:r>
    </w:p>
    <w:p w14:paraId="17BDBFCB" w14:textId="29B0E7BE" w:rsidR="000166AB" w:rsidRPr="00570688" w:rsidRDefault="000166AB" w:rsidP="000166AB">
      <w:pPr>
        <w:pStyle w:val="PargrafodaLista"/>
        <w:numPr>
          <w:ilvl w:val="0"/>
          <w:numId w:val="33"/>
        </w:numPr>
        <w:spacing w:after="0" w:line="240" w:lineRule="auto"/>
        <w:ind w:left="0" w:firstLine="0"/>
        <w:jc w:val="both"/>
        <w:rPr>
          <w:rFonts w:ascii="Calibri" w:hAnsi="Calibri" w:cs="Calibri"/>
          <w:color w:val="000000" w:themeColor="text1"/>
          <w:sz w:val="24"/>
          <w:szCs w:val="24"/>
          <w:lang w:val="en-IN"/>
        </w:rPr>
      </w:pPr>
      <w:proofErr w:type="spellStart"/>
      <w:r w:rsidRPr="00570688">
        <w:rPr>
          <w:rFonts w:ascii="Calibri" w:hAnsi="Calibri" w:cs="Calibri"/>
          <w:color w:val="000000" w:themeColor="text1"/>
          <w:sz w:val="24"/>
          <w:szCs w:val="24"/>
          <w:lang w:val="en-IN"/>
        </w:rPr>
        <w:t>Yamanushi</w:t>
      </w:r>
      <w:proofErr w:type="spellEnd"/>
      <w:r w:rsidRPr="00570688">
        <w:rPr>
          <w:rFonts w:ascii="Calibri" w:hAnsi="Calibri" w:cs="Calibri"/>
          <w:color w:val="000000" w:themeColor="text1"/>
          <w:sz w:val="24"/>
          <w:szCs w:val="24"/>
          <w:lang w:val="en-IN"/>
        </w:rPr>
        <w:t xml:space="preserve"> TT, et al. Comparison of formaldehyde and methanol fixatives used in the detection of ion channel proteins in isolated rat ventricular myocytes by immunofluorescence </w:t>
      </w:r>
      <w:proofErr w:type="spellStart"/>
      <w:r w:rsidR="00682BDF" w:rsidRPr="00570688">
        <w:rPr>
          <w:rFonts w:ascii="Calibri" w:hAnsi="Calibri" w:cs="Calibri"/>
          <w:color w:val="000000" w:themeColor="text1"/>
          <w:sz w:val="24"/>
          <w:szCs w:val="24"/>
          <w:lang w:val="en-IN"/>
        </w:rPr>
        <w:t>labeling</w:t>
      </w:r>
      <w:proofErr w:type="spellEnd"/>
      <w:r w:rsidRPr="00570688">
        <w:rPr>
          <w:rFonts w:ascii="Calibri" w:hAnsi="Calibri" w:cs="Calibri"/>
          <w:color w:val="000000" w:themeColor="text1"/>
          <w:sz w:val="24"/>
          <w:szCs w:val="24"/>
          <w:lang w:val="en-IN"/>
        </w:rPr>
        <w:t xml:space="preserve"> and confocal microscopy. Folia </w:t>
      </w:r>
      <w:proofErr w:type="spellStart"/>
      <w:r w:rsidRPr="00570688">
        <w:rPr>
          <w:rFonts w:ascii="Calibri" w:hAnsi="Calibri" w:cs="Calibri"/>
          <w:color w:val="000000" w:themeColor="text1"/>
          <w:sz w:val="24"/>
          <w:szCs w:val="24"/>
          <w:lang w:val="en-IN"/>
        </w:rPr>
        <w:t>Morphol</w:t>
      </w:r>
      <w:proofErr w:type="spellEnd"/>
      <w:r w:rsidRPr="00570688">
        <w:rPr>
          <w:rFonts w:ascii="Calibri" w:hAnsi="Calibri" w:cs="Calibri"/>
          <w:color w:val="000000" w:themeColor="text1"/>
          <w:sz w:val="24"/>
          <w:szCs w:val="24"/>
          <w:lang w:val="en-IN"/>
        </w:rPr>
        <w:t xml:space="preserve"> (</w:t>
      </w:r>
      <w:proofErr w:type="spellStart"/>
      <w:r w:rsidRPr="00570688">
        <w:rPr>
          <w:rFonts w:ascii="Calibri" w:hAnsi="Calibri" w:cs="Calibri"/>
          <w:color w:val="000000" w:themeColor="text1"/>
          <w:sz w:val="24"/>
          <w:szCs w:val="24"/>
          <w:lang w:val="en-IN"/>
        </w:rPr>
        <w:t>Warsz</w:t>
      </w:r>
      <w:proofErr w:type="spellEnd"/>
      <w:r w:rsidRPr="00570688">
        <w:rPr>
          <w:rFonts w:ascii="Calibri" w:hAnsi="Calibri" w:cs="Calibri"/>
          <w:color w:val="000000" w:themeColor="text1"/>
          <w:sz w:val="24"/>
          <w:szCs w:val="24"/>
          <w:lang w:val="en-IN"/>
        </w:rPr>
        <w:t xml:space="preserve">). </w:t>
      </w:r>
      <w:proofErr w:type="gramStart"/>
      <w:r w:rsidRPr="00570688">
        <w:rPr>
          <w:rFonts w:ascii="Calibri" w:hAnsi="Calibri" w:cs="Calibri"/>
          <w:color w:val="000000" w:themeColor="text1"/>
          <w:sz w:val="24"/>
          <w:szCs w:val="24"/>
          <w:lang w:val="en-IN"/>
        </w:rPr>
        <w:t>2015;74:258</w:t>
      </w:r>
      <w:proofErr w:type="gramEnd"/>
      <w:r w:rsidRPr="00570688">
        <w:rPr>
          <w:rFonts w:ascii="Calibri" w:hAnsi="Calibri" w:cs="Calibri"/>
          <w:color w:val="000000" w:themeColor="text1"/>
          <w:sz w:val="24"/>
          <w:szCs w:val="24"/>
          <w:lang w:val="en-IN"/>
        </w:rPr>
        <w:t xml:space="preserve">–61. </w:t>
      </w:r>
    </w:p>
    <w:p w14:paraId="657388D0" w14:textId="632B0996" w:rsidR="000166AB" w:rsidRPr="00570688" w:rsidRDefault="000166AB" w:rsidP="000166AB">
      <w:pPr>
        <w:pStyle w:val="PargrafodaLista"/>
        <w:numPr>
          <w:ilvl w:val="0"/>
          <w:numId w:val="33"/>
        </w:numPr>
        <w:spacing w:after="0" w:line="240" w:lineRule="auto"/>
        <w:ind w:left="0" w:firstLine="0"/>
        <w:jc w:val="both"/>
        <w:rPr>
          <w:rFonts w:ascii="Calibri" w:hAnsi="Calibri" w:cs="Calibri"/>
          <w:color w:val="000000" w:themeColor="text1"/>
          <w:sz w:val="24"/>
          <w:szCs w:val="24"/>
          <w:lang w:val="en-IN"/>
        </w:rPr>
      </w:pPr>
      <w:r w:rsidRPr="00570688">
        <w:rPr>
          <w:rFonts w:ascii="Calibri" w:hAnsi="Calibri" w:cs="Calibri"/>
          <w:color w:val="000000" w:themeColor="text1"/>
          <w:sz w:val="24"/>
          <w:szCs w:val="24"/>
          <w:lang w:val="en-IN"/>
        </w:rPr>
        <w:t xml:space="preserve">Richter KN, et al. Glyoxal as an alternative fixative to formaldehyde in immunostaining and super-resolution microscopy. EMBO J. </w:t>
      </w:r>
      <w:proofErr w:type="gramStart"/>
      <w:r w:rsidRPr="00570688">
        <w:rPr>
          <w:rFonts w:ascii="Calibri" w:hAnsi="Calibri" w:cs="Calibri"/>
          <w:color w:val="000000" w:themeColor="text1"/>
          <w:sz w:val="24"/>
          <w:szCs w:val="24"/>
          <w:lang w:val="en-IN"/>
        </w:rPr>
        <w:t>2018;37:139</w:t>
      </w:r>
      <w:proofErr w:type="gramEnd"/>
      <w:r w:rsidRPr="00570688">
        <w:rPr>
          <w:rFonts w:ascii="Calibri" w:hAnsi="Calibri" w:cs="Calibri"/>
          <w:color w:val="000000" w:themeColor="text1"/>
          <w:sz w:val="24"/>
          <w:szCs w:val="24"/>
          <w:lang w:val="en-IN"/>
        </w:rPr>
        <w:t xml:space="preserve">–59. </w:t>
      </w:r>
    </w:p>
    <w:p w14:paraId="1C548B00" w14:textId="079CF0BB" w:rsidR="000166AB" w:rsidRPr="00570688" w:rsidRDefault="000166AB" w:rsidP="000166AB">
      <w:pPr>
        <w:pStyle w:val="PargrafodaLista"/>
        <w:numPr>
          <w:ilvl w:val="0"/>
          <w:numId w:val="33"/>
        </w:numPr>
        <w:spacing w:after="0" w:line="240" w:lineRule="auto"/>
        <w:ind w:left="0" w:firstLine="0"/>
        <w:jc w:val="both"/>
        <w:rPr>
          <w:rFonts w:ascii="Calibri" w:hAnsi="Calibri" w:cs="Calibri"/>
          <w:color w:val="000000" w:themeColor="text1"/>
          <w:sz w:val="24"/>
          <w:szCs w:val="24"/>
          <w:lang w:val="en-IN"/>
        </w:rPr>
      </w:pPr>
      <w:r w:rsidRPr="00570688">
        <w:rPr>
          <w:rFonts w:ascii="Calibri" w:hAnsi="Calibri" w:cs="Calibri"/>
          <w:color w:val="000000" w:themeColor="text1"/>
          <w:sz w:val="24"/>
          <w:szCs w:val="24"/>
          <w:lang w:val="en-IN"/>
        </w:rPr>
        <w:t xml:space="preserve">Konno K, Yamasaki M, Miyazaki T, Watanabe M. Glyoxal fixation: an approach to solve immunohistochemical </w:t>
      </w:r>
      <w:r w:rsidR="00682BDF" w:rsidRPr="00570688">
        <w:rPr>
          <w:rFonts w:ascii="Calibri" w:hAnsi="Calibri" w:cs="Calibri"/>
          <w:color w:val="000000" w:themeColor="text1"/>
          <w:sz w:val="24"/>
          <w:szCs w:val="24"/>
          <w:lang w:val="en-IN"/>
        </w:rPr>
        <w:t>problems</w:t>
      </w:r>
      <w:r w:rsidRPr="00570688">
        <w:rPr>
          <w:rFonts w:ascii="Calibri" w:hAnsi="Calibri" w:cs="Calibri"/>
          <w:color w:val="000000" w:themeColor="text1"/>
          <w:sz w:val="24"/>
          <w:szCs w:val="24"/>
          <w:lang w:val="en-IN"/>
        </w:rPr>
        <w:t xml:space="preserve"> in neuroscience research. Sci Adv. 2023;</w:t>
      </w:r>
      <w:proofErr w:type="gramStart"/>
      <w:r w:rsidRPr="00570688">
        <w:rPr>
          <w:rFonts w:ascii="Calibri" w:hAnsi="Calibri" w:cs="Calibri"/>
          <w:color w:val="000000" w:themeColor="text1"/>
          <w:sz w:val="24"/>
          <w:szCs w:val="24"/>
          <w:lang w:val="en-IN"/>
        </w:rPr>
        <w:t>9:eadf</w:t>
      </w:r>
      <w:proofErr w:type="gramEnd"/>
      <w:r w:rsidRPr="00570688">
        <w:rPr>
          <w:rFonts w:ascii="Calibri" w:hAnsi="Calibri" w:cs="Calibri"/>
          <w:color w:val="000000" w:themeColor="text1"/>
          <w:sz w:val="24"/>
          <w:szCs w:val="24"/>
          <w:lang w:val="en-IN"/>
        </w:rPr>
        <w:t xml:space="preserve">7084. doi:10.1126/sciadv.adf7084. </w:t>
      </w:r>
    </w:p>
    <w:p w14:paraId="72654701" w14:textId="78D3EAE0" w:rsidR="000166AB" w:rsidRPr="00570688" w:rsidRDefault="000166AB" w:rsidP="000166AB">
      <w:pPr>
        <w:pStyle w:val="PargrafodaLista"/>
        <w:numPr>
          <w:ilvl w:val="0"/>
          <w:numId w:val="33"/>
        </w:numPr>
        <w:spacing w:after="0" w:line="240" w:lineRule="auto"/>
        <w:ind w:left="0" w:firstLine="0"/>
        <w:jc w:val="both"/>
        <w:rPr>
          <w:rFonts w:ascii="Calibri" w:hAnsi="Calibri" w:cs="Calibri"/>
          <w:color w:val="000000" w:themeColor="text1"/>
          <w:sz w:val="24"/>
          <w:szCs w:val="24"/>
          <w:lang w:val="en-IN"/>
        </w:rPr>
      </w:pPr>
      <w:r w:rsidRPr="00570688">
        <w:rPr>
          <w:rFonts w:ascii="Calibri" w:hAnsi="Calibri" w:cs="Calibri"/>
          <w:color w:val="000000" w:themeColor="text1"/>
          <w:sz w:val="24"/>
          <w:szCs w:val="24"/>
          <w:lang w:val="en-IN"/>
        </w:rPr>
        <w:t xml:space="preserve">Lin JR, et al. Highly multiplexed immunofluorescence imaging of human tissues and </w:t>
      </w:r>
      <w:proofErr w:type="spellStart"/>
      <w:r w:rsidRPr="00570688">
        <w:rPr>
          <w:rFonts w:ascii="Calibri" w:hAnsi="Calibri" w:cs="Calibri"/>
          <w:color w:val="000000" w:themeColor="text1"/>
          <w:sz w:val="24"/>
          <w:szCs w:val="24"/>
          <w:lang w:val="en-IN"/>
        </w:rPr>
        <w:t>tumors</w:t>
      </w:r>
      <w:proofErr w:type="spellEnd"/>
      <w:r w:rsidRPr="00570688">
        <w:rPr>
          <w:rFonts w:ascii="Calibri" w:hAnsi="Calibri" w:cs="Calibri"/>
          <w:color w:val="000000" w:themeColor="text1"/>
          <w:sz w:val="24"/>
          <w:szCs w:val="24"/>
          <w:lang w:val="en-IN"/>
        </w:rPr>
        <w:t xml:space="preserve"> using t-</w:t>
      </w:r>
      <w:proofErr w:type="spellStart"/>
      <w:r w:rsidRPr="00570688">
        <w:rPr>
          <w:rFonts w:ascii="Calibri" w:hAnsi="Calibri" w:cs="Calibri"/>
          <w:color w:val="000000" w:themeColor="text1"/>
          <w:sz w:val="24"/>
          <w:szCs w:val="24"/>
          <w:lang w:val="en-IN"/>
        </w:rPr>
        <w:t>CyCIF</w:t>
      </w:r>
      <w:proofErr w:type="spellEnd"/>
      <w:r w:rsidRPr="00570688">
        <w:rPr>
          <w:rFonts w:ascii="Calibri" w:hAnsi="Calibri" w:cs="Calibri"/>
          <w:color w:val="000000" w:themeColor="text1"/>
          <w:sz w:val="24"/>
          <w:szCs w:val="24"/>
          <w:lang w:val="en-IN"/>
        </w:rPr>
        <w:t xml:space="preserve"> and conventional optical microscopes. Elife. 2018;</w:t>
      </w:r>
      <w:proofErr w:type="gramStart"/>
      <w:r w:rsidRPr="00570688">
        <w:rPr>
          <w:rFonts w:ascii="Calibri" w:hAnsi="Calibri" w:cs="Calibri"/>
          <w:color w:val="000000" w:themeColor="text1"/>
          <w:sz w:val="24"/>
          <w:szCs w:val="24"/>
          <w:lang w:val="en-IN"/>
        </w:rPr>
        <w:t>7:e</w:t>
      </w:r>
      <w:proofErr w:type="gramEnd"/>
      <w:r w:rsidRPr="00570688">
        <w:rPr>
          <w:rFonts w:ascii="Calibri" w:hAnsi="Calibri" w:cs="Calibri"/>
          <w:color w:val="000000" w:themeColor="text1"/>
          <w:sz w:val="24"/>
          <w:szCs w:val="24"/>
          <w:lang w:val="en-IN"/>
        </w:rPr>
        <w:t xml:space="preserve">31657. doi:10.7554/eLife.31657. </w:t>
      </w:r>
    </w:p>
    <w:p w14:paraId="3261E08F" w14:textId="10F03B9E" w:rsidR="000166AB" w:rsidRPr="00570688" w:rsidRDefault="000166AB" w:rsidP="000166AB">
      <w:pPr>
        <w:pStyle w:val="PargrafodaLista"/>
        <w:numPr>
          <w:ilvl w:val="0"/>
          <w:numId w:val="33"/>
        </w:numPr>
        <w:spacing w:after="0" w:line="240" w:lineRule="auto"/>
        <w:ind w:left="0" w:firstLine="0"/>
        <w:jc w:val="both"/>
        <w:rPr>
          <w:rFonts w:ascii="Calibri" w:hAnsi="Calibri" w:cs="Calibri"/>
          <w:color w:val="000000" w:themeColor="text1"/>
          <w:sz w:val="24"/>
          <w:szCs w:val="24"/>
          <w:lang w:val="en-IN"/>
        </w:rPr>
      </w:pPr>
      <w:proofErr w:type="spellStart"/>
      <w:r w:rsidRPr="00570688">
        <w:rPr>
          <w:rFonts w:ascii="Calibri" w:hAnsi="Calibri" w:cs="Calibri"/>
          <w:color w:val="000000" w:themeColor="text1"/>
          <w:sz w:val="24"/>
          <w:szCs w:val="24"/>
          <w:lang w:val="en-IN"/>
        </w:rPr>
        <w:t>Goltsev</w:t>
      </w:r>
      <w:proofErr w:type="spellEnd"/>
      <w:r w:rsidRPr="00570688">
        <w:rPr>
          <w:rFonts w:ascii="Calibri" w:hAnsi="Calibri" w:cs="Calibri"/>
          <w:color w:val="000000" w:themeColor="text1"/>
          <w:sz w:val="24"/>
          <w:szCs w:val="24"/>
          <w:lang w:val="en-IN"/>
        </w:rPr>
        <w:t xml:space="preserve"> Y, et al. Deep profiling of mouse splenic architecture with CODEX multiplexed imaging. Cell. </w:t>
      </w:r>
      <w:proofErr w:type="gramStart"/>
      <w:r w:rsidRPr="00570688">
        <w:rPr>
          <w:rFonts w:ascii="Calibri" w:hAnsi="Calibri" w:cs="Calibri"/>
          <w:color w:val="000000" w:themeColor="text1"/>
          <w:sz w:val="24"/>
          <w:szCs w:val="24"/>
          <w:lang w:val="en-IN"/>
        </w:rPr>
        <w:t>2018;174:968</w:t>
      </w:r>
      <w:proofErr w:type="gramEnd"/>
      <w:r w:rsidRPr="00570688">
        <w:rPr>
          <w:rFonts w:ascii="Calibri" w:hAnsi="Calibri" w:cs="Calibri"/>
          <w:color w:val="000000" w:themeColor="text1"/>
          <w:sz w:val="24"/>
          <w:szCs w:val="24"/>
          <w:lang w:val="en-IN"/>
        </w:rPr>
        <w:t>–</w:t>
      </w:r>
      <w:proofErr w:type="gramStart"/>
      <w:r w:rsidRPr="00570688">
        <w:rPr>
          <w:rFonts w:ascii="Calibri" w:hAnsi="Calibri" w:cs="Calibri"/>
          <w:color w:val="000000" w:themeColor="text1"/>
          <w:sz w:val="24"/>
          <w:szCs w:val="24"/>
          <w:lang w:val="en-IN"/>
        </w:rPr>
        <w:t>81.e</w:t>
      </w:r>
      <w:proofErr w:type="gramEnd"/>
      <w:r w:rsidRPr="00570688">
        <w:rPr>
          <w:rFonts w:ascii="Calibri" w:hAnsi="Calibri" w:cs="Calibri"/>
          <w:color w:val="000000" w:themeColor="text1"/>
          <w:sz w:val="24"/>
          <w:szCs w:val="24"/>
          <w:lang w:val="en-IN"/>
        </w:rPr>
        <w:t xml:space="preserve">15. </w:t>
      </w:r>
    </w:p>
    <w:p w14:paraId="4C895820" w14:textId="25C7898F" w:rsidR="003A37D0" w:rsidRPr="00570688" w:rsidRDefault="000166AB" w:rsidP="000166AB">
      <w:pPr>
        <w:pStyle w:val="PargrafodaLista"/>
        <w:numPr>
          <w:ilvl w:val="0"/>
          <w:numId w:val="33"/>
        </w:numPr>
        <w:spacing w:after="0" w:line="240" w:lineRule="auto"/>
        <w:ind w:left="0" w:firstLine="0"/>
        <w:jc w:val="both"/>
        <w:rPr>
          <w:rFonts w:ascii="Calibri" w:hAnsi="Calibri" w:cs="Calibri"/>
          <w:color w:val="000000" w:themeColor="text1"/>
          <w:sz w:val="24"/>
          <w:szCs w:val="24"/>
        </w:rPr>
      </w:pPr>
      <w:proofErr w:type="spellStart"/>
      <w:r w:rsidRPr="00570688">
        <w:rPr>
          <w:rFonts w:ascii="Calibri" w:hAnsi="Calibri" w:cs="Calibri"/>
          <w:color w:val="000000" w:themeColor="text1"/>
          <w:sz w:val="24"/>
          <w:szCs w:val="24"/>
          <w:lang w:val="en-IN"/>
        </w:rPr>
        <w:t>Schindelin</w:t>
      </w:r>
      <w:proofErr w:type="spellEnd"/>
      <w:r w:rsidRPr="00570688">
        <w:rPr>
          <w:rFonts w:ascii="Calibri" w:hAnsi="Calibri" w:cs="Calibri"/>
          <w:color w:val="000000" w:themeColor="text1"/>
          <w:sz w:val="24"/>
          <w:szCs w:val="24"/>
          <w:lang w:val="en-IN"/>
        </w:rPr>
        <w:t xml:space="preserve"> J, et al. Fiji: an open-source platform for biological-image analysis. Nat Methods. </w:t>
      </w:r>
      <w:proofErr w:type="gramStart"/>
      <w:r w:rsidRPr="00570688">
        <w:rPr>
          <w:rFonts w:ascii="Calibri" w:hAnsi="Calibri" w:cs="Calibri"/>
          <w:color w:val="000000" w:themeColor="text1"/>
          <w:sz w:val="24"/>
          <w:szCs w:val="24"/>
          <w:lang w:val="en-IN"/>
        </w:rPr>
        <w:t>2012;9:676</w:t>
      </w:r>
      <w:proofErr w:type="gramEnd"/>
      <w:r w:rsidRPr="00570688">
        <w:rPr>
          <w:rFonts w:ascii="Calibri" w:hAnsi="Calibri" w:cs="Calibri"/>
          <w:color w:val="000000" w:themeColor="text1"/>
          <w:sz w:val="24"/>
          <w:szCs w:val="24"/>
          <w:lang w:val="en-IN"/>
        </w:rPr>
        <w:t>–82.</w:t>
      </w:r>
    </w:p>
    <w:p w14:paraId="27D7F24F" w14:textId="1FAF8F65" w:rsidR="00AA1501" w:rsidRPr="00570688" w:rsidRDefault="00AA1501" w:rsidP="00570688">
      <w:pPr>
        <w:rPr>
          <w:rFonts w:eastAsia="Times New Roman"/>
          <w:color w:val="000000" w:themeColor="text1"/>
        </w:rPr>
      </w:pPr>
    </w:p>
    <w:sectPr w:rsidR="00AA1501" w:rsidRPr="00570688" w:rsidSect="00570688">
      <w:headerReference w:type="even" r:id="rId9"/>
      <w:headerReference w:type="default" r:id="rId10"/>
      <w:footerReference w:type="even" r:id="rId11"/>
      <w:headerReference w:type="first" r:id="rId12"/>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19A1E4" w14:textId="77777777" w:rsidR="007B5E1F" w:rsidRDefault="007B5E1F">
      <w:r>
        <w:separator/>
      </w:r>
    </w:p>
  </w:endnote>
  <w:endnote w:type="continuationSeparator" w:id="0">
    <w:p w14:paraId="2E62ED42" w14:textId="77777777" w:rsidR="007B5E1F" w:rsidRDefault="007B5E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255E3E" w14:textId="77777777" w:rsidR="007B5E1F" w:rsidRDefault="007B5E1F">
      <w:r>
        <w:separator/>
      </w:r>
    </w:p>
  </w:footnote>
  <w:footnote w:type="continuationSeparator" w:id="0">
    <w:p w14:paraId="74B76E77" w14:textId="77777777" w:rsidR="007B5E1F" w:rsidRDefault="007B5E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000000">
    <w:pPr>
      <w:pBdr>
        <w:top w:val="nil"/>
        <w:left w:val="nil"/>
        <w:bottom w:val="nil"/>
        <w:right w:val="nil"/>
        <w:between w:val="nil"/>
      </w:pBd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5E00E299" w:rsidR="006E4797" w:rsidRDefault="006E4797">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15FCA"/>
    <w:multiLevelType w:val="hybridMultilevel"/>
    <w:tmpl w:val="4AAABC5E"/>
    <w:lvl w:ilvl="0" w:tplc="0A8621CA">
      <w:start w:val="1"/>
      <w:numFmt w:val="bullet"/>
      <w:lvlText w:val=""/>
      <w:lvlJc w:val="left"/>
      <w:pPr>
        <w:ind w:left="360" w:hanging="360"/>
      </w:pPr>
      <w:rPr>
        <w:rFonts w:ascii="Symbol" w:hAnsi="Symbol" w:hint="default"/>
        <w:sz w:val="28"/>
        <w:szCs w:val="28"/>
      </w:rPr>
    </w:lvl>
    <w:lvl w:ilvl="1" w:tplc="AB707148" w:tentative="1">
      <w:start w:val="1"/>
      <w:numFmt w:val="bullet"/>
      <w:lvlText w:val="o"/>
      <w:lvlJc w:val="left"/>
      <w:pPr>
        <w:ind w:left="1440" w:hanging="360"/>
      </w:pPr>
      <w:rPr>
        <w:rFonts w:ascii="Courier New" w:hAnsi="Courier New" w:cs="Courier New" w:hint="default"/>
      </w:rPr>
    </w:lvl>
    <w:lvl w:ilvl="2" w:tplc="53B23536" w:tentative="1">
      <w:start w:val="1"/>
      <w:numFmt w:val="bullet"/>
      <w:lvlText w:val=""/>
      <w:lvlJc w:val="left"/>
      <w:pPr>
        <w:ind w:left="2160" w:hanging="360"/>
      </w:pPr>
      <w:rPr>
        <w:rFonts w:ascii="Wingdings" w:hAnsi="Wingdings" w:hint="default"/>
      </w:rPr>
    </w:lvl>
    <w:lvl w:ilvl="3" w:tplc="D6925A5A" w:tentative="1">
      <w:start w:val="1"/>
      <w:numFmt w:val="bullet"/>
      <w:lvlText w:val=""/>
      <w:lvlJc w:val="left"/>
      <w:pPr>
        <w:ind w:left="2880" w:hanging="360"/>
      </w:pPr>
      <w:rPr>
        <w:rFonts w:ascii="Symbol" w:hAnsi="Symbol" w:hint="default"/>
      </w:rPr>
    </w:lvl>
    <w:lvl w:ilvl="4" w:tplc="C5A02042" w:tentative="1">
      <w:start w:val="1"/>
      <w:numFmt w:val="bullet"/>
      <w:lvlText w:val="o"/>
      <w:lvlJc w:val="left"/>
      <w:pPr>
        <w:ind w:left="3600" w:hanging="360"/>
      </w:pPr>
      <w:rPr>
        <w:rFonts w:ascii="Courier New" w:hAnsi="Courier New" w:cs="Courier New" w:hint="default"/>
      </w:rPr>
    </w:lvl>
    <w:lvl w:ilvl="5" w:tplc="F2C62880" w:tentative="1">
      <w:start w:val="1"/>
      <w:numFmt w:val="bullet"/>
      <w:lvlText w:val=""/>
      <w:lvlJc w:val="left"/>
      <w:pPr>
        <w:ind w:left="4320" w:hanging="360"/>
      </w:pPr>
      <w:rPr>
        <w:rFonts w:ascii="Wingdings" w:hAnsi="Wingdings" w:hint="default"/>
      </w:rPr>
    </w:lvl>
    <w:lvl w:ilvl="6" w:tplc="382425B4" w:tentative="1">
      <w:start w:val="1"/>
      <w:numFmt w:val="bullet"/>
      <w:lvlText w:val=""/>
      <w:lvlJc w:val="left"/>
      <w:pPr>
        <w:ind w:left="5040" w:hanging="360"/>
      </w:pPr>
      <w:rPr>
        <w:rFonts w:ascii="Symbol" w:hAnsi="Symbol" w:hint="default"/>
      </w:rPr>
    </w:lvl>
    <w:lvl w:ilvl="7" w:tplc="B99E718E" w:tentative="1">
      <w:start w:val="1"/>
      <w:numFmt w:val="bullet"/>
      <w:lvlText w:val="o"/>
      <w:lvlJc w:val="left"/>
      <w:pPr>
        <w:ind w:left="5760" w:hanging="360"/>
      </w:pPr>
      <w:rPr>
        <w:rFonts w:ascii="Courier New" w:hAnsi="Courier New" w:cs="Courier New" w:hint="default"/>
      </w:rPr>
    </w:lvl>
    <w:lvl w:ilvl="8" w:tplc="DBE43FC0" w:tentative="1">
      <w:start w:val="1"/>
      <w:numFmt w:val="bullet"/>
      <w:lvlText w:val=""/>
      <w:lvlJc w:val="left"/>
      <w:pPr>
        <w:ind w:left="6480" w:hanging="360"/>
      </w:pPr>
      <w:rPr>
        <w:rFonts w:ascii="Wingdings" w:hAnsi="Wingdings" w:hint="default"/>
      </w:rPr>
    </w:lvl>
  </w:abstractNum>
  <w:abstractNum w:abstractNumId="1" w15:restartNumberingAfterBreak="0">
    <w:nsid w:val="12056B99"/>
    <w:multiLevelType w:val="hybridMultilevel"/>
    <w:tmpl w:val="225C74A6"/>
    <w:lvl w:ilvl="0" w:tplc="CE646CE2">
      <w:start w:val="1"/>
      <w:numFmt w:val="decimal"/>
      <w:lvlText w:val="%1."/>
      <w:lvlJc w:val="left"/>
      <w:pPr>
        <w:ind w:left="720" w:hanging="360"/>
      </w:pPr>
    </w:lvl>
    <w:lvl w:ilvl="1" w:tplc="A328E08A">
      <w:start w:val="1"/>
      <w:numFmt w:val="decimal"/>
      <w:lvlText w:val="%2."/>
      <w:lvlJc w:val="left"/>
      <w:pPr>
        <w:ind w:left="720" w:hanging="360"/>
      </w:pPr>
    </w:lvl>
    <w:lvl w:ilvl="2" w:tplc="99BEA594">
      <w:start w:val="1"/>
      <w:numFmt w:val="decimal"/>
      <w:lvlText w:val="%3."/>
      <w:lvlJc w:val="left"/>
      <w:pPr>
        <w:ind w:left="720" w:hanging="360"/>
      </w:pPr>
    </w:lvl>
    <w:lvl w:ilvl="3" w:tplc="9A1226A0">
      <w:start w:val="1"/>
      <w:numFmt w:val="decimal"/>
      <w:lvlText w:val="%4."/>
      <w:lvlJc w:val="left"/>
      <w:pPr>
        <w:ind w:left="720" w:hanging="360"/>
      </w:pPr>
    </w:lvl>
    <w:lvl w:ilvl="4" w:tplc="3102AB1E">
      <w:start w:val="1"/>
      <w:numFmt w:val="decimal"/>
      <w:lvlText w:val="%5."/>
      <w:lvlJc w:val="left"/>
      <w:pPr>
        <w:ind w:left="720" w:hanging="360"/>
      </w:pPr>
    </w:lvl>
    <w:lvl w:ilvl="5" w:tplc="1E02779C">
      <w:start w:val="1"/>
      <w:numFmt w:val="decimal"/>
      <w:lvlText w:val="%6."/>
      <w:lvlJc w:val="left"/>
      <w:pPr>
        <w:ind w:left="720" w:hanging="360"/>
      </w:pPr>
    </w:lvl>
    <w:lvl w:ilvl="6" w:tplc="227415E6">
      <w:start w:val="1"/>
      <w:numFmt w:val="decimal"/>
      <w:lvlText w:val="%7."/>
      <w:lvlJc w:val="left"/>
      <w:pPr>
        <w:ind w:left="720" w:hanging="360"/>
      </w:pPr>
    </w:lvl>
    <w:lvl w:ilvl="7" w:tplc="68224442">
      <w:start w:val="1"/>
      <w:numFmt w:val="decimal"/>
      <w:lvlText w:val="%8."/>
      <w:lvlJc w:val="left"/>
      <w:pPr>
        <w:ind w:left="720" w:hanging="360"/>
      </w:pPr>
    </w:lvl>
    <w:lvl w:ilvl="8" w:tplc="069857E2">
      <w:start w:val="1"/>
      <w:numFmt w:val="decimal"/>
      <w:lvlText w:val="%9."/>
      <w:lvlJc w:val="left"/>
      <w:pPr>
        <w:ind w:left="720" w:hanging="360"/>
      </w:pPr>
    </w:lvl>
  </w:abstractNum>
  <w:abstractNum w:abstractNumId="2" w15:restartNumberingAfterBreak="0">
    <w:nsid w:val="133227B1"/>
    <w:multiLevelType w:val="hybridMultilevel"/>
    <w:tmpl w:val="E69A5FB6"/>
    <w:lvl w:ilvl="0" w:tplc="76449610">
      <w:start w:val="1"/>
      <w:numFmt w:val="decimal"/>
      <w:lvlText w:val="%1."/>
      <w:lvlJc w:val="left"/>
      <w:pPr>
        <w:ind w:left="720" w:hanging="360"/>
      </w:pPr>
    </w:lvl>
    <w:lvl w:ilvl="1" w:tplc="6FEE61A2" w:tentative="1">
      <w:start w:val="1"/>
      <w:numFmt w:val="lowerLetter"/>
      <w:lvlText w:val="%2."/>
      <w:lvlJc w:val="left"/>
      <w:pPr>
        <w:ind w:left="1440" w:hanging="360"/>
      </w:pPr>
    </w:lvl>
    <w:lvl w:ilvl="2" w:tplc="06229F56" w:tentative="1">
      <w:start w:val="1"/>
      <w:numFmt w:val="lowerRoman"/>
      <w:lvlText w:val="%3."/>
      <w:lvlJc w:val="right"/>
      <w:pPr>
        <w:ind w:left="2160" w:hanging="180"/>
      </w:pPr>
    </w:lvl>
    <w:lvl w:ilvl="3" w:tplc="2ACE92AC" w:tentative="1">
      <w:start w:val="1"/>
      <w:numFmt w:val="decimal"/>
      <w:lvlText w:val="%4."/>
      <w:lvlJc w:val="left"/>
      <w:pPr>
        <w:ind w:left="2880" w:hanging="360"/>
      </w:pPr>
    </w:lvl>
    <w:lvl w:ilvl="4" w:tplc="6B4E263E" w:tentative="1">
      <w:start w:val="1"/>
      <w:numFmt w:val="lowerLetter"/>
      <w:lvlText w:val="%5."/>
      <w:lvlJc w:val="left"/>
      <w:pPr>
        <w:ind w:left="3600" w:hanging="360"/>
      </w:pPr>
    </w:lvl>
    <w:lvl w:ilvl="5" w:tplc="93F0D712" w:tentative="1">
      <w:start w:val="1"/>
      <w:numFmt w:val="lowerRoman"/>
      <w:lvlText w:val="%6."/>
      <w:lvlJc w:val="right"/>
      <w:pPr>
        <w:ind w:left="4320" w:hanging="180"/>
      </w:pPr>
    </w:lvl>
    <w:lvl w:ilvl="6" w:tplc="90080764" w:tentative="1">
      <w:start w:val="1"/>
      <w:numFmt w:val="decimal"/>
      <w:lvlText w:val="%7."/>
      <w:lvlJc w:val="left"/>
      <w:pPr>
        <w:ind w:left="5040" w:hanging="360"/>
      </w:pPr>
    </w:lvl>
    <w:lvl w:ilvl="7" w:tplc="CDD873CC" w:tentative="1">
      <w:start w:val="1"/>
      <w:numFmt w:val="lowerLetter"/>
      <w:lvlText w:val="%8."/>
      <w:lvlJc w:val="left"/>
      <w:pPr>
        <w:ind w:left="5760" w:hanging="360"/>
      </w:pPr>
    </w:lvl>
    <w:lvl w:ilvl="8" w:tplc="BEEC17B6" w:tentative="1">
      <w:start w:val="1"/>
      <w:numFmt w:val="lowerRoman"/>
      <w:lvlText w:val="%9."/>
      <w:lvlJc w:val="right"/>
      <w:pPr>
        <w:ind w:left="6480" w:hanging="180"/>
      </w:pPr>
    </w:lvl>
  </w:abstractNum>
  <w:abstractNum w:abstractNumId="3" w15:restartNumberingAfterBreak="0">
    <w:nsid w:val="18233BE0"/>
    <w:multiLevelType w:val="multilevel"/>
    <w:tmpl w:val="2BD85A02"/>
    <w:lvl w:ilvl="0">
      <w:start w:val="1"/>
      <w:numFmt w:val="decimal"/>
      <w:lvlText w:val="%1."/>
      <w:lvlJc w:val="left"/>
      <w:pPr>
        <w:ind w:left="720" w:hanging="360"/>
      </w:pPr>
      <w:rPr>
        <w:rFonts w:hint="default"/>
      </w:rPr>
    </w:lvl>
    <w:lvl w:ilvl="1">
      <w:start w:val="1"/>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A612B99"/>
    <w:multiLevelType w:val="hybridMultilevel"/>
    <w:tmpl w:val="CD68A796"/>
    <w:lvl w:ilvl="0" w:tplc="9DC6490C">
      <w:numFmt w:val="bullet"/>
      <w:lvlText w:val=""/>
      <w:lvlJc w:val="left"/>
      <w:pPr>
        <w:ind w:left="720" w:hanging="360"/>
      </w:pPr>
      <w:rPr>
        <w:rFonts w:ascii="Calibri" w:eastAsia="Calibr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1D644CC6"/>
    <w:multiLevelType w:val="hybridMultilevel"/>
    <w:tmpl w:val="E6B20088"/>
    <w:lvl w:ilvl="0" w:tplc="E5F6AE2C">
      <w:start w:val="1"/>
      <w:numFmt w:val="decimal"/>
      <w:lvlText w:val="%1."/>
      <w:lvlJc w:val="left"/>
      <w:pPr>
        <w:ind w:left="720" w:hanging="360"/>
      </w:pPr>
      <w:rPr>
        <w:rFonts w:hint="default"/>
      </w:rPr>
    </w:lvl>
    <w:lvl w:ilvl="1" w:tplc="46F48C5E" w:tentative="1">
      <w:start w:val="1"/>
      <w:numFmt w:val="lowerLetter"/>
      <w:lvlText w:val="%2."/>
      <w:lvlJc w:val="left"/>
      <w:pPr>
        <w:ind w:left="1440" w:hanging="360"/>
      </w:pPr>
    </w:lvl>
    <w:lvl w:ilvl="2" w:tplc="7C7630A4" w:tentative="1">
      <w:start w:val="1"/>
      <w:numFmt w:val="lowerRoman"/>
      <w:lvlText w:val="%3."/>
      <w:lvlJc w:val="right"/>
      <w:pPr>
        <w:ind w:left="2160" w:hanging="180"/>
      </w:pPr>
    </w:lvl>
    <w:lvl w:ilvl="3" w:tplc="6D9C8C6E" w:tentative="1">
      <w:start w:val="1"/>
      <w:numFmt w:val="decimal"/>
      <w:lvlText w:val="%4."/>
      <w:lvlJc w:val="left"/>
      <w:pPr>
        <w:ind w:left="2880" w:hanging="360"/>
      </w:pPr>
    </w:lvl>
    <w:lvl w:ilvl="4" w:tplc="BB22BD86" w:tentative="1">
      <w:start w:val="1"/>
      <w:numFmt w:val="lowerLetter"/>
      <w:lvlText w:val="%5."/>
      <w:lvlJc w:val="left"/>
      <w:pPr>
        <w:ind w:left="3600" w:hanging="360"/>
      </w:pPr>
    </w:lvl>
    <w:lvl w:ilvl="5" w:tplc="3DCC3102" w:tentative="1">
      <w:start w:val="1"/>
      <w:numFmt w:val="lowerRoman"/>
      <w:lvlText w:val="%6."/>
      <w:lvlJc w:val="right"/>
      <w:pPr>
        <w:ind w:left="4320" w:hanging="180"/>
      </w:pPr>
    </w:lvl>
    <w:lvl w:ilvl="6" w:tplc="6A8638EA" w:tentative="1">
      <w:start w:val="1"/>
      <w:numFmt w:val="decimal"/>
      <w:lvlText w:val="%7."/>
      <w:lvlJc w:val="left"/>
      <w:pPr>
        <w:ind w:left="5040" w:hanging="360"/>
      </w:pPr>
    </w:lvl>
    <w:lvl w:ilvl="7" w:tplc="C1F6798C" w:tentative="1">
      <w:start w:val="1"/>
      <w:numFmt w:val="lowerLetter"/>
      <w:lvlText w:val="%8."/>
      <w:lvlJc w:val="left"/>
      <w:pPr>
        <w:ind w:left="5760" w:hanging="360"/>
      </w:pPr>
    </w:lvl>
    <w:lvl w:ilvl="8" w:tplc="76CC02FA" w:tentative="1">
      <w:start w:val="1"/>
      <w:numFmt w:val="lowerRoman"/>
      <w:lvlText w:val="%9."/>
      <w:lvlJc w:val="right"/>
      <w:pPr>
        <w:ind w:left="6480" w:hanging="180"/>
      </w:pPr>
    </w:lvl>
  </w:abstractNum>
  <w:abstractNum w:abstractNumId="6" w15:restartNumberingAfterBreak="0">
    <w:nsid w:val="20E63D58"/>
    <w:multiLevelType w:val="hybridMultilevel"/>
    <w:tmpl w:val="5470D26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21BA043A"/>
    <w:multiLevelType w:val="hybridMultilevel"/>
    <w:tmpl w:val="97EA5562"/>
    <w:lvl w:ilvl="0" w:tplc="62FAB068">
      <w:start w:val="1"/>
      <w:numFmt w:val="decimal"/>
      <w:lvlText w:val="%1."/>
      <w:lvlJc w:val="left"/>
      <w:pPr>
        <w:ind w:left="720" w:hanging="360"/>
      </w:pPr>
    </w:lvl>
    <w:lvl w:ilvl="1" w:tplc="FD32FD86" w:tentative="1">
      <w:start w:val="1"/>
      <w:numFmt w:val="lowerLetter"/>
      <w:lvlText w:val="%2."/>
      <w:lvlJc w:val="left"/>
      <w:pPr>
        <w:ind w:left="1440" w:hanging="360"/>
      </w:pPr>
    </w:lvl>
    <w:lvl w:ilvl="2" w:tplc="93CC660E" w:tentative="1">
      <w:start w:val="1"/>
      <w:numFmt w:val="lowerRoman"/>
      <w:lvlText w:val="%3."/>
      <w:lvlJc w:val="right"/>
      <w:pPr>
        <w:ind w:left="2160" w:hanging="180"/>
      </w:pPr>
    </w:lvl>
    <w:lvl w:ilvl="3" w:tplc="8ED05846" w:tentative="1">
      <w:start w:val="1"/>
      <w:numFmt w:val="decimal"/>
      <w:lvlText w:val="%4."/>
      <w:lvlJc w:val="left"/>
      <w:pPr>
        <w:ind w:left="2880" w:hanging="360"/>
      </w:pPr>
    </w:lvl>
    <w:lvl w:ilvl="4" w:tplc="E84EA83A" w:tentative="1">
      <w:start w:val="1"/>
      <w:numFmt w:val="lowerLetter"/>
      <w:lvlText w:val="%5."/>
      <w:lvlJc w:val="left"/>
      <w:pPr>
        <w:ind w:left="3600" w:hanging="360"/>
      </w:pPr>
    </w:lvl>
    <w:lvl w:ilvl="5" w:tplc="3A649B1E" w:tentative="1">
      <w:start w:val="1"/>
      <w:numFmt w:val="lowerRoman"/>
      <w:lvlText w:val="%6."/>
      <w:lvlJc w:val="right"/>
      <w:pPr>
        <w:ind w:left="4320" w:hanging="180"/>
      </w:pPr>
    </w:lvl>
    <w:lvl w:ilvl="6" w:tplc="5300AEEC" w:tentative="1">
      <w:start w:val="1"/>
      <w:numFmt w:val="decimal"/>
      <w:lvlText w:val="%7."/>
      <w:lvlJc w:val="left"/>
      <w:pPr>
        <w:ind w:left="5040" w:hanging="360"/>
      </w:pPr>
    </w:lvl>
    <w:lvl w:ilvl="7" w:tplc="3D7E56E6" w:tentative="1">
      <w:start w:val="1"/>
      <w:numFmt w:val="lowerLetter"/>
      <w:lvlText w:val="%8."/>
      <w:lvlJc w:val="left"/>
      <w:pPr>
        <w:ind w:left="5760" w:hanging="360"/>
      </w:pPr>
    </w:lvl>
    <w:lvl w:ilvl="8" w:tplc="4A38DE9E" w:tentative="1">
      <w:start w:val="1"/>
      <w:numFmt w:val="lowerRoman"/>
      <w:lvlText w:val="%9."/>
      <w:lvlJc w:val="right"/>
      <w:pPr>
        <w:ind w:left="6480" w:hanging="180"/>
      </w:pPr>
    </w:lvl>
  </w:abstractNum>
  <w:abstractNum w:abstractNumId="8" w15:restartNumberingAfterBreak="0">
    <w:nsid w:val="240A5F44"/>
    <w:multiLevelType w:val="hybridMultilevel"/>
    <w:tmpl w:val="87FAFC60"/>
    <w:lvl w:ilvl="0" w:tplc="A8F075AC">
      <w:start w:val="1"/>
      <w:numFmt w:val="decimal"/>
      <w:lvlText w:val="%1."/>
      <w:lvlJc w:val="left"/>
      <w:pPr>
        <w:ind w:left="720" w:hanging="360"/>
      </w:pPr>
    </w:lvl>
    <w:lvl w:ilvl="1" w:tplc="DD628756" w:tentative="1">
      <w:start w:val="1"/>
      <w:numFmt w:val="lowerLetter"/>
      <w:lvlText w:val="%2."/>
      <w:lvlJc w:val="left"/>
      <w:pPr>
        <w:ind w:left="1440" w:hanging="360"/>
      </w:pPr>
    </w:lvl>
    <w:lvl w:ilvl="2" w:tplc="8180B2C8" w:tentative="1">
      <w:start w:val="1"/>
      <w:numFmt w:val="lowerRoman"/>
      <w:lvlText w:val="%3."/>
      <w:lvlJc w:val="right"/>
      <w:pPr>
        <w:ind w:left="2160" w:hanging="180"/>
      </w:pPr>
    </w:lvl>
    <w:lvl w:ilvl="3" w:tplc="16065CAC" w:tentative="1">
      <w:start w:val="1"/>
      <w:numFmt w:val="decimal"/>
      <w:lvlText w:val="%4."/>
      <w:lvlJc w:val="left"/>
      <w:pPr>
        <w:ind w:left="2880" w:hanging="360"/>
      </w:pPr>
    </w:lvl>
    <w:lvl w:ilvl="4" w:tplc="BE0C598E" w:tentative="1">
      <w:start w:val="1"/>
      <w:numFmt w:val="lowerLetter"/>
      <w:lvlText w:val="%5."/>
      <w:lvlJc w:val="left"/>
      <w:pPr>
        <w:ind w:left="3600" w:hanging="360"/>
      </w:pPr>
    </w:lvl>
    <w:lvl w:ilvl="5" w:tplc="290E57C0" w:tentative="1">
      <w:start w:val="1"/>
      <w:numFmt w:val="lowerRoman"/>
      <w:lvlText w:val="%6."/>
      <w:lvlJc w:val="right"/>
      <w:pPr>
        <w:ind w:left="4320" w:hanging="180"/>
      </w:pPr>
    </w:lvl>
    <w:lvl w:ilvl="6" w:tplc="CB5E5DC6" w:tentative="1">
      <w:start w:val="1"/>
      <w:numFmt w:val="decimal"/>
      <w:lvlText w:val="%7."/>
      <w:lvlJc w:val="left"/>
      <w:pPr>
        <w:ind w:left="5040" w:hanging="360"/>
      </w:pPr>
    </w:lvl>
    <w:lvl w:ilvl="7" w:tplc="00A4D326" w:tentative="1">
      <w:start w:val="1"/>
      <w:numFmt w:val="lowerLetter"/>
      <w:lvlText w:val="%8."/>
      <w:lvlJc w:val="left"/>
      <w:pPr>
        <w:ind w:left="5760" w:hanging="360"/>
      </w:pPr>
    </w:lvl>
    <w:lvl w:ilvl="8" w:tplc="EA6E28DE" w:tentative="1">
      <w:start w:val="1"/>
      <w:numFmt w:val="lowerRoman"/>
      <w:lvlText w:val="%9."/>
      <w:lvlJc w:val="right"/>
      <w:pPr>
        <w:ind w:left="6480" w:hanging="180"/>
      </w:pPr>
    </w:lvl>
  </w:abstractNum>
  <w:abstractNum w:abstractNumId="9"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0"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297F3915"/>
    <w:multiLevelType w:val="hybridMultilevel"/>
    <w:tmpl w:val="40BCFB4C"/>
    <w:lvl w:ilvl="0" w:tplc="2D4C2C34">
      <w:start w:val="1"/>
      <w:numFmt w:val="decimal"/>
      <w:lvlText w:val="%1."/>
      <w:lvlJc w:val="left"/>
      <w:pPr>
        <w:ind w:left="720" w:hanging="360"/>
      </w:pPr>
    </w:lvl>
    <w:lvl w:ilvl="1" w:tplc="1096AC82">
      <w:start w:val="1"/>
      <w:numFmt w:val="decimal"/>
      <w:lvlText w:val="%2."/>
      <w:lvlJc w:val="left"/>
      <w:pPr>
        <w:ind w:left="720" w:hanging="360"/>
      </w:pPr>
    </w:lvl>
    <w:lvl w:ilvl="2" w:tplc="9CD88FEE">
      <w:start w:val="1"/>
      <w:numFmt w:val="decimal"/>
      <w:lvlText w:val="%3."/>
      <w:lvlJc w:val="left"/>
      <w:pPr>
        <w:ind w:left="720" w:hanging="360"/>
      </w:pPr>
    </w:lvl>
    <w:lvl w:ilvl="3" w:tplc="3AC64AC4">
      <w:start w:val="1"/>
      <w:numFmt w:val="decimal"/>
      <w:lvlText w:val="%4."/>
      <w:lvlJc w:val="left"/>
      <w:pPr>
        <w:ind w:left="720" w:hanging="360"/>
      </w:pPr>
    </w:lvl>
    <w:lvl w:ilvl="4" w:tplc="AA2247A4">
      <w:start w:val="1"/>
      <w:numFmt w:val="decimal"/>
      <w:lvlText w:val="%5."/>
      <w:lvlJc w:val="left"/>
      <w:pPr>
        <w:ind w:left="720" w:hanging="360"/>
      </w:pPr>
    </w:lvl>
    <w:lvl w:ilvl="5" w:tplc="DB503C5E">
      <w:start w:val="1"/>
      <w:numFmt w:val="decimal"/>
      <w:lvlText w:val="%6."/>
      <w:lvlJc w:val="left"/>
      <w:pPr>
        <w:ind w:left="720" w:hanging="360"/>
      </w:pPr>
    </w:lvl>
    <w:lvl w:ilvl="6" w:tplc="52F29292">
      <w:start w:val="1"/>
      <w:numFmt w:val="decimal"/>
      <w:lvlText w:val="%7."/>
      <w:lvlJc w:val="left"/>
      <w:pPr>
        <w:ind w:left="720" w:hanging="360"/>
      </w:pPr>
    </w:lvl>
    <w:lvl w:ilvl="7" w:tplc="564CF718">
      <w:start w:val="1"/>
      <w:numFmt w:val="decimal"/>
      <w:lvlText w:val="%8."/>
      <w:lvlJc w:val="left"/>
      <w:pPr>
        <w:ind w:left="720" w:hanging="360"/>
      </w:pPr>
    </w:lvl>
    <w:lvl w:ilvl="8" w:tplc="E888685E">
      <w:start w:val="1"/>
      <w:numFmt w:val="decimal"/>
      <w:lvlText w:val="%9."/>
      <w:lvlJc w:val="left"/>
      <w:pPr>
        <w:ind w:left="720" w:hanging="360"/>
      </w:pPr>
    </w:lvl>
  </w:abstractNum>
  <w:abstractNum w:abstractNumId="12" w15:restartNumberingAfterBreak="0">
    <w:nsid w:val="2D1373D0"/>
    <w:multiLevelType w:val="hybridMultilevel"/>
    <w:tmpl w:val="64823644"/>
    <w:lvl w:ilvl="0" w:tplc="AA12F86A">
      <w:start w:val="1"/>
      <w:numFmt w:val="bullet"/>
      <w:lvlText w:val=""/>
      <w:lvlJc w:val="left"/>
      <w:pPr>
        <w:ind w:left="720" w:hanging="360"/>
      </w:pPr>
      <w:rPr>
        <w:rFonts w:ascii="Symbol" w:hAnsi="Symbol" w:hint="default"/>
      </w:rPr>
    </w:lvl>
    <w:lvl w:ilvl="1" w:tplc="7F7ADF32" w:tentative="1">
      <w:start w:val="1"/>
      <w:numFmt w:val="bullet"/>
      <w:lvlText w:val="o"/>
      <w:lvlJc w:val="left"/>
      <w:pPr>
        <w:ind w:left="1440" w:hanging="360"/>
      </w:pPr>
      <w:rPr>
        <w:rFonts w:ascii="Courier New" w:hAnsi="Courier New" w:cs="Courier New" w:hint="default"/>
      </w:rPr>
    </w:lvl>
    <w:lvl w:ilvl="2" w:tplc="11728332" w:tentative="1">
      <w:start w:val="1"/>
      <w:numFmt w:val="bullet"/>
      <w:lvlText w:val=""/>
      <w:lvlJc w:val="left"/>
      <w:pPr>
        <w:ind w:left="2160" w:hanging="360"/>
      </w:pPr>
      <w:rPr>
        <w:rFonts w:ascii="Wingdings" w:hAnsi="Wingdings" w:hint="default"/>
      </w:rPr>
    </w:lvl>
    <w:lvl w:ilvl="3" w:tplc="8B42F806" w:tentative="1">
      <w:start w:val="1"/>
      <w:numFmt w:val="bullet"/>
      <w:lvlText w:val=""/>
      <w:lvlJc w:val="left"/>
      <w:pPr>
        <w:ind w:left="2880" w:hanging="360"/>
      </w:pPr>
      <w:rPr>
        <w:rFonts w:ascii="Symbol" w:hAnsi="Symbol" w:hint="default"/>
      </w:rPr>
    </w:lvl>
    <w:lvl w:ilvl="4" w:tplc="7F06984C" w:tentative="1">
      <w:start w:val="1"/>
      <w:numFmt w:val="bullet"/>
      <w:lvlText w:val="o"/>
      <w:lvlJc w:val="left"/>
      <w:pPr>
        <w:ind w:left="3600" w:hanging="360"/>
      </w:pPr>
      <w:rPr>
        <w:rFonts w:ascii="Courier New" w:hAnsi="Courier New" w:cs="Courier New" w:hint="default"/>
      </w:rPr>
    </w:lvl>
    <w:lvl w:ilvl="5" w:tplc="15DA8926" w:tentative="1">
      <w:start w:val="1"/>
      <w:numFmt w:val="bullet"/>
      <w:lvlText w:val=""/>
      <w:lvlJc w:val="left"/>
      <w:pPr>
        <w:ind w:left="4320" w:hanging="360"/>
      </w:pPr>
      <w:rPr>
        <w:rFonts w:ascii="Wingdings" w:hAnsi="Wingdings" w:hint="default"/>
      </w:rPr>
    </w:lvl>
    <w:lvl w:ilvl="6" w:tplc="F5FAFC42" w:tentative="1">
      <w:start w:val="1"/>
      <w:numFmt w:val="bullet"/>
      <w:lvlText w:val=""/>
      <w:lvlJc w:val="left"/>
      <w:pPr>
        <w:ind w:left="5040" w:hanging="360"/>
      </w:pPr>
      <w:rPr>
        <w:rFonts w:ascii="Symbol" w:hAnsi="Symbol" w:hint="default"/>
      </w:rPr>
    </w:lvl>
    <w:lvl w:ilvl="7" w:tplc="F2207972" w:tentative="1">
      <w:start w:val="1"/>
      <w:numFmt w:val="bullet"/>
      <w:lvlText w:val="o"/>
      <w:lvlJc w:val="left"/>
      <w:pPr>
        <w:ind w:left="5760" w:hanging="360"/>
      </w:pPr>
      <w:rPr>
        <w:rFonts w:ascii="Courier New" w:hAnsi="Courier New" w:cs="Courier New" w:hint="default"/>
      </w:rPr>
    </w:lvl>
    <w:lvl w:ilvl="8" w:tplc="6D860DA4" w:tentative="1">
      <w:start w:val="1"/>
      <w:numFmt w:val="bullet"/>
      <w:lvlText w:val=""/>
      <w:lvlJc w:val="left"/>
      <w:pPr>
        <w:ind w:left="6480" w:hanging="360"/>
      </w:pPr>
      <w:rPr>
        <w:rFonts w:ascii="Wingdings" w:hAnsi="Wingdings" w:hint="default"/>
      </w:rPr>
    </w:lvl>
  </w:abstractNum>
  <w:abstractNum w:abstractNumId="13"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2DDE5AFD"/>
    <w:multiLevelType w:val="hybridMultilevel"/>
    <w:tmpl w:val="A7723C16"/>
    <w:lvl w:ilvl="0" w:tplc="2F6E1AD2">
      <w:start w:val="1"/>
      <w:numFmt w:val="decimal"/>
      <w:lvlText w:val="%1."/>
      <w:lvlJc w:val="left"/>
      <w:pPr>
        <w:ind w:left="1440" w:hanging="360"/>
      </w:pPr>
    </w:lvl>
    <w:lvl w:ilvl="1" w:tplc="5344BB46">
      <w:start w:val="1"/>
      <w:numFmt w:val="decimal"/>
      <w:lvlText w:val="%2."/>
      <w:lvlJc w:val="left"/>
      <w:pPr>
        <w:ind w:left="1440" w:hanging="360"/>
      </w:pPr>
    </w:lvl>
    <w:lvl w:ilvl="2" w:tplc="0E94C7B0">
      <w:start w:val="1"/>
      <w:numFmt w:val="decimal"/>
      <w:lvlText w:val="%3."/>
      <w:lvlJc w:val="left"/>
      <w:pPr>
        <w:ind w:left="1440" w:hanging="360"/>
      </w:pPr>
    </w:lvl>
    <w:lvl w:ilvl="3" w:tplc="5B8C93C6">
      <w:start w:val="1"/>
      <w:numFmt w:val="decimal"/>
      <w:lvlText w:val="%4."/>
      <w:lvlJc w:val="left"/>
      <w:pPr>
        <w:ind w:left="1440" w:hanging="360"/>
      </w:pPr>
    </w:lvl>
    <w:lvl w:ilvl="4" w:tplc="B40834CE">
      <w:start w:val="1"/>
      <w:numFmt w:val="decimal"/>
      <w:lvlText w:val="%5."/>
      <w:lvlJc w:val="left"/>
      <w:pPr>
        <w:ind w:left="1440" w:hanging="360"/>
      </w:pPr>
    </w:lvl>
    <w:lvl w:ilvl="5" w:tplc="360023EA">
      <w:start w:val="1"/>
      <w:numFmt w:val="decimal"/>
      <w:lvlText w:val="%6."/>
      <w:lvlJc w:val="left"/>
      <w:pPr>
        <w:ind w:left="1440" w:hanging="360"/>
      </w:pPr>
    </w:lvl>
    <w:lvl w:ilvl="6" w:tplc="4612718E">
      <w:start w:val="1"/>
      <w:numFmt w:val="decimal"/>
      <w:lvlText w:val="%7."/>
      <w:lvlJc w:val="left"/>
      <w:pPr>
        <w:ind w:left="1440" w:hanging="360"/>
      </w:pPr>
    </w:lvl>
    <w:lvl w:ilvl="7" w:tplc="E02EEEB4">
      <w:start w:val="1"/>
      <w:numFmt w:val="decimal"/>
      <w:lvlText w:val="%8."/>
      <w:lvlJc w:val="left"/>
      <w:pPr>
        <w:ind w:left="1440" w:hanging="360"/>
      </w:pPr>
    </w:lvl>
    <w:lvl w:ilvl="8" w:tplc="13E4620C">
      <w:start w:val="1"/>
      <w:numFmt w:val="decimal"/>
      <w:lvlText w:val="%9."/>
      <w:lvlJc w:val="left"/>
      <w:pPr>
        <w:ind w:left="1440" w:hanging="360"/>
      </w:pPr>
    </w:lvl>
  </w:abstractNum>
  <w:abstractNum w:abstractNumId="15" w15:restartNumberingAfterBreak="0">
    <w:nsid w:val="32E07ABC"/>
    <w:multiLevelType w:val="hybridMultilevel"/>
    <w:tmpl w:val="DF8229D0"/>
    <w:lvl w:ilvl="0" w:tplc="ED1C1292">
      <w:start w:val="1"/>
      <w:numFmt w:val="decimal"/>
      <w:lvlText w:val="%1."/>
      <w:lvlJc w:val="left"/>
      <w:pPr>
        <w:ind w:left="720" w:hanging="360"/>
      </w:pPr>
    </w:lvl>
    <w:lvl w:ilvl="1" w:tplc="C26080AA" w:tentative="1">
      <w:start w:val="1"/>
      <w:numFmt w:val="lowerLetter"/>
      <w:lvlText w:val="%2."/>
      <w:lvlJc w:val="left"/>
      <w:pPr>
        <w:ind w:left="1440" w:hanging="360"/>
      </w:pPr>
    </w:lvl>
    <w:lvl w:ilvl="2" w:tplc="909E6088" w:tentative="1">
      <w:start w:val="1"/>
      <w:numFmt w:val="lowerRoman"/>
      <w:lvlText w:val="%3."/>
      <w:lvlJc w:val="right"/>
      <w:pPr>
        <w:ind w:left="2160" w:hanging="180"/>
      </w:pPr>
    </w:lvl>
    <w:lvl w:ilvl="3" w:tplc="9606F398" w:tentative="1">
      <w:start w:val="1"/>
      <w:numFmt w:val="decimal"/>
      <w:lvlText w:val="%4."/>
      <w:lvlJc w:val="left"/>
      <w:pPr>
        <w:ind w:left="2880" w:hanging="360"/>
      </w:pPr>
    </w:lvl>
    <w:lvl w:ilvl="4" w:tplc="D376FA62" w:tentative="1">
      <w:start w:val="1"/>
      <w:numFmt w:val="lowerLetter"/>
      <w:lvlText w:val="%5."/>
      <w:lvlJc w:val="left"/>
      <w:pPr>
        <w:ind w:left="3600" w:hanging="360"/>
      </w:pPr>
    </w:lvl>
    <w:lvl w:ilvl="5" w:tplc="133C32D4" w:tentative="1">
      <w:start w:val="1"/>
      <w:numFmt w:val="lowerRoman"/>
      <w:lvlText w:val="%6."/>
      <w:lvlJc w:val="right"/>
      <w:pPr>
        <w:ind w:left="4320" w:hanging="180"/>
      </w:pPr>
    </w:lvl>
    <w:lvl w:ilvl="6" w:tplc="8048C092" w:tentative="1">
      <w:start w:val="1"/>
      <w:numFmt w:val="decimal"/>
      <w:lvlText w:val="%7."/>
      <w:lvlJc w:val="left"/>
      <w:pPr>
        <w:ind w:left="5040" w:hanging="360"/>
      </w:pPr>
    </w:lvl>
    <w:lvl w:ilvl="7" w:tplc="2F7E7632" w:tentative="1">
      <w:start w:val="1"/>
      <w:numFmt w:val="lowerLetter"/>
      <w:lvlText w:val="%8."/>
      <w:lvlJc w:val="left"/>
      <w:pPr>
        <w:ind w:left="5760" w:hanging="360"/>
      </w:pPr>
    </w:lvl>
    <w:lvl w:ilvl="8" w:tplc="DFEE33B8" w:tentative="1">
      <w:start w:val="1"/>
      <w:numFmt w:val="lowerRoman"/>
      <w:lvlText w:val="%9."/>
      <w:lvlJc w:val="right"/>
      <w:pPr>
        <w:ind w:left="6480" w:hanging="180"/>
      </w:pPr>
    </w:lvl>
  </w:abstractNum>
  <w:abstractNum w:abstractNumId="16"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8" w15:restartNumberingAfterBreak="0">
    <w:nsid w:val="35345617"/>
    <w:multiLevelType w:val="hybridMultilevel"/>
    <w:tmpl w:val="CBA29506"/>
    <w:lvl w:ilvl="0" w:tplc="56E88BD4">
      <w:start w:val="1"/>
      <w:numFmt w:val="decimal"/>
      <w:lvlText w:val="%1."/>
      <w:lvlJc w:val="left"/>
      <w:pPr>
        <w:ind w:left="1440" w:hanging="360"/>
      </w:pPr>
    </w:lvl>
    <w:lvl w:ilvl="1" w:tplc="DB1C4026">
      <w:start w:val="1"/>
      <w:numFmt w:val="decimal"/>
      <w:lvlText w:val="%2."/>
      <w:lvlJc w:val="left"/>
      <w:pPr>
        <w:ind w:left="1440" w:hanging="360"/>
      </w:pPr>
    </w:lvl>
    <w:lvl w:ilvl="2" w:tplc="60CCEB46">
      <w:start w:val="1"/>
      <w:numFmt w:val="decimal"/>
      <w:lvlText w:val="%3."/>
      <w:lvlJc w:val="left"/>
      <w:pPr>
        <w:ind w:left="1440" w:hanging="360"/>
      </w:pPr>
    </w:lvl>
    <w:lvl w:ilvl="3" w:tplc="A4C49CB6">
      <w:start w:val="1"/>
      <w:numFmt w:val="decimal"/>
      <w:lvlText w:val="%4."/>
      <w:lvlJc w:val="left"/>
      <w:pPr>
        <w:ind w:left="1440" w:hanging="360"/>
      </w:pPr>
    </w:lvl>
    <w:lvl w:ilvl="4" w:tplc="7B946616">
      <w:start w:val="1"/>
      <w:numFmt w:val="decimal"/>
      <w:lvlText w:val="%5."/>
      <w:lvlJc w:val="left"/>
      <w:pPr>
        <w:ind w:left="1440" w:hanging="360"/>
      </w:pPr>
    </w:lvl>
    <w:lvl w:ilvl="5" w:tplc="C94C139E">
      <w:start w:val="1"/>
      <w:numFmt w:val="decimal"/>
      <w:lvlText w:val="%6."/>
      <w:lvlJc w:val="left"/>
      <w:pPr>
        <w:ind w:left="1440" w:hanging="360"/>
      </w:pPr>
    </w:lvl>
    <w:lvl w:ilvl="6" w:tplc="E6E6A95C">
      <w:start w:val="1"/>
      <w:numFmt w:val="decimal"/>
      <w:lvlText w:val="%7."/>
      <w:lvlJc w:val="left"/>
      <w:pPr>
        <w:ind w:left="1440" w:hanging="360"/>
      </w:pPr>
    </w:lvl>
    <w:lvl w:ilvl="7" w:tplc="B34E59F6">
      <w:start w:val="1"/>
      <w:numFmt w:val="decimal"/>
      <w:lvlText w:val="%8."/>
      <w:lvlJc w:val="left"/>
      <w:pPr>
        <w:ind w:left="1440" w:hanging="360"/>
      </w:pPr>
    </w:lvl>
    <w:lvl w:ilvl="8" w:tplc="A0D69B28">
      <w:start w:val="1"/>
      <w:numFmt w:val="decimal"/>
      <w:lvlText w:val="%9."/>
      <w:lvlJc w:val="left"/>
      <w:pPr>
        <w:ind w:left="1440" w:hanging="360"/>
      </w:pPr>
    </w:lvl>
  </w:abstractNum>
  <w:abstractNum w:abstractNumId="19"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08F0293"/>
    <w:multiLevelType w:val="hybridMultilevel"/>
    <w:tmpl w:val="FA6EDFA4"/>
    <w:lvl w:ilvl="0" w:tplc="DB6C7664">
      <w:start w:val="1"/>
      <w:numFmt w:val="bullet"/>
      <w:lvlText w:val=""/>
      <w:lvlJc w:val="left"/>
      <w:pPr>
        <w:ind w:left="720" w:hanging="360"/>
      </w:pPr>
      <w:rPr>
        <w:rFonts w:ascii="Symbol" w:hAnsi="Symbol" w:hint="default"/>
      </w:rPr>
    </w:lvl>
    <w:lvl w:ilvl="1" w:tplc="45E2865E" w:tentative="1">
      <w:start w:val="1"/>
      <w:numFmt w:val="bullet"/>
      <w:lvlText w:val="o"/>
      <w:lvlJc w:val="left"/>
      <w:pPr>
        <w:ind w:left="1440" w:hanging="360"/>
      </w:pPr>
      <w:rPr>
        <w:rFonts w:ascii="Courier New" w:hAnsi="Courier New" w:cs="Courier New" w:hint="default"/>
      </w:rPr>
    </w:lvl>
    <w:lvl w:ilvl="2" w:tplc="53C8A402" w:tentative="1">
      <w:start w:val="1"/>
      <w:numFmt w:val="bullet"/>
      <w:lvlText w:val=""/>
      <w:lvlJc w:val="left"/>
      <w:pPr>
        <w:ind w:left="2160" w:hanging="360"/>
      </w:pPr>
      <w:rPr>
        <w:rFonts w:ascii="Wingdings" w:hAnsi="Wingdings" w:hint="default"/>
      </w:rPr>
    </w:lvl>
    <w:lvl w:ilvl="3" w:tplc="4C3C2D48" w:tentative="1">
      <w:start w:val="1"/>
      <w:numFmt w:val="bullet"/>
      <w:lvlText w:val=""/>
      <w:lvlJc w:val="left"/>
      <w:pPr>
        <w:ind w:left="2880" w:hanging="360"/>
      </w:pPr>
      <w:rPr>
        <w:rFonts w:ascii="Symbol" w:hAnsi="Symbol" w:hint="default"/>
      </w:rPr>
    </w:lvl>
    <w:lvl w:ilvl="4" w:tplc="AE44E9C8" w:tentative="1">
      <w:start w:val="1"/>
      <w:numFmt w:val="bullet"/>
      <w:lvlText w:val="o"/>
      <w:lvlJc w:val="left"/>
      <w:pPr>
        <w:ind w:left="3600" w:hanging="360"/>
      </w:pPr>
      <w:rPr>
        <w:rFonts w:ascii="Courier New" w:hAnsi="Courier New" w:cs="Courier New" w:hint="default"/>
      </w:rPr>
    </w:lvl>
    <w:lvl w:ilvl="5" w:tplc="4CACC1B2" w:tentative="1">
      <w:start w:val="1"/>
      <w:numFmt w:val="bullet"/>
      <w:lvlText w:val=""/>
      <w:lvlJc w:val="left"/>
      <w:pPr>
        <w:ind w:left="4320" w:hanging="360"/>
      </w:pPr>
      <w:rPr>
        <w:rFonts w:ascii="Wingdings" w:hAnsi="Wingdings" w:hint="default"/>
      </w:rPr>
    </w:lvl>
    <w:lvl w:ilvl="6" w:tplc="6FACBB9A" w:tentative="1">
      <w:start w:val="1"/>
      <w:numFmt w:val="bullet"/>
      <w:lvlText w:val=""/>
      <w:lvlJc w:val="left"/>
      <w:pPr>
        <w:ind w:left="5040" w:hanging="360"/>
      </w:pPr>
      <w:rPr>
        <w:rFonts w:ascii="Symbol" w:hAnsi="Symbol" w:hint="default"/>
      </w:rPr>
    </w:lvl>
    <w:lvl w:ilvl="7" w:tplc="91587422" w:tentative="1">
      <w:start w:val="1"/>
      <w:numFmt w:val="bullet"/>
      <w:lvlText w:val="o"/>
      <w:lvlJc w:val="left"/>
      <w:pPr>
        <w:ind w:left="5760" w:hanging="360"/>
      </w:pPr>
      <w:rPr>
        <w:rFonts w:ascii="Courier New" w:hAnsi="Courier New" w:cs="Courier New" w:hint="default"/>
      </w:rPr>
    </w:lvl>
    <w:lvl w:ilvl="8" w:tplc="C73E13B6" w:tentative="1">
      <w:start w:val="1"/>
      <w:numFmt w:val="bullet"/>
      <w:lvlText w:val=""/>
      <w:lvlJc w:val="left"/>
      <w:pPr>
        <w:ind w:left="6480" w:hanging="360"/>
      </w:pPr>
      <w:rPr>
        <w:rFonts w:ascii="Wingdings" w:hAnsi="Wingdings" w:hint="default"/>
      </w:rPr>
    </w:lvl>
  </w:abstractNum>
  <w:abstractNum w:abstractNumId="22"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8A524DB"/>
    <w:multiLevelType w:val="hybridMultilevel"/>
    <w:tmpl w:val="3BCEC808"/>
    <w:lvl w:ilvl="0" w:tplc="29E21D8E">
      <w:start w:val="1"/>
      <w:numFmt w:val="decimal"/>
      <w:lvlText w:val="%1."/>
      <w:lvlJc w:val="left"/>
      <w:pPr>
        <w:ind w:left="1440" w:hanging="360"/>
      </w:pPr>
    </w:lvl>
    <w:lvl w:ilvl="1" w:tplc="4A20204C">
      <w:start w:val="1"/>
      <w:numFmt w:val="decimal"/>
      <w:lvlText w:val="%2."/>
      <w:lvlJc w:val="left"/>
      <w:pPr>
        <w:ind w:left="1440" w:hanging="360"/>
      </w:pPr>
    </w:lvl>
    <w:lvl w:ilvl="2" w:tplc="79AAF410">
      <w:start w:val="1"/>
      <w:numFmt w:val="decimal"/>
      <w:lvlText w:val="%3."/>
      <w:lvlJc w:val="left"/>
      <w:pPr>
        <w:ind w:left="1440" w:hanging="360"/>
      </w:pPr>
    </w:lvl>
    <w:lvl w:ilvl="3" w:tplc="897015C0">
      <w:start w:val="1"/>
      <w:numFmt w:val="decimal"/>
      <w:lvlText w:val="%4."/>
      <w:lvlJc w:val="left"/>
      <w:pPr>
        <w:ind w:left="1440" w:hanging="360"/>
      </w:pPr>
    </w:lvl>
    <w:lvl w:ilvl="4" w:tplc="B40600C2">
      <w:start w:val="1"/>
      <w:numFmt w:val="decimal"/>
      <w:lvlText w:val="%5."/>
      <w:lvlJc w:val="left"/>
      <w:pPr>
        <w:ind w:left="1440" w:hanging="360"/>
      </w:pPr>
    </w:lvl>
    <w:lvl w:ilvl="5" w:tplc="4C12E7B2">
      <w:start w:val="1"/>
      <w:numFmt w:val="decimal"/>
      <w:lvlText w:val="%6."/>
      <w:lvlJc w:val="left"/>
      <w:pPr>
        <w:ind w:left="1440" w:hanging="360"/>
      </w:pPr>
    </w:lvl>
    <w:lvl w:ilvl="6" w:tplc="2CDC811C">
      <w:start w:val="1"/>
      <w:numFmt w:val="decimal"/>
      <w:lvlText w:val="%7."/>
      <w:lvlJc w:val="left"/>
      <w:pPr>
        <w:ind w:left="1440" w:hanging="360"/>
      </w:pPr>
    </w:lvl>
    <w:lvl w:ilvl="7" w:tplc="8F402276">
      <w:start w:val="1"/>
      <w:numFmt w:val="decimal"/>
      <w:lvlText w:val="%8."/>
      <w:lvlJc w:val="left"/>
      <w:pPr>
        <w:ind w:left="1440" w:hanging="360"/>
      </w:pPr>
    </w:lvl>
    <w:lvl w:ilvl="8" w:tplc="6B8C7484">
      <w:start w:val="1"/>
      <w:numFmt w:val="decimal"/>
      <w:lvlText w:val="%9."/>
      <w:lvlJc w:val="left"/>
      <w:pPr>
        <w:ind w:left="1440" w:hanging="360"/>
      </w:pPr>
    </w:lvl>
  </w:abstractNum>
  <w:abstractNum w:abstractNumId="24"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4BFB1199"/>
    <w:multiLevelType w:val="hybridMultilevel"/>
    <w:tmpl w:val="78B63FCA"/>
    <w:lvl w:ilvl="0" w:tplc="9D5EA782">
      <w:start w:val="1"/>
      <w:numFmt w:val="decimal"/>
      <w:lvlText w:val="%1."/>
      <w:lvlJc w:val="left"/>
      <w:pPr>
        <w:ind w:left="720" w:hanging="360"/>
      </w:pPr>
    </w:lvl>
    <w:lvl w:ilvl="1" w:tplc="D7266A1A">
      <w:start w:val="1"/>
      <w:numFmt w:val="decimal"/>
      <w:lvlText w:val="%2."/>
      <w:lvlJc w:val="left"/>
      <w:pPr>
        <w:ind w:left="720" w:hanging="360"/>
      </w:pPr>
    </w:lvl>
    <w:lvl w:ilvl="2" w:tplc="EDA2008A">
      <w:start w:val="1"/>
      <w:numFmt w:val="decimal"/>
      <w:lvlText w:val="%3."/>
      <w:lvlJc w:val="left"/>
      <w:pPr>
        <w:ind w:left="720" w:hanging="360"/>
      </w:pPr>
    </w:lvl>
    <w:lvl w:ilvl="3" w:tplc="209EC6A6">
      <w:start w:val="1"/>
      <w:numFmt w:val="decimal"/>
      <w:lvlText w:val="%4."/>
      <w:lvlJc w:val="left"/>
      <w:pPr>
        <w:ind w:left="720" w:hanging="360"/>
      </w:pPr>
    </w:lvl>
    <w:lvl w:ilvl="4" w:tplc="6E9EFDEE">
      <w:start w:val="1"/>
      <w:numFmt w:val="decimal"/>
      <w:lvlText w:val="%5."/>
      <w:lvlJc w:val="left"/>
      <w:pPr>
        <w:ind w:left="720" w:hanging="360"/>
      </w:pPr>
    </w:lvl>
    <w:lvl w:ilvl="5" w:tplc="365E1834">
      <w:start w:val="1"/>
      <w:numFmt w:val="decimal"/>
      <w:lvlText w:val="%6."/>
      <w:lvlJc w:val="left"/>
      <w:pPr>
        <w:ind w:left="720" w:hanging="360"/>
      </w:pPr>
    </w:lvl>
    <w:lvl w:ilvl="6" w:tplc="070A44C6">
      <w:start w:val="1"/>
      <w:numFmt w:val="decimal"/>
      <w:lvlText w:val="%7."/>
      <w:lvlJc w:val="left"/>
      <w:pPr>
        <w:ind w:left="720" w:hanging="360"/>
      </w:pPr>
    </w:lvl>
    <w:lvl w:ilvl="7" w:tplc="DF32FA92">
      <w:start w:val="1"/>
      <w:numFmt w:val="decimal"/>
      <w:lvlText w:val="%8."/>
      <w:lvlJc w:val="left"/>
      <w:pPr>
        <w:ind w:left="720" w:hanging="360"/>
      </w:pPr>
    </w:lvl>
    <w:lvl w:ilvl="8" w:tplc="37FAC5D6">
      <w:start w:val="1"/>
      <w:numFmt w:val="decimal"/>
      <w:lvlText w:val="%9."/>
      <w:lvlJc w:val="left"/>
      <w:pPr>
        <w:ind w:left="720" w:hanging="360"/>
      </w:pPr>
    </w:lvl>
  </w:abstractNum>
  <w:abstractNum w:abstractNumId="26"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50FC11D4"/>
    <w:multiLevelType w:val="hybridMultilevel"/>
    <w:tmpl w:val="84D43CAC"/>
    <w:lvl w:ilvl="0" w:tplc="A9E06642">
      <w:start w:val="1"/>
      <w:numFmt w:val="bullet"/>
      <w:lvlText w:val=""/>
      <w:lvlJc w:val="left"/>
      <w:pPr>
        <w:ind w:left="360" w:hanging="360"/>
      </w:pPr>
      <w:rPr>
        <w:rFonts w:ascii="Symbol" w:hAnsi="Symbol" w:hint="default"/>
        <w:sz w:val="28"/>
        <w:szCs w:val="28"/>
      </w:rPr>
    </w:lvl>
    <w:lvl w:ilvl="1" w:tplc="59A0AE68" w:tentative="1">
      <w:start w:val="1"/>
      <w:numFmt w:val="bullet"/>
      <w:lvlText w:val="o"/>
      <w:lvlJc w:val="left"/>
      <w:pPr>
        <w:ind w:left="1080" w:hanging="360"/>
      </w:pPr>
      <w:rPr>
        <w:rFonts w:ascii="Courier New" w:hAnsi="Courier New" w:cs="Courier New" w:hint="default"/>
      </w:rPr>
    </w:lvl>
    <w:lvl w:ilvl="2" w:tplc="78B8D194" w:tentative="1">
      <w:start w:val="1"/>
      <w:numFmt w:val="bullet"/>
      <w:lvlText w:val=""/>
      <w:lvlJc w:val="left"/>
      <w:pPr>
        <w:ind w:left="1800" w:hanging="360"/>
      </w:pPr>
      <w:rPr>
        <w:rFonts w:ascii="Wingdings" w:hAnsi="Wingdings" w:hint="default"/>
      </w:rPr>
    </w:lvl>
    <w:lvl w:ilvl="3" w:tplc="9140ECA6" w:tentative="1">
      <w:start w:val="1"/>
      <w:numFmt w:val="bullet"/>
      <w:lvlText w:val=""/>
      <w:lvlJc w:val="left"/>
      <w:pPr>
        <w:ind w:left="2520" w:hanging="360"/>
      </w:pPr>
      <w:rPr>
        <w:rFonts w:ascii="Symbol" w:hAnsi="Symbol" w:hint="default"/>
      </w:rPr>
    </w:lvl>
    <w:lvl w:ilvl="4" w:tplc="57D4E6A8" w:tentative="1">
      <w:start w:val="1"/>
      <w:numFmt w:val="bullet"/>
      <w:lvlText w:val="o"/>
      <w:lvlJc w:val="left"/>
      <w:pPr>
        <w:ind w:left="3240" w:hanging="360"/>
      </w:pPr>
      <w:rPr>
        <w:rFonts w:ascii="Courier New" w:hAnsi="Courier New" w:cs="Courier New" w:hint="default"/>
      </w:rPr>
    </w:lvl>
    <w:lvl w:ilvl="5" w:tplc="6E066058" w:tentative="1">
      <w:start w:val="1"/>
      <w:numFmt w:val="bullet"/>
      <w:lvlText w:val=""/>
      <w:lvlJc w:val="left"/>
      <w:pPr>
        <w:ind w:left="3960" w:hanging="360"/>
      </w:pPr>
      <w:rPr>
        <w:rFonts w:ascii="Wingdings" w:hAnsi="Wingdings" w:hint="default"/>
      </w:rPr>
    </w:lvl>
    <w:lvl w:ilvl="6" w:tplc="A3C09B32" w:tentative="1">
      <w:start w:val="1"/>
      <w:numFmt w:val="bullet"/>
      <w:lvlText w:val=""/>
      <w:lvlJc w:val="left"/>
      <w:pPr>
        <w:ind w:left="4680" w:hanging="360"/>
      </w:pPr>
      <w:rPr>
        <w:rFonts w:ascii="Symbol" w:hAnsi="Symbol" w:hint="default"/>
      </w:rPr>
    </w:lvl>
    <w:lvl w:ilvl="7" w:tplc="74DA71C8" w:tentative="1">
      <w:start w:val="1"/>
      <w:numFmt w:val="bullet"/>
      <w:lvlText w:val="o"/>
      <w:lvlJc w:val="left"/>
      <w:pPr>
        <w:ind w:left="5400" w:hanging="360"/>
      </w:pPr>
      <w:rPr>
        <w:rFonts w:ascii="Courier New" w:hAnsi="Courier New" w:cs="Courier New" w:hint="default"/>
      </w:rPr>
    </w:lvl>
    <w:lvl w:ilvl="8" w:tplc="9F9A426E" w:tentative="1">
      <w:start w:val="1"/>
      <w:numFmt w:val="bullet"/>
      <w:lvlText w:val=""/>
      <w:lvlJc w:val="left"/>
      <w:pPr>
        <w:ind w:left="6120" w:hanging="360"/>
      </w:pPr>
      <w:rPr>
        <w:rFonts w:ascii="Wingdings" w:hAnsi="Wingdings" w:hint="default"/>
      </w:rPr>
    </w:lvl>
  </w:abstractNum>
  <w:abstractNum w:abstractNumId="28"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70FA680F"/>
    <w:multiLevelType w:val="hybridMultilevel"/>
    <w:tmpl w:val="C980D71C"/>
    <w:lvl w:ilvl="0" w:tplc="E49AA5FC">
      <w:start w:val="1"/>
      <w:numFmt w:val="decimal"/>
      <w:lvlText w:val="%1."/>
      <w:lvlJc w:val="left"/>
      <w:pPr>
        <w:ind w:left="720" w:hanging="360"/>
      </w:pPr>
    </w:lvl>
    <w:lvl w:ilvl="1" w:tplc="2C46017E">
      <w:start w:val="1"/>
      <w:numFmt w:val="decimal"/>
      <w:lvlText w:val="%2."/>
      <w:lvlJc w:val="left"/>
      <w:pPr>
        <w:ind w:left="720" w:hanging="360"/>
      </w:pPr>
    </w:lvl>
    <w:lvl w:ilvl="2" w:tplc="81065CD4">
      <w:start w:val="1"/>
      <w:numFmt w:val="decimal"/>
      <w:lvlText w:val="%3."/>
      <w:lvlJc w:val="left"/>
      <w:pPr>
        <w:ind w:left="720" w:hanging="360"/>
      </w:pPr>
    </w:lvl>
    <w:lvl w:ilvl="3" w:tplc="B00C6646">
      <w:start w:val="1"/>
      <w:numFmt w:val="decimal"/>
      <w:lvlText w:val="%4."/>
      <w:lvlJc w:val="left"/>
      <w:pPr>
        <w:ind w:left="720" w:hanging="360"/>
      </w:pPr>
    </w:lvl>
    <w:lvl w:ilvl="4" w:tplc="0BA8B1F8">
      <w:start w:val="1"/>
      <w:numFmt w:val="decimal"/>
      <w:lvlText w:val="%5."/>
      <w:lvlJc w:val="left"/>
      <w:pPr>
        <w:ind w:left="720" w:hanging="360"/>
      </w:pPr>
    </w:lvl>
    <w:lvl w:ilvl="5" w:tplc="1C4E1F44">
      <w:start w:val="1"/>
      <w:numFmt w:val="decimal"/>
      <w:lvlText w:val="%6."/>
      <w:lvlJc w:val="left"/>
      <w:pPr>
        <w:ind w:left="720" w:hanging="360"/>
      </w:pPr>
    </w:lvl>
    <w:lvl w:ilvl="6" w:tplc="EA882550">
      <w:start w:val="1"/>
      <w:numFmt w:val="decimal"/>
      <w:lvlText w:val="%7."/>
      <w:lvlJc w:val="left"/>
      <w:pPr>
        <w:ind w:left="720" w:hanging="360"/>
      </w:pPr>
    </w:lvl>
    <w:lvl w:ilvl="7" w:tplc="EEB2DF08">
      <w:start w:val="1"/>
      <w:numFmt w:val="decimal"/>
      <w:lvlText w:val="%8."/>
      <w:lvlJc w:val="left"/>
      <w:pPr>
        <w:ind w:left="720" w:hanging="360"/>
      </w:pPr>
    </w:lvl>
    <w:lvl w:ilvl="8" w:tplc="E6864DEA">
      <w:start w:val="1"/>
      <w:numFmt w:val="decimal"/>
      <w:lvlText w:val="%9."/>
      <w:lvlJc w:val="left"/>
      <w:pPr>
        <w:ind w:left="720" w:hanging="360"/>
      </w:pPr>
    </w:lvl>
  </w:abstractNum>
  <w:abstractNum w:abstractNumId="31" w15:restartNumberingAfterBreak="0">
    <w:nsid w:val="747B6BC2"/>
    <w:multiLevelType w:val="hybridMultilevel"/>
    <w:tmpl w:val="36F6EDBE"/>
    <w:lvl w:ilvl="0" w:tplc="07968940">
      <w:start w:val="1"/>
      <w:numFmt w:val="bullet"/>
      <w:lvlText w:val=""/>
      <w:lvlJc w:val="left"/>
      <w:pPr>
        <w:ind w:left="720" w:hanging="360"/>
      </w:pPr>
      <w:rPr>
        <w:rFonts w:ascii="Symbol" w:hAnsi="Symbol" w:hint="default"/>
      </w:rPr>
    </w:lvl>
    <w:lvl w:ilvl="1" w:tplc="DAE87FCA" w:tentative="1">
      <w:start w:val="1"/>
      <w:numFmt w:val="bullet"/>
      <w:lvlText w:val="o"/>
      <w:lvlJc w:val="left"/>
      <w:pPr>
        <w:ind w:left="1440" w:hanging="360"/>
      </w:pPr>
      <w:rPr>
        <w:rFonts w:ascii="Courier New" w:hAnsi="Courier New" w:cs="Courier New" w:hint="default"/>
      </w:rPr>
    </w:lvl>
    <w:lvl w:ilvl="2" w:tplc="C8249F3C" w:tentative="1">
      <w:start w:val="1"/>
      <w:numFmt w:val="bullet"/>
      <w:lvlText w:val=""/>
      <w:lvlJc w:val="left"/>
      <w:pPr>
        <w:ind w:left="2160" w:hanging="360"/>
      </w:pPr>
      <w:rPr>
        <w:rFonts w:ascii="Wingdings" w:hAnsi="Wingdings" w:hint="default"/>
      </w:rPr>
    </w:lvl>
    <w:lvl w:ilvl="3" w:tplc="597AEF9A" w:tentative="1">
      <w:start w:val="1"/>
      <w:numFmt w:val="bullet"/>
      <w:lvlText w:val=""/>
      <w:lvlJc w:val="left"/>
      <w:pPr>
        <w:ind w:left="2880" w:hanging="360"/>
      </w:pPr>
      <w:rPr>
        <w:rFonts w:ascii="Symbol" w:hAnsi="Symbol" w:hint="default"/>
      </w:rPr>
    </w:lvl>
    <w:lvl w:ilvl="4" w:tplc="AC80217A" w:tentative="1">
      <w:start w:val="1"/>
      <w:numFmt w:val="bullet"/>
      <w:lvlText w:val="o"/>
      <w:lvlJc w:val="left"/>
      <w:pPr>
        <w:ind w:left="3600" w:hanging="360"/>
      </w:pPr>
      <w:rPr>
        <w:rFonts w:ascii="Courier New" w:hAnsi="Courier New" w:cs="Courier New" w:hint="default"/>
      </w:rPr>
    </w:lvl>
    <w:lvl w:ilvl="5" w:tplc="AF68D41E" w:tentative="1">
      <w:start w:val="1"/>
      <w:numFmt w:val="bullet"/>
      <w:lvlText w:val=""/>
      <w:lvlJc w:val="left"/>
      <w:pPr>
        <w:ind w:left="4320" w:hanging="360"/>
      </w:pPr>
      <w:rPr>
        <w:rFonts w:ascii="Wingdings" w:hAnsi="Wingdings" w:hint="default"/>
      </w:rPr>
    </w:lvl>
    <w:lvl w:ilvl="6" w:tplc="3208E7BA" w:tentative="1">
      <w:start w:val="1"/>
      <w:numFmt w:val="bullet"/>
      <w:lvlText w:val=""/>
      <w:lvlJc w:val="left"/>
      <w:pPr>
        <w:ind w:left="5040" w:hanging="360"/>
      </w:pPr>
      <w:rPr>
        <w:rFonts w:ascii="Symbol" w:hAnsi="Symbol" w:hint="default"/>
      </w:rPr>
    </w:lvl>
    <w:lvl w:ilvl="7" w:tplc="840C539C" w:tentative="1">
      <w:start w:val="1"/>
      <w:numFmt w:val="bullet"/>
      <w:lvlText w:val="o"/>
      <w:lvlJc w:val="left"/>
      <w:pPr>
        <w:ind w:left="5760" w:hanging="360"/>
      </w:pPr>
      <w:rPr>
        <w:rFonts w:ascii="Courier New" w:hAnsi="Courier New" w:cs="Courier New" w:hint="default"/>
      </w:rPr>
    </w:lvl>
    <w:lvl w:ilvl="8" w:tplc="0EB81876" w:tentative="1">
      <w:start w:val="1"/>
      <w:numFmt w:val="bullet"/>
      <w:lvlText w:val=""/>
      <w:lvlJc w:val="left"/>
      <w:pPr>
        <w:ind w:left="6480" w:hanging="360"/>
      </w:pPr>
      <w:rPr>
        <w:rFonts w:ascii="Wingdings" w:hAnsi="Wingdings" w:hint="default"/>
      </w:rPr>
    </w:lvl>
  </w:abstractNum>
  <w:abstractNum w:abstractNumId="32" w15:restartNumberingAfterBreak="0">
    <w:nsid w:val="7980701F"/>
    <w:multiLevelType w:val="hybridMultilevel"/>
    <w:tmpl w:val="EDCE8ABC"/>
    <w:lvl w:ilvl="0" w:tplc="6890C56E">
      <w:start w:val="1"/>
      <w:numFmt w:val="decimal"/>
      <w:lvlText w:val="%1."/>
      <w:lvlJc w:val="left"/>
      <w:pPr>
        <w:ind w:left="720" w:hanging="360"/>
      </w:pPr>
    </w:lvl>
    <w:lvl w:ilvl="1" w:tplc="8FEE4758" w:tentative="1">
      <w:start w:val="1"/>
      <w:numFmt w:val="lowerLetter"/>
      <w:lvlText w:val="%2."/>
      <w:lvlJc w:val="left"/>
      <w:pPr>
        <w:ind w:left="1440" w:hanging="360"/>
      </w:pPr>
    </w:lvl>
    <w:lvl w:ilvl="2" w:tplc="52DAE316" w:tentative="1">
      <w:start w:val="1"/>
      <w:numFmt w:val="lowerRoman"/>
      <w:lvlText w:val="%3."/>
      <w:lvlJc w:val="right"/>
      <w:pPr>
        <w:ind w:left="2160" w:hanging="180"/>
      </w:pPr>
    </w:lvl>
    <w:lvl w:ilvl="3" w:tplc="64CEA11C" w:tentative="1">
      <w:start w:val="1"/>
      <w:numFmt w:val="decimal"/>
      <w:lvlText w:val="%4."/>
      <w:lvlJc w:val="left"/>
      <w:pPr>
        <w:ind w:left="2880" w:hanging="360"/>
      </w:pPr>
    </w:lvl>
    <w:lvl w:ilvl="4" w:tplc="35FC58A2" w:tentative="1">
      <w:start w:val="1"/>
      <w:numFmt w:val="lowerLetter"/>
      <w:lvlText w:val="%5."/>
      <w:lvlJc w:val="left"/>
      <w:pPr>
        <w:ind w:left="3600" w:hanging="360"/>
      </w:pPr>
    </w:lvl>
    <w:lvl w:ilvl="5" w:tplc="B2C24726" w:tentative="1">
      <w:start w:val="1"/>
      <w:numFmt w:val="lowerRoman"/>
      <w:lvlText w:val="%6."/>
      <w:lvlJc w:val="right"/>
      <w:pPr>
        <w:ind w:left="4320" w:hanging="180"/>
      </w:pPr>
    </w:lvl>
    <w:lvl w:ilvl="6" w:tplc="11C2A20E" w:tentative="1">
      <w:start w:val="1"/>
      <w:numFmt w:val="decimal"/>
      <w:lvlText w:val="%7."/>
      <w:lvlJc w:val="left"/>
      <w:pPr>
        <w:ind w:left="5040" w:hanging="360"/>
      </w:pPr>
    </w:lvl>
    <w:lvl w:ilvl="7" w:tplc="706415D0" w:tentative="1">
      <w:start w:val="1"/>
      <w:numFmt w:val="lowerLetter"/>
      <w:lvlText w:val="%8."/>
      <w:lvlJc w:val="left"/>
      <w:pPr>
        <w:ind w:left="5760" w:hanging="360"/>
      </w:pPr>
    </w:lvl>
    <w:lvl w:ilvl="8" w:tplc="0B283784" w:tentative="1">
      <w:start w:val="1"/>
      <w:numFmt w:val="lowerRoman"/>
      <w:lvlText w:val="%9."/>
      <w:lvlJc w:val="right"/>
      <w:pPr>
        <w:ind w:left="6480" w:hanging="180"/>
      </w:pPr>
    </w:lvl>
  </w:abstractNum>
  <w:abstractNum w:abstractNumId="33" w15:restartNumberingAfterBreak="0">
    <w:nsid w:val="7BE9793C"/>
    <w:multiLevelType w:val="hybridMultilevel"/>
    <w:tmpl w:val="75E08D34"/>
    <w:lvl w:ilvl="0" w:tplc="08C49BA6">
      <w:start w:val="1"/>
      <w:numFmt w:val="decimal"/>
      <w:lvlText w:val="%1."/>
      <w:lvlJc w:val="left"/>
      <w:pPr>
        <w:ind w:left="720" w:hanging="360"/>
      </w:pPr>
    </w:lvl>
    <w:lvl w:ilvl="1" w:tplc="CBB0A54A">
      <w:start w:val="1"/>
      <w:numFmt w:val="decimal"/>
      <w:lvlText w:val="%2."/>
      <w:lvlJc w:val="left"/>
      <w:pPr>
        <w:ind w:left="720" w:hanging="360"/>
      </w:pPr>
    </w:lvl>
    <w:lvl w:ilvl="2" w:tplc="9A2E7586">
      <w:start w:val="1"/>
      <w:numFmt w:val="decimal"/>
      <w:lvlText w:val="%3."/>
      <w:lvlJc w:val="left"/>
      <w:pPr>
        <w:ind w:left="720" w:hanging="360"/>
      </w:pPr>
    </w:lvl>
    <w:lvl w:ilvl="3" w:tplc="FE8626D8">
      <w:start w:val="1"/>
      <w:numFmt w:val="decimal"/>
      <w:lvlText w:val="%4."/>
      <w:lvlJc w:val="left"/>
      <w:pPr>
        <w:ind w:left="720" w:hanging="360"/>
      </w:pPr>
    </w:lvl>
    <w:lvl w:ilvl="4" w:tplc="8AA8AED0">
      <w:start w:val="1"/>
      <w:numFmt w:val="decimal"/>
      <w:lvlText w:val="%5."/>
      <w:lvlJc w:val="left"/>
      <w:pPr>
        <w:ind w:left="720" w:hanging="360"/>
      </w:pPr>
    </w:lvl>
    <w:lvl w:ilvl="5" w:tplc="D85A6BD2">
      <w:start w:val="1"/>
      <w:numFmt w:val="decimal"/>
      <w:lvlText w:val="%6."/>
      <w:lvlJc w:val="left"/>
      <w:pPr>
        <w:ind w:left="720" w:hanging="360"/>
      </w:pPr>
    </w:lvl>
    <w:lvl w:ilvl="6" w:tplc="D31C6C2C">
      <w:start w:val="1"/>
      <w:numFmt w:val="decimal"/>
      <w:lvlText w:val="%7."/>
      <w:lvlJc w:val="left"/>
      <w:pPr>
        <w:ind w:left="720" w:hanging="360"/>
      </w:pPr>
    </w:lvl>
    <w:lvl w:ilvl="7" w:tplc="694614D8">
      <w:start w:val="1"/>
      <w:numFmt w:val="decimal"/>
      <w:lvlText w:val="%8."/>
      <w:lvlJc w:val="left"/>
      <w:pPr>
        <w:ind w:left="720" w:hanging="360"/>
      </w:pPr>
    </w:lvl>
    <w:lvl w:ilvl="8" w:tplc="23AE55CC">
      <w:start w:val="1"/>
      <w:numFmt w:val="decimal"/>
      <w:lvlText w:val="%9."/>
      <w:lvlJc w:val="left"/>
      <w:pPr>
        <w:ind w:left="720" w:hanging="360"/>
      </w:pPr>
    </w:lvl>
  </w:abstractNum>
  <w:num w:numId="1" w16cid:durableId="1752123839">
    <w:abstractNumId w:val="16"/>
  </w:num>
  <w:num w:numId="2" w16cid:durableId="1984042491">
    <w:abstractNumId w:val="22"/>
  </w:num>
  <w:num w:numId="3" w16cid:durableId="118914537">
    <w:abstractNumId w:val="29"/>
  </w:num>
  <w:num w:numId="4" w16cid:durableId="1932934919">
    <w:abstractNumId w:val="9"/>
  </w:num>
  <w:num w:numId="5" w16cid:durableId="584412448">
    <w:abstractNumId w:val="26"/>
  </w:num>
  <w:num w:numId="6" w16cid:durableId="1692337555">
    <w:abstractNumId w:val="28"/>
  </w:num>
  <w:num w:numId="7" w16cid:durableId="1668751632">
    <w:abstractNumId w:val="17"/>
  </w:num>
  <w:num w:numId="8" w16cid:durableId="1699504584">
    <w:abstractNumId w:val="20"/>
  </w:num>
  <w:num w:numId="9" w16cid:durableId="1471939920">
    <w:abstractNumId w:val="10"/>
  </w:num>
  <w:num w:numId="10" w16cid:durableId="1456294289">
    <w:abstractNumId w:val="19"/>
  </w:num>
  <w:num w:numId="11" w16cid:durableId="1090856223">
    <w:abstractNumId w:val="24"/>
  </w:num>
  <w:num w:numId="12" w16cid:durableId="347753210">
    <w:abstractNumId w:val="13"/>
  </w:num>
  <w:num w:numId="13" w16cid:durableId="62803357">
    <w:abstractNumId w:val="32"/>
  </w:num>
  <w:num w:numId="14" w16cid:durableId="571625102">
    <w:abstractNumId w:val="31"/>
  </w:num>
  <w:num w:numId="15" w16cid:durableId="1783526964">
    <w:abstractNumId w:val="15"/>
  </w:num>
  <w:num w:numId="16" w16cid:durableId="985014971">
    <w:abstractNumId w:val="8"/>
  </w:num>
  <w:num w:numId="17" w16cid:durableId="1511211528">
    <w:abstractNumId w:val="7"/>
  </w:num>
  <w:num w:numId="18" w16cid:durableId="1311205117">
    <w:abstractNumId w:val="21"/>
  </w:num>
  <w:num w:numId="19" w16cid:durableId="81266712">
    <w:abstractNumId w:val="12"/>
  </w:num>
  <w:num w:numId="20" w16cid:durableId="1802188761">
    <w:abstractNumId w:val="27"/>
  </w:num>
  <w:num w:numId="21" w16cid:durableId="225191431">
    <w:abstractNumId w:val="0"/>
  </w:num>
  <w:num w:numId="22" w16cid:durableId="475996718">
    <w:abstractNumId w:val="2"/>
  </w:num>
  <w:num w:numId="23" w16cid:durableId="1919896707">
    <w:abstractNumId w:val="5"/>
  </w:num>
  <w:num w:numId="24" w16cid:durableId="1064525587">
    <w:abstractNumId w:val="33"/>
  </w:num>
  <w:num w:numId="25" w16cid:durableId="626395956">
    <w:abstractNumId w:val="1"/>
  </w:num>
  <w:num w:numId="26" w16cid:durableId="563300207">
    <w:abstractNumId w:val="3"/>
  </w:num>
  <w:num w:numId="27" w16cid:durableId="2099062822">
    <w:abstractNumId w:val="18"/>
  </w:num>
  <w:num w:numId="28" w16cid:durableId="280504574">
    <w:abstractNumId w:val="14"/>
  </w:num>
  <w:num w:numId="29" w16cid:durableId="2002804729">
    <w:abstractNumId w:val="23"/>
  </w:num>
  <w:num w:numId="30" w16cid:durableId="586302817">
    <w:abstractNumId w:val="25"/>
  </w:num>
  <w:num w:numId="31" w16cid:durableId="841166099">
    <w:abstractNumId w:val="11"/>
  </w:num>
  <w:num w:numId="32" w16cid:durableId="807822539">
    <w:abstractNumId w:val="30"/>
  </w:num>
  <w:num w:numId="33" w16cid:durableId="1906717229">
    <w:abstractNumId w:val="6"/>
  </w:num>
  <w:num w:numId="34" w16cid:durableId="15084470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hideSpellingErrors/>
  <w:hideGrammatical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4FAIFA4bYtAAAA"/>
  </w:docVars>
  <w:rsids>
    <w:rsidRoot w:val="006E4797"/>
    <w:rsid w:val="000009F0"/>
    <w:rsid w:val="0000515B"/>
    <w:rsid w:val="0000570B"/>
    <w:rsid w:val="00011457"/>
    <w:rsid w:val="00013652"/>
    <w:rsid w:val="000166AB"/>
    <w:rsid w:val="0002470D"/>
    <w:rsid w:val="0002542F"/>
    <w:rsid w:val="00034DD1"/>
    <w:rsid w:val="00034EC0"/>
    <w:rsid w:val="00036D08"/>
    <w:rsid w:val="0004355D"/>
    <w:rsid w:val="00057B67"/>
    <w:rsid w:val="00061E0E"/>
    <w:rsid w:val="000665C7"/>
    <w:rsid w:val="00070BD8"/>
    <w:rsid w:val="0007506F"/>
    <w:rsid w:val="00076815"/>
    <w:rsid w:val="00081EF1"/>
    <w:rsid w:val="00081F44"/>
    <w:rsid w:val="00082A5F"/>
    <w:rsid w:val="00085751"/>
    <w:rsid w:val="000A4F9A"/>
    <w:rsid w:val="000B1C1E"/>
    <w:rsid w:val="000B2E49"/>
    <w:rsid w:val="000B3217"/>
    <w:rsid w:val="000B41B6"/>
    <w:rsid w:val="000B4C31"/>
    <w:rsid w:val="000B6C35"/>
    <w:rsid w:val="000C5A2A"/>
    <w:rsid w:val="000D3211"/>
    <w:rsid w:val="000D3E86"/>
    <w:rsid w:val="000D4D4A"/>
    <w:rsid w:val="000D736C"/>
    <w:rsid w:val="000E2ABF"/>
    <w:rsid w:val="000E2D13"/>
    <w:rsid w:val="000E3F21"/>
    <w:rsid w:val="000E4C51"/>
    <w:rsid w:val="000E78A0"/>
    <w:rsid w:val="000F2F29"/>
    <w:rsid w:val="0010213F"/>
    <w:rsid w:val="00104D3A"/>
    <w:rsid w:val="001055ED"/>
    <w:rsid w:val="001056F1"/>
    <w:rsid w:val="00111BDE"/>
    <w:rsid w:val="001143C2"/>
    <w:rsid w:val="001153A4"/>
    <w:rsid w:val="00123ADD"/>
    <w:rsid w:val="001241CE"/>
    <w:rsid w:val="00126D0D"/>
    <w:rsid w:val="00135799"/>
    <w:rsid w:val="001407F2"/>
    <w:rsid w:val="00141B02"/>
    <w:rsid w:val="0014737D"/>
    <w:rsid w:val="00147CBA"/>
    <w:rsid w:val="001508D2"/>
    <w:rsid w:val="001525C8"/>
    <w:rsid w:val="0015327B"/>
    <w:rsid w:val="00155220"/>
    <w:rsid w:val="00155D55"/>
    <w:rsid w:val="0015711D"/>
    <w:rsid w:val="001572D9"/>
    <w:rsid w:val="001624E4"/>
    <w:rsid w:val="00164436"/>
    <w:rsid w:val="00165B6F"/>
    <w:rsid w:val="00167730"/>
    <w:rsid w:val="001768D3"/>
    <w:rsid w:val="00181A81"/>
    <w:rsid w:val="00182644"/>
    <w:rsid w:val="0018366B"/>
    <w:rsid w:val="001837A6"/>
    <w:rsid w:val="0018412F"/>
    <w:rsid w:val="00187B0E"/>
    <w:rsid w:val="001928FF"/>
    <w:rsid w:val="00194C04"/>
    <w:rsid w:val="00194CE8"/>
    <w:rsid w:val="001959A2"/>
    <w:rsid w:val="001A13E7"/>
    <w:rsid w:val="001A14A5"/>
    <w:rsid w:val="001A1CA1"/>
    <w:rsid w:val="001A26C4"/>
    <w:rsid w:val="001A3D0F"/>
    <w:rsid w:val="001B093B"/>
    <w:rsid w:val="001D1578"/>
    <w:rsid w:val="001D15B1"/>
    <w:rsid w:val="001D42CB"/>
    <w:rsid w:val="001E2141"/>
    <w:rsid w:val="001F01B1"/>
    <w:rsid w:val="001F149C"/>
    <w:rsid w:val="001F3109"/>
    <w:rsid w:val="001F72E0"/>
    <w:rsid w:val="00200581"/>
    <w:rsid w:val="00207CA2"/>
    <w:rsid w:val="00210DD6"/>
    <w:rsid w:val="00211EAE"/>
    <w:rsid w:val="002120B5"/>
    <w:rsid w:val="00214319"/>
    <w:rsid w:val="00215092"/>
    <w:rsid w:val="00215D4D"/>
    <w:rsid w:val="00216774"/>
    <w:rsid w:val="00231F3E"/>
    <w:rsid w:val="0023296D"/>
    <w:rsid w:val="00232CDC"/>
    <w:rsid w:val="00232DDC"/>
    <w:rsid w:val="00236CA3"/>
    <w:rsid w:val="00242835"/>
    <w:rsid w:val="00245605"/>
    <w:rsid w:val="00252077"/>
    <w:rsid w:val="002525D8"/>
    <w:rsid w:val="00257D8F"/>
    <w:rsid w:val="0026070A"/>
    <w:rsid w:val="00273EDD"/>
    <w:rsid w:val="00276F1B"/>
    <w:rsid w:val="00280C0D"/>
    <w:rsid w:val="0028346B"/>
    <w:rsid w:val="0029011E"/>
    <w:rsid w:val="002A7558"/>
    <w:rsid w:val="002B438A"/>
    <w:rsid w:val="002B5C7A"/>
    <w:rsid w:val="002C41CC"/>
    <w:rsid w:val="002D6A75"/>
    <w:rsid w:val="002D719B"/>
    <w:rsid w:val="002E1C98"/>
    <w:rsid w:val="002E3A5A"/>
    <w:rsid w:val="002E3F6B"/>
    <w:rsid w:val="002E547A"/>
    <w:rsid w:val="002E72E0"/>
    <w:rsid w:val="002E7624"/>
    <w:rsid w:val="002F26ED"/>
    <w:rsid w:val="00307A17"/>
    <w:rsid w:val="003163F5"/>
    <w:rsid w:val="0031658E"/>
    <w:rsid w:val="00321B67"/>
    <w:rsid w:val="0032713E"/>
    <w:rsid w:val="00333D4B"/>
    <w:rsid w:val="00337B91"/>
    <w:rsid w:val="003425C9"/>
    <w:rsid w:val="00345A90"/>
    <w:rsid w:val="003509D5"/>
    <w:rsid w:val="00350AD9"/>
    <w:rsid w:val="00351087"/>
    <w:rsid w:val="003515CD"/>
    <w:rsid w:val="0035237D"/>
    <w:rsid w:val="003548DA"/>
    <w:rsid w:val="00356228"/>
    <w:rsid w:val="00356880"/>
    <w:rsid w:val="00357742"/>
    <w:rsid w:val="00370EA5"/>
    <w:rsid w:val="00372B45"/>
    <w:rsid w:val="0037780F"/>
    <w:rsid w:val="0038026A"/>
    <w:rsid w:val="00383517"/>
    <w:rsid w:val="00387CDA"/>
    <w:rsid w:val="0039699B"/>
    <w:rsid w:val="003A0F39"/>
    <w:rsid w:val="003A37D0"/>
    <w:rsid w:val="003A3E1E"/>
    <w:rsid w:val="003A5297"/>
    <w:rsid w:val="003A5BF4"/>
    <w:rsid w:val="003B6EAE"/>
    <w:rsid w:val="003B7FBA"/>
    <w:rsid w:val="003D21DA"/>
    <w:rsid w:val="003D67E2"/>
    <w:rsid w:val="003E0210"/>
    <w:rsid w:val="003E21B4"/>
    <w:rsid w:val="003E57EE"/>
    <w:rsid w:val="003E6C8E"/>
    <w:rsid w:val="003F2D46"/>
    <w:rsid w:val="003F337C"/>
    <w:rsid w:val="0040579A"/>
    <w:rsid w:val="00411659"/>
    <w:rsid w:val="00414ADE"/>
    <w:rsid w:val="00423B4A"/>
    <w:rsid w:val="00433B1A"/>
    <w:rsid w:val="004361C8"/>
    <w:rsid w:val="00436F4D"/>
    <w:rsid w:val="00444FAC"/>
    <w:rsid w:val="004551FF"/>
    <w:rsid w:val="004620C9"/>
    <w:rsid w:val="004632D7"/>
    <w:rsid w:val="0047520A"/>
    <w:rsid w:val="0047540C"/>
    <w:rsid w:val="004837D3"/>
    <w:rsid w:val="00485CA7"/>
    <w:rsid w:val="00486422"/>
    <w:rsid w:val="004917F7"/>
    <w:rsid w:val="004939EE"/>
    <w:rsid w:val="0049674B"/>
    <w:rsid w:val="004969D3"/>
    <w:rsid w:val="004A123D"/>
    <w:rsid w:val="004A5429"/>
    <w:rsid w:val="004B44CE"/>
    <w:rsid w:val="004C0985"/>
    <w:rsid w:val="004C1AC4"/>
    <w:rsid w:val="004C5AF3"/>
    <w:rsid w:val="004C6267"/>
    <w:rsid w:val="004C6F49"/>
    <w:rsid w:val="004D0769"/>
    <w:rsid w:val="004D15E7"/>
    <w:rsid w:val="004D362E"/>
    <w:rsid w:val="004F1FEE"/>
    <w:rsid w:val="004F2AC6"/>
    <w:rsid w:val="004F6AD9"/>
    <w:rsid w:val="005125AC"/>
    <w:rsid w:val="005137B6"/>
    <w:rsid w:val="00513CCF"/>
    <w:rsid w:val="00515429"/>
    <w:rsid w:val="00516914"/>
    <w:rsid w:val="00524643"/>
    <w:rsid w:val="00525E9B"/>
    <w:rsid w:val="00526792"/>
    <w:rsid w:val="00526F38"/>
    <w:rsid w:val="005336B3"/>
    <w:rsid w:val="005339BC"/>
    <w:rsid w:val="00534455"/>
    <w:rsid w:val="00535D95"/>
    <w:rsid w:val="0053725F"/>
    <w:rsid w:val="00540D07"/>
    <w:rsid w:val="00547EA4"/>
    <w:rsid w:val="00551D82"/>
    <w:rsid w:val="0055344F"/>
    <w:rsid w:val="00564155"/>
    <w:rsid w:val="00564648"/>
    <w:rsid w:val="00564CC0"/>
    <w:rsid w:val="00570688"/>
    <w:rsid w:val="005734D7"/>
    <w:rsid w:val="00573DFF"/>
    <w:rsid w:val="00575E55"/>
    <w:rsid w:val="005803EA"/>
    <w:rsid w:val="00583507"/>
    <w:rsid w:val="00585BF5"/>
    <w:rsid w:val="00587653"/>
    <w:rsid w:val="00596D60"/>
    <w:rsid w:val="005A2336"/>
    <w:rsid w:val="005A30CF"/>
    <w:rsid w:val="005A527B"/>
    <w:rsid w:val="005A637B"/>
    <w:rsid w:val="005C2E95"/>
    <w:rsid w:val="005C616D"/>
    <w:rsid w:val="005D42E3"/>
    <w:rsid w:val="005E1EE7"/>
    <w:rsid w:val="005F3F9B"/>
    <w:rsid w:val="00604100"/>
    <w:rsid w:val="00610A80"/>
    <w:rsid w:val="00615035"/>
    <w:rsid w:val="00615B8D"/>
    <w:rsid w:val="00620842"/>
    <w:rsid w:val="006220A7"/>
    <w:rsid w:val="00622578"/>
    <w:rsid w:val="00622F12"/>
    <w:rsid w:val="006239A1"/>
    <w:rsid w:val="00624B1D"/>
    <w:rsid w:val="00625518"/>
    <w:rsid w:val="00634672"/>
    <w:rsid w:val="006408DC"/>
    <w:rsid w:val="006437A4"/>
    <w:rsid w:val="00644DD2"/>
    <w:rsid w:val="00647209"/>
    <w:rsid w:val="00650822"/>
    <w:rsid w:val="006557C7"/>
    <w:rsid w:val="006560B8"/>
    <w:rsid w:val="00663CFB"/>
    <w:rsid w:val="006677B4"/>
    <w:rsid w:val="006755EE"/>
    <w:rsid w:val="006815B5"/>
    <w:rsid w:val="006824BF"/>
    <w:rsid w:val="00682BDF"/>
    <w:rsid w:val="00683937"/>
    <w:rsid w:val="00684118"/>
    <w:rsid w:val="00690FCE"/>
    <w:rsid w:val="00693F39"/>
    <w:rsid w:val="006A1903"/>
    <w:rsid w:val="006A6578"/>
    <w:rsid w:val="006A6821"/>
    <w:rsid w:val="006B6C8F"/>
    <w:rsid w:val="006C4DAC"/>
    <w:rsid w:val="006D1AA5"/>
    <w:rsid w:val="006D2720"/>
    <w:rsid w:val="006D52FF"/>
    <w:rsid w:val="006D58B7"/>
    <w:rsid w:val="006D62D6"/>
    <w:rsid w:val="006D65ED"/>
    <w:rsid w:val="006E2FBF"/>
    <w:rsid w:val="006E4797"/>
    <w:rsid w:val="006E53F8"/>
    <w:rsid w:val="006E61B0"/>
    <w:rsid w:val="006E7C64"/>
    <w:rsid w:val="00700311"/>
    <w:rsid w:val="00701790"/>
    <w:rsid w:val="00702A43"/>
    <w:rsid w:val="00702ADE"/>
    <w:rsid w:val="0070444F"/>
    <w:rsid w:val="00712C1D"/>
    <w:rsid w:val="00714BE0"/>
    <w:rsid w:val="0072047A"/>
    <w:rsid w:val="00720F74"/>
    <w:rsid w:val="00724808"/>
    <w:rsid w:val="00725229"/>
    <w:rsid w:val="0073232F"/>
    <w:rsid w:val="00736371"/>
    <w:rsid w:val="00736D84"/>
    <w:rsid w:val="00736FCC"/>
    <w:rsid w:val="007449B4"/>
    <w:rsid w:val="00747D72"/>
    <w:rsid w:val="00750D72"/>
    <w:rsid w:val="00751D3D"/>
    <w:rsid w:val="00752020"/>
    <w:rsid w:val="00753DAA"/>
    <w:rsid w:val="00753EC9"/>
    <w:rsid w:val="00756BE3"/>
    <w:rsid w:val="00761883"/>
    <w:rsid w:val="007647E9"/>
    <w:rsid w:val="00765BAA"/>
    <w:rsid w:val="00765D0D"/>
    <w:rsid w:val="0076721F"/>
    <w:rsid w:val="00776C24"/>
    <w:rsid w:val="00777568"/>
    <w:rsid w:val="007811A1"/>
    <w:rsid w:val="0078297A"/>
    <w:rsid w:val="00782A03"/>
    <w:rsid w:val="00783B27"/>
    <w:rsid w:val="00794223"/>
    <w:rsid w:val="00795365"/>
    <w:rsid w:val="00795677"/>
    <w:rsid w:val="007956AD"/>
    <w:rsid w:val="007A327E"/>
    <w:rsid w:val="007A4AFA"/>
    <w:rsid w:val="007A4BBA"/>
    <w:rsid w:val="007A52B5"/>
    <w:rsid w:val="007B488F"/>
    <w:rsid w:val="007B5E1F"/>
    <w:rsid w:val="007B72A4"/>
    <w:rsid w:val="007B7B74"/>
    <w:rsid w:val="007C70B8"/>
    <w:rsid w:val="007D1572"/>
    <w:rsid w:val="007D15DF"/>
    <w:rsid w:val="007D287F"/>
    <w:rsid w:val="007D6BE0"/>
    <w:rsid w:val="007E50EE"/>
    <w:rsid w:val="007E5C8E"/>
    <w:rsid w:val="007F13E9"/>
    <w:rsid w:val="007F161B"/>
    <w:rsid w:val="007F2030"/>
    <w:rsid w:val="007F4DB8"/>
    <w:rsid w:val="007F5EB0"/>
    <w:rsid w:val="007F6D20"/>
    <w:rsid w:val="008065B4"/>
    <w:rsid w:val="00821934"/>
    <w:rsid w:val="00823EC5"/>
    <w:rsid w:val="00824ACB"/>
    <w:rsid w:val="008261CA"/>
    <w:rsid w:val="00827EE4"/>
    <w:rsid w:val="00832A7E"/>
    <w:rsid w:val="00833B96"/>
    <w:rsid w:val="008425A4"/>
    <w:rsid w:val="008436B7"/>
    <w:rsid w:val="008461C6"/>
    <w:rsid w:val="00847017"/>
    <w:rsid w:val="00851EFF"/>
    <w:rsid w:val="0085421A"/>
    <w:rsid w:val="0085548D"/>
    <w:rsid w:val="00870696"/>
    <w:rsid w:val="00870A55"/>
    <w:rsid w:val="00876B08"/>
    <w:rsid w:val="0087705B"/>
    <w:rsid w:val="00877BF4"/>
    <w:rsid w:val="008A01EB"/>
    <w:rsid w:val="008A24E7"/>
    <w:rsid w:val="008A3445"/>
    <w:rsid w:val="008A395A"/>
    <w:rsid w:val="008A4859"/>
    <w:rsid w:val="008A7A39"/>
    <w:rsid w:val="008B2D50"/>
    <w:rsid w:val="008B35D2"/>
    <w:rsid w:val="008B369C"/>
    <w:rsid w:val="008B4A68"/>
    <w:rsid w:val="008C3AD9"/>
    <w:rsid w:val="008C3B22"/>
    <w:rsid w:val="008D11CE"/>
    <w:rsid w:val="008D1AF9"/>
    <w:rsid w:val="008D293E"/>
    <w:rsid w:val="008D514B"/>
    <w:rsid w:val="008E19AC"/>
    <w:rsid w:val="008E3E35"/>
    <w:rsid w:val="008E5F9F"/>
    <w:rsid w:val="008E6965"/>
    <w:rsid w:val="008F11F2"/>
    <w:rsid w:val="008F1275"/>
    <w:rsid w:val="008F28D7"/>
    <w:rsid w:val="008F589C"/>
    <w:rsid w:val="008F622D"/>
    <w:rsid w:val="00901C81"/>
    <w:rsid w:val="00911EF7"/>
    <w:rsid w:val="009211E2"/>
    <w:rsid w:val="009241FB"/>
    <w:rsid w:val="00926495"/>
    <w:rsid w:val="00927BCB"/>
    <w:rsid w:val="00931CEB"/>
    <w:rsid w:val="00932B4D"/>
    <w:rsid w:val="00934DD5"/>
    <w:rsid w:val="00936E08"/>
    <w:rsid w:val="009409EA"/>
    <w:rsid w:val="009503AD"/>
    <w:rsid w:val="009508C9"/>
    <w:rsid w:val="00955417"/>
    <w:rsid w:val="009572C6"/>
    <w:rsid w:val="00967CF5"/>
    <w:rsid w:val="00975A52"/>
    <w:rsid w:val="00977864"/>
    <w:rsid w:val="009846DC"/>
    <w:rsid w:val="00990776"/>
    <w:rsid w:val="00994C43"/>
    <w:rsid w:val="00994F50"/>
    <w:rsid w:val="00996715"/>
    <w:rsid w:val="009A1D94"/>
    <w:rsid w:val="009A40E8"/>
    <w:rsid w:val="009A58C4"/>
    <w:rsid w:val="009A77F4"/>
    <w:rsid w:val="009B4C9F"/>
    <w:rsid w:val="009D768F"/>
    <w:rsid w:val="009E0897"/>
    <w:rsid w:val="009F1D6F"/>
    <w:rsid w:val="009F611E"/>
    <w:rsid w:val="00A012D3"/>
    <w:rsid w:val="00A01404"/>
    <w:rsid w:val="00A017E8"/>
    <w:rsid w:val="00A0260E"/>
    <w:rsid w:val="00A1684A"/>
    <w:rsid w:val="00A3006C"/>
    <w:rsid w:val="00A31A3A"/>
    <w:rsid w:val="00A35853"/>
    <w:rsid w:val="00A418C8"/>
    <w:rsid w:val="00A50982"/>
    <w:rsid w:val="00A50A02"/>
    <w:rsid w:val="00A55483"/>
    <w:rsid w:val="00A61636"/>
    <w:rsid w:val="00A61EC4"/>
    <w:rsid w:val="00A624BE"/>
    <w:rsid w:val="00A64657"/>
    <w:rsid w:val="00A648C6"/>
    <w:rsid w:val="00A7598A"/>
    <w:rsid w:val="00A81EB7"/>
    <w:rsid w:val="00A8767C"/>
    <w:rsid w:val="00A956BA"/>
    <w:rsid w:val="00A95BBD"/>
    <w:rsid w:val="00AA0495"/>
    <w:rsid w:val="00AA1501"/>
    <w:rsid w:val="00AA23B3"/>
    <w:rsid w:val="00AB0906"/>
    <w:rsid w:val="00AB4038"/>
    <w:rsid w:val="00AB77FA"/>
    <w:rsid w:val="00AC5662"/>
    <w:rsid w:val="00AD2340"/>
    <w:rsid w:val="00AE1D83"/>
    <w:rsid w:val="00AE7A4A"/>
    <w:rsid w:val="00AF2261"/>
    <w:rsid w:val="00B069C7"/>
    <w:rsid w:val="00B17DAE"/>
    <w:rsid w:val="00B216F7"/>
    <w:rsid w:val="00B25903"/>
    <w:rsid w:val="00B26FA6"/>
    <w:rsid w:val="00B273EA"/>
    <w:rsid w:val="00B376A4"/>
    <w:rsid w:val="00B46E6D"/>
    <w:rsid w:val="00B55C2C"/>
    <w:rsid w:val="00B56B8F"/>
    <w:rsid w:val="00B6002F"/>
    <w:rsid w:val="00B62541"/>
    <w:rsid w:val="00B6563B"/>
    <w:rsid w:val="00B656B9"/>
    <w:rsid w:val="00B66177"/>
    <w:rsid w:val="00B672EC"/>
    <w:rsid w:val="00B70F37"/>
    <w:rsid w:val="00B74AE2"/>
    <w:rsid w:val="00B81064"/>
    <w:rsid w:val="00B85295"/>
    <w:rsid w:val="00B86087"/>
    <w:rsid w:val="00B87681"/>
    <w:rsid w:val="00B92AE6"/>
    <w:rsid w:val="00B943E8"/>
    <w:rsid w:val="00B96EBC"/>
    <w:rsid w:val="00BA7942"/>
    <w:rsid w:val="00BB1BCC"/>
    <w:rsid w:val="00BB1ED1"/>
    <w:rsid w:val="00BB5CDC"/>
    <w:rsid w:val="00BB6BD8"/>
    <w:rsid w:val="00BC4020"/>
    <w:rsid w:val="00BC7CBB"/>
    <w:rsid w:val="00BD07C1"/>
    <w:rsid w:val="00BD3767"/>
    <w:rsid w:val="00BD78CE"/>
    <w:rsid w:val="00BE0DD0"/>
    <w:rsid w:val="00BE22A2"/>
    <w:rsid w:val="00BE2769"/>
    <w:rsid w:val="00BE3BA1"/>
    <w:rsid w:val="00C03D5D"/>
    <w:rsid w:val="00C043C3"/>
    <w:rsid w:val="00C05FAF"/>
    <w:rsid w:val="00C11D93"/>
    <w:rsid w:val="00C213D9"/>
    <w:rsid w:val="00C27C71"/>
    <w:rsid w:val="00C331C5"/>
    <w:rsid w:val="00C33C96"/>
    <w:rsid w:val="00C34909"/>
    <w:rsid w:val="00C366E0"/>
    <w:rsid w:val="00C37107"/>
    <w:rsid w:val="00C50596"/>
    <w:rsid w:val="00C54707"/>
    <w:rsid w:val="00C550F3"/>
    <w:rsid w:val="00C56B86"/>
    <w:rsid w:val="00C652D8"/>
    <w:rsid w:val="00C67772"/>
    <w:rsid w:val="00C7715A"/>
    <w:rsid w:val="00C875D1"/>
    <w:rsid w:val="00C87BEB"/>
    <w:rsid w:val="00C93957"/>
    <w:rsid w:val="00C95873"/>
    <w:rsid w:val="00CA1F2C"/>
    <w:rsid w:val="00CB1713"/>
    <w:rsid w:val="00CB1783"/>
    <w:rsid w:val="00CB5715"/>
    <w:rsid w:val="00CC7BBD"/>
    <w:rsid w:val="00CD03AA"/>
    <w:rsid w:val="00CD1214"/>
    <w:rsid w:val="00CD4B17"/>
    <w:rsid w:val="00CD62FF"/>
    <w:rsid w:val="00CE09EC"/>
    <w:rsid w:val="00CE34C3"/>
    <w:rsid w:val="00CE7BC9"/>
    <w:rsid w:val="00CF0486"/>
    <w:rsid w:val="00CF683A"/>
    <w:rsid w:val="00D07A90"/>
    <w:rsid w:val="00D14FDF"/>
    <w:rsid w:val="00D20ED7"/>
    <w:rsid w:val="00D2510B"/>
    <w:rsid w:val="00D27C8A"/>
    <w:rsid w:val="00D27FEF"/>
    <w:rsid w:val="00D32504"/>
    <w:rsid w:val="00D3525B"/>
    <w:rsid w:val="00D4089E"/>
    <w:rsid w:val="00D4282C"/>
    <w:rsid w:val="00D50219"/>
    <w:rsid w:val="00D56D30"/>
    <w:rsid w:val="00D57F1F"/>
    <w:rsid w:val="00D6160A"/>
    <w:rsid w:val="00D661BB"/>
    <w:rsid w:val="00D7156F"/>
    <w:rsid w:val="00D76543"/>
    <w:rsid w:val="00D766D1"/>
    <w:rsid w:val="00D779FF"/>
    <w:rsid w:val="00D807CA"/>
    <w:rsid w:val="00D86D57"/>
    <w:rsid w:val="00D9001D"/>
    <w:rsid w:val="00D9386F"/>
    <w:rsid w:val="00D959E7"/>
    <w:rsid w:val="00DA154A"/>
    <w:rsid w:val="00DA35B9"/>
    <w:rsid w:val="00DA3C5C"/>
    <w:rsid w:val="00DA6B98"/>
    <w:rsid w:val="00DB26D2"/>
    <w:rsid w:val="00DB3181"/>
    <w:rsid w:val="00DC0E61"/>
    <w:rsid w:val="00DC18A7"/>
    <w:rsid w:val="00DC7A38"/>
    <w:rsid w:val="00DD0D2A"/>
    <w:rsid w:val="00DD19AA"/>
    <w:rsid w:val="00DE10CB"/>
    <w:rsid w:val="00DE60B8"/>
    <w:rsid w:val="00DF07A0"/>
    <w:rsid w:val="00DF7364"/>
    <w:rsid w:val="00DF76E8"/>
    <w:rsid w:val="00E03054"/>
    <w:rsid w:val="00E07302"/>
    <w:rsid w:val="00E11586"/>
    <w:rsid w:val="00E2671C"/>
    <w:rsid w:val="00E3359C"/>
    <w:rsid w:val="00E401D5"/>
    <w:rsid w:val="00E4327E"/>
    <w:rsid w:val="00E452C4"/>
    <w:rsid w:val="00E45FA5"/>
    <w:rsid w:val="00E466E0"/>
    <w:rsid w:val="00E51788"/>
    <w:rsid w:val="00E54998"/>
    <w:rsid w:val="00E5786D"/>
    <w:rsid w:val="00E60E44"/>
    <w:rsid w:val="00E619CE"/>
    <w:rsid w:val="00E61ECB"/>
    <w:rsid w:val="00E671D4"/>
    <w:rsid w:val="00E751D5"/>
    <w:rsid w:val="00E77F1B"/>
    <w:rsid w:val="00E927EF"/>
    <w:rsid w:val="00E928FB"/>
    <w:rsid w:val="00E949E7"/>
    <w:rsid w:val="00E9707D"/>
    <w:rsid w:val="00EA107E"/>
    <w:rsid w:val="00EA25BE"/>
    <w:rsid w:val="00EA5670"/>
    <w:rsid w:val="00EB1E68"/>
    <w:rsid w:val="00EC0649"/>
    <w:rsid w:val="00EC2A61"/>
    <w:rsid w:val="00EC2F93"/>
    <w:rsid w:val="00EC521F"/>
    <w:rsid w:val="00EC57F0"/>
    <w:rsid w:val="00EC7241"/>
    <w:rsid w:val="00ED0226"/>
    <w:rsid w:val="00ED126B"/>
    <w:rsid w:val="00ED15F9"/>
    <w:rsid w:val="00ED3EB3"/>
    <w:rsid w:val="00EE476A"/>
    <w:rsid w:val="00EE4F3C"/>
    <w:rsid w:val="00EF44A6"/>
    <w:rsid w:val="00EF528A"/>
    <w:rsid w:val="00EF7F2C"/>
    <w:rsid w:val="00F01DE7"/>
    <w:rsid w:val="00F0338E"/>
    <w:rsid w:val="00F0762B"/>
    <w:rsid w:val="00F13774"/>
    <w:rsid w:val="00F1545F"/>
    <w:rsid w:val="00F15F7A"/>
    <w:rsid w:val="00F2038D"/>
    <w:rsid w:val="00F22FB1"/>
    <w:rsid w:val="00F25B17"/>
    <w:rsid w:val="00F2788A"/>
    <w:rsid w:val="00F319FE"/>
    <w:rsid w:val="00F36869"/>
    <w:rsid w:val="00F41DE1"/>
    <w:rsid w:val="00F50278"/>
    <w:rsid w:val="00F504E4"/>
    <w:rsid w:val="00F50F82"/>
    <w:rsid w:val="00F511BF"/>
    <w:rsid w:val="00F55017"/>
    <w:rsid w:val="00F55D29"/>
    <w:rsid w:val="00F55E1A"/>
    <w:rsid w:val="00F604C7"/>
    <w:rsid w:val="00F63B8D"/>
    <w:rsid w:val="00F72213"/>
    <w:rsid w:val="00F853DC"/>
    <w:rsid w:val="00F93596"/>
    <w:rsid w:val="00F94B61"/>
    <w:rsid w:val="00F955E4"/>
    <w:rsid w:val="00FA08BD"/>
    <w:rsid w:val="00FA0964"/>
    <w:rsid w:val="00FA12D3"/>
    <w:rsid w:val="00FA1CBC"/>
    <w:rsid w:val="00FA3B53"/>
    <w:rsid w:val="00FA6C9C"/>
    <w:rsid w:val="00FB23A0"/>
    <w:rsid w:val="00FC77F2"/>
    <w:rsid w:val="00FE4B62"/>
    <w:rsid w:val="00FE57BA"/>
    <w:rsid w:val="00FF1106"/>
    <w:rsid w:val="00FF1705"/>
    <w:rsid w:val="00FF4595"/>
    <w:rsid w:val="00FF4C9C"/>
    <w:rsid w:val="00FF7B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87AE10"/>
  <w15:docId w15:val="{9EC4A94A-AAE8-4320-857F-DACA60DBC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spacing w:before="240" w:after="60"/>
      <w:outlineLvl w:val="0"/>
    </w:pPr>
    <w:rPr>
      <w:b/>
      <w:sz w:val="28"/>
      <w:szCs w:val="28"/>
    </w:rPr>
  </w:style>
  <w:style w:type="paragraph" w:styleId="Ttulo2">
    <w:name w:val="heading 2"/>
    <w:basedOn w:val="Normal"/>
    <w:next w:val="Normal"/>
    <w:uiPriority w:val="9"/>
    <w:semiHidden/>
    <w:unhideWhenUsed/>
    <w:qFormat/>
    <w:pPr>
      <w:keepNext/>
      <w:outlineLvl w:val="1"/>
    </w:pPr>
    <w:rPr>
      <w:b/>
    </w:rPr>
  </w:style>
  <w:style w:type="paragraph" w:styleId="Ttulo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Fontepargpadro"/>
    <w:uiPriority w:val="99"/>
    <w:unhideWhenUsed/>
    <w:rsid w:val="00EB1E68"/>
    <w:rPr>
      <w:color w:val="0000FF" w:themeColor="hyperlink"/>
      <w:u w:val="single"/>
    </w:rPr>
  </w:style>
  <w:style w:type="character" w:styleId="MenoPendente">
    <w:name w:val="Unresolved Mention"/>
    <w:basedOn w:val="Fontepargpadro"/>
    <w:uiPriority w:val="99"/>
    <w:semiHidden/>
    <w:unhideWhenUsed/>
    <w:rsid w:val="00EB1E68"/>
    <w:rPr>
      <w:color w:val="605E5C"/>
      <w:shd w:val="clear" w:color="auto" w:fill="E1DFDD"/>
    </w:rPr>
  </w:style>
  <w:style w:type="paragraph" w:styleId="Rodap">
    <w:name w:val="footer"/>
    <w:basedOn w:val="Normal"/>
    <w:link w:val="RodapChar"/>
    <w:uiPriority w:val="99"/>
    <w:unhideWhenUsed/>
    <w:rsid w:val="00C11D93"/>
    <w:pPr>
      <w:tabs>
        <w:tab w:val="center" w:pos="4680"/>
        <w:tab w:val="right" w:pos="9360"/>
      </w:tabs>
    </w:pPr>
  </w:style>
  <w:style w:type="character" w:customStyle="1" w:styleId="RodapChar">
    <w:name w:val="Rodapé Char"/>
    <w:basedOn w:val="Fontepargpadro"/>
    <w:link w:val="Rodap"/>
    <w:uiPriority w:val="99"/>
    <w:rsid w:val="00C11D93"/>
  </w:style>
  <w:style w:type="paragraph" w:styleId="Reviso">
    <w:name w:val="Revision"/>
    <w:hidden/>
    <w:uiPriority w:val="99"/>
    <w:semiHidden/>
    <w:rsid w:val="000B41B6"/>
    <w:pPr>
      <w:widowControl/>
      <w:jc w:val="left"/>
    </w:pPr>
  </w:style>
  <w:style w:type="paragraph" w:styleId="PargrafodaLista">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HiperlinkVisitado">
    <w:name w:val="FollowedHyperlink"/>
    <w:basedOn w:val="Fontepargpadro"/>
    <w:uiPriority w:val="99"/>
    <w:semiHidden/>
    <w:unhideWhenUsed/>
    <w:rsid w:val="006755EE"/>
    <w:rPr>
      <w:color w:val="800080" w:themeColor="followedHyperlink"/>
      <w:u w:val="single"/>
    </w:rPr>
  </w:style>
  <w:style w:type="character" w:styleId="Nmerodelinha">
    <w:name w:val="line number"/>
    <w:basedOn w:val="Fontepargpadro"/>
    <w:uiPriority w:val="99"/>
    <w:semiHidden/>
    <w:unhideWhenUsed/>
    <w:rsid w:val="00147CBA"/>
  </w:style>
  <w:style w:type="character" w:styleId="Refdecomentrio">
    <w:name w:val="annotation reference"/>
    <w:basedOn w:val="Fontepargpadro"/>
    <w:uiPriority w:val="99"/>
    <w:semiHidden/>
    <w:unhideWhenUsed/>
    <w:rsid w:val="008B2D50"/>
    <w:rPr>
      <w:sz w:val="16"/>
      <w:szCs w:val="16"/>
    </w:rPr>
  </w:style>
  <w:style w:type="paragraph" w:styleId="Textodecomentrio">
    <w:name w:val="annotation text"/>
    <w:basedOn w:val="Normal"/>
    <w:link w:val="TextodecomentrioChar"/>
    <w:uiPriority w:val="99"/>
    <w:unhideWhenUsed/>
    <w:rsid w:val="008B2D50"/>
    <w:rPr>
      <w:sz w:val="20"/>
      <w:szCs w:val="20"/>
    </w:rPr>
  </w:style>
  <w:style w:type="character" w:customStyle="1" w:styleId="TextodecomentrioChar">
    <w:name w:val="Texto de comentário Char"/>
    <w:basedOn w:val="Fontepargpadro"/>
    <w:link w:val="Textodecomentrio"/>
    <w:uiPriority w:val="99"/>
    <w:rsid w:val="008B2D50"/>
    <w:rPr>
      <w:sz w:val="20"/>
      <w:szCs w:val="20"/>
    </w:rPr>
  </w:style>
  <w:style w:type="paragraph" w:styleId="Assuntodocomentrio">
    <w:name w:val="annotation subject"/>
    <w:basedOn w:val="Textodecomentrio"/>
    <w:next w:val="Textodecomentrio"/>
    <w:link w:val="AssuntodocomentrioChar"/>
    <w:uiPriority w:val="99"/>
    <w:semiHidden/>
    <w:unhideWhenUsed/>
    <w:rsid w:val="008B2D50"/>
    <w:rPr>
      <w:b/>
      <w:bCs/>
    </w:rPr>
  </w:style>
  <w:style w:type="character" w:customStyle="1" w:styleId="AssuntodocomentrioChar">
    <w:name w:val="Assunto do comentário Char"/>
    <w:basedOn w:val="TextodecomentrioChar"/>
    <w:link w:val="Assuntodocomentrio"/>
    <w:uiPriority w:val="99"/>
    <w:semiHidden/>
    <w:rsid w:val="008B2D50"/>
    <w:rPr>
      <w:b/>
      <w:bCs/>
      <w:sz w:val="20"/>
      <w:szCs w:val="20"/>
    </w:rPr>
  </w:style>
  <w:style w:type="character" w:customStyle="1" w:styleId="cf01">
    <w:name w:val="cf01"/>
    <w:basedOn w:val="Fontepargpadro"/>
    <w:rsid w:val="00516914"/>
    <w:rPr>
      <w:rFonts w:ascii="Segoe UI" w:hAnsi="Segoe UI" w:cs="Segoe UI" w:hint="default"/>
      <w:sz w:val="18"/>
      <w:szCs w:val="18"/>
    </w:rPr>
  </w:style>
  <w:style w:type="table" w:styleId="Tabelacomgrade">
    <w:name w:val="Table Grid"/>
    <w:basedOn w:val="Tabelanormal"/>
    <w:uiPriority w:val="39"/>
    <w:rsid w:val="00081E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uments.thermofisher.com/TFS-Assets/LCD/Instructions/ECM-Coating-Protocol-for-Lab-Tek-and-Lab-Tek-II.pdf?utm_source=chatgpt.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bidi.com/img/cms/downloads/in/IN_8082X_8well.pdf?utm_source=chatgpt.co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15</Pages>
  <Words>6789</Words>
  <Characters>36666</Characters>
  <Application>Microsoft Office Word</Application>
  <DocSecurity>0</DocSecurity>
  <Lines>305</Lines>
  <Paragraphs>86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Pritha  Sen</dc:creator>
  <cp:lastModifiedBy>Jean Luz</cp:lastModifiedBy>
  <cp:revision>2</cp:revision>
  <dcterms:created xsi:type="dcterms:W3CDTF">2026-07-30T12:53:00Z</dcterms:created>
  <dcterms:modified xsi:type="dcterms:W3CDTF">2026-07-30T12:53:00Z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6c0928cd-3f0a-4133-9770-5601dc893f2d</vt:lpwstr>
  </property>
</Properties>
</file>