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0247AA">
      <w:pPr>
        <w:contextualSpacing/>
        <w:rPr>
          <w:rFonts w:ascii="Calibri" w:hAnsi="Calibri" w:cs="Calibri"/>
          <w:b/>
          <w:sz w:val="24"/>
          <w:szCs w:val="24"/>
        </w:rPr>
      </w:pPr>
      <w:r>
        <w:rPr>
          <w:rFonts w:ascii="Calibri" w:hAnsi="Calibri" w:cs="Calibri"/>
          <w:b/>
          <w:sz w:val="24"/>
          <w:szCs w:val="24"/>
        </w:rPr>
        <w:t>TITLE：</w:t>
      </w:r>
    </w:p>
    <w:p w14:paraId="17C61005">
      <w:pPr>
        <w:rPr>
          <w:rFonts w:ascii="Calibri" w:hAnsi="Calibri" w:cs="Calibri"/>
          <w:color w:val="000000" w:themeColor="text1"/>
          <w:sz w:val="24"/>
          <w:szCs w:val="24"/>
          <w14:textFill>
            <w14:solidFill>
              <w14:schemeClr w14:val="tx1"/>
            </w14:solidFill>
          </w14:textFill>
        </w:rPr>
      </w:pPr>
      <w:r>
        <w:rPr>
          <w:rFonts w:ascii="Calibri" w:hAnsi="Calibri" w:cs="Calibri"/>
          <w:color w:val="000000" w:themeColor="text1"/>
          <w:sz w:val="24"/>
          <w:szCs w:val="24"/>
          <w14:textFill>
            <w14:solidFill>
              <w14:schemeClr w14:val="tx1"/>
            </w14:solidFill>
          </w14:textFill>
        </w:rPr>
        <w:t>Development of a cell-free COPII vesicle reconstitution protocol for investigating STING sorting in a HEK-293 cell-based system</w:t>
      </w:r>
    </w:p>
    <w:p w14:paraId="4C39887C">
      <w:pPr>
        <w:rPr>
          <w:rFonts w:ascii="Calibri" w:hAnsi="Calibri" w:cs="Calibri"/>
          <w:sz w:val="24"/>
          <w:szCs w:val="24"/>
        </w:rPr>
      </w:pPr>
    </w:p>
    <w:p w14:paraId="27182AF2">
      <w:pPr>
        <w:rPr>
          <w:rFonts w:ascii="Calibri" w:hAnsi="Calibri" w:cs="Calibri"/>
          <w:b/>
          <w:sz w:val="24"/>
          <w:szCs w:val="24"/>
        </w:rPr>
      </w:pPr>
      <w:r>
        <w:rPr>
          <w:rFonts w:ascii="Calibri" w:hAnsi="Calibri" w:cs="Calibri"/>
          <w:b/>
          <w:sz w:val="24"/>
          <w:szCs w:val="24"/>
        </w:rPr>
        <w:t>AUTHORS &amp; AFFILIATIONS:</w:t>
      </w:r>
    </w:p>
    <w:p w14:paraId="6CC5617F">
      <w:pPr>
        <w:rPr>
          <w:rFonts w:ascii="Calibri" w:hAnsi="Calibri" w:cs="Calibri"/>
          <w:sz w:val="24"/>
          <w:szCs w:val="24"/>
        </w:rPr>
      </w:pPr>
      <w:bookmarkStart w:id="0" w:name="_Hlk169681499"/>
      <w:r>
        <w:rPr>
          <w:rFonts w:ascii="Calibri" w:hAnsi="Calibri" w:cs="Calibri"/>
          <w:sz w:val="24"/>
          <w:szCs w:val="24"/>
        </w:rPr>
        <w:t xml:space="preserve">Yanan Nan*, Minglu Liu*, Mingrui Yang, Wenfu Ma </w:t>
      </w:r>
    </w:p>
    <w:p w14:paraId="60E70A38">
      <w:pPr>
        <w:rPr>
          <w:rFonts w:ascii="Calibri" w:hAnsi="Calibri" w:cs="Calibri"/>
          <w:sz w:val="24"/>
          <w:szCs w:val="24"/>
        </w:rPr>
      </w:pPr>
    </w:p>
    <w:bookmarkEnd w:id="0"/>
    <w:p w14:paraId="344059F7">
      <w:pPr>
        <w:rPr>
          <w:rFonts w:ascii="Calibri" w:hAnsi="Calibri" w:cs="Calibri"/>
          <w:sz w:val="24"/>
          <w:szCs w:val="24"/>
        </w:rPr>
      </w:pPr>
      <w:r>
        <w:rPr>
          <w:rFonts w:ascii="Calibri" w:hAnsi="Calibri" w:cs="Calibri"/>
          <w:sz w:val="24"/>
          <w:szCs w:val="24"/>
          <w:vertAlign w:val="superscript"/>
        </w:rPr>
        <w:t>1</w:t>
      </w:r>
      <w:r>
        <w:rPr>
          <w:rFonts w:ascii="Calibri" w:hAnsi="Calibri" w:cs="Calibri"/>
          <w:sz w:val="24"/>
          <w:szCs w:val="24"/>
        </w:rPr>
        <w:t>School of Life Science, Beijing University of Chinese Medicine, Bei San Huan Dong Lu, Chaoyang District, Beijing 100029</w:t>
      </w:r>
    </w:p>
    <w:p w14:paraId="175C1A32">
      <w:pPr>
        <w:rPr>
          <w:rFonts w:ascii="Calibri" w:hAnsi="Calibri" w:cs="Calibri"/>
          <w:sz w:val="24"/>
          <w:szCs w:val="24"/>
        </w:rPr>
      </w:pPr>
    </w:p>
    <w:p w14:paraId="5DA69359">
      <w:pPr>
        <w:rPr>
          <w:rFonts w:ascii="Calibri" w:hAnsi="Calibri" w:cs="Calibri"/>
          <w:b/>
          <w:sz w:val="24"/>
          <w:szCs w:val="24"/>
        </w:rPr>
      </w:pPr>
      <w:r>
        <w:rPr>
          <w:rFonts w:ascii="Calibri" w:hAnsi="Calibri" w:cs="Calibri"/>
          <w:bCs/>
          <w:sz w:val="24"/>
          <w:szCs w:val="24"/>
        </w:rPr>
        <w:t>Email addresses of co-authors</w:t>
      </w:r>
      <w:r>
        <w:rPr>
          <w:rFonts w:ascii="Calibri" w:hAnsi="Calibri" w:cs="Calibri"/>
          <w:b/>
          <w:sz w:val="24"/>
          <w:szCs w:val="24"/>
        </w:rPr>
        <w:t>:</w:t>
      </w:r>
    </w:p>
    <w:p w14:paraId="7F1E846C">
      <w:pPr>
        <w:rPr>
          <w:rFonts w:ascii="Calibri" w:hAnsi="Calibri" w:cs="Calibri"/>
          <w:sz w:val="24"/>
          <w:szCs w:val="24"/>
        </w:rPr>
      </w:pPr>
      <w:r>
        <w:rPr>
          <w:rFonts w:ascii="Calibri" w:hAnsi="Calibri" w:cs="Calibri"/>
          <w:color w:val="000000" w:themeColor="text1"/>
          <w:sz w:val="24"/>
          <w:szCs w:val="24"/>
          <w14:textFill>
            <w14:solidFill>
              <w14:schemeClr w14:val="tx1"/>
            </w14:solidFill>
          </w14:textFill>
        </w:rPr>
        <w:t>Yanan Na</w:t>
      </w:r>
      <w:r>
        <w:rPr>
          <w:rFonts w:ascii="Calibri" w:hAnsi="Calibri" w:cs="Calibri"/>
          <w:sz w:val="24"/>
          <w:szCs w:val="24"/>
        </w:rPr>
        <w:t xml:space="preserve">n </w:t>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yanan@bucm.edu.cn</w:t>
      </w:r>
    </w:p>
    <w:p w14:paraId="3013C837">
      <w:pPr>
        <w:rPr>
          <w:rFonts w:ascii="Calibri" w:hAnsi="Calibri" w:cs="Calibri"/>
          <w:color w:val="000000" w:themeColor="text1"/>
          <w:sz w:val="24"/>
          <w:szCs w:val="24"/>
          <w14:textFill>
            <w14:solidFill>
              <w14:schemeClr w14:val="tx1"/>
            </w14:solidFill>
          </w14:textFill>
        </w:rPr>
      </w:pPr>
      <w:r>
        <w:rPr>
          <w:rFonts w:ascii="Calibri" w:hAnsi="Calibri" w:cs="Calibri"/>
          <w:color w:val="000000" w:themeColor="text1"/>
          <w:sz w:val="24"/>
          <w:szCs w:val="24"/>
          <w14:textFill>
            <w14:solidFill>
              <w14:schemeClr w14:val="tx1"/>
            </w14:solidFill>
          </w14:textFill>
        </w:rPr>
        <w:t xml:space="preserve">Minglu Liu </w:t>
      </w:r>
      <w:r>
        <w:rPr>
          <w:rFonts w:ascii="Calibri" w:hAnsi="Calibri" w:cs="Calibri"/>
          <w:color w:val="000000" w:themeColor="text1"/>
          <w:sz w:val="24"/>
          <w:szCs w:val="24"/>
          <w14:textFill>
            <w14:solidFill>
              <w14:schemeClr w14:val="tx1"/>
            </w14:solidFill>
          </w14:textFill>
        </w:rPr>
        <w:tab/>
      </w:r>
      <w:r>
        <w:rPr>
          <w:rFonts w:ascii="Calibri" w:hAnsi="Calibri" w:cs="Calibri"/>
          <w:color w:val="000000" w:themeColor="text1"/>
          <w:sz w:val="24"/>
          <w:szCs w:val="24"/>
          <w14:textFill>
            <w14:solidFill>
              <w14:schemeClr w14:val="tx1"/>
            </w14:solidFill>
          </w14:textFill>
        </w:rPr>
        <w:tab/>
      </w:r>
      <w:r>
        <w:rPr>
          <w:rFonts w:ascii="Calibri" w:hAnsi="Calibri" w:cs="Calibri"/>
          <w:color w:val="000000" w:themeColor="text1"/>
          <w:sz w:val="24"/>
          <w:szCs w:val="24"/>
          <w14:textFill>
            <w14:solidFill>
              <w14:schemeClr w14:val="tx1"/>
            </w14:solidFill>
          </w14:textFill>
        </w:rPr>
        <w:tab/>
      </w:r>
      <w:r>
        <w:rPr>
          <w:rFonts w:ascii="Calibri" w:hAnsi="Calibri" w:cs="Calibri"/>
          <w:color w:val="000000" w:themeColor="text1"/>
          <w:sz w:val="24"/>
          <w:szCs w:val="24"/>
          <w14:textFill>
            <w14:solidFill>
              <w14:schemeClr w14:val="tx1"/>
            </w14:solidFill>
          </w14:textFill>
        </w:rPr>
        <w:tab/>
      </w:r>
      <w:r>
        <w:rPr>
          <w:rFonts w:ascii="Calibri" w:hAnsi="Calibri" w:cs="Calibri"/>
          <w:color w:val="000000" w:themeColor="text1"/>
          <w:sz w:val="24"/>
          <w:szCs w:val="24"/>
          <w14:textFill>
            <w14:solidFill>
              <w14:schemeClr w14:val="tx1"/>
            </w14:solidFill>
          </w14:textFill>
        </w:rPr>
        <w:tab/>
      </w:r>
      <w:r>
        <w:rPr>
          <w:rFonts w:ascii="Calibri" w:hAnsi="Calibri" w:cs="Calibri"/>
          <w:color w:val="000000" w:themeColor="text1"/>
          <w:sz w:val="24"/>
          <w:szCs w:val="24"/>
          <w14:textFill>
            <w14:solidFill>
              <w14:schemeClr w14:val="tx1"/>
            </w14:solidFill>
          </w14:textFill>
        </w:rPr>
        <w:t>liuminglu@bucm.edu.cn</w:t>
      </w:r>
    </w:p>
    <w:p w14:paraId="5E79F06A">
      <w:pPr>
        <w:rPr>
          <w:rFonts w:ascii="Calibri" w:hAnsi="Calibri" w:cs="Calibri"/>
          <w:sz w:val="24"/>
          <w:szCs w:val="24"/>
        </w:rPr>
      </w:pPr>
      <w:r>
        <w:rPr>
          <w:rFonts w:ascii="Calibri" w:hAnsi="Calibri" w:cs="Calibri"/>
          <w:sz w:val="24"/>
          <w:szCs w:val="24"/>
        </w:rPr>
        <w:t xml:space="preserve">Mingrui Yang </w:t>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mingruiyang@bucm.edu.cn</w:t>
      </w:r>
    </w:p>
    <w:p w14:paraId="09CD1935">
      <w:pPr>
        <w:rPr>
          <w:rFonts w:ascii="Calibri" w:hAnsi="Calibri" w:cs="Calibri"/>
          <w:b/>
          <w:sz w:val="24"/>
          <w:szCs w:val="24"/>
        </w:rPr>
      </w:pPr>
    </w:p>
    <w:p w14:paraId="5190E4FD">
      <w:pPr>
        <w:rPr>
          <w:rFonts w:ascii="Calibri" w:hAnsi="Calibri" w:cs="Calibri"/>
          <w:bCs/>
          <w:sz w:val="24"/>
          <w:szCs w:val="24"/>
        </w:rPr>
      </w:pPr>
      <w:r>
        <w:rPr>
          <w:rFonts w:ascii="Calibri" w:hAnsi="Calibri" w:cs="Calibri"/>
          <w:bCs/>
          <w:sz w:val="24"/>
          <w:szCs w:val="24"/>
        </w:rPr>
        <w:t>*Email address of the corresponding author:</w:t>
      </w:r>
    </w:p>
    <w:p w14:paraId="3D21955A">
      <w:pPr>
        <w:rPr>
          <w:rFonts w:ascii="Calibri" w:hAnsi="Calibri" w:cs="Calibri"/>
          <w:sz w:val="24"/>
          <w:szCs w:val="24"/>
          <w:lang w:val="it-IT"/>
        </w:rPr>
      </w:pPr>
      <w:r>
        <w:rPr>
          <w:rFonts w:ascii="Calibri" w:hAnsi="Calibri" w:cs="Calibri"/>
          <w:sz w:val="24"/>
          <w:szCs w:val="24"/>
          <w:lang w:val="it-IT"/>
        </w:rPr>
        <w:t xml:space="preserve">Wenfu Ma </w:t>
      </w:r>
      <w:r>
        <w:rPr>
          <w:rFonts w:ascii="Calibri" w:hAnsi="Calibri" w:cs="Calibri"/>
          <w:sz w:val="24"/>
          <w:szCs w:val="24"/>
          <w:lang w:val="it-IT"/>
        </w:rPr>
        <w:tab/>
      </w:r>
      <w:r>
        <w:rPr>
          <w:rFonts w:ascii="Calibri" w:hAnsi="Calibri" w:cs="Calibri"/>
          <w:sz w:val="24"/>
          <w:szCs w:val="24"/>
          <w:lang w:val="it-IT"/>
        </w:rPr>
        <w:tab/>
      </w:r>
      <w:r>
        <w:rPr>
          <w:rFonts w:ascii="Calibri" w:hAnsi="Calibri" w:cs="Calibri"/>
          <w:sz w:val="24"/>
          <w:szCs w:val="24"/>
          <w:lang w:val="it-IT"/>
        </w:rPr>
        <w:tab/>
      </w:r>
      <w:r>
        <w:rPr>
          <w:rFonts w:ascii="Calibri" w:hAnsi="Calibri" w:cs="Calibri"/>
          <w:sz w:val="24"/>
          <w:szCs w:val="24"/>
          <w:lang w:val="it-IT"/>
        </w:rPr>
        <w:tab/>
      </w:r>
      <w:r>
        <w:rPr>
          <w:rFonts w:ascii="Calibri" w:hAnsi="Calibri" w:cs="Calibri"/>
          <w:sz w:val="24"/>
          <w:szCs w:val="24"/>
          <w:lang w:val="it-IT"/>
        </w:rPr>
        <w:tab/>
      </w:r>
      <w:r>
        <w:rPr>
          <w:rFonts w:ascii="Calibri" w:hAnsi="Calibri" w:cs="Calibri"/>
          <w:sz w:val="24"/>
          <w:szCs w:val="24"/>
          <w:lang w:val="it-IT"/>
        </w:rPr>
        <w:t>wenfuma@bucm.edu.cn</w:t>
      </w:r>
    </w:p>
    <w:p w14:paraId="45251B69">
      <w:pPr>
        <w:rPr>
          <w:rFonts w:ascii="Calibri" w:hAnsi="Calibri" w:cs="Calibri"/>
          <w:sz w:val="24"/>
          <w:szCs w:val="24"/>
          <w:lang w:val="it-IT"/>
        </w:rPr>
      </w:pPr>
    </w:p>
    <w:p w14:paraId="3851C1BD">
      <w:pPr>
        <w:rPr>
          <w:rFonts w:ascii="Calibri" w:hAnsi="Calibri" w:cs="Calibri"/>
          <w:b/>
          <w:sz w:val="24"/>
          <w:szCs w:val="24"/>
        </w:rPr>
      </w:pPr>
      <w:r>
        <w:rPr>
          <w:rFonts w:ascii="Calibri" w:hAnsi="Calibri" w:cs="Calibri"/>
          <w:b/>
          <w:sz w:val="24"/>
          <w:szCs w:val="24"/>
        </w:rPr>
        <w:t>Keywords:</w:t>
      </w:r>
    </w:p>
    <w:p w14:paraId="0DAD67B2">
      <w:pPr>
        <w:rPr>
          <w:rFonts w:ascii="Calibri" w:hAnsi="Calibri" w:cs="Calibri"/>
          <w:sz w:val="24"/>
          <w:szCs w:val="24"/>
        </w:rPr>
      </w:pPr>
      <w:r>
        <w:rPr>
          <w:rFonts w:ascii="Calibri" w:hAnsi="Calibri" w:cs="Calibri"/>
          <w:sz w:val="24"/>
          <w:szCs w:val="24"/>
        </w:rPr>
        <w:t xml:space="preserve">STING; Vesicular transport; COPII vesicle; </w:t>
      </w:r>
      <w:bookmarkStart w:id="1" w:name="_Hlk169694892"/>
      <w:r>
        <w:rPr>
          <w:rFonts w:ascii="Calibri" w:hAnsi="Calibri" w:cs="Calibri"/>
          <w:i/>
          <w:sz w:val="24"/>
          <w:szCs w:val="24"/>
        </w:rPr>
        <w:t>in vitro</w:t>
      </w:r>
      <w:r>
        <w:rPr>
          <w:rFonts w:ascii="Calibri" w:hAnsi="Calibri" w:cs="Calibri"/>
          <w:sz w:val="24"/>
          <w:szCs w:val="24"/>
        </w:rPr>
        <w:t xml:space="preserve"> cell-free vesicle reconstitution</w:t>
      </w:r>
      <w:bookmarkEnd w:id="1"/>
      <w:r>
        <w:rPr>
          <w:rFonts w:ascii="Calibri" w:hAnsi="Calibri" w:cs="Calibri"/>
          <w:sz w:val="24"/>
          <w:szCs w:val="24"/>
        </w:rPr>
        <w:t>; transport efficiency analysis</w:t>
      </w:r>
    </w:p>
    <w:p w14:paraId="5FCE441D">
      <w:pPr>
        <w:rPr>
          <w:rFonts w:ascii="Calibri" w:hAnsi="Calibri" w:cs="Calibri"/>
          <w:b/>
          <w:bCs/>
          <w:sz w:val="24"/>
          <w:szCs w:val="24"/>
        </w:rPr>
      </w:pPr>
    </w:p>
    <w:p w14:paraId="08948291">
      <w:pPr>
        <w:rPr>
          <w:rFonts w:ascii="Calibri" w:hAnsi="Calibri" w:cs="Calibri"/>
          <w:b/>
          <w:bCs/>
          <w:sz w:val="24"/>
          <w:szCs w:val="24"/>
        </w:rPr>
      </w:pPr>
      <w:r>
        <w:rPr>
          <w:rFonts w:ascii="Calibri" w:hAnsi="Calibri" w:cs="Calibri"/>
          <w:b/>
          <w:bCs/>
          <w:sz w:val="24"/>
          <w:szCs w:val="24"/>
        </w:rPr>
        <w:t>SUMMARY:</w:t>
      </w:r>
    </w:p>
    <w:p w14:paraId="056B4827">
      <w:pPr>
        <w:rPr>
          <w:rFonts w:ascii="Calibri" w:hAnsi="Calibri" w:cs="Calibri"/>
          <w:color w:val="000000" w:themeColor="text1"/>
          <w:sz w:val="24"/>
          <w:szCs w:val="24"/>
          <w14:textFill>
            <w14:solidFill>
              <w14:schemeClr w14:val="tx1"/>
            </w14:solidFill>
          </w14:textFill>
        </w:rPr>
      </w:pPr>
      <w:r>
        <w:rPr>
          <w:rFonts w:ascii="Calibri" w:hAnsi="Calibri" w:cs="Calibri"/>
          <w:color w:val="000000" w:themeColor="text1"/>
          <w:sz w:val="24"/>
          <w:szCs w:val="24"/>
          <w14:textFill>
            <w14:solidFill>
              <w14:schemeClr w14:val="tx1"/>
            </w14:solidFill>
          </w14:textFill>
        </w:rPr>
        <w:t>This protocol describes an optimized cell-free system for reconstituting STING incorporation into COPII vesicles, enabling controlled biochemical analysis of cargo sorting during ER export.</w:t>
      </w:r>
    </w:p>
    <w:p w14:paraId="3687C4CD">
      <w:pPr>
        <w:rPr>
          <w:rFonts w:ascii="Calibri" w:hAnsi="Calibri" w:cs="Calibri"/>
          <w:color w:val="000000" w:themeColor="text1"/>
          <w:sz w:val="24"/>
          <w:szCs w:val="24"/>
          <w14:textFill>
            <w14:solidFill>
              <w14:schemeClr w14:val="tx1"/>
            </w14:solidFill>
          </w14:textFill>
        </w:rPr>
      </w:pPr>
      <w:r>
        <w:rPr>
          <w:rFonts w:ascii="Calibri" w:hAnsi="Calibri" w:cs="Calibri"/>
          <w:color w:val="FF0000"/>
          <w:sz w:val="24"/>
          <w:szCs w:val="24"/>
        </w:rPr>
        <w:t xml:space="preserve"> </w:t>
      </w:r>
    </w:p>
    <w:p w14:paraId="14ED0BAE">
      <w:pPr>
        <w:rPr>
          <w:rFonts w:ascii="Calibri" w:hAnsi="Calibri" w:cs="Calibri"/>
          <w:b/>
          <w:sz w:val="24"/>
          <w:szCs w:val="24"/>
        </w:rPr>
      </w:pPr>
      <w:r>
        <w:rPr>
          <w:rFonts w:ascii="Calibri" w:hAnsi="Calibri" w:cs="Calibri"/>
          <w:b/>
          <w:sz w:val="24"/>
          <w:szCs w:val="24"/>
        </w:rPr>
        <w:t>ABSTRACT:</w:t>
      </w:r>
    </w:p>
    <w:p w14:paraId="05283321">
      <w:pPr>
        <w:rPr>
          <w:rFonts w:ascii="Calibri" w:hAnsi="Calibri" w:cs="Calibri"/>
          <w:color w:val="000000" w:themeColor="text1"/>
          <w:sz w:val="24"/>
          <w:szCs w:val="24"/>
          <w14:textFill>
            <w14:solidFill>
              <w14:schemeClr w14:val="tx1"/>
            </w14:solidFill>
          </w14:textFill>
        </w:rPr>
      </w:pPr>
      <w:r>
        <w:rPr>
          <w:rFonts w:ascii="Calibri" w:hAnsi="Calibri" w:cs="Calibri"/>
          <w:color w:val="000000" w:themeColor="text1"/>
          <w:sz w:val="24"/>
          <w:szCs w:val="24"/>
          <w14:textFill>
            <w14:solidFill>
              <w14:schemeClr w14:val="tx1"/>
            </w14:solidFill>
          </w14:textFill>
        </w:rPr>
        <w:t xml:space="preserve">The cGAS–STING pathway is a central component of innate immunity. Upon activation, the endoplasmic reticulum (ER)-resident protein STING is packaged into COPII vesicles and transported to the Golgi apparatus to initiate downstream signaling. Despite the importance of this process, the molecular mechanisms governing STING sorting into COPII vesicles remain incompletely understood. Here, an optimized workflow is presented for the </w:t>
      </w:r>
      <w:r>
        <w:rPr>
          <w:rFonts w:ascii="Calibri" w:hAnsi="Calibri" w:cs="Calibri"/>
          <w:i/>
          <w:iCs/>
          <w:color w:val="000000" w:themeColor="text1"/>
          <w:sz w:val="24"/>
          <w:szCs w:val="24"/>
          <w14:textFill>
            <w14:solidFill>
              <w14:schemeClr w14:val="tx1"/>
            </w14:solidFill>
          </w14:textFill>
        </w:rPr>
        <w:t>in vitro</w:t>
      </w:r>
      <w:r>
        <w:rPr>
          <w:rFonts w:ascii="Calibri" w:hAnsi="Calibri" w:cs="Calibri"/>
          <w:color w:val="000000" w:themeColor="text1"/>
          <w:sz w:val="24"/>
          <w:szCs w:val="24"/>
          <w14:textFill>
            <w14:solidFill>
              <w14:schemeClr w14:val="tx1"/>
            </w14:solidFill>
          </w14:textFill>
        </w:rPr>
        <w:t xml:space="preserve"> reconstitution of COPII vesicles to facilitate controlled analysis of cargo selection. A scalable method is described for preparing high-concentration cytosol (30–40 mg/mL) from HEK-293F suspension cells, combined with a straightforward procedure for generating semi-permeabilized HEK-293T cells as a defined membrane source. Compared to traditional adherent cell-based systems, this approach improves scalability, reduces cost, and enhances reproducibility. Using STING as a model cargo, COPII vesicle budding and cargo incorporation are validated by Western blot analysis, with a basal packaging efficiency of approximately 20% under defined conditions. This system allows controlled manipulation of biochemical parameters, including nucleotide stimulation, to assess their effects on cargo incorporation. This protocol provides a robust and adaptable platform for investigating COPII-mediated cargo sorting and can be extended to study additional transmembrane proteins and regulatory factors involved in ER export.</w:t>
      </w:r>
    </w:p>
    <w:p w14:paraId="6EC93F07">
      <w:pPr>
        <w:rPr>
          <w:rFonts w:ascii="Calibri" w:hAnsi="Calibri" w:cs="Calibri"/>
          <w:color w:val="000000" w:themeColor="text1"/>
          <w:sz w:val="24"/>
          <w:szCs w:val="24"/>
          <w14:textFill>
            <w14:solidFill>
              <w14:schemeClr w14:val="tx1"/>
            </w14:solidFill>
          </w14:textFill>
        </w:rPr>
      </w:pPr>
    </w:p>
    <w:p w14:paraId="517E2798">
      <w:pPr>
        <w:rPr>
          <w:rFonts w:ascii="Calibri" w:hAnsi="Calibri" w:cs="Calibri"/>
          <w:b/>
          <w:sz w:val="24"/>
          <w:szCs w:val="24"/>
        </w:rPr>
      </w:pPr>
      <w:r>
        <w:rPr>
          <w:rFonts w:ascii="Calibri" w:hAnsi="Calibri" w:cs="Calibri"/>
          <w:b/>
          <w:sz w:val="24"/>
          <w:szCs w:val="24"/>
        </w:rPr>
        <w:t>INTRODUCTION:</w:t>
      </w:r>
    </w:p>
    <w:p w14:paraId="0D8F0977">
      <w:pPr>
        <w:rPr>
          <w:rFonts w:ascii="Calibri" w:hAnsi="Calibri" w:cs="Calibri"/>
          <w:color w:val="000000" w:themeColor="text1"/>
          <w:sz w:val="24"/>
          <w:szCs w:val="24"/>
          <w14:textFill>
            <w14:solidFill>
              <w14:schemeClr w14:val="tx1"/>
            </w14:solidFill>
          </w14:textFill>
        </w:rPr>
      </w:pPr>
      <w:bookmarkStart w:id="2" w:name="_Hlk183797105"/>
      <w:r>
        <w:rPr>
          <w:rFonts w:ascii="Calibri" w:hAnsi="Calibri" w:cs="Calibri"/>
          <w:color w:val="000000" w:themeColor="text1"/>
          <w:sz w:val="24"/>
          <w:szCs w:val="24"/>
          <w14:textFill>
            <w14:solidFill>
              <w14:schemeClr w14:val="tx1"/>
            </w14:solidFill>
          </w14:textFill>
        </w:rPr>
        <w:t>The cGAS-STING signaling pathway serves as a fundamental mechanism of the innate immune system, sensing cytosolic double-stranded DNA (dsDNA) to initiate an antiviral response. Upon detecting dsDNA, the enzyme cGAS produces the cyclic dinucleotide cGAMP, which acts as a second messenger that binds to the STING</w:t>
      </w:r>
      <w:r>
        <w:rPr>
          <w:rFonts w:ascii="Calibri" w:hAnsi="Calibri" w:cs="Calibri"/>
          <w:color w:val="000000" w:themeColor="text1"/>
          <w:sz w:val="24"/>
          <w:szCs w:val="24"/>
          <w14:textFill>
            <w14:solidFill>
              <w14:schemeClr w14:val="tx1"/>
            </w14:solidFill>
          </w14:textFill>
        </w:rPr>
        <w:fldChar w:fldCharType="begin">
          <w:fldData xml:space="preserve">PEVuZE5vdGU+PENpdGU+PEF1dGhvcj5MaTwvQXV0aG9yPjxZZWFyPjIwMTg8L1llYXI+PFJlY051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</w:fldData>
        </w:fldChar>
      </w:r>
      <w:r>
        <w:rPr>
          <w:rFonts w:ascii="Calibri" w:hAnsi="Calibri" w:cs="Calibri"/>
          <w:color w:val="000000" w:themeColor="text1"/>
          <w:sz w:val="24"/>
          <w:szCs w:val="24"/>
          <w14:textFill>
            <w14:solidFill>
              <w14:schemeClr w14:val="tx1"/>
            </w14:solidFill>
          </w14:textFill>
        </w:rPr>
        <w:instrText xml:space="preserve"> ADDIN EN.CITE </w:instrText>
      </w:r>
      <w:r>
        <w:rPr>
          <w:rFonts w:ascii="Calibri" w:hAnsi="Calibri" w:cs="Calibri"/>
          <w:color w:val="000000" w:themeColor="text1"/>
          <w:sz w:val="24"/>
          <w:szCs w:val="24"/>
          <w14:textFill>
            <w14:solidFill>
              <w14:schemeClr w14:val="tx1"/>
            </w14:solidFill>
          </w14:textFill>
        </w:rPr>
        <w:fldChar w:fldCharType="begin">
          <w:fldData xml:space="preserve">PEVuZE5vdGU+PENpdGU+PEF1dGhvcj5MaTwvQXV0aG9yPjxZZWFyPjIwMTg8L1llYXI+PFJlY051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</w:fldData>
        </w:fldChar>
      </w:r>
      <w:r>
        <w:rPr>
          <w:rFonts w:ascii="Calibri" w:hAnsi="Calibri" w:cs="Calibri"/>
          <w:color w:val="000000" w:themeColor="text1"/>
          <w:sz w:val="24"/>
          <w:szCs w:val="24"/>
          <w14:textFill>
            <w14:solidFill>
              <w14:schemeClr w14:val="tx1"/>
            </w14:solidFill>
          </w14:textFill>
        </w:rPr>
        <w:instrText xml:space="preserve"> ADDIN EN.CITE.DATA </w:instrText>
      </w:r>
      <w:r>
        <w:rPr>
          <w:rFonts w:ascii="Calibri" w:hAnsi="Calibri" w:cs="Calibri"/>
          <w:color w:val="000000" w:themeColor="text1"/>
          <w:sz w:val="24"/>
          <w:szCs w:val="24"/>
          <w14:textFill>
            <w14:solidFill>
              <w14:schemeClr w14:val="tx1"/>
            </w14:solidFill>
          </w14:textFill>
        </w:rPr>
        <w:fldChar w:fldCharType="end"/>
      </w:r>
      <w:r>
        <w:rPr>
          <w:rFonts w:ascii="Calibri" w:hAnsi="Calibri" w:cs="Calibri"/>
          <w:color w:val="000000" w:themeColor="text1"/>
          <w:sz w:val="24"/>
          <w:szCs w:val="24"/>
          <w14:textFill>
            <w14:solidFill>
              <w14:schemeClr w14:val="tx1"/>
            </w14:solidFill>
          </w14:textFill>
        </w:rPr>
        <w:fldChar w:fldCharType="separate"/>
      </w:r>
      <w:r>
        <w:fldChar w:fldCharType="begin"/>
      </w:r>
      <w:r>
        <w:instrText xml:space="preserve"> HYPERLINK \l "_ENREF_1" \o "Li, 2018 #137" </w:instrText>
      </w:r>
      <w:r>
        <w:fldChar w:fldCharType="separate"/>
      </w:r>
      <w:r>
        <w:rPr>
          <w:rFonts w:ascii="Calibri" w:hAnsi="Calibri" w:cs="Calibri"/>
          <w:color w:val="000000" w:themeColor="text1"/>
          <w:sz w:val="24"/>
          <w:szCs w:val="24"/>
          <w:vertAlign w:val="superscript"/>
          <w14:textFill>
            <w14:solidFill>
              <w14:schemeClr w14:val="tx1"/>
            </w14:solidFill>
          </w14:textFill>
        </w:rPr>
        <w:t>1</w:t>
      </w:r>
      <w:r>
        <w:rPr>
          <w:rFonts w:ascii="Calibri" w:hAnsi="Calibri" w:cs="Calibri"/>
          <w:color w:val="000000" w:themeColor="text1"/>
          <w:sz w:val="24"/>
          <w:szCs w:val="24"/>
          <w:vertAlign w:val="superscript"/>
          <w14:textFill>
            <w14:solidFill>
              <w14:schemeClr w14:val="tx1"/>
            </w14:solidFill>
          </w14:textFill>
        </w:rPr>
        <w:fldChar w:fldCharType="end"/>
      </w:r>
      <w:r>
        <w:rPr>
          <w:rFonts w:ascii="Calibri" w:hAnsi="Calibri" w:cs="Calibri"/>
          <w:color w:val="000000" w:themeColor="text1"/>
          <w:sz w:val="24"/>
          <w:szCs w:val="24"/>
          <w:vertAlign w:val="superscript"/>
          <w14:textFill>
            <w14:solidFill>
              <w14:schemeClr w14:val="tx1"/>
            </w14:solidFill>
          </w14:textFill>
        </w:rPr>
        <w:t>,</w:t>
      </w:r>
      <w:r>
        <w:fldChar w:fldCharType="begin"/>
      </w:r>
      <w:r>
        <w:instrText xml:space="preserve"> HYPERLINK \l "_ENREF_2" \o "Wu, 2014 #139" </w:instrText>
      </w:r>
      <w:r>
        <w:fldChar w:fldCharType="separate"/>
      </w:r>
      <w:r>
        <w:rPr>
          <w:rFonts w:ascii="Calibri" w:hAnsi="Calibri" w:cs="Calibri"/>
          <w:color w:val="000000" w:themeColor="text1"/>
          <w:sz w:val="24"/>
          <w:szCs w:val="24"/>
          <w:vertAlign w:val="superscript"/>
          <w14:textFill>
            <w14:solidFill>
              <w14:schemeClr w14:val="tx1"/>
            </w14:solidFill>
          </w14:textFill>
        </w:rPr>
        <w:t>2</w:t>
      </w:r>
      <w:r>
        <w:rPr>
          <w:rFonts w:ascii="Calibri" w:hAnsi="Calibri" w:cs="Calibri"/>
          <w:color w:val="000000" w:themeColor="text1"/>
          <w:sz w:val="24"/>
          <w:szCs w:val="24"/>
          <w:vertAlign w:val="superscript"/>
          <w14:textFill>
            <w14:solidFill>
              <w14:schemeClr w14:val="tx1"/>
            </w14:solidFill>
          </w14:textFill>
        </w:rPr>
        <w:fldChar w:fldCharType="end"/>
      </w:r>
      <w:r>
        <w:rPr>
          <w:rFonts w:ascii="Calibri" w:hAnsi="Calibri" w:cs="Calibri"/>
          <w:color w:val="000000" w:themeColor="text1"/>
          <w:sz w:val="24"/>
          <w:szCs w:val="24"/>
          <w14:textFill>
            <w14:solidFill>
              <w14:schemeClr w14:val="tx1"/>
            </w14:solidFill>
          </w14:textFill>
        </w:rPr>
        <w:fldChar w:fldCharType="end"/>
      </w:r>
      <w:r>
        <w:rPr>
          <w:rFonts w:ascii="Calibri" w:hAnsi="Calibri" w:cs="Calibri"/>
          <w:color w:val="000000" w:themeColor="text1"/>
          <w:sz w:val="24"/>
          <w:szCs w:val="24"/>
          <w14:textFill>
            <w14:solidFill>
              <w14:schemeClr w14:val="tx1"/>
            </w14:solidFill>
          </w14:textFill>
        </w:rPr>
        <w:t>. Crucially, STING resides as an inactive dimer in the endoplasmic reticulum (ER) under steady-state conditions</w:t>
      </w:r>
      <w:r>
        <w:fldChar w:fldCharType="begin"/>
      </w:r>
      <w:r>
        <w:instrText xml:space="preserve"> HYPERLINK \l "_ENREF_3" \o "Yarwood, 2020 #140" </w:instrText>
      </w:r>
      <w:r>
        <w:fldChar w:fldCharType="separate"/>
      </w:r>
      <w:r>
        <w:rPr>
          <w:rFonts w:ascii="Calibri" w:hAnsi="Calibri" w:cs="Calibri"/>
          <w:color w:val="000000" w:themeColor="text1"/>
          <w:sz w:val="24"/>
          <w:szCs w:val="24"/>
          <w14:textFill>
            <w14:solidFill>
              <w14:schemeClr w14:val="tx1"/>
            </w14:solidFill>
          </w14:textFill>
        </w:rPr>
        <w:fldChar w:fldCharType="begin">
          <w:fldData xml:space="preserve">PEVuZE5vdGU+PENpdGU+PEF1dGhvcj5ZYXJ3b29kPC9BdXRob3I+PFllYXI+MjAyMDwvWWVhcj48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==
</w:fldData>
        </w:fldChar>
      </w:r>
      <w:r>
        <w:rPr>
          <w:rFonts w:ascii="Calibri" w:hAnsi="Calibri" w:cs="Calibri"/>
          <w:color w:val="000000" w:themeColor="text1"/>
          <w:sz w:val="24"/>
          <w:szCs w:val="24"/>
          <w14:textFill>
            <w14:solidFill>
              <w14:schemeClr w14:val="tx1"/>
            </w14:solidFill>
          </w14:textFill>
        </w:rPr>
        <w:instrText xml:space="preserve"> ADDIN EN.CITE </w:instrText>
      </w:r>
      <w:r>
        <w:rPr>
          <w:rFonts w:ascii="Calibri" w:hAnsi="Calibri" w:cs="Calibri"/>
          <w:color w:val="000000" w:themeColor="text1"/>
          <w:sz w:val="24"/>
          <w:szCs w:val="24"/>
          <w14:textFill>
            <w14:solidFill>
              <w14:schemeClr w14:val="tx1"/>
            </w14:solidFill>
          </w14:textFill>
        </w:rPr>
        <w:fldChar w:fldCharType="begin">
          <w:fldData xml:space="preserve">PEVuZE5vdGU+PENpdGU+PEF1dGhvcj5ZYXJ3b29kPC9BdXRob3I+PFllYXI+MjAyMDwvWWVhcj48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==
</w:fldData>
        </w:fldChar>
      </w:r>
      <w:r>
        <w:rPr>
          <w:rFonts w:ascii="Calibri" w:hAnsi="Calibri" w:cs="Calibri"/>
          <w:color w:val="000000" w:themeColor="text1"/>
          <w:sz w:val="24"/>
          <w:szCs w:val="24"/>
          <w14:textFill>
            <w14:solidFill>
              <w14:schemeClr w14:val="tx1"/>
            </w14:solidFill>
          </w14:textFill>
        </w:rPr>
        <w:instrText xml:space="preserve"> ADDIN EN.CITE.DATA </w:instrText>
      </w:r>
      <w:r>
        <w:rPr>
          <w:rFonts w:ascii="Calibri" w:hAnsi="Calibri" w:cs="Calibri"/>
          <w:color w:val="000000" w:themeColor="text1"/>
          <w:sz w:val="24"/>
          <w:szCs w:val="24"/>
          <w14:textFill>
            <w14:solidFill>
              <w14:schemeClr w14:val="tx1"/>
            </w14:solidFill>
          </w14:textFill>
        </w:rPr>
        <w:fldChar w:fldCharType="end"/>
      </w:r>
      <w:r>
        <w:rPr>
          <w:rFonts w:ascii="Calibri" w:hAnsi="Calibri" w:cs="Calibri"/>
          <w:color w:val="000000" w:themeColor="text1"/>
          <w:sz w:val="24"/>
          <w:szCs w:val="24"/>
          <w14:textFill>
            <w14:solidFill>
              <w14:schemeClr w14:val="tx1"/>
            </w14:solidFill>
          </w14:textFill>
        </w:rPr>
        <w:fldChar w:fldCharType="separate"/>
      </w:r>
      <w:r>
        <w:rPr>
          <w:rFonts w:ascii="Calibri" w:hAnsi="Calibri" w:cs="Calibri"/>
          <w:color w:val="000000" w:themeColor="text1"/>
          <w:sz w:val="24"/>
          <w:szCs w:val="24"/>
          <w:vertAlign w:val="superscript"/>
          <w14:textFill>
            <w14:solidFill>
              <w14:schemeClr w14:val="tx1"/>
            </w14:solidFill>
          </w14:textFill>
        </w:rPr>
        <w:t>3</w:t>
      </w:r>
      <w:r>
        <w:rPr>
          <w:rFonts w:ascii="Calibri" w:hAnsi="Calibri" w:cs="Calibri"/>
          <w:color w:val="000000" w:themeColor="text1"/>
          <w:sz w:val="24"/>
          <w:szCs w:val="24"/>
          <w14:textFill>
            <w14:solidFill>
              <w14:schemeClr w14:val="tx1"/>
            </w14:solidFill>
          </w14:textFill>
        </w:rPr>
        <w:fldChar w:fldCharType="end"/>
      </w:r>
      <w:r>
        <w:rPr>
          <w:rFonts w:ascii="Calibri" w:hAnsi="Calibri" w:cs="Calibri"/>
          <w:color w:val="000000" w:themeColor="text1"/>
          <w:sz w:val="24"/>
          <w:szCs w:val="24"/>
          <w14:textFill>
            <w14:solidFill>
              <w14:schemeClr w14:val="tx1"/>
            </w14:solidFill>
          </w14:textFill>
        </w:rPr>
        <w:fldChar w:fldCharType="end"/>
      </w:r>
      <w:r>
        <w:rPr>
          <w:rFonts w:ascii="Calibri" w:hAnsi="Calibri" w:cs="Calibri"/>
          <w:color w:val="000000" w:themeColor="text1"/>
          <w:sz w:val="24"/>
          <w:szCs w:val="24"/>
          <w14:textFill>
            <w14:solidFill>
              <w14:schemeClr w14:val="tx1"/>
            </w14:solidFill>
          </w14:textFill>
        </w:rPr>
        <w:t>. Its activation requires rapid, highly regulated translocation from the ER to the Golgi apparatus. It is at the Golgi that STING recruits and activates the downstream kinases TBK1 and IRF3, leading to the production of type I interferons and pro-inflammatory cytokines</w:t>
      </w:r>
      <w:r>
        <w:fldChar w:fldCharType="begin"/>
      </w:r>
      <w:r>
        <w:instrText xml:space="preserve"> HYPERLINK \l "_ENREF_4" \o "Ishikawa, 2008 #120" </w:instrText>
      </w:r>
      <w:r>
        <w:fldChar w:fldCharType="separate"/>
      </w:r>
      <w:r>
        <w:rPr>
          <w:rFonts w:ascii="Calibri" w:hAnsi="Calibri" w:cs="Calibri"/>
          <w:color w:val="000000" w:themeColor="text1"/>
          <w:sz w:val="24"/>
          <w:szCs w:val="24"/>
          <w14:textFill>
            <w14:solidFill>
              <w14:schemeClr w14:val="tx1"/>
            </w14:solidFill>
          </w14:textFill>
        </w:rPr>
        <w:fldChar w:fldCharType="begin"/>
      </w:r>
      <w:r>
        <w:rPr>
          <w:rFonts w:ascii="Calibri" w:hAnsi="Calibri" w:cs="Calibri"/>
          <w:color w:val="000000" w:themeColor="text1"/>
          <w:sz w:val="24"/>
          <w:szCs w:val="24"/>
          <w14:textFill>
            <w14:solidFill>
              <w14:schemeClr w14:val="tx1"/>
            </w14:solidFill>
          </w14:textFill>
        </w:rPr>
        <w:instrText xml:space="preserve"> ADDIN EN.CITE &lt;EndNote&gt;&lt;Cite&gt;&lt;Author&gt;Ishikawa&lt;/Author&gt;&lt;Year&gt;2008&lt;/Year&gt;&lt;RecNum&gt;120&lt;/RecNum&gt;&lt;DisplayText&gt;&lt;style face="superscript"&gt;4&lt;/style&gt;&lt;/DisplayText&gt;&lt;record&gt;&lt;rec-number&gt;120&lt;/rec-number&gt;&lt;foreign-keys&gt;&lt;key app="EN" db-id="e2ws2ar5e0eswcesv0npdtaufdtasr0tf2v5" timestamp="1776168344"&gt;120&lt;/key&gt;&lt;/foreign-keys&gt;&lt;ref-type name="Journal Article"&gt;17&lt;/ref-type&gt;&lt;contributors&gt;&lt;authors&gt;&lt;author&gt;Ishikawa, H.&lt;/author&gt;&lt;author&gt;Barber, G. N.&lt;/author&gt;&lt;/authors&gt;&lt;/contributors&gt;&lt;auth-address&gt;Department of Medicine and Sylvester Comprehensive Cancer Center, University of Miami School of Medicine, Miami, Florida 33136, USA.&lt;/auth-address&gt;&lt;titles&gt;&lt;title&gt;STING is an endoplasmic reticulum adaptor that facilitates innate immune signalling&lt;/title&gt;&lt;secondary-title&gt;Nature&lt;/secondary-title&gt;&lt;/titles&gt;&lt;periodical&gt;&lt;full-title&gt;Nature&lt;/full-title&gt;&lt;/periodical&gt;&lt;pages&gt;674-8&lt;/pages&gt;&lt;volume&gt;455&lt;/volume&gt;&lt;number&gt;7213&lt;/number&gt;&lt;edition&gt;20080824&lt;/edition&gt;&lt;keywords&gt;&lt;keyword&gt;Animals&lt;/keyword&gt;&lt;keyword&gt;Cell Line&lt;/keyword&gt;&lt;keyword&gt;Endoplasmic Reticulum/*metabolism&lt;/keyword&gt;&lt;keyword&gt;Fibroblasts&lt;/keyword&gt;&lt;keyword&gt;Humans&lt;/keyword&gt;&lt;keyword&gt;Immunity, Innate/*immunology&lt;/keyword&gt;&lt;keyword&gt;Interferons/biosynthesis/immunology&lt;/keyword&gt;&lt;keyword&gt;Membrane Proteins/chemistry/genetics/*metabolism&lt;/keyword&gt;&lt;keyword&gt;Mice&lt;/keyword&gt;&lt;keyword&gt;Mice, Inbred C57BL&lt;/keyword&gt;&lt;keyword&gt;Mice, Knockout&lt;/keyword&gt;&lt;keyword&gt;*Signal Transduction&lt;/keyword&gt;&lt;keyword&gt;STING Protein&lt;/keyword&gt;&lt;/keywords&gt;&lt;dates&gt;&lt;year&gt;2008&lt;/year&gt;&lt;pub-dates&gt;&lt;date&gt;Oct 2&lt;/date&gt;&lt;/pub-dates&gt;&lt;/dates&gt;&lt;isbn&gt;1476-4687 (Electronic)&amp;#xD;0028-0836 (Print)&amp;#xD;0028-0836 (Linking)&lt;/isbn&gt;&lt;accession-num&gt;18724357&lt;/accession-num&gt;&lt;urls&gt;&lt;related-urls&gt;&lt;url&gt;https://www.ncbi.nlm.nih.gov/pubmed/18724357&lt;/url&gt;&lt;/related-urls&gt;&lt;/urls&gt;&lt;custom2&gt;PMC2804933&lt;/custom2&gt;&lt;electronic-resource-num&gt;10.1038/nature07317&lt;/electronic-resource-num&gt;&lt;remote-database-name&gt;Medline&lt;/remote-database-name&gt;&lt;remote-database-provider&gt;NLM&lt;/remote-database-provider&gt;&lt;/record&gt;&lt;/Cite&gt;&lt;/EndNote&gt;</w:instrText>
      </w:r>
      <w:r>
        <w:rPr>
          <w:rFonts w:ascii="Calibri" w:hAnsi="Calibri" w:cs="Calibri"/>
          <w:color w:val="000000" w:themeColor="text1"/>
          <w:sz w:val="24"/>
          <w:szCs w:val="24"/>
          <w14:textFill>
            <w14:solidFill>
              <w14:schemeClr w14:val="tx1"/>
            </w14:solidFill>
          </w14:textFill>
        </w:rPr>
        <w:fldChar w:fldCharType="separate"/>
      </w:r>
      <w:r>
        <w:rPr>
          <w:rFonts w:ascii="Calibri" w:hAnsi="Calibri" w:cs="Calibri"/>
          <w:color w:val="000000" w:themeColor="text1"/>
          <w:sz w:val="24"/>
          <w:szCs w:val="24"/>
          <w:vertAlign w:val="superscript"/>
          <w14:textFill>
            <w14:solidFill>
              <w14:schemeClr w14:val="tx1"/>
            </w14:solidFill>
          </w14:textFill>
        </w:rPr>
        <w:t>4</w:t>
      </w:r>
      <w:r>
        <w:rPr>
          <w:rFonts w:ascii="Calibri" w:hAnsi="Calibri" w:cs="Calibri"/>
          <w:color w:val="000000" w:themeColor="text1"/>
          <w:sz w:val="24"/>
          <w:szCs w:val="24"/>
          <w14:textFill>
            <w14:solidFill>
              <w14:schemeClr w14:val="tx1"/>
            </w14:solidFill>
          </w14:textFill>
        </w:rPr>
        <w:fldChar w:fldCharType="end"/>
      </w:r>
      <w:r>
        <w:rPr>
          <w:rFonts w:ascii="Calibri" w:hAnsi="Calibri" w:cs="Calibri"/>
          <w:color w:val="000000" w:themeColor="text1"/>
          <w:sz w:val="24"/>
          <w:szCs w:val="24"/>
          <w14:textFill>
            <w14:solidFill>
              <w14:schemeClr w14:val="tx1"/>
            </w14:solidFill>
          </w14:textFill>
        </w:rPr>
        <w:fldChar w:fldCharType="end"/>
      </w:r>
      <w:r>
        <w:rPr>
          <w:rFonts w:ascii="Calibri" w:hAnsi="Calibri" w:cs="Calibri"/>
          <w:color w:val="000000" w:themeColor="text1"/>
          <w:sz w:val="24"/>
          <w:szCs w:val="24"/>
          <w14:textFill>
            <w14:solidFill>
              <w14:schemeClr w14:val="tx1"/>
            </w14:solidFill>
          </w14:textFill>
        </w:rPr>
        <w:t>.</w:t>
      </w:r>
    </w:p>
    <w:p w14:paraId="7DDD4A4D">
      <w:pPr>
        <w:rPr>
          <w:rFonts w:ascii="Calibri" w:hAnsi="Calibri" w:cs="Calibri"/>
          <w:color w:val="000000" w:themeColor="text1"/>
          <w:sz w:val="24"/>
          <w:szCs w:val="24"/>
          <w14:textFill>
            <w14:solidFill>
              <w14:schemeClr w14:val="tx1"/>
            </w14:solidFill>
          </w14:textFill>
        </w:rPr>
      </w:pPr>
    </w:p>
    <w:p w14:paraId="56B2F2A7">
      <w:pPr>
        <w:rPr>
          <w:rFonts w:ascii="Calibri" w:hAnsi="Calibri" w:cs="Calibri"/>
          <w:color w:val="000000" w:themeColor="text1"/>
          <w:sz w:val="24"/>
          <w:szCs w:val="24"/>
          <w14:textFill>
            <w14:solidFill>
              <w14:schemeClr w14:val="tx1"/>
            </w14:solidFill>
          </w14:textFill>
        </w:rPr>
      </w:pPr>
      <w:r>
        <w:rPr>
          <w:rFonts w:ascii="Calibri" w:hAnsi="Calibri" w:cs="Calibri"/>
          <w:color w:val="000000" w:themeColor="text1"/>
          <w:sz w:val="24"/>
          <w:szCs w:val="24"/>
          <w14:textFill>
            <w14:solidFill>
              <w14:schemeClr w14:val="tx1"/>
            </w14:solidFill>
          </w14:textFill>
        </w:rPr>
        <w:t>The transport of STING is mediated by COPII-coated vesicles, the universal vehicles for protein export from the ER</w:t>
      </w:r>
      <w:r>
        <w:fldChar w:fldCharType="begin"/>
      </w:r>
      <w:r>
        <w:instrText xml:space="preserve"> HYPERLINK \l "_ENREF_5" \o "Mellman, 2013 #142" </w:instrText>
      </w:r>
      <w:r>
        <w:fldChar w:fldCharType="separate"/>
      </w:r>
      <w:r>
        <w:rPr>
          <w:rFonts w:ascii="Calibri" w:hAnsi="Calibri" w:cs="Calibri"/>
          <w:color w:val="000000" w:themeColor="text1"/>
          <w:sz w:val="24"/>
          <w:szCs w:val="24"/>
          <w14:textFill>
            <w14:solidFill>
              <w14:schemeClr w14:val="tx1"/>
            </w14:solidFill>
          </w14:textFill>
        </w:rPr>
        <w:fldChar w:fldCharType="begin"/>
      </w:r>
      <w:r>
        <w:rPr>
          <w:rFonts w:ascii="Calibri" w:hAnsi="Calibri" w:cs="Calibri"/>
          <w:color w:val="000000" w:themeColor="text1"/>
          <w:sz w:val="24"/>
          <w:szCs w:val="24"/>
          <w14:textFill>
            <w14:solidFill>
              <w14:schemeClr w14:val="tx1"/>
            </w14:solidFill>
          </w14:textFill>
        </w:rPr>
        <w:instrText xml:space="preserve"> ADDIN EN.CITE &lt;EndNote&gt;&lt;Cite&gt;&lt;Author&gt;Mellman&lt;/Author&gt;&lt;Year&gt;2013&lt;/Year&gt;&lt;RecNum&gt;142&lt;/RecNum&gt;&lt;DisplayText&gt;&lt;style face="superscript"&gt;5&lt;/style&gt;&lt;/DisplayText&gt;&lt;record&gt;&lt;rec-number&gt;142&lt;/rec-number&gt;&lt;foreign-keys&gt;&lt;key app="EN" db-id="e2ws2ar5e0eswcesv0npdtaufdtasr0tf2v5" timestamp="1776173328"&gt;142&lt;/key&gt;&lt;/foreign-keys&gt;&lt;ref-type name="Journal Article"&gt;17&lt;/ref-type&gt;&lt;contributors&gt;&lt;authors&gt;&lt;author&gt;Mellman, I.&lt;/author&gt;&lt;author&gt;Emr, S. D.&lt;/author&gt;&lt;/authors&gt;&lt;/contributors&gt;&lt;auth-address&gt;Genentech, South San Francisco, CA 94080.&lt;/auth-address&gt;&lt;titles&gt;&lt;title&gt;A Nobel Prize for membrane traffic: vesicles find their journey&amp;apos;s end&lt;/title&gt;&lt;secondary-title&gt;J Cell Biol&lt;/secondary-title&gt;&lt;/titles&gt;&lt;periodical&gt;&lt;full-title&gt;J Cell Biol&lt;/full-title&gt;&lt;/periodical&gt;&lt;pages&gt;559-61&lt;/pages&gt;&lt;volume&gt;203&lt;/volume&gt;&lt;number&gt;4&lt;/number&gt;&lt;edition&gt;20131108&lt;/edition&gt;&lt;keywords&gt;&lt;keyword&gt;Animals&lt;/keyword&gt;&lt;keyword&gt;Cell Membrane/*metabolism&lt;/keyword&gt;&lt;keyword&gt;Humans&lt;/keyword&gt;&lt;keyword&gt;*Nobel Prize&lt;/keyword&gt;&lt;keyword&gt;Protein Transport&lt;/keyword&gt;&lt;keyword&gt;Saccharomyces cerevisiae/metabolism&lt;/keyword&gt;&lt;keyword&gt;Synaptic Vesicles/metabolism&lt;/keyword&gt;&lt;keyword&gt;Transport Vesicles/*metabolism&lt;/keyword&gt;&lt;keyword&gt;Vesicular Transport Proteins/metabolism&lt;/keyword&gt;&lt;/keywords&gt;&lt;dates&gt;&lt;year&gt;2013&lt;/year&gt;&lt;pub-dates&gt;&lt;date&gt;Nov 25&lt;/date&gt;&lt;/pub-dates&gt;&lt;/dates&gt;&lt;isbn&gt;1540-8140 (Electronic)&amp;#xD;0021-9525 (Print)&amp;#xD;0021-9525 (Linking)&lt;/isbn&gt;&lt;accession-num&gt;24215073&lt;/accession-num&gt;&lt;urls&gt;&lt;related-urls&gt;&lt;url&gt;https://www.ncbi.nlm.nih.gov/pubmed/24215073&lt;/url&gt;&lt;/related-urls&gt;&lt;/urls&gt;&lt;custom2&gt;PMC3840937&lt;/custom2&gt;&lt;electronic-resource-num&gt;10.1083/jcb.201310134&lt;/electronic-resource-num&gt;&lt;remote-database-name&gt;Medline&lt;/remote-database-name&gt;&lt;remote-database-provider&gt;NLM&lt;/remote-database-provider&gt;&lt;/record&gt;&lt;/Cite&gt;&lt;/EndNote&gt;</w:instrText>
      </w:r>
      <w:r>
        <w:rPr>
          <w:rFonts w:ascii="Calibri" w:hAnsi="Calibri" w:cs="Calibri"/>
          <w:color w:val="000000" w:themeColor="text1"/>
          <w:sz w:val="24"/>
          <w:szCs w:val="24"/>
          <w14:textFill>
            <w14:solidFill>
              <w14:schemeClr w14:val="tx1"/>
            </w14:solidFill>
          </w14:textFill>
        </w:rPr>
        <w:fldChar w:fldCharType="separate"/>
      </w:r>
      <w:r>
        <w:rPr>
          <w:rFonts w:ascii="Calibri" w:hAnsi="Calibri" w:cs="Calibri"/>
          <w:color w:val="000000" w:themeColor="text1"/>
          <w:sz w:val="24"/>
          <w:szCs w:val="24"/>
          <w:vertAlign w:val="superscript"/>
          <w14:textFill>
            <w14:solidFill>
              <w14:schemeClr w14:val="tx1"/>
            </w14:solidFill>
          </w14:textFill>
        </w:rPr>
        <w:t>5</w:t>
      </w:r>
      <w:r>
        <w:rPr>
          <w:rFonts w:ascii="Calibri" w:hAnsi="Calibri" w:cs="Calibri"/>
          <w:color w:val="000000" w:themeColor="text1"/>
          <w:sz w:val="24"/>
          <w:szCs w:val="24"/>
          <w14:textFill>
            <w14:solidFill>
              <w14:schemeClr w14:val="tx1"/>
            </w14:solidFill>
          </w14:textFill>
        </w:rPr>
        <w:fldChar w:fldCharType="end"/>
      </w:r>
      <w:r>
        <w:rPr>
          <w:rFonts w:ascii="Calibri" w:hAnsi="Calibri" w:cs="Calibri"/>
          <w:color w:val="000000" w:themeColor="text1"/>
          <w:sz w:val="24"/>
          <w:szCs w:val="24"/>
          <w14:textFill>
            <w14:solidFill>
              <w14:schemeClr w14:val="tx1"/>
            </w14:solidFill>
          </w14:textFill>
        </w:rPr>
        <w:fldChar w:fldCharType="end"/>
      </w:r>
      <w:r>
        <w:rPr>
          <w:rFonts w:ascii="Calibri" w:hAnsi="Calibri" w:cs="Calibri"/>
          <w:color w:val="000000" w:themeColor="text1"/>
          <w:sz w:val="24"/>
          <w:szCs w:val="24"/>
          <w14:textFill>
            <w14:solidFill>
              <w14:schemeClr w14:val="tx1"/>
            </w14:solidFill>
          </w14:textFill>
        </w:rPr>
        <w:t>. The assembly of the COPII coat—comprising the small GTPase Sar1, the inner-coat Sec23/24 complex, and the outer-coat Sec13/31 complex—is responsible for both deforming the ER membrane into vesicles and selectively recruiting cargo</w:t>
      </w:r>
      <w:r>
        <w:rPr>
          <w:rFonts w:ascii="Calibri" w:hAnsi="Calibri" w:cs="Calibri"/>
          <w:color w:val="000000" w:themeColor="text1"/>
          <w:sz w:val="24"/>
          <w:szCs w:val="24"/>
          <w14:textFill>
            <w14:solidFill>
              <w14:schemeClr w14:val="tx1"/>
            </w14:solidFill>
          </w14:textFill>
        </w:rPr>
        <w:fldChar w:fldCharType="begin">
          <w:fldData xml:space="preserve">PEVuZE5vdGU+PENpdGU+PEF1dGhvcj5Cb25pZmFjaW5vPC9BdXRob3I+PFllYXI+MjAwNDwvWWVh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</w:fldData>
        </w:fldChar>
      </w:r>
      <w:r>
        <w:rPr>
          <w:rFonts w:ascii="Calibri" w:hAnsi="Calibri" w:cs="Calibri"/>
          <w:color w:val="000000" w:themeColor="text1"/>
          <w:sz w:val="24"/>
          <w:szCs w:val="24"/>
          <w14:textFill>
            <w14:solidFill>
              <w14:schemeClr w14:val="tx1"/>
            </w14:solidFill>
          </w14:textFill>
        </w:rPr>
        <w:instrText xml:space="preserve"> ADDIN EN.CITE </w:instrText>
      </w:r>
      <w:r>
        <w:rPr>
          <w:rFonts w:ascii="Calibri" w:hAnsi="Calibri" w:cs="Calibri"/>
          <w:color w:val="000000" w:themeColor="text1"/>
          <w:sz w:val="24"/>
          <w:szCs w:val="24"/>
          <w14:textFill>
            <w14:solidFill>
              <w14:schemeClr w14:val="tx1"/>
            </w14:solidFill>
          </w14:textFill>
        </w:rPr>
        <w:fldChar w:fldCharType="begin">
          <w:fldData xml:space="preserve">PEVuZE5vdGU+PENpdGU+PEF1dGhvcj5Cb25pZmFjaW5vPC9BdXRob3I+PFllYXI+MjAwNDwvWWVh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</w:fldData>
        </w:fldChar>
      </w:r>
      <w:r>
        <w:rPr>
          <w:rFonts w:ascii="Calibri" w:hAnsi="Calibri" w:cs="Calibri"/>
          <w:color w:val="000000" w:themeColor="text1"/>
          <w:sz w:val="24"/>
          <w:szCs w:val="24"/>
          <w14:textFill>
            <w14:solidFill>
              <w14:schemeClr w14:val="tx1"/>
            </w14:solidFill>
          </w14:textFill>
        </w:rPr>
        <w:instrText xml:space="preserve"> ADDIN EN.CITE.DATA </w:instrText>
      </w:r>
      <w:r>
        <w:rPr>
          <w:rFonts w:ascii="Calibri" w:hAnsi="Calibri" w:cs="Calibri"/>
          <w:color w:val="000000" w:themeColor="text1"/>
          <w:sz w:val="24"/>
          <w:szCs w:val="24"/>
          <w14:textFill>
            <w14:solidFill>
              <w14:schemeClr w14:val="tx1"/>
            </w14:solidFill>
          </w14:textFill>
        </w:rPr>
        <w:fldChar w:fldCharType="end"/>
      </w:r>
      <w:r>
        <w:rPr>
          <w:rFonts w:ascii="Calibri" w:hAnsi="Calibri" w:cs="Calibri"/>
          <w:color w:val="000000" w:themeColor="text1"/>
          <w:sz w:val="24"/>
          <w:szCs w:val="24"/>
          <w14:textFill>
            <w14:solidFill>
              <w14:schemeClr w14:val="tx1"/>
            </w14:solidFill>
          </w14:textFill>
        </w:rPr>
        <w:fldChar w:fldCharType="separate"/>
      </w:r>
      <w:r>
        <w:fldChar w:fldCharType="begin"/>
      </w:r>
      <w:r>
        <w:instrText xml:space="preserve"> HYPERLINK \l "_ENREF_6" \o "Bonifacino, 2004 #141" </w:instrText>
      </w:r>
      <w:r>
        <w:fldChar w:fldCharType="separate"/>
      </w:r>
      <w:r>
        <w:rPr>
          <w:rFonts w:ascii="Calibri" w:hAnsi="Calibri" w:cs="Calibri"/>
          <w:color w:val="000000" w:themeColor="text1"/>
          <w:sz w:val="24"/>
          <w:szCs w:val="24"/>
          <w:vertAlign w:val="superscript"/>
          <w14:textFill>
            <w14:solidFill>
              <w14:schemeClr w14:val="tx1"/>
            </w14:solidFill>
          </w14:textFill>
        </w:rPr>
        <w:t>6</w:t>
      </w:r>
      <w:r>
        <w:rPr>
          <w:rFonts w:ascii="Calibri" w:hAnsi="Calibri" w:cs="Calibri"/>
          <w:color w:val="000000" w:themeColor="text1"/>
          <w:sz w:val="24"/>
          <w:szCs w:val="24"/>
          <w:vertAlign w:val="superscript"/>
          <w14:textFill>
            <w14:solidFill>
              <w14:schemeClr w14:val="tx1"/>
            </w14:solidFill>
          </w14:textFill>
        </w:rPr>
        <w:fldChar w:fldCharType="end"/>
      </w:r>
      <w:r>
        <w:rPr>
          <w:rFonts w:ascii="Calibri" w:hAnsi="Calibri" w:cs="Calibri"/>
          <w:color w:val="000000" w:themeColor="text1"/>
          <w:sz w:val="24"/>
          <w:szCs w:val="24"/>
          <w:vertAlign w:val="superscript"/>
          <w14:textFill>
            <w14:solidFill>
              <w14:schemeClr w14:val="tx1"/>
            </w14:solidFill>
          </w14:textFill>
        </w:rPr>
        <w:t>,</w:t>
      </w:r>
      <w:r>
        <w:fldChar w:fldCharType="begin"/>
      </w:r>
      <w:r>
        <w:instrText xml:space="preserve"> HYPERLINK \l "_ENREF_7" \o "Barlowe, 1994 #117" </w:instrText>
      </w:r>
      <w:r>
        <w:fldChar w:fldCharType="separate"/>
      </w:r>
      <w:r>
        <w:rPr>
          <w:rFonts w:ascii="Calibri" w:hAnsi="Calibri" w:cs="Calibri"/>
          <w:color w:val="000000" w:themeColor="text1"/>
          <w:sz w:val="24"/>
          <w:szCs w:val="24"/>
          <w:vertAlign w:val="superscript"/>
          <w14:textFill>
            <w14:solidFill>
              <w14:schemeClr w14:val="tx1"/>
            </w14:solidFill>
          </w14:textFill>
        </w:rPr>
        <w:t>7</w:t>
      </w:r>
      <w:r>
        <w:rPr>
          <w:rFonts w:ascii="Calibri" w:hAnsi="Calibri" w:cs="Calibri"/>
          <w:color w:val="000000" w:themeColor="text1"/>
          <w:sz w:val="24"/>
          <w:szCs w:val="24"/>
          <w:vertAlign w:val="superscript"/>
          <w14:textFill>
            <w14:solidFill>
              <w14:schemeClr w14:val="tx1"/>
            </w14:solidFill>
          </w14:textFill>
        </w:rPr>
        <w:fldChar w:fldCharType="end"/>
      </w:r>
      <w:r>
        <w:rPr>
          <w:rFonts w:ascii="Calibri" w:hAnsi="Calibri" w:cs="Calibri"/>
          <w:color w:val="000000" w:themeColor="text1"/>
          <w:sz w:val="24"/>
          <w:szCs w:val="24"/>
          <w14:textFill>
            <w14:solidFill>
              <w14:schemeClr w14:val="tx1"/>
            </w14:solidFill>
          </w14:textFill>
        </w:rPr>
        <w:fldChar w:fldCharType="end"/>
      </w:r>
      <w:r>
        <w:rPr>
          <w:rFonts w:ascii="Calibri" w:hAnsi="Calibri" w:cs="Calibri"/>
          <w:color w:val="000000" w:themeColor="text1"/>
          <w:sz w:val="24"/>
          <w:szCs w:val="24"/>
          <w14:textFill>
            <w14:solidFill>
              <w14:schemeClr w14:val="tx1"/>
            </w14:solidFill>
          </w14:textFill>
        </w:rPr>
        <w:t xml:space="preserve">. Sec22b is sorted into COPII vesicles </w:t>
      </w:r>
      <w:r>
        <w:rPr>
          <w:rFonts w:ascii="Calibri" w:hAnsi="Calibri" w:cs="Calibri"/>
          <w:i/>
          <w:iCs/>
          <w:color w:val="000000" w:themeColor="text1"/>
          <w:sz w:val="24"/>
          <w:szCs w:val="24"/>
          <w14:textFill>
            <w14:solidFill>
              <w14:schemeClr w14:val="tx1"/>
            </w14:solidFill>
          </w14:textFill>
        </w:rPr>
        <w:t xml:space="preserve">via </w:t>
      </w:r>
      <w:r>
        <w:rPr>
          <w:rFonts w:ascii="Calibri" w:hAnsi="Calibri" w:cs="Calibri"/>
          <w:color w:val="000000" w:themeColor="text1"/>
          <w:sz w:val="24"/>
          <w:szCs w:val="24"/>
          <w14:textFill>
            <w14:solidFill>
              <w14:schemeClr w14:val="tx1"/>
            </w14:solidFill>
          </w14:textFill>
        </w:rPr>
        <w:t>a structural epitope recognized by the Sec23/24 complex of COPII</w:t>
      </w:r>
      <w:r>
        <w:fldChar w:fldCharType="begin"/>
      </w:r>
      <w:r>
        <w:instrText xml:space="preserve"> HYPERLINK \l "_ENREF_8" \o "Mancias, 2007 #7249" </w:instrText>
      </w:r>
      <w:r>
        <w:fldChar w:fldCharType="separate"/>
      </w:r>
      <w:r>
        <w:rPr>
          <w:rFonts w:ascii="Calibri" w:hAnsi="Calibri" w:cs="Calibri"/>
          <w:color w:val="000000" w:themeColor="text1"/>
          <w:sz w:val="24"/>
          <w:szCs w:val="24"/>
          <w14:textFill>
            <w14:solidFill>
              <w14:schemeClr w14:val="tx1"/>
            </w14:solidFill>
          </w14:textFill>
        </w:rPr>
        <w:fldChar w:fldCharType="begin">
          <w:fldData xml:space="preserve">PEVuZE5vdGU+PENpdGU+PEF1dGhvcj5NYW5jaWFzPC9BdXRob3I+PFllYXI+MjAwNzwvWWVhcj48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</w:fldData>
        </w:fldChar>
      </w:r>
      <w:r>
        <w:rPr>
          <w:rFonts w:ascii="Calibri" w:hAnsi="Calibri" w:cs="Calibri"/>
          <w:color w:val="000000" w:themeColor="text1"/>
          <w:sz w:val="24"/>
          <w:szCs w:val="24"/>
          <w14:textFill>
            <w14:solidFill>
              <w14:schemeClr w14:val="tx1"/>
            </w14:solidFill>
          </w14:textFill>
        </w:rPr>
        <w:instrText xml:space="preserve"> ADDIN EN.CITE </w:instrText>
      </w:r>
      <w:r>
        <w:rPr>
          <w:rFonts w:ascii="Calibri" w:hAnsi="Calibri" w:cs="Calibri"/>
          <w:color w:val="000000" w:themeColor="text1"/>
          <w:sz w:val="24"/>
          <w:szCs w:val="24"/>
          <w14:textFill>
            <w14:solidFill>
              <w14:schemeClr w14:val="tx1"/>
            </w14:solidFill>
          </w14:textFill>
        </w:rPr>
        <w:fldChar w:fldCharType="begin">
          <w:fldData xml:space="preserve">PEVuZE5vdGU+PENpdGU+PEF1dGhvcj5NYW5jaWFzPC9BdXRob3I+PFllYXI+MjAwNzwvWWVhcj48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</w:fldData>
        </w:fldChar>
      </w:r>
      <w:r>
        <w:rPr>
          <w:rFonts w:ascii="Calibri" w:hAnsi="Calibri" w:cs="Calibri"/>
          <w:color w:val="000000" w:themeColor="text1"/>
          <w:sz w:val="24"/>
          <w:szCs w:val="24"/>
          <w14:textFill>
            <w14:solidFill>
              <w14:schemeClr w14:val="tx1"/>
            </w14:solidFill>
          </w14:textFill>
        </w:rPr>
        <w:instrText xml:space="preserve"> ADDIN EN.CITE.DATA </w:instrText>
      </w:r>
      <w:r>
        <w:rPr>
          <w:rFonts w:ascii="Calibri" w:hAnsi="Calibri" w:cs="Calibri"/>
          <w:color w:val="000000" w:themeColor="text1"/>
          <w:sz w:val="24"/>
          <w:szCs w:val="24"/>
          <w14:textFill>
            <w14:solidFill>
              <w14:schemeClr w14:val="tx1"/>
            </w14:solidFill>
          </w14:textFill>
        </w:rPr>
        <w:fldChar w:fldCharType="end"/>
      </w:r>
      <w:r>
        <w:rPr>
          <w:rFonts w:ascii="Calibri" w:hAnsi="Calibri" w:cs="Calibri"/>
          <w:color w:val="000000" w:themeColor="text1"/>
          <w:sz w:val="24"/>
          <w:szCs w:val="24"/>
          <w14:textFill>
            <w14:solidFill>
              <w14:schemeClr w14:val="tx1"/>
            </w14:solidFill>
          </w14:textFill>
        </w:rPr>
        <w:fldChar w:fldCharType="separate"/>
      </w:r>
      <w:r>
        <w:rPr>
          <w:rFonts w:ascii="Calibri" w:hAnsi="Calibri" w:cs="Calibri"/>
          <w:color w:val="000000" w:themeColor="text1"/>
          <w:sz w:val="24"/>
          <w:szCs w:val="24"/>
          <w:vertAlign w:val="superscript"/>
          <w14:textFill>
            <w14:solidFill>
              <w14:schemeClr w14:val="tx1"/>
            </w14:solidFill>
          </w14:textFill>
        </w:rPr>
        <w:t>8</w:t>
      </w:r>
      <w:r>
        <w:rPr>
          <w:rFonts w:ascii="Calibri" w:hAnsi="Calibri" w:cs="Calibri"/>
          <w:color w:val="000000" w:themeColor="text1"/>
          <w:sz w:val="24"/>
          <w:szCs w:val="24"/>
          <w14:textFill>
            <w14:solidFill>
              <w14:schemeClr w14:val="tx1"/>
            </w14:solidFill>
          </w14:textFill>
        </w:rPr>
        <w:fldChar w:fldCharType="end"/>
      </w:r>
      <w:r>
        <w:rPr>
          <w:rFonts w:ascii="Calibri" w:hAnsi="Calibri" w:cs="Calibri"/>
          <w:color w:val="000000" w:themeColor="text1"/>
          <w:sz w:val="24"/>
          <w:szCs w:val="24"/>
          <w14:textFill>
            <w14:solidFill>
              <w14:schemeClr w14:val="tx1"/>
            </w14:solidFill>
          </w14:textFill>
        </w:rPr>
        <w:fldChar w:fldCharType="end"/>
      </w:r>
      <w:r>
        <w:rPr>
          <w:rFonts w:ascii="Calibri" w:hAnsi="Calibri" w:cs="Calibri"/>
          <w:color w:val="000000" w:themeColor="text1"/>
          <w:sz w:val="24"/>
          <w:szCs w:val="24"/>
          <w14:textFill>
            <w14:solidFill>
              <w14:schemeClr w14:val="tx1"/>
            </w14:solidFill>
          </w14:textFill>
        </w:rPr>
        <w:t>. Other cargoes include the p24 family and the ERGIC marker ERGIC-53, both of which depend on a C-terminal dihydrophobic φC motif for sorting</w:t>
      </w:r>
      <w:r>
        <w:fldChar w:fldCharType="begin"/>
      </w:r>
      <w:r>
        <w:instrText xml:space="preserve"> HYPERLINK \l "_ENREF_9" \o "Ma, 2017 #144" </w:instrText>
      </w:r>
      <w:r>
        <w:fldChar w:fldCharType="separate"/>
      </w:r>
      <w:r>
        <w:rPr>
          <w:rFonts w:ascii="Calibri" w:hAnsi="Calibri" w:cs="Calibri"/>
          <w:color w:val="000000" w:themeColor="text1"/>
          <w:sz w:val="24"/>
          <w:szCs w:val="24"/>
          <w14:textFill>
            <w14:solidFill>
              <w14:schemeClr w14:val="tx1"/>
            </w14:solidFill>
          </w14:textFill>
        </w:rPr>
        <w:fldChar w:fldCharType="begin">
          <w:fldData xml:space="preserve">PEVuZE5vdGU+PENpdGU+PEF1dGhvcj5NYTwvQXV0aG9yPjxZZWFyPjIwMTc8L1llYXI+PFJlY051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</w:fldData>
        </w:fldChar>
      </w:r>
      <w:r>
        <w:rPr>
          <w:rFonts w:ascii="Calibri" w:hAnsi="Calibri" w:cs="Calibri"/>
          <w:color w:val="000000" w:themeColor="text1"/>
          <w:sz w:val="24"/>
          <w:szCs w:val="24"/>
          <w14:textFill>
            <w14:solidFill>
              <w14:schemeClr w14:val="tx1"/>
            </w14:solidFill>
          </w14:textFill>
        </w:rPr>
        <w:instrText xml:space="preserve"> ADDIN EN.CITE </w:instrText>
      </w:r>
      <w:r>
        <w:rPr>
          <w:rFonts w:ascii="Calibri" w:hAnsi="Calibri" w:cs="Calibri"/>
          <w:color w:val="000000" w:themeColor="text1"/>
          <w:sz w:val="24"/>
          <w:szCs w:val="24"/>
          <w14:textFill>
            <w14:solidFill>
              <w14:schemeClr w14:val="tx1"/>
            </w14:solidFill>
          </w14:textFill>
        </w:rPr>
        <w:fldChar w:fldCharType="begin">
          <w:fldData xml:space="preserve">PEVuZE5vdGU+PENpdGU+PEF1dGhvcj5NYTwvQXV0aG9yPjxZZWFyPjIwMTc8L1llYXI+PFJlY051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</w:fldData>
        </w:fldChar>
      </w:r>
      <w:r>
        <w:rPr>
          <w:rFonts w:ascii="Calibri" w:hAnsi="Calibri" w:cs="Calibri"/>
          <w:color w:val="000000" w:themeColor="text1"/>
          <w:sz w:val="24"/>
          <w:szCs w:val="24"/>
          <w14:textFill>
            <w14:solidFill>
              <w14:schemeClr w14:val="tx1"/>
            </w14:solidFill>
          </w14:textFill>
        </w:rPr>
        <w:instrText xml:space="preserve"> ADDIN EN.CITE.DATA </w:instrText>
      </w:r>
      <w:r>
        <w:rPr>
          <w:rFonts w:ascii="Calibri" w:hAnsi="Calibri" w:cs="Calibri"/>
          <w:color w:val="000000" w:themeColor="text1"/>
          <w:sz w:val="24"/>
          <w:szCs w:val="24"/>
          <w14:textFill>
            <w14:solidFill>
              <w14:schemeClr w14:val="tx1"/>
            </w14:solidFill>
          </w14:textFill>
        </w:rPr>
        <w:fldChar w:fldCharType="end"/>
      </w:r>
      <w:r>
        <w:rPr>
          <w:rFonts w:ascii="Calibri" w:hAnsi="Calibri" w:cs="Calibri"/>
          <w:color w:val="000000" w:themeColor="text1"/>
          <w:sz w:val="24"/>
          <w:szCs w:val="24"/>
          <w14:textFill>
            <w14:solidFill>
              <w14:schemeClr w14:val="tx1"/>
            </w14:solidFill>
          </w14:textFill>
        </w:rPr>
        <w:fldChar w:fldCharType="separate"/>
      </w:r>
      <w:r>
        <w:rPr>
          <w:rFonts w:ascii="Calibri" w:hAnsi="Calibri" w:cs="Calibri"/>
          <w:color w:val="000000" w:themeColor="text1"/>
          <w:sz w:val="24"/>
          <w:szCs w:val="24"/>
          <w:vertAlign w:val="superscript"/>
          <w14:textFill>
            <w14:solidFill>
              <w14:schemeClr w14:val="tx1"/>
            </w14:solidFill>
          </w14:textFill>
        </w:rPr>
        <w:t>9</w:t>
      </w:r>
      <w:r>
        <w:rPr>
          <w:rFonts w:ascii="Calibri" w:hAnsi="Calibri" w:cs="Calibri"/>
          <w:color w:val="000000" w:themeColor="text1"/>
          <w:sz w:val="24"/>
          <w:szCs w:val="24"/>
          <w14:textFill>
            <w14:solidFill>
              <w14:schemeClr w14:val="tx1"/>
            </w14:solidFill>
          </w14:textFill>
        </w:rPr>
        <w:fldChar w:fldCharType="end"/>
      </w:r>
      <w:r>
        <w:rPr>
          <w:rFonts w:ascii="Calibri" w:hAnsi="Calibri" w:cs="Calibri"/>
          <w:color w:val="000000" w:themeColor="text1"/>
          <w:sz w:val="24"/>
          <w:szCs w:val="24"/>
          <w14:textFill>
            <w14:solidFill>
              <w14:schemeClr w14:val="tx1"/>
            </w14:solidFill>
          </w14:textFill>
        </w:rPr>
        <w:fldChar w:fldCharType="end"/>
      </w:r>
      <w:r>
        <w:rPr>
          <w:rFonts w:ascii="Calibri" w:hAnsi="Calibri" w:cs="Calibri"/>
          <w:color w:val="000000" w:themeColor="text1"/>
          <w:sz w:val="24"/>
          <w:szCs w:val="24"/>
          <w14:textFill>
            <w14:solidFill>
              <w14:schemeClr w14:val="tx1"/>
            </w14:solidFill>
          </w14:textFill>
        </w:rPr>
        <w:t xml:space="preserve">. In contrast, certain ER-anchored proteins, such as ribophorin I (RPN1), remain confined to the ER and serve as markers of intact ER structures, as they are not transported </w:t>
      </w:r>
      <w:r>
        <w:rPr>
          <w:rFonts w:ascii="Calibri" w:hAnsi="Calibri" w:cs="Calibri"/>
          <w:i/>
          <w:iCs/>
          <w:color w:val="000000" w:themeColor="text1"/>
          <w:sz w:val="24"/>
          <w:szCs w:val="24"/>
          <w14:textFill>
            <w14:solidFill>
              <w14:schemeClr w14:val="tx1"/>
            </w14:solidFill>
          </w14:textFill>
        </w:rPr>
        <w:t xml:space="preserve">via </w:t>
      </w:r>
      <w:r>
        <w:rPr>
          <w:rFonts w:ascii="Calibri" w:hAnsi="Calibri" w:cs="Calibri"/>
          <w:color w:val="000000" w:themeColor="text1"/>
          <w:sz w:val="24"/>
          <w:szCs w:val="24"/>
          <w14:textFill>
            <w14:solidFill>
              <w14:schemeClr w14:val="tx1"/>
            </w14:solidFill>
          </w14:textFill>
        </w:rPr>
        <w:t>COPII vesicles</w:t>
      </w:r>
      <w:r>
        <w:fldChar w:fldCharType="begin"/>
      </w:r>
      <w:r>
        <w:instrText xml:space="preserve"> HYPERLINK \l "_ENREF_10" \o "Wilson, 2005 #132" </w:instrText>
      </w:r>
      <w:r>
        <w:fldChar w:fldCharType="separate"/>
      </w:r>
      <w:r>
        <w:rPr>
          <w:rFonts w:ascii="Calibri" w:hAnsi="Calibri" w:cs="Calibri"/>
          <w:color w:val="000000" w:themeColor="text1"/>
          <w:sz w:val="24"/>
          <w:szCs w:val="24"/>
          <w14:textFill>
            <w14:solidFill>
              <w14:schemeClr w14:val="tx1"/>
            </w14:solidFill>
          </w14:textFill>
        </w:rPr>
        <w:fldChar w:fldCharType="begin">
          <w:fldData xml:space="preserve">PEVuZE5vdGU+PENpdGU+PEF1dGhvcj5XaWxzb248L0F1dGhvcj48WWVhcj4yMDA1PC9ZZWFyPjxS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</w:fldData>
        </w:fldChar>
      </w:r>
      <w:r>
        <w:rPr>
          <w:rFonts w:ascii="Calibri" w:hAnsi="Calibri" w:cs="Calibri"/>
          <w:color w:val="000000" w:themeColor="text1"/>
          <w:sz w:val="24"/>
          <w:szCs w:val="24"/>
          <w14:textFill>
            <w14:solidFill>
              <w14:schemeClr w14:val="tx1"/>
            </w14:solidFill>
          </w14:textFill>
        </w:rPr>
        <w:instrText xml:space="preserve"> ADDIN EN.CITE </w:instrText>
      </w:r>
      <w:r>
        <w:rPr>
          <w:rFonts w:ascii="Calibri" w:hAnsi="Calibri" w:cs="Calibri"/>
          <w:color w:val="000000" w:themeColor="text1"/>
          <w:sz w:val="24"/>
          <w:szCs w:val="24"/>
          <w14:textFill>
            <w14:solidFill>
              <w14:schemeClr w14:val="tx1"/>
            </w14:solidFill>
          </w14:textFill>
        </w:rPr>
        <w:fldChar w:fldCharType="begin">
          <w:fldData xml:space="preserve">PEVuZE5vdGU+PENpdGU+PEF1dGhvcj5XaWxzb248L0F1dGhvcj48WWVhcj4yMDA1PC9ZZWFyPjxS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</w:fldData>
        </w:fldChar>
      </w:r>
      <w:r>
        <w:rPr>
          <w:rFonts w:ascii="Calibri" w:hAnsi="Calibri" w:cs="Calibri"/>
          <w:color w:val="000000" w:themeColor="text1"/>
          <w:sz w:val="24"/>
          <w:szCs w:val="24"/>
          <w14:textFill>
            <w14:solidFill>
              <w14:schemeClr w14:val="tx1"/>
            </w14:solidFill>
          </w14:textFill>
        </w:rPr>
        <w:instrText xml:space="preserve"> ADDIN EN.CITE.DATA </w:instrText>
      </w:r>
      <w:r>
        <w:rPr>
          <w:rFonts w:ascii="Calibri" w:hAnsi="Calibri" w:cs="Calibri"/>
          <w:color w:val="000000" w:themeColor="text1"/>
          <w:sz w:val="24"/>
          <w:szCs w:val="24"/>
          <w14:textFill>
            <w14:solidFill>
              <w14:schemeClr w14:val="tx1"/>
            </w14:solidFill>
          </w14:textFill>
        </w:rPr>
        <w:fldChar w:fldCharType="end"/>
      </w:r>
      <w:r>
        <w:rPr>
          <w:rFonts w:ascii="Calibri" w:hAnsi="Calibri" w:cs="Calibri"/>
          <w:color w:val="000000" w:themeColor="text1"/>
          <w:sz w:val="24"/>
          <w:szCs w:val="24"/>
          <w14:textFill>
            <w14:solidFill>
              <w14:schemeClr w14:val="tx1"/>
            </w14:solidFill>
          </w14:textFill>
        </w:rPr>
        <w:fldChar w:fldCharType="separate"/>
      </w:r>
      <w:r>
        <w:rPr>
          <w:rFonts w:ascii="Calibri" w:hAnsi="Calibri" w:cs="Calibri"/>
          <w:color w:val="000000" w:themeColor="text1"/>
          <w:sz w:val="24"/>
          <w:szCs w:val="24"/>
          <w:vertAlign w:val="superscript"/>
          <w14:textFill>
            <w14:solidFill>
              <w14:schemeClr w14:val="tx1"/>
            </w14:solidFill>
          </w14:textFill>
        </w:rPr>
        <w:t>10</w:t>
      </w:r>
      <w:r>
        <w:rPr>
          <w:rFonts w:ascii="Calibri" w:hAnsi="Calibri" w:cs="Calibri"/>
          <w:color w:val="000000" w:themeColor="text1"/>
          <w:sz w:val="24"/>
          <w:szCs w:val="24"/>
          <w14:textFill>
            <w14:solidFill>
              <w14:schemeClr w14:val="tx1"/>
            </w14:solidFill>
          </w14:textFill>
        </w:rPr>
        <w:fldChar w:fldCharType="end"/>
      </w:r>
      <w:r>
        <w:rPr>
          <w:rFonts w:ascii="Calibri" w:hAnsi="Calibri" w:cs="Calibri"/>
          <w:color w:val="000000" w:themeColor="text1"/>
          <w:sz w:val="24"/>
          <w:szCs w:val="24"/>
          <w14:textFill>
            <w14:solidFill>
              <w14:schemeClr w14:val="tx1"/>
            </w14:solidFill>
          </w14:textFill>
        </w:rPr>
        <w:fldChar w:fldCharType="end"/>
      </w:r>
      <w:r>
        <w:rPr>
          <w:rFonts w:ascii="Calibri" w:hAnsi="Calibri" w:cs="Calibri"/>
          <w:color w:val="000000" w:themeColor="text1"/>
          <w:sz w:val="24"/>
          <w:szCs w:val="24"/>
          <w14:textFill>
            <w14:solidFill>
              <w14:schemeClr w14:val="tx1"/>
            </w14:solidFill>
          </w14:textFill>
        </w:rPr>
        <w:t>. Consequently, in cell-free COPII vesicle reconstitution experiments, Sec22b and p24 are often considered as COPII cargoes, while ribophorin serves as a marker to monitor ER contamination in vesicle preparations. While the general machinery of COPII transport is well-characterized, the specific molecular cues that trigger the selective sequestration of activated STING into these vesicles remain elusive. Understanding these sorting mechanisms is vital, as dysregulation of STING transport is linked to various autoimmune and autoinflammatory diseases</w:t>
      </w:r>
      <w:r>
        <w:rPr>
          <w:rFonts w:ascii="Calibri" w:hAnsi="Calibri" w:cs="Calibri"/>
          <w:sz w:val="24"/>
          <w:szCs w:val="24"/>
        </w:rPr>
        <w:t>,</w:t>
      </w:r>
      <w:r>
        <w:rPr>
          <w:rFonts w:ascii="Calibri" w:hAnsi="Calibri" w:cs="Calibri"/>
          <w:color w:val="1A1C1E"/>
          <w:sz w:val="24"/>
          <w:szCs w:val="24"/>
          <w:shd w:val="clear" w:color="auto" w:fill="FFFFFF"/>
        </w:rPr>
        <w:t xml:space="preserve"> </w:t>
      </w:r>
      <w:r>
        <w:rPr>
          <w:rFonts w:ascii="Calibri" w:hAnsi="Calibri" w:cs="Calibri"/>
          <w:color w:val="000000" w:themeColor="text1"/>
          <w:sz w:val="24"/>
          <w:szCs w:val="24"/>
          <w14:textFill>
            <w14:solidFill>
              <w14:schemeClr w14:val="tx1"/>
            </w14:solidFill>
          </w14:textFill>
        </w:rPr>
        <w:t>such as STING-associated vasculopathy with onset in infancy (SAVI) and COPA syndrome</w:t>
      </w:r>
      <w:r>
        <w:fldChar w:fldCharType="begin"/>
      </w:r>
      <w:r>
        <w:instrText xml:space="preserve"> HYPERLINK \l "_ENREF_11" \o "Liu, 2014 #124" </w:instrText>
      </w:r>
      <w:r>
        <w:fldChar w:fldCharType="separate"/>
      </w:r>
      <w:r>
        <w:rPr>
          <w:rFonts w:ascii="Calibri" w:hAnsi="Calibri" w:cs="Calibri"/>
          <w:color w:val="000000" w:themeColor="text1"/>
          <w:sz w:val="24"/>
          <w:szCs w:val="24"/>
          <w14:textFill>
            <w14:solidFill>
              <w14:schemeClr w14:val="tx1"/>
            </w14:solidFill>
          </w14:textFill>
        </w:rPr>
        <w:fldChar w:fldCharType="begin">
          <w:fldData xml:space="preserve">PEVuZE5vdGU+PENpdGU+PEF1dGhvcj5MaXU8L0F1dGhvcj48WWVhcj4yMDE0PC9ZZWFyPjxSZWNO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</w:fldData>
        </w:fldChar>
      </w:r>
      <w:r>
        <w:rPr>
          <w:rFonts w:ascii="Calibri" w:hAnsi="Calibri" w:cs="Calibri"/>
          <w:color w:val="000000" w:themeColor="text1"/>
          <w:sz w:val="24"/>
          <w:szCs w:val="24"/>
          <w14:textFill>
            <w14:solidFill>
              <w14:schemeClr w14:val="tx1"/>
            </w14:solidFill>
          </w14:textFill>
        </w:rPr>
        <w:instrText xml:space="preserve"> ADDIN EN.CITE </w:instrText>
      </w:r>
      <w:r>
        <w:rPr>
          <w:rFonts w:ascii="Calibri" w:hAnsi="Calibri" w:cs="Calibri"/>
          <w:color w:val="000000" w:themeColor="text1"/>
          <w:sz w:val="24"/>
          <w:szCs w:val="24"/>
          <w14:textFill>
            <w14:solidFill>
              <w14:schemeClr w14:val="tx1"/>
            </w14:solidFill>
          </w14:textFill>
        </w:rPr>
        <w:fldChar w:fldCharType="begin">
          <w:fldData xml:space="preserve">PEVuZE5vdGU+PENpdGU+PEF1dGhvcj5MaXU8L0F1dGhvcj48WWVhcj4yMDE0PC9ZZWFyPjxSZWNO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</w:fldData>
        </w:fldChar>
      </w:r>
      <w:r>
        <w:rPr>
          <w:rFonts w:ascii="Calibri" w:hAnsi="Calibri" w:cs="Calibri"/>
          <w:color w:val="000000" w:themeColor="text1"/>
          <w:sz w:val="24"/>
          <w:szCs w:val="24"/>
          <w14:textFill>
            <w14:solidFill>
              <w14:schemeClr w14:val="tx1"/>
            </w14:solidFill>
          </w14:textFill>
        </w:rPr>
        <w:instrText xml:space="preserve"> ADDIN EN.CITE.DATA </w:instrText>
      </w:r>
      <w:r>
        <w:rPr>
          <w:rFonts w:ascii="Calibri" w:hAnsi="Calibri" w:cs="Calibri"/>
          <w:color w:val="000000" w:themeColor="text1"/>
          <w:sz w:val="24"/>
          <w:szCs w:val="24"/>
          <w14:textFill>
            <w14:solidFill>
              <w14:schemeClr w14:val="tx1"/>
            </w14:solidFill>
          </w14:textFill>
        </w:rPr>
        <w:fldChar w:fldCharType="end"/>
      </w:r>
      <w:r>
        <w:rPr>
          <w:rFonts w:ascii="Calibri" w:hAnsi="Calibri" w:cs="Calibri"/>
          <w:color w:val="000000" w:themeColor="text1"/>
          <w:sz w:val="24"/>
          <w:szCs w:val="24"/>
          <w14:textFill>
            <w14:solidFill>
              <w14:schemeClr w14:val="tx1"/>
            </w14:solidFill>
          </w14:textFill>
        </w:rPr>
        <w:fldChar w:fldCharType="separate"/>
      </w:r>
      <w:r>
        <w:rPr>
          <w:rFonts w:ascii="Calibri" w:hAnsi="Calibri" w:cs="Calibri"/>
          <w:color w:val="000000" w:themeColor="text1"/>
          <w:sz w:val="24"/>
          <w:szCs w:val="24"/>
          <w:vertAlign w:val="superscript"/>
          <w14:textFill>
            <w14:solidFill>
              <w14:schemeClr w14:val="tx1"/>
            </w14:solidFill>
          </w14:textFill>
        </w:rPr>
        <w:t>11</w:t>
      </w:r>
      <w:r>
        <w:rPr>
          <w:rFonts w:ascii="Calibri" w:hAnsi="Calibri" w:cs="Calibri"/>
          <w:color w:val="000000" w:themeColor="text1"/>
          <w:sz w:val="24"/>
          <w:szCs w:val="24"/>
          <w14:textFill>
            <w14:solidFill>
              <w14:schemeClr w14:val="tx1"/>
            </w14:solidFill>
          </w14:textFill>
        </w:rPr>
        <w:fldChar w:fldCharType="end"/>
      </w:r>
      <w:r>
        <w:rPr>
          <w:rFonts w:ascii="Calibri" w:hAnsi="Calibri" w:cs="Calibri"/>
          <w:color w:val="000000" w:themeColor="text1"/>
          <w:sz w:val="24"/>
          <w:szCs w:val="24"/>
          <w14:textFill>
            <w14:solidFill>
              <w14:schemeClr w14:val="tx1"/>
            </w14:solidFill>
          </w14:textFill>
        </w:rPr>
        <w:fldChar w:fldCharType="end"/>
      </w:r>
      <w:r>
        <w:rPr>
          <w:rFonts w:ascii="Calibri" w:hAnsi="Calibri" w:cs="Calibri"/>
          <w:color w:val="000000" w:themeColor="text1"/>
          <w:sz w:val="24"/>
          <w:szCs w:val="24"/>
          <w14:textFill>
            <w14:solidFill>
              <w14:schemeClr w14:val="tx1"/>
            </w14:solidFill>
          </w14:textFill>
        </w:rPr>
        <w:t>. However, studying these transient and highly dynamic events in intact cells remains technically challenging.</w:t>
      </w:r>
    </w:p>
    <w:p w14:paraId="0217FD9D">
      <w:pPr>
        <w:rPr>
          <w:rFonts w:ascii="Calibri" w:hAnsi="Calibri" w:cs="Calibri"/>
          <w:color w:val="000000" w:themeColor="text1"/>
          <w:sz w:val="24"/>
          <w:szCs w:val="24"/>
          <w14:textFill>
            <w14:solidFill>
              <w14:schemeClr w14:val="tx1"/>
            </w14:solidFill>
          </w14:textFill>
        </w:rPr>
      </w:pPr>
    </w:p>
    <w:p w14:paraId="5198CAC9">
      <w:pPr>
        <w:rPr>
          <w:rFonts w:ascii="Calibri" w:hAnsi="Calibri" w:cs="Calibri"/>
          <w:color w:val="000000" w:themeColor="text1"/>
          <w:sz w:val="24"/>
          <w:szCs w:val="24"/>
          <w14:textFill>
            <w14:solidFill>
              <w14:schemeClr w14:val="tx1"/>
            </w14:solidFill>
          </w14:textFill>
        </w:rPr>
      </w:pPr>
      <w:r>
        <w:rPr>
          <w:rFonts w:ascii="Calibri" w:hAnsi="Calibri" w:cs="Calibri"/>
          <w:color w:val="000000" w:themeColor="text1"/>
          <w:sz w:val="24"/>
          <w:szCs w:val="24"/>
          <w14:textFill>
            <w14:solidFill>
              <w14:schemeClr w14:val="tx1"/>
            </w14:solidFill>
          </w14:textFill>
        </w:rPr>
        <w:t xml:space="preserve">To address these challenges, an optimized cell-free reconstitution system was developed to interrogate the molecular requirements of COPII-mediated cargo sorting. While </w:t>
      </w:r>
      <w:r>
        <w:rPr>
          <w:rFonts w:ascii="Calibri" w:hAnsi="Calibri" w:cs="Calibri"/>
          <w:i/>
          <w:iCs/>
          <w:color w:val="000000" w:themeColor="text1"/>
          <w:sz w:val="24"/>
          <w:szCs w:val="24"/>
          <w14:textFill>
            <w14:solidFill>
              <w14:schemeClr w14:val="tx1"/>
            </w14:solidFill>
          </w14:textFill>
        </w:rPr>
        <w:t>in vitro</w:t>
      </w:r>
      <w:r>
        <w:rPr>
          <w:rFonts w:ascii="Calibri" w:hAnsi="Calibri" w:cs="Calibri"/>
          <w:color w:val="000000" w:themeColor="text1"/>
          <w:sz w:val="24"/>
          <w:szCs w:val="24"/>
          <w14:textFill>
            <w14:solidFill>
              <w14:schemeClr w14:val="tx1"/>
            </w14:solidFill>
          </w14:textFill>
        </w:rPr>
        <w:t xml:space="preserve"> budding assays have long been a staple of cell biology</w:t>
      </w:r>
      <w:r>
        <w:fldChar w:fldCharType="begin"/>
      </w:r>
      <w:r>
        <w:instrText xml:space="preserve"> HYPERLINK \l "_ENREF_12" \o "Kim, 2005 #125" </w:instrText>
      </w:r>
      <w:r>
        <w:fldChar w:fldCharType="separate"/>
      </w:r>
      <w:r>
        <w:rPr>
          <w:rFonts w:ascii="Calibri" w:hAnsi="Calibri" w:cs="Calibri"/>
          <w:color w:val="000000" w:themeColor="text1"/>
          <w:sz w:val="24"/>
          <w:szCs w:val="24"/>
          <w14:textFill>
            <w14:solidFill>
              <w14:schemeClr w14:val="tx1"/>
            </w14:solidFill>
          </w14:textFill>
        </w:rPr>
        <w:fldChar w:fldCharType="begin">
          <w:fldData xml:space="preserve">PEVuZE5vdGU+PENpdGU+PEF1dGhvcj5LaW08L0F1dGhvcj48WWVhcj4yMDA1PC9ZZWFyPjxSZWNO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</w:fldData>
        </w:fldChar>
      </w:r>
      <w:r>
        <w:rPr>
          <w:rFonts w:ascii="Calibri" w:hAnsi="Calibri" w:cs="Calibri"/>
          <w:color w:val="000000" w:themeColor="text1"/>
          <w:sz w:val="24"/>
          <w:szCs w:val="24"/>
          <w14:textFill>
            <w14:solidFill>
              <w14:schemeClr w14:val="tx1"/>
            </w14:solidFill>
          </w14:textFill>
        </w:rPr>
        <w:instrText xml:space="preserve"> ADDIN EN.CITE </w:instrText>
      </w:r>
      <w:r>
        <w:rPr>
          <w:rFonts w:ascii="Calibri" w:hAnsi="Calibri" w:cs="Calibri"/>
          <w:color w:val="000000" w:themeColor="text1"/>
          <w:sz w:val="24"/>
          <w:szCs w:val="24"/>
          <w14:textFill>
            <w14:solidFill>
              <w14:schemeClr w14:val="tx1"/>
            </w14:solidFill>
          </w14:textFill>
        </w:rPr>
        <w:fldChar w:fldCharType="begin">
          <w:fldData xml:space="preserve">PEVuZE5vdGU+PENpdGU+PEF1dGhvcj5LaW08L0F1dGhvcj48WWVhcj4yMDA1PC9ZZWFyPjxSZWNO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</w:fldData>
        </w:fldChar>
      </w:r>
      <w:r>
        <w:rPr>
          <w:rFonts w:ascii="Calibri" w:hAnsi="Calibri" w:cs="Calibri"/>
          <w:color w:val="000000" w:themeColor="text1"/>
          <w:sz w:val="24"/>
          <w:szCs w:val="24"/>
          <w14:textFill>
            <w14:solidFill>
              <w14:schemeClr w14:val="tx1"/>
            </w14:solidFill>
          </w14:textFill>
        </w:rPr>
        <w:instrText xml:space="preserve"> ADDIN EN.CITE.DATA </w:instrText>
      </w:r>
      <w:r>
        <w:rPr>
          <w:rFonts w:ascii="Calibri" w:hAnsi="Calibri" w:cs="Calibri"/>
          <w:color w:val="000000" w:themeColor="text1"/>
          <w:sz w:val="24"/>
          <w:szCs w:val="24"/>
          <w14:textFill>
            <w14:solidFill>
              <w14:schemeClr w14:val="tx1"/>
            </w14:solidFill>
          </w14:textFill>
        </w:rPr>
        <w:fldChar w:fldCharType="end"/>
      </w:r>
      <w:r>
        <w:rPr>
          <w:rFonts w:ascii="Calibri" w:hAnsi="Calibri" w:cs="Calibri"/>
          <w:color w:val="000000" w:themeColor="text1"/>
          <w:sz w:val="24"/>
          <w:szCs w:val="24"/>
          <w14:textFill>
            <w14:solidFill>
              <w14:schemeClr w14:val="tx1"/>
            </w14:solidFill>
          </w14:textFill>
        </w:rPr>
        <w:fldChar w:fldCharType="separate"/>
      </w:r>
      <w:r>
        <w:rPr>
          <w:rFonts w:ascii="Calibri" w:hAnsi="Calibri" w:cs="Calibri"/>
          <w:color w:val="000000" w:themeColor="text1"/>
          <w:sz w:val="24"/>
          <w:szCs w:val="24"/>
          <w:vertAlign w:val="superscript"/>
          <w14:textFill>
            <w14:solidFill>
              <w14:schemeClr w14:val="tx1"/>
            </w14:solidFill>
          </w14:textFill>
        </w:rPr>
        <w:t>12</w:t>
      </w:r>
      <w:r>
        <w:rPr>
          <w:rFonts w:ascii="Calibri" w:hAnsi="Calibri" w:cs="Calibri"/>
          <w:color w:val="000000" w:themeColor="text1"/>
          <w:sz w:val="24"/>
          <w:szCs w:val="24"/>
          <w14:textFill>
            <w14:solidFill>
              <w14:schemeClr w14:val="tx1"/>
            </w14:solidFill>
          </w14:textFill>
        </w:rPr>
        <w:fldChar w:fldCharType="end"/>
      </w:r>
      <w:r>
        <w:rPr>
          <w:rFonts w:ascii="Calibri" w:hAnsi="Calibri" w:cs="Calibri"/>
          <w:color w:val="000000" w:themeColor="text1"/>
          <w:sz w:val="24"/>
          <w:szCs w:val="24"/>
          <w14:textFill>
            <w14:solidFill>
              <w14:schemeClr w14:val="tx1"/>
            </w14:solidFill>
          </w14:textFill>
        </w:rPr>
        <w:fldChar w:fldCharType="end"/>
      </w:r>
      <w:r>
        <w:rPr>
          <w:rFonts w:ascii="Calibri" w:hAnsi="Calibri" w:cs="Calibri"/>
          <w:color w:val="000000" w:themeColor="text1"/>
          <w:sz w:val="24"/>
          <w:szCs w:val="24"/>
          <w14:textFill>
            <w14:solidFill>
              <w14:schemeClr w14:val="tx1"/>
            </w14:solidFill>
          </w14:textFill>
        </w:rPr>
        <w:t xml:space="preserve">, their widespread adoption is often limited by the high cost and complexity of preparing high-quality components. In this study, a streamlined workflow is introduced that utilizes HEK-293F suspension cells as an economical source of active cytosol and semi-permeabilized HEK-293T cells as a robust membrane donor. The overall workflow of the cell-free COPII vesicle reconstitution system is illustrated in </w:t>
      </w:r>
      <w:r>
        <w:rPr>
          <w:rFonts w:ascii="Calibri" w:hAnsi="Calibri" w:cs="Calibri"/>
          <w:b/>
          <w:bCs/>
          <w:color w:val="000000" w:themeColor="text1"/>
          <w:sz w:val="24"/>
          <w:szCs w:val="24"/>
          <w14:textFill>
            <w14:solidFill>
              <w14:schemeClr w14:val="tx1"/>
            </w14:solidFill>
          </w14:textFill>
        </w:rPr>
        <w:t xml:space="preserve">Figure 1. </w:t>
      </w:r>
      <w:r>
        <w:rPr>
          <w:rFonts w:ascii="Calibri" w:hAnsi="Calibri" w:cs="Calibri"/>
          <w:color w:val="000000" w:themeColor="text1"/>
          <w:sz w:val="24"/>
          <w:szCs w:val="24"/>
          <w14:textFill>
            <w14:solidFill>
              <w14:schemeClr w14:val="tx1"/>
            </w14:solidFill>
          </w14:textFill>
        </w:rPr>
        <w:t>In this system, Sec22b was used as a positive control to confirm cargo incorporation into vesicles, while RPN1 was utilized as a negative control to monitor and rule out ER membrane contamination. Using STING as a proof-of-concept cargo, this study demonstrated that the system effectively models essential biochemical aspects of STING sorting. This platform provided a versatile, scalable tool for identifying cytosolic factors and membrane signals that govern STING sorting, with potential applications for studying a wide array of other vesicular transport pathways.</w:t>
      </w:r>
    </w:p>
    <w:p w14:paraId="5BCCDBF8">
      <w:pPr>
        <w:rPr>
          <w:rFonts w:ascii="Calibri" w:hAnsi="Calibri" w:cs="Calibri"/>
          <w:color w:val="000000" w:themeColor="text1"/>
          <w:sz w:val="24"/>
          <w:szCs w:val="24"/>
          <w14:textFill>
            <w14:solidFill>
              <w14:schemeClr w14:val="tx1"/>
            </w14:solidFill>
          </w14:textFill>
        </w:rPr>
      </w:pPr>
    </w:p>
    <w:bookmarkEnd w:id="2"/>
    <w:p w14:paraId="7B111AD3">
      <w:pPr>
        <w:rPr>
          <w:rFonts w:ascii="Calibri" w:hAnsi="Calibri" w:cs="Calibri"/>
          <w:b/>
          <w:sz w:val="24"/>
          <w:szCs w:val="24"/>
        </w:rPr>
      </w:pPr>
      <w:r>
        <w:rPr>
          <w:rFonts w:ascii="Calibri" w:hAnsi="Calibri" w:cs="Calibri"/>
          <w:b/>
          <w:sz w:val="24"/>
          <w:szCs w:val="24"/>
        </w:rPr>
        <w:t>PROTOCOL:</w:t>
      </w:r>
    </w:p>
    <w:p w14:paraId="793D38FB">
      <w:pPr>
        <w:rPr>
          <w:rFonts w:ascii="Calibri" w:hAnsi="Calibri" w:cs="Calibri"/>
          <w:bCs/>
          <w:sz w:val="24"/>
          <w:szCs w:val="24"/>
        </w:rPr>
      </w:pPr>
      <w:r>
        <w:rPr>
          <w:rFonts w:ascii="Calibri" w:hAnsi="Calibri" w:cs="Calibri"/>
          <w:bCs/>
          <w:sz w:val="24"/>
          <w:szCs w:val="24"/>
        </w:rPr>
        <w:t xml:space="preserve">The HEK-293F (RRID: CVCL_6642) and HEK-293T (RRID: CVCL_0063) cell lines were obtained from the Cell Resource Center at Peking Union Medical College. Both cell lines were authenticated by short tandem repeat (STR) profiling and confirmed to be free of mycoplasma contamination. The reagents and the equipment used are listed in the </w:t>
      </w:r>
      <w:r>
        <w:rPr>
          <w:rFonts w:ascii="Calibri" w:hAnsi="Calibri" w:cs="Calibri"/>
          <w:b/>
          <w:sz w:val="24"/>
          <w:szCs w:val="24"/>
        </w:rPr>
        <w:t>Table of Materials</w:t>
      </w:r>
      <w:r>
        <w:rPr>
          <w:rFonts w:ascii="Calibri" w:hAnsi="Calibri" w:cs="Calibri"/>
          <w:bCs/>
          <w:sz w:val="24"/>
          <w:szCs w:val="24"/>
        </w:rPr>
        <w:t>.</w:t>
      </w:r>
    </w:p>
    <w:p w14:paraId="3CBFFAEE">
      <w:pPr>
        <w:rPr>
          <w:rFonts w:ascii="Calibri" w:hAnsi="Calibri" w:cs="Calibri"/>
          <w:bCs/>
          <w:sz w:val="24"/>
          <w:szCs w:val="24"/>
        </w:rPr>
      </w:pPr>
    </w:p>
    <w:p w14:paraId="47963B48">
      <w:pPr>
        <w:rPr>
          <w:rFonts w:ascii="Calibri" w:hAnsi="Calibri" w:cs="Calibri"/>
          <w:bCs/>
          <w:sz w:val="24"/>
          <w:szCs w:val="24"/>
        </w:rPr>
      </w:pPr>
      <w:r>
        <w:rPr>
          <w:rFonts w:ascii="Calibri" w:hAnsi="Calibri" w:cs="Calibri"/>
          <w:bCs/>
          <w:sz w:val="24"/>
          <w:szCs w:val="24"/>
        </w:rPr>
        <w:t>No human participants or vertebrate animals were involved in this study. Therefore, ethical approval was not required. All experimental procedures were conducted in accordance with institutional biosafety guidelines.</w:t>
      </w:r>
    </w:p>
    <w:p w14:paraId="6DDC7FF6">
      <w:pPr>
        <w:rPr>
          <w:rFonts w:ascii="Calibri" w:hAnsi="Calibri" w:cs="Calibri"/>
          <w:b/>
          <w:sz w:val="24"/>
          <w:szCs w:val="24"/>
        </w:rPr>
      </w:pPr>
    </w:p>
    <w:p w14:paraId="0EC743A0">
      <w:pPr>
        <w:rPr>
          <w:rFonts w:ascii="Calibri" w:hAnsi="Calibri" w:cs="Calibri"/>
          <w:b/>
          <w:bCs/>
          <w:sz w:val="24"/>
          <w:szCs w:val="24"/>
        </w:rPr>
      </w:pPr>
      <w:r>
        <w:rPr>
          <w:rFonts w:ascii="Calibri" w:hAnsi="Calibri" w:cs="Calibri"/>
          <w:b/>
          <w:bCs/>
          <w:sz w:val="24"/>
          <w:szCs w:val="24"/>
        </w:rPr>
        <w:t>1. Preparation of HEK-293F cell cytosol</w:t>
      </w:r>
    </w:p>
    <w:p w14:paraId="113C8769">
      <w:pPr>
        <w:rPr>
          <w:rFonts w:ascii="Calibri" w:hAnsi="Calibri" w:cs="Calibri"/>
          <w:b/>
          <w:bCs/>
          <w:sz w:val="24"/>
          <w:szCs w:val="24"/>
        </w:rPr>
      </w:pPr>
    </w:p>
    <w:p w14:paraId="0D7A1BAF">
      <w:pPr>
        <w:rPr>
          <w:rFonts w:ascii="Calibri" w:hAnsi="Calibri" w:cs="Calibri"/>
          <w:color w:val="FF0000"/>
          <w:sz w:val="24"/>
          <w:szCs w:val="24"/>
        </w:rPr>
      </w:pPr>
      <w:bookmarkStart w:id="10" w:name="_GoBack"/>
      <w:r>
        <w:rPr>
          <w:rFonts w:ascii="Calibri" w:hAnsi="Calibri" w:cs="Calibri"/>
          <w:color w:val="FF0000"/>
          <w:sz w:val="24"/>
          <w:szCs w:val="24"/>
        </w:rPr>
        <w:t>1.1 Seed HEK-293F cells at a density of 1 × 10⁶ cells/mL in 100 mL defined mammalian culture medium supplemented with 1% penicillin–streptomycin. Culture the cells in a 500 mL conical flask.</w:t>
      </w:r>
    </w:p>
    <w:p w14:paraId="0F4A36F2">
      <w:pPr>
        <w:rPr>
          <w:rFonts w:ascii="Calibri" w:hAnsi="Calibri" w:cs="Calibri"/>
          <w:color w:val="FF0000"/>
          <w:sz w:val="24"/>
          <w:szCs w:val="24"/>
        </w:rPr>
      </w:pPr>
    </w:p>
    <w:p w14:paraId="2084B1C9">
      <w:pPr>
        <w:rPr>
          <w:rFonts w:ascii="Calibri" w:hAnsi="Calibri" w:cs="Calibri"/>
          <w:color w:val="FF0000"/>
          <w:sz w:val="24"/>
          <w:szCs w:val="24"/>
        </w:rPr>
      </w:pPr>
      <w:r>
        <w:rPr>
          <w:rFonts w:ascii="Calibri" w:hAnsi="Calibri" w:cs="Calibri"/>
          <w:color w:val="FF0000"/>
          <w:sz w:val="24"/>
          <w:szCs w:val="24"/>
        </w:rPr>
        <w:t>1.2 Incubate the suspension culture at 37 °C with 5% CO₂ in a shaking incubator for 60 h.</w:t>
      </w:r>
    </w:p>
    <w:p w14:paraId="3EB629AD">
      <w:pPr>
        <w:rPr>
          <w:rFonts w:ascii="Calibri" w:hAnsi="Calibri" w:cs="Calibri"/>
          <w:color w:val="FF0000"/>
          <w:sz w:val="24"/>
          <w:szCs w:val="24"/>
        </w:rPr>
      </w:pPr>
    </w:p>
    <w:p w14:paraId="1DA5421D">
      <w:pPr>
        <w:rPr>
          <w:rFonts w:ascii="Calibri" w:hAnsi="Calibri" w:cs="Calibri"/>
          <w:color w:val="FF0000"/>
          <w:sz w:val="24"/>
          <w:szCs w:val="24"/>
        </w:rPr>
      </w:pPr>
      <w:r>
        <w:rPr>
          <w:rFonts w:ascii="Calibri" w:hAnsi="Calibri" w:cs="Calibri"/>
          <w:color w:val="FF0000"/>
          <w:sz w:val="24"/>
          <w:szCs w:val="24"/>
        </w:rPr>
        <w:t xml:space="preserve">1.3 Harvest the cells by centrifugation at 300 </w:t>
      </w:r>
      <w:r>
        <w:rPr>
          <w:rFonts w:ascii="Calibri" w:hAnsi="Calibri" w:cs="Calibri"/>
          <w:i/>
          <w:iCs/>
          <w:color w:val="FF0000"/>
          <w:sz w:val="24"/>
          <w:szCs w:val="24"/>
        </w:rPr>
        <w:t>× g</w:t>
      </w:r>
      <w:r>
        <w:rPr>
          <w:rFonts w:ascii="Calibri" w:hAnsi="Calibri" w:cs="Calibri"/>
          <w:color w:val="FF0000"/>
          <w:sz w:val="24"/>
          <w:szCs w:val="24"/>
        </w:rPr>
        <w:t xml:space="preserve"> for 5 min at 4 °C. Determine the total cell number using an automated cell counter.</w:t>
      </w:r>
    </w:p>
    <w:p w14:paraId="29A59CCD">
      <w:pPr>
        <w:rPr>
          <w:rFonts w:ascii="Calibri" w:hAnsi="Calibri" w:cs="Calibri"/>
          <w:color w:val="FF0000"/>
          <w:sz w:val="24"/>
          <w:szCs w:val="24"/>
        </w:rPr>
      </w:pPr>
    </w:p>
    <w:p w14:paraId="67E6210F">
      <w:pPr>
        <w:rPr>
          <w:rFonts w:ascii="Calibri" w:hAnsi="Calibri" w:cs="Calibri"/>
          <w:color w:val="FF0000"/>
          <w:sz w:val="24"/>
          <w:szCs w:val="24"/>
        </w:rPr>
      </w:pPr>
      <w:r>
        <w:rPr>
          <w:rFonts w:ascii="Calibri" w:hAnsi="Calibri" w:cs="Calibri"/>
          <w:color w:val="FF0000"/>
          <w:sz w:val="24"/>
          <w:szCs w:val="24"/>
        </w:rPr>
        <w:t xml:space="preserve">1.4 Wash the cell pellet with 50 mL ice-cold phosphate-buffered saline (PBS). Centrifuge at 300 </w:t>
      </w:r>
      <w:r>
        <w:rPr>
          <w:rFonts w:ascii="Calibri" w:hAnsi="Calibri" w:cs="Calibri"/>
          <w:i/>
          <w:iCs/>
          <w:color w:val="FF0000"/>
          <w:sz w:val="24"/>
          <w:szCs w:val="24"/>
        </w:rPr>
        <w:t>× g</w:t>
      </w:r>
      <w:r>
        <w:rPr>
          <w:rFonts w:ascii="Calibri" w:hAnsi="Calibri" w:cs="Calibri"/>
          <w:color w:val="FF0000"/>
          <w:sz w:val="24"/>
          <w:szCs w:val="24"/>
        </w:rPr>
        <w:t xml:space="preserve"> for 5 min at 4 °C.</w:t>
      </w:r>
    </w:p>
    <w:p w14:paraId="797B1D10">
      <w:pPr>
        <w:rPr>
          <w:rFonts w:ascii="Calibri" w:hAnsi="Calibri" w:cs="Calibri"/>
          <w:color w:val="FF0000"/>
          <w:sz w:val="24"/>
          <w:szCs w:val="24"/>
        </w:rPr>
      </w:pPr>
    </w:p>
    <w:p w14:paraId="028F2414">
      <w:pPr>
        <w:rPr>
          <w:rFonts w:ascii="Calibri" w:hAnsi="Calibri" w:cs="Calibri"/>
          <w:color w:val="FF0000"/>
          <w:sz w:val="24"/>
          <w:szCs w:val="24"/>
        </w:rPr>
      </w:pPr>
      <w:r>
        <w:rPr>
          <w:rFonts w:ascii="Calibri" w:hAnsi="Calibri" w:cs="Calibri"/>
          <w:color w:val="FF0000"/>
          <w:sz w:val="24"/>
          <w:szCs w:val="24"/>
        </w:rPr>
        <w:t>1.5 Resuspend the cell pellet in an equal volume of ice-cold B88 buffer (20 mM HEPES, pH 7.3; 250 mM sorbitol; 150 mM potassium acetate; 5 mM magnesium acetate).</w:t>
      </w:r>
    </w:p>
    <w:p w14:paraId="326B92B1">
      <w:pPr>
        <w:rPr>
          <w:rFonts w:ascii="Calibri" w:hAnsi="Calibri" w:cs="Calibri"/>
          <w:color w:val="FF0000"/>
          <w:sz w:val="24"/>
          <w:szCs w:val="24"/>
        </w:rPr>
      </w:pPr>
    </w:p>
    <w:p w14:paraId="4867CEC2">
      <w:pPr>
        <w:rPr>
          <w:rFonts w:ascii="Calibri" w:hAnsi="Calibri" w:cs="Calibri"/>
          <w:color w:val="FF0000"/>
          <w:sz w:val="24"/>
          <w:szCs w:val="24"/>
        </w:rPr>
      </w:pPr>
      <w:r>
        <w:rPr>
          <w:rFonts w:ascii="Calibri" w:hAnsi="Calibri" w:cs="Calibri"/>
          <w:color w:val="FF0000"/>
          <w:sz w:val="24"/>
          <w:szCs w:val="24"/>
        </w:rPr>
        <w:t>1.6 Lyse the cells on ice by passing the suspension through a 5 mL syringe fitted with a 22-gauge needle for more than 100 strokes.</w:t>
      </w:r>
    </w:p>
    <w:p w14:paraId="2054DD9C">
      <w:pPr>
        <w:rPr>
          <w:rFonts w:ascii="Calibri" w:hAnsi="Calibri" w:cs="Calibri"/>
          <w:color w:val="FF0000"/>
          <w:sz w:val="24"/>
          <w:szCs w:val="24"/>
        </w:rPr>
      </w:pPr>
    </w:p>
    <w:p w14:paraId="5173CADC">
      <w:pPr>
        <w:rPr>
          <w:rFonts w:ascii="Calibri" w:hAnsi="Calibri" w:cs="Calibri"/>
          <w:color w:val="FF0000"/>
          <w:sz w:val="24"/>
          <w:szCs w:val="24"/>
        </w:rPr>
      </w:pPr>
      <w:r>
        <w:rPr>
          <w:rFonts w:ascii="Calibri" w:hAnsi="Calibri" w:cs="Calibri"/>
          <w:color w:val="FF0000"/>
          <w:sz w:val="24"/>
          <w:szCs w:val="24"/>
        </w:rPr>
        <w:t xml:space="preserve">1.7 Examine cell lysis by light microscopy. Remove cell debris by centrifugation at 20,000 </w:t>
      </w:r>
      <w:r>
        <w:rPr>
          <w:rFonts w:ascii="Calibri" w:hAnsi="Calibri" w:cs="Calibri"/>
          <w:i/>
          <w:iCs/>
          <w:color w:val="FF0000"/>
          <w:sz w:val="24"/>
          <w:szCs w:val="24"/>
        </w:rPr>
        <w:t>× g</w:t>
      </w:r>
      <w:r>
        <w:rPr>
          <w:rFonts w:ascii="Calibri" w:hAnsi="Calibri" w:cs="Calibri"/>
          <w:color w:val="FF0000"/>
          <w:sz w:val="24"/>
          <w:szCs w:val="24"/>
        </w:rPr>
        <w:t xml:space="preserve"> for 10 min at 4 °C.</w:t>
      </w:r>
    </w:p>
    <w:p w14:paraId="2CEA64B8">
      <w:pPr>
        <w:rPr>
          <w:rFonts w:ascii="Calibri" w:hAnsi="Calibri" w:cs="Calibri"/>
          <w:color w:val="FF0000"/>
          <w:sz w:val="24"/>
          <w:szCs w:val="24"/>
        </w:rPr>
      </w:pPr>
    </w:p>
    <w:p w14:paraId="48D181BC">
      <w:pPr>
        <w:rPr>
          <w:rFonts w:ascii="Calibri" w:hAnsi="Calibri" w:cs="Calibri"/>
          <w:color w:val="FF0000"/>
          <w:sz w:val="24"/>
          <w:szCs w:val="24"/>
        </w:rPr>
      </w:pPr>
      <w:r>
        <w:rPr>
          <w:rFonts w:ascii="Calibri" w:hAnsi="Calibri" w:cs="Calibri"/>
          <w:color w:val="FF0000"/>
          <w:sz w:val="24"/>
          <w:szCs w:val="24"/>
        </w:rPr>
        <w:t xml:space="preserve">1.8 Transfer the supernatant to ultracentrifuge tubes. Centrifuge at 100,000 </w:t>
      </w:r>
      <w:r>
        <w:rPr>
          <w:rFonts w:ascii="Calibri" w:hAnsi="Calibri" w:cs="Calibri"/>
          <w:i/>
          <w:iCs/>
          <w:color w:val="FF0000"/>
          <w:sz w:val="24"/>
          <w:szCs w:val="24"/>
        </w:rPr>
        <w:t>× g</w:t>
      </w:r>
      <w:r>
        <w:rPr>
          <w:rFonts w:ascii="Calibri" w:hAnsi="Calibri" w:cs="Calibri"/>
          <w:color w:val="FF0000"/>
          <w:sz w:val="24"/>
          <w:szCs w:val="24"/>
        </w:rPr>
        <w:t xml:space="preserve"> for 1 h at 4 °C.</w:t>
      </w:r>
    </w:p>
    <w:p w14:paraId="553FB3E9">
      <w:pPr>
        <w:rPr>
          <w:rFonts w:ascii="Calibri" w:hAnsi="Calibri" w:cs="Calibri"/>
          <w:color w:val="FF0000"/>
          <w:sz w:val="24"/>
          <w:szCs w:val="24"/>
        </w:rPr>
      </w:pPr>
    </w:p>
    <w:p w14:paraId="6E6A8B4D">
      <w:pPr>
        <w:rPr>
          <w:rFonts w:ascii="Calibri" w:hAnsi="Calibri" w:cs="Calibri"/>
          <w:color w:val="FF0000"/>
          <w:sz w:val="24"/>
          <w:szCs w:val="24"/>
        </w:rPr>
      </w:pPr>
      <w:r>
        <w:rPr>
          <w:rFonts w:ascii="Calibri" w:hAnsi="Calibri" w:cs="Calibri"/>
          <w:b/>
          <w:bCs/>
          <w:color w:val="FF0000"/>
          <w:sz w:val="24"/>
          <w:szCs w:val="24"/>
        </w:rPr>
        <w:t>CAUTION:</w:t>
      </w:r>
      <w:r>
        <w:rPr>
          <w:rFonts w:ascii="Calibri" w:hAnsi="Calibri" w:cs="Calibri"/>
          <w:color w:val="FF0000"/>
          <w:sz w:val="24"/>
          <w:szCs w:val="24"/>
        </w:rPr>
        <w:t xml:space="preserve"> Ensure ultracentrifuge tubes are properly balanced to prevent equipment damage and safety hazards.</w:t>
      </w:r>
    </w:p>
    <w:p w14:paraId="05D6E518">
      <w:pPr>
        <w:rPr>
          <w:rFonts w:ascii="Calibri" w:hAnsi="Calibri" w:cs="Calibri"/>
          <w:color w:val="FF0000"/>
          <w:sz w:val="24"/>
          <w:szCs w:val="24"/>
        </w:rPr>
      </w:pPr>
    </w:p>
    <w:p w14:paraId="086F02BC">
      <w:pPr>
        <w:rPr>
          <w:rFonts w:ascii="Calibri" w:hAnsi="Calibri" w:cs="Calibri"/>
          <w:color w:val="FF0000"/>
          <w:sz w:val="24"/>
          <w:szCs w:val="24"/>
        </w:rPr>
      </w:pPr>
      <w:r>
        <w:rPr>
          <w:rFonts w:ascii="Calibri" w:hAnsi="Calibri" w:cs="Calibri"/>
          <w:color w:val="FF0000"/>
          <w:sz w:val="24"/>
          <w:szCs w:val="24"/>
        </w:rPr>
        <w:t xml:space="preserve">1.9 Collect the clarified supernatant. Concentrate the sample using a 3 kDa molecular weight cutoff (MWCO) ultrafiltration device at 4,000 </w:t>
      </w:r>
      <w:r>
        <w:rPr>
          <w:rFonts w:ascii="Calibri" w:hAnsi="Calibri" w:cs="Calibri"/>
          <w:i/>
          <w:iCs/>
          <w:color w:val="FF0000"/>
          <w:sz w:val="24"/>
          <w:szCs w:val="24"/>
        </w:rPr>
        <w:t>× g</w:t>
      </w:r>
      <w:r>
        <w:rPr>
          <w:rFonts w:ascii="Calibri" w:hAnsi="Calibri" w:cs="Calibri"/>
          <w:color w:val="FF0000"/>
          <w:sz w:val="24"/>
          <w:szCs w:val="24"/>
        </w:rPr>
        <w:t xml:space="preserve"> at 4 °C.</w:t>
      </w:r>
    </w:p>
    <w:p w14:paraId="749BAD63">
      <w:pPr>
        <w:rPr>
          <w:rFonts w:ascii="Calibri" w:hAnsi="Calibri" w:cs="Calibri"/>
          <w:color w:val="FF0000"/>
          <w:sz w:val="24"/>
          <w:szCs w:val="24"/>
        </w:rPr>
      </w:pPr>
    </w:p>
    <w:p w14:paraId="0308929A">
      <w:pPr>
        <w:rPr>
          <w:rFonts w:ascii="Calibri" w:hAnsi="Calibri" w:cs="Calibri"/>
          <w:color w:val="FF0000"/>
          <w:sz w:val="24"/>
          <w:szCs w:val="24"/>
        </w:rPr>
      </w:pPr>
      <w:r>
        <w:rPr>
          <w:rFonts w:ascii="Calibri" w:hAnsi="Calibri" w:cs="Calibri"/>
          <w:color w:val="FF0000"/>
          <w:sz w:val="24"/>
          <w:szCs w:val="24"/>
        </w:rPr>
        <w:t>1.10 Measure protein concentration using a bicinchoninic acid (BCA) assay. Adjust the concentration to 30–40 mg/mL.</w:t>
      </w:r>
    </w:p>
    <w:p w14:paraId="154E9F12">
      <w:pPr>
        <w:rPr>
          <w:rFonts w:ascii="Calibri" w:hAnsi="Calibri" w:cs="Calibri"/>
          <w:color w:val="FF0000"/>
          <w:sz w:val="24"/>
          <w:szCs w:val="24"/>
        </w:rPr>
      </w:pPr>
    </w:p>
    <w:p w14:paraId="1CB7477B">
      <w:pPr>
        <w:rPr>
          <w:rFonts w:ascii="Calibri" w:hAnsi="Calibri" w:cs="Calibri"/>
          <w:color w:val="FF0000"/>
          <w:sz w:val="24"/>
          <w:szCs w:val="24"/>
        </w:rPr>
      </w:pPr>
      <w:r>
        <w:rPr>
          <w:rFonts w:ascii="Calibri" w:hAnsi="Calibri" w:cs="Calibri"/>
          <w:b/>
          <w:bCs/>
          <w:color w:val="FF0000"/>
          <w:sz w:val="24"/>
          <w:szCs w:val="24"/>
        </w:rPr>
        <w:t>CAUTION:</w:t>
      </w:r>
      <w:r>
        <w:rPr>
          <w:rFonts w:ascii="Calibri" w:hAnsi="Calibri" w:cs="Calibri"/>
          <w:color w:val="FF0000"/>
          <w:sz w:val="24"/>
          <w:szCs w:val="24"/>
        </w:rPr>
        <w:t xml:space="preserve"> Handle liquid nitrogen with appropriate protective equipment to avoid cryogenic injury.</w:t>
      </w:r>
    </w:p>
    <w:p w14:paraId="09C0F90E">
      <w:pPr>
        <w:rPr>
          <w:rFonts w:ascii="Calibri" w:hAnsi="Calibri" w:cs="Calibri"/>
          <w:color w:val="FF0000"/>
          <w:sz w:val="24"/>
          <w:szCs w:val="24"/>
        </w:rPr>
      </w:pPr>
    </w:p>
    <w:p w14:paraId="3E3E09EF">
      <w:pPr>
        <w:rPr>
          <w:rFonts w:ascii="Calibri" w:hAnsi="Calibri" w:cs="Calibri"/>
          <w:color w:val="FF0000"/>
          <w:sz w:val="24"/>
          <w:szCs w:val="24"/>
        </w:rPr>
      </w:pPr>
      <w:r>
        <w:rPr>
          <w:rFonts w:ascii="Calibri" w:hAnsi="Calibri" w:cs="Calibri"/>
          <w:color w:val="FF0000"/>
          <w:sz w:val="24"/>
          <w:szCs w:val="24"/>
        </w:rPr>
        <w:t>1.11 Aliquot the cytosol. Snap-freeze the aliquots in liquid nitrogen and store at −80 °C (</w:t>
      </w:r>
      <w:r>
        <w:rPr>
          <w:rFonts w:ascii="Calibri" w:hAnsi="Calibri" w:cs="Calibri"/>
          <w:b/>
          <w:bCs/>
          <w:color w:val="FF0000"/>
          <w:sz w:val="24"/>
          <w:szCs w:val="24"/>
        </w:rPr>
        <w:t>Figure 2A</w:t>
      </w:r>
      <w:r>
        <w:rPr>
          <w:rFonts w:ascii="Calibri" w:hAnsi="Calibri" w:cs="Calibri"/>
          <w:color w:val="FF0000"/>
          <w:sz w:val="24"/>
          <w:szCs w:val="24"/>
        </w:rPr>
        <w:t>).</w:t>
      </w:r>
    </w:p>
    <w:p w14:paraId="01811584">
      <w:pPr>
        <w:rPr>
          <w:rFonts w:ascii="Calibri" w:hAnsi="Calibri" w:cs="Calibri"/>
          <w:color w:val="FF0000"/>
          <w:sz w:val="24"/>
          <w:szCs w:val="24"/>
        </w:rPr>
      </w:pPr>
    </w:p>
    <w:p w14:paraId="6D0FDDE7">
      <w:pPr>
        <w:rPr>
          <w:rFonts w:ascii="Calibri" w:hAnsi="Calibri" w:cs="Calibri"/>
          <w:color w:val="FF0000"/>
          <w:sz w:val="24"/>
          <w:szCs w:val="24"/>
        </w:rPr>
      </w:pPr>
      <w:r>
        <w:rPr>
          <w:rFonts w:ascii="Calibri" w:hAnsi="Calibri" w:cs="Calibri"/>
          <w:b/>
          <w:bCs/>
          <w:color w:val="FF0000"/>
          <w:sz w:val="24"/>
          <w:szCs w:val="24"/>
        </w:rPr>
        <w:t>CAUTION:</w:t>
      </w:r>
      <w:r>
        <w:rPr>
          <w:rFonts w:ascii="Calibri" w:hAnsi="Calibri" w:cs="Calibri"/>
          <w:color w:val="FF0000"/>
          <w:sz w:val="24"/>
          <w:szCs w:val="24"/>
        </w:rPr>
        <w:t xml:space="preserve"> Avoid more than two freeze–thaw cycles. Store aliquots at −80 °C for up to 6 months.</w:t>
      </w:r>
    </w:p>
    <w:p w14:paraId="5979708D">
      <w:pPr>
        <w:rPr>
          <w:rFonts w:ascii="Calibri" w:hAnsi="Calibri" w:cs="Calibri"/>
          <w:color w:val="FF0000"/>
          <w:sz w:val="24"/>
          <w:szCs w:val="24"/>
        </w:rPr>
      </w:pPr>
    </w:p>
    <w:p w14:paraId="2828A0BC">
      <w:pPr>
        <w:rPr>
          <w:rFonts w:ascii="Calibri" w:hAnsi="Calibri" w:cs="Calibri"/>
          <w:b/>
          <w:color w:val="FF0000"/>
          <w:sz w:val="24"/>
          <w:szCs w:val="24"/>
        </w:rPr>
      </w:pPr>
      <w:r>
        <w:rPr>
          <w:rFonts w:ascii="Calibri" w:hAnsi="Calibri" w:cs="Calibri"/>
          <w:b/>
          <w:color w:val="FF0000"/>
          <w:sz w:val="24"/>
          <w:szCs w:val="24"/>
        </w:rPr>
        <w:t xml:space="preserve">2. Preparation of </w:t>
      </w:r>
      <w:bookmarkStart w:id="3" w:name="OLE_LINK49"/>
      <w:bookmarkStart w:id="4" w:name="OLE_LINK50"/>
      <w:r>
        <w:rPr>
          <w:rFonts w:ascii="Calibri" w:hAnsi="Calibri" w:cs="Calibri"/>
          <w:b/>
          <w:color w:val="FF0000"/>
          <w:sz w:val="24"/>
          <w:szCs w:val="24"/>
        </w:rPr>
        <w:t>semi-permeabilized HEK-293T cells</w:t>
      </w:r>
      <w:bookmarkEnd w:id="3"/>
      <w:bookmarkEnd w:id="4"/>
    </w:p>
    <w:p w14:paraId="6A260F83">
      <w:pPr>
        <w:rPr>
          <w:rFonts w:ascii="Calibri" w:hAnsi="Calibri" w:cs="Calibri"/>
          <w:b/>
          <w:color w:val="FF0000"/>
          <w:sz w:val="24"/>
          <w:szCs w:val="24"/>
        </w:rPr>
      </w:pPr>
    </w:p>
    <w:p w14:paraId="0041E0F3">
      <w:pPr>
        <w:rPr>
          <w:rFonts w:ascii="Calibri" w:hAnsi="Calibri" w:cs="Calibri"/>
          <w:color w:val="FF0000"/>
          <w:sz w:val="24"/>
          <w:szCs w:val="24"/>
        </w:rPr>
      </w:pPr>
      <w:r>
        <w:rPr>
          <w:rFonts w:ascii="Calibri" w:hAnsi="Calibri" w:cs="Calibri"/>
          <w:color w:val="FF0000"/>
          <w:sz w:val="24"/>
          <w:szCs w:val="24"/>
        </w:rPr>
        <w:t>2.1 Plate HEK-293T cells expressing full-length human STING at a density of 3 × 10⁶ cells per 15 cm dish in 15 mL DMEM supplemented with 10% fetal bovine serum and 1% penicillin–streptomycin. Incubate at 37 °C with 5% CO₂ for 48 h.</w:t>
      </w:r>
    </w:p>
    <w:p w14:paraId="65FA7F89">
      <w:pPr>
        <w:rPr>
          <w:rFonts w:ascii="Calibri" w:hAnsi="Calibri" w:cs="Calibri"/>
          <w:color w:val="FF0000"/>
          <w:sz w:val="24"/>
          <w:szCs w:val="24"/>
        </w:rPr>
      </w:pPr>
    </w:p>
    <w:p w14:paraId="7A5F6ADE">
      <w:pPr>
        <w:rPr>
          <w:rFonts w:ascii="Calibri" w:hAnsi="Calibri" w:cs="Calibri"/>
          <w:color w:val="FF0000"/>
          <w:sz w:val="24"/>
          <w:szCs w:val="24"/>
        </w:rPr>
      </w:pPr>
      <w:r>
        <w:rPr>
          <w:rFonts w:ascii="Calibri" w:hAnsi="Calibri" w:cs="Calibri"/>
          <w:color w:val="FF0000"/>
          <w:sz w:val="24"/>
          <w:szCs w:val="24"/>
        </w:rPr>
        <w:t>2.2 Harvest the cells at approximately 60% confluency.</w:t>
      </w:r>
    </w:p>
    <w:p w14:paraId="3FD5C352">
      <w:pPr>
        <w:rPr>
          <w:rFonts w:ascii="Calibri" w:hAnsi="Calibri" w:cs="Calibri"/>
          <w:color w:val="FF0000"/>
          <w:sz w:val="24"/>
          <w:szCs w:val="24"/>
        </w:rPr>
      </w:pPr>
    </w:p>
    <w:p w14:paraId="3993C761">
      <w:pPr>
        <w:rPr>
          <w:rFonts w:ascii="Calibri" w:hAnsi="Calibri" w:cs="Calibri"/>
          <w:color w:val="FF0000"/>
          <w:sz w:val="24"/>
          <w:szCs w:val="24"/>
        </w:rPr>
      </w:pPr>
      <w:r>
        <w:rPr>
          <w:rFonts w:ascii="Calibri" w:hAnsi="Calibri" w:cs="Calibri"/>
          <w:color w:val="FF0000"/>
          <w:sz w:val="24"/>
          <w:szCs w:val="24"/>
        </w:rPr>
        <w:t>2.3 Aspirate the medium and wash the cells twice with 10 mL ice-cold PBS.</w:t>
      </w:r>
    </w:p>
    <w:p w14:paraId="546BF73A">
      <w:pPr>
        <w:rPr>
          <w:rFonts w:ascii="Calibri" w:hAnsi="Calibri" w:cs="Calibri"/>
          <w:color w:val="FF0000"/>
          <w:sz w:val="24"/>
          <w:szCs w:val="24"/>
        </w:rPr>
      </w:pPr>
    </w:p>
    <w:p w14:paraId="75549858">
      <w:pPr>
        <w:rPr>
          <w:rFonts w:ascii="Calibri" w:hAnsi="Calibri" w:cs="Calibri"/>
          <w:color w:val="FF0000"/>
          <w:sz w:val="24"/>
          <w:szCs w:val="24"/>
        </w:rPr>
      </w:pPr>
      <w:r>
        <w:rPr>
          <w:rFonts w:ascii="Calibri" w:hAnsi="Calibri" w:cs="Calibri"/>
          <w:color w:val="FF0000"/>
          <w:sz w:val="24"/>
          <w:szCs w:val="24"/>
        </w:rPr>
        <w:t>2.4 Add 2 mL of 0.25% trypsin–EDTA. Incubate at room temperature for 2–3 min to detach the cells.</w:t>
      </w:r>
    </w:p>
    <w:p w14:paraId="5978946B">
      <w:pPr>
        <w:rPr>
          <w:rFonts w:ascii="Calibri" w:hAnsi="Calibri" w:cs="Calibri"/>
          <w:color w:val="FF0000"/>
          <w:sz w:val="24"/>
          <w:szCs w:val="24"/>
        </w:rPr>
      </w:pPr>
    </w:p>
    <w:p w14:paraId="49656C71">
      <w:pPr>
        <w:rPr>
          <w:rFonts w:ascii="Calibri" w:hAnsi="Calibri" w:cs="Calibri"/>
          <w:color w:val="FF0000"/>
          <w:sz w:val="24"/>
          <w:szCs w:val="24"/>
        </w:rPr>
      </w:pPr>
      <w:r>
        <w:rPr>
          <w:rFonts w:ascii="Calibri" w:hAnsi="Calibri" w:cs="Calibri"/>
          <w:color w:val="FF0000"/>
          <w:sz w:val="24"/>
          <w:szCs w:val="24"/>
        </w:rPr>
        <w:t>2.5 Add 200 µL soybean trypsin inhibitor (1 mg/mL) to stop trypsinization. Resuspend the cells in 10 mL ice-cold KHM buffer (20 mM HEPES, pH 7.2; 110 mM potassium acetate; 2 mM magnesium acetate).</w:t>
      </w:r>
    </w:p>
    <w:p w14:paraId="46B38102">
      <w:pPr>
        <w:rPr>
          <w:rFonts w:ascii="Calibri" w:hAnsi="Calibri" w:cs="Calibri"/>
          <w:color w:val="FF0000"/>
          <w:sz w:val="24"/>
          <w:szCs w:val="24"/>
        </w:rPr>
      </w:pPr>
    </w:p>
    <w:p w14:paraId="3AEEC9EA">
      <w:pPr>
        <w:rPr>
          <w:rFonts w:ascii="Calibri" w:hAnsi="Calibri" w:cs="Calibri"/>
          <w:color w:val="FF0000"/>
          <w:sz w:val="24"/>
          <w:szCs w:val="24"/>
        </w:rPr>
      </w:pPr>
      <w:r>
        <w:rPr>
          <w:rFonts w:ascii="Calibri" w:hAnsi="Calibri" w:cs="Calibri"/>
          <w:color w:val="FF0000"/>
          <w:sz w:val="24"/>
          <w:szCs w:val="24"/>
        </w:rPr>
        <w:t xml:space="preserve">2.6 Pellet the cells by centrifugation at 250 </w:t>
      </w:r>
      <w:r>
        <w:rPr>
          <w:rFonts w:ascii="Calibri" w:hAnsi="Calibri" w:cs="Calibri"/>
          <w:i/>
          <w:iCs/>
          <w:color w:val="FF0000"/>
          <w:sz w:val="24"/>
          <w:szCs w:val="24"/>
        </w:rPr>
        <w:t>× g</w:t>
      </w:r>
      <w:r>
        <w:rPr>
          <w:rFonts w:ascii="Calibri" w:hAnsi="Calibri" w:cs="Calibri"/>
          <w:color w:val="FF0000"/>
          <w:sz w:val="24"/>
          <w:szCs w:val="24"/>
        </w:rPr>
        <w:t xml:space="preserve"> for 3 min. Discard the supernatant.</w:t>
      </w:r>
    </w:p>
    <w:p w14:paraId="75F72A99">
      <w:pPr>
        <w:rPr>
          <w:rFonts w:ascii="Calibri" w:hAnsi="Calibri" w:cs="Calibri"/>
          <w:color w:val="FF0000"/>
          <w:sz w:val="24"/>
          <w:szCs w:val="24"/>
        </w:rPr>
      </w:pPr>
    </w:p>
    <w:p w14:paraId="76DD672F">
      <w:pPr>
        <w:rPr>
          <w:rFonts w:ascii="Calibri" w:hAnsi="Calibri" w:cs="Calibri"/>
          <w:color w:val="FF0000"/>
          <w:sz w:val="24"/>
          <w:szCs w:val="24"/>
        </w:rPr>
      </w:pPr>
      <w:r>
        <w:rPr>
          <w:rFonts w:ascii="Calibri" w:hAnsi="Calibri" w:cs="Calibri"/>
          <w:b/>
          <w:bCs/>
          <w:color w:val="FF0000"/>
          <w:sz w:val="24"/>
          <w:szCs w:val="24"/>
        </w:rPr>
        <w:t>CAUTION:</w:t>
      </w:r>
      <w:r>
        <w:rPr>
          <w:rFonts w:ascii="Calibri" w:hAnsi="Calibri" w:cs="Calibri"/>
          <w:color w:val="FF0000"/>
          <w:sz w:val="24"/>
          <w:szCs w:val="24"/>
        </w:rPr>
        <w:t xml:space="preserve"> Digitonin is toxic. Handle in a fume hood with appropriate personal protective equipment.</w:t>
      </w:r>
    </w:p>
    <w:p w14:paraId="54EB58DB">
      <w:pPr>
        <w:rPr>
          <w:rFonts w:ascii="Calibri" w:hAnsi="Calibri" w:cs="Calibri"/>
          <w:color w:val="FF0000"/>
          <w:sz w:val="24"/>
          <w:szCs w:val="24"/>
        </w:rPr>
      </w:pPr>
    </w:p>
    <w:p w14:paraId="26CC8005">
      <w:pPr>
        <w:rPr>
          <w:rFonts w:ascii="Calibri" w:hAnsi="Calibri" w:cs="Calibri"/>
          <w:color w:val="FF0000"/>
          <w:sz w:val="24"/>
          <w:szCs w:val="24"/>
        </w:rPr>
      </w:pPr>
      <w:r>
        <w:rPr>
          <w:rFonts w:ascii="Calibri" w:hAnsi="Calibri" w:cs="Calibri"/>
          <w:color w:val="FF0000"/>
          <w:sz w:val="24"/>
          <w:szCs w:val="24"/>
        </w:rPr>
        <w:t>2.7 Resuspend the cells in 6 mL ice-cold KHM buffer. Add 6 µL digitonin stock solution (40 mg/mL in DMSO).</w:t>
      </w:r>
    </w:p>
    <w:p w14:paraId="1617D947">
      <w:pPr>
        <w:rPr>
          <w:rFonts w:ascii="Calibri" w:hAnsi="Calibri" w:cs="Calibri"/>
          <w:color w:val="FF0000"/>
          <w:sz w:val="24"/>
          <w:szCs w:val="24"/>
        </w:rPr>
      </w:pPr>
    </w:p>
    <w:p w14:paraId="0E5802BB">
      <w:pPr>
        <w:rPr>
          <w:rFonts w:ascii="Calibri" w:hAnsi="Calibri" w:cs="Calibri"/>
          <w:color w:val="FF0000"/>
          <w:sz w:val="24"/>
          <w:szCs w:val="24"/>
        </w:rPr>
      </w:pPr>
      <w:r>
        <w:rPr>
          <w:rFonts w:ascii="Calibri" w:hAnsi="Calibri" w:cs="Calibri"/>
          <w:color w:val="FF0000"/>
          <w:sz w:val="24"/>
          <w:szCs w:val="24"/>
        </w:rPr>
        <w:t>2.8 Mix gently by inversion. Incubate on ice for 5 min.</w:t>
      </w:r>
    </w:p>
    <w:p w14:paraId="55D5F00E">
      <w:pPr>
        <w:rPr>
          <w:rFonts w:ascii="Calibri" w:hAnsi="Calibri" w:cs="Calibri"/>
          <w:color w:val="FF0000"/>
          <w:sz w:val="24"/>
          <w:szCs w:val="24"/>
        </w:rPr>
      </w:pPr>
    </w:p>
    <w:p w14:paraId="616D7B46">
      <w:pPr>
        <w:rPr>
          <w:rFonts w:ascii="Calibri" w:hAnsi="Calibri" w:cs="Calibri"/>
          <w:color w:val="FF0000"/>
          <w:sz w:val="24"/>
          <w:szCs w:val="24"/>
        </w:rPr>
      </w:pPr>
      <w:r>
        <w:rPr>
          <w:rFonts w:ascii="Calibri" w:hAnsi="Calibri" w:cs="Calibri"/>
          <w:color w:val="FF0000"/>
          <w:sz w:val="24"/>
          <w:szCs w:val="24"/>
        </w:rPr>
        <w:t xml:space="preserve">2.9 Add 8 mL KHM buffer to dilute digitonin. Centrifuge at 250 </w:t>
      </w:r>
      <w:r>
        <w:rPr>
          <w:rFonts w:ascii="Calibri" w:hAnsi="Calibri" w:cs="Calibri"/>
          <w:i/>
          <w:iCs/>
          <w:color w:val="FF0000"/>
          <w:sz w:val="24"/>
          <w:szCs w:val="24"/>
        </w:rPr>
        <w:t>× g</w:t>
      </w:r>
      <w:r>
        <w:rPr>
          <w:rFonts w:ascii="Calibri" w:hAnsi="Calibri" w:cs="Calibri"/>
          <w:color w:val="FF0000"/>
          <w:sz w:val="24"/>
          <w:szCs w:val="24"/>
        </w:rPr>
        <w:t xml:space="preserve"> for 3 min to collect permeabilized cells.</w:t>
      </w:r>
    </w:p>
    <w:p w14:paraId="3A77F846">
      <w:pPr>
        <w:rPr>
          <w:rFonts w:ascii="Calibri" w:hAnsi="Calibri" w:cs="Calibri"/>
          <w:color w:val="FF0000"/>
          <w:sz w:val="24"/>
          <w:szCs w:val="24"/>
        </w:rPr>
      </w:pPr>
    </w:p>
    <w:p w14:paraId="401F273D">
      <w:pPr>
        <w:rPr>
          <w:rFonts w:ascii="Calibri" w:hAnsi="Calibri" w:cs="Calibri"/>
          <w:color w:val="FF0000"/>
          <w:sz w:val="24"/>
          <w:szCs w:val="24"/>
        </w:rPr>
      </w:pPr>
      <w:r>
        <w:rPr>
          <w:rFonts w:ascii="Calibri" w:hAnsi="Calibri" w:cs="Calibri"/>
          <w:color w:val="FF0000"/>
          <w:sz w:val="24"/>
          <w:szCs w:val="24"/>
        </w:rPr>
        <w:t>2.10 Resuspend the pellet in 14 mL ice-cold HEPES buffer (50 mM HEPES, pH 7.3; 90 mM potassium acetate). Incubate on ice for 10 min.</w:t>
      </w:r>
    </w:p>
    <w:p w14:paraId="6DB398A1">
      <w:pPr>
        <w:rPr>
          <w:rFonts w:ascii="Calibri" w:hAnsi="Calibri" w:cs="Calibri"/>
          <w:color w:val="FF0000"/>
          <w:sz w:val="24"/>
          <w:szCs w:val="24"/>
        </w:rPr>
      </w:pPr>
    </w:p>
    <w:p w14:paraId="06311DD7">
      <w:pPr>
        <w:rPr>
          <w:rFonts w:ascii="Calibri" w:hAnsi="Calibri" w:cs="Calibri"/>
          <w:color w:val="FF0000"/>
          <w:sz w:val="24"/>
          <w:szCs w:val="24"/>
        </w:rPr>
      </w:pPr>
      <w:r>
        <w:rPr>
          <w:rFonts w:ascii="Calibri" w:hAnsi="Calibri" w:cs="Calibri"/>
          <w:color w:val="FF0000"/>
          <w:sz w:val="24"/>
          <w:szCs w:val="24"/>
        </w:rPr>
        <w:t>2.11 Centrifuge at 250 × g for 3 min. Resuspend the pellet in 1 mL ice-cold KHM·Cl buffer (20 mM HEPES, pH 7.3; 110 mM KCl; 2 mM MgCl₂).</w:t>
      </w:r>
    </w:p>
    <w:p w14:paraId="14276868">
      <w:pPr>
        <w:rPr>
          <w:rFonts w:ascii="Calibri" w:hAnsi="Calibri" w:cs="Calibri"/>
          <w:color w:val="FF0000"/>
          <w:sz w:val="24"/>
          <w:szCs w:val="24"/>
        </w:rPr>
      </w:pPr>
    </w:p>
    <w:p w14:paraId="255269F1">
      <w:pPr>
        <w:rPr>
          <w:rFonts w:ascii="Calibri" w:hAnsi="Calibri" w:cs="Calibri"/>
          <w:color w:val="FF0000"/>
          <w:sz w:val="24"/>
          <w:szCs w:val="24"/>
        </w:rPr>
      </w:pPr>
      <w:r>
        <w:rPr>
          <w:rFonts w:ascii="Calibri" w:hAnsi="Calibri" w:cs="Calibri"/>
          <w:color w:val="FF0000"/>
          <w:sz w:val="24"/>
          <w:szCs w:val="24"/>
        </w:rPr>
        <w:t xml:space="preserve">2.12 Centrifuge at 10,000 </w:t>
      </w:r>
      <w:r>
        <w:rPr>
          <w:rFonts w:ascii="Calibri" w:hAnsi="Calibri" w:cs="Calibri"/>
          <w:i/>
          <w:iCs/>
          <w:color w:val="FF0000"/>
          <w:sz w:val="24"/>
          <w:szCs w:val="24"/>
        </w:rPr>
        <w:t>× g</w:t>
      </w:r>
      <w:r>
        <w:rPr>
          <w:rFonts w:ascii="Calibri" w:hAnsi="Calibri" w:cs="Calibri"/>
          <w:color w:val="FF0000"/>
          <w:sz w:val="24"/>
          <w:szCs w:val="24"/>
        </w:rPr>
        <w:t xml:space="preserve"> for 15 s. Discard the supernatant.</w:t>
      </w:r>
    </w:p>
    <w:p w14:paraId="187306AA">
      <w:pPr>
        <w:rPr>
          <w:rFonts w:ascii="Calibri" w:hAnsi="Calibri" w:cs="Calibri"/>
          <w:color w:val="FF0000"/>
          <w:sz w:val="24"/>
          <w:szCs w:val="24"/>
        </w:rPr>
      </w:pPr>
    </w:p>
    <w:p w14:paraId="65B71C2A">
      <w:pPr>
        <w:rPr>
          <w:rFonts w:ascii="Calibri" w:hAnsi="Calibri" w:cs="Calibri"/>
          <w:color w:val="FF0000"/>
          <w:sz w:val="24"/>
          <w:szCs w:val="24"/>
        </w:rPr>
      </w:pPr>
      <w:r>
        <w:rPr>
          <w:rFonts w:ascii="Calibri" w:hAnsi="Calibri" w:cs="Calibri"/>
          <w:color w:val="FF0000"/>
          <w:sz w:val="24"/>
          <w:szCs w:val="24"/>
        </w:rPr>
        <w:t>2.13 Resuspend the pellet in 50 µL KHM·Cl buffer. Measure protein concentration using a BCA assay and adjust to 5–7 mg/mL.</w:t>
      </w:r>
    </w:p>
    <w:p w14:paraId="7F457643">
      <w:pPr>
        <w:rPr>
          <w:rFonts w:ascii="Calibri" w:hAnsi="Calibri" w:cs="Calibri"/>
          <w:color w:val="FF0000"/>
          <w:sz w:val="24"/>
          <w:szCs w:val="24"/>
        </w:rPr>
      </w:pPr>
    </w:p>
    <w:p w14:paraId="2314A9CC">
      <w:pPr>
        <w:rPr>
          <w:rFonts w:ascii="Calibri" w:hAnsi="Calibri" w:cs="Calibri"/>
          <w:b/>
          <w:color w:val="FF0000"/>
          <w:sz w:val="24"/>
          <w:szCs w:val="24"/>
        </w:rPr>
      </w:pPr>
      <w:bookmarkStart w:id="5" w:name="_Hlk183438991"/>
      <w:r>
        <w:rPr>
          <w:rFonts w:ascii="Calibri" w:hAnsi="Calibri" w:cs="Calibri"/>
          <w:b/>
          <w:color w:val="FF0000"/>
          <w:sz w:val="24"/>
          <w:szCs w:val="24"/>
        </w:rPr>
        <w:t>3. Cell-free COPII vesicle reconstitution experiment</w:t>
      </w:r>
    </w:p>
    <w:p w14:paraId="1CE723A5">
      <w:pPr>
        <w:rPr>
          <w:rFonts w:ascii="Calibri" w:hAnsi="Calibri" w:cs="Calibri"/>
          <w:b/>
          <w:color w:val="FF0000"/>
          <w:sz w:val="24"/>
          <w:szCs w:val="24"/>
        </w:rPr>
      </w:pPr>
    </w:p>
    <w:bookmarkEnd w:id="5"/>
    <w:p w14:paraId="6426071E">
      <w:pPr>
        <w:rPr>
          <w:rFonts w:ascii="Calibri" w:hAnsi="Calibri" w:cs="Calibri"/>
          <w:color w:val="FF0000"/>
          <w:sz w:val="24"/>
          <w:szCs w:val="24"/>
        </w:rPr>
      </w:pPr>
      <w:bookmarkStart w:id="6" w:name="_Hlk183439053"/>
      <w:r>
        <w:rPr>
          <w:rFonts w:ascii="Calibri" w:hAnsi="Calibri" w:cs="Calibri"/>
          <w:color w:val="FF0000"/>
          <w:sz w:val="24"/>
          <w:szCs w:val="24"/>
        </w:rPr>
        <w:t xml:space="preserve">3.1 Prepare all reagents listed in the </w:t>
      </w:r>
      <w:r>
        <w:rPr>
          <w:rFonts w:ascii="Calibri" w:hAnsi="Calibri" w:cs="Calibri"/>
          <w:b/>
          <w:bCs/>
          <w:color w:val="FF0000"/>
          <w:sz w:val="24"/>
          <w:szCs w:val="24"/>
        </w:rPr>
        <w:t>Table of Materials</w:t>
      </w:r>
      <w:r>
        <w:rPr>
          <w:rFonts w:ascii="Calibri" w:hAnsi="Calibri" w:cs="Calibri"/>
          <w:color w:val="FF0000"/>
          <w:sz w:val="24"/>
          <w:szCs w:val="24"/>
        </w:rPr>
        <w:t>. Aliquot and store at −80 °C.</w:t>
      </w:r>
    </w:p>
    <w:p w14:paraId="7418D3E5">
      <w:pPr>
        <w:rPr>
          <w:rFonts w:ascii="Calibri" w:hAnsi="Calibri" w:cs="Calibri"/>
          <w:color w:val="FF0000"/>
          <w:sz w:val="24"/>
          <w:szCs w:val="24"/>
        </w:rPr>
      </w:pPr>
    </w:p>
    <w:p w14:paraId="21EBFFC3">
      <w:pPr>
        <w:rPr>
          <w:rFonts w:ascii="Calibri" w:hAnsi="Calibri" w:cs="Calibri"/>
          <w:color w:val="FF0000"/>
          <w:sz w:val="24"/>
          <w:szCs w:val="24"/>
        </w:rPr>
      </w:pPr>
      <w:r>
        <w:rPr>
          <w:rFonts w:ascii="Calibri" w:hAnsi="Calibri" w:cs="Calibri"/>
          <w:color w:val="FF0000"/>
          <w:sz w:val="24"/>
          <w:szCs w:val="24"/>
        </w:rPr>
        <w:t>3.2 Prepare a 50 µL reaction mixture containing 110 mM KCl, 20 mM HEPES (pH 7.2), 2 mM MgCl₂, protease inhibitor cocktail (1×), 0.2 mM GTP, and an ATP regeneration system (40 mM creatine phosphate, 0.2 mg/mL creatine phosphokinase, 1 mM ATP).</w:t>
      </w:r>
    </w:p>
    <w:p w14:paraId="7AA873CB">
      <w:pPr>
        <w:rPr>
          <w:rFonts w:ascii="Calibri" w:hAnsi="Calibri" w:cs="Calibri"/>
          <w:color w:val="FF0000"/>
          <w:sz w:val="24"/>
          <w:szCs w:val="24"/>
        </w:rPr>
      </w:pPr>
    </w:p>
    <w:p w14:paraId="75BFAAF6">
      <w:pPr>
        <w:rPr>
          <w:rFonts w:ascii="Calibri" w:hAnsi="Calibri" w:cs="Calibri"/>
          <w:color w:val="FF0000"/>
          <w:sz w:val="24"/>
          <w:szCs w:val="24"/>
        </w:rPr>
      </w:pPr>
      <w:r>
        <w:rPr>
          <w:rFonts w:ascii="Calibri" w:hAnsi="Calibri" w:cs="Calibri"/>
          <w:color w:val="FF0000"/>
          <w:sz w:val="24"/>
          <w:szCs w:val="24"/>
        </w:rPr>
        <w:t>3.3 Add cGAMP to a final concentration of 10 µM. Incubate the reaction at room temperature for 15 min.</w:t>
      </w:r>
    </w:p>
    <w:p w14:paraId="70387211">
      <w:pPr>
        <w:rPr>
          <w:rFonts w:ascii="Calibri" w:hAnsi="Calibri" w:cs="Calibri"/>
          <w:color w:val="FF0000"/>
          <w:sz w:val="24"/>
          <w:szCs w:val="24"/>
        </w:rPr>
      </w:pPr>
    </w:p>
    <w:p w14:paraId="550E9860">
      <w:pPr>
        <w:rPr>
          <w:rFonts w:ascii="Calibri" w:hAnsi="Calibri" w:cs="Calibri"/>
          <w:color w:val="FF0000"/>
          <w:sz w:val="24"/>
          <w:szCs w:val="24"/>
        </w:rPr>
      </w:pPr>
      <w:r>
        <w:rPr>
          <w:rFonts w:ascii="Calibri" w:hAnsi="Calibri" w:cs="Calibri"/>
          <w:color w:val="FF0000"/>
          <w:sz w:val="24"/>
          <w:szCs w:val="24"/>
        </w:rPr>
        <w:t>3.4 Add 50 µg semi-permeabilized HEK-293T cells. Mix gently.</w:t>
      </w:r>
    </w:p>
    <w:p w14:paraId="73ED014D">
      <w:pPr>
        <w:rPr>
          <w:rFonts w:ascii="Calibri" w:hAnsi="Calibri" w:cs="Calibri"/>
          <w:color w:val="FF0000"/>
          <w:sz w:val="24"/>
          <w:szCs w:val="24"/>
        </w:rPr>
      </w:pPr>
    </w:p>
    <w:p w14:paraId="2BF88234">
      <w:pPr>
        <w:rPr>
          <w:rFonts w:ascii="Calibri" w:hAnsi="Calibri" w:cs="Calibri"/>
          <w:color w:val="FF0000"/>
          <w:sz w:val="24"/>
          <w:szCs w:val="24"/>
        </w:rPr>
      </w:pPr>
      <w:r>
        <w:rPr>
          <w:rFonts w:ascii="Calibri" w:hAnsi="Calibri" w:cs="Calibri"/>
          <w:color w:val="FF0000"/>
          <w:sz w:val="24"/>
          <w:szCs w:val="24"/>
        </w:rPr>
        <w:t>3.5 Add 80 µg HEK-293F cytosol to initiate vesicle formation. Incubate at 37 °C for 45 min.</w:t>
      </w:r>
    </w:p>
    <w:p w14:paraId="43786655">
      <w:pPr>
        <w:rPr>
          <w:rFonts w:ascii="Calibri" w:hAnsi="Calibri" w:cs="Calibri"/>
          <w:color w:val="FF0000"/>
          <w:sz w:val="24"/>
          <w:szCs w:val="24"/>
        </w:rPr>
      </w:pPr>
    </w:p>
    <w:p w14:paraId="77A7CADF">
      <w:pPr>
        <w:rPr>
          <w:rFonts w:ascii="Calibri" w:hAnsi="Calibri" w:cs="Calibri"/>
          <w:color w:val="FF0000"/>
          <w:sz w:val="24"/>
          <w:szCs w:val="24"/>
        </w:rPr>
      </w:pPr>
      <w:r>
        <w:rPr>
          <w:rFonts w:ascii="Calibri" w:hAnsi="Calibri" w:cs="Calibri"/>
          <w:color w:val="FF0000"/>
          <w:sz w:val="24"/>
          <w:szCs w:val="24"/>
        </w:rPr>
        <w:t xml:space="preserve">3.6 Place the reaction on ice to terminate budding. Centrifuge at 12,000 </w:t>
      </w:r>
      <w:r>
        <w:rPr>
          <w:rFonts w:ascii="Calibri" w:hAnsi="Calibri" w:cs="Calibri"/>
          <w:i/>
          <w:iCs/>
          <w:color w:val="FF0000"/>
          <w:sz w:val="24"/>
          <w:szCs w:val="24"/>
        </w:rPr>
        <w:t>× g</w:t>
      </w:r>
      <w:r>
        <w:rPr>
          <w:rFonts w:ascii="Calibri" w:hAnsi="Calibri" w:cs="Calibri"/>
          <w:color w:val="FF0000"/>
          <w:sz w:val="24"/>
          <w:szCs w:val="24"/>
        </w:rPr>
        <w:t xml:space="preserve"> for 20 min at 4 °C.</w:t>
      </w:r>
    </w:p>
    <w:p w14:paraId="00D111A6">
      <w:pPr>
        <w:rPr>
          <w:rFonts w:ascii="Calibri" w:hAnsi="Calibri" w:cs="Calibri"/>
          <w:color w:val="FF0000"/>
          <w:sz w:val="24"/>
          <w:szCs w:val="24"/>
        </w:rPr>
      </w:pPr>
    </w:p>
    <w:p w14:paraId="7B1EBFE0">
      <w:pPr>
        <w:rPr>
          <w:rFonts w:ascii="Calibri" w:hAnsi="Calibri" w:cs="Calibri"/>
          <w:color w:val="FF0000"/>
          <w:sz w:val="24"/>
          <w:szCs w:val="24"/>
        </w:rPr>
      </w:pPr>
      <w:r>
        <w:rPr>
          <w:rFonts w:ascii="Calibri" w:hAnsi="Calibri" w:cs="Calibri"/>
          <w:color w:val="FF0000"/>
          <w:sz w:val="24"/>
          <w:szCs w:val="24"/>
        </w:rPr>
        <w:t>3.7 Collect the supernatant containing vesicles. Retain the pellet containing organelles.</w:t>
      </w:r>
    </w:p>
    <w:p w14:paraId="4F0EB495">
      <w:pPr>
        <w:rPr>
          <w:rFonts w:ascii="Calibri" w:hAnsi="Calibri" w:cs="Calibri"/>
          <w:color w:val="FF0000"/>
          <w:sz w:val="24"/>
          <w:szCs w:val="24"/>
        </w:rPr>
      </w:pPr>
    </w:p>
    <w:p w14:paraId="65B3DFBF">
      <w:pPr>
        <w:rPr>
          <w:rFonts w:ascii="Calibri" w:hAnsi="Calibri" w:cs="Calibri"/>
          <w:color w:val="FF0000"/>
          <w:sz w:val="24"/>
          <w:szCs w:val="24"/>
        </w:rPr>
      </w:pPr>
      <w:r>
        <w:rPr>
          <w:rFonts w:ascii="Calibri" w:hAnsi="Calibri" w:cs="Calibri"/>
          <w:color w:val="FF0000"/>
          <w:sz w:val="24"/>
          <w:szCs w:val="24"/>
        </w:rPr>
        <w:t xml:space="preserve">3.8 Ultracentrifuge the supernatant at 100,000 </w:t>
      </w:r>
      <w:r>
        <w:rPr>
          <w:rFonts w:ascii="Calibri" w:hAnsi="Calibri" w:cs="Calibri"/>
          <w:i/>
          <w:iCs/>
          <w:color w:val="FF0000"/>
          <w:sz w:val="24"/>
          <w:szCs w:val="24"/>
        </w:rPr>
        <w:t>× g</w:t>
      </w:r>
      <w:r>
        <w:rPr>
          <w:rFonts w:ascii="Calibri" w:hAnsi="Calibri" w:cs="Calibri"/>
          <w:color w:val="FF0000"/>
          <w:sz w:val="24"/>
          <w:szCs w:val="24"/>
        </w:rPr>
        <w:t xml:space="preserve"> for 1 h at 4 °C. Resuspend the vesicle pellet in 30 µL protein loading buffer.</w:t>
      </w:r>
    </w:p>
    <w:p w14:paraId="7E5F4829">
      <w:pPr>
        <w:rPr>
          <w:rFonts w:ascii="Calibri" w:hAnsi="Calibri" w:cs="Calibri"/>
          <w:color w:val="FF0000"/>
          <w:sz w:val="24"/>
          <w:szCs w:val="24"/>
        </w:rPr>
      </w:pPr>
    </w:p>
    <w:p w14:paraId="409B8777">
      <w:pPr>
        <w:rPr>
          <w:rFonts w:ascii="Calibri" w:hAnsi="Calibri" w:cs="Calibri"/>
          <w:color w:val="FF0000"/>
          <w:sz w:val="24"/>
          <w:szCs w:val="24"/>
        </w:rPr>
      </w:pPr>
      <w:r>
        <w:rPr>
          <w:rFonts w:ascii="Calibri" w:hAnsi="Calibri" w:cs="Calibri"/>
          <w:color w:val="FF0000"/>
          <w:sz w:val="24"/>
          <w:szCs w:val="24"/>
        </w:rPr>
        <w:t xml:space="preserve">3.9 Heat samples at 95 °C for 5 min. Centrifuge at 20,000 </w:t>
      </w:r>
      <w:r>
        <w:rPr>
          <w:rFonts w:ascii="Calibri" w:hAnsi="Calibri" w:cs="Calibri"/>
          <w:i/>
          <w:iCs/>
          <w:color w:val="FF0000"/>
          <w:sz w:val="24"/>
          <w:szCs w:val="24"/>
        </w:rPr>
        <w:t>× g</w:t>
      </w:r>
      <w:r>
        <w:rPr>
          <w:rFonts w:ascii="Calibri" w:hAnsi="Calibri" w:cs="Calibri"/>
          <w:color w:val="FF0000"/>
          <w:sz w:val="24"/>
          <w:szCs w:val="24"/>
        </w:rPr>
        <w:t xml:space="preserve"> for 5 min to remove precipitates.</w:t>
      </w:r>
    </w:p>
    <w:p w14:paraId="7F950466">
      <w:pPr>
        <w:rPr>
          <w:rFonts w:ascii="Calibri" w:hAnsi="Calibri" w:cs="Calibri"/>
          <w:color w:val="FF0000"/>
          <w:sz w:val="24"/>
          <w:szCs w:val="24"/>
        </w:rPr>
      </w:pPr>
    </w:p>
    <w:p w14:paraId="29A8BB58">
      <w:pPr>
        <w:rPr>
          <w:rFonts w:ascii="Calibri" w:hAnsi="Calibri" w:cs="Calibri"/>
          <w:color w:val="FF0000"/>
          <w:sz w:val="24"/>
          <w:szCs w:val="24"/>
        </w:rPr>
      </w:pPr>
      <w:r>
        <w:rPr>
          <w:rFonts w:ascii="Calibri" w:hAnsi="Calibri" w:cs="Calibri"/>
          <w:color w:val="FF0000"/>
          <w:sz w:val="24"/>
          <w:szCs w:val="24"/>
        </w:rPr>
        <w:t>3.10 Perform SDS-PAGE and transfer proteins to PVDF membranes. Probe with antibodies against Sec22b, STING, and RPN1.</w:t>
      </w:r>
    </w:p>
    <w:bookmarkEnd w:id="6"/>
    <w:p w14:paraId="69A167B4">
      <w:pPr>
        <w:ind w:firstLine="240" w:firstLineChars="100"/>
        <w:rPr>
          <w:rFonts w:ascii="Calibri" w:hAnsi="Calibri" w:cs="Calibri"/>
          <w:color w:val="FF0000"/>
          <w:sz w:val="24"/>
          <w:szCs w:val="24"/>
        </w:rPr>
      </w:pPr>
    </w:p>
    <w:p w14:paraId="1DD04694">
      <w:pPr>
        <w:rPr>
          <w:rFonts w:ascii="Calibri" w:hAnsi="Calibri" w:cs="Calibri"/>
          <w:b/>
          <w:color w:val="FF0000"/>
          <w:sz w:val="24"/>
          <w:szCs w:val="24"/>
        </w:rPr>
      </w:pPr>
      <w:r>
        <w:rPr>
          <w:rFonts w:ascii="Calibri" w:hAnsi="Calibri" w:cs="Calibri"/>
          <w:b/>
          <w:color w:val="FF0000"/>
          <w:sz w:val="24"/>
          <w:szCs w:val="24"/>
        </w:rPr>
        <w:t>REPRESENTATIVE RESULTS:</w:t>
      </w:r>
    </w:p>
    <w:p w14:paraId="1BDCDCDA">
      <w:pPr>
        <w:rPr>
          <w:rFonts w:ascii="Calibri" w:hAnsi="Calibri" w:cs="Calibri"/>
          <w:color w:val="FF0000"/>
          <w:sz w:val="24"/>
          <w:szCs w:val="24"/>
        </w:rPr>
      </w:pPr>
      <w:r>
        <w:rPr>
          <w:rFonts w:ascii="Calibri" w:hAnsi="Calibri" w:cs="Calibri"/>
          <w:color w:val="FF0000"/>
          <w:sz w:val="24"/>
          <w:szCs w:val="24"/>
        </w:rPr>
        <w:t>During the preparation of HEK-293F cell cytosol, two parameters were evaluated to assess cytosol quality. HEK-293F cells were cultured at high density, yielding cytosolic extracts with high protein concentrations. In addition, the extent of cell disruption following syringe-based lysis was assessed by light microscopy, confirming efficient cell lysis under the applied conditions (</w:t>
      </w:r>
      <w:r>
        <w:rPr>
          <w:rFonts w:ascii="Calibri" w:hAnsi="Calibri" w:cs="Calibri"/>
          <w:b/>
          <w:bCs/>
          <w:color w:val="FF0000"/>
          <w:sz w:val="24"/>
          <w:szCs w:val="24"/>
        </w:rPr>
        <w:t>Figure 2B</w:t>
      </w:r>
      <w:r>
        <w:rPr>
          <w:rFonts w:ascii="Calibri" w:hAnsi="Calibri" w:cs="Calibri"/>
          <w:color w:val="FF0000"/>
          <w:sz w:val="24"/>
          <w:szCs w:val="24"/>
        </w:rPr>
        <w:t>).</w:t>
      </w:r>
    </w:p>
    <w:bookmarkEnd w:id="10"/>
    <w:p w14:paraId="0BA71A92">
      <w:pPr>
        <w:rPr>
          <w:rFonts w:ascii="Calibri" w:hAnsi="Calibri" w:cs="Calibri"/>
          <w:sz w:val="24"/>
          <w:szCs w:val="24"/>
        </w:rPr>
      </w:pPr>
    </w:p>
    <w:p w14:paraId="03115610">
      <w:pPr>
        <w:rPr>
          <w:rFonts w:ascii="Calibri" w:hAnsi="Calibri" w:cs="Calibri"/>
          <w:sz w:val="24"/>
          <w:szCs w:val="24"/>
        </w:rPr>
      </w:pPr>
      <w:r>
        <w:rPr>
          <w:rFonts w:ascii="Calibri" w:hAnsi="Calibri" w:cs="Calibri"/>
          <w:sz w:val="24"/>
          <w:szCs w:val="24"/>
        </w:rPr>
        <w:t>For the generation of semi-permeabilized HEK-293T cells, cultures were harvested at approximately 60% confluency. At this stage, intracellular organelles appeared well distributed and morphologically intact, as observed by microscopy, providing suitable membrane sources for vesicle reconstitution assays (</w:t>
      </w:r>
      <w:r>
        <w:rPr>
          <w:rFonts w:ascii="Calibri" w:hAnsi="Calibri" w:cs="Calibri"/>
          <w:b/>
          <w:bCs/>
          <w:sz w:val="24"/>
          <w:szCs w:val="24"/>
        </w:rPr>
        <w:t>Figure 3</w:t>
      </w:r>
      <w:r>
        <w:rPr>
          <w:rFonts w:ascii="Calibri" w:hAnsi="Calibri" w:cs="Calibri"/>
          <w:sz w:val="24"/>
          <w:szCs w:val="24"/>
        </w:rPr>
        <w:t>).</w:t>
      </w:r>
    </w:p>
    <w:p w14:paraId="7288992C">
      <w:pPr>
        <w:rPr>
          <w:rFonts w:ascii="Calibri" w:hAnsi="Calibri" w:cs="Calibri"/>
          <w:sz w:val="24"/>
          <w:szCs w:val="24"/>
        </w:rPr>
      </w:pPr>
    </w:p>
    <w:p w14:paraId="4B1F6680">
      <w:pPr>
        <w:rPr>
          <w:rFonts w:ascii="Calibri" w:hAnsi="Calibri" w:cs="Calibri"/>
          <w:sz w:val="24"/>
          <w:szCs w:val="24"/>
        </w:rPr>
      </w:pPr>
      <w:r>
        <w:rPr>
          <w:rFonts w:ascii="Calibri" w:hAnsi="Calibri" w:cs="Calibri"/>
          <w:sz w:val="24"/>
          <w:szCs w:val="24"/>
        </w:rPr>
        <w:t>Using this optimized system, the coupling between STING signaling and vesicular trafficking was examined. As outlined in this workflow, samples were fractionated into total, organelle, vesicle, and supernatant fractions for subsequent analysis (</w:t>
      </w:r>
      <w:r>
        <w:rPr>
          <w:rFonts w:ascii="Calibri" w:hAnsi="Calibri" w:cs="Calibri"/>
          <w:b/>
          <w:bCs/>
          <w:sz w:val="24"/>
          <w:szCs w:val="24"/>
        </w:rPr>
        <w:t>Figure 4A, B</w:t>
      </w:r>
      <w:r>
        <w:rPr>
          <w:rFonts w:ascii="Calibri" w:hAnsi="Calibri" w:cs="Calibri"/>
          <w:sz w:val="24"/>
          <w:szCs w:val="24"/>
        </w:rPr>
        <w:t>). Following cell-free COPII vesicle reconstitution, samples were resolved by SDS-PAGE and transferred to PVDF membranes for Western blot analysis. Three COPII cargo types were analyzed. The canonical COPII cargo Sec22b was efficiently packaged into COPII vesicles, consistent with previous reports. In contrast, the ER-resident protein RPN1 was not detected in vesicle fractions, indicating minimal ER membrane contamination and successful vesicle formation.</w:t>
      </w:r>
    </w:p>
    <w:p w14:paraId="2D28C7A8">
      <w:pPr>
        <w:rPr>
          <w:rFonts w:ascii="Calibri" w:hAnsi="Calibri" w:cs="Calibri"/>
          <w:sz w:val="24"/>
          <w:szCs w:val="24"/>
        </w:rPr>
      </w:pPr>
    </w:p>
    <w:p w14:paraId="0EAC094F">
      <w:pPr>
        <w:rPr>
          <w:rFonts w:ascii="Calibri" w:hAnsi="Calibri" w:cs="Calibri"/>
          <w:sz w:val="24"/>
          <w:szCs w:val="24"/>
        </w:rPr>
      </w:pPr>
      <w:r>
        <w:rPr>
          <w:rFonts w:ascii="Calibri" w:hAnsi="Calibri" w:cs="Calibri"/>
          <w:sz w:val="24"/>
          <w:szCs w:val="24"/>
        </w:rPr>
        <w:t>STING was also detected in COPII vesicles, with an average packaging efficiency of approximately 20%. The addition of 2′,3′-cGAMP did not significantly alter the COPII packaging efficiency of STING (</w:t>
      </w:r>
      <w:r>
        <w:rPr>
          <w:rFonts w:ascii="Calibri" w:hAnsi="Calibri" w:cs="Calibri"/>
          <w:b/>
          <w:bCs/>
          <w:sz w:val="24"/>
          <w:szCs w:val="24"/>
        </w:rPr>
        <w:t>Figure 4C, D</w:t>
      </w:r>
      <w:r>
        <w:rPr>
          <w:rFonts w:ascii="Calibri" w:hAnsi="Calibri" w:cs="Calibri"/>
          <w:sz w:val="24"/>
          <w:szCs w:val="24"/>
        </w:rPr>
        <w:t xml:space="preserve">). These results demonstrate that STING can be incorporated into COPII vesicles under defined cell-free conditions, supporting the utility of this method for investigating COPII-mediated cargo sorting </w:t>
      </w:r>
      <w:r>
        <w:rPr>
          <w:rFonts w:ascii="Calibri" w:hAnsi="Calibri" w:cs="Calibri"/>
          <w:i/>
          <w:iCs/>
          <w:sz w:val="24"/>
          <w:szCs w:val="24"/>
        </w:rPr>
        <w:t>in vitro</w:t>
      </w:r>
      <w:r>
        <w:rPr>
          <w:rFonts w:ascii="Calibri" w:hAnsi="Calibri" w:cs="Calibri"/>
          <w:sz w:val="24"/>
          <w:szCs w:val="24"/>
        </w:rPr>
        <w:t>.</w:t>
      </w:r>
    </w:p>
    <w:p w14:paraId="0AFF862E">
      <w:pPr>
        <w:rPr>
          <w:rFonts w:ascii="Calibri" w:hAnsi="Calibri" w:cs="Calibri"/>
          <w:sz w:val="24"/>
          <w:szCs w:val="24"/>
        </w:rPr>
      </w:pPr>
    </w:p>
    <w:p w14:paraId="70E3BB7D">
      <w:pPr>
        <w:rPr>
          <w:rStyle w:val="19"/>
          <w:rFonts w:ascii="Calibri" w:hAnsi="Calibri" w:cs="Calibri"/>
        </w:rPr>
      </w:pPr>
      <w:bookmarkStart w:id="7" w:name="OLE_LINK15"/>
      <w:r>
        <w:rPr>
          <w:rStyle w:val="19"/>
          <w:rFonts w:ascii="Calibri" w:hAnsi="Calibri" w:cs="Calibri"/>
        </w:rPr>
        <w:t>FIGURE LEGENDS:</w:t>
      </w:r>
    </w:p>
    <w:p w14:paraId="45055068">
      <w:pPr>
        <w:rPr>
          <w:rFonts w:ascii="Calibri" w:hAnsi="Calibri" w:cs="Calibri"/>
          <w:bCs/>
          <w:sz w:val="24"/>
          <w:szCs w:val="24"/>
        </w:rPr>
      </w:pPr>
      <w:r>
        <w:rPr>
          <w:rFonts w:ascii="Calibri" w:hAnsi="Calibri" w:cs="Calibri"/>
          <w:b/>
          <w:sz w:val="24"/>
          <w:szCs w:val="24"/>
        </w:rPr>
        <w:t>Figure</w:t>
      </w:r>
      <w:r>
        <w:rPr>
          <w:rFonts w:ascii="Calibri" w:hAnsi="Calibri" w:cs="Calibri"/>
          <w:b/>
          <w:sz w:val="24"/>
          <w:szCs w:val="24"/>
        </w:rPr>
        <w:tab/>
      </w:r>
      <w:r>
        <w:rPr>
          <w:rFonts w:ascii="Calibri" w:hAnsi="Calibri" w:cs="Calibri"/>
          <w:b/>
          <w:sz w:val="24"/>
          <w:szCs w:val="24"/>
        </w:rPr>
        <w:t xml:space="preserve"> 1: Schematic overview of the cell-free COPII vesicle reconstitution system. </w:t>
      </w:r>
      <w:r>
        <w:rPr>
          <w:rFonts w:ascii="Calibri" w:hAnsi="Calibri" w:cs="Calibri"/>
          <w:bCs/>
          <w:sz w:val="24"/>
          <w:szCs w:val="24"/>
        </w:rPr>
        <w:t xml:space="preserve">Semi-permeabilized cells are generated by digitonin treatment, which selectively permeabilizes the plasma membrane while preserving intracellular organelles, including the endoplasmic reticulum (ER), ER–Golgi intermediate compartment (ERGIC), and Golgi apparatus. Cytosol is then added to the semi-permeabilized cells to reconstitute COPII vesicle formation </w:t>
      </w:r>
      <w:r>
        <w:rPr>
          <w:rFonts w:ascii="Calibri" w:hAnsi="Calibri" w:cs="Calibri"/>
          <w:bCs/>
          <w:i/>
          <w:iCs/>
          <w:sz w:val="24"/>
          <w:szCs w:val="24"/>
        </w:rPr>
        <w:t>in vitro</w:t>
      </w:r>
      <w:r>
        <w:rPr>
          <w:rFonts w:ascii="Calibri" w:hAnsi="Calibri" w:cs="Calibri"/>
          <w:bCs/>
          <w:sz w:val="24"/>
          <w:szCs w:val="24"/>
        </w:rPr>
        <w:t>. This system enables the generation of COPII vesicles that mediate cargo transport from the ER toward the ERGIC and Golgi in the absence of COPI vesicle activity.</w:t>
      </w:r>
    </w:p>
    <w:p w14:paraId="1AFED369">
      <w:pPr>
        <w:rPr>
          <w:rFonts w:ascii="Calibri" w:hAnsi="Calibri" w:cs="Calibri"/>
          <w:b/>
          <w:sz w:val="24"/>
          <w:szCs w:val="24"/>
        </w:rPr>
      </w:pPr>
    </w:p>
    <w:p w14:paraId="06CEA248">
      <w:pPr>
        <w:snapToGrid w:val="0"/>
        <w:rPr>
          <w:rFonts w:ascii="Calibri" w:hAnsi="Calibri" w:cs="Calibri"/>
          <w:b/>
          <w:bCs/>
          <w:sz w:val="24"/>
          <w:szCs w:val="24"/>
        </w:rPr>
      </w:pPr>
      <w:r>
        <w:rPr>
          <w:rFonts w:ascii="Calibri" w:hAnsi="Calibri" w:cs="Calibri"/>
          <w:b/>
          <w:bCs/>
          <w:sz w:val="24"/>
          <w:szCs w:val="24"/>
        </w:rPr>
        <w:t xml:space="preserve">Figure 2: Workflow for preparing HEK-293F cell cytosol for COPII vesicle budding. </w:t>
      </w:r>
      <w:r>
        <w:rPr>
          <w:rFonts w:ascii="Calibri" w:hAnsi="Calibri" w:cs="Calibri"/>
          <w:bCs/>
          <w:sz w:val="24"/>
          <w:szCs w:val="24"/>
        </w:rPr>
        <w:t>(</w:t>
      </w:r>
      <w:r>
        <w:rPr>
          <w:rFonts w:ascii="Calibri" w:hAnsi="Calibri" w:cs="Calibri"/>
          <w:b/>
          <w:sz w:val="24"/>
          <w:szCs w:val="24"/>
        </w:rPr>
        <w:t>A</w:t>
      </w:r>
      <w:r>
        <w:rPr>
          <w:rFonts w:ascii="Calibri" w:hAnsi="Calibri" w:cs="Calibri"/>
          <w:bCs/>
          <w:sz w:val="24"/>
          <w:szCs w:val="24"/>
        </w:rPr>
        <w:t>) Schematic overview of the protocol for extracting cytosol from HEK-293F cells. (</w:t>
      </w:r>
      <w:r>
        <w:rPr>
          <w:rFonts w:ascii="Calibri" w:hAnsi="Calibri" w:cs="Calibri"/>
          <w:b/>
          <w:sz w:val="24"/>
          <w:szCs w:val="24"/>
        </w:rPr>
        <w:t>B</w:t>
      </w:r>
      <w:r>
        <w:rPr>
          <w:rFonts w:ascii="Calibri" w:hAnsi="Calibri" w:cs="Calibri"/>
          <w:bCs/>
          <w:sz w:val="24"/>
          <w:szCs w:val="24"/>
        </w:rPr>
        <w:t>) Microscopy-based assessment of membrane disruption. Intact cells are indicated by white arrows, and cellular fragments are indicated by black arrows.</w:t>
      </w:r>
    </w:p>
    <w:p w14:paraId="4034675E">
      <w:pPr>
        <w:snapToGrid w:val="0"/>
        <w:rPr>
          <w:rFonts w:ascii="Calibri" w:hAnsi="Calibri" w:cs="Calibri"/>
          <w:b/>
          <w:sz w:val="24"/>
          <w:szCs w:val="24"/>
        </w:rPr>
      </w:pPr>
    </w:p>
    <w:p w14:paraId="6540D21B">
      <w:pPr>
        <w:snapToGrid w:val="0"/>
        <w:rPr>
          <w:rFonts w:ascii="Calibri" w:hAnsi="Calibri" w:cs="Calibri"/>
          <w:b/>
          <w:bCs/>
          <w:sz w:val="24"/>
          <w:szCs w:val="24"/>
        </w:rPr>
      </w:pPr>
      <w:r>
        <w:rPr>
          <w:rFonts w:ascii="Calibri" w:hAnsi="Calibri" w:cs="Calibri"/>
          <w:b/>
          <w:bCs/>
          <w:sz w:val="24"/>
          <w:szCs w:val="24"/>
        </w:rPr>
        <w:t xml:space="preserve">Figure 3: Establishment of semi-permeabilized HEK-293T membranes. </w:t>
      </w:r>
      <w:r>
        <w:rPr>
          <w:rFonts w:ascii="Calibri" w:hAnsi="Calibri" w:cs="Calibri"/>
          <w:bCs/>
          <w:sz w:val="24"/>
          <w:szCs w:val="24"/>
        </w:rPr>
        <w:t>(</w:t>
      </w:r>
      <w:r>
        <w:rPr>
          <w:rFonts w:ascii="Calibri" w:hAnsi="Calibri" w:cs="Calibri"/>
          <w:b/>
          <w:sz w:val="24"/>
          <w:szCs w:val="24"/>
        </w:rPr>
        <w:t>A</w:t>
      </w:r>
      <w:r>
        <w:rPr>
          <w:rFonts w:ascii="Calibri" w:hAnsi="Calibri" w:cs="Calibri"/>
          <w:bCs/>
          <w:sz w:val="24"/>
          <w:szCs w:val="24"/>
        </w:rPr>
        <w:t>) Representative micrograph of HEK-293T cells at approximately 60% confluency. (</w:t>
      </w:r>
      <w:r>
        <w:rPr>
          <w:rFonts w:ascii="Calibri" w:hAnsi="Calibri" w:cs="Calibri"/>
          <w:b/>
          <w:sz w:val="24"/>
          <w:szCs w:val="24"/>
        </w:rPr>
        <w:t>B</w:t>
      </w:r>
      <w:r>
        <w:rPr>
          <w:rFonts w:ascii="Calibri" w:hAnsi="Calibri" w:cs="Calibri"/>
          <w:bCs/>
          <w:sz w:val="24"/>
          <w:szCs w:val="24"/>
        </w:rPr>
        <w:t>) Workflow for generating semi-permeabilized HEK-293T cells stably expressing human STING.</w:t>
      </w:r>
    </w:p>
    <w:p w14:paraId="02C94C59">
      <w:pPr>
        <w:snapToGrid w:val="0"/>
        <w:rPr>
          <w:rFonts w:ascii="Calibri" w:hAnsi="Calibri" w:cs="Calibri"/>
          <w:b/>
          <w:sz w:val="24"/>
          <w:szCs w:val="24"/>
        </w:rPr>
      </w:pPr>
    </w:p>
    <w:p w14:paraId="3724792D">
      <w:pPr>
        <w:snapToGrid w:val="0"/>
        <w:rPr>
          <w:rFonts w:ascii="Calibri" w:hAnsi="Calibri" w:cs="Calibri"/>
          <w:b/>
          <w:bCs/>
          <w:sz w:val="24"/>
          <w:szCs w:val="24"/>
        </w:rPr>
      </w:pPr>
      <w:r>
        <w:rPr>
          <w:rFonts w:ascii="Calibri" w:hAnsi="Calibri" w:cs="Calibri"/>
          <w:b/>
          <w:bCs/>
          <w:sz w:val="24"/>
          <w:szCs w:val="24"/>
        </w:rPr>
        <w:t xml:space="preserve">Figure 4: Quantitative analysis and mechanistic model of STING COPII packaging. </w:t>
      </w:r>
      <w:r>
        <w:rPr>
          <w:rFonts w:ascii="Calibri" w:hAnsi="Calibri" w:cs="Calibri"/>
          <w:bCs/>
          <w:sz w:val="24"/>
          <w:szCs w:val="24"/>
        </w:rPr>
        <w:t>(</w:t>
      </w:r>
      <w:r>
        <w:rPr>
          <w:rFonts w:ascii="Calibri" w:hAnsi="Calibri" w:cs="Calibri"/>
          <w:b/>
          <w:sz w:val="24"/>
          <w:szCs w:val="24"/>
        </w:rPr>
        <w:t>A</w:t>
      </w:r>
      <w:r>
        <w:rPr>
          <w:rFonts w:ascii="Calibri" w:hAnsi="Calibri" w:cs="Calibri"/>
          <w:bCs/>
          <w:sz w:val="24"/>
          <w:szCs w:val="24"/>
        </w:rPr>
        <w:t>) Schematic overview of the cell-free COPII vesicle reconstitution assay. This panel is reproduced from Nan et al. (2025) under a CC BY license. (</w:t>
      </w:r>
      <w:r>
        <w:rPr>
          <w:rFonts w:ascii="Calibri" w:hAnsi="Calibri" w:cs="Calibri"/>
          <w:b/>
          <w:sz w:val="24"/>
          <w:szCs w:val="24"/>
        </w:rPr>
        <w:t>B</w:t>
      </w:r>
      <w:r>
        <w:rPr>
          <w:rFonts w:ascii="Calibri" w:hAnsi="Calibri" w:cs="Calibri"/>
          <w:bCs/>
          <w:sz w:val="24"/>
          <w:szCs w:val="24"/>
        </w:rPr>
        <w:t>) Diagram illustrating the recognition of pSGME and pFS motifs by Sec24, enabling incorporation of both phosphorylated and unphosphorylated STING into COPII vesicles. This schematic is adapted from Nan et al. (2025) and represents a proposed model rather than direct experimental evidence generated in this study. (</w:t>
      </w:r>
      <w:r>
        <w:rPr>
          <w:rFonts w:ascii="Calibri" w:hAnsi="Calibri" w:cs="Calibri"/>
          <w:b/>
          <w:sz w:val="24"/>
          <w:szCs w:val="24"/>
        </w:rPr>
        <w:t>C</w:t>
      </w:r>
      <w:r>
        <w:rPr>
          <w:rFonts w:ascii="Calibri" w:hAnsi="Calibri" w:cs="Calibri"/>
          <w:bCs/>
          <w:sz w:val="24"/>
          <w:szCs w:val="24"/>
        </w:rPr>
        <w:t>) Western blot analysis of STING incorporation into reconstituted COPII vesicles. Total samples were collected prior to COPII vesicle budding. Organelle fractions were obtained from the pellet following centrifugation (</w:t>
      </w:r>
      <w:r>
        <w:rPr>
          <w:rFonts w:ascii="Calibri" w:hAnsi="Calibri" w:cs="Calibri"/>
          <w:bCs/>
          <w:i/>
          <w:iCs/>
          <w:sz w:val="24"/>
          <w:szCs w:val="24"/>
        </w:rPr>
        <w:t>Step 3.6</w:t>
      </w:r>
      <w:r>
        <w:rPr>
          <w:rFonts w:ascii="Calibri" w:hAnsi="Calibri" w:cs="Calibri"/>
          <w:bCs/>
          <w:sz w:val="24"/>
          <w:szCs w:val="24"/>
        </w:rPr>
        <w:t>). Vesicle and supernatant fractions were collected after ultracentrifugation (</w:t>
      </w:r>
      <w:r>
        <w:rPr>
          <w:rFonts w:ascii="Calibri" w:hAnsi="Calibri" w:cs="Calibri"/>
          <w:bCs/>
          <w:i/>
          <w:iCs/>
          <w:sz w:val="24"/>
          <w:szCs w:val="24"/>
        </w:rPr>
        <w:t>Step 3.7</w:t>
      </w:r>
      <w:r>
        <w:rPr>
          <w:rFonts w:ascii="Calibri" w:hAnsi="Calibri" w:cs="Calibri"/>
          <w:bCs/>
          <w:sz w:val="24"/>
          <w:szCs w:val="24"/>
        </w:rPr>
        <w:t>). Sec22b, RPN1, and STING were detected using specific antibodies. (</w:t>
      </w:r>
      <w:r>
        <w:rPr>
          <w:rFonts w:ascii="Calibri" w:hAnsi="Calibri" w:cs="Calibri"/>
          <w:b/>
          <w:sz w:val="24"/>
          <w:szCs w:val="24"/>
        </w:rPr>
        <w:t>D</w:t>
      </w:r>
      <w:r>
        <w:rPr>
          <w:rFonts w:ascii="Calibri" w:hAnsi="Calibri" w:cs="Calibri"/>
          <w:bCs/>
          <w:sz w:val="24"/>
          <w:szCs w:val="24"/>
        </w:rPr>
        <w:t>) Quantification of STING packaging into COPII vesicles. Data were normalized to total STING in the reaction (set to 100%). Statistical analysis was performed using one-way ANOVA. *p &lt; 0.05; “NS” indicates no significant difference. Data represent mean ± SEM from at least three independent biological replicates (n ≥ 3). Panels C and D are original to this study. Panels A and B are reproduced or adapted from Nan et al.</w:t>
      </w:r>
      <w:r>
        <w:rPr>
          <w:rFonts w:ascii="Calibri" w:hAnsi="Calibri" w:cs="Calibri"/>
          <w:bCs/>
          <w:sz w:val="24"/>
          <w:szCs w:val="24"/>
          <w:vertAlign w:val="superscript"/>
        </w:rPr>
        <w:t>13</w:t>
      </w:r>
      <w:r>
        <w:rPr>
          <w:rFonts w:ascii="Calibri" w:hAnsi="Calibri" w:cs="Calibri"/>
          <w:bCs/>
          <w:sz w:val="24"/>
          <w:szCs w:val="24"/>
        </w:rPr>
        <w:t>. Abbreviations:</w:t>
      </w:r>
      <w:r>
        <w:rPr>
          <w:rFonts w:ascii="Calibri" w:hAnsi="Calibri" w:cs="Calibri"/>
          <w:b/>
          <w:bCs/>
          <w:sz w:val="24"/>
          <w:szCs w:val="24"/>
        </w:rPr>
        <w:t xml:space="preserve"> </w:t>
      </w:r>
      <w:r>
        <w:rPr>
          <w:rFonts w:ascii="Calibri" w:hAnsi="Calibri" w:cs="Calibri"/>
          <w:bCs/>
          <w:sz w:val="24"/>
          <w:szCs w:val="24"/>
        </w:rPr>
        <w:t>SP cells = semi-permeabilized cells; SN = supernatant; cGAMP = cyclic guanosine monophosphate–adenosine monophosphate; SEM = standard error of the mean.</w:t>
      </w:r>
    </w:p>
    <w:p w14:paraId="336F9138">
      <w:pPr>
        <w:snapToGrid w:val="0"/>
        <w:rPr>
          <w:rFonts w:ascii="Calibri" w:hAnsi="Calibri" w:cs="Calibri"/>
          <w:bCs/>
          <w:sz w:val="24"/>
          <w:szCs w:val="24"/>
        </w:rPr>
      </w:pPr>
    </w:p>
    <w:bookmarkEnd w:id="7"/>
    <w:p w14:paraId="3B99D42D">
      <w:pPr>
        <w:rPr>
          <w:rFonts w:ascii="Calibri" w:hAnsi="Calibri" w:cs="Calibri"/>
          <w:b/>
          <w:sz w:val="24"/>
          <w:szCs w:val="24"/>
        </w:rPr>
      </w:pPr>
      <w:bookmarkStart w:id="8" w:name="_Hlk183471873"/>
      <w:r>
        <w:rPr>
          <w:rFonts w:ascii="Calibri" w:hAnsi="Calibri" w:cs="Calibri"/>
          <w:b/>
          <w:sz w:val="24"/>
          <w:szCs w:val="24"/>
        </w:rPr>
        <w:t>DISCUSSION:</w:t>
      </w:r>
    </w:p>
    <w:bookmarkEnd w:id="8"/>
    <w:p w14:paraId="5E62FED3">
      <w:pPr>
        <w:rPr>
          <w:rFonts w:ascii="Calibri" w:hAnsi="Calibri" w:cs="Calibri"/>
          <w:color w:val="000000" w:themeColor="text1"/>
          <w:sz w:val="24"/>
          <w:szCs w:val="24"/>
          <w14:textFill>
            <w14:solidFill>
              <w14:schemeClr w14:val="tx1"/>
            </w14:solidFill>
          </w14:textFill>
        </w:rPr>
      </w:pPr>
      <w:r>
        <w:rPr>
          <w:rFonts w:ascii="Calibri" w:hAnsi="Calibri" w:cs="Calibri"/>
          <w:color w:val="000000" w:themeColor="text1"/>
          <w:sz w:val="24"/>
          <w:szCs w:val="24"/>
          <w14:textFill>
            <w14:solidFill>
              <w14:schemeClr w14:val="tx1"/>
            </w14:solidFill>
          </w14:textFill>
        </w:rPr>
        <w:t xml:space="preserve">The reconstitution of essential biochemical reactions </w:t>
      </w:r>
      <w:r>
        <w:rPr>
          <w:rFonts w:ascii="Calibri" w:hAnsi="Calibri" w:cs="Calibri"/>
          <w:i/>
          <w:iCs/>
          <w:color w:val="000000" w:themeColor="text1"/>
          <w:sz w:val="24"/>
          <w:szCs w:val="24"/>
          <w14:textFill>
            <w14:solidFill>
              <w14:schemeClr w14:val="tx1"/>
            </w14:solidFill>
          </w14:textFill>
        </w:rPr>
        <w:t xml:space="preserve">in vitro </w:t>
      </w:r>
      <w:r>
        <w:rPr>
          <w:rFonts w:ascii="Calibri" w:hAnsi="Calibri" w:cs="Calibri"/>
          <w:color w:val="000000" w:themeColor="text1"/>
          <w:sz w:val="24"/>
          <w:szCs w:val="24"/>
          <w14:textFill>
            <w14:solidFill>
              <w14:schemeClr w14:val="tx1"/>
            </w14:solidFill>
          </w14:textFill>
        </w:rPr>
        <w:t>has laid the foundation for cell-free systems, which have been instrumental in numerous landmark discoveries. These include the identification of cGAS as a cytosolic DNA sensor</w:t>
      </w:r>
      <w:r>
        <w:rPr>
          <w:rFonts w:ascii="Calibri" w:hAnsi="Calibri" w:cs="Calibri"/>
          <w:color w:val="000000" w:themeColor="text1"/>
          <w:sz w:val="24"/>
          <w:szCs w:val="24"/>
          <w:vertAlign w:val="superscript"/>
          <w14:textFill>
            <w14:solidFill>
              <w14:schemeClr w14:val="tx1"/>
            </w14:solidFill>
          </w14:textFill>
        </w:rPr>
        <w:t>14,15</w:t>
      </w:r>
      <w:r>
        <w:rPr>
          <w:rFonts w:ascii="Calibri" w:hAnsi="Calibri" w:cs="Calibri"/>
          <w:color w:val="000000" w:themeColor="text1"/>
          <w:sz w:val="24"/>
          <w:szCs w:val="24"/>
          <w14:textFill>
            <w14:solidFill>
              <w14:schemeClr w14:val="tx1"/>
            </w14:solidFill>
          </w14:textFill>
        </w:rPr>
        <w:t>, the elucidation of the role of cytochrome c in apoptosis, and the discovery of the first histone demethylase, JHDM1</w:t>
      </w:r>
      <w:r>
        <w:rPr>
          <w:rFonts w:ascii="Calibri" w:hAnsi="Calibri" w:cs="Calibri"/>
          <w:color w:val="000000" w:themeColor="text1"/>
          <w:sz w:val="24"/>
          <w:szCs w:val="24"/>
          <w:vertAlign w:val="superscript"/>
          <w14:textFill>
            <w14:solidFill>
              <w14:schemeClr w14:val="tx1"/>
            </w14:solidFill>
          </w14:textFill>
        </w:rPr>
        <w:t>16,17</w:t>
      </w:r>
      <w:r>
        <w:rPr>
          <w:rFonts w:ascii="Calibri" w:hAnsi="Calibri" w:cs="Calibri"/>
          <w:color w:val="000000" w:themeColor="text1"/>
          <w:sz w:val="24"/>
          <w:szCs w:val="24"/>
          <w14:textFill>
            <w14:solidFill>
              <w14:schemeClr w14:val="tx1"/>
            </w14:solidFill>
          </w14:textFill>
        </w:rPr>
        <w:t>. Such defined biochemical approaches are particularly powerful for dissecting tightly coupled steps in STING trafficking, from its exit from the endoplasmic reticulum (ER) to its arrival at the Golgi apparatus, a process that is critical for innate immune signaling.</w:t>
      </w:r>
    </w:p>
    <w:p w14:paraId="72A1BA00">
      <w:pPr>
        <w:rPr>
          <w:rFonts w:ascii="Calibri" w:hAnsi="Calibri" w:cs="Calibri"/>
          <w:color w:val="000000" w:themeColor="text1"/>
          <w:sz w:val="24"/>
          <w:szCs w:val="24"/>
          <w14:textFill>
            <w14:solidFill>
              <w14:schemeClr w14:val="tx1"/>
            </w14:solidFill>
          </w14:textFill>
        </w:rPr>
      </w:pPr>
    </w:p>
    <w:p w14:paraId="16D6C6BC">
      <w:pPr>
        <w:rPr>
          <w:rFonts w:ascii="Calibri" w:hAnsi="Calibri" w:cs="Calibri"/>
          <w:color w:val="000000" w:themeColor="text1"/>
          <w:sz w:val="24"/>
          <w:szCs w:val="24"/>
          <w14:textFill>
            <w14:solidFill>
              <w14:schemeClr w14:val="tx1"/>
            </w14:solidFill>
          </w14:textFill>
        </w:rPr>
      </w:pPr>
      <w:r>
        <w:rPr>
          <w:rFonts w:ascii="Calibri" w:hAnsi="Calibri" w:cs="Calibri"/>
          <w:color w:val="000000" w:themeColor="text1"/>
          <w:sz w:val="24"/>
          <w:szCs w:val="24"/>
          <w14:textFill>
            <w14:solidFill>
              <w14:schemeClr w14:val="tx1"/>
            </w14:solidFill>
          </w14:textFill>
        </w:rPr>
        <w:t>In this study, an optimized cell-free COPII vesicle reconstitution system was developed and validated using STING as a model cargo. This workflow addresses several challenges associated with studying STING ER export. First, the use of cytosol derived from HEK-293F suspension cells provides a scalable and reproducible source of COPII components. This is particularly relevant for STING studies, as HEK-293 cells are widely used models for the cGAS–STING pathway, thereby preserving the physiological relevance of the coat machinery and associated regulatory factors</w:t>
      </w:r>
      <w:r>
        <w:rPr>
          <w:rFonts w:ascii="Calibri" w:hAnsi="Calibri" w:cs="Calibri"/>
          <w:color w:val="000000" w:themeColor="text1"/>
          <w:sz w:val="24"/>
          <w:szCs w:val="24"/>
          <w:vertAlign w:val="superscript"/>
          <w14:textFill>
            <w14:solidFill>
              <w14:schemeClr w14:val="tx1"/>
            </w14:solidFill>
          </w14:textFill>
        </w:rPr>
        <w:t>18,19</w:t>
      </w:r>
      <w:r>
        <w:rPr>
          <w:rFonts w:ascii="Calibri" w:hAnsi="Calibri" w:cs="Calibri"/>
          <w:color w:val="000000" w:themeColor="text1"/>
          <w:sz w:val="24"/>
          <w:szCs w:val="24"/>
          <w14:textFill>
            <w14:solidFill>
              <w14:schemeClr w14:val="tx1"/>
            </w14:solidFill>
          </w14:textFill>
        </w:rPr>
        <w:t>.</w:t>
      </w:r>
    </w:p>
    <w:p w14:paraId="7E770A40">
      <w:pPr>
        <w:rPr>
          <w:rFonts w:ascii="Calibri" w:hAnsi="Calibri" w:cs="Calibri"/>
          <w:color w:val="000000" w:themeColor="text1"/>
          <w:sz w:val="24"/>
          <w:szCs w:val="24"/>
          <w14:textFill>
            <w14:solidFill>
              <w14:schemeClr w14:val="tx1"/>
            </w14:solidFill>
          </w14:textFill>
        </w:rPr>
      </w:pPr>
    </w:p>
    <w:p w14:paraId="4892EB38">
      <w:pPr>
        <w:rPr>
          <w:rFonts w:ascii="Calibri" w:hAnsi="Calibri" w:cs="Calibri"/>
          <w:color w:val="000000" w:themeColor="text1"/>
          <w:sz w:val="24"/>
          <w:szCs w:val="24"/>
          <w14:textFill>
            <w14:solidFill>
              <w14:schemeClr w14:val="tx1"/>
            </w14:solidFill>
          </w14:textFill>
        </w:rPr>
      </w:pPr>
      <w:r>
        <w:rPr>
          <w:rFonts w:ascii="Calibri" w:hAnsi="Calibri" w:cs="Calibri"/>
          <w:color w:val="000000" w:themeColor="text1"/>
          <w:sz w:val="24"/>
          <w:szCs w:val="24"/>
          <w14:textFill>
            <w14:solidFill>
              <w14:schemeClr w14:val="tx1"/>
            </w14:solidFill>
          </w14:textFill>
        </w:rPr>
        <w:t>Second, the inclusion of an ultracentrifugation step to deplete cytosolic membranes represents a critical refinement. Because STING is an ER-resident transmembrane protein, removing pre-existing ER membranes from the cytosolic fraction minimizes background signal and enables more precise analysis of de novo vesicle incorporation. In combination with the use of semi-permeabilized cells as a defined membrane source, this approach establishes a high signal-to-noise system for interrogating COPII vesicle budding.</w:t>
      </w:r>
    </w:p>
    <w:p w14:paraId="300C9812">
      <w:pPr>
        <w:rPr>
          <w:rFonts w:ascii="Calibri" w:hAnsi="Calibri" w:cs="Calibri"/>
          <w:color w:val="000000" w:themeColor="text1"/>
          <w:sz w:val="24"/>
          <w:szCs w:val="24"/>
          <w14:textFill>
            <w14:solidFill>
              <w14:schemeClr w14:val="tx1"/>
            </w14:solidFill>
          </w14:textFill>
        </w:rPr>
      </w:pPr>
    </w:p>
    <w:p w14:paraId="4756A3C7">
      <w:pPr>
        <w:rPr>
          <w:rFonts w:ascii="Calibri" w:hAnsi="Calibri" w:cs="Calibri"/>
          <w:color w:val="000000" w:themeColor="text1"/>
          <w:sz w:val="24"/>
          <w:szCs w:val="24"/>
          <w14:textFill>
            <w14:solidFill>
              <w14:schemeClr w14:val="tx1"/>
            </w14:solidFill>
          </w14:textFill>
        </w:rPr>
      </w:pPr>
      <w:r>
        <w:rPr>
          <w:rFonts w:ascii="Calibri" w:hAnsi="Calibri" w:cs="Calibri"/>
          <w:color w:val="000000" w:themeColor="text1"/>
          <w:sz w:val="24"/>
          <w:szCs w:val="24"/>
          <w14:textFill>
            <w14:solidFill>
              <w14:schemeClr w14:val="tx1"/>
            </w14:solidFill>
          </w14:textFill>
        </w:rPr>
        <w:t>Importantly, this reconstitution system provides a biochemical platform to investigate the mechanisms underlying STING sorting into COPII vesicles. Quantitative analysis demonstrated a basal STING packaging efficiency of approximately 20% (</w:t>
      </w:r>
      <w:r>
        <w:rPr>
          <w:rFonts w:ascii="Calibri" w:hAnsi="Calibri" w:cs="Calibri"/>
          <w:b/>
          <w:bCs/>
          <w:color w:val="000000" w:themeColor="text1"/>
          <w:sz w:val="24"/>
          <w:szCs w:val="24"/>
          <w14:textFill>
            <w14:solidFill>
              <w14:schemeClr w14:val="tx1"/>
            </w14:solidFill>
          </w14:textFill>
        </w:rPr>
        <w:t>Figure 4D</w:t>
      </w:r>
      <w:r>
        <w:rPr>
          <w:rFonts w:ascii="Calibri" w:hAnsi="Calibri" w:cs="Calibri"/>
          <w:color w:val="000000" w:themeColor="text1"/>
          <w:sz w:val="24"/>
          <w:szCs w:val="24"/>
          <w14:textFill>
            <w14:solidFill>
              <w14:schemeClr w14:val="tx1"/>
            </w14:solidFill>
          </w14:textFill>
        </w:rPr>
        <w:t>). The absence of a significant increase upon cGAMP stimulation in this cell-free system suggests that additional cytosolic adaptors or specific post-translational modifications (PTMs) may be required to fully recapitulate stimulated trafficking observed in intact cells</w:t>
      </w:r>
      <w:r>
        <w:rPr>
          <w:rFonts w:ascii="Calibri" w:hAnsi="Calibri" w:cs="Calibri"/>
          <w:color w:val="000000" w:themeColor="text1"/>
          <w:sz w:val="24"/>
          <w:szCs w:val="24"/>
          <w:vertAlign w:val="superscript"/>
          <w14:textFill>
            <w14:solidFill>
              <w14:schemeClr w14:val="tx1"/>
            </w14:solidFill>
          </w14:textFill>
        </w:rPr>
        <w:t>20</w:t>
      </w:r>
      <w:r>
        <w:rPr>
          <w:rFonts w:ascii="Calibri" w:hAnsi="Calibri" w:cs="Calibri"/>
          <w:color w:val="000000" w:themeColor="text1"/>
          <w:sz w:val="24"/>
          <w:szCs w:val="24"/>
          <w14:textFill>
            <w14:solidFill>
              <w14:schemeClr w14:val="tx1"/>
            </w14:solidFill>
          </w14:textFill>
        </w:rPr>
        <w:t>.</w:t>
      </w:r>
    </w:p>
    <w:p w14:paraId="3BF1F09E">
      <w:pPr>
        <w:rPr>
          <w:rFonts w:ascii="Calibri" w:hAnsi="Calibri" w:cs="Calibri"/>
          <w:color w:val="000000" w:themeColor="text1"/>
          <w:sz w:val="24"/>
          <w:szCs w:val="24"/>
          <w14:textFill>
            <w14:solidFill>
              <w14:schemeClr w14:val="tx1"/>
            </w14:solidFill>
          </w14:textFill>
        </w:rPr>
      </w:pPr>
    </w:p>
    <w:p w14:paraId="61D5DA5D">
      <w:pPr>
        <w:rPr>
          <w:rFonts w:ascii="Calibri" w:hAnsi="Calibri" w:cs="Calibri"/>
          <w:color w:val="000000" w:themeColor="text1"/>
          <w:sz w:val="24"/>
          <w:szCs w:val="24"/>
          <w14:textFill>
            <w14:solidFill>
              <w14:schemeClr w14:val="tx1"/>
            </w14:solidFill>
          </w14:textFill>
        </w:rPr>
      </w:pPr>
      <w:r>
        <w:rPr>
          <w:rFonts w:ascii="Calibri" w:hAnsi="Calibri" w:cs="Calibri"/>
          <w:color w:val="000000" w:themeColor="text1"/>
          <w:sz w:val="24"/>
          <w:szCs w:val="24"/>
          <w14:textFill>
            <w14:solidFill>
              <w14:schemeClr w14:val="tx1"/>
            </w14:solidFill>
          </w14:textFill>
        </w:rPr>
        <w:t>Several critical steps and potential failure points should be considered to ensure the successful implementation of this protocol. Cytosol protein concentration is a key determinant of budding efficiency; concentrations below 30 mg/mL typically result in reduced vesicle formation. In addition, precise titration of digitonin is essential for generating semi-permeabilized cells. Excessive digitonin can disrupt ER membrane integrity, leading to leakage of resident proteins such as RPN1, whereas insufficient permeabilization may limit access of COPII components. Finally, the activity of the ATP regeneration system can be compromised by repeated freeze–thaw cycles; when vesicle yield is low, preparing fresh aliquots of creatine phosphate and creatine phosphokinase is recommended.</w:t>
      </w:r>
    </w:p>
    <w:p w14:paraId="098BA206">
      <w:pPr>
        <w:rPr>
          <w:rFonts w:ascii="Calibri" w:hAnsi="Calibri" w:cs="Calibri"/>
          <w:color w:val="000000" w:themeColor="text1"/>
          <w:sz w:val="24"/>
          <w:szCs w:val="24"/>
          <w14:textFill>
            <w14:solidFill>
              <w14:schemeClr w14:val="tx1"/>
            </w14:solidFill>
          </w14:textFill>
        </w:rPr>
      </w:pPr>
    </w:p>
    <w:p w14:paraId="64271027">
      <w:pPr>
        <w:rPr>
          <w:rFonts w:ascii="Calibri" w:hAnsi="Calibri" w:cs="Calibri"/>
          <w:color w:val="000000" w:themeColor="text1"/>
          <w:sz w:val="24"/>
          <w:szCs w:val="24"/>
          <w14:textFill>
            <w14:solidFill>
              <w14:schemeClr w14:val="tx1"/>
            </w14:solidFill>
          </w14:textFill>
        </w:rPr>
      </w:pPr>
      <w:r>
        <w:rPr>
          <w:rFonts w:ascii="Calibri" w:hAnsi="Calibri" w:cs="Calibri"/>
          <w:color w:val="000000" w:themeColor="text1"/>
          <w:sz w:val="24"/>
          <w:szCs w:val="24"/>
          <w14:textFill>
            <w14:solidFill>
              <w14:schemeClr w14:val="tx1"/>
            </w14:solidFill>
          </w14:textFill>
        </w:rPr>
        <w:t>Beyond COPII-mediated trafficking, the principles underlying this system—namely, the use of defined membrane sources and reconstituted budding reactions—may be adapted to study subsequent steps in STING trafficking. For example, similar approaches could be developed to examine STING transport from the ER–Golgi intermediate compartment (ERGIC) or Golgi, as well as retrieval pathways</w:t>
      </w:r>
      <w:r>
        <w:rPr>
          <w:rFonts w:ascii="Calibri" w:hAnsi="Calibri" w:cs="Calibri"/>
          <w:color w:val="000000" w:themeColor="text1"/>
          <w:sz w:val="24"/>
          <w:szCs w:val="24"/>
          <w:vertAlign w:val="superscript"/>
          <w14:textFill>
            <w14:solidFill>
              <w14:schemeClr w14:val="tx1"/>
            </w14:solidFill>
          </w14:textFill>
        </w:rPr>
        <w:t>21</w:t>
      </w:r>
      <w:r>
        <w:rPr>
          <w:rFonts w:ascii="Calibri" w:hAnsi="Calibri" w:cs="Calibri"/>
          <w:color w:val="000000" w:themeColor="text1"/>
          <w:sz w:val="24"/>
          <w:szCs w:val="24"/>
          <w14:textFill>
            <w14:solidFill>
              <w14:schemeClr w14:val="tx1"/>
            </w14:solidFill>
          </w14:textFill>
        </w:rPr>
        <w:t>. Although further optimization would be required for other vesicle systems, such as clathrin-coated vesicles, the methodology described here provides a versatile and cost-effective framework</w:t>
      </w:r>
      <w:r>
        <w:rPr>
          <w:rFonts w:ascii="Calibri" w:hAnsi="Calibri" w:cs="Calibri"/>
          <w:color w:val="000000" w:themeColor="text1"/>
          <w:sz w:val="24"/>
          <w:szCs w:val="24"/>
          <w:vertAlign w:val="superscript"/>
          <w14:textFill>
            <w14:solidFill>
              <w14:schemeClr w14:val="tx1"/>
            </w14:solidFill>
          </w14:textFill>
        </w:rPr>
        <w:t>22</w:t>
      </w:r>
      <w:r>
        <w:rPr>
          <w:rFonts w:ascii="Calibri" w:hAnsi="Calibri" w:cs="Calibri"/>
          <w:color w:val="000000" w:themeColor="text1"/>
          <w:sz w:val="24"/>
          <w:szCs w:val="24"/>
          <w14:textFill>
            <w14:solidFill>
              <w14:schemeClr w14:val="tx1"/>
            </w14:solidFill>
          </w14:textFill>
        </w:rPr>
        <w:t>.</w:t>
      </w:r>
    </w:p>
    <w:p w14:paraId="1AF14D4A">
      <w:pPr>
        <w:rPr>
          <w:rFonts w:ascii="Calibri" w:hAnsi="Calibri" w:cs="Calibri"/>
          <w:color w:val="000000" w:themeColor="text1"/>
          <w:sz w:val="24"/>
          <w:szCs w:val="24"/>
          <w14:textFill>
            <w14:solidFill>
              <w14:schemeClr w14:val="tx1"/>
            </w14:solidFill>
          </w14:textFill>
        </w:rPr>
      </w:pPr>
    </w:p>
    <w:p w14:paraId="49A3975C">
      <w:pPr>
        <w:rPr>
          <w:rFonts w:ascii="Calibri" w:hAnsi="Calibri" w:cs="Calibri"/>
          <w:color w:val="000000" w:themeColor="text1"/>
          <w:sz w:val="24"/>
          <w:szCs w:val="24"/>
          <w14:textFill>
            <w14:solidFill>
              <w14:schemeClr w14:val="tx1"/>
            </w14:solidFill>
          </w14:textFill>
        </w:rPr>
      </w:pPr>
      <w:r>
        <w:rPr>
          <w:rFonts w:ascii="Calibri" w:hAnsi="Calibri" w:cs="Calibri"/>
          <w:color w:val="000000" w:themeColor="text1"/>
          <w:sz w:val="24"/>
          <w:szCs w:val="24"/>
          <w14:textFill>
            <w14:solidFill>
              <w14:schemeClr w14:val="tx1"/>
            </w14:solidFill>
          </w14:textFill>
        </w:rPr>
        <w:t>Furthermore, this biochemical platform could be integrated with emerging chemical biology approaches, such as proteolysis-targeting chimera (PROTAC) technology, to facilitate target identification. By selectively degrading candidate adaptor or regulatory proteins, PROTAC-based strategies enable a form of “biochemical knockout” within this defined system, allowing direct assessment of factors required for STING ER export</w:t>
      </w:r>
      <w:r>
        <w:rPr>
          <w:rFonts w:ascii="Calibri" w:hAnsi="Calibri" w:cs="Calibri"/>
          <w:color w:val="000000" w:themeColor="text1"/>
          <w:sz w:val="24"/>
          <w:szCs w:val="24"/>
          <w:vertAlign w:val="superscript"/>
          <w14:textFill>
            <w14:solidFill>
              <w14:schemeClr w14:val="tx1"/>
            </w14:solidFill>
          </w14:textFill>
        </w:rPr>
        <w:t>23</w:t>
      </w:r>
      <w:r>
        <w:rPr>
          <w:rFonts w:ascii="Calibri" w:hAnsi="Calibri" w:cs="Calibri"/>
          <w:color w:val="000000" w:themeColor="text1"/>
          <w:sz w:val="24"/>
          <w:szCs w:val="24"/>
          <w14:textFill>
            <w14:solidFill>
              <w14:schemeClr w14:val="tx1"/>
            </w14:solidFill>
          </w14:textFill>
        </w:rPr>
        <w:t>. This integration may expand the utility of the protocol for mechanistic studies and therapeutic target discovery within the cGAS–STING pathway.</w:t>
      </w:r>
    </w:p>
    <w:p w14:paraId="7C7B6BB7">
      <w:pPr>
        <w:rPr>
          <w:rFonts w:ascii="Calibri" w:hAnsi="Calibri" w:cs="Calibri"/>
          <w:color w:val="000000" w:themeColor="text1"/>
          <w:sz w:val="24"/>
          <w:szCs w:val="24"/>
          <w14:textFill>
            <w14:solidFill>
              <w14:schemeClr w14:val="tx1"/>
            </w14:solidFill>
          </w14:textFill>
        </w:rPr>
      </w:pPr>
    </w:p>
    <w:p w14:paraId="23F2938B">
      <w:pPr>
        <w:rPr>
          <w:rFonts w:ascii="Calibri" w:hAnsi="Calibri" w:cs="Calibri"/>
          <w:color w:val="000000" w:themeColor="text1"/>
          <w:sz w:val="24"/>
          <w:szCs w:val="24"/>
          <w14:textFill>
            <w14:solidFill>
              <w14:schemeClr w14:val="tx1"/>
            </w14:solidFill>
          </w14:textFill>
        </w:rPr>
      </w:pPr>
      <w:r>
        <w:rPr>
          <w:rFonts w:ascii="Calibri" w:hAnsi="Calibri" w:cs="Calibri"/>
          <w:color w:val="000000" w:themeColor="text1"/>
          <w:sz w:val="24"/>
          <w:szCs w:val="24"/>
          <w14:textFill>
            <w14:solidFill>
              <w14:schemeClr w14:val="tx1"/>
            </w14:solidFill>
          </w14:textFill>
        </w:rPr>
        <w:t xml:space="preserve">In conclusion, a streamlined </w:t>
      </w:r>
      <w:r>
        <w:rPr>
          <w:rFonts w:ascii="Calibri" w:hAnsi="Calibri" w:cs="Calibri"/>
          <w:i/>
          <w:iCs/>
          <w:color w:val="000000" w:themeColor="text1"/>
          <w:sz w:val="24"/>
          <w:szCs w:val="24"/>
          <w14:textFill>
            <w14:solidFill>
              <w14:schemeClr w14:val="tx1"/>
            </w14:solidFill>
          </w14:textFill>
        </w:rPr>
        <w:t>in vitro</w:t>
      </w:r>
      <w:r>
        <w:rPr>
          <w:rFonts w:ascii="Calibri" w:hAnsi="Calibri" w:cs="Calibri"/>
          <w:color w:val="000000" w:themeColor="text1"/>
          <w:sz w:val="24"/>
          <w:szCs w:val="24"/>
          <w14:textFill>
            <w14:solidFill>
              <w14:schemeClr w14:val="tx1"/>
            </w14:solidFill>
          </w14:textFill>
        </w:rPr>
        <w:t xml:space="preserve"> reconstitution system has been established that enables biochemical dissection of STING sorting at the ER. By isolating the COPII budding step, this protocol provides a robust and controllable platform for identifying the molecular determinants governing STING entry into the secretory pathway, a key process in innate immune signaling.</w:t>
      </w:r>
    </w:p>
    <w:p w14:paraId="3918460C">
      <w:pPr>
        <w:rPr>
          <w:rFonts w:ascii="Calibri" w:hAnsi="Calibri" w:cs="Calibri"/>
          <w:sz w:val="24"/>
          <w:szCs w:val="24"/>
        </w:rPr>
      </w:pPr>
    </w:p>
    <w:p w14:paraId="5CCD0482">
      <w:pPr>
        <w:rPr>
          <w:rFonts w:ascii="Calibri" w:hAnsi="Calibri" w:cs="Calibri"/>
          <w:b/>
          <w:sz w:val="24"/>
          <w:szCs w:val="24"/>
        </w:rPr>
      </w:pPr>
      <w:r>
        <w:rPr>
          <w:rFonts w:ascii="Calibri" w:hAnsi="Calibri" w:cs="Calibri"/>
          <w:b/>
          <w:sz w:val="24"/>
          <w:szCs w:val="24"/>
        </w:rPr>
        <w:t>ACKNOWLEDGMENTS:</w:t>
      </w:r>
    </w:p>
    <w:p w14:paraId="2992EE30">
      <w:pPr>
        <w:rPr>
          <w:rFonts w:ascii="Calibri" w:hAnsi="Calibri" w:cs="Calibri"/>
          <w:sz w:val="24"/>
          <w:szCs w:val="24"/>
        </w:rPr>
      </w:pPr>
      <w:bookmarkStart w:id="9" w:name="OLE_LINK14"/>
      <w:r>
        <w:rPr>
          <w:rFonts w:ascii="Calibri" w:hAnsi="Calibri" w:cs="Calibri"/>
          <w:sz w:val="24"/>
          <w:szCs w:val="24"/>
        </w:rPr>
        <w:t>This work was supported by the Startup Fund Program at Beijing University of Chinese Medicine (BUCM) (90011451310011). The authors are grateful to Dr. Dongxiao Cui for his valuable assistance with the experimental work.</w:t>
      </w:r>
    </w:p>
    <w:bookmarkEnd w:id="9"/>
    <w:p w14:paraId="13D56794">
      <w:pPr>
        <w:rPr>
          <w:rFonts w:ascii="Calibri" w:hAnsi="Calibri" w:cs="Calibri"/>
          <w:sz w:val="24"/>
          <w:szCs w:val="24"/>
        </w:rPr>
      </w:pPr>
    </w:p>
    <w:p w14:paraId="16CD23BE">
      <w:pPr>
        <w:rPr>
          <w:rFonts w:ascii="Calibri" w:hAnsi="Calibri" w:cs="Calibri"/>
          <w:b/>
          <w:sz w:val="24"/>
          <w:szCs w:val="24"/>
        </w:rPr>
      </w:pPr>
      <w:r>
        <w:rPr>
          <w:rFonts w:ascii="Calibri" w:hAnsi="Calibri" w:cs="Calibri"/>
          <w:b/>
          <w:sz w:val="24"/>
          <w:szCs w:val="24"/>
        </w:rPr>
        <w:t>DISCLOSURES:</w:t>
      </w:r>
    </w:p>
    <w:p w14:paraId="58B8AE97">
      <w:pPr>
        <w:rPr>
          <w:rFonts w:ascii="Calibri" w:hAnsi="Calibri" w:cs="Calibri"/>
          <w:sz w:val="24"/>
          <w:szCs w:val="24"/>
        </w:rPr>
      </w:pPr>
      <w:r>
        <w:rPr>
          <w:rFonts w:ascii="Calibri" w:hAnsi="Calibri" w:cs="Calibri"/>
          <w:sz w:val="24"/>
          <w:szCs w:val="24"/>
        </w:rPr>
        <w:t>The authors have nothing to disclose.</w:t>
      </w:r>
    </w:p>
    <w:p w14:paraId="18BA2275">
      <w:pPr>
        <w:rPr>
          <w:rFonts w:ascii="Calibri" w:hAnsi="Calibri" w:cs="Calibri"/>
          <w:sz w:val="24"/>
          <w:szCs w:val="24"/>
        </w:rPr>
      </w:pPr>
    </w:p>
    <w:p w14:paraId="17022E39">
      <w:pPr>
        <w:rPr>
          <w:rFonts w:ascii="Calibri" w:hAnsi="Calibri" w:cs="Calibri"/>
          <w:b/>
          <w:sz w:val="24"/>
          <w:szCs w:val="24"/>
        </w:rPr>
      </w:pPr>
      <w:r>
        <w:rPr>
          <w:rFonts w:ascii="Calibri" w:hAnsi="Calibri" w:cs="Calibri"/>
          <w:b/>
          <w:sz w:val="24"/>
          <w:szCs w:val="24"/>
        </w:rPr>
        <w:t>REFERENCES:</w:t>
      </w:r>
    </w:p>
    <w:p w14:paraId="5ADC4792">
      <w:pPr>
        <w:pStyle w:val="22"/>
        <w:numPr>
          <w:ilvl w:val="0"/>
          <w:numId w:val="1"/>
        </w:numPr>
        <w:tabs>
          <w:tab w:val="clear" w:pos="720"/>
        </w:tabs>
        <w:ind w:left="0" w:firstLine="0"/>
        <w:rPr>
          <w:rFonts w:hint="default" w:ascii="Calibri" w:hAnsi="Calibri" w:cs="Calibri"/>
          <w:sz w:val="24"/>
          <w:szCs w:val="24"/>
        </w:rPr>
      </w:pPr>
      <w:r>
        <w:rPr>
          <w:rFonts w:hint="default" w:ascii="Calibri" w:hAnsi="Calibri" w:cs="Calibri"/>
          <w:sz w:val="24"/>
          <w:szCs w:val="24"/>
        </w:rPr>
        <w:t xml:space="preserve">Li T, Chen ZJ. The cGAS–cGAMP–STING pathway connects DNA damage to inflammation, senescence, and cancer. J Exp Med. 2018;215:1287–1299. </w:t>
      </w:r>
    </w:p>
    <w:p w14:paraId="4FB29D8E">
      <w:pPr>
        <w:pStyle w:val="22"/>
        <w:numPr>
          <w:ilvl w:val="0"/>
          <w:numId w:val="1"/>
        </w:numPr>
        <w:tabs>
          <w:tab w:val="clear" w:pos="720"/>
        </w:tabs>
        <w:ind w:left="0" w:firstLine="0"/>
        <w:rPr>
          <w:rFonts w:hint="default" w:ascii="Calibri" w:hAnsi="Calibri" w:cs="Calibri"/>
          <w:sz w:val="24"/>
          <w:szCs w:val="24"/>
        </w:rPr>
      </w:pPr>
      <w:r>
        <w:rPr>
          <w:rFonts w:hint="default" w:ascii="Calibri" w:hAnsi="Calibri" w:cs="Calibri"/>
          <w:sz w:val="24"/>
          <w:szCs w:val="24"/>
        </w:rPr>
        <w:t xml:space="preserve">Wu J, Chen ZJ. Innate immune sensing and signaling of cytosolic nucleic acids. Annu Rev Immunol. 2014;32:461–488. </w:t>
      </w:r>
    </w:p>
    <w:p w14:paraId="1253318C">
      <w:pPr>
        <w:pStyle w:val="22"/>
        <w:numPr>
          <w:ilvl w:val="0"/>
          <w:numId w:val="1"/>
        </w:numPr>
        <w:tabs>
          <w:tab w:val="clear" w:pos="720"/>
        </w:tabs>
        <w:ind w:left="0" w:firstLine="0"/>
        <w:rPr>
          <w:rFonts w:hint="default" w:ascii="Calibri" w:hAnsi="Calibri" w:cs="Calibri"/>
          <w:sz w:val="24"/>
          <w:szCs w:val="24"/>
        </w:rPr>
      </w:pPr>
      <w:r>
        <w:rPr>
          <w:rFonts w:hint="default" w:ascii="Calibri" w:hAnsi="Calibri" w:cs="Calibri"/>
          <w:sz w:val="24"/>
          <w:szCs w:val="24"/>
        </w:rPr>
        <w:t xml:space="preserve">Yarwood R, Hellicar J, Woodman PG, Lowe M. Membrane trafficking in health and disease. Dis Model Mech. 2020;13:dmm043448. </w:t>
      </w:r>
    </w:p>
    <w:p w14:paraId="1CA07CFC">
      <w:pPr>
        <w:pStyle w:val="22"/>
        <w:numPr>
          <w:ilvl w:val="0"/>
          <w:numId w:val="1"/>
        </w:numPr>
        <w:tabs>
          <w:tab w:val="clear" w:pos="720"/>
        </w:tabs>
        <w:ind w:left="0" w:firstLine="0"/>
        <w:rPr>
          <w:rFonts w:hint="default" w:ascii="Calibri" w:hAnsi="Calibri" w:cs="Calibri"/>
          <w:sz w:val="24"/>
          <w:szCs w:val="24"/>
        </w:rPr>
      </w:pPr>
      <w:r>
        <w:rPr>
          <w:rFonts w:hint="default" w:ascii="Calibri" w:hAnsi="Calibri" w:cs="Calibri"/>
          <w:sz w:val="24"/>
          <w:szCs w:val="24"/>
        </w:rPr>
        <w:t xml:space="preserve">Ishikawa H, Barber GN. STING is an endoplasmic reticulum adaptor that facilitates innate immune signaling. Nature. 2008;455:674–678. </w:t>
      </w:r>
    </w:p>
    <w:p w14:paraId="53E7A111">
      <w:pPr>
        <w:pStyle w:val="22"/>
        <w:numPr>
          <w:ilvl w:val="0"/>
          <w:numId w:val="1"/>
        </w:numPr>
        <w:tabs>
          <w:tab w:val="clear" w:pos="720"/>
        </w:tabs>
        <w:ind w:left="0" w:firstLine="0"/>
        <w:rPr>
          <w:rFonts w:hint="default" w:ascii="Calibri" w:hAnsi="Calibri" w:cs="Calibri"/>
          <w:sz w:val="24"/>
          <w:szCs w:val="24"/>
        </w:rPr>
      </w:pPr>
      <w:r>
        <w:rPr>
          <w:rFonts w:hint="default" w:ascii="Calibri" w:hAnsi="Calibri" w:cs="Calibri"/>
          <w:sz w:val="24"/>
          <w:szCs w:val="24"/>
        </w:rPr>
        <w:t xml:space="preserve">Mellman I, Emr SD. A Nobel Prize for membrane traffic: Vesicles find their journey’s end. J Cell Biol. 2013;203:559–561. </w:t>
      </w:r>
    </w:p>
    <w:p w14:paraId="781AFAFD">
      <w:pPr>
        <w:pStyle w:val="22"/>
        <w:numPr>
          <w:ilvl w:val="0"/>
          <w:numId w:val="1"/>
        </w:numPr>
        <w:tabs>
          <w:tab w:val="clear" w:pos="720"/>
        </w:tabs>
        <w:ind w:left="0" w:firstLine="0"/>
        <w:rPr>
          <w:rFonts w:hint="default" w:ascii="Calibri" w:hAnsi="Calibri" w:cs="Calibri"/>
          <w:sz w:val="24"/>
          <w:szCs w:val="24"/>
        </w:rPr>
      </w:pPr>
      <w:r>
        <w:rPr>
          <w:rFonts w:hint="default" w:ascii="Calibri" w:hAnsi="Calibri" w:cs="Calibri"/>
          <w:sz w:val="24"/>
          <w:szCs w:val="24"/>
        </w:rPr>
        <w:t xml:space="preserve">Bonifacino JS, Glick BS. The mechanisms of vesicle budding and fusion. Cell. 2004;116:153–166. </w:t>
      </w:r>
    </w:p>
    <w:p w14:paraId="3E1BB8BE">
      <w:pPr>
        <w:pStyle w:val="22"/>
        <w:numPr>
          <w:ilvl w:val="0"/>
          <w:numId w:val="1"/>
        </w:numPr>
        <w:tabs>
          <w:tab w:val="clear" w:pos="720"/>
        </w:tabs>
        <w:ind w:left="0" w:firstLine="0"/>
        <w:rPr>
          <w:rFonts w:hint="default" w:ascii="Calibri" w:hAnsi="Calibri" w:cs="Calibri"/>
          <w:sz w:val="24"/>
          <w:szCs w:val="24"/>
        </w:rPr>
      </w:pPr>
      <w:r>
        <w:rPr>
          <w:rFonts w:hint="default" w:ascii="Calibri" w:hAnsi="Calibri" w:cs="Calibri"/>
          <w:sz w:val="24"/>
          <w:szCs w:val="24"/>
        </w:rPr>
        <w:t xml:space="preserve">Barlowe C, et al. COPII: A membrane coat formed by Sec proteins that drive vesicle budding from the endoplasmic reticulum. Cell. 1994;77:895–907. </w:t>
      </w:r>
    </w:p>
    <w:p w14:paraId="488B1C2D">
      <w:pPr>
        <w:pStyle w:val="22"/>
        <w:numPr>
          <w:ilvl w:val="0"/>
          <w:numId w:val="1"/>
        </w:numPr>
        <w:tabs>
          <w:tab w:val="clear" w:pos="720"/>
        </w:tabs>
        <w:ind w:left="0" w:firstLine="0"/>
        <w:rPr>
          <w:rFonts w:hint="default" w:ascii="Calibri" w:hAnsi="Calibri" w:cs="Calibri"/>
          <w:sz w:val="24"/>
          <w:szCs w:val="24"/>
        </w:rPr>
      </w:pPr>
      <w:r>
        <w:rPr>
          <w:rFonts w:hint="default" w:ascii="Calibri" w:hAnsi="Calibri" w:cs="Calibri"/>
          <w:sz w:val="24"/>
          <w:szCs w:val="24"/>
        </w:rPr>
        <w:t xml:space="preserve">Mancias JD, Goldberg J. The transport signal on Sec22 for packaging into COPII-coated vesicles is a conformational epitope. Mol Cell. 2007;26:403–414. </w:t>
      </w:r>
    </w:p>
    <w:p w14:paraId="1BC4CB4F">
      <w:pPr>
        <w:pStyle w:val="22"/>
        <w:numPr>
          <w:ilvl w:val="0"/>
          <w:numId w:val="1"/>
        </w:numPr>
        <w:tabs>
          <w:tab w:val="clear" w:pos="720"/>
        </w:tabs>
        <w:ind w:left="0" w:firstLine="0"/>
        <w:rPr>
          <w:rFonts w:hint="default" w:ascii="Calibri" w:hAnsi="Calibri" w:cs="Calibri"/>
          <w:sz w:val="24"/>
          <w:szCs w:val="24"/>
        </w:rPr>
      </w:pPr>
      <w:r>
        <w:rPr>
          <w:rFonts w:hint="default" w:ascii="Calibri" w:hAnsi="Calibri" w:cs="Calibri"/>
          <w:sz w:val="24"/>
          <w:szCs w:val="24"/>
        </w:rPr>
        <w:t xml:space="preserve">Ma W, Goldberg E, Goldberg J. ER retention is imposed by COPII protein sorting and attenuated by 4-phenylbutyrate. eLife. 2017;6:e26624. </w:t>
      </w:r>
    </w:p>
    <w:p w14:paraId="67B84AD2">
      <w:pPr>
        <w:pStyle w:val="22"/>
        <w:numPr>
          <w:ilvl w:val="0"/>
          <w:numId w:val="1"/>
        </w:numPr>
        <w:tabs>
          <w:tab w:val="clear" w:pos="720"/>
        </w:tabs>
        <w:ind w:left="0" w:firstLine="0"/>
        <w:rPr>
          <w:rFonts w:hint="default" w:ascii="Calibri" w:hAnsi="Calibri" w:cs="Calibri"/>
          <w:sz w:val="24"/>
          <w:szCs w:val="24"/>
        </w:rPr>
      </w:pPr>
      <w:r>
        <w:rPr>
          <w:rFonts w:hint="default" w:ascii="Calibri" w:hAnsi="Calibri" w:cs="Calibri"/>
          <w:sz w:val="24"/>
          <w:szCs w:val="24"/>
        </w:rPr>
        <w:t xml:space="preserve">Wilson CM, et al. Ribophorin I associates with a subset of membrane proteins after their integration at the Sec61 translocon. J Biol Chem. 2005;280:4195–4206. </w:t>
      </w:r>
    </w:p>
    <w:p w14:paraId="241B522D">
      <w:pPr>
        <w:pStyle w:val="22"/>
        <w:numPr>
          <w:ilvl w:val="0"/>
          <w:numId w:val="1"/>
        </w:numPr>
        <w:tabs>
          <w:tab w:val="clear" w:pos="720"/>
        </w:tabs>
        <w:ind w:left="0" w:firstLine="0"/>
        <w:rPr>
          <w:rFonts w:hint="default" w:ascii="Calibri" w:hAnsi="Calibri" w:cs="Calibri"/>
          <w:sz w:val="24"/>
          <w:szCs w:val="24"/>
        </w:rPr>
      </w:pPr>
      <w:r>
        <w:rPr>
          <w:rFonts w:hint="default" w:ascii="Calibri" w:hAnsi="Calibri" w:cs="Calibri"/>
          <w:sz w:val="24"/>
          <w:szCs w:val="24"/>
        </w:rPr>
        <w:t xml:space="preserve">Liu Y, et al. Activated STING in a vascular and pulmonary syndrome. N Engl J Med. 2014;371:507–518. </w:t>
      </w:r>
    </w:p>
    <w:p w14:paraId="472C53CD">
      <w:pPr>
        <w:pStyle w:val="22"/>
        <w:numPr>
          <w:ilvl w:val="0"/>
          <w:numId w:val="1"/>
        </w:numPr>
        <w:tabs>
          <w:tab w:val="clear" w:pos="720"/>
        </w:tabs>
        <w:ind w:left="0" w:firstLine="0"/>
        <w:rPr>
          <w:rFonts w:hint="default" w:ascii="Calibri" w:hAnsi="Calibri" w:cs="Calibri"/>
          <w:sz w:val="24"/>
          <w:szCs w:val="24"/>
        </w:rPr>
      </w:pPr>
      <w:r>
        <w:rPr>
          <w:rFonts w:hint="default" w:ascii="Calibri" w:hAnsi="Calibri" w:cs="Calibri"/>
          <w:sz w:val="24"/>
          <w:szCs w:val="24"/>
        </w:rPr>
        <w:t xml:space="preserve">Kim J, et al. Uncoupled packaging of amyloid precursor protein and presenilin 1 into coat protein complex II vesicles. J Biol Chem. 2005;280:7758–7768. </w:t>
      </w:r>
    </w:p>
    <w:p w14:paraId="0A97B5F2">
      <w:pPr>
        <w:pStyle w:val="22"/>
        <w:numPr>
          <w:ilvl w:val="0"/>
          <w:numId w:val="1"/>
        </w:numPr>
        <w:tabs>
          <w:tab w:val="clear" w:pos="720"/>
        </w:tabs>
        <w:ind w:left="0" w:firstLine="0"/>
        <w:rPr>
          <w:rFonts w:hint="default" w:ascii="Calibri" w:hAnsi="Calibri" w:cs="Calibri"/>
          <w:sz w:val="24"/>
          <w:szCs w:val="24"/>
        </w:rPr>
      </w:pPr>
      <w:r>
        <w:rPr>
          <w:rFonts w:hint="default" w:ascii="Calibri" w:hAnsi="Calibri" w:cs="Calibri"/>
          <w:sz w:val="24"/>
          <w:szCs w:val="24"/>
        </w:rPr>
        <w:t xml:space="preserve">Nan Y, et al. STING COPII ER export trafficking and signaling primed by phosphorylation switches. Adv Sci (Weinh). 2025;12:e03660. </w:t>
      </w:r>
    </w:p>
    <w:p w14:paraId="792BA98D">
      <w:pPr>
        <w:pStyle w:val="22"/>
        <w:numPr>
          <w:ilvl w:val="0"/>
          <w:numId w:val="1"/>
        </w:numPr>
        <w:tabs>
          <w:tab w:val="clear" w:pos="720"/>
        </w:tabs>
        <w:ind w:left="0" w:firstLine="0"/>
        <w:rPr>
          <w:rFonts w:hint="default" w:ascii="Calibri" w:hAnsi="Calibri" w:cs="Calibri"/>
          <w:sz w:val="24"/>
          <w:szCs w:val="24"/>
        </w:rPr>
      </w:pPr>
      <w:r>
        <w:rPr>
          <w:rFonts w:hint="default" w:ascii="Calibri" w:hAnsi="Calibri" w:cs="Calibri"/>
          <w:sz w:val="24"/>
          <w:szCs w:val="24"/>
        </w:rPr>
        <w:t xml:space="preserve">Sun L, et al. Cyclic GMP–AMP synthase is a cytosolic DNA sensor that activates the type I interferon pathway. Science. 2013;339:786–791. </w:t>
      </w:r>
    </w:p>
    <w:p w14:paraId="1B147F9C">
      <w:pPr>
        <w:pStyle w:val="22"/>
        <w:numPr>
          <w:ilvl w:val="0"/>
          <w:numId w:val="1"/>
        </w:numPr>
        <w:tabs>
          <w:tab w:val="clear" w:pos="720"/>
        </w:tabs>
        <w:ind w:left="0" w:firstLine="0"/>
        <w:rPr>
          <w:rFonts w:hint="default" w:ascii="Calibri" w:hAnsi="Calibri" w:cs="Calibri"/>
          <w:sz w:val="24"/>
          <w:szCs w:val="24"/>
        </w:rPr>
      </w:pPr>
      <w:r>
        <w:rPr>
          <w:rFonts w:hint="default" w:ascii="Calibri" w:hAnsi="Calibri" w:cs="Calibri"/>
          <w:sz w:val="24"/>
          <w:szCs w:val="24"/>
        </w:rPr>
        <w:t xml:space="preserve">Gao D, et al. Cyclic GMP–AMP synthase is an innate immune sensor of HIV and other retroviruses. Science. 2013;341:903–906. </w:t>
      </w:r>
    </w:p>
    <w:p w14:paraId="7C704109">
      <w:pPr>
        <w:pStyle w:val="22"/>
        <w:numPr>
          <w:ilvl w:val="0"/>
          <w:numId w:val="1"/>
        </w:numPr>
        <w:tabs>
          <w:tab w:val="clear" w:pos="720"/>
        </w:tabs>
        <w:ind w:left="0" w:firstLine="0"/>
        <w:rPr>
          <w:rFonts w:hint="default" w:ascii="Calibri" w:hAnsi="Calibri" w:cs="Calibri"/>
          <w:sz w:val="24"/>
          <w:szCs w:val="24"/>
        </w:rPr>
      </w:pPr>
      <w:r>
        <w:rPr>
          <w:rFonts w:hint="default" w:ascii="Calibri" w:hAnsi="Calibri" w:cs="Calibri"/>
          <w:sz w:val="24"/>
          <w:szCs w:val="24"/>
        </w:rPr>
        <w:t xml:space="preserve">Liu X, et al. Induction of apoptotic program in cell-free extracts: Requirement for dATP and cytochrome c. Cell. 1996;86:147–157. </w:t>
      </w:r>
    </w:p>
    <w:p w14:paraId="797BED67">
      <w:pPr>
        <w:pStyle w:val="22"/>
        <w:numPr>
          <w:ilvl w:val="0"/>
          <w:numId w:val="1"/>
        </w:numPr>
        <w:tabs>
          <w:tab w:val="clear" w:pos="720"/>
        </w:tabs>
        <w:ind w:left="0" w:firstLine="0"/>
        <w:rPr>
          <w:rFonts w:hint="default" w:ascii="Calibri" w:hAnsi="Calibri" w:cs="Calibri"/>
          <w:sz w:val="24"/>
          <w:szCs w:val="24"/>
        </w:rPr>
      </w:pPr>
      <w:r>
        <w:rPr>
          <w:rFonts w:hint="default" w:ascii="Calibri" w:hAnsi="Calibri" w:cs="Calibri"/>
          <w:sz w:val="24"/>
          <w:szCs w:val="24"/>
        </w:rPr>
        <w:t xml:space="preserve">Tsukada Y, et al. Histone demethylation by a family of JmjC domain-containing proteins. Nature. 2006;439:811–816. </w:t>
      </w:r>
    </w:p>
    <w:p w14:paraId="224F816E">
      <w:pPr>
        <w:pStyle w:val="22"/>
        <w:numPr>
          <w:ilvl w:val="0"/>
          <w:numId w:val="1"/>
        </w:numPr>
        <w:tabs>
          <w:tab w:val="clear" w:pos="720"/>
        </w:tabs>
        <w:ind w:left="0" w:firstLine="0"/>
        <w:rPr>
          <w:rFonts w:hint="default" w:ascii="Calibri" w:hAnsi="Calibri" w:cs="Calibri"/>
          <w:sz w:val="24"/>
          <w:szCs w:val="24"/>
        </w:rPr>
      </w:pPr>
      <w:r>
        <w:rPr>
          <w:rFonts w:hint="default" w:ascii="Calibri" w:hAnsi="Calibri" w:cs="Calibri"/>
          <w:sz w:val="24"/>
          <w:szCs w:val="24"/>
        </w:rPr>
        <w:t xml:space="preserve">Zanetti G, et al. COPII and the regulation of protein sorting in mammals. Nat Cell Biol. 2011;13:20–28. </w:t>
      </w:r>
    </w:p>
    <w:p w14:paraId="5F2519EC">
      <w:pPr>
        <w:pStyle w:val="22"/>
        <w:numPr>
          <w:ilvl w:val="0"/>
          <w:numId w:val="1"/>
        </w:numPr>
        <w:tabs>
          <w:tab w:val="clear" w:pos="720"/>
        </w:tabs>
        <w:ind w:left="0" w:firstLine="0"/>
        <w:rPr>
          <w:rFonts w:hint="default" w:ascii="Calibri" w:hAnsi="Calibri" w:cs="Calibri"/>
          <w:sz w:val="24"/>
          <w:szCs w:val="24"/>
        </w:rPr>
      </w:pPr>
      <w:r>
        <w:rPr>
          <w:rFonts w:hint="default" w:ascii="Calibri" w:hAnsi="Calibri" w:cs="Calibri"/>
          <w:sz w:val="24"/>
          <w:szCs w:val="24"/>
        </w:rPr>
        <w:t xml:space="preserve">Brandizzi F, Barlowe C. Organization of the ER–Golgi interface for membrane traffic control. Nat Rev Mol Cell Biol. 2013;14:382–392. </w:t>
      </w:r>
    </w:p>
    <w:p w14:paraId="2D605F15">
      <w:pPr>
        <w:pStyle w:val="22"/>
        <w:numPr>
          <w:ilvl w:val="0"/>
          <w:numId w:val="1"/>
        </w:numPr>
        <w:tabs>
          <w:tab w:val="clear" w:pos="720"/>
        </w:tabs>
        <w:ind w:left="0" w:firstLine="0"/>
        <w:rPr>
          <w:rFonts w:hint="default" w:ascii="Calibri" w:hAnsi="Calibri" w:cs="Calibri"/>
          <w:sz w:val="24"/>
          <w:szCs w:val="24"/>
        </w:rPr>
      </w:pPr>
      <w:r>
        <w:rPr>
          <w:rFonts w:hint="default" w:ascii="Calibri" w:hAnsi="Calibri" w:cs="Calibri"/>
          <w:sz w:val="24"/>
          <w:szCs w:val="24"/>
        </w:rPr>
        <w:t xml:space="preserve">Mukai K, et al. Activation of STING requires palmitoylation at the Golgi. Nat Commun. 2016;7:11932. </w:t>
      </w:r>
    </w:p>
    <w:p w14:paraId="652C7521">
      <w:pPr>
        <w:pStyle w:val="22"/>
        <w:numPr>
          <w:ilvl w:val="0"/>
          <w:numId w:val="1"/>
        </w:numPr>
        <w:tabs>
          <w:tab w:val="clear" w:pos="720"/>
        </w:tabs>
        <w:ind w:left="0" w:firstLine="0"/>
        <w:rPr>
          <w:rFonts w:hint="default" w:ascii="Calibri" w:hAnsi="Calibri" w:cs="Calibri"/>
          <w:sz w:val="24"/>
          <w:szCs w:val="24"/>
        </w:rPr>
      </w:pPr>
      <w:r>
        <w:rPr>
          <w:rFonts w:hint="default" w:ascii="Calibri" w:hAnsi="Calibri" w:cs="Calibri"/>
          <w:sz w:val="24"/>
          <w:szCs w:val="24"/>
        </w:rPr>
        <w:t xml:space="preserve">Xue M, Cao Y, Shen C, Guo W. Computational advances of protein/neurotransmitter–membrane interactions involved in vesicle fusion and neurotransmitter release. J Mol Biol. 2023;435:167818. </w:t>
      </w:r>
    </w:p>
    <w:p w14:paraId="75965E48">
      <w:pPr>
        <w:pStyle w:val="22"/>
        <w:numPr>
          <w:ilvl w:val="0"/>
          <w:numId w:val="1"/>
        </w:numPr>
        <w:tabs>
          <w:tab w:val="clear" w:pos="720"/>
        </w:tabs>
        <w:ind w:left="0" w:firstLine="0"/>
        <w:rPr>
          <w:rFonts w:hint="default" w:ascii="Calibri" w:hAnsi="Calibri" w:cs="Calibri"/>
          <w:sz w:val="24"/>
          <w:szCs w:val="24"/>
        </w:rPr>
      </w:pPr>
      <w:r>
        <w:rPr>
          <w:rFonts w:hint="default" w:ascii="Calibri" w:hAnsi="Calibri" w:cs="Calibri"/>
          <w:sz w:val="24"/>
          <w:szCs w:val="24"/>
        </w:rPr>
        <w:t xml:space="preserve">Dannhauser PN, Ungewickell EJ. Reconstitution of clathrin-coated bud and vesicle formation with minimal components. Nat Cell Biol. 2012;14:634–639. </w:t>
      </w:r>
    </w:p>
    <w:p w14:paraId="24ABF48E">
      <w:pPr>
        <w:pStyle w:val="22"/>
        <w:numPr>
          <w:ilvl w:val="0"/>
          <w:numId w:val="1"/>
        </w:numPr>
        <w:tabs>
          <w:tab w:val="clear" w:pos="720"/>
        </w:tabs>
        <w:ind w:left="0" w:firstLine="0"/>
        <w:rPr>
          <w:rFonts w:hint="default" w:ascii="Calibri" w:hAnsi="Calibri" w:cs="Calibri"/>
          <w:sz w:val="24"/>
          <w:szCs w:val="24"/>
        </w:rPr>
      </w:pPr>
      <w:r>
        <w:rPr>
          <w:rFonts w:hint="default" w:ascii="Calibri" w:hAnsi="Calibri" w:cs="Calibri"/>
          <w:sz w:val="24"/>
          <w:szCs w:val="24"/>
        </w:rPr>
        <w:t xml:space="preserve">Yan S, et al. PROTAC technology: From drug development to probe technology for target deconvolution. Eur J Med Chem. 2024;276:116725. </w:t>
      </w:r>
    </w:p>
    <w:p w14:paraId="5444885A">
      <w:pPr>
        <w:pStyle w:val="22"/>
        <w:rPr>
          <w:rFonts w:hint="default" w:ascii="Calibri" w:hAnsi="Calibri" w:cs="Calibri"/>
          <w:sz w:val="24"/>
          <w:szCs w:val="24"/>
        </w:rPr>
      </w:pPr>
    </w:p>
    <w:sectPr>
      <w:headerReference r:id="rId3" w:type="default"/>
      <w:headerReference r:id="rId4" w:type="even"/>
      <w:pgSz w:w="11906" w:h="16838"/>
      <w:pgMar w:top="1440" w:right="1440" w:bottom="1440" w:left="1440" w:header="851" w:footer="992" w:gutter="0"/>
      <w:lnNumType w:countBy="1"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Calibri-Bold">
    <w:altName w:val="Calibri"/>
    <w:panose1 w:val="00000000000000000000"/>
    <w:charset w:val="00"/>
    <w:family w:val="roman"/>
    <w:pitch w:val="default"/>
    <w:sig w:usb0="00000000" w:usb1="00000000" w:usb2="00000000" w:usb3="00000000" w:csb0="0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E3A43">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7D000C">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7106426"/>
    <w:multiLevelType w:val="multilevel"/>
    <w:tmpl w:val="47106426"/>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9"/>
  <w:removePersonalInformation/>
  <w:bordersDoNotSurroundHeader w:val="1"/>
  <w:bordersDoNotSurroundFooter w:val="1"/>
  <w:documentProtection w:enforcement="0"/>
  <w:defaultTabStop w:val="21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zMwMzc2sjAxNTezMDJV0lEKTi0uzszPAykwrAUAVITzoiwAAAA="/>
    <w:docVar w:name="EN.InstantFormat" w:val="&lt;ENInstantFormat&gt;&lt;Enabled&gt;1&lt;/Enabled&gt;&lt;ScanUnformatted&gt;1&lt;/ScanUnformatted&gt;&lt;ScanChanges&gt;1&lt;/ScanChanges&gt;&lt;Suspended&gt;1&lt;/Suspended&gt;&lt;/ENInstantFormat&gt;"/>
    <w:docVar w:name="EN.Layout" w:val="&lt;ENLayout&gt;&lt;Style&gt;JoVE Copy&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e2ws2ar5e0eswcesv0npdtaufdtasr0tf2v5&quot;&gt;My EndNote Library&lt;record-ids&gt;&lt;item&gt;115&lt;/item&gt;&lt;item&gt;117&lt;/item&gt;&lt;item&gt;118&lt;/item&gt;&lt;item&gt;119&lt;/item&gt;&lt;item&gt;120&lt;/item&gt;&lt;item&gt;123&lt;/item&gt;&lt;item&gt;124&lt;/item&gt;&lt;item&gt;125&lt;/item&gt;&lt;item&gt;126&lt;/item&gt;&lt;item&gt;128&lt;/item&gt;&lt;item&gt;129&lt;/item&gt;&lt;item&gt;130&lt;/item&gt;&lt;item&gt;132&lt;/item&gt;&lt;item&gt;133&lt;/item&gt;&lt;item&gt;136&lt;/item&gt;&lt;item&gt;137&lt;/item&gt;&lt;item&gt;139&lt;/item&gt;&lt;item&gt;140&lt;/item&gt;&lt;item&gt;141&lt;/item&gt;&lt;item&gt;142&lt;/item&gt;&lt;item&gt;143&lt;/item&gt;&lt;item&gt;144&lt;/item&gt;&lt;/record-ids&gt;&lt;/item&gt;&lt;/Libraries&gt;"/>
  </w:docVars>
  <w:rsids>
    <w:rsidRoot w:val="00C17C74"/>
    <w:rsid w:val="000003A4"/>
    <w:rsid w:val="00001CBB"/>
    <w:rsid w:val="000037A1"/>
    <w:rsid w:val="00007081"/>
    <w:rsid w:val="00012873"/>
    <w:rsid w:val="00013AB6"/>
    <w:rsid w:val="000150AD"/>
    <w:rsid w:val="00023FAF"/>
    <w:rsid w:val="00025340"/>
    <w:rsid w:val="00026647"/>
    <w:rsid w:val="000267E3"/>
    <w:rsid w:val="00027537"/>
    <w:rsid w:val="000304FD"/>
    <w:rsid w:val="000305A0"/>
    <w:rsid w:val="000317FE"/>
    <w:rsid w:val="0003338C"/>
    <w:rsid w:val="00035233"/>
    <w:rsid w:val="00036F4C"/>
    <w:rsid w:val="000401D0"/>
    <w:rsid w:val="00041730"/>
    <w:rsid w:val="00043E95"/>
    <w:rsid w:val="00047CCC"/>
    <w:rsid w:val="00051B6C"/>
    <w:rsid w:val="0005207A"/>
    <w:rsid w:val="00052210"/>
    <w:rsid w:val="00052CC6"/>
    <w:rsid w:val="00054362"/>
    <w:rsid w:val="00054448"/>
    <w:rsid w:val="0005722F"/>
    <w:rsid w:val="00061E8A"/>
    <w:rsid w:val="00062630"/>
    <w:rsid w:val="0006266B"/>
    <w:rsid w:val="0006327F"/>
    <w:rsid w:val="00063E8E"/>
    <w:rsid w:val="000653C8"/>
    <w:rsid w:val="00066B45"/>
    <w:rsid w:val="00071232"/>
    <w:rsid w:val="00072FFA"/>
    <w:rsid w:val="00075D25"/>
    <w:rsid w:val="00077A1B"/>
    <w:rsid w:val="00081996"/>
    <w:rsid w:val="00082AED"/>
    <w:rsid w:val="00084BF6"/>
    <w:rsid w:val="0008684C"/>
    <w:rsid w:val="00090A96"/>
    <w:rsid w:val="00091B11"/>
    <w:rsid w:val="000A0A77"/>
    <w:rsid w:val="000A1E0C"/>
    <w:rsid w:val="000A218B"/>
    <w:rsid w:val="000A32CD"/>
    <w:rsid w:val="000A4B3A"/>
    <w:rsid w:val="000C35BC"/>
    <w:rsid w:val="000C372B"/>
    <w:rsid w:val="000C3777"/>
    <w:rsid w:val="000C3B3B"/>
    <w:rsid w:val="000C3BB1"/>
    <w:rsid w:val="000C5988"/>
    <w:rsid w:val="000C79F5"/>
    <w:rsid w:val="000D0D62"/>
    <w:rsid w:val="000D47B6"/>
    <w:rsid w:val="000D5B1F"/>
    <w:rsid w:val="000D62D1"/>
    <w:rsid w:val="000E4451"/>
    <w:rsid w:val="000E6A9F"/>
    <w:rsid w:val="000F1151"/>
    <w:rsid w:val="000F3549"/>
    <w:rsid w:val="000F3EAB"/>
    <w:rsid w:val="000F60F5"/>
    <w:rsid w:val="00101146"/>
    <w:rsid w:val="00102D9C"/>
    <w:rsid w:val="001033D5"/>
    <w:rsid w:val="00106137"/>
    <w:rsid w:val="001107DF"/>
    <w:rsid w:val="001108BE"/>
    <w:rsid w:val="00111671"/>
    <w:rsid w:val="00112C2C"/>
    <w:rsid w:val="00115A3B"/>
    <w:rsid w:val="00117760"/>
    <w:rsid w:val="00121057"/>
    <w:rsid w:val="00121368"/>
    <w:rsid w:val="001216FB"/>
    <w:rsid w:val="00122403"/>
    <w:rsid w:val="0012241E"/>
    <w:rsid w:val="00123F31"/>
    <w:rsid w:val="00124005"/>
    <w:rsid w:val="00124049"/>
    <w:rsid w:val="00127A0D"/>
    <w:rsid w:val="001301E5"/>
    <w:rsid w:val="001334B3"/>
    <w:rsid w:val="001338F3"/>
    <w:rsid w:val="00133E35"/>
    <w:rsid w:val="00133FB0"/>
    <w:rsid w:val="00134C34"/>
    <w:rsid w:val="00135778"/>
    <w:rsid w:val="00137B62"/>
    <w:rsid w:val="00142584"/>
    <w:rsid w:val="001524CE"/>
    <w:rsid w:val="001532EE"/>
    <w:rsid w:val="001540D1"/>
    <w:rsid w:val="00154723"/>
    <w:rsid w:val="0016031C"/>
    <w:rsid w:val="00166013"/>
    <w:rsid w:val="0016784D"/>
    <w:rsid w:val="001701FB"/>
    <w:rsid w:val="00173344"/>
    <w:rsid w:val="001748FE"/>
    <w:rsid w:val="0017780C"/>
    <w:rsid w:val="00180A3F"/>
    <w:rsid w:val="0018240E"/>
    <w:rsid w:val="00182F1F"/>
    <w:rsid w:val="00183322"/>
    <w:rsid w:val="00183BDA"/>
    <w:rsid w:val="001846FB"/>
    <w:rsid w:val="00185CF4"/>
    <w:rsid w:val="00196671"/>
    <w:rsid w:val="001A5A3F"/>
    <w:rsid w:val="001A66E6"/>
    <w:rsid w:val="001A693F"/>
    <w:rsid w:val="001A7EA7"/>
    <w:rsid w:val="001B0944"/>
    <w:rsid w:val="001B532B"/>
    <w:rsid w:val="001B591D"/>
    <w:rsid w:val="001B682B"/>
    <w:rsid w:val="001C1046"/>
    <w:rsid w:val="001C1861"/>
    <w:rsid w:val="001C4812"/>
    <w:rsid w:val="001C587D"/>
    <w:rsid w:val="001C61E6"/>
    <w:rsid w:val="001C61EC"/>
    <w:rsid w:val="001D067C"/>
    <w:rsid w:val="001D2476"/>
    <w:rsid w:val="001D398A"/>
    <w:rsid w:val="001D5A5D"/>
    <w:rsid w:val="001D65ED"/>
    <w:rsid w:val="001E22D7"/>
    <w:rsid w:val="001E2AF7"/>
    <w:rsid w:val="001E3ED1"/>
    <w:rsid w:val="001E4A17"/>
    <w:rsid w:val="001E6393"/>
    <w:rsid w:val="001E7F86"/>
    <w:rsid w:val="001F37A2"/>
    <w:rsid w:val="001F4E8B"/>
    <w:rsid w:val="001F5C3E"/>
    <w:rsid w:val="001F672B"/>
    <w:rsid w:val="001F6AEE"/>
    <w:rsid w:val="001F6B72"/>
    <w:rsid w:val="00203490"/>
    <w:rsid w:val="002047E6"/>
    <w:rsid w:val="00204DDD"/>
    <w:rsid w:val="00204F10"/>
    <w:rsid w:val="0020764D"/>
    <w:rsid w:val="00210E9B"/>
    <w:rsid w:val="002116CF"/>
    <w:rsid w:val="00211F61"/>
    <w:rsid w:val="0021398C"/>
    <w:rsid w:val="00214525"/>
    <w:rsid w:val="002157BA"/>
    <w:rsid w:val="002161E7"/>
    <w:rsid w:val="00221E1D"/>
    <w:rsid w:val="002249EF"/>
    <w:rsid w:val="002265A9"/>
    <w:rsid w:val="00226908"/>
    <w:rsid w:val="00227A0C"/>
    <w:rsid w:val="002301E2"/>
    <w:rsid w:val="00232E5F"/>
    <w:rsid w:val="00232FC8"/>
    <w:rsid w:val="00233094"/>
    <w:rsid w:val="00233E03"/>
    <w:rsid w:val="00235FF3"/>
    <w:rsid w:val="002369C0"/>
    <w:rsid w:val="002402BA"/>
    <w:rsid w:val="00243E06"/>
    <w:rsid w:val="002441F4"/>
    <w:rsid w:val="00245516"/>
    <w:rsid w:val="00247C43"/>
    <w:rsid w:val="00252E0C"/>
    <w:rsid w:val="00256A6D"/>
    <w:rsid w:val="00257E48"/>
    <w:rsid w:val="00260B6D"/>
    <w:rsid w:val="0026160F"/>
    <w:rsid w:val="002646A4"/>
    <w:rsid w:val="002646BD"/>
    <w:rsid w:val="00271B23"/>
    <w:rsid w:val="0027229A"/>
    <w:rsid w:val="00273F0F"/>
    <w:rsid w:val="00280BF6"/>
    <w:rsid w:val="002820B7"/>
    <w:rsid w:val="00284BC6"/>
    <w:rsid w:val="00287106"/>
    <w:rsid w:val="002875DE"/>
    <w:rsid w:val="00291464"/>
    <w:rsid w:val="00294D81"/>
    <w:rsid w:val="00295C88"/>
    <w:rsid w:val="0029612C"/>
    <w:rsid w:val="00296A6E"/>
    <w:rsid w:val="00297378"/>
    <w:rsid w:val="002A08CA"/>
    <w:rsid w:val="002A159C"/>
    <w:rsid w:val="002A1DDC"/>
    <w:rsid w:val="002A2B4A"/>
    <w:rsid w:val="002A4A64"/>
    <w:rsid w:val="002A4F79"/>
    <w:rsid w:val="002B107D"/>
    <w:rsid w:val="002B261F"/>
    <w:rsid w:val="002B3052"/>
    <w:rsid w:val="002B4519"/>
    <w:rsid w:val="002B5450"/>
    <w:rsid w:val="002B69E4"/>
    <w:rsid w:val="002B6DCD"/>
    <w:rsid w:val="002B7EE2"/>
    <w:rsid w:val="002C319E"/>
    <w:rsid w:val="002C41DD"/>
    <w:rsid w:val="002C5FCF"/>
    <w:rsid w:val="002D1D00"/>
    <w:rsid w:val="002D2528"/>
    <w:rsid w:val="002D35E6"/>
    <w:rsid w:val="002E0922"/>
    <w:rsid w:val="002E0C8F"/>
    <w:rsid w:val="002E5646"/>
    <w:rsid w:val="002F2B20"/>
    <w:rsid w:val="002F3E72"/>
    <w:rsid w:val="002F5A9D"/>
    <w:rsid w:val="00300AA6"/>
    <w:rsid w:val="00302060"/>
    <w:rsid w:val="00304FC6"/>
    <w:rsid w:val="003066B4"/>
    <w:rsid w:val="0030690C"/>
    <w:rsid w:val="00307A99"/>
    <w:rsid w:val="00307D6E"/>
    <w:rsid w:val="003122E6"/>
    <w:rsid w:val="003127C1"/>
    <w:rsid w:val="00312EBC"/>
    <w:rsid w:val="003139C3"/>
    <w:rsid w:val="00313EC4"/>
    <w:rsid w:val="00313F88"/>
    <w:rsid w:val="003144EB"/>
    <w:rsid w:val="00314660"/>
    <w:rsid w:val="0031534F"/>
    <w:rsid w:val="0031738C"/>
    <w:rsid w:val="003210C8"/>
    <w:rsid w:val="00321AE1"/>
    <w:rsid w:val="003224EE"/>
    <w:rsid w:val="0032255B"/>
    <w:rsid w:val="00322CE9"/>
    <w:rsid w:val="00323677"/>
    <w:rsid w:val="00324087"/>
    <w:rsid w:val="00325A04"/>
    <w:rsid w:val="00326668"/>
    <w:rsid w:val="003272D6"/>
    <w:rsid w:val="003276FE"/>
    <w:rsid w:val="00331BAB"/>
    <w:rsid w:val="00335034"/>
    <w:rsid w:val="00337580"/>
    <w:rsid w:val="003436D9"/>
    <w:rsid w:val="0034370E"/>
    <w:rsid w:val="00345622"/>
    <w:rsid w:val="00347368"/>
    <w:rsid w:val="0034791D"/>
    <w:rsid w:val="0035153A"/>
    <w:rsid w:val="00353AE1"/>
    <w:rsid w:val="003550DD"/>
    <w:rsid w:val="00356207"/>
    <w:rsid w:val="00361AED"/>
    <w:rsid w:val="0036299C"/>
    <w:rsid w:val="0036606A"/>
    <w:rsid w:val="00367B9A"/>
    <w:rsid w:val="00371EBD"/>
    <w:rsid w:val="003744B7"/>
    <w:rsid w:val="00374A54"/>
    <w:rsid w:val="00375B7D"/>
    <w:rsid w:val="00380C56"/>
    <w:rsid w:val="00380DAC"/>
    <w:rsid w:val="00382806"/>
    <w:rsid w:val="00383A5B"/>
    <w:rsid w:val="0038495D"/>
    <w:rsid w:val="0038549E"/>
    <w:rsid w:val="003876C6"/>
    <w:rsid w:val="003911B4"/>
    <w:rsid w:val="00391971"/>
    <w:rsid w:val="003A003B"/>
    <w:rsid w:val="003A0438"/>
    <w:rsid w:val="003A0717"/>
    <w:rsid w:val="003A0F61"/>
    <w:rsid w:val="003A2F83"/>
    <w:rsid w:val="003A3300"/>
    <w:rsid w:val="003A341B"/>
    <w:rsid w:val="003B1985"/>
    <w:rsid w:val="003B2E5D"/>
    <w:rsid w:val="003B5454"/>
    <w:rsid w:val="003B57CD"/>
    <w:rsid w:val="003B637F"/>
    <w:rsid w:val="003D09AE"/>
    <w:rsid w:val="003D0E64"/>
    <w:rsid w:val="003D191B"/>
    <w:rsid w:val="003D328C"/>
    <w:rsid w:val="003D34E2"/>
    <w:rsid w:val="003D4B41"/>
    <w:rsid w:val="003D4EFD"/>
    <w:rsid w:val="003D50CB"/>
    <w:rsid w:val="003D6C60"/>
    <w:rsid w:val="003E1B69"/>
    <w:rsid w:val="003E4035"/>
    <w:rsid w:val="003E474B"/>
    <w:rsid w:val="003E4FF3"/>
    <w:rsid w:val="003E7E6C"/>
    <w:rsid w:val="003F1B10"/>
    <w:rsid w:val="003F339C"/>
    <w:rsid w:val="003F4EEA"/>
    <w:rsid w:val="003F603A"/>
    <w:rsid w:val="003F680B"/>
    <w:rsid w:val="003F7AC9"/>
    <w:rsid w:val="0040061E"/>
    <w:rsid w:val="004034EA"/>
    <w:rsid w:val="00403C57"/>
    <w:rsid w:val="0040628D"/>
    <w:rsid w:val="00410FB1"/>
    <w:rsid w:val="00411436"/>
    <w:rsid w:val="00411BFA"/>
    <w:rsid w:val="004145E1"/>
    <w:rsid w:val="00416987"/>
    <w:rsid w:val="00416D1D"/>
    <w:rsid w:val="00417656"/>
    <w:rsid w:val="004211A9"/>
    <w:rsid w:val="00424434"/>
    <w:rsid w:val="0042459F"/>
    <w:rsid w:val="0042602E"/>
    <w:rsid w:val="00426CD4"/>
    <w:rsid w:val="004270D7"/>
    <w:rsid w:val="00430811"/>
    <w:rsid w:val="00431588"/>
    <w:rsid w:val="00434941"/>
    <w:rsid w:val="00435779"/>
    <w:rsid w:val="00440D55"/>
    <w:rsid w:val="004427EB"/>
    <w:rsid w:val="00442D0D"/>
    <w:rsid w:val="004527B3"/>
    <w:rsid w:val="00452876"/>
    <w:rsid w:val="00452DC6"/>
    <w:rsid w:val="00456A94"/>
    <w:rsid w:val="00456D6C"/>
    <w:rsid w:val="004606F3"/>
    <w:rsid w:val="0046148B"/>
    <w:rsid w:val="0046368B"/>
    <w:rsid w:val="00465DAA"/>
    <w:rsid w:val="004670DC"/>
    <w:rsid w:val="00474956"/>
    <w:rsid w:val="00474E37"/>
    <w:rsid w:val="0047636C"/>
    <w:rsid w:val="004764A9"/>
    <w:rsid w:val="00477E35"/>
    <w:rsid w:val="00480049"/>
    <w:rsid w:val="004840E1"/>
    <w:rsid w:val="00484AC5"/>
    <w:rsid w:val="00486071"/>
    <w:rsid w:val="00486D1E"/>
    <w:rsid w:val="00491652"/>
    <w:rsid w:val="004926D5"/>
    <w:rsid w:val="00493D4C"/>
    <w:rsid w:val="00496291"/>
    <w:rsid w:val="00496479"/>
    <w:rsid w:val="004A1A33"/>
    <w:rsid w:val="004A2450"/>
    <w:rsid w:val="004A2FB5"/>
    <w:rsid w:val="004A56EB"/>
    <w:rsid w:val="004B0D73"/>
    <w:rsid w:val="004B15A7"/>
    <w:rsid w:val="004B1C87"/>
    <w:rsid w:val="004B3CCD"/>
    <w:rsid w:val="004B48A5"/>
    <w:rsid w:val="004B652D"/>
    <w:rsid w:val="004C2183"/>
    <w:rsid w:val="004C231B"/>
    <w:rsid w:val="004C2513"/>
    <w:rsid w:val="004C391C"/>
    <w:rsid w:val="004C4054"/>
    <w:rsid w:val="004C676E"/>
    <w:rsid w:val="004C731B"/>
    <w:rsid w:val="004D0366"/>
    <w:rsid w:val="004D3D27"/>
    <w:rsid w:val="004D6209"/>
    <w:rsid w:val="004E1522"/>
    <w:rsid w:val="004E1AF0"/>
    <w:rsid w:val="004E2BB0"/>
    <w:rsid w:val="004E2E13"/>
    <w:rsid w:val="004E3550"/>
    <w:rsid w:val="004E3F59"/>
    <w:rsid w:val="004E5556"/>
    <w:rsid w:val="004E7EE4"/>
    <w:rsid w:val="004F0288"/>
    <w:rsid w:val="004F04E5"/>
    <w:rsid w:val="004F48BB"/>
    <w:rsid w:val="004F68AF"/>
    <w:rsid w:val="00503ECB"/>
    <w:rsid w:val="00504186"/>
    <w:rsid w:val="00504AB3"/>
    <w:rsid w:val="00506964"/>
    <w:rsid w:val="00510DAA"/>
    <w:rsid w:val="0051410D"/>
    <w:rsid w:val="00514772"/>
    <w:rsid w:val="0052123F"/>
    <w:rsid w:val="0052293B"/>
    <w:rsid w:val="00522B72"/>
    <w:rsid w:val="00526CCC"/>
    <w:rsid w:val="00526E40"/>
    <w:rsid w:val="00527F5C"/>
    <w:rsid w:val="00532FFE"/>
    <w:rsid w:val="00533646"/>
    <w:rsid w:val="00537BB8"/>
    <w:rsid w:val="00541F0E"/>
    <w:rsid w:val="0054265C"/>
    <w:rsid w:val="00542875"/>
    <w:rsid w:val="00544169"/>
    <w:rsid w:val="005445B9"/>
    <w:rsid w:val="00545804"/>
    <w:rsid w:val="005461F5"/>
    <w:rsid w:val="00551764"/>
    <w:rsid w:val="005556B6"/>
    <w:rsid w:val="005566A5"/>
    <w:rsid w:val="005624C9"/>
    <w:rsid w:val="00563C60"/>
    <w:rsid w:val="00565165"/>
    <w:rsid w:val="00565226"/>
    <w:rsid w:val="005658F9"/>
    <w:rsid w:val="00565F88"/>
    <w:rsid w:val="0056605D"/>
    <w:rsid w:val="00572983"/>
    <w:rsid w:val="00572C89"/>
    <w:rsid w:val="005748B3"/>
    <w:rsid w:val="00577DEE"/>
    <w:rsid w:val="00582B84"/>
    <w:rsid w:val="00582CBA"/>
    <w:rsid w:val="00584885"/>
    <w:rsid w:val="00584FEC"/>
    <w:rsid w:val="0058568E"/>
    <w:rsid w:val="005908B4"/>
    <w:rsid w:val="0059405D"/>
    <w:rsid w:val="0059412B"/>
    <w:rsid w:val="00594482"/>
    <w:rsid w:val="005A0475"/>
    <w:rsid w:val="005A24B1"/>
    <w:rsid w:val="005A30AB"/>
    <w:rsid w:val="005A3729"/>
    <w:rsid w:val="005A4120"/>
    <w:rsid w:val="005A5C6D"/>
    <w:rsid w:val="005A5D7E"/>
    <w:rsid w:val="005B03B1"/>
    <w:rsid w:val="005B05E3"/>
    <w:rsid w:val="005B0C79"/>
    <w:rsid w:val="005B0F23"/>
    <w:rsid w:val="005B50A2"/>
    <w:rsid w:val="005B50DF"/>
    <w:rsid w:val="005B621B"/>
    <w:rsid w:val="005C1CD3"/>
    <w:rsid w:val="005C2CC9"/>
    <w:rsid w:val="005C2E8F"/>
    <w:rsid w:val="005C47B6"/>
    <w:rsid w:val="005C5298"/>
    <w:rsid w:val="005C5AB4"/>
    <w:rsid w:val="005D0604"/>
    <w:rsid w:val="005D08E1"/>
    <w:rsid w:val="005D11B8"/>
    <w:rsid w:val="005D14FD"/>
    <w:rsid w:val="005D3966"/>
    <w:rsid w:val="005D409C"/>
    <w:rsid w:val="005D490C"/>
    <w:rsid w:val="005D5444"/>
    <w:rsid w:val="005D562D"/>
    <w:rsid w:val="005D588B"/>
    <w:rsid w:val="005D652A"/>
    <w:rsid w:val="005D7864"/>
    <w:rsid w:val="005E6EDC"/>
    <w:rsid w:val="005F080E"/>
    <w:rsid w:val="005F58E4"/>
    <w:rsid w:val="005F6149"/>
    <w:rsid w:val="00600215"/>
    <w:rsid w:val="00601E10"/>
    <w:rsid w:val="00602517"/>
    <w:rsid w:val="006026A1"/>
    <w:rsid w:val="00603AE6"/>
    <w:rsid w:val="006068F0"/>
    <w:rsid w:val="00607BCC"/>
    <w:rsid w:val="00612358"/>
    <w:rsid w:val="00614D71"/>
    <w:rsid w:val="006165B2"/>
    <w:rsid w:val="00616852"/>
    <w:rsid w:val="0062173D"/>
    <w:rsid w:val="0062265E"/>
    <w:rsid w:val="00623219"/>
    <w:rsid w:val="00624598"/>
    <w:rsid w:val="006255D1"/>
    <w:rsid w:val="00627F03"/>
    <w:rsid w:val="00630C7A"/>
    <w:rsid w:val="006314CC"/>
    <w:rsid w:val="0063176C"/>
    <w:rsid w:val="006319EA"/>
    <w:rsid w:val="00632680"/>
    <w:rsid w:val="00632A5D"/>
    <w:rsid w:val="00635873"/>
    <w:rsid w:val="00636420"/>
    <w:rsid w:val="00637AFC"/>
    <w:rsid w:val="0064156A"/>
    <w:rsid w:val="006440C7"/>
    <w:rsid w:val="006443D5"/>
    <w:rsid w:val="006450DB"/>
    <w:rsid w:val="00645AF9"/>
    <w:rsid w:val="00647B04"/>
    <w:rsid w:val="00647C6E"/>
    <w:rsid w:val="006502FF"/>
    <w:rsid w:val="00654100"/>
    <w:rsid w:val="00654C01"/>
    <w:rsid w:val="00663A0D"/>
    <w:rsid w:val="00664062"/>
    <w:rsid w:val="006640FA"/>
    <w:rsid w:val="00665B73"/>
    <w:rsid w:val="00665E6E"/>
    <w:rsid w:val="006677D0"/>
    <w:rsid w:val="006703BF"/>
    <w:rsid w:val="00670B11"/>
    <w:rsid w:val="00670DA9"/>
    <w:rsid w:val="00671430"/>
    <w:rsid w:val="00671FFC"/>
    <w:rsid w:val="00672E81"/>
    <w:rsid w:val="00674A4C"/>
    <w:rsid w:val="0068028E"/>
    <w:rsid w:val="00680CAD"/>
    <w:rsid w:val="006860A9"/>
    <w:rsid w:val="00687851"/>
    <w:rsid w:val="00691B50"/>
    <w:rsid w:val="0069323E"/>
    <w:rsid w:val="006953DD"/>
    <w:rsid w:val="0069556A"/>
    <w:rsid w:val="00696D79"/>
    <w:rsid w:val="00697716"/>
    <w:rsid w:val="00697D21"/>
    <w:rsid w:val="006A06FE"/>
    <w:rsid w:val="006A1EA9"/>
    <w:rsid w:val="006A2F16"/>
    <w:rsid w:val="006A4B23"/>
    <w:rsid w:val="006A4D3A"/>
    <w:rsid w:val="006A4ED0"/>
    <w:rsid w:val="006A5810"/>
    <w:rsid w:val="006B01D6"/>
    <w:rsid w:val="006B16F0"/>
    <w:rsid w:val="006B309F"/>
    <w:rsid w:val="006B44C2"/>
    <w:rsid w:val="006B4E7B"/>
    <w:rsid w:val="006C0972"/>
    <w:rsid w:val="006C0E71"/>
    <w:rsid w:val="006C2BD3"/>
    <w:rsid w:val="006C30F4"/>
    <w:rsid w:val="006C4E40"/>
    <w:rsid w:val="006C6638"/>
    <w:rsid w:val="006C679B"/>
    <w:rsid w:val="006C7A31"/>
    <w:rsid w:val="006D28EF"/>
    <w:rsid w:val="006D3CDE"/>
    <w:rsid w:val="006D4F9D"/>
    <w:rsid w:val="006D504D"/>
    <w:rsid w:val="006E190F"/>
    <w:rsid w:val="006E19F6"/>
    <w:rsid w:val="006E2176"/>
    <w:rsid w:val="006E4772"/>
    <w:rsid w:val="006E5788"/>
    <w:rsid w:val="006E6A89"/>
    <w:rsid w:val="006F124A"/>
    <w:rsid w:val="006F2597"/>
    <w:rsid w:val="006F2743"/>
    <w:rsid w:val="006F28E7"/>
    <w:rsid w:val="006F73B8"/>
    <w:rsid w:val="0070120E"/>
    <w:rsid w:val="00701ACA"/>
    <w:rsid w:val="0070494C"/>
    <w:rsid w:val="007069D7"/>
    <w:rsid w:val="00712222"/>
    <w:rsid w:val="007167DB"/>
    <w:rsid w:val="0072299D"/>
    <w:rsid w:val="00722A63"/>
    <w:rsid w:val="007269C3"/>
    <w:rsid w:val="007278E3"/>
    <w:rsid w:val="00727A84"/>
    <w:rsid w:val="00727C0F"/>
    <w:rsid w:val="00731FC1"/>
    <w:rsid w:val="007320D9"/>
    <w:rsid w:val="00734196"/>
    <w:rsid w:val="007341DA"/>
    <w:rsid w:val="00736DA6"/>
    <w:rsid w:val="00740FD7"/>
    <w:rsid w:val="00743B2E"/>
    <w:rsid w:val="00745BC3"/>
    <w:rsid w:val="007518A5"/>
    <w:rsid w:val="00751AB9"/>
    <w:rsid w:val="00752EA7"/>
    <w:rsid w:val="007536EE"/>
    <w:rsid w:val="00754795"/>
    <w:rsid w:val="0075515E"/>
    <w:rsid w:val="0075662A"/>
    <w:rsid w:val="00756CF3"/>
    <w:rsid w:val="0076075C"/>
    <w:rsid w:val="00761728"/>
    <w:rsid w:val="00764080"/>
    <w:rsid w:val="00765DEE"/>
    <w:rsid w:val="007703B2"/>
    <w:rsid w:val="00772C4B"/>
    <w:rsid w:val="00773C30"/>
    <w:rsid w:val="00774A6F"/>
    <w:rsid w:val="00775BBD"/>
    <w:rsid w:val="0077674F"/>
    <w:rsid w:val="00776DC9"/>
    <w:rsid w:val="0077757D"/>
    <w:rsid w:val="00777C1C"/>
    <w:rsid w:val="00777E0B"/>
    <w:rsid w:val="007800C5"/>
    <w:rsid w:val="007811A8"/>
    <w:rsid w:val="00781273"/>
    <w:rsid w:val="00785735"/>
    <w:rsid w:val="00786028"/>
    <w:rsid w:val="00786222"/>
    <w:rsid w:val="00790DEA"/>
    <w:rsid w:val="007929C3"/>
    <w:rsid w:val="00794ACB"/>
    <w:rsid w:val="00795F3F"/>
    <w:rsid w:val="0079736A"/>
    <w:rsid w:val="007A05B0"/>
    <w:rsid w:val="007A0D07"/>
    <w:rsid w:val="007A22F0"/>
    <w:rsid w:val="007A2966"/>
    <w:rsid w:val="007A3F54"/>
    <w:rsid w:val="007A6742"/>
    <w:rsid w:val="007A7B12"/>
    <w:rsid w:val="007B24DC"/>
    <w:rsid w:val="007B484B"/>
    <w:rsid w:val="007B53D6"/>
    <w:rsid w:val="007B57BF"/>
    <w:rsid w:val="007B6F0E"/>
    <w:rsid w:val="007B725F"/>
    <w:rsid w:val="007B7CB6"/>
    <w:rsid w:val="007C0064"/>
    <w:rsid w:val="007C0179"/>
    <w:rsid w:val="007C0B52"/>
    <w:rsid w:val="007C1FC0"/>
    <w:rsid w:val="007C352D"/>
    <w:rsid w:val="007C3FF4"/>
    <w:rsid w:val="007C5B9F"/>
    <w:rsid w:val="007C60B4"/>
    <w:rsid w:val="007C7709"/>
    <w:rsid w:val="007D39AE"/>
    <w:rsid w:val="007D503B"/>
    <w:rsid w:val="007D5F19"/>
    <w:rsid w:val="007E05F8"/>
    <w:rsid w:val="007E4206"/>
    <w:rsid w:val="007E7B8C"/>
    <w:rsid w:val="007F0FFD"/>
    <w:rsid w:val="007F4FE0"/>
    <w:rsid w:val="007F50EF"/>
    <w:rsid w:val="00802C61"/>
    <w:rsid w:val="0080430C"/>
    <w:rsid w:val="00805296"/>
    <w:rsid w:val="0080539A"/>
    <w:rsid w:val="008108BA"/>
    <w:rsid w:val="00810EE3"/>
    <w:rsid w:val="00813104"/>
    <w:rsid w:val="00813110"/>
    <w:rsid w:val="00815459"/>
    <w:rsid w:val="0081599A"/>
    <w:rsid w:val="00817113"/>
    <w:rsid w:val="00817364"/>
    <w:rsid w:val="0082043D"/>
    <w:rsid w:val="00823F3D"/>
    <w:rsid w:val="008241E4"/>
    <w:rsid w:val="00824660"/>
    <w:rsid w:val="00826CF8"/>
    <w:rsid w:val="00826D63"/>
    <w:rsid w:val="00827C6B"/>
    <w:rsid w:val="0083087E"/>
    <w:rsid w:val="00831D03"/>
    <w:rsid w:val="00834CC2"/>
    <w:rsid w:val="00836EC2"/>
    <w:rsid w:val="008429F6"/>
    <w:rsid w:val="00851243"/>
    <w:rsid w:val="00855E30"/>
    <w:rsid w:val="008562E4"/>
    <w:rsid w:val="008612E9"/>
    <w:rsid w:val="008622DE"/>
    <w:rsid w:val="008630E3"/>
    <w:rsid w:val="00863629"/>
    <w:rsid w:val="00865363"/>
    <w:rsid w:val="00866266"/>
    <w:rsid w:val="0087181D"/>
    <w:rsid w:val="008718CB"/>
    <w:rsid w:val="0087305A"/>
    <w:rsid w:val="008752ED"/>
    <w:rsid w:val="00875CAB"/>
    <w:rsid w:val="00876A2F"/>
    <w:rsid w:val="00880821"/>
    <w:rsid w:val="00880E47"/>
    <w:rsid w:val="00884223"/>
    <w:rsid w:val="00892F2C"/>
    <w:rsid w:val="00896615"/>
    <w:rsid w:val="00897DE2"/>
    <w:rsid w:val="008A0554"/>
    <w:rsid w:val="008A15E5"/>
    <w:rsid w:val="008A2910"/>
    <w:rsid w:val="008A4D6C"/>
    <w:rsid w:val="008A7D5F"/>
    <w:rsid w:val="008B0EAF"/>
    <w:rsid w:val="008B2948"/>
    <w:rsid w:val="008B448D"/>
    <w:rsid w:val="008B4ADF"/>
    <w:rsid w:val="008B6549"/>
    <w:rsid w:val="008B6FE7"/>
    <w:rsid w:val="008C0F45"/>
    <w:rsid w:val="008C2B47"/>
    <w:rsid w:val="008C364E"/>
    <w:rsid w:val="008C465D"/>
    <w:rsid w:val="008C4F19"/>
    <w:rsid w:val="008C4F55"/>
    <w:rsid w:val="008C510F"/>
    <w:rsid w:val="008C5B38"/>
    <w:rsid w:val="008D26BC"/>
    <w:rsid w:val="008D4C45"/>
    <w:rsid w:val="008E5A33"/>
    <w:rsid w:val="008E6E11"/>
    <w:rsid w:val="008E712F"/>
    <w:rsid w:val="008F1399"/>
    <w:rsid w:val="008F3F4B"/>
    <w:rsid w:val="008F4A27"/>
    <w:rsid w:val="008F4E1B"/>
    <w:rsid w:val="008F5592"/>
    <w:rsid w:val="008F78DD"/>
    <w:rsid w:val="00902ED6"/>
    <w:rsid w:val="00903BB5"/>
    <w:rsid w:val="00907D05"/>
    <w:rsid w:val="0091347C"/>
    <w:rsid w:val="009162B7"/>
    <w:rsid w:val="009172B8"/>
    <w:rsid w:val="009177F7"/>
    <w:rsid w:val="009206B8"/>
    <w:rsid w:val="00921F2B"/>
    <w:rsid w:val="00923295"/>
    <w:rsid w:val="00925A7C"/>
    <w:rsid w:val="00926D41"/>
    <w:rsid w:val="00930871"/>
    <w:rsid w:val="00934088"/>
    <w:rsid w:val="00934AED"/>
    <w:rsid w:val="00935628"/>
    <w:rsid w:val="009374B7"/>
    <w:rsid w:val="00937F91"/>
    <w:rsid w:val="00941171"/>
    <w:rsid w:val="00941D52"/>
    <w:rsid w:val="0094223D"/>
    <w:rsid w:val="00944709"/>
    <w:rsid w:val="00945A61"/>
    <w:rsid w:val="009475C8"/>
    <w:rsid w:val="00950978"/>
    <w:rsid w:val="009536B5"/>
    <w:rsid w:val="009558AE"/>
    <w:rsid w:val="00962C00"/>
    <w:rsid w:val="00964EA7"/>
    <w:rsid w:val="00965558"/>
    <w:rsid w:val="00967B0A"/>
    <w:rsid w:val="00967E00"/>
    <w:rsid w:val="0097431C"/>
    <w:rsid w:val="009761A5"/>
    <w:rsid w:val="00976654"/>
    <w:rsid w:val="00977F0D"/>
    <w:rsid w:val="0098021B"/>
    <w:rsid w:val="0098023F"/>
    <w:rsid w:val="00982E12"/>
    <w:rsid w:val="009841B3"/>
    <w:rsid w:val="00987909"/>
    <w:rsid w:val="0099214C"/>
    <w:rsid w:val="00995625"/>
    <w:rsid w:val="00995BDD"/>
    <w:rsid w:val="0099658D"/>
    <w:rsid w:val="009A2610"/>
    <w:rsid w:val="009A2CA8"/>
    <w:rsid w:val="009A562D"/>
    <w:rsid w:val="009A60A6"/>
    <w:rsid w:val="009A680B"/>
    <w:rsid w:val="009A6B54"/>
    <w:rsid w:val="009A6C03"/>
    <w:rsid w:val="009B2758"/>
    <w:rsid w:val="009B2ADC"/>
    <w:rsid w:val="009B6CD8"/>
    <w:rsid w:val="009B6F50"/>
    <w:rsid w:val="009B77EE"/>
    <w:rsid w:val="009C3336"/>
    <w:rsid w:val="009C41A5"/>
    <w:rsid w:val="009C5EF5"/>
    <w:rsid w:val="009C6C6C"/>
    <w:rsid w:val="009C7188"/>
    <w:rsid w:val="009C7791"/>
    <w:rsid w:val="009C7FE5"/>
    <w:rsid w:val="009D388C"/>
    <w:rsid w:val="009D3F89"/>
    <w:rsid w:val="009D40BE"/>
    <w:rsid w:val="009D55ED"/>
    <w:rsid w:val="009D7FBB"/>
    <w:rsid w:val="009E2593"/>
    <w:rsid w:val="009E2AF4"/>
    <w:rsid w:val="009E4232"/>
    <w:rsid w:val="009F2BAD"/>
    <w:rsid w:val="009F390A"/>
    <w:rsid w:val="009F50A8"/>
    <w:rsid w:val="009F5C4A"/>
    <w:rsid w:val="00A00215"/>
    <w:rsid w:val="00A00C5C"/>
    <w:rsid w:val="00A03F33"/>
    <w:rsid w:val="00A07684"/>
    <w:rsid w:val="00A10573"/>
    <w:rsid w:val="00A11407"/>
    <w:rsid w:val="00A1233C"/>
    <w:rsid w:val="00A12A90"/>
    <w:rsid w:val="00A13194"/>
    <w:rsid w:val="00A13764"/>
    <w:rsid w:val="00A137D1"/>
    <w:rsid w:val="00A15276"/>
    <w:rsid w:val="00A20FB1"/>
    <w:rsid w:val="00A219BE"/>
    <w:rsid w:val="00A2421E"/>
    <w:rsid w:val="00A269F6"/>
    <w:rsid w:val="00A305C4"/>
    <w:rsid w:val="00A30744"/>
    <w:rsid w:val="00A318A8"/>
    <w:rsid w:val="00A32708"/>
    <w:rsid w:val="00A33A1B"/>
    <w:rsid w:val="00A33EB9"/>
    <w:rsid w:val="00A371B3"/>
    <w:rsid w:val="00A373F0"/>
    <w:rsid w:val="00A401FE"/>
    <w:rsid w:val="00A402D7"/>
    <w:rsid w:val="00A40E07"/>
    <w:rsid w:val="00A432CC"/>
    <w:rsid w:val="00A43B0A"/>
    <w:rsid w:val="00A443B9"/>
    <w:rsid w:val="00A44510"/>
    <w:rsid w:val="00A45891"/>
    <w:rsid w:val="00A473C8"/>
    <w:rsid w:val="00A476C6"/>
    <w:rsid w:val="00A5498D"/>
    <w:rsid w:val="00A57D31"/>
    <w:rsid w:val="00A62C0A"/>
    <w:rsid w:val="00A63A09"/>
    <w:rsid w:val="00A63BF0"/>
    <w:rsid w:val="00A64979"/>
    <w:rsid w:val="00A64E49"/>
    <w:rsid w:val="00A65D04"/>
    <w:rsid w:val="00A66A4A"/>
    <w:rsid w:val="00A66D67"/>
    <w:rsid w:val="00A66E00"/>
    <w:rsid w:val="00A67682"/>
    <w:rsid w:val="00A709B6"/>
    <w:rsid w:val="00A73706"/>
    <w:rsid w:val="00A74BC1"/>
    <w:rsid w:val="00A75982"/>
    <w:rsid w:val="00A8269B"/>
    <w:rsid w:val="00A82CD1"/>
    <w:rsid w:val="00A84102"/>
    <w:rsid w:val="00A846CF"/>
    <w:rsid w:val="00A84A08"/>
    <w:rsid w:val="00A9178B"/>
    <w:rsid w:val="00A93591"/>
    <w:rsid w:val="00A95D11"/>
    <w:rsid w:val="00A97D86"/>
    <w:rsid w:val="00AA1401"/>
    <w:rsid w:val="00AA3F5E"/>
    <w:rsid w:val="00AA6018"/>
    <w:rsid w:val="00AA7C10"/>
    <w:rsid w:val="00AB0509"/>
    <w:rsid w:val="00AB3C69"/>
    <w:rsid w:val="00AB722D"/>
    <w:rsid w:val="00AC1321"/>
    <w:rsid w:val="00AC2A62"/>
    <w:rsid w:val="00AC78C9"/>
    <w:rsid w:val="00AD077D"/>
    <w:rsid w:val="00AD0E3D"/>
    <w:rsid w:val="00AD1BFD"/>
    <w:rsid w:val="00AD225A"/>
    <w:rsid w:val="00AD2D61"/>
    <w:rsid w:val="00AD3E5A"/>
    <w:rsid w:val="00AD6550"/>
    <w:rsid w:val="00AE0078"/>
    <w:rsid w:val="00AE0194"/>
    <w:rsid w:val="00AE2DF4"/>
    <w:rsid w:val="00AE5407"/>
    <w:rsid w:val="00AE617F"/>
    <w:rsid w:val="00AE67EF"/>
    <w:rsid w:val="00AF4572"/>
    <w:rsid w:val="00AF4C6D"/>
    <w:rsid w:val="00B01A6A"/>
    <w:rsid w:val="00B042E6"/>
    <w:rsid w:val="00B06989"/>
    <w:rsid w:val="00B13E60"/>
    <w:rsid w:val="00B14253"/>
    <w:rsid w:val="00B15705"/>
    <w:rsid w:val="00B16128"/>
    <w:rsid w:val="00B16F85"/>
    <w:rsid w:val="00B17DBC"/>
    <w:rsid w:val="00B17E7C"/>
    <w:rsid w:val="00B200C7"/>
    <w:rsid w:val="00B24C30"/>
    <w:rsid w:val="00B308CA"/>
    <w:rsid w:val="00B368A8"/>
    <w:rsid w:val="00B40B2D"/>
    <w:rsid w:val="00B447E3"/>
    <w:rsid w:val="00B44AAA"/>
    <w:rsid w:val="00B46CA2"/>
    <w:rsid w:val="00B478AE"/>
    <w:rsid w:val="00B51728"/>
    <w:rsid w:val="00B51AE6"/>
    <w:rsid w:val="00B539BB"/>
    <w:rsid w:val="00B555A1"/>
    <w:rsid w:val="00B56616"/>
    <w:rsid w:val="00B570D8"/>
    <w:rsid w:val="00B5746A"/>
    <w:rsid w:val="00B57B77"/>
    <w:rsid w:val="00B6101B"/>
    <w:rsid w:val="00B61701"/>
    <w:rsid w:val="00B61E12"/>
    <w:rsid w:val="00B631D5"/>
    <w:rsid w:val="00B648A1"/>
    <w:rsid w:val="00B67FB0"/>
    <w:rsid w:val="00B70394"/>
    <w:rsid w:val="00B70B29"/>
    <w:rsid w:val="00B7155F"/>
    <w:rsid w:val="00B72269"/>
    <w:rsid w:val="00B75228"/>
    <w:rsid w:val="00B82328"/>
    <w:rsid w:val="00B86B7E"/>
    <w:rsid w:val="00B920F4"/>
    <w:rsid w:val="00B92975"/>
    <w:rsid w:val="00B9441F"/>
    <w:rsid w:val="00BA3978"/>
    <w:rsid w:val="00BA4B77"/>
    <w:rsid w:val="00BA557A"/>
    <w:rsid w:val="00BA5756"/>
    <w:rsid w:val="00BA6987"/>
    <w:rsid w:val="00BA7B5F"/>
    <w:rsid w:val="00BA7C0B"/>
    <w:rsid w:val="00BB2756"/>
    <w:rsid w:val="00BB71B7"/>
    <w:rsid w:val="00BB72FE"/>
    <w:rsid w:val="00BB76C4"/>
    <w:rsid w:val="00BB7B75"/>
    <w:rsid w:val="00BC2276"/>
    <w:rsid w:val="00BC3316"/>
    <w:rsid w:val="00BC76A3"/>
    <w:rsid w:val="00BD08DF"/>
    <w:rsid w:val="00BD09A8"/>
    <w:rsid w:val="00BD0F5A"/>
    <w:rsid w:val="00BD1D88"/>
    <w:rsid w:val="00BD2360"/>
    <w:rsid w:val="00BD3106"/>
    <w:rsid w:val="00BD3854"/>
    <w:rsid w:val="00BD4910"/>
    <w:rsid w:val="00BD631B"/>
    <w:rsid w:val="00BD677D"/>
    <w:rsid w:val="00BD728A"/>
    <w:rsid w:val="00BE1F68"/>
    <w:rsid w:val="00BE7200"/>
    <w:rsid w:val="00BF0A74"/>
    <w:rsid w:val="00BF19B0"/>
    <w:rsid w:val="00BF31E8"/>
    <w:rsid w:val="00BF465B"/>
    <w:rsid w:val="00C0007C"/>
    <w:rsid w:val="00C013D2"/>
    <w:rsid w:val="00C0477B"/>
    <w:rsid w:val="00C11342"/>
    <w:rsid w:val="00C12470"/>
    <w:rsid w:val="00C13B27"/>
    <w:rsid w:val="00C1541C"/>
    <w:rsid w:val="00C15F26"/>
    <w:rsid w:val="00C172F8"/>
    <w:rsid w:val="00C176AA"/>
    <w:rsid w:val="00C17C74"/>
    <w:rsid w:val="00C20AB9"/>
    <w:rsid w:val="00C222D5"/>
    <w:rsid w:val="00C24382"/>
    <w:rsid w:val="00C24769"/>
    <w:rsid w:val="00C25C52"/>
    <w:rsid w:val="00C263C1"/>
    <w:rsid w:val="00C27909"/>
    <w:rsid w:val="00C3181B"/>
    <w:rsid w:val="00C321AC"/>
    <w:rsid w:val="00C33FFE"/>
    <w:rsid w:val="00C34DD6"/>
    <w:rsid w:val="00C34E76"/>
    <w:rsid w:val="00C42FC5"/>
    <w:rsid w:val="00C46432"/>
    <w:rsid w:val="00C47F6D"/>
    <w:rsid w:val="00C52FC6"/>
    <w:rsid w:val="00C52FFA"/>
    <w:rsid w:val="00C53321"/>
    <w:rsid w:val="00C55AD8"/>
    <w:rsid w:val="00C607F9"/>
    <w:rsid w:val="00C66F4B"/>
    <w:rsid w:val="00C748F5"/>
    <w:rsid w:val="00C7590A"/>
    <w:rsid w:val="00C76BA1"/>
    <w:rsid w:val="00C81A55"/>
    <w:rsid w:val="00C81D8A"/>
    <w:rsid w:val="00C81FDF"/>
    <w:rsid w:val="00C83388"/>
    <w:rsid w:val="00C839C2"/>
    <w:rsid w:val="00C83BEF"/>
    <w:rsid w:val="00C83FE7"/>
    <w:rsid w:val="00C85D94"/>
    <w:rsid w:val="00C85FA4"/>
    <w:rsid w:val="00C864BE"/>
    <w:rsid w:val="00C8714C"/>
    <w:rsid w:val="00C90DFC"/>
    <w:rsid w:val="00C92266"/>
    <w:rsid w:val="00C936E7"/>
    <w:rsid w:val="00C938FD"/>
    <w:rsid w:val="00C953C7"/>
    <w:rsid w:val="00C96D8B"/>
    <w:rsid w:val="00C9736C"/>
    <w:rsid w:val="00C97B8D"/>
    <w:rsid w:val="00CA2006"/>
    <w:rsid w:val="00CA33D5"/>
    <w:rsid w:val="00CA4CBB"/>
    <w:rsid w:val="00CA514B"/>
    <w:rsid w:val="00CA7451"/>
    <w:rsid w:val="00CA781F"/>
    <w:rsid w:val="00CB44AA"/>
    <w:rsid w:val="00CB4A8E"/>
    <w:rsid w:val="00CB4D41"/>
    <w:rsid w:val="00CB63EC"/>
    <w:rsid w:val="00CB6626"/>
    <w:rsid w:val="00CB7D54"/>
    <w:rsid w:val="00CC0FD8"/>
    <w:rsid w:val="00CC1EE5"/>
    <w:rsid w:val="00CC32B4"/>
    <w:rsid w:val="00CC3393"/>
    <w:rsid w:val="00CC4C73"/>
    <w:rsid w:val="00CC5524"/>
    <w:rsid w:val="00CC57B9"/>
    <w:rsid w:val="00CC5B75"/>
    <w:rsid w:val="00CC703B"/>
    <w:rsid w:val="00CD0B73"/>
    <w:rsid w:val="00CD1006"/>
    <w:rsid w:val="00CD36C3"/>
    <w:rsid w:val="00CD401F"/>
    <w:rsid w:val="00CD508F"/>
    <w:rsid w:val="00CD71B1"/>
    <w:rsid w:val="00CE1831"/>
    <w:rsid w:val="00CE19C5"/>
    <w:rsid w:val="00CE4B2D"/>
    <w:rsid w:val="00CE51E8"/>
    <w:rsid w:val="00CE53B0"/>
    <w:rsid w:val="00CE56CB"/>
    <w:rsid w:val="00CE700C"/>
    <w:rsid w:val="00CF230C"/>
    <w:rsid w:val="00CF5112"/>
    <w:rsid w:val="00CF78DB"/>
    <w:rsid w:val="00D0261D"/>
    <w:rsid w:val="00D02680"/>
    <w:rsid w:val="00D04B99"/>
    <w:rsid w:val="00D069A5"/>
    <w:rsid w:val="00D06CC6"/>
    <w:rsid w:val="00D07727"/>
    <w:rsid w:val="00D10B15"/>
    <w:rsid w:val="00D11E0C"/>
    <w:rsid w:val="00D138D1"/>
    <w:rsid w:val="00D1418D"/>
    <w:rsid w:val="00D144FA"/>
    <w:rsid w:val="00D17A99"/>
    <w:rsid w:val="00D21577"/>
    <w:rsid w:val="00D226CB"/>
    <w:rsid w:val="00D24B86"/>
    <w:rsid w:val="00D2560B"/>
    <w:rsid w:val="00D25BB5"/>
    <w:rsid w:val="00D25C1A"/>
    <w:rsid w:val="00D2619E"/>
    <w:rsid w:val="00D26B11"/>
    <w:rsid w:val="00D26B74"/>
    <w:rsid w:val="00D30EAD"/>
    <w:rsid w:val="00D310CE"/>
    <w:rsid w:val="00D32E4E"/>
    <w:rsid w:val="00D3483E"/>
    <w:rsid w:val="00D3602C"/>
    <w:rsid w:val="00D41799"/>
    <w:rsid w:val="00D45F4C"/>
    <w:rsid w:val="00D51901"/>
    <w:rsid w:val="00D54088"/>
    <w:rsid w:val="00D557E9"/>
    <w:rsid w:val="00D55D7A"/>
    <w:rsid w:val="00D56CA8"/>
    <w:rsid w:val="00D57C5A"/>
    <w:rsid w:val="00D60B28"/>
    <w:rsid w:val="00D616CB"/>
    <w:rsid w:val="00D630AE"/>
    <w:rsid w:val="00D65665"/>
    <w:rsid w:val="00D66DA6"/>
    <w:rsid w:val="00D70580"/>
    <w:rsid w:val="00D71656"/>
    <w:rsid w:val="00D71CC7"/>
    <w:rsid w:val="00D73609"/>
    <w:rsid w:val="00D76C46"/>
    <w:rsid w:val="00D77AAE"/>
    <w:rsid w:val="00D80354"/>
    <w:rsid w:val="00D818D0"/>
    <w:rsid w:val="00D81A8B"/>
    <w:rsid w:val="00D8210B"/>
    <w:rsid w:val="00D85124"/>
    <w:rsid w:val="00D92574"/>
    <w:rsid w:val="00D92A55"/>
    <w:rsid w:val="00D93874"/>
    <w:rsid w:val="00D94225"/>
    <w:rsid w:val="00D957F7"/>
    <w:rsid w:val="00D95C69"/>
    <w:rsid w:val="00D96122"/>
    <w:rsid w:val="00D965F8"/>
    <w:rsid w:val="00D96BD1"/>
    <w:rsid w:val="00DA32CA"/>
    <w:rsid w:val="00DA5465"/>
    <w:rsid w:val="00DA56E6"/>
    <w:rsid w:val="00DA7948"/>
    <w:rsid w:val="00DB181C"/>
    <w:rsid w:val="00DB3ECF"/>
    <w:rsid w:val="00DB4A82"/>
    <w:rsid w:val="00DC04BA"/>
    <w:rsid w:val="00DC5C58"/>
    <w:rsid w:val="00DD6DF0"/>
    <w:rsid w:val="00DD7020"/>
    <w:rsid w:val="00DD7559"/>
    <w:rsid w:val="00DE25C2"/>
    <w:rsid w:val="00DE450D"/>
    <w:rsid w:val="00DF0E96"/>
    <w:rsid w:val="00DF2829"/>
    <w:rsid w:val="00DF3F1D"/>
    <w:rsid w:val="00DF6182"/>
    <w:rsid w:val="00DF6546"/>
    <w:rsid w:val="00DF7648"/>
    <w:rsid w:val="00E0146D"/>
    <w:rsid w:val="00E037E8"/>
    <w:rsid w:val="00E04D61"/>
    <w:rsid w:val="00E06161"/>
    <w:rsid w:val="00E0661B"/>
    <w:rsid w:val="00E0770B"/>
    <w:rsid w:val="00E1049B"/>
    <w:rsid w:val="00E1079E"/>
    <w:rsid w:val="00E13D40"/>
    <w:rsid w:val="00E14390"/>
    <w:rsid w:val="00E15C18"/>
    <w:rsid w:val="00E16E05"/>
    <w:rsid w:val="00E21372"/>
    <w:rsid w:val="00E21EBB"/>
    <w:rsid w:val="00E2272D"/>
    <w:rsid w:val="00E22D3F"/>
    <w:rsid w:val="00E235E5"/>
    <w:rsid w:val="00E23C22"/>
    <w:rsid w:val="00E23CC7"/>
    <w:rsid w:val="00E25137"/>
    <w:rsid w:val="00E25A18"/>
    <w:rsid w:val="00E3040E"/>
    <w:rsid w:val="00E30561"/>
    <w:rsid w:val="00E330C9"/>
    <w:rsid w:val="00E334FA"/>
    <w:rsid w:val="00E33C30"/>
    <w:rsid w:val="00E34E14"/>
    <w:rsid w:val="00E35BE3"/>
    <w:rsid w:val="00E372DC"/>
    <w:rsid w:val="00E423E4"/>
    <w:rsid w:val="00E43016"/>
    <w:rsid w:val="00E439D5"/>
    <w:rsid w:val="00E44824"/>
    <w:rsid w:val="00E45077"/>
    <w:rsid w:val="00E455EC"/>
    <w:rsid w:val="00E4674C"/>
    <w:rsid w:val="00E468C0"/>
    <w:rsid w:val="00E470B6"/>
    <w:rsid w:val="00E47F1B"/>
    <w:rsid w:val="00E5015D"/>
    <w:rsid w:val="00E54D17"/>
    <w:rsid w:val="00E60B64"/>
    <w:rsid w:val="00E60D13"/>
    <w:rsid w:val="00E624D0"/>
    <w:rsid w:val="00E645E0"/>
    <w:rsid w:val="00E6650A"/>
    <w:rsid w:val="00E70574"/>
    <w:rsid w:val="00E712F4"/>
    <w:rsid w:val="00E71949"/>
    <w:rsid w:val="00E71D84"/>
    <w:rsid w:val="00E768F2"/>
    <w:rsid w:val="00E76F05"/>
    <w:rsid w:val="00E779EA"/>
    <w:rsid w:val="00E804A8"/>
    <w:rsid w:val="00E82282"/>
    <w:rsid w:val="00E837BE"/>
    <w:rsid w:val="00E8466A"/>
    <w:rsid w:val="00E84A81"/>
    <w:rsid w:val="00E853D3"/>
    <w:rsid w:val="00E86FCE"/>
    <w:rsid w:val="00E87908"/>
    <w:rsid w:val="00E90DDF"/>
    <w:rsid w:val="00E9272C"/>
    <w:rsid w:val="00E93186"/>
    <w:rsid w:val="00E95CAF"/>
    <w:rsid w:val="00E9613B"/>
    <w:rsid w:val="00E96374"/>
    <w:rsid w:val="00E970A8"/>
    <w:rsid w:val="00E97F33"/>
    <w:rsid w:val="00EA031D"/>
    <w:rsid w:val="00EA094E"/>
    <w:rsid w:val="00EA34B3"/>
    <w:rsid w:val="00EA39C1"/>
    <w:rsid w:val="00EA4993"/>
    <w:rsid w:val="00EA4E62"/>
    <w:rsid w:val="00EA6F2E"/>
    <w:rsid w:val="00EB6DF7"/>
    <w:rsid w:val="00EC1A3B"/>
    <w:rsid w:val="00EC3E87"/>
    <w:rsid w:val="00EC3F16"/>
    <w:rsid w:val="00EC484B"/>
    <w:rsid w:val="00EC4B81"/>
    <w:rsid w:val="00EC4EF8"/>
    <w:rsid w:val="00EC5960"/>
    <w:rsid w:val="00ED43B1"/>
    <w:rsid w:val="00ED4991"/>
    <w:rsid w:val="00ED4FBF"/>
    <w:rsid w:val="00ED6447"/>
    <w:rsid w:val="00ED7701"/>
    <w:rsid w:val="00EE0A76"/>
    <w:rsid w:val="00EE2B53"/>
    <w:rsid w:val="00EE633C"/>
    <w:rsid w:val="00EE6DE3"/>
    <w:rsid w:val="00EE7DED"/>
    <w:rsid w:val="00EF071E"/>
    <w:rsid w:val="00EF1216"/>
    <w:rsid w:val="00EF23D8"/>
    <w:rsid w:val="00EF5BD8"/>
    <w:rsid w:val="00F00156"/>
    <w:rsid w:val="00F0137C"/>
    <w:rsid w:val="00F014FA"/>
    <w:rsid w:val="00F0178F"/>
    <w:rsid w:val="00F01B57"/>
    <w:rsid w:val="00F04FF4"/>
    <w:rsid w:val="00F05EA2"/>
    <w:rsid w:val="00F063CC"/>
    <w:rsid w:val="00F0647E"/>
    <w:rsid w:val="00F12D4C"/>
    <w:rsid w:val="00F14583"/>
    <w:rsid w:val="00F1511E"/>
    <w:rsid w:val="00F1519F"/>
    <w:rsid w:val="00F15F45"/>
    <w:rsid w:val="00F16ADC"/>
    <w:rsid w:val="00F16C25"/>
    <w:rsid w:val="00F206D2"/>
    <w:rsid w:val="00F241E5"/>
    <w:rsid w:val="00F24FA2"/>
    <w:rsid w:val="00F26CC2"/>
    <w:rsid w:val="00F30D87"/>
    <w:rsid w:val="00F31CCD"/>
    <w:rsid w:val="00F320A6"/>
    <w:rsid w:val="00F3514C"/>
    <w:rsid w:val="00F40993"/>
    <w:rsid w:val="00F421DA"/>
    <w:rsid w:val="00F4390E"/>
    <w:rsid w:val="00F439A3"/>
    <w:rsid w:val="00F456FA"/>
    <w:rsid w:val="00F4618B"/>
    <w:rsid w:val="00F463D3"/>
    <w:rsid w:val="00F50494"/>
    <w:rsid w:val="00F518ED"/>
    <w:rsid w:val="00F525F4"/>
    <w:rsid w:val="00F52A43"/>
    <w:rsid w:val="00F53166"/>
    <w:rsid w:val="00F5364F"/>
    <w:rsid w:val="00F55A6C"/>
    <w:rsid w:val="00F56EEA"/>
    <w:rsid w:val="00F6286E"/>
    <w:rsid w:val="00F63EF0"/>
    <w:rsid w:val="00F70849"/>
    <w:rsid w:val="00F74069"/>
    <w:rsid w:val="00F742A5"/>
    <w:rsid w:val="00F74313"/>
    <w:rsid w:val="00F7452B"/>
    <w:rsid w:val="00F74F8C"/>
    <w:rsid w:val="00F755A7"/>
    <w:rsid w:val="00F76F7A"/>
    <w:rsid w:val="00F77372"/>
    <w:rsid w:val="00F816F4"/>
    <w:rsid w:val="00F83B03"/>
    <w:rsid w:val="00F846DC"/>
    <w:rsid w:val="00F847C8"/>
    <w:rsid w:val="00F8566F"/>
    <w:rsid w:val="00F861F6"/>
    <w:rsid w:val="00F87CFF"/>
    <w:rsid w:val="00F962F8"/>
    <w:rsid w:val="00F96A0E"/>
    <w:rsid w:val="00F96F17"/>
    <w:rsid w:val="00F96FFD"/>
    <w:rsid w:val="00FA183D"/>
    <w:rsid w:val="00FA3E9F"/>
    <w:rsid w:val="00FA4DE2"/>
    <w:rsid w:val="00FA4E4E"/>
    <w:rsid w:val="00FB0294"/>
    <w:rsid w:val="00FB111F"/>
    <w:rsid w:val="00FB1F93"/>
    <w:rsid w:val="00FB1FC2"/>
    <w:rsid w:val="00FB3C6E"/>
    <w:rsid w:val="00FB4910"/>
    <w:rsid w:val="00FB6C0C"/>
    <w:rsid w:val="00FB7B75"/>
    <w:rsid w:val="00FB7C37"/>
    <w:rsid w:val="00FC0A97"/>
    <w:rsid w:val="00FC0EC4"/>
    <w:rsid w:val="00FC12AE"/>
    <w:rsid w:val="00FC2809"/>
    <w:rsid w:val="00FC2C6D"/>
    <w:rsid w:val="00FC39A8"/>
    <w:rsid w:val="00FC3C61"/>
    <w:rsid w:val="00FC6984"/>
    <w:rsid w:val="00FD0DA5"/>
    <w:rsid w:val="00FD4B90"/>
    <w:rsid w:val="00FD5793"/>
    <w:rsid w:val="00FE0AB9"/>
    <w:rsid w:val="00FE462C"/>
    <w:rsid w:val="00FE493E"/>
    <w:rsid w:val="00FE7BFF"/>
    <w:rsid w:val="00FF00F7"/>
    <w:rsid w:val="00FF1A02"/>
    <w:rsid w:val="00FF4475"/>
    <w:rsid w:val="00FF48E5"/>
    <w:rsid w:val="00FF4CD6"/>
    <w:rsid w:val="01641AEB"/>
    <w:rsid w:val="01A544B3"/>
    <w:rsid w:val="03A253B1"/>
    <w:rsid w:val="04461F7D"/>
    <w:rsid w:val="04B901A9"/>
    <w:rsid w:val="054E1DBB"/>
    <w:rsid w:val="058B3429"/>
    <w:rsid w:val="069D1BFD"/>
    <w:rsid w:val="07160678"/>
    <w:rsid w:val="08031D58"/>
    <w:rsid w:val="09737A54"/>
    <w:rsid w:val="0983643A"/>
    <w:rsid w:val="0B923CFA"/>
    <w:rsid w:val="0B9C6927"/>
    <w:rsid w:val="0BD87FC5"/>
    <w:rsid w:val="0D242161"/>
    <w:rsid w:val="0DF736CD"/>
    <w:rsid w:val="0EB977F0"/>
    <w:rsid w:val="10817E99"/>
    <w:rsid w:val="11394FD9"/>
    <w:rsid w:val="126F08F1"/>
    <w:rsid w:val="1278441C"/>
    <w:rsid w:val="12812384"/>
    <w:rsid w:val="1435211B"/>
    <w:rsid w:val="145F77D8"/>
    <w:rsid w:val="15BF5C2B"/>
    <w:rsid w:val="16337E88"/>
    <w:rsid w:val="16640041"/>
    <w:rsid w:val="16DA0094"/>
    <w:rsid w:val="16E41182"/>
    <w:rsid w:val="179B74D6"/>
    <w:rsid w:val="17CF3BE0"/>
    <w:rsid w:val="184D4F55"/>
    <w:rsid w:val="18AF67C5"/>
    <w:rsid w:val="18C02237"/>
    <w:rsid w:val="19117A0E"/>
    <w:rsid w:val="193D6365"/>
    <w:rsid w:val="19C62176"/>
    <w:rsid w:val="1A454B70"/>
    <w:rsid w:val="1BFF2E63"/>
    <w:rsid w:val="1CCB76E7"/>
    <w:rsid w:val="1D2636D9"/>
    <w:rsid w:val="1E0850D6"/>
    <w:rsid w:val="1EF334BA"/>
    <w:rsid w:val="1F2E38E2"/>
    <w:rsid w:val="1FDB2A52"/>
    <w:rsid w:val="20A02502"/>
    <w:rsid w:val="21795D7A"/>
    <w:rsid w:val="217F6583"/>
    <w:rsid w:val="233E5D33"/>
    <w:rsid w:val="25B10985"/>
    <w:rsid w:val="263C4B36"/>
    <w:rsid w:val="26596178"/>
    <w:rsid w:val="277D350F"/>
    <w:rsid w:val="27BF5C4F"/>
    <w:rsid w:val="28ED55EE"/>
    <w:rsid w:val="2CDA29B3"/>
    <w:rsid w:val="2D5853C5"/>
    <w:rsid w:val="2D764CF9"/>
    <w:rsid w:val="2E1A39AF"/>
    <w:rsid w:val="2E390214"/>
    <w:rsid w:val="2E974889"/>
    <w:rsid w:val="322D18DC"/>
    <w:rsid w:val="32E20814"/>
    <w:rsid w:val="338243C8"/>
    <w:rsid w:val="339715FE"/>
    <w:rsid w:val="33CF6FEA"/>
    <w:rsid w:val="35214386"/>
    <w:rsid w:val="36D40C5D"/>
    <w:rsid w:val="39AE51FF"/>
    <w:rsid w:val="3AD00E6D"/>
    <w:rsid w:val="3AEA75E9"/>
    <w:rsid w:val="3B031D0B"/>
    <w:rsid w:val="3B1D688D"/>
    <w:rsid w:val="3C380388"/>
    <w:rsid w:val="3E5B6EE3"/>
    <w:rsid w:val="3E6D1878"/>
    <w:rsid w:val="3ED437FA"/>
    <w:rsid w:val="3F083C5E"/>
    <w:rsid w:val="3F124C2C"/>
    <w:rsid w:val="4000052B"/>
    <w:rsid w:val="408B066E"/>
    <w:rsid w:val="423B3A9C"/>
    <w:rsid w:val="4262727B"/>
    <w:rsid w:val="42A00E18"/>
    <w:rsid w:val="42E83C24"/>
    <w:rsid w:val="43775ACC"/>
    <w:rsid w:val="440B0F92"/>
    <w:rsid w:val="45880058"/>
    <w:rsid w:val="467A11BF"/>
    <w:rsid w:val="46B97794"/>
    <w:rsid w:val="47EC1AC1"/>
    <w:rsid w:val="480B01E7"/>
    <w:rsid w:val="495C582E"/>
    <w:rsid w:val="4A9319BA"/>
    <w:rsid w:val="4AC565F9"/>
    <w:rsid w:val="4ADF3014"/>
    <w:rsid w:val="4B30276A"/>
    <w:rsid w:val="4B9506C1"/>
    <w:rsid w:val="4CA43AB3"/>
    <w:rsid w:val="4DAB7D28"/>
    <w:rsid w:val="4E772300"/>
    <w:rsid w:val="4EFB4079"/>
    <w:rsid w:val="4F7B5D01"/>
    <w:rsid w:val="4FA06041"/>
    <w:rsid w:val="4FA94CA6"/>
    <w:rsid w:val="4FD72B74"/>
    <w:rsid w:val="50804243"/>
    <w:rsid w:val="5303653D"/>
    <w:rsid w:val="53540DE8"/>
    <w:rsid w:val="53F61FAA"/>
    <w:rsid w:val="5442715C"/>
    <w:rsid w:val="553446F7"/>
    <w:rsid w:val="560C4D9E"/>
    <w:rsid w:val="56762FC5"/>
    <w:rsid w:val="57811AFA"/>
    <w:rsid w:val="595E0345"/>
    <w:rsid w:val="599F5107"/>
    <w:rsid w:val="5A056A12"/>
    <w:rsid w:val="5A5F4374"/>
    <w:rsid w:val="5A6771B8"/>
    <w:rsid w:val="5B366DA0"/>
    <w:rsid w:val="5B8B2F47"/>
    <w:rsid w:val="5BC7720C"/>
    <w:rsid w:val="5C182A2D"/>
    <w:rsid w:val="5C4B300D"/>
    <w:rsid w:val="5D1612D9"/>
    <w:rsid w:val="5D7B53B7"/>
    <w:rsid w:val="5E8577BB"/>
    <w:rsid w:val="5F6D3989"/>
    <w:rsid w:val="61151C31"/>
    <w:rsid w:val="61F730E4"/>
    <w:rsid w:val="629848C7"/>
    <w:rsid w:val="62F658DA"/>
    <w:rsid w:val="63732F02"/>
    <w:rsid w:val="65137C7D"/>
    <w:rsid w:val="65BC6B1F"/>
    <w:rsid w:val="671C3489"/>
    <w:rsid w:val="672777C9"/>
    <w:rsid w:val="673F39E3"/>
    <w:rsid w:val="68BF24C7"/>
    <w:rsid w:val="6911669C"/>
    <w:rsid w:val="69557143"/>
    <w:rsid w:val="69787099"/>
    <w:rsid w:val="69934531"/>
    <w:rsid w:val="6AA25882"/>
    <w:rsid w:val="6D2504EA"/>
    <w:rsid w:val="6EF041FD"/>
    <w:rsid w:val="705B5E2A"/>
    <w:rsid w:val="70F47E21"/>
    <w:rsid w:val="719F05DD"/>
    <w:rsid w:val="72A0685A"/>
    <w:rsid w:val="73CF7C0D"/>
    <w:rsid w:val="76411A7C"/>
    <w:rsid w:val="767612A4"/>
    <w:rsid w:val="78276F87"/>
    <w:rsid w:val="78324A1E"/>
    <w:rsid w:val="79904FAD"/>
    <w:rsid w:val="7A454EDD"/>
    <w:rsid w:val="7AD3160C"/>
    <w:rsid w:val="7BD623FC"/>
    <w:rsid w:val="7CE3278B"/>
    <w:rsid w:val="7D70547C"/>
    <w:rsid w:val="7E4B364F"/>
    <w:rsid w:val="7E70004F"/>
    <w:rsid w:val="7F522696"/>
    <w:rsid w:val="7FA56791"/>
    <w:rsid w:val="7FD473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3">
    <w:name w:val="heading 3"/>
    <w:basedOn w:val="1"/>
    <w:next w:val="1"/>
    <w:link w:val="37"/>
    <w:semiHidden/>
    <w:unhideWhenUsed/>
    <w:qFormat/>
    <w:uiPriority w:val="9"/>
    <w:pPr>
      <w:keepNext/>
      <w:keepLines/>
      <w:spacing w:before="40"/>
      <w:outlineLvl w:val="2"/>
    </w:pPr>
    <w:rPr>
      <w:rFonts w:asciiTheme="majorHAnsi" w:hAnsiTheme="majorHAnsi" w:eastAsiaTheme="majorEastAsia" w:cstheme="majorBidi"/>
      <w:color w:val="203864" w:themeColor="accent1" w:themeShade="80"/>
      <w:sz w:val="24"/>
      <w:szCs w:val="24"/>
    </w:rPr>
  </w:style>
  <w:style w:type="character" w:default="1" w:styleId="11">
    <w:name w:val="Default Paragraph Font"/>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6"/>
    <w:unhideWhenUsed/>
    <w:qFormat/>
    <w:uiPriority w:val="99"/>
    <w:pPr>
      <w:jc w:val="left"/>
    </w:pPr>
  </w:style>
  <w:style w:type="paragraph" w:styleId="5">
    <w:name w:val="Balloon Text"/>
    <w:basedOn w:val="1"/>
    <w:link w:val="25"/>
    <w:semiHidden/>
    <w:unhideWhenUsed/>
    <w:qFormat/>
    <w:uiPriority w:val="99"/>
    <w:rPr>
      <w:sz w:val="18"/>
      <w:szCs w:val="18"/>
    </w:rPr>
  </w:style>
  <w:style w:type="paragraph" w:styleId="6">
    <w:name w:val="footer"/>
    <w:basedOn w:val="1"/>
    <w:link w:val="17"/>
    <w:unhideWhenUsed/>
    <w:qFormat/>
    <w:uiPriority w:val="99"/>
    <w:pPr>
      <w:tabs>
        <w:tab w:val="center" w:pos="4153"/>
        <w:tab w:val="right" w:pos="8306"/>
      </w:tabs>
      <w:snapToGrid w:val="0"/>
      <w:jc w:val="left"/>
    </w:pPr>
    <w:rPr>
      <w:sz w:val="18"/>
      <w:szCs w:val="18"/>
    </w:rPr>
  </w:style>
  <w:style w:type="paragraph" w:styleId="7">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spacing w:beforeAutospacing="1" w:afterAutospacing="1"/>
      <w:jc w:val="left"/>
    </w:pPr>
    <w:rPr>
      <w:rFonts w:cs="Times New Roman"/>
      <w:kern w:val="0"/>
      <w:sz w:val="24"/>
    </w:rPr>
  </w:style>
  <w:style w:type="paragraph" w:styleId="9">
    <w:name w:val="annotation subject"/>
    <w:basedOn w:val="4"/>
    <w:next w:val="4"/>
    <w:link w:val="27"/>
    <w:semiHidden/>
    <w:unhideWhenUsed/>
    <w:qFormat/>
    <w:uiPriority w:val="99"/>
    <w:rPr>
      <w:b/>
      <w:bCs/>
    </w:rPr>
  </w:style>
  <w:style w:type="character" w:styleId="12">
    <w:name w:val="Strong"/>
    <w:basedOn w:val="11"/>
    <w:qFormat/>
    <w:uiPriority w:val="22"/>
    <w:rPr>
      <w:b/>
    </w:rPr>
  </w:style>
  <w:style w:type="character" w:styleId="13">
    <w:name w:val="line number"/>
    <w:basedOn w:val="11"/>
    <w:semiHidden/>
    <w:unhideWhenUsed/>
    <w:qFormat/>
    <w:uiPriority w:val="99"/>
  </w:style>
  <w:style w:type="character" w:styleId="14">
    <w:name w:val="Hyperlink"/>
    <w:basedOn w:val="11"/>
    <w:unhideWhenUsed/>
    <w:qFormat/>
    <w:uiPriority w:val="99"/>
    <w:rPr>
      <w:color w:val="0563C1" w:themeColor="hyperlink"/>
      <w:u w:val="single"/>
      <w14:textFill>
        <w14:solidFill>
          <w14:schemeClr w14:val="hlink"/>
        </w14:solidFill>
      </w14:textFill>
    </w:rPr>
  </w:style>
  <w:style w:type="character" w:styleId="15">
    <w:name w:val="annotation reference"/>
    <w:basedOn w:val="11"/>
    <w:semiHidden/>
    <w:unhideWhenUsed/>
    <w:qFormat/>
    <w:uiPriority w:val="99"/>
    <w:rPr>
      <w:sz w:val="21"/>
      <w:szCs w:val="21"/>
    </w:rPr>
  </w:style>
  <w:style w:type="character" w:customStyle="1" w:styleId="16">
    <w:name w:val="Header Char"/>
    <w:basedOn w:val="11"/>
    <w:link w:val="7"/>
    <w:qFormat/>
    <w:uiPriority w:val="99"/>
    <w:rPr>
      <w:sz w:val="18"/>
      <w:szCs w:val="18"/>
    </w:rPr>
  </w:style>
  <w:style w:type="character" w:customStyle="1" w:styleId="17">
    <w:name w:val="Footer Char"/>
    <w:basedOn w:val="11"/>
    <w:link w:val="6"/>
    <w:qFormat/>
    <w:uiPriority w:val="99"/>
    <w:rPr>
      <w:sz w:val="18"/>
      <w:szCs w:val="18"/>
    </w:rPr>
  </w:style>
  <w:style w:type="character" w:customStyle="1" w:styleId="18">
    <w:name w:val="未处理的提及1"/>
    <w:basedOn w:val="11"/>
    <w:semiHidden/>
    <w:unhideWhenUsed/>
    <w:qFormat/>
    <w:uiPriority w:val="99"/>
    <w:rPr>
      <w:color w:val="605E5C"/>
      <w:shd w:val="clear" w:color="auto" w:fill="E1DFDD"/>
    </w:rPr>
  </w:style>
  <w:style w:type="character" w:customStyle="1" w:styleId="19">
    <w:name w:val="fontstyle01"/>
    <w:basedOn w:val="11"/>
    <w:qFormat/>
    <w:uiPriority w:val="0"/>
    <w:rPr>
      <w:rFonts w:hint="default" w:ascii="Calibri-Bold" w:hAnsi="Calibri-Bold"/>
      <w:b/>
      <w:bCs/>
      <w:color w:val="000000"/>
      <w:sz w:val="24"/>
      <w:szCs w:val="24"/>
    </w:rPr>
  </w:style>
  <w:style w:type="paragraph" w:customStyle="1" w:styleId="20">
    <w:name w:val="EndNote Bibliography Title"/>
    <w:basedOn w:val="1"/>
    <w:link w:val="21"/>
    <w:qFormat/>
    <w:uiPriority w:val="0"/>
    <w:pPr>
      <w:jc w:val="center"/>
    </w:pPr>
    <w:rPr>
      <w:rFonts w:hint="eastAsia" w:ascii="等线" w:hAnsi="等线" w:eastAsia="等线" w:cs="等线"/>
      <w:sz w:val="20"/>
    </w:rPr>
  </w:style>
  <w:style w:type="character" w:customStyle="1" w:styleId="21">
    <w:name w:val="EndNote Bibliography Title 字符"/>
    <w:basedOn w:val="11"/>
    <w:link w:val="20"/>
    <w:qFormat/>
    <w:uiPriority w:val="0"/>
    <w:rPr>
      <w:rFonts w:ascii="等线" w:hAnsi="等线" w:eastAsia="等线" w:cs="等线"/>
      <w:kern w:val="2"/>
      <w:szCs w:val="22"/>
    </w:rPr>
  </w:style>
  <w:style w:type="paragraph" w:customStyle="1" w:styleId="22">
    <w:name w:val="EndNote Bibliography"/>
    <w:basedOn w:val="1"/>
    <w:link w:val="23"/>
    <w:qFormat/>
    <w:uiPriority w:val="0"/>
    <w:rPr>
      <w:rFonts w:hint="eastAsia" w:ascii="等线" w:hAnsi="等线" w:eastAsia="等线" w:cs="等线"/>
      <w:sz w:val="20"/>
    </w:rPr>
  </w:style>
  <w:style w:type="character" w:customStyle="1" w:styleId="23">
    <w:name w:val="EndNote Bibliography 字符"/>
    <w:basedOn w:val="11"/>
    <w:link w:val="22"/>
    <w:qFormat/>
    <w:uiPriority w:val="0"/>
    <w:rPr>
      <w:rFonts w:ascii="等线" w:hAnsi="等线" w:eastAsia="等线" w:cs="等线"/>
      <w:kern w:val="2"/>
      <w:szCs w:val="22"/>
    </w:rPr>
  </w:style>
  <w:style w:type="paragraph" w:customStyle="1" w:styleId="24">
    <w:name w:val="修订1"/>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25">
    <w:name w:val="Balloon Text Char"/>
    <w:basedOn w:val="11"/>
    <w:link w:val="5"/>
    <w:semiHidden/>
    <w:qFormat/>
    <w:uiPriority w:val="99"/>
    <w:rPr>
      <w:sz w:val="18"/>
      <w:szCs w:val="18"/>
    </w:rPr>
  </w:style>
  <w:style w:type="character" w:customStyle="1" w:styleId="26">
    <w:name w:val="Comment Text Char"/>
    <w:basedOn w:val="11"/>
    <w:link w:val="4"/>
    <w:qFormat/>
    <w:uiPriority w:val="99"/>
  </w:style>
  <w:style w:type="character" w:customStyle="1" w:styleId="27">
    <w:name w:val="Comment Subject Char"/>
    <w:basedOn w:val="26"/>
    <w:link w:val="9"/>
    <w:semiHidden/>
    <w:qFormat/>
    <w:uiPriority w:val="99"/>
    <w:rPr>
      <w:b/>
      <w:bCs/>
    </w:rPr>
  </w:style>
  <w:style w:type="paragraph" w:styleId="28">
    <w:name w:val="List Paragraph"/>
    <w:basedOn w:val="1"/>
    <w:qFormat/>
    <w:uiPriority w:val="34"/>
    <w:pPr>
      <w:ind w:firstLine="420" w:firstLineChars="200"/>
    </w:pPr>
  </w:style>
  <w:style w:type="character" w:customStyle="1" w:styleId="29">
    <w:name w:val="Heading 1 Char"/>
    <w:basedOn w:val="11"/>
    <w:link w:val="2"/>
    <w:qFormat/>
    <w:uiPriority w:val="9"/>
    <w:rPr>
      <w:b/>
      <w:bCs/>
      <w:kern w:val="44"/>
      <w:sz w:val="44"/>
      <w:szCs w:val="44"/>
    </w:rPr>
  </w:style>
  <w:style w:type="character" w:customStyle="1" w:styleId="30">
    <w:name w:val="未处理的提及2"/>
    <w:basedOn w:val="11"/>
    <w:semiHidden/>
    <w:unhideWhenUsed/>
    <w:qFormat/>
    <w:uiPriority w:val="99"/>
    <w:rPr>
      <w:color w:val="605E5C"/>
      <w:shd w:val="clear" w:color="auto" w:fill="E1DFDD"/>
    </w:rPr>
  </w:style>
  <w:style w:type="character" w:customStyle="1" w:styleId="31">
    <w:name w:val="未处理的提及3"/>
    <w:basedOn w:val="11"/>
    <w:semiHidden/>
    <w:unhideWhenUsed/>
    <w:qFormat/>
    <w:uiPriority w:val="99"/>
    <w:rPr>
      <w:color w:val="605E5C"/>
      <w:shd w:val="clear" w:color="auto" w:fill="E1DFDD"/>
    </w:rPr>
  </w:style>
  <w:style w:type="character" w:styleId="32">
    <w:name w:val="Placeholder Text"/>
    <w:basedOn w:val="11"/>
    <w:unhideWhenUsed/>
    <w:qFormat/>
    <w:uiPriority w:val="99"/>
    <w:rPr>
      <w:color w:val="666666"/>
    </w:rPr>
  </w:style>
  <w:style w:type="character" w:customStyle="1" w:styleId="33">
    <w:name w:val="未处理的提及4"/>
    <w:basedOn w:val="11"/>
    <w:semiHidden/>
    <w:unhideWhenUsed/>
    <w:qFormat/>
    <w:uiPriority w:val="99"/>
    <w:rPr>
      <w:color w:val="605E5C"/>
      <w:shd w:val="clear" w:color="auto" w:fill="E1DFDD"/>
    </w:rPr>
  </w:style>
  <w:style w:type="character" w:customStyle="1" w:styleId="34">
    <w:name w:val="未处理的提及5"/>
    <w:basedOn w:val="11"/>
    <w:semiHidden/>
    <w:unhideWhenUsed/>
    <w:qFormat/>
    <w:uiPriority w:val="99"/>
    <w:rPr>
      <w:color w:val="605E5C"/>
      <w:shd w:val="clear" w:color="auto" w:fill="E1DFDD"/>
    </w:rPr>
  </w:style>
  <w:style w:type="paragraph" w:customStyle="1" w:styleId="35">
    <w:name w:val="修订2"/>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36">
    <w:name w:val="Unresolved Mention"/>
    <w:basedOn w:val="11"/>
    <w:semiHidden/>
    <w:unhideWhenUsed/>
    <w:qFormat/>
    <w:uiPriority w:val="99"/>
    <w:rPr>
      <w:color w:val="605E5C"/>
      <w:shd w:val="clear" w:color="auto" w:fill="E1DFDD"/>
    </w:rPr>
  </w:style>
  <w:style w:type="character" w:customStyle="1" w:styleId="37">
    <w:name w:val="Heading 3 Char"/>
    <w:basedOn w:val="11"/>
    <w:link w:val="3"/>
    <w:semiHidden/>
    <w:qFormat/>
    <w:uiPriority w:val="9"/>
    <w:rPr>
      <w:rFonts w:asciiTheme="majorHAnsi" w:hAnsiTheme="majorHAnsi" w:eastAsiaTheme="majorEastAsia" w:cstheme="majorBidi"/>
      <w:color w:val="203864" w:themeColor="accent1" w:themeShade="80"/>
      <w:kern w:val="2"/>
      <w:sz w:val="24"/>
      <w:szCs w:val="24"/>
      <w:lang w:eastAsia="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3D7755-C236-45BE-807F-D79832681395}">
  <ds:schemaRefs/>
</ds:datastoreItem>
</file>

<file path=docProps/app.xml><?xml version="1.0" encoding="utf-8"?>
<Properties xmlns="http://schemas.openxmlformats.org/officeDocument/2006/extended-properties" xmlns:vt="http://schemas.openxmlformats.org/officeDocument/2006/docPropsVTypes">
  <Template>Normal</Template>
  <Pages>10</Pages>
  <Words>3404</Words>
  <Characters>19990</Characters>
  <Lines>199</Lines>
  <Paragraphs>56</Paragraphs>
  <TotalTime>6</TotalTime>
  <ScaleCrop>false</ScaleCrop>
  <LinksUpToDate>false</LinksUpToDate>
  <CharactersWithSpaces>23326</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2026-04-20T11:52:00Z</dcterms:created>
  <dcterms:modified xsi:type="dcterms:W3CDTF">2026-04-25T02:29:35Z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eyJoZGlkIjoiOGUwNTJiNTU3ZDNlZmU2NTY3NGJjMDJhZTE2MjdmZGUiLCJ1c2VySWQiOiI2MjgyNzkxMjQifQ==</vt:lpwstr>
  </property>
  <property fmtid="{D5CDD505-2E9C-101B-9397-08002B2CF9AE}" pid="3" name="KSOProductBuildVer">
    <vt:lpwstr>2052-12.1.0.25865</vt:lpwstr>
  </property>
  <property fmtid="{D5CDD505-2E9C-101B-9397-08002B2CF9AE}" pid="4" name="ICV">
    <vt:lpwstr>4458AE042B2544F09245D2BA5B12BCCB_12</vt:lpwstr>
  </property>
  <property fmtid="{D5CDD505-2E9C-101B-9397-08002B2CF9AE}" pid="5" name="GrammarlyDocumentId">
    <vt:lpwstr>6c6a34da-5aa9-4fe1-9da0-c8a9fef493a4</vt:lpwstr>
  </property>
</Properties>
</file>