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77777777" w:rsidR="009F58C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71082</w:t>
      </w:r>
    </w:p>
    <w:p w14:paraId="2F6924E5" w14:textId="77777777" w:rsidR="009F58C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Pallavi Sharma</w:t>
      </w:r>
    </w:p>
    <w:p w14:paraId="6FB9233B" w14:textId="77777777" w:rsidR="009F58C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F58C0">
          <w:rPr>
            <w:rStyle w:val="Hyperlink"/>
            <w:rFonts w:eastAsia="Times New Roman" w:cstheme="minorHAnsi"/>
            <w:b/>
          </w:rPr>
          <w:t>https://review.jove.com/account/file-uploader?src=21680058</w:t>
        </w:r>
      </w:hyperlink>
    </w:p>
    <w:p w14:paraId="2C89778F" w14:textId="77777777" w:rsidR="009F58C0" w:rsidRDefault="009F58C0">
      <w:pPr>
        <w:outlineLvl w:val="0"/>
        <w:rPr>
          <w:rFonts w:eastAsia="Times New Roman" w:cstheme="minorHAnsi"/>
          <w:b/>
        </w:rPr>
      </w:pPr>
    </w:p>
    <w:p w14:paraId="475CFBF6" w14:textId="77777777" w:rsidR="009F58C0" w:rsidRDefault="00000000">
      <w:pPr>
        <w:rPr>
          <w:b/>
          <w:bCs/>
          <w:sz w:val="32"/>
          <w:szCs w:val="32"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b/>
          <w:bCs/>
          <w:sz w:val="32"/>
          <w:szCs w:val="32"/>
        </w:rPr>
        <w:t>Improving Thermoelectric Properties of Bi</w:t>
      </w:r>
      <w:r>
        <w:rPr>
          <w:b/>
          <w:bCs/>
          <w:sz w:val="32"/>
          <w:szCs w:val="32"/>
          <w:vertAlign w:val="subscript"/>
        </w:rPr>
        <w:t>2</w:t>
      </w:r>
      <w:r>
        <w:rPr>
          <w:b/>
          <w:bCs/>
          <w:sz w:val="32"/>
          <w:szCs w:val="32"/>
        </w:rPr>
        <w:t>Te</w:t>
      </w:r>
      <w:r>
        <w:rPr>
          <w:b/>
          <w:bCs/>
          <w:sz w:val="32"/>
          <w:szCs w:val="32"/>
          <w:vertAlign w:val="subscript"/>
        </w:rPr>
        <w:t>3</w:t>
      </w:r>
      <w:r>
        <w:rPr>
          <w:b/>
          <w:bCs/>
          <w:sz w:val="32"/>
          <w:szCs w:val="32"/>
        </w:rPr>
        <w:t xml:space="preserve"> Thin Films by Manganese Co-Sputtering</w:t>
      </w:r>
    </w:p>
    <w:p w14:paraId="30BC7CCC" w14:textId="77777777" w:rsidR="009F58C0" w:rsidRDefault="009F58C0">
      <w:pPr>
        <w:outlineLvl w:val="0"/>
        <w:rPr>
          <w:rFonts w:eastAsia="Times New Roman" w:cstheme="minorHAnsi"/>
          <w:b/>
          <w:bCs/>
          <w:sz w:val="32"/>
          <w:szCs w:val="32"/>
        </w:rPr>
      </w:pPr>
    </w:p>
    <w:p w14:paraId="4A0C5B67" w14:textId="77777777" w:rsidR="009F58C0" w:rsidRDefault="009F58C0">
      <w:pPr>
        <w:outlineLvl w:val="0"/>
        <w:rPr>
          <w:rFonts w:eastAsia="Times New Roman" w:cstheme="minorHAnsi"/>
          <w:b/>
        </w:rPr>
      </w:pPr>
    </w:p>
    <w:p w14:paraId="571B4839" w14:textId="77777777" w:rsidR="009F58C0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AAD78D6" w14:textId="77777777" w:rsidR="009F58C0" w:rsidRDefault="00000000">
      <w:pPr>
        <w:rPr>
          <w:sz w:val="28"/>
          <w:szCs w:val="28"/>
        </w:rPr>
      </w:pPr>
      <w:r>
        <w:rPr>
          <w:sz w:val="28"/>
          <w:szCs w:val="28"/>
        </w:rPr>
        <w:t>Angella Th’ng</w:t>
      </w:r>
      <w:proofErr w:type="gramStart"/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  <w:lang w:val="en-MY"/>
        </w:rPr>
        <w:t>#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Nurfarhana</w:t>
      </w:r>
      <w:proofErr w:type="spellEnd"/>
      <w:r>
        <w:rPr>
          <w:sz w:val="28"/>
          <w:szCs w:val="28"/>
        </w:rPr>
        <w:t xml:space="preserve"> Ahmad Musri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Puvaneswaran</w:t>
      </w:r>
      <w:proofErr w:type="spellEnd"/>
      <w:r>
        <w:rPr>
          <w:sz w:val="28"/>
          <w:szCs w:val="28"/>
        </w:rPr>
        <w:t xml:space="preserve"> Chelvanathan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Mohd </w:t>
      </w:r>
      <w:proofErr w:type="spellStart"/>
      <w:r>
        <w:rPr>
          <w:sz w:val="28"/>
          <w:szCs w:val="28"/>
        </w:rPr>
        <w:t>Sukor</w:t>
      </w:r>
      <w:proofErr w:type="spellEnd"/>
      <w:r>
        <w:rPr>
          <w:sz w:val="28"/>
          <w:szCs w:val="28"/>
        </w:rPr>
        <w:t xml:space="preserve"> Su’ait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Nadhrah</w:t>
      </w:r>
      <w:proofErr w:type="spellEnd"/>
      <w:r>
        <w:rPr>
          <w:sz w:val="28"/>
          <w:szCs w:val="28"/>
        </w:rPr>
        <w:t xml:space="preserve"> Md Yatim</w:t>
      </w:r>
      <w:r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Assayidatul</w:t>
      </w:r>
      <w:proofErr w:type="spellEnd"/>
      <w:r>
        <w:rPr>
          <w:sz w:val="28"/>
          <w:szCs w:val="28"/>
        </w:rPr>
        <w:t xml:space="preserve"> Laila </w:t>
      </w:r>
      <w:proofErr w:type="gramStart"/>
      <w:r>
        <w:rPr>
          <w:sz w:val="28"/>
          <w:szCs w:val="28"/>
        </w:rPr>
        <w:t>Nor</w:t>
      </w:r>
      <w:proofErr w:type="gramEnd"/>
      <w:r>
        <w:rPr>
          <w:sz w:val="28"/>
          <w:szCs w:val="28"/>
        </w:rPr>
        <w:t xml:space="preserve"> Hairin</w:t>
      </w:r>
      <w:r>
        <w:rPr>
          <w:sz w:val="28"/>
          <w:szCs w:val="28"/>
          <w:vertAlign w:val="superscript"/>
        </w:rPr>
        <w:t>3</w:t>
      </w:r>
      <w:r>
        <w:rPr>
          <w:sz w:val="28"/>
          <w:szCs w:val="28"/>
        </w:rPr>
        <w:t>, Ubaidah Syafiq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  <w:vertAlign w:val="superscript"/>
          <w:lang w:val="en-MY"/>
        </w:rPr>
        <w:t>#</w:t>
      </w:r>
    </w:p>
    <w:p w14:paraId="5C017B00" w14:textId="77777777" w:rsidR="009F58C0" w:rsidRDefault="009F58C0">
      <w:pPr>
        <w:rPr>
          <w:sz w:val="28"/>
          <w:szCs w:val="28"/>
        </w:rPr>
      </w:pPr>
    </w:p>
    <w:p w14:paraId="3FD89B9C" w14:textId="77777777" w:rsidR="009F58C0" w:rsidRDefault="00000000">
      <w:pPr>
        <w:rPr>
          <w:rFonts w:asciiTheme="majorHAnsi" w:hAnsiTheme="majorHAnsi"/>
          <w:sz w:val="28"/>
          <w:szCs w:val="28"/>
          <w:lang w:val="en-MY"/>
        </w:rPr>
      </w:pPr>
      <w:r>
        <w:rPr>
          <w:rFonts w:asciiTheme="majorHAnsi" w:hAnsiTheme="majorHAnsi"/>
          <w:sz w:val="28"/>
          <w:szCs w:val="28"/>
          <w:vertAlign w:val="superscript"/>
        </w:rPr>
        <w:t>1</w:t>
      </w:r>
      <w:r>
        <w:rPr>
          <w:rFonts w:asciiTheme="majorHAnsi" w:hAnsiTheme="majorHAnsi"/>
          <w:sz w:val="28"/>
          <w:szCs w:val="28"/>
        </w:rPr>
        <w:t>Solar Energy Research Institute</w:t>
      </w:r>
      <w:r>
        <w:rPr>
          <w:rFonts w:asciiTheme="majorHAnsi" w:hAnsiTheme="majorHAnsi"/>
          <w:sz w:val="28"/>
          <w:szCs w:val="28"/>
          <w:lang w:val="en-MY"/>
        </w:rPr>
        <w:t xml:space="preserve"> (SERI)</w:t>
      </w:r>
      <w:r>
        <w:rPr>
          <w:rFonts w:asciiTheme="majorHAnsi" w:hAnsiTheme="majorHAnsi"/>
          <w:sz w:val="28"/>
          <w:szCs w:val="28"/>
        </w:rPr>
        <w:t xml:space="preserve">, Universiti </w:t>
      </w:r>
      <w:proofErr w:type="spellStart"/>
      <w:r>
        <w:rPr>
          <w:rFonts w:asciiTheme="majorHAnsi" w:hAnsiTheme="majorHAnsi"/>
          <w:sz w:val="28"/>
          <w:szCs w:val="28"/>
        </w:rPr>
        <w:t>Kebangsaan</w:t>
      </w:r>
      <w:proofErr w:type="spellEnd"/>
      <w:r>
        <w:rPr>
          <w:rFonts w:asciiTheme="majorHAnsi" w:hAnsiTheme="majorHAnsi"/>
          <w:sz w:val="28"/>
          <w:szCs w:val="28"/>
        </w:rPr>
        <w:t xml:space="preserve"> Malaysia</w:t>
      </w:r>
    </w:p>
    <w:p w14:paraId="73D68157" w14:textId="77777777" w:rsidR="009F58C0" w:rsidRDefault="00000000">
      <w:pPr>
        <w:rPr>
          <w:rFonts w:asciiTheme="majorHAnsi" w:hAnsiTheme="majorHAnsi"/>
          <w:sz w:val="28"/>
          <w:szCs w:val="28"/>
          <w:lang w:val="en-MY"/>
        </w:rPr>
      </w:pPr>
      <w:r>
        <w:rPr>
          <w:rFonts w:asciiTheme="majorHAnsi" w:hAnsiTheme="majorHAnsi"/>
          <w:sz w:val="28"/>
          <w:szCs w:val="28"/>
          <w:vertAlign w:val="superscript"/>
        </w:rPr>
        <w:t>2</w:t>
      </w:r>
      <w:r>
        <w:rPr>
          <w:rFonts w:asciiTheme="majorHAnsi" w:hAnsiTheme="majorHAnsi"/>
          <w:sz w:val="28"/>
          <w:szCs w:val="28"/>
        </w:rPr>
        <w:t>Faculty of Science and Technology, Universiti Sains Islam Malaysia</w:t>
      </w:r>
    </w:p>
    <w:p w14:paraId="072CE65D" w14:textId="77777777" w:rsidR="009F58C0" w:rsidRDefault="00000000">
      <w:pPr>
        <w:rPr>
          <w:rFonts w:asciiTheme="majorHAnsi" w:hAnsiTheme="majorHAnsi"/>
          <w:sz w:val="28"/>
          <w:szCs w:val="28"/>
          <w:lang w:val="en-MY"/>
        </w:rPr>
      </w:pPr>
      <w:r>
        <w:rPr>
          <w:rFonts w:asciiTheme="majorHAnsi" w:hAnsiTheme="majorHAnsi"/>
          <w:sz w:val="28"/>
          <w:szCs w:val="28"/>
          <w:vertAlign w:val="superscript"/>
        </w:rPr>
        <w:t>3</w:t>
      </w:r>
      <w:r>
        <w:rPr>
          <w:rFonts w:asciiTheme="majorHAnsi" w:hAnsiTheme="majorHAnsi"/>
          <w:sz w:val="28"/>
          <w:szCs w:val="28"/>
        </w:rPr>
        <w:t>Department of Manufacturing and Materials Engineering, Kulliyyah of Engineering, International Islamic University Malaysia</w:t>
      </w:r>
    </w:p>
    <w:p w14:paraId="33CD999C" w14:textId="77777777" w:rsidR="009F58C0" w:rsidRDefault="009F58C0">
      <w:pPr>
        <w:outlineLvl w:val="0"/>
        <w:rPr>
          <w:rFonts w:eastAsia="Times New Roman" w:cstheme="minorHAnsi"/>
          <w:b/>
          <w:sz w:val="28"/>
          <w:szCs w:val="28"/>
          <w:lang w:val="en-MY"/>
        </w:rPr>
      </w:pPr>
    </w:p>
    <w:p w14:paraId="4FDD3434" w14:textId="77777777" w:rsidR="009F58C0" w:rsidRDefault="009F58C0">
      <w:pPr>
        <w:outlineLvl w:val="0"/>
        <w:rPr>
          <w:rFonts w:eastAsia="Times New Roman" w:cstheme="minorHAnsi"/>
        </w:rPr>
      </w:pPr>
    </w:p>
    <w:p w14:paraId="74288581" w14:textId="77777777" w:rsidR="009F58C0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34"/>
        <w:gridCol w:w="4726"/>
      </w:tblGrid>
      <w:tr w:rsidR="009F58C0" w14:paraId="34181F1E" w14:textId="77777777">
        <w:tc>
          <w:tcPr>
            <w:tcW w:w="4634" w:type="dxa"/>
          </w:tcPr>
          <w:p w14:paraId="79387E14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bookmarkStart w:id="0" w:name="_Hlk25233958"/>
            <w:r>
              <w:rPr>
                <w:rFonts w:eastAsia="SimSun" w:cstheme="minorHAnsi"/>
                <w:lang w:val="en-MY" w:eastAsia="en-MY"/>
              </w:rPr>
              <w:t>Ubaidah Syafiq</w:t>
            </w:r>
          </w:p>
        </w:tc>
        <w:tc>
          <w:tcPr>
            <w:tcW w:w="4726" w:type="dxa"/>
          </w:tcPr>
          <w:p w14:paraId="0749C506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(ubaidahsyafiq@ukm.edu.my)</w:t>
            </w:r>
          </w:p>
        </w:tc>
      </w:tr>
      <w:tr w:rsidR="009F58C0" w14:paraId="488911A8" w14:textId="77777777">
        <w:tc>
          <w:tcPr>
            <w:tcW w:w="4634" w:type="dxa"/>
          </w:tcPr>
          <w:p w14:paraId="1C6E949F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 xml:space="preserve">Angella </w:t>
            </w:r>
            <w:proofErr w:type="spellStart"/>
            <w:r>
              <w:rPr>
                <w:rFonts w:eastAsia="SimSun" w:cstheme="minorHAnsi"/>
                <w:lang w:val="en-MY" w:eastAsia="en-MY"/>
              </w:rPr>
              <w:t>Th’ng</w:t>
            </w:r>
            <w:proofErr w:type="spellEnd"/>
          </w:p>
        </w:tc>
        <w:tc>
          <w:tcPr>
            <w:tcW w:w="4726" w:type="dxa"/>
          </w:tcPr>
          <w:p w14:paraId="59485F9E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(p153906@siswa.ukm.edu.my)</w:t>
            </w:r>
          </w:p>
        </w:tc>
      </w:tr>
    </w:tbl>
    <w:p w14:paraId="5196A52A" w14:textId="77777777" w:rsidR="009F58C0" w:rsidRDefault="009F58C0">
      <w:pPr>
        <w:outlineLvl w:val="0"/>
        <w:rPr>
          <w:rFonts w:eastAsia="Times New Roman" w:cstheme="minorHAnsi"/>
          <w:lang w:val="en-MY"/>
        </w:rPr>
      </w:pPr>
    </w:p>
    <w:p w14:paraId="70FFA58B" w14:textId="77777777" w:rsidR="009F58C0" w:rsidRDefault="009F58C0">
      <w:pPr>
        <w:outlineLvl w:val="0"/>
        <w:rPr>
          <w:rFonts w:eastAsia="Times New Roman" w:cstheme="minorHAnsi"/>
        </w:rPr>
      </w:pPr>
    </w:p>
    <w:p w14:paraId="1B4B2D7A" w14:textId="77777777" w:rsidR="009F58C0" w:rsidRDefault="009F58C0">
      <w:pPr>
        <w:outlineLvl w:val="0"/>
        <w:rPr>
          <w:rFonts w:eastAsia="Times New Roman" w:cstheme="minorHAnsi"/>
        </w:rPr>
      </w:pPr>
    </w:p>
    <w:p w14:paraId="2E1C6668" w14:textId="77777777" w:rsidR="009F58C0" w:rsidRDefault="00000000">
      <w:pPr>
        <w:outlineLvl w:val="0"/>
        <w:rPr>
          <w:rFonts w:eastAsia="Times New Roman" w:cstheme="minorHAnsi"/>
        </w:rPr>
      </w:pPr>
      <w:proofErr w:type="gramStart"/>
      <w:r>
        <w:rPr>
          <w:rFonts w:eastAsia="Times New Roman" w:cstheme="minorHAnsi"/>
          <w:b/>
        </w:rPr>
        <w:t>Email Addresses</w:t>
      </w:r>
      <w:proofErr w:type="gramEnd"/>
      <w:r>
        <w:rPr>
          <w:rFonts w:eastAsia="Times New Roman" w:cstheme="minorHAnsi"/>
          <w:b/>
        </w:rPr>
        <w:t xml:space="preserve"> for All Authors:</w:t>
      </w:r>
      <w:r>
        <w:rPr>
          <w:rFonts w:eastAsia="Times New Roman" w:cstheme="minorHAnsi"/>
        </w:rPr>
        <w:t xml:space="preserve"> </w:t>
      </w:r>
    </w:p>
    <w:bookmarkEnd w:id="0"/>
    <w:p w14:paraId="12916965" w14:textId="77777777" w:rsidR="009F58C0" w:rsidRDefault="009F58C0">
      <w:pPr>
        <w:outlineLvl w:val="0"/>
        <w:rPr>
          <w:rFonts w:cstheme="minorHAnsi"/>
          <w:b/>
          <w:sz w:val="22"/>
          <w:szCs w:val="22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08" w:type="dxa"/>
          <w:right w:w="108" w:type="dxa"/>
        </w:tblCellMar>
        <w:tblLook w:val="04A0" w:firstRow="1" w:lastRow="0" w:firstColumn="1" w:lastColumn="0" w:noHBand="0" w:noVBand="1"/>
      </w:tblPr>
      <w:tblGrid>
        <w:gridCol w:w="4635"/>
        <w:gridCol w:w="4725"/>
      </w:tblGrid>
      <w:tr w:rsidR="009F58C0" w14:paraId="5914F103" w14:textId="77777777">
        <w:tc>
          <w:tcPr>
            <w:tcW w:w="4638" w:type="dxa"/>
          </w:tcPr>
          <w:p w14:paraId="3168BBC3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proofErr w:type="spellStart"/>
            <w:r>
              <w:rPr>
                <w:rFonts w:eastAsia="SimSun" w:cstheme="minorHAnsi"/>
                <w:lang w:val="en-MY" w:eastAsia="en-MY"/>
              </w:rPr>
              <w:t>Nurfarhana</w:t>
            </w:r>
            <w:proofErr w:type="spellEnd"/>
            <w:r>
              <w:rPr>
                <w:rFonts w:eastAsia="SimSun" w:cstheme="minorHAnsi"/>
                <w:lang w:val="en-MY" w:eastAsia="en-MY"/>
              </w:rPr>
              <w:t xml:space="preserve"> Ahmad Musri</w:t>
            </w:r>
          </w:p>
        </w:tc>
        <w:tc>
          <w:tcPr>
            <w:tcW w:w="4722" w:type="dxa"/>
          </w:tcPr>
          <w:p w14:paraId="19F7F8EA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(farhanamusri@gmail.com)</w:t>
            </w:r>
          </w:p>
        </w:tc>
      </w:tr>
      <w:tr w:rsidR="009F58C0" w14:paraId="71B84194" w14:textId="77777777">
        <w:tc>
          <w:tcPr>
            <w:tcW w:w="4638" w:type="dxa"/>
          </w:tcPr>
          <w:p w14:paraId="136EEF49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proofErr w:type="spellStart"/>
            <w:r>
              <w:rPr>
                <w:rFonts w:eastAsia="SimSun" w:cstheme="minorHAnsi"/>
                <w:lang w:val="en-MY" w:eastAsia="en-MY"/>
              </w:rPr>
              <w:t>Puvaneswaran</w:t>
            </w:r>
            <w:proofErr w:type="spellEnd"/>
            <w:r>
              <w:rPr>
                <w:rFonts w:eastAsia="SimSun" w:cstheme="minorHAnsi"/>
                <w:lang w:val="en-MY" w:eastAsia="en-MY"/>
              </w:rPr>
              <w:t xml:space="preserve"> </w:t>
            </w:r>
            <w:proofErr w:type="spellStart"/>
            <w:r>
              <w:rPr>
                <w:rFonts w:eastAsia="SimSun" w:cstheme="minorHAnsi"/>
                <w:lang w:val="en-MY" w:eastAsia="en-MY"/>
              </w:rPr>
              <w:t>Chelvanathan</w:t>
            </w:r>
            <w:proofErr w:type="spellEnd"/>
          </w:p>
        </w:tc>
        <w:tc>
          <w:tcPr>
            <w:tcW w:w="4722" w:type="dxa"/>
          </w:tcPr>
          <w:p w14:paraId="21DE8C47" w14:textId="77777777" w:rsidR="009F58C0" w:rsidRDefault="00000000">
            <w:pPr>
              <w:rPr>
                <w:rFonts w:eastAsia="SimSun" w:cstheme="minorHAnsi"/>
                <w:color w:val="auto"/>
                <w:lang w:val="en-MY" w:eastAsia="en-MY"/>
              </w:rPr>
            </w:pPr>
            <w:r>
              <w:rPr>
                <w:rFonts w:eastAsia="SimSun" w:cstheme="minorHAnsi"/>
                <w:color w:val="auto"/>
                <w:lang w:val="en-MY" w:eastAsia="en-MY"/>
              </w:rPr>
              <w:t>(</w:t>
            </w:r>
            <w:r>
              <w:rPr>
                <w:rFonts w:eastAsia="Century Gothic" w:cstheme="minorHAnsi"/>
                <w:color w:val="auto"/>
                <w:shd w:val="clear" w:color="auto" w:fill="FFFFFF"/>
                <w:lang w:val="en-MY" w:eastAsia="en-MY"/>
              </w:rPr>
              <w:t>cpuvaneswaran@ukm.edu.my)</w:t>
            </w:r>
          </w:p>
        </w:tc>
      </w:tr>
      <w:tr w:rsidR="009F58C0" w14:paraId="6AA5DA8B" w14:textId="77777777">
        <w:tc>
          <w:tcPr>
            <w:tcW w:w="4638" w:type="dxa"/>
          </w:tcPr>
          <w:p w14:paraId="44B8B709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 xml:space="preserve">Mohd </w:t>
            </w:r>
            <w:proofErr w:type="spellStart"/>
            <w:r>
              <w:rPr>
                <w:rFonts w:eastAsia="SimSun" w:cstheme="minorHAnsi"/>
                <w:lang w:val="en-MY" w:eastAsia="en-MY"/>
              </w:rPr>
              <w:t>Sukor</w:t>
            </w:r>
            <w:proofErr w:type="spellEnd"/>
            <w:r>
              <w:rPr>
                <w:rFonts w:eastAsia="SimSun" w:cstheme="minorHAnsi"/>
                <w:lang w:val="en-MY" w:eastAsia="en-MY"/>
              </w:rPr>
              <w:t xml:space="preserve"> </w:t>
            </w:r>
            <w:proofErr w:type="spellStart"/>
            <w:r>
              <w:rPr>
                <w:rFonts w:eastAsia="SimSun" w:cstheme="minorHAnsi"/>
                <w:lang w:val="en-MY" w:eastAsia="en-MY"/>
              </w:rPr>
              <w:t>Su’ait</w:t>
            </w:r>
            <w:proofErr w:type="spellEnd"/>
          </w:p>
        </w:tc>
        <w:tc>
          <w:tcPr>
            <w:tcW w:w="4722" w:type="dxa"/>
          </w:tcPr>
          <w:p w14:paraId="7D52C03D" w14:textId="77777777" w:rsidR="009F58C0" w:rsidRDefault="00000000">
            <w:pPr>
              <w:rPr>
                <w:rFonts w:eastAsia="SimSun" w:cstheme="minorHAnsi"/>
                <w:color w:val="auto"/>
                <w:lang w:val="en-MY" w:eastAsia="en-MY"/>
              </w:rPr>
            </w:pPr>
            <w:r>
              <w:rPr>
                <w:rFonts w:eastAsia="SimSun" w:cstheme="minorHAnsi"/>
                <w:color w:val="auto"/>
                <w:lang w:val="en-MY" w:eastAsia="en-MY"/>
              </w:rPr>
              <w:t>(</w:t>
            </w:r>
            <w:r>
              <w:rPr>
                <w:rFonts w:eastAsia="Century Gothic" w:cstheme="minorHAnsi"/>
                <w:color w:val="auto"/>
                <w:shd w:val="clear" w:color="auto" w:fill="FFFFFF"/>
                <w:lang w:val="en-MY" w:eastAsia="en-MY"/>
              </w:rPr>
              <w:t>mohdsukor@ukm.edu.my)</w:t>
            </w:r>
          </w:p>
        </w:tc>
      </w:tr>
      <w:tr w:rsidR="009F58C0" w14:paraId="6A6D4F00" w14:textId="77777777">
        <w:tc>
          <w:tcPr>
            <w:tcW w:w="4638" w:type="dxa"/>
          </w:tcPr>
          <w:p w14:paraId="77BE0665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proofErr w:type="spellStart"/>
            <w:r>
              <w:rPr>
                <w:rFonts w:eastAsia="SimSun" w:cstheme="minorHAnsi"/>
                <w:lang w:val="en-MY" w:eastAsia="en-MY"/>
              </w:rPr>
              <w:t>Nadhrah</w:t>
            </w:r>
            <w:proofErr w:type="spellEnd"/>
            <w:r>
              <w:rPr>
                <w:rFonts w:eastAsia="SimSun" w:cstheme="minorHAnsi"/>
                <w:lang w:val="en-MY" w:eastAsia="en-MY"/>
              </w:rPr>
              <w:t xml:space="preserve"> Md Yatim</w:t>
            </w:r>
          </w:p>
        </w:tc>
        <w:tc>
          <w:tcPr>
            <w:tcW w:w="4722" w:type="dxa"/>
          </w:tcPr>
          <w:p w14:paraId="50085337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</w:t>
            </w:r>
            <w:r>
              <w:rPr>
                <w:rFonts w:eastAsia="Helvetica" w:cstheme="minorHAnsi"/>
                <w:color w:val="auto"/>
                <w:shd w:val="clear" w:color="auto" w:fill="FFFFFF"/>
                <w:lang w:val="en-MY" w:eastAsia="en-MY"/>
              </w:rPr>
              <w:t>nadhrah@usim.edu.my)</w:t>
            </w:r>
          </w:p>
        </w:tc>
      </w:tr>
      <w:tr w:rsidR="009F58C0" w14:paraId="2ADD3193" w14:textId="77777777">
        <w:tc>
          <w:tcPr>
            <w:tcW w:w="4638" w:type="dxa"/>
          </w:tcPr>
          <w:p w14:paraId="7E7CB406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proofErr w:type="spellStart"/>
            <w:r>
              <w:rPr>
                <w:rFonts w:eastAsia="SimSun" w:cstheme="minorHAnsi"/>
                <w:lang w:val="en-MY" w:eastAsia="en-MY"/>
              </w:rPr>
              <w:t>Assayidatul</w:t>
            </w:r>
            <w:proofErr w:type="spellEnd"/>
            <w:r>
              <w:rPr>
                <w:rFonts w:eastAsia="SimSun" w:cstheme="minorHAnsi"/>
                <w:lang w:val="en-MY" w:eastAsia="en-MY"/>
              </w:rPr>
              <w:t xml:space="preserve"> Laila Nor </w:t>
            </w:r>
            <w:proofErr w:type="spellStart"/>
            <w:r>
              <w:rPr>
                <w:rFonts w:eastAsia="SimSun" w:cstheme="minorHAnsi"/>
                <w:lang w:val="en-MY" w:eastAsia="en-MY"/>
              </w:rPr>
              <w:t>Hairin</w:t>
            </w:r>
            <w:proofErr w:type="spellEnd"/>
          </w:p>
        </w:tc>
        <w:tc>
          <w:tcPr>
            <w:tcW w:w="4722" w:type="dxa"/>
          </w:tcPr>
          <w:p w14:paraId="11134225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(assayidatul_laila@iium.edu.my)</w:t>
            </w:r>
          </w:p>
        </w:tc>
      </w:tr>
      <w:tr w:rsidR="009F58C0" w14:paraId="7FDA7DD6" w14:textId="77777777">
        <w:tc>
          <w:tcPr>
            <w:tcW w:w="4634" w:type="dxa"/>
          </w:tcPr>
          <w:p w14:paraId="3E3377E1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Ubaidah Syafiq</w:t>
            </w:r>
          </w:p>
        </w:tc>
        <w:tc>
          <w:tcPr>
            <w:tcW w:w="4726" w:type="dxa"/>
          </w:tcPr>
          <w:p w14:paraId="578AB8A5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(ubaidahsyafiq@ukm.edu.my)</w:t>
            </w:r>
          </w:p>
        </w:tc>
      </w:tr>
      <w:tr w:rsidR="009F58C0" w14:paraId="4A57F752" w14:textId="77777777">
        <w:tc>
          <w:tcPr>
            <w:tcW w:w="4634" w:type="dxa"/>
          </w:tcPr>
          <w:p w14:paraId="7C1A6A28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 xml:space="preserve">Angella </w:t>
            </w:r>
            <w:proofErr w:type="spellStart"/>
            <w:r>
              <w:rPr>
                <w:rFonts w:eastAsia="SimSun" w:cstheme="minorHAnsi"/>
                <w:lang w:val="en-MY" w:eastAsia="en-MY"/>
              </w:rPr>
              <w:t>Th’ng</w:t>
            </w:r>
            <w:proofErr w:type="spellEnd"/>
          </w:p>
        </w:tc>
        <w:tc>
          <w:tcPr>
            <w:tcW w:w="4726" w:type="dxa"/>
          </w:tcPr>
          <w:p w14:paraId="1C6784A2" w14:textId="77777777" w:rsidR="009F58C0" w:rsidRDefault="00000000">
            <w:pPr>
              <w:rPr>
                <w:rFonts w:eastAsia="SimSun" w:cstheme="minorHAnsi"/>
                <w:lang w:val="en-MY" w:eastAsia="en-MY"/>
              </w:rPr>
            </w:pPr>
            <w:r>
              <w:rPr>
                <w:rFonts w:eastAsia="SimSun" w:cstheme="minorHAnsi"/>
                <w:lang w:val="en-MY" w:eastAsia="en-MY"/>
              </w:rPr>
              <w:t>(p153906@siswa.ukm.edu.my)</w:t>
            </w:r>
          </w:p>
        </w:tc>
      </w:tr>
    </w:tbl>
    <w:p w14:paraId="2BB7CEAC" w14:textId="77777777" w:rsidR="009F58C0" w:rsidRDefault="009F58C0">
      <w:pPr>
        <w:outlineLvl w:val="0"/>
        <w:rPr>
          <w:rFonts w:eastAsia="Times New Roman" w:cstheme="minorHAnsi"/>
          <w:lang w:val="en-MY"/>
        </w:rPr>
      </w:pPr>
    </w:p>
    <w:p w14:paraId="6F84F159" w14:textId="77777777" w:rsidR="009F58C0" w:rsidRDefault="009F58C0">
      <w:pPr>
        <w:outlineLvl w:val="0"/>
        <w:rPr>
          <w:rFonts w:cstheme="minorHAnsi"/>
          <w:b/>
          <w:lang w:val="en-MY"/>
        </w:rPr>
      </w:pPr>
    </w:p>
    <w:p w14:paraId="548AFA4D" w14:textId="77777777" w:rsidR="00173BE4" w:rsidRDefault="00173BE4">
      <w:pPr>
        <w:outlineLvl w:val="0"/>
        <w:rPr>
          <w:rFonts w:cstheme="minorHAnsi"/>
          <w:b/>
          <w:lang w:val="en-MY"/>
        </w:rPr>
      </w:pPr>
    </w:p>
    <w:p w14:paraId="110D3BCA" w14:textId="77777777" w:rsidR="00173BE4" w:rsidRDefault="00173BE4">
      <w:pPr>
        <w:outlineLvl w:val="0"/>
        <w:rPr>
          <w:rFonts w:cstheme="minorHAnsi"/>
          <w:b/>
          <w:lang w:val="en-MY"/>
        </w:rPr>
      </w:pPr>
    </w:p>
    <w:p w14:paraId="0E4AC310" w14:textId="77777777" w:rsidR="00173BE4" w:rsidRDefault="00173BE4">
      <w:pPr>
        <w:outlineLvl w:val="0"/>
        <w:rPr>
          <w:rFonts w:cstheme="minorHAnsi"/>
          <w:b/>
          <w:lang w:val="en-MY"/>
        </w:rPr>
      </w:pPr>
    </w:p>
    <w:p w14:paraId="04C2B283" w14:textId="77777777" w:rsidR="00173BE4" w:rsidRDefault="00173BE4">
      <w:pPr>
        <w:outlineLvl w:val="0"/>
        <w:rPr>
          <w:rFonts w:cstheme="minorHAnsi"/>
          <w:b/>
          <w:lang w:val="en-MY"/>
        </w:rPr>
      </w:pPr>
    </w:p>
    <w:p w14:paraId="60B95108" w14:textId="77777777" w:rsidR="009F58C0" w:rsidRDefault="009F58C0">
      <w:pPr>
        <w:rPr>
          <w:rFonts w:cstheme="minorHAnsi"/>
          <w:b/>
          <w:sz w:val="22"/>
          <w:szCs w:val="22"/>
        </w:rPr>
      </w:pPr>
    </w:p>
    <w:p w14:paraId="1667ADCD" w14:textId="77777777" w:rsidR="009F58C0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9F58C0" w:rsidRPr="00F21605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</w:t>
      </w:r>
      <w:r w:rsidRPr="00F21605">
        <w:rPr>
          <w:rFonts w:eastAsia="Times New Roman" w:cs="Calibri"/>
        </w:rPr>
        <w:t>ction technique, or something similar</w:t>
      </w:r>
      <w:r w:rsidRPr="00F21605">
        <w:rPr>
          <w:rFonts w:eastAsia="Times New Roman" w:cstheme="minorHAnsi"/>
        </w:rPr>
        <w:t>?</w:t>
      </w:r>
      <w:r w:rsidRPr="00F21605">
        <w:rPr>
          <w:rFonts w:eastAsia="Times New Roman" w:cstheme="minorHAnsi"/>
          <w:b/>
        </w:rPr>
        <w:t xml:space="preserve">  </w:t>
      </w:r>
      <w:r w:rsidRPr="00F21605">
        <w:rPr>
          <w:rFonts w:eastAsia="Times New Roman" w:cstheme="minorHAnsi"/>
          <w:b/>
          <w:bCs/>
          <w:lang w:val="en-MY"/>
        </w:rPr>
        <w:t>No</w:t>
      </w:r>
      <w:r w:rsidRPr="00F21605">
        <w:rPr>
          <w:rFonts w:eastAsia="Times New Roman" w:cstheme="minorHAnsi"/>
        </w:rPr>
        <w:t xml:space="preserve">  </w:t>
      </w:r>
    </w:p>
    <w:p w14:paraId="4E7C3E85" w14:textId="77777777" w:rsidR="009F58C0" w:rsidRPr="00F21605" w:rsidRDefault="009F58C0" w:rsidP="00173BE4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9F58C0" w:rsidRPr="00F21605" w:rsidRDefault="00000000">
      <w:pPr>
        <w:spacing w:before="120"/>
        <w:ind w:left="216" w:hanging="216"/>
        <w:rPr>
          <w:rFonts w:eastAsia="Times New Roman" w:cstheme="minorHAnsi"/>
          <w:lang w:val="en-MY"/>
        </w:rPr>
      </w:pPr>
      <w:r w:rsidRPr="00F21605">
        <w:rPr>
          <w:rFonts w:eastAsia="Times New Roman" w:cstheme="minorHAnsi"/>
          <w:b/>
        </w:rPr>
        <w:t xml:space="preserve">2. Software: </w:t>
      </w:r>
      <w:r w:rsidRPr="00F21605">
        <w:rPr>
          <w:rFonts w:eastAsia="Times New Roman" w:cstheme="minorHAnsi"/>
        </w:rPr>
        <w:t>Does the part of your protocol being filmed include step-by-step descriptions of software usage?</w:t>
      </w:r>
      <w:r w:rsidRPr="00F21605">
        <w:rPr>
          <w:rFonts w:eastAsia="Times New Roman" w:cstheme="minorHAnsi"/>
          <w:b/>
        </w:rPr>
        <w:t xml:space="preserve">  </w:t>
      </w:r>
      <w:r w:rsidRPr="00F21605">
        <w:rPr>
          <w:rFonts w:eastAsia="Times New Roman" w:cstheme="minorHAnsi"/>
          <w:b/>
          <w:bCs/>
          <w:lang w:val="en-MY"/>
        </w:rPr>
        <w:t>No</w:t>
      </w:r>
    </w:p>
    <w:p w14:paraId="1C68C2BA" w14:textId="77777777" w:rsidR="009F58C0" w:rsidRPr="00F21605" w:rsidRDefault="009F58C0">
      <w:pPr>
        <w:spacing w:before="120"/>
        <w:rPr>
          <w:rFonts w:eastAsia="Times New Roman" w:cstheme="minorHAnsi"/>
          <w:b/>
        </w:rPr>
      </w:pPr>
    </w:p>
    <w:p w14:paraId="7A03162F" w14:textId="77777777" w:rsidR="009F58C0" w:rsidRPr="00F21605" w:rsidRDefault="00000000">
      <w:pPr>
        <w:spacing w:before="120"/>
        <w:rPr>
          <w:rFonts w:eastAsia="Times New Roman" w:cstheme="minorHAnsi"/>
          <w:b/>
          <w:bCs/>
          <w:lang w:val="en-MY"/>
        </w:rPr>
      </w:pPr>
      <w:r w:rsidRPr="00F21605">
        <w:rPr>
          <w:rFonts w:eastAsia="Times New Roman" w:cstheme="minorHAnsi"/>
          <w:b/>
        </w:rPr>
        <w:t>3. Filming location:</w:t>
      </w:r>
      <w:r w:rsidRPr="00F21605">
        <w:rPr>
          <w:rFonts w:eastAsia="Times New Roman" w:cstheme="minorHAnsi"/>
        </w:rPr>
        <w:t xml:space="preserve"> Will the </w:t>
      </w:r>
      <w:proofErr w:type="gramStart"/>
      <w:r w:rsidRPr="00F21605">
        <w:rPr>
          <w:rFonts w:eastAsia="Times New Roman" w:cstheme="minorHAnsi"/>
        </w:rPr>
        <w:t>filming need to</w:t>
      </w:r>
      <w:proofErr w:type="gramEnd"/>
      <w:r w:rsidRPr="00F21605">
        <w:rPr>
          <w:rFonts w:eastAsia="Times New Roman" w:cstheme="minorHAnsi"/>
        </w:rPr>
        <w:t xml:space="preserve"> take place in multiple locations? </w:t>
      </w:r>
      <w:r w:rsidRPr="00F21605">
        <w:rPr>
          <w:rFonts w:eastAsia="Times New Roman" w:cstheme="minorHAnsi"/>
          <w:b/>
        </w:rPr>
        <w:t xml:space="preserve">  </w:t>
      </w:r>
      <w:r w:rsidRPr="00F21605">
        <w:rPr>
          <w:rFonts w:eastAsia="Times New Roman" w:cstheme="minorHAnsi"/>
          <w:b/>
          <w:lang w:val="en-MY"/>
        </w:rPr>
        <w:t>Yes</w:t>
      </w:r>
    </w:p>
    <w:p w14:paraId="63770740" w14:textId="0FFF90E9" w:rsidR="009F58C0" w:rsidRPr="00F21605" w:rsidRDefault="00000000">
      <w:pPr>
        <w:spacing w:before="120"/>
        <w:ind w:left="720"/>
        <w:rPr>
          <w:rFonts w:eastAsia="Times New Roman" w:cstheme="minorHAnsi"/>
          <w:lang w:val="en-MY"/>
        </w:rPr>
      </w:pPr>
      <w:r w:rsidRPr="00F21605">
        <w:rPr>
          <w:rFonts w:eastAsia="Times New Roman" w:cstheme="minorHAnsi"/>
          <w:lang w:val="en-MY"/>
        </w:rPr>
        <w:t>400 m</w:t>
      </w:r>
    </w:p>
    <w:p w14:paraId="4920A8BE" w14:textId="77777777" w:rsidR="009F58C0" w:rsidRPr="00F21605" w:rsidRDefault="009F58C0">
      <w:pPr>
        <w:spacing w:before="120"/>
        <w:ind w:left="720"/>
        <w:rPr>
          <w:rFonts w:eastAsia="Times New Roman" w:cstheme="minorHAnsi"/>
        </w:rPr>
      </w:pPr>
    </w:p>
    <w:p w14:paraId="2934ADF1" w14:textId="77777777" w:rsidR="009F58C0" w:rsidRDefault="00000000">
      <w:pPr>
        <w:spacing w:before="120"/>
        <w:rPr>
          <w:rFonts w:eastAsia="Times New Roman" w:cstheme="minorHAnsi"/>
          <w:lang w:val="en-MY"/>
        </w:rPr>
      </w:pPr>
      <w:r w:rsidRPr="00F21605">
        <w:rPr>
          <w:rFonts w:eastAsia="Times New Roman" w:cstheme="minorHAnsi"/>
          <w:b/>
          <w:bCs/>
        </w:rPr>
        <w:t xml:space="preserve">4. Testimonials (optional): </w:t>
      </w:r>
      <w:r w:rsidRPr="00F21605">
        <w:t xml:space="preserve">Would you be open to filming two short testimonial statements </w:t>
      </w:r>
      <w:r w:rsidRPr="00F21605">
        <w:rPr>
          <w:rStyle w:val="Strong"/>
        </w:rPr>
        <w:t>live during your JoVE shoot</w:t>
      </w:r>
      <w:r w:rsidRPr="00F21605">
        <w:t xml:space="preserve">? These will </w:t>
      </w:r>
      <w:r w:rsidRPr="00F21605">
        <w:rPr>
          <w:rStyle w:val="Strong"/>
        </w:rPr>
        <w:t>not appear in your JoVE video</w:t>
      </w:r>
      <w:r w:rsidRPr="00F21605">
        <w:t xml:space="preserve"> but may be used in </w:t>
      </w:r>
      <w:proofErr w:type="spellStart"/>
      <w:r w:rsidRPr="00F21605">
        <w:t>JoVE’s</w:t>
      </w:r>
      <w:proofErr w:type="spellEnd"/>
      <w:r w:rsidRPr="00F21605">
        <w:t xml:space="preserve"> promotional materials. </w:t>
      </w:r>
      <w:r w:rsidRPr="00F21605">
        <w:rPr>
          <w:rFonts w:eastAsia="Times New Roman" w:cstheme="minorHAnsi"/>
          <w:b/>
          <w:bCs/>
          <w:lang w:val="en-MY"/>
        </w:rPr>
        <w:t>No</w:t>
      </w:r>
    </w:p>
    <w:p w14:paraId="32DAE90F" w14:textId="77777777" w:rsidR="009F58C0" w:rsidRDefault="009F58C0">
      <w:pPr>
        <w:rPr>
          <w:rFonts w:cstheme="minorHAnsi"/>
          <w:b/>
          <w:sz w:val="22"/>
          <w:szCs w:val="22"/>
        </w:rPr>
      </w:pPr>
    </w:p>
    <w:p w14:paraId="67386C83" w14:textId="77777777" w:rsidR="009F58C0" w:rsidRDefault="009F58C0">
      <w:pPr>
        <w:rPr>
          <w:rFonts w:cstheme="minorHAnsi"/>
          <w:b/>
          <w:sz w:val="22"/>
          <w:szCs w:val="22"/>
        </w:rPr>
      </w:pPr>
    </w:p>
    <w:p w14:paraId="7AA7BBC5" w14:textId="77777777" w:rsidR="009F58C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7777777" w:rsidR="009F58C0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</w:t>
      </w:r>
      <w:proofErr w:type="gramStart"/>
      <w:r>
        <w:rPr>
          <w:rFonts w:cstheme="minorHAnsi"/>
          <w:bCs/>
          <w:sz w:val="22"/>
          <w:szCs w:val="22"/>
        </w:rPr>
        <w:t>:  28</w:t>
      </w:r>
      <w:proofErr w:type="gramEnd"/>
    </w:p>
    <w:p w14:paraId="5AAC9C6C" w14:textId="77777777" w:rsidR="009F58C0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50</w:t>
      </w:r>
      <w:r>
        <w:rPr>
          <w:rFonts w:cstheme="minorHAnsi"/>
          <w:b/>
          <w:sz w:val="22"/>
          <w:szCs w:val="22"/>
        </w:rPr>
        <w:t xml:space="preserve"> </w:t>
      </w:r>
      <w:r>
        <w:rPr>
          <w:rFonts w:cstheme="minorHAnsi"/>
          <w:b/>
          <w:sz w:val="22"/>
          <w:szCs w:val="22"/>
        </w:rPr>
        <w:br w:type="page"/>
      </w:r>
    </w:p>
    <w:p w14:paraId="688BB839" w14:textId="77777777" w:rsidR="009F58C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21054688" w14:textId="77777777" w:rsidR="009F58C0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7E8076BA" w14:textId="77777777" w:rsidR="009F58C0" w:rsidRDefault="009F58C0">
      <w:pPr>
        <w:rPr>
          <w:rFonts w:cstheme="minorHAnsi"/>
          <w:b/>
        </w:rPr>
      </w:pPr>
    </w:p>
    <w:p w14:paraId="65488333" w14:textId="77777777" w:rsidR="009F58C0" w:rsidRDefault="009F58C0">
      <w:pPr>
        <w:rPr>
          <w:rFonts w:eastAsia="Times New Roman" w:cstheme="minorHAnsi"/>
          <w:b/>
        </w:rPr>
      </w:pPr>
    </w:p>
    <w:p w14:paraId="32998071" w14:textId="77777777" w:rsidR="009F58C0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9F58C0" w:rsidRDefault="009F58C0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77777777" w:rsidR="009F58C0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9F58C0" w:rsidRDefault="009F58C0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77777777" w:rsidR="009F58C0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5928288" w14:textId="1461B1B3" w:rsidR="009F58C0" w:rsidRPr="00104DF1" w:rsidRDefault="00173BE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6B6089">
        <w:rPr>
          <w:b/>
          <w:bCs/>
          <w:u w:val="single"/>
        </w:rPr>
        <w:t>Angella Th’ng</w:t>
      </w:r>
      <w:r w:rsidR="00000000" w:rsidRPr="00104DF1">
        <w:rPr>
          <w:rStyle w:val="AuthorName"/>
          <w:rFonts w:asciiTheme="minorHAnsi" w:eastAsia="Times" w:hAnsiTheme="minorHAnsi" w:cstheme="minorHAnsi"/>
          <w:b w:val="0"/>
          <w:bCs/>
        </w:rPr>
        <w:t>:</w:t>
      </w:r>
      <w:r w:rsidR="00000000">
        <w:rPr>
          <w:rFonts w:cstheme="minorHAnsi"/>
        </w:rPr>
        <w:t xml:space="preserve"> My research examines </w:t>
      </w:r>
      <w:r w:rsidR="00CD3954">
        <w:rPr>
          <w:rFonts w:cstheme="minorHAnsi"/>
        </w:rPr>
        <w:t xml:space="preserve">the changes in thermoelectric performance of </w:t>
      </w:r>
      <w:r w:rsidR="00000000">
        <w:rPr>
          <w:rFonts w:cstheme="minorHAnsi"/>
        </w:rPr>
        <w:t xml:space="preserve">manganese-doped bismuth telluride thin films </w:t>
      </w:r>
      <w:r w:rsidR="00CD3954">
        <w:rPr>
          <w:rFonts w:cstheme="minorHAnsi"/>
        </w:rPr>
        <w:t>deposited through</w:t>
      </w:r>
      <w:r w:rsidR="00000000">
        <w:rPr>
          <w:rFonts w:cstheme="minorHAnsi"/>
        </w:rPr>
        <w:t xml:space="preserve"> controlled co-sputtering.</w:t>
      </w:r>
    </w:p>
    <w:p w14:paraId="2880D82F" w14:textId="1C300890" w:rsidR="00173BE4" w:rsidRPr="00F21605" w:rsidRDefault="00173BE4" w:rsidP="00173BE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0000FF"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  <w:r w:rsidR="00F21605">
        <w:rPr>
          <w:rFonts w:eastAsia="Times New Roman" w:cstheme="minorHAnsi"/>
        </w:rPr>
        <w:t xml:space="preserve"> </w:t>
      </w:r>
      <w:r w:rsidR="00F21605" w:rsidRPr="00F21605">
        <w:rPr>
          <w:rFonts w:eastAsia="Times New Roman" w:cstheme="minorHAnsi"/>
          <w:i/>
          <w:iCs/>
          <w:color w:val="0000FF"/>
        </w:rPr>
        <w:t>Suggested B roll: 3.7.1</w:t>
      </w:r>
    </w:p>
    <w:p w14:paraId="1BB13D38" w14:textId="77777777" w:rsidR="00173BE4" w:rsidRPr="00104DF1" w:rsidRDefault="00173BE4" w:rsidP="00104DF1">
      <w:pPr>
        <w:spacing w:before="120"/>
        <w:rPr>
          <w:rFonts w:eastAsia="Times New Roman" w:cstheme="minorHAnsi"/>
        </w:rPr>
      </w:pPr>
    </w:p>
    <w:p w14:paraId="00A66870" w14:textId="77777777" w:rsidR="009F58C0" w:rsidRDefault="009F58C0">
      <w:pPr>
        <w:rPr>
          <w:rFonts w:eastAsia="Times New Roman" w:cstheme="minorHAnsi"/>
          <w:b/>
          <w:bCs/>
        </w:rPr>
      </w:pPr>
    </w:p>
    <w:p w14:paraId="0B0139AD" w14:textId="77777777" w:rsidR="009F58C0" w:rsidRDefault="00000000">
      <w:pPr>
        <w:rPr>
          <w:rFonts w:eastAsia="Times New Roman" w:cstheme="minorHAnsi"/>
        </w:rPr>
      </w:pPr>
      <w:r>
        <w:t>Describe the research gap or limitation in existing methods and how this protocol addresses them.</w:t>
      </w:r>
    </w:p>
    <w:p w14:paraId="490E6309" w14:textId="43998185" w:rsidR="009F58C0" w:rsidRPr="00104DF1" w:rsidRDefault="00173BE4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eastAsia="Times New Roman" w:cstheme="minorHAnsi"/>
        </w:rPr>
      </w:pPr>
      <w:r w:rsidRPr="00970317">
        <w:rPr>
          <w:b/>
          <w:bCs/>
          <w:u w:val="single"/>
        </w:rPr>
        <w:t>Angella Th’ng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="005C669B" w:rsidRPr="005C669B">
        <w:rPr>
          <w:rFonts w:eastAsia="Times New Roman" w:cstheme="minorHAnsi"/>
        </w:rPr>
        <w:t>Existing methods fail to adequately examine the impact of manganese doping on the thermoelectric performance of bismuth telluride thin films. This protocol addresses this gap through systematic investigation.</w:t>
      </w:r>
    </w:p>
    <w:p w14:paraId="260FD731" w14:textId="77777777" w:rsidR="00173BE4" w:rsidRPr="00CD596F" w:rsidRDefault="00173BE4" w:rsidP="00173BE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795859" w14:textId="77777777" w:rsidR="00173BE4" w:rsidRPr="00104DF1" w:rsidRDefault="00173BE4" w:rsidP="00104DF1">
      <w:pPr>
        <w:spacing w:before="120" w:after="240"/>
        <w:rPr>
          <w:rFonts w:eastAsia="Times New Roman" w:cstheme="minorHAnsi"/>
        </w:rPr>
      </w:pPr>
    </w:p>
    <w:p w14:paraId="628E48CF" w14:textId="77777777" w:rsidR="009F58C0" w:rsidRDefault="00000000">
      <w:pPr>
        <w:spacing w:before="120"/>
        <w:rPr>
          <w:rFonts w:cstheme="minorHAnsi"/>
          <w:color w:val="000000"/>
          <w:shd w:val="clear" w:color="auto" w:fill="FFFFFF"/>
        </w:rPr>
      </w:pPr>
      <w:r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93DF302" w14:textId="77777777" w:rsidR="009F58C0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074ECE87" w14:textId="58FB3008" w:rsidR="009F58C0" w:rsidRPr="00104DF1" w:rsidRDefault="00173BE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970317">
        <w:rPr>
          <w:b/>
          <w:bCs/>
          <w:u w:val="single"/>
        </w:rPr>
        <w:t>Angella Th’ng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="00000000">
        <w:rPr>
          <w:rFonts w:cstheme="minorHAnsi"/>
        </w:rPr>
        <w:t xml:space="preserve">This protocol </w:t>
      </w:r>
      <w:r w:rsidR="00104DF1">
        <w:rPr>
          <w:rFonts w:cstheme="minorHAnsi"/>
        </w:rPr>
        <w:t>allows</w:t>
      </w:r>
      <w:r w:rsidR="00000000">
        <w:rPr>
          <w:rFonts w:cstheme="minorHAnsi"/>
        </w:rPr>
        <w:t xml:space="preserve"> researchers </w:t>
      </w:r>
      <w:r w:rsidR="00104DF1">
        <w:rPr>
          <w:rFonts w:cstheme="minorHAnsi"/>
        </w:rPr>
        <w:t xml:space="preserve">to </w:t>
      </w:r>
      <w:r w:rsidR="00DE2F0B">
        <w:rPr>
          <w:rFonts w:cstheme="minorHAnsi"/>
        </w:rPr>
        <w:t xml:space="preserve">co-sputter manganese dopant on bismuth telluride film and evaluate </w:t>
      </w:r>
      <w:r w:rsidR="00000000">
        <w:rPr>
          <w:rFonts w:cstheme="minorHAnsi"/>
        </w:rPr>
        <w:t xml:space="preserve">how </w:t>
      </w:r>
      <w:r w:rsidR="00DE2F0B">
        <w:rPr>
          <w:rFonts w:cstheme="minorHAnsi"/>
        </w:rPr>
        <w:t xml:space="preserve">dopant </w:t>
      </w:r>
      <w:r w:rsidR="00000000">
        <w:rPr>
          <w:rFonts w:cstheme="minorHAnsi"/>
        </w:rPr>
        <w:t>input</w:t>
      </w:r>
      <w:r w:rsidR="00DE2F0B">
        <w:rPr>
          <w:rFonts w:cstheme="minorHAnsi"/>
        </w:rPr>
        <w:t xml:space="preserve"> level</w:t>
      </w:r>
      <w:r w:rsidR="00000000">
        <w:rPr>
          <w:rFonts w:cstheme="minorHAnsi"/>
        </w:rPr>
        <w:t xml:space="preserve"> changes </w:t>
      </w:r>
      <w:r w:rsidR="00DE2F0B">
        <w:rPr>
          <w:rFonts w:cstheme="minorHAnsi"/>
        </w:rPr>
        <w:t>thermoelectric performance</w:t>
      </w:r>
      <w:r w:rsidR="00000000">
        <w:rPr>
          <w:rFonts w:cstheme="minorHAnsi"/>
        </w:rPr>
        <w:t>.</w:t>
      </w:r>
    </w:p>
    <w:p w14:paraId="72C012FA" w14:textId="77777777" w:rsidR="00173BE4" w:rsidRPr="00CD596F" w:rsidRDefault="00173BE4" w:rsidP="00173BE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47F7F31" w14:textId="77777777" w:rsidR="00173BE4" w:rsidRDefault="00173BE4" w:rsidP="00104D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9F58C0" w:rsidRDefault="009F58C0">
      <w:pPr>
        <w:rPr>
          <w:rFonts w:eastAsia="Times New Roman" w:cstheme="minorHAnsi"/>
          <w:b/>
          <w:bCs/>
        </w:rPr>
      </w:pPr>
    </w:p>
    <w:p w14:paraId="650FC038" w14:textId="77777777" w:rsidR="009F58C0" w:rsidRDefault="00000000">
      <w:pPr>
        <w:rPr>
          <w:rFonts w:eastAsia="Times New Roman" w:cstheme="minorHAnsi"/>
          <w:sz w:val="28"/>
          <w:szCs w:val="28"/>
        </w:rPr>
      </w:pPr>
      <w:r>
        <w:t>Describe the most important consideration or challenge when performing this protocol.</w:t>
      </w:r>
    </w:p>
    <w:p w14:paraId="284E017B" w14:textId="00E6A762" w:rsidR="009F58C0" w:rsidRPr="00104DF1" w:rsidRDefault="00173BE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970317">
        <w:rPr>
          <w:b/>
          <w:bCs/>
          <w:u w:val="single"/>
        </w:rPr>
        <w:lastRenderedPageBreak/>
        <w:t>Angella Th’ng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="00000000">
        <w:rPr>
          <w:rFonts w:cstheme="minorHAnsi"/>
        </w:rPr>
        <w:t xml:space="preserve">The key challenge </w:t>
      </w:r>
      <w:r w:rsidR="00DE2F0B">
        <w:rPr>
          <w:rFonts w:cstheme="minorHAnsi"/>
        </w:rPr>
        <w:t xml:space="preserve">of this protocol </w:t>
      </w:r>
      <w:r w:rsidR="00000000">
        <w:rPr>
          <w:rFonts w:cstheme="minorHAnsi"/>
        </w:rPr>
        <w:t xml:space="preserve">is </w:t>
      </w:r>
      <w:r w:rsidR="00DE2F0B">
        <w:rPr>
          <w:rFonts w:cstheme="minorHAnsi"/>
        </w:rPr>
        <w:t xml:space="preserve">to </w:t>
      </w:r>
      <w:r w:rsidR="00000000">
        <w:rPr>
          <w:rFonts w:cstheme="minorHAnsi"/>
        </w:rPr>
        <w:t xml:space="preserve">maintain stable plasma and sputtering conditions </w:t>
      </w:r>
      <w:r w:rsidR="00DE2F0B">
        <w:rPr>
          <w:rFonts w:cstheme="minorHAnsi"/>
        </w:rPr>
        <w:t xml:space="preserve">to incorporate </w:t>
      </w:r>
      <w:r w:rsidR="00000000">
        <w:rPr>
          <w:rFonts w:cstheme="minorHAnsi"/>
        </w:rPr>
        <w:t xml:space="preserve">manganese </w:t>
      </w:r>
      <w:r w:rsidR="00DE2F0B">
        <w:rPr>
          <w:rFonts w:cstheme="minorHAnsi"/>
        </w:rPr>
        <w:t xml:space="preserve">reliably and </w:t>
      </w:r>
      <w:r w:rsidR="00000000">
        <w:rPr>
          <w:rFonts w:cstheme="minorHAnsi"/>
        </w:rPr>
        <w:t>consistent</w:t>
      </w:r>
      <w:r w:rsidR="00DE2F0B">
        <w:rPr>
          <w:rFonts w:cstheme="minorHAnsi"/>
        </w:rPr>
        <w:t>ly</w:t>
      </w:r>
      <w:r w:rsidR="00000000">
        <w:rPr>
          <w:rFonts w:cstheme="minorHAnsi"/>
        </w:rPr>
        <w:t>.</w:t>
      </w:r>
    </w:p>
    <w:p w14:paraId="7FEE2F65" w14:textId="2633BA8B" w:rsidR="00173BE4" w:rsidRPr="005C669B" w:rsidRDefault="00173BE4" w:rsidP="00173BE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  <w:i/>
          <w:iCs/>
          <w:color w:val="0000FF"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  <w:r w:rsidR="005C669B">
        <w:rPr>
          <w:rFonts w:eastAsia="Times New Roman" w:cstheme="minorHAnsi"/>
        </w:rPr>
        <w:t xml:space="preserve">. </w:t>
      </w:r>
      <w:r w:rsidR="005C669B" w:rsidRPr="005C669B">
        <w:rPr>
          <w:rFonts w:eastAsia="Times New Roman" w:cstheme="minorHAnsi"/>
          <w:i/>
          <w:iCs/>
          <w:color w:val="0000FF"/>
        </w:rPr>
        <w:t xml:space="preserve">Suggested </w:t>
      </w:r>
      <w:r w:rsidR="005C669B">
        <w:rPr>
          <w:rFonts w:eastAsia="Times New Roman" w:cstheme="minorHAnsi"/>
          <w:i/>
          <w:iCs/>
          <w:color w:val="0000FF"/>
        </w:rPr>
        <w:t>B-roll</w:t>
      </w:r>
      <w:r w:rsidR="005C669B" w:rsidRPr="005C669B">
        <w:rPr>
          <w:rFonts w:eastAsia="Times New Roman" w:cstheme="minorHAnsi"/>
          <w:i/>
          <w:iCs/>
          <w:color w:val="0000FF"/>
        </w:rPr>
        <w:t xml:space="preserve">: </w:t>
      </w:r>
      <w:r w:rsidR="00413FF3">
        <w:rPr>
          <w:rFonts w:eastAsia="Times New Roman" w:cstheme="minorHAnsi"/>
          <w:i/>
          <w:iCs/>
          <w:color w:val="0000FF"/>
        </w:rPr>
        <w:t>2.8</w:t>
      </w:r>
      <w:r w:rsidR="005C669B" w:rsidRPr="005C669B">
        <w:rPr>
          <w:rFonts w:eastAsia="Times New Roman" w:cstheme="minorHAnsi"/>
          <w:i/>
          <w:iCs/>
          <w:color w:val="0000FF"/>
        </w:rPr>
        <w:t>.2</w:t>
      </w:r>
    </w:p>
    <w:p w14:paraId="5E6A6198" w14:textId="77777777" w:rsidR="00173BE4" w:rsidRDefault="00173BE4" w:rsidP="00104D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9F58C0" w:rsidRDefault="009F58C0">
      <w:pPr>
        <w:rPr>
          <w:rFonts w:eastAsia="Times New Roman" w:cstheme="minorHAnsi"/>
          <w:b/>
          <w:bCs/>
        </w:rPr>
      </w:pPr>
    </w:p>
    <w:p w14:paraId="18C04A67" w14:textId="77777777" w:rsidR="009F58C0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23F311A2" w14:textId="395DAB80" w:rsidR="009F58C0" w:rsidRPr="00104DF1" w:rsidRDefault="00173BE4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</w:rPr>
      </w:pPr>
      <w:r w:rsidRPr="00970317">
        <w:rPr>
          <w:b/>
          <w:bCs/>
          <w:u w:val="single"/>
        </w:rPr>
        <w:t>Angella Th’ng</w:t>
      </w:r>
      <w:r w:rsidR="00000000">
        <w:rPr>
          <w:rFonts w:eastAsia="Times New Roman" w:cstheme="minorHAnsi"/>
          <w:b/>
          <w:bCs/>
          <w:u w:val="single"/>
        </w:rPr>
        <w:t>:</w:t>
      </w:r>
      <w:r w:rsidR="00000000">
        <w:rPr>
          <w:rFonts w:eastAsia="Times New Roman" w:cstheme="minorHAnsi"/>
        </w:rPr>
        <w:t xml:space="preserve"> </w:t>
      </w:r>
      <w:r w:rsidR="00000000">
        <w:rPr>
          <w:rFonts w:cstheme="minorHAnsi"/>
        </w:rPr>
        <w:t xml:space="preserve">Future studies can </w:t>
      </w:r>
      <w:r w:rsidR="00DE2F0B">
        <w:rPr>
          <w:rFonts w:cstheme="minorHAnsi"/>
        </w:rPr>
        <w:t xml:space="preserve">be </w:t>
      </w:r>
      <w:r w:rsidR="005C669B">
        <w:rPr>
          <w:rFonts w:cstheme="minorHAnsi"/>
        </w:rPr>
        <w:t>built by optimizing thermoelectric properties post-synthesis and fabricating a thin-film</w:t>
      </w:r>
      <w:r w:rsidR="00DE2F0B">
        <w:rPr>
          <w:rFonts w:cstheme="minorHAnsi"/>
        </w:rPr>
        <w:t xml:space="preserve"> </w:t>
      </w:r>
      <w:r w:rsidR="00000000">
        <w:rPr>
          <w:rFonts w:cstheme="minorHAnsi"/>
        </w:rPr>
        <w:t>thermoelectric generator for device-level testing.</w:t>
      </w:r>
    </w:p>
    <w:p w14:paraId="519E644E" w14:textId="77777777" w:rsidR="00173BE4" w:rsidRPr="00CD596F" w:rsidRDefault="00173BE4" w:rsidP="00173BE4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CD596F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71EA35" w14:textId="77777777" w:rsidR="00173BE4" w:rsidRDefault="00173BE4" w:rsidP="00104DF1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33B7A430" w14:textId="77777777" w:rsidR="009F58C0" w:rsidRDefault="009F58C0">
      <w:pPr>
        <w:contextualSpacing/>
        <w:outlineLvl w:val="0"/>
        <w:rPr>
          <w:rFonts w:eastAsia="Times New Roman" w:cstheme="minorHAnsi"/>
          <w:b/>
        </w:rPr>
      </w:pPr>
    </w:p>
    <w:p w14:paraId="3A9A86A5" w14:textId="77777777" w:rsidR="009F58C0" w:rsidRDefault="009F58C0">
      <w:pPr>
        <w:contextualSpacing/>
        <w:outlineLvl w:val="0"/>
        <w:rPr>
          <w:rFonts w:eastAsia="Times New Roman" w:cstheme="minorHAnsi"/>
          <w:b/>
        </w:rPr>
      </w:pPr>
    </w:p>
    <w:p w14:paraId="7901DD8A" w14:textId="77777777" w:rsidR="009F58C0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3C78C807" w14:textId="77777777" w:rsidR="009F58C0" w:rsidRDefault="00000000">
      <w:pPr>
        <w:contextualSpacing/>
        <w:outlineLvl w:val="0"/>
        <w:rPr>
          <w:rFonts w:eastAsia="Times New Roman" w:cstheme="minorHAnsi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77777777" w:rsidR="009F58C0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2A467797" w14:textId="77777777" w:rsidR="009F58C0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75DFC648" w14:textId="77777777" w:rsidR="009F58C0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Pre-deposition Preparation for Thin Film Deposition</w:t>
      </w:r>
    </w:p>
    <w:p w14:paraId="6FE16670" w14:textId="6BCA4F96" w:rsidR="009F58C0" w:rsidRDefault="00000000" w:rsidP="00104DF1">
      <w:pPr>
        <w:ind w:firstLine="360"/>
        <w:rPr>
          <w:rFonts w:cstheme="minorHAnsi"/>
        </w:rPr>
      </w:pPr>
      <w:r w:rsidRPr="00104DF1">
        <w:rPr>
          <w:rFonts w:cstheme="minorHAnsi"/>
          <w:b/>
          <w:bCs/>
        </w:rPr>
        <w:t xml:space="preserve">Demonstrator: </w:t>
      </w:r>
      <w:r w:rsidR="00173BE4" w:rsidRPr="00173BE4">
        <w:t xml:space="preserve">Angella </w:t>
      </w:r>
      <w:proofErr w:type="spellStart"/>
      <w:r w:rsidR="00173BE4" w:rsidRPr="00173BE4">
        <w:t>Th’ng</w:t>
      </w:r>
      <w:proofErr w:type="spellEnd"/>
      <w:r w:rsidR="00173BE4" w:rsidRPr="00104DF1">
        <w:rPr>
          <w:rFonts w:eastAsia="Times New Roman" w:cstheme="minorHAnsi"/>
        </w:rPr>
        <w:t xml:space="preserve"> </w:t>
      </w:r>
    </w:p>
    <w:p w14:paraId="43353B50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To begin, place the prepared and cleaned soda lime glass substrates on the rotating substrate holder to evaluate deposition stability during target conditioning </w:t>
      </w:r>
      <w:r>
        <w:rPr>
          <w:b/>
          <w:bCs/>
        </w:rPr>
        <w:t>[1]</w:t>
      </w:r>
      <w:r>
        <w:t xml:space="preserve">. Close the chamber door and initiate pump-down </w:t>
      </w:r>
      <w:r>
        <w:rPr>
          <w:b/>
          <w:bCs/>
        </w:rPr>
        <w:t>[2]</w:t>
      </w:r>
      <w:r>
        <w:t xml:space="preserve">. Apply gentle pressure around the chamber door at the start to ensure proper sealing </w:t>
      </w:r>
      <w:r>
        <w:rPr>
          <w:b/>
          <w:bCs/>
        </w:rPr>
        <w:t>[4]</w:t>
      </w:r>
      <w:r>
        <w:t xml:space="preserve"> and confirm the pressure drop on the gauge </w:t>
      </w:r>
      <w:r>
        <w:rPr>
          <w:b/>
          <w:bCs/>
        </w:rPr>
        <w:t>[5]</w:t>
      </w:r>
      <w:r>
        <w:t>.</w:t>
      </w:r>
    </w:p>
    <w:p w14:paraId="6C31509D" w14:textId="77777777" w:rsidR="009F58C0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WIDE: Talent placing the test substrates on the rotating substrate holder inside the sputtering chamber.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6CCE20AF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closing the chamber door and initiating pump-down on the sputtering system.</w:t>
      </w:r>
    </w:p>
    <w:p w14:paraId="3AC8BDFB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applying gentle pressure around the chamber door seal.</w:t>
      </w:r>
    </w:p>
    <w:p w14:paraId="422D08F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the chamber pressure dropping on the system gauge.</w:t>
      </w:r>
    </w:p>
    <w:p w14:paraId="54BCFFAF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Monitor the chamber pressure using the system vacuum gauge integrated with the sputtering system controller </w:t>
      </w:r>
      <w:r>
        <w:rPr>
          <w:b/>
          <w:bCs/>
        </w:rPr>
        <w:t>[1]</w:t>
      </w:r>
      <w:r>
        <w:t>. Continue pumping until the chamber pressure reaches less than or equal to 5 × 10</w:t>
      </w:r>
      <w:r>
        <w:rPr>
          <w:vertAlign w:val="superscript"/>
        </w:rPr>
        <w:t>−3</w:t>
      </w:r>
      <w:r>
        <w:t xml:space="preserve"> Torr </w:t>
      </w:r>
      <w:r>
        <w:rPr>
          <w:b/>
          <w:bCs/>
        </w:rPr>
        <w:t>[2]</w:t>
      </w:r>
      <w:r>
        <w:t xml:space="preserve">. </w:t>
      </w:r>
    </w:p>
    <w:p w14:paraId="71A9B94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chamber pressure reading on the sputtering system vacuum gauge.</w:t>
      </w:r>
    </w:p>
    <w:p w14:paraId="17350D45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chamber pressure reaching less than or equal to 5 × 10−3 Torr on the controller display.</w:t>
      </w:r>
    </w:p>
    <w:p w14:paraId="73B2835F" w14:textId="77777777" w:rsidR="009F58C0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Switch on the cooling system and set the temperature to 288 Kelvin </w:t>
      </w:r>
      <w:r>
        <w:rPr>
          <w:b/>
          <w:bCs/>
          <w:lang w:val="en-US"/>
        </w:rPr>
        <w:t>[1]</w:t>
      </w:r>
      <w:r>
        <w:rPr>
          <w:lang w:val="en-US"/>
        </w:rPr>
        <w:t xml:space="preserve"> to ensure continuous circulation of recirculated deionized water through both sputter guns prior to plasma ignition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[2]</w:t>
      </w:r>
      <w:r>
        <w:t>.</w:t>
      </w:r>
    </w:p>
    <w:p w14:paraId="2266D943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switching on the cooling system and setting the temperature to 288 </w:t>
      </w:r>
      <w:proofErr w:type="gramStart"/>
      <w:r>
        <w:rPr>
          <w:lang w:val="en-IN"/>
        </w:rPr>
        <w:t>kelvin</w:t>
      </w:r>
      <w:proofErr w:type="gramEnd"/>
      <w:r>
        <w:rPr>
          <w:lang w:val="en-IN"/>
        </w:rPr>
        <w:t xml:space="preserve"> on the controller.</w:t>
      </w:r>
    </w:p>
    <w:p w14:paraId="5EA99BA8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Shot of recirculated deionized water flowing through the cooling lines connected to both sputter guns.</w:t>
      </w:r>
    </w:p>
    <w:p w14:paraId="2BC55E57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Introduce high-purity argon gas at 4 standard cubic </w:t>
      </w:r>
      <w:proofErr w:type="spellStart"/>
      <w:r>
        <w:t>centimeters</w:t>
      </w:r>
      <w:proofErr w:type="spellEnd"/>
      <w:r>
        <w:t xml:space="preserve"> per minute </w:t>
      </w:r>
      <w:r>
        <w:rPr>
          <w:b/>
          <w:bCs/>
        </w:rPr>
        <w:t>[1]</w:t>
      </w:r>
      <w:r>
        <w:t xml:space="preserve">. Allow the gas flow to stabilize for approximately 2 to 5 minutes, or until it remains steady at greater than or equal to 3.9 standard cubic </w:t>
      </w:r>
      <w:proofErr w:type="spellStart"/>
      <w:r>
        <w:t>centimeters</w:t>
      </w:r>
      <w:proofErr w:type="spellEnd"/>
      <w:r>
        <w:t xml:space="preserve"> per minute </w:t>
      </w:r>
      <w:r>
        <w:rPr>
          <w:b/>
          <w:bCs/>
        </w:rPr>
        <w:t>[2]</w:t>
      </w:r>
      <w:r>
        <w:t>.</w:t>
      </w:r>
    </w:p>
    <w:p w14:paraId="4DC0EF1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introducing argon gas into the sputtering chamber at 4 standard cubic </w:t>
      </w:r>
      <w:proofErr w:type="spellStart"/>
      <w:r>
        <w:rPr>
          <w:lang w:val="en-IN"/>
        </w:rPr>
        <w:t>centimeters</w:t>
      </w:r>
      <w:proofErr w:type="spellEnd"/>
      <w:r>
        <w:rPr>
          <w:lang w:val="en-IN"/>
        </w:rPr>
        <w:t xml:space="preserve"> per minute.</w:t>
      </w:r>
    </w:p>
    <w:p w14:paraId="7DA0599B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lastRenderedPageBreak/>
        <w:t xml:space="preserve">Show the stabilized argon gas flow reading at greater than or equal to 3.9 standard cubic </w:t>
      </w:r>
      <w:proofErr w:type="spellStart"/>
      <w:r>
        <w:rPr>
          <w:lang w:val="en-IN"/>
        </w:rPr>
        <w:t>centimeters</w:t>
      </w:r>
      <w:proofErr w:type="spellEnd"/>
      <w:r>
        <w:rPr>
          <w:lang w:val="en-IN"/>
        </w:rPr>
        <w:t xml:space="preserve"> per minute.</w:t>
      </w:r>
    </w:p>
    <w:p w14:paraId="0B9A87DF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Set the substrate rotation to 10 rpm in a single fixed direction and maintain continuous rotation throughout pre-sputtering and deposition </w:t>
      </w:r>
      <w:r>
        <w:rPr>
          <w:b/>
          <w:bCs/>
        </w:rPr>
        <w:t>[1]</w:t>
      </w:r>
      <w:r>
        <w:t xml:space="preserve">. Power on the radio frequency power supply and the matching-network controller </w:t>
      </w:r>
      <w:r>
        <w:rPr>
          <w:b/>
          <w:bCs/>
        </w:rPr>
        <w:t>[2]</w:t>
      </w:r>
      <w:r>
        <w:t>.</w:t>
      </w:r>
    </w:p>
    <w:p w14:paraId="425B3387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setting the substrate rotation speed to 10 revolutions per minute on the controller.</w:t>
      </w:r>
    </w:p>
    <w:p w14:paraId="3FD4A0C1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powering on the radio frequency power supply and the matching-network controller.</w:t>
      </w:r>
    </w:p>
    <w:p w14:paraId="5B27D65E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Adjust the matching-network settings for both radio frequency guns using the Minimum or Maximum function until the Load value reaches 50 watts and the Tune value reaches 50 watts </w:t>
      </w:r>
      <w:r>
        <w:rPr>
          <w:b/>
          <w:bCs/>
        </w:rPr>
        <w:t>[1]</w:t>
      </w:r>
      <w:r>
        <w:t xml:space="preserve">. Switch the controller mode from Manual to Auto matching </w:t>
      </w:r>
      <w:r>
        <w:rPr>
          <w:b/>
          <w:bCs/>
        </w:rPr>
        <w:t>[2]</w:t>
      </w:r>
      <w:r>
        <w:t>.</w:t>
      </w:r>
    </w:p>
    <w:p w14:paraId="2257AE37" w14:textId="7E5BEC2A" w:rsidR="009F58C0" w:rsidRDefault="00173BE4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</w:t>
      </w:r>
      <w:r w:rsidR="00000000">
        <w:rPr>
          <w:lang w:val="en-IN"/>
        </w:rPr>
        <w:t>how the matching-network controller while adjusting the Load and Tune values to 50 watts using the Min/Max function.</w:t>
      </w:r>
    </w:p>
    <w:p w14:paraId="18C33432" w14:textId="35C359EA" w:rsidR="009F58C0" w:rsidRDefault="00173BE4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</w:t>
      </w:r>
      <w:r w:rsidR="00000000">
        <w:rPr>
          <w:lang w:val="en-IN"/>
        </w:rPr>
        <w:t>how the controller mode being changed from Manual to Auto matching.</w:t>
      </w:r>
    </w:p>
    <w:p w14:paraId="13B62F32" w14:textId="77777777" w:rsidR="009F58C0" w:rsidRDefault="00000000">
      <w:pPr>
        <w:pStyle w:val="Narration"/>
        <w:numPr>
          <w:ilvl w:val="1"/>
          <w:numId w:val="2"/>
        </w:numPr>
      </w:pPr>
      <w:r>
        <w:t>Minimize the reflected power prior to plasma ignition and</w:t>
      </w:r>
      <w:r>
        <w:rPr>
          <w:b/>
          <w:bCs/>
        </w:rPr>
        <w:t xml:space="preserve"> </w:t>
      </w:r>
      <w:r>
        <w:t xml:space="preserve">confirm that the reflected power remains less than or equal to 5 watts as the acceptance threshold </w:t>
      </w:r>
      <w:r>
        <w:rPr>
          <w:b/>
          <w:bCs/>
        </w:rPr>
        <w:t>[1]</w:t>
      </w:r>
      <w:r>
        <w:t>.</w:t>
      </w:r>
    </w:p>
    <w:p w14:paraId="4F3D3A26" w14:textId="6069CE48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reflected power decreasing on the system controller before plasma ignition, and show the reflected power stabilized at less than or equal to 5 watts.</w:t>
      </w:r>
    </w:p>
    <w:p w14:paraId="64769CF2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Set the radio frequency power to 50 watts on the bismuth telluride gun and 10 watts on the manganese gun before plasma ignition </w:t>
      </w:r>
      <w:r>
        <w:rPr>
          <w:b/>
          <w:bCs/>
        </w:rPr>
        <w:t>[1]</w:t>
      </w:r>
      <w:r>
        <w:t xml:space="preserve">. Ignite the plasma for both guns and confirm stable plasma by observing a steady glow maintained for approximately 1 to 2 minutes without visible flicker or sudden pressure spikes </w:t>
      </w:r>
      <w:r>
        <w:rPr>
          <w:b/>
          <w:bCs/>
        </w:rPr>
        <w:t>[2]</w:t>
      </w:r>
      <w:r>
        <w:t>.</w:t>
      </w:r>
    </w:p>
    <w:p w14:paraId="356FD67E" w14:textId="7F4EF810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radio frequency power settings of 50 watts for the bismuth telluride gun and 10 watts for the manganese gun.</w:t>
      </w:r>
    </w:p>
    <w:p w14:paraId="594EC3D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ignites the plasma for both sputter guns with a shot of stable plasma glow inside the sputtering chamber.</w:t>
      </w:r>
    </w:p>
    <w:p w14:paraId="3DBB36D7" w14:textId="77777777" w:rsidR="009F58C0" w:rsidRDefault="00000000">
      <w:pPr>
        <w:pStyle w:val="Narration"/>
        <w:numPr>
          <w:ilvl w:val="1"/>
          <w:numId w:val="2"/>
        </w:numPr>
      </w:pPr>
      <w:r>
        <w:rPr>
          <w:rFonts w:asciiTheme="majorHAnsi" w:hAnsiTheme="majorHAnsi" w:cstheme="majorHAnsi"/>
        </w:rPr>
        <w:t xml:space="preserve">Once stable plasma was achieved at both guns, </w:t>
      </w:r>
      <w:r>
        <w:t xml:space="preserve">pre-sputter both targets for 15 minutes to remove surface contamination and native oxides after stable plasma is achieved </w:t>
      </w:r>
      <w:r>
        <w:rPr>
          <w:b/>
          <w:bCs/>
        </w:rPr>
        <w:t>[1]</w:t>
      </w:r>
      <w:r>
        <w:t>.</w:t>
      </w:r>
    </w:p>
    <w:p w14:paraId="2419E6C7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performing pre-sputtering with stable plasma inside the chamber.</w:t>
      </w:r>
    </w:p>
    <w:p w14:paraId="5EBE1C7E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Remove the test substrates after pre-sputtering </w:t>
      </w:r>
      <w:r>
        <w:rPr>
          <w:b/>
          <w:bCs/>
        </w:rPr>
        <w:t>[1]</w:t>
      </w:r>
      <w:r>
        <w:t xml:space="preserve">. </w:t>
      </w:r>
    </w:p>
    <w:p w14:paraId="3E58092E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test substrates from the rotating substrate holder.</w:t>
      </w:r>
      <w:r>
        <w:rPr>
          <w:lang w:val="en-IN"/>
        </w:rPr>
        <w:br/>
      </w:r>
    </w:p>
    <w:p w14:paraId="53126BFD" w14:textId="77777777" w:rsidR="009F58C0" w:rsidRDefault="00000000">
      <w:pPr>
        <w:pStyle w:val="ListParagraph"/>
        <w:numPr>
          <w:ilvl w:val="0"/>
          <w:numId w:val="2"/>
        </w:numPr>
        <w:rPr>
          <w:rFonts w:asciiTheme="majorHAnsi" w:hAnsiTheme="majorHAnsi" w:cstheme="majorHAnsi"/>
          <w:b/>
          <w:bCs/>
        </w:rPr>
      </w:pPr>
      <w:r>
        <w:rPr>
          <w:rFonts w:asciiTheme="majorHAnsi" w:hAnsiTheme="majorHAnsi" w:cstheme="majorHAnsi"/>
          <w:b/>
          <w:bCs/>
        </w:rPr>
        <w:t xml:space="preserve">Co-Sputtering Deposition Procedure for Mn-Doped </w:t>
      </w:r>
      <w:proofErr w:type="spellStart"/>
      <w:r>
        <w:rPr>
          <w:rFonts w:asciiTheme="majorHAnsi" w:hAnsiTheme="majorHAnsi" w:cstheme="majorHAnsi"/>
          <w:b/>
          <w:bCs/>
        </w:rPr>
        <w:t>Bi₂Te</w:t>
      </w:r>
      <w:proofErr w:type="spellEnd"/>
      <w:r>
        <w:rPr>
          <w:rFonts w:asciiTheme="majorHAnsi" w:hAnsiTheme="majorHAnsi" w:cstheme="majorHAnsi"/>
          <w:b/>
          <w:bCs/>
        </w:rPr>
        <w:t>₃ Thin Films</w:t>
      </w:r>
    </w:p>
    <w:p w14:paraId="09349F2A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Before loading the substrates for the deposition run, remove dust from the chamber interior and the sample-holder region using a clean rubber blower </w:t>
      </w:r>
      <w:r>
        <w:rPr>
          <w:b/>
          <w:bCs/>
        </w:rPr>
        <w:t>[1]</w:t>
      </w:r>
      <w:r>
        <w:t xml:space="preserve">. Keep the viewing </w:t>
      </w:r>
      <w:r>
        <w:lastRenderedPageBreak/>
        <w:t xml:space="preserve">window protected with a clean petri dish lid for plasma observation </w:t>
      </w:r>
      <w:r>
        <w:rPr>
          <w:b/>
          <w:bCs/>
        </w:rPr>
        <w:t>[2]</w:t>
      </w:r>
      <w:r>
        <w:t>.</w:t>
      </w:r>
    </w:p>
    <w:p w14:paraId="42CAC48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dust from the chamber interior and sample-holder region using a clean rubber blower.</w:t>
      </w:r>
    </w:p>
    <w:p w14:paraId="77E1762E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a clean petri dish lid over the viewing window.</w:t>
      </w:r>
    </w:p>
    <w:p w14:paraId="1F7FC371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Inspect the targets to ensure that they are properly seated, </w:t>
      </w:r>
      <w:proofErr w:type="spellStart"/>
      <w:r>
        <w:t>centered</w:t>
      </w:r>
      <w:proofErr w:type="spellEnd"/>
      <w:r>
        <w:t xml:space="preserve">, and in good condition </w:t>
      </w:r>
      <w:r>
        <w:rPr>
          <w:b/>
          <w:bCs/>
        </w:rPr>
        <w:t>[1]</w:t>
      </w:r>
      <w:r>
        <w:t xml:space="preserve">. Verify that each target is firmly clamped and properly </w:t>
      </w:r>
      <w:proofErr w:type="spellStart"/>
      <w:r>
        <w:t>centered</w:t>
      </w:r>
      <w:proofErr w:type="spellEnd"/>
      <w:r>
        <w:t xml:space="preserve"> within the sputter gun </w:t>
      </w:r>
      <w:r>
        <w:rPr>
          <w:b/>
          <w:bCs/>
        </w:rPr>
        <w:t>[2]</w:t>
      </w:r>
      <w:r>
        <w:t>.</w:t>
      </w:r>
    </w:p>
    <w:p w14:paraId="6693FD93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inspecting the sputtering targets inside the chamber.</w:t>
      </w:r>
    </w:p>
    <w:p w14:paraId="5673DF5F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checking that the targets are firmly clamped and </w:t>
      </w:r>
      <w:proofErr w:type="spellStart"/>
      <w:r>
        <w:rPr>
          <w:lang w:val="en-IN"/>
        </w:rPr>
        <w:t>centered</w:t>
      </w:r>
      <w:proofErr w:type="spellEnd"/>
      <w:r>
        <w:rPr>
          <w:lang w:val="en-IN"/>
        </w:rPr>
        <w:t xml:space="preserve"> within the sputter guns.</w:t>
      </w:r>
    </w:p>
    <w:p w14:paraId="364D19BA" w14:textId="4C6E9415" w:rsidR="009F58C0" w:rsidRPr="00413FF3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Place the cleaned substrates symmetrically near the outer region of the rotating holder at approximately 5 to 10 </w:t>
      </w:r>
      <w:proofErr w:type="spellStart"/>
      <w:r>
        <w:t>millimeters</w:t>
      </w:r>
      <w:proofErr w:type="spellEnd"/>
      <w:r>
        <w:t xml:space="preserve"> from the holder </w:t>
      </w:r>
      <w:proofErr w:type="spellStart"/>
      <w:r>
        <w:t>center</w:t>
      </w:r>
      <w:proofErr w:type="spellEnd"/>
      <w:r>
        <w:t xml:space="preserve"> </w:t>
      </w:r>
      <w:r>
        <w:rPr>
          <w:b/>
          <w:bCs/>
        </w:rPr>
        <w:t>[1]</w:t>
      </w:r>
      <w:r>
        <w:t xml:space="preserve">. Align the longer side of each substrate parallel to the holder edge </w:t>
      </w:r>
      <w:r>
        <w:rPr>
          <w:b/>
          <w:bCs/>
        </w:rPr>
        <w:t>[2]</w:t>
      </w:r>
      <w:r>
        <w:t>.</w:t>
      </w:r>
      <w:r w:rsidR="00413FF3">
        <w:t xml:space="preserve"> </w:t>
      </w:r>
      <w:r w:rsidR="00413FF3" w:rsidRPr="00413FF3">
        <w:rPr>
          <w:lang w:val="en-US"/>
        </w:rPr>
        <w:t>Fix the target-to-substrate distance at 55 millimeters for both sputter guns</w:t>
      </w:r>
      <w:r w:rsidR="00413FF3">
        <w:rPr>
          <w:lang w:val="en-US"/>
        </w:rPr>
        <w:t xml:space="preserve"> </w:t>
      </w:r>
      <w:r w:rsidR="00413FF3" w:rsidRPr="00413FF3">
        <w:rPr>
          <w:b/>
          <w:bCs/>
          <w:lang w:val="en-US"/>
        </w:rPr>
        <w:t>[3]</w:t>
      </w:r>
    </w:p>
    <w:p w14:paraId="46E0C2B8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cleaned substrates symmetrically on the rotating holder near the outer region.</w:t>
      </w:r>
    </w:p>
    <w:p w14:paraId="379AF7FE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Close-up shot of the substrates aligned parallel to the holder edge.</w:t>
      </w:r>
    </w:p>
    <w:p w14:paraId="777973DB" w14:textId="27F86D38" w:rsidR="009F58C0" w:rsidRPr="006B6089" w:rsidRDefault="00000000" w:rsidP="006B6089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confirming the 55-millimeter target-to-substrate distance for both sputter guns.</w:t>
      </w:r>
    </w:p>
    <w:p w14:paraId="4F289B5F" w14:textId="77777777" w:rsidR="009F58C0" w:rsidRDefault="00000000">
      <w:pPr>
        <w:pStyle w:val="Narration"/>
        <w:numPr>
          <w:ilvl w:val="1"/>
          <w:numId w:val="2"/>
        </w:numPr>
      </w:pPr>
      <w:r>
        <w:t>Pump down the chamber to a base pressure of 5 × 10</w:t>
      </w:r>
      <w:r>
        <w:rPr>
          <w:vertAlign w:val="superscript"/>
        </w:rPr>
        <w:t>−5</w:t>
      </w:r>
      <w:r>
        <w:t xml:space="preserve"> Torr or lower </w:t>
      </w:r>
      <w:r>
        <w:rPr>
          <w:b/>
          <w:bCs/>
        </w:rPr>
        <w:t>[1]</w:t>
      </w:r>
      <w:r>
        <w:t xml:space="preserve">. For the first deposition run, continue evacuation for at least 5 hours or until the base pressure stabilizes at the target value </w:t>
      </w:r>
      <w:r>
        <w:rPr>
          <w:b/>
          <w:bCs/>
        </w:rPr>
        <w:t>[2]</w:t>
      </w:r>
      <w:r>
        <w:t xml:space="preserve">. Confirm base-pressure stability when the pressure drift remains less than or equal to 5% over approximately 10 minutes </w:t>
      </w:r>
      <w:r>
        <w:rPr>
          <w:b/>
          <w:bCs/>
        </w:rPr>
        <w:t>[3]</w:t>
      </w:r>
      <w:r>
        <w:t>.</w:t>
      </w:r>
    </w:p>
    <w:p w14:paraId="63DD6C04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initiating chamber pump-down for the deposition run.</w:t>
      </w:r>
    </w:p>
    <w:p w14:paraId="4085D3DC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chamber pressure decreasing during evacuation.</w:t>
      </w:r>
    </w:p>
    <w:p w14:paraId="691D62CE" w14:textId="6BD0307B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stabilized base-pressure reading with less than or equal to 5% drift over approximately 10 minutes.</w:t>
      </w:r>
    </w:p>
    <w:p w14:paraId="27646868" w14:textId="3024EBD6" w:rsidR="009F58C0" w:rsidRDefault="00000000">
      <w:pPr>
        <w:pStyle w:val="Narration"/>
        <w:numPr>
          <w:ilvl w:val="1"/>
          <w:numId w:val="2"/>
        </w:numPr>
      </w:pPr>
      <w:r>
        <w:t xml:space="preserve">Stabilize the cooling system at 288 </w:t>
      </w:r>
      <w:r w:rsidR="00413FF3">
        <w:t>kelvins</w:t>
      </w:r>
      <w:r>
        <w:t xml:space="preserve"> after reaching base pressure </w:t>
      </w:r>
      <w:r>
        <w:rPr>
          <w:b/>
          <w:bCs/>
        </w:rPr>
        <w:t>[1]</w:t>
      </w:r>
      <w:r>
        <w:t xml:space="preserve">. Set the argon flow to 4 standard cubic </w:t>
      </w:r>
      <w:proofErr w:type="spellStart"/>
      <w:r>
        <w:t>centimeters</w:t>
      </w:r>
      <w:proofErr w:type="spellEnd"/>
      <w:r>
        <w:t xml:space="preserve"> per minute and allow it to stabilize </w:t>
      </w:r>
      <w:r>
        <w:rPr>
          <w:b/>
          <w:bCs/>
        </w:rPr>
        <w:t>[2]</w:t>
      </w:r>
      <w:r>
        <w:t xml:space="preserve">. Maintain substrate rotation at 10 rpm </w:t>
      </w:r>
      <w:r>
        <w:rPr>
          <w:b/>
          <w:bCs/>
        </w:rPr>
        <w:t>[3]</w:t>
      </w:r>
      <w:r>
        <w:t>.</w:t>
      </w:r>
    </w:p>
    <w:p w14:paraId="52062304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Talent setting the cooling-system temperature to 288 </w:t>
      </w:r>
      <w:proofErr w:type="gramStart"/>
      <w:r>
        <w:rPr>
          <w:lang w:val="en-IN"/>
        </w:rPr>
        <w:t>kelvin</w:t>
      </w:r>
      <w:proofErr w:type="gramEnd"/>
      <w:r>
        <w:rPr>
          <w:lang w:val="en-IN"/>
        </w:rPr>
        <w:t>.</w:t>
      </w:r>
    </w:p>
    <w:p w14:paraId="507A23FF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Show the argon gas flow stabilized at greater than or equal to 3.9 standard cubic </w:t>
      </w:r>
      <w:proofErr w:type="spellStart"/>
      <w:r>
        <w:rPr>
          <w:lang w:val="en-IN"/>
        </w:rPr>
        <w:t>centimeters</w:t>
      </w:r>
      <w:proofErr w:type="spellEnd"/>
      <w:r>
        <w:rPr>
          <w:lang w:val="en-IN"/>
        </w:rPr>
        <w:t xml:space="preserve"> per minute.</w:t>
      </w:r>
    </w:p>
    <w:p w14:paraId="78C3DBC7" w14:textId="5ED1E254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substrate rotation speed set to 10 revolutions per minute.</w:t>
      </w:r>
    </w:p>
    <w:p w14:paraId="0CD361F3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Confirm the matching-network settings for both guns and enable Auto matching on the </w:t>
      </w:r>
      <w:r>
        <w:lastRenderedPageBreak/>
        <w:t xml:space="preserve">controller </w:t>
      </w:r>
      <w:r>
        <w:rPr>
          <w:b/>
          <w:bCs/>
        </w:rPr>
        <w:t>[1]</w:t>
      </w:r>
      <w:r>
        <w:t>.</w:t>
      </w:r>
    </w:p>
    <w:p w14:paraId="2461561C" w14:textId="39D6784C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settings for both sputter guns and enable auto matching</w:t>
      </w:r>
    </w:p>
    <w:p w14:paraId="23873B01" w14:textId="77777777" w:rsidR="006B6089" w:rsidRDefault="006B6089" w:rsidP="006B6089">
      <w:pPr>
        <w:pStyle w:val="Narration"/>
        <w:numPr>
          <w:ilvl w:val="1"/>
          <w:numId w:val="2"/>
        </w:numPr>
      </w:pPr>
      <w:r>
        <w:t xml:space="preserve">Initiate the bismuth telluride gun at 70 watts for easier plasma ignition </w:t>
      </w:r>
      <w:r>
        <w:rPr>
          <w:b/>
          <w:bCs/>
        </w:rPr>
        <w:t>[1]</w:t>
      </w:r>
      <w:r>
        <w:t xml:space="preserve">. Increase the power by 5 watts every 10 seconds until reaching 100 watts </w:t>
      </w:r>
      <w:r>
        <w:rPr>
          <w:b/>
          <w:bCs/>
        </w:rPr>
        <w:t>[2]</w:t>
      </w:r>
      <w:r>
        <w:t xml:space="preserve">. Start the deposition timer only after the bismuth telluride power readback remains at 100 watts for approximately 30 seconds and plasma stability is confirmed </w:t>
      </w:r>
      <w:r>
        <w:rPr>
          <w:b/>
          <w:bCs/>
        </w:rPr>
        <w:t>[3]</w:t>
      </w:r>
      <w:r>
        <w:t>.</w:t>
      </w:r>
    </w:p>
    <w:p w14:paraId="15EF65EA" w14:textId="77777777" w:rsidR="006B6089" w:rsidRDefault="006B6089" w:rsidP="006B6089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 Show the bismuth telluride gun initiated at 70 watts on the power controller.</w:t>
      </w:r>
    </w:p>
    <w:p w14:paraId="1C257F9A" w14:textId="73D1CC01" w:rsidR="006B6089" w:rsidRDefault="006B6089" w:rsidP="006B6089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gradual increase of the bismuth telluride power in 5-watt increments until reaching 100 watts.</w:t>
      </w:r>
    </w:p>
    <w:p w14:paraId="6965738D" w14:textId="528C3EBE" w:rsidR="006B6089" w:rsidRPr="006B6089" w:rsidRDefault="006B6089" w:rsidP="006B6089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stable 100-watt power readback and the deposition timer being started.</w:t>
      </w:r>
    </w:p>
    <w:p w14:paraId="01CC6B70" w14:textId="2F765346" w:rsidR="00413FF3" w:rsidRDefault="00413FF3" w:rsidP="00413FF3">
      <w:pPr>
        <w:pStyle w:val="Narration"/>
        <w:numPr>
          <w:ilvl w:val="1"/>
          <w:numId w:val="2"/>
        </w:numPr>
      </w:pPr>
      <w:r>
        <w:t xml:space="preserve">Deposit the films for 30 minutes while maintaining stable plasma conditions during the deposition process </w:t>
      </w:r>
      <w:r>
        <w:rPr>
          <w:b/>
          <w:bCs/>
        </w:rPr>
        <w:t>[1]</w:t>
      </w:r>
      <w:r>
        <w:t>.</w:t>
      </w:r>
    </w:p>
    <w:p w14:paraId="0DFCA4A4" w14:textId="4E93098A" w:rsidR="00413FF3" w:rsidRPr="00AB7B2B" w:rsidRDefault="00413FF3" w:rsidP="00AB7B2B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monitoring the sputtering system during the 30-minute deposition process.</w:t>
      </w:r>
    </w:p>
    <w:p w14:paraId="52B9431D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Using the same parameters, repeat the deposition steps for manganese at radio-frequency powers of 10 watts and 15 watts, using fresh substrates </w:t>
      </w:r>
      <w:r>
        <w:rPr>
          <w:b/>
          <w:bCs/>
        </w:rPr>
        <w:t>[1]</w:t>
      </w:r>
      <w:r>
        <w:t>.</w:t>
      </w:r>
    </w:p>
    <w:p w14:paraId="2850A0FA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loading fresh substrates for subsequent manganese power conditions.</w:t>
      </w:r>
    </w:p>
    <w:p w14:paraId="3A208B1D" w14:textId="77777777" w:rsidR="009F58C0" w:rsidRDefault="00000000">
      <w:pPr>
        <w:pStyle w:val="ShotDescription"/>
        <w:numPr>
          <w:ilvl w:val="0"/>
          <w:numId w:val="2"/>
        </w:numPr>
        <w:rPr>
          <w:b/>
          <w:bCs/>
          <w:lang w:val="en-IN"/>
        </w:rPr>
      </w:pPr>
      <w:r>
        <w:rPr>
          <w:b/>
          <w:bCs/>
          <w:lang w:val="en-IN"/>
        </w:rPr>
        <w:t>System Shutdown, and Post-Deposition Sample Handling</w:t>
      </w:r>
    </w:p>
    <w:p w14:paraId="01C094D0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Initiate shutdown through the system controller by switching off the radio frequency output first </w:t>
      </w:r>
      <w:r>
        <w:rPr>
          <w:b/>
          <w:bCs/>
        </w:rPr>
        <w:t>[1]</w:t>
      </w:r>
      <w:r>
        <w:t xml:space="preserve">. Reduce the argon flow to 0 standard cubic </w:t>
      </w:r>
      <w:proofErr w:type="spellStart"/>
      <w:r>
        <w:t>centimeters</w:t>
      </w:r>
      <w:proofErr w:type="spellEnd"/>
      <w:r>
        <w:t xml:space="preserve"> per minute while keeping the cooling system active until the chamber is vented and the sputter guns return to near-ambient temperature </w:t>
      </w:r>
      <w:r>
        <w:rPr>
          <w:b/>
          <w:bCs/>
        </w:rPr>
        <w:t>[2]</w:t>
      </w:r>
      <w:r>
        <w:t>.</w:t>
      </w:r>
    </w:p>
    <w:p w14:paraId="7543174E" w14:textId="6A2AFD11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radio frequency output being switched off on the controller.</w:t>
      </w:r>
    </w:p>
    <w:p w14:paraId="29E20D6A" w14:textId="2DA791FD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Show the argon flow reduced to 0 standard cubic </w:t>
      </w:r>
      <w:proofErr w:type="spellStart"/>
      <w:r>
        <w:rPr>
          <w:lang w:val="en-IN"/>
        </w:rPr>
        <w:t>centimeters</w:t>
      </w:r>
      <w:proofErr w:type="spellEnd"/>
      <w:r>
        <w:rPr>
          <w:lang w:val="en-IN"/>
        </w:rPr>
        <w:t xml:space="preserve"> per minute while the cooling system remains active.</w:t>
      </w:r>
    </w:p>
    <w:p w14:paraId="60295B92" w14:textId="77777777" w:rsidR="009F58C0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Confirm that the turbomolecular pump has stopped completely and the speed reading is 0 before venting the chamber </w:t>
      </w:r>
      <w:r>
        <w:rPr>
          <w:b/>
          <w:bCs/>
        </w:rPr>
        <w:t>[2]</w:t>
      </w:r>
      <w:r>
        <w:t>.</w:t>
      </w:r>
    </w:p>
    <w:p w14:paraId="2DAAD57E" w14:textId="16777E93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Show the turbomolecular pump status indicator on the controller.</w:t>
      </w:r>
    </w:p>
    <w:p w14:paraId="10794897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Vent the chamber slowly using dry nitrogen through the vent valve to allow gradual pressure equalization and minimize particle disturbance </w:t>
      </w:r>
      <w:r>
        <w:rPr>
          <w:b/>
          <w:bCs/>
        </w:rPr>
        <w:t>[1]</w:t>
      </w:r>
      <w:r>
        <w:t>.</w:t>
      </w:r>
    </w:p>
    <w:p w14:paraId="17E2846D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slowly opening the vent valve to introduce dry nitrogen into the chamber for venting.</w:t>
      </w:r>
    </w:p>
    <w:p w14:paraId="67FF0C95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Open the chamber only after the pressure returns to approximately atmospheric pressure at approximately 760 Torr, and the chamber door can be released without </w:t>
      </w:r>
      <w:r>
        <w:lastRenderedPageBreak/>
        <w:t xml:space="preserve">resistance </w:t>
      </w:r>
      <w:r>
        <w:rPr>
          <w:b/>
          <w:bCs/>
        </w:rPr>
        <w:t>[1]</w:t>
      </w:r>
      <w:r>
        <w:t>.</w:t>
      </w:r>
    </w:p>
    <w:p w14:paraId="3E9298CE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opening the sputtering chamber after confirming atmospheric pressure conditions.</w:t>
      </w:r>
    </w:p>
    <w:p w14:paraId="18FCE729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Wear a mask and gloves during sample removal to reduce contamination and exposure to fine particles </w:t>
      </w:r>
      <w:r>
        <w:rPr>
          <w:b/>
          <w:bCs/>
        </w:rPr>
        <w:t>[1]</w:t>
      </w:r>
      <w:r>
        <w:t xml:space="preserve">. Remove the deposited samples from the chamber </w:t>
      </w:r>
      <w:r>
        <w:rPr>
          <w:b/>
          <w:bCs/>
        </w:rPr>
        <w:t>[2]</w:t>
      </w:r>
      <w:r>
        <w:t>.</w:t>
      </w:r>
    </w:p>
    <w:p w14:paraId="393CDEF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wearing a mask and gloves before handling the samples.</w:t>
      </w:r>
    </w:p>
    <w:p w14:paraId="6F41B597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removing the deposited samples from the chamber.</w:t>
      </w:r>
    </w:p>
    <w:p w14:paraId="46E04D3A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Transfer the samples into a clean petri dish </w:t>
      </w:r>
      <w:r>
        <w:rPr>
          <w:b/>
          <w:bCs/>
        </w:rPr>
        <w:t>[1]</w:t>
      </w:r>
      <w:r>
        <w:t>. Store the samples in a vacuum storage container and</w:t>
      </w:r>
      <w:r>
        <w:rPr>
          <w:b/>
          <w:bCs/>
        </w:rPr>
        <w:t xml:space="preserve"> </w:t>
      </w:r>
      <w:r>
        <w:t xml:space="preserve">perform characterization within 24 to 72 hours after deposition </w:t>
      </w:r>
      <w:r>
        <w:rPr>
          <w:b/>
          <w:bCs/>
        </w:rPr>
        <w:t>[2]</w:t>
      </w:r>
      <w:r>
        <w:t>.</w:t>
      </w:r>
    </w:p>
    <w:p w14:paraId="25FF8F27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deposited samples into a clean petri dish.</w:t>
      </w:r>
    </w:p>
    <w:p w14:paraId="58237FEB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placing the petri dish into a vacuum storage container.</w:t>
      </w:r>
    </w:p>
    <w:p w14:paraId="46FAD591" w14:textId="78C83E15" w:rsidR="009F58C0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After sample removal, rough-pump the chamber </w:t>
      </w:r>
      <w:proofErr w:type="gramStart"/>
      <w:r>
        <w:rPr>
          <w:lang w:val="en-US"/>
        </w:rPr>
        <w:t xml:space="preserve">for </w:t>
      </w:r>
      <w:r w:rsidR="005C4B49">
        <w:rPr>
          <w:lang w:val="en-US"/>
        </w:rPr>
        <w:t xml:space="preserve"> </w:t>
      </w:r>
      <w:r>
        <w:rPr>
          <w:lang w:val="en-US"/>
        </w:rPr>
        <w:t>10</w:t>
      </w:r>
      <w:proofErr w:type="gramEnd"/>
      <w:r>
        <w:rPr>
          <w:lang w:val="en-US"/>
        </w:rPr>
        <w:t>–15 minutes to reach the required pre-TMP pressure, minimizing exposure to ambient air and moisture</w:t>
      </w:r>
      <w:r>
        <w:rPr>
          <w:b/>
          <w:bCs/>
          <w:lang w:val="en-US"/>
        </w:rPr>
        <w:t xml:space="preserve"> [1].</w:t>
      </w:r>
    </w:p>
    <w:p w14:paraId="1FDFF046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>Talent initiating rough pumping of the chamber after sample removal.</w:t>
      </w:r>
    </w:p>
    <w:p w14:paraId="4F29D12B" w14:textId="77777777" w:rsidR="009F58C0" w:rsidRDefault="009F58C0">
      <w:pPr>
        <w:rPr>
          <w:lang w:val="en-IN"/>
        </w:rPr>
      </w:pPr>
    </w:p>
    <w:p w14:paraId="5B70224D" w14:textId="77777777" w:rsidR="009F58C0" w:rsidRDefault="00000000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77777777" w:rsidR="009F58C0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476287CC" w14:textId="77777777" w:rsidR="009F58C0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F58C0" w:rsidRDefault="009F58C0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C34D28B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X-ray diffraction patterns confirmed that all samples retained the rhombohedral </w:t>
      </w:r>
      <w:r>
        <w:rPr>
          <w:lang w:val="en-US"/>
        </w:rPr>
        <w:t>bismuth telluride</w:t>
      </w:r>
      <w:r>
        <w:t xml:space="preserve"> phase across the manganese power series </w:t>
      </w:r>
      <w:r>
        <w:rPr>
          <w:b/>
          <w:bCs/>
        </w:rPr>
        <w:t>[1].</w:t>
      </w:r>
    </w:p>
    <w:p w14:paraId="517DFAA8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4. </w:t>
      </w:r>
    </w:p>
    <w:p w14:paraId="74C5FB90" w14:textId="77777777" w:rsidR="009F58C0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The dominant diffraction peak shifted toward higher 2 theta values with increasing manganese input </w:t>
      </w:r>
      <w:r>
        <w:rPr>
          <w:b/>
          <w:bCs/>
        </w:rPr>
        <w:t xml:space="preserve">[1]. </w:t>
      </w:r>
      <w:r>
        <w:t xml:space="preserve">The crystallite size generally decreased from 14.23 </w:t>
      </w:r>
      <w:proofErr w:type="spellStart"/>
      <w:r>
        <w:t>nanometers</w:t>
      </w:r>
      <w:proofErr w:type="spellEnd"/>
      <w:r>
        <w:t xml:space="preserve"> at 0 watts to 8.35 </w:t>
      </w:r>
      <w:proofErr w:type="spellStart"/>
      <w:r>
        <w:t>nanometers</w:t>
      </w:r>
      <w:proofErr w:type="spellEnd"/>
      <w:r>
        <w:t xml:space="preserve"> at 15 watts, consistent with peak broadening at higher manganese power </w:t>
      </w:r>
      <w:r>
        <w:rPr>
          <w:b/>
          <w:bCs/>
        </w:rPr>
        <w:t>[2].</w:t>
      </w:r>
    </w:p>
    <w:p w14:paraId="6A50BB58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5. </w:t>
      </w:r>
    </w:p>
    <w:p w14:paraId="6F1D2D2C" w14:textId="77777777" w:rsidR="009F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Figure 5. </w:t>
      </w:r>
      <w:r>
        <w:rPr>
          <w:i/>
          <w:iCs/>
          <w:color w:val="0000FF"/>
          <w:lang w:val="en-IN"/>
        </w:rPr>
        <w:t xml:space="preserve">Video editor: Highlight the wider peak shape of the </w:t>
      </w:r>
      <w:proofErr w:type="gramStart"/>
      <w:r>
        <w:rPr>
          <w:i/>
          <w:iCs/>
          <w:color w:val="0000FF"/>
          <w:lang w:val="en-IN"/>
        </w:rPr>
        <w:t>15 watt</w:t>
      </w:r>
      <w:proofErr w:type="gramEnd"/>
      <w:r>
        <w:rPr>
          <w:i/>
          <w:iCs/>
          <w:color w:val="0000FF"/>
          <w:lang w:val="en-IN"/>
        </w:rPr>
        <w:t xml:space="preserve"> manganese curve compared with the narrower </w:t>
      </w:r>
      <w:proofErr w:type="gramStart"/>
      <w:r>
        <w:rPr>
          <w:i/>
          <w:iCs/>
          <w:color w:val="0000FF"/>
          <w:lang w:val="en-IN"/>
        </w:rPr>
        <w:t>0 watt</w:t>
      </w:r>
      <w:proofErr w:type="gramEnd"/>
      <w:r>
        <w:rPr>
          <w:i/>
          <w:iCs/>
          <w:color w:val="0000FF"/>
          <w:lang w:val="en-IN"/>
        </w:rPr>
        <w:t xml:space="preserve"> curve.</w:t>
      </w:r>
    </w:p>
    <w:p w14:paraId="4D5ADADC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Surface field-emission scanning electron microscopy images demonstrated clear changes in film microstructure with increasing manganese input </w:t>
      </w:r>
      <w:r>
        <w:rPr>
          <w:b/>
          <w:bCs/>
        </w:rPr>
        <w:t>[1].</w:t>
      </w:r>
    </w:p>
    <w:p w14:paraId="318AF6B9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6. </w:t>
      </w:r>
    </w:p>
    <w:p w14:paraId="3B27F804" w14:textId="77777777" w:rsidR="009F58C0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The 0-Watt control film showed larger polygonal grains with distinct grain boundaries </w:t>
      </w:r>
      <w:r>
        <w:rPr>
          <w:b/>
          <w:bCs/>
          <w:lang w:val="en-US"/>
        </w:rPr>
        <w:t>[1],</w:t>
      </w:r>
      <w:r>
        <w:rPr>
          <w:lang w:val="en-US"/>
        </w:rPr>
        <w:t xml:space="preserve"> while the 5-Watt Manganese-doped film exhibited a more compact surface with finer grains </w:t>
      </w:r>
      <w:r>
        <w:rPr>
          <w:b/>
          <w:bCs/>
        </w:rPr>
        <w:t>[2].</w:t>
      </w:r>
    </w:p>
    <w:p w14:paraId="07627F0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6. </w:t>
      </w:r>
      <w:r>
        <w:rPr>
          <w:i/>
          <w:iCs/>
          <w:color w:val="0000FF"/>
          <w:lang w:val="en-IN"/>
        </w:rPr>
        <w:t>Video editor: Highlight 6A.</w:t>
      </w:r>
    </w:p>
    <w:p w14:paraId="21E373B2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6b. </w:t>
      </w:r>
      <w:r>
        <w:rPr>
          <w:i/>
          <w:iCs/>
          <w:color w:val="0000FF"/>
          <w:lang w:val="en-IN"/>
        </w:rPr>
        <w:t>Video editor: Highlight 6B.</w:t>
      </w:r>
    </w:p>
    <w:p w14:paraId="2DDA2AD0" w14:textId="77777777" w:rsidR="009F58C0" w:rsidRDefault="00000000">
      <w:pPr>
        <w:pStyle w:val="Narration"/>
        <w:numPr>
          <w:ilvl w:val="1"/>
          <w:numId w:val="2"/>
        </w:numPr>
      </w:pPr>
      <w:r>
        <w:rPr>
          <w:lang w:val="en-US"/>
        </w:rPr>
        <w:t xml:space="preserve">Films deposited at 10 Watt and 15-Watt Manganese power appeared denser, with fewer intergranular gaps than the 0-Watt and 5-Watt samples </w:t>
      </w:r>
      <w:r>
        <w:rPr>
          <w:b/>
          <w:bCs/>
        </w:rPr>
        <w:t>[1].</w:t>
      </w:r>
    </w:p>
    <w:p w14:paraId="25A93B6A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6. Video editor: </w:t>
      </w:r>
      <w:r>
        <w:rPr>
          <w:i/>
          <w:iCs/>
          <w:color w:val="0000FF"/>
          <w:lang w:val="en-IN"/>
        </w:rPr>
        <w:t>Highlight 6c and D.</w:t>
      </w:r>
    </w:p>
    <w:p w14:paraId="3E4B793D" w14:textId="77777777" w:rsidR="009F58C0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t xml:space="preserve">Elemental composition analysis confirmed that manganese incorporation increased with increasing manganese target power </w:t>
      </w:r>
      <w:r>
        <w:rPr>
          <w:b/>
          <w:bCs/>
        </w:rPr>
        <w:t>[1].</w:t>
      </w:r>
    </w:p>
    <w:p w14:paraId="7076F82B" w14:textId="77777777" w:rsidR="009F58C0" w:rsidRDefault="00000000">
      <w:pPr>
        <w:pStyle w:val="ShotDescription"/>
        <w:numPr>
          <w:ilvl w:val="2"/>
          <w:numId w:val="2"/>
        </w:numPr>
        <w:rPr>
          <w:i/>
          <w:iCs/>
          <w:color w:val="0000FF"/>
          <w:lang w:val="en-IN"/>
        </w:rPr>
      </w:pPr>
      <w:r>
        <w:rPr>
          <w:lang w:val="en-IN"/>
        </w:rPr>
        <w:t xml:space="preserve">LAB MEDIA: Table 3. </w:t>
      </w:r>
      <w:r>
        <w:rPr>
          <w:i/>
          <w:iCs/>
          <w:color w:val="0000FF"/>
          <w:lang w:val="en-IN"/>
        </w:rPr>
        <w:t>Video editor: Highlight the “Mn (</w:t>
      </w:r>
      <w:proofErr w:type="gramStart"/>
      <w:r>
        <w:rPr>
          <w:i/>
          <w:iCs/>
          <w:color w:val="0000FF"/>
          <w:lang w:val="en-IN"/>
        </w:rPr>
        <w:t>at.%</w:t>
      </w:r>
      <w:proofErr w:type="gramEnd"/>
      <w:r>
        <w:rPr>
          <w:i/>
          <w:iCs/>
          <w:color w:val="0000FF"/>
          <w:lang w:val="en-IN"/>
        </w:rPr>
        <w:t>)” column showing the increase from 0.00 to 0.59 across the power values.</w:t>
      </w:r>
    </w:p>
    <w:p w14:paraId="1F1B6FC0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All films exhibited a negative </w:t>
      </w:r>
      <w:proofErr w:type="spellStart"/>
      <w:r>
        <w:t>Seebeck</w:t>
      </w:r>
      <w:proofErr w:type="spellEnd"/>
      <w:r>
        <w:t xml:space="preserve"> coefficient, confirming n-type conduction </w:t>
      </w:r>
      <w:proofErr w:type="spellStart"/>
      <w:r>
        <w:t>behavior</w:t>
      </w:r>
      <w:proofErr w:type="spellEnd"/>
      <w:r>
        <w:t xml:space="preserve">, and the magnitude of the </w:t>
      </w:r>
      <w:proofErr w:type="spellStart"/>
      <w:r>
        <w:t>Seebeck</w:t>
      </w:r>
      <w:proofErr w:type="spellEnd"/>
      <w:r>
        <w:t xml:space="preserve"> coefficient generally increased with temperature for all samples </w:t>
      </w:r>
      <w:r>
        <w:rPr>
          <w:b/>
          <w:bCs/>
        </w:rPr>
        <w:t>[1].</w:t>
      </w:r>
    </w:p>
    <w:p w14:paraId="64D62832" w14:textId="532DFC4D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7. </w:t>
      </w:r>
      <w:r>
        <w:rPr>
          <w:i/>
          <w:iCs/>
          <w:color w:val="0000FF"/>
          <w:lang w:val="en-IN"/>
        </w:rPr>
        <w:t xml:space="preserve">Video editor: Follow the plotted lines from left to right and emphasize </w:t>
      </w:r>
      <w:r w:rsidR="005C4B49">
        <w:rPr>
          <w:i/>
          <w:iCs/>
          <w:color w:val="0000FF"/>
          <w:lang w:val="en-IN"/>
        </w:rPr>
        <w:t>the marked points on the right side</w:t>
      </w:r>
      <w:r>
        <w:rPr>
          <w:i/>
          <w:iCs/>
          <w:color w:val="0000FF"/>
          <w:lang w:val="en-IN"/>
        </w:rPr>
        <w:t>.</w:t>
      </w:r>
    </w:p>
    <w:p w14:paraId="06D1047F" w14:textId="2E918813" w:rsidR="009F58C0" w:rsidRDefault="00000000">
      <w:pPr>
        <w:pStyle w:val="Narration"/>
        <w:numPr>
          <w:ilvl w:val="1"/>
          <w:numId w:val="2"/>
        </w:numPr>
        <w:rPr>
          <w:b/>
          <w:bCs/>
        </w:rPr>
      </w:pPr>
      <w:r>
        <w:lastRenderedPageBreak/>
        <w:t xml:space="preserve">The highest </w:t>
      </w:r>
      <w:proofErr w:type="spellStart"/>
      <w:r>
        <w:t>Seebeck</w:t>
      </w:r>
      <w:proofErr w:type="spellEnd"/>
      <w:r>
        <w:t xml:space="preserve"> coefficient magnitude was observed for the 15-watt film, reaching minus 162.08 microvolts </w:t>
      </w:r>
      <w:r w:rsidR="00173BE4">
        <w:t xml:space="preserve">per </w:t>
      </w:r>
      <w:r>
        <w:t xml:space="preserve">kelvin at 523 kelvins </w:t>
      </w:r>
      <w:r>
        <w:rPr>
          <w:b/>
          <w:bCs/>
        </w:rPr>
        <w:t>[1].</w:t>
      </w:r>
    </w:p>
    <w:p w14:paraId="1BA6390E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7. </w:t>
      </w:r>
      <w:r>
        <w:rPr>
          <w:i/>
          <w:iCs/>
          <w:color w:val="0000FF"/>
          <w:lang w:val="en-IN"/>
        </w:rPr>
        <w:t>Video editor: Highlight the pink 15-watt manganese curve</w:t>
      </w:r>
      <w:r>
        <w:rPr>
          <w:lang w:val="en-IN"/>
        </w:rPr>
        <w:t xml:space="preserve"> </w:t>
      </w:r>
    </w:p>
    <w:p w14:paraId="1A41F65F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All films exhibited semiconducting transport </w:t>
      </w:r>
      <w:proofErr w:type="spellStart"/>
      <w:r>
        <w:t>behavior</w:t>
      </w:r>
      <w:proofErr w:type="spellEnd"/>
      <w:r>
        <w:t xml:space="preserve">, where resistivity decreased with increasing temperature </w:t>
      </w:r>
      <w:r>
        <w:rPr>
          <w:b/>
          <w:bCs/>
        </w:rPr>
        <w:t>[1].</w:t>
      </w:r>
    </w:p>
    <w:p w14:paraId="6F954B36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8. </w:t>
      </w:r>
    </w:p>
    <w:p w14:paraId="1B5598E5" w14:textId="57D24EAB" w:rsidR="009F58C0" w:rsidRDefault="00000000">
      <w:pPr>
        <w:pStyle w:val="Narration"/>
        <w:numPr>
          <w:ilvl w:val="1"/>
          <w:numId w:val="2"/>
        </w:numPr>
      </w:pPr>
      <w:r>
        <w:t xml:space="preserve">The maximum power factor was achieved for the 5-watt film, reaching approximately </w:t>
      </w:r>
      <w:r w:rsidR="005C4B49">
        <w:t>529.33 microwatt</w:t>
      </w:r>
      <w:r>
        <w:t xml:space="preserve"> </w:t>
      </w:r>
      <w:r w:rsidR="00104DF1">
        <w:t>per</w:t>
      </w:r>
      <w:r>
        <w:t xml:space="preserve"> meter </w:t>
      </w:r>
      <w:r w:rsidR="00104DF1">
        <w:t xml:space="preserve">per </w:t>
      </w:r>
      <w:r>
        <w:t xml:space="preserve">kelvin squared at 523 kelvins </w:t>
      </w:r>
      <w:r>
        <w:rPr>
          <w:b/>
          <w:bCs/>
        </w:rPr>
        <w:t>[1].</w:t>
      </w:r>
    </w:p>
    <w:p w14:paraId="3DD7479B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9. </w:t>
      </w:r>
      <w:r>
        <w:rPr>
          <w:i/>
          <w:iCs/>
          <w:color w:val="0000FF"/>
          <w:lang w:val="en-IN"/>
        </w:rPr>
        <w:t xml:space="preserve">Video editor: Highlight the red </w:t>
      </w:r>
      <w:proofErr w:type="gramStart"/>
      <w:r>
        <w:rPr>
          <w:i/>
          <w:iCs/>
          <w:color w:val="0000FF"/>
          <w:lang w:val="en-IN"/>
        </w:rPr>
        <w:t>5 watt</w:t>
      </w:r>
      <w:proofErr w:type="gramEnd"/>
      <w:r>
        <w:rPr>
          <w:i/>
          <w:iCs/>
          <w:color w:val="0000FF"/>
          <w:lang w:val="en-IN"/>
        </w:rPr>
        <w:t xml:space="preserve"> manganese curve</w:t>
      </w:r>
      <w:r>
        <w:rPr>
          <w:color w:val="0000FF"/>
          <w:lang w:val="en-IN"/>
        </w:rPr>
        <w:t xml:space="preserve"> </w:t>
      </w:r>
    </w:p>
    <w:p w14:paraId="06E2EAEA" w14:textId="77777777" w:rsidR="009F58C0" w:rsidRDefault="00000000">
      <w:pPr>
        <w:pStyle w:val="Narration"/>
        <w:numPr>
          <w:ilvl w:val="1"/>
          <w:numId w:val="2"/>
        </w:numPr>
      </w:pPr>
      <w:r>
        <w:t xml:space="preserve">Although the 15-watt film exhibited the highest </w:t>
      </w:r>
      <w:proofErr w:type="spellStart"/>
      <w:r>
        <w:t>Seebeck</w:t>
      </w:r>
      <w:proofErr w:type="spellEnd"/>
      <w:r>
        <w:t xml:space="preserve"> coefficient magnitude, the increased resistivity reduced the power factor to </w:t>
      </w:r>
      <w:proofErr w:type="gramStart"/>
      <w:r>
        <w:t>300.59 microwatt</w:t>
      </w:r>
      <w:proofErr w:type="gramEnd"/>
      <w:r>
        <w:t xml:space="preserve"> inverse meter inverse kelvin squared </w:t>
      </w:r>
      <w:r>
        <w:rPr>
          <w:b/>
          <w:bCs/>
        </w:rPr>
        <w:t>[1].</w:t>
      </w:r>
    </w:p>
    <w:p w14:paraId="4A5AD22C" w14:textId="77777777" w:rsidR="009F58C0" w:rsidRDefault="00000000">
      <w:pPr>
        <w:pStyle w:val="ShotDescription"/>
        <w:numPr>
          <w:ilvl w:val="2"/>
          <w:numId w:val="2"/>
        </w:numPr>
        <w:rPr>
          <w:lang w:val="en-IN"/>
        </w:rPr>
      </w:pPr>
      <w:r>
        <w:rPr>
          <w:lang w:val="en-IN"/>
        </w:rPr>
        <w:t xml:space="preserve">LAB MEDIA: Figure 9. </w:t>
      </w:r>
      <w:r>
        <w:rPr>
          <w:i/>
          <w:iCs/>
          <w:color w:val="0000FF"/>
          <w:lang w:val="en-IN"/>
        </w:rPr>
        <w:t>Video editor: Highlight the pink 15-watt manganese curve</w:t>
      </w:r>
      <w:r>
        <w:rPr>
          <w:color w:val="0000FF"/>
          <w:lang w:val="en-IN"/>
        </w:rPr>
        <w:t xml:space="preserve"> </w:t>
      </w:r>
    </w:p>
    <w:p w14:paraId="193DC08C" w14:textId="77777777" w:rsidR="009F58C0" w:rsidRDefault="00000000">
      <w:pPr>
        <w:rPr>
          <w:lang w:val="en-IN"/>
        </w:rPr>
      </w:pPr>
      <w:r>
        <w:rPr>
          <w:lang w:val="en-IN"/>
        </w:rPr>
        <w:t>.</w:t>
      </w:r>
    </w:p>
    <w:p w14:paraId="00E4DD89" w14:textId="77777777" w:rsidR="009F58C0" w:rsidRDefault="009F58C0">
      <w:pPr>
        <w:rPr>
          <w:rFonts w:eastAsia="Times New Roman" w:cstheme="minorHAnsi"/>
          <w:sz w:val="52"/>
        </w:rPr>
      </w:pPr>
    </w:p>
    <w:sectPr w:rsidR="009F58C0">
      <w:headerReference w:type="default" r:id="rId8"/>
      <w:footerReference w:type="even" r:id="rId9"/>
      <w:footerReference w:type="default" r:id="rId10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E34CFF" w14:textId="77777777" w:rsidR="000B6AFB" w:rsidRDefault="000B6AFB">
      <w:r>
        <w:separator/>
      </w:r>
    </w:p>
  </w:endnote>
  <w:endnote w:type="continuationSeparator" w:id="0">
    <w:p w14:paraId="2A6CB322" w14:textId="77777777" w:rsidR="000B6AFB" w:rsidRDefault="000B6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AutoText"/>
      </w:docPartObj>
    </w:sdtPr>
    <w:sdtContent>
      <w:p w14:paraId="5A938141" w14:textId="77777777" w:rsidR="009F58C0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9F58C0" w:rsidRDefault="009F58C0">
    <w:pPr>
      <w:pStyle w:val="Footer"/>
      <w:ind w:right="360"/>
    </w:pPr>
  </w:p>
  <w:p w14:paraId="1151463A" w14:textId="77777777" w:rsidR="009F58C0" w:rsidRDefault="009F58C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8F39254" w:rsidR="009F58C0" w:rsidRDefault="00000000" w:rsidP="005C669B">
    <w:pPr>
      <w:pStyle w:val="Footer"/>
      <w:tabs>
        <w:tab w:val="clear" w:pos="8640"/>
        <w:tab w:val="left" w:pos="343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173BE4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5C669B">
      <w:rPr>
        <w:rFonts w:cstheme="minorHAnsi"/>
        <w:lang w:val="en-IN"/>
      </w:rPr>
      <w:t xml:space="preserve">June 06, </w:t>
    </w:r>
    <w:proofErr w:type="gramStart"/>
    <w:r w:rsidR="005C669B">
      <w:rPr>
        <w:rFonts w:cstheme="minorHAnsi"/>
        <w:lang w:val="en-IN"/>
      </w:rPr>
      <w:t>2026</w:t>
    </w:r>
    <w:proofErr w:type="gramEnd"/>
    <w:r w:rsidR="005C669B">
      <w:rPr>
        <w:rFonts w:cstheme="minorHAnsi"/>
      </w:rPr>
      <w:tab/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253EE" w14:textId="77777777" w:rsidR="000B6AFB" w:rsidRDefault="000B6AFB">
      <w:r>
        <w:separator/>
      </w:r>
    </w:p>
  </w:footnote>
  <w:footnote w:type="continuationSeparator" w:id="0">
    <w:p w14:paraId="128EB906" w14:textId="77777777" w:rsidR="000B6AFB" w:rsidRDefault="000B6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459D49DC" w:rsidR="009F58C0" w:rsidRPr="005C669B" w:rsidRDefault="00000000" w:rsidP="005C669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5C669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4F0F6AD" wp14:editId="7B341579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669B" w:rsidRPr="005C669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9F58C0" w:rsidRDefault="009F58C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6D687795"/>
    <w:multiLevelType w:val="multilevel"/>
    <w:tmpl w:val="BCDA9B6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44475001">
    <w:abstractNumId w:val="3"/>
  </w:num>
  <w:num w:numId="2" w16cid:durableId="760762795">
    <w:abstractNumId w:val="2"/>
  </w:num>
  <w:num w:numId="3" w16cid:durableId="1958945358">
    <w:abstractNumId w:val="1"/>
  </w:num>
  <w:num w:numId="4" w16cid:durableId="1896158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B6AFB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DF1"/>
    <w:rsid w:val="001052C8"/>
    <w:rsid w:val="00106F46"/>
    <w:rsid w:val="001115D1"/>
    <w:rsid w:val="00113F3E"/>
    <w:rsid w:val="0011473F"/>
    <w:rsid w:val="00120EC9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3BE4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73D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5BCA"/>
    <w:rsid w:val="002D48BB"/>
    <w:rsid w:val="002D52A1"/>
    <w:rsid w:val="002D752A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0D82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26D8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C9A"/>
    <w:rsid w:val="00363153"/>
    <w:rsid w:val="00364249"/>
    <w:rsid w:val="003672FC"/>
    <w:rsid w:val="003750E8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6869"/>
    <w:rsid w:val="003F003E"/>
    <w:rsid w:val="003F4B52"/>
    <w:rsid w:val="004018D8"/>
    <w:rsid w:val="004025BB"/>
    <w:rsid w:val="004034B6"/>
    <w:rsid w:val="004114EA"/>
    <w:rsid w:val="00413FF3"/>
    <w:rsid w:val="004145F3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5CFE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56A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3D23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6766B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4B49"/>
    <w:rsid w:val="005C669B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B6089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E32E4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5EA"/>
    <w:rsid w:val="008A413E"/>
    <w:rsid w:val="008A7A3E"/>
    <w:rsid w:val="008C642C"/>
    <w:rsid w:val="008D0E4A"/>
    <w:rsid w:val="008D2A6A"/>
    <w:rsid w:val="008D52FB"/>
    <w:rsid w:val="008D5443"/>
    <w:rsid w:val="008D58EC"/>
    <w:rsid w:val="008E16F3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665A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9F58C0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B7B2B"/>
    <w:rsid w:val="00AC16C3"/>
    <w:rsid w:val="00AC4231"/>
    <w:rsid w:val="00AC597A"/>
    <w:rsid w:val="00AC5EF4"/>
    <w:rsid w:val="00AC63FC"/>
    <w:rsid w:val="00AD1C28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91EB9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456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369"/>
    <w:rsid w:val="00CB039A"/>
    <w:rsid w:val="00CB0B79"/>
    <w:rsid w:val="00CB5DE5"/>
    <w:rsid w:val="00CC056B"/>
    <w:rsid w:val="00CC0C58"/>
    <w:rsid w:val="00CC1850"/>
    <w:rsid w:val="00CC29BF"/>
    <w:rsid w:val="00CC52BE"/>
    <w:rsid w:val="00CD3954"/>
    <w:rsid w:val="00CD40B0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770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2F0B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853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890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1605"/>
    <w:rsid w:val="00F22F5E"/>
    <w:rsid w:val="00F3061E"/>
    <w:rsid w:val="00F35094"/>
    <w:rsid w:val="00F35B29"/>
    <w:rsid w:val="00F3618A"/>
    <w:rsid w:val="00F3708D"/>
    <w:rsid w:val="00F4412A"/>
    <w:rsid w:val="00F563AC"/>
    <w:rsid w:val="00F56A75"/>
    <w:rsid w:val="00F60B45"/>
    <w:rsid w:val="00F60C18"/>
    <w:rsid w:val="00F64FB6"/>
    <w:rsid w:val="00F6753E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7C45"/>
    <w:rsid w:val="00FE059A"/>
    <w:rsid w:val="00FF25E5"/>
    <w:rsid w:val="00FF335E"/>
    <w:rsid w:val="00FF34BC"/>
    <w:rsid w:val="00FF6C56"/>
    <w:rsid w:val="00FF754B"/>
    <w:rsid w:val="08ED4CA8"/>
    <w:rsid w:val="0E310BCC"/>
    <w:rsid w:val="213571AA"/>
    <w:rsid w:val="25510826"/>
    <w:rsid w:val="25B368EF"/>
    <w:rsid w:val="5476359A"/>
    <w:rsid w:val="5B2829B8"/>
    <w:rsid w:val="674F5770"/>
    <w:rsid w:val="7FD0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3EE8E15"/>
  <w14:defaultImageDpi w14:val="330"/>
  <w15:docId w15:val="{782FB322-AF57-4D11-A300-5CA6584FF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MY" w:eastAsia="en-M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/>
    <w:lsdException w:name="footer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3" w:semiHidden="1" w:uiPriority="99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Grid" w:qFormat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qFormat/>
    <w:rPr>
      <w:rFonts w:ascii="Lucida Grande" w:hAnsi="Lucida Grande"/>
      <w:sz w:val="18"/>
      <w:szCs w:val="18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pPr>
      <w:ind w:left="720"/>
      <w:jc w:val="both"/>
    </w:p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Pr>
      <w:lang w:val="zh-CN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qFormat/>
    <w:rPr>
      <w:i/>
    </w:rPr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PageNumber">
    <w:name w:val="page number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table" w:styleId="TableGrid">
    <w:name w:val="Table Grid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rPr>
      <w:sz w:val="24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Pr>
      <w:rFonts w:cs="Calibri"/>
      <w:color w:val="7030A0"/>
      <w:lang w:val="en-GB"/>
    </w:rPr>
  </w:style>
  <w:style w:type="paragraph" w:customStyle="1" w:styleId="TemplateNarration">
    <w:name w:val="Template Narration"/>
    <w:basedOn w:val="ListParagraph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character" w:customStyle="1" w:styleId="NarrationChar">
    <w:name w:val="Narration Char"/>
    <w:basedOn w:val="DefaultParagraphFont"/>
    <w:link w:val="Narration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Pr>
      <w:rFonts w:cs="Calibri"/>
    </w:rPr>
  </w:style>
  <w:style w:type="paragraph" w:customStyle="1" w:styleId="TemplateShot">
    <w:name w:val="Template Shot"/>
    <w:basedOn w:val="ListParagraph"/>
    <w:qFormat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ShotDescriptionChar">
    <w:name w:val="Shot Description Char"/>
    <w:basedOn w:val="DefaultParagraphFont"/>
    <w:link w:val="ShotDescription"/>
    <w:rPr>
      <w:rFonts w:ascii="Calibri" w:hAnsi="Calibri" w:cs="Calibri"/>
    </w:rPr>
  </w:style>
  <w:style w:type="paragraph" w:styleId="Revision">
    <w:name w:val="Revision"/>
    <w:hidden/>
    <w:uiPriority w:val="99"/>
    <w:unhideWhenUsed/>
    <w:rsid w:val="00CD3954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680058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2492</Words>
  <Characters>14209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Pallavi  Sharma</cp:lastModifiedBy>
  <cp:revision>2</cp:revision>
  <dcterms:created xsi:type="dcterms:W3CDTF">2026-06-05T17:51:00Z</dcterms:created>
  <dcterms:modified xsi:type="dcterms:W3CDTF">2026-06-05T17:51:00Z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eyJoZGlkIjoiN2YzNjBkOTgyNWQ1YTMxYzM3MzMwNWFiODNmOWIzYWMiLCJ1c2VySWQiOiIxMTE2OTk4NzYyOTA0In0=</vt:lpwstr>
  </property>
  <property fmtid="{D5CDD505-2E9C-101B-9397-08002B2CF9AE}" pid="4" name="KSOProductBuildVer">
    <vt:lpwstr>1033-12.1.0.25862</vt:lpwstr>
  </property>
  <property fmtid="{D5CDD505-2E9C-101B-9397-08002B2CF9AE}" pid="5" name="ICV">
    <vt:lpwstr>2D6F148CD3C847D3BCB0656BB05DAA4C_13</vt:lpwstr>
  </property>
</Properties>
</file>