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B3448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71082</w:t>
      </w:r>
    </w:p>
    <w:p w14:paraId="2F6924E5" w14:textId="77777777" w:rsidR="00B3448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FB9233B" w14:textId="77777777" w:rsidR="00B3448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B34484">
          <w:rPr>
            <w:rStyle w:val="Hyperlink"/>
            <w:rFonts w:eastAsia="Times New Roman" w:cstheme="minorHAnsi"/>
            <w:b/>
          </w:rPr>
          <w:t>https://review.jove.com/account/file-uploader?src=21680058</w:t>
        </w:r>
      </w:hyperlink>
    </w:p>
    <w:p w14:paraId="2C89778F" w14:textId="77777777" w:rsidR="00B34484" w:rsidRDefault="00B34484">
      <w:pPr>
        <w:outlineLvl w:val="0"/>
        <w:rPr>
          <w:rFonts w:eastAsia="Times New Roman" w:cstheme="minorHAnsi"/>
          <w:b/>
        </w:rPr>
      </w:pPr>
    </w:p>
    <w:p w14:paraId="475CFBF6" w14:textId="77777777" w:rsidR="00B34484" w:rsidRDefault="00000000">
      <w:pPr>
        <w:rPr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>Improving Thermoelectric Properties of Bi</w:t>
      </w:r>
      <w:r>
        <w:rPr>
          <w:b/>
          <w:bCs/>
          <w:sz w:val="32"/>
          <w:szCs w:val="32"/>
          <w:vertAlign w:val="subscript"/>
        </w:rPr>
        <w:t>2</w:t>
      </w:r>
      <w:r>
        <w:rPr>
          <w:b/>
          <w:bCs/>
          <w:sz w:val="32"/>
          <w:szCs w:val="32"/>
        </w:rPr>
        <w:t>Te</w:t>
      </w:r>
      <w:r>
        <w:rPr>
          <w:b/>
          <w:bCs/>
          <w:sz w:val="32"/>
          <w:szCs w:val="32"/>
          <w:vertAlign w:val="subscript"/>
        </w:rPr>
        <w:t>3</w:t>
      </w:r>
      <w:r>
        <w:rPr>
          <w:b/>
          <w:bCs/>
          <w:sz w:val="32"/>
          <w:szCs w:val="32"/>
        </w:rPr>
        <w:t xml:space="preserve"> Thin Films by Manganese Co-Sputtering</w:t>
      </w:r>
    </w:p>
    <w:p w14:paraId="30BC7CCC" w14:textId="77777777" w:rsidR="00B34484" w:rsidRDefault="00B34484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77777777" w:rsidR="00B34484" w:rsidRDefault="00B34484">
      <w:pPr>
        <w:outlineLvl w:val="0"/>
        <w:rPr>
          <w:rFonts w:eastAsia="Times New Roman" w:cstheme="minorHAnsi"/>
          <w:b/>
        </w:rPr>
      </w:pPr>
    </w:p>
    <w:p w14:paraId="571B4839" w14:textId="77777777" w:rsidR="00B34484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AAD78D6" w14:textId="48CFA4D9" w:rsidR="00B34484" w:rsidRPr="007303C5" w:rsidRDefault="00000000">
      <w:pPr>
        <w:rPr>
          <w:sz w:val="28"/>
          <w:szCs w:val="28"/>
        </w:rPr>
      </w:pPr>
      <w:r>
        <w:rPr>
          <w:sz w:val="28"/>
          <w:szCs w:val="28"/>
        </w:rPr>
        <w:t>Angella Th’ng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Nurfarhana Ahmad Musri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Puvaneswaran Chelvanathan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Mohd Sukor Su’ait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Nadhrah Md Yatim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Assayidatul Laila Nor Hairin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, Ubaidah Syafiq</w:t>
      </w:r>
      <w:r>
        <w:rPr>
          <w:sz w:val="28"/>
          <w:szCs w:val="28"/>
          <w:vertAlign w:val="superscript"/>
        </w:rPr>
        <w:t>1</w:t>
      </w:r>
    </w:p>
    <w:p w14:paraId="5C017B00" w14:textId="77777777" w:rsidR="00B34484" w:rsidRDefault="00B34484">
      <w:pPr>
        <w:rPr>
          <w:sz w:val="28"/>
          <w:szCs w:val="28"/>
        </w:rPr>
      </w:pPr>
    </w:p>
    <w:p w14:paraId="3FD89B9C" w14:textId="77777777" w:rsidR="00B34484" w:rsidRDefault="00000000">
      <w:pPr>
        <w:rPr>
          <w:rFonts w:asciiTheme="majorHAnsi" w:hAnsiTheme="majorHAnsi"/>
          <w:sz w:val="28"/>
          <w:szCs w:val="28"/>
          <w:lang w:val="en-MY"/>
        </w:rPr>
      </w:pPr>
      <w:r>
        <w:rPr>
          <w:rFonts w:asciiTheme="majorHAnsi" w:hAnsiTheme="majorHAnsi"/>
          <w:sz w:val="28"/>
          <w:szCs w:val="28"/>
          <w:vertAlign w:val="superscript"/>
        </w:rPr>
        <w:t>1</w:t>
      </w:r>
      <w:r>
        <w:rPr>
          <w:rFonts w:asciiTheme="majorHAnsi" w:hAnsiTheme="majorHAnsi"/>
          <w:sz w:val="28"/>
          <w:szCs w:val="28"/>
        </w:rPr>
        <w:t>Solar Energy Research Institute</w:t>
      </w:r>
      <w:r>
        <w:rPr>
          <w:rFonts w:asciiTheme="majorHAnsi" w:hAnsiTheme="majorHAnsi"/>
          <w:sz w:val="28"/>
          <w:szCs w:val="28"/>
          <w:lang w:val="en-MY"/>
        </w:rPr>
        <w:t xml:space="preserve"> (SERI)</w:t>
      </w:r>
      <w:r>
        <w:rPr>
          <w:rFonts w:asciiTheme="majorHAnsi" w:hAnsiTheme="majorHAnsi"/>
          <w:sz w:val="28"/>
          <w:szCs w:val="28"/>
        </w:rPr>
        <w:t>, Universiti Kebangsaan Malaysia</w:t>
      </w:r>
    </w:p>
    <w:p w14:paraId="73D68157" w14:textId="77777777" w:rsidR="00B34484" w:rsidRDefault="00000000">
      <w:pPr>
        <w:rPr>
          <w:rFonts w:asciiTheme="majorHAnsi" w:hAnsiTheme="majorHAnsi"/>
          <w:sz w:val="28"/>
          <w:szCs w:val="28"/>
          <w:lang w:val="en-MY"/>
        </w:rPr>
      </w:pPr>
      <w:r>
        <w:rPr>
          <w:rFonts w:asciiTheme="majorHAnsi" w:hAnsiTheme="majorHAnsi"/>
          <w:sz w:val="28"/>
          <w:szCs w:val="28"/>
          <w:vertAlign w:val="superscript"/>
        </w:rPr>
        <w:t>2</w:t>
      </w:r>
      <w:r>
        <w:rPr>
          <w:rFonts w:asciiTheme="majorHAnsi" w:hAnsiTheme="majorHAnsi"/>
          <w:sz w:val="28"/>
          <w:szCs w:val="28"/>
        </w:rPr>
        <w:t>Faculty of Science and Technology, Universiti Sains Islam Malaysia</w:t>
      </w:r>
    </w:p>
    <w:p w14:paraId="072CE65D" w14:textId="77777777" w:rsidR="00B34484" w:rsidRDefault="00000000">
      <w:pPr>
        <w:rPr>
          <w:rFonts w:asciiTheme="majorHAnsi" w:hAnsiTheme="majorHAnsi"/>
          <w:sz w:val="28"/>
          <w:szCs w:val="28"/>
          <w:lang w:val="en-MY"/>
        </w:rPr>
      </w:pPr>
      <w:r>
        <w:rPr>
          <w:rFonts w:asciiTheme="majorHAnsi" w:hAnsiTheme="majorHAnsi"/>
          <w:sz w:val="28"/>
          <w:szCs w:val="28"/>
          <w:vertAlign w:val="superscript"/>
        </w:rPr>
        <w:t>3</w:t>
      </w:r>
      <w:r>
        <w:rPr>
          <w:rFonts w:asciiTheme="majorHAnsi" w:hAnsiTheme="majorHAnsi"/>
          <w:sz w:val="28"/>
          <w:szCs w:val="28"/>
        </w:rPr>
        <w:t>Department of Manufacturing and Materials Engineering, Kulliyyah of Engineering, International Islamic University Malaysia</w:t>
      </w:r>
    </w:p>
    <w:p w14:paraId="33CD999C" w14:textId="77777777" w:rsidR="00B34484" w:rsidRDefault="00B34484">
      <w:pPr>
        <w:outlineLvl w:val="0"/>
        <w:rPr>
          <w:rFonts w:eastAsia="Times New Roman" w:cstheme="minorHAnsi"/>
          <w:b/>
          <w:sz w:val="28"/>
          <w:szCs w:val="28"/>
          <w:lang w:val="en-MY"/>
        </w:rPr>
      </w:pPr>
    </w:p>
    <w:p w14:paraId="4FDD3434" w14:textId="77777777" w:rsidR="00B34484" w:rsidRDefault="00B34484">
      <w:pPr>
        <w:outlineLvl w:val="0"/>
        <w:rPr>
          <w:rFonts w:eastAsia="Times New Roman" w:cstheme="minorHAnsi"/>
        </w:rPr>
      </w:pPr>
    </w:p>
    <w:p w14:paraId="74288581" w14:textId="77777777" w:rsidR="00B3448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634"/>
        <w:gridCol w:w="4726"/>
      </w:tblGrid>
      <w:tr w:rsidR="00B34484" w14:paraId="34181F1E" w14:textId="77777777">
        <w:tc>
          <w:tcPr>
            <w:tcW w:w="4634" w:type="dxa"/>
          </w:tcPr>
          <w:p w14:paraId="79387E14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bookmarkStart w:id="0" w:name="_Hlk25233958"/>
            <w:r>
              <w:rPr>
                <w:rFonts w:eastAsia="SimSun" w:cstheme="minorHAnsi"/>
                <w:lang w:val="en-MY" w:eastAsia="en-MY"/>
              </w:rPr>
              <w:t>Ubaidah Syafiq</w:t>
            </w:r>
          </w:p>
        </w:tc>
        <w:tc>
          <w:tcPr>
            <w:tcW w:w="4726" w:type="dxa"/>
          </w:tcPr>
          <w:p w14:paraId="0749C506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(ubaidahsyafiq@ukm.edu.my)</w:t>
            </w:r>
          </w:p>
        </w:tc>
      </w:tr>
      <w:tr w:rsidR="00B34484" w14:paraId="488911A8" w14:textId="77777777">
        <w:tc>
          <w:tcPr>
            <w:tcW w:w="4634" w:type="dxa"/>
          </w:tcPr>
          <w:p w14:paraId="1C6E949F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Angella Th’ng</w:t>
            </w:r>
          </w:p>
        </w:tc>
        <w:tc>
          <w:tcPr>
            <w:tcW w:w="4726" w:type="dxa"/>
          </w:tcPr>
          <w:p w14:paraId="59485F9E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(p153906@siswa.ukm.edu.my)</w:t>
            </w:r>
          </w:p>
        </w:tc>
      </w:tr>
    </w:tbl>
    <w:p w14:paraId="5196A52A" w14:textId="77777777" w:rsidR="00B34484" w:rsidRDefault="00B34484">
      <w:pPr>
        <w:outlineLvl w:val="0"/>
        <w:rPr>
          <w:rFonts w:eastAsia="Times New Roman" w:cstheme="minorHAnsi"/>
          <w:lang w:val="en-MY"/>
        </w:rPr>
      </w:pPr>
    </w:p>
    <w:p w14:paraId="70FFA58B" w14:textId="77777777" w:rsidR="00B34484" w:rsidRDefault="00B34484">
      <w:pPr>
        <w:outlineLvl w:val="0"/>
        <w:rPr>
          <w:rFonts w:eastAsia="Times New Roman" w:cstheme="minorHAnsi"/>
        </w:rPr>
      </w:pPr>
    </w:p>
    <w:p w14:paraId="1B4B2D7A" w14:textId="77777777" w:rsidR="00B34484" w:rsidRDefault="00B34484">
      <w:pPr>
        <w:outlineLvl w:val="0"/>
        <w:rPr>
          <w:rFonts w:eastAsia="Times New Roman" w:cstheme="minorHAnsi"/>
        </w:rPr>
      </w:pPr>
    </w:p>
    <w:p w14:paraId="2E1C6668" w14:textId="77777777" w:rsidR="00B34484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2916965" w14:textId="77777777" w:rsidR="00B34484" w:rsidRDefault="00B34484">
      <w:pPr>
        <w:outlineLvl w:val="0"/>
        <w:rPr>
          <w:rFonts w:cstheme="minorHAnsi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635"/>
        <w:gridCol w:w="4725"/>
      </w:tblGrid>
      <w:tr w:rsidR="00B34484" w14:paraId="5914F103" w14:textId="77777777">
        <w:tc>
          <w:tcPr>
            <w:tcW w:w="4638" w:type="dxa"/>
          </w:tcPr>
          <w:p w14:paraId="3168BBC3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Nurfarhana Ahmad Musri</w:t>
            </w:r>
          </w:p>
        </w:tc>
        <w:tc>
          <w:tcPr>
            <w:tcW w:w="4722" w:type="dxa"/>
          </w:tcPr>
          <w:p w14:paraId="19F7F8EA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(farhanamusri@gmail.com)</w:t>
            </w:r>
          </w:p>
        </w:tc>
      </w:tr>
      <w:tr w:rsidR="00B34484" w14:paraId="71B84194" w14:textId="77777777">
        <w:tc>
          <w:tcPr>
            <w:tcW w:w="4638" w:type="dxa"/>
          </w:tcPr>
          <w:p w14:paraId="136EEF49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Puvaneswaran Chelvanathan</w:t>
            </w:r>
          </w:p>
        </w:tc>
        <w:tc>
          <w:tcPr>
            <w:tcW w:w="4722" w:type="dxa"/>
          </w:tcPr>
          <w:p w14:paraId="21DE8C47" w14:textId="77777777" w:rsidR="00B34484" w:rsidRDefault="00000000">
            <w:pPr>
              <w:rPr>
                <w:rFonts w:eastAsia="SimSun" w:cstheme="minorHAnsi"/>
                <w:color w:val="auto"/>
                <w:lang w:val="en-MY" w:eastAsia="en-MY"/>
              </w:rPr>
            </w:pPr>
            <w:r>
              <w:rPr>
                <w:rFonts w:eastAsia="SimSun" w:cstheme="minorHAnsi"/>
                <w:color w:val="auto"/>
                <w:lang w:val="en-MY" w:eastAsia="en-MY"/>
              </w:rPr>
              <w:t>(</w:t>
            </w:r>
            <w:r>
              <w:rPr>
                <w:rFonts w:eastAsia="Century Gothic" w:cstheme="minorHAnsi"/>
                <w:color w:val="auto"/>
                <w:shd w:val="clear" w:color="auto" w:fill="FFFFFF"/>
                <w:lang w:val="en-MY" w:eastAsia="en-MY"/>
              </w:rPr>
              <w:t>cpuvaneswaran@ukm.edu.my)</w:t>
            </w:r>
          </w:p>
        </w:tc>
      </w:tr>
      <w:tr w:rsidR="00B34484" w14:paraId="6AA5DA8B" w14:textId="77777777">
        <w:tc>
          <w:tcPr>
            <w:tcW w:w="4638" w:type="dxa"/>
          </w:tcPr>
          <w:p w14:paraId="44B8B709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Mohd Sukor Su’ait</w:t>
            </w:r>
          </w:p>
        </w:tc>
        <w:tc>
          <w:tcPr>
            <w:tcW w:w="4722" w:type="dxa"/>
          </w:tcPr>
          <w:p w14:paraId="7D52C03D" w14:textId="77777777" w:rsidR="00B34484" w:rsidRDefault="00000000">
            <w:pPr>
              <w:rPr>
                <w:rFonts w:eastAsia="SimSun" w:cstheme="minorHAnsi"/>
                <w:color w:val="auto"/>
                <w:lang w:val="en-MY" w:eastAsia="en-MY"/>
              </w:rPr>
            </w:pPr>
            <w:r>
              <w:rPr>
                <w:rFonts w:eastAsia="SimSun" w:cstheme="minorHAnsi"/>
                <w:color w:val="auto"/>
                <w:lang w:val="en-MY" w:eastAsia="en-MY"/>
              </w:rPr>
              <w:t>(</w:t>
            </w:r>
            <w:r>
              <w:rPr>
                <w:rFonts w:eastAsia="Century Gothic" w:cstheme="minorHAnsi"/>
                <w:color w:val="auto"/>
                <w:shd w:val="clear" w:color="auto" w:fill="FFFFFF"/>
                <w:lang w:val="en-MY" w:eastAsia="en-MY"/>
              </w:rPr>
              <w:t>mohdsukor@ukm.edu.my)</w:t>
            </w:r>
          </w:p>
        </w:tc>
      </w:tr>
      <w:tr w:rsidR="00B34484" w14:paraId="6A6D4F00" w14:textId="77777777">
        <w:tc>
          <w:tcPr>
            <w:tcW w:w="4638" w:type="dxa"/>
          </w:tcPr>
          <w:p w14:paraId="77BE0665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Nadhrah Md Yatim</w:t>
            </w:r>
          </w:p>
        </w:tc>
        <w:tc>
          <w:tcPr>
            <w:tcW w:w="4722" w:type="dxa"/>
          </w:tcPr>
          <w:p w14:paraId="50085337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</w:t>
            </w:r>
            <w:r>
              <w:rPr>
                <w:rFonts w:eastAsia="Helvetica" w:cstheme="minorHAnsi"/>
                <w:color w:val="auto"/>
                <w:shd w:val="clear" w:color="auto" w:fill="FFFFFF"/>
                <w:lang w:val="en-MY" w:eastAsia="en-MY"/>
              </w:rPr>
              <w:t>nadhrah@usim.edu.my)</w:t>
            </w:r>
          </w:p>
        </w:tc>
      </w:tr>
      <w:tr w:rsidR="00B34484" w14:paraId="2ADD3193" w14:textId="77777777">
        <w:tc>
          <w:tcPr>
            <w:tcW w:w="4638" w:type="dxa"/>
          </w:tcPr>
          <w:p w14:paraId="7E7CB406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Assayidatul Laila Nor Hairin</w:t>
            </w:r>
          </w:p>
        </w:tc>
        <w:tc>
          <w:tcPr>
            <w:tcW w:w="4722" w:type="dxa"/>
          </w:tcPr>
          <w:p w14:paraId="11134225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(assayidatul_laila@iium.edu.my)</w:t>
            </w:r>
          </w:p>
        </w:tc>
      </w:tr>
      <w:tr w:rsidR="00B34484" w14:paraId="7FDA7DD6" w14:textId="77777777">
        <w:tc>
          <w:tcPr>
            <w:tcW w:w="4634" w:type="dxa"/>
          </w:tcPr>
          <w:p w14:paraId="3E3377E1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Ubaidah Syafiq</w:t>
            </w:r>
          </w:p>
        </w:tc>
        <w:tc>
          <w:tcPr>
            <w:tcW w:w="4726" w:type="dxa"/>
          </w:tcPr>
          <w:p w14:paraId="578AB8A5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(ubaidahsyafiq@ukm.edu.my)</w:t>
            </w:r>
          </w:p>
        </w:tc>
      </w:tr>
      <w:tr w:rsidR="00B34484" w14:paraId="4A57F752" w14:textId="77777777">
        <w:tc>
          <w:tcPr>
            <w:tcW w:w="4634" w:type="dxa"/>
          </w:tcPr>
          <w:p w14:paraId="7C1A6A28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Angella Th’ng</w:t>
            </w:r>
          </w:p>
        </w:tc>
        <w:tc>
          <w:tcPr>
            <w:tcW w:w="4726" w:type="dxa"/>
          </w:tcPr>
          <w:p w14:paraId="1C6784A2" w14:textId="77777777" w:rsidR="00B34484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(p153906@siswa.ukm.edu.my)</w:t>
            </w:r>
          </w:p>
        </w:tc>
      </w:tr>
    </w:tbl>
    <w:p w14:paraId="2BB7CEAC" w14:textId="77777777" w:rsidR="00B34484" w:rsidRDefault="00B34484">
      <w:pPr>
        <w:outlineLvl w:val="0"/>
        <w:rPr>
          <w:rFonts w:eastAsia="Times New Roman" w:cstheme="minorHAnsi"/>
          <w:lang w:val="en-MY"/>
        </w:rPr>
      </w:pPr>
    </w:p>
    <w:p w14:paraId="6F84F159" w14:textId="77777777" w:rsidR="00B34484" w:rsidRDefault="00B34484">
      <w:pPr>
        <w:outlineLvl w:val="0"/>
        <w:rPr>
          <w:rFonts w:cstheme="minorHAnsi"/>
          <w:b/>
          <w:lang w:val="en-MY"/>
        </w:rPr>
      </w:pPr>
    </w:p>
    <w:p w14:paraId="548AFA4D" w14:textId="77777777" w:rsidR="00B34484" w:rsidRDefault="00B34484">
      <w:pPr>
        <w:outlineLvl w:val="0"/>
        <w:rPr>
          <w:rFonts w:cstheme="minorHAnsi"/>
          <w:b/>
          <w:lang w:val="en-MY"/>
        </w:rPr>
      </w:pPr>
    </w:p>
    <w:p w14:paraId="110D3BCA" w14:textId="77777777" w:rsidR="00B34484" w:rsidRDefault="00B34484">
      <w:pPr>
        <w:outlineLvl w:val="0"/>
        <w:rPr>
          <w:rFonts w:cstheme="minorHAnsi"/>
          <w:b/>
          <w:lang w:val="en-MY"/>
        </w:rPr>
      </w:pPr>
    </w:p>
    <w:p w14:paraId="0E4AC310" w14:textId="77777777" w:rsidR="00B34484" w:rsidRDefault="00B34484">
      <w:pPr>
        <w:outlineLvl w:val="0"/>
        <w:rPr>
          <w:rFonts w:cstheme="minorHAnsi"/>
          <w:b/>
          <w:lang w:val="en-MY"/>
        </w:rPr>
      </w:pPr>
    </w:p>
    <w:p w14:paraId="04C2B283" w14:textId="77777777" w:rsidR="00B34484" w:rsidRDefault="00B34484">
      <w:pPr>
        <w:outlineLvl w:val="0"/>
        <w:rPr>
          <w:rFonts w:cstheme="minorHAnsi"/>
          <w:b/>
          <w:lang w:val="en-MY"/>
        </w:rPr>
      </w:pPr>
    </w:p>
    <w:p w14:paraId="60B95108" w14:textId="77777777" w:rsidR="00B34484" w:rsidRDefault="00B34484">
      <w:pPr>
        <w:rPr>
          <w:rFonts w:cstheme="minorHAnsi"/>
          <w:b/>
          <w:sz w:val="22"/>
          <w:szCs w:val="22"/>
        </w:rPr>
      </w:pPr>
    </w:p>
    <w:p w14:paraId="1667ADCD" w14:textId="77777777" w:rsidR="00B34484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B34484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  <w:lang w:val="en-MY"/>
        </w:rPr>
        <w:t>No</w:t>
      </w:r>
      <w:r>
        <w:rPr>
          <w:rFonts w:eastAsia="Times New Roman" w:cstheme="minorHAnsi"/>
        </w:rPr>
        <w:t xml:space="preserve">  </w:t>
      </w:r>
    </w:p>
    <w:p w14:paraId="4E7C3E85" w14:textId="77777777" w:rsidR="00B34484" w:rsidRDefault="00B34484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B34484" w:rsidRDefault="00000000">
      <w:pPr>
        <w:spacing w:before="120"/>
        <w:ind w:left="216" w:hanging="216"/>
        <w:rPr>
          <w:rFonts w:eastAsia="Times New Roman" w:cstheme="minorHAnsi"/>
          <w:lang w:val="en-MY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  <w:lang w:val="en-MY"/>
        </w:rPr>
        <w:t>No</w:t>
      </w:r>
    </w:p>
    <w:p w14:paraId="1C68C2BA" w14:textId="77777777" w:rsidR="00B34484" w:rsidRDefault="00B34484">
      <w:pPr>
        <w:spacing w:before="120"/>
        <w:rPr>
          <w:rFonts w:eastAsia="Times New Roman" w:cstheme="minorHAnsi"/>
          <w:b/>
        </w:rPr>
      </w:pPr>
    </w:p>
    <w:p w14:paraId="7A03162F" w14:textId="77777777" w:rsidR="00B34484" w:rsidRDefault="00000000">
      <w:pPr>
        <w:spacing w:before="120"/>
        <w:rPr>
          <w:rFonts w:eastAsia="Times New Roman" w:cstheme="minorHAnsi"/>
          <w:b/>
          <w:bCs/>
          <w:lang w:val="en-MY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lang w:val="en-MY"/>
        </w:rPr>
        <w:t>Yes</w:t>
      </w:r>
    </w:p>
    <w:p w14:paraId="63770740" w14:textId="77777777" w:rsidR="00B34484" w:rsidRDefault="00000000">
      <w:pPr>
        <w:spacing w:before="120"/>
        <w:ind w:left="720"/>
        <w:rPr>
          <w:rFonts w:eastAsia="Times New Roman" w:cstheme="minorHAnsi"/>
          <w:lang w:val="en-MY"/>
        </w:rPr>
      </w:pPr>
      <w:r>
        <w:rPr>
          <w:rFonts w:eastAsia="Times New Roman" w:cstheme="minorHAnsi"/>
          <w:lang w:val="en-MY"/>
        </w:rPr>
        <w:t>400 m</w:t>
      </w:r>
    </w:p>
    <w:p w14:paraId="4920A8BE" w14:textId="77777777" w:rsidR="00B34484" w:rsidRDefault="00B34484">
      <w:pPr>
        <w:spacing w:before="120"/>
        <w:ind w:left="720"/>
        <w:rPr>
          <w:rFonts w:eastAsia="Times New Roman" w:cstheme="minorHAnsi"/>
        </w:rPr>
      </w:pPr>
    </w:p>
    <w:p w14:paraId="2934ADF1" w14:textId="77777777" w:rsidR="00B34484" w:rsidRDefault="00000000">
      <w:pPr>
        <w:spacing w:before="120"/>
        <w:rPr>
          <w:rFonts w:eastAsia="Times New Roman" w:cstheme="minorHAnsi"/>
          <w:lang w:val="en-MY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Times New Roman" w:cstheme="minorHAnsi"/>
          <w:b/>
          <w:bCs/>
          <w:lang w:val="en-MY"/>
        </w:rPr>
        <w:t>No</w:t>
      </w:r>
    </w:p>
    <w:p w14:paraId="32DAE90F" w14:textId="77777777" w:rsidR="00B34484" w:rsidRDefault="00B34484">
      <w:pPr>
        <w:rPr>
          <w:rFonts w:cstheme="minorHAnsi"/>
          <w:b/>
          <w:sz w:val="22"/>
          <w:szCs w:val="22"/>
        </w:rPr>
      </w:pPr>
    </w:p>
    <w:p w14:paraId="67386C83" w14:textId="77777777" w:rsidR="00B34484" w:rsidRDefault="00B34484">
      <w:pPr>
        <w:rPr>
          <w:rFonts w:cstheme="minorHAnsi"/>
          <w:b/>
          <w:sz w:val="22"/>
          <w:szCs w:val="22"/>
        </w:rPr>
      </w:pPr>
    </w:p>
    <w:p w14:paraId="7AA7BBC5" w14:textId="77777777" w:rsidR="00B34484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B34484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28</w:t>
      </w:r>
    </w:p>
    <w:p w14:paraId="5AAC9C6C" w14:textId="77777777" w:rsidR="00B34484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50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B34484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B34484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B34484" w:rsidRDefault="00B34484">
      <w:pPr>
        <w:rPr>
          <w:rFonts w:cstheme="minorHAnsi"/>
          <w:b/>
        </w:rPr>
      </w:pPr>
    </w:p>
    <w:p w14:paraId="65488333" w14:textId="77777777" w:rsidR="00B34484" w:rsidRDefault="00B34484">
      <w:pPr>
        <w:rPr>
          <w:rFonts w:eastAsia="Times New Roman" w:cstheme="minorHAnsi"/>
          <w:b/>
        </w:rPr>
      </w:pPr>
    </w:p>
    <w:p w14:paraId="09973816" w14:textId="77777777" w:rsidR="00B34484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B34484" w:rsidRDefault="00B34484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B34484" w:rsidRPr="00E12796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E1279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E12796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77777777" w:rsidR="00B34484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b/>
          <w:bCs/>
          <w:u w:val="single"/>
        </w:rPr>
        <w:t>Angella Th’ng</w:t>
      </w:r>
      <w:r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>
        <w:rPr>
          <w:rFonts w:cstheme="minorHAnsi"/>
        </w:rPr>
        <w:t xml:space="preserve"> My research examines the changes in thermoelectric performance of manganese-doped bismuth telluride thin films deposited through controlled co-sputtering.</w:t>
      </w:r>
    </w:p>
    <w:p w14:paraId="2880D82F" w14:textId="77777777" w:rsidR="00B34484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  <w:bCs/>
          <w:i/>
          <w:iCs/>
          <w:color w:val="0000FF"/>
        </w:rPr>
      </w:pPr>
      <w:r>
        <w:rPr>
          <w:rFonts w:eastAsia="Times New Roman" w:cstheme="minorHAnsi"/>
        </w:rPr>
        <w:t xml:space="preserve">INTERVIEW: Named talent says the statement above in an interview-style shot, looking slightly off-camera </w:t>
      </w:r>
      <w:r>
        <w:rPr>
          <w:rFonts w:eastAsia="Times New Roman" w:cstheme="minorHAnsi"/>
          <w:i/>
          <w:iCs/>
          <w:color w:val="0000FF"/>
        </w:rPr>
        <w:t>Suggested B roll: 3.7.1</w:t>
      </w:r>
    </w:p>
    <w:p w14:paraId="1BB13D38" w14:textId="77777777" w:rsidR="00B34484" w:rsidRDefault="00B34484">
      <w:pPr>
        <w:spacing w:before="120"/>
        <w:rPr>
          <w:rFonts w:eastAsia="Times New Roman" w:cstheme="minorHAnsi"/>
        </w:rPr>
      </w:pPr>
    </w:p>
    <w:p w14:paraId="00A66870" w14:textId="77777777" w:rsidR="00B34484" w:rsidRDefault="00B34484">
      <w:pPr>
        <w:rPr>
          <w:rFonts w:eastAsia="Times New Roman" w:cstheme="minorHAnsi"/>
          <w:b/>
          <w:bCs/>
        </w:rPr>
      </w:pPr>
    </w:p>
    <w:p w14:paraId="0B0139AD" w14:textId="77777777" w:rsidR="00B34484" w:rsidRPr="00E12796" w:rsidRDefault="00000000">
      <w:pPr>
        <w:rPr>
          <w:rFonts w:eastAsia="Times New Roman" w:cstheme="minorHAnsi"/>
          <w:strike/>
        </w:rPr>
      </w:pPr>
      <w:r w:rsidRPr="00E12796">
        <w:rPr>
          <w:strike/>
        </w:rPr>
        <w:t>Describe the research gap or limitation in existing methods and how this protocol addresses them.</w:t>
      </w:r>
    </w:p>
    <w:p w14:paraId="490E6309" w14:textId="77777777" w:rsidR="00B34484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</w:rPr>
      </w:pPr>
      <w:r>
        <w:rPr>
          <w:b/>
          <w:bCs/>
          <w:u w:val="single"/>
        </w:rPr>
        <w:t>Angella Th’ng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Existing methods fail to adequately examine the impact of manganese doping on the thermoelectric performance of bismuth telluride thin films. This protocol addresses this gap through systematic investigation.</w:t>
      </w:r>
    </w:p>
    <w:p w14:paraId="260FD731" w14:textId="77777777" w:rsidR="00B34484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44795859" w14:textId="77777777" w:rsidR="00B34484" w:rsidRDefault="00B34484">
      <w:pPr>
        <w:spacing w:before="120" w:after="240"/>
        <w:rPr>
          <w:rFonts w:eastAsia="Times New Roman" w:cstheme="minorHAnsi"/>
        </w:rPr>
      </w:pPr>
    </w:p>
    <w:p w14:paraId="628E48CF" w14:textId="77777777" w:rsidR="00B34484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B34484" w:rsidRPr="00E12796" w:rsidRDefault="00000000">
      <w:pPr>
        <w:spacing w:before="120"/>
        <w:rPr>
          <w:rFonts w:eastAsia="Times New Roman" w:cstheme="minorHAnsi"/>
          <w:strike/>
        </w:rPr>
      </w:pPr>
      <w:r w:rsidRPr="00E12796">
        <w:rPr>
          <w:strike/>
        </w:rPr>
        <w:t>What does this protocol allow researchers to study or measure?</w:t>
      </w:r>
    </w:p>
    <w:p w14:paraId="074ECE87" w14:textId="77777777" w:rsidR="00B34484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b/>
          <w:bCs/>
          <w:u w:val="single"/>
        </w:rPr>
        <w:t>Angella Th’ng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researchers to co-sputter manganese dopant on bismuth telluride film and evaluate how dopant input level changes thermoelectric performance.</w:t>
      </w:r>
    </w:p>
    <w:p w14:paraId="72C012FA" w14:textId="77777777" w:rsidR="00B34484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447F7F31" w14:textId="77777777" w:rsidR="00B34484" w:rsidRDefault="00B3448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B34484" w:rsidRDefault="00B34484">
      <w:pPr>
        <w:rPr>
          <w:rFonts w:eastAsia="Times New Roman" w:cstheme="minorHAnsi"/>
          <w:b/>
          <w:bCs/>
        </w:rPr>
      </w:pPr>
    </w:p>
    <w:p w14:paraId="650FC038" w14:textId="77777777" w:rsidR="00B34484" w:rsidRDefault="00000000">
      <w:pPr>
        <w:rPr>
          <w:rFonts w:eastAsia="Times New Roman" w:cstheme="minorHAnsi"/>
          <w:sz w:val="28"/>
          <w:szCs w:val="28"/>
        </w:rPr>
      </w:pPr>
      <w:r w:rsidRPr="00E12796">
        <w:rPr>
          <w:strike/>
        </w:rPr>
        <w:t>Describe the most important consideration or challenge when performing this protocol</w:t>
      </w:r>
      <w:r>
        <w:t>.</w:t>
      </w:r>
    </w:p>
    <w:p w14:paraId="284E017B" w14:textId="77777777" w:rsidR="00B34484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b/>
          <w:bCs/>
          <w:u w:val="single"/>
        </w:rPr>
        <w:t>Angella Th’ng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The key challenge of this protocol is to maintain stable plasma and sputtering conditions to incorporate manganese reliably and consistently.</w:t>
      </w:r>
    </w:p>
    <w:p w14:paraId="7FEE2F65" w14:textId="77777777" w:rsidR="00B34484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  <w:bCs/>
          <w:i/>
          <w:iCs/>
          <w:color w:val="0000FF"/>
        </w:rPr>
      </w:pPr>
      <w:r>
        <w:rPr>
          <w:rFonts w:eastAsia="Times New Roman" w:cstheme="minorHAnsi"/>
        </w:rPr>
        <w:lastRenderedPageBreak/>
        <w:t xml:space="preserve">INTERVIEW: Named talent says the statement above in an interview-style shot, looking slightly off-camera. </w:t>
      </w:r>
      <w:r>
        <w:rPr>
          <w:rFonts w:eastAsia="Times New Roman" w:cstheme="minorHAnsi"/>
          <w:i/>
          <w:iCs/>
          <w:color w:val="0000FF"/>
        </w:rPr>
        <w:t>Suggested B-roll: 2.8.2</w:t>
      </w:r>
    </w:p>
    <w:p w14:paraId="5E6A6198" w14:textId="77777777" w:rsidR="00B34484" w:rsidRDefault="00B3448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B34484" w:rsidRDefault="00B34484">
      <w:pPr>
        <w:rPr>
          <w:rFonts w:eastAsia="Times New Roman" w:cstheme="minorHAnsi"/>
          <w:b/>
          <w:bCs/>
        </w:rPr>
      </w:pPr>
    </w:p>
    <w:p w14:paraId="18C04A67" w14:textId="77777777" w:rsidR="00B34484" w:rsidRPr="00E12796" w:rsidRDefault="00000000">
      <w:pPr>
        <w:rPr>
          <w:rFonts w:eastAsia="Times New Roman" w:cstheme="minorHAnsi"/>
          <w:strike/>
          <w:sz w:val="28"/>
          <w:szCs w:val="28"/>
        </w:rPr>
      </w:pPr>
      <w:r w:rsidRPr="00E12796">
        <w:rPr>
          <w:strike/>
        </w:rPr>
        <w:t>How can future studies build on this work? Describe the questions or research directions that can be investigated next.</w:t>
      </w:r>
    </w:p>
    <w:p w14:paraId="23F311A2" w14:textId="77777777" w:rsidR="00B34484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b/>
          <w:bCs/>
          <w:u w:val="single"/>
        </w:rPr>
        <w:t>Angella Th’ng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be built by optimizing thermoelectric properties post-synthesis and fabricating a thin-film thermoelectric generator for device-level testing.</w:t>
      </w:r>
    </w:p>
    <w:p w14:paraId="519E644E" w14:textId="77777777" w:rsidR="00B34484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71EA35" w14:textId="77777777" w:rsidR="00B34484" w:rsidRDefault="00B3448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B34484" w:rsidRDefault="00B34484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B34484" w:rsidRDefault="00B34484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B34484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C78C807" w14:textId="77777777" w:rsidR="00B34484" w:rsidRDefault="00000000">
      <w:pPr>
        <w:contextualSpacing/>
        <w:outlineLvl w:val="0"/>
        <w:rPr>
          <w:rFonts w:eastAsia="Times New Roman"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77777777" w:rsidR="00B34484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B34484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7777777" w:rsidR="00B34484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Pre-deposition Preparation for Thin Film Deposition</w:t>
      </w:r>
    </w:p>
    <w:p w14:paraId="6FE16670" w14:textId="77777777" w:rsidR="00B34484" w:rsidRDefault="00000000">
      <w:pPr>
        <w:ind w:firstLine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t>Angella Th’ng</w:t>
      </w:r>
      <w:r>
        <w:rPr>
          <w:rFonts w:eastAsia="Times New Roman" w:cstheme="minorHAnsi"/>
        </w:rPr>
        <w:t xml:space="preserve"> </w:t>
      </w:r>
    </w:p>
    <w:p w14:paraId="43353B50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To begin, place the prepared and cleaned soda lime glass substrates on the rotating substrate holder to evaluate deposition stability during target conditioning </w:t>
      </w:r>
      <w:r>
        <w:rPr>
          <w:b/>
          <w:bCs/>
        </w:rPr>
        <w:t>[1]</w:t>
      </w:r>
      <w:r>
        <w:t xml:space="preserve">. Close the chamber door and initiate pump-down </w:t>
      </w:r>
      <w:r>
        <w:rPr>
          <w:b/>
          <w:bCs/>
        </w:rPr>
        <w:t>[2]</w:t>
      </w:r>
      <w:r>
        <w:t xml:space="preserve">. Apply gentle pressure around the chamber door at the start to ensure proper sealing </w:t>
      </w:r>
      <w:r>
        <w:rPr>
          <w:b/>
          <w:bCs/>
        </w:rPr>
        <w:t>[4]</w:t>
      </w:r>
      <w:r>
        <w:t xml:space="preserve"> and confirm the pressure drop on the gauge </w:t>
      </w:r>
      <w:r>
        <w:rPr>
          <w:b/>
          <w:bCs/>
        </w:rPr>
        <w:t>[5]</w:t>
      </w:r>
      <w:r>
        <w:t>.</w:t>
      </w:r>
    </w:p>
    <w:p w14:paraId="6C31509D" w14:textId="77777777" w:rsidR="00B34484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WIDE: Talent placing the test substrates on the rotating substrate holder inside the sputtering chamber.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6CCE20AF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closing the chamber door and initiating pump-down on the sputtering system.</w:t>
      </w:r>
    </w:p>
    <w:p w14:paraId="3AC8BDFB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applying gentle pressure around the chamber door seal.</w:t>
      </w:r>
    </w:p>
    <w:p w14:paraId="422D08F2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Shot of the chamber pressure dropping on the system gauge.</w:t>
      </w:r>
    </w:p>
    <w:p w14:paraId="54BCFFAF" w14:textId="1E8641EF" w:rsidR="00B34484" w:rsidRDefault="00000000">
      <w:pPr>
        <w:pStyle w:val="Narration"/>
        <w:numPr>
          <w:ilvl w:val="1"/>
          <w:numId w:val="1"/>
        </w:numPr>
      </w:pPr>
      <w:r w:rsidRPr="00E12796">
        <w:rPr>
          <w:strike/>
        </w:rPr>
        <w:t xml:space="preserve">Monitor the chamber pressure using the system vacuum gauge integrated with the sputtering system controller </w:t>
      </w:r>
      <w:r w:rsidRPr="00E12796">
        <w:rPr>
          <w:b/>
          <w:bCs/>
          <w:strike/>
        </w:rPr>
        <w:t>[1]</w:t>
      </w:r>
      <w:r w:rsidRPr="00E12796">
        <w:rPr>
          <w:strike/>
        </w:rPr>
        <w:t>.</w:t>
      </w:r>
      <w:r>
        <w:t xml:space="preserve"> Continue pumping until the chamber pressure reaches less than or equal to 5 × 10</w:t>
      </w:r>
      <w:r>
        <w:rPr>
          <w:vertAlign w:val="superscript"/>
        </w:rPr>
        <w:t>−3</w:t>
      </w:r>
      <w:r>
        <w:t xml:space="preserve"> Torr </w:t>
      </w:r>
      <w:r>
        <w:rPr>
          <w:b/>
          <w:bCs/>
        </w:rPr>
        <w:t>[</w:t>
      </w:r>
      <w:r w:rsidR="00E03A13">
        <w:rPr>
          <w:b/>
          <w:bCs/>
        </w:rPr>
        <w:t>1</w:t>
      </w:r>
      <w:r>
        <w:rPr>
          <w:b/>
          <w:bCs/>
        </w:rPr>
        <w:t>]</w:t>
      </w:r>
      <w:r>
        <w:t xml:space="preserve">. </w:t>
      </w:r>
    </w:p>
    <w:p w14:paraId="71A9B942" w14:textId="6B5132D3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 w:rsidRPr="00E12796">
        <w:rPr>
          <w:strike/>
          <w:lang w:val="en-IN"/>
        </w:rPr>
        <w:t>Show the chamber pressure reading on the sputtering system vacuum gauge</w:t>
      </w:r>
      <w:r>
        <w:rPr>
          <w:lang w:val="en-IN"/>
        </w:rPr>
        <w:t>.</w:t>
      </w:r>
      <w:r w:rsidR="00862F8F">
        <w:rPr>
          <w:lang w:val="en-IN"/>
        </w:rPr>
        <w:t xml:space="preserve"> </w:t>
      </w:r>
      <w:r w:rsidR="00862F8F" w:rsidRPr="00E12796">
        <w:rPr>
          <w:color w:val="auto"/>
          <w:highlight w:val="green"/>
          <w:lang w:val="en-MY"/>
        </w:rPr>
        <w:t xml:space="preserve">NOTE: </w:t>
      </w:r>
      <w:r w:rsidRPr="00E12796">
        <w:rPr>
          <w:color w:val="auto"/>
          <w:highlight w:val="green"/>
          <w:lang w:val="en-IN"/>
        </w:rPr>
        <w:t>This shot can be omitted because the footage was captured after the chamber pressure had already reached below the required value</w:t>
      </w:r>
      <w:r w:rsidRPr="00E12796">
        <w:rPr>
          <w:color w:val="00B050"/>
          <w:lang w:val="en-IN"/>
        </w:rPr>
        <w:t>.</w:t>
      </w:r>
    </w:p>
    <w:p w14:paraId="17350D45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chamber pressure reaching less than or equal to 5 × 10−3 Torr on the controller display.</w:t>
      </w:r>
    </w:p>
    <w:p w14:paraId="73B2835F" w14:textId="77777777" w:rsidR="00B34484" w:rsidRDefault="00000000">
      <w:pPr>
        <w:pStyle w:val="Narration"/>
        <w:numPr>
          <w:ilvl w:val="1"/>
          <w:numId w:val="1"/>
        </w:numPr>
      </w:pPr>
      <w:r>
        <w:rPr>
          <w:lang w:val="en-US"/>
        </w:rPr>
        <w:t xml:space="preserve">Switch on the cooling system and set the temperature to 288 Kelvin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to ensure continuous circulation of recirculated deionized water through both sputter guns prior to plasma ignition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[2]</w:t>
      </w:r>
      <w:r>
        <w:t>.</w:t>
      </w:r>
    </w:p>
    <w:p w14:paraId="2266D943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switching on the cooling system and setting the temperature to 288 kelvin on the controller.</w:t>
      </w:r>
    </w:p>
    <w:p w14:paraId="5EA99BA8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Shot of recirculated deionized water flowing through the cooling lines connected to both sputter guns.</w:t>
      </w:r>
    </w:p>
    <w:p w14:paraId="2BC55E57" w14:textId="60F379BC" w:rsidR="00B34484" w:rsidRDefault="00000000">
      <w:pPr>
        <w:pStyle w:val="Narration"/>
        <w:numPr>
          <w:ilvl w:val="1"/>
          <w:numId w:val="1"/>
        </w:numPr>
      </w:pPr>
      <w:r>
        <w:t>Introduce high-purity argon gas</w:t>
      </w:r>
      <w:r w:rsidR="00E03A13">
        <w:t xml:space="preserve"> </w:t>
      </w:r>
      <w:r w:rsidR="00E03A13" w:rsidRPr="00E03A13">
        <w:rPr>
          <w:b/>
          <w:bCs/>
        </w:rPr>
        <w:t>[1]</w:t>
      </w:r>
      <w:r>
        <w:t xml:space="preserve"> </w:t>
      </w:r>
      <w:r w:rsidR="00E03A13">
        <w:t>and a</w:t>
      </w:r>
      <w:r>
        <w:t xml:space="preserve">llow </w:t>
      </w:r>
      <w:r w:rsidR="00E03A13">
        <w:t>it</w:t>
      </w:r>
      <w:r>
        <w:t xml:space="preserve"> to stabilize for approximately 2 to 5 minutes, or until it remains steady at greater than or equal to 3.9 standard cubic centimeters per minute </w:t>
      </w:r>
      <w:r>
        <w:rPr>
          <w:b/>
          <w:bCs/>
        </w:rPr>
        <w:t>[2]</w:t>
      </w:r>
      <w:r>
        <w:t>.</w:t>
      </w:r>
      <w:r w:rsidR="00E03A13">
        <w:t xml:space="preserve"> </w:t>
      </w:r>
      <w:r w:rsidR="00E03A13" w:rsidRPr="00E03A13">
        <w:rPr>
          <w:highlight w:val="green"/>
        </w:rPr>
        <w:t>NOTE: The VO is edited</w:t>
      </w:r>
    </w:p>
    <w:p w14:paraId="4DC0EF12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lastRenderedPageBreak/>
        <w:t>Talent introducing argon gas into the sputtering chamber at 4 standard cubic centimeters per minute.</w:t>
      </w:r>
    </w:p>
    <w:p w14:paraId="7DA0599B" w14:textId="64251673" w:rsidR="00B34484" w:rsidRPr="00E03A13" w:rsidRDefault="00000000" w:rsidP="00E03A13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stabilized argon gas flow reading at greater than or equal to 3.9 standard cubic centimeters per minute.</w:t>
      </w:r>
      <w:r w:rsidR="00E03A13">
        <w:rPr>
          <w:lang w:val="en-IN"/>
        </w:rPr>
        <w:t xml:space="preserve"> </w:t>
      </w:r>
      <w:r w:rsidR="00E03A13" w:rsidRPr="00E03A13">
        <w:rPr>
          <w:highlight w:val="green"/>
          <w:lang w:val="en-IN"/>
        </w:rPr>
        <w:t>NOTE: The argon flow controller was changed before filming, so the displayed flow value differs from the previous system. During filming, the controller display did not show 4 sccm directly. The argon condition was adjusted based on the new controller setting and confirmed by the chamber pressure response</w:t>
      </w:r>
      <w:r w:rsidR="00E03A13" w:rsidRPr="00E03A13">
        <w:rPr>
          <w:lang w:val="en-IN"/>
        </w:rPr>
        <w:t>.</w:t>
      </w:r>
    </w:p>
    <w:p w14:paraId="0B9A87DF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Set the substrate rotation to 10 rpm in a single fixed direction and maintain continuous rotation throughout pre-sputtering and deposition </w:t>
      </w:r>
      <w:r>
        <w:rPr>
          <w:b/>
          <w:bCs/>
        </w:rPr>
        <w:t>[1]</w:t>
      </w:r>
      <w:r>
        <w:t xml:space="preserve">. Power on the radio frequency power supply and the matching-network controller </w:t>
      </w:r>
      <w:r>
        <w:rPr>
          <w:b/>
          <w:bCs/>
        </w:rPr>
        <w:t>[2]</w:t>
      </w:r>
      <w:r>
        <w:t>.</w:t>
      </w:r>
    </w:p>
    <w:p w14:paraId="425B3387" w14:textId="232A59D6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setting the substrate rotation speed to 10 revolutions per minute on the controller.</w:t>
      </w:r>
      <w:r w:rsidR="00862F8F">
        <w:rPr>
          <w:lang w:val="en-IN"/>
        </w:rPr>
        <w:t xml:space="preserve"> </w:t>
      </w:r>
      <w:r w:rsidR="00862F8F" w:rsidRPr="00862F8F">
        <w:rPr>
          <w:highlight w:val="green"/>
          <w:lang w:val="en-IN"/>
        </w:rPr>
        <w:t xml:space="preserve">NOTE: </w:t>
      </w:r>
      <w:r w:rsidR="00862F8F" w:rsidRPr="00862F8F">
        <w:rPr>
          <w:highlight w:val="green"/>
        </w:rPr>
        <w:t>The substrate rotation controller uses a numbered dial from 0 to 9. During filming, the dial was set to “1,” which corresponds to 10 rpm for this sputtering system</w:t>
      </w:r>
    </w:p>
    <w:p w14:paraId="3FD4A0C1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powering on the radio frequency power supply and the matching-network controller.</w:t>
      </w:r>
    </w:p>
    <w:p w14:paraId="5B27D65E" w14:textId="0A178CC5" w:rsidR="00B34484" w:rsidRDefault="00000000">
      <w:pPr>
        <w:pStyle w:val="Narration"/>
        <w:numPr>
          <w:ilvl w:val="1"/>
          <w:numId w:val="1"/>
        </w:numPr>
      </w:pPr>
      <w:r>
        <w:t>Adjust the matching-network settings for both radio frequency guns using the Minimum or Maximum function until the Load value</w:t>
      </w:r>
      <w:r w:rsidR="007303C5">
        <w:t xml:space="preserve"> and the Tune value</w:t>
      </w:r>
      <w:r>
        <w:t xml:space="preserve"> </w:t>
      </w:r>
      <w:r w:rsidR="007303C5">
        <w:t>reach</w:t>
      </w:r>
      <w:r>
        <w:t xml:space="preserve"> 50 watts </w:t>
      </w:r>
      <w:r>
        <w:rPr>
          <w:b/>
          <w:bCs/>
        </w:rPr>
        <w:t>[1]</w:t>
      </w:r>
      <w:r>
        <w:t xml:space="preserve">. Switch the controller mode from Manual to Auto matching </w:t>
      </w:r>
      <w:r>
        <w:rPr>
          <w:b/>
          <w:bCs/>
        </w:rPr>
        <w:t>[2]</w:t>
      </w:r>
      <w:r>
        <w:t>.</w:t>
      </w:r>
    </w:p>
    <w:p w14:paraId="2257AE37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matching-network controller while adjusting the Load and Tune values to 50 watts using the Min/Max function.</w:t>
      </w:r>
    </w:p>
    <w:p w14:paraId="18C33432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controller mode being changed from Manual to Auto matching.</w:t>
      </w:r>
    </w:p>
    <w:p w14:paraId="13B62F32" w14:textId="1A2804A1" w:rsidR="00B34484" w:rsidRPr="007303C5" w:rsidRDefault="007F5427">
      <w:pPr>
        <w:pStyle w:val="Narration"/>
        <w:numPr>
          <w:ilvl w:val="1"/>
          <w:numId w:val="1"/>
        </w:numPr>
        <w:rPr>
          <w:strike/>
        </w:rPr>
      </w:pPr>
      <w:r w:rsidRPr="007303C5">
        <w:rPr>
          <w:strike/>
        </w:rPr>
        <w:t xml:space="preserve">Minimize reflected power before plasma ignition, keeping it at or below 5 watts. </w:t>
      </w:r>
      <w:r w:rsidRPr="007303C5">
        <w:rPr>
          <w:b/>
          <w:bCs/>
          <w:strike/>
        </w:rPr>
        <w:t>[1]</w:t>
      </w:r>
      <w:r w:rsidRPr="007303C5">
        <w:rPr>
          <w:strike/>
        </w:rPr>
        <w:t>.</w:t>
      </w:r>
    </w:p>
    <w:p w14:paraId="4F3D3A26" w14:textId="6DA8F23B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 w:rsidRPr="007303C5">
        <w:rPr>
          <w:strike/>
          <w:lang w:val="en-IN"/>
        </w:rPr>
        <w:t>Show the reflected power decreasing on the system controller before plasma ignition, and show the reflected power stabilized at less than or equal to 5 watts.</w:t>
      </w:r>
      <w:r w:rsidR="007F5427">
        <w:rPr>
          <w:lang w:val="en-IN"/>
        </w:rPr>
        <w:t xml:space="preserve"> </w:t>
      </w:r>
      <w:r w:rsidR="007F5427" w:rsidRPr="007F5427">
        <w:rPr>
          <w:highlight w:val="green"/>
          <w:lang w:val="en-IN"/>
        </w:rPr>
        <w:t>NOTE: Not filmed. Information is merged in 2.8 due to repetitive information</w:t>
      </w:r>
    </w:p>
    <w:p w14:paraId="64769CF2" w14:textId="1D3513D2" w:rsidR="00B34484" w:rsidRDefault="00000000">
      <w:pPr>
        <w:pStyle w:val="Narration"/>
        <w:numPr>
          <w:ilvl w:val="1"/>
          <w:numId w:val="1"/>
        </w:numPr>
      </w:pPr>
      <w:r>
        <w:t>Set the radio frequency power to 50 watts on the bismuth telluride gun and 10 watts on the manganese gun before plasma ignition</w:t>
      </w:r>
      <w:r w:rsidR="007F5427">
        <w:t xml:space="preserve">. Minimize reflected power before plasma ignition, keeping it at or below 5 watts </w:t>
      </w:r>
      <w:r>
        <w:rPr>
          <w:b/>
          <w:bCs/>
        </w:rPr>
        <w:t>[1]</w:t>
      </w:r>
      <w:r>
        <w:t xml:space="preserve">. Ignite the plasma for both guns and confirm stable plasma by observing a steady glow maintained for approximately 1 to 2 minutes without visible flicker or sudden pressure spikes </w:t>
      </w:r>
      <w:r>
        <w:rPr>
          <w:b/>
          <w:bCs/>
        </w:rPr>
        <w:t>[2]</w:t>
      </w:r>
      <w:r>
        <w:t>.</w:t>
      </w:r>
    </w:p>
    <w:p w14:paraId="356FD67E" w14:textId="2DD7D8F6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radio frequency power settings of 50 watts for the bismuth telluride gun and 10 watts for the manganese gun.</w:t>
      </w:r>
      <w:r w:rsidR="007F5427">
        <w:rPr>
          <w:lang w:val="en-IN"/>
        </w:rPr>
        <w:t xml:space="preserve">  </w:t>
      </w:r>
      <w:r w:rsidR="007F5427" w:rsidRPr="007F5427">
        <w:rPr>
          <w:i/>
          <w:iCs/>
          <w:color w:val="0000FF"/>
          <w:lang w:val="en-IN"/>
        </w:rPr>
        <w:t>Video editor: Highlight the FWD value for radio frequency power and REF value for reflected power</w:t>
      </w:r>
    </w:p>
    <w:p w14:paraId="594EC3D2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ignites the plasma for both sputter guns with a shot of stable plasma glow inside the sputtering chamber.</w:t>
      </w:r>
    </w:p>
    <w:p w14:paraId="3DBB36D7" w14:textId="77777777" w:rsidR="00B34484" w:rsidRDefault="00000000">
      <w:pPr>
        <w:pStyle w:val="Narration"/>
        <w:numPr>
          <w:ilvl w:val="1"/>
          <w:numId w:val="1"/>
        </w:numPr>
      </w:pPr>
      <w:r>
        <w:rPr>
          <w:rFonts w:asciiTheme="majorHAnsi" w:hAnsiTheme="majorHAnsi" w:cstheme="majorHAnsi"/>
        </w:rPr>
        <w:lastRenderedPageBreak/>
        <w:t xml:space="preserve">Once stable plasma was achieved at both guns, </w:t>
      </w:r>
      <w:r>
        <w:t xml:space="preserve">pre-sputter both targets for 15 minutes to remove surface contamination and native oxides after stable plasma is achieved </w:t>
      </w:r>
      <w:r>
        <w:rPr>
          <w:b/>
          <w:bCs/>
        </w:rPr>
        <w:t>[1]</w:t>
      </w:r>
      <w:r>
        <w:t>.</w:t>
      </w:r>
    </w:p>
    <w:p w14:paraId="2419E6C7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performing pre-sputtering with stable plasma inside the chamber.</w:t>
      </w:r>
    </w:p>
    <w:p w14:paraId="5EBE1C7E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Remove the test substrates after pre-sputtering </w:t>
      </w:r>
      <w:r>
        <w:rPr>
          <w:b/>
          <w:bCs/>
        </w:rPr>
        <w:t>[1]</w:t>
      </w:r>
      <w:r>
        <w:t xml:space="preserve">. </w:t>
      </w:r>
    </w:p>
    <w:p w14:paraId="3E58092E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removing the test substrates from the rotating substrate holder.</w:t>
      </w:r>
      <w:r>
        <w:rPr>
          <w:lang w:val="en-IN"/>
        </w:rPr>
        <w:br/>
      </w:r>
    </w:p>
    <w:p w14:paraId="53126BFD" w14:textId="77777777" w:rsidR="00B34484" w:rsidRDefault="0000000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Co-Sputtering Deposition Procedure for Mn-Doped Bi₂Te₃ Thin Films</w:t>
      </w:r>
    </w:p>
    <w:p w14:paraId="09349F2A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Before loading the substrates for the deposition run, remove dust from the chamber interior and the sample-holder region using a clean rubber blower </w:t>
      </w:r>
      <w:r>
        <w:rPr>
          <w:b/>
          <w:bCs/>
        </w:rPr>
        <w:t>[1]</w:t>
      </w:r>
      <w:r>
        <w:t xml:space="preserve">. Keep the viewing window protected with a clean petri dish lid for plasma observation </w:t>
      </w:r>
      <w:r>
        <w:rPr>
          <w:b/>
          <w:bCs/>
        </w:rPr>
        <w:t>[2]</w:t>
      </w:r>
      <w:r>
        <w:t>.</w:t>
      </w:r>
    </w:p>
    <w:p w14:paraId="42CAC482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removing dust from the chamber interior and sample-holder region using a clean rubber blower.</w:t>
      </w:r>
    </w:p>
    <w:p w14:paraId="77E1762E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placing a clean petri dish lid over the viewing window.</w:t>
      </w:r>
    </w:p>
    <w:p w14:paraId="1F7FC371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Inspect the targets to ensure that they are properly seated, centered, and in good condition </w:t>
      </w:r>
      <w:r>
        <w:rPr>
          <w:b/>
          <w:bCs/>
        </w:rPr>
        <w:t>[1]</w:t>
      </w:r>
      <w:r>
        <w:t xml:space="preserve">. Verify that each target is firmly clamped and properly centered within the sputter gun </w:t>
      </w:r>
      <w:r>
        <w:rPr>
          <w:b/>
          <w:bCs/>
        </w:rPr>
        <w:t>[2]</w:t>
      </w:r>
      <w:r>
        <w:t>.</w:t>
      </w:r>
    </w:p>
    <w:p w14:paraId="6693FD93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inspecting the sputtering targets inside the chamber.</w:t>
      </w:r>
    </w:p>
    <w:p w14:paraId="5673DF5F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checking that the targets are firmly clamped and centered within the sputter guns.</w:t>
      </w:r>
    </w:p>
    <w:p w14:paraId="364D19BA" w14:textId="77777777" w:rsidR="00B34484" w:rsidRDefault="00000000">
      <w:pPr>
        <w:pStyle w:val="Narration"/>
        <w:numPr>
          <w:ilvl w:val="1"/>
          <w:numId w:val="1"/>
        </w:numPr>
        <w:rPr>
          <w:b/>
          <w:bCs/>
        </w:rPr>
      </w:pPr>
      <w:r>
        <w:t xml:space="preserve">Place the cleaned substrates symmetrically near the outer region of the rotating holder at approximately 5 to 10 millimeters from the holder center </w:t>
      </w:r>
      <w:r>
        <w:rPr>
          <w:b/>
          <w:bCs/>
        </w:rPr>
        <w:t>[1]</w:t>
      </w:r>
      <w:r>
        <w:t xml:space="preserve">. Align the longer side of each substrate parallel to the holder edge </w:t>
      </w:r>
      <w:r>
        <w:rPr>
          <w:b/>
          <w:bCs/>
        </w:rPr>
        <w:t>[2]</w:t>
      </w:r>
      <w:r>
        <w:t xml:space="preserve">. </w:t>
      </w:r>
      <w:r>
        <w:rPr>
          <w:lang w:val="en-US"/>
        </w:rPr>
        <w:t xml:space="preserve">Fix the target-to-substrate distance at 55 millimeters for both sputter guns </w:t>
      </w:r>
      <w:r>
        <w:rPr>
          <w:b/>
          <w:bCs/>
          <w:lang w:val="en-US"/>
        </w:rPr>
        <w:t>[3]</w:t>
      </w:r>
    </w:p>
    <w:p w14:paraId="46E0C2B8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placing the cleaned substrates symmetrically on the rotating holder near the outer region.</w:t>
      </w:r>
    </w:p>
    <w:p w14:paraId="379AF7FE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Close-up shot of the substrates aligned parallel to the holder edge.</w:t>
      </w:r>
    </w:p>
    <w:p w14:paraId="777973DB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confirming the 55-millimeter target-to-substrate distance for both sputter guns.</w:t>
      </w:r>
    </w:p>
    <w:p w14:paraId="4F289B5F" w14:textId="6FDBE60B" w:rsidR="00B34484" w:rsidRDefault="00000000">
      <w:pPr>
        <w:pStyle w:val="Narration"/>
        <w:numPr>
          <w:ilvl w:val="1"/>
          <w:numId w:val="1"/>
        </w:numPr>
      </w:pPr>
      <w:r>
        <w:t>Pump down the chamber</w:t>
      </w:r>
      <w:r w:rsidR="007303C5">
        <w:t xml:space="preserve"> and</w:t>
      </w:r>
      <w:r>
        <w:t xml:space="preserve"> continue evacuation for at least 5 hours or until the base pressure stabilizes at the target value </w:t>
      </w:r>
      <w:r>
        <w:rPr>
          <w:b/>
          <w:bCs/>
        </w:rPr>
        <w:t>[</w:t>
      </w:r>
      <w:r w:rsidR="007303C5">
        <w:rPr>
          <w:b/>
          <w:bCs/>
        </w:rPr>
        <w:t>1</w:t>
      </w:r>
      <w:r>
        <w:rPr>
          <w:b/>
          <w:bCs/>
        </w:rPr>
        <w:t>]</w:t>
      </w:r>
      <w:r>
        <w:t xml:space="preserve">. Confirm base-pressure stability when the pressure drift remains less than or equal to 5% over approximately 10 minutes </w:t>
      </w:r>
      <w:r>
        <w:rPr>
          <w:b/>
          <w:bCs/>
        </w:rPr>
        <w:t>[</w:t>
      </w:r>
      <w:r w:rsidR="007303C5">
        <w:rPr>
          <w:b/>
          <w:bCs/>
        </w:rPr>
        <w:t>2</w:t>
      </w:r>
      <w:r>
        <w:rPr>
          <w:b/>
          <w:bCs/>
        </w:rPr>
        <w:t>]</w:t>
      </w:r>
      <w:r w:rsidR="007303C5">
        <w:t xml:space="preserve"> and the</w:t>
      </w:r>
      <w:r w:rsidR="007303C5">
        <w:t xml:space="preserve"> base pressure</w:t>
      </w:r>
      <w:r w:rsidR="007303C5">
        <w:t xml:space="preserve"> reaches</w:t>
      </w:r>
      <w:r w:rsidR="007303C5">
        <w:t xml:space="preserve"> 5 × 10</w:t>
      </w:r>
      <w:r w:rsidR="007303C5">
        <w:rPr>
          <w:vertAlign w:val="superscript"/>
        </w:rPr>
        <w:t>−5</w:t>
      </w:r>
      <w:r w:rsidR="007303C5">
        <w:t xml:space="preserve"> Torr or lower </w:t>
      </w:r>
      <w:r w:rsidR="007303C5">
        <w:rPr>
          <w:b/>
          <w:bCs/>
        </w:rPr>
        <w:t>[</w:t>
      </w:r>
      <w:r w:rsidR="007303C5">
        <w:rPr>
          <w:b/>
          <w:bCs/>
        </w:rPr>
        <w:t>3</w:t>
      </w:r>
      <w:r w:rsidR="007303C5">
        <w:rPr>
          <w:b/>
          <w:bCs/>
        </w:rPr>
        <w:t>]</w:t>
      </w:r>
      <w:r w:rsidR="007303C5">
        <w:t xml:space="preserve">. </w:t>
      </w:r>
      <w:r w:rsidR="007303C5">
        <w:t xml:space="preserve"> </w:t>
      </w:r>
      <w:r w:rsidR="007303C5" w:rsidRPr="00E12796">
        <w:rPr>
          <w:highlight w:val="green"/>
        </w:rPr>
        <w:t xml:space="preserve">NOTE: The VO is edited </w:t>
      </w:r>
      <w:r w:rsidR="00E12796" w:rsidRPr="00E12796">
        <w:rPr>
          <w:highlight w:val="green"/>
        </w:rPr>
        <w:t>as per the shots</w:t>
      </w:r>
    </w:p>
    <w:p w14:paraId="63DD6C04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initiating chamber pump-down for the deposition run.</w:t>
      </w:r>
    </w:p>
    <w:p w14:paraId="4085D3DC" w14:textId="023C6D55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 w:rsidRPr="007F5427">
        <w:rPr>
          <w:strike/>
          <w:lang w:val="en-IN"/>
        </w:rPr>
        <w:t>Show the chamber pressure decreasing during evacuation.</w:t>
      </w:r>
      <w:r w:rsidR="007F5427">
        <w:rPr>
          <w:lang w:val="en-IN"/>
        </w:rPr>
        <w:t xml:space="preserve"> </w:t>
      </w:r>
      <w:r w:rsidR="007F5427" w:rsidRPr="007F5427">
        <w:rPr>
          <w:highlight w:val="green"/>
          <w:lang w:val="en-IN"/>
        </w:rPr>
        <w:t xml:space="preserve">NOTE: </w:t>
      </w:r>
      <w:r w:rsidR="007F5427">
        <w:rPr>
          <w:highlight w:val="green"/>
          <w:lang w:val="en-IN"/>
        </w:rPr>
        <w:t xml:space="preserve">NOTE filmed. </w:t>
      </w:r>
      <w:r w:rsidRPr="00E12796">
        <w:rPr>
          <w:highlight w:val="green"/>
          <w:lang w:val="en-IN"/>
        </w:rPr>
        <w:t xml:space="preserve">This shot may appear similar to earlier pressure-gauge footage because the </w:t>
      </w:r>
      <w:r w:rsidRPr="00E12796">
        <w:rPr>
          <w:highlight w:val="green"/>
          <w:lang w:val="en-IN"/>
        </w:rPr>
        <w:lastRenderedPageBreak/>
        <w:t>same pressure gauge display was used throughout the sputtering process.</w:t>
      </w:r>
    </w:p>
    <w:p w14:paraId="691D62CE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stabilized base-pressure reading with less than or equal to 5% drift over approximately 10 minutes.</w:t>
      </w:r>
    </w:p>
    <w:p w14:paraId="141E0FEB" w14:textId="3D40534B" w:rsidR="00B34484" w:rsidRDefault="007303C5" w:rsidP="007303C5">
      <w:pPr>
        <w:pStyle w:val="ShotDescription"/>
        <w:ind w:left="907" w:firstLine="0"/>
        <w:rPr>
          <w:lang w:val="en-IN"/>
        </w:rPr>
      </w:pPr>
      <w:r w:rsidRPr="007303C5">
        <w:rPr>
          <w:color w:val="EE0000"/>
          <w:lang w:val="en-MY"/>
        </w:rPr>
        <w:t xml:space="preserve">Added shot: </w:t>
      </w:r>
      <w:r w:rsidR="00000000" w:rsidRPr="007303C5">
        <w:rPr>
          <w:color w:val="EE0000"/>
          <w:lang w:val="en-MY"/>
        </w:rPr>
        <w:t>Show the vacuum gauge at a base pressure of 5 × 10⁻⁵ Torr or lower.</w:t>
      </w:r>
    </w:p>
    <w:p w14:paraId="27646868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Stabilize the cooling system at 288 kelvins after reaching base pressure </w:t>
      </w:r>
      <w:r>
        <w:rPr>
          <w:b/>
          <w:bCs/>
        </w:rPr>
        <w:t>[1]</w:t>
      </w:r>
      <w:r>
        <w:t xml:space="preserve">. Set the argon flow to 4 standard cubic centimeters per minute and allow it to stabilize </w:t>
      </w:r>
      <w:r>
        <w:rPr>
          <w:b/>
          <w:bCs/>
        </w:rPr>
        <w:t>[2]</w:t>
      </w:r>
      <w:r>
        <w:t xml:space="preserve">. Maintain substrate rotation at 10 rpm </w:t>
      </w:r>
      <w:r>
        <w:rPr>
          <w:b/>
          <w:bCs/>
        </w:rPr>
        <w:t>[3]</w:t>
      </w:r>
      <w:r>
        <w:t>.</w:t>
      </w:r>
    </w:p>
    <w:p w14:paraId="52062304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setting the cooling-system temperature to 288 kelvin.</w:t>
      </w:r>
    </w:p>
    <w:p w14:paraId="507A23FF" w14:textId="3C93CA5C" w:rsidR="00B34484" w:rsidRPr="007F5427" w:rsidRDefault="00000000" w:rsidP="007F5427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argon gas flow stabilized at greater than or equal to 3.9 standard cubic centimeters per minute.</w:t>
      </w:r>
      <w:r w:rsidR="007F5427">
        <w:rPr>
          <w:lang w:val="en-IN"/>
        </w:rPr>
        <w:t xml:space="preserve"> </w:t>
      </w:r>
      <w:r w:rsidR="007F5427" w:rsidRPr="007F5427">
        <w:rPr>
          <w:highlight w:val="green"/>
          <w:lang w:val="en-IN"/>
        </w:rPr>
        <w:t>NOTE: Due to the new controller display, the setting shown during filming may differ from the nominal 4 sccm value.</w:t>
      </w:r>
    </w:p>
    <w:p w14:paraId="78C3DBC7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substrate rotation speed set to 10 revolutions per minute.</w:t>
      </w:r>
    </w:p>
    <w:p w14:paraId="0CD361F3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Confirm the matching-network settings for both guns and enable Auto matching on the controller </w:t>
      </w:r>
      <w:r>
        <w:rPr>
          <w:b/>
          <w:bCs/>
        </w:rPr>
        <w:t>[1]</w:t>
      </w:r>
      <w:r>
        <w:t>.</w:t>
      </w:r>
    </w:p>
    <w:p w14:paraId="2461561C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settings for both sputter guns and enable auto matching</w:t>
      </w:r>
    </w:p>
    <w:p w14:paraId="23873B01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Initiate the bismuth telluride gun at 70 watts for easier plasma ignition </w:t>
      </w:r>
      <w:r>
        <w:rPr>
          <w:b/>
          <w:bCs/>
        </w:rPr>
        <w:t>[1]</w:t>
      </w:r>
      <w:r>
        <w:t xml:space="preserve">. Increase the power by 5 watts every 10 seconds until reaching 100 watts </w:t>
      </w:r>
      <w:r>
        <w:rPr>
          <w:b/>
          <w:bCs/>
        </w:rPr>
        <w:t>[2]</w:t>
      </w:r>
      <w:r>
        <w:t xml:space="preserve">. Start the deposition timer only after the bismuth telluride power readback remains at 100 watts for approximately 30 seconds and plasma stability is confirmed </w:t>
      </w:r>
      <w:r>
        <w:rPr>
          <w:b/>
          <w:bCs/>
        </w:rPr>
        <w:t>[3]</w:t>
      </w:r>
      <w:r>
        <w:t>.</w:t>
      </w:r>
    </w:p>
    <w:p w14:paraId="15EF65EA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 Show the bismuth telluride gun initiated at 70 watts on the power controller.</w:t>
      </w:r>
    </w:p>
    <w:p w14:paraId="1C257F9A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gradual increase of the bismuth telluride power in 5-watt increments until reaching 100 watts.</w:t>
      </w:r>
    </w:p>
    <w:p w14:paraId="6965738D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stable 100-watt power readback and the deposition timer being started.</w:t>
      </w:r>
    </w:p>
    <w:p w14:paraId="01CC6B70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Deposit the films for 30 minutes while maintaining stable plasma conditions during the deposition process </w:t>
      </w:r>
      <w:r>
        <w:rPr>
          <w:b/>
          <w:bCs/>
        </w:rPr>
        <w:t>[1]</w:t>
      </w:r>
      <w:r>
        <w:t>.</w:t>
      </w:r>
    </w:p>
    <w:p w14:paraId="0DFCA4A4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monitoring the sputtering system during the 30-minute deposition process.</w:t>
      </w:r>
    </w:p>
    <w:p w14:paraId="52B9431D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Using the same parameters, repeat the deposition steps for manganese at radio-frequency powers of 10 watts and 15 watts, using fresh substrates </w:t>
      </w:r>
      <w:r>
        <w:rPr>
          <w:b/>
          <w:bCs/>
        </w:rPr>
        <w:t>[1]</w:t>
      </w:r>
      <w:r>
        <w:t>.</w:t>
      </w:r>
    </w:p>
    <w:p w14:paraId="2850A0FA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loading fresh substrates for subsequent manganese power conditions.</w:t>
      </w:r>
    </w:p>
    <w:p w14:paraId="3A208B1D" w14:textId="77777777" w:rsidR="00B34484" w:rsidRDefault="00000000">
      <w:pPr>
        <w:pStyle w:val="ShotDescription"/>
        <w:numPr>
          <w:ilvl w:val="0"/>
          <w:numId w:val="1"/>
        </w:numPr>
        <w:rPr>
          <w:b/>
          <w:bCs/>
          <w:lang w:val="en-IN"/>
        </w:rPr>
      </w:pPr>
      <w:r>
        <w:rPr>
          <w:b/>
          <w:bCs/>
          <w:lang w:val="en-IN"/>
        </w:rPr>
        <w:t>System Shutdown, and Post-Deposition Sample Handling</w:t>
      </w:r>
    </w:p>
    <w:p w14:paraId="01C094D0" w14:textId="3D079EE8" w:rsidR="00B34484" w:rsidRDefault="00000000">
      <w:pPr>
        <w:pStyle w:val="Narration"/>
        <w:numPr>
          <w:ilvl w:val="1"/>
          <w:numId w:val="1"/>
        </w:numPr>
      </w:pPr>
      <w:r>
        <w:t xml:space="preserve">Initiate shutdown through the system controller by switching off the radio frequency output first </w:t>
      </w:r>
      <w:r>
        <w:rPr>
          <w:b/>
          <w:bCs/>
        </w:rPr>
        <w:t>[1]</w:t>
      </w:r>
      <w:r>
        <w:t xml:space="preserve">. Reduce the argon flow to </w:t>
      </w:r>
      <w:r w:rsidR="007F5427">
        <w:t xml:space="preserve">10 to 11 </w:t>
      </w:r>
      <w:r>
        <w:t xml:space="preserve">standard cubic centimeters per minute while keeping the cooling system active until the chamber is vented and the </w:t>
      </w:r>
      <w:r>
        <w:lastRenderedPageBreak/>
        <w:t xml:space="preserve">sputter guns return to near-ambient temperature </w:t>
      </w:r>
      <w:r>
        <w:rPr>
          <w:b/>
          <w:bCs/>
        </w:rPr>
        <w:t>[2]</w:t>
      </w:r>
      <w:r>
        <w:t>.</w:t>
      </w:r>
    </w:p>
    <w:p w14:paraId="7543174E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radio frequency output being switched off on the controller.</w:t>
      </w:r>
    </w:p>
    <w:p w14:paraId="572FB767" w14:textId="10363475" w:rsidR="007F5427" w:rsidRPr="007F5427" w:rsidRDefault="00000000" w:rsidP="007F5427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Show the argon flow reduced to </w:t>
      </w:r>
      <w:r w:rsidR="007F5427">
        <w:rPr>
          <w:lang w:val="en-IN"/>
        </w:rPr>
        <w:t>11</w:t>
      </w:r>
      <w:r>
        <w:rPr>
          <w:lang w:val="en-IN"/>
        </w:rPr>
        <w:t xml:space="preserve"> standard cubic centimeters per minute while the cooling system remains active.</w:t>
      </w:r>
      <w:r w:rsidR="007F5427">
        <w:rPr>
          <w:lang w:val="en-IN"/>
        </w:rPr>
        <w:t xml:space="preserve"> </w:t>
      </w:r>
      <w:r w:rsidR="007F5427" w:rsidRPr="007F5427">
        <w:rPr>
          <w:highlight w:val="green"/>
          <w:lang w:val="en-IN"/>
        </w:rPr>
        <w:t>NOTE: The new argon flow controller did not display 0 mL/min during filming. The lowest displayed value was approximately 10–11 mL/min, so the filmed shot shows the argon flow being reduced from 22 mL/min to approximately 10–11 mL/min.</w:t>
      </w:r>
    </w:p>
    <w:p w14:paraId="29E20D6A" w14:textId="5C9BD62A" w:rsidR="00B34484" w:rsidRDefault="00B34484" w:rsidP="007F5427">
      <w:pPr>
        <w:pStyle w:val="ShotDescription"/>
        <w:ind w:firstLine="0"/>
        <w:rPr>
          <w:lang w:val="en-IN"/>
        </w:rPr>
      </w:pPr>
    </w:p>
    <w:p w14:paraId="60295B92" w14:textId="77777777" w:rsidR="00B34484" w:rsidRDefault="00000000">
      <w:pPr>
        <w:pStyle w:val="Narration"/>
        <w:numPr>
          <w:ilvl w:val="1"/>
          <w:numId w:val="1"/>
        </w:numPr>
      </w:pPr>
      <w:r>
        <w:rPr>
          <w:lang w:val="en-US"/>
        </w:rPr>
        <w:t xml:space="preserve">Confirm that the turbomolecular pump has stopped completely and the speed reading is 0 before venting the chamber </w:t>
      </w:r>
      <w:r>
        <w:rPr>
          <w:b/>
          <w:bCs/>
        </w:rPr>
        <w:t>[2]</w:t>
      </w:r>
      <w:r>
        <w:t>.</w:t>
      </w:r>
    </w:p>
    <w:p w14:paraId="2DAAD57E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Show the turbomolecular pump status indicator on the controller.</w:t>
      </w:r>
    </w:p>
    <w:p w14:paraId="10794897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Vent the chamber slowly using dry nitrogen through the vent valve to allow gradual pressure equalization and minimize particle disturbance </w:t>
      </w:r>
      <w:r>
        <w:rPr>
          <w:b/>
          <w:bCs/>
        </w:rPr>
        <w:t>[1]</w:t>
      </w:r>
      <w:r>
        <w:t>.</w:t>
      </w:r>
    </w:p>
    <w:p w14:paraId="17E2846D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slowly opening the vent valve to introduce dry nitrogen into the chamber for venting.</w:t>
      </w:r>
    </w:p>
    <w:p w14:paraId="67FF0C95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Open the chamber only after the pressure returns to approximately atmospheric pressure at approximately 760 Torr, and the chamber door can be released without resistance </w:t>
      </w:r>
      <w:r>
        <w:rPr>
          <w:b/>
          <w:bCs/>
        </w:rPr>
        <w:t>[1]</w:t>
      </w:r>
      <w:r>
        <w:t>.</w:t>
      </w:r>
    </w:p>
    <w:p w14:paraId="3E9298CE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opening the sputtering chamber after confirming atmospheric pressure conditions.</w:t>
      </w:r>
    </w:p>
    <w:p w14:paraId="18FCE729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Wear a mask and gloves during sample removal to reduce contamination and exposure to fine particles </w:t>
      </w:r>
      <w:r>
        <w:rPr>
          <w:b/>
          <w:bCs/>
        </w:rPr>
        <w:t>[1]</w:t>
      </w:r>
      <w:r>
        <w:t xml:space="preserve">. Remove the deposited samples from the chamber </w:t>
      </w:r>
      <w:r>
        <w:rPr>
          <w:b/>
          <w:bCs/>
        </w:rPr>
        <w:t>[2]</w:t>
      </w:r>
      <w:r>
        <w:t>.</w:t>
      </w:r>
    </w:p>
    <w:p w14:paraId="393CDEF2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wearing a mask and gloves before handling the samples.</w:t>
      </w:r>
    </w:p>
    <w:p w14:paraId="6F41B597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removing the deposited samples from the chamber.</w:t>
      </w:r>
    </w:p>
    <w:p w14:paraId="46E04D3A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Transfer the samples into a clean petri dish </w:t>
      </w:r>
      <w:r>
        <w:rPr>
          <w:b/>
          <w:bCs/>
        </w:rPr>
        <w:t>[1]</w:t>
      </w:r>
      <w:r>
        <w:t>. Store the samples in a vacuum storage container and</w:t>
      </w:r>
      <w:r>
        <w:rPr>
          <w:b/>
          <w:bCs/>
        </w:rPr>
        <w:t xml:space="preserve"> </w:t>
      </w:r>
      <w:r>
        <w:t xml:space="preserve">perform characterization within 24 to 72 hours after deposition </w:t>
      </w:r>
      <w:r>
        <w:rPr>
          <w:b/>
          <w:bCs/>
        </w:rPr>
        <w:t>[2]</w:t>
      </w:r>
      <w:r>
        <w:t>.</w:t>
      </w:r>
    </w:p>
    <w:p w14:paraId="25FF8F27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placing the deposited samples into a clean petri dish.</w:t>
      </w:r>
    </w:p>
    <w:p w14:paraId="58237FEB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placing the petri dish into a vacuum storage container.</w:t>
      </w:r>
    </w:p>
    <w:p w14:paraId="46FAD591" w14:textId="61A0245C" w:rsidR="00B34484" w:rsidRDefault="00000000">
      <w:pPr>
        <w:pStyle w:val="Narration"/>
        <w:numPr>
          <w:ilvl w:val="1"/>
          <w:numId w:val="1"/>
        </w:numPr>
      </w:pPr>
      <w:r>
        <w:rPr>
          <w:lang w:val="en-US"/>
        </w:rPr>
        <w:t xml:space="preserve">After sample removal, rough-pump the chamber </w:t>
      </w:r>
      <w:r w:rsidR="00E12796">
        <w:rPr>
          <w:lang w:val="en-US"/>
        </w:rPr>
        <w:t>for 10</w:t>
      </w:r>
      <w:r>
        <w:rPr>
          <w:lang w:val="en-US"/>
        </w:rPr>
        <w:t>–15 minutes to reach the required pre-TMP pressure, minimizing exposure to ambient air and moisture</w:t>
      </w:r>
      <w:r>
        <w:rPr>
          <w:b/>
          <w:bCs/>
          <w:lang w:val="en-US"/>
        </w:rPr>
        <w:t xml:space="preserve"> [1].</w:t>
      </w:r>
    </w:p>
    <w:p w14:paraId="1FDFF046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>Talent initiating rough pumping of the chamber after sample removal.</w:t>
      </w:r>
    </w:p>
    <w:p w14:paraId="4F29D12B" w14:textId="77777777" w:rsidR="00B34484" w:rsidRDefault="00B34484">
      <w:pPr>
        <w:rPr>
          <w:lang w:val="en-IN"/>
        </w:rPr>
      </w:pPr>
    </w:p>
    <w:p w14:paraId="5B70224D" w14:textId="77777777" w:rsidR="00B34484" w:rsidRDefault="00000000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7777777" w:rsidR="00B34484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C654D1D" w14:textId="0FF7C7B4" w:rsidR="00B34484" w:rsidRPr="00E12796" w:rsidRDefault="00000000" w:rsidP="00E12796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C34D28B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X-ray diffraction patterns confirmed that all samples retained the rhombohedral </w:t>
      </w:r>
      <w:r>
        <w:rPr>
          <w:lang w:val="en-US"/>
        </w:rPr>
        <w:t>bismuth telluride</w:t>
      </w:r>
      <w:r>
        <w:t xml:space="preserve"> phase across the manganese power series </w:t>
      </w:r>
      <w:r>
        <w:rPr>
          <w:b/>
          <w:bCs/>
        </w:rPr>
        <w:t>[1].</w:t>
      </w:r>
    </w:p>
    <w:p w14:paraId="517DFAA8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4. </w:t>
      </w:r>
    </w:p>
    <w:p w14:paraId="74C5FB90" w14:textId="77777777" w:rsidR="00B34484" w:rsidRDefault="00000000">
      <w:pPr>
        <w:pStyle w:val="Narration"/>
        <w:numPr>
          <w:ilvl w:val="1"/>
          <w:numId w:val="1"/>
        </w:numPr>
        <w:rPr>
          <w:b/>
          <w:bCs/>
        </w:rPr>
      </w:pPr>
      <w:r>
        <w:t xml:space="preserve">The dominant diffraction peak shifted toward higher 2 theta values with increasing manganese input </w:t>
      </w:r>
      <w:r>
        <w:rPr>
          <w:b/>
          <w:bCs/>
        </w:rPr>
        <w:t xml:space="preserve">[1]. </w:t>
      </w:r>
      <w:r>
        <w:t xml:space="preserve">The crystallite size generally decreased from 14.23 nanometers at 0 watts to 8.35 nanometers at 15 watts, consistent with peak broadening at higher manganese power </w:t>
      </w:r>
      <w:r>
        <w:rPr>
          <w:b/>
          <w:bCs/>
        </w:rPr>
        <w:t>[2].</w:t>
      </w:r>
    </w:p>
    <w:p w14:paraId="6A50BB58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5. </w:t>
      </w:r>
    </w:p>
    <w:p w14:paraId="6F1D2D2C" w14:textId="77777777" w:rsidR="00B34484" w:rsidRDefault="00000000">
      <w:pPr>
        <w:pStyle w:val="ShotDescription"/>
        <w:numPr>
          <w:ilvl w:val="2"/>
          <w:numId w:val="1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5. </w:t>
      </w:r>
      <w:r>
        <w:rPr>
          <w:i/>
          <w:iCs/>
          <w:color w:val="0000FF"/>
          <w:lang w:val="en-IN"/>
        </w:rPr>
        <w:t>Video editor: Highlight the wider peak shape of the 15 watt manganese curve compared with the narrower 0 watt curve.</w:t>
      </w:r>
    </w:p>
    <w:p w14:paraId="4D5ADADC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Surface field-emission scanning electron microscopy images demonstrated clear changes in film microstructure with increasing manganese input </w:t>
      </w:r>
      <w:r>
        <w:rPr>
          <w:b/>
          <w:bCs/>
        </w:rPr>
        <w:t>[1].</w:t>
      </w:r>
    </w:p>
    <w:p w14:paraId="318AF6B9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6. </w:t>
      </w:r>
    </w:p>
    <w:p w14:paraId="3B27F804" w14:textId="77777777" w:rsidR="00B34484" w:rsidRDefault="00000000">
      <w:pPr>
        <w:pStyle w:val="Narration"/>
        <w:numPr>
          <w:ilvl w:val="1"/>
          <w:numId w:val="1"/>
        </w:numPr>
      </w:pPr>
      <w:r>
        <w:rPr>
          <w:lang w:val="en-US"/>
        </w:rPr>
        <w:t xml:space="preserve">The 0-Watt control film showed larger polygonal grains with distinct grain boundaries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while the 5-Watt Manganese-doped film exhibited a more compact surface with finer grains </w:t>
      </w:r>
      <w:r>
        <w:rPr>
          <w:b/>
          <w:bCs/>
        </w:rPr>
        <w:t>[2].</w:t>
      </w:r>
    </w:p>
    <w:p w14:paraId="07627F02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6. </w:t>
      </w:r>
      <w:r>
        <w:rPr>
          <w:i/>
          <w:iCs/>
          <w:color w:val="0000FF"/>
          <w:lang w:val="en-IN"/>
        </w:rPr>
        <w:t>Video editor: Highlight 6A.</w:t>
      </w:r>
    </w:p>
    <w:p w14:paraId="21E373B2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6b. </w:t>
      </w:r>
      <w:r>
        <w:rPr>
          <w:i/>
          <w:iCs/>
          <w:color w:val="0000FF"/>
          <w:lang w:val="en-IN"/>
        </w:rPr>
        <w:t>Video editor: Highlight 6B.</w:t>
      </w:r>
    </w:p>
    <w:p w14:paraId="2DDA2AD0" w14:textId="77777777" w:rsidR="00B34484" w:rsidRDefault="00000000">
      <w:pPr>
        <w:pStyle w:val="Narration"/>
        <w:numPr>
          <w:ilvl w:val="1"/>
          <w:numId w:val="1"/>
        </w:numPr>
      </w:pPr>
      <w:r>
        <w:rPr>
          <w:lang w:val="en-US"/>
        </w:rPr>
        <w:t xml:space="preserve">Films deposited at 10 Watt and 15-Watt Manganese power appeared denser, with fewer intergranular gaps than the 0-Watt and 5-Watt samples </w:t>
      </w:r>
      <w:r>
        <w:rPr>
          <w:b/>
          <w:bCs/>
        </w:rPr>
        <w:t>[1].</w:t>
      </w:r>
    </w:p>
    <w:p w14:paraId="25A93B6A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6. Video editor: </w:t>
      </w:r>
      <w:r>
        <w:rPr>
          <w:i/>
          <w:iCs/>
          <w:color w:val="0000FF"/>
          <w:lang w:val="en-IN"/>
        </w:rPr>
        <w:t>Highlight 6c and D.</w:t>
      </w:r>
    </w:p>
    <w:p w14:paraId="3E4B793D" w14:textId="77777777" w:rsidR="00B34484" w:rsidRDefault="00000000">
      <w:pPr>
        <w:pStyle w:val="Narration"/>
        <w:numPr>
          <w:ilvl w:val="1"/>
          <w:numId w:val="1"/>
        </w:numPr>
        <w:rPr>
          <w:b/>
          <w:bCs/>
        </w:rPr>
      </w:pPr>
      <w:r>
        <w:t xml:space="preserve">Elemental composition analysis confirmed that manganese incorporation increased with increasing manganese target power </w:t>
      </w:r>
      <w:r>
        <w:rPr>
          <w:b/>
          <w:bCs/>
        </w:rPr>
        <w:t>[1].</w:t>
      </w:r>
    </w:p>
    <w:p w14:paraId="7076F82B" w14:textId="77777777" w:rsidR="00B34484" w:rsidRDefault="00000000">
      <w:pPr>
        <w:pStyle w:val="ShotDescription"/>
        <w:numPr>
          <w:ilvl w:val="2"/>
          <w:numId w:val="1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Table 3. </w:t>
      </w:r>
      <w:r>
        <w:rPr>
          <w:i/>
          <w:iCs/>
          <w:color w:val="0000FF"/>
          <w:lang w:val="en-IN"/>
        </w:rPr>
        <w:t>Video editor: Highlight the “Mn (at.%)” column showing the increase from 0.00 to 0.59 across the power values.</w:t>
      </w:r>
    </w:p>
    <w:p w14:paraId="1F1B6FC0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All films exhibited a negative Seebeck coefficient, confirming n-type conduction behavior, and the magnitude of the Seebeck coefficient generally increased with temperature for all samples </w:t>
      </w:r>
      <w:r>
        <w:rPr>
          <w:b/>
          <w:bCs/>
        </w:rPr>
        <w:t>[1].</w:t>
      </w:r>
    </w:p>
    <w:p w14:paraId="64D62832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7. </w:t>
      </w:r>
      <w:r>
        <w:rPr>
          <w:i/>
          <w:iCs/>
          <w:color w:val="0000FF"/>
          <w:lang w:val="en-IN"/>
        </w:rPr>
        <w:t>Video editor: Follow the plotted lines from left to right and emphasize the marked points on the right side.</w:t>
      </w:r>
    </w:p>
    <w:p w14:paraId="06D1047F" w14:textId="77777777" w:rsidR="00B34484" w:rsidRDefault="00000000">
      <w:pPr>
        <w:pStyle w:val="Narration"/>
        <w:numPr>
          <w:ilvl w:val="1"/>
          <w:numId w:val="1"/>
        </w:numPr>
        <w:rPr>
          <w:b/>
          <w:bCs/>
        </w:rPr>
      </w:pPr>
      <w:r>
        <w:t xml:space="preserve">The highest Seebeck coefficient magnitude was observed for the 15-watt film, reaching </w:t>
      </w:r>
      <w:r>
        <w:lastRenderedPageBreak/>
        <w:t xml:space="preserve">minus 162.08 microvolts per kelvin at 523 kelvins </w:t>
      </w:r>
      <w:r>
        <w:rPr>
          <w:b/>
          <w:bCs/>
        </w:rPr>
        <w:t>[1].</w:t>
      </w:r>
    </w:p>
    <w:p w14:paraId="1BA6390E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7. </w:t>
      </w:r>
      <w:r>
        <w:rPr>
          <w:i/>
          <w:iCs/>
          <w:color w:val="0000FF"/>
          <w:lang w:val="en-IN"/>
        </w:rPr>
        <w:t>Video editor: Highlight the pink 15-watt manganese curve</w:t>
      </w:r>
      <w:r>
        <w:rPr>
          <w:lang w:val="en-IN"/>
        </w:rPr>
        <w:t xml:space="preserve"> </w:t>
      </w:r>
    </w:p>
    <w:p w14:paraId="1A41F65F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All films exhibited semiconducting transport behavior, where resistivity decreased with increasing temperature </w:t>
      </w:r>
      <w:r>
        <w:rPr>
          <w:b/>
          <w:bCs/>
        </w:rPr>
        <w:t>[1].</w:t>
      </w:r>
    </w:p>
    <w:p w14:paraId="6F954B36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8. </w:t>
      </w:r>
    </w:p>
    <w:p w14:paraId="1B5598E5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The maximum power factor was achieved for the 5-watt film, reaching approximately 529.33 microwatt per meter per kelvin squared at 523 kelvins </w:t>
      </w:r>
      <w:r>
        <w:rPr>
          <w:b/>
          <w:bCs/>
        </w:rPr>
        <w:t>[1].</w:t>
      </w:r>
    </w:p>
    <w:p w14:paraId="3DD7479B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9. </w:t>
      </w:r>
      <w:r>
        <w:rPr>
          <w:i/>
          <w:iCs/>
          <w:color w:val="0000FF"/>
          <w:lang w:val="en-IN"/>
        </w:rPr>
        <w:t>Video editor: Highlight the red 5 watt manganese curve</w:t>
      </w:r>
      <w:r>
        <w:rPr>
          <w:color w:val="0000FF"/>
          <w:lang w:val="en-IN"/>
        </w:rPr>
        <w:t xml:space="preserve"> </w:t>
      </w:r>
    </w:p>
    <w:p w14:paraId="06E2EAEA" w14:textId="77777777" w:rsidR="00B34484" w:rsidRDefault="00000000">
      <w:pPr>
        <w:pStyle w:val="Narration"/>
        <w:numPr>
          <w:ilvl w:val="1"/>
          <w:numId w:val="1"/>
        </w:numPr>
      </w:pPr>
      <w:r>
        <w:t xml:space="preserve">Although the 15-watt film exhibited the highest Seebeck coefficient magnitude, the increased resistivity reduced the power factor to 300.59 microwatt inverse meter inverse kelvin squared </w:t>
      </w:r>
      <w:r>
        <w:rPr>
          <w:b/>
          <w:bCs/>
        </w:rPr>
        <w:t>[1].</w:t>
      </w:r>
    </w:p>
    <w:p w14:paraId="4A5AD22C" w14:textId="77777777" w:rsidR="00B34484" w:rsidRDefault="00000000">
      <w:pPr>
        <w:pStyle w:val="ShotDescription"/>
        <w:numPr>
          <w:ilvl w:val="2"/>
          <w:numId w:val="1"/>
        </w:numPr>
        <w:rPr>
          <w:lang w:val="en-IN"/>
        </w:rPr>
      </w:pPr>
      <w:r>
        <w:rPr>
          <w:lang w:val="en-IN"/>
        </w:rPr>
        <w:t xml:space="preserve">LAB MEDIA: Figure 9. </w:t>
      </w:r>
      <w:r>
        <w:rPr>
          <w:i/>
          <w:iCs/>
          <w:color w:val="0000FF"/>
          <w:lang w:val="en-IN"/>
        </w:rPr>
        <w:t>Video editor: Highlight the pink 15-watt manganese curve</w:t>
      </w:r>
      <w:r>
        <w:rPr>
          <w:color w:val="0000FF"/>
          <w:lang w:val="en-IN"/>
        </w:rPr>
        <w:t xml:space="preserve"> </w:t>
      </w:r>
    </w:p>
    <w:p w14:paraId="193DC08C" w14:textId="77777777" w:rsidR="00B34484" w:rsidRDefault="00000000">
      <w:pPr>
        <w:rPr>
          <w:lang w:val="en-IN"/>
        </w:rPr>
      </w:pPr>
      <w:r>
        <w:rPr>
          <w:lang w:val="en-IN"/>
        </w:rPr>
        <w:t>.</w:t>
      </w:r>
    </w:p>
    <w:p w14:paraId="00E4DD89" w14:textId="77777777" w:rsidR="00B34484" w:rsidRDefault="00B34484">
      <w:pPr>
        <w:rPr>
          <w:rFonts w:eastAsia="Times New Roman" w:cstheme="minorHAnsi"/>
          <w:sz w:val="52"/>
        </w:rPr>
      </w:pPr>
    </w:p>
    <w:p w14:paraId="62A4AF28" w14:textId="77777777" w:rsidR="00BE1CD8" w:rsidRDefault="00BE1CD8">
      <w:pPr>
        <w:rPr>
          <w:rFonts w:eastAsia="Times New Roman" w:cstheme="minorHAnsi"/>
          <w:sz w:val="52"/>
        </w:rPr>
      </w:pPr>
    </w:p>
    <w:p w14:paraId="56A66BA1" w14:textId="77777777" w:rsidR="00BE1CD8" w:rsidRDefault="00BE1CD8">
      <w:pPr>
        <w:rPr>
          <w:rFonts w:eastAsia="Times New Roman" w:cstheme="minorHAnsi"/>
          <w:sz w:val="52"/>
        </w:rPr>
      </w:pPr>
    </w:p>
    <w:p w14:paraId="33524EE4" w14:textId="77777777" w:rsidR="00BE1CD8" w:rsidRDefault="00BE1CD8">
      <w:pPr>
        <w:rPr>
          <w:rFonts w:eastAsia="Times New Roman" w:cstheme="minorHAnsi"/>
          <w:sz w:val="52"/>
        </w:rPr>
      </w:pPr>
    </w:p>
    <w:p w14:paraId="06E4A8F5" w14:textId="77777777" w:rsidR="00BE1CD8" w:rsidRDefault="00BE1CD8">
      <w:pPr>
        <w:rPr>
          <w:rFonts w:eastAsia="Times New Roman" w:cstheme="minorHAnsi"/>
          <w:sz w:val="52"/>
        </w:rPr>
      </w:pPr>
    </w:p>
    <w:p w14:paraId="62508D81" w14:textId="77777777" w:rsidR="00BE1CD8" w:rsidRDefault="00BE1CD8">
      <w:pPr>
        <w:rPr>
          <w:rFonts w:eastAsia="Times New Roman" w:cstheme="minorHAnsi"/>
          <w:sz w:val="52"/>
        </w:rPr>
      </w:pPr>
    </w:p>
    <w:p w14:paraId="1B9D4C27" w14:textId="77777777" w:rsidR="00BE1CD8" w:rsidRDefault="00BE1CD8">
      <w:pPr>
        <w:rPr>
          <w:rFonts w:eastAsia="Times New Roman" w:cstheme="minorHAnsi"/>
          <w:sz w:val="52"/>
        </w:rPr>
      </w:pPr>
    </w:p>
    <w:p w14:paraId="3606AC45" w14:textId="77777777" w:rsidR="00BE1CD8" w:rsidRDefault="00BE1CD8">
      <w:pPr>
        <w:rPr>
          <w:rFonts w:eastAsia="Times New Roman" w:cstheme="minorHAnsi"/>
          <w:sz w:val="52"/>
        </w:rPr>
      </w:pPr>
    </w:p>
    <w:p w14:paraId="0C7FB9CA" w14:textId="77777777" w:rsidR="00BE1CD8" w:rsidRDefault="00BE1CD8">
      <w:pPr>
        <w:rPr>
          <w:rFonts w:eastAsia="Times New Roman" w:cstheme="minorHAnsi"/>
          <w:sz w:val="52"/>
        </w:rPr>
      </w:pPr>
    </w:p>
    <w:p w14:paraId="7DE45DAD" w14:textId="77777777" w:rsidR="00BE1CD8" w:rsidRDefault="00BE1CD8">
      <w:pPr>
        <w:rPr>
          <w:rFonts w:eastAsia="Times New Roman" w:cstheme="minorHAnsi"/>
          <w:sz w:val="52"/>
        </w:rPr>
      </w:pPr>
    </w:p>
    <w:p w14:paraId="12CCE8AE" w14:textId="77777777" w:rsidR="00BE1CD8" w:rsidRDefault="00BE1CD8">
      <w:pPr>
        <w:rPr>
          <w:rFonts w:eastAsia="Times New Roman" w:cstheme="minorHAnsi"/>
          <w:sz w:val="52"/>
        </w:rPr>
      </w:pPr>
    </w:p>
    <w:p w14:paraId="5DAB5203" w14:textId="77777777" w:rsidR="00BE1CD8" w:rsidRDefault="00BE1CD8">
      <w:pPr>
        <w:rPr>
          <w:rFonts w:eastAsia="Times New Roman" w:cstheme="minorHAnsi"/>
          <w:sz w:val="52"/>
        </w:rPr>
      </w:pPr>
    </w:p>
    <w:p w14:paraId="3F455653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Sputtering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https://www.merriam-webster.com/dictionary/sputter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/ˈspʌtərɪŋ/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sput·er·ing</w:t>
      </w:r>
    </w:p>
    <w:p w14:paraId="620D72EF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Deposition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https://www.merriam-webster.com/dictionary/deposition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/ˌdepəˈzɪʃən/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dep·uh·zish·uhn</w:t>
      </w:r>
    </w:p>
    <w:p w14:paraId="38FF3149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Substrates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https://www.merriam-webster.com/dictionary/substrate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/ˈsʌbstreɪt/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sub·strayt</w:t>
      </w:r>
    </w:p>
    <w:p w14:paraId="31129E07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Soda Lime Glass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https://www.merriam-webster.com/dictionary/soda-lime%20glass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/ˈsoʊdə ˈlaɪm ɡlæs/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soh·duh lym glas</w:t>
      </w:r>
    </w:p>
    <w:p w14:paraId="32454A96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Vacuum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https://www.merriam-webster.com/dictionary/vacuum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/ˈvækjuːm/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vak·yoom</w:t>
      </w:r>
    </w:p>
    <w:p w14:paraId="274B2061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Deionized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https://www.merriam-webster.com/dictionary/deionize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/diˈaɪəˌnaɪzd/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dee·eye·uh·nyzd</w:t>
      </w:r>
    </w:p>
    <w:p w14:paraId="0825F272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Argon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https://www.merriam-webster.com/dictionary/argon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/ˈɑːrɡɑːn/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ar·gon</w:t>
      </w:r>
    </w:p>
    <w:p w14:paraId="32D2C4A6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Radio Frequency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https://www.merriam-webster.com/dictionary/radio%20frequency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/ˈreɪdioʊ ˈfriːkwənsi/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ray·dee·oh free·kwuhn·see</w:t>
      </w:r>
    </w:p>
    <w:p w14:paraId="5ACEE7D9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Matching Network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https://www.merriam-webster.com/dictionary/network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/ˈnɛtˌwɝːk/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match·ing net·wurk</w:t>
      </w:r>
    </w:p>
    <w:p w14:paraId="4EA15DFA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Reflected Power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https://www.merriam-webster.com/dictionary/reflected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/rɪˈflɛktɪd/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ruh·flek·tid</w:t>
      </w:r>
    </w:p>
    <w:p w14:paraId="1F9F1A1C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Plasma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https://www.merriam-webster.com/dictionary/plasma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/ˈplæzmə/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plaz·muh</w:t>
      </w:r>
    </w:p>
    <w:p w14:paraId="35B9794B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Bismuth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https://www.merriam-webster.com/dictionary/bismuth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/ˈbɪzməθ/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biz·muth</w:t>
      </w:r>
    </w:p>
    <w:p w14:paraId="276EF2E9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Telluride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https://www.merriam-webster.com/dictionary/telluride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/ˈtɛljəˌraɪd/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tel·yuh·ryd</w:t>
      </w:r>
    </w:p>
    <w:p w14:paraId="6669A51E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Manganese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https://www.merriam-webster.com/dictionary/manganese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/ˈmæŋɡəniːz/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mang·guh·neez</w:t>
      </w:r>
    </w:p>
    <w:p w14:paraId="7DF04CE2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Oxides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https://www.merriam-webster.com/dictionary/oxide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/ˈɑːksaɪd/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ok·syd</w:t>
      </w:r>
    </w:p>
    <w:p w14:paraId="06C263E7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Co-Sputtering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/koʊ ˈspʌtərɪŋ/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koh sput·er·ing</w:t>
      </w:r>
    </w:p>
    <w:p w14:paraId="6A7F5AAD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Mn-Doped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/ɛm ɛn doʊpt/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em·en doapt</w:t>
      </w:r>
    </w:p>
    <w:p w14:paraId="32C67CCF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Bi₂Te₃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/baɪˈzɪməθ təˈlʊraɪd/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by·zuh·muth tuh·lur·ide</w:t>
      </w:r>
    </w:p>
    <w:p w14:paraId="03AEE280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Evacuation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https://www.merriam-webster.com/dictionary/evacuation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/ɪˌvækjuˈeɪʃən/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ih·vak·yoo·ay·shuhn</w:t>
      </w:r>
    </w:p>
    <w:p w14:paraId="6733FF0C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Turbomolecular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https://www.howtopronounce.com/turbomolecular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/ˌtɜːrboʊməˈlɛkjələr/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tur·boh·muh·lek·yuh·ler</w:t>
      </w:r>
    </w:p>
    <w:p w14:paraId="50CC5230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Nitrogen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https://www.merriam-webster.com/dictionary/nitrogen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/ˈnaɪtrədʒən/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ny·truh·juhn</w:t>
      </w:r>
    </w:p>
    <w:p w14:paraId="4979EBAE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Rhombohedral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https://www.howtopronounce.com/rhombohedral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/ˌrɑːmboʊˈhiːdrəl/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rom·boh·hee·druhl</w:t>
      </w:r>
    </w:p>
    <w:p w14:paraId="65534FCB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Diffraction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https://www.merriam-webster.com/dictionary/diffraction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/dɪˈfrækʃən/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dih·frak·shuhn</w:t>
      </w:r>
    </w:p>
    <w:p w14:paraId="482919EE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Crystallite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https://www.howtopronounce.com/crystallite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/ˈkrɪstəlaɪt/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kris·tuh·lyt</w:t>
      </w:r>
    </w:p>
    <w:p w14:paraId="6BD48A9D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Field-Emission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https://www.howtopronounce.com/field-emission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/fiːld ɪˈmɪʃən/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feeld ih·mish·uhn</w:t>
      </w:r>
    </w:p>
    <w:p w14:paraId="53D689FE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Microstructure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https://www.merriam-webster.com/dictionary/microstructure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/ˈmaɪkroʊˌstrʌktʃər/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my·kroh·struk·cher</w:t>
      </w:r>
    </w:p>
    <w:p w14:paraId="6878B0E9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Polygonal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https://www.merriam-webster.com/dictionary/polygonal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/pəˈlɪɡənəl/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puh·lig·uh·nuhl</w:t>
      </w:r>
    </w:p>
    <w:p w14:paraId="7927BA1A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Intergranular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https://www.howtopronounce.com/intergranular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/ˌɪntərˈɡrænjələr/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in·ter·gran·yuh·ler</w:t>
      </w:r>
    </w:p>
    <w:p w14:paraId="041B6106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Elemental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https://www.merriam-webster.com/dictionary/elemental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/ˌɛləˈmɛntəl/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el·uh·men·tuhl</w:t>
      </w:r>
    </w:p>
    <w:p w14:paraId="2965D41C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Seebeck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https://www.howtopronounce.com/seebeck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/ˈziːbɛk/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zee·bek</w:t>
      </w:r>
    </w:p>
    <w:p w14:paraId="4287011A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Semiconducting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https://www.merriam-webster.com/dictionary/semiconducting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/ˌsɛmikaˈndʌktɪŋ/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sem·ee·kun·duk·ting</w:t>
      </w:r>
    </w:p>
    <w:p w14:paraId="50420E7F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Resistivity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https://www.merriam-webster.com/dictionary/resistivity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/ˌriːzɪˈstɪvəti/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ree·zih·stiv·uh·tee</w:t>
      </w:r>
    </w:p>
    <w:p w14:paraId="113305FE" w14:textId="77777777" w:rsidR="00BE1CD8" w:rsidRPr="00BE1CD8" w:rsidRDefault="00BE1CD8" w:rsidP="00BE1C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t>Thermoelectric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BE1CD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https://www.merriam-webster.com/dictionary/thermoelectric</w:t>
        </w:r>
      </w:hyperlink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/ˌθɝːmoʊɪˈlɛktrɪk/</w:t>
      </w:r>
      <w:r w:rsidRPr="00BE1CD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thur·moh·ih·lek·trik</w:t>
      </w:r>
    </w:p>
    <w:p w14:paraId="345642D5" w14:textId="77777777" w:rsidR="00BE1CD8" w:rsidRPr="00BE1CD8" w:rsidRDefault="00BE1CD8">
      <w:pPr>
        <w:rPr>
          <w:rFonts w:eastAsia="Times New Roman" w:cstheme="minorHAnsi"/>
          <w:sz w:val="52"/>
          <w:lang w:val="en-IN"/>
        </w:rPr>
      </w:pPr>
    </w:p>
    <w:sectPr w:rsidR="00BE1CD8" w:rsidRPr="00BE1CD8">
      <w:headerReference w:type="default" r:id="rId38"/>
      <w:footerReference w:type="even" r:id="rId39"/>
      <w:footerReference w:type="default" r:id="rId4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56896" w14:textId="77777777" w:rsidR="00B907F3" w:rsidRDefault="00B907F3">
      <w:r>
        <w:separator/>
      </w:r>
    </w:p>
  </w:endnote>
  <w:endnote w:type="continuationSeparator" w:id="0">
    <w:p w14:paraId="2D970CC1" w14:textId="77777777" w:rsidR="00B907F3" w:rsidRDefault="00B90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B34484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B34484" w:rsidRDefault="00B34484">
    <w:pPr>
      <w:pStyle w:val="Footer"/>
      <w:ind w:right="360"/>
    </w:pPr>
  </w:p>
  <w:p w14:paraId="1151463A" w14:textId="77777777" w:rsidR="00B34484" w:rsidRDefault="00B344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B308D6" w:rsidR="00B34484" w:rsidRDefault="00000000">
    <w:pPr>
      <w:pStyle w:val="Footer"/>
      <w:tabs>
        <w:tab w:val="clear" w:pos="8640"/>
        <w:tab w:val="left" w:pos="343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7303C5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>June 06,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75F30" w14:textId="77777777" w:rsidR="00B907F3" w:rsidRDefault="00B907F3">
      <w:r>
        <w:separator/>
      </w:r>
    </w:p>
  </w:footnote>
  <w:footnote w:type="continuationSeparator" w:id="0">
    <w:p w14:paraId="4A784152" w14:textId="77777777" w:rsidR="00B907F3" w:rsidRDefault="00B90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B34484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9725D5B" wp14:editId="43743CC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B34484" w:rsidRDefault="00B344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B702E"/>
    <w:multiLevelType w:val="multilevel"/>
    <w:tmpl w:val="E024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97925894">
    <w:abstractNumId w:val="1"/>
  </w:num>
  <w:num w:numId="2" w16cid:durableId="316694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6AF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DF1"/>
    <w:rsid w:val="001052C8"/>
    <w:rsid w:val="00106F46"/>
    <w:rsid w:val="001115D1"/>
    <w:rsid w:val="00113F3E"/>
    <w:rsid w:val="0011473F"/>
    <w:rsid w:val="00120EC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3BE4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73D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5BCA"/>
    <w:rsid w:val="002D48BB"/>
    <w:rsid w:val="002D52A1"/>
    <w:rsid w:val="002D752A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0D8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26D8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C9A"/>
    <w:rsid w:val="00363153"/>
    <w:rsid w:val="00364249"/>
    <w:rsid w:val="003672FC"/>
    <w:rsid w:val="003750E8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6869"/>
    <w:rsid w:val="003F003E"/>
    <w:rsid w:val="003F4B52"/>
    <w:rsid w:val="004018D8"/>
    <w:rsid w:val="004025BB"/>
    <w:rsid w:val="004034B6"/>
    <w:rsid w:val="004114EA"/>
    <w:rsid w:val="00413FF3"/>
    <w:rsid w:val="004145F3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2D30"/>
    <w:rsid w:val="00443E8B"/>
    <w:rsid w:val="00450B27"/>
    <w:rsid w:val="00453116"/>
    <w:rsid w:val="00454D14"/>
    <w:rsid w:val="00455510"/>
    <w:rsid w:val="00455638"/>
    <w:rsid w:val="00455CFE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56A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3D23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66B"/>
    <w:rsid w:val="0058214E"/>
    <w:rsid w:val="005829FA"/>
    <w:rsid w:val="00585ECC"/>
    <w:rsid w:val="005925C3"/>
    <w:rsid w:val="005941FE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4B49"/>
    <w:rsid w:val="005C669B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6DC7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6089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3C5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32E4"/>
    <w:rsid w:val="007F1168"/>
    <w:rsid w:val="007F48D4"/>
    <w:rsid w:val="007F5427"/>
    <w:rsid w:val="007F7E19"/>
    <w:rsid w:val="00802635"/>
    <w:rsid w:val="00804C75"/>
    <w:rsid w:val="00806B1B"/>
    <w:rsid w:val="00806BC9"/>
    <w:rsid w:val="008123C3"/>
    <w:rsid w:val="00812782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2F8F"/>
    <w:rsid w:val="008672DA"/>
    <w:rsid w:val="00871F2E"/>
    <w:rsid w:val="00873D1A"/>
    <w:rsid w:val="00875BE8"/>
    <w:rsid w:val="00877B88"/>
    <w:rsid w:val="0088113B"/>
    <w:rsid w:val="008A0177"/>
    <w:rsid w:val="008A15EA"/>
    <w:rsid w:val="008A3BA8"/>
    <w:rsid w:val="008A413E"/>
    <w:rsid w:val="008A7A3E"/>
    <w:rsid w:val="008C642C"/>
    <w:rsid w:val="008D0E4A"/>
    <w:rsid w:val="008D2A6A"/>
    <w:rsid w:val="008D52FB"/>
    <w:rsid w:val="008D5443"/>
    <w:rsid w:val="008D58EC"/>
    <w:rsid w:val="008E16F3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665A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58C0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7B2B"/>
    <w:rsid w:val="00AC16C3"/>
    <w:rsid w:val="00AC4231"/>
    <w:rsid w:val="00AC597A"/>
    <w:rsid w:val="00AC5EF4"/>
    <w:rsid w:val="00AC63FC"/>
    <w:rsid w:val="00AD1C28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4484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7F3"/>
    <w:rsid w:val="00B91EB9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1CD8"/>
    <w:rsid w:val="00BE679C"/>
    <w:rsid w:val="00BE756D"/>
    <w:rsid w:val="00BF2674"/>
    <w:rsid w:val="00BF2B34"/>
    <w:rsid w:val="00BF3754"/>
    <w:rsid w:val="00C00456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D60"/>
    <w:rsid w:val="00C96FC6"/>
    <w:rsid w:val="00C97B11"/>
    <w:rsid w:val="00CA0369"/>
    <w:rsid w:val="00CB039A"/>
    <w:rsid w:val="00CB0B79"/>
    <w:rsid w:val="00CB5DE5"/>
    <w:rsid w:val="00CC056B"/>
    <w:rsid w:val="00CC0C58"/>
    <w:rsid w:val="00CC1850"/>
    <w:rsid w:val="00CC29BF"/>
    <w:rsid w:val="00CC52BE"/>
    <w:rsid w:val="00CD3954"/>
    <w:rsid w:val="00CD40B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770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3C7A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2F0B"/>
    <w:rsid w:val="00DE46DB"/>
    <w:rsid w:val="00DE66F3"/>
    <w:rsid w:val="00DF0865"/>
    <w:rsid w:val="00DF1693"/>
    <w:rsid w:val="00DF307B"/>
    <w:rsid w:val="00DF4C61"/>
    <w:rsid w:val="00DF6EE3"/>
    <w:rsid w:val="00E03A13"/>
    <w:rsid w:val="00E04EFB"/>
    <w:rsid w:val="00E072C2"/>
    <w:rsid w:val="00E12796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853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890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1605"/>
    <w:rsid w:val="00F22F5E"/>
    <w:rsid w:val="00F3061E"/>
    <w:rsid w:val="00F35094"/>
    <w:rsid w:val="00F35B29"/>
    <w:rsid w:val="00F3618A"/>
    <w:rsid w:val="00F3708D"/>
    <w:rsid w:val="00F4412A"/>
    <w:rsid w:val="00F563AC"/>
    <w:rsid w:val="00F56A75"/>
    <w:rsid w:val="00F60B45"/>
    <w:rsid w:val="00F60C18"/>
    <w:rsid w:val="00F64FB6"/>
    <w:rsid w:val="00F6753E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7C45"/>
    <w:rsid w:val="00FE059A"/>
    <w:rsid w:val="00FF25E5"/>
    <w:rsid w:val="00FF335E"/>
    <w:rsid w:val="00FF34BC"/>
    <w:rsid w:val="00FF6C56"/>
    <w:rsid w:val="00FF754B"/>
    <w:rsid w:val="08ED4CA8"/>
    <w:rsid w:val="0E310BCC"/>
    <w:rsid w:val="213571AA"/>
    <w:rsid w:val="25510826"/>
    <w:rsid w:val="25B368EF"/>
    <w:rsid w:val="48B97C81"/>
    <w:rsid w:val="5476359A"/>
    <w:rsid w:val="564F0453"/>
    <w:rsid w:val="5B2829B8"/>
    <w:rsid w:val="674F5770"/>
    <w:rsid w:val="73A202F7"/>
    <w:rsid w:val="7FD0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6E0B30"/>
  <w14:defaultImageDpi w14:val="330"/>
  <w15:docId w15:val="{B585BB06-E026-4845-9770-1D4A8CAD2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qFormat/>
    <w:rPr>
      <w:i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customStyle="1" w:styleId="Revision2">
    <w:name w:val="Revision2"/>
    <w:hidden/>
    <w:uiPriority w:val="99"/>
    <w:unhideWhenUsed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Revision">
    <w:name w:val="Revision"/>
    <w:hidden/>
    <w:uiPriority w:val="99"/>
    <w:unhideWhenUsed/>
    <w:rsid w:val="00862F8F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deionize" TargetMode="External"/><Relationship Id="rId18" Type="http://schemas.openxmlformats.org/officeDocument/2006/relationships/hyperlink" Target="https://www.merriam-webster.com/dictionary/plasma" TargetMode="External"/><Relationship Id="rId26" Type="http://schemas.openxmlformats.org/officeDocument/2006/relationships/hyperlink" Target="https://www.howtopronounce.com/rhombohedral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merriam-webster.com/dictionary/manganese" TargetMode="External"/><Relationship Id="rId34" Type="http://schemas.openxmlformats.org/officeDocument/2006/relationships/hyperlink" Target="https://www.howtopronounce.com/seebeck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review.jove.com/account/file-uploader?src=2168005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network" TargetMode="External"/><Relationship Id="rId20" Type="http://schemas.openxmlformats.org/officeDocument/2006/relationships/hyperlink" Target="https://www.merriam-webster.com/dictionary/telluride" TargetMode="External"/><Relationship Id="rId29" Type="http://schemas.openxmlformats.org/officeDocument/2006/relationships/hyperlink" Target="https://www.howtopronounce.com/field-emission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oda-lime%20glass" TargetMode="External"/><Relationship Id="rId24" Type="http://schemas.openxmlformats.org/officeDocument/2006/relationships/hyperlink" Target="https://www.howtopronounce.com/turbomolecular" TargetMode="External"/><Relationship Id="rId32" Type="http://schemas.openxmlformats.org/officeDocument/2006/relationships/hyperlink" Target="https://www.howtopronounce.com/intergranular" TargetMode="External"/><Relationship Id="rId37" Type="http://schemas.openxmlformats.org/officeDocument/2006/relationships/hyperlink" Target="https://www.merriam-webster.com/dictionary/thermoelectric" TargetMode="Externa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radio%20frequency" TargetMode="External"/><Relationship Id="rId23" Type="http://schemas.openxmlformats.org/officeDocument/2006/relationships/hyperlink" Target="https://www.merriam-webster.com/dictionary/evacuation" TargetMode="External"/><Relationship Id="rId28" Type="http://schemas.openxmlformats.org/officeDocument/2006/relationships/hyperlink" Target="https://www.howtopronounce.com/crystallite" TargetMode="External"/><Relationship Id="rId36" Type="http://schemas.openxmlformats.org/officeDocument/2006/relationships/hyperlink" Target="https://www.merriam-webster.com/dictionary/resistivity" TargetMode="External"/><Relationship Id="rId10" Type="http://schemas.openxmlformats.org/officeDocument/2006/relationships/hyperlink" Target="https://www.merriam-webster.com/dictionary/substrate" TargetMode="External"/><Relationship Id="rId19" Type="http://schemas.openxmlformats.org/officeDocument/2006/relationships/hyperlink" Target="https://www.merriam-webster.com/dictionary/bismuth" TargetMode="External"/><Relationship Id="rId31" Type="http://schemas.openxmlformats.org/officeDocument/2006/relationships/hyperlink" Target="https://www.merriam-webster.com/dictionary/polygon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deposition" TargetMode="External"/><Relationship Id="rId14" Type="http://schemas.openxmlformats.org/officeDocument/2006/relationships/hyperlink" Target="https://www.merriam-webster.com/dictionary/argon" TargetMode="External"/><Relationship Id="rId22" Type="http://schemas.openxmlformats.org/officeDocument/2006/relationships/hyperlink" Target="https://www.merriam-webster.com/dictionary/oxide" TargetMode="External"/><Relationship Id="rId27" Type="http://schemas.openxmlformats.org/officeDocument/2006/relationships/hyperlink" Target="https://www.merriam-webster.com/dictionary/diffraction" TargetMode="External"/><Relationship Id="rId30" Type="http://schemas.openxmlformats.org/officeDocument/2006/relationships/hyperlink" Target="https://www.merriam-webster.com/dictionary/microstructure" TargetMode="External"/><Relationship Id="rId35" Type="http://schemas.openxmlformats.org/officeDocument/2006/relationships/hyperlink" Target="https://www.merriam-webster.com/dictionary/semiconducting" TargetMode="External"/><Relationship Id="rId8" Type="http://schemas.openxmlformats.org/officeDocument/2006/relationships/hyperlink" Target="https://www.merriam-webster.com/dictionary/sputte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vacuum" TargetMode="External"/><Relationship Id="rId17" Type="http://schemas.openxmlformats.org/officeDocument/2006/relationships/hyperlink" Target="https://www.merriam-webster.com/dictionary/reflected" TargetMode="External"/><Relationship Id="rId25" Type="http://schemas.openxmlformats.org/officeDocument/2006/relationships/hyperlink" Target="https://www.merriam-webster.com/dictionary/nitrogen" TargetMode="External"/><Relationship Id="rId33" Type="http://schemas.openxmlformats.org/officeDocument/2006/relationships/hyperlink" Target="https://www.merriam-webster.com/dictionary/elemental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3643</Words>
  <Characters>20771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2026-06-16T16:50:00Z</dcterms:created>
  <dcterms:modified xsi:type="dcterms:W3CDTF">2026-06-16T16:51:00Z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eyJoZGlkIjoiN2YzNjBkOTgyNWQ1YTMxYzM3MzMwNWFiODNmOWIzYWMiLCJ1c2VySWQiOiIxMTE2OTk4NzYyOTA0In0=</vt:lpwstr>
  </property>
  <property fmtid="{D5CDD505-2E9C-101B-9397-08002B2CF9AE}" pid="4" name="KSOProductBuildVer">
    <vt:lpwstr>1033-12.1.0.25862</vt:lpwstr>
  </property>
  <property fmtid="{D5CDD505-2E9C-101B-9397-08002B2CF9AE}" pid="5" name="ICV">
    <vt:lpwstr>F04BABA9D6D04AF38A378445BF04E03D_13</vt:lpwstr>
  </property>
</Properties>
</file>