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6BCA7927" w:rsidR="006E4797" w:rsidRPr="00F871F8" w:rsidRDefault="00000000" w:rsidP="001B0A4E">
      <w:pPr>
        <w:pBdr>
          <w:top w:val="nil"/>
          <w:left w:val="nil"/>
          <w:bottom w:val="nil"/>
          <w:right w:val="nil"/>
          <w:between w:val="nil"/>
        </w:pBdr>
      </w:pPr>
      <w:r w:rsidRPr="00F871F8">
        <w:rPr>
          <w:b/>
        </w:rPr>
        <w:t>TITLE:</w:t>
      </w:r>
      <w:r w:rsidRPr="00F871F8">
        <w:t xml:space="preserve"> </w:t>
      </w:r>
    </w:p>
    <w:p w14:paraId="4A22594D" w14:textId="68D49B11" w:rsidR="00A16092" w:rsidRPr="00F871F8" w:rsidRDefault="00000000" w:rsidP="001B0A4E">
      <w:r w:rsidRPr="00F871F8">
        <w:t xml:space="preserve">A </w:t>
      </w:r>
      <w:r w:rsidR="00E338F2" w:rsidRPr="00F871F8">
        <w:t xml:space="preserve">Microfluidic Platform </w:t>
      </w:r>
      <w:r w:rsidRPr="00F871F8">
        <w:t xml:space="preserve">to </w:t>
      </w:r>
      <w:r w:rsidR="00E338F2" w:rsidRPr="00F871F8">
        <w:t xml:space="preserve">Investigate Microbial Precipitation </w:t>
      </w:r>
      <w:r w:rsidRPr="00F871F8">
        <w:t xml:space="preserve">of </w:t>
      </w:r>
      <w:r w:rsidR="00E338F2" w:rsidRPr="00F871F8">
        <w:t xml:space="preserve">Metal Oxides </w:t>
      </w:r>
      <w:r w:rsidR="00871608" w:rsidRPr="00F871F8">
        <w:t xml:space="preserve">in </w:t>
      </w:r>
      <w:r w:rsidR="00E338F2" w:rsidRPr="00F871F8">
        <w:t>Porous Medi</w:t>
      </w:r>
      <w:r w:rsidR="00413654" w:rsidRPr="00F871F8">
        <w:t>a</w:t>
      </w:r>
    </w:p>
    <w:p w14:paraId="575633D6" w14:textId="77777777" w:rsidR="00041521" w:rsidRPr="00F871F8" w:rsidRDefault="00041521" w:rsidP="001B0A4E">
      <w:pPr>
        <w:rPr>
          <w:b/>
        </w:rPr>
      </w:pPr>
    </w:p>
    <w:p w14:paraId="2CD8481E" w14:textId="6BC90059" w:rsidR="006E4797" w:rsidRPr="00F871F8" w:rsidRDefault="00000000" w:rsidP="001B0A4E">
      <w:r w:rsidRPr="00F871F8">
        <w:rPr>
          <w:b/>
        </w:rPr>
        <w:t xml:space="preserve">AUTHORS AND AFFILIATIONS: </w:t>
      </w:r>
    </w:p>
    <w:p w14:paraId="2DDC1CA5" w14:textId="6187A49C" w:rsidR="00BC279B" w:rsidRPr="00F871F8" w:rsidRDefault="00000000" w:rsidP="001B0A4E">
      <w:pPr>
        <w:pBdr>
          <w:top w:val="nil"/>
          <w:left w:val="nil"/>
          <w:bottom w:val="nil"/>
          <w:right w:val="nil"/>
          <w:between w:val="nil"/>
        </w:pBdr>
      </w:pPr>
      <w:r w:rsidRPr="00F871F8">
        <w:t>Eleanor C. Fadely</w:t>
      </w:r>
      <w:r w:rsidRPr="00F871F8">
        <w:rPr>
          <w:vertAlign w:val="superscript"/>
        </w:rPr>
        <w:t>1</w:t>
      </w:r>
      <w:r w:rsidRPr="00F871F8">
        <w:t>, Erkin Seker</w:t>
      </w:r>
      <w:r w:rsidRPr="00F871F8">
        <w:rPr>
          <w:vertAlign w:val="superscript"/>
        </w:rPr>
        <w:t>2</w:t>
      </w:r>
      <w:r w:rsidRPr="00F871F8">
        <w:t>, Verónica L. Morales</w:t>
      </w:r>
      <w:r w:rsidRPr="00F871F8">
        <w:rPr>
          <w:vertAlign w:val="superscript"/>
        </w:rPr>
        <w:t>1</w:t>
      </w:r>
      <w:r w:rsidRPr="00F871F8">
        <w:t xml:space="preserve">, </w:t>
      </w:r>
      <w:proofErr w:type="spellStart"/>
      <w:r w:rsidRPr="00F871F8">
        <w:t>Jasquelin</w:t>
      </w:r>
      <w:proofErr w:type="spellEnd"/>
      <w:r w:rsidRPr="00F871F8">
        <w:t xml:space="preserve"> Peña</w:t>
      </w:r>
      <w:r w:rsidRPr="00F871F8">
        <w:rPr>
          <w:vertAlign w:val="superscript"/>
        </w:rPr>
        <w:t>1,3*</w:t>
      </w:r>
    </w:p>
    <w:p w14:paraId="6F1C5FB0" w14:textId="77777777" w:rsidR="00BC279B" w:rsidRPr="00F871F8" w:rsidRDefault="00BC279B" w:rsidP="001B0A4E">
      <w:pPr>
        <w:pBdr>
          <w:top w:val="nil"/>
          <w:left w:val="nil"/>
          <w:bottom w:val="nil"/>
          <w:right w:val="nil"/>
          <w:between w:val="nil"/>
        </w:pBdr>
      </w:pPr>
    </w:p>
    <w:p w14:paraId="70439FEF" w14:textId="2BC2F1BB" w:rsidR="00BC279B" w:rsidRPr="00F871F8" w:rsidRDefault="00000000" w:rsidP="001B0A4E">
      <w:pPr>
        <w:pBdr>
          <w:top w:val="nil"/>
          <w:left w:val="nil"/>
          <w:bottom w:val="nil"/>
          <w:right w:val="nil"/>
          <w:between w:val="nil"/>
        </w:pBdr>
      </w:pPr>
      <w:r w:rsidRPr="00F871F8">
        <w:rPr>
          <w:vertAlign w:val="superscript"/>
        </w:rPr>
        <w:t>1</w:t>
      </w:r>
      <w:r w:rsidRPr="00F871F8">
        <w:t xml:space="preserve">Department of Civil and Environmental Engineering, University of California Davis, </w:t>
      </w:r>
      <w:r w:rsidR="00495D15" w:rsidRPr="00F871F8">
        <w:t>Davis, CA</w:t>
      </w:r>
      <w:r w:rsidR="007F178D" w:rsidRPr="00F871F8">
        <w:t xml:space="preserve"> 95616, </w:t>
      </w:r>
      <w:r w:rsidRPr="00F871F8">
        <w:t>USA</w:t>
      </w:r>
    </w:p>
    <w:p w14:paraId="6D5B844A" w14:textId="70C04C7A" w:rsidR="00BC279B" w:rsidRPr="00F871F8" w:rsidRDefault="00000000" w:rsidP="001B0A4E">
      <w:pPr>
        <w:pBdr>
          <w:top w:val="nil"/>
          <w:left w:val="nil"/>
          <w:bottom w:val="nil"/>
          <w:right w:val="nil"/>
          <w:between w:val="nil"/>
        </w:pBdr>
      </w:pPr>
      <w:r w:rsidRPr="00F871F8">
        <w:rPr>
          <w:vertAlign w:val="superscript"/>
        </w:rPr>
        <w:t>2</w:t>
      </w:r>
      <w:r w:rsidRPr="00F871F8">
        <w:t xml:space="preserve">Department of Electrical and Computer Engineering, University of California Davis, </w:t>
      </w:r>
      <w:r w:rsidR="007F178D" w:rsidRPr="00F871F8">
        <w:t xml:space="preserve">Davis, </w:t>
      </w:r>
      <w:r w:rsidR="00D01720" w:rsidRPr="00F871F8">
        <w:t xml:space="preserve">CA </w:t>
      </w:r>
      <w:r w:rsidR="007F178D" w:rsidRPr="00F871F8">
        <w:t xml:space="preserve">95616, </w:t>
      </w:r>
      <w:r w:rsidRPr="00F871F8">
        <w:t>USA</w:t>
      </w:r>
    </w:p>
    <w:p w14:paraId="6AEEFD72" w14:textId="1C42D158" w:rsidR="00BC279B" w:rsidRPr="00F871F8" w:rsidRDefault="00000000" w:rsidP="001B0A4E">
      <w:pPr>
        <w:pBdr>
          <w:top w:val="nil"/>
          <w:left w:val="nil"/>
          <w:bottom w:val="nil"/>
          <w:right w:val="nil"/>
          <w:between w:val="nil"/>
        </w:pBdr>
      </w:pPr>
      <w:r w:rsidRPr="00F871F8">
        <w:rPr>
          <w:vertAlign w:val="superscript"/>
        </w:rPr>
        <w:t>3</w:t>
      </w:r>
      <w:r w:rsidRPr="00F871F8">
        <w:t xml:space="preserve">Energy Geosciences Division, Earth and Environmental Sciences Area, Lawrence Berkeley National Laboratory, </w:t>
      </w:r>
      <w:r w:rsidR="007F178D" w:rsidRPr="00F871F8">
        <w:t xml:space="preserve">Berkeley, CA </w:t>
      </w:r>
      <w:r w:rsidR="00CC49DE" w:rsidRPr="00F871F8">
        <w:t xml:space="preserve">94720, </w:t>
      </w:r>
      <w:r w:rsidRPr="00F871F8">
        <w:t>USA</w:t>
      </w:r>
    </w:p>
    <w:p w14:paraId="6D7DF446" w14:textId="77777777" w:rsidR="00BC279B" w:rsidRPr="00F871F8" w:rsidRDefault="00BC279B" w:rsidP="001B0A4E">
      <w:pPr>
        <w:pBdr>
          <w:top w:val="nil"/>
          <w:left w:val="nil"/>
          <w:bottom w:val="nil"/>
          <w:right w:val="nil"/>
          <w:between w:val="nil"/>
        </w:pBdr>
      </w:pPr>
    </w:p>
    <w:p w14:paraId="3A773914" w14:textId="4DD4251B" w:rsidR="00B72939" w:rsidRPr="00F871F8" w:rsidRDefault="00000000" w:rsidP="001B0A4E">
      <w:pPr>
        <w:pBdr>
          <w:top w:val="nil"/>
          <w:left w:val="nil"/>
          <w:bottom w:val="nil"/>
          <w:right w:val="nil"/>
          <w:between w:val="nil"/>
        </w:pBdr>
      </w:pPr>
      <w:r w:rsidRPr="00F871F8">
        <w:t>Email addresses of the co-authors:</w:t>
      </w:r>
    </w:p>
    <w:p w14:paraId="01B0D428" w14:textId="6CB412AA" w:rsidR="00141467" w:rsidRPr="00F871F8" w:rsidRDefault="00000000" w:rsidP="001B0A4E">
      <w:pPr>
        <w:pBdr>
          <w:top w:val="nil"/>
          <w:left w:val="nil"/>
          <w:bottom w:val="nil"/>
          <w:right w:val="nil"/>
          <w:between w:val="nil"/>
        </w:pBdr>
      </w:pPr>
      <w:r w:rsidRPr="00F871F8">
        <w:t xml:space="preserve">Eleanor C. Fadely </w:t>
      </w:r>
      <w:r w:rsidR="006564A4" w:rsidRPr="00F871F8">
        <w:tab/>
      </w:r>
      <w:r w:rsidR="006564A4" w:rsidRPr="00F871F8">
        <w:tab/>
      </w:r>
      <w:r w:rsidRPr="00F871F8">
        <w:t xml:space="preserve">(ecfadely@ucdavis.edu) </w:t>
      </w:r>
    </w:p>
    <w:p w14:paraId="68A7313D" w14:textId="04A15928" w:rsidR="00141467" w:rsidRPr="00F871F8" w:rsidRDefault="00000000" w:rsidP="001B0A4E">
      <w:pPr>
        <w:pBdr>
          <w:top w:val="nil"/>
          <w:left w:val="nil"/>
          <w:bottom w:val="nil"/>
          <w:right w:val="nil"/>
          <w:between w:val="nil"/>
        </w:pBdr>
      </w:pPr>
      <w:r w:rsidRPr="00F871F8">
        <w:t xml:space="preserve">Erkin Seker </w:t>
      </w:r>
      <w:r w:rsidR="006564A4" w:rsidRPr="00F871F8">
        <w:tab/>
      </w:r>
      <w:r w:rsidR="006564A4" w:rsidRPr="00F871F8">
        <w:tab/>
      </w:r>
      <w:r w:rsidR="006564A4" w:rsidRPr="00F871F8">
        <w:tab/>
      </w:r>
      <w:r w:rsidRPr="00F871F8">
        <w:t xml:space="preserve">(eseker@ucdavis.edu) </w:t>
      </w:r>
    </w:p>
    <w:p w14:paraId="3444CC4C" w14:textId="69176A8C" w:rsidR="00141467" w:rsidRPr="00F871F8" w:rsidRDefault="00000000" w:rsidP="001B0A4E">
      <w:pPr>
        <w:pBdr>
          <w:top w:val="nil"/>
          <w:left w:val="nil"/>
          <w:bottom w:val="nil"/>
          <w:right w:val="nil"/>
          <w:between w:val="nil"/>
        </w:pBdr>
        <w:rPr>
          <w:lang w:val="fr-FR"/>
        </w:rPr>
      </w:pPr>
      <w:proofErr w:type="spellStart"/>
      <w:r w:rsidRPr="00F871F8">
        <w:rPr>
          <w:lang w:val="fr-FR"/>
        </w:rPr>
        <w:t>Verónica</w:t>
      </w:r>
      <w:proofErr w:type="spellEnd"/>
      <w:r w:rsidRPr="00F871F8">
        <w:rPr>
          <w:lang w:val="fr-FR"/>
        </w:rPr>
        <w:t xml:space="preserve"> L. Morales </w:t>
      </w:r>
      <w:r w:rsidR="006564A4" w:rsidRPr="00F871F8">
        <w:rPr>
          <w:lang w:val="fr-FR"/>
        </w:rPr>
        <w:tab/>
      </w:r>
      <w:r w:rsidR="006564A4" w:rsidRPr="00F871F8">
        <w:rPr>
          <w:lang w:val="fr-FR"/>
        </w:rPr>
        <w:tab/>
      </w:r>
      <w:r w:rsidRPr="00F871F8">
        <w:rPr>
          <w:lang w:val="fr-FR"/>
        </w:rPr>
        <w:t>(vermorales@ucdavis.edu)</w:t>
      </w:r>
    </w:p>
    <w:p w14:paraId="41F52F31" w14:textId="77777777" w:rsidR="00141467" w:rsidRPr="00F871F8" w:rsidRDefault="00141467" w:rsidP="001B0A4E">
      <w:pPr>
        <w:pBdr>
          <w:top w:val="nil"/>
          <w:left w:val="nil"/>
          <w:bottom w:val="nil"/>
          <w:right w:val="nil"/>
          <w:between w:val="nil"/>
        </w:pBdr>
        <w:rPr>
          <w:lang w:val="fr-FR"/>
        </w:rPr>
      </w:pPr>
    </w:p>
    <w:p w14:paraId="141ABDE5" w14:textId="4A65DB89" w:rsidR="006E4797" w:rsidRPr="00F871F8" w:rsidRDefault="00000000" w:rsidP="001B0A4E">
      <w:pPr>
        <w:pBdr>
          <w:top w:val="nil"/>
          <w:left w:val="nil"/>
          <w:bottom w:val="nil"/>
          <w:right w:val="nil"/>
          <w:between w:val="nil"/>
        </w:pBdr>
      </w:pPr>
      <w:r w:rsidRPr="00F871F8">
        <w:rPr>
          <w:vertAlign w:val="superscript"/>
        </w:rPr>
        <w:t>*</w:t>
      </w:r>
      <w:r w:rsidRPr="00F871F8">
        <w:t>Corresponding author</w:t>
      </w:r>
      <w:r w:rsidR="00B72939" w:rsidRPr="00F871F8">
        <w:t>:</w:t>
      </w:r>
    </w:p>
    <w:p w14:paraId="3F657925" w14:textId="77777777" w:rsidR="006564A4" w:rsidRPr="00F871F8" w:rsidRDefault="00000000" w:rsidP="001B0A4E">
      <w:pPr>
        <w:pBdr>
          <w:top w:val="nil"/>
          <w:left w:val="nil"/>
          <w:bottom w:val="nil"/>
          <w:right w:val="nil"/>
          <w:between w:val="nil"/>
        </w:pBdr>
      </w:pPr>
      <w:proofErr w:type="spellStart"/>
      <w:r w:rsidRPr="00F871F8">
        <w:t>Jasquelin</w:t>
      </w:r>
      <w:proofErr w:type="spellEnd"/>
      <w:r w:rsidRPr="00F871F8">
        <w:t xml:space="preserve"> Peña </w:t>
      </w:r>
      <w:r w:rsidRPr="00F871F8">
        <w:tab/>
      </w:r>
      <w:r w:rsidRPr="00F871F8">
        <w:tab/>
        <w:t>(pena@ucdavis.edu)</w:t>
      </w:r>
    </w:p>
    <w:p w14:paraId="21AD73F9" w14:textId="77777777" w:rsidR="00BC279B" w:rsidRPr="00F871F8" w:rsidRDefault="00BC279B" w:rsidP="001B0A4E">
      <w:pPr>
        <w:pBdr>
          <w:top w:val="nil"/>
          <w:left w:val="nil"/>
          <w:bottom w:val="nil"/>
          <w:right w:val="nil"/>
          <w:between w:val="nil"/>
        </w:pBdr>
      </w:pPr>
    </w:p>
    <w:p w14:paraId="60F3B8D4" w14:textId="56E1E0A9" w:rsidR="006E4797" w:rsidRPr="00F871F8" w:rsidRDefault="00000000" w:rsidP="001B0A4E">
      <w:r w:rsidRPr="00F871F8">
        <w:rPr>
          <w:b/>
        </w:rPr>
        <w:t>SUMMARY:</w:t>
      </w:r>
      <w:r w:rsidRPr="00F871F8">
        <w:t xml:space="preserve"> </w:t>
      </w:r>
    </w:p>
    <w:p w14:paraId="2F87344D" w14:textId="56120CC3" w:rsidR="009A631E" w:rsidRPr="00F871F8" w:rsidRDefault="00000000" w:rsidP="001B0A4E">
      <w:r w:rsidRPr="00F871F8">
        <w:t xml:space="preserve">This protocol presents a </w:t>
      </w:r>
      <w:r w:rsidR="006C60CD" w:rsidRPr="00F871F8">
        <w:t>microfluidic</w:t>
      </w:r>
      <w:r w:rsidRPr="00F871F8">
        <w:t xml:space="preserve"> </w:t>
      </w:r>
      <w:r w:rsidR="00894732" w:rsidRPr="00F871F8">
        <w:t xml:space="preserve">system for studying </w:t>
      </w:r>
      <w:r w:rsidR="00E051CC" w:rsidRPr="00F871F8">
        <w:t>the</w:t>
      </w:r>
      <w:r w:rsidR="008827BA" w:rsidRPr="00F871F8">
        <w:t xml:space="preserve"> microbial</w:t>
      </w:r>
      <w:r w:rsidR="00E051CC" w:rsidRPr="00F871F8">
        <w:t xml:space="preserve"> precipitation of manganese </w:t>
      </w:r>
      <w:r w:rsidRPr="00F871F8">
        <w:t>oxide</w:t>
      </w:r>
      <w:r w:rsidR="00894732" w:rsidRPr="00F871F8">
        <w:t xml:space="preserve"> minerals</w:t>
      </w:r>
      <w:r w:rsidRPr="00F871F8">
        <w:t xml:space="preserve">. </w:t>
      </w:r>
      <w:r w:rsidR="000A0923" w:rsidRPr="00F871F8">
        <w:t xml:space="preserve">Biomineral formation is measured </w:t>
      </w:r>
      <w:r w:rsidR="00E051CC" w:rsidRPr="00F871F8">
        <w:rPr>
          <w:i/>
          <w:iCs/>
        </w:rPr>
        <w:t>in situ</w:t>
      </w:r>
      <w:r w:rsidR="00E051CC" w:rsidRPr="00F871F8">
        <w:t xml:space="preserve"> </w:t>
      </w:r>
      <w:r w:rsidR="00CE62BD" w:rsidRPr="00F871F8">
        <w:t xml:space="preserve">with </w:t>
      </w:r>
      <w:r w:rsidR="00E051CC" w:rsidRPr="00F871F8">
        <w:t>optical microscopy and image analysis</w:t>
      </w:r>
      <w:r w:rsidRPr="00F871F8">
        <w:rPr>
          <w:i/>
          <w:iCs/>
        </w:rPr>
        <w:t>.</w:t>
      </w:r>
      <w:r w:rsidRPr="00F871F8">
        <w:t xml:space="preserve"> This approach can be ad</w:t>
      </w:r>
      <w:r w:rsidR="002C0B80" w:rsidRPr="00F871F8">
        <w:t>a</w:t>
      </w:r>
      <w:r w:rsidRPr="00F871F8">
        <w:t xml:space="preserve">pted to investigate the precipitation of other </w:t>
      </w:r>
      <w:r w:rsidR="00E051CC" w:rsidRPr="00F871F8">
        <w:t xml:space="preserve">distinctively colored biogenic </w:t>
      </w:r>
      <w:r w:rsidRPr="00F871F8">
        <w:t xml:space="preserve">minerals in porous environments. </w:t>
      </w:r>
    </w:p>
    <w:p w14:paraId="74EFC8D7" w14:textId="6FF9041F" w:rsidR="006E4797" w:rsidRPr="00F871F8" w:rsidRDefault="006E4797" w:rsidP="001B0A4E">
      <w:pPr>
        <w:rPr>
          <w:b/>
          <w:bCs/>
        </w:rPr>
      </w:pPr>
    </w:p>
    <w:p w14:paraId="2DF8E628" w14:textId="00BB89D6" w:rsidR="006E4797" w:rsidRPr="00F871F8" w:rsidRDefault="00000000" w:rsidP="001B0A4E">
      <w:r w:rsidRPr="00F871F8">
        <w:rPr>
          <w:b/>
        </w:rPr>
        <w:t>ABSTRACT:</w:t>
      </w:r>
      <w:r w:rsidRPr="00F871F8">
        <w:t xml:space="preserve"> </w:t>
      </w:r>
    </w:p>
    <w:p w14:paraId="7EFB5C19" w14:textId="00D66934" w:rsidR="003C5F20" w:rsidRPr="00F871F8" w:rsidRDefault="00000000" w:rsidP="001B0A4E">
      <w:r w:rsidRPr="00F871F8">
        <w:t>Microorganisms commonly precipitate metal oxide nanoparticles</w:t>
      </w:r>
      <w:r w:rsidR="00C260F5" w:rsidRPr="00F871F8">
        <w:t xml:space="preserve"> in </w:t>
      </w:r>
      <w:r w:rsidR="00E75B2C" w:rsidRPr="00F871F8">
        <w:t>soil</w:t>
      </w:r>
      <w:r w:rsidR="00D40804" w:rsidRPr="00F871F8">
        <w:t>s</w:t>
      </w:r>
      <w:r w:rsidR="00E75B2C" w:rsidRPr="00F871F8">
        <w:t>, sediments</w:t>
      </w:r>
      <w:r w:rsidR="004062CA" w:rsidRPr="00F871F8">
        <w:t>,</w:t>
      </w:r>
      <w:r w:rsidR="00E75B2C" w:rsidRPr="00F871F8">
        <w:t xml:space="preserve"> and other environmentally relevant porous media</w:t>
      </w:r>
      <w:r w:rsidRPr="00F871F8">
        <w:t xml:space="preserve">. </w:t>
      </w:r>
      <w:r w:rsidR="00FC3B6E" w:rsidRPr="00F871F8">
        <w:t>However, t</w:t>
      </w:r>
      <w:r w:rsidR="002C0B80" w:rsidRPr="00F871F8">
        <w:t xml:space="preserve">he </w:t>
      </w:r>
      <w:r w:rsidRPr="00F871F8">
        <w:t xml:space="preserve">formation and reactivity of manganese </w:t>
      </w:r>
      <w:r w:rsidR="00314079" w:rsidRPr="00F871F8">
        <w:t xml:space="preserve">(Mn) </w:t>
      </w:r>
      <w:r w:rsidRPr="00F871F8">
        <w:t xml:space="preserve">and iron </w:t>
      </w:r>
      <w:r w:rsidR="00314079" w:rsidRPr="00F871F8">
        <w:t xml:space="preserve">(Fe) </w:t>
      </w:r>
      <w:r w:rsidRPr="00F871F8">
        <w:t>oxides</w:t>
      </w:r>
      <w:r w:rsidR="00A316DF" w:rsidRPr="00F871F8">
        <w:t xml:space="preserve"> </w:t>
      </w:r>
      <w:r w:rsidRPr="00F871F8">
        <w:t xml:space="preserve">remain poorly characterized in </w:t>
      </w:r>
      <w:r w:rsidR="00B05A51" w:rsidRPr="00F871F8">
        <w:t xml:space="preserve">physically </w:t>
      </w:r>
      <w:r w:rsidRPr="00F871F8">
        <w:t xml:space="preserve">complex environments. </w:t>
      </w:r>
      <w:r w:rsidR="000A1D57" w:rsidRPr="00F871F8">
        <w:t xml:space="preserve">While laboratory </w:t>
      </w:r>
      <w:r w:rsidR="00C33AC8" w:rsidRPr="00F871F8">
        <w:t xml:space="preserve">systems </w:t>
      </w:r>
      <w:r w:rsidR="000A1D57" w:rsidRPr="00F871F8">
        <w:t>can incorporate porous media as a substrate, they require destructive sampling and are not readily amenable to pore-scale analyses</w:t>
      </w:r>
      <w:r w:rsidR="002F7629" w:rsidRPr="00F871F8">
        <w:t>.</w:t>
      </w:r>
      <w:r w:rsidR="000A1D57" w:rsidRPr="00F871F8">
        <w:t xml:space="preserve"> </w:t>
      </w:r>
      <w:r w:rsidRPr="00F871F8">
        <w:t>The dynamic yet inaccessible nature of porous media</w:t>
      </w:r>
      <w:r w:rsidR="008629B5" w:rsidRPr="00F871F8">
        <w:t>,</w:t>
      </w:r>
      <w:r w:rsidRPr="00F871F8">
        <w:t xml:space="preserve"> therefore</w:t>
      </w:r>
      <w:r w:rsidR="00B72939" w:rsidRPr="00F871F8">
        <w:t>,</w:t>
      </w:r>
      <w:r w:rsidRPr="00F871F8">
        <w:t xml:space="preserve"> requires the ability to resolve microbially mediated mineral precipitation</w:t>
      </w:r>
      <w:r w:rsidR="00B54CB0" w:rsidRPr="00F871F8">
        <w:t xml:space="preserve"> </w:t>
      </w:r>
      <w:r w:rsidR="00B54CB0" w:rsidRPr="00F871F8">
        <w:rPr>
          <w:i/>
          <w:iCs/>
        </w:rPr>
        <w:t>in situ</w:t>
      </w:r>
      <w:r w:rsidR="00B54CB0" w:rsidRPr="00F871F8">
        <w:t xml:space="preserve"> and in real time</w:t>
      </w:r>
      <w:r w:rsidRPr="00F871F8">
        <w:t xml:space="preserve">. To close this gap, </w:t>
      </w:r>
      <w:r w:rsidR="0060009A" w:rsidRPr="00F871F8">
        <w:t>a</w:t>
      </w:r>
      <w:r w:rsidRPr="00F871F8">
        <w:t xml:space="preserve"> microfluidic platform </w:t>
      </w:r>
      <w:r w:rsidR="0060009A" w:rsidRPr="00F871F8">
        <w:t xml:space="preserve">is developed </w:t>
      </w:r>
      <w:r w:rsidRPr="00F871F8">
        <w:t xml:space="preserve">to evaluate </w:t>
      </w:r>
      <w:r w:rsidR="00AB18EF" w:rsidRPr="00F871F8">
        <w:t xml:space="preserve">microbial </w:t>
      </w:r>
      <w:r w:rsidR="00C87392" w:rsidRPr="00F871F8">
        <w:t xml:space="preserve">precipitation of </w:t>
      </w:r>
      <w:r w:rsidR="00AB18EF" w:rsidRPr="00F871F8">
        <w:t>metal oxide</w:t>
      </w:r>
      <w:r w:rsidR="00C87392" w:rsidRPr="00F871F8">
        <w:t>s</w:t>
      </w:r>
      <w:r w:rsidR="00AB18EF" w:rsidRPr="00F871F8">
        <w:t xml:space="preserve"> </w:t>
      </w:r>
      <w:r w:rsidRPr="00F871F8">
        <w:t xml:space="preserve">in a model </w:t>
      </w:r>
      <w:r w:rsidR="001B762C" w:rsidRPr="00F871F8">
        <w:t>pore space</w:t>
      </w:r>
      <w:r w:rsidRPr="00F871F8">
        <w:t xml:space="preserve">. </w:t>
      </w:r>
      <w:r w:rsidR="006443E6" w:rsidRPr="00F871F8">
        <w:t>This platform is validated</w:t>
      </w:r>
      <w:r w:rsidRPr="00F871F8">
        <w:t xml:space="preserve"> </w:t>
      </w:r>
      <w:r w:rsidR="008202EE" w:rsidRPr="00F871F8">
        <w:t xml:space="preserve">with </w:t>
      </w:r>
      <w:r w:rsidRPr="00F871F8">
        <w:t xml:space="preserve">the Mn-oxidizing bacterium </w:t>
      </w:r>
      <w:r w:rsidRPr="00F871F8">
        <w:rPr>
          <w:i/>
          <w:iCs/>
        </w:rPr>
        <w:t>Pseudomonas putida</w:t>
      </w:r>
      <w:r w:rsidRPr="00F871F8">
        <w:t xml:space="preserve"> GB-1. </w:t>
      </w:r>
      <w:r w:rsidR="00D551A8" w:rsidRPr="00F871F8">
        <w:t xml:space="preserve">Biofilm </w:t>
      </w:r>
      <w:r w:rsidRPr="00F871F8">
        <w:t xml:space="preserve">development and associated </w:t>
      </w:r>
      <w:r w:rsidR="008202EE" w:rsidRPr="00F871F8">
        <w:t xml:space="preserve">Mn oxide </w:t>
      </w:r>
      <w:r w:rsidRPr="00F871F8">
        <w:t xml:space="preserve">precipitation </w:t>
      </w:r>
      <w:r w:rsidR="00BA2EA0" w:rsidRPr="00F871F8">
        <w:t xml:space="preserve">are visualized </w:t>
      </w:r>
      <w:r w:rsidRPr="00F871F8">
        <w:t>under continuous flow</w:t>
      </w:r>
      <w:r w:rsidR="00BA2EA0" w:rsidRPr="00F871F8">
        <w:t xml:space="preserve"> with time-lapse color brightfield microscopy</w:t>
      </w:r>
      <w:r w:rsidRPr="00F871F8">
        <w:t xml:space="preserve">. </w:t>
      </w:r>
      <w:r w:rsidR="00BA2EA0" w:rsidRPr="00F871F8">
        <w:t xml:space="preserve">An image subtraction algorithm is then combined </w:t>
      </w:r>
      <w:r w:rsidRPr="00F871F8">
        <w:t xml:space="preserve">with endpoint </w:t>
      </w:r>
      <w:r w:rsidR="00596615" w:rsidRPr="00F871F8">
        <w:t>mass measurements</w:t>
      </w:r>
      <w:r w:rsidRPr="00F871F8">
        <w:t xml:space="preserve"> </w:t>
      </w:r>
      <w:r w:rsidR="00B6405A" w:rsidRPr="00F871F8">
        <w:t xml:space="preserve">to </w:t>
      </w:r>
      <w:r w:rsidR="002C0B80" w:rsidRPr="00F871F8">
        <w:t xml:space="preserve">estimate the </w:t>
      </w:r>
      <w:r w:rsidRPr="00F871F8">
        <w:t xml:space="preserve">rate of Mn oxide </w:t>
      </w:r>
      <w:r w:rsidR="00B6405A" w:rsidRPr="00F871F8">
        <w:t>precipitation</w:t>
      </w:r>
      <w:r w:rsidRPr="00F871F8">
        <w:t xml:space="preserve">. This approach provides a tool to systematically test how </w:t>
      </w:r>
      <w:r w:rsidR="00596615" w:rsidRPr="00F871F8">
        <w:t>microbial precipitation</w:t>
      </w:r>
      <w:r w:rsidRPr="00F871F8">
        <w:t xml:space="preserve"> </w:t>
      </w:r>
      <w:r w:rsidR="00B27F42" w:rsidRPr="00F871F8">
        <w:t xml:space="preserve">of metal oxides </w:t>
      </w:r>
      <w:r w:rsidRPr="00F871F8">
        <w:t xml:space="preserve">varies in response to changing </w:t>
      </w:r>
      <w:r w:rsidR="00F16D82" w:rsidRPr="00F871F8">
        <w:t xml:space="preserve">physical </w:t>
      </w:r>
      <w:r w:rsidR="00BA4E35" w:rsidRPr="00F871F8">
        <w:t xml:space="preserve">and chemical </w:t>
      </w:r>
      <w:r w:rsidRPr="00F871F8">
        <w:t>conditions</w:t>
      </w:r>
      <w:r w:rsidR="00BA4E35" w:rsidRPr="00F871F8">
        <w:t>.</w:t>
      </w:r>
      <w:r w:rsidRPr="00F871F8">
        <w:t xml:space="preserve"> </w:t>
      </w:r>
    </w:p>
    <w:p w14:paraId="2CF9CD54" w14:textId="77777777" w:rsidR="006E4797" w:rsidRPr="00F871F8" w:rsidRDefault="006E4797" w:rsidP="001B0A4E"/>
    <w:p w14:paraId="0646E204" w14:textId="6CA8DC5E" w:rsidR="006E4797" w:rsidRPr="00F871F8" w:rsidRDefault="00000000" w:rsidP="001B0A4E">
      <w:r w:rsidRPr="00F871F8">
        <w:rPr>
          <w:b/>
        </w:rPr>
        <w:t>INTRODUCTION:</w:t>
      </w:r>
      <w:r w:rsidRPr="00F871F8">
        <w:t xml:space="preserve"> </w:t>
      </w:r>
    </w:p>
    <w:p w14:paraId="303E26E3" w14:textId="0489E9A4" w:rsidR="00F054B8" w:rsidRPr="00F871F8" w:rsidRDefault="00000000" w:rsidP="001B0A4E">
      <w:r w:rsidRPr="00F871F8">
        <w:lastRenderedPageBreak/>
        <w:t>Metal oxide minerals play a critical role in biogeochemical cycling</w:t>
      </w:r>
      <w:r w:rsidRPr="00F871F8">
        <w:fldChar w:fldCharType="begin"/>
      </w:r>
      <w:r w:rsidRPr="00F871F8">
        <w:instrText xml:space="preserve"> ADDIN ZOTERO_ITEM CSL_CITATION {"citationID":"O83dBGsq","properties":{"formattedCitation":"\\super 1\\nosupersub{}","plainCitation":"1","noteIndex":0},"citationItems":[{"id":1869,"uris":["http://zotero.org/users/7069502/items/CP3G9MWD"],"itemData":{"id":1869,"type":"chapter","abstract":"Oxide minerals (include oxides, hydroxides, oxyhydroxides and hydrated oxides) are primary and secondary minerals of Si, Fe, Mn, Al and Ti. Secondary oxides, particularly of Fe, Al and Mn, are perhaps the most reactive and important components in many soils due to their large specific surface area and strong sorption capacity for many essential and potentially toxic elements. Iron and Mn oxides also play key roles in many redox reactions and have a major influence on the transformation and availability of organic and inorganic contaminants in soils. This chapter provides an overview of the oxide minerals in soils, with an emphasis on their structure and composition, environmental conditions for their formation and their properties.","container-title":"Encyclopedia of Soils in the Environment (Second Edition)","event-place":"Oxford","ISBN":"978-0-323-95133-3","note":"DOI: 10.1016/B978-0-12-822974-3.00069-0","page":"135-148","publisher":"Academic Press","publisher-place":"Oxford","source":"ScienceDirect","title":"Metal oxides","URL":"https://www.sciencedirect.com/science/article/pii/B9780128229743000690","author":[{"family":"Scheinost","given":"Andreas C."},{"family":"Singh","given":"Balwant"}],"editor":[{"family":"Goss","given":"Michael J."},{"family":"Oliver","given":"Margaret"}],"accessed":{"date-parts":[["2025",4,23]]},"issued":{"date-parts":[["2023",1,1]]}}}],"schema":"https://github.com/citation-style-language/schema/raw/master/csl-citation.json"} </w:instrText>
      </w:r>
      <w:r w:rsidRPr="00F871F8">
        <w:fldChar w:fldCharType="separate"/>
      </w:r>
      <w:r w:rsidRPr="00F871F8">
        <w:rPr>
          <w:vertAlign w:val="superscript"/>
        </w:rPr>
        <w:t>1</w:t>
      </w:r>
      <w:r w:rsidRPr="00F871F8">
        <w:fldChar w:fldCharType="end"/>
      </w:r>
      <w:r w:rsidRPr="00F871F8">
        <w:t xml:space="preserve">. </w:t>
      </w:r>
      <w:r w:rsidR="00B178BD" w:rsidRPr="00F871F8">
        <w:t>Manganese (</w:t>
      </w:r>
      <w:r w:rsidR="00DC6B22" w:rsidRPr="00F871F8">
        <w:t>Mn</w:t>
      </w:r>
      <w:r w:rsidR="00B178BD" w:rsidRPr="00F871F8">
        <w:t>)</w:t>
      </w:r>
      <w:r w:rsidR="00DC6B22" w:rsidRPr="00F871F8">
        <w:t xml:space="preserve"> and </w:t>
      </w:r>
      <w:r w:rsidR="00B178BD" w:rsidRPr="00F871F8">
        <w:t>iron (</w:t>
      </w:r>
      <w:r w:rsidR="00DC6B22" w:rsidRPr="00F871F8">
        <w:t>Fe</w:t>
      </w:r>
      <w:r w:rsidR="00B178BD" w:rsidRPr="00F871F8">
        <w:t>)</w:t>
      </w:r>
      <w:r w:rsidR="00DC6B22" w:rsidRPr="00F871F8">
        <w:t xml:space="preserve"> oxides are negatively charged </w:t>
      </w:r>
      <w:r w:rsidR="006A598F" w:rsidRPr="00F871F8">
        <w:t xml:space="preserve">at circumneutral pH </w:t>
      </w:r>
      <w:r w:rsidR="00DC6B22" w:rsidRPr="00F871F8">
        <w:t>and readily sorb cationic metals</w:t>
      </w:r>
      <w:r w:rsidR="00DC6B22" w:rsidRPr="00F871F8">
        <w:fldChar w:fldCharType="begin"/>
      </w:r>
      <w:r w:rsidR="003B6675" w:rsidRPr="00F871F8">
        <w:instrText xml:space="preserve"> ADDIN ZOTERO_ITEM CSL_CITATION {"citationID":"ojLy5MBj","properties":{"formattedCitation":"\\super 2\\uc0\\u8211{}8\\nosupersub{}","plainCitation":"2–8","noteIndex":0},"citationItems":[{"id":1131,"uris":["http://zotero.org/users/7069502/items/XL4VXJQR"],"itemData":{"id":1131,"type":"article-journal","abstract":"Manganese(IV) oxides produced through microbial activity, i.e., biogenic Mn oxides or Mn biooxides, are believed to be the most abundant and highly reactive Mn oxide phases in the environment. They mediate redox reactions with organic and inorganic compounds and sequester a variety of metals. The major pathway for bacterial Mn(II) oxidation is enzymatic, and although bacteria that oxidize Mn(II) are phylogenetically diverse, they require a multicopper oxidase-like enzyme to oxidize Mn(II). The oxidation of Mn(II) to Mn(IV) occurs via a soluble or enzyme-complexed Mn(III) intermediate. The primary Mn(IV) biooxide formed is a phyllomanganate most similar to δ-MnO2 or acid birnessite. Metal sequestration by the Mn biooxides occurs predominantly at vacant layer octahedral sites.","container-title":"Annual Review of Earth and Planetary Sciences","DOI":"10.1146/annurev.earth.32.101802.120213","issue":"1","journalAbbreviation":"Annu. Rev. Earth Planet. Sci.","note":"_eprint: https://doi.org/10.1146/annurev.earth.32.101802.120213","page":"287-328","source":"Annual Reviews","title":"Biogenic Manganese Oxides: Properties and Mechanisms of Formation","title-short":"BIOGENIC MANGANESE OXIDES","volume":"32","author":[{"family":"Tebo","given":"Bradley M."},{"family":"Bargar","given":"John R."},{"family":"Clement","given":"Brian G."},{"family":"Dick","given":"Gregory J."},{"family":"Murray","given":"Karen J."},{"family":"Parker","given":"Dorothy"},{"family":"Verity","given":"Rebecca"},{"family":"Webb","given":"Samuel M."}],"issued":{"date-parts":[["2004"]]}}},{"id":1482,"uris":["http://zotero.org/users/7069502/items/YJBLRSQS"],"itemData":{"id":1482,"type":"article-journal","abstract":"Biogenic MnO2 minerals aﬀect metal fate and transport in natural and engineered systems by strongly sorbing metals ions. The ability to produce MnO2 is widely dispersed in the microbial tree of life, leading to potential diﬀerences in the minerals produced by diﬀerent organisms. In this study, we compare the structure and reactivity of biogenic Mn oxides produced by the bioﬁlm-forming bacterium Pseudomonas putida GB-1 and the white-rot fungus Coprinellus sp. The rate of Mn(II) oxidation, and thus biomineral production, was 45 times lower for Coprinellus sp. (5.1 × 10−2 mM d−1) than for P. putida (2.32 mM d−1). Both organisms produced predominantly Mn(IV) oxides with hexagonal-sheet symmetry, low sheet stacking, small particle size, and Mn(II/III) in the interlayer. However, we found that mycogenic MnO2 could support a signiﬁcantly lower quantity of Ni sorbed via inner-sphere coordination at vacancy sites than the bacteriogenic MnO2: 0.09 versus 0.14 mol Ni mol−1 Mn. In addition, 50− 100% of the adsorbed Ni partitioned to the MnO2, which accounts for less than 20% of the sorbent on a mass basis. The vacancy content, which appears to increase with the kinetics of MnO2 precipitation, exerts signiﬁcant control on biomineral reactivity.","container-title":"Environmental Science &amp; Technology","DOI":"10.1021/es5048528","ISSN":"0013-936X, 1520-5851","issue":"7","journalAbbreviation":"Environ. Sci. Technol.","language":"en","page":"4200-4208","source":"DOI.org (Crossref)","title":"A Comparison of the Sorption Reactivity of Bacteriogenic and Mycogenic Mn Oxide Nanoparticles","volume":"49","author":[{"family":"Droz","given":"Boris"},{"family":"Dumas","given":"Naomi"},{"family":"Duckworth","given":"Owen W."},{"family":"Peña","given":"Jasquelin"}],"issued":{"date-parts":[["2015",4,7]]}}},{"id":1722,"uris":["http://zotero.org/users/7069502/items/JF6HRKXU"],"itemData":{"id":1722,"type":"article-journal","abstract":"The scavenging properties of MnO2 are largely attributed to sorption on layer vacancy sites. However, co-occurrence of Mn(II, III) with MnO2 can change mineral reactivity by modifying its Mn(III) content or number of free vacancy sites. These processes are critical in biogenic MnO2 because nascent precipitates are in contact with aqueous Mn(II) and redox processes involving the biomass can modify the Mn(III) content of the oxide. Here we studied the mechanism of Zn(II) and Pb(II) sorption by the biogenic MnO2 precipitated by Pseudomonas putida GB-1. Sorption isotherms on biogenic MnO2 at pH 5.2 ± 0.3 showed considerably higher loadings for Pb(II) (0.49 mol Pb mol−1 Mn) than for Zn(II) (0.12 mol Zn mol−1 Mn). For loadings above 0.1 mol mol−1 Mn, Zn(II) and Pb(II) sorption was concomitant, albeit to different extents, with Mn(II) accumulation in solution. Wet chemical measurements and analysis of Zn K–edge and Pb L3-edge EXAFS spectra showed that the difference in metal loadings on the oxide and extent of Mn(II) release to solution originates from the ability of the cations to displace interlayer Mn(III), which then undergoes disproportionation and accumulates as Mn(II) in solution. In addition, the formation of nanoscale precipitates rich in Pb-P-Cl in the biomass matrix, as shown by energy dispersive X-ray analysis, leads to greater accumulation of Pb than Zn on the biomass. Our findings show how the reactivity of biogenic MnO2 towards co-occurring trace or contaminant metals in natural systems depends directly on the mineral Mn(III) content and competitive sorption processes.","container-title":"Chemical Geology","DOI":"10.1016/j.chemgeo.2018.10.020","ISSN":"00092541","journalAbbreviation":"Chem. Geol.","language":"en","page":"76-87","source":"DOI.org (Crossref)","title":"Contaminant loading and competitive access of Pb, Zn and Mn(III) to vacancy sites in biogenic MnO2","volume":"502","author":[{"family":"Holguera","given":"Julia Gonzalez"},{"family":"Etui","given":"Imelda Dossou"},{"family":"Jensen","given":"Louise Helene Søgaard"},{"family":"Peña","given":"Jasquelin"}],"issued":{"date-parts":[["2018",12]]}}},{"id":1810,"uris":["http://zotero.org/users/7069502/items/UA2DBWUD"],"itemData":{"id":1810,"type":"article-journal","abstract":"A synergistic experimental–computational approach was used to study the molecular-scale mechanisms of Ni sorption at varying loadings and at pH 6–8 on the biogenic hexagonal birnessite produced by Pseudomonas putida GB-1. We found that Ni is scavenged eﬀectively by bacterial biomass-birnessite assemblages. At surface excess values below 0.18 mol Ni kgÀ1 sorbent (0.13 mol Ni molÀ1 Mn), the biomass component of the sorbent did not interfere with Ni sorption on mineral sites. Extended X-ray absorption ﬁne structure (EXAFS) spectra showed two dominant coordination environments: Ni bound as a triple-corner-sharing (Ni-TCS) complex at vacancy sites and Ni incorporated (Ni-inc) into the MnO2 sheet, with the latter form of Ni favored at high sorptive concentrations and decreased proton activity. In parallel to our spectral analysis, ﬁrstprinciples geometry optimizations based on density functional theory (DFT) were performed to investigate the structure of Ni surface complexes at vacancy sites. Excellent agreement was achieved between EXAFS- and DFT-derived structural parameters for Ni-TCS and Ni-inc. Reaction-path calculations revealed a pH-dependent energy barrier associated with the transition from Ni-TCS to Ni-inc. Our results are consistent with the rate-limited incorporation of Ni at vacancy sites in our sorption samples, but near-equilibrium state of Ni in birnessite phases found in nodule samples. This study thus provides direct and quantitative evidence of the factors governing the occurrence of Ni adsorption versus Ni incorporation in biogenic hexagonal birnessite, a key mineral in the terrestrial manganese cycle.","container-title":"Geochimica et Cosmochimica Acta","DOI":"10.1016/j.gca.2010.02.035","ISSN":"00167037","issue":"11","journalAbbreviation":"Geochim. Cosmochim. Acta","language":"en","license":"https://www.elsevier.com/tdm/userlicense/1.0/","page":"3076-3089","source":"DOI.org (Crossref)","title":"Mechanisms of nickel sorption by a bacteriogenic birnessite","volume":"74","author":[{"family":"Peña","given":"Jasquelin"},{"family":"Kwon","given":"Kideok D."},{"family":"Refson","given":"Keith"},{"family":"Bargar","given":"John R."},{"family":"Sposito","given":"Garrison"}],"issued":{"date-parts":[["2010",6]]}}},{"id":1761,"uris":["http://zotero.org/users/7069502/items/EHRTSMS2"],"itemData":{"id":1761,"type":"article-journal","abstract":"Bioﬁlm-embedded Mn oxides exert important controls on trace metal cycling in aquatic and soil environments. The speciation and mobility of Zn in particular has been linked to Mn oxides found in streams, wetlands, soils, and aquifers. We investigated the mechanisms of Zn sorption to a biogenic Mn oxide within a bioﬁlm produced by model soil and freshwater MnII-oxidizing bacteria Pseudomonas putida. The biogenic Mn oxide is a c-disordered birnessite with hexagonal layer symmetry. Zinc adsorption isotherm and Zn and Mn K-edge extended X-ray absorption ﬁne structure (EXAFS) spectroscopy experiments were conducted at pH 6.9 to characterize Zn sorption to this biogenic Mn oxide, and to determine whether the bioorganic components of the bioﬁlm aﬀect metal sorption properties. The EXAFS data were analyzed by spectral ﬁtting, principal component analysis, and linear least-squares ﬁtting with reference spectra. Zinc speciation was found to change as Zn loading to the biosorbent [bacterial cells, extracellular polymeric substances (EPS), and biogenic Mn oxide] increased. At low Zn loading (0.13 ± 0.04 mol Zn kgÀ1 biosorbent), Zn was sorbed to crystallographically well-deﬁned sites on the biogenic oxide layers in tetrahedral coordination to structural O atoms. The ﬁt to the EXAFS spectrum was consistent with Zn sorption above and below the MnIV vacancy sites of the oxide layers. As Zn loading increased to 0.72 ± 0.04 mol Zn kgÀ1 biosorbent, Zn was also detected in octahedral coordination to these sites. Overall, our results indicate that the bioﬁlm did not intervene in Zn sorption by the Mn-oxide because sorption to the organic material was observed only after all Mn vacancy sites were capped by Zn. The organic functional groups present in the bioﬁlm contributed signiﬁcantly to Zn removal from solution when Zn concentrations exceeded the sorption capacity of the biooxide. At the highest Zn loading studied, 1.50 ± 0.36 mol Zn kgÀ1 biosorbent, the proportion of total Zn sorption attributed to bioorganic material was 38 mol%. The maximum Zn loading to the biogenic oxide that we observed was 4.1 mol Zn kgÀ1 biogenic Mn oxide, corresponding to 0.37 ± 0.02 mol Zn molÀ1 Mn. This loading is in excellent agreement with previous estimates of the content of cation vacancies in the biogenic oxide. The results of this study improve our knowledge of Zn speciation in natural systems and are consistent with those of Zn speciation in mineral soil fractions and ferromanganese nodules where the Mn oxides present are possibly biogenic.","container-title":"Geochimica et Cosmochimica Acta","DOI":"10.1016/j.gca.2005.08.029","ISSN":"00167037","issue":"1","journalAbbreviation":"Geochim. Cosmochim. Acta","language":"en","page":"27-43","source":"DOI.org (Crossref)","title":"Zinc sorption to biogenic hexagonal-birnessite particles within a hydrated bacterial biofilm","volume":"70","author":[{"family":"Toner","given":"Brandy"},{"family":"Manceau","given":"Alain"},{"family":"Webb","given":"Samuel M."},{"family":"Sposito","given":"Garrison"}],"issued":{"date-parts":[["2006",1]]}}},{"id":1908,"uris":["http://zotero.org/users/7069502/items/7532TY3X"],"itemData":{"id":1908,"type":"article-journal","abstract":"A significant number of industries produce large volumes of aqueous effluents containing heavy metals that discharge into the environment threatening biodiversity and human life. However, such effluents pose serious problems for the industry because of the high cost of metal decontamination using conventional technologies. The aim of this work is to study a suitable alternative through the use of iron compounds generated by a natural consortium with adsorptive properties appropriated for metal removal. The biogenic iron precipitates were identified as a mixture containing mainly siderite and magnetite. The use as sorbent was investigated to remove copper, zinc, arsenate and chromate from aqueous solutions. Variables such as the initial pH, contact time and initial metal concentration were evaluated. Three models were used to study the adsorption kinetic: pseudo first order, pseudo second order and Elovich models. Equilibrium data were fitted to Langmuir and Freundlich isotherm models. Higher metal uptakes were obtained with arsenic. Metal sorption was also investigated in the bimetallic system As-Cu.","container-title":"Hydrometallurgy","DOI":"10.1016/j.hydromet.2018.05.029","ISSN":"0304-386X","journalAbbreviation":"Hydrometallurgy","page":"44-51","source":"ScienceDirect","title":"Heavy metal adsorption using biogenic iron compounds","volume":"179","author":[{"family":"Castro","given":"Laura"},{"family":"Blázquez","given":"M. Luisa"},{"family":"González","given":"Felisa"},{"family":"Muñoz","given":"Jesús A."},{"family":"Ballester","given":"Antonio"}],"issued":{"date-parts":[["2018",8,1]]}}},{"id":1910,"uris":["http://zotero.org/users/7069502/items/QU3XGQMJ"],"itemData":{"id":1910,"type":"article-journal","abstract":"The transportation and immobilization of potentially toxic metals in near-surface environments may be partially controlled by sorption processes at the solid-water interface. Myriad studies have shown that iron (oxyhydr)oxides have large sorption capacities and form strong surface complexes with metal ions. Biogenic iron (oxyhydr)oxides (BIOS) form at redox gradients where dissolved ferrous iron encounters oxygenated conditions, allowing bacteria to outcompete abiotic Fe oxidation. This process produces biominerals with distinct surface and structural properties (incorporation of cell-derived organic matter, poor crystallinity, and small particle sizes) that may alter their metal-binding affinity and sorption processes. To better understand metal binding by BIOS, Cu, Pb, and Zn, sorption rate and isotherm studies were conducted with synthetic two-line ferrihydrite and BIOS. Additionally, X-ray absorption spectroscopy and total scattering were used to elucidate the BIOS mineral structure and metal ion surface structures. On a mass normalization basis, BIOS sorbed approximately 8, 4, and 2 times more Cu, Pb, and Zn, respectively, than 2LFh over similar dissolved concentrations. Spectroscopic analyses revealed poorly crystalline structures and small coherent scattering domain sizes for BIOS. Additionally, extended X-ray absorption fine-structure spectroscopy revealed Cu, Pb, and Zn sorbed to BIOS via inner-sphere complexes, similar to 2LFh. These results suggest that, in metal contaminated environments, BIOS are more efficient in metal binding than their synthetic counterparts.","container-title":"Soil Systems","DOI":"10.3390/soilsystems2020018","ISSN":"2571-8789","issue":"2","journalAbbreviation":"Soil Syst.","language":"en","license":"http://creativecommons.org/licenses/by/3.0/","note":"number: 2\npublisher: Multidisciplinary Digital Publishing Institute","page":"18","source":"www.mdpi.com","title":"Cu, Pb, and Zn Sorption to Biogenic Iron (Oxyhydr)Oxides Formed in Circumneutral Environments","volume":"2","author":[{"family":"Whitaker","given":"Andrew H."},{"family":"Duckworth","given":"Owen W."}],"issued":{"date-parts":[["2018",6]]}}}],"schema":"https://github.com/citation-style-language/schema/raw/master/csl-citation.json"} </w:instrText>
      </w:r>
      <w:r w:rsidR="00DC6B22" w:rsidRPr="00F871F8">
        <w:fldChar w:fldCharType="separate"/>
      </w:r>
      <w:r w:rsidR="003B6675" w:rsidRPr="00F871F8">
        <w:rPr>
          <w:vertAlign w:val="superscript"/>
        </w:rPr>
        <w:t>2–8</w:t>
      </w:r>
      <w:r w:rsidR="00DC6B22" w:rsidRPr="00F871F8">
        <w:fldChar w:fldCharType="end"/>
      </w:r>
      <w:r w:rsidR="00DC6B22" w:rsidRPr="00F871F8">
        <w:t>, regulating micronutrient availability and contaminant mobility</w:t>
      </w:r>
      <w:r w:rsidR="002008A0" w:rsidRPr="00F871F8">
        <w:t xml:space="preserve"> in </w:t>
      </w:r>
      <w:r w:rsidR="00366D3D" w:rsidRPr="00F871F8">
        <w:t xml:space="preserve">the rhizosphere and hyporheic zone. </w:t>
      </w:r>
      <w:r w:rsidRPr="00F871F8">
        <w:t>These minerals</w:t>
      </w:r>
      <w:r w:rsidR="008040AA" w:rsidRPr="00F871F8">
        <w:t xml:space="preserve"> </w:t>
      </w:r>
      <w:r w:rsidR="00DD4FC0" w:rsidRPr="00F871F8">
        <w:t>influence the stability and degradation of</w:t>
      </w:r>
      <w:r w:rsidRPr="00F871F8">
        <w:t xml:space="preserve"> organic matter</w:t>
      </w:r>
      <w:r w:rsidR="002D492E" w:rsidRPr="00F871F8">
        <w:fldChar w:fldCharType="begin"/>
      </w:r>
      <w:r w:rsidR="003B6675" w:rsidRPr="00F871F8">
        <w:instrText xml:space="preserve"> ADDIN ZOTERO_ITEM CSL_CITATION {"citationID":"k6geZBz2","properties":{"formattedCitation":"\\super 9\\uc0\\u8211{}12\\nosupersub{}","plainCitation":"9–12","noteIndex":0},"citationItems":[{"id":1796,"uris":["http://zotero.org/users/7069502/items/VHZLGDNM"],"itemData":{"id":1796,"type":"article-journal","abstract":"Metal (oxyhydr)oxides are key factors for the transformation and stabilization of organic carbon (OC) in soil. While sorptive interactions between Al and Fe (oxyhydr)oxides and dissolved organic matter (DOM) are well studied, the role of Mn(IV) oxides (manganates) in DOM sorption, fractionation, and oxidation has not been extensively investigated. Therefore, we examined sorptive interactions between manganates (δ-MnO2, birnessite, cryptomelane; 5 g L− 1) and different DOM types (beech litter and Oa/Oe material under pine; ~100 mg L− 1 dissolved organic carbon, DOC) at pH 4 and 7 in different background electrolytes (BGE; no salt, 0.01 M NaCl or CaCl2) for up to 32 h. Changes of DOM solutions and mineral phases were assessed by solid, liquid, and gas analyses, and statistically evaluated for the effects of manganate, DOM type, pH, and BGE on DOC sorption, fractionation, and oxidative transformation. Manganates sorbed 0.2–8.7 mg OC g− 1. Per unit mass, δ-MnO2 was least effective in DOC retention due to its high DOC oxidation capacity. Manganates sorbed more DOC at acidic pH and more aromatic pine than more aliphatic beech DOC, with Ca2+ generally facilitating DOC sorption. Up to 56 % of added DOC (average: 25 %) was oxidized to CO2, which is comparable to the extent of DOC respiration by soil microorganisms. DOC oxidation by δ-MnO2 and cryptomelane exceeded that of birnessite, which had the lowest specific surface area of all manganates. However, we found no difference in the efficiency of manganates to oxidize DOC, implying a similar redox activity of phyllo- and tectomanganates. More beech than pine DOM was oxidized to CO2 and an acidic pH facilitated DOC decomposition. While the presence of Na-BGE increased DOC oxidation to CO2 relative to no-salt treatments, Ca-BGE had the opposite effect, as Ca2+ apparently impeded the electron transfer from sorbed OC to structural Mn(III/IV). Contact of DOM with manganates also produced high concentrations of dissolved low-molecular-weight organic acids (mainly formate, acetate, and oxalate), accounting for up to 19 % of the initial DOC concentration. In addition, reduced specific ultraviolet absorbance of DOM solutions at 280 nm indicated preferential sorption of aromatic moieties, especially in Ca-BGE. However, in the absence of Ca2+ and at neutral pH, manganates increased the aromaticity of beech DOM, most likely due to polymerization reactions. No mineral transformations occurred after reaction of manganates with DOM, despite reductive manganate dissolution. Our results imply that soil manganates accumulate more OC in acidic soils and in presence of more aromatic DOM. However, manganates oxidatively destabilize DOC by generating CO2 and low-molecular-weight organic compounds, which is presumably more relevant in acidic soils with low concen­ trations of polyvalent cations and for more aliphatic DOM. The produced low-molecular-weight organic com­ pounds may promote microbial activity and foster mineral weathering. Our results suggest a pivotal role of manganates in soil OC cycling, including the fate and bioavailability of nutrient elements associated with DOM, and in supporting ligand-promoted mineral weathering and soil formation.","container-title":"Geochimica et Cosmochimica Acta","DOI":"10.1016/j.gca.2023.12.016","ISSN":"00167037","journalAbbreviation":"Geochim. Cosmochim. Acta","language":"en","page":"182-200","source":"DOI.org (Crossref)","title":"Interactions of manganese oxides with natural dissolved organic matter: Implications for soil organic carbon cycling","title-short":"Interactions of manganese oxides with natural dissolved organic matter","volume":"366","author":[{"family":"Brüggenwirth","given":"Lena"},{"family":"Behrens","given":"Ricarda"},{"family":"Schnee","given":"Laura S."},{"family":"Sauheitl","given":"Leopold"},{"family":"Mikutta","given":"Robert"},{"family":"Mikutta","given":"Christian"}],"issued":{"date-parts":[["2024",2]]}}},{"id":1693,"uris":["http://zotero.org/users/7069502/items/9HN6NLRF"],"itemData":{"id":1693,"type":"article-journal","abstract":"Manganese (Mn) is a biologically important and redoxactive metal that may exert a poorly recognized control on carbon (C) cycling in terrestrial ecosystems. Manganese inﬂuences ecosystem C dynamics by mediating biochemical pathways that include photosynthesis, serving as a reactive intermediate in the breakdown of organic molecules, and binding and/or oxidizing organic molecules through organo-mineral associations. However, the potential for Mn to inﬂuence ecosystem C storage remains unresolved. Although substantial research has demonstrated the ability of Fe- and Al-oxides to stabilize organic matter, there is a scarcity of similar information regarding Mn-oxides. Furthermore, Mn-mediated reactions regulate important litter decomposition pathways, but these processes are poorly constrained across diverse ecosystems. Here, we discuss the ecological roles of Mn in terrestrial environments and synthesize existing knowledge on the multiple pathways by which biogeochemical Mn and C cycling intersect. We demonstrate that Mn has a high potential to degrade organic molecules through abiotic and microbially mediated oxidation and to stabilize organic molecules, at least temporarily, through organo-mineral associations. We outline research priorities needed to advance understanding of Mn−C interactions, highlighting knowledge gaps that may address key uncertainties in soil C predictions.","container-title":"Environmental Science &amp; Technology","DOI":"10.1021/acs.est.1c00299","ISSN":"0013-936X, 1520-5851","issue":"18","journalAbbreviation":"Environ. Sci. Technol.","language":"en","page":"12136-12152","source":"DOI.org (Crossref)","title":"A Critical Review on the Multiple Roles of Manganese in Stabilizing and Destabilizing Soil Organic Matter","volume":"55","author":[{"family":"Li","given":"Hui"},{"family":"Santos","given":"Fernanda"},{"family":"Butler","given":"Kristen"},{"family":"Herndon","given":"Elizabeth"}],"issued":{"date-parts":[["2021",9,21]]}}},{"id":1848,"uris":["http://zotero.org/users/7069502/items/N98CBAEM"],"itemData":{"id":1848,"type":"article-journal","abstract":"Iron (Fe) oxides are widely recognized to prevent the degradation of organic matter (OM) in environments, thereby promoting the persistence of organic carbon (OC) in soils. Thus, discerning the association mechanisms of Fe oxides and OC interactions is key to effectively influencing the dynamics and extent of organic C cycling in soils. Previous studies have focused on i) quantifying Fe oxide-bound organic carbon (Fe-OC) in individual environments, ii) investigating the distribution and adsorption capacity of Fe-OC, and iii) assessing the redox cycling and transformation of Fe-OC. Furthermore, the widespread application of high-tech instrumentation and methods has greatly contributed to a better understanding of the mechanism of organic mineral assemblages in the past few decades. However, few literature reviews have comprehensively summarized Fe-OC distributions, associations, and characteristics in soil-plant systems. Here, studies investigating the Fe-OC contents among different environments are reviewed. In addition, the mechanisms and processes related to OM transformation dynamics occurring at mineral-organic interfaces are also described. Recent studies have highlighted that diverse interactions occur between Fe oxides and OC, with organic compounds adhering to Fe oxides due to their huge specific surfaces area and active reaction sites. Moreover, we also review methods for understanding Fe-OC interactions at micro-interfaces. Lastly, developmental prospects for understanding coupled Fe-OC geochemical processes in soil environments at molecular- and nano-scales are outlined. The summary suggests that combined advanced techniques and methods should be used in future research to explore micro-interfaces and in situ descriptions of organic mineral assemblages. This review also suggests that future studies need to consider the functional and spatial complexity that is typical of soil/sediment environments where Fe-OC interactions occur.","container-title":"Science of The Total Environment","DOI":"10.1016/j.scitotenv.2022.158710","ISSN":"0048-9697","journalAbbreviation":"Sci. Total Environ.","page":"158710","source":"ScienceDirect","title":"Interactions between organic matter and Fe oxides at soil micro-interfaces: Quantification, associations, and influencing factors","title-short":"Interactions between organic matter and Fe oxides at soil micro-interfaces","volume":"855","author":[{"family":"Li","given":"Qi"},{"family":"Hu","given":"Weifang"},{"family":"Li","given":"Linfeng"},{"family":"Li","given":"Yichun"}],"issued":{"date-parts":[["2023",1,10]]}}},{"id":1900,"uris":["http://zotero.org/users/7069502/items/BDV6ADBA"],"itemData":{"id":1900,"type":"article-journal","abstract":"Iron (Fe) minerals play an important role in stabilizing soil organic carbon (SOC). Fe-mediated SOC protection is mainly achieved through adsorption, co-precipitation, or aggregation. However, newly emerging evidence indicates that the electron transfer role of Fe exerts a crucial influence upon SOC turnover. In this review, we address the pathways of Fe mineral-associated soil organic carbon (Fe-SOC) formation and decomposition, and summarize the Fe-mediated biogeochemical, including redox reactions, and physical processes that control SOC cycling. The reduction of Fe can release SOC from Fe-SOC coprecipitates and Fe(III) cemented micro-aggregates, with the process also releasing CO2 from the metabolic coupling of SOC oxidation and Fe reduction. The abiotic oxidation of Fe(II) by oxidants can also oxidize SOC to produce CO2 due to reactive oxygen species production. Therefore, the functional roles of Fe on SOC sequestration may be a double-edged sword, and these processes are rarely explored concurrently. We conclude that the roles of Fe minerals in SOC stability depend on the properties of the Fe mineral, edaphic properties, and anthropogenic influence. We highlight knowledge gaps and promising directions of future research in redox-dynamic environments to optimize carbon storage in soil.","container-title":"Carbon Research","DOI":"10.1007/s44246-022-00008-2","ISSN":"2731-6696","journalAbbreviation":"Carbon Res.","language":"en","page":"5","source":"Springer Link","title":"Towards a better understanding of the role of Fe cycling in soil for carbon stabilization and degradation","volume":"1","author":[{"family":"Song","given":"Xuxin"},{"family":"Wang","given":"Pei"},{"family":"Van Zwieten","given":"Lukas"},{"family":"Bolan","given":"Nanthi"},{"family":"Wang","given":"Hailong"},{"family":"Li","given":"Xiaomin"},{"family":"Cheng","given":"Kuan"},{"family":"Yang","given":"Yang"},{"family":"Wang","given":"Milan"},{"family":"Liu","given":"Tongxu"},{"family":"Li","given":"Fangbai"}],"issued":{"date-parts":[["2022",6,18]]}}}],"schema":"https://github.com/citation-style-language/schema/raw/master/csl-citation.json"} </w:instrText>
      </w:r>
      <w:r w:rsidR="002D492E" w:rsidRPr="00F871F8">
        <w:fldChar w:fldCharType="separate"/>
      </w:r>
      <w:r w:rsidR="003B6675" w:rsidRPr="00F871F8">
        <w:rPr>
          <w:vertAlign w:val="superscript"/>
        </w:rPr>
        <w:t>9–12</w:t>
      </w:r>
      <w:r w:rsidR="002D492E" w:rsidRPr="00F871F8">
        <w:fldChar w:fldCharType="end"/>
      </w:r>
      <w:r w:rsidR="006255D4" w:rsidRPr="00F871F8">
        <w:t xml:space="preserve">, </w:t>
      </w:r>
      <w:r w:rsidR="006039CD" w:rsidRPr="00F871F8">
        <w:t xml:space="preserve">dictating </w:t>
      </w:r>
      <w:r w:rsidRPr="00F871F8">
        <w:t xml:space="preserve">carbon uptake by plants and </w:t>
      </w:r>
      <w:r w:rsidR="008040AA" w:rsidRPr="00F871F8">
        <w:t xml:space="preserve">soil </w:t>
      </w:r>
      <w:r w:rsidRPr="00F871F8">
        <w:t xml:space="preserve">microbes. </w:t>
      </w:r>
      <w:r w:rsidR="008E3E63" w:rsidRPr="00F871F8">
        <w:t>In engineered system</w:t>
      </w:r>
      <w:r w:rsidR="00FF1AEF" w:rsidRPr="00F871F8">
        <w:t>s (</w:t>
      </w:r>
      <w:r w:rsidR="003B6675" w:rsidRPr="00F871F8">
        <w:t xml:space="preserve">e.g., </w:t>
      </w:r>
      <w:r w:rsidR="00FF1AEF" w:rsidRPr="00F871F8">
        <w:t xml:space="preserve">water treatment </w:t>
      </w:r>
      <w:r w:rsidR="007B1CDE" w:rsidRPr="00F871F8">
        <w:t>filters</w:t>
      </w:r>
      <w:r w:rsidR="00FF1AEF" w:rsidRPr="00F871F8">
        <w:t xml:space="preserve">, </w:t>
      </w:r>
      <w:r w:rsidR="00922673" w:rsidRPr="00F871F8">
        <w:t>constructed wetlands</w:t>
      </w:r>
      <w:r w:rsidR="00FF1AEF" w:rsidRPr="00F871F8">
        <w:t>)</w:t>
      </w:r>
      <w:r w:rsidR="00545B2F" w:rsidRPr="00F871F8">
        <w:t xml:space="preserve">, </w:t>
      </w:r>
      <w:r w:rsidR="003E4020" w:rsidRPr="00F871F8">
        <w:t xml:space="preserve">metal </w:t>
      </w:r>
      <w:r w:rsidR="002F5B80" w:rsidRPr="00F871F8">
        <w:t>oxide</w:t>
      </w:r>
      <w:r w:rsidR="005A4F56" w:rsidRPr="00F871F8">
        <w:t xml:space="preserve"> </w:t>
      </w:r>
      <w:r w:rsidR="007B1CDE" w:rsidRPr="00F871F8">
        <w:t>precipitation is directly leveraged for Mn or Fe removal</w:t>
      </w:r>
      <w:r w:rsidR="00743BED" w:rsidRPr="00F871F8">
        <w:t xml:space="preserve"> and remediation of co-occurring contaminants</w:t>
      </w:r>
      <w:r w:rsidR="00D54B02" w:rsidRPr="00F871F8">
        <w:fldChar w:fldCharType="begin"/>
      </w:r>
      <w:r w:rsidR="00432E5F" w:rsidRPr="00F871F8">
        <w:instrText xml:space="preserve"> ADDIN ZOTERO_ITEM CSL_CITATION {"citationID":"J0PAMteu","properties":{"formattedCitation":"\\super 13\\uc0\\u8211{}17\\nosupersub{}","plainCitation":"13–17","noteIndex":0},"citationItems":[{"id":1544,"uris":["http://zotero.org/users/7069502/items/DMK84QSP"],"itemData":{"id":1544,"type":"article-journal","container-title":"Trends in Biotechnology","DOI":"10.1016/j.tibtech.2008.11.002","ISSN":"01677799","issue":"2","journalAbbreviation":"Trends Biotechnol.","language":"en","page":"90-98","source":"DOI.org (Crossref)","title":"Biogenic metals in advanced water treatment","volume":"27","author":[{"family":"Hennebel","given":"Tom"},{"family":"De Gusseme","given":"Bart"},{"family":"Boon","given":"Nico"},{"family":"Verstraete","given":"Willy"}],"issued":{"date-parts":[["2009",2]]}}},{"id":1190,"uris":["http://zotero.org/users/7069502/items/JJ8NWGGQ"],"itemData":{"id":1190,"type":"article-journal","abstract":"Water contains iron (Fe) and manganese (Mn) that can be difficult to remove by singular physico-chemical methods This review paper focuses on the potential of biological aerated filter (BAF) technology for the simultaneous removal of Fe and Mn. It also covers the chemical properties of the respective metals, the causes and effects of high Fe and Mn, and other removal technologies including conventional and advanced treatment methods Surface waters and groundwater aquifers contain concentrations of Fe and Mn above their permitted limits as regulated by the authorities. Thus, the BAF system and its features are believed to have much potential to overcome many of the problems related to Fe and Mn contamination.","container-title":"Journal of Water Process Engineering","DOI":"10.1016/j.jwpe.2018.01.010","ISSN":"2214-7144","journalAbbreviation":"J. Water Process Eng.","language":"en","page":"1-12","source":"ScienceDirect","title":"A review of biological aerated filters for iron and manganese ions removal in water treatment","volume":"23","author":[{"family":"Marsidi","given":"Nuratiqah"},{"family":"Abu Hasan","given":"Hassimi"},{"family":"Sheikh Abdullah","given":"Siti Rozaimah"}],"issued":{"date-parts":[["2018",6,1]]}}},{"id":1167,"uris":["http://zotero.org/users/7069502/items/IF72FFFX"],"itemData":{"id":1167,"type":"article-journal","abstract":"Many global mining activities release large amounts of acidic mine drainage with high levels of manganese (Mn) having potentially detrimental effects on the environment. This review provides a comprehensive assessment of the main implications and challenges of Mn(II) removal from mine drainage. We first present the sources of contamination from mineral processing, as well as the adverse effects of Mn on mining ecosystems. Then the comparison of several techniques to remove Mn(II) from wastewater, as well as an assessment of the challenges associated with precipitation, adsorption, and oxidation/filtration are provided. We also critically analyze remediation options with special emphasis on Mn-oxidizing bacteria (MnOB) and microalgae. Recent literature demonstrates that MnOB can efficiently oxidize dissolved Mn(II) to Mn(III, IV) through enzymatic catalysis. Microalgae can also accelerate Mn(II) oxidation through indirect oxidation by increasing solution pH and dissolved oxygen production during its growth. Microbial oxidation and the removal of Mn(II) have been effective in treating artificial wastewater and groundwater under neutral conditions with adequate oxygen. Compared to physicochemical techniques, the bioremediation of manganese mine drainage without the addition of chemical reagents is relatively inexpensive. However, wastewater from manganese mines is acidic and has low-levels of dissolved oxygen, which inhibit the oxidizing ability of MnOB. We propose an alternative treatment for manganese mine drainage that focuses on the synergistic interactions of Mn in wastewater with co-immobilized MnOB/microalgae.","container-title":"Water","DOI":"10.3390/w11122493","ISSN":"2073-4441","issue":"12","language":"en","license":"http://creativecommons.org/licenses/by/3.0/","note":"number: 12\npublisher: Multidisciplinary Digital Publishing Institute","page":"2493","source":"www.mdpi.com","title":"Removal of Manganese(II) from Acid Mine Wastewater: A Review of the Challenges and Opportunities with Special Emphasis on Mn-Oxidizing Bacteria and Microalgae","title-short":"Removal of Manganese(II) from Acid Mine Wastewater","volume":"11","author":[{"family":"Li","given":"Yongchao"},{"family":"Xu","given":"Zheng"},{"family":"Ma","given":"Hongqing"},{"family":"S. Hursthouse","given":"Andrew"}],"issued":{"date-parts":[["2019",12]]}}},{"id":2270,"uris":["http://zotero.org/users/7069502/items/Z3LA8DLW"],"itemData":{"id":2270,"type":"article-journal","abstract":"Iron, an essential element for virtually all known organisms, serves not only as a micronutrient but also as an energy source for bacteria. Iron-oxidizing microorganisms mediate Fe(II) oxidation under diverse redox conditions, yielding amorphous iron (hydr)oxides or crystalline iron minerals. This globally significant biogeochemical process drives modern iron cycling across terrestrial and aquatic ecosystems. The resulting biomineralization not only produces secondary minerals but also effectively immobilizes heavy metals, offering a sustainable strategy for environmental remediation. This review systematically examines (1) the biogeochemical mechanisms and mineralogical signatures of Fe(II) oxidation by four distinct iron oxidizers: acidophilic aerobes (e.g., Acidithiobacillus), neutrophilic microaerophiles (e.g., Gallionella), nitrate-reducing anaerobes (e.g., Acidovorax), and anoxygenic phototrophs (e.g., Rhodobacter); (2) research advances in heavy metal immobilization by biogenic iron minerals: adsorption, coprecipitation, and structural incorporation; and (3) the impact of pH, temperature, organic matter, and coexisting ions on Fe(II) oxidation efficiency and iron mineral formation by iron-oxidizing bacteria. By characterizing iron-oxidizing bacterial species and their functional processes under varying pH and redox conditions, this study provides critical insights into microbial behaviors driving the evolution of acid mine drainage (AMD).","container-title":"Minerals","DOI":"10.3390/min15080868","ISSN":"2075-163X","issue":"8","language":"en","license":"http://creativecommons.org/licenses/by/3.0/","note":"publisher: Multidisciplinary Digital Publishing Institute","page":"868","source":"www.mdpi.com","title":"Biomineralization Mediated by Iron-Oxidizing Microorganisms: Implication for the Immobilization and Transformation of Heavy Metals in AMD","title-short":"Biomineralization Mediated by Iron-Oxidizing Microorganisms","volume":"15","author":[{"family":"Li","given":"Siyu"},{"family":"Li","given":"Chengcheng"},{"family":"Gao","given":"Xubo"},{"family":"Zhu","given":"Mengyun"},{"family":"Li","given":"Huihui"},{"family":"Wang","given":"Xue"}],"issued":{"date-parts":[["2025",8]]}}},{"id":1251,"uris":["http://zotero.org/users/7069502/items/R5Y9BN59"],"itemData":{"id":1251,"type":"article-journal","container-title":"Mine Water and the Environment","DOI":"10.1007/s10230-016-0417-1","ISSN":"1025-9112, 1616-1068","issue":"1","journalAbbreviation":"Mine Water Environ.","language":"en","page":"133-153","source":"DOI.org (Crossref)","title":"Review of Passive Systems for Acid Mine Drainage Treatment","volume":"36","author":[{"family":"Skousen","given":"Jeff"},{"family":"Zipper","given":"Carl E."},{"family":"Rose","given":"Arthur"},{"family":"Ziemkiewicz","given":"Paul F."},{"family":"Nairn","given":"Robert"},{"family":"McDonald","given":"Louis M."},{"family":"Kleinmann","given":"Robert L."}],"issued":{"date-parts":[["2017",3]]}}}],"schema":"https://github.com/citation-style-language/schema/raw/master/csl-citation.json"} </w:instrText>
      </w:r>
      <w:r w:rsidR="00D54B02" w:rsidRPr="00F871F8">
        <w:fldChar w:fldCharType="separate"/>
      </w:r>
      <w:r w:rsidR="00DD2630" w:rsidRPr="00F871F8">
        <w:rPr>
          <w:vertAlign w:val="superscript"/>
        </w:rPr>
        <w:t>13–17</w:t>
      </w:r>
      <w:r w:rsidR="00D54B02" w:rsidRPr="00F871F8">
        <w:fldChar w:fldCharType="end"/>
      </w:r>
      <w:r w:rsidR="007B1CDE" w:rsidRPr="00F871F8">
        <w:t xml:space="preserve">. </w:t>
      </w:r>
      <w:r w:rsidRPr="00F871F8">
        <w:t>These metal oxides are identifiable by their characteristic colors, which range from ochre to dark brown to black</w:t>
      </w:r>
      <w:r w:rsidRPr="00F871F8">
        <w:fldChar w:fldCharType="begin"/>
      </w:r>
      <w:r w:rsidR="00DD2630" w:rsidRPr="00F871F8">
        <w:instrText xml:space="preserve"> ADDIN ZOTERO_ITEM CSL_CITATION {"citationID":"9AI5GdT1","properties":{"formattedCitation":"\\super 18,19\\nosupersub{}","plainCitation":"18,19","noteIndex":0},"citationItems":[{"id":1918,"uris":["http://zotero.org/users/7069502/items/CJ3J928J"],"itemData":{"id":1918,"type":"article-journal","abstract":"Manganese oxide minerals have been used for thousands of years—by the ancients for pigments and to clarify glass, and today as ores of Mn metal, catalysts, and battery material. More than 30 Mn oxide minerals occur in a wide variety of geological settings. They are major components of Mn nodules that pave huge areas of the ocean floor and bottoms of many fresh-water lakes. Mn oxide minerals are ubiquitous in soils and sediments and participate in a variety of chemical reactions that affect groundwater and bulk soil composition. Their typical occurrence as fine-grained mixtures makes it difficult to study their atomic structures and crystal chemistries. In recent years, however, investigations using transmission electron microscopy and powder x-ray and neutron diffraction methods have provided important new insights into the structures and properties of these materials. The crystal structures for todorokite and birnessite, two of the more common Mn oxide minerals in terrestrial deposits and ocean nodules, were determined by using powder x-ray diffraction data and the Rietveld refinement method. Because of the large tunnels in todorokite and related structures there is considerable interest in the use of these materials and synthetic analogues as catalysts and cation exchange agents. Birnessite-group minerals have layer structures and readily undergo oxidation reduction and cation-exchange reactions and play a major role in controlling groundwater chemistry.","container-title":"Proceedings of the National Academy of Sciences","DOI":"10.1073/pnas.96.7.3447","issue":"7","journalAbbreviation":"Proc. Natl. Acad. Sci. U.S.A.","note":"publisher: Proceedings of the National Academy of Sciences","page":"3447-3454","source":"pnas.org (Atypon)","title":"Manganese oxide minerals: Crystal structures and economic and environmental significance","title-short":"Manganese oxide minerals","volume":"96","author":[{"family":"Post","given":"Jeffrey E."}],"issued":{"date-parts":[["1999",3,30]]}}},{"id":2126,"uris":["http://zotero.org/users/7069502/items/5IEUSSEM"],"itemData":{"id":2126,"type":"book","abstract":"This book brings together in one, compact volume all aspects of the available information about the iron oxides. It presents a coherent, up to date account of the properties, reactions and mechanisms of formation of these compounds. In addition, there are chapters dealing with iron oxides in rocks and soils, as biominerals and as corrosion products together with methods of synthesis and the numerous application of these compounds. Their role in the environment is also discussed. The authors are experts in the field of iron oxides and have worked on all the topics covered. Much recent data from the authors own laboratories is included and opportunities for further research are indicated. Special features are the electron micrographs and colour plates together with the many different spectra used to illustrate properties and aspects of behaviour. Numerous tables and graphs enable trends and relationship to be seen at a glance. The book concludes with an extensive bibliography. This book should prove invaluable to industry and to all researchers who, whatever their background and level of experience, are interested in this rapidly expanding field. It is an essential volume for any scientific library and now, is in its second, completely revised and extended edition.","ISBN":"978-3-527-30274-1","language":"en","note":"Google-Books-ID: dlMuE3_klW4C","number-of-pages":"714","publisher":"John Wiley &amp; Sons","source":"Google Books","title":"The Iron Oxides: Structure, Properties, Reactions, Occurrences and Uses","title-short":"The Iron Oxides","author":[{"family":"Cornell","given":"Rochelle M."},{"family":"Schwertmann","given":"Udo"}],"issued":{"date-parts":[["2003",10,17]]}}}],"schema":"https://github.com/citation-style-language/schema/raw/master/csl-citation.json"} </w:instrText>
      </w:r>
      <w:r w:rsidRPr="00F871F8">
        <w:fldChar w:fldCharType="separate"/>
      </w:r>
      <w:r w:rsidR="00DD2630" w:rsidRPr="00F871F8">
        <w:rPr>
          <w:vertAlign w:val="superscript"/>
        </w:rPr>
        <w:t>18,19</w:t>
      </w:r>
      <w:r w:rsidRPr="00F871F8">
        <w:fldChar w:fldCharType="end"/>
      </w:r>
      <w:r w:rsidRPr="00F871F8">
        <w:t>.</w:t>
      </w:r>
    </w:p>
    <w:p w14:paraId="10FDAAB4" w14:textId="77777777" w:rsidR="004D0CD4" w:rsidRPr="00F871F8" w:rsidRDefault="004D0CD4" w:rsidP="001B0A4E"/>
    <w:p w14:paraId="5B66930D" w14:textId="04407949" w:rsidR="00F054B8" w:rsidRPr="00F871F8" w:rsidRDefault="00000000" w:rsidP="001B0A4E">
      <w:r w:rsidRPr="00F871F8">
        <w:t>The precipitation of metal oxides is commonly facilitated by microorganism</w:t>
      </w:r>
      <w:r w:rsidR="00996AC1" w:rsidRPr="00F871F8">
        <w:t>s</w:t>
      </w:r>
      <w:r w:rsidRPr="00F871F8">
        <w:t xml:space="preserve"> in a process known as biomineralization</w:t>
      </w:r>
      <w:r w:rsidRPr="00F871F8">
        <w:fldChar w:fldCharType="begin"/>
      </w:r>
      <w:r w:rsidR="00DD2630" w:rsidRPr="00F871F8">
        <w:instrText xml:space="preserve"> ADDIN ZOTERO_ITEM CSL_CITATION {"citationID":"dol6oLkF","properties":{"formattedCitation":"\\super 20\\uc0\\u8211{}22\\nosupersub{}","plainCitation":"20–22","noteIndex":0},"citationItems":[{"id":1079,"uris":["http://zotero.org/users/7069502/items/BKTPVETG"],"itemData":{"id":1079,"type":"article-journal","abstract":"Prokaryotes have been shaping the surface of the Earth and impacting geochemical cycles for the past four billion years. Biomineralization, the capacity to form minerals, is a key process by which microbes interact with their environment. While we keep improving our understanding of the mechanisms of this process (“how?”), questions around its functions and adaptive roles (“why?”) have been less intensively investigated. Here, we discuss biomineral functions for several examples of prokaryotic biomineralization systems, and propose a roadmap for the study of microbial biomineralization through the lens of adaptation. We also discuss emerging questions around the potential roles of biomineralization in microbial cooperation and as important components of bioﬁlm architectures. We call for a shift of focus from mechanistic to adaptive aspects of biomineralization, in order to gain a deeper comprehension of how microbial communities function in nature, and improve our understanding of life co-evolution with its mineral environment.","container-title":"Comptes Rendus Géoscience","DOI":"10.5802/crgeos.107","ISSN":"1778-7025","issue":"1","journalAbbreviation":"C. R. Géosci.","language":"en","page":"1-39","source":"DOI.org (Crossref)","title":"Why do microbes make minerals?","volume":"354","author":[{"family":"Cosmidis","given":"Julie"},{"family":"Benzerara","given":"Karim"}],"issued":{"date-parts":[["2022",1,11]]}}},{"id":1070,"uris":["http://zotero.org/users/7069502/items/78ZRPZAP"],"itemData":{"id":1070,"type":"article-journal","abstract":"Biologically induced and controlled mineralization of metals promotes the development of protective structures to shield cells from thermal, chemical, and ultraviolet stresses. Metal biomineralization is widely considered to have been relevant for the survival of life in the environmental conditions of ancient terrestrial oceans. Similar behavior is seen among extremophilic biomineralizers today, which have evolved to inhabit a variety of industrial aqueous environments with elevated metal concentrations. As an example of extreme biomineralization, we introduce the category of “forced biomineralization”, which we use to refer to the biologically mediated sequestration of dissolved metals and metalloids into minerals. We discuss forced mineralization as it is known to be carried out by a variety of organisms, including polyextremophiles in a range of psychrophilic, thermophilic, anaerobic, alkaliphilic, acidophilic, and halophilic conditions, as well as in environments with very high or toxic metal ion concentrations. While much additional work lies ahead to characterize the various pathways by which these biominerals form, forced biomineralization has been shown to provide insights for the progression of extreme biomimetics, allowing for promising new forays into creating the next generation of composites using organic-templating approaches under biologically extreme laboratory conditions relevant to a wide range of industrial conditions.","container-title":"Biomimetics","DOI":"10.3390/biomimetics6030046","ISSN":"2313-7673","issue":"3","journalAbbreviation":"Biomimetics (Basel)","note":"PMID: 34287234\nPMCID: PMC8293141","page":"46","source":"PubMed Central","title":"Forced Biomineralization: A Review","title-short":"Forced Biomineralization","volume":"6","author":[{"family":"Ehrlich","given":"Hermann"},{"family":"Bailey","given":"Elizabeth"},{"family":"Wysokowski","given":"Marcin"},{"family":"Jesionowski","given":"Teofil"}],"issued":{"date-parts":[["2021",7,12]]}}},{"id":1880,"uris":["http://zotero.org/users/7069502/items/3QWTI7XJ"],"itemData":{"id":1880,"type":"article-journal","abstract":"Micro-organisms contribute to Earth’s mineral deposits through a process known as bacteria-induced mineral precipitation (BIMP). It is a complex phenomenon that can occur as a result of a variety of physiological activities that influence the supersaturation state and nucleation catalysis of mineral precipitation in the environment. There is a good understanding of BIMP induced by bacterial metabolism through the control of metal redox states and enzyme-mediated reactions such as ureolysis. However, other forms of BIMP often cannot be attributed to a single pathway but rather appear to be a passive result of bacterial activity, where minerals form as a result of metabolic by-products and surface interactions within the surrounding environment. BIMP from such processes has formed the basis of many new innovative biotechnologies, such as soil consolidation, heavy metal remediation, restoration of historic buildings and even self-healing concrete. However, these applications to date have primarily incorporated BIMP-capable bacteria sampled from the environment, while detailed investigations of the underpinning mechanisms have been lagging behind. This review covers our current mechanistic understanding of bacterial activities that indirectly influence BIMP and highlights the complexity and connectivity between the different cellular and metabolic processes involved. Ultimately, detailed insights will facilitate the rational design of application-specific BIMP technologies and deepen our understanding of how bacteria are shaping our world.","container-title":"Microbiology","DOI":"10.1099/mic.0.001049","ISSN":"1350-0872","issue":"4","journalAbbreviation":"Microbiology","note":"PMID: 33881981\nPMCID: PMC8289221","page":"001049","source":"PubMed Central","title":"Bacteria-induced mineral precipitation: a mechanistic review","title-short":"Bacteria-induced mineral precipitation","volume":"167","author":[{"family":"Hoffmann","given":"Timothy D."},{"family":"Reeksting","given":"Bianca J."},{"family":"Gebhard","given":"Susanne"}],"issued":{"date-parts":[["2021",4,21]]}}}],"schema":"https://github.com/citation-style-language/schema/raw/master/csl-citation.json"} </w:instrText>
      </w:r>
      <w:r w:rsidRPr="00F871F8">
        <w:fldChar w:fldCharType="separate"/>
      </w:r>
      <w:r w:rsidR="00DD2630" w:rsidRPr="00F871F8">
        <w:rPr>
          <w:vertAlign w:val="superscript"/>
        </w:rPr>
        <w:t>20–22</w:t>
      </w:r>
      <w:r w:rsidRPr="00F871F8">
        <w:fldChar w:fldCharType="end"/>
      </w:r>
      <w:r w:rsidRPr="00F871F8">
        <w:t xml:space="preserve">. Numerous Mn-oxidizing bacteria and fungi synthesize multicopper oxidases and peroxidases that catalyze electron transfer from Mn(II) to Mn(III) and Mn(IV) under aerobic conditions, resulting in the precipitation of </w:t>
      </w:r>
      <w:proofErr w:type="spellStart"/>
      <w:r w:rsidRPr="00F871F8">
        <w:t>birnessite</w:t>
      </w:r>
      <w:proofErr w:type="spellEnd"/>
      <w:r w:rsidRPr="00F871F8">
        <w:t>-like Mn(III,</w:t>
      </w:r>
      <w:r w:rsidR="00DF343C" w:rsidRPr="00F871F8">
        <w:t xml:space="preserve"> </w:t>
      </w:r>
      <w:r w:rsidRPr="00F871F8">
        <w:t>IV) oxide minerals</w:t>
      </w:r>
      <w:r w:rsidRPr="00F871F8">
        <w:fldChar w:fldCharType="begin"/>
      </w:r>
      <w:r w:rsidR="00DD2630" w:rsidRPr="00F871F8">
        <w:instrText xml:space="preserve"> ADDIN ZOTERO_ITEM CSL_CITATION {"citationID":"FKFvLwSC","properties":{"formattedCitation":"\\super 2,23,24\\nosupersub{}","plainCitation":"2,23,24","noteIndex":0},"citationItems":[{"id":1241,"uris":["http://zotero.org/users/7069502/items/CPUY5MMC"],"itemData":{"id":1241,"type":"chapter","abstract":"It is difcult to discuss the manganese (Mn) \ncycle in isolation. Manganese is inherently and \nindiscriminately interactive due to the unique \n geochemical characteristics of the various Mn \nspecies. The redox cycling of Mn involves a \nMn(II) antioxidant and both a Mn(III) reactive \nintermediate and Mn(III,IV) oxide mineral, two \nof the strongest oxidants on our planet. Further, \nthe immense reactivity of Mn oxides is responsible for their role and utility as environmental \nsponges (Figure 18.1). Indeed, the cycling of Mn \ncomes to bear on nearly all other elemental cycles \n(spanning nutrients to radionuclides), touches \nevery possible ecological niche (from the soils to \nthe deep ocean and even below), and involves all \ndomains of life (from bacteria to fungi). It must \nbe inferred from the widespread occurrence of \nmanganese-oxidizing and manganese-reducing \nmicroorganisms in terrestrial, freshwater, and \nmarine systems that they play an essential role \nin the cycling of manganese, and therefore, byextension, environmental biogeochemistry in \ngeneral. Though in no way comprehensive (we \nrefer the reader to many informative reviewse.g., Nealson and Saffarini, 1994; Tebo et al., 1997; \nPost, 1999; Morgan, 2000; Tebo et  al., 2004; \nCaneld et  al., 2005; Lovley, 2006; Gadd, 2007; \nSpiro et  al., 2010), this chapter attempts to tell \nthe story of Mn, a story that spans the biological, \nchemical, and geological sciences.","container-title":"Ehrlich's Geomicrobiology","edition":"6","ISBN":"978-0-429-16859-8","note":"number-of-pages: 52","publisher":"CRC Press","title":"Geomicrobiology of Manganese","editor":[{"family":"Ehrlich","given":"Henry Lutz"},{"family":"Newman","given":"Dianne K."},{"family":"Kappler","given":"Andreas"}],"author":[{"family":"Hansel","given":"Colleen M."},{"family":"Learman","given":"Deric R."}],"issued":{"date-parts":[["2015"]]}}},{"id":1131,"uris":["http://zotero.org/users/7069502/items/XL4VXJQR"],"itemData":{"id":1131,"type":"article-journal","abstract":"Manganese(IV) oxides produced through microbial activity, i.e., biogenic Mn oxides or Mn biooxides, are believed to be the most abundant and highly reactive Mn oxide phases in the environment. They mediate redox reactions with organic and inorganic compounds and sequester a variety of metals. The major pathway for bacterial Mn(II) oxidation is enzymatic, and although bacteria that oxidize Mn(II) are phylogenetically diverse, they require a multicopper oxidase-like enzyme to oxidize Mn(II). The oxidation of Mn(II) to Mn(IV) occurs via a soluble or enzyme-complexed Mn(III) intermediate. The primary Mn(IV) biooxide formed is a phyllomanganate most similar to δ-MnO2 or acid birnessite. Metal sequestration by the Mn biooxides occurs predominantly at vacant layer octahedral sites.","container-title":"Annual Review of Earth and Planetary Sciences","DOI":"10.1146/annurev.earth.32.101802.120213","issue":"1","journalAbbreviation":"Annu. Rev. Earth Planet. Sci.","note":"_eprint: https://doi.org/10.1146/annurev.earth.32.101802.120213","page":"287-328","source":"Annual Reviews","title":"Biogenic Manganese Oxides: Properties and Mechanisms of Formation","title-short":"BIOGENIC MANGANESE OXIDES","volume":"32","author":[{"family":"Tebo","given":"Bradley M."},{"family":"Bargar","given":"John R."},{"family":"Clement","given":"Brian G."},{"family":"Dick","given":"Gregory J."},{"family":"Murray","given":"Karen J."},{"family":"Parker","given":"Dorothy"},{"family":"Verity","given":"Rebecca"},{"family":"Webb","given":"Samuel M."}],"issued":{"date-parts":[["2004"]]}}},{"id":1075,"uris":["http://zotero.org/users/7069502/items/EDHZ6JIU"],"itemData":{"id":1075,"type":"article-journal","abstract":"Mn(II)-oxidizing microbes have an integral role in the biogeochemical cycling of manganese, iron, nitrogen, carbon, sulfur, and several nutrients and trace metals. There is great interest in mechanistically understanding these cycles and defining the importance of Mn(II)-oxidizing bacteria in modern and ancient geochemical environments. Linking Mn(II) oxidation to cellular function, although still enigmatic, continues to drive efforts to characterize manganese biomineralization. Recently, complexed-Mn(III) has been shown to be a transient intermediate in Mn(II) oxidation to Mn(IV), suggesting that the reaction might involve a unique multicopper oxidase system capable of a two-electron oxidation of the substrate. In biogenic and abiotic synthesis experiments, the application of synchrotron-based X-ray scattering and spectroscopic techniques has significantly increased our understanding of the oxidation state and relatively amorphous structure (i.e. δ–MnO2-like) of biogenic oxides, providing a new blueprint for the structural signature of biogenic Mn oxides.","container-title":"Trends in Microbiology","DOI":"10.1016/j.tim.2005.07.009","ISSN":"0966-842X","issue":"9","journalAbbreviation":"Trends Microbiol.","language":"en","page":"421-428","source":"ScienceDirect","title":"Geomicrobiology of manganese(II) oxidation","volume":"13","author":[{"family":"Tebo","given":"Bradley M."},{"family":"Johnson","given":"Hope A."},{"family":"McCarthy","given":"James K."},{"family":"Templeton","given":"Alexis S."}],"issued":{"date-parts":[["2005",9,1]]}}}],"schema":"https://github.com/citation-style-language/schema/raw/master/csl-citation.json"} </w:instrText>
      </w:r>
      <w:r w:rsidRPr="00F871F8">
        <w:fldChar w:fldCharType="separate"/>
      </w:r>
      <w:r w:rsidR="00DD2630" w:rsidRPr="00F871F8">
        <w:rPr>
          <w:vertAlign w:val="superscript"/>
        </w:rPr>
        <w:t>2,23,24</w:t>
      </w:r>
      <w:r w:rsidRPr="00F871F8">
        <w:fldChar w:fldCharType="end"/>
      </w:r>
      <w:r w:rsidRPr="00F871F8">
        <w:t xml:space="preserve">. Additionally, diverse </w:t>
      </w:r>
      <w:r w:rsidR="00996AC1" w:rsidRPr="00F871F8">
        <w:t>Fe</w:t>
      </w:r>
      <w:r w:rsidRPr="00F871F8">
        <w:t>-oxidizing bacteria</w:t>
      </w:r>
      <w:r w:rsidR="00AC6F30" w:rsidRPr="00F871F8">
        <w:t xml:space="preserve"> </w:t>
      </w:r>
      <w:r w:rsidRPr="00F871F8">
        <w:t xml:space="preserve">enzymatically oxidize Fe(II) to Fe(III) in circumneutral or acidic </w:t>
      </w:r>
      <w:r w:rsidR="00E47017" w:rsidRPr="00F871F8">
        <w:t xml:space="preserve">environments </w:t>
      </w:r>
      <w:r w:rsidRPr="00F871F8">
        <w:t xml:space="preserve">limited in oxygen, </w:t>
      </w:r>
      <w:r w:rsidR="00011963" w:rsidRPr="00F871F8">
        <w:t xml:space="preserve">producing </w:t>
      </w:r>
      <w:r w:rsidRPr="00F871F8">
        <w:t xml:space="preserve">Fe(II, III) </w:t>
      </w:r>
      <w:r w:rsidR="00DF343C" w:rsidRPr="00F871F8">
        <w:t>(</w:t>
      </w:r>
      <w:proofErr w:type="spellStart"/>
      <w:r w:rsidR="00DF343C" w:rsidRPr="00F871F8">
        <w:t>oxyhydr</w:t>
      </w:r>
      <w:proofErr w:type="spellEnd"/>
      <w:r w:rsidR="00DF343C" w:rsidRPr="00F871F8">
        <w:t>)oxides</w:t>
      </w:r>
      <w:r w:rsidR="00B72939" w:rsidRPr="00F871F8">
        <w:t>,</w:t>
      </w:r>
      <w:r w:rsidRPr="00F871F8">
        <w:t xml:space="preserve"> including ferrihydrite and magnetite</w:t>
      </w:r>
      <w:r w:rsidRPr="00F871F8">
        <w:fldChar w:fldCharType="begin"/>
      </w:r>
      <w:r w:rsidR="00DD2630" w:rsidRPr="00F871F8">
        <w:instrText xml:space="preserve"> ADDIN ZOTERO_ITEM CSL_CITATION {"citationID":"ZqQ6aMrF","properties":{"formattedCitation":"\\super 25\\uc0\\u8211{}28\\nosupersub{}","plainCitation":"25–28","noteIndex":0},"citationItems":[{"id":1875,"uris":["http://zotero.org/users/7069502/items/QKP39CX9"],"itemData":{"id":1875,"type":"chapter","abstract":"Iron is the fourth most abundant element in the \nEarth’s crust and the most abundant element in \nthe Earth as a whole. Its average concentration in \nthe crust has been estimated to be approximately \n5.0% (Rankama and Sahama, 1950). It is found \nin a number of minerals in rocks, soil, and sediments. Table 17.1 lists minerals in which iron is a \nmajor structural component.","container-title":"Ehrlich's Geomicrobiology","edition":"6","ISBN":"978-0-429-16859-8","note":"number-of-pages: 58","publisher":"CRC Press","title":"Geomicrobiology of Iron","editor":[{"family":"Ehrlich","given":"Henry Lutz"},{"family":"Newman","given":"Dianne K."},{"family":"Kappler","given":"Andreas"}],"author":[{"family":"Kappler","given":"Andreas"},{"family":"Emerson","given":"David"},{"family":"Gralnick","given":"Jeffrey A."},{"family":"Roden","given":"Eric E."},{"family":"Muehe","given":"E. Marie"}],"issued":{"date-parts":[["2015"]]}}},{"id":1984,"uris":["http://zotero.org/users/7069502/items/TG9NTBI8"],"itemData":{"id":1984,"type":"article-journal","abstract":"In the 1830s, iron bacteria were among the first groups of microbes to be recognized for carrying out a fundamental geological process, namely the oxidation of iron. Due to lingering questions about their metabolism, coupled with difficulties in culturing important community members, studies of Fe-oxidizing bacteria (FeOB) have lagged behind those of other important microbial lithotrophic metabolisms. Recently, research on lithotrophic, oxygen-dependent FeOB that grow at circumneutral pH has accelerated. This work is driven by several factors including the recognition by both microbiologists and geoscientists of the role FeOB play in the biogeochemistry of iron and other elements. The isolation of new strains of obligate FeOB allowed a better understanding of their physiology and phylogeny and the realization that FeOB are abundant at certain deep-sea hydrothermal vents. These ancient microorganisms offer new opportunities to learn about fundamental biological processes that can be of practical importance.","container-title":"Annual Review of Microbiology","DOI":"10.1146/annurev.micro.112408.134208","ISSN":"0066-4227, 1545-3251","journalAbbreviation":"Annu. Rev. Microbiol.","language":"en","note":"publisher: Annual Reviews","page":"561-583","source":"www.annualreviews.org","title":"Iron-Oxidizing Bacteria: An Environmental and Genomic Perspective","title-short":"Iron-Oxidizing Bacteria","volume":"64","author":[{"family":"Emerson","given":"David"},{"family":"Fleming","given":"Emily J."},{"family":"McBeth","given":"Joyce M."}],"issued":{"date-parts":[["2010",10,13]]}}},{"id":1896,"uris":["http://zotero.org/users/7069502/items/8MV56YJ9"],"itemData":{"id":1896,"type":"article-journal","abstract":"Iron cycling in the Earth's crust depends on redox reactions, which often trigger the precipitation and dissolution of Fe-rich minerals. Microbial activity is also an integral part of iron cycling, through carbon fixation, respiration and passive sorption reactions. Iron oxides formed in close association with bacteria (either as internal or external precipitates) are referred to as biogenic minerals. They form in several types of environments on Earth, from freshwater to marine systems, aquifers, soils and mining impacted systems. Biogenic iron oxides generally occur as nanocrystals and show a wide range of morphology and mineralogy. These minerals form as a result of the direct metabolic activity of bacteria or as a result of passive sorption and nucleation reactions. The metabolic activity of acidophilic and neutrophilic iron-oxidizing bacteria under oxic conditions promotes the oxidation of Fe(II) to Fe(III) and the precipitation of biogenic iron oxides as extracellular precipitates near or on the bacterial cells. Iron oxidation under anoxic conditions can also occur, as a result of the activity of nitrate-reducers and photoautotrophic bacteria using Fe(II) as an electron donor. Secondary Fe-oxide formation has been reported during the microbial reduction of iron oxides. Passive Fe sorption and nucleation onto bacterial cell walls represents another important mechanism leading to iron oxide formation. The surface reactivity of the bacterial surface under environmental pH conditions confers a net negative charge to the cell wall, which leads to the binding of soluble iron and eventually to the precipitation of iron oxides under saturation conditions. Extracellular polymers produced by bacteria can act as a template for iron sorption and Fe-oxide nucleation. Intracellular iron oxide formation has been observed in natural environments. Magnetotactic bacteria produce intracellular magnetosomes, occurring as chains of magnetite crystals within the cells, and an unidentified iron-rich mineral phase forms inside Shewanella cells during the anaerobic reduction of ferrihydrite. Several studies have clearly shown that biogenic iron oxides form in present-day environments, but they might also be important components of ancient geological formations, such as banded-iron formations (BIF). BIF formation is still being debated, but there is now strong evidence that bacteria, more specifically, phototrophic iron oxidizers and possibly iron reducers might have been involved. Biogenic iron oxides represent a potential tool in the search for past and present life on Earth and other planetary systems. Despite the promising use of Fe-isotopes and magnetosomes, there is still no clear proof that they can form only as a result of biological activity. In fact, Fe isotope fractionation of abiotic iron oxides is often similar to that of biogenic oxides and the specific mineralogical characteristics of magnetite crystals present inside magnetotactic bacteria can be reproduced under abiotic conditions. In summary, the role of bacteria in iron cycling has been the focus of several studies in the last few decades, but clearly, more research is needed in order to fully assess the role of microorganisms in their formation.","container-title":"Earth-Science Reviews","DOI":"10.1016/j.earscirev.2005.03.002","ISSN":"0012-8252","issue":"1","journalAbbreviation":"Earth-Sci. Rev.","page":"1-19","source":"ScienceDirect","title":"Formation and occurrence of biogenic iron-rich minerals","volume":"72","author":[{"family":"Fortin","given":"Danielle"},{"family":"Langley","given":"Sean"}],"issued":{"date-parts":[["2005",9,1]]}}},{"id":1882,"uris":["http://zotero.org/users/7069502/items/N4Z4TFR9"],"itemData":{"id":1882,"type":"article-journal","abstract":"Transmission electron microscopy examination of bacterial cells, growing naturally in freshwater and marine environments, reveals that they can precipitate a variety of iron minerals. The development of these authigenic mineral phases may be either `biologically controlled', whereby the cell regulates mineral formation, or `biologically induced', with biominerals commonly generated as secondary by-products of microbe-environment interactions. With the vast majority of bacteria biomineralisation is a two-step process; initially metals are electrostatically bound to the anionic surfaces of the cell wall and surrounding organic polymers, where they subsequently serve as nucleation sites for crystal growth. Because of its relatively high activity in aqueous solutions, iron is preferentially bound to reactive organic sites. As the latter stages of mineralisation are inorganically driven, the type of iron mineral formed is inevitably dependent on the available counter-ions, and hence, the chemical composition of the waters in which the microorganisms are growing.","container-title":"FEMS Microbiology Reviews","DOI":"10.1016/S0168-6445(97)00014-4","ISSN":"0168-6445","issue":"3","journalAbbreviation":"FEMS Microbiol. Rev.","page":"315-326","source":"ScienceDirect","title":"Bacterial iron biomineralisation in nature","volume":"20","author":[{"family":"Konhauser","given":"Kurt O"}],"issued":{"date-parts":[["1997",7,1]]}}}],"schema":"https://github.com/citation-style-language/schema/raw/master/csl-citation.json"} </w:instrText>
      </w:r>
      <w:r w:rsidRPr="00F871F8">
        <w:fldChar w:fldCharType="separate"/>
      </w:r>
      <w:r w:rsidR="00DD2630" w:rsidRPr="00F871F8">
        <w:rPr>
          <w:vertAlign w:val="superscript"/>
        </w:rPr>
        <w:t>25–28</w:t>
      </w:r>
      <w:r w:rsidRPr="00F871F8">
        <w:fldChar w:fldCharType="end"/>
      </w:r>
      <w:r w:rsidRPr="00F871F8">
        <w:t xml:space="preserve">. These biogenic </w:t>
      </w:r>
      <w:r w:rsidR="000A1D57" w:rsidRPr="00F871F8">
        <w:t xml:space="preserve">minerals </w:t>
      </w:r>
      <w:r w:rsidRPr="00F871F8">
        <w:t>precipitate adjacent to cell surfaces and accumulate on extracellular polymers, sheaths, and other cellular structures, forming microbe-mineral assemblages</w:t>
      </w:r>
      <w:r w:rsidRPr="00F871F8">
        <w:fldChar w:fldCharType="begin"/>
      </w:r>
      <w:r w:rsidR="00DD2630" w:rsidRPr="00F871F8">
        <w:instrText xml:space="preserve"> ADDIN ZOTERO_ITEM CSL_CITATION {"citationID":"iNarQnkY","properties":{"formattedCitation":"\\super 2,23,25,27,29,30\\nosupersub{}","plainCitation":"2,23,25,27,29,30","noteIndex":0},"citationItems":[{"id":1131,"uris":["http://zotero.org/users/7069502/items/XL4VXJQR"],"itemData":{"id":1131,"type":"article-journal","abstract":"Manganese(IV) oxides produced through microbial activity, i.e., biogenic Mn oxides or Mn biooxides, are believed to be the most abundant and highly reactive Mn oxide phases in the environment. They mediate redox reactions with organic and inorganic compounds and sequester a variety of metals. The major pathway for bacterial Mn(II) oxidation is enzymatic, and although bacteria that oxidize Mn(II) are phylogenetically diverse, they require a multicopper oxidase-like enzyme to oxidize Mn(II). The oxidation of Mn(II) to Mn(IV) occurs via a soluble or enzyme-complexed Mn(III) intermediate. The primary Mn(IV) biooxide formed is a phyllomanganate most similar to δ-MnO2 or acid birnessite. Metal sequestration by the Mn biooxides occurs predominantly at vacant layer octahedral sites.","container-title":"Annual Review of Earth and Planetary Sciences","DOI":"10.1146/annurev.earth.32.101802.120213","issue":"1","journalAbbreviation":"Annu. Rev. Earth Planet. Sci.","note":"_eprint: https://doi.org/10.1146/annurev.earth.32.101802.120213","page":"287-328","source":"Annual Reviews","title":"Biogenic Manganese Oxides: Properties and Mechanisms of Formation","title-short":"BIOGENIC MANGANESE OXIDES","volume":"32","author":[{"family":"Tebo","given":"Bradley M."},{"family":"Bargar","given":"John R."},{"family":"Clement","given":"Brian G."},{"family":"Dick","given":"Gregory J."},{"family":"Murray","given":"Karen J."},{"family":"Parker","given":"Dorothy"},{"family":"Verity","given":"Rebecca"},{"family":"Webb","given":"Samuel M."}],"issued":{"date-parts":[["2004"]]}}},{"id":1241,"uris":["http://zotero.org/users/7069502/items/CPUY5MMC"],"itemData":{"id":1241,"type":"chapter","abstract":"It is difcult to discuss the manganese (Mn) \ncycle in isolation. Manganese is inherently and \nindiscriminately interactive due to the unique \n geochemical characteristics of the various Mn \nspecies. The redox cycling of Mn involves a \nMn(II) antioxidant and both a Mn(III) reactive \nintermediate and Mn(III,IV) oxide mineral, two \nof the strongest oxidants on our planet. Further, \nthe immense reactivity of Mn oxides is responsible for their role and utility as environmental \nsponges (Figure 18.1). Indeed, the cycling of Mn \ncomes to bear on nearly all other elemental cycles \n(spanning nutrients to radionuclides), touches \nevery possible ecological niche (from the soils to \nthe deep ocean and even below), and involves all \ndomains of life (from bacteria to fungi). It must \nbe inferred from the widespread occurrence of \nmanganese-oxidizing and manganese-reducing \nmicroorganisms in terrestrial, freshwater, and \nmarine systems that they play an essential role \nin the cycling of manganese, and therefore, byextension, environmental biogeochemistry in \ngeneral. Though in no way comprehensive (we \nrefer the reader to many informative reviewse.g., Nealson and Saffarini, 1994; Tebo et al., 1997; \nPost, 1999; Morgan, 2000; Tebo et  al., 2004; \nCaneld et  al., 2005; Lovley, 2006; Gadd, 2007; \nSpiro et  al., 2010), this chapter attempts to tell \nthe story of Mn, a story that spans the biological, \nchemical, and geological sciences.","container-title":"Ehrlich's Geomicrobiology","edition":"6","ISBN":"978-0-429-16859-8","note":"number-of-pages: 52","publisher":"CRC Press","title":"Geomicrobiology of Manganese","editor":[{"family":"Ehrlich","given":"Henry Lutz"},{"family":"Newman","given":"Dianne K."},{"family":"Kappler","given":"Andreas"}],"author":[{"family":"Hansel","given":"Colleen M."},{"family":"Learman","given":"Deric R."}],"issued":{"date-parts":[["2015"]]}}},{"id":1875,"uris":["http://zotero.org/users/7069502/items/QKP39CX9"],"itemData":{"id":1875,"type":"chapter","abstract":"Iron is the fourth most abundant element in the \nEarth’s crust and the most abundant element in \nthe Earth as a whole. Its average concentration in \nthe crust has been estimated to be approximately \n5.0% (Rankama and Sahama, 1950). It is found \nin a number of minerals in rocks, soil, and sediments. Table 17.1 lists minerals in which iron is a \nmajor structural component.","container-title":"Ehrlich's Geomicrobiology","edition":"6","ISBN":"978-0-429-16859-8","note":"number-of-pages: 58","publisher":"CRC Press","title":"Geomicrobiology of Iron","editor":[{"family":"Ehrlich","given":"Henry Lutz"},{"family":"Newman","given":"Dianne K."},{"family":"Kappler","given":"Andreas"}],"author":[{"family":"Kappler","given":"Andreas"},{"family":"Emerson","given":"David"},{"family":"Gralnick","given":"Jeffrey A."},{"family":"Roden","given":"Eric E."},{"family":"Muehe","given":"E. Marie"}],"issued":{"date-parts":[["2015"]]}}},{"id":1896,"uris":["http://zotero.org/users/7069502/items/8MV56YJ9"],"itemData":{"id":1896,"type":"article-journal","abstract":"Iron cycling in the Earth's crust depends on redox reactions, which often trigger the precipitation and dissolution of Fe-rich minerals. Microbial activity is also an integral part of iron cycling, through carbon fixation, respiration and passive sorption reactions. Iron oxides formed in close association with bacteria (either as internal or external precipitates) are referred to as biogenic minerals. They form in several types of environments on Earth, from freshwater to marine systems, aquifers, soils and mining impacted systems. Biogenic iron oxides generally occur as nanocrystals and show a wide range of morphology and mineralogy. These minerals form as a result of the direct metabolic activity of bacteria or as a result of passive sorption and nucleation reactions. The metabolic activity of acidophilic and neutrophilic iron-oxidizing bacteria under oxic conditions promotes the oxidation of Fe(II) to Fe(III) and the precipitation of biogenic iron oxides as extracellular precipitates near or on the bacterial cells. Iron oxidation under anoxic conditions can also occur, as a result of the activity of nitrate-reducers and photoautotrophic bacteria using Fe(II) as an electron donor. Secondary Fe-oxide formation has been reported during the microbial reduction of iron oxides. Passive Fe sorption and nucleation onto bacterial cell walls represents another important mechanism leading to iron oxide formation. The surface reactivity of the bacterial surface under environmental pH conditions confers a net negative charge to the cell wall, which leads to the binding of soluble iron and eventually to the precipitation of iron oxides under saturation conditions. Extracellular polymers produced by bacteria can act as a template for iron sorption and Fe-oxide nucleation. Intracellular iron oxide formation has been observed in natural environments. Magnetotactic bacteria produce intracellular magnetosomes, occurring as chains of magnetite crystals within the cells, and an unidentified iron-rich mineral phase forms inside Shewanella cells during the anaerobic reduction of ferrihydrite. Several studies have clearly shown that biogenic iron oxides form in present-day environments, but they might also be important components of ancient geological formations, such as banded-iron formations (BIF). BIF formation is still being debated, but there is now strong evidence that bacteria, more specifically, phototrophic iron oxidizers and possibly iron reducers might have been involved. Biogenic iron oxides represent a potential tool in the search for past and present life on Earth and other planetary systems. Despite the promising use of Fe-isotopes and magnetosomes, there is still no clear proof that they can form only as a result of biological activity. In fact, Fe isotope fractionation of abiotic iron oxides is often similar to that of biogenic oxides and the specific mineralogical characteristics of magnetite crystals present inside magnetotactic bacteria can be reproduced under abiotic conditions. In summary, the role of bacteria in iron cycling has been the focus of several studies in the last few decades, but clearly, more research is needed in order to fully assess the role of microorganisms in their formation.","container-title":"Earth-Science Reviews","DOI":"10.1016/j.earscirev.2005.03.002","ISSN":"0012-8252","issue":"1","journalAbbreviation":"Earth-Sci. Rev.","page":"1-19","source":"ScienceDirect","title":"Formation and occurrence of biogenic iron-rich minerals","volume":"72","author":[{"family":"Fortin","given":"Danielle"},{"family":"Langley","given":"Sean"}],"issued":{"date-parts":[["2005",9,1]]}}},{"id":1703,"uris":["http://zotero.org/users/7069502/items/BEMHQKYE"],"itemData":{"id":1703,"type":"article-journal","abstract":"ABSTRACT\n            \n              Pseudomonas putida\n              strain MnB1, a biofilm-forming bacterial culture, was used as a model for the study of bacterial Mn oxidation in freshwater and soil environments. The oxidation of aqueous Mn\n              +2\n              [Mn\n              +2\n              (aq)\n              ] by\n              P. putida\n              was characterized by spatially and temporally resolving the oxidation state of Mn in the presence of a bacterial biofilm, using scanning transmission X-ray microscopy (STXM) combined with near-edge X-ray absorption fine structure (NEXAFS) spectroscopy at the Mn L\n              2,3\n              absorption edges. Subsamples were collected from growth flasks containing 0.1 and 1 mM total Mn at 16, 24, 36, and 48 h after inoculation. Immediately after collection, the unprocessed hydrated subsamples were imaged at a 40-nm resolution. Manganese NEXAFS spectra were extracted from X-ray energy sequences of STXM images (stacks) and fit with linear combinations of well-characterized reference spectra to obtain quantitative relative abundances of Mn(II), Mn(III), and Mn(IV). Careful consideration was given to uncertainty in the normalization of the reference spectra, choice of reference compounds, and chemical changes due to radiation damage. The STXM results confirm that Mn\n              +2\n              (aq)\n              was removed from solution by\n              P. putida\n              and was concentrated as Mn(III) and Mn(IV) immediately adjacent to the bacterial cells. The Mn precipitates were completely enveloped by bacterial biofilm material. The distribution of Mn oxidation states was spatially heterogeneous within and between the clusters of bacterial cells. Scanning transmission X-ray microscopy is a promising tool for advancing the study of hydrated interfaces between minerals and bacteria, particularly in cases where the structure of bacterial biofilms needs to be maintained.","container-title":"Applied and Environmental Microbiology","DOI":"10.1128/AEM.71.3.1300-1310.2005","ISSN":"0099-2240, 1098-5336","issue":"3","journalAbbreviation":"Appl. Environ. Microbiol.","language":"en","page":"1300-1310","source":"DOI.org (Crossref)","title":"Spatially Resolved Characterization of Biogenic Manganese Oxide Production within a Bacterial Biofilm","volume":"71","author":[{"family":"Toner","given":"Brandy"},{"family":"Fakra","given":"Sirine"},{"family":"Villalobos","given":"Mario"},{"family":"Warwick","given":"Tony"},{"family":"Sposito","given":"Garrison"}],"issued":{"date-parts":[["2005",3]]}}},{"id":1893,"uris":["http://zotero.org/users/7069502/items/V8IUBGYZ"],"itemData":{"id":1893,"type":"article-journal","abstract":"Iron oxidation at neutral pH by the phototrophic anaerobic iron-oxidizing bacterium Rhodobacter sp. strain SW2 leads to the formation of iron-rich minerals. These minerals consist mainly of nano-goethite (α-FeOOH), which precipitates exclusively outside cells, mostly on polymer fibers emerging from the cells. Scanning transmission X-ray microscopy analyses performed at the C K-edge suggest that these fibers are composed of a mixture of lipids and polysaccharides or of lipopolysaccharides. The iron and the organic carbon contents of these fibers are linearly correlated at the 25-nm scale, which in addition to their texture suggests that these fibers act as a template for mineral precipitation, followed by limited crystal growth. Moreover, we evidence a gradient of the iron oxidation state along the mineralized fibers at the submicrometer scale. Fe minerals on these fibers contain a higher proportion of Fe(III) at cell contact, and the proportion of Fe(II) increases at a distance from the cells. All together, these results demonstrate the primordial role of organic polymers in iron biomineralization and provide first evidence for the existence of a redox gradient around these nonencrusting, Fe-oxidizing bacteria.","container-title":"Applied and Environmental Microbiology","DOI":"10.1128/AEM.00490-09","ISSN":"0099-2240","issue":"17","journalAbbreviation":"Appl. Environ. Microbiol.","note":"PMID: 19592528\nPMCID: PMC2737918","page":"5586-5591","source":"PubMed Central","title":"Extracellular Iron Biomineralization by Photoautotrophic Iron-Oxidizing Bacteria","volume":"75","author":[{"family":"Miot","given":"Jennyfer"},{"family":"Benzerara","given":"Karim"},{"family":"Obst","given":"Martin"},{"family":"Kappler","given":"Andreas"},{"family":"Hegler","given":"Florian"},{"family":"Schädler","given":"Sebastian"},{"family":"Bouchez","given":"Camille"},{"family":"Guyot","given":"François"},{"family":"Morin","given":"Guillaume"}],"issued":{"date-parts":[["2009",9]]}}}],"schema":"https://github.com/citation-style-language/schema/raw/master/csl-citation.json"} </w:instrText>
      </w:r>
      <w:r w:rsidRPr="00F871F8">
        <w:fldChar w:fldCharType="separate"/>
      </w:r>
      <w:r w:rsidR="00DD2630" w:rsidRPr="00F871F8">
        <w:rPr>
          <w:vertAlign w:val="superscript"/>
        </w:rPr>
        <w:t>2,23,25,27,29,30</w:t>
      </w:r>
      <w:r w:rsidRPr="00F871F8">
        <w:fldChar w:fldCharType="end"/>
      </w:r>
      <w:r w:rsidRPr="00F871F8">
        <w:t xml:space="preserve">. </w:t>
      </w:r>
    </w:p>
    <w:p w14:paraId="1F8A8078" w14:textId="77777777" w:rsidR="004D0CD4" w:rsidRPr="00F871F8" w:rsidRDefault="004D0CD4" w:rsidP="001B0A4E"/>
    <w:p w14:paraId="439B01DD" w14:textId="635B9AB4" w:rsidR="004D0CD4" w:rsidRPr="00F871F8" w:rsidRDefault="00000000" w:rsidP="001B0A4E">
      <w:r w:rsidRPr="00F871F8">
        <w:t xml:space="preserve">Despite the ubiquity of </w:t>
      </w:r>
      <w:r w:rsidR="00A93DC0" w:rsidRPr="00F871F8">
        <w:t xml:space="preserve">Mn and Fe </w:t>
      </w:r>
      <w:r w:rsidRPr="00F871F8">
        <w:t>biomineralization</w:t>
      </w:r>
      <w:r w:rsidR="00565F3A" w:rsidRPr="00F871F8">
        <w:t xml:space="preserve"> in </w:t>
      </w:r>
      <w:r w:rsidR="008A17DD" w:rsidRPr="00F871F8">
        <w:t>complex</w:t>
      </w:r>
      <w:r w:rsidR="00565F3A" w:rsidRPr="00F871F8">
        <w:t xml:space="preserve"> environments</w:t>
      </w:r>
      <w:r w:rsidRPr="00F871F8">
        <w:t xml:space="preserve">, pore-scale insights are lacking. </w:t>
      </w:r>
      <w:r w:rsidR="00D46372" w:rsidRPr="00F871F8">
        <w:t xml:space="preserve">Pore </w:t>
      </w:r>
      <w:r w:rsidRPr="00F871F8">
        <w:t xml:space="preserve">spaces are structurally </w:t>
      </w:r>
      <w:r w:rsidR="002565CA" w:rsidRPr="00F871F8">
        <w:t>heterogeneous</w:t>
      </w:r>
      <w:r w:rsidRPr="00F871F8">
        <w:t>, exhibiting preferential fluid flow and nonuniform reactant transport that dictate the distribution of biogeochemical reactions</w:t>
      </w:r>
      <w:r w:rsidRPr="00F871F8">
        <w:fldChar w:fldCharType="begin"/>
      </w:r>
      <w:r w:rsidR="00DD2630" w:rsidRPr="00F871F8">
        <w:instrText xml:space="preserve"> ADDIN ZOTERO_ITEM CSL_CITATION {"citationID":"K3l9fBS7","properties":{"formattedCitation":"\\super 31\\uc0\\u8211{}35\\nosupersub{}","plainCitation":"31–35","noteIndex":0},"citationItems":[{"id":1412,"uris":["http://zotero.org/users/7069502/items/TCMS33AU"],"itemData":{"id":1412,"type":"article-journal","container-title":"Biofouling","DOI":"10.1080/08927014.2013.828284","ISSN":"0892-7014, 1029-2454","issue":"9","journalAbbreviation":"Biofouling","language":"en","page":"1069-1086","source":"DOI.org (Crossref)","title":"Biofilm development and the dynamics of preferential flow paths in porous media","volume":"29","author":[{"family":"Bottero","given":"Simona"},{"family":"Storck","given":"Tomas"},{"family":"Heimovaara","given":"Timo J."},{"family":"Loosdrecht","given":"Mark C.M.","non-dropping-particle":"van"},{"family":"Enzien","given":"Michael V."},{"family":"Picioreanu","given":"Cristian"}],"issued":{"date-parts":[["2013",10]]}}},{"id":1411,"uris":["http://zotero.org/users/7069502/items/ZRH9D4HI"],"itemData":{"id":1411,"type":"article-journal","abstract":"Geological media exhibit heterogeneities in their hydraulic and chemical properties, which can lead to enhanced spreading and mixing of the transported species and induce an effective reaction behavior that is different from the one for a homogeneous medium. Chemical heterogeneities such as spatially varying adsorption properties and speciﬁc reactive surface areas can act directly on the chemical reaction dynamics and lead to different effective reaction laws. Physical heterogeneities affect mixing-limited chemical reactions in an indirect way by their impact on spreading and mixing of dissolved species. To understand and model largescale reactive transport the interactions of these coupled processes need to be understood and quantiﬁed. This paper provides a brief review on approaches of non-reactive and reactive transport modeling in geological media.","container-title":"Journal of Contaminant Hydrology","DOI":"10.1016/j.jconhyd.2010.05.002","ISSN":"01697722","journalAbbreviation":"J. Contam. Hydrol.","language":"en","page":"1-17","source":"DOI.org (Crossref)","title":"Mixing, spreading and reaction in heterogeneous media: A brief review","title-short":"Mixing, spreading and reaction in heterogeneous media","volume":"120-121","author":[{"family":"Dentz","given":"Marco"},{"family":"Le Borgne","given":"Tanguy"},{"family":"Englert","given":"Andreas"},{"family":"Bijeljic","given":"Branko"}],"issued":{"date-parts":[["2011",3]]}}},{"id":1720,"uris":["http://zotero.org/users/7069502/items/BNJ9IFGU"],"itemData":{"id":1720,"type":"article-journal","container-title":"Journal of Plant Nutrition and Soil Science","DOI":"10.1002/jpln.200521955","ISSN":"1436-8730, 1522-2624","issue":"3","journalAbbreviation":"J. Plant Nutr. Soil Sci.","language":"en","page":"382-400","source":"DOI.org (Crossref)","title":"Preferential flow descriptions for structured soils","volume":"169","author":[{"family":"Gerke","given":"Horst H."}],"issued":{"date-parts":[["2006",6]]}}},{"id":1080,"uris":["http://zotero.org/users/7069502/items/JNT4PY7A"],"itemData":{"id":1080,"type":"article-journal","abstract":"Microorganisms capable of biomineralization can catalyze mineral precipitation by modifying local physical and chemical conditions. In porous media, such as soil and rock, these microorganisms live and function in highly heterogeneous physical, chemical and ecological microenvironments, with strong local gradients created by both microbial activity and the pore-scale structure of the subsurface. Here, we focus on extracellular bacterial biomineralization, which is sensitive to external heterogeneity, and review the pore-scale processes controlling microbial biomineralization in natural and engineered porous media. We discuss how individual physical, chemical and ecological factors integrate to affect the spatial and temporal control of biomineralization, and how each of these factors contributes to a quantitative understanding of biomineralization in porous media. We find that an improved understanding of microbial behavior in heterogeneous microenvironments would promote understanding of natural systems and output in diverse technological applications, including improved representation and control of fluid mixing from pore to field scales. We suggest a range of directions by which future work can build from existing tools to advance each of these areas to improve understanding and predictability of biomineralization science and technology.","container-title":"Reviews in Environmental Science and Bio/Technology","DOI":"10.1007/s11157-021-09603-y","ISSN":"1572-9826","issue":"1","journalAbbreviation":"Rev. Environ. Sci. Biotechnol.","language":"en","page":"27-52","source":"Springer Link","title":"Controlling pore-scale processes to tame subsurface biomineralization","volume":"21","author":[{"family":"Jimenez-Martinez","given":"Joaquin"},{"family":"Nguyen","given":"Jen"},{"family":"Or","given":"Dani"}],"issued":{"date-parts":[["2022",3,1]]}}},{"id":1694,"uris":["http://zotero.org/users/7069502/items/MG3UW2RM"],"itemData":{"id":1694,"type":"article-journal","abstract":"The immense diversity of microbial life found in the vadose zone reﬂects the extremely heterogeneous and highly dynamic aquatic and chemical environments formed within soil pore spaces. The notion of planktonian free swimming microbes is unrealistic under most unsaturated conditions. Experimental and theoretical evidence suggests that surface attachment is the prevailing lifestyle, where bacterial colonies are embedded in biosynthesized extracellular polymeric substances (EPS). This strategy represents a successful adaptation to the variable and unpredictable hydration conditions near the earth surface. The EPS matrix serves as the interface with the environment; it enhances hydration and transport properties in the immediate vicinity of microbial cells, and dampens eﬀects of highly transient ﬂuctuations in water and nutrient ﬂuxes. The primary eﬀect of soil pore geometry and hydration status is on diﬀusion pathways to and away from stationary microbial colonies. Microbial dependency on diﬀusion processes occurs at all scales, but is particularly important at the colony scale. We illustrate the critical role of diﬀusion pathways with their complex spatial and temporal patterns in promoting coexistence and diversity. We review speciﬁc features and adaptations of microbial life to the particular conditions of terrestrial soil environments. The physical and related chemical conditions that shape microbial habitats and govern key processes in unsaturated soils are reviewed in a quantitative framework. Key physiological adaptations and biological responses to challenges presented by unsaturated conditions are discussed. Finally, we discuss potential impacts of microbial activity on properties and characteristics of the host porous medium. This review is an attempt to establish an interdisciplinary dialogue between hydrologists and microbiologists towards a quantitative integration of the role of hydrologic conditions on microbial activity and the role of microbiology in controlling macroscopic ﬂuxes within this important compartment of the biosphere.","container-title":"Advances in Water Resources","DOI":"10.1016/j.advwatres.2006.05.025","ISSN":"03091708","issue":"6-7","journalAbbreviation":"Adv. Water Resour.","language":"en","page":"1505-1527","source":"DOI.org (Crossref)","title":"Physical constraints affecting bacterial habitats and activity in unsaturated porous media – a review","volume":"30","author":[{"family":"Or","given":"D."},{"family":"Smets","given":"B.F."},{"family":"Wraith","given":"J.M."},{"family":"Dechesne","given":"A."},{"family":"Friedman","given":"S.P."}],"issued":{"date-parts":[["2007",6]]}}}],"schema":"https://github.com/citation-style-language/schema/raw/master/csl-citation.json"} </w:instrText>
      </w:r>
      <w:r w:rsidRPr="00F871F8">
        <w:fldChar w:fldCharType="separate"/>
      </w:r>
      <w:r w:rsidR="00DD2630" w:rsidRPr="00F871F8">
        <w:rPr>
          <w:vertAlign w:val="superscript"/>
        </w:rPr>
        <w:t>31–35</w:t>
      </w:r>
      <w:r w:rsidRPr="00F871F8">
        <w:fldChar w:fldCharType="end"/>
      </w:r>
      <w:r w:rsidRPr="00F871F8">
        <w:t xml:space="preserve">. Further, microbial activity may generate local geochemical gradients that promote or limit biomineralization, while fluctuations in </w:t>
      </w:r>
      <w:r w:rsidR="001610BE" w:rsidRPr="00F871F8">
        <w:t>pore fluid</w:t>
      </w:r>
      <w:r w:rsidR="00E75B2C" w:rsidRPr="00F871F8">
        <w:t xml:space="preserve"> </w:t>
      </w:r>
      <w:r w:rsidRPr="00F871F8">
        <w:t>chemistry (e.g., pH, dissolved oxygen, redox potential) may enhance mineral precipitation or facilitate dissolution</w:t>
      </w:r>
      <w:r w:rsidRPr="00F871F8">
        <w:fldChar w:fldCharType="begin"/>
      </w:r>
      <w:r w:rsidR="00DD2630" w:rsidRPr="00F871F8">
        <w:instrText xml:space="preserve"> ADDIN ZOTERO_ITEM CSL_CITATION {"citationID":"swObaon8","properties":{"formattedCitation":"\\super 34,35\\nosupersub{}","plainCitation":"34,35","noteIndex":0},"citationItems":[{"id":1080,"uris":["http://zotero.org/users/7069502/items/JNT4PY7A"],"itemData":{"id":1080,"type":"article-journal","abstract":"Microorganisms capable of biomineralization can catalyze mineral precipitation by modifying local physical and chemical conditions. In porous media, such as soil and rock, these microorganisms live and function in highly heterogeneous physical, chemical and ecological microenvironments, with strong local gradients created by both microbial activity and the pore-scale structure of the subsurface. Here, we focus on extracellular bacterial biomineralization, which is sensitive to external heterogeneity, and review the pore-scale processes controlling microbial biomineralization in natural and engineered porous media. We discuss how individual physical, chemical and ecological factors integrate to affect the spatial and temporal control of biomineralization, and how each of these factors contributes to a quantitative understanding of biomineralization in porous media. We find that an improved understanding of microbial behavior in heterogeneous microenvironments would promote understanding of natural systems and output in diverse technological applications, including improved representation and control of fluid mixing from pore to field scales. We suggest a range of directions by which future work can build from existing tools to advance each of these areas to improve understanding and predictability of biomineralization science and technology.","container-title":"Reviews in Environmental Science and Bio/Technology","DOI":"10.1007/s11157-021-09603-y","ISSN":"1572-9826","issue":"1","journalAbbreviation":"Rev. Environ. Sci. Biotechnol.","language":"en","page":"27-52","source":"Springer Link","title":"Controlling pore-scale processes to tame subsurface biomineralization","volume":"21","author":[{"family":"Jimenez-Martinez","given":"Joaquin"},{"family":"Nguyen","given":"Jen"},{"family":"Or","given":"Dani"}],"issued":{"date-parts":[["2022",3,1]]}}},{"id":1694,"uris":["http://zotero.org/users/7069502/items/MG3UW2RM"],"itemData":{"id":1694,"type":"article-journal","abstract":"The immense diversity of microbial life found in the vadose zone reﬂects the extremely heterogeneous and highly dynamic aquatic and chemical environments formed within soil pore spaces. The notion of planktonian free swimming microbes is unrealistic under most unsaturated conditions. Experimental and theoretical evidence suggests that surface attachment is the prevailing lifestyle, where bacterial colonies are embedded in biosynthesized extracellular polymeric substances (EPS). This strategy represents a successful adaptation to the variable and unpredictable hydration conditions near the earth surface. The EPS matrix serves as the interface with the environment; it enhances hydration and transport properties in the immediate vicinity of microbial cells, and dampens eﬀects of highly transient ﬂuctuations in water and nutrient ﬂuxes. The primary eﬀect of soil pore geometry and hydration status is on diﬀusion pathways to and away from stationary microbial colonies. Microbial dependency on diﬀusion processes occurs at all scales, but is particularly important at the colony scale. We illustrate the critical role of diﬀusion pathways with their complex spatial and temporal patterns in promoting coexistence and diversity. We review speciﬁc features and adaptations of microbial life to the particular conditions of terrestrial soil environments. The physical and related chemical conditions that shape microbial habitats and govern key processes in unsaturated soils are reviewed in a quantitative framework. Key physiological adaptations and biological responses to challenges presented by unsaturated conditions are discussed. Finally, we discuss potential impacts of microbial activity on properties and characteristics of the host porous medium. This review is an attempt to establish an interdisciplinary dialogue between hydrologists and microbiologists towards a quantitative integration of the role of hydrologic conditions on microbial activity and the role of microbiology in controlling macroscopic ﬂuxes within this important compartment of the biosphere.","container-title":"Advances in Water Resources","DOI":"10.1016/j.advwatres.2006.05.025","ISSN":"03091708","issue":"6-7","journalAbbreviation":"Adv. Water Resour.","language":"en","page":"1505-1527","source":"DOI.org (Crossref)","title":"Physical constraints affecting bacterial habitats and activity in unsaturated porous media – a review","volume":"30","author":[{"family":"Or","given":"D."},{"family":"Smets","given":"B.F."},{"family":"Wraith","given":"J.M."},{"family":"Dechesne","given":"A."},{"family":"Friedman","given":"S.P."}],"issued":{"date-parts":[["2007",6]]}}}],"schema":"https://github.com/citation-style-language/schema/raw/master/csl-citation.json"} </w:instrText>
      </w:r>
      <w:r w:rsidRPr="00F871F8">
        <w:fldChar w:fldCharType="separate"/>
      </w:r>
      <w:r w:rsidR="00DD2630" w:rsidRPr="00F871F8">
        <w:rPr>
          <w:vertAlign w:val="superscript"/>
        </w:rPr>
        <w:t>34,35</w:t>
      </w:r>
      <w:r w:rsidRPr="00F871F8">
        <w:fldChar w:fldCharType="end"/>
      </w:r>
      <w:r w:rsidRPr="00F871F8">
        <w:t xml:space="preserve">. </w:t>
      </w:r>
      <w:r w:rsidR="00D649C1" w:rsidRPr="00F871F8">
        <w:t>Studies</w:t>
      </w:r>
      <w:r w:rsidRPr="00F871F8">
        <w:t xml:space="preserve"> of</w:t>
      </w:r>
      <w:r w:rsidR="00DA15C0" w:rsidRPr="00F871F8">
        <w:t xml:space="preserve"> Mn</w:t>
      </w:r>
      <w:r w:rsidRPr="00F871F8">
        <w:t xml:space="preserve"> and </w:t>
      </w:r>
      <w:r w:rsidR="00DA15C0" w:rsidRPr="00F871F8">
        <w:t xml:space="preserve">Fe </w:t>
      </w:r>
      <w:r w:rsidRPr="00F871F8">
        <w:t>biomineralization typically rely either on well-mixed batch conditions</w:t>
      </w:r>
      <w:r w:rsidR="002A5694" w:rsidRPr="00F871F8">
        <w:fldChar w:fldCharType="begin"/>
      </w:r>
      <w:r w:rsidR="00DD2630" w:rsidRPr="00F871F8">
        <w:instrText xml:space="preserve"> ADDIN ZOTERO_ITEM CSL_CITATION {"citationID":"ZUkUDZF0","properties":{"formattedCitation":"\\super 30,36\\uc0\\u8211{}40\\nosupersub{}","plainCitation":"30,36–40","noteIndex":0},"citationItems":[{"id":1704,"uris":["http://zotero.org/users/7069502/items/R3FE9XI6"],"itemData":{"id":1704,"type":"article-journal","abstract":"Manganese(IV) oxides, believed to form primarily through microbial activities, are extremely important mineral phases in marine environments where they scavenge a variety of trace elements and thereby control their distributions. The presence of various ions common in seawater are known to inﬂuence Mn oxide mineralogy yet little is known about the eﬀect of these ions on the kinetics of bacterial Mn(II) oxidation and Mn oxide formation. We examined factors aﬀecting bacterial Mn(II) oxidation by spores of the marine Bacillus sp. strain SG-1 in natural and artiﬁcial seawater of varying ionic conditions. Ca2+ concentration dramatically aﬀected Mn(II) oxidation, while Mg2+, Sr2+, K+, Na+ and NO3À ions had no eﬀect. The rate of Mn(II) oxidation at 10 mM Ca2+ (seawater composition) was four or ﬁve times that without Ca2+. The relationship between Ca2+ content and oxidation rate demonstrates that the equilibrium constant is small (on the order of 0.1) and the binding coeﬃcient is 0.5. The pH optimum for Mn(II) oxidation changed depending on the amount of Ca2+ present, suggesting that Ca2+ exerts a direct eﬀect on the enzyme perhaps as a stabilizing bridge between polypeptide components.","container-title":"Geochimica et Cosmochimica Acta","DOI":"10.1016/j.gca.2012.10.008","ISSN":"00167037","journalAbbreviation":"Geochim. Cosmochim. Acta","language":"en","page":"1-11","source":"DOI.org (Crossref)","title":"The Effect of Ca2+ Ions and Ionic Strength on Mn(II) Oxidation by Spores of the Marine Bacillus Sp. SG-1","volume":"101","author":[{"family":"Toyoda","given":"Kazuhiro"},{"family":"Tebo","given":"Bradley M."}],"issued":{"date-parts":[["2013",1]]}}},{"id":1705,"uris":["http://zotero.org/users/7069502/items/P2QAUWNM"],"itemData":{"id":1705,"type":"article-journal","abstract":"The kinetics of Mn(II) oxidation by spores of the marine Bacillus sp. SG-1 was measured under controlled conditions of the initial Mn(II) concentration, spore concentration, chemical speciation, pH, O2, and temperature. Mn(II) oxidation experiments were performed with spore concentrations ranging from 0.7 to 11 Â 109 spores/L, a pH range from 5.8 to 8.1, temperatures between 4 and 58 °C, a range of dissolved oxygen from 2 to 270 lM, and initial Mn(II) concentrations from 1 to 200 lM. The Mn(II) oxidation rates were directly proportional to the spore concentrations over these ranges of concentration. The Mn(II) oxidation rate increased with increasing initial Mn(II) concentration to a critical concentration, as described by the Michaelis–Menten model (Km = ca. 3 lM). Whereas with starting Mn(II) concentrations above the critical concentration, the rate was almost constant in low ionic solution (I = 0.05, 0.08). At high ionic solution (I = 0.53, 0.68), the rate was inversely correlated with Mn(II) concentration. Increase in the Mn(II) oxidation rate with the dissolved oxygen concentration followed the Michaelis–Menten model (Km = 12–19 lM DO) in both a HEPES-buﬀered commercial drinking (soft) water and in artiﬁcial and natural seawater. Overall, our results suggest that the mass transport limitations of Mn(II) ions due to secondary Mn oxide products accumulating on the spores cause a signiﬁcant decrease of the oxidation rate at higher initial Mn (II) concentration on a spore basis, as well as in more concentrated ionic solutions. The optimum pH for Mn(II) oxidation was approximately 7.0 in low ionic solutions (I = 0.08). The high rates at the alkaline side (pH &gt; 7.5) may suggest a contribution by heterogeneous reactions on manganese bio-oxides. The eﬀect of temperature on the Mn(II) oxidation rate was studied in three solutions (500 mM NaCl, ASW, NSW solutions). Thermal denaturation occurred at 58 °C and spore germination was evident at 40 °C in all three solutions. The activation energies calculated from the Arrhenius plots are consistent with the observation that Ca ions stimulate the Mn(II) oxidation rate.","container-title":"Geochimica et Cosmochimica Acta","DOI":"10.1016/j.gca.2016.05.036","ISSN":"00167037","journalAbbreviation":"Geochim. Cosmochim. Acta","language":"en","page":"58-69","source":"DOI.org (Crossref)","title":"Kinetics of Mn(II) Oxidation by Spores of the Marine Bacillus Sp. SG-1","volume":"189","author":[{"family":"Toyoda","given":"Kazuhiro"},{"family":"Tebo","given":"Bradley M."}],"issued":{"date-parts":[["2016",9]]}}},{"id":1689,"uris":["http://zotero.org/users/7069502/items/SRVXWY2P"],"itemData":{"id":1689,"type":"article-journal","abstract":"Manganese (Mn) oxides are among the strongest oxidants and sorbents in the environment, impacting the transport and speciation of metals, cycling of carbon, and ﬂow of electrons within soils and sediments. The oxidation of Mn(II) to Mn(III/ IV) oxides has been primarily attributed to biological processes, due in part to the faster rates of bacterial Mn(II) oxidation compared to observed mineral-induced and other abiotic rates. Here we explore the reactivity of biogenic Mn oxides formed by a common marine bacterium (Roseobacter sp. AzwK-3b), which has been previously shown to oxidize Mn(II) via the production of extracellular superoxide. Oxidation of Mn(II) by superoxide results in the formation of highly reactive colloidal birnessite with hexagonal symmetry. The colloidal oxides induce the rapid oxidation of Mn(II), with dramatically accelerated rates in the presence of organics, presumably due to mineral surface-catalyzed organic radical generation. Mn(II) oxidation by the colloids is further accelerated in presence of both organics and light, implicating reactive oxygen species in aiding abiotic oxidation. Indeed, the enhancement of Mn(II) oxidation is negated when the colloids are reacted with Mn(II) in the presence of superoxide dismutase, an enzyme that scavenges the reactive oxygen species (ROS) superoxide. The reactivity of the colloidal phase is short-lived due to the rapid evolution of the birnessite from hexagonal to pseudo-orthogonal symmetry. The secondary particulate triclinic birnessite phase exhibits a distinct lack of Mn(II) oxidation and subsequent Mn oxide formation. Thus, the evolution of initial reactive hexagonal birnessite to non-reactive triclinic birnessite imposes the need for continuous production of new colloidal hexagonal particles for Mn(II) oxidation to be sustained, illustrating an intimate dependency of enzymatic and mineral-based reactions in Mn(II) oxidation. Further, the coupled enzymatic and mineralinduced pathways are linked such that enzymatic formation of Mn oxide is requisite for the mineral-induced pathway to occur. Here, we show that Mn(II) oxidation involves a complex network of abiotic and biotic processes, including enzymatically produced superoxide, mineral catalysis, organic reactions with mineral surfaces, and likely photo-production of ROS. The complexity of coupled reactions involved in Mn(II) oxidation here highlights the need for further investigations of microbially-mediated Mn oxide formation, including identifying the role of Mn oxide surfaces, organics, reactive oxygen species, and light in Mn(II) oxidation and Mn oxide phase evolution.","container-title":"Geochimica et Cosmochimica Acta","DOI":"10.1016/j.gca.2011.07.026","ISSN":"00167037","issue":"20","journalAbbreviation":"Geochim. Cosmochim. Acta","language":"en","page":"6048-6063","source":"DOI.org (Crossref)","title":"Coupled biotic–abiotic Mn(II) oxidation pathway mediates the formation and structural evolution of biogenic Mn oxides","volume":"75","author":[{"family":"Learman","given":"D.R."},{"family":"Wankel","given":"S.D."},{"family":"Webb","given":"S.M."},{"family":"Martinez","given":"N."},{"family":"Madden","given":"A.S."},{"family":"Hansel","given":"C.M."}],"issued":{"date-parts":[["2011",10]]}}},{"id":1680,"uris":["http://zotero.org/users/7069502/items/J342KJGL"],"itemData":{"id":1680,"type":"article-journal","abstract":"Bacterial Mn(II) oxidization by spores of Bacillus, sp. strain SG-1 has been systematically probed over the time scale 0.22 to 77 days under in-situ conditions and at differing Mn(II) concentrations. Three complementary techniques, K-edge X-ray absorption near-edge spectroscopy (XANES), X-ray emission spectroscopy (XES), and in-situ synchrotron radiation-based X-ray diffraction (SR-XRD), have been utilized to examine time-dependent changes in Mn oxidation state, local-, and long-range structure in amorphous, crystalline, cell-bound, and solute Mn species. The primary solid biogenic product of Mn(II) oxidation is an X-ray amorphous oxide similar to δ-MnO2, which has a Mn oxidation state between 3.7 and 4.0. Reaction of Mn(II) with the primary biogenic oxide results in the production of abiotic secondary products, feitknechtite or a 10 Å Na phyllomanganate. The identity of the secondary product depends upon the Mn(II) concentration as described by thermodynamic relations. A decrease in the dissolved Mn(II) concentration is followed by mineralogic transformation of the secondary products. Thus, Mn(II) appears to act as a reductant toward the biogenic oxide and to control the stability of secondary reaction products. Mineralogic changes similar to these are likely to be commonplace in natural settings where bacterial Mn(II) oxidation is occurring and may liberate sorbed metal ions or alter the rates of important Mn oxide surface-mediated processes such as the degradation of organic molecules. It is plausible that microbes may exploit such mineral transformation reactions to indirectly control speciÞc chemical conditions in the vicinity of the cell.","container-title":"American Mineralogist","DOI":"10.2138/am.2005.1557","ISSN":"0003-004X","issue":"1","journalAbbreviation":"Am. Mineral.","language":"en","page":"143-154","source":"DOI.org (Crossref)","title":"Biotic and abiotic products of Mn(II) oxidation by spores of the marine &lt;i&gt;Bacillus sp.&lt;/i&gt; strain SG-1","volume":"90","author":[{"family":"Bargar","given":"John R."},{"family":"Tebo","given":"Bradley M."},{"family":"Bergmann","given":"Uwe"},{"family":"Webb","given":"Samuel M."},{"family":"Glatzel","given":"Pieter"},{"family":"Chiu","given":"Van Q."},{"family":"Villalobos","given":"Mario"}],"issued":{"date-parts":[["2005",1]]}}},{"id":1912,"uris":["http://zotero.org/users/7069502/items/NV9WYFE7"],"itemData":{"id":1912,"type":"article-journal","abstract":"Biological Fe(II) oxidation by iron-oxidising bacteria (FeOBs) at low pH is a cost-effective treatment for acid mine drainage (AMD). However, treatments based on this process are limited because of uncertainties regarding the ability and rate of oxidation of Fe(II) from AMD. In the present study, an indigenous FeOBs consortium was enriched in AMD, and its ability to oxidise Fe(II) is described. The bio-oxidation rate of Fe(II) was 39.1 mg/(L·h) under optimal culture conditions [35 </w:instrText>
      </w:r>
      <w:r w:rsidR="00DD2630" w:rsidRPr="00F871F8">
        <w:rPr>
          <w:rFonts w:ascii="Cambria Math" w:hAnsi="Cambria Math" w:cs="Cambria Math"/>
        </w:rPr>
        <w:instrText>℃</w:instrText>
      </w:r>
      <w:r w:rsidR="00DD2630" w:rsidRPr="00F871F8">
        <w:instrText xml:space="preserve">, pH 2.0, 500 mg/L Fe(II)]. In addition, the oxidation rate equation of Fe(II) could be fitted to a zero-order kinetic model, indicating that Fe(II) was oxidised at a constant rate. Furthermore, a continuous-flow bioreactor was developed to simulate the Fe(II) oxidation efficiency of indigenous FeOBs for in situ AMD biological treatment. The maximum Fe(II) oxidation rate was 22.8 mg/(L·h) when the influent Fe(II) load was 32.3 mg/(L·h). Acidithiobacillus and Acidiphilium were the dominant species contributing to Fe(II) oxidation in the bioreactor, accounting for 67.7 % and 32.8 %, respectively. The results will help promote the application of FeOBs in AMD treatment.","container-title":"Environmental Technology &amp; Innovation","DOI":"10.1016/j.eti.2024.103785","ISSN":"2352-1864","journalAbbreviation":"Environ. Technol. Innov.","page":"103785","source":"ScienceDirect","title":"Ferrous iron oxidation efficiency and kinetics by indigenous iron-oxidizing bacteria in acid mine drainage","volume":"36","author":[{"family":"Mao","given":"Qiming"},{"family":"Qin","given":"Wenqing"},{"family":"Yan","given":"Binghua"},{"family":"Luo","given":"Lin"}],"issued":{"date-parts":[["2024",11,1]]}}},{"id":1893,"uris":["http://zotero.org/users/7069502/items/V8IUBGYZ"],"itemData":{"id":1893,"type":"article-journal","abstract":"Iron oxidation at neutral pH by the phototrophic anaerobic iron-oxidizing bacterium Rhodobacter sp. strain SW2 leads to the formation of iron-rich minerals. These minerals consist mainly of nano-goethite (α-FeOOH), which precipitates exclusively outside cells, mostly on polymer fibers emerging from the cells. Scanning transmission X-ray microscopy analyses performed at the C K-edge suggest that these fibers are composed of a mixture of lipids and polysaccharides or of lipopolysaccharides. The iron and the organic carbon contents of these fibers are linearly correlated at the 25-nm scale, which in addition to their texture suggests that these fibers act as a template for mineral precipitation, followed by limited crystal growth. Moreover, we evidence a gradient of the iron oxidation state along the mineralized fibers at the submicrometer scale. Fe minerals on these fibers contain a higher proportion of Fe(III) at cell contact, and the proportion of Fe(II) increases at a distance from the cells. All together, these results demonstrate the primordial role of organic polymers in iron biomineralization and provide first evidence for the existence of a redox gradient around these nonencrusting, Fe-oxidizing bacteria.","container-title":"Applied and Environmental Microbiology","DOI":"10.1128/AEM.00490-09","ISSN":"0099-2240","issue":"17","journalAbbreviation":"Appl. Environ. Microbiol.","note":"PMID: 19592528\nPMCID: PMC2737918","page":"5586-5591","source":"PubMed Central","title":"Extracellular Iron Biomineralization by Photoautotrophic Iron-Oxidizing Bacteria","volume":"75","author":[{"family":"Miot","given":"Jennyfer"},{"family":"Benzerara","given":"Karim"},{"family":"Obst","given":"Martin"},{"family":"Kappler","given":"Andreas"},{"family":"Hegler","given":"Florian"},{"family":"Schädler","given":"Sebastian"},{"family":"Bouchez","given":"Camille"},{"family":"Guyot","given":"François"},{"family":"Morin","given":"Guillaume"}],"issued":{"date-parts":[["2009",9]]}}}],"schema":"https://github.com/citation-style-language/schema/raw/master/csl-citation.json"} </w:instrText>
      </w:r>
      <w:r w:rsidR="002A5694" w:rsidRPr="00F871F8">
        <w:fldChar w:fldCharType="separate"/>
      </w:r>
      <w:r w:rsidR="00DD2630" w:rsidRPr="00F871F8">
        <w:rPr>
          <w:vertAlign w:val="superscript"/>
        </w:rPr>
        <w:t>30,36–40</w:t>
      </w:r>
      <w:r w:rsidR="002A5694" w:rsidRPr="00F871F8">
        <w:fldChar w:fldCharType="end"/>
      </w:r>
      <w:r w:rsidRPr="00F871F8">
        <w:t xml:space="preserve"> or columns</w:t>
      </w:r>
      <w:r w:rsidR="000A5F71" w:rsidRPr="00F871F8">
        <w:fldChar w:fldCharType="begin"/>
      </w:r>
      <w:r w:rsidR="00432E5F" w:rsidRPr="00F871F8">
        <w:instrText xml:space="preserve"> ADDIN ZOTERO_ITEM CSL_CITATION {"citationID":"ZRf1RmJG","properties":{"formattedCitation":"\\super 41\\uc0\\u8211{}44\\nosupersub{}","plainCitation":"41–44","noteIndex":0},"citationItems":[{"id":1214,"uris":["http://zotero.org/users/7069502/items/EVRCAI8S"],"itemData":{"id":1214,"type":"article-journal","abstract":"On–off cycles of production wells, especially in bank filtration settings, cause oscillations in the local water table, which can deliver significant amounts of dissolved oxygen (DO) to the shallow groundwater. The potential for DO introduced in this manner to oxidize manganese(II) (Mn(II)), mediated by the obligate aerobe Pseudomonas putida GB-1, was tested in a column of quartz sand fed with anoxic influent solution and subject to 1.3 m water table changes every 30–50 h. After a period of filter ripening, 100 μM Mn was rapidly removed during periods of low water table and high dissolved oxygen concentrations. The accumulation of Mn in the column was confirmed by XRF analysis of the sand at the conclusion of the study, and both measured net oxidation rates and XAS analysis suggest microbial oxidation as the dominant process. The addition of Zn, which inhibited GB-1 Mn oxidation but not its growth, interrupted the Mn removal process, but Mn oxidation recovered within one water table fluctuation. Thus transient DO conditions could support microbially mediated Mn oxidation, and this process could be more relevant in shallow groundwater than previously thought.","container-title":"Environmental Science &amp; Technology","DOI":"10.1021/es2027828","ISSN":"0013-936X","issue":"1","journalAbbreviation":"Environ. Sci. Technol.","note":"publisher: American Chemical Society","page":"277-284","source":"ACS Publications","title":"Manganese Oxidation Induced by Water Table Fluctuations in a Sand Column.","volume":"46","author":[{"family":"Farnsworth","given":"Claire E."},{"family":"Voegelin","given":"Andreas"},{"family":"Hering","given":"Janet G."}],"issued":{"date-parts":[["2012",1,3]]}}},{"id":1780,"uris":["http://zotero.org/users/7069502/items/7YUCJ9CN"],"itemData":{"id":1780,"type":"article-journal","abstract":"Aeration followed by rapid sand filtration is a common method in drinking water treatment to remove iron (Fe) and manganese (Mn) from anoxic groundwater. To ensure the successful removal of Fe and Mn within a single filter, several factors such as raw water characteristics, backwash procedures and chemical and microbial interactions with the filter medium need to be considered. Here, we assess the characteristics of a single medium rapid sand filter with highly efficient removal of Fe and Mn. Using synchrotron X-ray spectroscopy, we show that formation of ferrihydrite-type Fe oxides in the top of the filter (0–50 cm) accounts for &gt;95 % of the removal of dissolved Fe2+ in the filter. Birnessite-type Mn- oxides, which are thought to be biogenic, form over a wider depth interval (0–110 cm). Results of 16S rRNA gene amplicon sequencing indicate a corresponding distinct vertical stratification of the microbial community, with potential iron-oxidizing Gallionella, Leptothrix and Sideroxydans dominating in the upper part of the filter, and nitrifiers being more prevalent deeper in the filter. Besides Fe and Mn-oxide, Fe-flocs and bacteriological hollow sheets form in the upper part of the filter. Both the Fe-flocs, hollow Fe-sheets and part of the Fe and Mn coatings are removed through backwashing, thereby reducing the pressure difference measured over the filter medium linked to clogging of pores (from 14 kPa to 1.5 kPa) and ensuring continued water flow. Backwashing removes part of the Gallionella, but this does not negatively impact the filter performance. Strikingly, SEM imaging with EDS mapping revealed alternating layers of Fe and Mn-oxides on the coated grains throughout the filter. This indicates slow mixing of the filter medium between the upper 30 cm and the rest of the filter during backwashing. Slow mixing likely contributes to continued success of the filter by ensuring homogeneous filter bed growth, while still allowing for stratification of the microbial community.","container-title":"Applied Geochemistry","DOI":"10.1016/j.apgeochem.2024.105904","ISSN":"0883-2927","journalAbbreviation":"Appl. Geochem.","page":"105904","source":"ScienceDirect","title":"Efficient chemical and microbial removal of iron and manganese in a rapid sand filter and impact of regular backwash","volume":"162","author":[{"family":"Haukelidsaeter","given":"Signe"},{"family":"Boersma","given":"Alje S."},{"family":"Piso","given":"Lina"},{"family":"Lenstra","given":"Wytze K."},{"family":"Helmond","given":"Niels A. G. M.","non-dropping-particle":"van"},{"family":"Schoonenberg","given":"Frank"},{"family":"Pol","given":"Erik","non-dropping-particle":"van der"},{"family":"Hurtarte","given":"Luis C. C."},{"family":"Wielen","given":"Paul W. J. J.","non-dropping-particle":"van der"},{"family":"Behrends","given":"Thilo"},{"family":"Kessel","given":"Maartje A. H. J.","non-dropping-particle":"van"},{"family":"Lücker","given":"Sebastian"},{"family":"Slomp","given":"Caroline P."}],"issued":{"date-parts":[["2024",2,1]]}}},{"id":1550,"uris":["http://zotero.org/users/7069502/items/2ZV5XUUR"],"itemData":{"id":1550,"type":"article-journal","abstract":"In this study, three bacteria with high Fe- and Mn-oxidizing capabilities were isolated from groundwater well sludge and identiﬁed as Acinetobacter sp., Bacillus megaterium and Sphingobacterium sp. The maximum removal ratios of Fe and Mn (99.75% and 96.69%) were obtained by an optimal combination of the bacteria at a temperature of 20.15 °C, pH 7.09 and an inoculum size of 2.08%. Four lab-scale bioﬁlters were tested in parallel for the removal of iron and manganese ions from groundwater. The results indicated that the Fe/Mn removal ratios of bioﬁlter R4, which was inoculated with iron- and manganeseoxidizing bacteria and a bioﬁlm-forming bacterium, were approximately 95% for each metal during continuous operation and were better than the other bioﬁlters. This study demonstrated that the bioﬁlmforming bacterium could promote the immobilization of the iron- and manganese-oxidizing bacteria on the bioﬁlters and enhance the removal efﬁciency of iron and manganese ions from groundwater.","container-title":"Bioresource Technology","DOI":"10.1016/j.biortech.2016.08.020","ISSN":"09608524","journalAbbreviation":"Bioresour. Technol.","language":"en","page":"76-84","source":"DOI.org (Crossref)","title":"Immobilization of iron- and manganese-oxidizing bacteria with a biofilm-forming bacterium for the effective removal of iron and manganese from groundwater","volume":"220","author":[{"family":"Li","given":"Chunyan"},{"family":"Wang","given":"Shuting"},{"family":"Du","given":"Xiaopeng"},{"family":"Cheng","given":"Xiaosong"},{"family":"Fu","given":"Meng"},{"family":"Hou","given":"Ning"},{"family":"Li","given":"Dapeng"}],"issued":{"date-parts":[["2016",11]]}}},{"id":1538,"uris":["http://zotero.org/users/7069502/items/T72SPB8L"],"itemData":{"id":1538,"type":"article-journal","abstract":"Abstract\n            Manganese removal in drinking water biofilters is facilitated by biological and physico-chemical processes, but knowledge regarding the relative role of these mechanisms during start-up is very limited. The aim of this study was to identify the dominant process for manganese removal occurring during the start-up period of sand filters with and without inoculation by addition of matured sand collected from an operating groundwater-based waterworks. Inoculation with matured filter sand is frequently used to accelerate the start-up in virgin biofilters and to rapidly obtain compliant water quality. The non-inoculated filter took 41 days to comply with manganese quality criteria, whereas the inoculated filter with 20% matured sand showed removal from Day 1 and compliance from Day 25. By Day 48, the inoculated filter showed two times higher manganese removal rates and manganese oxides deposits. Using sodium azide as an inhibitor of microbial activity, it was found that manganese removal in the non-inoculated filter was dominated by biological processes, whereas physico-chemical processes were of more importance in the inoculated filter (Day 35, 39 and 48). 16S rDNA sequencing of the microbiota collected during filter maturation indicated a limited immediate effect of inoculation on the microbial community developed on the remaining filter material.\n            This article has been made Open Access thanks to the kind support of CAWQ/ACQE (https://www.cawq.ca).","container-title":"Water Quality Research Journal","DOI":"10.2166/wqrj.2018.016","ISSN":"1201-3080, 2408-9443","issue":"1","journalAbbreviation":"Water Qual. Res. J.","language":"en","page":"47-56","source":"DOI.org (Crossref)","title":"Manganese removal processes during start-up of inoculated and non-inoculated drinking water biofilters","volume":"54","author":[{"family":"Breda","given":"I. L."},{"family":"Søborg","given":"D. A."},{"family":"Ramsay","given":"L."},{"family":"Roslev","given":"P."}],"issued":{"date-parts":[["2019",2,1]]}}}],"schema":"https://github.com/citation-style-language/schema/raw/master/csl-citation.json"} </w:instrText>
      </w:r>
      <w:r w:rsidR="000A5F71" w:rsidRPr="00F871F8">
        <w:fldChar w:fldCharType="separate"/>
      </w:r>
      <w:r w:rsidR="00432E5F" w:rsidRPr="00F871F8">
        <w:rPr>
          <w:vertAlign w:val="superscript"/>
        </w:rPr>
        <w:t>41–44</w:t>
      </w:r>
      <w:r w:rsidR="000A5F71" w:rsidRPr="00F871F8">
        <w:fldChar w:fldCharType="end"/>
      </w:r>
      <w:r w:rsidRPr="00F871F8">
        <w:t xml:space="preserve"> to quantify </w:t>
      </w:r>
      <w:r w:rsidR="00D34196" w:rsidRPr="00F871F8">
        <w:t xml:space="preserve">oxidation </w:t>
      </w:r>
      <w:r w:rsidRPr="00F871F8">
        <w:t xml:space="preserve">kinetics or characterize biomineral </w:t>
      </w:r>
      <w:r w:rsidR="00CF0CAC" w:rsidRPr="00F871F8">
        <w:t>precipitates</w:t>
      </w:r>
      <w:r w:rsidRPr="00F871F8">
        <w:t xml:space="preserve">. However, batch experiments lack the spatial heterogeneity inherent to </w:t>
      </w:r>
      <w:r w:rsidR="00E75B2C" w:rsidRPr="00F871F8">
        <w:t>porous systems</w:t>
      </w:r>
      <w:r w:rsidRPr="00F871F8">
        <w:t xml:space="preserve">. Columns containing packed granular media provide relevant physical architecture but are limited in their utility because they require destructive sampling at static timepoints, which halts the experiment progression and prevents unperturbed pore-scale observations. Therefore, new experimental </w:t>
      </w:r>
      <w:r w:rsidR="00BA0F7F" w:rsidRPr="00F871F8">
        <w:t xml:space="preserve">approaches </w:t>
      </w:r>
      <w:r w:rsidRPr="00F871F8">
        <w:t xml:space="preserve">are needed to </w:t>
      </w:r>
      <w:r w:rsidR="00182180" w:rsidRPr="00F871F8">
        <w:t>investigate</w:t>
      </w:r>
      <w:r w:rsidR="00225B42" w:rsidRPr="00F871F8">
        <w:t xml:space="preserve"> the microbial precipitation of metal oxides in </w:t>
      </w:r>
      <w:r w:rsidR="00F7440F" w:rsidRPr="00F871F8">
        <w:t>porous media</w:t>
      </w:r>
      <w:r w:rsidR="00056252" w:rsidRPr="00F871F8">
        <w:t xml:space="preserve">. </w:t>
      </w:r>
    </w:p>
    <w:p w14:paraId="6E1476B2" w14:textId="77777777" w:rsidR="009462DA" w:rsidRPr="00F871F8" w:rsidRDefault="009462DA" w:rsidP="001B0A4E"/>
    <w:p w14:paraId="502806F6" w14:textId="4BF0FE76" w:rsidR="00F054B8" w:rsidRPr="00F871F8" w:rsidRDefault="00000000" w:rsidP="001B0A4E">
      <w:r w:rsidRPr="00F871F8">
        <w:t>M</w:t>
      </w:r>
      <w:r w:rsidR="00304D88" w:rsidRPr="00F871F8">
        <w:t>icrofluidic systems a</w:t>
      </w:r>
      <w:r w:rsidRPr="00F871F8">
        <w:t>re</w:t>
      </w:r>
      <w:r w:rsidR="00304D88" w:rsidRPr="00F871F8">
        <w:t xml:space="preserve"> a tool</w:t>
      </w:r>
      <w:r w:rsidRPr="00F871F8">
        <w:t xml:space="preserve"> to study </w:t>
      </w:r>
      <w:r w:rsidR="00B87EE4" w:rsidRPr="00F871F8">
        <w:t>biogeochemical</w:t>
      </w:r>
      <w:r w:rsidR="00974431" w:rsidRPr="00F871F8">
        <w:t xml:space="preserve"> </w:t>
      </w:r>
      <w:r w:rsidR="00475A4A" w:rsidRPr="00F871F8">
        <w:t>reactions</w:t>
      </w:r>
      <w:r w:rsidR="0046759A" w:rsidRPr="00F871F8">
        <w:t xml:space="preserve"> </w:t>
      </w:r>
      <w:r w:rsidRPr="00F871F8">
        <w:rPr>
          <w:i/>
          <w:iCs/>
        </w:rPr>
        <w:t>in situ</w:t>
      </w:r>
      <w:r w:rsidRPr="00F871F8">
        <w:t xml:space="preserve"> and in real time. Microfluidic reactors can be fabricated rapidly and at low cost with reproducible and customizable geometries that simulate natural or idealized porous media</w:t>
      </w:r>
      <w:r w:rsidRPr="00F871F8">
        <w:fldChar w:fldCharType="begin"/>
      </w:r>
      <w:r w:rsidR="00432E5F" w:rsidRPr="00F871F8">
        <w:instrText xml:space="preserve"> ADDIN ZOTERO_ITEM CSL_CITATION {"citationID":"fdbqWYfU","properties":{"formattedCitation":"\\super 45\\nosupersub{}","plainCitation":"45","noteIndex":0},"citationItems":[{"id":1259,"uris":["http://zotero.org/users/7069502/items/YIBK6PQE"],"itemData":{"id":1259,"type":"article-journal","abstract":"Investigating environmental processes, especially those occurring in soils, calls for innovative and multidisciplinary technologies that can provide insights at the microscale. The heterogeneity, opacity, and dynamics make the soil a “black box” where interactions and processes are elusive. Recently, microﬂuidics has emerged as a powerful research platform and experimental tool which can create artiﬁcial soil micromodels, enabling exploring soil processes on a chip. Micro/nanofabricated microﬂuidic devices can mimic some of the key features of soil with highly controlled physical and chemical microenvironments at the scale of pores, aggregates, and microbes. The combination of various techniques makes microﬂuidics an integrated approach for observation, reaction, analysis, and characterization. In this review, we systematically summarize the emerging applications of microﬂuidic soil platforms, from investigating soil interfacial processes and soil microbial processes to soil analysis and highthroughput screening. We highlight how innovative microﬂuidic devices are used to provide new insights into soil processes, mechanisms, and eﬀects at the microscale, which contribute to an integrated interrogation of the soil systems across diﬀerent scales. Critical discussions of the practical limitations of microﬂuidic soil platforms and perspectives of future research directions are summarized. We envisage that microﬂuidics will represent the technological advances toward microscopic, controllable, and in situ soil research.","container-title":"Environmental Science &amp; Technology","DOI":"10.1021/acs.est.1c03899","ISSN":"0013-936X, 1520-5851","issue":"2","journalAbbreviation":"Environ. Sci. Technol.","language":"en","page":"711-731","source":"DOI.org (Crossref)","title":"Microfluidics as an Emerging Platform for Exploring Soil Environmental Processes: A Critical Review","title-short":"Microfluidics as an Emerging Platform for Exploring Soil Environmental Processes","volume":"56","author":[{"family":"Zhu","given":"Xiangyu"},{"family":"Wang","given":"Kun"},{"family":"Yan","given":"Huicong"},{"family":"Liu","given":"Congcong"},{"family":"Zhu","given":"Xiaoying"},{"family":"Chen","given":"Baoliang"}],"issued":{"date-parts":[["2022",1,18]]}}}],"schema":"https://github.com/citation-style-language/schema/raw/master/csl-citation.json"} </w:instrText>
      </w:r>
      <w:r w:rsidRPr="00F871F8">
        <w:fldChar w:fldCharType="separate"/>
      </w:r>
      <w:r w:rsidR="00432E5F" w:rsidRPr="00F871F8">
        <w:rPr>
          <w:vertAlign w:val="superscript"/>
        </w:rPr>
        <w:t>45</w:t>
      </w:r>
      <w:r w:rsidRPr="00F871F8">
        <w:fldChar w:fldCharType="end"/>
      </w:r>
      <w:r w:rsidRPr="00F871F8">
        <w:t xml:space="preserve">. The resulting devices are optically transparent, facilitating non-destructive visualization and quantification of </w:t>
      </w:r>
      <w:r w:rsidR="005B0B8E" w:rsidRPr="00F871F8">
        <w:t xml:space="preserve">pore-scale </w:t>
      </w:r>
      <w:r w:rsidR="00475A4A" w:rsidRPr="00F871F8">
        <w:t>processes</w:t>
      </w:r>
      <w:r w:rsidR="00772B46" w:rsidRPr="00F871F8">
        <w:t>,</w:t>
      </w:r>
      <w:r w:rsidR="00475A4A" w:rsidRPr="00F871F8">
        <w:t xml:space="preserve"> including </w:t>
      </w:r>
      <w:r w:rsidR="00773B0F" w:rsidRPr="00F871F8">
        <w:t>biofilm formation</w:t>
      </w:r>
      <w:r w:rsidR="003B6675" w:rsidRPr="00F871F8">
        <w:fldChar w:fldCharType="begin"/>
      </w:r>
      <w:r w:rsidR="005A46A6" w:rsidRPr="00F871F8">
        <w:instrText xml:space="preserve"> ADDIN ZOTERO_ITEM CSL_CITATION {"citationID":"GPXZnKGr","properties":{"formattedCitation":"\\super 46\\uc0\\u8211{}49\\nosupersub{}","plainCitation":"46–49","noteIndex":0},"citationItems":[{"id":2266,"uris":["http://zotero.org/users/7069502/items/UWGXEZV4"],"itemData":{"id":2266,"type":"article-journal","abstract":"Biofilms regulate critical processes in porous ecosystems. However, the biophysical underpinnings of the ecological success of these biofilms are poorly understood. Combining experiments with fluidic devices, sequencing and modeling, we reveal that architectural plasticity enhances space exploitation by multispecies biofilms in porous environments. Biofilms consistently differentiated into an annular base biofilm coating the grains and into streamers protruding from the grains into the pore space. Although different flow-related processes governed the differentiation of these architectures, both BB and streamers were composed of similar bacterial assemblages. This is evidence for architectural plasticity. Architectural plasticity allowed for complementary use of the space provided by the grain–pore complexes, which increased biofilm carrying capacity at the larger scale of the porous system. This increase comes potentially at the cost of a tradeoff. Contrasting time scales of oxygen replenishment and consumption, we show that streamers locally inhibit the growth of the BB downstream from the grains. Our study provides first insights into the biophysical underpinnings to the success of multispecies biofilms in porous environments.","container-title":"The ISME Journal","DOI":"10.1038/s41396-019-0381-4","ISSN":"1751-7362","issue":"7","journalAbbreviation":"ISME J.","note":"PMID: 30833685\nPMCID: PMC6776110","page":"1700-1710","source":"PubMed Central","title":"Unraveling the biophysical underpinnings to the success of multispecies biofilms in porous environments","volume":"13","author":[{"family":"Scheidweiler","given":"David"},{"family":"Peter","given":"Hannes"},{"family":"Pramateftaki","given":"Paraskevi"},{"family":"Anna","given":"Pietro","non-dropping-particle":"de"},{"family":"Battin","given":"Tom J."}],"issued":{"date-parts":[["2019",7]]}}},{"id":1353,"uris":["http://zotero.org/users/7069502/items/DG624TYX"],"itemData":{"id":1353,"type":"article-journal","container-title":"PLOS ONE","DOI":"10.1371/journal.pone.0218316","ISSN":"1932-6203","issue":"6","journalAbbreviation":"PLoS ONE","language":"en","page":"e0218316","source":"DOI.org (Crossref)","title":"Pore-scale hydrodynamics influence the spatial evolution of bacterial biofilms in a microfluidic porous network","volume":"14","author":[{"family":"Aufrecht","given":"Jayde A."},{"family":"Fowlkes","given":"Jason D."},{"family":"Bible","given":"Amber N."},{"family":"Morrell-Falvey","given":"Jennifer"},{"family":"Doktycz","given":"Mitchel J."},{"family":"Retterer","given":"Scott T."}],"editor":[{"family":"Nerenberg","given":"Robert"}],"issued":{"date-parts":[["2019",6,27]]}}},{"id":1933,"uris":["http://zotero.org/users/7069502/items/VPP9XU8L"],"itemData":{"id":1933,"type":"article-journal","abstract":"Bacteria in porous media, such as soils, aquifers, and filters, often form surface-attached communities known as biofilms. Biofilms are affected by fluid flow through the porous medium, for example, for nutrient supply, and they, in turn, affect the flow. A striking example of this interplay is the strong intermittency in flow that can occur when biofilms nearly clog the porous medium. Intermittency manifests itself as the rapid opening and slow closing of individual preferential flow paths (PFPs) through the biofilm–porous medium structure, leading to continual spatiotemporal rearrangement. The drastic changes to the flow and mass transport induced by intermittency can affect the functioning and efficiency of natural and industrial systems. Yet, the mechanistic origin of intermittency remains unexplained. Here, we show that the mechanism driving PFP intermittency is the competition between microbial growth and shear stress. We combined microfluidic experiments quantifying Bacillus subtilis biofilm formation and behavior in synthetic porous media for different pore sizes and flow rates with a mathematical model accounting for flow through the biofilm and biofilm poroelasticity to reveal the underlying mechanisms. We show that the closing of PFPs is driven by microbial growth, controlled by nutrient mass flow. Opposing this, we find that the opening of PFPs is driven by flow-induced shear stress, which increases as a PFP becomes narrower due to microbial growth, causing biofilm compression and rupture. Our results demonstrate that microbial growth and its competition with shear stresses can lead to strong temporal variability in flow and transport conditions in bioclogged porous media.","container-title":"Proceedings of the National Academy of Sciences","DOI":"10.1073/pnas.2122202119","issue":"30","journalAbbreviation":"Proc. Natl. Acad. Sci. U.S.A.","note":"publisher: Proceedings of the National Academy of Sciences","page":"e2122202119","source":"pnas.org (Atypon)","title":"Competition between growth and shear stress drives intermittency in preferential flow paths in porous medium biofilms","volume":"119","author":[{"family":"Kurz","given":"Dorothee L."},{"family":"Secchi","given":"Eleonora"},{"family":"Carrillo","given":"Francisco J."},{"family":"Bourg","given":"Ian C."},{"family":"Stocker","given":"Roman"},{"family":"Jimenez-Martinez","given":"Joaquin"}],"issued":{"date-parts":[["2022",7,26]]}}},{"id":2264,"uris":["http://zotero.org/users/7069502/items/ZZW492DG"],"itemData":{"id":2264,"type":"article-journal","abstract":"The functioning of natural and engineered porous media, like soils and filters, depends in many cases on the interplay between biochemical processes and hydrodynamics. In such complex environments, microorganisms often form surface-attached communities known as biofilms. Biofilms can take the shape of clusters, which alter the distribution of fluid flow velocities within the porous medium, subsequently influencing biofilm growth. Despite numerous experimental and numerical efforts, the control of the biofilm clustering process and the resulting heterogeneity in biofilm permeability is not well understood, limiting our predictive abilities for biofilm-porous medium systems. Here, we use a quasi-2D experimental model of a porous medium to characterize biofilm growth dynamics for different pore sizes and flow rates. We present a method to obtain the time-resolved biofilm permeability field from experimental images and use the obtained permeability field to compute the flow field through a numerical model. We observe a biofilm cluster size distribution characterized by a spectrum slope evolving in time between −2 and −1, a fundamental measure that can be used to create spatio-temporal distributions of biofilm clusters for upscaled models. We find a previously undescribed biofilm permeability distribution, which can be used to stochastically generate permeability fields within biofilms. An increase in velocity variance for a decrease in physical heterogeneity shows that the bioclogged porous medium behaves differently than expected from studies on heterogeneity in abiotic porous media.","container-title":"Environmental Science &amp; Technology","DOI":"10.1021/acs.est.2c08890","ISSN":"0013-936X","issue":"14","journalAbbreviation":"Environ. Sci. Technol.","note":"publisher: American Chemical Society","page":"5666-5677","source":"ACS Publications","title":"Morphogenesis of Biofilms in Porous Media and Control on Hydrodynamics","volume":"57","author":[{"family":"Kurz","given":"Dorothee L."},{"family":"Secchi","given":"Eleonora"},{"family":"Stocker","given":"Roman"},{"family":"Jimenez-Martinez","given":"Joaquin"}],"issued":{"date-parts":[["2023",4,11]]}}}],"schema":"https://github.com/citation-style-language/schema/raw/master/csl-citation.json"} </w:instrText>
      </w:r>
      <w:r w:rsidR="003B6675" w:rsidRPr="00F871F8">
        <w:fldChar w:fldCharType="separate"/>
      </w:r>
      <w:r w:rsidR="00432E5F" w:rsidRPr="00F871F8">
        <w:rPr>
          <w:vertAlign w:val="superscript"/>
        </w:rPr>
        <w:t>46–49</w:t>
      </w:r>
      <w:r w:rsidR="003B6675" w:rsidRPr="00F871F8">
        <w:fldChar w:fldCharType="end"/>
      </w:r>
      <w:r w:rsidR="00F14191" w:rsidRPr="00F871F8">
        <w:t xml:space="preserve">, </w:t>
      </w:r>
      <w:r w:rsidR="00E43218" w:rsidRPr="00F871F8">
        <w:t>hotspot development</w:t>
      </w:r>
      <w:r w:rsidR="00B4663F" w:rsidRPr="00F871F8">
        <w:fldChar w:fldCharType="begin"/>
      </w:r>
      <w:r w:rsidR="005A46A6" w:rsidRPr="00F871F8">
        <w:instrText xml:space="preserve"> ADDIN ZOTERO_ITEM CSL_CITATION {"citationID":"tjGzIVau","properties":{"formattedCitation":"\\super 50,51\\nosupersub{}","plainCitation":"50,51","noteIndex":0},"citationItems":[{"id":1352,"uris":["http://zotero.org/users/7069502/items/WEFJR5ZS"],"itemData":{"id":1352,"type":"article-journal","abstract":"Abstract\n            \n              Microbial activity in soil is spatially heterogeneous often forming spatial hotspots that contribute disproportionally to biogeochemical processes. Evidence suggests that bacterial spatial organization contributes to the persistence of anoxic hotspots even in unsaturated soils. Such processes are difficult to observe in situ at the microscale, hence mechanisms and time scales relevant for bacterial spatial organization remain largely qualitative. Here we develop an experimental platform based on glass-etched micrometric pore networks that mimics resource gradients postulated in soil aggregates to observe spatial organization of fluorescently tagged aerobic and facultative anaerobic bacteria. Two initially intermixed bacterial species,\n              Pseudomonas putida\n              and\n              Pseudomonas veronii\n              , segregate into preferential regions promoted by opposing gradients of carbon and oxygen (such persistent coexistence is not possible in well-mixed cultures). The study provides quantitative visualization and modeling of bacterial spatial organization within aggregate-like hotspots, a key step towards developing a mechanistic representation of bacterial community organization in soil pores.","container-title":"Nature Communications","DOI":"10.1038/s41467-018-03187-y","ISSN":"2041-1723","issue":"1","journalAbbreviation":"Nat. Commun.","language":"en","page":"769","source":"DOI.org (Crossref)","title":"Spatial organization of bacterial populations in response to oxygen and carbon counter-gradients in pore networks","volume":"9","author":[{"family":"Borer","given":"Benedict"},{"family":"Tecon","given":"Robin"},{"family":"Or","given":"Dani"}],"issued":{"date-parts":[["2018",2,22]]}}},{"id":1351,"uris":["http://zotero.org/users/7069502/items/3J38KQS5"],"itemData":{"id":1351,"type":"article-journal","abstract":"Bacterial metabolisms using electron acceptors other than oxygen (e.g., methanogenesis and fermentation) largely contribute to element cycling and natural contaminant attenuation/mobilization, even in well-oxygenated porous environments, such as shallow aquifers. This paradox is commonly explained by the occurrence of small-scale anoxic microenvironments generated by the coupling of bacterial respiration and dissolved oxygen (O2) transport by pore water. Such microenvironments allow facultative anaerobic bacteria to proliferate in oxic environments. Microenvironment dynamics are still poorly understood due to the challenge of directly observing biomass and O2 distributions at the microscale within an opaque sediment matrix. To overcome these limitations, we integrated a microfluidic device with transparent O2 planar optical sensors to measure the temporal behavior of dissolved O2 concentrations and biomass distributions with time-lapse videomicroscopy. Our results reveal that bacterial colony morphology, which is highly variable in flowing porous systems, controls the formation of anoxic microenvironments. We rationalize our observations through a colony-scale Damköhler number comparing dissolved O2 diffusion and a bacterial O2 uptake rate. Our Damköhler number enables us to predict the pore space fraction occupied by anoxic microenvironments in our system for a given bacterial organization.","container-title":"Environmental Science &amp; Technology","DOI":"10.1021/acs.est.2c05842","ISSN":"0013-936X, 1520-5851","issue":"23","journalAbbreviation":"Environ. Sci. Technol.","language":"en","page":"17471-17480","source":"DOI.org (Crossref)","title":"Morphology and Size of Bacterial Colonies Control Anoxic Microenvironment Formation in Porous Media","volume":"56","author":[{"family":"Ceriotti","given":"Giulia"},{"family":"Borisov","given":"Sergey M."},{"family":"Berg","given":"Jasmine S."},{"family":"Anna","given":"Pietro","non-dropping-particle":"de"}],"issued":{"date-parts":[["2022",12,6]]}}}],"schema":"https://github.com/citation-style-language/schema/raw/master/csl-citation.json"} </w:instrText>
      </w:r>
      <w:r w:rsidR="00B4663F" w:rsidRPr="00F871F8">
        <w:fldChar w:fldCharType="separate"/>
      </w:r>
      <w:r w:rsidR="00432E5F" w:rsidRPr="00F871F8">
        <w:rPr>
          <w:vertAlign w:val="superscript"/>
        </w:rPr>
        <w:t>50,51</w:t>
      </w:r>
      <w:r w:rsidR="00B4663F" w:rsidRPr="00F871F8">
        <w:fldChar w:fldCharType="end"/>
      </w:r>
      <w:r w:rsidR="00BF1B24" w:rsidRPr="00F871F8">
        <w:t xml:space="preserve">, </w:t>
      </w:r>
      <w:r w:rsidR="009820AA" w:rsidRPr="00F871F8">
        <w:t>abiotic metal precipitation</w:t>
      </w:r>
      <w:r w:rsidR="009820AA" w:rsidRPr="00F871F8">
        <w:fldChar w:fldCharType="begin"/>
      </w:r>
      <w:r w:rsidR="00432E5F" w:rsidRPr="00F871F8">
        <w:instrText xml:space="preserve"> ADDIN ZOTERO_ITEM CSL_CITATION {"citationID":"5LHthfRM","properties":{"formattedCitation":"\\super 52,53\\nosupersub{}","plainCitation":"52,53","noteIndex":0},"citationItems":[{"id":1695,"uris":["http://zotero.org/users/7069502/items/XUZPTNBL"],"itemData":{"id":1695,"type":"article-journal","abstract":"Precipitates induced by the pore-scale mixing of iron sulfate solutions with simulated groundwater were investigated using a microﬂuidic pore model to assess the environmental impacts of the inﬁltration of acid mine drainage into a shallow aquifer. This model was employed to visualize the formation of precipitates in a porous network and to evaluate their physicochemical inﬂuences on pore ﬂow. Four types of groundwater (NaeHCO3, NaeSO4, NaeCl, and CaeCl) were evaluated, and precipitation rates were calculated by processing images of precipitates in the pores captured via microscopy. The results showed that all groundwater types formed a yellow-brownish precipitate at the interface of the iron solution and simulated groundwater ﬂow. Microscopic X-ray analyses demonstrated that precipitate morphology varied with groundwater type. Faster precipitation was observed in the following order by groundwater type: NaeHCO3 &gt; NaeCl &gt; NaeSO4 &gt; CaeCl, which was attributed to the different stability constants of the major anions in each simulated groundwater with Fe ions. Chemical equilibrium models suggested that precipitates were Fe minerals, with FeOOH as the predominant form consistent with the results of Xray photoelectron spectrometry. The presence of FeOOH implies that precipitates may serve as an effective sorption barrier against some nutrients and heavy metals for the underlying groundwater. However, dye-ﬂow experiments suggested that the precipitates may clog aquifer pores, thereby altering hydrogeological properties in the aquifer.","container-title":"Chemosphere","DOI":"10.1016/j.chemosphere.2021.129857","ISSN":"00456535","journalAbbreviation":"Chemosphere","language":"en","page":"129857","source":"DOI.org (Crossref)","title":"Microfluidic pore model study of precipitates induced by the pore-scale mixing of an iron sulfate solution with simulated groundwater","volume":"271","author":[{"family":"Park","given":"Saerom"},{"family":"Anggraini","given":"Theresia May"},{"family":"Chung","given":"Jaeshik"},{"family":"Kang","given":"Peter K."},{"family":"Lee","given":"Seunghak"}],"issued":{"date-parts":[["2021",5]]}}},{"id":1371,"uris":["http://zotero.org/users/7069502/items/PZJI5KXW"],"itemData":{"id":1371,"type":"article-journal","abstract":"Arsenic (As) is a toxic element, and elevated levels of geogenic As in drinking water pose a threat to the health of several hundred million people worldwide. In this study, we used microfluidics in combination with optical microscopy and X-ray spectroscopy to investigate zerovalent iron (ZVI) corrosion, secondary iron (Fe) phase formation, and As retention processes at the pore scale in ZVI-based water treatment filters. Two 250 μm thick microchannels filled with single ZVI and quartz grain layers were operated intermittently (12 h flow/12 h no-flow) with synthetic groundwater (pH 7.5; 570 μg/L As(III)) over 13 and 49 days. Initially, lepidocrocite (Lp) and carbonate green rust (GRC) were the dominant secondary Fe-phases and underwent cyclic transformation. During no-flow, lepidocrocite partially transformed into GRC and small fractions of magnetite, kinetically limited by Fe(II) diffusion or by decreasing corrosion rates. When flow resumed, GRC rapidly and nearly completely transformed back into lepidocrocite. Longer filter operation combined with a prolonged no-flow period accelerated magnetite formation. Phosphate adsorption onto Fe-phases allowed for downstream calcium carbonate precipitation and, consequently, accelerated anoxic ZVI corrosion. Arsenic was retained on Fe-coated quartz grains and in zones of cyclic Lp-GRC transformation. Our results suggest that intermittent filter operation leads to denser secondary Fe-solids and thereby ensures prolonged filter performance.","container-title":"Environmental Science &amp; Technology","DOI":"10.1021/acs.est.2c02189","ISSN":"0013-936X, 1520-5851","issue":"19","journalAbbreviation":"Environ. Sci. Technol.","language":"en","page":"13696-13708","source":"DOI.org (Crossref)","title":"Spatiotemporal Mineral Phase Evolution and Arsenic Retention in Microfluidic Models of Zerovalent Iron-Based Water Treatment","volume":"56","author":[{"family":"Wielinski","given":"Jonas"},{"family":"Jimenez-Martinez","given":"Joaquin"},{"family":"Göttlicher","given":"Jörg"},{"family":"Steininger","given":"Ralph"},{"family":"Mangold","given":"Stefan"},{"family":"Hug","given":"Stephan J."},{"family":"Berg","given":"Michael"},{"family":"Voegelin","given":"Andreas"}],"issued":{"date-parts":[["2022",10,4]]}}}],"schema":"https://github.com/citation-style-language/schema/raw/master/csl-citation.json"} </w:instrText>
      </w:r>
      <w:r w:rsidR="009820AA" w:rsidRPr="00F871F8">
        <w:fldChar w:fldCharType="separate"/>
      </w:r>
      <w:r w:rsidR="00432E5F" w:rsidRPr="00F871F8">
        <w:rPr>
          <w:vertAlign w:val="superscript"/>
        </w:rPr>
        <w:t>52,53</w:t>
      </w:r>
      <w:r w:rsidR="009820AA" w:rsidRPr="00F871F8">
        <w:fldChar w:fldCharType="end"/>
      </w:r>
      <w:r w:rsidR="009820AA" w:rsidRPr="00F871F8">
        <w:t xml:space="preserve">, </w:t>
      </w:r>
      <w:r w:rsidR="00CB5FD0" w:rsidRPr="00F871F8">
        <w:t xml:space="preserve">and </w:t>
      </w:r>
      <w:r w:rsidR="000E55EA" w:rsidRPr="00F871F8">
        <w:t xml:space="preserve">calcite </w:t>
      </w:r>
      <w:r w:rsidR="00CB5FD0" w:rsidRPr="00F871F8">
        <w:t>biomineralization</w:t>
      </w:r>
      <w:r w:rsidRPr="00F871F8">
        <w:fldChar w:fldCharType="begin"/>
      </w:r>
      <w:r w:rsidR="00432E5F" w:rsidRPr="00F871F8">
        <w:instrText xml:space="preserve"> ADDIN ZOTERO_ITEM CSL_CITATION {"citationID":"SncidVkP","properties":{"formattedCitation":"\\super 34,54\\uc0\\u8211{}56\\nosupersub{}","plainCitation":"34,54–56","noteIndex":0},"citationItems":[{"id":1080,"uris":["http://zotero.org/users/7069502/items/JNT4PY7A"],"itemData":{"id":1080,"type":"article-journal","abstract":"Microorganisms capable of biomineralization can catalyze mineral precipitation by modifying local physical and chemical conditions. In porous media, such as soil and rock, these microorganisms live and function in highly heterogeneous physical, chemical and ecological microenvironments, with strong local gradients created by both microbial activity and the pore-scale structure of the subsurface. Here, we focus on extracellular bacterial biomineralization, which is sensitive to external heterogeneity, and review the pore-scale processes controlling microbial biomineralization in natural and engineered porous media. We discuss how individual physical, chemical and ecological factors integrate to affect the spatial and temporal control of biomineralization, and how each of these factors contributes to a quantitative understanding of biomineralization in porous media. We find that an improved understanding of microbial behavior in heterogeneous microenvironments would promote understanding of natural systems and output in diverse technological applications, including improved representation and control of fluid mixing from pore to field scales. We suggest a range of directions by which future work can build from existing tools to advance each of these areas to improve understanding and predictability of biomineralization science and technology.","container-title":"Reviews in Environmental Science and Bio/Technology","DOI":"10.1007/s11157-021-09603-y","ISSN":"1572-9826","issue":"1","journalAbbreviation":"Rev. Environ. Sci. Biotechnol.","language":"en","page":"27-52","source":"Springer Link","title":"Controlling pore-scale processes to tame subsurface biomineralization","volume":"21","author":[{"family":"Jimenez-Martinez","given":"Joaquin"},{"family":"Nguyen","given":"Jen"},{"family":"Or","given":"Dani"}],"issued":{"date-parts":[["2022",3,1]]}}},{"id":1683,"uris":["http://zotero.org/users/7069502/items/H8E6ELDG"],"itemData":{"id":1683,"type":"article-journal","abstract":"Abstract\n            \n              Microbially induced calcium carbonate (CaCO\n              3\n              ) precipitation (MICP) is one of the major sustainable alternatives to the artificial cementation of granular media. MICP consists of injecting the soil with bacterial- and calcium-rich solutions sequentially to form calcite bonds among the soil particles that improve the strength and stiffness of soils. The performance of MICP is governed by the underlying microscale processes of bacterial growth, reactive transport of solutes, reaction rates, crystal nucleation and growth. However, the impact of pore-scale heterogeneity on these processes during MICP is not well understood. This paper sheds light on the effect of pore-scale heterogeneity on the spatiotemporal evolution of MICP, overall chemical reaction efficiency and permeability evolution by combining two meter-long microfluidic devices of identical dimensions and porosity with homogeneous and heterogeneous porous networks and real-time monitoring. The two chips received, in triplicate, MICP treatment with an imposed flow and the same initial conditions, while the inlet and outlet pressures were periodically monitored. This paper proposes a comprehensive workflow destined to detect bacteria and crystals from time-lapse microscopy data at multiple positions along a microfluidic replica of porous media treated with MICP. CaCO\n              3\n              crystals were formed 1 h after the introduction of the cementation solution (CS), and crystal growth was completed 12 h later. The average crystal growth rate was overall higher in the heterogeneous porous medium, while it became slower after the first 3 h of cementation injection. It was found that the average chemical reaction efficiency presented a peak of 34% at the middle of the chip and remained above 20% before the last 90 mm of the reactive path for the heterogeneous porous network. The homogeneous porous medium presented an overall lower average reaction efficiency, which peaked at 27% 420 mm downstream of the inlet and remained lower than 12% for the rest of the microfluidic channel. These different trends of chemical efficiency in the two networks are due to a higher number of crystals of higher average diameter in the heterogeneous medium than in the homogeneous porous medium. In the interval between 480 and 900 mm, the number of crystals in the heterogeneous porous medium is more than double the number of crystals in the homogeneous porous medium. The average diameters of the crystals were 23–46 μm in the heterogeneous porous medium, compared to 17–40 μm in the homogeneous porous medium across the whole chip. The permeability of the heterogeneous porous medium was more affected than that of the homogeneous system, while the pressure sensors effectively captured a higher decrease in the permeability during the first two hours when crystals were formed and a less prominent decrease during the subsequent seeded growth of the existing crystals, as well as the nucleation and growth of new crystals.","container-title":"Scientific Reports","DOI":"10.1038/s41598-022-24124-6","ISSN":"2045-2322","issue":"1","journalAbbreviation":"Sci. Rep.","language":"en","page":"19553","source":"DOI.org (Crossref)","title":"Microfluidic study in a meter-long reactive path reveals how the medium’s structural heterogeneity shapes MICP-induced biocementation","volume":"12","author":[{"family":"Elmaloglou","given":"Ariadni"},{"family":"Terzis","given":"Dimitrios"},{"family":"De Anna","given":"Pietro"},{"family":"Laloui","given":"Lyesse"}],"issued":{"date-parts":[["2022",11,15]]}}},{"id":1707,"uris":["http://zotero.org/users/7069502/items/E5IN4AS2"],"itemData":{"id":1707,"type":"article-journal","abstract":"Microbial-induced calcium carbonate precipitation (MICP) is an innovative ground improvement technique which can enhance the strength and stiffness of soils and can also control their hydraulic conductivity. These engineering properties of MICP-treated soils are affected by the particle-scale behaviour of the precipitated calcium carbonate – namely, the composition, amount and distribution, which are controlled by the MICP process occurring at the particle scale. In this study, a microfluidic chip was designed and fabricated to improve understanding of MICP at the particle scale by observing the behaviour of bacteria and calcium carbonate crystals during this process. It was found that bacteria became evenly distributed throughout the microfluidic chip after the injection of bacterial suspension, grew during bacterial settling and detached during the injection of cementation solution. Bacteria aggregated during the cementation solution injection, and calcium carbonate crystals formed at narrow pore throats or open pore bodies either during or after the cementation solution injections.","container-title":"Géotechnique","DOI":"10.1680/jgeot.18.P.031","ISSN":"0016-8505, 1751-7656","issue":"12","journalAbbreviation":"Géotechnique","language":"en","page":"1086-1094","source":"DOI.org (Crossref)","title":"A microfluidic chip and its use in characterising the particle-scale behaviour of microbial-induced calcium carbonate precipitation (MICP)","volume":"69","author":[{"family":"Wang","given":"Yuze"},{"family":"Soga","given":"Kenichi"},{"family":"Dejong","given":"Jason T."},{"family":"Kabla","given":"Alexandre J."}],"issued":{"date-parts":[["2019",12]]}}},{"id":1776,"uris":["http://zotero.org/users/7069502/items/KKKHAT83"],"itemData":{"id":1776,"type":"article-journal","abstract":"Microbially induced carbonate precipitation (MICP) involves a series of bio-geochemical reactions whereby microbes alter the surrounding aqueous environment and induce calcium carbonate precipitation. MICP has a broad range of applications, including in situ soil stabilization. However, the reliability of this process is dependent on a number of environmental conditions. In particular, bacterial growth, urease activity and precipitation kinetics all depend on temperature. Batch test and microfluidic chip experiments were performed in this study to investigate the effects of temperature on bacterial density and activity and the MICP processes occurring at different temperatures (4–50 °C). Spatial and temporal variations in the formation and development of calcium carbonate precipitates, including their amount, type, growth rate, formation and deformation characteristics, were monitored. Results show that different types of calcium carbonate precipitates with varying sizes and quantities were produced by varying the temperature. Low temperature (4 °C) did not reduce urease activity, but limited the final amount of cementation; low temperature reduced bacterial growth and attachment ratio, as well as calcium carbonate precipitation rate. High-temperature (50 °C) conditions significantly reduced urease activity within a short period of time, while a repeated injection of bacteria before every two injections of cementation solution increased the final amount of cementation. The findings made from this paper provide insight into how MICP processes vary across a range of temperatures and could be valuable for optimizing the MICP process for different applications.","container-title":"Acta Geotechnica","DOI":"10.1007/s11440-022-01664-9","ISSN":"1861-1133","issue":"4","journalAbbreviation":"Acta Geotech.","language":"en","page":"2239-2261","source":"Springer Link","title":"Microscale investigations of temperature-dependent microbially induced carbonate precipitation (MICP) in the temperature range 4–50 °C","volume":"18","author":[{"family":"Wang","given":"Yuze"},{"family":"Wang","given":"Yong"},{"family":"Soga","given":"Kenichi"},{"family":"DeJong","given":"Jason T."},{"family":"Kabla","given":"Alexandre J."}],"issued":{"date-parts":[["2023",4,1]]}}}],"schema":"https://github.com/citation-style-language/schema/raw/master/csl-citation.json"} </w:instrText>
      </w:r>
      <w:r w:rsidRPr="00F871F8">
        <w:fldChar w:fldCharType="separate"/>
      </w:r>
      <w:r w:rsidR="00432E5F" w:rsidRPr="00F871F8">
        <w:rPr>
          <w:vertAlign w:val="superscript"/>
        </w:rPr>
        <w:t>34,54–56</w:t>
      </w:r>
      <w:r w:rsidRPr="00F871F8">
        <w:fldChar w:fldCharType="end"/>
      </w:r>
      <w:r w:rsidRPr="00F871F8">
        <w:t xml:space="preserve">. Additionally, microfluidic systems allow users to control and systematically vary boundary conditions, including metal concentration, presence or absence of dissolved oxygen, and fluid flow rate. Finally, depending on the reactor substrate material, direct measurements of </w:t>
      </w:r>
      <w:r w:rsidR="00C61CD5" w:rsidRPr="00F871F8">
        <w:t>microbe-mineral-fluid interactions</w:t>
      </w:r>
      <w:r w:rsidRPr="00F871F8">
        <w:t xml:space="preserve"> can be acquired using X-ray, Raman, or infrared spectroscopy</w:t>
      </w:r>
      <w:r w:rsidRPr="00F871F8">
        <w:fldChar w:fldCharType="begin"/>
      </w:r>
      <w:r w:rsidR="00432E5F" w:rsidRPr="00F871F8">
        <w:instrText xml:space="preserve"> ADDIN ZOTERO_ITEM CSL_CITATION {"citationID":"6wV1u57Z","properties":{"formattedCitation":"\\super 57\\nosupersub{}","plainCitation":"57","noteIndex":0},"citationItems":[{"id":1301,"uris":["http://zotero.org/users/7069502/items/LZ295Y24"],"itemData":{"id":1301,"type":"article-journal","abstract":"Microfluidic soil chips render optical access to the naturally opaque soil systems and enable direct investigation of microbial growth and interactions in micro-structurally and chemically controlled environments. However, chemical analyses of these interactions at high spatial and temporal resolution are still lacking. Here we propose that the use of advanced microspectroscopy techniques, namely infrared absorption, Raman scattering and synchrotron radiation based X-ray microspectroscopy, in microfluidic soil chips would make it possible to approach these phenomena. They allow monitoring biogeochemical processes in and around soil microbial cells growing in the reproducibly designed microenvironments within the chips at (sub)micrometer scale. Comple­ mentary use of several of the microspectroscopy techniques is beneficial for obtaining information about both molecular and elemental composition, oxidation states and local structure of the elements in the sample. Ulti­ mately, we argue that microspectroscopy in microfluidic chips can lead to relevant breakthroughs in frontier research areas in soil science, such as (1) analysis of chemical responses of microbes to environmental triggers at micro-scale spatial resolution, (2) phenotypical identification and phylogenetic classification of single cells of soil microbes in situ, (3) determining spatially and time resolved effects of heavy metals and organic pollutants, including microplastics, on soils and (4) spatially resolved analysis of soil organic matter dynamics for better understanding of soil carbon storage. Tailoring the chip design to achieve optical transparency to the radiation type used by the different microspectroscopy methods is crucial to achieve this; therefore, we expect that this perspective will inspire the scientific community to use the proposed approaches and thus push both the tech­ nical development of the microspectroscopy suitable soil chips and the research frontier in soil science.","container-title":"Soil Biology and Biochemistry","DOI":"10.1016/j.soilbio.2020.108078","ISSN":"00380717","journalAbbreviation":"Soil Biol. Biochem.","language":"en","page":"108078","source":"DOI.org (Crossref)","title":"Shining new light into soil systems: Spectroscopy in microfluidic soil chips reveals microbial biogeochemistry","title-short":"Shining new light into soil systems","volume":"153","author":[{"family":"Pucetaite","given":"Milda"},{"family":"Ohlsson","given":"Pelle"},{"family":"Persson","given":"Per"},{"family":"Hammer","given":"Edith"}],"issued":{"date-parts":[["2021",2]]}}}],"schema":"https://github.com/citation-style-language/schema/raw/master/csl-citation.json"} </w:instrText>
      </w:r>
      <w:r w:rsidRPr="00F871F8">
        <w:fldChar w:fldCharType="separate"/>
      </w:r>
      <w:r w:rsidR="00432E5F" w:rsidRPr="00F871F8">
        <w:rPr>
          <w:vertAlign w:val="superscript"/>
        </w:rPr>
        <w:t>57</w:t>
      </w:r>
      <w:r w:rsidRPr="00F871F8">
        <w:fldChar w:fldCharType="end"/>
      </w:r>
      <w:r w:rsidRPr="00F871F8">
        <w:t xml:space="preserve">. The development of </w:t>
      </w:r>
      <w:r w:rsidR="00472101" w:rsidRPr="00F871F8">
        <w:t xml:space="preserve">such </w:t>
      </w:r>
      <w:r w:rsidRPr="00F871F8">
        <w:t xml:space="preserve">a microfluidics-based platform </w:t>
      </w:r>
      <w:r w:rsidR="008A3A1E" w:rsidRPr="00F871F8">
        <w:t xml:space="preserve">for metal oxide precipitation </w:t>
      </w:r>
      <w:r w:rsidRPr="00F871F8">
        <w:t xml:space="preserve">thus provides an avenue for novel research on the </w:t>
      </w:r>
      <w:r w:rsidRPr="00F871F8">
        <w:lastRenderedPageBreak/>
        <w:t xml:space="preserve">formation and reactivity of </w:t>
      </w:r>
      <w:r w:rsidR="000B72B2" w:rsidRPr="00F871F8">
        <w:t>Mn or Fe</w:t>
      </w:r>
      <w:r w:rsidR="00472101" w:rsidRPr="00F871F8">
        <w:t xml:space="preserve"> </w:t>
      </w:r>
      <w:r w:rsidRPr="00F871F8">
        <w:t>mineral phases</w:t>
      </w:r>
      <w:r w:rsidR="00472101" w:rsidRPr="00F871F8">
        <w:t xml:space="preserve"> that drive carbon, nutrient</w:t>
      </w:r>
      <w:r w:rsidR="00FC1D47" w:rsidRPr="00F871F8">
        <w:t>,</w:t>
      </w:r>
      <w:r w:rsidR="00472101" w:rsidRPr="00F871F8">
        <w:t xml:space="preserve"> and contaminant cycling in </w:t>
      </w:r>
      <w:r w:rsidR="00822287" w:rsidRPr="00F871F8">
        <w:t>porous environments</w:t>
      </w:r>
      <w:r w:rsidRPr="00F871F8">
        <w:t xml:space="preserve">. </w:t>
      </w:r>
    </w:p>
    <w:p w14:paraId="4338154C" w14:textId="77777777" w:rsidR="004D0CD4" w:rsidRPr="00F871F8" w:rsidRDefault="004D0CD4" w:rsidP="001B0A4E"/>
    <w:p w14:paraId="47D79F92" w14:textId="4D82D40B" w:rsidR="00F054B8" w:rsidRPr="00F871F8" w:rsidRDefault="00000000" w:rsidP="001B0A4E">
      <w:r w:rsidRPr="00F871F8">
        <w:t xml:space="preserve">This work uses Mn biomineralization as a case study to quantify </w:t>
      </w:r>
      <w:r w:rsidR="003B0E0A" w:rsidRPr="00F871F8">
        <w:t xml:space="preserve">the </w:t>
      </w:r>
      <w:r w:rsidR="00B2356B" w:rsidRPr="00F871F8">
        <w:t>microbial</w:t>
      </w:r>
      <w:r w:rsidRPr="00F871F8">
        <w:t xml:space="preserve"> precipitation </w:t>
      </w:r>
      <w:r w:rsidR="003B0E0A" w:rsidRPr="00F871F8">
        <w:t xml:space="preserve">of Mn oxides </w:t>
      </w:r>
      <w:r w:rsidRPr="00F871F8">
        <w:t xml:space="preserve">in a dynamic porous environment. </w:t>
      </w:r>
      <w:r w:rsidR="003D1EAD" w:rsidRPr="00F871F8">
        <w:t xml:space="preserve">The following </w:t>
      </w:r>
      <w:r w:rsidRPr="00F871F8">
        <w:t xml:space="preserve">protocol demonstrates how to fabricate and inoculate a microfluidic </w:t>
      </w:r>
      <w:r w:rsidR="00F7440F" w:rsidRPr="00F871F8">
        <w:t>reactor</w:t>
      </w:r>
      <w:r w:rsidRPr="00F871F8">
        <w:t xml:space="preserve"> with </w:t>
      </w:r>
      <w:r w:rsidRPr="00F871F8">
        <w:rPr>
          <w:i/>
          <w:iCs/>
        </w:rPr>
        <w:t>Pseudomonas putida</w:t>
      </w:r>
      <w:r w:rsidRPr="00F871F8">
        <w:t xml:space="preserve"> GB-1, a model bacterium known to oxidize Mn(II) to Mn(III, IV) at its stationary phase of growth</w:t>
      </w:r>
      <w:r w:rsidRPr="00F871F8">
        <w:fldChar w:fldCharType="begin"/>
      </w:r>
      <w:r w:rsidR="00432E5F" w:rsidRPr="00F871F8">
        <w:instrText xml:space="preserve"> ADDIN ZOTERO_ITEM CSL_CITATION {"citationID":"FPaX27AL","properties":{"formattedCitation":"\\super 58,59\\nosupersub{}","plainCitation":"58,59","noteIndex":0},"citationItems":[{"id":1685,"uris":["http://zotero.org/users/7069502/items/KN87TNUZ"],"itemData":{"id":1685,"type":"article-journal","abstract":"ABSTRACT\n            \n              Bacterial manganese(II) oxidation impacts the redox cycling of Mn, other elements, and compounds in the environment; therefore, it is important to understand the mechanisms of and enzymes responsible for Mn(II) oxidation. In several Mn(II)-oxidizing organisms, the identified Mn(II) oxidase belongs to either the multicopper oxidase (MCO) or the heme peroxidase family of proteins. However, the identity of the oxidase in\n              Pseudomonas putida\n              GB-1 has long remained unknown. To identify the\n              P. putida\n              GB-1 oxidase, we searched its genome and found several homologues of known or suspected Mn(II) oxidase-encoding genes (\n              mnxG\n              ,\n              mofA\n              ,\n              moxA\n              , and\n              mopA\n              ). To narrow this list, we assumed that the Mn(II) oxidase gene would be conserved among Mn(II)-oxidizing pseudomonads but not in nonoxidizers and performed a genome comparison to 11\n              Pseudomonas\n              species. We further assumed that the oxidase gene would be regulated by MnxR, a transcription factor required for Mn(II) oxidation. Two loci met all these criteria: PputGB1_2447, which encodes an MCO homologous to MnxG, and PputGB1_2665, which encodes an MCO with very low homology to MofA. In-frame deletions of each locus resulted in strains that retained some ability to oxidize Mn(II) or Mn(III); loss of oxidation was attained only upon deletion of both genes. These results suggest that PputGB1_2447 and PputGB1_2665 encode two MCOs that are independently capable of oxidizing both Mn(II) and Mn(III). The purpose of this redundancy is unclear; however, differences in oxidation phenotype for the single mutants suggest specialization in function for the two enzymes.","container-title":"Applied and Environmental Microbiology","DOI":"10.1128/AEM.01850-12","ISSN":"0099-2240, 1098-5336","issue":"1","journalAbbreviation":"Appl. Environ. Microbiol.","language":"en","page":"357-366","source":"DOI.org (Crossref)","title":"Elimination of Manganese(II,III) Oxidation in Pseudomonas putida GB-1 by a Double Knockout of Two Putative Multicopper Oxidase Genes","volume":"79","author":[{"family":"Geszvain","given":"Kati"},{"family":"McCarthy","given":"James K."},{"family":"Tebo","given":"Bradley M."}],"issued":{"date-parts":[["2013",1]]}}},{"id":1837,"uris":["http://zotero.org/users/7069502/items/W6HSB4R5"],"itemData":{"id":1837,"type":"article-journal","abstract":"The enzymatic oxidation of aqueous divalent manganese (Mn) is a widespread microbial trait that produces reactive Mn(III, IV) oxide minerals. These biominerals drive carbon, nutrient, and trace metal cycles, thus playing important environmental and ecological roles. However, the regulatory mechanisms and physiological functions of Mn biomineralization are unknown. This challenge arises from the common occurrence of multiple Mn oxidases within the same organism and the use of Mn oxides as indicators of combined gene activity. Through the detection of gene activation in individual cells, we discover that expression of mnxG and mcoA, two Mn oxidase-encoding genes in Pseudomonas putida GB-1, is confined to subsets of cells within the population, with each gene showing distinct spatiotemporal patterns that reflect local microenvironments. These coordinated intra-population dynamics control Mn biomineralization and illuminate the strategies used by microbial communities to dictate the extent, location, and timing of biogeochemical transformations.","container-title":"npj Biofilms and Microbiomes","DOI":"10.1038/s41522-025-00670-5","ISSN":"2055-5008","issue":"1","journalAbbreviation":"NPJ Biofilms Microbiomes","language":"en","license":"2025 The Author(s)","note":"publisher: Nature Publishing Group","page":"1-12","source":"www.nature.com","title":"Population-level control of two manganese oxidases expands the niche for bacterial manganese biomineralization","volume":"11","author":[{"family":"Gehin","given":"Gaitan"},{"family":"Carraro","given":"Nicolas"},{"family":"Meer","given":"Jan Roelof","non-dropping-particle":"van der"},{"family":"Peña","given":"Jasquelin"}],"issued":{"date-parts":[["2025",3,24]]}}}],"schema":"https://github.com/citation-style-language/schema/raw/master/csl-citation.json"} </w:instrText>
      </w:r>
      <w:r w:rsidRPr="00F871F8">
        <w:fldChar w:fldCharType="separate"/>
      </w:r>
      <w:r w:rsidR="00432E5F" w:rsidRPr="00F871F8">
        <w:rPr>
          <w:vertAlign w:val="superscript"/>
        </w:rPr>
        <w:t>58,59</w:t>
      </w:r>
      <w:r w:rsidRPr="00F871F8">
        <w:fldChar w:fldCharType="end"/>
      </w:r>
      <w:r w:rsidRPr="00F871F8">
        <w:t xml:space="preserve">. Using a pressure-based flow control system, nutrient-rich </w:t>
      </w:r>
      <w:r w:rsidR="00D47F46" w:rsidRPr="00F871F8">
        <w:t xml:space="preserve">growth </w:t>
      </w:r>
      <w:r w:rsidRPr="00F871F8">
        <w:t xml:space="preserve">medium and minimal salt solution </w:t>
      </w:r>
      <w:r w:rsidR="00DC422B" w:rsidRPr="00F871F8">
        <w:t xml:space="preserve">are sequentially </w:t>
      </w:r>
      <w:r w:rsidR="0062529D" w:rsidRPr="00F871F8">
        <w:t>injected</w:t>
      </w:r>
      <w:r w:rsidR="00DC422B" w:rsidRPr="00F871F8">
        <w:t xml:space="preserve"> </w:t>
      </w:r>
      <w:r w:rsidRPr="00F871F8">
        <w:t xml:space="preserve">to promote biofilm formation and induce Mn oxide precipitation, respectively. </w:t>
      </w:r>
      <w:r w:rsidR="00DC422B" w:rsidRPr="00F871F8">
        <w:t>H</w:t>
      </w:r>
      <w:r w:rsidRPr="00F871F8">
        <w:t xml:space="preserve">igh-resolution color brightfield images of the microfluidic pore space </w:t>
      </w:r>
      <w:r w:rsidR="00DC422B" w:rsidRPr="00F871F8">
        <w:t xml:space="preserve">are collected </w:t>
      </w:r>
      <w:r w:rsidRPr="00F871F8">
        <w:t xml:space="preserve">at regular time intervals, capturing the color contrast between </w:t>
      </w:r>
      <w:r w:rsidRPr="00F871F8">
        <w:rPr>
          <w:i/>
          <w:iCs/>
        </w:rPr>
        <w:t>P. putida</w:t>
      </w:r>
      <w:r w:rsidRPr="00F871F8">
        <w:t xml:space="preserve"> GB-1 biofilms and accumulating Mn oxides. At the end of each experiment, all Mn oxides contained within the reactor </w:t>
      </w:r>
      <w:r w:rsidR="00371E2E" w:rsidRPr="00F871F8">
        <w:t>are digested</w:t>
      </w:r>
      <w:r w:rsidR="00B72939" w:rsidRPr="00F871F8">
        <w:t>,</w:t>
      </w:r>
      <w:r w:rsidR="00371E2E" w:rsidRPr="00F871F8">
        <w:t xml:space="preserve"> </w:t>
      </w:r>
      <w:r w:rsidRPr="00F871F8">
        <w:t xml:space="preserve">and the total mass </w:t>
      </w:r>
      <w:r w:rsidR="00371E2E" w:rsidRPr="00F871F8">
        <w:t xml:space="preserve">is measured </w:t>
      </w:r>
      <w:r w:rsidRPr="00F871F8">
        <w:t xml:space="preserve">with inductively coupled plasma mass spectrometry (ICP-MS). </w:t>
      </w:r>
      <w:r w:rsidR="003E23A7" w:rsidRPr="00F871F8">
        <w:t xml:space="preserve">The </w:t>
      </w:r>
      <w:r w:rsidR="00FE1709" w:rsidRPr="00F871F8">
        <w:t xml:space="preserve">rate of Mn oxide precipitation </w:t>
      </w:r>
      <w:r w:rsidR="006160F2" w:rsidRPr="00F871F8">
        <w:t xml:space="preserve">is estimated </w:t>
      </w:r>
      <w:r w:rsidR="00FE1709" w:rsidRPr="00F871F8">
        <w:t>as a function of time</w:t>
      </w:r>
      <w:r w:rsidR="006160F2" w:rsidRPr="00F871F8">
        <w:t xml:space="preserve"> by integrating</w:t>
      </w:r>
      <w:r w:rsidR="007D4464" w:rsidRPr="00F871F8">
        <w:t xml:space="preserve"> these endpoint mass </w:t>
      </w:r>
      <w:r w:rsidR="000A48BF" w:rsidRPr="00F871F8">
        <w:t>measurements</w:t>
      </w:r>
      <w:r w:rsidR="007D4464" w:rsidRPr="00F871F8">
        <w:t xml:space="preserve"> with an image subtraction algorithm</w:t>
      </w:r>
      <w:r w:rsidR="00FE1709" w:rsidRPr="00F871F8">
        <w:t xml:space="preserve">. </w:t>
      </w:r>
      <w:r w:rsidR="003B0E0A" w:rsidRPr="00F871F8">
        <w:t>This workflow</w:t>
      </w:r>
      <w:r w:rsidRPr="00F871F8">
        <w:t xml:space="preserve"> can be readily adapted to investigate other organisms or metal </w:t>
      </w:r>
      <w:r w:rsidR="003B0E0A" w:rsidRPr="00F871F8">
        <w:t xml:space="preserve">oxide precipitation </w:t>
      </w:r>
      <w:r w:rsidRPr="00F871F8">
        <w:t xml:space="preserve">processes under a variety of </w:t>
      </w:r>
      <w:r w:rsidR="00D207DE" w:rsidRPr="00F871F8">
        <w:t xml:space="preserve">environmental </w:t>
      </w:r>
      <w:r w:rsidR="00565A2F" w:rsidRPr="00F871F8">
        <w:t>conditions</w:t>
      </w:r>
      <w:r w:rsidR="00D207DE" w:rsidRPr="00F871F8">
        <w:t>.</w:t>
      </w:r>
    </w:p>
    <w:p w14:paraId="080FECE1" w14:textId="77777777" w:rsidR="00B124D2" w:rsidRPr="00F871F8" w:rsidRDefault="00B124D2" w:rsidP="001B0A4E">
      <w:pPr>
        <w:rPr>
          <w:b/>
        </w:rPr>
      </w:pPr>
    </w:p>
    <w:p w14:paraId="5DE251FC" w14:textId="39A2E6CD" w:rsidR="00F054B8" w:rsidRPr="00F871F8" w:rsidRDefault="00000000" w:rsidP="001B0A4E">
      <w:r w:rsidRPr="00F871F8">
        <w:rPr>
          <w:b/>
        </w:rPr>
        <w:t>PROTOCOL:</w:t>
      </w:r>
      <w:r w:rsidRPr="00F871F8">
        <w:t xml:space="preserve"> </w:t>
      </w:r>
    </w:p>
    <w:p w14:paraId="793D0E7F" w14:textId="6A6C9833" w:rsidR="00FF7D68" w:rsidRPr="00F871F8" w:rsidRDefault="00000000" w:rsidP="001B0A4E">
      <w:r w:rsidRPr="00F871F8">
        <w:t>NOTE:</w:t>
      </w:r>
      <w:r w:rsidR="00CC4A06" w:rsidRPr="00F871F8">
        <w:rPr>
          <w:b/>
          <w:bCs/>
        </w:rPr>
        <w:t xml:space="preserve"> </w:t>
      </w:r>
      <w:r w:rsidR="00CC4A06" w:rsidRPr="00F871F8">
        <w:t xml:space="preserve">This protocol makes several assumptions about </w:t>
      </w:r>
      <w:r w:rsidR="00B72939" w:rsidRPr="00F871F8">
        <w:t xml:space="preserve">users' </w:t>
      </w:r>
      <w:r w:rsidR="00CC4A06" w:rsidRPr="00F871F8">
        <w:t xml:space="preserve">background knowledge and </w:t>
      </w:r>
      <w:r w:rsidR="00B2293C" w:rsidRPr="00F871F8">
        <w:t>available</w:t>
      </w:r>
      <w:r w:rsidR="00B05A51" w:rsidRPr="00F871F8">
        <w:t xml:space="preserve"> instrumentation</w:t>
      </w:r>
      <w:r w:rsidR="00CC4A06" w:rsidRPr="00F871F8">
        <w:t>.</w:t>
      </w:r>
      <w:r w:rsidR="00865AA7" w:rsidRPr="00F871F8">
        <w:t xml:space="preserve"> First, users </w:t>
      </w:r>
      <w:r w:rsidR="0037029E" w:rsidRPr="00F871F8">
        <w:t xml:space="preserve">should </w:t>
      </w:r>
      <w:r w:rsidR="00865AA7" w:rsidRPr="00F871F8">
        <w:t xml:space="preserve">either have access to a cleanroom and </w:t>
      </w:r>
      <w:r w:rsidR="005827C7" w:rsidRPr="00F871F8">
        <w:t xml:space="preserve">be </w:t>
      </w:r>
      <w:r w:rsidR="00865AA7" w:rsidRPr="00F871F8">
        <w:t>familiar with photolithography procedures to fabricate a microfluidic mold or purchase a commercial mold</w:t>
      </w:r>
      <w:r w:rsidR="008D2694" w:rsidRPr="00F871F8">
        <w:t xml:space="preserve">. </w:t>
      </w:r>
      <w:r w:rsidR="00CC4A06" w:rsidRPr="00F871F8">
        <w:t>Next, users</w:t>
      </w:r>
      <w:r w:rsidR="00BE6C8F" w:rsidRPr="00F871F8">
        <w:t xml:space="preserve"> should be familiar with</w:t>
      </w:r>
      <w:r w:rsidR="00CC4A06" w:rsidRPr="00F871F8">
        <w:t xml:space="preserve"> basic microbiology methods, such as using aseptic technique, preparing stock solutions, and streaking plates. </w:t>
      </w:r>
      <w:r w:rsidR="00BE6C8F" w:rsidRPr="00F871F8">
        <w:t>Users also need</w:t>
      </w:r>
      <w:r w:rsidR="00B05A51" w:rsidRPr="00F871F8">
        <w:t xml:space="preserve"> </w:t>
      </w:r>
      <w:r w:rsidR="00CC4A06" w:rsidRPr="00F871F8">
        <w:t xml:space="preserve">access to an autoclave, microcentrifuge, </w:t>
      </w:r>
      <w:r w:rsidR="00B845B0" w:rsidRPr="00F871F8">
        <w:t xml:space="preserve">shaker </w:t>
      </w:r>
      <w:r w:rsidR="00CC4A06" w:rsidRPr="00F871F8">
        <w:t xml:space="preserve">incubator, and </w:t>
      </w:r>
      <w:r w:rsidR="00AC0223" w:rsidRPr="00F871F8">
        <w:t xml:space="preserve">mass </w:t>
      </w:r>
      <w:r w:rsidR="00CC4A06" w:rsidRPr="00F871F8">
        <w:t xml:space="preserve">spectrometer. Finally, </w:t>
      </w:r>
      <w:r w:rsidR="00BE6C8F" w:rsidRPr="00F871F8">
        <w:t>users should be</w:t>
      </w:r>
      <w:r w:rsidR="00CC4A06" w:rsidRPr="00F871F8">
        <w:t xml:space="preserve"> proficient with optical microscopy and image analysis. </w:t>
      </w:r>
    </w:p>
    <w:p w14:paraId="7597EFC2" w14:textId="77777777" w:rsidR="009B5BB5" w:rsidRPr="00F871F8" w:rsidRDefault="009B5BB5" w:rsidP="001B0A4E">
      <w:pPr>
        <w:pStyle w:val="ListParagraph"/>
        <w:spacing w:after="0" w:line="240" w:lineRule="auto"/>
        <w:ind w:left="1080"/>
        <w:contextualSpacing w:val="0"/>
        <w:jc w:val="both"/>
        <w:rPr>
          <w:rFonts w:ascii="Calibri" w:hAnsi="Calibri" w:cs="Calibri"/>
          <w:sz w:val="24"/>
          <w:szCs w:val="24"/>
        </w:rPr>
      </w:pPr>
    </w:p>
    <w:p w14:paraId="5EEE9189" w14:textId="77777777" w:rsidR="00CC4A06" w:rsidRPr="00F871F8" w:rsidRDefault="00000000" w:rsidP="001B0A4E">
      <w:pPr>
        <w:pStyle w:val="ListParagraph"/>
        <w:numPr>
          <w:ilvl w:val="0"/>
          <w:numId w:val="37"/>
        </w:numPr>
        <w:spacing w:after="0" w:line="240" w:lineRule="auto"/>
        <w:ind w:left="0" w:firstLine="0"/>
        <w:jc w:val="both"/>
        <w:rPr>
          <w:rFonts w:ascii="Calibri" w:hAnsi="Calibri" w:cs="Calibri"/>
          <w:b/>
          <w:bCs/>
          <w:sz w:val="24"/>
          <w:szCs w:val="24"/>
        </w:rPr>
      </w:pPr>
      <w:r w:rsidRPr="00F871F8">
        <w:rPr>
          <w:rFonts w:ascii="Calibri" w:hAnsi="Calibri" w:cs="Calibri"/>
          <w:b/>
          <w:bCs/>
          <w:sz w:val="24"/>
          <w:szCs w:val="24"/>
        </w:rPr>
        <w:t>Microfluidic reactor fabrication and assembly</w:t>
      </w:r>
    </w:p>
    <w:p w14:paraId="5E22C1F7" w14:textId="77777777" w:rsidR="003850D6" w:rsidRPr="00F871F8" w:rsidRDefault="003850D6" w:rsidP="001B0A4E">
      <w:pPr>
        <w:pStyle w:val="ListParagraph"/>
        <w:spacing w:after="0" w:line="240" w:lineRule="auto"/>
        <w:ind w:left="0"/>
        <w:jc w:val="both"/>
        <w:rPr>
          <w:rFonts w:ascii="Calibri" w:hAnsi="Calibri" w:cs="Calibri"/>
          <w:b/>
          <w:bCs/>
          <w:sz w:val="24"/>
          <w:szCs w:val="24"/>
        </w:rPr>
      </w:pPr>
    </w:p>
    <w:p w14:paraId="015224F1" w14:textId="6317BBD6" w:rsidR="00CC4A06" w:rsidRPr="00F871F8" w:rsidRDefault="00000000" w:rsidP="001B0A4E">
      <w:r w:rsidRPr="00F871F8">
        <w:t xml:space="preserve">NOTE: </w:t>
      </w:r>
      <w:r w:rsidR="00963DE4" w:rsidRPr="00F871F8">
        <w:t>The m</w:t>
      </w:r>
      <w:r w:rsidR="00833211" w:rsidRPr="00F871F8">
        <w:t xml:space="preserve">icrofluidic reactors </w:t>
      </w:r>
      <w:r w:rsidR="00963DE4" w:rsidRPr="00F871F8">
        <w:t xml:space="preserve">used in this protocol </w:t>
      </w:r>
      <w:r w:rsidR="00DB29C6" w:rsidRPr="00F871F8">
        <w:t xml:space="preserve">are designed </w:t>
      </w:r>
      <w:r w:rsidR="00142E34" w:rsidRPr="00F871F8">
        <w:t xml:space="preserve">in AutoCAD </w:t>
      </w:r>
      <w:r w:rsidR="00DB29C6" w:rsidRPr="00F871F8">
        <w:t>with a</w:t>
      </w:r>
      <w:r w:rsidR="00833211" w:rsidRPr="00F871F8">
        <w:t xml:space="preserve"> sand grain geometry adapted from Wang et al.</w:t>
      </w:r>
      <w:r w:rsidR="00833211" w:rsidRPr="00F871F8">
        <w:fldChar w:fldCharType="begin"/>
      </w:r>
      <w:r w:rsidR="00432E5F" w:rsidRPr="00F871F8">
        <w:instrText xml:space="preserve"> ADDIN ZOTERO_ITEM CSL_CITATION {"citationID":"uqM3826O","properties":{"formattedCitation":"\\super 55\\nosupersub{}","plainCitation":"55","noteIndex":0},"citationItems":[{"id":1707,"uris":["http://zotero.org/users/7069502/items/E5IN4AS2"],"itemData":{"id":1707,"type":"article-journal","abstract":"Microbial-induced calcium carbonate precipitation (MICP) is an innovative ground improvement technique which can enhance the strength and stiffness of soils and can also control their hydraulic conductivity. These engineering properties of MICP-treated soils are affected by the particle-scale behaviour of the precipitated calcium carbonate – namely, the composition, amount and distribution, which are controlled by the MICP process occurring at the particle scale. In this study, a microfluidic chip was designed and fabricated to improve understanding of MICP at the particle scale by observing the behaviour of bacteria and calcium carbonate crystals during this process. It was found that bacteria became evenly distributed throughout the microfluidic chip after the injection of bacterial suspension, grew during bacterial settling and detached during the injection of cementation solution. Bacteria aggregated during the cementation solution injection, and calcium carbonate crystals formed at narrow pore throats or open pore bodies either during or after the cementation solution injections.","container-title":"Géotechnique","DOI":"10.1680/jgeot.18.P.031","ISSN":"0016-8505, 1751-7656","issue":"12","journalAbbreviation":"Géotechnique","language":"en","page":"1086-1094","source":"DOI.org (Crossref)","title":"A microfluidic chip and its use in characterising the particle-scale behaviour of microbial-induced calcium carbonate precipitation (MICP)","volume":"69","author":[{"family":"Wang","given":"Yuze"},{"family":"Soga","given":"Kenichi"},{"family":"Dejong","given":"Jason T."},{"family":"Kabla","given":"Alexandre J."}],"issued":{"date-parts":[["2019",12]]}}}],"schema":"https://github.com/citation-style-language/schema/raw/master/csl-citation.json"} </w:instrText>
      </w:r>
      <w:r w:rsidR="00833211" w:rsidRPr="00F871F8">
        <w:fldChar w:fldCharType="separate"/>
      </w:r>
      <w:r w:rsidR="00432E5F" w:rsidRPr="00F871F8">
        <w:rPr>
          <w:vertAlign w:val="superscript"/>
        </w:rPr>
        <w:t>55</w:t>
      </w:r>
      <w:r w:rsidR="00833211" w:rsidRPr="00F871F8">
        <w:fldChar w:fldCharType="end"/>
      </w:r>
      <w:r w:rsidR="00B72939" w:rsidRPr="00F871F8">
        <w:t>.</w:t>
      </w:r>
      <w:r w:rsidR="0097362F" w:rsidRPr="00F871F8">
        <w:t xml:space="preserve"> </w:t>
      </w:r>
      <w:r w:rsidR="009C195A" w:rsidRPr="00F871F8">
        <w:t>Each</w:t>
      </w:r>
      <w:r w:rsidR="0097362F" w:rsidRPr="00F871F8">
        <w:t xml:space="preserve"> mold produces six replicate channel</w:t>
      </w:r>
      <w:r w:rsidR="00C17D69" w:rsidRPr="00F871F8">
        <w:t>s</w:t>
      </w:r>
      <w:r w:rsidR="0046351D" w:rsidRPr="00F871F8">
        <w:t xml:space="preserve"> with a</w:t>
      </w:r>
      <w:r w:rsidR="00C7083B" w:rsidRPr="00F871F8">
        <w:t xml:space="preserve"> </w:t>
      </w:r>
      <w:r w:rsidR="00A67787" w:rsidRPr="00F871F8">
        <w:t xml:space="preserve">15 </w:t>
      </w:r>
      <w:r w:rsidR="00B72939" w:rsidRPr="00F871F8">
        <w:t xml:space="preserve">mm </w:t>
      </w:r>
      <w:r w:rsidR="00B72939" w:rsidRPr="00F871F8">
        <w:rPr>
          <w:rFonts w:ascii="Symbol" w:hAnsi="Symbol"/>
        </w:rPr>
        <w:sym w:font="Symbol" w:char="F0B4"/>
      </w:r>
      <w:r w:rsidR="00A67787" w:rsidRPr="00F871F8">
        <w:t xml:space="preserve"> 10 mm pore space</w:t>
      </w:r>
      <w:r w:rsidR="00972542" w:rsidRPr="00F871F8">
        <w:t>, porosity of 0.41,</w:t>
      </w:r>
      <w:r w:rsidR="00A67787" w:rsidRPr="00F871F8">
        <w:t xml:space="preserve"> and </w:t>
      </w:r>
      <w:r w:rsidR="0046351D" w:rsidRPr="00F871F8">
        <w:t>pore volume of 2.3 µL</w:t>
      </w:r>
      <w:r w:rsidR="0097362F" w:rsidRPr="00F871F8">
        <w:t xml:space="preserve">. </w:t>
      </w:r>
      <w:r w:rsidRPr="00F871F8">
        <w:t>Except for plasma treatment, reactors are fabricated in a laminar flow cabinet</w:t>
      </w:r>
      <w:r w:rsidR="00D17FAD" w:rsidRPr="00F871F8">
        <w:t xml:space="preserve"> to</w:t>
      </w:r>
      <w:r w:rsidRPr="00F871F8">
        <w:t xml:space="preserve"> maintain a low-dust environment. </w:t>
      </w:r>
    </w:p>
    <w:p w14:paraId="7A754AF2" w14:textId="77777777" w:rsidR="003850D6" w:rsidRPr="00F871F8" w:rsidRDefault="003850D6" w:rsidP="001B0A4E"/>
    <w:p w14:paraId="73C57A8A" w14:textId="1910BA23" w:rsidR="004E0E8A"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C</w:t>
      </w:r>
      <w:r w:rsidR="00CC4A06" w:rsidRPr="00F871F8">
        <w:rPr>
          <w:rFonts w:ascii="Calibri" w:hAnsi="Calibri" w:cs="Calibri"/>
          <w:sz w:val="24"/>
          <w:szCs w:val="24"/>
        </w:rPr>
        <w:t xml:space="preserve">ast the </w:t>
      </w:r>
      <w:r w:rsidR="009572D9" w:rsidRPr="00F871F8">
        <w:rPr>
          <w:rFonts w:ascii="Calibri" w:hAnsi="Calibri" w:cs="Calibri"/>
          <w:sz w:val="24"/>
          <w:szCs w:val="24"/>
        </w:rPr>
        <w:t xml:space="preserve">microfluidic </w:t>
      </w:r>
      <w:r w:rsidR="004F1822" w:rsidRPr="00F871F8">
        <w:rPr>
          <w:rFonts w:ascii="Calibri" w:hAnsi="Calibri" w:cs="Calibri"/>
          <w:sz w:val="24"/>
          <w:szCs w:val="24"/>
        </w:rPr>
        <w:t xml:space="preserve">channels </w:t>
      </w:r>
      <w:r w:rsidR="00CC4A06" w:rsidRPr="00F871F8">
        <w:rPr>
          <w:rFonts w:ascii="Calibri" w:hAnsi="Calibri" w:cs="Calibri"/>
          <w:sz w:val="24"/>
          <w:szCs w:val="24"/>
        </w:rPr>
        <w:t xml:space="preserve">in </w:t>
      </w:r>
      <w:r w:rsidR="007408E4" w:rsidRPr="00F871F8">
        <w:rPr>
          <w:rFonts w:ascii="Calibri" w:hAnsi="Calibri" w:cs="Calibri"/>
          <w:sz w:val="24"/>
          <w:szCs w:val="24"/>
        </w:rPr>
        <w:t>polydimethylsiloxane (PDMS)</w:t>
      </w:r>
      <w:r w:rsidRPr="00F871F8">
        <w:rPr>
          <w:rFonts w:ascii="Calibri" w:hAnsi="Calibri" w:cs="Calibri"/>
          <w:sz w:val="24"/>
          <w:szCs w:val="24"/>
        </w:rPr>
        <w:t xml:space="preserve"> using soft lithography.</w:t>
      </w:r>
    </w:p>
    <w:p w14:paraId="05297604" w14:textId="686535BF" w:rsidR="001F3624" w:rsidRPr="00F871F8" w:rsidRDefault="001F3624" w:rsidP="001B0A4E">
      <w:pPr>
        <w:pStyle w:val="ListParagraph"/>
        <w:spacing w:after="0" w:line="240" w:lineRule="auto"/>
        <w:ind w:left="0"/>
        <w:contextualSpacing w:val="0"/>
        <w:jc w:val="both"/>
        <w:rPr>
          <w:rFonts w:ascii="Calibri" w:hAnsi="Calibri" w:cs="Calibri"/>
          <w:sz w:val="24"/>
          <w:szCs w:val="24"/>
        </w:rPr>
      </w:pPr>
    </w:p>
    <w:p w14:paraId="277F3AA8" w14:textId="0C58573C" w:rsidR="00B81922"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In a plastic cup, weigh elastomer base and curing agent </w:t>
      </w:r>
      <w:r w:rsidR="00C17D69" w:rsidRPr="00F871F8">
        <w:rPr>
          <w:rFonts w:ascii="Calibri" w:hAnsi="Calibri" w:cs="Calibri"/>
          <w:sz w:val="24"/>
          <w:szCs w:val="24"/>
        </w:rPr>
        <w:t>in a 10:1 ratio (here, 25 g and 2.5 g, respectively).</w:t>
      </w:r>
    </w:p>
    <w:p w14:paraId="169C2BC9" w14:textId="77777777" w:rsidR="000510BF" w:rsidRPr="00F871F8" w:rsidRDefault="000510BF" w:rsidP="001B0A4E">
      <w:pPr>
        <w:pStyle w:val="ListParagraph"/>
        <w:spacing w:after="0" w:line="240" w:lineRule="auto"/>
        <w:ind w:left="0"/>
        <w:contextualSpacing w:val="0"/>
        <w:jc w:val="both"/>
        <w:rPr>
          <w:rFonts w:ascii="Calibri" w:hAnsi="Calibri" w:cs="Calibri"/>
          <w:sz w:val="24"/>
          <w:szCs w:val="24"/>
        </w:rPr>
      </w:pPr>
    </w:p>
    <w:p w14:paraId="432B383D" w14:textId="1B161775" w:rsidR="000510BF"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Using a plastic knife, mix the elastomer base and curing agent thoroughly for 10 min.</w:t>
      </w:r>
    </w:p>
    <w:p w14:paraId="3D6897C5" w14:textId="77777777" w:rsidR="000510BF" w:rsidRPr="00F871F8" w:rsidRDefault="000510BF" w:rsidP="001B0A4E">
      <w:pPr>
        <w:pStyle w:val="ListParagraph"/>
        <w:spacing w:after="0" w:line="240" w:lineRule="auto"/>
        <w:ind w:left="0"/>
        <w:contextualSpacing w:val="0"/>
        <w:jc w:val="both"/>
        <w:rPr>
          <w:rFonts w:ascii="Calibri" w:hAnsi="Calibri" w:cs="Calibri"/>
          <w:sz w:val="24"/>
          <w:szCs w:val="24"/>
        </w:rPr>
      </w:pPr>
    </w:p>
    <w:p w14:paraId="69591F11" w14:textId="25334144" w:rsidR="000510BF"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Degas the PDMS in the cup using a vacuum desiccator for 1 h to remove </w:t>
      </w:r>
      <w:r w:rsidR="0024243B" w:rsidRPr="00F871F8">
        <w:rPr>
          <w:rFonts w:ascii="Calibri" w:hAnsi="Calibri" w:cs="Calibri"/>
          <w:sz w:val="24"/>
          <w:szCs w:val="24"/>
        </w:rPr>
        <w:t xml:space="preserve">air </w:t>
      </w:r>
      <w:r w:rsidRPr="00F871F8">
        <w:rPr>
          <w:rFonts w:ascii="Calibri" w:hAnsi="Calibri" w:cs="Calibri"/>
          <w:sz w:val="24"/>
          <w:szCs w:val="24"/>
        </w:rPr>
        <w:t>bubbles.</w:t>
      </w:r>
    </w:p>
    <w:p w14:paraId="3B2D3904" w14:textId="77777777" w:rsidR="000510BF" w:rsidRPr="00F871F8" w:rsidRDefault="000510BF" w:rsidP="001B0A4E"/>
    <w:p w14:paraId="22A043E1" w14:textId="66EF1A21" w:rsidR="000510BF"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Pour the PDMS into the mold and degas for 30 min to remove any residual air.</w:t>
      </w:r>
    </w:p>
    <w:p w14:paraId="169B3A11" w14:textId="77777777" w:rsidR="000510BF" w:rsidRPr="00F871F8" w:rsidRDefault="000510BF" w:rsidP="001B0A4E"/>
    <w:p w14:paraId="22D0431D" w14:textId="499C6278" w:rsidR="000510BF"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Place the mold on a hot pla</w:t>
      </w:r>
      <w:r w:rsidR="00097FCA" w:rsidRPr="00F871F8">
        <w:rPr>
          <w:rFonts w:ascii="Calibri" w:hAnsi="Calibri" w:cs="Calibri"/>
          <w:sz w:val="24"/>
          <w:szCs w:val="24"/>
        </w:rPr>
        <w:t>t</w:t>
      </w:r>
      <w:r w:rsidRPr="00F871F8">
        <w:rPr>
          <w:rFonts w:ascii="Calibri" w:hAnsi="Calibri" w:cs="Calibri"/>
          <w:sz w:val="24"/>
          <w:szCs w:val="24"/>
        </w:rPr>
        <w:t>e and cure for 3 h at 95 °C.</w:t>
      </w:r>
    </w:p>
    <w:p w14:paraId="79ABF8F9" w14:textId="4FF93920" w:rsidR="003850D6" w:rsidRPr="00F871F8" w:rsidRDefault="003850D6" w:rsidP="001B0A4E">
      <w:pPr>
        <w:pStyle w:val="ListParagraph"/>
        <w:spacing w:after="0" w:line="240" w:lineRule="auto"/>
        <w:ind w:left="0"/>
        <w:contextualSpacing w:val="0"/>
        <w:jc w:val="both"/>
        <w:rPr>
          <w:rFonts w:ascii="Calibri" w:hAnsi="Calibri" w:cs="Calibri"/>
          <w:sz w:val="24"/>
          <w:szCs w:val="24"/>
        </w:rPr>
      </w:pPr>
    </w:p>
    <w:p w14:paraId="32A5803B" w14:textId="19288695"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Once </w:t>
      </w:r>
      <w:r w:rsidR="00172252" w:rsidRPr="00F871F8">
        <w:rPr>
          <w:rFonts w:ascii="Calibri" w:hAnsi="Calibri" w:cs="Calibri"/>
          <w:sz w:val="24"/>
          <w:szCs w:val="24"/>
        </w:rPr>
        <w:t xml:space="preserve">cured and </w:t>
      </w:r>
      <w:r w:rsidRPr="00F871F8">
        <w:rPr>
          <w:rFonts w:ascii="Calibri" w:hAnsi="Calibri" w:cs="Calibri"/>
          <w:sz w:val="24"/>
          <w:szCs w:val="24"/>
        </w:rPr>
        <w:t xml:space="preserve">cooled, use a scalpel to cut </w:t>
      </w:r>
      <w:r w:rsidR="00E85197" w:rsidRPr="00F871F8">
        <w:rPr>
          <w:rFonts w:ascii="Calibri" w:hAnsi="Calibri" w:cs="Calibri"/>
          <w:sz w:val="24"/>
          <w:szCs w:val="24"/>
        </w:rPr>
        <w:t xml:space="preserve">out the PDMS </w:t>
      </w:r>
      <w:r w:rsidRPr="00F871F8">
        <w:rPr>
          <w:rFonts w:ascii="Calibri" w:hAnsi="Calibri" w:cs="Calibri"/>
          <w:sz w:val="24"/>
          <w:szCs w:val="24"/>
        </w:rPr>
        <w:t xml:space="preserve">and peel </w:t>
      </w:r>
      <w:r w:rsidR="00172252" w:rsidRPr="00F871F8">
        <w:rPr>
          <w:rFonts w:ascii="Calibri" w:hAnsi="Calibri" w:cs="Calibri"/>
          <w:sz w:val="24"/>
          <w:szCs w:val="24"/>
        </w:rPr>
        <w:t xml:space="preserve">it from </w:t>
      </w:r>
      <w:r w:rsidRPr="00F871F8">
        <w:rPr>
          <w:rFonts w:ascii="Calibri" w:hAnsi="Calibri" w:cs="Calibri"/>
          <w:sz w:val="24"/>
          <w:szCs w:val="24"/>
        </w:rPr>
        <w:t xml:space="preserve">the mold. </w:t>
      </w:r>
    </w:p>
    <w:p w14:paraId="3C4EB315" w14:textId="77777777" w:rsidR="003850D6" w:rsidRPr="00F871F8" w:rsidRDefault="003850D6" w:rsidP="001B0A4E"/>
    <w:p w14:paraId="123536D2" w14:textId="208DDC62"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On a cutting mat, cut the six microfluidic channels apart with a razor blade, leaving 2</w:t>
      </w:r>
      <w:r w:rsidR="00B72939" w:rsidRPr="00F871F8">
        <w:rPr>
          <w:rFonts w:ascii="Calibri" w:hAnsi="Calibri" w:cs="Calibri"/>
          <w:sz w:val="24"/>
          <w:szCs w:val="24"/>
        </w:rPr>
        <w:t>–</w:t>
      </w:r>
      <w:r w:rsidRPr="00F871F8">
        <w:rPr>
          <w:rFonts w:ascii="Calibri" w:hAnsi="Calibri" w:cs="Calibri"/>
          <w:sz w:val="24"/>
          <w:szCs w:val="24"/>
        </w:rPr>
        <w:t>3 mm around the edge of each channel. Punch inlet and outlet holes in each channel with a biopsy punch.</w:t>
      </w:r>
    </w:p>
    <w:p w14:paraId="73913250" w14:textId="77777777" w:rsidR="003850D6" w:rsidRPr="00F871F8" w:rsidRDefault="003850D6" w:rsidP="001B0A4E"/>
    <w:p w14:paraId="1E84D289" w14:textId="7475C0EB"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Cover both sides of </w:t>
      </w:r>
      <w:r w:rsidR="009572D9" w:rsidRPr="00F871F8">
        <w:rPr>
          <w:rFonts w:ascii="Calibri" w:hAnsi="Calibri" w:cs="Calibri"/>
          <w:sz w:val="24"/>
          <w:szCs w:val="24"/>
        </w:rPr>
        <w:t xml:space="preserve">each </w:t>
      </w:r>
      <w:r w:rsidRPr="00F871F8">
        <w:rPr>
          <w:rFonts w:ascii="Calibri" w:hAnsi="Calibri" w:cs="Calibri"/>
          <w:sz w:val="24"/>
          <w:szCs w:val="24"/>
        </w:rPr>
        <w:t>microfluidic channel with a strip of clear tape to prevent dust accumulation and store in a 100-mm Petri dish.</w:t>
      </w:r>
    </w:p>
    <w:p w14:paraId="082DD27F" w14:textId="77777777" w:rsidR="003850D6" w:rsidRPr="00F871F8" w:rsidRDefault="003850D6" w:rsidP="001B0A4E"/>
    <w:p w14:paraId="688D86BE" w14:textId="0A5FC67B"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One day prior to the experiment, assemble the final microfluidic reactor</w:t>
      </w:r>
      <w:r w:rsidR="00910012" w:rsidRPr="00F871F8">
        <w:rPr>
          <w:rFonts w:ascii="Calibri" w:hAnsi="Calibri" w:cs="Calibri"/>
          <w:sz w:val="24"/>
          <w:szCs w:val="24"/>
        </w:rPr>
        <w:t xml:space="preserve"> with </w:t>
      </w:r>
      <w:r w:rsidR="00D41E49" w:rsidRPr="00F871F8">
        <w:rPr>
          <w:rFonts w:ascii="Calibri" w:hAnsi="Calibri" w:cs="Calibri"/>
          <w:sz w:val="24"/>
          <w:szCs w:val="24"/>
        </w:rPr>
        <w:t xml:space="preserve">air </w:t>
      </w:r>
      <w:r w:rsidR="00910012" w:rsidRPr="00F871F8">
        <w:rPr>
          <w:rFonts w:ascii="Calibri" w:hAnsi="Calibri" w:cs="Calibri"/>
          <w:sz w:val="24"/>
          <w:szCs w:val="24"/>
        </w:rPr>
        <w:t>plasma</w:t>
      </w:r>
      <w:r w:rsidR="00D41E49" w:rsidRPr="00F871F8">
        <w:rPr>
          <w:rFonts w:ascii="Calibri" w:hAnsi="Calibri" w:cs="Calibri"/>
          <w:sz w:val="24"/>
          <w:szCs w:val="24"/>
        </w:rPr>
        <w:t>.</w:t>
      </w:r>
    </w:p>
    <w:p w14:paraId="5A9F0975" w14:textId="77777777" w:rsidR="003850D6" w:rsidRPr="00F871F8" w:rsidRDefault="003850D6" w:rsidP="001B0A4E">
      <w:pPr>
        <w:pStyle w:val="ListParagraph"/>
        <w:spacing w:after="0" w:line="240" w:lineRule="auto"/>
        <w:ind w:left="0"/>
        <w:contextualSpacing w:val="0"/>
        <w:jc w:val="both"/>
        <w:rPr>
          <w:rFonts w:ascii="Calibri" w:hAnsi="Calibri" w:cs="Calibri"/>
          <w:sz w:val="24"/>
          <w:szCs w:val="24"/>
        </w:rPr>
      </w:pPr>
    </w:p>
    <w:p w14:paraId="187710FA" w14:textId="6CE9FB03"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Remove the </w:t>
      </w:r>
      <w:r w:rsidR="001013B6" w:rsidRPr="00F871F8">
        <w:rPr>
          <w:rFonts w:ascii="Calibri" w:hAnsi="Calibri" w:cs="Calibri"/>
          <w:sz w:val="24"/>
          <w:szCs w:val="24"/>
        </w:rPr>
        <w:t xml:space="preserve">clear </w:t>
      </w:r>
      <w:r w:rsidRPr="00F871F8">
        <w:rPr>
          <w:rFonts w:ascii="Calibri" w:hAnsi="Calibri" w:cs="Calibri"/>
          <w:sz w:val="24"/>
          <w:szCs w:val="24"/>
        </w:rPr>
        <w:t xml:space="preserve">tape from </w:t>
      </w:r>
      <w:r w:rsidR="009572D9" w:rsidRPr="00F871F8">
        <w:rPr>
          <w:rFonts w:ascii="Calibri" w:hAnsi="Calibri" w:cs="Calibri"/>
          <w:sz w:val="24"/>
          <w:szCs w:val="24"/>
        </w:rPr>
        <w:t xml:space="preserve">one </w:t>
      </w:r>
      <w:r w:rsidRPr="00F871F8">
        <w:rPr>
          <w:rFonts w:ascii="Calibri" w:hAnsi="Calibri" w:cs="Calibri"/>
          <w:sz w:val="24"/>
          <w:szCs w:val="24"/>
        </w:rPr>
        <w:t>microfluidic channel, then rinse the PDMS and a glass</w:t>
      </w:r>
      <w:r w:rsidR="00774CA0" w:rsidRPr="00F871F8">
        <w:rPr>
          <w:rFonts w:ascii="Calibri" w:hAnsi="Calibri" w:cs="Calibri"/>
          <w:sz w:val="24"/>
          <w:szCs w:val="24"/>
        </w:rPr>
        <w:t xml:space="preserve"> </w:t>
      </w:r>
      <w:r w:rsidRPr="00F871F8">
        <w:rPr>
          <w:rFonts w:ascii="Calibri" w:hAnsi="Calibri" w:cs="Calibri"/>
          <w:sz w:val="24"/>
          <w:szCs w:val="24"/>
        </w:rPr>
        <w:t xml:space="preserve">cover slip with 70% ethanol and dry with compressed nitrogen. </w:t>
      </w:r>
    </w:p>
    <w:p w14:paraId="57A8A5FC" w14:textId="77777777" w:rsidR="003850D6" w:rsidRPr="00F871F8" w:rsidRDefault="003850D6" w:rsidP="001B0A4E"/>
    <w:p w14:paraId="2AD2F427" w14:textId="1A265189" w:rsidR="00CC4A06" w:rsidRPr="00F871F8" w:rsidRDefault="00000000" w:rsidP="001B0A4E">
      <w:r w:rsidRPr="00F871F8">
        <w:t>CAUTION:</w:t>
      </w:r>
      <w:r w:rsidRPr="00F871F8">
        <w:rPr>
          <w:b/>
          <w:bCs/>
        </w:rPr>
        <w:t xml:space="preserve"> </w:t>
      </w:r>
      <w:r w:rsidRPr="00F871F8">
        <w:t>Ethanol is flammable. Handle and store according to the safety data sheet.</w:t>
      </w:r>
    </w:p>
    <w:p w14:paraId="7C263546" w14:textId="77777777" w:rsidR="003850D6" w:rsidRPr="00F871F8" w:rsidRDefault="003850D6" w:rsidP="001B0A4E">
      <w:pPr>
        <w:pStyle w:val="ListParagraph"/>
        <w:spacing w:after="0" w:line="240" w:lineRule="auto"/>
        <w:ind w:left="0"/>
        <w:contextualSpacing w:val="0"/>
        <w:jc w:val="both"/>
        <w:rPr>
          <w:rFonts w:ascii="Calibri" w:hAnsi="Calibri" w:cs="Calibri"/>
          <w:b/>
          <w:bCs/>
          <w:sz w:val="24"/>
          <w:szCs w:val="24"/>
        </w:rPr>
      </w:pPr>
    </w:p>
    <w:p w14:paraId="79ED51E2" w14:textId="75F5CA6F" w:rsidR="00CC4A06" w:rsidRPr="00F871F8" w:rsidRDefault="00000000" w:rsidP="001B0A4E">
      <w:pPr>
        <w:pStyle w:val="ListParagraph"/>
        <w:numPr>
          <w:ilvl w:val="2"/>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 xml:space="preserve">Place the microfluidic channel and cover slip face-up in </w:t>
      </w:r>
      <w:r w:rsidR="00882973" w:rsidRPr="00F871F8">
        <w:rPr>
          <w:rFonts w:ascii="Calibri" w:hAnsi="Calibri" w:cs="Calibri"/>
          <w:sz w:val="24"/>
          <w:szCs w:val="24"/>
        </w:rPr>
        <w:t>a</w:t>
      </w:r>
      <w:r w:rsidRPr="00F871F8">
        <w:rPr>
          <w:rFonts w:ascii="Calibri" w:hAnsi="Calibri" w:cs="Calibri"/>
          <w:sz w:val="24"/>
          <w:szCs w:val="24"/>
        </w:rPr>
        <w:t xml:space="preserve"> plasma cleaner. </w:t>
      </w:r>
      <w:r w:rsidR="00882973" w:rsidRPr="00F871F8">
        <w:rPr>
          <w:rFonts w:ascii="Calibri" w:hAnsi="Calibri" w:cs="Calibri"/>
          <w:sz w:val="24"/>
          <w:szCs w:val="24"/>
        </w:rPr>
        <w:t>Evacuate</w:t>
      </w:r>
      <w:r w:rsidRPr="00F871F8">
        <w:rPr>
          <w:rFonts w:ascii="Calibri" w:hAnsi="Calibri" w:cs="Calibri"/>
          <w:sz w:val="24"/>
          <w:szCs w:val="24"/>
        </w:rPr>
        <w:t xml:space="preserve"> the chamber for 1 min, then apply plasma for 1 min </w:t>
      </w:r>
      <w:r w:rsidR="00354210" w:rsidRPr="00F871F8">
        <w:rPr>
          <w:rFonts w:ascii="Calibri" w:hAnsi="Calibri" w:cs="Calibri"/>
          <w:sz w:val="24"/>
          <w:szCs w:val="24"/>
        </w:rPr>
        <w:t>(</w:t>
      </w:r>
      <w:r w:rsidRPr="00F871F8">
        <w:rPr>
          <w:rFonts w:ascii="Calibri" w:hAnsi="Calibri" w:cs="Calibri"/>
          <w:sz w:val="24"/>
          <w:szCs w:val="24"/>
        </w:rPr>
        <w:t>18 W and ~0.5 torr</w:t>
      </w:r>
      <w:r w:rsidR="00354210" w:rsidRPr="00F871F8">
        <w:rPr>
          <w:rFonts w:ascii="Calibri" w:hAnsi="Calibri" w:cs="Calibri"/>
          <w:sz w:val="24"/>
          <w:szCs w:val="24"/>
        </w:rPr>
        <w:t>)</w:t>
      </w:r>
      <w:r w:rsidRPr="00F871F8">
        <w:rPr>
          <w:rFonts w:ascii="Calibri" w:hAnsi="Calibri" w:cs="Calibri"/>
          <w:sz w:val="24"/>
          <w:szCs w:val="24"/>
        </w:rPr>
        <w:t>.</w:t>
      </w:r>
    </w:p>
    <w:p w14:paraId="206B4383"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4E09CE88" w14:textId="03F9ACC0"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Remove the microfluidic channel and cover slip from the plasma cleaner and place the cover slip onto the PDMS, tapping gently to ensure </w:t>
      </w:r>
      <w:r w:rsidR="00721E17" w:rsidRPr="00F871F8">
        <w:rPr>
          <w:rFonts w:ascii="Calibri" w:hAnsi="Calibri" w:cs="Calibri"/>
          <w:sz w:val="24"/>
          <w:szCs w:val="24"/>
        </w:rPr>
        <w:t xml:space="preserve">that </w:t>
      </w:r>
      <w:r w:rsidRPr="00F871F8">
        <w:rPr>
          <w:rFonts w:ascii="Calibri" w:hAnsi="Calibri" w:cs="Calibri"/>
          <w:sz w:val="24"/>
          <w:szCs w:val="24"/>
        </w:rPr>
        <w:t>the features bond to the cover</w:t>
      </w:r>
      <w:r w:rsidR="00DA5653" w:rsidRPr="00F871F8">
        <w:rPr>
          <w:rFonts w:ascii="Calibri" w:hAnsi="Calibri" w:cs="Calibri"/>
          <w:sz w:val="24"/>
          <w:szCs w:val="24"/>
        </w:rPr>
        <w:t xml:space="preserve"> </w:t>
      </w:r>
      <w:r w:rsidRPr="00F871F8">
        <w:rPr>
          <w:rFonts w:ascii="Calibri" w:hAnsi="Calibri" w:cs="Calibri"/>
          <w:sz w:val="24"/>
          <w:szCs w:val="24"/>
        </w:rPr>
        <w:t>slip. Store the assembled reactor in a 100-mm Petri dish overnight.</w:t>
      </w:r>
    </w:p>
    <w:p w14:paraId="609B5134" w14:textId="77777777" w:rsidR="003850D6" w:rsidRPr="00F871F8" w:rsidRDefault="003850D6" w:rsidP="001B0A4E"/>
    <w:p w14:paraId="69451E5B" w14:textId="77777777" w:rsidR="00CC4A06" w:rsidRPr="00F871F8" w:rsidRDefault="00000000" w:rsidP="001B0A4E">
      <w:pPr>
        <w:pStyle w:val="ListParagraph"/>
        <w:numPr>
          <w:ilvl w:val="0"/>
          <w:numId w:val="37"/>
        </w:numPr>
        <w:spacing w:after="0" w:line="240" w:lineRule="auto"/>
        <w:ind w:left="0" w:firstLine="0"/>
        <w:contextualSpacing w:val="0"/>
        <w:jc w:val="both"/>
        <w:rPr>
          <w:rFonts w:ascii="Calibri" w:hAnsi="Calibri" w:cs="Calibri"/>
          <w:b/>
          <w:bCs/>
          <w:sz w:val="24"/>
          <w:szCs w:val="24"/>
        </w:rPr>
      </w:pPr>
      <w:r w:rsidRPr="00F871F8">
        <w:rPr>
          <w:rFonts w:ascii="Calibri" w:hAnsi="Calibri" w:cs="Calibri"/>
          <w:b/>
          <w:bCs/>
          <w:sz w:val="24"/>
          <w:szCs w:val="24"/>
        </w:rPr>
        <w:t>Microfluidic flow control system</w:t>
      </w:r>
    </w:p>
    <w:p w14:paraId="32AAD82E" w14:textId="77777777" w:rsidR="00F56A08" w:rsidRPr="00F871F8" w:rsidRDefault="00F56A08" w:rsidP="001B0A4E">
      <w:pPr>
        <w:pStyle w:val="ListParagraph"/>
        <w:spacing w:after="0" w:line="240" w:lineRule="auto"/>
        <w:ind w:left="0"/>
        <w:contextualSpacing w:val="0"/>
        <w:jc w:val="both"/>
        <w:rPr>
          <w:rFonts w:ascii="Calibri" w:hAnsi="Calibri" w:cs="Calibri"/>
          <w:b/>
          <w:bCs/>
          <w:sz w:val="24"/>
          <w:szCs w:val="24"/>
        </w:rPr>
      </w:pPr>
    </w:p>
    <w:p w14:paraId="1BAA78EE" w14:textId="4B5A4C76" w:rsidR="00CC4A06" w:rsidRPr="00F871F8" w:rsidRDefault="00000000" w:rsidP="001B0A4E">
      <w:r w:rsidRPr="00F871F8">
        <w:t>NOTE:</w:t>
      </w:r>
      <w:r w:rsidRPr="00F871F8">
        <w:rPr>
          <w:b/>
          <w:bCs/>
        </w:rPr>
        <w:t xml:space="preserve"> </w:t>
      </w:r>
      <w:r w:rsidR="00963DE4" w:rsidRPr="00F871F8">
        <w:t>A</w:t>
      </w:r>
      <w:r w:rsidRPr="00F871F8">
        <w:t xml:space="preserve"> modular system from </w:t>
      </w:r>
      <w:proofErr w:type="spellStart"/>
      <w:r w:rsidRPr="00F871F8">
        <w:t>Elveflow</w:t>
      </w:r>
      <w:proofErr w:type="spellEnd"/>
      <w:r w:rsidR="00963DE4" w:rsidRPr="00F871F8">
        <w:t xml:space="preserve"> is used</w:t>
      </w:r>
      <w:r w:rsidRPr="00F871F8">
        <w:t xml:space="preserve"> to facilitate sequential fluid injection with minimal disruptions to pressure and flow rate. </w:t>
      </w:r>
      <w:r w:rsidR="00F361D9" w:rsidRPr="00F871F8">
        <w:t>S</w:t>
      </w:r>
      <w:r w:rsidRPr="00F871F8">
        <w:t xml:space="preserve">ystem components include an air compressor, flow controller, distribution valve, flow sensor, fluid reservoir rack (for 15-mL conical tubes), and </w:t>
      </w:r>
      <w:proofErr w:type="spellStart"/>
      <w:r w:rsidRPr="00F871F8">
        <w:t>Elveflow</w:t>
      </w:r>
      <w:proofErr w:type="spellEnd"/>
      <w:r w:rsidRPr="00F871F8">
        <w:t xml:space="preserve"> Smart Interface (ESI) software (</w:t>
      </w:r>
      <w:r w:rsidRPr="00F871F8">
        <w:rPr>
          <w:b/>
          <w:bCs/>
        </w:rPr>
        <w:t>Figure 1</w:t>
      </w:r>
      <w:r w:rsidRPr="00F871F8">
        <w:t>)</w:t>
      </w:r>
      <w:r w:rsidR="00B72939" w:rsidRPr="00F871F8">
        <w:t xml:space="preserve">. </w:t>
      </w:r>
      <w:r w:rsidR="00F771CF" w:rsidRPr="00F871F8">
        <w:t>Other flow control systems, such as syringe pumps, can be used either in infusion or withdrawal modes, with dedicated syringes or reservoirs for each influent solution and a low dead volume splitter valve to facilitate sequential fluid injection through a single tubing line. However, care should be taken with syringe pumps to minimize pressure fluctuations that may dislodge biofilms.</w:t>
      </w:r>
    </w:p>
    <w:p w14:paraId="176CB5D6" w14:textId="77777777" w:rsidR="00F56A08" w:rsidRPr="00F871F8" w:rsidRDefault="00F56A08" w:rsidP="001B0A4E"/>
    <w:p w14:paraId="1D0D4789" w14:textId="5F797F7A" w:rsidR="00B72939" w:rsidRPr="00F871F8" w:rsidRDefault="00000000" w:rsidP="001B0A4E">
      <w:r w:rsidRPr="00F871F8">
        <w:t xml:space="preserve">[Place </w:t>
      </w:r>
      <w:r w:rsidRPr="00F871F8">
        <w:rPr>
          <w:b/>
          <w:bCs/>
        </w:rPr>
        <w:t>Figure 1</w:t>
      </w:r>
      <w:r w:rsidRPr="00F871F8">
        <w:t xml:space="preserve"> here].</w:t>
      </w:r>
    </w:p>
    <w:p w14:paraId="2960623E" w14:textId="77777777" w:rsidR="00B72939" w:rsidRPr="00F871F8" w:rsidRDefault="00B72939" w:rsidP="001B0A4E"/>
    <w:p w14:paraId="75EDFD34" w14:textId="37472005"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Set up </w:t>
      </w:r>
      <w:r w:rsidR="009D779D" w:rsidRPr="00F871F8">
        <w:rPr>
          <w:rFonts w:ascii="Calibri" w:hAnsi="Calibri" w:cs="Calibri"/>
          <w:sz w:val="24"/>
          <w:szCs w:val="24"/>
        </w:rPr>
        <w:t xml:space="preserve">and calibrate </w:t>
      </w:r>
      <w:r w:rsidRPr="00F871F8">
        <w:rPr>
          <w:rFonts w:ascii="Calibri" w:hAnsi="Calibri" w:cs="Calibri"/>
          <w:sz w:val="24"/>
          <w:szCs w:val="24"/>
        </w:rPr>
        <w:t xml:space="preserve">all hardware per </w:t>
      </w:r>
      <w:r w:rsidR="00B72939" w:rsidRPr="00F871F8">
        <w:rPr>
          <w:rFonts w:ascii="Calibri" w:hAnsi="Calibri" w:cs="Calibri"/>
          <w:sz w:val="24"/>
          <w:szCs w:val="24"/>
        </w:rPr>
        <w:t xml:space="preserve">the </w:t>
      </w:r>
      <w:r w:rsidRPr="00F871F8">
        <w:rPr>
          <w:rFonts w:ascii="Calibri" w:hAnsi="Calibri" w:cs="Calibri"/>
          <w:sz w:val="24"/>
          <w:szCs w:val="24"/>
        </w:rPr>
        <w:t>manufacturer</w:t>
      </w:r>
      <w:r w:rsidR="00B72939" w:rsidRPr="00F871F8">
        <w:rPr>
          <w:rFonts w:ascii="Calibri" w:hAnsi="Calibri" w:cs="Calibri"/>
          <w:sz w:val="24"/>
          <w:szCs w:val="24"/>
        </w:rPr>
        <w:t>'s</w:t>
      </w:r>
      <w:r w:rsidRPr="00F871F8">
        <w:rPr>
          <w:rFonts w:ascii="Calibri" w:hAnsi="Calibri" w:cs="Calibri"/>
          <w:sz w:val="24"/>
          <w:szCs w:val="24"/>
        </w:rPr>
        <w:t xml:space="preserve"> instructions.</w:t>
      </w:r>
    </w:p>
    <w:p w14:paraId="3F7AD83B" w14:textId="77777777" w:rsidR="00F56A08" w:rsidRPr="00F871F8" w:rsidRDefault="00F56A08" w:rsidP="001B0A4E">
      <w:pPr>
        <w:pStyle w:val="ListParagraph"/>
        <w:spacing w:after="0" w:line="240" w:lineRule="auto"/>
        <w:ind w:left="0"/>
        <w:contextualSpacing w:val="0"/>
        <w:jc w:val="both"/>
        <w:rPr>
          <w:rFonts w:ascii="Calibri" w:hAnsi="Calibri" w:cs="Calibri"/>
          <w:sz w:val="24"/>
          <w:szCs w:val="24"/>
        </w:rPr>
      </w:pPr>
    </w:p>
    <w:p w14:paraId="46179D51" w14:textId="65862D0C" w:rsidR="00CC4A06" w:rsidRPr="00F871F8" w:rsidRDefault="00000000" w:rsidP="001B0A4E">
      <w:r w:rsidRPr="00F871F8">
        <w:t xml:space="preserve">NOTE: The </w:t>
      </w:r>
      <w:r w:rsidR="006E5522" w:rsidRPr="00F871F8">
        <w:t xml:space="preserve">fluid reservoir rack, </w:t>
      </w:r>
      <w:r w:rsidRPr="00F871F8">
        <w:t xml:space="preserve">distribution valve, </w:t>
      </w:r>
      <w:r w:rsidR="006E5522" w:rsidRPr="00F871F8">
        <w:t xml:space="preserve">and </w:t>
      </w:r>
      <w:r w:rsidRPr="00F871F8">
        <w:t>flow sensor are installed inside a custom-built microscope incubator to maintain the experiment at 30 °C.</w:t>
      </w:r>
    </w:p>
    <w:p w14:paraId="58DF6A6A" w14:textId="77777777" w:rsidR="00F56A08" w:rsidRPr="00F871F8" w:rsidRDefault="00F56A08" w:rsidP="001B0A4E"/>
    <w:p w14:paraId="12FAF5C9" w14:textId="77777777"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lastRenderedPageBreak/>
        <w:t>Set the air compressor pressure regulator to 3 bar and connect the air compressor outlet to the flow controller inlet with pneumatic polyurethane tubing.</w:t>
      </w:r>
    </w:p>
    <w:p w14:paraId="40B3CCD4"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4CC5AC51" w14:textId="007B07B4"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 xml:space="preserve">Attach a hydrophobic filter to the flow controller outlet to prevent fluid backflow, then connect the flow controller to two inlet ports of the </w:t>
      </w:r>
      <w:r w:rsidR="003324EA" w:rsidRPr="00F871F8">
        <w:rPr>
          <w:rFonts w:ascii="Calibri" w:hAnsi="Calibri" w:cs="Calibri"/>
          <w:sz w:val="24"/>
          <w:szCs w:val="24"/>
        </w:rPr>
        <w:t>fluid reservoir</w:t>
      </w:r>
      <w:r w:rsidRPr="00F871F8">
        <w:rPr>
          <w:rFonts w:ascii="Calibri" w:hAnsi="Calibri" w:cs="Calibri"/>
          <w:sz w:val="24"/>
          <w:szCs w:val="24"/>
        </w:rPr>
        <w:t xml:space="preserve"> rack with </w:t>
      </w:r>
      <w:r w:rsidR="005B233A" w:rsidRPr="00F871F8">
        <w:rPr>
          <w:rFonts w:ascii="Calibri" w:hAnsi="Calibri" w:cs="Calibri"/>
          <w:sz w:val="24"/>
          <w:szCs w:val="24"/>
        </w:rPr>
        <w:t xml:space="preserve">pneumatic </w:t>
      </w:r>
      <w:r w:rsidRPr="00F871F8">
        <w:rPr>
          <w:rFonts w:ascii="Calibri" w:hAnsi="Calibri" w:cs="Calibri"/>
          <w:sz w:val="24"/>
          <w:szCs w:val="24"/>
        </w:rPr>
        <w:t>polyether polyurethane tubing using a manifold and barbed adapters.</w:t>
      </w:r>
    </w:p>
    <w:p w14:paraId="56708E52" w14:textId="77777777" w:rsidR="00CC4A06" w:rsidRPr="00F871F8" w:rsidRDefault="00CC4A06" w:rsidP="001B0A4E">
      <w:pPr>
        <w:pStyle w:val="ListParagraph"/>
        <w:spacing w:after="0" w:line="240" w:lineRule="auto"/>
        <w:ind w:left="0"/>
        <w:rPr>
          <w:rFonts w:ascii="Calibri" w:hAnsi="Calibri" w:cs="Calibri"/>
          <w:sz w:val="24"/>
          <w:szCs w:val="24"/>
        </w:rPr>
      </w:pPr>
    </w:p>
    <w:p w14:paraId="3710B309" w14:textId="11BDE53A"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Connect the fluid reservoir</w:t>
      </w:r>
      <w:r w:rsidR="003324EA" w:rsidRPr="00F871F8">
        <w:rPr>
          <w:rFonts w:ascii="Calibri" w:hAnsi="Calibri" w:cs="Calibri"/>
          <w:sz w:val="24"/>
          <w:szCs w:val="24"/>
        </w:rPr>
        <w:t xml:space="preserve"> rack</w:t>
      </w:r>
      <w:r w:rsidRPr="00F871F8">
        <w:rPr>
          <w:rFonts w:ascii="Calibri" w:hAnsi="Calibri" w:cs="Calibri"/>
          <w:sz w:val="24"/>
          <w:szCs w:val="24"/>
        </w:rPr>
        <w:t>, distribution valve, and flow sensor with tubing as follows, using flangeless fittings for 1/16-in outer diameter tubing unless otherwise noted.</w:t>
      </w:r>
    </w:p>
    <w:p w14:paraId="1830FFB2" w14:textId="77777777" w:rsidR="00F56A08" w:rsidRPr="00F871F8" w:rsidRDefault="00F56A08" w:rsidP="001B0A4E"/>
    <w:p w14:paraId="16B1328B" w14:textId="72228B20"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Connect two outlet ports of the </w:t>
      </w:r>
      <w:r w:rsidR="00E25436" w:rsidRPr="00F871F8">
        <w:rPr>
          <w:rFonts w:ascii="Calibri" w:hAnsi="Calibri" w:cs="Calibri"/>
          <w:sz w:val="24"/>
          <w:szCs w:val="24"/>
        </w:rPr>
        <w:t xml:space="preserve">fluid </w:t>
      </w:r>
      <w:r w:rsidRPr="00F871F8">
        <w:rPr>
          <w:rFonts w:ascii="Calibri" w:hAnsi="Calibri" w:cs="Calibri"/>
          <w:sz w:val="24"/>
          <w:szCs w:val="24"/>
        </w:rPr>
        <w:t xml:space="preserve">reservoir rack to the first two inlet ports of the distribution valve with 80 cm of 1/32-in inner diameter (ID) </w:t>
      </w:r>
      <w:r w:rsidR="00D33DFC" w:rsidRPr="00F871F8">
        <w:rPr>
          <w:rFonts w:ascii="Calibri" w:hAnsi="Calibri" w:cs="Calibri"/>
          <w:sz w:val="24"/>
          <w:szCs w:val="24"/>
        </w:rPr>
        <w:t>polytetrafluoroethylene (</w:t>
      </w:r>
      <w:r w:rsidRPr="00F871F8">
        <w:rPr>
          <w:rFonts w:ascii="Calibri" w:hAnsi="Calibri" w:cs="Calibri"/>
          <w:sz w:val="24"/>
          <w:szCs w:val="24"/>
        </w:rPr>
        <w:t>PTFE</w:t>
      </w:r>
      <w:r w:rsidR="00D33DFC" w:rsidRPr="00F871F8">
        <w:rPr>
          <w:rFonts w:ascii="Calibri" w:hAnsi="Calibri" w:cs="Calibri"/>
          <w:sz w:val="24"/>
          <w:szCs w:val="24"/>
        </w:rPr>
        <w:t>)</w:t>
      </w:r>
      <w:r w:rsidRPr="00F871F8">
        <w:rPr>
          <w:rFonts w:ascii="Calibri" w:hAnsi="Calibri" w:cs="Calibri"/>
          <w:sz w:val="24"/>
          <w:szCs w:val="24"/>
        </w:rPr>
        <w:t xml:space="preserve"> tubing.</w:t>
      </w:r>
    </w:p>
    <w:p w14:paraId="7B922EFE" w14:textId="77777777" w:rsidR="00F56A08" w:rsidRPr="00F871F8" w:rsidRDefault="00F56A08" w:rsidP="001B0A4E">
      <w:pPr>
        <w:pStyle w:val="ListParagraph"/>
        <w:spacing w:after="0" w:line="240" w:lineRule="auto"/>
        <w:ind w:left="0"/>
        <w:contextualSpacing w:val="0"/>
        <w:jc w:val="both"/>
        <w:rPr>
          <w:rFonts w:ascii="Calibri" w:hAnsi="Calibri" w:cs="Calibri"/>
          <w:sz w:val="24"/>
          <w:szCs w:val="24"/>
        </w:rPr>
      </w:pPr>
    </w:p>
    <w:p w14:paraId="26ECC2E8" w14:textId="39E1F61A"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Connect the outlet port of the distribution valve to the inlet </w:t>
      </w:r>
      <w:r w:rsidR="001665F0" w:rsidRPr="00F871F8">
        <w:rPr>
          <w:rFonts w:ascii="Calibri" w:hAnsi="Calibri" w:cs="Calibri"/>
          <w:sz w:val="24"/>
          <w:szCs w:val="24"/>
        </w:rPr>
        <w:t xml:space="preserve">port </w:t>
      </w:r>
      <w:r w:rsidRPr="00F871F8">
        <w:rPr>
          <w:rFonts w:ascii="Calibri" w:hAnsi="Calibri" w:cs="Calibri"/>
          <w:sz w:val="24"/>
          <w:szCs w:val="24"/>
        </w:rPr>
        <w:t>of the flow sensor with 15 cm of 500-µm ID PTFE tubing</w:t>
      </w:r>
      <w:r w:rsidR="00C71F20" w:rsidRPr="00F871F8">
        <w:rPr>
          <w:rFonts w:ascii="Calibri" w:hAnsi="Calibri" w:cs="Calibri"/>
          <w:sz w:val="24"/>
          <w:szCs w:val="24"/>
        </w:rPr>
        <w:t xml:space="preserve"> and an </w:t>
      </w:r>
      <w:r w:rsidRPr="00F871F8">
        <w:rPr>
          <w:rFonts w:ascii="Calibri" w:hAnsi="Calibri" w:cs="Calibri"/>
          <w:sz w:val="24"/>
          <w:szCs w:val="24"/>
        </w:rPr>
        <w:t>adapter fitting</w:t>
      </w:r>
      <w:r w:rsidR="00C71F20" w:rsidRPr="00F871F8">
        <w:rPr>
          <w:rFonts w:ascii="Calibri" w:hAnsi="Calibri" w:cs="Calibri"/>
          <w:sz w:val="24"/>
          <w:szCs w:val="24"/>
        </w:rPr>
        <w:t>.</w:t>
      </w:r>
    </w:p>
    <w:p w14:paraId="56B6FA84" w14:textId="77777777" w:rsidR="00F56A08" w:rsidRPr="00F871F8" w:rsidRDefault="00F56A08" w:rsidP="001B0A4E"/>
    <w:p w14:paraId="63FE11E6" w14:textId="1261BAF2"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Attach 60 cm of 63.5-µm ID </w:t>
      </w:r>
      <w:r w:rsidR="00AF2D22" w:rsidRPr="00F871F8">
        <w:rPr>
          <w:rFonts w:ascii="Calibri" w:hAnsi="Calibri" w:cs="Calibri"/>
          <w:sz w:val="24"/>
          <w:szCs w:val="24"/>
        </w:rPr>
        <w:t>polyether ether ketone (</w:t>
      </w:r>
      <w:r w:rsidRPr="00F871F8">
        <w:rPr>
          <w:rFonts w:ascii="Calibri" w:hAnsi="Calibri" w:cs="Calibri"/>
          <w:sz w:val="24"/>
          <w:szCs w:val="24"/>
        </w:rPr>
        <w:t>PEEK</w:t>
      </w:r>
      <w:r w:rsidR="00AF2D22" w:rsidRPr="00F871F8">
        <w:rPr>
          <w:rFonts w:ascii="Calibri" w:hAnsi="Calibri" w:cs="Calibri"/>
          <w:sz w:val="24"/>
          <w:szCs w:val="24"/>
        </w:rPr>
        <w:t>)</w:t>
      </w:r>
      <w:r w:rsidRPr="00F871F8">
        <w:rPr>
          <w:rFonts w:ascii="Calibri" w:hAnsi="Calibri" w:cs="Calibri"/>
          <w:sz w:val="24"/>
          <w:szCs w:val="24"/>
        </w:rPr>
        <w:t xml:space="preserve"> tubing to the outlet </w:t>
      </w:r>
      <w:r w:rsidR="001665F0" w:rsidRPr="00F871F8">
        <w:rPr>
          <w:rFonts w:ascii="Calibri" w:hAnsi="Calibri" w:cs="Calibri"/>
          <w:sz w:val="24"/>
          <w:szCs w:val="24"/>
        </w:rPr>
        <w:t xml:space="preserve">port </w:t>
      </w:r>
      <w:r w:rsidRPr="00F871F8">
        <w:rPr>
          <w:rFonts w:ascii="Calibri" w:hAnsi="Calibri" w:cs="Calibri"/>
          <w:sz w:val="24"/>
          <w:szCs w:val="24"/>
        </w:rPr>
        <w:t xml:space="preserve">of the flow sensor using an adapter fitting. </w:t>
      </w:r>
    </w:p>
    <w:p w14:paraId="74072ADB" w14:textId="77777777" w:rsidR="00F56A08" w:rsidRPr="00F871F8" w:rsidRDefault="00F56A08" w:rsidP="001B0A4E"/>
    <w:p w14:paraId="250199AB" w14:textId="77777777" w:rsidR="00CC4A06" w:rsidRPr="00F871F8" w:rsidRDefault="00000000" w:rsidP="001B0A4E">
      <w:r w:rsidRPr="00F871F8">
        <w:t>NOTE: For experiments requiring different flow rates, adjust the PEEK tubing length as needed to provide sufficient fluidic resistance for flow stability.</w:t>
      </w:r>
    </w:p>
    <w:p w14:paraId="45138F21" w14:textId="77777777" w:rsidR="00F56A08" w:rsidRPr="00F871F8" w:rsidRDefault="00F56A08" w:rsidP="001B0A4E"/>
    <w:p w14:paraId="49710B4A" w14:textId="451B16EC"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Connect the PEEK tubing to 10 cm of 500-µm ID PTFE tubing using a union fitting.</w:t>
      </w:r>
    </w:p>
    <w:p w14:paraId="54419901" w14:textId="77777777" w:rsidR="00F56A08" w:rsidRPr="00F871F8" w:rsidRDefault="00F56A08" w:rsidP="001B0A4E">
      <w:pPr>
        <w:pStyle w:val="ListParagraph"/>
        <w:spacing w:after="0" w:line="240" w:lineRule="auto"/>
        <w:ind w:left="0"/>
        <w:contextualSpacing w:val="0"/>
        <w:jc w:val="both"/>
        <w:rPr>
          <w:rFonts w:ascii="Calibri" w:hAnsi="Calibri" w:cs="Calibri"/>
          <w:sz w:val="24"/>
          <w:szCs w:val="24"/>
        </w:rPr>
      </w:pPr>
    </w:p>
    <w:p w14:paraId="10CAEB61" w14:textId="3B4B37AC"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Attach the PTFE tubing to the inlet </w:t>
      </w:r>
      <w:r w:rsidR="00E25436" w:rsidRPr="00F871F8">
        <w:rPr>
          <w:rFonts w:ascii="Calibri" w:hAnsi="Calibri" w:cs="Calibri"/>
          <w:sz w:val="24"/>
          <w:szCs w:val="24"/>
        </w:rPr>
        <w:t xml:space="preserve">port </w:t>
      </w:r>
      <w:r w:rsidRPr="00F871F8">
        <w:rPr>
          <w:rFonts w:ascii="Calibri" w:hAnsi="Calibri" w:cs="Calibri"/>
          <w:sz w:val="24"/>
          <w:szCs w:val="24"/>
        </w:rPr>
        <w:t>of a microfluidic bubble trap fitted with a PTFE membrane</w:t>
      </w:r>
      <w:r w:rsidR="00F00AED" w:rsidRPr="00F871F8">
        <w:rPr>
          <w:rFonts w:ascii="Calibri" w:hAnsi="Calibri" w:cs="Calibri"/>
          <w:sz w:val="24"/>
          <w:szCs w:val="24"/>
        </w:rPr>
        <w:t xml:space="preserve"> filter</w:t>
      </w:r>
      <w:r w:rsidRPr="00F871F8">
        <w:rPr>
          <w:rFonts w:ascii="Calibri" w:hAnsi="Calibri" w:cs="Calibri"/>
          <w:sz w:val="24"/>
          <w:szCs w:val="24"/>
        </w:rPr>
        <w:t xml:space="preserve"> (pore size ~10 µm). </w:t>
      </w:r>
    </w:p>
    <w:p w14:paraId="3778F21A" w14:textId="77777777" w:rsidR="00F56A08" w:rsidRPr="00F871F8" w:rsidRDefault="00F56A08" w:rsidP="001B0A4E"/>
    <w:p w14:paraId="53B4A561" w14:textId="15651ED0"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Attach 75 cm of 200-µm ID PTFE tubing to the bubble trap outlet </w:t>
      </w:r>
      <w:r w:rsidR="008C640D" w:rsidRPr="00F871F8">
        <w:rPr>
          <w:rFonts w:ascii="Calibri" w:hAnsi="Calibri" w:cs="Calibri"/>
          <w:sz w:val="24"/>
          <w:szCs w:val="24"/>
        </w:rPr>
        <w:t xml:space="preserve">port </w:t>
      </w:r>
      <w:r w:rsidRPr="00F871F8">
        <w:rPr>
          <w:rFonts w:ascii="Calibri" w:hAnsi="Calibri" w:cs="Calibri"/>
          <w:sz w:val="24"/>
          <w:szCs w:val="24"/>
        </w:rPr>
        <w:t xml:space="preserve">to create back pressure for effective bubble removal. This tube will </w:t>
      </w:r>
      <w:r w:rsidR="0049635F" w:rsidRPr="00F871F8">
        <w:rPr>
          <w:rFonts w:ascii="Calibri" w:hAnsi="Calibri" w:cs="Calibri"/>
          <w:sz w:val="24"/>
          <w:szCs w:val="24"/>
        </w:rPr>
        <w:t>attach</w:t>
      </w:r>
      <w:r w:rsidRPr="00F871F8">
        <w:rPr>
          <w:rFonts w:ascii="Calibri" w:hAnsi="Calibri" w:cs="Calibri"/>
          <w:sz w:val="24"/>
          <w:szCs w:val="24"/>
        </w:rPr>
        <w:t xml:space="preserve"> to the microfluidic reactor inlet hole.</w:t>
      </w:r>
    </w:p>
    <w:p w14:paraId="48EFDDFD" w14:textId="77777777" w:rsidR="00F56A08" w:rsidRPr="00F871F8" w:rsidRDefault="00F56A08" w:rsidP="001B0A4E"/>
    <w:p w14:paraId="54395C78" w14:textId="730D12FA"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Before every experiment, sterilize the flow control system with all tubing and hardware connected by flushing a 1% bleach solution for three times the system volume (~4 h per tubing line at 7.0 µL</w:t>
      </w:r>
      <w:r w:rsidR="006E02BC" w:rsidRPr="00F871F8">
        <w:rPr>
          <w:rFonts w:ascii="Calibri" w:hAnsi="Calibri" w:cs="Calibri"/>
          <w:sz w:val="24"/>
          <w:szCs w:val="24"/>
        </w:rPr>
        <w:t>·</w:t>
      </w:r>
      <w:r w:rsidRPr="00F871F8">
        <w:rPr>
          <w:rFonts w:ascii="Calibri" w:hAnsi="Calibri" w:cs="Calibri"/>
          <w:sz w:val="24"/>
          <w:szCs w:val="24"/>
        </w:rPr>
        <w:t>min</w:t>
      </w:r>
      <w:r w:rsidRPr="00F871F8">
        <w:rPr>
          <w:rFonts w:ascii="Calibri" w:hAnsi="Calibri" w:cs="Calibri"/>
          <w:sz w:val="24"/>
          <w:szCs w:val="24"/>
          <w:vertAlign w:val="superscript"/>
        </w:rPr>
        <w:t>-1</w:t>
      </w:r>
      <w:r w:rsidRPr="00F871F8">
        <w:rPr>
          <w:rFonts w:ascii="Calibri" w:hAnsi="Calibri" w:cs="Calibri"/>
          <w:sz w:val="24"/>
          <w:szCs w:val="24"/>
        </w:rPr>
        <w:t>), followed by sterile ultrapure water for the same duration.</w:t>
      </w:r>
    </w:p>
    <w:p w14:paraId="5FB77198" w14:textId="77777777" w:rsidR="00F56A08" w:rsidRPr="00F871F8" w:rsidRDefault="00F56A08" w:rsidP="001B0A4E">
      <w:pPr>
        <w:pStyle w:val="ListParagraph"/>
        <w:spacing w:after="0" w:line="240" w:lineRule="auto"/>
        <w:ind w:left="0"/>
        <w:contextualSpacing w:val="0"/>
        <w:jc w:val="both"/>
        <w:rPr>
          <w:rFonts w:ascii="Calibri" w:hAnsi="Calibri" w:cs="Calibri"/>
          <w:sz w:val="24"/>
          <w:szCs w:val="24"/>
        </w:rPr>
      </w:pPr>
    </w:p>
    <w:p w14:paraId="379D4674" w14:textId="77777777"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Between experiments, clean the flow control system as follows. </w:t>
      </w:r>
    </w:p>
    <w:p w14:paraId="0C822A80" w14:textId="77777777" w:rsidR="00F56A08" w:rsidRPr="00F871F8" w:rsidRDefault="00F56A08" w:rsidP="001B0A4E"/>
    <w:p w14:paraId="27A4A855" w14:textId="77777777"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Rinse the distribution valve and flow sensor by flushing 100% isopropanol and sterile ultrapure water to prevent buildup of residues or precipitates.</w:t>
      </w:r>
    </w:p>
    <w:p w14:paraId="20FDED36" w14:textId="505F0A13" w:rsidR="00130AAA" w:rsidRPr="00F871F8" w:rsidRDefault="00130AAA" w:rsidP="001B0A4E">
      <w:pPr>
        <w:pStyle w:val="ListParagraph"/>
        <w:spacing w:after="0" w:line="240" w:lineRule="auto"/>
        <w:ind w:left="0"/>
        <w:contextualSpacing w:val="0"/>
        <w:jc w:val="both"/>
        <w:rPr>
          <w:rFonts w:ascii="Calibri" w:hAnsi="Calibri" w:cs="Calibri"/>
          <w:sz w:val="24"/>
          <w:szCs w:val="24"/>
        </w:rPr>
      </w:pPr>
    </w:p>
    <w:p w14:paraId="2D138D8E" w14:textId="7E4374EB" w:rsidR="00F56A08" w:rsidRPr="00F871F8" w:rsidRDefault="00000000" w:rsidP="001B0A4E">
      <w:r w:rsidRPr="00F871F8">
        <w:t>CAUTION:</w:t>
      </w:r>
      <w:r w:rsidRPr="00F871F8">
        <w:rPr>
          <w:b/>
          <w:bCs/>
        </w:rPr>
        <w:t xml:space="preserve"> </w:t>
      </w:r>
      <w:r w:rsidRPr="00F871F8">
        <w:t>Isopropanol is flammable. Handle and store according to the safety data sheet.</w:t>
      </w:r>
    </w:p>
    <w:p w14:paraId="15DCCAC6" w14:textId="77777777" w:rsidR="00612076" w:rsidRPr="00F871F8" w:rsidRDefault="00612076" w:rsidP="001B0A4E">
      <w:pPr>
        <w:pStyle w:val="ListParagraph"/>
        <w:spacing w:after="0" w:line="240" w:lineRule="auto"/>
        <w:ind w:left="0"/>
        <w:contextualSpacing w:val="0"/>
        <w:jc w:val="both"/>
        <w:rPr>
          <w:rFonts w:ascii="Calibri" w:hAnsi="Calibri" w:cs="Calibri"/>
          <w:sz w:val="24"/>
          <w:szCs w:val="24"/>
        </w:rPr>
      </w:pPr>
    </w:p>
    <w:p w14:paraId="72DA96B3" w14:textId="77777777"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Autoclave the bubble trap.</w:t>
      </w:r>
    </w:p>
    <w:p w14:paraId="46E25E07" w14:textId="77777777" w:rsidR="00F56A08" w:rsidRPr="00F871F8" w:rsidRDefault="00F56A08" w:rsidP="001B0A4E"/>
    <w:p w14:paraId="46D4385A" w14:textId="17ABF419"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lastRenderedPageBreak/>
        <w:t xml:space="preserve">Replace the bubble trap membrane </w:t>
      </w:r>
      <w:r w:rsidR="00826325" w:rsidRPr="00F871F8">
        <w:rPr>
          <w:rFonts w:ascii="Calibri" w:hAnsi="Calibri" w:cs="Calibri"/>
          <w:sz w:val="24"/>
          <w:szCs w:val="24"/>
        </w:rPr>
        <w:t xml:space="preserve">filter </w:t>
      </w:r>
      <w:r w:rsidRPr="00F871F8">
        <w:rPr>
          <w:rFonts w:ascii="Calibri" w:hAnsi="Calibri" w:cs="Calibri"/>
          <w:sz w:val="24"/>
          <w:szCs w:val="24"/>
        </w:rPr>
        <w:t>and 200-µm ID PTFE tubing after each experiment to prevent clogging (membrane</w:t>
      </w:r>
      <w:r w:rsidR="00826325" w:rsidRPr="00F871F8">
        <w:rPr>
          <w:rFonts w:ascii="Calibri" w:hAnsi="Calibri" w:cs="Calibri"/>
          <w:sz w:val="24"/>
          <w:szCs w:val="24"/>
        </w:rPr>
        <w:t xml:space="preserve"> filter</w:t>
      </w:r>
      <w:r w:rsidRPr="00F871F8">
        <w:rPr>
          <w:rFonts w:ascii="Calibri" w:hAnsi="Calibri" w:cs="Calibri"/>
          <w:sz w:val="24"/>
          <w:szCs w:val="24"/>
        </w:rPr>
        <w:t>) or bacterial colonization (tubing).</w:t>
      </w:r>
    </w:p>
    <w:p w14:paraId="62CDA544" w14:textId="77777777" w:rsidR="00F56A08" w:rsidRPr="00F871F8" w:rsidRDefault="00F56A08" w:rsidP="001B0A4E">
      <w:pPr>
        <w:pStyle w:val="ListParagraph"/>
        <w:spacing w:after="0" w:line="240" w:lineRule="auto"/>
        <w:ind w:left="0"/>
        <w:contextualSpacing w:val="0"/>
        <w:jc w:val="both"/>
        <w:rPr>
          <w:rFonts w:ascii="Calibri" w:hAnsi="Calibri" w:cs="Calibri"/>
          <w:sz w:val="24"/>
          <w:szCs w:val="24"/>
        </w:rPr>
      </w:pPr>
    </w:p>
    <w:p w14:paraId="5682C11E" w14:textId="150BDEFC" w:rsidR="00CC4A06" w:rsidRPr="00F871F8" w:rsidRDefault="00000000" w:rsidP="001B0A4E">
      <w:pPr>
        <w:pStyle w:val="ListParagraph"/>
        <w:numPr>
          <w:ilvl w:val="0"/>
          <w:numId w:val="37"/>
        </w:numPr>
        <w:spacing w:after="0" w:line="240" w:lineRule="auto"/>
        <w:ind w:left="0" w:firstLine="0"/>
        <w:contextualSpacing w:val="0"/>
        <w:jc w:val="both"/>
        <w:rPr>
          <w:rFonts w:ascii="Calibri" w:hAnsi="Calibri" w:cs="Calibri"/>
          <w:b/>
          <w:bCs/>
          <w:sz w:val="24"/>
          <w:szCs w:val="24"/>
        </w:rPr>
      </w:pPr>
      <w:r w:rsidRPr="00F871F8">
        <w:rPr>
          <w:rFonts w:ascii="Calibri" w:hAnsi="Calibri" w:cs="Calibri"/>
          <w:b/>
          <w:bCs/>
          <w:sz w:val="24"/>
          <w:szCs w:val="24"/>
        </w:rPr>
        <w:t>Experimental media and solutions</w:t>
      </w:r>
    </w:p>
    <w:p w14:paraId="74FD43A7" w14:textId="77777777" w:rsidR="00F56A08" w:rsidRPr="00F871F8" w:rsidRDefault="00F56A08" w:rsidP="001B0A4E"/>
    <w:p w14:paraId="76B85052" w14:textId="62342E98"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Prepare liquid Luria Broth (LB, </w:t>
      </w:r>
      <w:r w:rsidR="00B72939" w:rsidRPr="00F871F8">
        <w:rPr>
          <w:rFonts w:ascii="Calibri" w:hAnsi="Calibri" w:cs="Calibri"/>
          <w:sz w:val="24"/>
          <w:szCs w:val="24"/>
        </w:rPr>
        <w:t xml:space="preserve">Miller's </w:t>
      </w:r>
      <w:r w:rsidRPr="00F871F8">
        <w:rPr>
          <w:rFonts w:ascii="Calibri" w:hAnsi="Calibri" w:cs="Calibri"/>
          <w:sz w:val="24"/>
          <w:szCs w:val="24"/>
        </w:rPr>
        <w:t>formulation) medium by autoclaving 2.5% LB powder in ultrapure water at 121 °C for 20 min. For LB agar plates, autoclave 2.5% LB powder and 1.5% agar in ultrapure water at 121 °C for 20 min, then pour into 100-mm Petri dishes (~20 mL per dish) and let cool until solid.</w:t>
      </w:r>
    </w:p>
    <w:p w14:paraId="4736A66D" w14:textId="77777777" w:rsidR="00F56A08" w:rsidRPr="00F871F8" w:rsidRDefault="00F56A08" w:rsidP="001B0A4E">
      <w:pPr>
        <w:pStyle w:val="ListParagraph"/>
        <w:spacing w:after="0" w:line="240" w:lineRule="auto"/>
        <w:ind w:left="0"/>
        <w:contextualSpacing w:val="0"/>
        <w:jc w:val="both"/>
        <w:rPr>
          <w:rFonts w:ascii="Calibri" w:hAnsi="Calibri" w:cs="Calibri"/>
          <w:sz w:val="24"/>
          <w:szCs w:val="24"/>
        </w:rPr>
      </w:pPr>
    </w:p>
    <w:p w14:paraId="17EE5EA4" w14:textId="06EC745C"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From filter-sterilized stock solutions prepared with </w:t>
      </w:r>
      <w:r w:rsidR="000722EE" w:rsidRPr="00F871F8">
        <w:rPr>
          <w:rFonts w:ascii="Calibri" w:hAnsi="Calibri" w:cs="Calibri"/>
          <w:sz w:val="24"/>
          <w:szCs w:val="24"/>
        </w:rPr>
        <w:t>American Chemical Society (</w:t>
      </w:r>
      <w:r w:rsidRPr="00F871F8">
        <w:rPr>
          <w:rFonts w:ascii="Calibri" w:hAnsi="Calibri" w:cs="Calibri"/>
          <w:sz w:val="24"/>
          <w:szCs w:val="24"/>
        </w:rPr>
        <w:t>ACS</w:t>
      </w:r>
      <w:r w:rsidR="000722EE" w:rsidRPr="00F871F8">
        <w:rPr>
          <w:rFonts w:ascii="Calibri" w:hAnsi="Calibri" w:cs="Calibri"/>
          <w:sz w:val="24"/>
          <w:szCs w:val="24"/>
        </w:rPr>
        <w:t>)</w:t>
      </w:r>
      <w:r w:rsidRPr="00F871F8">
        <w:rPr>
          <w:rFonts w:ascii="Calibri" w:hAnsi="Calibri" w:cs="Calibri"/>
          <w:sz w:val="24"/>
          <w:szCs w:val="24"/>
        </w:rPr>
        <w:t xml:space="preserve"> or bacteriological</w:t>
      </w:r>
      <w:r w:rsidR="000722EE" w:rsidRPr="00F871F8">
        <w:rPr>
          <w:rFonts w:ascii="Calibri" w:hAnsi="Calibri" w:cs="Calibri"/>
          <w:sz w:val="24"/>
          <w:szCs w:val="24"/>
        </w:rPr>
        <w:t xml:space="preserve"> </w:t>
      </w:r>
      <w:r w:rsidRPr="00F871F8">
        <w:rPr>
          <w:rFonts w:ascii="Calibri" w:hAnsi="Calibri" w:cs="Calibri"/>
          <w:sz w:val="24"/>
          <w:szCs w:val="24"/>
        </w:rPr>
        <w:t xml:space="preserve">grade reagents in ultrapure water, make 30 mL of each of the following. Salt solution and growth medium composition </w:t>
      </w:r>
      <w:r w:rsidR="00B72939" w:rsidRPr="00F871F8">
        <w:rPr>
          <w:rFonts w:ascii="Calibri" w:hAnsi="Calibri" w:cs="Calibri"/>
          <w:sz w:val="24"/>
          <w:szCs w:val="24"/>
        </w:rPr>
        <w:t xml:space="preserve">are </w:t>
      </w:r>
      <w:r w:rsidRPr="00F871F8">
        <w:rPr>
          <w:rFonts w:ascii="Calibri" w:hAnsi="Calibri" w:cs="Calibri"/>
          <w:sz w:val="24"/>
          <w:szCs w:val="24"/>
        </w:rPr>
        <w:t>adapted from Gehin et al.</w:t>
      </w:r>
      <w:r w:rsidRPr="00F871F8">
        <w:rPr>
          <w:rFonts w:ascii="Calibri" w:hAnsi="Calibri" w:cs="Calibri"/>
          <w:sz w:val="24"/>
          <w:szCs w:val="24"/>
        </w:rPr>
        <w:fldChar w:fldCharType="begin"/>
      </w:r>
      <w:r w:rsidR="00432E5F" w:rsidRPr="00F871F8">
        <w:rPr>
          <w:rFonts w:ascii="Calibri" w:hAnsi="Calibri" w:cs="Calibri"/>
          <w:sz w:val="24"/>
          <w:szCs w:val="24"/>
        </w:rPr>
        <w:instrText xml:space="preserve"> ADDIN ZOTERO_ITEM CSL_CITATION {"citationID":"hWwH9aax","properties":{"formattedCitation":"\\super 59\\nosupersub{}","plainCitation":"59","noteIndex":0},"citationItems":[{"id":1837,"uris":["http://zotero.org/users/7069502/items/W6HSB4R5"],"itemData":{"id":1837,"type":"article-journal","abstract":"The enzymatic oxidation of aqueous divalent manganese (Mn) is a widespread microbial trait that produces reactive Mn(III, IV) oxide minerals. These biominerals drive carbon, nutrient, and trace metal cycles, thus playing important environmental and ecological roles. However, the regulatory mechanisms and physiological functions of Mn biomineralization are unknown. This challenge arises from the common occurrence of multiple Mn oxidases within the same organism and the use of Mn oxides as indicators of combined gene activity. Through the detection of gene activation in individual cells, we discover that expression of mnxG and mcoA, two Mn oxidase-encoding genes in Pseudomonas putida GB-1, is confined to subsets of cells within the population, with each gene showing distinct spatiotemporal patterns that reflect local microenvironments. These coordinated intra-population dynamics control Mn biomineralization and illuminate the strategies used by microbial communities to dictate the extent, location, and timing of biogeochemical transformations.","container-title":"npj Biofilms and Microbiomes","DOI":"10.1038/s41522-025-00670-5","ISSN":"2055-5008","issue":"1","journalAbbreviation":"NPJ Biofilms Microbiomes","language":"en","license":"2025 The Author(s)","note":"publisher: Nature Publishing Group","page":"1-12","source":"www.nature.com","title":"Population-level control of two manganese oxidases expands the niche for bacterial manganese biomineralization","volume":"11","author":[{"family":"Gehin","given":"Gaitan"},{"family":"Carraro","given":"Nicolas"},{"family":"Meer","given":"Jan Roelof","non-dropping-particle":"van der"},{"family":"Peña","given":"Jasquelin"}],"issued":{"date-parts":[["2025",3,24]]}}}],"schema":"https://github.com/citation-style-language/schema/raw/master/csl-citation.json"} </w:instrText>
      </w:r>
      <w:r w:rsidRPr="00F871F8">
        <w:rPr>
          <w:rFonts w:ascii="Calibri" w:hAnsi="Calibri" w:cs="Calibri"/>
          <w:sz w:val="24"/>
          <w:szCs w:val="24"/>
        </w:rPr>
        <w:fldChar w:fldCharType="separate"/>
      </w:r>
      <w:r w:rsidR="00432E5F" w:rsidRPr="00F871F8">
        <w:rPr>
          <w:rFonts w:ascii="Calibri" w:hAnsi="Calibri" w:cs="Calibri"/>
          <w:sz w:val="24"/>
          <w:szCs w:val="24"/>
          <w:vertAlign w:val="superscript"/>
        </w:rPr>
        <w:t>59</w:t>
      </w:r>
      <w:r w:rsidRPr="00F871F8">
        <w:rPr>
          <w:rFonts w:ascii="Calibri" w:hAnsi="Calibri" w:cs="Calibri"/>
          <w:sz w:val="24"/>
          <w:szCs w:val="24"/>
        </w:rPr>
        <w:fldChar w:fldCharType="end"/>
      </w:r>
      <w:r w:rsidR="00B72939" w:rsidRPr="00F871F8">
        <w:rPr>
          <w:rFonts w:ascii="Calibri" w:hAnsi="Calibri" w:cs="Calibri"/>
          <w:sz w:val="24"/>
          <w:szCs w:val="24"/>
        </w:rPr>
        <w:t>.</w:t>
      </w:r>
      <w:r w:rsidRPr="00F871F8">
        <w:rPr>
          <w:rFonts w:ascii="Calibri" w:hAnsi="Calibri" w:cs="Calibri"/>
          <w:sz w:val="24"/>
          <w:szCs w:val="24"/>
        </w:rPr>
        <w:t xml:space="preserve"> </w:t>
      </w:r>
    </w:p>
    <w:p w14:paraId="60561AA5" w14:textId="77777777" w:rsidR="00F56A08" w:rsidRPr="00F871F8" w:rsidRDefault="00F56A08" w:rsidP="001B0A4E">
      <w:pPr>
        <w:pStyle w:val="ListParagraph"/>
        <w:spacing w:after="0" w:line="240" w:lineRule="auto"/>
        <w:ind w:left="0"/>
        <w:contextualSpacing w:val="0"/>
        <w:jc w:val="both"/>
        <w:rPr>
          <w:rFonts w:ascii="Calibri" w:hAnsi="Calibri" w:cs="Calibri"/>
          <w:sz w:val="24"/>
          <w:szCs w:val="24"/>
        </w:rPr>
      </w:pPr>
    </w:p>
    <w:p w14:paraId="2EB16F01" w14:textId="3838998E"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Prepare salt solution without Mn(II) (SS</w:t>
      </w:r>
      <w:r w:rsidRPr="00F871F8">
        <w:rPr>
          <w:rFonts w:ascii="Calibri" w:hAnsi="Calibri" w:cs="Calibri"/>
          <w:sz w:val="24"/>
          <w:szCs w:val="24"/>
          <w:vertAlign w:val="subscript"/>
        </w:rPr>
        <w:t>0</w:t>
      </w:r>
      <w:r w:rsidRPr="00F871F8">
        <w:rPr>
          <w:rFonts w:ascii="Calibri" w:hAnsi="Calibri" w:cs="Calibri"/>
          <w:sz w:val="24"/>
          <w:szCs w:val="24"/>
        </w:rPr>
        <w:t>): 0.4 mM CaCl</w:t>
      </w:r>
      <w:r w:rsidRPr="00F871F8">
        <w:rPr>
          <w:rFonts w:ascii="Calibri" w:hAnsi="Calibri" w:cs="Calibri"/>
          <w:sz w:val="24"/>
          <w:szCs w:val="24"/>
          <w:vertAlign w:val="subscript"/>
        </w:rPr>
        <w:t>2</w:t>
      </w:r>
      <w:r w:rsidRPr="00F871F8">
        <w:rPr>
          <w:rFonts w:ascii="Calibri" w:hAnsi="Calibri" w:cs="Calibri"/>
          <w:sz w:val="24"/>
          <w:szCs w:val="24"/>
        </w:rPr>
        <w:t>·2H</w:t>
      </w:r>
      <w:r w:rsidRPr="00F871F8">
        <w:rPr>
          <w:rFonts w:ascii="Calibri" w:hAnsi="Calibri" w:cs="Calibri"/>
          <w:sz w:val="24"/>
          <w:szCs w:val="24"/>
          <w:vertAlign w:val="subscript"/>
        </w:rPr>
        <w:t>2</w:t>
      </w:r>
      <w:r w:rsidRPr="00F871F8">
        <w:rPr>
          <w:rFonts w:ascii="Calibri" w:hAnsi="Calibri" w:cs="Calibri"/>
          <w:sz w:val="24"/>
          <w:szCs w:val="24"/>
        </w:rPr>
        <w:t>O, 0.25 mM MgSO</w:t>
      </w:r>
      <w:r w:rsidRPr="00F871F8">
        <w:rPr>
          <w:rFonts w:ascii="Calibri" w:hAnsi="Calibri" w:cs="Calibri"/>
          <w:sz w:val="24"/>
          <w:szCs w:val="24"/>
          <w:vertAlign w:val="subscript"/>
        </w:rPr>
        <w:t>4</w:t>
      </w:r>
      <w:r w:rsidR="00547C02" w:rsidRPr="00F871F8">
        <w:rPr>
          <w:rFonts w:ascii="Calibri" w:hAnsi="Calibri" w:cs="Calibri"/>
          <w:sz w:val="24"/>
          <w:szCs w:val="24"/>
        </w:rPr>
        <w:t>·</w:t>
      </w:r>
      <w:r w:rsidR="003F265B" w:rsidRPr="00F871F8">
        <w:rPr>
          <w:rFonts w:ascii="Calibri" w:hAnsi="Calibri" w:cs="Calibri"/>
          <w:sz w:val="24"/>
          <w:szCs w:val="24"/>
        </w:rPr>
        <w:t>7H</w:t>
      </w:r>
      <w:r w:rsidR="003F265B" w:rsidRPr="00F871F8">
        <w:rPr>
          <w:rFonts w:ascii="Calibri" w:hAnsi="Calibri" w:cs="Calibri"/>
          <w:sz w:val="24"/>
          <w:szCs w:val="24"/>
          <w:vertAlign w:val="subscript"/>
        </w:rPr>
        <w:t>2</w:t>
      </w:r>
      <w:r w:rsidR="003F265B" w:rsidRPr="00F871F8">
        <w:rPr>
          <w:rFonts w:ascii="Calibri" w:hAnsi="Calibri" w:cs="Calibri"/>
          <w:sz w:val="24"/>
          <w:szCs w:val="24"/>
        </w:rPr>
        <w:t>O</w:t>
      </w:r>
      <w:r w:rsidRPr="00F871F8">
        <w:rPr>
          <w:rFonts w:ascii="Calibri" w:hAnsi="Calibri" w:cs="Calibri"/>
          <w:sz w:val="24"/>
          <w:szCs w:val="24"/>
        </w:rPr>
        <w:t>, 0.25 mM Na</w:t>
      </w:r>
      <w:r w:rsidRPr="00F871F8">
        <w:rPr>
          <w:rFonts w:ascii="Calibri" w:hAnsi="Calibri" w:cs="Calibri"/>
          <w:sz w:val="24"/>
          <w:szCs w:val="24"/>
          <w:vertAlign w:val="subscript"/>
        </w:rPr>
        <w:t>2</w:t>
      </w:r>
      <w:r w:rsidRPr="00F871F8">
        <w:rPr>
          <w:rFonts w:ascii="Calibri" w:hAnsi="Calibri" w:cs="Calibri"/>
          <w:sz w:val="24"/>
          <w:szCs w:val="24"/>
        </w:rPr>
        <w:t>HPO</w:t>
      </w:r>
      <w:r w:rsidRPr="00F871F8">
        <w:rPr>
          <w:rFonts w:ascii="Calibri" w:hAnsi="Calibri" w:cs="Calibri"/>
          <w:sz w:val="24"/>
          <w:szCs w:val="24"/>
          <w:vertAlign w:val="subscript"/>
        </w:rPr>
        <w:t>4</w:t>
      </w:r>
      <w:r w:rsidRPr="00F871F8">
        <w:rPr>
          <w:rFonts w:ascii="Calibri" w:hAnsi="Calibri" w:cs="Calibri"/>
          <w:sz w:val="24"/>
          <w:szCs w:val="24"/>
        </w:rPr>
        <w:t>·2H</w:t>
      </w:r>
      <w:r w:rsidRPr="00F871F8">
        <w:rPr>
          <w:rFonts w:ascii="Calibri" w:hAnsi="Calibri" w:cs="Calibri"/>
          <w:sz w:val="24"/>
          <w:szCs w:val="24"/>
          <w:vertAlign w:val="subscript"/>
        </w:rPr>
        <w:t>2</w:t>
      </w:r>
      <w:r w:rsidRPr="00F871F8">
        <w:rPr>
          <w:rFonts w:ascii="Calibri" w:hAnsi="Calibri" w:cs="Calibri"/>
          <w:sz w:val="24"/>
          <w:szCs w:val="24"/>
        </w:rPr>
        <w:t>O, 0.15 mM KH</w:t>
      </w:r>
      <w:r w:rsidRPr="00F871F8">
        <w:rPr>
          <w:rFonts w:ascii="Calibri" w:hAnsi="Calibri" w:cs="Calibri"/>
          <w:sz w:val="24"/>
          <w:szCs w:val="24"/>
          <w:vertAlign w:val="subscript"/>
        </w:rPr>
        <w:t>2</w:t>
      </w:r>
      <w:r w:rsidRPr="00F871F8">
        <w:rPr>
          <w:rFonts w:ascii="Calibri" w:hAnsi="Calibri" w:cs="Calibri"/>
          <w:sz w:val="24"/>
          <w:szCs w:val="24"/>
        </w:rPr>
        <w:t>PO</w:t>
      </w:r>
      <w:r w:rsidRPr="00F871F8">
        <w:rPr>
          <w:rFonts w:ascii="Calibri" w:hAnsi="Calibri" w:cs="Calibri"/>
          <w:sz w:val="24"/>
          <w:szCs w:val="24"/>
          <w:vertAlign w:val="subscript"/>
        </w:rPr>
        <w:t>4</w:t>
      </w:r>
      <w:r w:rsidRPr="00F871F8">
        <w:rPr>
          <w:rFonts w:ascii="Calibri" w:hAnsi="Calibri" w:cs="Calibri"/>
          <w:sz w:val="24"/>
          <w:szCs w:val="24"/>
        </w:rPr>
        <w:t>, 1:2 Fe(III)-EDTA (20 µM FeCl</w:t>
      </w:r>
      <w:r w:rsidRPr="00F871F8">
        <w:rPr>
          <w:rFonts w:ascii="Calibri" w:hAnsi="Calibri" w:cs="Calibri"/>
          <w:sz w:val="24"/>
          <w:szCs w:val="24"/>
          <w:vertAlign w:val="subscript"/>
        </w:rPr>
        <w:t>3</w:t>
      </w:r>
      <w:r w:rsidRPr="00F871F8">
        <w:rPr>
          <w:rFonts w:ascii="Calibri" w:hAnsi="Calibri" w:cs="Calibri"/>
          <w:sz w:val="24"/>
          <w:szCs w:val="24"/>
        </w:rPr>
        <w:t>·6H</w:t>
      </w:r>
      <w:r w:rsidRPr="00F871F8">
        <w:rPr>
          <w:rFonts w:ascii="Calibri" w:hAnsi="Calibri" w:cs="Calibri"/>
          <w:sz w:val="24"/>
          <w:szCs w:val="24"/>
          <w:vertAlign w:val="subscript"/>
        </w:rPr>
        <w:t>2</w:t>
      </w:r>
      <w:r w:rsidRPr="00F871F8">
        <w:rPr>
          <w:rFonts w:ascii="Calibri" w:hAnsi="Calibri" w:cs="Calibri"/>
          <w:sz w:val="24"/>
          <w:szCs w:val="24"/>
        </w:rPr>
        <w:t>O and 40 µM EDTA adjusted to pH 6.5 with 1M NaOH), 10 mM HEPES buffer (adjusted to pH 7</w:t>
      </w:r>
      <w:r w:rsidR="006806DD" w:rsidRPr="00F871F8">
        <w:rPr>
          <w:rFonts w:ascii="Calibri" w:hAnsi="Calibri" w:cs="Calibri"/>
          <w:sz w:val="24"/>
          <w:szCs w:val="24"/>
        </w:rPr>
        <w:t>.0</w:t>
      </w:r>
      <w:r w:rsidRPr="00F871F8">
        <w:rPr>
          <w:rFonts w:ascii="Calibri" w:hAnsi="Calibri" w:cs="Calibri"/>
          <w:sz w:val="24"/>
          <w:szCs w:val="24"/>
        </w:rPr>
        <w:t xml:space="preserve"> with 1M NaOH), 5 mM (NH</w:t>
      </w:r>
      <w:r w:rsidRPr="00F871F8">
        <w:rPr>
          <w:rFonts w:ascii="Calibri" w:hAnsi="Calibri" w:cs="Calibri"/>
          <w:sz w:val="24"/>
          <w:szCs w:val="24"/>
          <w:vertAlign w:val="subscript"/>
        </w:rPr>
        <w:t>4</w:t>
      </w:r>
      <w:r w:rsidRPr="00F871F8">
        <w:rPr>
          <w:rFonts w:ascii="Calibri" w:hAnsi="Calibri" w:cs="Calibri"/>
          <w:sz w:val="24"/>
          <w:szCs w:val="24"/>
        </w:rPr>
        <w:t>)</w:t>
      </w:r>
      <w:r w:rsidRPr="00F871F8">
        <w:rPr>
          <w:rFonts w:ascii="Calibri" w:hAnsi="Calibri" w:cs="Calibri"/>
          <w:sz w:val="24"/>
          <w:szCs w:val="24"/>
          <w:vertAlign w:val="subscript"/>
        </w:rPr>
        <w:t>2</w:t>
      </w:r>
      <w:r w:rsidRPr="00F871F8">
        <w:rPr>
          <w:rFonts w:ascii="Calibri" w:hAnsi="Calibri" w:cs="Calibri"/>
          <w:sz w:val="24"/>
          <w:szCs w:val="24"/>
        </w:rPr>
        <w:t>SO</w:t>
      </w:r>
      <w:r w:rsidRPr="00F871F8">
        <w:rPr>
          <w:rFonts w:ascii="Calibri" w:hAnsi="Calibri" w:cs="Calibri"/>
          <w:sz w:val="24"/>
          <w:szCs w:val="24"/>
          <w:vertAlign w:val="subscript"/>
        </w:rPr>
        <w:t>4</w:t>
      </w:r>
      <w:r w:rsidRPr="00F871F8">
        <w:rPr>
          <w:rFonts w:ascii="Calibri" w:hAnsi="Calibri" w:cs="Calibri"/>
          <w:sz w:val="24"/>
          <w:szCs w:val="24"/>
        </w:rPr>
        <w:t xml:space="preserve">, and trace metals (40 </w:t>
      </w:r>
      <w:proofErr w:type="spellStart"/>
      <w:r w:rsidRPr="00F871F8">
        <w:rPr>
          <w:rFonts w:ascii="Calibri" w:hAnsi="Calibri" w:cs="Calibri"/>
          <w:sz w:val="24"/>
          <w:szCs w:val="24"/>
        </w:rPr>
        <w:t>nM</w:t>
      </w:r>
      <w:proofErr w:type="spellEnd"/>
      <w:r w:rsidRPr="00F871F8">
        <w:rPr>
          <w:rFonts w:ascii="Calibri" w:hAnsi="Calibri" w:cs="Calibri"/>
          <w:sz w:val="24"/>
          <w:szCs w:val="24"/>
        </w:rPr>
        <w:t xml:space="preserve"> CuSO</w:t>
      </w:r>
      <w:r w:rsidRPr="00F871F8">
        <w:rPr>
          <w:rFonts w:ascii="Calibri" w:hAnsi="Calibri" w:cs="Calibri"/>
          <w:sz w:val="24"/>
          <w:szCs w:val="24"/>
          <w:vertAlign w:val="subscript"/>
        </w:rPr>
        <w:t>4</w:t>
      </w:r>
      <w:r w:rsidRPr="00F871F8">
        <w:rPr>
          <w:rFonts w:ascii="Calibri" w:hAnsi="Calibri" w:cs="Calibri"/>
          <w:sz w:val="24"/>
          <w:szCs w:val="24"/>
        </w:rPr>
        <w:t>·5H</w:t>
      </w:r>
      <w:r w:rsidRPr="00F871F8">
        <w:rPr>
          <w:rFonts w:ascii="Calibri" w:hAnsi="Calibri" w:cs="Calibri"/>
          <w:sz w:val="24"/>
          <w:szCs w:val="24"/>
          <w:vertAlign w:val="subscript"/>
        </w:rPr>
        <w:t>2</w:t>
      </w:r>
      <w:r w:rsidRPr="00F871F8">
        <w:rPr>
          <w:rFonts w:ascii="Calibri" w:hAnsi="Calibri" w:cs="Calibri"/>
          <w:sz w:val="24"/>
          <w:szCs w:val="24"/>
        </w:rPr>
        <w:t xml:space="preserve">O, 273 </w:t>
      </w:r>
      <w:proofErr w:type="spellStart"/>
      <w:r w:rsidRPr="00F871F8">
        <w:rPr>
          <w:rFonts w:ascii="Calibri" w:hAnsi="Calibri" w:cs="Calibri"/>
          <w:sz w:val="24"/>
          <w:szCs w:val="24"/>
        </w:rPr>
        <w:t>nM</w:t>
      </w:r>
      <w:proofErr w:type="spellEnd"/>
      <w:r w:rsidRPr="00F871F8">
        <w:rPr>
          <w:rFonts w:ascii="Calibri" w:hAnsi="Calibri" w:cs="Calibri"/>
          <w:sz w:val="24"/>
          <w:szCs w:val="24"/>
        </w:rPr>
        <w:t xml:space="preserve"> ZnSO</w:t>
      </w:r>
      <w:r w:rsidRPr="00F871F8">
        <w:rPr>
          <w:rFonts w:ascii="Calibri" w:hAnsi="Calibri" w:cs="Calibri"/>
          <w:sz w:val="24"/>
          <w:szCs w:val="24"/>
          <w:vertAlign w:val="subscript"/>
        </w:rPr>
        <w:t>4</w:t>
      </w:r>
      <w:r w:rsidRPr="00F871F8">
        <w:rPr>
          <w:rFonts w:ascii="Calibri" w:hAnsi="Calibri" w:cs="Calibri"/>
          <w:sz w:val="24"/>
          <w:szCs w:val="24"/>
        </w:rPr>
        <w:t>·7H</w:t>
      </w:r>
      <w:r w:rsidRPr="00F871F8">
        <w:rPr>
          <w:rFonts w:ascii="Calibri" w:hAnsi="Calibri" w:cs="Calibri"/>
          <w:sz w:val="24"/>
          <w:szCs w:val="24"/>
          <w:vertAlign w:val="subscript"/>
        </w:rPr>
        <w:t>2</w:t>
      </w:r>
      <w:r w:rsidRPr="00F871F8">
        <w:rPr>
          <w:rFonts w:ascii="Calibri" w:hAnsi="Calibri" w:cs="Calibri"/>
          <w:sz w:val="24"/>
          <w:szCs w:val="24"/>
        </w:rPr>
        <w:t xml:space="preserve">O, 84 </w:t>
      </w:r>
      <w:proofErr w:type="spellStart"/>
      <w:r w:rsidRPr="00F871F8">
        <w:rPr>
          <w:rFonts w:ascii="Calibri" w:hAnsi="Calibri" w:cs="Calibri"/>
          <w:sz w:val="24"/>
          <w:szCs w:val="24"/>
        </w:rPr>
        <w:t>nM</w:t>
      </w:r>
      <w:proofErr w:type="spellEnd"/>
      <w:r w:rsidRPr="00F871F8">
        <w:rPr>
          <w:rFonts w:ascii="Calibri" w:hAnsi="Calibri" w:cs="Calibri"/>
          <w:sz w:val="24"/>
          <w:szCs w:val="24"/>
        </w:rPr>
        <w:t xml:space="preserve"> CoCl</w:t>
      </w:r>
      <w:r w:rsidRPr="00F871F8">
        <w:rPr>
          <w:rFonts w:ascii="Calibri" w:hAnsi="Calibri" w:cs="Calibri"/>
          <w:sz w:val="24"/>
          <w:szCs w:val="24"/>
          <w:vertAlign w:val="subscript"/>
        </w:rPr>
        <w:t>2</w:t>
      </w:r>
      <w:r w:rsidRPr="00F871F8">
        <w:rPr>
          <w:rFonts w:ascii="Calibri" w:hAnsi="Calibri" w:cs="Calibri"/>
          <w:sz w:val="24"/>
          <w:szCs w:val="24"/>
        </w:rPr>
        <w:t>·6H</w:t>
      </w:r>
      <w:r w:rsidRPr="00F871F8">
        <w:rPr>
          <w:rFonts w:ascii="Calibri" w:hAnsi="Calibri" w:cs="Calibri"/>
          <w:sz w:val="24"/>
          <w:szCs w:val="24"/>
          <w:vertAlign w:val="subscript"/>
        </w:rPr>
        <w:t>2</w:t>
      </w:r>
      <w:r w:rsidRPr="00F871F8">
        <w:rPr>
          <w:rFonts w:ascii="Calibri" w:hAnsi="Calibri" w:cs="Calibri"/>
          <w:sz w:val="24"/>
          <w:szCs w:val="24"/>
        </w:rPr>
        <w:t xml:space="preserve">O, 53.7 </w:t>
      </w:r>
      <w:proofErr w:type="spellStart"/>
      <w:r w:rsidRPr="00F871F8">
        <w:rPr>
          <w:rFonts w:ascii="Calibri" w:hAnsi="Calibri" w:cs="Calibri"/>
          <w:sz w:val="24"/>
          <w:szCs w:val="24"/>
        </w:rPr>
        <w:t>nM</w:t>
      </w:r>
      <w:proofErr w:type="spellEnd"/>
      <w:r w:rsidRPr="00F871F8">
        <w:rPr>
          <w:rFonts w:ascii="Calibri" w:hAnsi="Calibri" w:cs="Calibri"/>
          <w:sz w:val="24"/>
          <w:szCs w:val="24"/>
        </w:rPr>
        <w:t xml:space="preserve"> Na</w:t>
      </w:r>
      <w:r w:rsidR="00AB46CC" w:rsidRPr="00F871F8">
        <w:rPr>
          <w:rFonts w:ascii="Calibri" w:hAnsi="Calibri" w:cs="Calibri"/>
          <w:sz w:val="24"/>
          <w:szCs w:val="24"/>
          <w:vertAlign w:val="subscript"/>
        </w:rPr>
        <w:t>2</w:t>
      </w:r>
      <w:r w:rsidRPr="00F871F8">
        <w:rPr>
          <w:rFonts w:ascii="Calibri" w:hAnsi="Calibri" w:cs="Calibri"/>
          <w:sz w:val="24"/>
          <w:szCs w:val="24"/>
        </w:rPr>
        <w:t>MoO</w:t>
      </w:r>
      <w:r w:rsidRPr="00F871F8">
        <w:rPr>
          <w:rFonts w:ascii="Calibri" w:hAnsi="Calibri" w:cs="Calibri"/>
          <w:sz w:val="24"/>
          <w:szCs w:val="24"/>
          <w:vertAlign w:val="subscript"/>
        </w:rPr>
        <w:t>4</w:t>
      </w:r>
      <w:r w:rsidRPr="00F871F8">
        <w:rPr>
          <w:rFonts w:ascii="Calibri" w:hAnsi="Calibri" w:cs="Calibri"/>
          <w:sz w:val="24"/>
          <w:szCs w:val="24"/>
        </w:rPr>
        <w:t>·2H</w:t>
      </w:r>
      <w:r w:rsidRPr="00F871F8">
        <w:rPr>
          <w:rFonts w:ascii="Calibri" w:hAnsi="Calibri" w:cs="Calibri"/>
          <w:sz w:val="24"/>
          <w:szCs w:val="24"/>
          <w:vertAlign w:val="subscript"/>
        </w:rPr>
        <w:t>2</w:t>
      </w:r>
      <w:r w:rsidRPr="00F871F8">
        <w:rPr>
          <w:rFonts w:ascii="Calibri" w:hAnsi="Calibri" w:cs="Calibri"/>
          <w:sz w:val="24"/>
          <w:szCs w:val="24"/>
        </w:rPr>
        <w:t>O) in sterile ultrapure water.</w:t>
      </w:r>
    </w:p>
    <w:p w14:paraId="7504648C" w14:textId="77777777" w:rsidR="00F56A08" w:rsidRPr="00F871F8" w:rsidRDefault="00F56A08" w:rsidP="001B0A4E">
      <w:pPr>
        <w:pStyle w:val="ListParagraph"/>
        <w:spacing w:after="0" w:line="240" w:lineRule="auto"/>
        <w:ind w:left="0"/>
        <w:contextualSpacing w:val="0"/>
        <w:jc w:val="both"/>
        <w:rPr>
          <w:rFonts w:ascii="Calibri" w:hAnsi="Calibri" w:cs="Calibri"/>
          <w:sz w:val="24"/>
          <w:szCs w:val="24"/>
        </w:rPr>
      </w:pPr>
    </w:p>
    <w:p w14:paraId="67FC4065" w14:textId="6E67B5E6"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Prepare salt solution with </w:t>
      </w:r>
      <w:proofErr w:type="gramStart"/>
      <w:r w:rsidRPr="00F871F8">
        <w:rPr>
          <w:rFonts w:ascii="Calibri" w:hAnsi="Calibri" w:cs="Calibri"/>
          <w:sz w:val="24"/>
          <w:szCs w:val="24"/>
        </w:rPr>
        <w:t>Mn(</w:t>
      </w:r>
      <w:proofErr w:type="gramEnd"/>
      <w:r w:rsidRPr="00F871F8">
        <w:rPr>
          <w:rFonts w:ascii="Calibri" w:hAnsi="Calibri" w:cs="Calibri"/>
          <w:sz w:val="24"/>
          <w:szCs w:val="24"/>
        </w:rPr>
        <w:t>II) (</w:t>
      </w:r>
      <w:proofErr w:type="spellStart"/>
      <w:r w:rsidRPr="00F871F8">
        <w:rPr>
          <w:rFonts w:ascii="Calibri" w:hAnsi="Calibri" w:cs="Calibri"/>
          <w:sz w:val="24"/>
          <w:szCs w:val="24"/>
        </w:rPr>
        <w:t>SS</w:t>
      </w:r>
      <w:r w:rsidRPr="00F871F8">
        <w:rPr>
          <w:rFonts w:ascii="Calibri" w:hAnsi="Calibri" w:cs="Calibri"/>
          <w:sz w:val="24"/>
          <w:szCs w:val="24"/>
          <w:vertAlign w:val="subscript"/>
        </w:rPr>
        <w:t>Mn</w:t>
      </w:r>
      <w:proofErr w:type="spellEnd"/>
      <w:r w:rsidRPr="00F871F8">
        <w:rPr>
          <w:rFonts w:ascii="Calibri" w:hAnsi="Calibri" w:cs="Calibri"/>
          <w:sz w:val="24"/>
          <w:szCs w:val="24"/>
        </w:rPr>
        <w:t>): Same as SS</w:t>
      </w:r>
      <w:r w:rsidRPr="00F871F8">
        <w:rPr>
          <w:rFonts w:ascii="Calibri" w:hAnsi="Calibri" w:cs="Calibri"/>
          <w:sz w:val="24"/>
          <w:szCs w:val="24"/>
          <w:vertAlign w:val="subscript"/>
        </w:rPr>
        <w:t>0</w:t>
      </w:r>
      <w:r w:rsidRPr="00F871F8">
        <w:rPr>
          <w:rFonts w:ascii="Calibri" w:hAnsi="Calibri" w:cs="Calibri"/>
          <w:sz w:val="24"/>
          <w:szCs w:val="24"/>
        </w:rPr>
        <w:t xml:space="preserve"> with 50 µM MnCl</w:t>
      </w:r>
      <w:r w:rsidRPr="00F871F8">
        <w:rPr>
          <w:rFonts w:ascii="Calibri" w:hAnsi="Calibri" w:cs="Calibri"/>
          <w:sz w:val="24"/>
          <w:szCs w:val="24"/>
          <w:vertAlign w:val="subscript"/>
        </w:rPr>
        <w:t>2</w:t>
      </w:r>
      <w:r w:rsidRPr="00F871F8">
        <w:rPr>
          <w:rFonts w:ascii="Calibri" w:hAnsi="Calibri" w:cs="Calibri"/>
          <w:sz w:val="24"/>
          <w:szCs w:val="24"/>
        </w:rPr>
        <w:t>·4H</w:t>
      </w:r>
      <w:r w:rsidRPr="00F871F8">
        <w:rPr>
          <w:rFonts w:ascii="Calibri" w:hAnsi="Calibri" w:cs="Calibri"/>
          <w:sz w:val="24"/>
          <w:szCs w:val="24"/>
          <w:vertAlign w:val="subscript"/>
        </w:rPr>
        <w:t>2</w:t>
      </w:r>
      <w:r w:rsidRPr="00F871F8">
        <w:rPr>
          <w:rFonts w:ascii="Calibri" w:hAnsi="Calibri" w:cs="Calibri"/>
          <w:sz w:val="24"/>
          <w:szCs w:val="24"/>
        </w:rPr>
        <w:t>O</w:t>
      </w:r>
      <w:r w:rsidRPr="00F871F8">
        <w:rPr>
          <w:rFonts w:ascii="Calibri" w:hAnsi="Calibri" w:cs="Calibri"/>
          <w:sz w:val="24"/>
          <w:szCs w:val="24"/>
          <w:vertAlign w:val="subscript"/>
        </w:rPr>
        <w:t xml:space="preserve"> </w:t>
      </w:r>
      <w:r w:rsidRPr="00F871F8">
        <w:rPr>
          <w:rFonts w:ascii="Calibri" w:hAnsi="Calibri" w:cs="Calibri"/>
          <w:sz w:val="24"/>
          <w:szCs w:val="24"/>
        </w:rPr>
        <w:t>added.</w:t>
      </w:r>
    </w:p>
    <w:p w14:paraId="2482AB38" w14:textId="77777777" w:rsidR="00F56A08" w:rsidRPr="00F871F8" w:rsidRDefault="00F56A08" w:rsidP="001B0A4E"/>
    <w:p w14:paraId="533F4406" w14:textId="657CA22E"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Prepare growth medium without </w:t>
      </w:r>
      <w:proofErr w:type="gramStart"/>
      <w:r w:rsidRPr="00F871F8">
        <w:rPr>
          <w:rFonts w:ascii="Calibri" w:hAnsi="Calibri" w:cs="Calibri"/>
          <w:sz w:val="24"/>
          <w:szCs w:val="24"/>
        </w:rPr>
        <w:t>Mn(</w:t>
      </w:r>
      <w:proofErr w:type="gramEnd"/>
      <w:r w:rsidRPr="00F871F8">
        <w:rPr>
          <w:rFonts w:ascii="Calibri" w:hAnsi="Calibri" w:cs="Calibri"/>
          <w:sz w:val="24"/>
          <w:szCs w:val="24"/>
        </w:rPr>
        <w:t>II) (GM</w:t>
      </w:r>
      <w:r w:rsidRPr="00F871F8">
        <w:rPr>
          <w:rFonts w:ascii="Calibri" w:hAnsi="Calibri" w:cs="Calibri"/>
          <w:sz w:val="24"/>
          <w:szCs w:val="24"/>
          <w:vertAlign w:val="subscript"/>
        </w:rPr>
        <w:t>0</w:t>
      </w:r>
      <w:r w:rsidRPr="00F871F8">
        <w:rPr>
          <w:rFonts w:ascii="Calibri" w:hAnsi="Calibri" w:cs="Calibri"/>
          <w:sz w:val="24"/>
          <w:szCs w:val="24"/>
        </w:rPr>
        <w:t>): Same as SS</w:t>
      </w:r>
      <w:r w:rsidRPr="00F871F8">
        <w:rPr>
          <w:rFonts w:ascii="Calibri" w:hAnsi="Calibri" w:cs="Calibri"/>
          <w:sz w:val="24"/>
          <w:szCs w:val="24"/>
          <w:vertAlign w:val="subscript"/>
        </w:rPr>
        <w:t>0</w:t>
      </w:r>
      <w:r w:rsidRPr="00F871F8">
        <w:rPr>
          <w:rFonts w:ascii="Calibri" w:hAnsi="Calibri" w:cs="Calibri"/>
          <w:sz w:val="24"/>
          <w:szCs w:val="24"/>
        </w:rPr>
        <w:t xml:space="preserve"> with 1.5 g·L</w:t>
      </w:r>
      <w:r w:rsidRPr="00F871F8">
        <w:rPr>
          <w:rFonts w:ascii="Calibri" w:hAnsi="Calibri" w:cs="Calibri"/>
          <w:sz w:val="24"/>
          <w:szCs w:val="24"/>
          <w:vertAlign w:val="superscript"/>
        </w:rPr>
        <w:t>-1</w:t>
      </w:r>
      <w:r w:rsidRPr="00F871F8">
        <w:rPr>
          <w:rFonts w:ascii="Calibri" w:hAnsi="Calibri" w:cs="Calibri"/>
          <w:sz w:val="24"/>
          <w:szCs w:val="24"/>
        </w:rPr>
        <w:t xml:space="preserve"> yeast extract and 1.5 g·L</w:t>
      </w:r>
      <w:r w:rsidRPr="00F871F8">
        <w:rPr>
          <w:rFonts w:ascii="Calibri" w:hAnsi="Calibri" w:cs="Calibri"/>
          <w:sz w:val="24"/>
          <w:szCs w:val="24"/>
          <w:vertAlign w:val="superscript"/>
        </w:rPr>
        <w:t>-1</w:t>
      </w:r>
      <w:r w:rsidRPr="00F871F8">
        <w:rPr>
          <w:rFonts w:ascii="Calibri" w:hAnsi="Calibri" w:cs="Calibri"/>
          <w:sz w:val="24"/>
          <w:szCs w:val="24"/>
        </w:rPr>
        <w:t xml:space="preserve"> casamino acid added.</w:t>
      </w:r>
    </w:p>
    <w:p w14:paraId="009071FF" w14:textId="77777777" w:rsidR="00F56A08" w:rsidRPr="00F871F8" w:rsidRDefault="00F56A08" w:rsidP="001B0A4E"/>
    <w:p w14:paraId="3D217225" w14:textId="77777777"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Growth medium with </w:t>
      </w:r>
      <w:proofErr w:type="gramStart"/>
      <w:r w:rsidRPr="00F871F8">
        <w:rPr>
          <w:rFonts w:ascii="Calibri" w:hAnsi="Calibri" w:cs="Calibri"/>
          <w:sz w:val="24"/>
          <w:szCs w:val="24"/>
        </w:rPr>
        <w:t>Mn(</w:t>
      </w:r>
      <w:proofErr w:type="gramEnd"/>
      <w:r w:rsidRPr="00F871F8">
        <w:rPr>
          <w:rFonts w:ascii="Calibri" w:hAnsi="Calibri" w:cs="Calibri"/>
          <w:sz w:val="24"/>
          <w:szCs w:val="24"/>
        </w:rPr>
        <w:t>II) (</w:t>
      </w:r>
      <w:proofErr w:type="spellStart"/>
      <w:r w:rsidRPr="00F871F8">
        <w:rPr>
          <w:rFonts w:ascii="Calibri" w:hAnsi="Calibri" w:cs="Calibri"/>
          <w:sz w:val="24"/>
          <w:szCs w:val="24"/>
        </w:rPr>
        <w:t>GM</w:t>
      </w:r>
      <w:r w:rsidRPr="00F871F8">
        <w:rPr>
          <w:rFonts w:ascii="Calibri" w:hAnsi="Calibri" w:cs="Calibri"/>
          <w:sz w:val="24"/>
          <w:szCs w:val="24"/>
          <w:vertAlign w:val="subscript"/>
        </w:rPr>
        <w:t>Mn</w:t>
      </w:r>
      <w:proofErr w:type="spellEnd"/>
      <w:r w:rsidRPr="00F871F8">
        <w:rPr>
          <w:rFonts w:ascii="Calibri" w:hAnsi="Calibri" w:cs="Calibri"/>
          <w:sz w:val="24"/>
          <w:szCs w:val="24"/>
        </w:rPr>
        <w:t>): Same as GM</w:t>
      </w:r>
      <w:r w:rsidRPr="00F871F8">
        <w:rPr>
          <w:rFonts w:ascii="Calibri" w:hAnsi="Calibri" w:cs="Calibri"/>
          <w:sz w:val="24"/>
          <w:szCs w:val="24"/>
          <w:vertAlign w:val="subscript"/>
        </w:rPr>
        <w:t>0</w:t>
      </w:r>
      <w:r w:rsidRPr="00F871F8">
        <w:rPr>
          <w:rFonts w:ascii="Calibri" w:hAnsi="Calibri" w:cs="Calibri"/>
          <w:sz w:val="24"/>
          <w:szCs w:val="24"/>
        </w:rPr>
        <w:t xml:space="preserve"> with 50 µM MnCl</w:t>
      </w:r>
      <w:r w:rsidRPr="00F871F8">
        <w:rPr>
          <w:rFonts w:ascii="Calibri" w:hAnsi="Calibri" w:cs="Calibri"/>
          <w:sz w:val="24"/>
          <w:szCs w:val="24"/>
          <w:vertAlign w:val="subscript"/>
        </w:rPr>
        <w:t>2</w:t>
      </w:r>
      <w:r w:rsidRPr="00F871F8">
        <w:rPr>
          <w:rFonts w:ascii="Calibri" w:hAnsi="Calibri" w:cs="Calibri"/>
          <w:sz w:val="24"/>
          <w:szCs w:val="24"/>
        </w:rPr>
        <w:t>·4H</w:t>
      </w:r>
      <w:r w:rsidRPr="00F871F8">
        <w:rPr>
          <w:rFonts w:ascii="Calibri" w:hAnsi="Calibri" w:cs="Calibri"/>
          <w:sz w:val="24"/>
          <w:szCs w:val="24"/>
          <w:vertAlign w:val="subscript"/>
        </w:rPr>
        <w:t>2</w:t>
      </w:r>
      <w:r w:rsidRPr="00F871F8">
        <w:rPr>
          <w:rFonts w:ascii="Calibri" w:hAnsi="Calibri" w:cs="Calibri"/>
          <w:sz w:val="24"/>
          <w:szCs w:val="24"/>
        </w:rPr>
        <w:t>O added.</w:t>
      </w:r>
    </w:p>
    <w:p w14:paraId="17F1532F" w14:textId="77777777" w:rsidR="00F56A08" w:rsidRPr="00F871F8" w:rsidRDefault="00F56A08" w:rsidP="001B0A4E"/>
    <w:p w14:paraId="4724D8B9" w14:textId="35A45F6B" w:rsidR="00CC4A06" w:rsidRPr="00F871F8" w:rsidRDefault="00000000" w:rsidP="001B0A4E">
      <w:r w:rsidRPr="00F871F8">
        <w:t xml:space="preserve">CAUTION: Salt solutions and growth media contain metals with both health and environmental hazards. Handle and store according to the safety data sheets. </w:t>
      </w:r>
    </w:p>
    <w:p w14:paraId="73A33DC7" w14:textId="77777777" w:rsidR="00F56A08" w:rsidRPr="00F871F8" w:rsidRDefault="00F56A08" w:rsidP="001B0A4E"/>
    <w:p w14:paraId="6B9AFE88" w14:textId="02A8BB26"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 xml:space="preserve">Prepare an acid solution containing 40 mM oxalic acid </w:t>
      </w:r>
      <w:r w:rsidR="00AF60CB" w:rsidRPr="00F871F8">
        <w:rPr>
          <w:rFonts w:ascii="Calibri" w:hAnsi="Calibri" w:cs="Calibri"/>
          <w:sz w:val="24"/>
          <w:szCs w:val="24"/>
        </w:rPr>
        <w:t xml:space="preserve">dihydrate </w:t>
      </w:r>
      <w:r w:rsidRPr="00F871F8">
        <w:rPr>
          <w:rFonts w:ascii="Calibri" w:hAnsi="Calibri" w:cs="Calibri"/>
          <w:sz w:val="24"/>
          <w:szCs w:val="24"/>
        </w:rPr>
        <w:t xml:space="preserve">and 2% nitric acid in ultrapure water for </w:t>
      </w:r>
      <w:r w:rsidR="00B72939" w:rsidRPr="00F871F8">
        <w:rPr>
          <w:rFonts w:ascii="Calibri" w:hAnsi="Calibri" w:cs="Calibri"/>
          <w:sz w:val="24"/>
          <w:szCs w:val="24"/>
        </w:rPr>
        <w:t xml:space="preserve">the </w:t>
      </w:r>
      <w:r w:rsidRPr="00F871F8">
        <w:rPr>
          <w:rFonts w:ascii="Calibri" w:hAnsi="Calibri" w:cs="Calibri"/>
          <w:sz w:val="24"/>
          <w:szCs w:val="24"/>
        </w:rPr>
        <w:t xml:space="preserve">digestion of the Mn oxides inside the microfluidic reactor. </w:t>
      </w:r>
    </w:p>
    <w:p w14:paraId="342392A1" w14:textId="77777777" w:rsidR="00CC4A06" w:rsidRPr="00F871F8" w:rsidRDefault="00CC4A06" w:rsidP="001B0A4E">
      <w:pPr>
        <w:pStyle w:val="ListParagraph"/>
        <w:spacing w:after="0" w:line="240" w:lineRule="auto"/>
        <w:ind w:left="0"/>
        <w:jc w:val="both"/>
        <w:rPr>
          <w:rFonts w:ascii="Calibri" w:hAnsi="Calibri" w:cs="Calibri"/>
          <w:b/>
          <w:bCs/>
          <w:sz w:val="24"/>
          <w:szCs w:val="24"/>
        </w:rPr>
      </w:pPr>
    </w:p>
    <w:p w14:paraId="53BD01A1" w14:textId="7DED53A7" w:rsidR="00CC4A06" w:rsidRPr="00F871F8" w:rsidRDefault="00000000" w:rsidP="001B0A4E">
      <w:r w:rsidRPr="00F871F8">
        <w:t>CAUTION: Oxalic acid</w:t>
      </w:r>
      <w:r w:rsidR="002066AD" w:rsidRPr="00F871F8">
        <w:t xml:space="preserve"> dihydrate</w:t>
      </w:r>
      <w:r w:rsidRPr="00F871F8">
        <w:t xml:space="preserve"> and nitric acid are corrosive, and nitric acid is a strong oxidizer. Handle and store according to the safety data sheets. </w:t>
      </w:r>
    </w:p>
    <w:p w14:paraId="14F460D9"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7E3412C2" w14:textId="77777777"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Prepare a 1% nitric acid solution in ultrapure water for ICP-MS sample dilution.</w:t>
      </w:r>
    </w:p>
    <w:p w14:paraId="2EC0A9F1"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304459FE" w14:textId="706B86BC" w:rsidR="00CC4A06" w:rsidRPr="00F403FF" w:rsidRDefault="00000000" w:rsidP="001B0A4E">
      <w:pPr>
        <w:pStyle w:val="ListParagraph"/>
        <w:numPr>
          <w:ilvl w:val="0"/>
          <w:numId w:val="37"/>
        </w:numPr>
        <w:spacing w:after="0" w:line="240" w:lineRule="auto"/>
        <w:ind w:left="0" w:firstLine="0"/>
        <w:jc w:val="both"/>
        <w:rPr>
          <w:rFonts w:ascii="Calibri" w:hAnsi="Calibri" w:cs="Calibri"/>
          <w:b/>
          <w:bCs/>
          <w:sz w:val="24"/>
          <w:szCs w:val="24"/>
        </w:rPr>
      </w:pPr>
      <w:r w:rsidRPr="00F403FF">
        <w:rPr>
          <w:rFonts w:ascii="Calibri" w:hAnsi="Calibri" w:cs="Calibri"/>
          <w:b/>
          <w:bCs/>
          <w:sz w:val="24"/>
          <w:szCs w:val="24"/>
        </w:rPr>
        <w:t xml:space="preserve">Bacterial </w:t>
      </w:r>
      <w:r w:rsidR="004108C0" w:rsidRPr="00F403FF">
        <w:rPr>
          <w:rFonts w:ascii="Calibri" w:hAnsi="Calibri" w:cs="Calibri"/>
          <w:b/>
          <w:bCs/>
          <w:sz w:val="24"/>
          <w:szCs w:val="24"/>
        </w:rPr>
        <w:t>culturing</w:t>
      </w:r>
    </w:p>
    <w:p w14:paraId="7EB9CF49" w14:textId="77777777" w:rsidR="007350C7" w:rsidRPr="00F403FF" w:rsidRDefault="007350C7" w:rsidP="001B0A4E">
      <w:pPr>
        <w:pStyle w:val="ListParagraph"/>
        <w:spacing w:after="0" w:line="240" w:lineRule="auto"/>
        <w:ind w:left="0"/>
        <w:jc w:val="both"/>
        <w:rPr>
          <w:rFonts w:ascii="Calibri" w:hAnsi="Calibri" w:cs="Calibri"/>
          <w:b/>
          <w:bCs/>
          <w:sz w:val="24"/>
          <w:szCs w:val="24"/>
        </w:rPr>
      </w:pPr>
    </w:p>
    <w:p w14:paraId="493D3E23" w14:textId="7FD0CC1D" w:rsidR="00CC4A06" w:rsidRPr="00F403FF" w:rsidRDefault="00000000" w:rsidP="001B0A4E">
      <w:pPr>
        <w:rPr>
          <w:b/>
          <w:bCs/>
        </w:rPr>
      </w:pPr>
      <w:r w:rsidRPr="00F403FF">
        <w:t>NOTE:</w:t>
      </w:r>
      <w:r w:rsidRPr="00F403FF">
        <w:rPr>
          <w:b/>
          <w:bCs/>
        </w:rPr>
        <w:t xml:space="preserve"> </w:t>
      </w:r>
      <w:r w:rsidR="00B0298F" w:rsidRPr="00F403FF">
        <w:t>Bacterial culturing</w:t>
      </w:r>
      <w:r w:rsidRPr="00F403FF">
        <w:t xml:space="preserve"> is performed with aseptic technique</w:t>
      </w:r>
      <w:r w:rsidR="00FC0280" w:rsidRPr="00F403FF">
        <w:t xml:space="preserve"> on the benchtop</w:t>
      </w:r>
      <w:r w:rsidRPr="00F403FF">
        <w:t xml:space="preserve"> using a Bunsen burner.</w:t>
      </w:r>
      <w:r w:rsidR="004108C0" w:rsidRPr="00F403FF">
        <w:t xml:space="preserve"> </w:t>
      </w:r>
      <w:r w:rsidR="0027482E" w:rsidRPr="00F403FF">
        <w:t>Materials</w:t>
      </w:r>
      <w:r w:rsidR="004108C0" w:rsidRPr="00F403FF">
        <w:t xml:space="preserve"> are sterile</w:t>
      </w:r>
      <w:r w:rsidR="0027482E" w:rsidRPr="00F403FF">
        <w:t xml:space="preserve"> unless otherwise noted</w:t>
      </w:r>
      <w:r w:rsidR="004108C0" w:rsidRPr="00F403FF">
        <w:t>.</w:t>
      </w:r>
      <w:r w:rsidR="00327F80" w:rsidRPr="00F403FF">
        <w:t xml:space="preserve"> </w:t>
      </w:r>
      <w:r w:rsidR="009F1D10" w:rsidRPr="00F403FF">
        <w:t xml:space="preserve">Incubation durations are specific to </w:t>
      </w:r>
      <w:r w:rsidR="009F1D10" w:rsidRPr="00F403FF">
        <w:rPr>
          <w:i/>
          <w:iCs/>
        </w:rPr>
        <w:t>P. putida</w:t>
      </w:r>
      <w:r w:rsidR="009F1D10" w:rsidRPr="00F403FF">
        <w:t xml:space="preserve"> GB-1 and may need to be adjusted for other microorganisms.</w:t>
      </w:r>
    </w:p>
    <w:p w14:paraId="409B28FC" w14:textId="77777777" w:rsidR="000460E7" w:rsidRPr="00F403FF" w:rsidRDefault="000460E7" w:rsidP="001B0A4E">
      <w:pPr>
        <w:rPr>
          <w:b/>
          <w:bCs/>
        </w:rPr>
      </w:pPr>
    </w:p>
    <w:p w14:paraId="4D85AEE3" w14:textId="57D33BF1" w:rsidR="00CC4A06" w:rsidRPr="00F403FF"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403FF">
        <w:rPr>
          <w:rFonts w:ascii="Calibri" w:hAnsi="Calibri" w:cs="Calibri"/>
          <w:sz w:val="24"/>
          <w:szCs w:val="24"/>
        </w:rPr>
        <w:lastRenderedPageBreak/>
        <w:t xml:space="preserve">From a -80 °C stock, streak </w:t>
      </w:r>
      <w:r w:rsidRPr="00F403FF">
        <w:rPr>
          <w:rFonts w:ascii="Calibri" w:hAnsi="Calibri" w:cs="Calibri"/>
          <w:i/>
          <w:iCs/>
          <w:sz w:val="24"/>
          <w:szCs w:val="24"/>
        </w:rPr>
        <w:t>P. putida</w:t>
      </w:r>
      <w:r w:rsidRPr="00F403FF">
        <w:rPr>
          <w:rFonts w:ascii="Calibri" w:hAnsi="Calibri" w:cs="Calibri"/>
          <w:sz w:val="24"/>
          <w:szCs w:val="24"/>
        </w:rPr>
        <w:t xml:space="preserve"> GB-1 on an LB agar plate. Incubate the plate for approximately 20 h at 30 °C to allow </w:t>
      </w:r>
      <w:r w:rsidR="002B4CCF" w:rsidRPr="00F403FF">
        <w:rPr>
          <w:rFonts w:ascii="Calibri" w:hAnsi="Calibri" w:cs="Calibri"/>
          <w:sz w:val="24"/>
          <w:szCs w:val="24"/>
        </w:rPr>
        <w:t>growth of bacterial colonies.</w:t>
      </w:r>
    </w:p>
    <w:p w14:paraId="2014F355" w14:textId="77777777" w:rsidR="000460E7" w:rsidRPr="00F403FF" w:rsidRDefault="000460E7" w:rsidP="001B0A4E">
      <w:pPr>
        <w:pStyle w:val="ListParagraph"/>
        <w:spacing w:after="0" w:line="240" w:lineRule="auto"/>
        <w:ind w:left="0"/>
        <w:contextualSpacing w:val="0"/>
        <w:jc w:val="both"/>
        <w:rPr>
          <w:rFonts w:ascii="Calibri" w:hAnsi="Calibri" w:cs="Calibri"/>
          <w:sz w:val="24"/>
          <w:szCs w:val="24"/>
        </w:rPr>
      </w:pPr>
    </w:p>
    <w:p w14:paraId="1C932311" w14:textId="2A58EE4B" w:rsidR="00CC4A06" w:rsidRPr="00F403FF"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403FF">
        <w:rPr>
          <w:rFonts w:ascii="Calibri" w:hAnsi="Calibri" w:cs="Calibri"/>
          <w:sz w:val="24"/>
          <w:szCs w:val="24"/>
        </w:rPr>
        <w:t>The evening before the experiment, add 10 mL</w:t>
      </w:r>
      <w:r w:rsidR="00B72939" w:rsidRPr="00F403FF">
        <w:rPr>
          <w:rFonts w:ascii="Calibri" w:hAnsi="Calibri" w:cs="Calibri"/>
          <w:sz w:val="24"/>
          <w:szCs w:val="24"/>
        </w:rPr>
        <w:t xml:space="preserve"> of</w:t>
      </w:r>
      <w:r w:rsidR="002B4CCF" w:rsidRPr="00F403FF">
        <w:rPr>
          <w:rFonts w:ascii="Calibri" w:hAnsi="Calibri" w:cs="Calibri"/>
          <w:sz w:val="24"/>
          <w:szCs w:val="24"/>
        </w:rPr>
        <w:t xml:space="preserve"> </w:t>
      </w:r>
      <w:r w:rsidRPr="00F403FF">
        <w:rPr>
          <w:rFonts w:ascii="Calibri" w:hAnsi="Calibri" w:cs="Calibri"/>
          <w:sz w:val="24"/>
          <w:szCs w:val="24"/>
        </w:rPr>
        <w:t xml:space="preserve">LB medium to a 50-mL conical tube and inoculate with one plate colony. Incubate </w:t>
      </w:r>
      <w:r w:rsidR="003159F7" w:rsidRPr="00F403FF">
        <w:rPr>
          <w:rFonts w:ascii="Calibri" w:hAnsi="Calibri" w:cs="Calibri"/>
          <w:sz w:val="24"/>
          <w:szCs w:val="24"/>
        </w:rPr>
        <w:t xml:space="preserve">the LB preculture </w:t>
      </w:r>
      <w:r w:rsidRPr="00F403FF">
        <w:rPr>
          <w:rFonts w:ascii="Calibri" w:hAnsi="Calibri" w:cs="Calibri"/>
          <w:sz w:val="24"/>
          <w:szCs w:val="24"/>
        </w:rPr>
        <w:t xml:space="preserve">in a </w:t>
      </w:r>
      <w:r w:rsidR="00132D7F" w:rsidRPr="00F403FF">
        <w:rPr>
          <w:rFonts w:ascii="Calibri" w:hAnsi="Calibri" w:cs="Calibri"/>
          <w:sz w:val="24"/>
          <w:szCs w:val="24"/>
        </w:rPr>
        <w:t>shaker</w:t>
      </w:r>
      <w:r w:rsidRPr="00F403FF">
        <w:rPr>
          <w:rFonts w:ascii="Calibri" w:hAnsi="Calibri" w:cs="Calibri"/>
          <w:sz w:val="24"/>
          <w:szCs w:val="24"/>
        </w:rPr>
        <w:t xml:space="preserve"> incubator at 30 °C and 180 rpm for 16 h to reach </w:t>
      </w:r>
      <w:r w:rsidR="00B72939" w:rsidRPr="00F403FF">
        <w:rPr>
          <w:rFonts w:ascii="Calibri" w:hAnsi="Calibri" w:cs="Calibri"/>
          <w:sz w:val="24"/>
          <w:szCs w:val="24"/>
        </w:rPr>
        <w:t xml:space="preserve">the </w:t>
      </w:r>
      <w:r w:rsidRPr="00F403FF">
        <w:rPr>
          <w:rFonts w:ascii="Calibri" w:hAnsi="Calibri" w:cs="Calibri"/>
          <w:sz w:val="24"/>
          <w:szCs w:val="24"/>
        </w:rPr>
        <w:t>stationary phase.</w:t>
      </w:r>
    </w:p>
    <w:p w14:paraId="1FC15B13" w14:textId="77777777" w:rsidR="00CA0FE0" w:rsidRPr="00F403FF" w:rsidRDefault="00CA0FE0" w:rsidP="00796876">
      <w:pPr>
        <w:pStyle w:val="ListParagraph"/>
        <w:spacing w:after="0" w:line="240" w:lineRule="auto"/>
        <w:ind w:left="0"/>
        <w:rPr>
          <w:rFonts w:ascii="Calibri" w:hAnsi="Calibri" w:cs="Calibri"/>
          <w:sz w:val="24"/>
          <w:szCs w:val="24"/>
        </w:rPr>
      </w:pPr>
    </w:p>
    <w:p w14:paraId="49736EBA" w14:textId="3778CF8C" w:rsidR="005250D5" w:rsidRPr="00F403FF"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403FF">
        <w:rPr>
          <w:rFonts w:ascii="Calibri" w:hAnsi="Calibri" w:cs="Calibri"/>
          <w:sz w:val="24"/>
          <w:szCs w:val="24"/>
        </w:rPr>
        <w:t xml:space="preserve">After 16 h of incubation, aliquot 1 mL </w:t>
      </w:r>
      <w:r w:rsidR="00B72939" w:rsidRPr="00F403FF">
        <w:rPr>
          <w:rFonts w:ascii="Calibri" w:hAnsi="Calibri" w:cs="Calibri"/>
          <w:sz w:val="24"/>
          <w:szCs w:val="24"/>
        </w:rPr>
        <w:t xml:space="preserve">of </w:t>
      </w:r>
      <w:r w:rsidRPr="00F403FF">
        <w:rPr>
          <w:rFonts w:ascii="Calibri" w:hAnsi="Calibri" w:cs="Calibri"/>
          <w:sz w:val="24"/>
          <w:szCs w:val="24"/>
        </w:rPr>
        <w:t xml:space="preserve">LB preculture into a 1.5-mL microcentrifuge tube </w:t>
      </w:r>
      <w:r w:rsidR="009D77C2" w:rsidRPr="00F403FF">
        <w:rPr>
          <w:rFonts w:ascii="Calibri" w:hAnsi="Calibri" w:cs="Calibri"/>
          <w:sz w:val="24"/>
          <w:szCs w:val="24"/>
        </w:rPr>
        <w:t xml:space="preserve">and </w:t>
      </w:r>
      <w:r w:rsidRPr="00F403FF">
        <w:rPr>
          <w:rFonts w:ascii="Calibri" w:hAnsi="Calibri" w:cs="Calibri"/>
          <w:sz w:val="24"/>
          <w:szCs w:val="24"/>
        </w:rPr>
        <w:t xml:space="preserve">centrifuge for 1 min at 8,000 x </w:t>
      </w:r>
      <w:r w:rsidRPr="00F403FF">
        <w:rPr>
          <w:rFonts w:ascii="Calibri" w:hAnsi="Calibri" w:cs="Calibri"/>
          <w:i/>
          <w:iCs/>
          <w:sz w:val="24"/>
          <w:szCs w:val="24"/>
        </w:rPr>
        <w:t>g</w:t>
      </w:r>
      <w:r w:rsidRPr="00F403FF">
        <w:rPr>
          <w:rFonts w:ascii="Calibri" w:hAnsi="Calibri" w:cs="Calibri"/>
          <w:sz w:val="24"/>
          <w:szCs w:val="24"/>
        </w:rPr>
        <w:t xml:space="preserve"> to pellet the bacteria.</w:t>
      </w:r>
    </w:p>
    <w:p w14:paraId="6C6BB374" w14:textId="77777777" w:rsidR="005250D5" w:rsidRPr="00F403FF" w:rsidRDefault="005250D5" w:rsidP="001B0A4E">
      <w:pPr>
        <w:pStyle w:val="ListParagraph"/>
        <w:spacing w:after="0" w:line="240" w:lineRule="auto"/>
        <w:ind w:left="0"/>
        <w:jc w:val="both"/>
        <w:rPr>
          <w:rFonts w:ascii="Calibri" w:hAnsi="Calibri" w:cs="Calibri"/>
          <w:sz w:val="24"/>
          <w:szCs w:val="24"/>
        </w:rPr>
      </w:pPr>
    </w:p>
    <w:p w14:paraId="7AD059D4" w14:textId="76F1F305" w:rsidR="005250D5" w:rsidRPr="00F403FF"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403FF">
        <w:rPr>
          <w:rFonts w:ascii="Calibri" w:hAnsi="Calibri" w:cs="Calibri"/>
          <w:sz w:val="24"/>
          <w:szCs w:val="24"/>
        </w:rPr>
        <w:t>Wash the aliquot three times to remove spent LB</w:t>
      </w:r>
      <w:r w:rsidR="00E556A6" w:rsidRPr="00F403FF">
        <w:rPr>
          <w:rFonts w:ascii="Calibri" w:hAnsi="Calibri" w:cs="Calibri"/>
          <w:sz w:val="24"/>
          <w:szCs w:val="24"/>
        </w:rPr>
        <w:t xml:space="preserve"> medium</w:t>
      </w:r>
      <w:r w:rsidRPr="00F403FF">
        <w:rPr>
          <w:rFonts w:ascii="Calibri" w:hAnsi="Calibri" w:cs="Calibri"/>
          <w:sz w:val="24"/>
          <w:szCs w:val="24"/>
        </w:rPr>
        <w:t xml:space="preserve"> by discarding the supernatant, resuspending the cell pellet in 1 mL</w:t>
      </w:r>
      <w:r w:rsidR="00B72939" w:rsidRPr="00F403FF">
        <w:rPr>
          <w:rFonts w:ascii="Calibri" w:hAnsi="Calibri" w:cs="Calibri"/>
          <w:sz w:val="24"/>
          <w:szCs w:val="24"/>
        </w:rPr>
        <w:t xml:space="preserve"> of</w:t>
      </w:r>
      <w:r w:rsidRPr="00F403FF">
        <w:rPr>
          <w:rFonts w:ascii="Calibri" w:hAnsi="Calibri" w:cs="Calibri"/>
          <w:sz w:val="24"/>
          <w:szCs w:val="24"/>
        </w:rPr>
        <w:t xml:space="preserve"> SS</w:t>
      </w:r>
      <w:r w:rsidRPr="00F403FF">
        <w:rPr>
          <w:rFonts w:ascii="Calibri" w:hAnsi="Calibri" w:cs="Calibri"/>
          <w:sz w:val="24"/>
          <w:szCs w:val="24"/>
          <w:vertAlign w:val="subscript"/>
        </w:rPr>
        <w:t>0</w:t>
      </w:r>
      <w:r w:rsidRPr="00F403FF">
        <w:rPr>
          <w:rFonts w:ascii="Calibri" w:hAnsi="Calibri" w:cs="Calibri"/>
          <w:sz w:val="24"/>
          <w:szCs w:val="24"/>
        </w:rPr>
        <w:t xml:space="preserve">, and centrifuging for 1 min at 8,000 x </w:t>
      </w:r>
      <w:r w:rsidRPr="00F403FF">
        <w:rPr>
          <w:rFonts w:ascii="Calibri" w:hAnsi="Calibri" w:cs="Calibri"/>
          <w:i/>
          <w:iCs/>
          <w:sz w:val="24"/>
          <w:szCs w:val="24"/>
        </w:rPr>
        <w:t>g</w:t>
      </w:r>
      <w:r w:rsidRPr="00F403FF">
        <w:rPr>
          <w:rFonts w:ascii="Calibri" w:hAnsi="Calibri" w:cs="Calibri"/>
          <w:sz w:val="24"/>
          <w:szCs w:val="24"/>
        </w:rPr>
        <w:t xml:space="preserve">. Resuspend the final pellet in 1 mL </w:t>
      </w:r>
      <w:r w:rsidR="00B72939" w:rsidRPr="00F403FF">
        <w:rPr>
          <w:rFonts w:ascii="Calibri" w:hAnsi="Calibri" w:cs="Calibri"/>
          <w:sz w:val="24"/>
          <w:szCs w:val="24"/>
        </w:rPr>
        <w:t xml:space="preserve">of </w:t>
      </w:r>
      <w:r w:rsidRPr="00F403FF">
        <w:rPr>
          <w:rFonts w:ascii="Calibri" w:hAnsi="Calibri" w:cs="Calibri"/>
          <w:sz w:val="24"/>
          <w:szCs w:val="24"/>
        </w:rPr>
        <w:t>SS</w:t>
      </w:r>
      <w:r w:rsidRPr="00F403FF">
        <w:rPr>
          <w:rFonts w:ascii="Calibri" w:hAnsi="Calibri" w:cs="Calibri"/>
          <w:sz w:val="24"/>
          <w:szCs w:val="24"/>
          <w:vertAlign w:val="subscript"/>
        </w:rPr>
        <w:t>0</w:t>
      </w:r>
      <w:r w:rsidRPr="00F403FF">
        <w:rPr>
          <w:rFonts w:ascii="Calibri" w:hAnsi="Calibri" w:cs="Calibri"/>
          <w:sz w:val="24"/>
          <w:szCs w:val="24"/>
        </w:rPr>
        <w:t>.</w:t>
      </w:r>
    </w:p>
    <w:p w14:paraId="2613216A" w14:textId="77777777" w:rsidR="005250D5" w:rsidRPr="00F403FF" w:rsidRDefault="005250D5" w:rsidP="001B0A4E"/>
    <w:p w14:paraId="46F59BAD" w14:textId="79669EFE" w:rsidR="005250D5" w:rsidRPr="00F403FF"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403FF">
        <w:rPr>
          <w:rFonts w:ascii="Calibri" w:hAnsi="Calibri" w:cs="Calibri"/>
          <w:sz w:val="24"/>
          <w:szCs w:val="24"/>
        </w:rPr>
        <w:t>Measure the optical density (OD</w:t>
      </w:r>
      <w:r w:rsidRPr="00F403FF">
        <w:rPr>
          <w:rFonts w:ascii="Calibri" w:hAnsi="Calibri" w:cs="Calibri"/>
          <w:sz w:val="24"/>
          <w:szCs w:val="24"/>
          <w:vertAlign w:val="subscript"/>
        </w:rPr>
        <w:t>600</w:t>
      </w:r>
      <w:r w:rsidRPr="00F403FF">
        <w:rPr>
          <w:rFonts w:ascii="Calibri" w:hAnsi="Calibri" w:cs="Calibri"/>
          <w:sz w:val="24"/>
          <w:szCs w:val="24"/>
        </w:rPr>
        <w:t xml:space="preserve">) of the washed </w:t>
      </w:r>
      <w:r w:rsidR="00E556A6" w:rsidRPr="00F403FF">
        <w:rPr>
          <w:rFonts w:ascii="Calibri" w:hAnsi="Calibri" w:cs="Calibri"/>
          <w:sz w:val="24"/>
          <w:szCs w:val="24"/>
        </w:rPr>
        <w:t xml:space="preserve">cell suspension </w:t>
      </w:r>
      <w:r w:rsidRPr="00F403FF">
        <w:rPr>
          <w:rFonts w:ascii="Calibri" w:hAnsi="Calibri" w:cs="Calibri"/>
          <w:sz w:val="24"/>
          <w:szCs w:val="24"/>
        </w:rPr>
        <w:t xml:space="preserve">in a </w:t>
      </w:r>
      <w:r w:rsidR="00B0298F" w:rsidRPr="00F403FF">
        <w:rPr>
          <w:rFonts w:ascii="Calibri" w:hAnsi="Calibri" w:cs="Calibri"/>
          <w:sz w:val="24"/>
          <w:szCs w:val="24"/>
        </w:rPr>
        <w:t xml:space="preserve">nonsterile </w:t>
      </w:r>
      <w:r w:rsidRPr="00F403FF">
        <w:rPr>
          <w:rFonts w:ascii="Calibri" w:hAnsi="Calibri" w:cs="Calibri"/>
          <w:sz w:val="24"/>
          <w:szCs w:val="24"/>
        </w:rPr>
        <w:t>cuvette with a cell density meter. Expected OD</w:t>
      </w:r>
      <w:r w:rsidRPr="00F403FF">
        <w:rPr>
          <w:rFonts w:ascii="Calibri" w:hAnsi="Calibri" w:cs="Calibri"/>
          <w:sz w:val="24"/>
          <w:szCs w:val="24"/>
          <w:vertAlign w:val="subscript"/>
        </w:rPr>
        <w:t>600</w:t>
      </w:r>
      <w:r w:rsidRPr="00F403FF">
        <w:rPr>
          <w:rFonts w:ascii="Calibri" w:hAnsi="Calibri" w:cs="Calibri"/>
          <w:sz w:val="24"/>
          <w:szCs w:val="24"/>
        </w:rPr>
        <w:t xml:space="preserve"> for </w:t>
      </w:r>
      <w:r w:rsidRPr="00F403FF">
        <w:rPr>
          <w:rFonts w:ascii="Calibri" w:hAnsi="Calibri" w:cs="Calibri"/>
          <w:i/>
          <w:iCs/>
          <w:sz w:val="24"/>
          <w:szCs w:val="24"/>
        </w:rPr>
        <w:t>P. putida</w:t>
      </w:r>
      <w:r w:rsidRPr="00F403FF">
        <w:rPr>
          <w:rFonts w:ascii="Calibri" w:hAnsi="Calibri" w:cs="Calibri"/>
          <w:sz w:val="24"/>
          <w:szCs w:val="24"/>
        </w:rPr>
        <w:t xml:space="preserve"> GB-1</w:t>
      </w:r>
      <w:r w:rsidR="004B01DE" w:rsidRPr="00F403FF">
        <w:rPr>
          <w:rFonts w:ascii="Calibri" w:hAnsi="Calibri" w:cs="Calibri"/>
          <w:sz w:val="24"/>
          <w:szCs w:val="24"/>
        </w:rPr>
        <w:t xml:space="preserve"> </w:t>
      </w:r>
      <w:r w:rsidR="00BD4D85" w:rsidRPr="00F403FF">
        <w:rPr>
          <w:rFonts w:ascii="Calibri" w:hAnsi="Calibri" w:cs="Calibri"/>
          <w:sz w:val="24"/>
          <w:szCs w:val="24"/>
        </w:rPr>
        <w:t>is</w:t>
      </w:r>
      <w:r w:rsidRPr="00F403FF">
        <w:rPr>
          <w:rFonts w:ascii="Calibri" w:hAnsi="Calibri" w:cs="Calibri"/>
          <w:sz w:val="24"/>
          <w:szCs w:val="24"/>
        </w:rPr>
        <w:t xml:space="preserve"> 3.6</w:t>
      </w:r>
      <w:r w:rsidR="00B72939" w:rsidRPr="00F403FF">
        <w:rPr>
          <w:rFonts w:ascii="Calibri" w:hAnsi="Calibri" w:cs="Calibri"/>
          <w:sz w:val="24"/>
          <w:szCs w:val="24"/>
        </w:rPr>
        <w:t>–</w:t>
      </w:r>
      <w:r w:rsidRPr="00F403FF">
        <w:rPr>
          <w:rFonts w:ascii="Calibri" w:hAnsi="Calibri" w:cs="Calibri"/>
          <w:sz w:val="24"/>
          <w:szCs w:val="24"/>
        </w:rPr>
        <w:t>3.8</w:t>
      </w:r>
      <w:r w:rsidR="00BD4D85" w:rsidRPr="00F403FF">
        <w:rPr>
          <w:rFonts w:ascii="Calibri" w:hAnsi="Calibri" w:cs="Calibri"/>
          <w:sz w:val="24"/>
          <w:szCs w:val="24"/>
        </w:rPr>
        <w:t xml:space="preserve"> at this step</w:t>
      </w:r>
      <w:r w:rsidRPr="00F403FF">
        <w:rPr>
          <w:rFonts w:ascii="Calibri" w:hAnsi="Calibri" w:cs="Calibri"/>
          <w:sz w:val="24"/>
          <w:szCs w:val="24"/>
        </w:rPr>
        <w:t>, so at least a 5-fold dilution in SS</w:t>
      </w:r>
      <w:r w:rsidRPr="00F403FF">
        <w:rPr>
          <w:rFonts w:ascii="Calibri" w:hAnsi="Calibri" w:cs="Calibri"/>
          <w:sz w:val="24"/>
          <w:szCs w:val="24"/>
          <w:vertAlign w:val="subscript"/>
        </w:rPr>
        <w:t>0</w:t>
      </w:r>
      <w:r w:rsidRPr="00F403FF">
        <w:rPr>
          <w:rFonts w:ascii="Calibri" w:hAnsi="Calibri" w:cs="Calibri"/>
          <w:sz w:val="24"/>
          <w:szCs w:val="24"/>
        </w:rPr>
        <w:t xml:space="preserve"> is required.</w:t>
      </w:r>
    </w:p>
    <w:p w14:paraId="57621037" w14:textId="77777777" w:rsidR="005250D5" w:rsidRPr="00F403FF" w:rsidRDefault="005250D5" w:rsidP="001B0A4E"/>
    <w:p w14:paraId="571A7860" w14:textId="3D8D8AA2" w:rsidR="00CA0FE0" w:rsidRPr="00F403FF"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403FF">
        <w:rPr>
          <w:rFonts w:ascii="Calibri" w:hAnsi="Calibri" w:cs="Calibri"/>
          <w:sz w:val="24"/>
          <w:szCs w:val="24"/>
        </w:rPr>
        <w:t>Inoculate 20 mL</w:t>
      </w:r>
      <w:r w:rsidR="00B72939" w:rsidRPr="00F403FF">
        <w:rPr>
          <w:rFonts w:ascii="Calibri" w:hAnsi="Calibri" w:cs="Calibri"/>
          <w:sz w:val="24"/>
          <w:szCs w:val="24"/>
        </w:rPr>
        <w:t xml:space="preserve"> of</w:t>
      </w:r>
      <w:r w:rsidRPr="00F403FF">
        <w:rPr>
          <w:rFonts w:ascii="Calibri" w:hAnsi="Calibri" w:cs="Calibri"/>
          <w:sz w:val="24"/>
          <w:szCs w:val="24"/>
        </w:rPr>
        <w:t xml:space="preserve"> GM</w:t>
      </w:r>
      <w:r w:rsidRPr="00F403FF">
        <w:rPr>
          <w:rFonts w:ascii="Calibri" w:hAnsi="Calibri" w:cs="Calibri"/>
          <w:sz w:val="24"/>
          <w:szCs w:val="24"/>
          <w:vertAlign w:val="subscript"/>
        </w:rPr>
        <w:t>0</w:t>
      </w:r>
      <w:r w:rsidRPr="00F403FF">
        <w:rPr>
          <w:rFonts w:ascii="Calibri" w:hAnsi="Calibri" w:cs="Calibri"/>
          <w:sz w:val="24"/>
          <w:szCs w:val="24"/>
        </w:rPr>
        <w:t xml:space="preserve"> with washed cell suspension to an initial OD</w:t>
      </w:r>
      <w:r w:rsidRPr="00F403FF">
        <w:rPr>
          <w:rFonts w:ascii="Calibri" w:hAnsi="Calibri" w:cs="Calibri"/>
          <w:sz w:val="24"/>
          <w:szCs w:val="24"/>
          <w:vertAlign w:val="subscript"/>
        </w:rPr>
        <w:t xml:space="preserve">600 </w:t>
      </w:r>
      <w:r w:rsidRPr="00F403FF">
        <w:rPr>
          <w:rFonts w:ascii="Calibri" w:hAnsi="Calibri" w:cs="Calibri"/>
          <w:sz w:val="24"/>
          <w:szCs w:val="24"/>
        </w:rPr>
        <w:t>of 0.01 in a 50-mL Erlenmeyer flask. Incubate at 30 °C and 180 rpm for 6 h to reach mid-exponential phase.</w:t>
      </w:r>
    </w:p>
    <w:p w14:paraId="2A9ACB46" w14:textId="77777777" w:rsidR="000460E7" w:rsidRPr="00F871F8" w:rsidRDefault="000460E7" w:rsidP="001B0A4E"/>
    <w:p w14:paraId="53B50C88" w14:textId="77777777" w:rsidR="00CC4A06" w:rsidRPr="001110D1" w:rsidRDefault="00000000" w:rsidP="001B0A4E">
      <w:pPr>
        <w:pStyle w:val="ListParagraph"/>
        <w:numPr>
          <w:ilvl w:val="0"/>
          <w:numId w:val="37"/>
        </w:numPr>
        <w:spacing w:after="0" w:line="240" w:lineRule="auto"/>
        <w:ind w:left="0" w:firstLine="0"/>
        <w:jc w:val="both"/>
        <w:rPr>
          <w:rFonts w:ascii="Calibri" w:hAnsi="Calibri" w:cs="Calibri"/>
          <w:b/>
          <w:bCs/>
          <w:sz w:val="24"/>
          <w:szCs w:val="24"/>
          <w:highlight w:val="yellow"/>
        </w:rPr>
      </w:pPr>
      <w:r w:rsidRPr="001110D1">
        <w:rPr>
          <w:rFonts w:ascii="Calibri" w:hAnsi="Calibri" w:cs="Calibri"/>
          <w:b/>
          <w:bCs/>
          <w:sz w:val="24"/>
          <w:szCs w:val="24"/>
          <w:highlight w:val="yellow"/>
        </w:rPr>
        <w:t xml:space="preserve">Biomineralization experiment </w:t>
      </w:r>
    </w:p>
    <w:p w14:paraId="106E0F54" w14:textId="77777777" w:rsidR="00263942" w:rsidRPr="001110D1" w:rsidRDefault="00263942" w:rsidP="001B0A4E">
      <w:pPr>
        <w:rPr>
          <w:highlight w:val="yellow"/>
        </w:rPr>
      </w:pPr>
    </w:p>
    <w:p w14:paraId="4C5555C2" w14:textId="70EA4E49" w:rsidR="00E106F3" w:rsidRPr="001110D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The morning of the experiment, </w:t>
      </w:r>
      <w:r w:rsidR="00D34BE5" w:rsidRPr="001110D1">
        <w:rPr>
          <w:rFonts w:ascii="Calibri" w:hAnsi="Calibri" w:cs="Calibri"/>
          <w:sz w:val="24"/>
          <w:szCs w:val="24"/>
          <w:highlight w:val="yellow"/>
        </w:rPr>
        <w:t>prime</w:t>
      </w:r>
      <w:r w:rsidRPr="001110D1">
        <w:rPr>
          <w:rFonts w:ascii="Calibri" w:hAnsi="Calibri" w:cs="Calibri"/>
          <w:sz w:val="24"/>
          <w:szCs w:val="24"/>
          <w:highlight w:val="yellow"/>
        </w:rPr>
        <w:t xml:space="preserve"> the flow control system.</w:t>
      </w:r>
    </w:p>
    <w:p w14:paraId="3C2C011A" w14:textId="77777777" w:rsidR="00E106F3" w:rsidRPr="001110D1" w:rsidRDefault="00E106F3" w:rsidP="001B0A4E">
      <w:pPr>
        <w:pStyle w:val="ListParagraph"/>
        <w:spacing w:after="0" w:line="240" w:lineRule="auto"/>
        <w:ind w:left="0"/>
        <w:contextualSpacing w:val="0"/>
        <w:jc w:val="both"/>
        <w:rPr>
          <w:rFonts w:ascii="Calibri" w:hAnsi="Calibri" w:cs="Calibri"/>
          <w:sz w:val="24"/>
          <w:szCs w:val="24"/>
          <w:highlight w:val="yellow"/>
        </w:rPr>
      </w:pPr>
    </w:p>
    <w:p w14:paraId="3B4D70B8" w14:textId="77777777" w:rsidR="00E106F3"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Pre-heat the microscope incubator to 30 °C. </w:t>
      </w:r>
    </w:p>
    <w:p w14:paraId="1FE458BD" w14:textId="77777777" w:rsidR="00E106F3" w:rsidRPr="001110D1" w:rsidRDefault="00E106F3" w:rsidP="001B0A4E">
      <w:pPr>
        <w:pStyle w:val="ListParagraph"/>
        <w:spacing w:after="0" w:line="240" w:lineRule="auto"/>
        <w:ind w:left="0"/>
        <w:contextualSpacing w:val="0"/>
        <w:jc w:val="both"/>
        <w:rPr>
          <w:rFonts w:ascii="Calibri" w:hAnsi="Calibri" w:cs="Calibri"/>
          <w:sz w:val="24"/>
          <w:szCs w:val="24"/>
          <w:highlight w:val="yellow"/>
        </w:rPr>
      </w:pPr>
    </w:p>
    <w:p w14:paraId="02B68021" w14:textId="2827B56D"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Pour 10 mL </w:t>
      </w:r>
      <w:r w:rsidR="00B72939" w:rsidRPr="001110D1">
        <w:rPr>
          <w:rFonts w:ascii="Calibri" w:hAnsi="Calibri" w:cs="Calibri"/>
          <w:sz w:val="24"/>
          <w:szCs w:val="24"/>
          <w:highlight w:val="yellow"/>
        </w:rPr>
        <w:t xml:space="preserve">of </w:t>
      </w:r>
      <w:proofErr w:type="spellStart"/>
      <w:r w:rsidRPr="001110D1">
        <w:rPr>
          <w:rFonts w:ascii="Calibri" w:hAnsi="Calibri" w:cs="Calibri"/>
          <w:sz w:val="24"/>
          <w:szCs w:val="24"/>
          <w:highlight w:val="yellow"/>
        </w:rPr>
        <w:t>GM</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and </w:t>
      </w:r>
      <w:proofErr w:type="spellStart"/>
      <w:r w:rsidRPr="001110D1">
        <w:rPr>
          <w:rFonts w:ascii="Calibri" w:hAnsi="Calibri" w:cs="Calibri"/>
          <w:sz w:val="24"/>
          <w:szCs w:val="24"/>
          <w:highlight w:val="yellow"/>
        </w:rPr>
        <w:t>SS</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into two 15-mL conical tubes and connect the tubes to the fluid reservoir rack. </w:t>
      </w:r>
      <w:r w:rsidR="0023228E" w:rsidRPr="001110D1">
        <w:rPr>
          <w:rFonts w:ascii="Calibri" w:hAnsi="Calibri" w:cs="Calibri"/>
          <w:sz w:val="24"/>
          <w:szCs w:val="24"/>
          <w:highlight w:val="yellow"/>
        </w:rPr>
        <w:t>Flush</w:t>
      </w:r>
      <w:r w:rsidRPr="001110D1">
        <w:rPr>
          <w:rFonts w:ascii="Calibri" w:hAnsi="Calibri" w:cs="Calibri"/>
          <w:sz w:val="24"/>
          <w:szCs w:val="24"/>
          <w:highlight w:val="yellow"/>
        </w:rPr>
        <w:t xml:space="preserve"> </w:t>
      </w:r>
      <w:proofErr w:type="spellStart"/>
      <w:r w:rsidRPr="001110D1">
        <w:rPr>
          <w:rFonts w:ascii="Calibri" w:hAnsi="Calibri" w:cs="Calibri"/>
          <w:sz w:val="24"/>
          <w:szCs w:val="24"/>
          <w:highlight w:val="yellow"/>
        </w:rPr>
        <w:t>SS</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for approximately three times the system volume (~4 </w:t>
      </w:r>
      <w:proofErr w:type="spellStart"/>
      <w:r w:rsidRPr="001110D1">
        <w:rPr>
          <w:rFonts w:ascii="Calibri" w:hAnsi="Calibri" w:cs="Calibri"/>
          <w:sz w:val="24"/>
          <w:szCs w:val="24"/>
          <w:highlight w:val="yellow"/>
        </w:rPr>
        <w:t>h at</w:t>
      </w:r>
      <w:proofErr w:type="spellEnd"/>
      <w:r w:rsidRPr="001110D1">
        <w:rPr>
          <w:rFonts w:ascii="Calibri" w:hAnsi="Calibri" w:cs="Calibri"/>
          <w:sz w:val="24"/>
          <w:szCs w:val="24"/>
          <w:highlight w:val="yellow"/>
        </w:rPr>
        <w:t xml:space="preserve"> 7.0 µL</w:t>
      </w:r>
      <w:r w:rsidR="00D628AF" w:rsidRPr="001110D1">
        <w:rPr>
          <w:rFonts w:ascii="Calibri" w:hAnsi="Calibri" w:cs="Calibri"/>
          <w:sz w:val="24"/>
          <w:szCs w:val="24"/>
          <w:highlight w:val="yellow"/>
        </w:rPr>
        <w:t>·</w:t>
      </w:r>
      <w:r w:rsidRPr="001110D1">
        <w:rPr>
          <w:rFonts w:ascii="Calibri" w:hAnsi="Calibri" w:cs="Calibri"/>
          <w:sz w:val="24"/>
          <w:szCs w:val="24"/>
          <w:highlight w:val="yellow"/>
        </w:rPr>
        <w:t>min</w:t>
      </w:r>
      <w:r w:rsidRPr="001110D1">
        <w:rPr>
          <w:rFonts w:ascii="Calibri" w:hAnsi="Calibri" w:cs="Calibri"/>
          <w:sz w:val="24"/>
          <w:szCs w:val="24"/>
          <w:highlight w:val="yellow"/>
          <w:vertAlign w:val="superscript"/>
        </w:rPr>
        <w:t>-1</w:t>
      </w:r>
      <w:r w:rsidRPr="001110D1">
        <w:rPr>
          <w:rFonts w:ascii="Calibri" w:hAnsi="Calibri" w:cs="Calibri"/>
          <w:sz w:val="24"/>
          <w:szCs w:val="24"/>
          <w:highlight w:val="yellow"/>
        </w:rPr>
        <w:t xml:space="preserve">), followed by </w:t>
      </w:r>
      <w:proofErr w:type="spellStart"/>
      <w:r w:rsidRPr="001110D1">
        <w:rPr>
          <w:rFonts w:ascii="Calibri" w:hAnsi="Calibri" w:cs="Calibri"/>
          <w:sz w:val="24"/>
          <w:szCs w:val="24"/>
          <w:highlight w:val="yellow"/>
        </w:rPr>
        <w:t>GM</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for the same duration. </w:t>
      </w:r>
    </w:p>
    <w:p w14:paraId="6E42E738" w14:textId="77777777" w:rsidR="00CC4A06" w:rsidRPr="001110D1" w:rsidRDefault="00CC4A06" w:rsidP="001B0A4E">
      <w:pPr>
        <w:pStyle w:val="ListParagraph"/>
        <w:spacing w:after="0" w:line="240" w:lineRule="auto"/>
        <w:ind w:left="0"/>
        <w:jc w:val="both"/>
        <w:rPr>
          <w:rFonts w:ascii="Calibri" w:hAnsi="Calibri" w:cs="Calibri"/>
          <w:sz w:val="24"/>
          <w:szCs w:val="24"/>
          <w:highlight w:val="yellow"/>
        </w:rPr>
      </w:pPr>
    </w:p>
    <w:p w14:paraId="17AD4535" w14:textId="4EA2CE6A" w:rsidR="00CC4A06" w:rsidRPr="001110D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Saturate the prepared microfluidic reactor 5 h after inoculating the mid-exponential culture.</w:t>
      </w:r>
    </w:p>
    <w:p w14:paraId="64FDB10D" w14:textId="77777777" w:rsidR="004E5491" w:rsidRPr="00F871F8" w:rsidRDefault="004E5491" w:rsidP="001B0A4E">
      <w:pPr>
        <w:rPr>
          <w:b/>
        </w:rPr>
      </w:pPr>
    </w:p>
    <w:p w14:paraId="0570EC12" w14:textId="3D8FF2AE" w:rsidR="004E5491" w:rsidRPr="00F871F8" w:rsidRDefault="00000000" w:rsidP="001B0A4E">
      <w:r w:rsidRPr="00F871F8">
        <w:t>NOTE:</w:t>
      </w:r>
      <w:r w:rsidRPr="00F871F8">
        <w:rPr>
          <w:b/>
          <w:bCs/>
        </w:rPr>
        <w:t xml:space="preserve"> </w:t>
      </w:r>
      <w:r w:rsidR="00C36301" w:rsidRPr="00F871F8">
        <w:t>R</w:t>
      </w:r>
      <w:r w:rsidRPr="00F871F8">
        <w:t>eactor saturation and inoculation are performed with aseptic technique on the benchtop using a Bunsen burner.</w:t>
      </w:r>
      <w:r w:rsidR="00C36301" w:rsidRPr="00F871F8">
        <w:t xml:space="preserve"> Materials are sterile unless otherwise noted.</w:t>
      </w:r>
    </w:p>
    <w:p w14:paraId="1B3B96FD" w14:textId="77777777" w:rsidR="000460E7" w:rsidRPr="00F871F8" w:rsidRDefault="000460E7" w:rsidP="001B0A4E">
      <w:pPr>
        <w:pStyle w:val="ListParagraph"/>
        <w:spacing w:after="0" w:line="240" w:lineRule="auto"/>
        <w:ind w:left="0"/>
        <w:contextualSpacing w:val="0"/>
        <w:jc w:val="both"/>
        <w:rPr>
          <w:rFonts w:ascii="Calibri" w:hAnsi="Calibri" w:cs="Calibri"/>
          <w:sz w:val="24"/>
          <w:szCs w:val="24"/>
        </w:rPr>
      </w:pPr>
    </w:p>
    <w:p w14:paraId="6D44D173" w14:textId="5B2A3397"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Degas the reactor in a vacuum desiccator for 20 min.</w:t>
      </w:r>
    </w:p>
    <w:p w14:paraId="135EB7FC" w14:textId="77777777" w:rsidR="000460E7" w:rsidRPr="001110D1" w:rsidRDefault="000460E7" w:rsidP="001B0A4E">
      <w:pPr>
        <w:pStyle w:val="ListParagraph"/>
        <w:spacing w:after="0" w:line="240" w:lineRule="auto"/>
        <w:ind w:left="0"/>
        <w:contextualSpacing w:val="0"/>
        <w:jc w:val="both"/>
        <w:rPr>
          <w:rFonts w:ascii="Calibri" w:hAnsi="Calibri" w:cs="Calibri"/>
          <w:sz w:val="24"/>
          <w:szCs w:val="24"/>
          <w:highlight w:val="yellow"/>
        </w:rPr>
      </w:pPr>
    </w:p>
    <w:p w14:paraId="042428C2" w14:textId="5C505B80"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While the reactor is degassing, draw </w:t>
      </w:r>
      <w:r w:rsidR="00B72939" w:rsidRPr="001110D1">
        <w:rPr>
          <w:rFonts w:ascii="Calibri" w:hAnsi="Calibri" w:cs="Calibri"/>
          <w:sz w:val="24"/>
          <w:szCs w:val="24"/>
          <w:highlight w:val="yellow"/>
        </w:rPr>
        <w:t>1–</w:t>
      </w:r>
      <w:r w:rsidRPr="001110D1">
        <w:rPr>
          <w:rFonts w:ascii="Calibri" w:hAnsi="Calibri" w:cs="Calibri"/>
          <w:sz w:val="24"/>
          <w:szCs w:val="24"/>
          <w:highlight w:val="yellow"/>
        </w:rPr>
        <w:t xml:space="preserve">2 mL </w:t>
      </w:r>
      <w:r w:rsidR="00B72939" w:rsidRPr="001110D1">
        <w:rPr>
          <w:rFonts w:ascii="Calibri" w:hAnsi="Calibri" w:cs="Calibri"/>
          <w:sz w:val="24"/>
          <w:szCs w:val="24"/>
          <w:highlight w:val="yellow"/>
        </w:rPr>
        <w:t xml:space="preserve">of </w:t>
      </w:r>
      <w:r w:rsidRPr="001110D1">
        <w:rPr>
          <w:rFonts w:ascii="Calibri" w:hAnsi="Calibri" w:cs="Calibri"/>
          <w:sz w:val="24"/>
          <w:szCs w:val="24"/>
          <w:highlight w:val="yellow"/>
        </w:rPr>
        <w:t>SS</w:t>
      </w:r>
      <w:r w:rsidRPr="001110D1">
        <w:rPr>
          <w:rFonts w:ascii="Calibri" w:hAnsi="Calibri" w:cs="Calibri"/>
          <w:sz w:val="24"/>
          <w:szCs w:val="24"/>
          <w:highlight w:val="yellow"/>
          <w:vertAlign w:val="subscript"/>
        </w:rPr>
        <w:t>0</w:t>
      </w:r>
      <w:r w:rsidRPr="001110D1">
        <w:rPr>
          <w:rFonts w:ascii="Calibri" w:hAnsi="Calibri" w:cs="Calibri"/>
          <w:sz w:val="24"/>
          <w:szCs w:val="24"/>
          <w:highlight w:val="yellow"/>
        </w:rPr>
        <w:t xml:space="preserve"> into a 3-mL plastic syringe, then attach a blunt-tip needle and 20 cm of 0.02-in ID </w:t>
      </w:r>
      <w:proofErr w:type="spellStart"/>
      <w:r w:rsidRPr="001110D1">
        <w:rPr>
          <w:rFonts w:ascii="Calibri" w:hAnsi="Calibri" w:cs="Calibri"/>
          <w:sz w:val="24"/>
          <w:szCs w:val="24"/>
          <w:highlight w:val="yellow"/>
        </w:rPr>
        <w:t>Tygon</w:t>
      </w:r>
      <w:proofErr w:type="spellEnd"/>
      <w:r w:rsidRPr="001110D1">
        <w:rPr>
          <w:rFonts w:ascii="Calibri" w:hAnsi="Calibri" w:cs="Calibri"/>
          <w:sz w:val="24"/>
          <w:szCs w:val="24"/>
          <w:highlight w:val="yellow"/>
        </w:rPr>
        <w:t xml:space="preserve"> tubing. Press the syringe plunger until the tubing is fully saturated. </w:t>
      </w:r>
    </w:p>
    <w:p w14:paraId="696AB068" w14:textId="77777777" w:rsidR="000460E7" w:rsidRPr="001110D1" w:rsidRDefault="000460E7" w:rsidP="001B0A4E">
      <w:pPr>
        <w:rPr>
          <w:highlight w:val="yellow"/>
        </w:rPr>
      </w:pPr>
    </w:p>
    <w:p w14:paraId="7A3C573D" w14:textId="4577BE0B" w:rsidR="00CC4A06" w:rsidRPr="001110D1" w:rsidRDefault="00000000" w:rsidP="001B0A4E">
      <w:pPr>
        <w:pStyle w:val="ListParagraph"/>
        <w:numPr>
          <w:ilvl w:val="2"/>
          <w:numId w:val="37"/>
        </w:numPr>
        <w:spacing w:after="0" w:line="240" w:lineRule="auto"/>
        <w:ind w:left="0" w:firstLine="0"/>
        <w:jc w:val="both"/>
        <w:rPr>
          <w:rFonts w:ascii="Calibri" w:hAnsi="Calibri" w:cs="Calibri"/>
          <w:sz w:val="24"/>
          <w:szCs w:val="24"/>
          <w:highlight w:val="yellow"/>
        </w:rPr>
      </w:pPr>
      <w:r w:rsidRPr="001110D1">
        <w:rPr>
          <w:rFonts w:ascii="Calibri" w:hAnsi="Calibri" w:cs="Calibri"/>
          <w:sz w:val="24"/>
          <w:szCs w:val="24"/>
          <w:highlight w:val="yellow"/>
        </w:rPr>
        <w:lastRenderedPageBreak/>
        <w:t xml:space="preserve">Remove the reactor from the desiccator, then </w:t>
      </w:r>
      <w:r w:rsidR="001826CD" w:rsidRPr="001110D1">
        <w:rPr>
          <w:rFonts w:ascii="Calibri" w:hAnsi="Calibri" w:cs="Calibri"/>
          <w:sz w:val="24"/>
          <w:szCs w:val="24"/>
          <w:highlight w:val="yellow"/>
        </w:rPr>
        <w:t>attach</w:t>
      </w:r>
      <w:r w:rsidRPr="001110D1">
        <w:rPr>
          <w:rFonts w:ascii="Calibri" w:hAnsi="Calibri" w:cs="Calibri"/>
          <w:sz w:val="24"/>
          <w:szCs w:val="24"/>
          <w:highlight w:val="yellow"/>
        </w:rPr>
        <w:t xml:space="preserve"> the tubing to the reactor outlet hole with angled tweezers and manually saturate the reactor with the syringe until a </w:t>
      </w:r>
      <w:proofErr w:type="gramStart"/>
      <w:r w:rsidRPr="001110D1">
        <w:rPr>
          <w:rFonts w:ascii="Calibri" w:hAnsi="Calibri" w:cs="Calibri"/>
          <w:sz w:val="24"/>
          <w:szCs w:val="24"/>
          <w:highlight w:val="yellow"/>
        </w:rPr>
        <w:t>droplet forms</w:t>
      </w:r>
      <w:proofErr w:type="gramEnd"/>
      <w:r w:rsidRPr="001110D1">
        <w:rPr>
          <w:rFonts w:ascii="Calibri" w:hAnsi="Calibri" w:cs="Calibri"/>
          <w:sz w:val="24"/>
          <w:szCs w:val="24"/>
          <w:highlight w:val="yellow"/>
        </w:rPr>
        <w:t xml:space="preserve"> at the reactor inlet hole. </w:t>
      </w:r>
    </w:p>
    <w:p w14:paraId="77EBCB46" w14:textId="77777777" w:rsidR="00CC4A06" w:rsidRPr="001110D1" w:rsidRDefault="00CC4A06" w:rsidP="001B0A4E">
      <w:pPr>
        <w:pStyle w:val="ListParagraph"/>
        <w:spacing w:after="0" w:line="240" w:lineRule="auto"/>
        <w:ind w:left="0"/>
        <w:jc w:val="both"/>
        <w:rPr>
          <w:rFonts w:ascii="Calibri" w:hAnsi="Calibri" w:cs="Calibri"/>
          <w:sz w:val="24"/>
          <w:szCs w:val="24"/>
          <w:highlight w:val="yellow"/>
        </w:rPr>
      </w:pPr>
    </w:p>
    <w:p w14:paraId="621105CE" w14:textId="11D322BB" w:rsidR="000460E7"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Attach</w:t>
      </w:r>
      <w:r w:rsidR="00CC4A06" w:rsidRPr="001110D1">
        <w:rPr>
          <w:rFonts w:ascii="Calibri" w:hAnsi="Calibri" w:cs="Calibri"/>
          <w:sz w:val="24"/>
          <w:szCs w:val="24"/>
          <w:highlight w:val="yellow"/>
        </w:rPr>
        <w:t xml:space="preserve"> 20 cm of 0.02-in ID </w:t>
      </w:r>
      <w:proofErr w:type="spellStart"/>
      <w:r w:rsidR="00CC4A06" w:rsidRPr="001110D1">
        <w:rPr>
          <w:rFonts w:ascii="Calibri" w:hAnsi="Calibri" w:cs="Calibri"/>
          <w:sz w:val="24"/>
          <w:szCs w:val="24"/>
          <w:highlight w:val="yellow"/>
        </w:rPr>
        <w:t>Tygon</w:t>
      </w:r>
      <w:proofErr w:type="spellEnd"/>
      <w:r w:rsidR="00CC4A06" w:rsidRPr="001110D1">
        <w:rPr>
          <w:rFonts w:ascii="Calibri" w:hAnsi="Calibri" w:cs="Calibri"/>
          <w:sz w:val="24"/>
          <w:szCs w:val="24"/>
          <w:highlight w:val="yellow"/>
        </w:rPr>
        <w:t xml:space="preserve"> tubing to the </w:t>
      </w:r>
      <w:r w:rsidR="00435959" w:rsidRPr="001110D1">
        <w:rPr>
          <w:rFonts w:ascii="Calibri" w:hAnsi="Calibri" w:cs="Calibri"/>
          <w:sz w:val="24"/>
          <w:szCs w:val="24"/>
          <w:highlight w:val="yellow"/>
        </w:rPr>
        <w:t xml:space="preserve">reactor </w:t>
      </w:r>
      <w:r w:rsidR="00CC4A06" w:rsidRPr="001110D1">
        <w:rPr>
          <w:rFonts w:ascii="Calibri" w:hAnsi="Calibri" w:cs="Calibri"/>
          <w:sz w:val="24"/>
          <w:szCs w:val="24"/>
          <w:highlight w:val="yellow"/>
        </w:rPr>
        <w:t>inlet hole. Continue dispensing SS</w:t>
      </w:r>
      <w:r w:rsidR="00CC4A06" w:rsidRPr="001110D1">
        <w:rPr>
          <w:rFonts w:ascii="Calibri" w:hAnsi="Calibri" w:cs="Calibri"/>
          <w:sz w:val="24"/>
          <w:szCs w:val="24"/>
          <w:highlight w:val="yellow"/>
          <w:vertAlign w:val="subscript"/>
        </w:rPr>
        <w:t>0</w:t>
      </w:r>
      <w:r w:rsidR="00CC4A06" w:rsidRPr="001110D1">
        <w:rPr>
          <w:rFonts w:ascii="Calibri" w:hAnsi="Calibri" w:cs="Calibri"/>
          <w:sz w:val="24"/>
          <w:szCs w:val="24"/>
          <w:highlight w:val="yellow"/>
        </w:rPr>
        <w:t xml:space="preserve"> into the reactor until all </w:t>
      </w:r>
      <w:r w:rsidR="00435959" w:rsidRPr="001110D1">
        <w:rPr>
          <w:rFonts w:ascii="Calibri" w:hAnsi="Calibri" w:cs="Calibri"/>
          <w:sz w:val="24"/>
          <w:szCs w:val="24"/>
          <w:highlight w:val="yellow"/>
        </w:rPr>
        <w:t xml:space="preserve">air </w:t>
      </w:r>
      <w:r w:rsidR="00CC4A06" w:rsidRPr="001110D1">
        <w:rPr>
          <w:rFonts w:ascii="Calibri" w:hAnsi="Calibri" w:cs="Calibri"/>
          <w:sz w:val="24"/>
          <w:szCs w:val="24"/>
          <w:highlight w:val="yellow"/>
        </w:rPr>
        <w:t>bubbles are removed (200</w:t>
      </w:r>
      <w:r w:rsidR="00B72939" w:rsidRPr="001110D1">
        <w:rPr>
          <w:rFonts w:ascii="Calibri" w:hAnsi="Calibri" w:cs="Calibri"/>
          <w:sz w:val="24"/>
          <w:szCs w:val="24"/>
          <w:highlight w:val="yellow"/>
        </w:rPr>
        <w:t>–</w:t>
      </w:r>
      <w:r w:rsidR="00CC4A06" w:rsidRPr="001110D1">
        <w:rPr>
          <w:rFonts w:ascii="Calibri" w:hAnsi="Calibri" w:cs="Calibri"/>
          <w:sz w:val="24"/>
          <w:szCs w:val="24"/>
          <w:highlight w:val="yellow"/>
        </w:rPr>
        <w:t xml:space="preserve">300 µL). </w:t>
      </w:r>
    </w:p>
    <w:p w14:paraId="45E49CB4" w14:textId="77777777" w:rsidR="000460E7" w:rsidRPr="001110D1" w:rsidRDefault="000460E7" w:rsidP="001B0A4E">
      <w:pPr>
        <w:pStyle w:val="ListParagraph"/>
        <w:spacing w:after="0" w:line="240" w:lineRule="auto"/>
        <w:ind w:left="0"/>
        <w:contextualSpacing w:val="0"/>
        <w:jc w:val="both"/>
        <w:rPr>
          <w:rFonts w:ascii="Calibri" w:hAnsi="Calibri" w:cs="Calibri"/>
          <w:sz w:val="24"/>
          <w:szCs w:val="24"/>
          <w:highlight w:val="yellow"/>
        </w:rPr>
      </w:pPr>
    </w:p>
    <w:p w14:paraId="59E5244F" w14:textId="4A23C4D7" w:rsidR="00CC4A06" w:rsidRPr="001110D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Prepare the reactor inoculum</w:t>
      </w:r>
      <w:r w:rsidR="00F4594C" w:rsidRPr="001110D1">
        <w:rPr>
          <w:rFonts w:ascii="Calibri" w:hAnsi="Calibri" w:cs="Calibri"/>
          <w:sz w:val="24"/>
          <w:szCs w:val="24"/>
          <w:highlight w:val="yellow"/>
        </w:rPr>
        <w:t xml:space="preserve"> and inoculate the microfluidic reactor.</w:t>
      </w:r>
    </w:p>
    <w:p w14:paraId="21B6DDFB" w14:textId="77777777" w:rsidR="006C381A" w:rsidRPr="001110D1" w:rsidRDefault="006C381A" w:rsidP="00796876">
      <w:pPr>
        <w:pStyle w:val="ListParagraph"/>
        <w:spacing w:after="0" w:line="240" w:lineRule="auto"/>
        <w:ind w:left="0"/>
        <w:rPr>
          <w:rFonts w:ascii="Calibri" w:hAnsi="Calibri" w:cs="Calibri"/>
          <w:sz w:val="24"/>
          <w:szCs w:val="24"/>
          <w:highlight w:val="yellow"/>
        </w:rPr>
      </w:pPr>
    </w:p>
    <w:p w14:paraId="016DB027" w14:textId="6BE8229E" w:rsidR="006C381A"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Remove the </w:t>
      </w:r>
      <w:r w:rsidR="006308AA" w:rsidRPr="001110D1">
        <w:rPr>
          <w:rFonts w:ascii="Calibri" w:hAnsi="Calibri" w:cs="Calibri"/>
          <w:sz w:val="24"/>
          <w:szCs w:val="24"/>
          <w:highlight w:val="yellow"/>
        </w:rPr>
        <w:t xml:space="preserve">mid-exponential </w:t>
      </w:r>
      <w:r w:rsidRPr="001110D1">
        <w:rPr>
          <w:rFonts w:ascii="Calibri" w:hAnsi="Calibri" w:cs="Calibri"/>
          <w:sz w:val="24"/>
          <w:szCs w:val="24"/>
          <w:highlight w:val="yellow"/>
        </w:rPr>
        <w:t xml:space="preserve">culture from the </w:t>
      </w:r>
      <w:r w:rsidR="00435959" w:rsidRPr="001110D1">
        <w:rPr>
          <w:rFonts w:ascii="Calibri" w:hAnsi="Calibri" w:cs="Calibri"/>
          <w:sz w:val="24"/>
          <w:szCs w:val="24"/>
          <w:highlight w:val="yellow"/>
        </w:rPr>
        <w:t xml:space="preserve">shaker </w:t>
      </w:r>
      <w:r w:rsidRPr="001110D1">
        <w:rPr>
          <w:rFonts w:ascii="Calibri" w:hAnsi="Calibri" w:cs="Calibri"/>
          <w:sz w:val="24"/>
          <w:szCs w:val="24"/>
          <w:highlight w:val="yellow"/>
        </w:rPr>
        <w:t>incubator 6 h after inoculation</w:t>
      </w:r>
      <w:r w:rsidR="00887269" w:rsidRPr="001110D1">
        <w:rPr>
          <w:rFonts w:ascii="Calibri" w:hAnsi="Calibri" w:cs="Calibri"/>
          <w:sz w:val="24"/>
          <w:szCs w:val="24"/>
          <w:highlight w:val="yellow"/>
        </w:rPr>
        <w:t xml:space="preserve"> and</w:t>
      </w:r>
      <w:r w:rsidR="00E72EFE" w:rsidRPr="001110D1">
        <w:rPr>
          <w:rFonts w:ascii="Calibri" w:hAnsi="Calibri" w:cs="Calibri"/>
          <w:sz w:val="24"/>
          <w:szCs w:val="24"/>
          <w:highlight w:val="yellow"/>
        </w:rPr>
        <w:t xml:space="preserve"> m</w:t>
      </w:r>
      <w:r w:rsidRPr="001110D1">
        <w:rPr>
          <w:rFonts w:ascii="Calibri" w:hAnsi="Calibri" w:cs="Calibri"/>
          <w:sz w:val="24"/>
          <w:szCs w:val="24"/>
          <w:highlight w:val="yellow"/>
        </w:rPr>
        <w:t>easure the OD</w:t>
      </w:r>
      <w:r w:rsidRPr="001110D1">
        <w:rPr>
          <w:rFonts w:ascii="Calibri" w:hAnsi="Calibri" w:cs="Calibri"/>
          <w:sz w:val="24"/>
          <w:szCs w:val="24"/>
          <w:highlight w:val="yellow"/>
          <w:vertAlign w:val="subscript"/>
        </w:rPr>
        <w:t>600</w:t>
      </w:r>
      <w:r w:rsidR="00E72EFE" w:rsidRPr="001110D1">
        <w:rPr>
          <w:rFonts w:ascii="Calibri" w:hAnsi="Calibri" w:cs="Calibri"/>
          <w:sz w:val="24"/>
          <w:szCs w:val="24"/>
          <w:highlight w:val="yellow"/>
        </w:rPr>
        <w:t>. Expected OD</w:t>
      </w:r>
      <w:r w:rsidR="00E72EFE" w:rsidRPr="001110D1">
        <w:rPr>
          <w:rFonts w:ascii="Calibri" w:hAnsi="Calibri" w:cs="Calibri"/>
          <w:sz w:val="24"/>
          <w:szCs w:val="24"/>
          <w:highlight w:val="yellow"/>
          <w:vertAlign w:val="subscript"/>
        </w:rPr>
        <w:t>600</w:t>
      </w:r>
      <w:r w:rsidR="00E72EFE" w:rsidRPr="001110D1">
        <w:rPr>
          <w:rFonts w:ascii="Calibri" w:hAnsi="Calibri" w:cs="Calibri"/>
          <w:sz w:val="24"/>
          <w:szCs w:val="24"/>
          <w:highlight w:val="yellow"/>
        </w:rPr>
        <w:t xml:space="preserve"> </w:t>
      </w:r>
      <w:r w:rsidR="00BD4D85" w:rsidRPr="001110D1">
        <w:rPr>
          <w:rFonts w:ascii="Calibri" w:hAnsi="Calibri" w:cs="Calibri"/>
          <w:sz w:val="24"/>
          <w:szCs w:val="24"/>
          <w:highlight w:val="yellow"/>
        </w:rPr>
        <w:t>is</w:t>
      </w:r>
      <w:r w:rsidR="00E72EFE" w:rsidRPr="001110D1">
        <w:rPr>
          <w:rFonts w:ascii="Calibri" w:hAnsi="Calibri" w:cs="Calibri"/>
          <w:sz w:val="24"/>
          <w:szCs w:val="24"/>
          <w:highlight w:val="yellow"/>
        </w:rPr>
        <w:t xml:space="preserve"> 1.6</w:t>
      </w:r>
      <w:r w:rsidR="00B72939" w:rsidRPr="001110D1">
        <w:rPr>
          <w:rFonts w:ascii="Calibri" w:hAnsi="Calibri" w:cs="Calibri"/>
          <w:sz w:val="24"/>
          <w:szCs w:val="24"/>
          <w:highlight w:val="yellow"/>
        </w:rPr>
        <w:t>–</w:t>
      </w:r>
      <w:r w:rsidR="00E72EFE" w:rsidRPr="001110D1">
        <w:rPr>
          <w:rFonts w:ascii="Calibri" w:hAnsi="Calibri" w:cs="Calibri"/>
          <w:sz w:val="24"/>
          <w:szCs w:val="24"/>
          <w:highlight w:val="yellow"/>
        </w:rPr>
        <w:t>1.8</w:t>
      </w:r>
      <w:r w:rsidR="00BD4D85" w:rsidRPr="001110D1">
        <w:rPr>
          <w:rFonts w:ascii="Calibri" w:hAnsi="Calibri" w:cs="Calibri"/>
          <w:sz w:val="24"/>
          <w:szCs w:val="24"/>
          <w:highlight w:val="yellow"/>
        </w:rPr>
        <w:t xml:space="preserve"> at this step</w:t>
      </w:r>
      <w:r w:rsidR="00E72EFE" w:rsidRPr="001110D1">
        <w:rPr>
          <w:rFonts w:ascii="Calibri" w:hAnsi="Calibri" w:cs="Calibri"/>
          <w:sz w:val="24"/>
          <w:szCs w:val="24"/>
          <w:highlight w:val="yellow"/>
        </w:rPr>
        <w:t>, so a 4-fold dilution i</w:t>
      </w:r>
      <w:r w:rsidR="00CB3367" w:rsidRPr="001110D1">
        <w:rPr>
          <w:rFonts w:ascii="Calibri" w:hAnsi="Calibri" w:cs="Calibri"/>
          <w:sz w:val="24"/>
          <w:szCs w:val="24"/>
          <w:highlight w:val="yellow"/>
        </w:rPr>
        <w:t>n</w:t>
      </w:r>
      <w:r w:rsidR="00E72EFE" w:rsidRPr="001110D1">
        <w:rPr>
          <w:rFonts w:ascii="Calibri" w:hAnsi="Calibri" w:cs="Calibri"/>
          <w:sz w:val="24"/>
          <w:szCs w:val="24"/>
          <w:highlight w:val="yellow"/>
        </w:rPr>
        <w:t xml:space="preserve"> SS</w:t>
      </w:r>
      <w:r w:rsidR="00E72EFE" w:rsidRPr="001110D1">
        <w:rPr>
          <w:rFonts w:ascii="Calibri" w:hAnsi="Calibri" w:cs="Calibri"/>
          <w:sz w:val="24"/>
          <w:szCs w:val="24"/>
          <w:highlight w:val="yellow"/>
          <w:vertAlign w:val="subscript"/>
        </w:rPr>
        <w:t>0</w:t>
      </w:r>
      <w:r w:rsidR="00E72EFE" w:rsidRPr="001110D1">
        <w:rPr>
          <w:rFonts w:ascii="Calibri" w:hAnsi="Calibri" w:cs="Calibri"/>
          <w:sz w:val="24"/>
          <w:szCs w:val="24"/>
          <w:highlight w:val="yellow"/>
        </w:rPr>
        <w:t xml:space="preserve"> is recommended. </w:t>
      </w:r>
    </w:p>
    <w:p w14:paraId="73248A8C" w14:textId="77777777" w:rsidR="00887269" w:rsidRPr="001110D1" w:rsidRDefault="00887269" w:rsidP="001B0A4E">
      <w:pPr>
        <w:rPr>
          <w:highlight w:val="yellow"/>
        </w:rPr>
      </w:pPr>
    </w:p>
    <w:p w14:paraId="46AEC297" w14:textId="491CEA85" w:rsidR="00CC4A06" w:rsidRPr="001110D1" w:rsidRDefault="00000000" w:rsidP="001B0A4E">
      <w:pPr>
        <w:pStyle w:val="ListParagraph"/>
        <w:numPr>
          <w:ilvl w:val="2"/>
          <w:numId w:val="37"/>
        </w:numPr>
        <w:spacing w:after="0" w:line="240" w:lineRule="auto"/>
        <w:ind w:left="0" w:firstLine="0"/>
        <w:jc w:val="both"/>
        <w:rPr>
          <w:rFonts w:ascii="Calibri" w:hAnsi="Calibri" w:cs="Calibri"/>
          <w:sz w:val="24"/>
          <w:szCs w:val="24"/>
          <w:highlight w:val="yellow"/>
        </w:rPr>
      </w:pPr>
      <w:r w:rsidRPr="001110D1">
        <w:rPr>
          <w:rFonts w:ascii="Calibri" w:hAnsi="Calibri" w:cs="Calibri"/>
          <w:sz w:val="24"/>
          <w:szCs w:val="24"/>
          <w:highlight w:val="yellow"/>
        </w:rPr>
        <w:t xml:space="preserve">Dilute the </w:t>
      </w:r>
      <w:r w:rsidR="006308AA" w:rsidRPr="001110D1">
        <w:rPr>
          <w:rFonts w:ascii="Calibri" w:hAnsi="Calibri" w:cs="Calibri"/>
          <w:sz w:val="24"/>
          <w:szCs w:val="24"/>
          <w:highlight w:val="yellow"/>
        </w:rPr>
        <w:t xml:space="preserve">mid-exponential </w:t>
      </w:r>
      <w:r w:rsidRPr="001110D1">
        <w:rPr>
          <w:rFonts w:ascii="Calibri" w:hAnsi="Calibri" w:cs="Calibri"/>
          <w:sz w:val="24"/>
          <w:szCs w:val="24"/>
          <w:highlight w:val="yellow"/>
        </w:rPr>
        <w:t xml:space="preserve">culture in 2 mL </w:t>
      </w:r>
      <w:proofErr w:type="spellStart"/>
      <w:r w:rsidRPr="001110D1">
        <w:rPr>
          <w:rFonts w:ascii="Calibri" w:hAnsi="Calibri" w:cs="Calibri"/>
          <w:sz w:val="24"/>
          <w:szCs w:val="24"/>
          <w:highlight w:val="yellow"/>
        </w:rPr>
        <w:t>SS</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to an initial OD</w:t>
      </w:r>
      <w:r w:rsidRPr="001110D1">
        <w:rPr>
          <w:rFonts w:ascii="Calibri" w:hAnsi="Calibri" w:cs="Calibri"/>
          <w:sz w:val="24"/>
          <w:szCs w:val="24"/>
          <w:highlight w:val="yellow"/>
          <w:vertAlign w:val="subscript"/>
        </w:rPr>
        <w:t>600</w:t>
      </w:r>
      <w:r w:rsidRPr="001110D1">
        <w:rPr>
          <w:rFonts w:ascii="Calibri" w:hAnsi="Calibri" w:cs="Calibri"/>
          <w:sz w:val="24"/>
          <w:szCs w:val="24"/>
          <w:highlight w:val="yellow"/>
        </w:rPr>
        <w:t xml:space="preserve"> of 0.005 in a 2-mL microcentrifuge tube. Invert the tube several times to mix.</w:t>
      </w:r>
    </w:p>
    <w:p w14:paraId="396BF72B" w14:textId="77777777" w:rsidR="00CC4A06" w:rsidRPr="001110D1" w:rsidRDefault="00CC4A06" w:rsidP="001B0A4E">
      <w:pPr>
        <w:pStyle w:val="ListParagraph"/>
        <w:spacing w:after="0" w:line="240" w:lineRule="auto"/>
        <w:ind w:left="0"/>
        <w:jc w:val="both"/>
        <w:rPr>
          <w:rFonts w:ascii="Calibri" w:hAnsi="Calibri" w:cs="Calibri"/>
          <w:sz w:val="24"/>
          <w:szCs w:val="24"/>
          <w:highlight w:val="yellow"/>
        </w:rPr>
      </w:pPr>
    </w:p>
    <w:p w14:paraId="7DF5FE11" w14:textId="428D1A6A"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Place the reactor inlet tubing in the microcentrifuge tube, ensuring that a droplet of fluid contacts the inoculum to prevent air introduction in the tubing. Partially close the microcentrifuge tube and secure </w:t>
      </w:r>
      <w:r w:rsidR="00A83713" w:rsidRPr="001110D1">
        <w:rPr>
          <w:rFonts w:ascii="Calibri" w:hAnsi="Calibri" w:cs="Calibri"/>
          <w:sz w:val="24"/>
          <w:szCs w:val="24"/>
          <w:highlight w:val="yellow"/>
        </w:rPr>
        <w:t xml:space="preserve">the lid </w:t>
      </w:r>
      <w:r w:rsidRPr="001110D1">
        <w:rPr>
          <w:rFonts w:ascii="Calibri" w:hAnsi="Calibri" w:cs="Calibri"/>
          <w:sz w:val="24"/>
          <w:szCs w:val="24"/>
          <w:highlight w:val="yellow"/>
        </w:rPr>
        <w:t>with tape to prevent contamination.</w:t>
      </w:r>
    </w:p>
    <w:p w14:paraId="09AC3F5F" w14:textId="77777777" w:rsidR="000460E7" w:rsidRPr="001110D1" w:rsidRDefault="000460E7" w:rsidP="001B0A4E">
      <w:pPr>
        <w:rPr>
          <w:highlight w:val="yellow"/>
        </w:rPr>
      </w:pPr>
    </w:p>
    <w:p w14:paraId="6120BD06" w14:textId="4384FA90" w:rsidR="00CC4A06" w:rsidRPr="001110D1" w:rsidRDefault="00000000" w:rsidP="001B0A4E">
      <w:pPr>
        <w:pStyle w:val="ListParagraph"/>
        <w:numPr>
          <w:ilvl w:val="2"/>
          <w:numId w:val="37"/>
        </w:numPr>
        <w:spacing w:after="0" w:line="240" w:lineRule="auto"/>
        <w:ind w:left="0" w:firstLine="0"/>
        <w:jc w:val="both"/>
        <w:rPr>
          <w:rFonts w:ascii="Calibri" w:hAnsi="Calibri" w:cs="Calibri"/>
          <w:sz w:val="24"/>
          <w:szCs w:val="24"/>
          <w:highlight w:val="yellow"/>
        </w:rPr>
      </w:pPr>
      <w:r w:rsidRPr="001110D1">
        <w:rPr>
          <w:rFonts w:ascii="Calibri" w:hAnsi="Calibri" w:cs="Calibri"/>
          <w:sz w:val="24"/>
          <w:szCs w:val="24"/>
          <w:highlight w:val="yellow"/>
        </w:rPr>
        <w:t>Withdraw 4</w:t>
      </w:r>
      <w:r w:rsidR="00B72939" w:rsidRPr="001110D1">
        <w:rPr>
          <w:rFonts w:ascii="Calibri" w:hAnsi="Calibri" w:cs="Calibri"/>
          <w:sz w:val="24"/>
          <w:szCs w:val="24"/>
          <w:highlight w:val="yellow"/>
        </w:rPr>
        <w:t>–</w:t>
      </w:r>
      <w:r w:rsidRPr="001110D1">
        <w:rPr>
          <w:rFonts w:ascii="Calibri" w:hAnsi="Calibri" w:cs="Calibri"/>
          <w:sz w:val="24"/>
          <w:szCs w:val="24"/>
          <w:highlight w:val="yellow"/>
        </w:rPr>
        <w:t xml:space="preserve">5 mL </w:t>
      </w:r>
      <w:r w:rsidR="00B72939" w:rsidRPr="001110D1">
        <w:rPr>
          <w:rFonts w:ascii="Calibri" w:hAnsi="Calibri" w:cs="Calibri"/>
          <w:sz w:val="24"/>
          <w:szCs w:val="24"/>
          <w:highlight w:val="yellow"/>
        </w:rPr>
        <w:t xml:space="preserve">of </w:t>
      </w:r>
      <w:proofErr w:type="spellStart"/>
      <w:r w:rsidRPr="001110D1">
        <w:rPr>
          <w:rFonts w:ascii="Calibri" w:hAnsi="Calibri" w:cs="Calibri"/>
          <w:sz w:val="24"/>
          <w:szCs w:val="24"/>
          <w:highlight w:val="yellow"/>
        </w:rPr>
        <w:t>SS</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into a </w:t>
      </w:r>
      <w:r w:rsidR="00803337" w:rsidRPr="001110D1">
        <w:rPr>
          <w:rFonts w:ascii="Calibri" w:hAnsi="Calibri" w:cs="Calibri"/>
          <w:sz w:val="24"/>
          <w:szCs w:val="24"/>
          <w:highlight w:val="yellow"/>
        </w:rPr>
        <w:t xml:space="preserve">5-mL </w:t>
      </w:r>
      <w:r w:rsidRPr="001110D1">
        <w:rPr>
          <w:rFonts w:ascii="Calibri" w:hAnsi="Calibri" w:cs="Calibri"/>
          <w:sz w:val="24"/>
          <w:szCs w:val="24"/>
          <w:highlight w:val="yellow"/>
        </w:rPr>
        <w:t>glass gas-tight syringe to wet the barrel, then dispense until 0.5 mL remains in the syringe. Load the syringe into a syringe pump.</w:t>
      </w:r>
    </w:p>
    <w:p w14:paraId="400069EB" w14:textId="77777777" w:rsidR="00CC4A06" w:rsidRPr="001110D1" w:rsidRDefault="00CC4A06" w:rsidP="001B0A4E">
      <w:pPr>
        <w:pStyle w:val="ListParagraph"/>
        <w:spacing w:after="0" w:line="240" w:lineRule="auto"/>
        <w:ind w:left="0"/>
        <w:jc w:val="both"/>
        <w:rPr>
          <w:rFonts w:ascii="Calibri" w:hAnsi="Calibri" w:cs="Calibri"/>
          <w:sz w:val="24"/>
          <w:szCs w:val="24"/>
          <w:highlight w:val="yellow"/>
        </w:rPr>
      </w:pPr>
    </w:p>
    <w:p w14:paraId="6AEC34EF" w14:textId="44CCFA52"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Remove the needle from the </w:t>
      </w:r>
      <w:r w:rsidR="00A83713" w:rsidRPr="001110D1">
        <w:rPr>
          <w:rFonts w:ascii="Calibri" w:hAnsi="Calibri" w:cs="Calibri"/>
          <w:sz w:val="24"/>
          <w:szCs w:val="24"/>
          <w:highlight w:val="yellow"/>
        </w:rPr>
        <w:t>plastic</w:t>
      </w:r>
      <w:r w:rsidRPr="001110D1">
        <w:rPr>
          <w:rFonts w:ascii="Calibri" w:hAnsi="Calibri" w:cs="Calibri"/>
          <w:sz w:val="24"/>
          <w:szCs w:val="24"/>
          <w:highlight w:val="yellow"/>
        </w:rPr>
        <w:t xml:space="preserve"> syringe and attach </w:t>
      </w:r>
      <w:r w:rsidR="00B72939" w:rsidRPr="001110D1">
        <w:rPr>
          <w:rFonts w:ascii="Calibri" w:hAnsi="Calibri" w:cs="Calibri"/>
          <w:sz w:val="24"/>
          <w:szCs w:val="24"/>
          <w:highlight w:val="yellow"/>
        </w:rPr>
        <w:t xml:space="preserve">it </w:t>
      </w:r>
      <w:r w:rsidRPr="001110D1">
        <w:rPr>
          <w:rFonts w:ascii="Calibri" w:hAnsi="Calibri" w:cs="Calibri"/>
          <w:sz w:val="24"/>
          <w:szCs w:val="24"/>
          <w:highlight w:val="yellow"/>
        </w:rPr>
        <w:t>to the glass syringe, taking care not to trap air in the needle hub.</w:t>
      </w:r>
    </w:p>
    <w:p w14:paraId="24777CCF" w14:textId="77777777" w:rsidR="000460E7" w:rsidRPr="00F871F8" w:rsidRDefault="000460E7" w:rsidP="001B0A4E"/>
    <w:p w14:paraId="02B7A97E" w14:textId="2ED654A6" w:rsidR="00CC4A06" w:rsidRPr="001110D1" w:rsidRDefault="00000000" w:rsidP="001B0A4E">
      <w:pPr>
        <w:pStyle w:val="ListParagraph"/>
        <w:numPr>
          <w:ilvl w:val="2"/>
          <w:numId w:val="37"/>
        </w:numPr>
        <w:spacing w:after="0" w:line="240" w:lineRule="auto"/>
        <w:ind w:left="0" w:firstLine="0"/>
        <w:jc w:val="both"/>
        <w:rPr>
          <w:rFonts w:ascii="Calibri" w:hAnsi="Calibri" w:cs="Calibri"/>
          <w:sz w:val="24"/>
          <w:szCs w:val="24"/>
          <w:highlight w:val="yellow"/>
        </w:rPr>
      </w:pPr>
      <w:r w:rsidRPr="001110D1">
        <w:rPr>
          <w:rFonts w:ascii="Calibri" w:hAnsi="Calibri" w:cs="Calibri"/>
          <w:sz w:val="24"/>
          <w:szCs w:val="24"/>
          <w:highlight w:val="yellow"/>
        </w:rPr>
        <w:t xml:space="preserve">Inoculate the reactor with the syringe pump by withdrawing the inoculum into the reactor for 20 min at </w:t>
      </w:r>
      <w:r w:rsidR="00330352" w:rsidRPr="001110D1">
        <w:rPr>
          <w:rFonts w:ascii="Calibri" w:hAnsi="Calibri" w:cs="Calibri"/>
          <w:sz w:val="24"/>
          <w:szCs w:val="24"/>
          <w:highlight w:val="yellow"/>
        </w:rPr>
        <w:t xml:space="preserve">a flow rate of </w:t>
      </w:r>
      <w:r w:rsidRPr="001110D1">
        <w:rPr>
          <w:rFonts w:ascii="Calibri" w:hAnsi="Calibri" w:cs="Calibri"/>
          <w:sz w:val="24"/>
          <w:szCs w:val="24"/>
          <w:highlight w:val="yellow"/>
        </w:rPr>
        <w:t>8.33 µL</w:t>
      </w:r>
      <w:r w:rsidR="00D628AF" w:rsidRPr="001110D1">
        <w:rPr>
          <w:rFonts w:ascii="Calibri" w:hAnsi="Calibri" w:cs="Calibri"/>
          <w:sz w:val="24"/>
          <w:szCs w:val="24"/>
          <w:highlight w:val="yellow"/>
        </w:rPr>
        <w:t>·</w:t>
      </w:r>
      <w:r w:rsidRPr="001110D1">
        <w:rPr>
          <w:rFonts w:ascii="Calibri" w:hAnsi="Calibri" w:cs="Calibri"/>
          <w:sz w:val="24"/>
          <w:szCs w:val="24"/>
          <w:highlight w:val="yellow"/>
        </w:rPr>
        <w:t>min</w:t>
      </w:r>
      <w:r w:rsidRPr="001110D1">
        <w:rPr>
          <w:rFonts w:ascii="Calibri" w:hAnsi="Calibri" w:cs="Calibri"/>
          <w:sz w:val="24"/>
          <w:szCs w:val="24"/>
          <w:highlight w:val="yellow"/>
          <w:vertAlign w:val="superscript"/>
        </w:rPr>
        <w:t>-1</w:t>
      </w:r>
      <w:r w:rsidRPr="001110D1">
        <w:rPr>
          <w:rFonts w:ascii="Calibri" w:hAnsi="Calibri" w:cs="Calibri"/>
          <w:sz w:val="24"/>
          <w:szCs w:val="24"/>
          <w:highlight w:val="yellow"/>
        </w:rPr>
        <w:t xml:space="preserve"> (~70 pore volumes).</w:t>
      </w:r>
    </w:p>
    <w:p w14:paraId="5AEDF334" w14:textId="77777777" w:rsidR="00CC4A06" w:rsidRPr="001110D1" w:rsidRDefault="00CC4A06" w:rsidP="001B0A4E">
      <w:pPr>
        <w:pStyle w:val="ListParagraph"/>
        <w:spacing w:after="0" w:line="240" w:lineRule="auto"/>
        <w:ind w:left="0"/>
        <w:jc w:val="both"/>
        <w:rPr>
          <w:rFonts w:ascii="Calibri" w:hAnsi="Calibri" w:cs="Calibri"/>
          <w:sz w:val="24"/>
          <w:szCs w:val="24"/>
          <w:highlight w:val="yellow"/>
        </w:rPr>
      </w:pPr>
    </w:p>
    <w:p w14:paraId="75980714" w14:textId="77777777"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Following inoculation, turn off the syringe pump and allow the bacteria to settle and attach for 1 h with no flow. </w:t>
      </w:r>
    </w:p>
    <w:p w14:paraId="650F7870" w14:textId="77777777" w:rsidR="000460E7" w:rsidRPr="001110D1" w:rsidRDefault="000460E7" w:rsidP="001B0A4E">
      <w:pPr>
        <w:rPr>
          <w:highlight w:val="yellow"/>
        </w:rPr>
      </w:pPr>
    </w:p>
    <w:p w14:paraId="64547E67" w14:textId="7E3F10DB"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After 1 h, remove the syringe from the pump but leave it connected to the</w:t>
      </w:r>
      <w:r w:rsidR="00DC64C4" w:rsidRPr="001110D1">
        <w:rPr>
          <w:rFonts w:ascii="Calibri" w:hAnsi="Calibri" w:cs="Calibri"/>
          <w:sz w:val="24"/>
          <w:szCs w:val="24"/>
          <w:highlight w:val="yellow"/>
        </w:rPr>
        <w:t xml:space="preserve"> outlet tubing.</w:t>
      </w:r>
      <w:r w:rsidRPr="001110D1">
        <w:rPr>
          <w:rFonts w:ascii="Calibri" w:hAnsi="Calibri" w:cs="Calibri"/>
          <w:sz w:val="24"/>
          <w:szCs w:val="24"/>
          <w:highlight w:val="yellow"/>
        </w:rPr>
        <w:t xml:space="preserve"> </w:t>
      </w:r>
    </w:p>
    <w:p w14:paraId="08D8DB32" w14:textId="77777777" w:rsidR="000460E7" w:rsidRPr="001110D1" w:rsidRDefault="000460E7" w:rsidP="001B0A4E">
      <w:pPr>
        <w:rPr>
          <w:highlight w:val="yellow"/>
        </w:rPr>
      </w:pPr>
    </w:p>
    <w:p w14:paraId="1882243D" w14:textId="018F7B47" w:rsidR="00CC4A06" w:rsidRPr="001110D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Connect the </w:t>
      </w:r>
      <w:r w:rsidR="00351827" w:rsidRPr="001110D1">
        <w:rPr>
          <w:rFonts w:ascii="Calibri" w:hAnsi="Calibri" w:cs="Calibri"/>
          <w:sz w:val="24"/>
          <w:szCs w:val="24"/>
          <w:highlight w:val="yellow"/>
        </w:rPr>
        <w:t xml:space="preserve">inoculated </w:t>
      </w:r>
      <w:r w:rsidRPr="001110D1">
        <w:rPr>
          <w:rFonts w:ascii="Calibri" w:hAnsi="Calibri" w:cs="Calibri"/>
          <w:sz w:val="24"/>
          <w:szCs w:val="24"/>
          <w:highlight w:val="yellow"/>
        </w:rPr>
        <w:t>microfluidic reactor to the flow control system.</w:t>
      </w:r>
    </w:p>
    <w:p w14:paraId="75E8F1F5" w14:textId="77777777" w:rsidR="000460E7" w:rsidRPr="001110D1" w:rsidRDefault="000460E7" w:rsidP="001B0A4E">
      <w:pPr>
        <w:rPr>
          <w:highlight w:val="yellow"/>
        </w:rPr>
      </w:pPr>
    </w:p>
    <w:p w14:paraId="53B50470" w14:textId="10B598D5"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Move the reactor</w:t>
      </w:r>
      <w:r w:rsidR="00691027" w:rsidRPr="001110D1">
        <w:rPr>
          <w:rFonts w:ascii="Calibri" w:hAnsi="Calibri" w:cs="Calibri"/>
          <w:sz w:val="24"/>
          <w:szCs w:val="24"/>
          <w:highlight w:val="yellow"/>
        </w:rPr>
        <w:t xml:space="preserve"> </w:t>
      </w:r>
      <w:r w:rsidRPr="001110D1">
        <w:rPr>
          <w:rFonts w:ascii="Calibri" w:hAnsi="Calibri" w:cs="Calibri"/>
          <w:sz w:val="24"/>
          <w:szCs w:val="24"/>
          <w:highlight w:val="yellow"/>
        </w:rPr>
        <w:t>and syringe from the benchtop to the microscope incubator.</w:t>
      </w:r>
    </w:p>
    <w:p w14:paraId="1D901ACA" w14:textId="77777777" w:rsidR="000460E7" w:rsidRPr="001110D1" w:rsidRDefault="000460E7" w:rsidP="001B0A4E">
      <w:pPr>
        <w:pStyle w:val="ListParagraph"/>
        <w:spacing w:after="0" w:line="240" w:lineRule="auto"/>
        <w:ind w:left="0"/>
        <w:contextualSpacing w:val="0"/>
        <w:jc w:val="both"/>
        <w:rPr>
          <w:rFonts w:ascii="Calibri" w:hAnsi="Calibri" w:cs="Calibri"/>
          <w:sz w:val="24"/>
          <w:szCs w:val="24"/>
          <w:highlight w:val="yellow"/>
        </w:rPr>
      </w:pPr>
    </w:p>
    <w:p w14:paraId="62781314" w14:textId="60F7F7C1"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On the microscope stage, remove the inlet tubing from the reactor. </w:t>
      </w:r>
    </w:p>
    <w:p w14:paraId="202A8BF5" w14:textId="77777777" w:rsidR="000460E7" w:rsidRPr="001110D1" w:rsidRDefault="000460E7" w:rsidP="001B0A4E">
      <w:pPr>
        <w:rPr>
          <w:highlight w:val="yellow"/>
        </w:rPr>
      </w:pPr>
    </w:p>
    <w:p w14:paraId="3380D0AA" w14:textId="7BBC6B8C"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Push gently on the syringe plunger to create a droplet at the reactor inlet hole. </w:t>
      </w:r>
    </w:p>
    <w:p w14:paraId="480336C3" w14:textId="77777777" w:rsidR="000460E7" w:rsidRPr="00F871F8" w:rsidRDefault="000460E7" w:rsidP="001B0A4E"/>
    <w:p w14:paraId="6FD1E0E6" w14:textId="150303DC"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lastRenderedPageBreak/>
        <w:t>Manually bend the PTFE tubing</w:t>
      </w:r>
      <w:r w:rsidR="00D743B8" w:rsidRPr="001110D1">
        <w:rPr>
          <w:rFonts w:ascii="Calibri" w:hAnsi="Calibri" w:cs="Calibri"/>
          <w:sz w:val="24"/>
          <w:szCs w:val="24"/>
          <w:highlight w:val="yellow"/>
        </w:rPr>
        <w:t xml:space="preserve"> from the flow control system</w:t>
      </w:r>
      <w:r w:rsidRPr="001110D1">
        <w:rPr>
          <w:rFonts w:ascii="Calibri" w:hAnsi="Calibri" w:cs="Calibri"/>
          <w:sz w:val="24"/>
          <w:szCs w:val="24"/>
          <w:highlight w:val="yellow"/>
        </w:rPr>
        <w:t xml:space="preserve"> at a right angle (~1 cm from the end of the tubing) so that it interfaces perpendicular to the PDMS surface, minimizing lateral forces and air intrusion into the</w:t>
      </w:r>
      <w:r w:rsidR="005A5FA6" w:rsidRPr="001110D1">
        <w:rPr>
          <w:rFonts w:ascii="Calibri" w:hAnsi="Calibri" w:cs="Calibri"/>
          <w:sz w:val="24"/>
          <w:szCs w:val="24"/>
          <w:highlight w:val="yellow"/>
        </w:rPr>
        <w:t xml:space="preserve"> reactor</w:t>
      </w:r>
      <w:r w:rsidRPr="001110D1">
        <w:rPr>
          <w:rFonts w:ascii="Calibri" w:hAnsi="Calibri" w:cs="Calibri"/>
          <w:sz w:val="24"/>
          <w:szCs w:val="24"/>
          <w:highlight w:val="yellow"/>
        </w:rPr>
        <w:t xml:space="preserve"> inlet hole. </w:t>
      </w:r>
    </w:p>
    <w:p w14:paraId="27998969" w14:textId="77777777" w:rsidR="000460E7" w:rsidRPr="001110D1" w:rsidRDefault="000460E7" w:rsidP="001B0A4E">
      <w:pPr>
        <w:rPr>
          <w:highlight w:val="yellow"/>
        </w:rPr>
      </w:pPr>
    </w:p>
    <w:p w14:paraId="61ADBAE8" w14:textId="5F8D4731"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Dip the end of the PTFE tubing into a solution of 1% polyethylene glycol diacrylate (PEG-DA) to wet</w:t>
      </w:r>
      <w:r w:rsidR="008E5C4B" w:rsidRPr="001110D1">
        <w:rPr>
          <w:rFonts w:ascii="Calibri" w:hAnsi="Calibri" w:cs="Calibri"/>
          <w:sz w:val="24"/>
          <w:szCs w:val="24"/>
          <w:highlight w:val="yellow"/>
        </w:rPr>
        <w:t xml:space="preserve"> the hydrophobic tub</w:t>
      </w:r>
      <w:r w:rsidRPr="001110D1">
        <w:rPr>
          <w:rFonts w:ascii="Calibri" w:hAnsi="Calibri" w:cs="Calibri"/>
          <w:sz w:val="24"/>
          <w:szCs w:val="24"/>
          <w:highlight w:val="yellow"/>
        </w:rPr>
        <w:t>ing</w:t>
      </w:r>
      <w:r w:rsidR="00A73A44" w:rsidRPr="001110D1">
        <w:rPr>
          <w:rFonts w:ascii="Calibri" w:hAnsi="Calibri" w:cs="Calibri"/>
          <w:sz w:val="24"/>
          <w:szCs w:val="24"/>
          <w:highlight w:val="yellow"/>
        </w:rPr>
        <w:t xml:space="preserve"> </w:t>
      </w:r>
      <w:r w:rsidR="008E5C4B" w:rsidRPr="001110D1">
        <w:rPr>
          <w:rFonts w:ascii="Calibri" w:hAnsi="Calibri" w:cs="Calibri"/>
          <w:sz w:val="24"/>
          <w:szCs w:val="24"/>
          <w:highlight w:val="yellow"/>
        </w:rPr>
        <w:t>exterior</w:t>
      </w:r>
      <w:r w:rsidRPr="001110D1">
        <w:rPr>
          <w:rFonts w:ascii="Calibri" w:hAnsi="Calibri" w:cs="Calibri"/>
          <w:sz w:val="24"/>
          <w:szCs w:val="24"/>
          <w:highlight w:val="yellow"/>
        </w:rPr>
        <w:t xml:space="preserve">. </w:t>
      </w:r>
      <w:r w:rsidR="00B72939" w:rsidRPr="001110D1">
        <w:rPr>
          <w:rFonts w:ascii="Calibri" w:hAnsi="Calibri" w:cs="Calibri"/>
          <w:sz w:val="24"/>
          <w:szCs w:val="24"/>
          <w:highlight w:val="yellow"/>
        </w:rPr>
        <w:t xml:space="preserve">Ensure </w:t>
      </w:r>
      <w:r w:rsidRPr="001110D1">
        <w:rPr>
          <w:rFonts w:ascii="Calibri" w:hAnsi="Calibri" w:cs="Calibri"/>
          <w:sz w:val="24"/>
          <w:szCs w:val="24"/>
          <w:highlight w:val="yellow"/>
        </w:rPr>
        <w:t xml:space="preserve">a droplet of </w:t>
      </w:r>
      <w:proofErr w:type="spellStart"/>
      <w:r w:rsidRPr="001110D1">
        <w:rPr>
          <w:rFonts w:ascii="Calibri" w:hAnsi="Calibri" w:cs="Calibri"/>
          <w:sz w:val="24"/>
          <w:szCs w:val="24"/>
          <w:highlight w:val="yellow"/>
        </w:rPr>
        <w:t>GM</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at the end of the PTFE </w:t>
      </w:r>
      <w:proofErr w:type="gramStart"/>
      <w:r w:rsidRPr="001110D1">
        <w:rPr>
          <w:rFonts w:ascii="Calibri" w:hAnsi="Calibri" w:cs="Calibri"/>
          <w:sz w:val="24"/>
          <w:szCs w:val="24"/>
          <w:highlight w:val="yellow"/>
        </w:rPr>
        <w:t xml:space="preserve">tubing, </w:t>
      </w:r>
      <w:r w:rsidR="00B72939" w:rsidRPr="001110D1">
        <w:rPr>
          <w:rFonts w:ascii="Calibri" w:hAnsi="Calibri" w:cs="Calibri"/>
          <w:sz w:val="24"/>
          <w:szCs w:val="24"/>
          <w:highlight w:val="yellow"/>
        </w:rPr>
        <w:t>and</w:t>
      </w:r>
      <w:proofErr w:type="gramEnd"/>
      <w:r w:rsidR="00B72939" w:rsidRPr="001110D1">
        <w:rPr>
          <w:rFonts w:ascii="Calibri" w:hAnsi="Calibri" w:cs="Calibri"/>
          <w:sz w:val="24"/>
          <w:szCs w:val="24"/>
          <w:highlight w:val="yellow"/>
        </w:rPr>
        <w:t xml:space="preserve"> </w:t>
      </w:r>
      <w:r w:rsidR="004F65FA" w:rsidRPr="001110D1">
        <w:rPr>
          <w:rFonts w:ascii="Calibri" w:hAnsi="Calibri" w:cs="Calibri"/>
          <w:sz w:val="24"/>
          <w:szCs w:val="24"/>
          <w:highlight w:val="yellow"/>
        </w:rPr>
        <w:t>attach</w:t>
      </w:r>
      <w:r w:rsidRPr="001110D1">
        <w:rPr>
          <w:rFonts w:ascii="Calibri" w:hAnsi="Calibri" w:cs="Calibri"/>
          <w:sz w:val="24"/>
          <w:szCs w:val="24"/>
          <w:highlight w:val="yellow"/>
        </w:rPr>
        <w:t xml:space="preserve"> the tubing to the reactor inlet hole.</w:t>
      </w:r>
    </w:p>
    <w:p w14:paraId="41FB7207" w14:textId="77777777" w:rsidR="000460E7" w:rsidRPr="001110D1" w:rsidRDefault="000460E7" w:rsidP="001B0A4E">
      <w:pPr>
        <w:rPr>
          <w:highlight w:val="yellow"/>
        </w:rPr>
      </w:pPr>
    </w:p>
    <w:p w14:paraId="60E85116" w14:textId="69E5C702"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Disconnect the syringe and place the outlet tubing into a </w:t>
      </w:r>
      <w:r w:rsidR="00260108" w:rsidRPr="001110D1">
        <w:rPr>
          <w:rFonts w:ascii="Calibri" w:hAnsi="Calibri" w:cs="Calibri"/>
          <w:sz w:val="24"/>
          <w:szCs w:val="24"/>
          <w:highlight w:val="yellow"/>
        </w:rPr>
        <w:t xml:space="preserve">nonsterile </w:t>
      </w:r>
      <w:r w:rsidR="000107B8" w:rsidRPr="001110D1">
        <w:rPr>
          <w:rFonts w:ascii="Calibri" w:hAnsi="Calibri" w:cs="Calibri"/>
          <w:sz w:val="24"/>
          <w:szCs w:val="24"/>
          <w:highlight w:val="yellow"/>
        </w:rPr>
        <w:t xml:space="preserve">5-mL microcentrifuge tube to collect the reactor effluent. </w:t>
      </w:r>
    </w:p>
    <w:p w14:paraId="58B5E51A" w14:textId="77777777" w:rsidR="000460E7" w:rsidRPr="001110D1" w:rsidRDefault="000460E7" w:rsidP="001B0A4E">
      <w:pPr>
        <w:rPr>
          <w:highlight w:val="yellow"/>
        </w:rPr>
      </w:pPr>
    </w:p>
    <w:p w14:paraId="4B7BAE08" w14:textId="6F7A3081"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Set the flow rate to 1.33 µL</w:t>
      </w:r>
      <w:r w:rsidR="00D628AF" w:rsidRPr="001110D1">
        <w:rPr>
          <w:rFonts w:ascii="Calibri" w:hAnsi="Calibri" w:cs="Calibri"/>
          <w:sz w:val="24"/>
          <w:szCs w:val="24"/>
          <w:highlight w:val="yellow"/>
        </w:rPr>
        <w:t>·</w:t>
      </w:r>
      <w:r w:rsidRPr="001110D1">
        <w:rPr>
          <w:rFonts w:ascii="Calibri" w:hAnsi="Calibri" w:cs="Calibri"/>
          <w:sz w:val="24"/>
          <w:szCs w:val="24"/>
          <w:highlight w:val="yellow"/>
        </w:rPr>
        <w:t>min</w:t>
      </w:r>
      <w:r w:rsidRPr="001110D1">
        <w:rPr>
          <w:rFonts w:ascii="Calibri" w:hAnsi="Calibri" w:cs="Calibri"/>
          <w:sz w:val="24"/>
          <w:szCs w:val="24"/>
          <w:highlight w:val="yellow"/>
          <w:vertAlign w:val="superscript"/>
        </w:rPr>
        <w:t>-1</w:t>
      </w:r>
      <w:r w:rsidRPr="001110D1">
        <w:rPr>
          <w:rFonts w:ascii="Calibri" w:hAnsi="Calibri" w:cs="Calibri"/>
          <w:sz w:val="24"/>
          <w:szCs w:val="24"/>
          <w:highlight w:val="yellow"/>
        </w:rPr>
        <w:t xml:space="preserve"> in the </w:t>
      </w:r>
      <w:r w:rsidR="00141909" w:rsidRPr="001110D1">
        <w:rPr>
          <w:rFonts w:ascii="Calibri" w:hAnsi="Calibri" w:cs="Calibri"/>
          <w:sz w:val="24"/>
          <w:szCs w:val="24"/>
          <w:highlight w:val="yellow"/>
        </w:rPr>
        <w:t xml:space="preserve">flow control system </w:t>
      </w:r>
      <w:r w:rsidRPr="001110D1">
        <w:rPr>
          <w:rFonts w:ascii="Calibri" w:hAnsi="Calibri" w:cs="Calibri"/>
          <w:sz w:val="24"/>
          <w:szCs w:val="24"/>
          <w:highlight w:val="yellow"/>
        </w:rPr>
        <w:t>software</w:t>
      </w:r>
      <w:r w:rsidR="00E4550D" w:rsidRPr="001110D1">
        <w:rPr>
          <w:rFonts w:ascii="Calibri" w:hAnsi="Calibri" w:cs="Calibri"/>
          <w:sz w:val="24"/>
          <w:szCs w:val="24"/>
          <w:highlight w:val="yellow"/>
        </w:rPr>
        <w:t>.</w:t>
      </w:r>
      <w:r w:rsidRPr="001110D1">
        <w:rPr>
          <w:rFonts w:ascii="Calibri" w:hAnsi="Calibri" w:cs="Calibri"/>
          <w:sz w:val="24"/>
          <w:szCs w:val="24"/>
          <w:highlight w:val="yellow"/>
        </w:rPr>
        <w:t xml:space="preserve"> Set up a program to supply </w:t>
      </w:r>
      <w:proofErr w:type="spellStart"/>
      <w:r w:rsidRPr="001110D1">
        <w:rPr>
          <w:rFonts w:ascii="Calibri" w:hAnsi="Calibri" w:cs="Calibri"/>
          <w:sz w:val="24"/>
          <w:szCs w:val="24"/>
          <w:highlight w:val="yellow"/>
        </w:rPr>
        <w:t>GM</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for 15 h </w:t>
      </w:r>
      <w:r w:rsidR="002D7E50" w:rsidRPr="001110D1">
        <w:rPr>
          <w:rFonts w:ascii="Calibri" w:hAnsi="Calibri" w:cs="Calibri"/>
          <w:sz w:val="24"/>
          <w:szCs w:val="24"/>
          <w:highlight w:val="yellow"/>
        </w:rPr>
        <w:t xml:space="preserve">(~500 pore volumes) </w:t>
      </w:r>
      <w:r w:rsidRPr="001110D1">
        <w:rPr>
          <w:rFonts w:ascii="Calibri" w:hAnsi="Calibri" w:cs="Calibri"/>
          <w:sz w:val="24"/>
          <w:szCs w:val="24"/>
          <w:highlight w:val="yellow"/>
        </w:rPr>
        <w:t xml:space="preserve">to promote biofilm formation, </w:t>
      </w:r>
      <w:r w:rsidR="00E4550D" w:rsidRPr="001110D1">
        <w:rPr>
          <w:rFonts w:ascii="Calibri" w:hAnsi="Calibri" w:cs="Calibri"/>
          <w:sz w:val="24"/>
          <w:szCs w:val="24"/>
          <w:highlight w:val="yellow"/>
        </w:rPr>
        <w:t>followed by</w:t>
      </w:r>
      <w:r w:rsidRPr="001110D1">
        <w:rPr>
          <w:rFonts w:ascii="Calibri" w:hAnsi="Calibri" w:cs="Calibri"/>
          <w:sz w:val="24"/>
          <w:szCs w:val="24"/>
          <w:highlight w:val="yellow"/>
        </w:rPr>
        <w:t xml:space="preserve"> </w:t>
      </w:r>
      <w:proofErr w:type="spellStart"/>
      <w:r w:rsidRPr="001110D1">
        <w:rPr>
          <w:rFonts w:ascii="Calibri" w:hAnsi="Calibri" w:cs="Calibri"/>
          <w:sz w:val="24"/>
          <w:szCs w:val="24"/>
          <w:highlight w:val="yellow"/>
        </w:rPr>
        <w:t>SS</w:t>
      </w:r>
      <w:r w:rsidRPr="001110D1">
        <w:rPr>
          <w:rFonts w:ascii="Calibri" w:hAnsi="Calibri" w:cs="Calibri"/>
          <w:sz w:val="24"/>
          <w:szCs w:val="24"/>
          <w:highlight w:val="yellow"/>
          <w:vertAlign w:val="subscript"/>
        </w:rPr>
        <w:t>Mn</w:t>
      </w:r>
      <w:proofErr w:type="spellEnd"/>
      <w:r w:rsidRPr="001110D1">
        <w:rPr>
          <w:rFonts w:ascii="Calibri" w:hAnsi="Calibri" w:cs="Calibri"/>
          <w:sz w:val="24"/>
          <w:szCs w:val="24"/>
          <w:highlight w:val="yellow"/>
        </w:rPr>
        <w:t xml:space="preserve"> for </w:t>
      </w:r>
      <w:r w:rsidR="00CD3683" w:rsidRPr="001110D1">
        <w:rPr>
          <w:rFonts w:ascii="Calibri" w:hAnsi="Calibri" w:cs="Calibri"/>
          <w:sz w:val="24"/>
          <w:szCs w:val="24"/>
          <w:highlight w:val="yellow"/>
        </w:rPr>
        <w:t>28.5 h (</w:t>
      </w:r>
      <w:r w:rsidR="00141909" w:rsidRPr="001110D1">
        <w:rPr>
          <w:rFonts w:ascii="Calibri" w:hAnsi="Calibri" w:cs="Calibri"/>
          <w:sz w:val="24"/>
          <w:szCs w:val="24"/>
          <w:highlight w:val="yellow"/>
        </w:rPr>
        <w:t>~</w:t>
      </w:r>
      <w:r w:rsidRPr="001110D1">
        <w:rPr>
          <w:rFonts w:ascii="Calibri" w:hAnsi="Calibri" w:cs="Calibri"/>
          <w:sz w:val="24"/>
          <w:szCs w:val="24"/>
          <w:highlight w:val="yellow"/>
        </w:rPr>
        <w:t>1,000 pore volumes</w:t>
      </w:r>
      <w:r w:rsidR="00CD3683" w:rsidRPr="001110D1">
        <w:rPr>
          <w:rFonts w:ascii="Calibri" w:hAnsi="Calibri" w:cs="Calibri"/>
          <w:sz w:val="24"/>
          <w:szCs w:val="24"/>
          <w:highlight w:val="yellow"/>
        </w:rPr>
        <w:t>)</w:t>
      </w:r>
      <w:r w:rsidRPr="001110D1">
        <w:rPr>
          <w:rFonts w:ascii="Calibri" w:hAnsi="Calibri" w:cs="Calibri"/>
          <w:sz w:val="24"/>
          <w:szCs w:val="24"/>
          <w:highlight w:val="yellow"/>
        </w:rPr>
        <w:t xml:space="preserve"> to induce Mn biomineralization.</w:t>
      </w:r>
    </w:p>
    <w:p w14:paraId="49CD3BEE" w14:textId="77777777" w:rsidR="000460E7" w:rsidRPr="001110D1" w:rsidRDefault="000460E7" w:rsidP="001B0A4E">
      <w:pPr>
        <w:rPr>
          <w:highlight w:val="yellow"/>
        </w:rPr>
      </w:pPr>
    </w:p>
    <w:p w14:paraId="62D0381B" w14:textId="48C3497C" w:rsidR="00CC4A06" w:rsidRPr="001110D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Mount the </w:t>
      </w:r>
      <w:r w:rsidR="00FF3AAB" w:rsidRPr="001110D1">
        <w:rPr>
          <w:rFonts w:ascii="Calibri" w:hAnsi="Calibri" w:cs="Calibri"/>
          <w:sz w:val="24"/>
          <w:szCs w:val="24"/>
          <w:highlight w:val="yellow"/>
        </w:rPr>
        <w:t xml:space="preserve">microfluidic </w:t>
      </w:r>
      <w:r w:rsidRPr="001110D1">
        <w:rPr>
          <w:rFonts w:ascii="Calibri" w:hAnsi="Calibri" w:cs="Calibri"/>
          <w:sz w:val="24"/>
          <w:szCs w:val="24"/>
          <w:highlight w:val="yellow"/>
        </w:rPr>
        <w:t xml:space="preserve">reactor </w:t>
      </w:r>
      <w:r w:rsidR="002420C7" w:rsidRPr="001110D1">
        <w:rPr>
          <w:rFonts w:ascii="Calibri" w:hAnsi="Calibri" w:cs="Calibri"/>
          <w:sz w:val="24"/>
          <w:szCs w:val="24"/>
          <w:highlight w:val="yellow"/>
        </w:rPr>
        <w:t>in</w:t>
      </w:r>
      <w:r w:rsidRPr="001110D1">
        <w:rPr>
          <w:rFonts w:ascii="Calibri" w:hAnsi="Calibri" w:cs="Calibri"/>
          <w:sz w:val="24"/>
          <w:szCs w:val="24"/>
          <w:highlight w:val="yellow"/>
        </w:rPr>
        <w:t xml:space="preserve"> the microscope </w:t>
      </w:r>
      <w:r w:rsidR="002420C7" w:rsidRPr="001110D1">
        <w:rPr>
          <w:rFonts w:ascii="Calibri" w:hAnsi="Calibri" w:cs="Calibri"/>
          <w:sz w:val="24"/>
          <w:szCs w:val="24"/>
          <w:highlight w:val="yellow"/>
        </w:rPr>
        <w:t>stage insert</w:t>
      </w:r>
      <w:r w:rsidRPr="001110D1">
        <w:rPr>
          <w:rFonts w:ascii="Calibri" w:hAnsi="Calibri" w:cs="Calibri"/>
          <w:sz w:val="24"/>
          <w:szCs w:val="24"/>
          <w:highlight w:val="yellow"/>
        </w:rPr>
        <w:t>.</w:t>
      </w:r>
    </w:p>
    <w:p w14:paraId="5B154E9F" w14:textId="77777777" w:rsidR="007B7373" w:rsidRPr="00F871F8" w:rsidRDefault="007B7373" w:rsidP="001B0A4E">
      <w:pPr>
        <w:pStyle w:val="ListParagraph"/>
        <w:spacing w:after="0" w:line="240" w:lineRule="auto"/>
        <w:ind w:left="0"/>
        <w:contextualSpacing w:val="0"/>
        <w:jc w:val="both"/>
        <w:rPr>
          <w:rFonts w:ascii="Calibri" w:hAnsi="Calibri" w:cs="Calibri"/>
          <w:sz w:val="24"/>
          <w:szCs w:val="24"/>
        </w:rPr>
      </w:pPr>
    </w:p>
    <w:p w14:paraId="19CD9B10" w14:textId="77777777" w:rsidR="00B72939" w:rsidRPr="00F871F8" w:rsidRDefault="00000000" w:rsidP="001B0A4E">
      <w:r w:rsidRPr="00F871F8">
        <w:t xml:space="preserve">NOTE: </w:t>
      </w:r>
      <w:r w:rsidR="005913E6" w:rsidRPr="00F871F8">
        <w:t>A</w:t>
      </w:r>
      <w:r w:rsidRPr="00F871F8">
        <w:t xml:space="preserve"> custom-built ultraviolet-C (UVC) irradiation system attached to the microscope </w:t>
      </w:r>
      <w:r w:rsidR="002420C7" w:rsidRPr="00F871F8">
        <w:t>stage insert</w:t>
      </w:r>
      <w:r w:rsidR="005913E6" w:rsidRPr="00F871F8">
        <w:t xml:space="preserve"> is used</w:t>
      </w:r>
      <w:r w:rsidRPr="00F871F8">
        <w:t xml:space="preserve"> to mitigate unwanted bacterial growth and mineral precipitation outside of the </w:t>
      </w:r>
      <w:r w:rsidR="00986960" w:rsidRPr="00F871F8">
        <w:t xml:space="preserve">microfluidic </w:t>
      </w:r>
      <w:r w:rsidRPr="00F871F8">
        <w:t>pore space (</w:t>
      </w:r>
      <w:r w:rsidRPr="00F871F8">
        <w:rPr>
          <w:b/>
          <w:bCs/>
        </w:rPr>
        <w:t>Figure 2</w:t>
      </w:r>
      <w:r w:rsidRPr="00F871F8">
        <w:t xml:space="preserve">). </w:t>
      </w:r>
      <w:r w:rsidR="005913E6" w:rsidRPr="00F871F8">
        <w:t xml:space="preserve">This </w:t>
      </w:r>
      <w:r w:rsidRPr="00F871F8">
        <w:t>design is adapted from Ramos et al.</w:t>
      </w:r>
      <w:r w:rsidRPr="00F871F8">
        <w:fldChar w:fldCharType="begin"/>
      </w:r>
      <w:r w:rsidR="00432E5F" w:rsidRPr="00F871F8">
        <w:instrText xml:space="preserve"> ADDIN ZOTERO_ITEM CSL_CITATION {"citationID":"Ul4V301l","properties":{"formattedCitation":"\\super 60\\nosupersub{}","plainCitation":"60","noteIndex":0},"citationItems":[{"id":1811,"uris":["http://zotero.org/users/7069502/items/NG4KJ9W2"],"itemData":{"id":1811,"type":"article-journal","abstract":"Polydimethylsiloxane (PDMS) microfluidic systems have been instrumental in better understanding couplings between physical mechanisms and bacterial biofilm processes, such as hydrodynamic effects. However, precise control of the growth conditions, for example, the initial distribution of cells on the substrate or the boundary conditions in a flow system, has remained challenging. Furthermore, undesired bacterial colonization in crucial parts of the systems, in particular, in mixing zones or tubing, is an important factor that strongly limits the duration of the experiments and, therefore, impedes our ability to study the biophysics of biofilm evolving over long periods of time, as found in the environment, in engineering, or in medicine. Here, we develop a new approach that uses ultraviolet-C (UV-C) light-emitting diodes (LEDs) to confine bacterial development to specific zones of interest in the flow channels. The LEDs are integrated into a 3D printed light guide that is positioned upon the chip and used to irradiate germicidal UV-C directly through the PDMS. We first demonstrate that this system is successful in controlling undesired growth of Pseudomonas aeruginosa biofilm in inlet and outlet mixing zones during 48 h. We further illustrate how this can be used to define the initial distribution of bacteria to perturb already formed biofilms during an experiment and to control colonization for seven days—and possibly longer periods of time—therefore opening the way toward long-term biofilm experiments in microfluidic devices. Our approach is easily generalizable to existing devices at low cost and may, thus, become a standard in biofilm experiments in PDMS microfluidics.","container-title":"Biomicrofluidics","DOI":"10.1063/5.0135722","ISSN":"1932-1058","issue":"2","journalAbbreviation":"Biomicrofluidics","note":"PMID: 37124629\nPMCID: PMC10132849","page":"024107","source":"PubMed Central","title":"Ultraviolet control of bacterial biofilms in microfluidic chips","volume":"17","author":[{"family":"Ramos","given":"Gabriel"},{"family":"Toulouze","given":"Clara"},{"family":"Rima","given":"Maya"},{"family":"Liot","given":"Olivier"},{"family":"Duru","given":"Paul"},{"family":"Davit","given":"Yohan"}],"issued":{"date-parts":[["2023",4,25]]}}}],"schema":"https://github.com/citation-style-language/schema/raw/master/csl-citation.json"} </w:instrText>
      </w:r>
      <w:r w:rsidRPr="00F871F8">
        <w:fldChar w:fldCharType="separate"/>
      </w:r>
      <w:r w:rsidR="00432E5F" w:rsidRPr="00F871F8">
        <w:rPr>
          <w:vertAlign w:val="superscript"/>
        </w:rPr>
        <w:t>60</w:t>
      </w:r>
      <w:r w:rsidRPr="00F871F8">
        <w:fldChar w:fldCharType="end"/>
      </w:r>
      <w:r w:rsidRPr="00F871F8">
        <w:t xml:space="preserve"> and can be controlled with an automated program. See Fadely et al.</w:t>
      </w:r>
      <w:r w:rsidR="003C26AD" w:rsidRPr="00F871F8">
        <w:fldChar w:fldCharType="begin"/>
      </w:r>
      <w:r w:rsidR="00432E5F" w:rsidRPr="00F871F8">
        <w:instrText xml:space="preserve"> ADDIN ZOTERO_ITEM CSL_CITATION {"citationID":"wU8rYo4z","properties":{"formattedCitation":"\\super 61\\nosupersub{}","plainCitation":"61","noteIndex":0},"citationItems":[{"id":2246,"uris":["http://zotero.org/users/7069502/items/9BVJ7JRC"],"itemData":{"id":2246,"type":"article-journal","abstract":"Microbial oxidation of manganese (Mn) from aqueous Mn(II) to solid-phase Mn(III, IV) minerals catalyzes Mn(II) removal in natural and engineered porous systems. However, little is known about the spatiotemporal evolution of Mn biomineralization in confined spaces that experience simultaneous Mn(II) delivery and Mn oxide precipitation. Here, we combine time-lapse microscopy, image analysis, and mass spectrometry to quantify the extent and rate of Mn biomineralization by Pseudomonas putida GB-1 in an optically transparent two-dimensional porous medium. We found that Mn(II) oxidation initially occurred within biofilms but shifted over time toward the edges of biofilms in contact with pore fluid. Minerals precipitated outside of the initial biofilm footprint likely due to surface-mediated oxidation of Mn(II) by nascent biogenic Mn oxides, reinforcing a gradient in mineral accumulation from the Mn(II) source near the reactor inlet to the outlet. The rate of mineral precipitation outside the biofilm footprint surpassed the rate of mineral accumulation inside biofilms within 6 h and accounted for two-thirds of the total Mn oxide mass in the pore space at the end of the experiment. This work advances a mechanistic understanding of coupled biotic and abiotic Mn oxidation in porous environments while providing a novel platform to quantify microbe–mineral–fluid interactions.","container-title":"Environmental Science &amp; Technology","DOI":"10.1021/acs.est.5c11326","ISSN":"0013-936X","issue":"1","journalAbbreviation":"Environ. Sci. Technol.","note":"publisher: American Chemical Society","page":"654-663","source":"ACS Publications","title":"Enhanced Manganese Oxidation at the Biofilm–Fluid Interface Drives Pore-Scale Patterns in Mineral Precipitation","volume":"60","author":[{"family":"Fadely","given":"Eleanor C."},{"family":"Gehin","given":"Gaitan"},{"family":"Bone","given":"Sharon E."},{"family":"Webb","given":"Samuel M."},{"family":"Morales","given":"Verónica L."},{"family":"Peña","given":"Jasquelin"}],"issued":{"date-parts":[["2026",1,13]]}}}],"schema":"https://github.com/citation-style-language/schema/raw/master/csl-citation.json"} </w:instrText>
      </w:r>
      <w:r w:rsidR="003C26AD" w:rsidRPr="00F871F8">
        <w:fldChar w:fldCharType="separate"/>
      </w:r>
      <w:r w:rsidR="00432E5F" w:rsidRPr="00F871F8">
        <w:rPr>
          <w:vertAlign w:val="superscript"/>
        </w:rPr>
        <w:t>61</w:t>
      </w:r>
      <w:r w:rsidR="003C26AD" w:rsidRPr="00F871F8">
        <w:fldChar w:fldCharType="end"/>
      </w:r>
      <w:r w:rsidRPr="00F871F8">
        <w:t xml:space="preserve"> for details. </w:t>
      </w:r>
    </w:p>
    <w:p w14:paraId="2E392721" w14:textId="77777777" w:rsidR="00B72939" w:rsidRPr="00F871F8" w:rsidRDefault="00B72939" w:rsidP="001B0A4E"/>
    <w:p w14:paraId="69053D6C" w14:textId="0DD48D30" w:rsidR="00CC4A06" w:rsidRPr="00F871F8" w:rsidRDefault="00000000" w:rsidP="001B0A4E">
      <w:r w:rsidRPr="00F871F8">
        <w:t xml:space="preserve">[Place </w:t>
      </w:r>
      <w:r w:rsidRPr="00F871F8">
        <w:rPr>
          <w:b/>
          <w:bCs/>
        </w:rPr>
        <w:t>Figure 2</w:t>
      </w:r>
      <w:r w:rsidRPr="00F871F8">
        <w:t xml:space="preserve"> here].</w:t>
      </w:r>
    </w:p>
    <w:p w14:paraId="07A0CCBD" w14:textId="77777777" w:rsidR="007B7373" w:rsidRPr="00F871F8" w:rsidRDefault="007B7373" w:rsidP="001B0A4E"/>
    <w:p w14:paraId="09123B5E" w14:textId="2E370ABD" w:rsidR="00CC4A06" w:rsidRPr="001110D1" w:rsidRDefault="00000000" w:rsidP="001B0A4E">
      <w:pPr>
        <w:pStyle w:val="ListParagraph"/>
        <w:numPr>
          <w:ilvl w:val="2"/>
          <w:numId w:val="37"/>
        </w:numPr>
        <w:spacing w:after="0" w:line="240" w:lineRule="auto"/>
        <w:ind w:left="0" w:firstLine="0"/>
        <w:jc w:val="both"/>
        <w:rPr>
          <w:rFonts w:ascii="Calibri" w:hAnsi="Calibri" w:cs="Calibri"/>
          <w:sz w:val="24"/>
          <w:szCs w:val="24"/>
          <w:highlight w:val="yellow"/>
        </w:rPr>
      </w:pPr>
      <w:r w:rsidRPr="001110D1">
        <w:rPr>
          <w:rFonts w:ascii="Calibri" w:hAnsi="Calibri" w:cs="Calibri"/>
          <w:sz w:val="24"/>
          <w:szCs w:val="24"/>
          <w:highlight w:val="yellow"/>
        </w:rPr>
        <w:t>P</w:t>
      </w:r>
      <w:r w:rsidR="00B8395A" w:rsidRPr="001110D1">
        <w:rPr>
          <w:rFonts w:ascii="Calibri" w:hAnsi="Calibri" w:cs="Calibri"/>
          <w:sz w:val="24"/>
          <w:szCs w:val="24"/>
          <w:highlight w:val="yellow"/>
        </w:rPr>
        <w:t xml:space="preserve">lace </w:t>
      </w:r>
      <w:r w:rsidRPr="001110D1">
        <w:rPr>
          <w:rFonts w:ascii="Calibri" w:hAnsi="Calibri" w:cs="Calibri"/>
          <w:sz w:val="24"/>
          <w:szCs w:val="24"/>
          <w:highlight w:val="yellow"/>
        </w:rPr>
        <w:t xml:space="preserve">a sample frame underneath the reactor for stability, then rigidly mount the frame and reactor in the </w:t>
      </w:r>
      <w:r w:rsidR="00E77150" w:rsidRPr="001110D1">
        <w:rPr>
          <w:rFonts w:ascii="Calibri" w:hAnsi="Calibri" w:cs="Calibri"/>
          <w:sz w:val="24"/>
          <w:szCs w:val="24"/>
          <w:highlight w:val="yellow"/>
        </w:rPr>
        <w:t>stage insert</w:t>
      </w:r>
      <w:r w:rsidRPr="001110D1">
        <w:rPr>
          <w:rFonts w:ascii="Calibri" w:hAnsi="Calibri" w:cs="Calibri"/>
          <w:sz w:val="24"/>
          <w:szCs w:val="24"/>
          <w:highlight w:val="yellow"/>
        </w:rPr>
        <w:t xml:space="preserve">, ensuring that </w:t>
      </w:r>
      <w:r w:rsidR="00C86CFC" w:rsidRPr="001110D1">
        <w:rPr>
          <w:rFonts w:ascii="Calibri" w:hAnsi="Calibri" w:cs="Calibri"/>
          <w:sz w:val="24"/>
          <w:szCs w:val="24"/>
          <w:highlight w:val="yellow"/>
        </w:rPr>
        <w:t>they are</w:t>
      </w:r>
      <w:r w:rsidRPr="001110D1">
        <w:rPr>
          <w:rFonts w:ascii="Calibri" w:hAnsi="Calibri" w:cs="Calibri"/>
          <w:sz w:val="24"/>
          <w:szCs w:val="24"/>
          <w:highlight w:val="yellow"/>
        </w:rPr>
        <w:t xml:space="preserve"> fully immobilized. </w:t>
      </w:r>
    </w:p>
    <w:p w14:paraId="1B7C448A" w14:textId="77777777" w:rsidR="00CC4A06" w:rsidRPr="001110D1" w:rsidRDefault="00CC4A06" w:rsidP="001B0A4E">
      <w:pPr>
        <w:pStyle w:val="ListParagraph"/>
        <w:spacing w:after="0" w:line="240" w:lineRule="auto"/>
        <w:ind w:left="0"/>
        <w:jc w:val="both"/>
        <w:rPr>
          <w:rFonts w:ascii="Calibri" w:hAnsi="Calibri" w:cs="Calibri"/>
          <w:sz w:val="24"/>
          <w:szCs w:val="24"/>
          <w:highlight w:val="yellow"/>
        </w:rPr>
      </w:pPr>
    </w:p>
    <w:p w14:paraId="095E2F3D" w14:textId="07C61B6C"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Affix the PTFE tubing to the stage</w:t>
      </w:r>
      <w:r w:rsidR="00E77150" w:rsidRPr="001110D1">
        <w:rPr>
          <w:rFonts w:ascii="Calibri" w:hAnsi="Calibri" w:cs="Calibri"/>
          <w:sz w:val="24"/>
          <w:szCs w:val="24"/>
          <w:highlight w:val="yellow"/>
        </w:rPr>
        <w:t xml:space="preserve"> </w:t>
      </w:r>
      <w:proofErr w:type="gramStart"/>
      <w:r w:rsidR="00E77150" w:rsidRPr="001110D1">
        <w:rPr>
          <w:rFonts w:ascii="Calibri" w:hAnsi="Calibri" w:cs="Calibri"/>
          <w:sz w:val="24"/>
          <w:szCs w:val="24"/>
          <w:highlight w:val="yellow"/>
        </w:rPr>
        <w:t>insert</w:t>
      </w:r>
      <w:proofErr w:type="gramEnd"/>
      <w:r w:rsidRPr="001110D1">
        <w:rPr>
          <w:rFonts w:ascii="Calibri" w:hAnsi="Calibri" w:cs="Calibri"/>
          <w:sz w:val="24"/>
          <w:szCs w:val="24"/>
          <w:highlight w:val="yellow"/>
        </w:rPr>
        <w:t xml:space="preserve"> with a piece of tape to prevent the tubing from detaching from the reactor inlet hole.</w:t>
      </w:r>
    </w:p>
    <w:p w14:paraId="34575D10" w14:textId="77777777" w:rsidR="007B7373" w:rsidRPr="001110D1" w:rsidRDefault="007B7373" w:rsidP="001B0A4E">
      <w:pPr>
        <w:rPr>
          <w:highlight w:val="yellow"/>
        </w:rPr>
      </w:pPr>
    </w:p>
    <w:p w14:paraId="7D46E71C" w14:textId="77777777" w:rsidR="00CC4A06" w:rsidRPr="001110D1" w:rsidRDefault="00000000" w:rsidP="001B0A4E">
      <w:pPr>
        <w:pStyle w:val="ListParagraph"/>
        <w:numPr>
          <w:ilvl w:val="2"/>
          <w:numId w:val="37"/>
        </w:numPr>
        <w:spacing w:after="0" w:line="240" w:lineRule="auto"/>
        <w:ind w:left="0" w:firstLine="0"/>
        <w:jc w:val="both"/>
        <w:rPr>
          <w:rFonts w:ascii="Calibri" w:hAnsi="Calibri" w:cs="Calibri"/>
          <w:sz w:val="24"/>
          <w:szCs w:val="24"/>
          <w:highlight w:val="yellow"/>
        </w:rPr>
      </w:pPr>
      <w:r w:rsidRPr="001110D1">
        <w:rPr>
          <w:rFonts w:ascii="Calibri" w:hAnsi="Calibri" w:cs="Calibri"/>
          <w:sz w:val="24"/>
          <w:szCs w:val="24"/>
          <w:highlight w:val="yellow"/>
        </w:rPr>
        <w:t xml:space="preserve">Align the UVC arms to </w:t>
      </w:r>
      <w:proofErr w:type="gramStart"/>
      <w:r w:rsidRPr="001110D1">
        <w:rPr>
          <w:rFonts w:ascii="Calibri" w:hAnsi="Calibri" w:cs="Calibri"/>
          <w:sz w:val="24"/>
          <w:szCs w:val="24"/>
          <w:highlight w:val="yellow"/>
        </w:rPr>
        <w:t>a distance of 3</w:t>
      </w:r>
      <w:proofErr w:type="gramEnd"/>
      <w:r w:rsidRPr="001110D1">
        <w:rPr>
          <w:rFonts w:ascii="Calibri" w:hAnsi="Calibri" w:cs="Calibri"/>
          <w:sz w:val="24"/>
          <w:szCs w:val="24"/>
          <w:highlight w:val="yellow"/>
        </w:rPr>
        <w:t xml:space="preserve"> mm from the pore space edge on the inlet side and 2 mm on the outlet side to minimize scattering of ultraviolet light and biofilm damage within the pore space.</w:t>
      </w:r>
    </w:p>
    <w:p w14:paraId="241D26F8"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6657085A" w14:textId="77777777" w:rsidR="00B72939" w:rsidRPr="00F871F8" w:rsidRDefault="00000000" w:rsidP="001B0A4E">
      <w:r w:rsidRPr="00F871F8">
        <w:t>NOTE:</w:t>
      </w:r>
      <w:r w:rsidRPr="00F871F8">
        <w:rPr>
          <w:b/>
          <w:bCs/>
        </w:rPr>
        <w:t xml:space="preserve"> </w:t>
      </w:r>
      <w:r w:rsidRPr="00F871F8">
        <w:t>Proper UVC alignment will result in little to no biomass accumulation in the reactor inlet region (</w:t>
      </w:r>
      <w:r w:rsidRPr="00F871F8">
        <w:rPr>
          <w:b/>
          <w:bCs/>
        </w:rPr>
        <w:t xml:space="preserve">Figure </w:t>
      </w:r>
      <w:r w:rsidR="00C717FC" w:rsidRPr="00F871F8">
        <w:rPr>
          <w:b/>
          <w:bCs/>
        </w:rPr>
        <w:t>3A</w:t>
      </w:r>
      <w:r w:rsidRPr="00F871F8">
        <w:rPr>
          <w:b/>
        </w:rPr>
        <w:t>)</w:t>
      </w:r>
      <w:r w:rsidRPr="00F871F8">
        <w:t>. Alignment of the UVC arms too far from the inlet edge of the pore space (</w:t>
      </w:r>
      <w:r w:rsidRPr="00F871F8">
        <w:rPr>
          <w:b/>
          <w:bCs/>
        </w:rPr>
        <w:t xml:space="preserve">Figure </w:t>
      </w:r>
      <w:r w:rsidR="00C717FC" w:rsidRPr="00F871F8">
        <w:rPr>
          <w:b/>
          <w:bCs/>
        </w:rPr>
        <w:t>3B</w:t>
      </w:r>
      <w:r w:rsidRPr="00F871F8">
        <w:t>) or an absence of irradiation (</w:t>
      </w:r>
      <w:r w:rsidRPr="00F871F8">
        <w:rPr>
          <w:b/>
          <w:bCs/>
        </w:rPr>
        <w:t xml:space="preserve">Figure </w:t>
      </w:r>
      <w:r w:rsidR="00C717FC" w:rsidRPr="00F871F8">
        <w:rPr>
          <w:b/>
          <w:bCs/>
        </w:rPr>
        <w:t>3C</w:t>
      </w:r>
      <w:r w:rsidRPr="00F871F8">
        <w:t xml:space="preserve">) results in mineral precipitation upstream of the pore space. </w:t>
      </w:r>
    </w:p>
    <w:p w14:paraId="7C224617" w14:textId="77777777" w:rsidR="00B72939" w:rsidRPr="00F871F8" w:rsidRDefault="00B72939" w:rsidP="001B0A4E"/>
    <w:p w14:paraId="0D6CAD12" w14:textId="529D6B17" w:rsidR="00CC4A06" w:rsidRPr="00F871F8" w:rsidRDefault="00000000" w:rsidP="001B0A4E">
      <w:r w:rsidRPr="00F871F8">
        <w:t xml:space="preserve">[Place </w:t>
      </w:r>
      <w:r w:rsidRPr="00F871F8">
        <w:rPr>
          <w:b/>
          <w:bCs/>
        </w:rPr>
        <w:t xml:space="preserve">Figure 3 </w:t>
      </w:r>
      <w:r w:rsidRPr="00F871F8">
        <w:t>here].</w:t>
      </w:r>
    </w:p>
    <w:p w14:paraId="3008D888" w14:textId="77777777" w:rsidR="007B7373" w:rsidRPr="00F871F8" w:rsidRDefault="007B7373" w:rsidP="001B0A4E">
      <w:pPr>
        <w:pStyle w:val="ListParagraph"/>
        <w:spacing w:after="0" w:line="240" w:lineRule="auto"/>
        <w:ind w:left="0"/>
        <w:contextualSpacing w:val="0"/>
        <w:jc w:val="both"/>
        <w:rPr>
          <w:rFonts w:ascii="Calibri" w:hAnsi="Calibri" w:cs="Calibri"/>
          <w:sz w:val="24"/>
          <w:szCs w:val="24"/>
        </w:rPr>
      </w:pPr>
    </w:p>
    <w:p w14:paraId="1D384F20" w14:textId="096EF1CE" w:rsidR="00CC4A06" w:rsidRPr="001110D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1110D1">
        <w:rPr>
          <w:rFonts w:ascii="Calibri" w:hAnsi="Calibri" w:cs="Calibri"/>
          <w:sz w:val="24"/>
          <w:szCs w:val="24"/>
          <w:highlight w:val="yellow"/>
        </w:rPr>
        <w:t xml:space="preserve">Set up a program for reactor irradiation. Treat the reactor inlet and outlet regions for 5 min at t = 0 </w:t>
      </w:r>
      <w:r w:rsidR="001049D5" w:rsidRPr="001110D1">
        <w:rPr>
          <w:rFonts w:ascii="Calibri" w:hAnsi="Calibri" w:cs="Calibri"/>
          <w:sz w:val="24"/>
          <w:szCs w:val="24"/>
          <w:highlight w:val="yellow"/>
        </w:rPr>
        <w:t xml:space="preserve">h </w:t>
      </w:r>
      <w:r w:rsidRPr="001110D1">
        <w:rPr>
          <w:rFonts w:ascii="Calibri" w:hAnsi="Calibri" w:cs="Calibri"/>
          <w:sz w:val="24"/>
          <w:szCs w:val="24"/>
          <w:highlight w:val="yellow"/>
        </w:rPr>
        <w:t>to inactivate bacteria deposited during inoculation, then treat the outlet region only for 5 min at t = 17.5 h to inactivate any remaining biofilms.</w:t>
      </w:r>
    </w:p>
    <w:p w14:paraId="7AD49AA8" w14:textId="77777777" w:rsidR="007B7373" w:rsidRPr="00F871F8" w:rsidRDefault="007B7373" w:rsidP="001B0A4E">
      <w:pPr>
        <w:pStyle w:val="ListParagraph"/>
        <w:spacing w:after="0" w:line="240" w:lineRule="auto"/>
        <w:ind w:left="0"/>
        <w:contextualSpacing w:val="0"/>
        <w:jc w:val="both"/>
        <w:rPr>
          <w:rFonts w:ascii="Calibri" w:hAnsi="Calibri" w:cs="Calibri"/>
          <w:sz w:val="24"/>
          <w:szCs w:val="24"/>
        </w:rPr>
      </w:pPr>
    </w:p>
    <w:p w14:paraId="14405253" w14:textId="77777777" w:rsidR="00CC4A06" w:rsidRPr="005B5381" w:rsidRDefault="00000000" w:rsidP="001B0A4E">
      <w:pPr>
        <w:pStyle w:val="ListParagraph"/>
        <w:numPr>
          <w:ilvl w:val="0"/>
          <w:numId w:val="37"/>
        </w:numPr>
        <w:spacing w:after="0" w:line="240" w:lineRule="auto"/>
        <w:ind w:left="0" w:firstLine="0"/>
        <w:jc w:val="both"/>
        <w:rPr>
          <w:rFonts w:ascii="Calibri" w:hAnsi="Calibri" w:cs="Calibri"/>
          <w:b/>
          <w:bCs/>
          <w:sz w:val="24"/>
          <w:szCs w:val="24"/>
          <w:highlight w:val="yellow"/>
        </w:rPr>
      </w:pPr>
      <w:r w:rsidRPr="005B5381">
        <w:rPr>
          <w:rFonts w:ascii="Calibri" w:hAnsi="Calibri" w:cs="Calibri"/>
          <w:b/>
          <w:bCs/>
          <w:sz w:val="24"/>
          <w:szCs w:val="24"/>
          <w:highlight w:val="yellow"/>
        </w:rPr>
        <w:t xml:space="preserve">Optical time-lapse microscopy </w:t>
      </w:r>
    </w:p>
    <w:p w14:paraId="02A2E983" w14:textId="77777777" w:rsidR="00CC4A06" w:rsidRPr="00F871F8" w:rsidRDefault="00CC4A06" w:rsidP="001B0A4E">
      <w:pPr>
        <w:pStyle w:val="ListParagraph"/>
        <w:spacing w:after="0" w:line="240" w:lineRule="auto"/>
        <w:ind w:left="0"/>
        <w:jc w:val="both"/>
        <w:rPr>
          <w:rFonts w:ascii="Calibri" w:hAnsi="Calibri" w:cs="Calibri"/>
          <w:b/>
          <w:bCs/>
          <w:sz w:val="24"/>
          <w:szCs w:val="24"/>
        </w:rPr>
      </w:pPr>
    </w:p>
    <w:p w14:paraId="3EE4F246" w14:textId="19527917" w:rsidR="00CC4A06" w:rsidRPr="00F871F8" w:rsidRDefault="00000000" w:rsidP="001B0A4E">
      <w:r w:rsidRPr="00F871F8">
        <w:rPr>
          <w:bCs/>
        </w:rPr>
        <w:t>NOTE:</w:t>
      </w:r>
      <w:r w:rsidRPr="00F871F8">
        <w:t xml:space="preserve"> </w:t>
      </w:r>
      <w:r w:rsidR="0063420B" w:rsidRPr="00F871F8">
        <w:t>A</w:t>
      </w:r>
      <w:r w:rsidRPr="00F871F8">
        <w:t xml:space="preserve"> Nikon Ti2 </w:t>
      </w:r>
      <w:r w:rsidR="007858F9" w:rsidRPr="00F871F8">
        <w:t>Eclipse</w:t>
      </w:r>
      <w:r w:rsidRPr="00F871F8">
        <w:t xml:space="preserve"> inverted epifluorescence microscope equipped with a digital camera</w:t>
      </w:r>
      <w:r w:rsidR="00602DDD" w:rsidRPr="00F871F8">
        <w:t xml:space="preserve"> (2304 x </w:t>
      </w:r>
      <w:r w:rsidR="00C35521" w:rsidRPr="00F871F8">
        <w:t>2304 pixels per field of view)</w:t>
      </w:r>
      <w:r w:rsidRPr="00F871F8">
        <w:t xml:space="preserve">, </w:t>
      </w:r>
      <w:r w:rsidR="00981280" w:rsidRPr="00F871F8">
        <w:t xml:space="preserve">white </w:t>
      </w:r>
      <w:r w:rsidRPr="00F871F8">
        <w:t>light engine, 4x objective</w:t>
      </w:r>
      <w:r w:rsidR="00C35521" w:rsidRPr="00F871F8">
        <w:t xml:space="preserve"> (1.62 µm</w:t>
      </w:r>
      <w:r w:rsidR="0065695B" w:rsidRPr="00F871F8">
        <w:t>·</w:t>
      </w:r>
      <w:r w:rsidR="00C35521" w:rsidRPr="00F871F8">
        <w:t>pixel</w:t>
      </w:r>
      <w:r w:rsidR="00C35521" w:rsidRPr="00F871F8">
        <w:rPr>
          <w:vertAlign w:val="superscript"/>
        </w:rPr>
        <w:t>-1</w:t>
      </w:r>
      <w:r w:rsidR="00C35521" w:rsidRPr="00F871F8">
        <w:t>)</w:t>
      </w:r>
      <w:r w:rsidRPr="00F871F8">
        <w:t>, and NIS Elements software</w:t>
      </w:r>
      <w:r w:rsidR="004B6464" w:rsidRPr="00F871F8">
        <w:t xml:space="preserve"> </w:t>
      </w:r>
      <w:r w:rsidR="0063420B" w:rsidRPr="00F871F8">
        <w:t xml:space="preserve">is used </w:t>
      </w:r>
      <w:r w:rsidR="004B6464" w:rsidRPr="00F871F8">
        <w:t>for color brightfield imaging</w:t>
      </w:r>
      <w:r w:rsidRPr="00F871F8">
        <w:t>. Other optical microscopes capable of color imaging are also suitable.</w:t>
      </w:r>
      <w:r w:rsidR="009F6F9A" w:rsidRPr="00F871F8">
        <w:t xml:space="preserve"> The use of color imaging </w:t>
      </w:r>
      <w:r w:rsidR="001C7253" w:rsidRPr="00F871F8">
        <w:t>improves</w:t>
      </w:r>
      <w:r w:rsidR="009F6F9A" w:rsidRPr="00F871F8">
        <w:t xml:space="preserve"> sensitivity </w:t>
      </w:r>
      <w:r w:rsidR="00705FD8" w:rsidRPr="00F871F8">
        <w:t>to</w:t>
      </w:r>
      <w:r w:rsidR="009F6F9A" w:rsidRPr="00F871F8">
        <w:t xml:space="preserve"> low Mn oxide mass.</w:t>
      </w:r>
      <w:r w:rsidR="000E5647" w:rsidRPr="00F871F8">
        <w:t xml:space="preserve"> If time-lapse automation is not an option, users can collect images manually and post-process them as a time series.</w:t>
      </w:r>
    </w:p>
    <w:p w14:paraId="702F3D4C"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5F4F8398" w14:textId="77777777" w:rsidR="00CC4A06" w:rsidRPr="005B538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For high-quality images, perform the following alignment and correction steps:</w:t>
      </w:r>
    </w:p>
    <w:p w14:paraId="10D9043B" w14:textId="77777777" w:rsidR="007B57ED" w:rsidRPr="005B5381" w:rsidRDefault="007B57ED" w:rsidP="001B0A4E">
      <w:pPr>
        <w:pStyle w:val="ListParagraph"/>
        <w:spacing w:after="0" w:line="240" w:lineRule="auto"/>
        <w:ind w:left="0"/>
        <w:contextualSpacing w:val="0"/>
        <w:jc w:val="both"/>
        <w:rPr>
          <w:rFonts w:ascii="Calibri" w:hAnsi="Calibri" w:cs="Calibri"/>
          <w:sz w:val="24"/>
          <w:szCs w:val="24"/>
          <w:highlight w:val="yellow"/>
        </w:rPr>
      </w:pPr>
    </w:p>
    <w:p w14:paraId="6D280FD1" w14:textId="6361C118" w:rsidR="007B57ED" w:rsidRPr="005B538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 xml:space="preserve">To ensure even sample illumination, manually adjust the Köhler alignment following </w:t>
      </w:r>
      <w:r w:rsidR="00B72939" w:rsidRPr="005B5381">
        <w:rPr>
          <w:rFonts w:ascii="Calibri" w:hAnsi="Calibri" w:cs="Calibri"/>
          <w:sz w:val="24"/>
          <w:szCs w:val="24"/>
          <w:highlight w:val="yellow"/>
        </w:rPr>
        <w:t xml:space="preserve">the </w:t>
      </w:r>
      <w:r w:rsidRPr="005B5381">
        <w:rPr>
          <w:rFonts w:ascii="Calibri" w:hAnsi="Calibri" w:cs="Calibri"/>
          <w:sz w:val="24"/>
          <w:szCs w:val="24"/>
          <w:highlight w:val="yellow"/>
        </w:rPr>
        <w:t>manufacturer</w:t>
      </w:r>
      <w:r w:rsidR="00B72939" w:rsidRPr="005B5381">
        <w:rPr>
          <w:rFonts w:ascii="Calibri" w:hAnsi="Calibri" w:cs="Calibri"/>
          <w:sz w:val="24"/>
          <w:szCs w:val="24"/>
          <w:highlight w:val="yellow"/>
        </w:rPr>
        <w:t>'s</w:t>
      </w:r>
      <w:r w:rsidRPr="005B5381">
        <w:rPr>
          <w:rFonts w:ascii="Calibri" w:hAnsi="Calibri" w:cs="Calibri"/>
          <w:sz w:val="24"/>
          <w:szCs w:val="24"/>
          <w:highlight w:val="yellow"/>
        </w:rPr>
        <w:t xml:space="preserve"> instructions. </w:t>
      </w:r>
    </w:p>
    <w:p w14:paraId="139DD445" w14:textId="77777777" w:rsidR="002770C7" w:rsidRPr="005B5381" w:rsidRDefault="002770C7" w:rsidP="001B0A4E">
      <w:pPr>
        <w:rPr>
          <w:highlight w:val="yellow"/>
        </w:rPr>
      </w:pPr>
    </w:p>
    <w:p w14:paraId="7945B86A" w14:textId="77777777" w:rsidR="00FA617A" w:rsidRPr="005B538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Optimize the brightfield illumination to prevent image under- or over-saturation (</w:t>
      </w:r>
      <w:r w:rsidRPr="005B5381">
        <w:rPr>
          <w:rFonts w:ascii="Calibri" w:hAnsi="Calibri" w:cs="Calibri"/>
          <w:b/>
          <w:bCs/>
          <w:sz w:val="24"/>
          <w:szCs w:val="24"/>
          <w:highlight w:val="yellow"/>
        </w:rPr>
        <w:t xml:space="preserve">Fusion Pad &gt; Color &gt; </w:t>
      </w:r>
      <w:r w:rsidRPr="005B5381">
        <w:rPr>
          <w:rFonts w:ascii="Calibri" w:hAnsi="Calibri" w:cs="Calibri"/>
          <w:b/>
          <w:sz w:val="24"/>
          <w:szCs w:val="24"/>
          <w:highlight w:val="yellow"/>
        </w:rPr>
        <w:t xml:space="preserve">Auto </w:t>
      </w:r>
      <w:r w:rsidRPr="005B5381">
        <w:rPr>
          <w:rFonts w:ascii="Calibri" w:hAnsi="Calibri" w:cs="Calibri"/>
          <w:b/>
          <w:bCs/>
          <w:sz w:val="24"/>
          <w:szCs w:val="24"/>
          <w:highlight w:val="yellow"/>
        </w:rPr>
        <w:t>Brightness</w:t>
      </w:r>
      <w:r w:rsidRPr="005B5381">
        <w:rPr>
          <w:rFonts w:ascii="Calibri" w:hAnsi="Calibri" w:cs="Calibri"/>
          <w:sz w:val="24"/>
          <w:szCs w:val="24"/>
          <w:highlight w:val="yellow"/>
        </w:rPr>
        <w:t xml:space="preserve"> and </w:t>
      </w:r>
      <w:r w:rsidRPr="005B5381">
        <w:rPr>
          <w:rFonts w:ascii="Calibri" w:hAnsi="Calibri" w:cs="Calibri"/>
          <w:b/>
          <w:bCs/>
          <w:sz w:val="24"/>
          <w:szCs w:val="24"/>
          <w:highlight w:val="yellow"/>
        </w:rPr>
        <w:t>Fusion Pad &gt; Color &gt;</w:t>
      </w:r>
      <w:r w:rsidRPr="005B5381">
        <w:rPr>
          <w:rFonts w:ascii="Calibri" w:hAnsi="Calibri" w:cs="Calibri"/>
          <w:b/>
          <w:sz w:val="24"/>
          <w:szCs w:val="24"/>
          <w:highlight w:val="yellow"/>
        </w:rPr>
        <w:t xml:space="preserve"> Auto </w:t>
      </w:r>
      <w:r w:rsidRPr="005B5381">
        <w:rPr>
          <w:rFonts w:ascii="Calibri" w:hAnsi="Calibri" w:cs="Calibri"/>
          <w:b/>
          <w:bCs/>
          <w:sz w:val="24"/>
          <w:szCs w:val="24"/>
          <w:highlight w:val="yellow"/>
        </w:rPr>
        <w:t>White</w:t>
      </w:r>
      <w:r w:rsidRPr="005B5381">
        <w:rPr>
          <w:rFonts w:ascii="Calibri" w:hAnsi="Calibri" w:cs="Calibri"/>
          <w:sz w:val="24"/>
          <w:szCs w:val="24"/>
          <w:highlight w:val="yellow"/>
        </w:rPr>
        <w:t>).</w:t>
      </w:r>
    </w:p>
    <w:p w14:paraId="02C0AA01" w14:textId="77777777" w:rsidR="00FA617A" w:rsidRPr="00F871F8" w:rsidRDefault="00FA617A" w:rsidP="001B0A4E"/>
    <w:p w14:paraId="3446A6A1" w14:textId="6A95A894" w:rsidR="00FA617A" w:rsidRPr="00F871F8" w:rsidRDefault="00000000" w:rsidP="001B0A4E">
      <w:r w:rsidRPr="00F871F8">
        <w:rPr>
          <w:bCs/>
        </w:rPr>
        <w:t>NOTE:</w:t>
      </w:r>
      <w:r w:rsidRPr="00F871F8">
        <w:t xml:space="preserve"> It is best to optimize the brightfield illumination only once on a reactor that already contains biofilms and Mn oxides, then apply the same exposure time and color balance to all subsequent experiments for consistent illumination.</w:t>
      </w:r>
      <w:r w:rsidR="005B3D7E" w:rsidRPr="00F871F8">
        <w:t xml:space="preserve"> Here, a 5 </w:t>
      </w:r>
      <w:proofErr w:type="spellStart"/>
      <w:r w:rsidR="005B3D7E" w:rsidRPr="00F871F8">
        <w:t>ms</w:t>
      </w:r>
      <w:proofErr w:type="spellEnd"/>
      <w:r w:rsidR="005B3D7E" w:rsidRPr="00F871F8">
        <w:t xml:space="preserve"> illumination with </w:t>
      </w:r>
      <w:r w:rsidR="00FC10F5" w:rsidRPr="00F871F8">
        <w:t>red at 97.58%, green at 44.76%, and blue at 100% is used.</w:t>
      </w:r>
    </w:p>
    <w:p w14:paraId="48C0D837" w14:textId="77777777" w:rsidR="007B7373" w:rsidRPr="00F871F8" w:rsidRDefault="007B7373" w:rsidP="001B0A4E"/>
    <w:p w14:paraId="099ACBA3" w14:textId="05AFDBD8" w:rsidR="00CC4A06" w:rsidRPr="005B5381"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 xml:space="preserve">To prevent quilting artifacts when acquiring stitched images of the </w:t>
      </w:r>
      <w:r w:rsidR="00986960" w:rsidRPr="005B5381">
        <w:rPr>
          <w:rFonts w:ascii="Calibri" w:hAnsi="Calibri" w:cs="Calibri"/>
          <w:sz w:val="24"/>
          <w:szCs w:val="24"/>
          <w:highlight w:val="yellow"/>
        </w:rPr>
        <w:t xml:space="preserve">microfluidic </w:t>
      </w:r>
      <w:r w:rsidRPr="005B5381">
        <w:rPr>
          <w:rFonts w:ascii="Calibri" w:hAnsi="Calibri" w:cs="Calibri"/>
          <w:sz w:val="24"/>
          <w:szCs w:val="24"/>
          <w:highlight w:val="yellow"/>
        </w:rPr>
        <w:t>pore space, apply a shading correction (</w:t>
      </w:r>
      <w:r w:rsidRPr="005B5381">
        <w:rPr>
          <w:rFonts w:ascii="Calibri" w:hAnsi="Calibri" w:cs="Calibri"/>
          <w:b/>
          <w:bCs/>
          <w:sz w:val="24"/>
          <w:szCs w:val="24"/>
          <w:highlight w:val="yellow"/>
        </w:rPr>
        <w:t>Acquire &gt; Shading Correction Panel</w:t>
      </w:r>
      <w:r w:rsidRPr="005B5381">
        <w:rPr>
          <w:rFonts w:ascii="Calibri" w:hAnsi="Calibri" w:cs="Calibri"/>
          <w:sz w:val="24"/>
          <w:szCs w:val="24"/>
          <w:highlight w:val="yellow"/>
        </w:rPr>
        <w:t>).</w:t>
      </w:r>
    </w:p>
    <w:p w14:paraId="252A39F8" w14:textId="77777777" w:rsidR="007B7373" w:rsidRPr="005B5381" w:rsidRDefault="007B7373" w:rsidP="001B0A4E">
      <w:pPr>
        <w:rPr>
          <w:highlight w:val="yellow"/>
        </w:rPr>
      </w:pPr>
    </w:p>
    <w:p w14:paraId="41A7EC13" w14:textId="77777777" w:rsidR="00CC4A06" w:rsidRPr="005B538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Set the center coordinate of the stitched image (</w:t>
      </w:r>
      <w:r w:rsidRPr="005B5381">
        <w:rPr>
          <w:rFonts w:ascii="Calibri" w:hAnsi="Calibri" w:cs="Calibri"/>
          <w:b/>
          <w:bCs/>
          <w:sz w:val="24"/>
          <w:szCs w:val="24"/>
          <w:highlight w:val="yellow"/>
        </w:rPr>
        <w:t>ND Acquisition &gt; XY</w:t>
      </w:r>
      <w:r w:rsidRPr="005B5381">
        <w:rPr>
          <w:rFonts w:ascii="Calibri" w:hAnsi="Calibri" w:cs="Calibri"/>
          <w:sz w:val="24"/>
          <w:szCs w:val="24"/>
          <w:highlight w:val="yellow"/>
        </w:rPr>
        <w:t>).</w:t>
      </w:r>
    </w:p>
    <w:p w14:paraId="3539DC58" w14:textId="77777777" w:rsidR="007B7373" w:rsidRPr="005B5381" w:rsidRDefault="007B7373" w:rsidP="001B0A4E">
      <w:pPr>
        <w:pStyle w:val="ListParagraph"/>
        <w:spacing w:after="0" w:line="240" w:lineRule="auto"/>
        <w:ind w:left="0"/>
        <w:contextualSpacing w:val="0"/>
        <w:jc w:val="both"/>
        <w:rPr>
          <w:rFonts w:ascii="Calibri" w:hAnsi="Calibri" w:cs="Calibri"/>
          <w:sz w:val="24"/>
          <w:szCs w:val="24"/>
          <w:highlight w:val="yellow"/>
        </w:rPr>
      </w:pPr>
    </w:p>
    <w:p w14:paraId="6218758F" w14:textId="77777777" w:rsidR="00CC4A06" w:rsidRPr="005B538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Set up the stitched image scan area (here, 5 x 4 fields of view) and apply a 1% overlap (</w:t>
      </w:r>
      <w:r w:rsidRPr="005B5381">
        <w:rPr>
          <w:rFonts w:ascii="Calibri" w:hAnsi="Calibri" w:cs="Calibri"/>
          <w:b/>
          <w:bCs/>
          <w:sz w:val="24"/>
          <w:szCs w:val="24"/>
          <w:highlight w:val="yellow"/>
        </w:rPr>
        <w:t>ND Acquisition &gt; Large Image</w:t>
      </w:r>
      <w:r w:rsidRPr="005B5381">
        <w:rPr>
          <w:rFonts w:ascii="Calibri" w:hAnsi="Calibri" w:cs="Calibri"/>
          <w:sz w:val="24"/>
          <w:szCs w:val="24"/>
          <w:highlight w:val="yellow"/>
        </w:rPr>
        <w:t xml:space="preserve">). </w:t>
      </w:r>
    </w:p>
    <w:p w14:paraId="2FFA075C" w14:textId="77777777" w:rsidR="007B7373" w:rsidRPr="005B5381" w:rsidRDefault="007B7373" w:rsidP="001B0A4E">
      <w:pPr>
        <w:rPr>
          <w:highlight w:val="yellow"/>
        </w:rPr>
      </w:pPr>
    </w:p>
    <w:p w14:paraId="5F62D4ED" w14:textId="564E391B" w:rsidR="00CC4A06" w:rsidRPr="005B538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 xml:space="preserve">Set up </w:t>
      </w:r>
      <w:r w:rsidR="00CB4D75" w:rsidRPr="005B5381">
        <w:rPr>
          <w:rFonts w:ascii="Calibri" w:hAnsi="Calibri" w:cs="Calibri"/>
          <w:sz w:val="24"/>
          <w:szCs w:val="24"/>
          <w:highlight w:val="yellow"/>
        </w:rPr>
        <w:t xml:space="preserve">acquisition of </w:t>
      </w:r>
      <w:r w:rsidRPr="005B5381">
        <w:rPr>
          <w:rFonts w:ascii="Calibri" w:hAnsi="Calibri" w:cs="Calibri"/>
          <w:sz w:val="24"/>
          <w:szCs w:val="24"/>
          <w:highlight w:val="yellow"/>
        </w:rPr>
        <w:t xml:space="preserve">color brightfield </w:t>
      </w:r>
      <w:r w:rsidR="00CB4D75" w:rsidRPr="005B5381">
        <w:rPr>
          <w:rFonts w:ascii="Calibri" w:hAnsi="Calibri" w:cs="Calibri"/>
          <w:sz w:val="24"/>
          <w:szCs w:val="24"/>
          <w:highlight w:val="yellow"/>
        </w:rPr>
        <w:t xml:space="preserve">images </w:t>
      </w:r>
      <w:r w:rsidRPr="005B5381">
        <w:rPr>
          <w:rFonts w:ascii="Calibri" w:hAnsi="Calibri" w:cs="Calibri"/>
          <w:sz w:val="24"/>
          <w:szCs w:val="24"/>
          <w:highlight w:val="yellow"/>
        </w:rPr>
        <w:t>with the 4x objective (</w:t>
      </w:r>
      <w:r w:rsidRPr="005B5381">
        <w:rPr>
          <w:rFonts w:ascii="Calibri" w:hAnsi="Calibri" w:cs="Calibri"/>
          <w:b/>
          <w:bCs/>
          <w:sz w:val="24"/>
          <w:szCs w:val="24"/>
          <w:highlight w:val="yellow"/>
        </w:rPr>
        <w:t xml:space="preserve">ND Acquisition &gt; </w:t>
      </w:r>
      <w:r w:rsidR="00723C23" w:rsidRPr="005B5381">
        <w:rPr>
          <w:rFonts w:ascii="Calibri" w:eastAsia="Symbol" w:hAnsi="Calibri" w:cs="Calibri"/>
          <w:b/>
          <w:bCs/>
          <w:sz w:val="24"/>
          <w:szCs w:val="24"/>
          <w:highlight w:val="yellow"/>
        </w:rPr>
        <w:t>λ</w:t>
      </w:r>
      <w:r w:rsidRPr="005B5381">
        <w:rPr>
          <w:rFonts w:ascii="Calibri" w:hAnsi="Calibri" w:cs="Calibri"/>
          <w:sz w:val="24"/>
          <w:szCs w:val="24"/>
          <w:highlight w:val="yellow"/>
        </w:rPr>
        <w:t>).</w:t>
      </w:r>
    </w:p>
    <w:p w14:paraId="63603AB6" w14:textId="77777777" w:rsidR="007B7373" w:rsidRPr="005B5381" w:rsidRDefault="007B7373" w:rsidP="001B0A4E">
      <w:pPr>
        <w:rPr>
          <w:highlight w:val="yellow"/>
        </w:rPr>
      </w:pPr>
    </w:p>
    <w:p w14:paraId="6D8F6A1A" w14:textId="77777777" w:rsidR="00CC4A06" w:rsidRPr="005B538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Set up the imaging frequency with intervals of 1 h for 15 h (growth phase) and 0.5 h for 28.5 h (mineralization phase) (</w:t>
      </w:r>
      <w:r w:rsidRPr="005B5381">
        <w:rPr>
          <w:rFonts w:ascii="Calibri" w:hAnsi="Calibri" w:cs="Calibri"/>
          <w:b/>
          <w:bCs/>
          <w:sz w:val="24"/>
          <w:szCs w:val="24"/>
          <w:highlight w:val="yellow"/>
        </w:rPr>
        <w:t>ND Acquisition &gt; Time</w:t>
      </w:r>
      <w:r w:rsidRPr="005B5381">
        <w:rPr>
          <w:rFonts w:ascii="Calibri" w:hAnsi="Calibri" w:cs="Calibri"/>
          <w:sz w:val="24"/>
          <w:szCs w:val="24"/>
          <w:highlight w:val="yellow"/>
        </w:rPr>
        <w:t>), then run the time-lapse program.</w:t>
      </w:r>
    </w:p>
    <w:p w14:paraId="03770D52" w14:textId="77777777" w:rsidR="001C1294" w:rsidRPr="00F871F8" w:rsidRDefault="001C1294" w:rsidP="001B0A4E"/>
    <w:p w14:paraId="31E657C4" w14:textId="77777777" w:rsidR="00CC4A06" w:rsidRPr="00F871F8" w:rsidRDefault="00000000" w:rsidP="001B0A4E">
      <w:r w:rsidRPr="00F871F8">
        <w:t xml:space="preserve">NOTE: The duration of the growth and mineralization phases is specific to </w:t>
      </w:r>
      <w:r w:rsidRPr="00F871F8">
        <w:rPr>
          <w:i/>
          <w:iCs/>
        </w:rPr>
        <w:t>P. putida</w:t>
      </w:r>
      <w:r w:rsidRPr="00F871F8">
        <w:t xml:space="preserve"> GB-1 and can be adjusted as needed for other microorganisms. </w:t>
      </w:r>
    </w:p>
    <w:p w14:paraId="16B08A15" w14:textId="77777777" w:rsidR="001C1294" w:rsidRPr="00F871F8" w:rsidRDefault="001C1294" w:rsidP="001B0A4E">
      <w:pPr>
        <w:pStyle w:val="ListParagraph"/>
        <w:spacing w:after="0" w:line="240" w:lineRule="auto"/>
        <w:ind w:left="0"/>
        <w:contextualSpacing w:val="0"/>
        <w:jc w:val="both"/>
        <w:rPr>
          <w:rFonts w:ascii="Calibri" w:hAnsi="Calibri" w:cs="Calibri"/>
          <w:sz w:val="24"/>
          <w:szCs w:val="24"/>
        </w:rPr>
      </w:pPr>
    </w:p>
    <w:p w14:paraId="6CC1B877" w14:textId="2F01AB19" w:rsidR="00CC4A06" w:rsidRPr="005B5381"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highlight w:val="yellow"/>
        </w:rPr>
      </w:pPr>
      <w:r w:rsidRPr="005B5381">
        <w:rPr>
          <w:rFonts w:ascii="Calibri" w:hAnsi="Calibri" w:cs="Calibri"/>
          <w:sz w:val="24"/>
          <w:szCs w:val="24"/>
          <w:highlight w:val="yellow"/>
        </w:rPr>
        <w:t>When the experiment is complete, export the images as Tagged Image File Format (TIFF) (</w:t>
      </w:r>
      <w:r w:rsidRPr="005B5381">
        <w:rPr>
          <w:rFonts w:ascii="Calibri" w:hAnsi="Calibri" w:cs="Calibri"/>
          <w:b/>
          <w:bCs/>
          <w:sz w:val="24"/>
          <w:szCs w:val="24"/>
          <w:highlight w:val="yellow"/>
        </w:rPr>
        <w:t>Macro Panel &gt; Export Images to TIFF</w:t>
      </w:r>
      <w:r w:rsidRPr="005B5381">
        <w:rPr>
          <w:rFonts w:ascii="Calibri" w:hAnsi="Calibri" w:cs="Calibri"/>
          <w:sz w:val="24"/>
          <w:szCs w:val="24"/>
          <w:highlight w:val="yellow"/>
        </w:rPr>
        <w:t xml:space="preserve">). </w:t>
      </w:r>
    </w:p>
    <w:p w14:paraId="040CECB0" w14:textId="77777777" w:rsidR="001C1294" w:rsidRPr="00F871F8" w:rsidRDefault="001C1294" w:rsidP="001B0A4E">
      <w:pPr>
        <w:pStyle w:val="ListParagraph"/>
        <w:spacing w:after="0" w:line="240" w:lineRule="auto"/>
        <w:ind w:left="0"/>
        <w:contextualSpacing w:val="0"/>
        <w:jc w:val="both"/>
        <w:rPr>
          <w:rFonts w:ascii="Calibri" w:hAnsi="Calibri" w:cs="Calibri"/>
          <w:sz w:val="24"/>
          <w:szCs w:val="24"/>
        </w:rPr>
      </w:pPr>
    </w:p>
    <w:p w14:paraId="5ECEAB42" w14:textId="77777777" w:rsidR="00CC4A06" w:rsidRPr="00F871F8" w:rsidRDefault="00000000" w:rsidP="001B0A4E">
      <w:pPr>
        <w:pStyle w:val="ListParagraph"/>
        <w:numPr>
          <w:ilvl w:val="0"/>
          <w:numId w:val="37"/>
        </w:numPr>
        <w:spacing w:after="0" w:line="240" w:lineRule="auto"/>
        <w:ind w:left="0" w:firstLine="0"/>
        <w:contextualSpacing w:val="0"/>
        <w:jc w:val="both"/>
        <w:rPr>
          <w:rFonts w:ascii="Calibri" w:hAnsi="Calibri" w:cs="Calibri"/>
          <w:b/>
          <w:bCs/>
          <w:sz w:val="24"/>
          <w:szCs w:val="24"/>
        </w:rPr>
      </w:pPr>
      <w:r w:rsidRPr="00F871F8">
        <w:rPr>
          <w:rFonts w:ascii="Calibri" w:hAnsi="Calibri" w:cs="Calibri"/>
          <w:b/>
          <w:bCs/>
          <w:sz w:val="24"/>
          <w:szCs w:val="24"/>
        </w:rPr>
        <w:t>Acid digestion and Mn mass measurement</w:t>
      </w:r>
    </w:p>
    <w:p w14:paraId="7B1023F2" w14:textId="77777777" w:rsidR="001C1294" w:rsidRPr="00F871F8" w:rsidRDefault="001C1294" w:rsidP="001B0A4E">
      <w:pPr>
        <w:pStyle w:val="ListParagraph"/>
        <w:spacing w:after="0" w:line="240" w:lineRule="auto"/>
        <w:ind w:left="0"/>
        <w:contextualSpacing w:val="0"/>
        <w:jc w:val="both"/>
        <w:rPr>
          <w:rFonts w:ascii="Calibri" w:hAnsi="Calibri" w:cs="Calibri"/>
          <w:b/>
          <w:bCs/>
          <w:sz w:val="24"/>
          <w:szCs w:val="24"/>
        </w:rPr>
      </w:pPr>
    </w:p>
    <w:p w14:paraId="398CF0E6" w14:textId="420C9838" w:rsidR="00CC4A06" w:rsidRPr="00F871F8" w:rsidRDefault="00000000" w:rsidP="001B0A4E">
      <w:r w:rsidRPr="00F871F8">
        <w:lastRenderedPageBreak/>
        <w:t>NOTE:</w:t>
      </w:r>
      <w:r w:rsidRPr="00F871F8">
        <w:rPr>
          <w:b/>
          <w:bCs/>
        </w:rPr>
        <w:t xml:space="preserve"> </w:t>
      </w:r>
      <w:r w:rsidR="0063420B" w:rsidRPr="00F871F8">
        <w:t>An</w:t>
      </w:r>
      <w:r w:rsidRPr="00F871F8">
        <w:rPr>
          <w:b/>
        </w:rPr>
        <w:t xml:space="preserve"> </w:t>
      </w:r>
      <w:r w:rsidRPr="00F871F8">
        <w:t xml:space="preserve">ICP-MS </w:t>
      </w:r>
      <w:r w:rsidR="0063420B" w:rsidRPr="00F871F8">
        <w:t xml:space="preserve">is used </w:t>
      </w:r>
      <w:r w:rsidRPr="00F871F8">
        <w:t xml:space="preserve">to measure Mn mass retained in the microfluidic reactor, but other instruments, such as optical emission spectrometers (ICP-OES), are also acceptable. </w:t>
      </w:r>
      <w:r w:rsidR="000E5647" w:rsidRPr="00F871F8">
        <w:t>If analytical instrumentation is not available, acid-digested samples may be sent to a commercial laboratory.</w:t>
      </w:r>
    </w:p>
    <w:p w14:paraId="7A542C27" w14:textId="77777777" w:rsidR="001C1294" w:rsidRPr="00F871F8" w:rsidRDefault="001C1294" w:rsidP="001B0A4E">
      <w:pPr>
        <w:pStyle w:val="ListParagraph"/>
        <w:spacing w:after="0" w:line="240" w:lineRule="auto"/>
        <w:ind w:left="0"/>
        <w:contextualSpacing w:val="0"/>
        <w:jc w:val="both"/>
        <w:rPr>
          <w:rFonts w:ascii="Calibri" w:hAnsi="Calibri" w:cs="Calibri"/>
          <w:b/>
          <w:sz w:val="24"/>
          <w:szCs w:val="24"/>
        </w:rPr>
      </w:pPr>
    </w:p>
    <w:p w14:paraId="6F026CF0" w14:textId="131129A7"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At the end of the experiment, remove the reactor from the microscope </w:t>
      </w:r>
      <w:r w:rsidR="00FC45F6" w:rsidRPr="00F871F8">
        <w:rPr>
          <w:rFonts w:ascii="Calibri" w:hAnsi="Calibri" w:cs="Calibri"/>
          <w:sz w:val="24"/>
          <w:szCs w:val="24"/>
        </w:rPr>
        <w:t>stage insert</w:t>
      </w:r>
      <w:r w:rsidRPr="00F871F8">
        <w:rPr>
          <w:rFonts w:ascii="Calibri" w:hAnsi="Calibri" w:cs="Calibri"/>
          <w:sz w:val="24"/>
          <w:szCs w:val="24"/>
        </w:rPr>
        <w:t xml:space="preserve"> and disconnect the inlet and outlet tubing.</w:t>
      </w:r>
    </w:p>
    <w:p w14:paraId="294D6424" w14:textId="77777777" w:rsidR="001C1294" w:rsidRPr="00F871F8" w:rsidRDefault="001C1294" w:rsidP="001B0A4E">
      <w:pPr>
        <w:pStyle w:val="ListParagraph"/>
        <w:spacing w:after="0" w:line="240" w:lineRule="auto"/>
        <w:ind w:left="0"/>
        <w:contextualSpacing w:val="0"/>
        <w:jc w:val="both"/>
        <w:rPr>
          <w:rFonts w:ascii="Calibri" w:hAnsi="Calibri" w:cs="Calibri"/>
          <w:sz w:val="24"/>
          <w:szCs w:val="24"/>
        </w:rPr>
      </w:pPr>
    </w:p>
    <w:p w14:paraId="4B1A14AB" w14:textId="77560F92"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 xml:space="preserve">Withdraw 1.5 mL acid solution into a </w:t>
      </w:r>
      <w:r w:rsidR="00D91C67" w:rsidRPr="00F871F8">
        <w:rPr>
          <w:rFonts w:ascii="Calibri" w:hAnsi="Calibri" w:cs="Calibri"/>
          <w:sz w:val="24"/>
          <w:szCs w:val="24"/>
        </w:rPr>
        <w:t xml:space="preserve">5-mL </w:t>
      </w:r>
      <w:r w:rsidRPr="00F871F8">
        <w:rPr>
          <w:rFonts w:ascii="Calibri" w:hAnsi="Calibri" w:cs="Calibri"/>
          <w:sz w:val="24"/>
          <w:szCs w:val="24"/>
        </w:rPr>
        <w:t>glass gas-tight syringe (separate from the inoculation syringe)</w:t>
      </w:r>
      <w:r w:rsidR="003E568B" w:rsidRPr="00F871F8">
        <w:rPr>
          <w:rFonts w:ascii="Calibri" w:hAnsi="Calibri" w:cs="Calibri"/>
          <w:sz w:val="24"/>
          <w:szCs w:val="24"/>
        </w:rPr>
        <w:t>.</w:t>
      </w:r>
      <w:r w:rsidRPr="00F871F8">
        <w:rPr>
          <w:rFonts w:ascii="Calibri" w:hAnsi="Calibri" w:cs="Calibri"/>
          <w:sz w:val="24"/>
          <w:szCs w:val="24"/>
        </w:rPr>
        <w:t xml:space="preserve"> Attach a blunt-tip needle and 20 cm of 1/32-in ID PTFE tubing to the syringe and manually dispense acid until a </w:t>
      </w:r>
      <w:proofErr w:type="gramStart"/>
      <w:r w:rsidRPr="00F871F8">
        <w:rPr>
          <w:rFonts w:ascii="Calibri" w:hAnsi="Calibri" w:cs="Calibri"/>
          <w:sz w:val="24"/>
          <w:szCs w:val="24"/>
        </w:rPr>
        <w:t>droplet forms</w:t>
      </w:r>
      <w:proofErr w:type="gramEnd"/>
      <w:r w:rsidRPr="00F871F8">
        <w:rPr>
          <w:rFonts w:ascii="Calibri" w:hAnsi="Calibri" w:cs="Calibri"/>
          <w:sz w:val="24"/>
          <w:szCs w:val="24"/>
        </w:rPr>
        <w:t xml:space="preserve"> at the end of the tubing.</w:t>
      </w:r>
    </w:p>
    <w:p w14:paraId="4297CA19"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54310316" w14:textId="403F4816"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On the benchtop, load the syringe into a syringe pump and connect the tubing to the reactor inlet hole</w:t>
      </w:r>
      <w:r w:rsidR="00882F27" w:rsidRPr="00F871F8">
        <w:rPr>
          <w:rFonts w:ascii="Calibri" w:hAnsi="Calibri" w:cs="Calibri"/>
          <w:sz w:val="24"/>
          <w:szCs w:val="24"/>
        </w:rPr>
        <w:t>, taking care not to trap air bubbles</w:t>
      </w:r>
      <w:r w:rsidR="00B72939" w:rsidRPr="00F871F8">
        <w:rPr>
          <w:rFonts w:ascii="Calibri" w:hAnsi="Calibri" w:cs="Calibri"/>
          <w:sz w:val="24"/>
          <w:szCs w:val="24"/>
        </w:rPr>
        <w:t>,</w:t>
      </w:r>
      <w:r w:rsidR="00882F27" w:rsidRPr="00F871F8">
        <w:rPr>
          <w:rFonts w:ascii="Calibri" w:hAnsi="Calibri" w:cs="Calibri"/>
          <w:sz w:val="24"/>
          <w:szCs w:val="24"/>
        </w:rPr>
        <w:t xml:space="preserve"> which may </w:t>
      </w:r>
      <w:r w:rsidR="00690E39" w:rsidRPr="00F871F8">
        <w:rPr>
          <w:rFonts w:ascii="Calibri" w:hAnsi="Calibri" w:cs="Calibri"/>
          <w:sz w:val="24"/>
          <w:szCs w:val="24"/>
        </w:rPr>
        <w:t>prevent</w:t>
      </w:r>
      <w:r w:rsidR="00882F27" w:rsidRPr="00F871F8">
        <w:rPr>
          <w:rFonts w:ascii="Calibri" w:hAnsi="Calibri" w:cs="Calibri"/>
          <w:sz w:val="24"/>
          <w:szCs w:val="24"/>
        </w:rPr>
        <w:t xml:space="preserve"> the acid solution</w:t>
      </w:r>
      <w:r w:rsidR="00B65F88" w:rsidRPr="00F871F8">
        <w:rPr>
          <w:rFonts w:ascii="Calibri" w:hAnsi="Calibri" w:cs="Calibri"/>
          <w:sz w:val="24"/>
          <w:szCs w:val="24"/>
        </w:rPr>
        <w:t xml:space="preserve"> </w:t>
      </w:r>
      <w:r w:rsidR="00690E39" w:rsidRPr="00F871F8">
        <w:rPr>
          <w:rFonts w:ascii="Calibri" w:hAnsi="Calibri" w:cs="Calibri"/>
          <w:sz w:val="24"/>
          <w:szCs w:val="24"/>
        </w:rPr>
        <w:t>from</w:t>
      </w:r>
      <w:r w:rsidR="00B65F88" w:rsidRPr="00F871F8">
        <w:rPr>
          <w:rFonts w:ascii="Calibri" w:hAnsi="Calibri" w:cs="Calibri"/>
          <w:sz w:val="24"/>
          <w:szCs w:val="24"/>
        </w:rPr>
        <w:t xml:space="preserve"> permeat</w:t>
      </w:r>
      <w:r w:rsidR="00690E39" w:rsidRPr="00F871F8">
        <w:rPr>
          <w:rFonts w:ascii="Calibri" w:hAnsi="Calibri" w:cs="Calibri"/>
          <w:sz w:val="24"/>
          <w:szCs w:val="24"/>
        </w:rPr>
        <w:t>ing</w:t>
      </w:r>
      <w:r w:rsidR="00B65F88" w:rsidRPr="00F871F8">
        <w:rPr>
          <w:rFonts w:ascii="Calibri" w:hAnsi="Calibri" w:cs="Calibri"/>
          <w:sz w:val="24"/>
          <w:szCs w:val="24"/>
        </w:rPr>
        <w:t xml:space="preserve"> all pores</w:t>
      </w:r>
      <w:r w:rsidRPr="00F871F8">
        <w:rPr>
          <w:rFonts w:ascii="Calibri" w:hAnsi="Calibri" w:cs="Calibri"/>
          <w:sz w:val="24"/>
          <w:szCs w:val="24"/>
        </w:rPr>
        <w:t xml:space="preserve">. Connect 30 cm of 1/32-in ID PTFE tubing to the reactor outlet hole and place the end of the outlet tubing into a 2-mL microcentrifuge tube. </w:t>
      </w:r>
    </w:p>
    <w:p w14:paraId="7750534F" w14:textId="77777777" w:rsidR="00CC4A06" w:rsidRPr="00F871F8" w:rsidRDefault="00CC4A06" w:rsidP="001B0A4E">
      <w:pPr>
        <w:pStyle w:val="ListParagraph"/>
        <w:spacing w:after="0" w:line="240" w:lineRule="auto"/>
        <w:ind w:left="0"/>
        <w:rPr>
          <w:rFonts w:ascii="Calibri" w:hAnsi="Calibri" w:cs="Calibri"/>
          <w:sz w:val="24"/>
          <w:szCs w:val="24"/>
        </w:rPr>
      </w:pPr>
    </w:p>
    <w:p w14:paraId="5F98E240" w14:textId="63FF93A2"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Inject acid solution into the reactor for 10 min at a flow rate of 100 µL</w:t>
      </w:r>
      <w:r w:rsidR="00D628AF" w:rsidRPr="00F871F8">
        <w:rPr>
          <w:rFonts w:ascii="Calibri" w:hAnsi="Calibri" w:cs="Calibri"/>
          <w:sz w:val="24"/>
          <w:szCs w:val="24"/>
        </w:rPr>
        <w:t>·</w:t>
      </w:r>
      <w:r w:rsidRPr="00F871F8">
        <w:rPr>
          <w:rFonts w:ascii="Calibri" w:hAnsi="Calibri" w:cs="Calibri"/>
          <w:sz w:val="24"/>
          <w:szCs w:val="24"/>
        </w:rPr>
        <w:t>min</w:t>
      </w:r>
      <w:r w:rsidRPr="00F871F8">
        <w:rPr>
          <w:rFonts w:ascii="Calibri" w:hAnsi="Calibri" w:cs="Calibri"/>
          <w:sz w:val="24"/>
          <w:szCs w:val="24"/>
          <w:vertAlign w:val="superscript"/>
        </w:rPr>
        <w:t>-1</w:t>
      </w:r>
      <w:r w:rsidRPr="00F871F8">
        <w:rPr>
          <w:rFonts w:ascii="Calibri" w:hAnsi="Calibri" w:cs="Calibri"/>
          <w:sz w:val="24"/>
          <w:szCs w:val="24"/>
        </w:rPr>
        <w:t>.</w:t>
      </w:r>
    </w:p>
    <w:p w14:paraId="072CA877" w14:textId="77777777" w:rsidR="00CC4A06" w:rsidRPr="00F871F8" w:rsidRDefault="00CC4A06" w:rsidP="001B0A4E">
      <w:pPr>
        <w:pStyle w:val="ListParagraph"/>
        <w:spacing w:after="0" w:line="240" w:lineRule="auto"/>
        <w:ind w:left="0"/>
        <w:rPr>
          <w:rFonts w:ascii="Calibri" w:hAnsi="Calibri" w:cs="Calibri"/>
          <w:sz w:val="24"/>
          <w:szCs w:val="24"/>
        </w:rPr>
      </w:pPr>
    </w:p>
    <w:p w14:paraId="57479055" w14:textId="405CA1C4"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 xml:space="preserve">Following acid solution injection, disconnect the blunt-tip needle from the glass syringe. Fill a 10-mL plastic syringe with air and connect to the blunt-tip needle, then manually dispense all the air in the syringe to drain the </w:t>
      </w:r>
      <w:r w:rsidR="00BE768A" w:rsidRPr="00F871F8">
        <w:rPr>
          <w:rFonts w:ascii="Calibri" w:hAnsi="Calibri" w:cs="Calibri"/>
          <w:sz w:val="24"/>
          <w:szCs w:val="24"/>
        </w:rPr>
        <w:t xml:space="preserve">remaining </w:t>
      </w:r>
      <w:r w:rsidRPr="00F871F8">
        <w:rPr>
          <w:rFonts w:ascii="Calibri" w:hAnsi="Calibri" w:cs="Calibri"/>
          <w:sz w:val="24"/>
          <w:szCs w:val="24"/>
        </w:rPr>
        <w:t>acid from the reactor and tubing into the 2-mL microcentrifuge tube.</w:t>
      </w:r>
    </w:p>
    <w:p w14:paraId="1A815413" w14:textId="77777777" w:rsidR="007B0413" w:rsidRPr="00F871F8" w:rsidRDefault="007B0413" w:rsidP="001B0A4E"/>
    <w:p w14:paraId="0D7D2B5C" w14:textId="5ECF8FEE" w:rsidR="007B0413" w:rsidRPr="00F871F8" w:rsidRDefault="00000000" w:rsidP="001B0A4E">
      <w:r w:rsidRPr="00F871F8">
        <w:t>NOTE:</w:t>
      </w:r>
      <w:r w:rsidR="00EA0FCD" w:rsidRPr="00F871F8">
        <w:t xml:space="preserve"> While a small volume of acid solution may remain trapped with</w:t>
      </w:r>
      <w:r w:rsidR="00B42BDB" w:rsidRPr="00F871F8">
        <w:t>i</w:t>
      </w:r>
      <w:r w:rsidR="00EA0FCD" w:rsidRPr="00F871F8">
        <w:t xml:space="preserve">n the pore space after air injection, it is </w:t>
      </w:r>
      <w:r w:rsidR="005F76DB" w:rsidRPr="00F871F8">
        <w:t>negligible</w:t>
      </w:r>
      <w:r w:rsidR="00EA0FCD" w:rsidRPr="00F871F8">
        <w:t xml:space="preserve"> relative to the total injected volume.</w:t>
      </w:r>
      <w:r w:rsidR="00B42BDB" w:rsidRPr="00F871F8">
        <w:t xml:space="preserve"> Users working with lower-porosity geometries may consider flushing additional volumes of air to remove fluid films and residual acid from poorly connected pores.</w:t>
      </w:r>
    </w:p>
    <w:p w14:paraId="6F78E212" w14:textId="77777777" w:rsidR="00CC4A06" w:rsidRPr="00F871F8" w:rsidRDefault="00CC4A06" w:rsidP="001B0A4E">
      <w:pPr>
        <w:pStyle w:val="ListParagraph"/>
        <w:spacing w:after="0" w:line="240" w:lineRule="auto"/>
        <w:ind w:left="0"/>
        <w:rPr>
          <w:rFonts w:ascii="Calibri" w:hAnsi="Calibri" w:cs="Calibri"/>
          <w:sz w:val="24"/>
          <w:szCs w:val="24"/>
        </w:rPr>
      </w:pPr>
    </w:p>
    <w:p w14:paraId="0B85BA8A" w14:textId="7838676B"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 xml:space="preserve">Dilute the digested sample in 1% nitric acid according to the </w:t>
      </w:r>
      <w:r w:rsidR="007D23A3" w:rsidRPr="00F871F8">
        <w:rPr>
          <w:rFonts w:ascii="Calibri" w:hAnsi="Calibri" w:cs="Calibri"/>
          <w:sz w:val="24"/>
          <w:szCs w:val="24"/>
        </w:rPr>
        <w:t xml:space="preserve">ICP-MS </w:t>
      </w:r>
      <w:r w:rsidRPr="00F871F8">
        <w:rPr>
          <w:rFonts w:ascii="Calibri" w:hAnsi="Calibri" w:cs="Calibri"/>
          <w:sz w:val="24"/>
          <w:szCs w:val="24"/>
        </w:rPr>
        <w:t>calibration range. Here</w:t>
      </w:r>
      <w:r w:rsidR="00B72939" w:rsidRPr="00F871F8">
        <w:rPr>
          <w:rFonts w:ascii="Calibri" w:hAnsi="Calibri" w:cs="Calibri"/>
          <w:sz w:val="24"/>
          <w:szCs w:val="24"/>
        </w:rPr>
        <w:t>, prepare</w:t>
      </w:r>
      <w:r w:rsidRPr="00F871F8">
        <w:rPr>
          <w:rFonts w:ascii="Calibri" w:hAnsi="Calibri" w:cs="Calibri"/>
          <w:sz w:val="24"/>
          <w:szCs w:val="24"/>
        </w:rPr>
        <w:t xml:space="preserve"> a 100x dilution (5 mL total volume) in a 15-mL conical tube.</w:t>
      </w:r>
    </w:p>
    <w:p w14:paraId="2451E620" w14:textId="77777777" w:rsidR="00CC4A06" w:rsidRPr="00F871F8" w:rsidRDefault="00CC4A06" w:rsidP="001B0A4E">
      <w:pPr>
        <w:pStyle w:val="ListParagraph"/>
        <w:spacing w:after="0" w:line="240" w:lineRule="auto"/>
        <w:ind w:left="0"/>
        <w:rPr>
          <w:rFonts w:ascii="Calibri" w:hAnsi="Calibri" w:cs="Calibri"/>
          <w:sz w:val="24"/>
          <w:szCs w:val="24"/>
        </w:rPr>
      </w:pPr>
    </w:p>
    <w:p w14:paraId="74F6109F" w14:textId="302F2385" w:rsidR="00CC4A06" w:rsidRPr="00F871F8" w:rsidRDefault="00000000" w:rsidP="001B0A4E">
      <w:pPr>
        <w:pStyle w:val="ListParagraph"/>
        <w:numPr>
          <w:ilvl w:val="1"/>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 xml:space="preserve">Measure the Mn concentration in the diluted sample with ICP-MS. Correct the measured concentration with the dilution factor and total sample volume to determine </w:t>
      </w:r>
      <w:r w:rsidR="009352CE" w:rsidRPr="00F871F8">
        <w:rPr>
          <w:rFonts w:ascii="Calibri" w:hAnsi="Calibri" w:cs="Calibri"/>
          <w:sz w:val="24"/>
          <w:szCs w:val="24"/>
        </w:rPr>
        <w:t xml:space="preserve">the </w:t>
      </w:r>
      <w:r w:rsidRPr="00F871F8">
        <w:rPr>
          <w:rFonts w:ascii="Calibri" w:hAnsi="Calibri" w:cs="Calibri"/>
          <w:sz w:val="24"/>
          <w:szCs w:val="24"/>
        </w:rPr>
        <w:t>Mn mass retained in the reactor.</w:t>
      </w:r>
    </w:p>
    <w:p w14:paraId="1EE88A0B" w14:textId="77777777" w:rsidR="00CC4A06" w:rsidRPr="00F871F8" w:rsidRDefault="00CC4A06" w:rsidP="001B0A4E">
      <w:pPr>
        <w:pStyle w:val="ListParagraph"/>
        <w:spacing w:after="0" w:line="240" w:lineRule="auto"/>
        <w:ind w:left="0"/>
        <w:rPr>
          <w:rFonts w:ascii="Calibri" w:hAnsi="Calibri" w:cs="Calibri"/>
          <w:b/>
          <w:sz w:val="24"/>
          <w:szCs w:val="24"/>
        </w:rPr>
      </w:pPr>
    </w:p>
    <w:p w14:paraId="5A047939" w14:textId="77777777" w:rsidR="00CC4A06" w:rsidRPr="00F871F8" w:rsidRDefault="00000000" w:rsidP="001B0A4E">
      <w:pPr>
        <w:pStyle w:val="ListParagraph"/>
        <w:numPr>
          <w:ilvl w:val="0"/>
          <w:numId w:val="37"/>
        </w:numPr>
        <w:spacing w:after="0" w:line="240" w:lineRule="auto"/>
        <w:ind w:left="0" w:firstLine="0"/>
        <w:jc w:val="both"/>
        <w:rPr>
          <w:rFonts w:ascii="Calibri" w:hAnsi="Calibri" w:cs="Calibri"/>
          <w:sz w:val="24"/>
          <w:szCs w:val="24"/>
        </w:rPr>
      </w:pPr>
      <w:r w:rsidRPr="00F871F8">
        <w:rPr>
          <w:rFonts w:ascii="Calibri" w:hAnsi="Calibri" w:cs="Calibri"/>
          <w:b/>
          <w:sz w:val="24"/>
          <w:szCs w:val="24"/>
        </w:rPr>
        <w:t>Image analysis</w:t>
      </w:r>
    </w:p>
    <w:p w14:paraId="78AB6681"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62886B28" w14:textId="2FF8B627" w:rsidR="00CC4A06" w:rsidRPr="00F871F8" w:rsidRDefault="00000000" w:rsidP="001B0A4E">
      <w:r w:rsidRPr="00F871F8">
        <w:t xml:space="preserve">NOTE: MATLAB </w:t>
      </w:r>
      <w:r w:rsidR="00E2477E" w:rsidRPr="00F871F8">
        <w:t>is recommended</w:t>
      </w:r>
      <w:r w:rsidR="00E223EE" w:rsidRPr="00F871F8">
        <w:t xml:space="preserve"> </w:t>
      </w:r>
      <w:r w:rsidRPr="00F871F8">
        <w:t>due to its built-in functions for image analysis</w:t>
      </w:r>
      <w:r w:rsidR="00E223EE" w:rsidRPr="00F871F8">
        <w:t>, which are included in the text</w:t>
      </w:r>
      <w:r w:rsidRPr="00F871F8">
        <w:t xml:space="preserve">. However, other tools such as ImageJ or </w:t>
      </w:r>
      <w:r w:rsidR="00B72939" w:rsidRPr="00F871F8">
        <w:t xml:space="preserve">Python's </w:t>
      </w:r>
      <w:r w:rsidRPr="00F871F8">
        <w:t xml:space="preserve">image analysis libraries can also be used to perform comparable analyses. Key image analysis steps are shown in </w:t>
      </w:r>
      <w:r w:rsidRPr="00F871F8">
        <w:rPr>
          <w:b/>
          <w:bCs/>
        </w:rPr>
        <w:t>Figure 4</w:t>
      </w:r>
      <w:r w:rsidR="00B72939" w:rsidRPr="00F871F8">
        <w:t xml:space="preserve">. </w:t>
      </w:r>
      <w:r w:rsidRPr="00F871F8">
        <w:t>All image analysis scripts are provided as Supplemental Files</w:t>
      </w:r>
      <w:r w:rsidR="00B72939" w:rsidRPr="00F871F8">
        <w:t xml:space="preserve"> (</w:t>
      </w:r>
      <w:r w:rsidR="00B72939" w:rsidRPr="00F871F8">
        <w:rPr>
          <w:b/>
          <w:bCs/>
        </w:rPr>
        <w:t>Supplementary File 1</w:t>
      </w:r>
      <w:r w:rsidR="00B72939" w:rsidRPr="00F871F8">
        <w:t xml:space="preserve">, </w:t>
      </w:r>
      <w:r w:rsidR="00B72939" w:rsidRPr="00F871F8">
        <w:rPr>
          <w:b/>
          <w:bCs/>
        </w:rPr>
        <w:t>Supplementary File 2</w:t>
      </w:r>
      <w:r w:rsidR="00B72939" w:rsidRPr="00F871F8">
        <w:t xml:space="preserve">, and </w:t>
      </w:r>
      <w:r w:rsidR="00B72939" w:rsidRPr="00F871F8">
        <w:rPr>
          <w:b/>
          <w:bCs/>
        </w:rPr>
        <w:t>Supplementary File 3</w:t>
      </w:r>
      <w:r w:rsidR="00B72939" w:rsidRPr="00F871F8">
        <w:t>)</w:t>
      </w:r>
      <w:r w:rsidRPr="00F871F8">
        <w:t xml:space="preserve">. </w:t>
      </w:r>
    </w:p>
    <w:p w14:paraId="2683C6F5"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4688E5F1" w14:textId="5B039CA6" w:rsidR="00B72939" w:rsidRPr="00F871F8" w:rsidRDefault="00000000" w:rsidP="001B0A4E">
      <w:pPr>
        <w:pStyle w:val="ListParagraph"/>
        <w:spacing w:after="0" w:line="240" w:lineRule="auto"/>
        <w:ind w:left="0"/>
        <w:jc w:val="both"/>
        <w:rPr>
          <w:rFonts w:ascii="Calibri" w:hAnsi="Calibri" w:cs="Calibri"/>
          <w:sz w:val="24"/>
          <w:szCs w:val="24"/>
        </w:rPr>
      </w:pPr>
      <w:r w:rsidRPr="00F871F8">
        <w:rPr>
          <w:rFonts w:ascii="Calibri" w:hAnsi="Calibri" w:cs="Calibri"/>
          <w:sz w:val="24"/>
          <w:szCs w:val="24"/>
        </w:rPr>
        <w:t xml:space="preserve">[Place </w:t>
      </w:r>
      <w:r w:rsidRPr="00F871F8">
        <w:rPr>
          <w:rFonts w:ascii="Calibri" w:hAnsi="Calibri" w:cs="Calibri"/>
          <w:b/>
          <w:bCs/>
          <w:sz w:val="24"/>
          <w:szCs w:val="24"/>
        </w:rPr>
        <w:t>Figure 4</w:t>
      </w:r>
      <w:r w:rsidRPr="00F871F8">
        <w:rPr>
          <w:rFonts w:ascii="Calibri" w:hAnsi="Calibri" w:cs="Calibri"/>
          <w:sz w:val="24"/>
          <w:szCs w:val="24"/>
        </w:rPr>
        <w:t xml:space="preserve"> here].</w:t>
      </w:r>
    </w:p>
    <w:p w14:paraId="699D7E67" w14:textId="77777777" w:rsidR="00B72939" w:rsidRPr="00F871F8" w:rsidRDefault="00B72939" w:rsidP="001B0A4E">
      <w:pPr>
        <w:pStyle w:val="ListParagraph"/>
        <w:spacing w:after="0" w:line="240" w:lineRule="auto"/>
        <w:ind w:left="0"/>
        <w:jc w:val="both"/>
        <w:rPr>
          <w:rFonts w:ascii="Calibri" w:hAnsi="Calibri" w:cs="Calibri"/>
          <w:sz w:val="24"/>
          <w:szCs w:val="24"/>
        </w:rPr>
      </w:pPr>
    </w:p>
    <w:p w14:paraId="6839AAAC" w14:textId="67D24033" w:rsidR="001C1294"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Load a high-resolution TIFF of the </w:t>
      </w:r>
      <w:r w:rsidR="00E546D9" w:rsidRPr="00F871F8">
        <w:rPr>
          <w:rFonts w:ascii="Calibri" w:hAnsi="Calibri" w:cs="Calibri"/>
          <w:sz w:val="24"/>
          <w:szCs w:val="24"/>
        </w:rPr>
        <w:t xml:space="preserve">microfluidic </w:t>
      </w:r>
      <w:r w:rsidRPr="00F871F8">
        <w:rPr>
          <w:rFonts w:ascii="Calibri" w:hAnsi="Calibri" w:cs="Calibri"/>
          <w:sz w:val="24"/>
          <w:szCs w:val="24"/>
        </w:rPr>
        <w:t>pore space geometry (exported from AutoCAD) into the workspace to use as a grain mask (</w:t>
      </w:r>
      <w:proofErr w:type="spellStart"/>
      <w:r w:rsidRPr="00F871F8">
        <w:rPr>
          <w:rFonts w:ascii="Calibri" w:hAnsi="Calibri" w:cs="Calibri"/>
          <w:b/>
          <w:bCs/>
          <w:sz w:val="24"/>
          <w:szCs w:val="24"/>
        </w:rPr>
        <w:t>imread</w:t>
      </w:r>
      <w:proofErr w:type="spellEnd"/>
      <w:r w:rsidRPr="00F871F8">
        <w:rPr>
          <w:rFonts w:ascii="Calibri" w:hAnsi="Calibri" w:cs="Calibri"/>
          <w:sz w:val="24"/>
          <w:szCs w:val="24"/>
        </w:rPr>
        <w:t xml:space="preserve">). </w:t>
      </w:r>
    </w:p>
    <w:p w14:paraId="1075F926" w14:textId="77777777" w:rsidR="001C1294" w:rsidRPr="00F871F8" w:rsidRDefault="001C1294" w:rsidP="001B0A4E"/>
    <w:p w14:paraId="15B7B2B9" w14:textId="77777777"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Straighten and register the color brightfield images to effectively apply the grain mask.</w:t>
      </w:r>
    </w:p>
    <w:p w14:paraId="1E436868" w14:textId="77777777" w:rsidR="001C1294" w:rsidRPr="00F871F8" w:rsidRDefault="001C1294" w:rsidP="001B0A4E"/>
    <w:p w14:paraId="435032A2" w14:textId="73B2E18C"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Generate </w:t>
      </w:r>
      <w:r w:rsidR="00421777" w:rsidRPr="00F871F8">
        <w:rPr>
          <w:rFonts w:ascii="Calibri" w:hAnsi="Calibri" w:cs="Calibri"/>
          <w:sz w:val="24"/>
          <w:szCs w:val="24"/>
        </w:rPr>
        <w:t>a registration binary of th</w:t>
      </w:r>
      <w:r w:rsidRPr="00F871F8">
        <w:rPr>
          <w:rFonts w:ascii="Calibri" w:hAnsi="Calibri" w:cs="Calibri"/>
          <w:sz w:val="24"/>
          <w:szCs w:val="24"/>
        </w:rPr>
        <w:t xml:space="preserve">e </w:t>
      </w:r>
      <w:r w:rsidR="002A2C74" w:rsidRPr="00F871F8">
        <w:rPr>
          <w:rFonts w:ascii="Calibri" w:hAnsi="Calibri" w:cs="Calibri"/>
          <w:sz w:val="24"/>
          <w:szCs w:val="24"/>
        </w:rPr>
        <w:t>first timepoint</w:t>
      </w:r>
      <w:r w:rsidRPr="00F871F8">
        <w:rPr>
          <w:rFonts w:ascii="Calibri" w:hAnsi="Calibri" w:cs="Calibri"/>
          <w:sz w:val="24"/>
          <w:szCs w:val="24"/>
        </w:rPr>
        <w:t xml:space="preserve"> image</w:t>
      </w:r>
      <w:r w:rsidR="007E2DFA" w:rsidRPr="00F871F8">
        <w:rPr>
          <w:rFonts w:ascii="Calibri" w:hAnsi="Calibri" w:cs="Calibri"/>
          <w:sz w:val="24"/>
          <w:szCs w:val="24"/>
        </w:rPr>
        <w:t xml:space="preserve"> (t = 0 h)</w:t>
      </w:r>
      <w:r w:rsidRPr="00F871F8">
        <w:rPr>
          <w:rFonts w:ascii="Calibri" w:hAnsi="Calibri" w:cs="Calibri"/>
          <w:sz w:val="24"/>
          <w:szCs w:val="24"/>
        </w:rPr>
        <w:t xml:space="preserve">. </w:t>
      </w:r>
    </w:p>
    <w:p w14:paraId="14DB4041" w14:textId="77777777" w:rsidR="001C1294" w:rsidRPr="00F871F8" w:rsidRDefault="001C1294" w:rsidP="001B0A4E">
      <w:pPr>
        <w:pStyle w:val="ListParagraph"/>
        <w:spacing w:after="0" w:line="240" w:lineRule="auto"/>
        <w:ind w:left="0"/>
        <w:contextualSpacing w:val="0"/>
        <w:jc w:val="both"/>
        <w:rPr>
          <w:rFonts w:ascii="Calibri" w:hAnsi="Calibri" w:cs="Calibri"/>
          <w:sz w:val="24"/>
          <w:szCs w:val="24"/>
        </w:rPr>
      </w:pPr>
    </w:p>
    <w:p w14:paraId="42CAD24C" w14:textId="186684E6" w:rsidR="00B45A26" w:rsidRPr="00F871F8" w:rsidRDefault="00000000" w:rsidP="001B0A4E">
      <w:pPr>
        <w:pStyle w:val="ListParagraph"/>
        <w:numPr>
          <w:ilvl w:val="3"/>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Load the color brightfield TIFF</w:t>
      </w:r>
      <w:r w:rsidR="00C10FD0" w:rsidRPr="00F871F8">
        <w:rPr>
          <w:rFonts w:ascii="Calibri" w:hAnsi="Calibri" w:cs="Calibri"/>
          <w:sz w:val="24"/>
          <w:szCs w:val="24"/>
        </w:rPr>
        <w:t xml:space="preserve"> </w:t>
      </w:r>
      <w:r w:rsidRPr="00F871F8">
        <w:rPr>
          <w:rFonts w:ascii="Calibri" w:hAnsi="Calibri" w:cs="Calibri"/>
          <w:sz w:val="24"/>
          <w:szCs w:val="24"/>
        </w:rPr>
        <w:t>into the workspace (</w:t>
      </w:r>
      <w:proofErr w:type="spellStart"/>
      <w:r w:rsidRPr="00F871F8">
        <w:rPr>
          <w:rFonts w:ascii="Calibri" w:hAnsi="Calibri" w:cs="Calibri"/>
          <w:b/>
          <w:bCs/>
          <w:sz w:val="24"/>
          <w:szCs w:val="24"/>
        </w:rPr>
        <w:t>imread</w:t>
      </w:r>
      <w:proofErr w:type="spellEnd"/>
      <w:r w:rsidRPr="00F871F8">
        <w:rPr>
          <w:rFonts w:ascii="Calibri" w:hAnsi="Calibri" w:cs="Calibri"/>
          <w:sz w:val="24"/>
          <w:szCs w:val="24"/>
        </w:rPr>
        <w:t>).</w:t>
      </w:r>
    </w:p>
    <w:p w14:paraId="04F47865" w14:textId="77777777" w:rsidR="00B45A26" w:rsidRPr="00F871F8" w:rsidRDefault="00B45A26" w:rsidP="001B0A4E">
      <w:pPr>
        <w:pStyle w:val="ListParagraph"/>
        <w:spacing w:after="0" w:line="240" w:lineRule="auto"/>
        <w:ind w:left="0"/>
        <w:contextualSpacing w:val="0"/>
        <w:jc w:val="both"/>
        <w:rPr>
          <w:rFonts w:ascii="Calibri" w:hAnsi="Calibri" w:cs="Calibri"/>
          <w:sz w:val="24"/>
          <w:szCs w:val="24"/>
        </w:rPr>
      </w:pPr>
    </w:p>
    <w:p w14:paraId="76B33901" w14:textId="61C2BF73" w:rsidR="00CC4A06" w:rsidRPr="00F871F8" w:rsidRDefault="00000000" w:rsidP="001B0A4E">
      <w:pPr>
        <w:pStyle w:val="ListParagraph"/>
        <w:numPr>
          <w:ilvl w:val="3"/>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Crop the image </w:t>
      </w:r>
      <w:r w:rsidR="00C053A2" w:rsidRPr="00F871F8">
        <w:rPr>
          <w:rFonts w:ascii="Calibri" w:hAnsi="Calibri" w:cs="Calibri"/>
          <w:sz w:val="24"/>
          <w:szCs w:val="24"/>
        </w:rPr>
        <w:t xml:space="preserve">slightly </w:t>
      </w:r>
      <w:r w:rsidR="00B72D4C" w:rsidRPr="00F871F8">
        <w:rPr>
          <w:rFonts w:ascii="Calibri" w:hAnsi="Calibri" w:cs="Calibri"/>
          <w:sz w:val="24"/>
          <w:szCs w:val="24"/>
        </w:rPr>
        <w:t>larger than</w:t>
      </w:r>
      <w:r w:rsidRPr="00F871F8">
        <w:rPr>
          <w:rFonts w:ascii="Calibri" w:hAnsi="Calibri" w:cs="Calibri"/>
          <w:sz w:val="24"/>
          <w:szCs w:val="24"/>
        </w:rPr>
        <w:t xml:space="preserve"> the size of the pore space (</w:t>
      </w:r>
      <w:proofErr w:type="spellStart"/>
      <w:r w:rsidRPr="00F871F8">
        <w:rPr>
          <w:rFonts w:ascii="Calibri" w:hAnsi="Calibri" w:cs="Calibri"/>
          <w:b/>
          <w:bCs/>
          <w:sz w:val="24"/>
          <w:szCs w:val="24"/>
        </w:rPr>
        <w:t>imcrop</w:t>
      </w:r>
      <w:proofErr w:type="spellEnd"/>
      <w:r w:rsidRPr="00F871F8">
        <w:rPr>
          <w:rFonts w:ascii="Calibri" w:hAnsi="Calibri" w:cs="Calibri"/>
          <w:sz w:val="24"/>
          <w:szCs w:val="24"/>
        </w:rPr>
        <w:t>).</w:t>
      </w:r>
    </w:p>
    <w:p w14:paraId="206463E3" w14:textId="77777777" w:rsidR="001C1294" w:rsidRPr="00F871F8" w:rsidRDefault="001C1294" w:rsidP="001B0A4E">
      <w:pPr>
        <w:pStyle w:val="ListParagraph"/>
        <w:spacing w:after="0" w:line="240" w:lineRule="auto"/>
        <w:ind w:left="0"/>
        <w:contextualSpacing w:val="0"/>
        <w:jc w:val="both"/>
        <w:rPr>
          <w:rFonts w:ascii="Calibri" w:hAnsi="Calibri" w:cs="Calibri"/>
          <w:sz w:val="24"/>
          <w:szCs w:val="24"/>
        </w:rPr>
      </w:pPr>
    </w:p>
    <w:p w14:paraId="549ED87E" w14:textId="77777777" w:rsidR="00CC4A06" w:rsidRPr="00F871F8" w:rsidRDefault="00000000" w:rsidP="001B0A4E">
      <w:pPr>
        <w:pStyle w:val="ListParagraph"/>
        <w:numPr>
          <w:ilvl w:val="3"/>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Sharpen the image to improve the resolution of grain boundaries (</w:t>
      </w:r>
      <w:proofErr w:type="spellStart"/>
      <w:r w:rsidRPr="00F871F8">
        <w:rPr>
          <w:rFonts w:ascii="Calibri" w:hAnsi="Calibri" w:cs="Calibri"/>
          <w:b/>
          <w:bCs/>
          <w:sz w:val="24"/>
          <w:szCs w:val="24"/>
        </w:rPr>
        <w:t>imsharpen</w:t>
      </w:r>
      <w:proofErr w:type="spellEnd"/>
      <w:r w:rsidRPr="00F871F8">
        <w:rPr>
          <w:rFonts w:ascii="Calibri" w:hAnsi="Calibri" w:cs="Calibri"/>
          <w:sz w:val="24"/>
          <w:szCs w:val="24"/>
        </w:rPr>
        <w:t>).</w:t>
      </w:r>
    </w:p>
    <w:p w14:paraId="1C4193B8" w14:textId="77777777" w:rsidR="001C1294" w:rsidRPr="00F871F8" w:rsidRDefault="001C1294" w:rsidP="001B0A4E"/>
    <w:p w14:paraId="6CE440CC" w14:textId="3033A9F7" w:rsidR="00CC4A06" w:rsidRPr="00F871F8" w:rsidRDefault="00000000" w:rsidP="001B0A4E">
      <w:pPr>
        <w:pStyle w:val="ListParagraph"/>
        <w:numPr>
          <w:ilvl w:val="3"/>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Binarize the image using an adaptive threshold that prioritizes dark features (</w:t>
      </w:r>
      <w:r w:rsidR="00A12952" w:rsidRPr="00F871F8">
        <w:rPr>
          <w:rFonts w:ascii="Calibri" w:hAnsi="Calibri" w:cs="Calibri"/>
          <w:b/>
          <w:bCs/>
          <w:sz w:val="24"/>
          <w:szCs w:val="24"/>
        </w:rPr>
        <w:t>rgb2gray</w:t>
      </w:r>
      <w:r w:rsidR="00A12952" w:rsidRPr="00F871F8">
        <w:rPr>
          <w:rFonts w:ascii="Calibri" w:hAnsi="Calibri" w:cs="Calibri"/>
          <w:sz w:val="24"/>
          <w:szCs w:val="24"/>
        </w:rPr>
        <w:t xml:space="preserve">, </w:t>
      </w:r>
      <w:proofErr w:type="spellStart"/>
      <w:r w:rsidRPr="00F871F8">
        <w:rPr>
          <w:rFonts w:ascii="Calibri" w:hAnsi="Calibri" w:cs="Calibri"/>
          <w:b/>
          <w:bCs/>
          <w:sz w:val="24"/>
          <w:szCs w:val="24"/>
        </w:rPr>
        <w:t>adaptthresh</w:t>
      </w:r>
      <w:proofErr w:type="spellEnd"/>
      <w:r w:rsidRPr="00F871F8">
        <w:rPr>
          <w:rFonts w:ascii="Calibri" w:hAnsi="Calibri" w:cs="Calibri"/>
          <w:sz w:val="24"/>
          <w:szCs w:val="24"/>
        </w:rPr>
        <w:t xml:space="preserve"> with foreground polarity = </w:t>
      </w:r>
      <w:r w:rsidR="00B72939" w:rsidRPr="00F871F8">
        <w:rPr>
          <w:rFonts w:ascii="Calibri" w:hAnsi="Calibri" w:cs="Calibri"/>
          <w:sz w:val="24"/>
          <w:szCs w:val="24"/>
        </w:rPr>
        <w:t>"</w:t>
      </w:r>
      <w:r w:rsidRPr="00F871F8">
        <w:rPr>
          <w:rFonts w:ascii="Calibri" w:hAnsi="Calibri" w:cs="Calibri"/>
          <w:sz w:val="24"/>
          <w:szCs w:val="24"/>
        </w:rPr>
        <w:t>dark</w:t>
      </w:r>
      <w:r w:rsidR="00B72939" w:rsidRPr="00F871F8">
        <w:rPr>
          <w:rFonts w:ascii="Calibri" w:hAnsi="Calibri" w:cs="Calibri"/>
          <w:sz w:val="24"/>
          <w:szCs w:val="24"/>
        </w:rPr>
        <w:t xml:space="preserve">" </w:t>
      </w:r>
      <w:r w:rsidR="000C083E" w:rsidRPr="00F871F8">
        <w:rPr>
          <w:rFonts w:ascii="Calibri" w:hAnsi="Calibri" w:cs="Calibri"/>
          <w:sz w:val="24"/>
          <w:szCs w:val="24"/>
        </w:rPr>
        <w:t>and sensitivity adjusted as needed</w:t>
      </w:r>
      <w:r w:rsidRPr="00F871F8">
        <w:rPr>
          <w:rFonts w:ascii="Calibri" w:hAnsi="Calibri" w:cs="Calibri"/>
          <w:sz w:val="24"/>
          <w:szCs w:val="24"/>
        </w:rPr>
        <w:t xml:space="preserve">, </w:t>
      </w:r>
      <w:proofErr w:type="spellStart"/>
      <w:r w:rsidRPr="00F871F8">
        <w:rPr>
          <w:rFonts w:ascii="Calibri" w:hAnsi="Calibri" w:cs="Calibri"/>
          <w:b/>
          <w:bCs/>
          <w:sz w:val="24"/>
          <w:szCs w:val="24"/>
        </w:rPr>
        <w:t>imbinarize</w:t>
      </w:r>
      <w:proofErr w:type="spellEnd"/>
      <w:r w:rsidR="000C083E" w:rsidRPr="00F871F8">
        <w:rPr>
          <w:rFonts w:ascii="Calibri" w:hAnsi="Calibri" w:cs="Calibri"/>
          <w:sz w:val="24"/>
          <w:szCs w:val="24"/>
        </w:rPr>
        <w:t>,</w:t>
      </w:r>
      <w:r w:rsidR="000C083E" w:rsidRPr="00F871F8">
        <w:rPr>
          <w:rFonts w:ascii="Calibri" w:hAnsi="Calibri" w:cs="Calibri"/>
          <w:b/>
          <w:bCs/>
          <w:sz w:val="24"/>
          <w:szCs w:val="24"/>
        </w:rPr>
        <w:t xml:space="preserve"> </w:t>
      </w:r>
      <w:proofErr w:type="spellStart"/>
      <w:r w:rsidR="000C083E" w:rsidRPr="00F871F8">
        <w:rPr>
          <w:rFonts w:ascii="Calibri" w:hAnsi="Calibri" w:cs="Calibri"/>
          <w:b/>
          <w:bCs/>
          <w:sz w:val="24"/>
          <w:szCs w:val="24"/>
        </w:rPr>
        <w:t>imcomplement</w:t>
      </w:r>
      <w:proofErr w:type="spellEnd"/>
      <w:r w:rsidRPr="00F871F8">
        <w:rPr>
          <w:rFonts w:ascii="Calibri" w:hAnsi="Calibri" w:cs="Calibri"/>
          <w:sz w:val="24"/>
          <w:szCs w:val="24"/>
        </w:rPr>
        <w:t>).</w:t>
      </w:r>
    </w:p>
    <w:p w14:paraId="28A49C76" w14:textId="77777777" w:rsidR="001C1294" w:rsidRPr="00F871F8" w:rsidRDefault="001C1294" w:rsidP="001B0A4E"/>
    <w:p w14:paraId="0B96C8F3" w14:textId="1D0F6E1F" w:rsidR="00CC4A06" w:rsidRPr="00F871F8" w:rsidRDefault="00000000" w:rsidP="001B0A4E">
      <w:pPr>
        <w:pStyle w:val="ListParagraph"/>
        <w:numPr>
          <w:ilvl w:val="3"/>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Fill the grains of the </w:t>
      </w:r>
      <w:r w:rsidR="0073392F" w:rsidRPr="00F871F8">
        <w:rPr>
          <w:rFonts w:ascii="Calibri" w:hAnsi="Calibri" w:cs="Calibri"/>
          <w:sz w:val="24"/>
          <w:szCs w:val="24"/>
        </w:rPr>
        <w:t xml:space="preserve">resulting </w:t>
      </w:r>
      <w:r w:rsidRPr="00F871F8">
        <w:rPr>
          <w:rFonts w:ascii="Calibri" w:hAnsi="Calibri" w:cs="Calibri"/>
          <w:sz w:val="24"/>
          <w:szCs w:val="24"/>
        </w:rPr>
        <w:t>registration binary to make solid features (</w:t>
      </w:r>
      <w:proofErr w:type="spellStart"/>
      <w:r w:rsidRPr="00F871F8">
        <w:rPr>
          <w:rFonts w:ascii="Calibri" w:hAnsi="Calibri" w:cs="Calibri"/>
          <w:b/>
          <w:bCs/>
          <w:sz w:val="24"/>
          <w:szCs w:val="24"/>
        </w:rPr>
        <w:t>imfill</w:t>
      </w:r>
      <w:proofErr w:type="spellEnd"/>
      <w:r w:rsidR="006C5721" w:rsidRPr="00F871F8">
        <w:rPr>
          <w:rFonts w:ascii="Calibri" w:hAnsi="Calibri" w:cs="Calibri"/>
          <w:b/>
          <w:bCs/>
          <w:sz w:val="24"/>
          <w:szCs w:val="24"/>
        </w:rPr>
        <w:t xml:space="preserve"> </w:t>
      </w:r>
      <w:r w:rsidR="006C5721" w:rsidRPr="00F871F8">
        <w:rPr>
          <w:rFonts w:ascii="Calibri" w:hAnsi="Calibri" w:cs="Calibri"/>
          <w:sz w:val="24"/>
          <w:szCs w:val="24"/>
        </w:rPr>
        <w:t xml:space="preserve">with </w:t>
      </w:r>
      <w:r w:rsidR="00B72939" w:rsidRPr="00F871F8">
        <w:rPr>
          <w:rFonts w:ascii="Calibri" w:hAnsi="Calibri" w:cs="Calibri"/>
          <w:sz w:val="24"/>
          <w:szCs w:val="24"/>
        </w:rPr>
        <w:t>"</w:t>
      </w:r>
      <w:r w:rsidR="00604AD6" w:rsidRPr="00F871F8">
        <w:rPr>
          <w:rFonts w:ascii="Calibri" w:hAnsi="Calibri" w:cs="Calibri"/>
          <w:sz w:val="24"/>
          <w:szCs w:val="24"/>
        </w:rPr>
        <w:t>holes</w:t>
      </w:r>
      <w:r w:rsidR="00B72939" w:rsidRPr="00F871F8">
        <w:rPr>
          <w:rFonts w:ascii="Calibri" w:hAnsi="Calibri" w:cs="Calibri"/>
          <w:sz w:val="24"/>
          <w:szCs w:val="24"/>
        </w:rPr>
        <w:t xml:space="preserve">" </w:t>
      </w:r>
      <w:r w:rsidR="00604AD6" w:rsidRPr="00F871F8">
        <w:rPr>
          <w:rFonts w:ascii="Calibri" w:hAnsi="Calibri" w:cs="Calibri"/>
          <w:sz w:val="24"/>
          <w:szCs w:val="24"/>
        </w:rPr>
        <w:t>specified</w:t>
      </w:r>
      <w:r w:rsidRPr="00F871F8">
        <w:rPr>
          <w:rFonts w:ascii="Calibri" w:hAnsi="Calibri" w:cs="Calibri"/>
          <w:sz w:val="24"/>
          <w:szCs w:val="24"/>
        </w:rPr>
        <w:t xml:space="preserve">). Note that </w:t>
      </w:r>
      <w:r w:rsidR="00B72939" w:rsidRPr="00F871F8">
        <w:rPr>
          <w:rFonts w:ascii="Calibri" w:hAnsi="Calibri" w:cs="Calibri"/>
          <w:sz w:val="24"/>
          <w:szCs w:val="24"/>
        </w:rPr>
        <w:t>not all grains may</w:t>
      </w:r>
      <w:r w:rsidRPr="00F871F8">
        <w:rPr>
          <w:rFonts w:ascii="Calibri" w:hAnsi="Calibri" w:cs="Calibri"/>
          <w:sz w:val="24"/>
          <w:szCs w:val="24"/>
        </w:rPr>
        <w:t xml:space="preserve"> be filled.</w:t>
      </w:r>
    </w:p>
    <w:p w14:paraId="350F502C" w14:textId="77777777" w:rsidR="001C1294" w:rsidRPr="00F871F8" w:rsidRDefault="001C1294" w:rsidP="001B0A4E"/>
    <w:p w14:paraId="32A7C90D" w14:textId="77777777" w:rsidR="00CC4A06" w:rsidRPr="00F871F8" w:rsidRDefault="00000000" w:rsidP="001B0A4E">
      <w:pPr>
        <w:pStyle w:val="ListParagraph"/>
        <w:numPr>
          <w:ilvl w:val="3"/>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Erode the registration binary as needed to remove background noise, then dilate to replace lost pixels at grain edges (</w:t>
      </w:r>
      <w:proofErr w:type="spellStart"/>
      <w:r w:rsidRPr="00F871F8">
        <w:rPr>
          <w:rFonts w:ascii="Calibri" w:hAnsi="Calibri" w:cs="Calibri"/>
          <w:b/>
          <w:bCs/>
          <w:sz w:val="24"/>
          <w:szCs w:val="24"/>
        </w:rPr>
        <w:t>imerode</w:t>
      </w:r>
      <w:proofErr w:type="spellEnd"/>
      <w:r w:rsidRPr="00F871F8">
        <w:rPr>
          <w:rFonts w:ascii="Calibri" w:hAnsi="Calibri" w:cs="Calibri"/>
          <w:sz w:val="24"/>
          <w:szCs w:val="24"/>
        </w:rPr>
        <w:t xml:space="preserve">, </w:t>
      </w:r>
      <w:proofErr w:type="spellStart"/>
      <w:r w:rsidRPr="00F871F8">
        <w:rPr>
          <w:rFonts w:ascii="Calibri" w:hAnsi="Calibri" w:cs="Calibri"/>
          <w:b/>
          <w:bCs/>
          <w:sz w:val="24"/>
          <w:szCs w:val="24"/>
        </w:rPr>
        <w:t>imdilate</w:t>
      </w:r>
      <w:proofErr w:type="spellEnd"/>
      <w:r w:rsidRPr="00F871F8">
        <w:rPr>
          <w:rFonts w:ascii="Calibri" w:hAnsi="Calibri" w:cs="Calibri"/>
          <w:sz w:val="24"/>
          <w:szCs w:val="24"/>
        </w:rPr>
        <w:t>).</w:t>
      </w:r>
    </w:p>
    <w:p w14:paraId="63CE5036" w14:textId="77777777" w:rsidR="001C1294" w:rsidRPr="00F871F8" w:rsidRDefault="001C1294" w:rsidP="001B0A4E"/>
    <w:p w14:paraId="69D8C918" w14:textId="1436E86C"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Use a </w:t>
      </w:r>
      <w:r w:rsidR="00B72939" w:rsidRPr="00F871F8">
        <w:rPr>
          <w:rFonts w:ascii="Calibri" w:hAnsi="Calibri" w:cs="Calibri"/>
          <w:sz w:val="24"/>
          <w:szCs w:val="24"/>
        </w:rPr>
        <w:t>scale-</w:t>
      </w:r>
      <w:r w:rsidR="00383D15" w:rsidRPr="00F871F8">
        <w:rPr>
          <w:rFonts w:ascii="Calibri" w:hAnsi="Calibri" w:cs="Calibri"/>
          <w:sz w:val="24"/>
          <w:szCs w:val="24"/>
        </w:rPr>
        <w:t>invariant feature transform (</w:t>
      </w:r>
      <w:r w:rsidRPr="00F871F8">
        <w:rPr>
          <w:rFonts w:ascii="Calibri" w:hAnsi="Calibri" w:cs="Calibri"/>
          <w:sz w:val="24"/>
          <w:szCs w:val="24"/>
        </w:rPr>
        <w:t>SIFT</w:t>
      </w:r>
      <w:r w:rsidR="00383D15" w:rsidRPr="00F871F8">
        <w:rPr>
          <w:rFonts w:ascii="Calibri" w:hAnsi="Calibri" w:cs="Calibri"/>
          <w:sz w:val="24"/>
          <w:szCs w:val="24"/>
        </w:rPr>
        <w:t>)</w:t>
      </w:r>
      <w:r w:rsidRPr="00F871F8">
        <w:rPr>
          <w:rFonts w:ascii="Calibri" w:hAnsi="Calibri" w:cs="Calibri"/>
          <w:sz w:val="24"/>
          <w:szCs w:val="24"/>
        </w:rPr>
        <w:t xml:space="preserve"> registration algorithm to calculate the transformation matrix needed to align the registration binary from </w:t>
      </w:r>
      <w:r w:rsidR="00B72939" w:rsidRPr="00F871F8">
        <w:rPr>
          <w:rFonts w:ascii="Calibri" w:hAnsi="Calibri" w:cs="Calibri"/>
          <w:sz w:val="24"/>
          <w:szCs w:val="24"/>
        </w:rPr>
        <w:t xml:space="preserve">step </w:t>
      </w:r>
      <w:r w:rsidR="003802FB" w:rsidRPr="00F871F8">
        <w:rPr>
          <w:rFonts w:ascii="Calibri" w:hAnsi="Calibri" w:cs="Calibri"/>
          <w:sz w:val="24"/>
          <w:szCs w:val="24"/>
        </w:rPr>
        <w:t>8.2.1</w:t>
      </w:r>
      <w:r w:rsidRPr="00F871F8">
        <w:rPr>
          <w:rFonts w:ascii="Calibri" w:hAnsi="Calibri" w:cs="Calibri"/>
          <w:sz w:val="24"/>
          <w:szCs w:val="24"/>
        </w:rPr>
        <w:t xml:space="preserve"> to the</w:t>
      </w:r>
      <w:r w:rsidR="008D0466" w:rsidRPr="00F871F8">
        <w:rPr>
          <w:rFonts w:ascii="Calibri" w:hAnsi="Calibri" w:cs="Calibri"/>
          <w:sz w:val="24"/>
          <w:szCs w:val="24"/>
        </w:rPr>
        <w:t xml:space="preserve"> </w:t>
      </w:r>
      <w:r w:rsidRPr="00F871F8">
        <w:rPr>
          <w:rFonts w:ascii="Calibri" w:hAnsi="Calibri" w:cs="Calibri"/>
          <w:sz w:val="24"/>
          <w:szCs w:val="24"/>
        </w:rPr>
        <w:t>grain mask (</w:t>
      </w:r>
      <w:proofErr w:type="spellStart"/>
      <w:r w:rsidRPr="00F871F8">
        <w:rPr>
          <w:rFonts w:ascii="Calibri" w:hAnsi="Calibri" w:cs="Calibri"/>
          <w:b/>
          <w:bCs/>
          <w:sz w:val="24"/>
          <w:szCs w:val="24"/>
        </w:rPr>
        <w:t>detectSIFTFeatures</w:t>
      </w:r>
      <w:proofErr w:type="spellEnd"/>
      <w:r w:rsidRPr="00F871F8">
        <w:rPr>
          <w:rFonts w:ascii="Calibri" w:hAnsi="Calibri" w:cs="Calibri"/>
          <w:sz w:val="24"/>
          <w:szCs w:val="24"/>
        </w:rPr>
        <w:t xml:space="preserve">, </w:t>
      </w:r>
      <w:proofErr w:type="spellStart"/>
      <w:r w:rsidRPr="00F871F8">
        <w:rPr>
          <w:rFonts w:ascii="Calibri" w:hAnsi="Calibri" w:cs="Calibri"/>
          <w:b/>
          <w:bCs/>
          <w:sz w:val="24"/>
          <w:szCs w:val="24"/>
        </w:rPr>
        <w:t>extractFeatures</w:t>
      </w:r>
      <w:proofErr w:type="spellEnd"/>
      <w:r w:rsidRPr="00F871F8">
        <w:rPr>
          <w:rFonts w:ascii="Calibri" w:hAnsi="Calibri" w:cs="Calibri"/>
          <w:sz w:val="24"/>
          <w:szCs w:val="24"/>
        </w:rPr>
        <w:t xml:space="preserve">, </w:t>
      </w:r>
      <w:proofErr w:type="spellStart"/>
      <w:r w:rsidRPr="00F871F8">
        <w:rPr>
          <w:rFonts w:ascii="Calibri" w:hAnsi="Calibri" w:cs="Calibri"/>
          <w:b/>
          <w:bCs/>
          <w:sz w:val="24"/>
          <w:szCs w:val="24"/>
        </w:rPr>
        <w:t>matchFeatures</w:t>
      </w:r>
      <w:proofErr w:type="spellEnd"/>
      <w:r w:rsidRPr="00F871F8">
        <w:rPr>
          <w:rFonts w:ascii="Calibri" w:hAnsi="Calibri" w:cs="Calibri"/>
          <w:sz w:val="24"/>
          <w:szCs w:val="24"/>
        </w:rPr>
        <w:t xml:space="preserve">, </w:t>
      </w:r>
      <w:r w:rsidRPr="00F871F8">
        <w:rPr>
          <w:rFonts w:ascii="Calibri" w:hAnsi="Calibri" w:cs="Calibri"/>
          <w:b/>
          <w:bCs/>
          <w:sz w:val="24"/>
          <w:szCs w:val="24"/>
        </w:rPr>
        <w:t xml:space="preserve">estgeotform2d </w:t>
      </w:r>
      <w:r w:rsidRPr="00F871F8">
        <w:rPr>
          <w:rFonts w:ascii="Calibri" w:hAnsi="Calibri" w:cs="Calibri"/>
          <w:sz w:val="24"/>
          <w:szCs w:val="24"/>
        </w:rPr>
        <w:t xml:space="preserve">with transform type = </w:t>
      </w:r>
      <w:r w:rsidR="00B72939" w:rsidRPr="00F871F8">
        <w:rPr>
          <w:rFonts w:ascii="Calibri" w:hAnsi="Calibri" w:cs="Calibri"/>
          <w:sz w:val="24"/>
          <w:szCs w:val="24"/>
        </w:rPr>
        <w:t>"</w:t>
      </w:r>
      <w:r w:rsidRPr="00F871F8">
        <w:rPr>
          <w:rFonts w:ascii="Calibri" w:hAnsi="Calibri" w:cs="Calibri"/>
          <w:sz w:val="24"/>
          <w:szCs w:val="24"/>
        </w:rPr>
        <w:t>affine</w:t>
      </w:r>
      <w:r w:rsidR="00B72939" w:rsidRPr="00F871F8">
        <w:rPr>
          <w:rFonts w:ascii="Calibri" w:hAnsi="Calibri" w:cs="Calibri"/>
          <w:sz w:val="24"/>
          <w:szCs w:val="24"/>
        </w:rPr>
        <w:t xml:space="preserve">"). </w:t>
      </w:r>
    </w:p>
    <w:p w14:paraId="41302151" w14:textId="77777777" w:rsidR="001C1294" w:rsidRPr="00F871F8" w:rsidRDefault="001C1294" w:rsidP="001B0A4E">
      <w:pPr>
        <w:pStyle w:val="ListParagraph"/>
        <w:spacing w:after="0" w:line="240" w:lineRule="auto"/>
        <w:ind w:left="0"/>
        <w:contextualSpacing w:val="0"/>
        <w:jc w:val="both"/>
        <w:rPr>
          <w:rFonts w:ascii="Calibri" w:hAnsi="Calibri" w:cs="Calibri"/>
          <w:sz w:val="24"/>
          <w:szCs w:val="24"/>
        </w:rPr>
      </w:pPr>
    </w:p>
    <w:p w14:paraId="3CA78199" w14:textId="16C4B3D1" w:rsidR="00CC4A06" w:rsidRPr="00F871F8" w:rsidRDefault="00000000" w:rsidP="001B0A4E">
      <w:pPr>
        <w:pStyle w:val="ListParagraph"/>
        <w:numPr>
          <w:ilvl w:val="2"/>
          <w:numId w:val="37"/>
        </w:numPr>
        <w:spacing w:after="0" w:line="240" w:lineRule="auto"/>
        <w:ind w:left="0" w:firstLine="0"/>
        <w:jc w:val="both"/>
        <w:rPr>
          <w:rFonts w:ascii="Calibri" w:hAnsi="Calibri" w:cs="Calibri"/>
          <w:sz w:val="24"/>
          <w:szCs w:val="24"/>
        </w:rPr>
      </w:pPr>
      <w:r w:rsidRPr="00F871F8">
        <w:rPr>
          <w:rFonts w:ascii="Calibri" w:hAnsi="Calibri" w:cs="Calibri"/>
          <w:sz w:val="24"/>
          <w:szCs w:val="24"/>
        </w:rPr>
        <w:t xml:space="preserve">Apply this transformation matrix to the registration binary </w:t>
      </w:r>
      <w:r w:rsidR="00E718DF" w:rsidRPr="00F871F8">
        <w:rPr>
          <w:rFonts w:ascii="Calibri" w:hAnsi="Calibri" w:cs="Calibri"/>
          <w:sz w:val="24"/>
          <w:szCs w:val="24"/>
        </w:rPr>
        <w:t>and first timepoint image</w:t>
      </w:r>
      <w:r w:rsidR="00E97D77" w:rsidRPr="00F871F8">
        <w:rPr>
          <w:rFonts w:ascii="Calibri" w:hAnsi="Calibri" w:cs="Calibri"/>
          <w:sz w:val="24"/>
          <w:szCs w:val="24"/>
        </w:rPr>
        <w:t xml:space="preserve">, then </w:t>
      </w:r>
      <w:r w:rsidRPr="00F871F8">
        <w:rPr>
          <w:rFonts w:ascii="Calibri" w:hAnsi="Calibri" w:cs="Calibri"/>
          <w:sz w:val="24"/>
          <w:szCs w:val="24"/>
        </w:rPr>
        <w:t xml:space="preserve">overlay </w:t>
      </w:r>
      <w:r w:rsidR="00E97D77" w:rsidRPr="00F871F8">
        <w:rPr>
          <w:rFonts w:ascii="Calibri" w:hAnsi="Calibri" w:cs="Calibri"/>
          <w:sz w:val="24"/>
          <w:szCs w:val="24"/>
        </w:rPr>
        <w:t xml:space="preserve">them </w:t>
      </w:r>
      <w:r w:rsidRPr="00F871F8">
        <w:rPr>
          <w:rFonts w:ascii="Calibri" w:hAnsi="Calibri" w:cs="Calibri"/>
          <w:sz w:val="24"/>
          <w:szCs w:val="24"/>
        </w:rPr>
        <w:t>with the grain mask to assess fit (</w:t>
      </w:r>
      <w:proofErr w:type="spellStart"/>
      <w:r w:rsidRPr="00F871F8">
        <w:rPr>
          <w:rFonts w:ascii="Calibri" w:hAnsi="Calibri" w:cs="Calibri"/>
          <w:b/>
          <w:bCs/>
          <w:sz w:val="24"/>
          <w:szCs w:val="24"/>
        </w:rPr>
        <w:t>imwarp</w:t>
      </w:r>
      <w:proofErr w:type="spellEnd"/>
      <w:r w:rsidRPr="00F871F8">
        <w:rPr>
          <w:rFonts w:ascii="Calibri" w:hAnsi="Calibri" w:cs="Calibri"/>
          <w:sz w:val="24"/>
          <w:szCs w:val="24"/>
        </w:rPr>
        <w:t xml:space="preserve">, </w:t>
      </w:r>
      <w:proofErr w:type="spellStart"/>
      <w:r w:rsidRPr="00F871F8">
        <w:rPr>
          <w:rFonts w:ascii="Calibri" w:hAnsi="Calibri" w:cs="Calibri"/>
          <w:b/>
          <w:bCs/>
          <w:sz w:val="24"/>
          <w:szCs w:val="24"/>
        </w:rPr>
        <w:t>imshowpair</w:t>
      </w:r>
      <w:proofErr w:type="spellEnd"/>
      <w:r w:rsidRPr="00F871F8">
        <w:rPr>
          <w:rFonts w:ascii="Calibri" w:hAnsi="Calibri" w:cs="Calibri"/>
          <w:sz w:val="24"/>
          <w:szCs w:val="24"/>
        </w:rPr>
        <w:t>).</w:t>
      </w:r>
    </w:p>
    <w:p w14:paraId="0123A94C" w14:textId="77777777" w:rsidR="00CC4A06" w:rsidRPr="00F871F8" w:rsidRDefault="00CC4A06" w:rsidP="001B0A4E">
      <w:pPr>
        <w:pStyle w:val="ListParagraph"/>
        <w:spacing w:after="0" w:line="240" w:lineRule="auto"/>
        <w:ind w:left="0"/>
        <w:jc w:val="both"/>
        <w:rPr>
          <w:rFonts w:ascii="Calibri" w:hAnsi="Calibri" w:cs="Calibri"/>
          <w:sz w:val="24"/>
          <w:szCs w:val="24"/>
        </w:rPr>
      </w:pPr>
    </w:p>
    <w:p w14:paraId="50226C80" w14:textId="3EEF75C8"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If poor alignment persists after the SIFT registration, apply local registration as needed (</w:t>
      </w:r>
      <w:proofErr w:type="spellStart"/>
      <w:r w:rsidRPr="00F871F8">
        <w:rPr>
          <w:rFonts w:ascii="Calibri" w:hAnsi="Calibri" w:cs="Calibri"/>
          <w:b/>
          <w:bCs/>
          <w:sz w:val="24"/>
          <w:szCs w:val="24"/>
        </w:rPr>
        <w:t>cpselect</w:t>
      </w:r>
      <w:proofErr w:type="spellEnd"/>
      <w:r w:rsidRPr="00F871F8">
        <w:rPr>
          <w:rFonts w:ascii="Calibri" w:hAnsi="Calibri" w:cs="Calibri"/>
          <w:sz w:val="24"/>
          <w:szCs w:val="24"/>
        </w:rPr>
        <w:t xml:space="preserve">, </w:t>
      </w:r>
      <w:r w:rsidRPr="00F871F8">
        <w:rPr>
          <w:rFonts w:ascii="Calibri" w:hAnsi="Calibri" w:cs="Calibri"/>
          <w:b/>
          <w:bCs/>
          <w:sz w:val="24"/>
          <w:szCs w:val="24"/>
        </w:rPr>
        <w:t>fitgeotform2d</w:t>
      </w:r>
      <w:r w:rsidRPr="00F871F8">
        <w:rPr>
          <w:rFonts w:ascii="Calibri" w:hAnsi="Calibri" w:cs="Calibri"/>
          <w:sz w:val="24"/>
          <w:szCs w:val="24"/>
        </w:rPr>
        <w:t xml:space="preserve"> with transform type = </w:t>
      </w:r>
      <w:r w:rsidR="00B72939" w:rsidRPr="00F871F8">
        <w:rPr>
          <w:rFonts w:ascii="Calibri" w:hAnsi="Calibri" w:cs="Calibri"/>
          <w:sz w:val="24"/>
          <w:szCs w:val="24"/>
        </w:rPr>
        <w:t>"</w:t>
      </w:r>
      <w:proofErr w:type="spellStart"/>
      <w:r w:rsidRPr="00F871F8">
        <w:rPr>
          <w:rFonts w:ascii="Calibri" w:hAnsi="Calibri" w:cs="Calibri"/>
          <w:sz w:val="24"/>
          <w:szCs w:val="24"/>
        </w:rPr>
        <w:t>lwm</w:t>
      </w:r>
      <w:proofErr w:type="spellEnd"/>
      <w:r w:rsidR="00B72939" w:rsidRPr="00F871F8">
        <w:rPr>
          <w:rFonts w:ascii="Calibri" w:hAnsi="Calibri" w:cs="Calibri"/>
          <w:sz w:val="24"/>
          <w:szCs w:val="24"/>
        </w:rPr>
        <w:t xml:space="preserve">", </w:t>
      </w:r>
      <w:proofErr w:type="spellStart"/>
      <w:r w:rsidRPr="00F871F8">
        <w:rPr>
          <w:rFonts w:ascii="Calibri" w:hAnsi="Calibri" w:cs="Calibri"/>
          <w:b/>
          <w:bCs/>
          <w:sz w:val="24"/>
          <w:szCs w:val="24"/>
        </w:rPr>
        <w:t>imwarp</w:t>
      </w:r>
      <w:proofErr w:type="spellEnd"/>
      <w:r w:rsidRPr="00F871F8">
        <w:rPr>
          <w:rFonts w:ascii="Calibri" w:hAnsi="Calibri" w:cs="Calibri"/>
          <w:sz w:val="24"/>
          <w:szCs w:val="24"/>
        </w:rPr>
        <w:t>).</w:t>
      </w:r>
    </w:p>
    <w:p w14:paraId="2A537156" w14:textId="77777777" w:rsidR="007E60E9" w:rsidRPr="00F871F8" w:rsidRDefault="007E60E9" w:rsidP="00796876">
      <w:pPr>
        <w:pStyle w:val="ListParagraph"/>
        <w:spacing w:after="0" w:line="240" w:lineRule="auto"/>
        <w:ind w:left="0"/>
        <w:rPr>
          <w:rFonts w:ascii="Calibri" w:hAnsi="Calibri" w:cs="Calibri"/>
          <w:sz w:val="24"/>
          <w:szCs w:val="24"/>
        </w:rPr>
      </w:pPr>
    </w:p>
    <w:p w14:paraId="7BC6D3E7" w14:textId="03864663" w:rsidR="007E60E9"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Crop the registered image and grain mask </w:t>
      </w:r>
      <w:r w:rsidR="007F4B30" w:rsidRPr="00F871F8">
        <w:rPr>
          <w:rFonts w:ascii="Calibri" w:hAnsi="Calibri" w:cs="Calibri"/>
          <w:sz w:val="24"/>
          <w:szCs w:val="24"/>
        </w:rPr>
        <w:t>as needed</w:t>
      </w:r>
      <w:r w:rsidR="00AE5145" w:rsidRPr="00F871F8">
        <w:rPr>
          <w:rFonts w:ascii="Calibri" w:hAnsi="Calibri" w:cs="Calibri"/>
          <w:sz w:val="24"/>
          <w:szCs w:val="24"/>
        </w:rPr>
        <w:t xml:space="preserve"> to remove registration artifacts at the </w:t>
      </w:r>
      <w:r w:rsidR="00BB446C" w:rsidRPr="00F871F8">
        <w:rPr>
          <w:rFonts w:ascii="Calibri" w:hAnsi="Calibri" w:cs="Calibri"/>
          <w:sz w:val="24"/>
          <w:szCs w:val="24"/>
        </w:rPr>
        <w:t>matrix</w:t>
      </w:r>
      <w:r w:rsidR="00AE5145" w:rsidRPr="00F871F8">
        <w:rPr>
          <w:rFonts w:ascii="Calibri" w:hAnsi="Calibri" w:cs="Calibri"/>
          <w:sz w:val="24"/>
          <w:szCs w:val="24"/>
        </w:rPr>
        <w:t xml:space="preserve"> edges, then resize to the pore space dimensions (1</w:t>
      </w:r>
      <w:r w:rsidR="00F81B2C" w:rsidRPr="00F871F8">
        <w:rPr>
          <w:rFonts w:ascii="Calibri" w:hAnsi="Calibri" w:cs="Calibri"/>
          <w:sz w:val="24"/>
          <w:szCs w:val="24"/>
        </w:rPr>
        <w:t>5</w:t>
      </w:r>
      <w:r w:rsidR="00AE5145" w:rsidRPr="00F871F8">
        <w:rPr>
          <w:rFonts w:ascii="Calibri" w:hAnsi="Calibri" w:cs="Calibri"/>
          <w:sz w:val="24"/>
          <w:szCs w:val="24"/>
        </w:rPr>
        <w:t xml:space="preserve"> </w:t>
      </w:r>
      <w:r w:rsidR="00B72939" w:rsidRPr="00F871F8">
        <w:rPr>
          <w:rFonts w:ascii="Calibri" w:hAnsi="Calibri" w:cs="Calibri"/>
          <w:sz w:val="24"/>
          <w:szCs w:val="24"/>
        </w:rPr>
        <w:t xml:space="preserve">mm </w:t>
      </w:r>
      <w:r w:rsidR="00B72939" w:rsidRPr="00F871F8">
        <w:rPr>
          <w:rFonts w:ascii="Symbol" w:hAnsi="Symbol" w:cs="Calibri"/>
          <w:sz w:val="24"/>
          <w:szCs w:val="24"/>
        </w:rPr>
        <w:sym w:font="Symbol" w:char="F0B4"/>
      </w:r>
      <w:r w:rsidR="00AE5145" w:rsidRPr="00F871F8">
        <w:rPr>
          <w:rFonts w:ascii="Calibri" w:hAnsi="Calibri" w:cs="Calibri"/>
          <w:sz w:val="24"/>
          <w:szCs w:val="24"/>
        </w:rPr>
        <w:t xml:space="preserve"> 1</w:t>
      </w:r>
      <w:r w:rsidR="00F81B2C" w:rsidRPr="00F871F8">
        <w:rPr>
          <w:rFonts w:ascii="Calibri" w:hAnsi="Calibri" w:cs="Calibri"/>
          <w:sz w:val="24"/>
          <w:szCs w:val="24"/>
        </w:rPr>
        <w:t>0</w:t>
      </w:r>
      <w:r w:rsidR="00AE5145" w:rsidRPr="00F871F8">
        <w:rPr>
          <w:rFonts w:ascii="Calibri" w:hAnsi="Calibri" w:cs="Calibri"/>
          <w:sz w:val="24"/>
          <w:szCs w:val="24"/>
        </w:rPr>
        <w:t xml:space="preserve"> </w:t>
      </w:r>
      <w:r w:rsidR="00F81B2C" w:rsidRPr="00F871F8">
        <w:rPr>
          <w:rFonts w:ascii="Calibri" w:hAnsi="Calibri" w:cs="Calibri"/>
          <w:sz w:val="24"/>
          <w:szCs w:val="24"/>
        </w:rPr>
        <w:t>m</w:t>
      </w:r>
      <w:r w:rsidR="00AE5145" w:rsidRPr="00F871F8">
        <w:rPr>
          <w:rFonts w:ascii="Calibri" w:hAnsi="Calibri" w:cs="Calibri"/>
          <w:sz w:val="24"/>
          <w:szCs w:val="24"/>
        </w:rPr>
        <w:t>m)</w:t>
      </w:r>
      <w:r w:rsidR="00BB446C" w:rsidRPr="00F871F8">
        <w:rPr>
          <w:rFonts w:ascii="Calibri" w:hAnsi="Calibri" w:cs="Calibri"/>
          <w:sz w:val="24"/>
          <w:szCs w:val="24"/>
        </w:rPr>
        <w:t xml:space="preserve"> (</w:t>
      </w:r>
      <w:proofErr w:type="spellStart"/>
      <w:r w:rsidR="00BB446C" w:rsidRPr="00F871F8">
        <w:rPr>
          <w:rFonts w:ascii="Calibri" w:hAnsi="Calibri" w:cs="Calibri"/>
          <w:b/>
          <w:bCs/>
          <w:sz w:val="24"/>
          <w:szCs w:val="24"/>
        </w:rPr>
        <w:t>imcrop</w:t>
      </w:r>
      <w:proofErr w:type="spellEnd"/>
      <w:r w:rsidR="00BB446C" w:rsidRPr="00F871F8">
        <w:rPr>
          <w:rFonts w:ascii="Calibri" w:hAnsi="Calibri" w:cs="Calibri"/>
          <w:sz w:val="24"/>
          <w:szCs w:val="24"/>
        </w:rPr>
        <w:t xml:space="preserve">, </w:t>
      </w:r>
      <w:proofErr w:type="spellStart"/>
      <w:r w:rsidR="00BB446C" w:rsidRPr="00F871F8">
        <w:rPr>
          <w:rFonts w:ascii="Calibri" w:hAnsi="Calibri" w:cs="Calibri"/>
          <w:b/>
          <w:bCs/>
          <w:sz w:val="24"/>
          <w:szCs w:val="24"/>
        </w:rPr>
        <w:t>imresize</w:t>
      </w:r>
      <w:proofErr w:type="spellEnd"/>
      <w:r w:rsidR="00BB446C" w:rsidRPr="00F871F8">
        <w:rPr>
          <w:rFonts w:ascii="Calibri" w:hAnsi="Calibri" w:cs="Calibri"/>
          <w:sz w:val="24"/>
          <w:szCs w:val="24"/>
        </w:rPr>
        <w:t>)</w:t>
      </w:r>
      <w:r w:rsidR="00605ABC" w:rsidRPr="00F871F8">
        <w:rPr>
          <w:rFonts w:ascii="Calibri" w:hAnsi="Calibri" w:cs="Calibri"/>
          <w:sz w:val="24"/>
          <w:szCs w:val="24"/>
        </w:rPr>
        <w:t xml:space="preserve">. </w:t>
      </w:r>
    </w:p>
    <w:p w14:paraId="1E38B78A" w14:textId="77777777" w:rsidR="001C1294" w:rsidRPr="00F871F8" w:rsidRDefault="001C1294" w:rsidP="001B0A4E"/>
    <w:p w14:paraId="53A94490" w14:textId="445EF872"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Loop through all the color brightfield images to apply the same registration (</w:t>
      </w:r>
      <w:proofErr w:type="spellStart"/>
      <w:r w:rsidRPr="00F871F8">
        <w:rPr>
          <w:rFonts w:ascii="Calibri" w:hAnsi="Calibri" w:cs="Calibri"/>
          <w:b/>
          <w:bCs/>
          <w:sz w:val="24"/>
          <w:szCs w:val="24"/>
        </w:rPr>
        <w:t>imwarp</w:t>
      </w:r>
      <w:proofErr w:type="spellEnd"/>
      <w:r w:rsidRPr="00F871F8">
        <w:rPr>
          <w:rFonts w:ascii="Calibri" w:hAnsi="Calibri" w:cs="Calibri"/>
          <w:sz w:val="24"/>
          <w:szCs w:val="24"/>
        </w:rPr>
        <w:t>).</w:t>
      </w:r>
    </w:p>
    <w:p w14:paraId="2BA81D1D" w14:textId="77777777" w:rsidR="001C1294" w:rsidRPr="00F871F8" w:rsidRDefault="001C1294" w:rsidP="001B0A4E"/>
    <w:p w14:paraId="1FB83A5B" w14:textId="4B71E26C"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Visually identify </w:t>
      </w:r>
      <w:r w:rsidR="001E592A" w:rsidRPr="00F871F8">
        <w:rPr>
          <w:rFonts w:ascii="Calibri" w:hAnsi="Calibri" w:cs="Calibri"/>
          <w:sz w:val="24"/>
          <w:szCs w:val="24"/>
        </w:rPr>
        <w:t>a reference image (</w:t>
      </w:r>
      <w:proofErr w:type="spellStart"/>
      <w:r w:rsidR="001E592A" w:rsidRPr="00F871F8">
        <w:rPr>
          <w:rFonts w:ascii="Calibri" w:hAnsi="Calibri" w:cs="Calibri"/>
          <w:sz w:val="24"/>
          <w:szCs w:val="24"/>
        </w:rPr>
        <w:t>t</w:t>
      </w:r>
      <w:r w:rsidR="001E592A" w:rsidRPr="00F871F8">
        <w:rPr>
          <w:rFonts w:ascii="Calibri" w:hAnsi="Calibri" w:cs="Calibri"/>
          <w:sz w:val="24"/>
          <w:szCs w:val="24"/>
          <w:vertAlign w:val="subscript"/>
        </w:rPr>
        <w:t>ref</w:t>
      </w:r>
      <w:proofErr w:type="spellEnd"/>
      <w:r w:rsidR="00470CEC" w:rsidRPr="00F871F8">
        <w:rPr>
          <w:rFonts w:ascii="Calibri" w:hAnsi="Calibri" w:cs="Calibri"/>
          <w:sz w:val="24"/>
          <w:szCs w:val="24"/>
        </w:rPr>
        <w:t xml:space="preserve">, Panel 1 in </w:t>
      </w:r>
      <w:r w:rsidR="00470CEC" w:rsidRPr="00F871F8">
        <w:rPr>
          <w:rFonts w:ascii="Calibri" w:hAnsi="Calibri" w:cs="Calibri"/>
          <w:b/>
          <w:bCs/>
          <w:sz w:val="24"/>
          <w:szCs w:val="24"/>
        </w:rPr>
        <w:t>Figure 4</w:t>
      </w:r>
      <w:r w:rsidR="001E592A" w:rsidRPr="00F871F8">
        <w:rPr>
          <w:rFonts w:ascii="Calibri" w:hAnsi="Calibri" w:cs="Calibri"/>
          <w:sz w:val="24"/>
          <w:szCs w:val="24"/>
        </w:rPr>
        <w:t xml:space="preserve">) when </w:t>
      </w:r>
      <w:r w:rsidRPr="00F871F8">
        <w:rPr>
          <w:rFonts w:ascii="Calibri" w:hAnsi="Calibri" w:cs="Calibri"/>
          <w:sz w:val="24"/>
          <w:szCs w:val="24"/>
        </w:rPr>
        <w:t>biofilms</w:t>
      </w:r>
      <w:r w:rsidR="001E592A" w:rsidRPr="00F871F8">
        <w:rPr>
          <w:rFonts w:ascii="Calibri" w:hAnsi="Calibri" w:cs="Calibri"/>
          <w:sz w:val="24"/>
          <w:szCs w:val="24"/>
        </w:rPr>
        <w:t xml:space="preserve"> first</w:t>
      </w:r>
      <w:r w:rsidRPr="00F871F8">
        <w:rPr>
          <w:rFonts w:ascii="Calibri" w:hAnsi="Calibri" w:cs="Calibri"/>
          <w:sz w:val="24"/>
          <w:szCs w:val="24"/>
        </w:rPr>
        <w:t xml:space="preserve"> enter stationary phase</w:t>
      </w:r>
      <w:r w:rsidR="006332C1" w:rsidRPr="00F871F8">
        <w:rPr>
          <w:rFonts w:ascii="Calibri" w:hAnsi="Calibri" w:cs="Calibri"/>
          <w:sz w:val="24"/>
          <w:szCs w:val="24"/>
        </w:rPr>
        <w:t xml:space="preserve">, </w:t>
      </w:r>
      <w:r w:rsidR="00321612" w:rsidRPr="00F871F8">
        <w:rPr>
          <w:rFonts w:ascii="Calibri" w:hAnsi="Calibri" w:cs="Calibri"/>
          <w:sz w:val="24"/>
          <w:szCs w:val="24"/>
        </w:rPr>
        <w:t xml:space="preserve">determined as a lack of </w:t>
      </w:r>
      <w:r w:rsidRPr="00F871F8">
        <w:rPr>
          <w:rFonts w:ascii="Calibri" w:hAnsi="Calibri" w:cs="Calibri"/>
          <w:sz w:val="24"/>
          <w:szCs w:val="24"/>
        </w:rPr>
        <w:t>continued movement or growth</w:t>
      </w:r>
      <w:r w:rsidR="009F5F74" w:rsidRPr="00F871F8">
        <w:rPr>
          <w:rFonts w:ascii="Calibri" w:hAnsi="Calibri" w:cs="Calibri"/>
          <w:sz w:val="24"/>
          <w:szCs w:val="24"/>
        </w:rPr>
        <w:t xml:space="preserve"> (here, t = 18.5 h)</w:t>
      </w:r>
      <w:r w:rsidR="006332C1" w:rsidRPr="00F871F8">
        <w:rPr>
          <w:rFonts w:ascii="Calibri" w:hAnsi="Calibri" w:cs="Calibri"/>
          <w:sz w:val="24"/>
          <w:szCs w:val="24"/>
        </w:rPr>
        <w:t>.</w:t>
      </w:r>
    </w:p>
    <w:p w14:paraId="36C1EBFA" w14:textId="77777777" w:rsidR="001C1294" w:rsidRPr="00F871F8" w:rsidRDefault="001C1294" w:rsidP="001B0A4E">
      <w:pPr>
        <w:pStyle w:val="ListParagraph"/>
        <w:spacing w:after="0" w:line="240" w:lineRule="auto"/>
        <w:ind w:left="0"/>
        <w:contextualSpacing w:val="0"/>
        <w:jc w:val="both"/>
        <w:rPr>
          <w:rFonts w:ascii="Calibri" w:hAnsi="Calibri" w:cs="Calibri"/>
          <w:sz w:val="24"/>
          <w:szCs w:val="24"/>
        </w:rPr>
      </w:pPr>
    </w:p>
    <w:p w14:paraId="79A37A10" w14:textId="2A8F7BB9"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lastRenderedPageBreak/>
        <w:t>Binarize each timepoint image</w:t>
      </w:r>
      <w:r w:rsidR="00F3754C" w:rsidRPr="00F871F8">
        <w:rPr>
          <w:rFonts w:ascii="Calibri" w:hAnsi="Calibri" w:cs="Calibri"/>
          <w:sz w:val="24"/>
          <w:szCs w:val="24"/>
        </w:rPr>
        <w:t xml:space="preserve"> (</w:t>
      </w:r>
      <w:proofErr w:type="spellStart"/>
      <w:r w:rsidR="00F3754C" w:rsidRPr="00F871F8">
        <w:rPr>
          <w:rFonts w:ascii="Calibri" w:hAnsi="Calibri" w:cs="Calibri"/>
          <w:sz w:val="24"/>
          <w:szCs w:val="24"/>
        </w:rPr>
        <w:t>t</w:t>
      </w:r>
      <w:r w:rsidR="00F3754C" w:rsidRPr="00F871F8">
        <w:rPr>
          <w:rFonts w:ascii="Calibri" w:hAnsi="Calibri" w:cs="Calibri"/>
          <w:sz w:val="24"/>
          <w:szCs w:val="24"/>
          <w:vertAlign w:val="subscript"/>
        </w:rPr>
        <w:t>n</w:t>
      </w:r>
      <w:proofErr w:type="spellEnd"/>
      <w:r w:rsidR="006D4201" w:rsidRPr="00F871F8">
        <w:rPr>
          <w:rFonts w:ascii="Calibri" w:hAnsi="Calibri" w:cs="Calibri"/>
          <w:sz w:val="24"/>
          <w:szCs w:val="24"/>
        </w:rPr>
        <w:t xml:space="preserve">, Panel 2 in </w:t>
      </w:r>
      <w:r w:rsidR="006D4201" w:rsidRPr="00F871F8">
        <w:rPr>
          <w:rFonts w:ascii="Calibri" w:hAnsi="Calibri" w:cs="Calibri"/>
          <w:b/>
          <w:bCs/>
          <w:sz w:val="24"/>
          <w:szCs w:val="24"/>
        </w:rPr>
        <w:t>Figure 4</w:t>
      </w:r>
      <w:r w:rsidR="00F3754C" w:rsidRPr="00F871F8">
        <w:rPr>
          <w:rFonts w:ascii="Calibri" w:hAnsi="Calibri" w:cs="Calibri"/>
          <w:sz w:val="24"/>
          <w:szCs w:val="24"/>
        </w:rPr>
        <w:t>)</w:t>
      </w:r>
      <w:r w:rsidRPr="00F871F8">
        <w:rPr>
          <w:rFonts w:ascii="Calibri" w:hAnsi="Calibri" w:cs="Calibri"/>
          <w:sz w:val="24"/>
          <w:szCs w:val="24"/>
        </w:rPr>
        <w:t xml:space="preserve"> (</w:t>
      </w:r>
      <w:r w:rsidR="00E20120" w:rsidRPr="00F871F8">
        <w:rPr>
          <w:rFonts w:ascii="Calibri" w:hAnsi="Calibri" w:cs="Calibri"/>
          <w:b/>
          <w:bCs/>
          <w:sz w:val="24"/>
          <w:szCs w:val="24"/>
        </w:rPr>
        <w:t>rgb2gray</w:t>
      </w:r>
      <w:r w:rsidR="00E20120" w:rsidRPr="00F871F8">
        <w:rPr>
          <w:rFonts w:ascii="Calibri" w:hAnsi="Calibri" w:cs="Calibri"/>
          <w:sz w:val="24"/>
          <w:szCs w:val="24"/>
        </w:rPr>
        <w:t xml:space="preserve">, </w:t>
      </w:r>
      <w:proofErr w:type="spellStart"/>
      <w:r w:rsidRPr="00F871F8">
        <w:rPr>
          <w:rFonts w:ascii="Calibri" w:hAnsi="Calibri" w:cs="Calibri"/>
          <w:b/>
          <w:bCs/>
          <w:sz w:val="24"/>
          <w:szCs w:val="24"/>
        </w:rPr>
        <w:t>adaptthresh</w:t>
      </w:r>
      <w:proofErr w:type="spellEnd"/>
      <w:r w:rsidRPr="00F871F8">
        <w:rPr>
          <w:rFonts w:ascii="Calibri" w:hAnsi="Calibri" w:cs="Calibri"/>
          <w:b/>
          <w:bCs/>
          <w:sz w:val="24"/>
          <w:szCs w:val="24"/>
        </w:rPr>
        <w:t xml:space="preserve"> </w:t>
      </w:r>
      <w:r w:rsidR="00F01790" w:rsidRPr="00F871F8">
        <w:rPr>
          <w:rFonts w:ascii="Calibri" w:hAnsi="Calibri" w:cs="Calibri"/>
          <w:sz w:val="24"/>
          <w:szCs w:val="24"/>
        </w:rPr>
        <w:t xml:space="preserve">with </w:t>
      </w:r>
      <w:r w:rsidRPr="00F871F8">
        <w:rPr>
          <w:rFonts w:ascii="Calibri" w:hAnsi="Calibri" w:cs="Calibri"/>
          <w:sz w:val="24"/>
          <w:szCs w:val="24"/>
        </w:rPr>
        <w:t xml:space="preserve">foreground polarity = </w:t>
      </w:r>
      <w:r w:rsidR="00B72939" w:rsidRPr="00F871F8">
        <w:rPr>
          <w:rFonts w:ascii="Calibri" w:hAnsi="Calibri" w:cs="Calibri"/>
          <w:sz w:val="24"/>
          <w:szCs w:val="24"/>
        </w:rPr>
        <w:t>"</w:t>
      </w:r>
      <w:r w:rsidRPr="00F871F8">
        <w:rPr>
          <w:rFonts w:ascii="Calibri" w:hAnsi="Calibri" w:cs="Calibri"/>
          <w:sz w:val="24"/>
          <w:szCs w:val="24"/>
        </w:rPr>
        <w:t>dark</w:t>
      </w:r>
      <w:r w:rsidR="00B72939" w:rsidRPr="00F871F8">
        <w:rPr>
          <w:rFonts w:ascii="Calibri" w:hAnsi="Calibri" w:cs="Calibri"/>
          <w:sz w:val="24"/>
          <w:szCs w:val="24"/>
        </w:rPr>
        <w:t xml:space="preserve">" </w:t>
      </w:r>
      <w:r w:rsidRPr="00F871F8">
        <w:rPr>
          <w:rFonts w:ascii="Calibri" w:hAnsi="Calibri" w:cs="Calibri"/>
          <w:sz w:val="24"/>
          <w:szCs w:val="24"/>
        </w:rPr>
        <w:t xml:space="preserve">and sensitivity adjusted as needed, </w:t>
      </w:r>
      <w:proofErr w:type="spellStart"/>
      <w:r w:rsidR="00F01790" w:rsidRPr="00F871F8">
        <w:rPr>
          <w:rFonts w:ascii="Calibri" w:hAnsi="Calibri" w:cs="Calibri"/>
          <w:b/>
          <w:bCs/>
          <w:sz w:val="24"/>
          <w:szCs w:val="24"/>
        </w:rPr>
        <w:t>imbinarize</w:t>
      </w:r>
      <w:proofErr w:type="spellEnd"/>
      <w:r w:rsidR="00F01790" w:rsidRPr="00F871F8">
        <w:rPr>
          <w:rFonts w:ascii="Calibri" w:hAnsi="Calibri" w:cs="Calibri"/>
          <w:sz w:val="24"/>
          <w:szCs w:val="24"/>
        </w:rPr>
        <w:t xml:space="preserve">, </w:t>
      </w:r>
      <w:proofErr w:type="spellStart"/>
      <w:r w:rsidRPr="00F871F8">
        <w:rPr>
          <w:rFonts w:ascii="Calibri" w:hAnsi="Calibri" w:cs="Calibri"/>
          <w:b/>
          <w:bCs/>
          <w:sz w:val="24"/>
          <w:szCs w:val="24"/>
        </w:rPr>
        <w:t>imcomplement</w:t>
      </w:r>
      <w:proofErr w:type="spellEnd"/>
      <w:r w:rsidRPr="00F871F8">
        <w:rPr>
          <w:rFonts w:ascii="Calibri" w:hAnsi="Calibri" w:cs="Calibri"/>
          <w:sz w:val="24"/>
          <w:szCs w:val="24"/>
        </w:rPr>
        <w:t xml:space="preserve">) such that biofilm-biomineral assemblages = 1 and grains and empty pores = 0. Multiply each timepoint mask by the </w:t>
      </w:r>
      <w:r w:rsidR="00967093" w:rsidRPr="00F871F8">
        <w:rPr>
          <w:rFonts w:ascii="Calibri" w:hAnsi="Calibri" w:cs="Calibri"/>
          <w:sz w:val="24"/>
          <w:szCs w:val="24"/>
        </w:rPr>
        <w:t xml:space="preserve">inverted </w:t>
      </w:r>
      <w:r w:rsidRPr="00F871F8">
        <w:rPr>
          <w:rFonts w:ascii="Calibri" w:hAnsi="Calibri" w:cs="Calibri"/>
          <w:sz w:val="24"/>
          <w:szCs w:val="24"/>
        </w:rPr>
        <w:t xml:space="preserve">grain mask </w:t>
      </w:r>
      <w:r w:rsidR="0010668B" w:rsidRPr="00F871F8">
        <w:rPr>
          <w:rFonts w:ascii="Calibri" w:hAnsi="Calibri" w:cs="Calibri"/>
          <w:sz w:val="24"/>
          <w:szCs w:val="24"/>
        </w:rPr>
        <w:t>(</w:t>
      </w:r>
      <w:proofErr w:type="spellStart"/>
      <w:r w:rsidR="0010668B" w:rsidRPr="00F871F8">
        <w:rPr>
          <w:rFonts w:ascii="Calibri" w:hAnsi="Calibri" w:cs="Calibri"/>
          <w:b/>
          <w:bCs/>
          <w:sz w:val="24"/>
          <w:szCs w:val="24"/>
        </w:rPr>
        <w:t>imcomplement</w:t>
      </w:r>
      <w:proofErr w:type="spellEnd"/>
      <w:r w:rsidR="0010668B" w:rsidRPr="00F871F8">
        <w:rPr>
          <w:rFonts w:ascii="Calibri" w:hAnsi="Calibri" w:cs="Calibri"/>
          <w:sz w:val="24"/>
          <w:szCs w:val="24"/>
        </w:rPr>
        <w:t xml:space="preserve">) </w:t>
      </w:r>
      <w:r w:rsidRPr="00F871F8">
        <w:rPr>
          <w:rFonts w:ascii="Calibri" w:hAnsi="Calibri" w:cs="Calibri"/>
          <w:sz w:val="24"/>
          <w:szCs w:val="24"/>
        </w:rPr>
        <w:t>to remove residual grain boundaries.</w:t>
      </w:r>
    </w:p>
    <w:p w14:paraId="4FBA5B0F" w14:textId="77777777" w:rsidR="001C1294" w:rsidRPr="00F871F8" w:rsidRDefault="001C1294" w:rsidP="001B0A4E"/>
    <w:p w14:paraId="08CB991F" w14:textId="417C955A" w:rsidR="00145A38" w:rsidRPr="00F871F8" w:rsidRDefault="00000000" w:rsidP="001B0A4E">
      <w:pPr>
        <w:pStyle w:val="ListParagraph"/>
        <w:numPr>
          <w:ilvl w:val="1"/>
          <w:numId w:val="37"/>
        </w:numPr>
        <w:spacing w:after="0" w:line="240" w:lineRule="auto"/>
        <w:ind w:left="0" w:firstLine="0"/>
        <w:rPr>
          <w:rFonts w:ascii="Calibri" w:hAnsi="Calibri" w:cs="Calibri"/>
          <w:sz w:val="24"/>
          <w:szCs w:val="24"/>
        </w:rPr>
      </w:pPr>
      <w:r w:rsidRPr="00F871F8">
        <w:rPr>
          <w:rFonts w:ascii="Calibri" w:hAnsi="Calibri" w:cs="Calibri"/>
          <w:sz w:val="24"/>
          <w:szCs w:val="24"/>
        </w:rPr>
        <w:t xml:space="preserve">Multiply </w:t>
      </w:r>
      <w:proofErr w:type="spellStart"/>
      <w:r w:rsidRPr="00F871F8">
        <w:rPr>
          <w:rFonts w:ascii="Calibri" w:hAnsi="Calibri" w:cs="Calibri"/>
          <w:sz w:val="24"/>
          <w:szCs w:val="24"/>
        </w:rPr>
        <w:t>t</w:t>
      </w:r>
      <w:r w:rsidRPr="00F871F8">
        <w:rPr>
          <w:rFonts w:ascii="Calibri" w:hAnsi="Calibri" w:cs="Calibri"/>
          <w:sz w:val="24"/>
          <w:szCs w:val="24"/>
          <w:vertAlign w:val="subscript"/>
        </w:rPr>
        <w:t>n</w:t>
      </w:r>
      <w:proofErr w:type="spellEnd"/>
      <w:r w:rsidRPr="00F871F8">
        <w:rPr>
          <w:rFonts w:ascii="Calibri" w:hAnsi="Calibri" w:cs="Calibri"/>
          <w:sz w:val="24"/>
          <w:szCs w:val="24"/>
        </w:rPr>
        <w:t xml:space="preserve"> by its corresponding timepoint mask</w:t>
      </w:r>
      <w:r w:rsidR="00AF1FC9" w:rsidRPr="00F871F8">
        <w:rPr>
          <w:rFonts w:ascii="Calibri" w:hAnsi="Calibri" w:cs="Calibri"/>
          <w:sz w:val="24"/>
          <w:szCs w:val="24"/>
        </w:rPr>
        <w:t xml:space="preserve"> (Panel 3 in </w:t>
      </w:r>
      <w:r w:rsidR="00AF1FC9" w:rsidRPr="00F871F8">
        <w:rPr>
          <w:rFonts w:ascii="Calibri" w:hAnsi="Calibri" w:cs="Calibri"/>
          <w:b/>
          <w:bCs/>
          <w:sz w:val="24"/>
          <w:szCs w:val="24"/>
        </w:rPr>
        <w:t>Figure 4</w:t>
      </w:r>
      <w:r w:rsidR="00AF1FC9" w:rsidRPr="00F871F8">
        <w:rPr>
          <w:rFonts w:ascii="Calibri" w:hAnsi="Calibri" w:cs="Calibri"/>
          <w:sz w:val="24"/>
          <w:szCs w:val="24"/>
        </w:rPr>
        <w:t>)</w:t>
      </w:r>
      <w:r w:rsidRPr="00F871F8">
        <w:rPr>
          <w:rFonts w:ascii="Calibri" w:hAnsi="Calibri" w:cs="Calibri"/>
          <w:sz w:val="24"/>
          <w:szCs w:val="24"/>
        </w:rPr>
        <w:t xml:space="preserve"> to isolate the biofilm-biomineral region of interest</w:t>
      </w:r>
      <w:r w:rsidR="00013512" w:rsidRPr="00F871F8">
        <w:rPr>
          <w:rFonts w:ascii="Calibri" w:hAnsi="Calibri" w:cs="Calibri"/>
          <w:sz w:val="24"/>
          <w:szCs w:val="24"/>
        </w:rPr>
        <w:t xml:space="preserve"> (Panel 5 in </w:t>
      </w:r>
      <w:r w:rsidR="00013512" w:rsidRPr="00F871F8">
        <w:rPr>
          <w:rFonts w:ascii="Calibri" w:hAnsi="Calibri" w:cs="Calibri"/>
          <w:b/>
          <w:bCs/>
          <w:sz w:val="24"/>
          <w:szCs w:val="24"/>
        </w:rPr>
        <w:t>Figure 4</w:t>
      </w:r>
      <w:r w:rsidR="00013512" w:rsidRPr="00F871F8">
        <w:rPr>
          <w:rFonts w:ascii="Calibri" w:hAnsi="Calibri" w:cs="Calibri"/>
          <w:sz w:val="24"/>
          <w:szCs w:val="24"/>
        </w:rPr>
        <w:t>)</w:t>
      </w:r>
      <w:r w:rsidRPr="00F871F8">
        <w:rPr>
          <w:rFonts w:ascii="Calibri" w:hAnsi="Calibri" w:cs="Calibri"/>
          <w:sz w:val="24"/>
          <w:szCs w:val="24"/>
        </w:rPr>
        <w:t xml:space="preserve">, then multiply </w:t>
      </w:r>
      <w:proofErr w:type="spellStart"/>
      <w:r w:rsidRPr="00F871F8">
        <w:rPr>
          <w:rFonts w:ascii="Calibri" w:hAnsi="Calibri" w:cs="Calibri"/>
          <w:sz w:val="24"/>
          <w:szCs w:val="24"/>
        </w:rPr>
        <w:t>t</w:t>
      </w:r>
      <w:r w:rsidRPr="00F871F8">
        <w:rPr>
          <w:rFonts w:ascii="Calibri" w:hAnsi="Calibri" w:cs="Calibri"/>
          <w:sz w:val="24"/>
          <w:szCs w:val="24"/>
          <w:vertAlign w:val="subscript"/>
        </w:rPr>
        <w:t>ref</w:t>
      </w:r>
      <w:proofErr w:type="spellEnd"/>
      <w:r w:rsidRPr="00F871F8">
        <w:rPr>
          <w:rFonts w:ascii="Calibri" w:hAnsi="Calibri" w:cs="Calibri"/>
          <w:sz w:val="24"/>
          <w:szCs w:val="24"/>
          <w:vertAlign w:val="subscript"/>
        </w:rPr>
        <w:t xml:space="preserve"> </w:t>
      </w:r>
      <w:r w:rsidRPr="00F871F8">
        <w:rPr>
          <w:rFonts w:ascii="Calibri" w:hAnsi="Calibri" w:cs="Calibri"/>
          <w:sz w:val="24"/>
          <w:szCs w:val="24"/>
        </w:rPr>
        <w:t>by each timepoint mask to isolate the same region</w:t>
      </w:r>
      <w:r w:rsidR="00131F1F" w:rsidRPr="00F871F8">
        <w:rPr>
          <w:rFonts w:ascii="Calibri" w:hAnsi="Calibri" w:cs="Calibri"/>
          <w:sz w:val="24"/>
          <w:szCs w:val="24"/>
        </w:rPr>
        <w:t xml:space="preserve"> </w:t>
      </w:r>
      <w:r w:rsidR="00013512" w:rsidRPr="00F871F8">
        <w:rPr>
          <w:rFonts w:ascii="Calibri" w:hAnsi="Calibri" w:cs="Calibri"/>
          <w:sz w:val="24"/>
          <w:szCs w:val="24"/>
        </w:rPr>
        <w:t xml:space="preserve">(Panel 4 in </w:t>
      </w:r>
      <w:r w:rsidR="00013512" w:rsidRPr="00F871F8">
        <w:rPr>
          <w:rFonts w:ascii="Calibri" w:hAnsi="Calibri" w:cs="Calibri"/>
          <w:b/>
          <w:bCs/>
          <w:sz w:val="24"/>
          <w:szCs w:val="24"/>
        </w:rPr>
        <w:t>Figure 4</w:t>
      </w:r>
      <w:r w:rsidR="00013512" w:rsidRPr="00F871F8">
        <w:rPr>
          <w:rFonts w:ascii="Calibri" w:hAnsi="Calibri" w:cs="Calibri"/>
          <w:sz w:val="24"/>
          <w:szCs w:val="24"/>
        </w:rPr>
        <w:t>).</w:t>
      </w:r>
    </w:p>
    <w:p w14:paraId="559E9E93" w14:textId="77777777" w:rsidR="00AA472A" w:rsidRPr="00F871F8" w:rsidRDefault="00AA472A" w:rsidP="001B0A4E"/>
    <w:p w14:paraId="53264534" w14:textId="6748F44E" w:rsidR="00145A38"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Subtract all masked </w:t>
      </w:r>
      <w:proofErr w:type="spellStart"/>
      <w:r w:rsidRPr="00F871F8">
        <w:rPr>
          <w:rFonts w:ascii="Calibri" w:hAnsi="Calibri" w:cs="Calibri"/>
          <w:sz w:val="24"/>
          <w:szCs w:val="24"/>
        </w:rPr>
        <w:t>t</w:t>
      </w:r>
      <w:r w:rsidRPr="00F871F8">
        <w:rPr>
          <w:rFonts w:ascii="Calibri" w:hAnsi="Calibri" w:cs="Calibri"/>
          <w:sz w:val="24"/>
          <w:szCs w:val="24"/>
          <w:vertAlign w:val="subscript"/>
        </w:rPr>
        <w:t>n</w:t>
      </w:r>
      <w:proofErr w:type="spellEnd"/>
      <w:r w:rsidRPr="00F871F8">
        <w:rPr>
          <w:rFonts w:ascii="Calibri" w:hAnsi="Calibri" w:cs="Calibri"/>
          <w:sz w:val="24"/>
          <w:szCs w:val="24"/>
        </w:rPr>
        <w:t xml:space="preserve"> from the masked </w:t>
      </w:r>
      <w:proofErr w:type="spellStart"/>
      <w:r w:rsidRPr="00F871F8">
        <w:rPr>
          <w:rFonts w:ascii="Calibri" w:hAnsi="Calibri" w:cs="Calibri"/>
          <w:sz w:val="24"/>
          <w:szCs w:val="24"/>
        </w:rPr>
        <w:t>t</w:t>
      </w:r>
      <w:r w:rsidRPr="00F871F8">
        <w:rPr>
          <w:rFonts w:ascii="Calibri" w:hAnsi="Calibri" w:cs="Calibri"/>
          <w:sz w:val="24"/>
          <w:szCs w:val="24"/>
          <w:vertAlign w:val="subscript"/>
        </w:rPr>
        <w:t>ref</w:t>
      </w:r>
      <w:proofErr w:type="spellEnd"/>
      <w:r w:rsidRPr="00F871F8">
        <w:rPr>
          <w:rFonts w:ascii="Calibri" w:hAnsi="Calibri" w:cs="Calibri"/>
          <w:sz w:val="24"/>
          <w:szCs w:val="24"/>
        </w:rPr>
        <w:t xml:space="preserve"> to quantify the </w:t>
      </w:r>
      <w:r w:rsidR="00056240" w:rsidRPr="00F871F8">
        <w:rPr>
          <w:rFonts w:ascii="Calibri" w:hAnsi="Calibri" w:cs="Calibri"/>
          <w:sz w:val="24"/>
          <w:szCs w:val="24"/>
        </w:rPr>
        <w:t xml:space="preserve">decrease </w:t>
      </w:r>
      <w:r w:rsidR="00E65601" w:rsidRPr="00F871F8">
        <w:rPr>
          <w:rFonts w:ascii="Calibri" w:hAnsi="Calibri" w:cs="Calibri"/>
          <w:sz w:val="24"/>
          <w:szCs w:val="24"/>
        </w:rPr>
        <w:t xml:space="preserve">in </w:t>
      </w:r>
      <w:r w:rsidRPr="00F871F8">
        <w:rPr>
          <w:rFonts w:ascii="Calibri" w:hAnsi="Calibri" w:cs="Calibri"/>
          <w:sz w:val="24"/>
          <w:szCs w:val="24"/>
        </w:rPr>
        <w:t>pixel intensity associated with Mn oxide accumulation</w:t>
      </w:r>
      <w:r w:rsidR="004B63A4" w:rsidRPr="00F871F8">
        <w:rPr>
          <w:rFonts w:ascii="Calibri" w:hAnsi="Calibri" w:cs="Calibri"/>
          <w:sz w:val="24"/>
          <w:szCs w:val="24"/>
        </w:rPr>
        <w:t xml:space="preserve"> at each time</w:t>
      </w:r>
      <w:r w:rsidR="00B72939" w:rsidRPr="00F871F8">
        <w:rPr>
          <w:rFonts w:ascii="Calibri" w:hAnsi="Calibri" w:cs="Calibri"/>
          <w:sz w:val="24"/>
          <w:szCs w:val="24"/>
        </w:rPr>
        <w:t xml:space="preserve"> </w:t>
      </w:r>
      <w:r w:rsidR="004B63A4" w:rsidRPr="00F871F8">
        <w:rPr>
          <w:rFonts w:ascii="Calibri" w:hAnsi="Calibri" w:cs="Calibri"/>
          <w:sz w:val="24"/>
          <w:szCs w:val="24"/>
        </w:rPr>
        <w:t>point</w:t>
      </w:r>
      <w:r w:rsidR="00E604D6" w:rsidRPr="00F871F8">
        <w:rPr>
          <w:rFonts w:ascii="Calibri" w:hAnsi="Calibri" w:cs="Calibri"/>
          <w:sz w:val="24"/>
          <w:szCs w:val="24"/>
        </w:rPr>
        <w:t xml:space="preserve"> (</w:t>
      </w:r>
      <w:proofErr w:type="spellStart"/>
      <w:r w:rsidR="00E604D6" w:rsidRPr="00F871F8">
        <w:rPr>
          <w:rFonts w:ascii="Calibri" w:hAnsi="Calibri" w:cs="Calibri"/>
          <w:b/>
          <w:bCs/>
          <w:sz w:val="24"/>
          <w:szCs w:val="24"/>
        </w:rPr>
        <w:t>imsubtract</w:t>
      </w:r>
      <w:proofErr w:type="spellEnd"/>
      <w:r w:rsidR="00E604D6" w:rsidRPr="00F871F8">
        <w:rPr>
          <w:rFonts w:ascii="Calibri" w:hAnsi="Calibri" w:cs="Calibri"/>
          <w:sz w:val="24"/>
          <w:szCs w:val="24"/>
        </w:rPr>
        <w:t>)</w:t>
      </w:r>
      <w:r w:rsidR="003F7189" w:rsidRPr="00F871F8">
        <w:rPr>
          <w:rFonts w:ascii="Calibri" w:hAnsi="Calibri" w:cs="Calibri"/>
          <w:sz w:val="24"/>
          <w:szCs w:val="24"/>
        </w:rPr>
        <w:t xml:space="preserve">, </w:t>
      </w:r>
      <w:r w:rsidR="00ED30ED" w:rsidRPr="00F871F8">
        <w:rPr>
          <w:rFonts w:ascii="Calibri" w:hAnsi="Calibri" w:cs="Calibri"/>
          <w:sz w:val="24"/>
          <w:szCs w:val="24"/>
        </w:rPr>
        <w:t>then</w:t>
      </w:r>
      <w:r w:rsidR="003F7189" w:rsidRPr="00F871F8">
        <w:rPr>
          <w:rFonts w:ascii="Calibri" w:hAnsi="Calibri" w:cs="Calibri"/>
          <w:sz w:val="24"/>
          <w:szCs w:val="24"/>
        </w:rPr>
        <w:t xml:space="preserve"> convert to composite intensity</w:t>
      </w:r>
      <w:r w:rsidR="00753769" w:rsidRPr="00F871F8">
        <w:rPr>
          <w:rFonts w:ascii="Calibri" w:hAnsi="Calibri" w:cs="Calibri"/>
          <w:sz w:val="24"/>
          <w:szCs w:val="24"/>
        </w:rPr>
        <w:t>-</w:t>
      </w:r>
      <w:r w:rsidR="003F7189" w:rsidRPr="00F871F8">
        <w:rPr>
          <w:rFonts w:ascii="Calibri" w:hAnsi="Calibri" w:cs="Calibri"/>
          <w:sz w:val="24"/>
          <w:szCs w:val="24"/>
        </w:rPr>
        <w:t>corrected matrices (</w:t>
      </w:r>
      <w:r w:rsidR="003F7189" w:rsidRPr="00F871F8">
        <w:rPr>
          <w:rFonts w:ascii="Calibri" w:hAnsi="Calibri" w:cs="Calibri"/>
          <w:b/>
          <w:bCs/>
          <w:sz w:val="24"/>
          <w:szCs w:val="24"/>
        </w:rPr>
        <w:t>rgb2gray</w:t>
      </w:r>
      <w:r w:rsidR="00131F1F" w:rsidRPr="00F871F8">
        <w:rPr>
          <w:rFonts w:ascii="Calibri" w:hAnsi="Calibri" w:cs="Calibri"/>
          <w:sz w:val="24"/>
          <w:szCs w:val="24"/>
        </w:rPr>
        <w:t xml:space="preserve">, Panel 6 in </w:t>
      </w:r>
      <w:r w:rsidR="00131F1F" w:rsidRPr="00F871F8">
        <w:rPr>
          <w:rFonts w:ascii="Calibri" w:hAnsi="Calibri" w:cs="Calibri"/>
          <w:b/>
          <w:bCs/>
          <w:sz w:val="24"/>
          <w:szCs w:val="24"/>
        </w:rPr>
        <w:t>Figure 4</w:t>
      </w:r>
      <w:r w:rsidR="00131F1F" w:rsidRPr="00F871F8">
        <w:rPr>
          <w:rFonts w:ascii="Calibri" w:hAnsi="Calibri" w:cs="Calibri"/>
          <w:sz w:val="24"/>
          <w:szCs w:val="24"/>
        </w:rPr>
        <w:t>)</w:t>
      </w:r>
      <w:r w:rsidR="003F7189" w:rsidRPr="00F871F8">
        <w:rPr>
          <w:rFonts w:ascii="Calibri" w:hAnsi="Calibri" w:cs="Calibri"/>
          <w:sz w:val="24"/>
          <w:szCs w:val="24"/>
        </w:rPr>
        <w:t>.</w:t>
      </w:r>
    </w:p>
    <w:p w14:paraId="16C7EB09" w14:textId="77777777" w:rsidR="00145A38" w:rsidRPr="00F871F8" w:rsidRDefault="00145A38" w:rsidP="00796876">
      <w:pPr>
        <w:pStyle w:val="ListParagraph"/>
        <w:spacing w:after="0" w:line="240" w:lineRule="auto"/>
        <w:ind w:left="0"/>
        <w:rPr>
          <w:rFonts w:ascii="Calibri" w:hAnsi="Calibri" w:cs="Calibri"/>
          <w:sz w:val="24"/>
          <w:szCs w:val="24"/>
        </w:rPr>
      </w:pPr>
    </w:p>
    <w:p w14:paraId="5B67C04F" w14:textId="01CADA5A" w:rsidR="003310C2"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To evaluate the mineral spatial distribution across the pore space</w:t>
      </w:r>
      <w:r w:rsidR="00D65133" w:rsidRPr="00F871F8">
        <w:rPr>
          <w:rFonts w:ascii="Calibri" w:hAnsi="Calibri" w:cs="Calibri"/>
          <w:sz w:val="24"/>
          <w:szCs w:val="24"/>
        </w:rPr>
        <w:t xml:space="preserve"> (</w:t>
      </w:r>
      <w:proofErr w:type="spellStart"/>
      <w:r w:rsidR="00D65133" w:rsidRPr="00F871F8">
        <w:rPr>
          <w:rFonts w:ascii="Calibri" w:hAnsi="Calibri" w:cs="Calibri"/>
          <w:sz w:val="24"/>
          <w:szCs w:val="24"/>
        </w:rPr>
        <w:t>a.u</w:t>
      </w:r>
      <w:proofErr w:type="spellEnd"/>
      <w:r w:rsidR="00D65133" w:rsidRPr="00F871F8">
        <w:rPr>
          <w:rFonts w:ascii="Calibri" w:hAnsi="Calibri" w:cs="Calibri"/>
          <w:sz w:val="24"/>
          <w:szCs w:val="24"/>
        </w:rPr>
        <w:t>.)</w:t>
      </w:r>
      <w:r w:rsidRPr="00F871F8">
        <w:rPr>
          <w:rFonts w:ascii="Calibri" w:hAnsi="Calibri" w:cs="Calibri"/>
          <w:sz w:val="24"/>
          <w:szCs w:val="24"/>
        </w:rPr>
        <w:t xml:space="preserve">, sum along </w:t>
      </w:r>
      <w:r w:rsidR="00A506AA" w:rsidRPr="00F871F8">
        <w:rPr>
          <w:rFonts w:ascii="Calibri" w:hAnsi="Calibri" w:cs="Calibri"/>
          <w:sz w:val="24"/>
          <w:szCs w:val="24"/>
        </w:rPr>
        <w:t>the</w:t>
      </w:r>
      <w:r w:rsidRPr="00F871F8">
        <w:rPr>
          <w:rFonts w:ascii="Calibri" w:hAnsi="Calibri" w:cs="Calibri"/>
          <w:sz w:val="24"/>
          <w:szCs w:val="24"/>
        </w:rPr>
        <w:t xml:space="preserve"> columns (</w:t>
      </w:r>
      <w:r w:rsidRPr="00F871F8">
        <w:rPr>
          <w:rFonts w:ascii="Calibri" w:hAnsi="Calibri" w:cs="Calibri"/>
          <w:b/>
          <w:bCs/>
          <w:sz w:val="24"/>
          <w:szCs w:val="24"/>
        </w:rPr>
        <w:t xml:space="preserve">sum </w:t>
      </w:r>
      <w:r w:rsidRPr="00F871F8">
        <w:rPr>
          <w:rFonts w:ascii="Calibri" w:hAnsi="Calibri" w:cs="Calibri"/>
          <w:sz w:val="24"/>
          <w:szCs w:val="24"/>
        </w:rPr>
        <w:t xml:space="preserve">with dimension = 1) of each intensity-corrected matrix. </w:t>
      </w:r>
    </w:p>
    <w:p w14:paraId="61B90ADF" w14:textId="77777777" w:rsidR="001C1294" w:rsidRPr="00F871F8" w:rsidRDefault="001C1294" w:rsidP="001B0A4E"/>
    <w:p w14:paraId="72E28FDA" w14:textId="1994049F" w:rsidR="00CC4A06" w:rsidRPr="00F871F8" w:rsidRDefault="00000000" w:rsidP="001B0A4E">
      <w:pPr>
        <w:pStyle w:val="ListParagraph"/>
        <w:numPr>
          <w:ilvl w:val="1"/>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To </w:t>
      </w:r>
      <w:r w:rsidR="006257C2" w:rsidRPr="00F871F8">
        <w:rPr>
          <w:rFonts w:ascii="Calibri" w:hAnsi="Calibri" w:cs="Calibri"/>
          <w:sz w:val="24"/>
          <w:szCs w:val="24"/>
        </w:rPr>
        <w:t xml:space="preserve">estimate </w:t>
      </w:r>
      <w:r w:rsidRPr="00F871F8">
        <w:rPr>
          <w:rFonts w:ascii="Calibri" w:hAnsi="Calibri" w:cs="Calibri"/>
          <w:sz w:val="24"/>
          <w:szCs w:val="24"/>
        </w:rPr>
        <w:t xml:space="preserve">the </w:t>
      </w:r>
      <w:r w:rsidR="00CD15B5" w:rsidRPr="00F871F8">
        <w:rPr>
          <w:rFonts w:ascii="Calibri" w:hAnsi="Calibri" w:cs="Calibri"/>
          <w:sz w:val="24"/>
          <w:szCs w:val="24"/>
        </w:rPr>
        <w:t xml:space="preserve">rate of Mn oxide </w:t>
      </w:r>
      <w:r w:rsidR="008A3877" w:rsidRPr="00F871F8">
        <w:rPr>
          <w:rFonts w:ascii="Calibri" w:hAnsi="Calibri" w:cs="Calibri"/>
          <w:sz w:val="24"/>
          <w:szCs w:val="24"/>
        </w:rPr>
        <w:t>precipitation</w:t>
      </w:r>
      <w:r w:rsidR="00CD15B5" w:rsidRPr="00F871F8">
        <w:rPr>
          <w:rFonts w:ascii="Calibri" w:hAnsi="Calibri" w:cs="Calibri"/>
          <w:sz w:val="24"/>
          <w:szCs w:val="24"/>
        </w:rPr>
        <w:t xml:space="preserve"> </w:t>
      </w:r>
      <w:r w:rsidRPr="00F871F8">
        <w:rPr>
          <w:rFonts w:ascii="Calibri" w:hAnsi="Calibri" w:cs="Calibri"/>
          <w:sz w:val="24"/>
          <w:szCs w:val="24"/>
        </w:rPr>
        <w:t>over time</w:t>
      </w:r>
      <w:r w:rsidR="00D65133" w:rsidRPr="00F871F8">
        <w:rPr>
          <w:rFonts w:ascii="Calibri" w:hAnsi="Calibri" w:cs="Calibri"/>
          <w:sz w:val="24"/>
          <w:szCs w:val="24"/>
        </w:rPr>
        <w:t xml:space="preserve"> (</w:t>
      </w:r>
      <w:r w:rsidR="00B72939" w:rsidRPr="00F871F8">
        <w:rPr>
          <w:rFonts w:ascii="Calibri" w:hAnsi="Calibri" w:cs="Calibri"/>
          <w:sz w:val="24"/>
          <w:szCs w:val="24"/>
        </w:rPr>
        <w:t>micrograms per hour</w:t>
      </w:r>
      <w:r w:rsidR="00D65133" w:rsidRPr="00F871F8">
        <w:rPr>
          <w:rFonts w:ascii="Calibri" w:hAnsi="Calibri" w:cs="Calibri"/>
          <w:sz w:val="24"/>
          <w:szCs w:val="24"/>
        </w:rPr>
        <w:t>)</w:t>
      </w:r>
      <w:r w:rsidRPr="00F871F8">
        <w:rPr>
          <w:rFonts w:ascii="Calibri" w:hAnsi="Calibri" w:cs="Calibri"/>
          <w:sz w:val="24"/>
          <w:szCs w:val="24"/>
        </w:rPr>
        <w:t>:</w:t>
      </w:r>
    </w:p>
    <w:p w14:paraId="226F9680" w14:textId="77777777" w:rsidR="001C1294" w:rsidRPr="00F871F8" w:rsidRDefault="001C1294" w:rsidP="001B0A4E"/>
    <w:p w14:paraId="2A6BE56C" w14:textId="3C9E58AD" w:rsidR="00CC4A06"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Sum each intensity-corrected matrix (</w:t>
      </w:r>
      <w:r w:rsidRPr="00F871F8">
        <w:rPr>
          <w:rFonts w:ascii="Calibri" w:hAnsi="Calibri" w:cs="Calibri"/>
          <w:b/>
          <w:sz w:val="24"/>
          <w:szCs w:val="24"/>
        </w:rPr>
        <w:t>sum</w:t>
      </w:r>
      <w:r w:rsidRPr="00F871F8">
        <w:rPr>
          <w:rFonts w:ascii="Calibri" w:hAnsi="Calibri" w:cs="Calibri"/>
          <w:sz w:val="24"/>
          <w:szCs w:val="24"/>
        </w:rPr>
        <w:t xml:space="preserve"> with dimension = </w:t>
      </w:r>
      <w:r w:rsidR="00B72939" w:rsidRPr="00F871F8">
        <w:rPr>
          <w:rFonts w:ascii="Calibri" w:hAnsi="Calibri" w:cs="Calibri"/>
          <w:sz w:val="24"/>
          <w:szCs w:val="24"/>
        </w:rPr>
        <w:t>"</w:t>
      </w:r>
      <w:r w:rsidRPr="00F871F8">
        <w:rPr>
          <w:rFonts w:ascii="Calibri" w:hAnsi="Calibri" w:cs="Calibri"/>
          <w:sz w:val="24"/>
          <w:szCs w:val="24"/>
        </w:rPr>
        <w:t>all</w:t>
      </w:r>
      <w:r w:rsidR="00B72939" w:rsidRPr="00F871F8">
        <w:rPr>
          <w:rFonts w:ascii="Calibri" w:hAnsi="Calibri" w:cs="Calibri"/>
          <w:sz w:val="24"/>
          <w:szCs w:val="24"/>
        </w:rPr>
        <w:t xml:space="preserve">") </w:t>
      </w:r>
      <w:r w:rsidRPr="00F871F8">
        <w:rPr>
          <w:rFonts w:ascii="Calibri" w:hAnsi="Calibri" w:cs="Calibri"/>
          <w:sz w:val="24"/>
          <w:szCs w:val="24"/>
        </w:rPr>
        <w:t xml:space="preserve">to quantify the total </w:t>
      </w:r>
      <w:r w:rsidR="00290D64" w:rsidRPr="00F871F8">
        <w:rPr>
          <w:rFonts w:ascii="Calibri" w:hAnsi="Calibri" w:cs="Calibri"/>
          <w:sz w:val="24"/>
          <w:szCs w:val="24"/>
        </w:rPr>
        <w:t>corrected intensity</w:t>
      </w:r>
      <w:r w:rsidRPr="00F871F8">
        <w:rPr>
          <w:rFonts w:ascii="Calibri" w:hAnsi="Calibri" w:cs="Calibri"/>
          <w:sz w:val="24"/>
          <w:szCs w:val="24"/>
        </w:rPr>
        <w:t xml:space="preserve"> at each time</w:t>
      </w:r>
      <w:r w:rsidR="00B72939" w:rsidRPr="00F871F8">
        <w:rPr>
          <w:rFonts w:ascii="Calibri" w:hAnsi="Calibri" w:cs="Calibri"/>
          <w:sz w:val="24"/>
          <w:szCs w:val="24"/>
        </w:rPr>
        <w:t xml:space="preserve"> </w:t>
      </w:r>
      <w:r w:rsidRPr="00F871F8">
        <w:rPr>
          <w:rFonts w:ascii="Calibri" w:hAnsi="Calibri" w:cs="Calibri"/>
          <w:sz w:val="24"/>
          <w:szCs w:val="24"/>
        </w:rPr>
        <w:t>point</w:t>
      </w:r>
      <w:r w:rsidR="00D65133" w:rsidRPr="00F871F8">
        <w:rPr>
          <w:rFonts w:ascii="Calibri" w:hAnsi="Calibri" w:cs="Calibri"/>
          <w:sz w:val="24"/>
          <w:szCs w:val="24"/>
        </w:rPr>
        <w:t>.</w:t>
      </w:r>
    </w:p>
    <w:p w14:paraId="5348A990" w14:textId="77777777" w:rsidR="001C1294" w:rsidRPr="00F871F8" w:rsidRDefault="001C1294" w:rsidP="001B0A4E"/>
    <w:p w14:paraId="72655D8B" w14:textId="7F58E4D1" w:rsidR="00E436AA"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 xml:space="preserve">Divide the </w:t>
      </w:r>
      <w:r w:rsidR="004928D2" w:rsidRPr="00F871F8">
        <w:rPr>
          <w:rFonts w:ascii="Calibri" w:hAnsi="Calibri" w:cs="Calibri"/>
          <w:sz w:val="24"/>
          <w:szCs w:val="24"/>
        </w:rPr>
        <w:t xml:space="preserve">total </w:t>
      </w:r>
      <w:r w:rsidR="001106FE" w:rsidRPr="00F871F8">
        <w:rPr>
          <w:rFonts w:ascii="Calibri" w:hAnsi="Calibri" w:cs="Calibri"/>
          <w:sz w:val="24"/>
          <w:szCs w:val="24"/>
        </w:rPr>
        <w:t>corrected intensity</w:t>
      </w:r>
      <w:r w:rsidR="004928D2" w:rsidRPr="00F871F8">
        <w:rPr>
          <w:rFonts w:ascii="Calibri" w:hAnsi="Calibri" w:cs="Calibri"/>
          <w:sz w:val="24"/>
          <w:szCs w:val="24"/>
        </w:rPr>
        <w:t xml:space="preserve"> at</w:t>
      </w:r>
      <w:r w:rsidRPr="00F871F8">
        <w:rPr>
          <w:rFonts w:ascii="Calibri" w:hAnsi="Calibri" w:cs="Calibri"/>
          <w:sz w:val="24"/>
          <w:szCs w:val="24"/>
        </w:rPr>
        <w:t xml:space="preserve"> each time</w:t>
      </w:r>
      <w:r w:rsidR="00B72939" w:rsidRPr="00F871F8">
        <w:rPr>
          <w:rFonts w:ascii="Calibri" w:hAnsi="Calibri" w:cs="Calibri"/>
          <w:sz w:val="24"/>
          <w:szCs w:val="24"/>
        </w:rPr>
        <w:t xml:space="preserve"> </w:t>
      </w:r>
      <w:r w:rsidRPr="00F871F8">
        <w:rPr>
          <w:rFonts w:ascii="Calibri" w:hAnsi="Calibri" w:cs="Calibri"/>
          <w:sz w:val="24"/>
          <w:szCs w:val="24"/>
        </w:rPr>
        <w:t xml:space="preserve">point by the </w:t>
      </w:r>
      <w:r w:rsidR="001106FE" w:rsidRPr="00F871F8">
        <w:rPr>
          <w:rFonts w:ascii="Calibri" w:hAnsi="Calibri" w:cs="Calibri"/>
          <w:sz w:val="24"/>
          <w:szCs w:val="24"/>
        </w:rPr>
        <w:t>total corrected intensity</w:t>
      </w:r>
      <w:r w:rsidRPr="00F871F8">
        <w:rPr>
          <w:rFonts w:ascii="Calibri" w:hAnsi="Calibri" w:cs="Calibri"/>
          <w:sz w:val="24"/>
          <w:szCs w:val="24"/>
        </w:rPr>
        <w:t xml:space="preserve"> at the final time</w:t>
      </w:r>
      <w:r w:rsidR="00B72939" w:rsidRPr="00F871F8">
        <w:rPr>
          <w:rFonts w:ascii="Calibri" w:hAnsi="Calibri" w:cs="Calibri"/>
          <w:sz w:val="24"/>
          <w:szCs w:val="24"/>
        </w:rPr>
        <w:t xml:space="preserve"> </w:t>
      </w:r>
      <w:r w:rsidRPr="00F871F8">
        <w:rPr>
          <w:rFonts w:ascii="Calibri" w:hAnsi="Calibri" w:cs="Calibri"/>
          <w:sz w:val="24"/>
          <w:szCs w:val="24"/>
        </w:rPr>
        <w:t>point such that the final time</w:t>
      </w:r>
      <w:r w:rsidR="00B72939" w:rsidRPr="00F871F8">
        <w:rPr>
          <w:rFonts w:ascii="Calibri" w:hAnsi="Calibri" w:cs="Calibri"/>
          <w:sz w:val="24"/>
          <w:szCs w:val="24"/>
        </w:rPr>
        <w:t xml:space="preserve"> </w:t>
      </w:r>
      <w:r w:rsidRPr="00F871F8">
        <w:rPr>
          <w:rFonts w:ascii="Calibri" w:hAnsi="Calibri" w:cs="Calibri"/>
          <w:sz w:val="24"/>
          <w:szCs w:val="24"/>
        </w:rPr>
        <w:t xml:space="preserve">point = 1 and all preceding values are fractional. Rescale </w:t>
      </w:r>
      <w:r w:rsidR="001106FE" w:rsidRPr="00F871F8">
        <w:rPr>
          <w:rFonts w:ascii="Calibri" w:hAnsi="Calibri" w:cs="Calibri"/>
          <w:sz w:val="24"/>
          <w:szCs w:val="24"/>
        </w:rPr>
        <w:t>to</w:t>
      </w:r>
      <w:r w:rsidRPr="00F871F8">
        <w:rPr>
          <w:rFonts w:ascii="Calibri" w:hAnsi="Calibri" w:cs="Calibri"/>
          <w:sz w:val="24"/>
          <w:szCs w:val="24"/>
        </w:rPr>
        <w:t xml:space="preserve"> µg by multiplying by the Mn mass measured with ICP-MS. </w:t>
      </w:r>
    </w:p>
    <w:p w14:paraId="163F3917" w14:textId="77777777" w:rsidR="00E950A1" w:rsidRPr="00F871F8" w:rsidRDefault="00E950A1" w:rsidP="001B0A4E"/>
    <w:p w14:paraId="51DCE6BD" w14:textId="33182624" w:rsidR="001C1294" w:rsidRPr="00F871F8" w:rsidRDefault="00000000" w:rsidP="001B0A4E">
      <w:pPr>
        <w:pStyle w:val="ListParagraph"/>
        <w:numPr>
          <w:ilvl w:val="2"/>
          <w:numId w:val="37"/>
        </w:numPr>
        <w:spacing w:after="0" w:line="240" w:lineRule="auto"/>
        <w:ind w:left="0" w:firstLine="0"/>
        <w:contextualSpacing w:val="0"/>
        <w:jc w:val="both"/>
        <w:rPr>
          <w:rFonts w:ascii="Calibri" w:hAnsi="Calibri" w:cs="Calibri"/>
          <w:sz w:val="24"/>
          <w:szCs w:val="24"/>
        </w:rPr>
      </w:pPr>
      <w:r w:rsidRPr="00F871F8">
        <w:rPr>
          <w:rFonts w:ascii="Calibri" w:hAnsi="Calibri" w:cs="Calibri"/>
          <w:sz w:val="24"/>
          <w:szCs w:val="24"/>
        </w:rPr>
        <w:t>Take the derivative with respect to time by dividing</w:t>
      </w:r>
      <w:r w:rsidR="00E436AA" w:rsidRPr="00F871F8">
        <w:rPr>
          <w:rFonts w:ascii="Calibri" w:hAnsi="Calibri" w:cs="Calibri"/>
          <w:sz w:val="24"/>
          <w:szCs w:val="24"/>
        </w:rPr>
        <w:t xml:space="preserve"> the </w:t>
      </w:r>
      <w:r w:rsidR="00207601" w:rsidRPr="00F871F8">
        <w:rPr>
          <w:rFonts w:ascii="Calibri" w:hAnsi="Calibri" w:cs="Calibri"/>
          <w:sz w:val="24"/>
          <w:szCs w:val="24"/>
        </w:rPr>
        <w:t xml:space="preserve">increase </w:t>
      </w:r>
      <w:r w:rsidR="00E436AA" w:rsidRPr="00F871F8">
        <w:rPr>
          <w:rFonts w:ascii="Calibri" w:hAnsi="Calibri" w:cs="Calibri"/>
          <w:sz w:val="24"/>
          <w:szCs w:val="24"/>
        </w:rPr>
        <w:t xml:space="preserve">in mass </w:t>
      </w:r>
      <w:r w:rsidRPr="00F871F8">
        <w:rPr>
          <w:rFonts w:ascii="Calibri" w:hAnsi="Calibri" w:cs="Calibri"/>
          <w:sz w:val="24"/>
          <w:szCs w:val="24"/>
        </w:rPr>
        <w:t>(µg</w:t>
      </w:r>
      <w:r w:rsidR="00E436AA" w:rsidRPr="00F871F8">
        <w:rPr>
          <w:rFonts w:ascii="Calibri" w:hAnsi="Calibri" w:cs="Calibri"/>
          <w:sz w:val="24"/>
          <w:szCs w:val="24"/>
        </w:rPr>
        <w:t xml:space="preserve">) </w:t>
      </w:r>
      <w:r w:rsidR="00207601" w:rsidRPr="00F871F8">
        <w:rPr>
          <w:rFonts w:ascii="Calibri" w:hAnsi="Calibri" w:cs="Calibri"/>
          <w:sz w:val="24"/>
          <w:szCs w:val="24"/>
        </w:rPr>
        <w:t xml:space="preserve">between </w:t>
      </w:r>
      <w:r w:rsidR="00E436AA" w:rsidRPr="00F871F8">
        <w:rPr>
          <w:rFonts w:ascii="Calibri" w:hAnsi="Calibri" w:cs="Calibri"/>
          <w:sz w:val="24"/>
          <w:szCs w:val="24"/>
        </w:rPr>
        <w:t>sequential timepoints (</w:t>
      </w:r>
      <w:r w:rsidR="00E436AA" w:rsidRPr="00F871F8">
        <w:rPr>
          <w:rFonts w:ascii="Calibri" w:hAnsi="Calibri" w:cs="Calibri"/>
          <w:b/>
          <w:bCs/>
          <w:sz w:val="24"/>
          <w:szCs w:val="24"/>
        </w:rPr>
        <w:t>diff</w:t>
      </w:r>
      <w:r w:rsidR="00E436AA" w:rsidRPr="00F871F8">
        <w:rPr>
          <w:rFonts w:ascii="Calibri" w:hAnsi="Calibri" w:cs="Calibri"/>
          <w:sz w:val="24"/>
          <w:szCs w:val="24"/>
        </w:rPr>
        <w:t xml:space="preserve">) by the time interval </w:t>
      </w:r>
      <w:r w:rsidR="00922D86" w:rsidRPr="00F871F8">
        <w:rPr>
          <w:rFonts w:ascii="Calibri" w:hAnsi="Calibri" w:cs="Calibri"/>
          <w:sz w:val="24"/>
          <w:szCs w:val="24"/>
        </w:rPr>
        <w:t xml:space="preserve">between images </w:t>
      </w:r>
      <w:r w:rsidR="00E436AA" w:rsidRPr="00F871F8">
        <w:rPr>
          <w:rFonts w:ascii="Calibri" w:hAnsi="Calibri" w:cs="Calibri"/>
          <w:sz w:val="24"/>
          <w:szCs w:val="24"/>
        </w:rPr>
        <w:t>(0.5 h).</w:t>
      </w:r>
    </w:p>
    <w:p w14:paraId="7856996A" w14:textId="77777777" w:rsidR="00376B25" w:rsidRPr="00F871F8" w:rsidRDefault="00376B25" w:rsidP="001B0A4E">
      <w:pPr>
        <w:pBdr>
          <w:top w:val="nil"/>
          <w:left w:val="nil"/>
          <w:bottom w:val="nil"/>
          <w:right w:val="nil"/>
          <w:between w:val="nil"/>
        </w:pBdr>
        <w:rPr>
          <w:b/>
          <w:bCs/>
        </w:rPr>
      </w:pPr>
    </w:p>
    <w:p w14:paraId="12FFE7EA" w14:textId="5AA64BAD" w:rsidR="00C31EA3" w:rsidRPr="00F871F8" w:rsidRDefault="00000000" w:rsidP="001B0A4E">
      <w:pPr>
        <w:pBdr>
          <w:top w:val="nil"/>
          <w:left w:val="nil"/>
          <w:bottom w:val="nil"/>
          <w:right w:val="nil"/>
          <w:between w:val="nil"/>
        </w:pBdr>
      </w:pPr>
      <w:r w:rsidRPr="00F871F8">
        <w:rPr>
          <w:b/>
        </w:rPr>
        <w:t xml:space="preserve">REPRESENTATIVE RESULTS: </w:t>
      </w:r>
    </w:p>
    <w:p w14:paraId="2D392A93" w14:textId="5E3B5EBE" w:rsidR="002B562E" w:rsidRPr="00F871F8" w:rsidRDefault="00000000" w:rsidP="001B0A4E">
      <w:r w:rsidRPr="00F871F8">
        <w:t>This protocol provides a</w:t>
      </w:r>
      <w:r w:rsidR="00771CE3" w:rsidRPr="00F871F8">
        <w:t xml:space="preserve">n experimental platform for </w:t>
      </w:r>
      <w:r w:rsidR="003C521E" w:rsidRPr="00F871F8">
        <w:t>spatiotemporally resolved</w:t>
      </w:r>
      <w:r w:rsidR="00771CE3" w:rsidRPr="00F871F8">
        <w:t xml:space="preserve"> imaging of biofilm formation and Mn biomineralization</w:t>
      </w:r>
      <w:r w:rsidR="009E2EB8" w:rsidRPr="00F871F8">
        <w:t>.</w:t>
      </w:r>
      <w:r w:rsidR="00771CE3" w:rsidRPr="00F871F8">
        <w:t xml:space="preserve"> </w:t>
      </w:r>
      <w:r w:rsidR="00736FDE" w:rsidRPr="00F871F8">
        <w:t>C</w:t>
      </w:r>
      <w:r w:rsidRPr="00F871F8">
        <w:t>olor brightfield images</w:t>
      </w:r>
      <w:r w:rsidR="00736FDE" w:rsidRPr="00F871F8">
        <w:t xml:space="preserve"> demonstrated</w:t>
      </w:r>
      <w:r w:rsidRPr="00F871F8">
        <w:t xml:space="preserve"> that </w:t>
      </w:r>
      <w:r w:rsidRPr="00F871F8">
        <w:rPr>
          <w:i/>
          <w:iCs/>
        </w:rPr>
        <w:t>P. putida</w:t>
      </w:r>
      <w:r w:rsidRPr="00F871F8">
        <w:t xml:space="preserve"> GB-1 biofilms were uniformly distributed throughout the </w:t>
      </w:r>
      <w:r w:rsidR="00E546D9" w:rsidRPr="00F871F8">
        <w:t xml:space="preserve">microfluidic </w:t>
      </w:r>
      <w:r w:rsidRPr="00F871F8">
        <w:t>pore space</w:t>
      </w:r>
      <w:r w:rsidR="00DA359B" w:rsidRPr="00F871F8">
        <w:t xml:space="preserve"> at </w:t>
      </w:r>
      <w:r w:rsidR="00542413" w:rsidRPr="00F871F8">
        <w:t>t = 18.5 h</w:t>
      </w:r>
      <w:r w:rsidRPr="00F871F8">
        <w:t xml:space="preserve"> </w:t>
      </w:r>
      <w:r w:rsidR="000C3DBF" w:rsidRPr="00F871F8">
        <w:t xml:space="preserve">prior to the onset of Mn oxide precipitation </w:t>
      </w:r>
      <w:r w:rsidR="009E2EB8" w:rsidRPr="00F871F8">
        <w:t>(</w:t>
      </w:r>
      <w:r w:rsidR="009E2EB8" w:rsidRPr="00F871F8">
        <w:rPr>
          <w:b/>
          <w:bCs/>
        </w:rPr>
        <w:t xml:space="preserve">Figure </w:t>
      </w:r>
      <w:r w:rsidR="00CD04FA" w:rsidRPr="00F871F8">
        <w:rPr>
          <w:b/>
          <w:bCs/>
        </w:rPr>
        <w:t>5A</w:t>
      </w:r>
      <w:r w:rsidR="009E2EB8" w:rsidRPr="00F871F8">
        <w:t>)</w:t>
      </w:r>
      <w:r w:rsidR="000C3DBF" w:rsidRPr="00F871F8">
        <w:t xml:space="preserve">. Subsequently, </w:t>
      </w:r>
      <w:r w:rsidRPr="00F871F8">
        <w:t xml:space="preserve">Mn oxides preferentially accumulated on the inlet side of the pore space closest to the influent </w:t>
      </w:r>
      <w:proofErr w:type="gramStart"/>
      <w:r w:rsidRPr="00F871F8">
        <w:t>Mn(</w:t>
      </w:r>
      <w:proofErr w:type="gramEnd"/>
      <w:r w:rsidRPr="00F871F8">
        <w:t>II) source (</w:t>
      </w:r>
      <w:r w:rsidRPr="00F871F8">
        <w:rPr>
          <w:b/>
          <w:bCs/>
        </w:rPr>
        <w:t xml:space="preserve">Figure </w:t>
      </w:r>
      <w:r w:rsidR="00CD04FA" w:rsidRPr="00F871F8">
        <w:rPr>
          <w:b/>
          <w:bCs/>
        </w:rPr>
        <w:t>5B</w:t>
      </w:r>
      <w:r w:rsidRPr="00F871F8">
        <w:t xml:space="preserve">). </w:t>
      </w:r>
      <w:r w:rsidR="00CD1B6C" w:rsidRPr="00F871F8">
        <w:t xml:space="preserve">The difference between </w:t>
      </w:r>
      <w:r w:rsidR="00D46938" w:rsidRPr="00F871F8">
        <w:t>the</w:t>
      </w:r>
      <w:r w:rsidR="004520B1" w:rsidRPr="00F871F8">
        <w:t xml:space="preserve"> </w:t>
      </w:r>
      <w:r w:rsidR="000D0258" w:rsidRPr="00F871F8">
        <w:t>reference image and subsequent image timepoints</w:t>
      </w:r>
      <w:r w:rsidR="00D46938" w:rsidRPr="00F871F8">
        <w:t xml:space="preserve"> </w:t>
      </w:r>
      <w:r w:rsidR="00B72939" w:rsidRPr="00F871F8">
        <w:t>revealed the isolated contribution of Mn oxide precipitates to the overall image intensity (Figure 5C) and enabled</w:t>
      </w:r>
      <w:r w:rsidR="006E4A9A" w:rsidRPr="00F871F8">
        <w:t xml:space="preserve"> quantification of</w:t>
      </w:r>
      <w:r w:rsidR="00032BDF" w:rsidRPr="00F871F8">
        <w:t xml:space="preserve"> the </w:t>
      </w:r>
      <w:r w:rsidR="00071F72" w:rsidRPr="00F871F8">
        <w:t>observed</w:t>
      </w:r>
      <w:r w:rsidR="00032BDF" w:rsidRPr="00F871F8">
        <w:t xml:space="preserve"> </w:t>
      </w:r>
      <w:r w:rsidR="00482D5D" w:rsidRPr="00F871F8">
        <w:t>reactor-scale</w:t>
      </w:r>
      <w:r w:rsidR="00536AD7" w:rsidRPr="00F871F8">
        <w:t xml:space="preserve"> gradient in mineral accumulation (</w:t>
      </w:r>
      <w:r w:rsidR="00536AD7" w:rsidRPr="00F871F8">
        <w:rPr>
          <w:b/>
          <w:bCs/>
        </w:rPr>
        <w:t xml:space="preserve">Figure </w:t>
      </w:r>
      <w:r w:rsidR="00CD04FA" w:rsidRPr="00F871F8">
        <w:rPr>
          <w:b/>
          <w:bCs/>
        </w:rPr>
        <w:t>5D</w:t>
      </w:r>
      <w:r w:rsidR="00536AD7" w:rsidRPr="00F871F8">
        <w:t>).</w:t>
      </w:r>
      <w:r w:rsidR="00482D5D" w:rsidRPr="00F871F8">
        <w:t xml:space="preserve"> </w:t>
      </w:r>
      <w:r w:rsidR="00B10FFA" w:rsidRPr="00F871F8">
        <w:t>At the biofilm</w:t>
      </w:r>
      <w:r w:rsidR="00B72939" w:rsidRPr="00F871F8">
        <w:t xml:space="preserve"> </w:t>
      </w:r>
      <w:r w:rsidR="00B10FFA" w:rsidRPr="00F871F8">
        <w:t xml:space="preserve">scale, </w:t>
      </w:r>
      <w:r w:rsidR="005615E5" w:rsidRPr="00F871F8">
        <w:t xml:space="preserve">this </w:t>
      </w:r>
      <w:r w:rsidR="00A15381" w:rsidRPr="00F871F8">
        <w:t xml:space="preserve">image subtraction approach captured the gradual </w:t>
      </w:r>
      <w:r w:rsidR="00B54EA0" w:rsidRPr="00F871F8">
        <w:t xml:space="preserve">precipitation </w:t>
      </w:r>
      <w:r w:rsidR="00A15381" w:rsidRPr="00F871F8">
        <w:t xml:space="preserve">of </w:t>
      </w:r>
      <w:r w:rsidRPr="00F871F8">
        <w:t xml:space="preserve">Mn oxides on biofilm surfaces and </w:t>
      </w:r>
      <w:r w:rsidR="00B54EA0" w:rsidRPr="00F871F8">
        <w:t xml:space="preserve">accumulation </w:t>
      </w:r>
      <w:r w:rsidR="00A15381" w:rsidRPr="00F871F8">
        <w:t>of minerals</w:t>
      </w:r>
      <w:r w:rsidRPr="00F871F8">
        <w:t xml:space="preserve"> at the edges of biofilms in contact with pore fluid (</w:t>
      </w:r>
      <w:r w:rsidRPr="00F871F8">
        <w:rPr>
          <w:b/>
          <w:bCs/>
        </w:rPr>
        <w:t>Figure 6</w:t>
      </w:r>
      <w:r w:rsidRPr="00F871F8">
        <w:t xml:space="preserve">). </w:t>
      </w:r>
    </w:p>
    <w:p w14:paraId="662F803E" w14:textId="77777777" w:rsidR="00957E26" w:rsidRPr="00F871F8" w:rsidRDefault="00957E26" w:rsidP="001B0A4E"/>
    <w:p w14:paraId="77D8DA8F" w14:textId="0BFB7C94" w:rsidR="006E1A21" w:rsidRPr="00F871F8" w:rsidRDefault="00000000" w:rsidP="001B0A4E">
      <w:r w:rsidRPr="00F871F8">
        <w:t xml:space="preserve">The protocol further provides a workflow </w:t>
      </w:r>
      <w:r w:rsidR="0068270A" w:rsidRPr="00F871F8">
        <w:t>to estimate</w:t>
      </w:r>
      <w:r w:rsidR="000E04DE" w:rsidRPr="00F871F8">
        <w:t xml:space="preserve"> </w:t>
      </w:r>
      <w:r w:rsidR="00FF735C" w:rsidRPr="00F871F8">
        <w:t>the kinetics of Mn oxide precipitation from image subtraction and ICP-MS</w:t>
      </w:r>
      <w:r w:rsidR="00DD17ED" w:rsidRPr="00F871F8">
        <w:t xml:space="preserve"> measurements</w:t>
      </w:r>
      <w:r w:rsidR="00FF735C" w:rsidRPr="00F871F8">
        <w:t xml:space="preserve">. </w:t>
      </w:r>
      <w:r w:rsidR="00DD17ED" w:rsidRPr="00F871F8">
        <w:t>Triplicate microfluidic reactors contained</w:t>
      </w:r>
      <w:r w:rsidR="00AA6851" w:rsidRPr="00F871F8">
        <w:t xml:space="preserve"> </w:t>
      </w:r>
      <w:r w:rsidR="008A7808" w:rsidRPr="00F871F8">
        <w:t xml:space="preserve">4.29 ± </w:t>
      </w:r>
      <w:r w:rsidR="008A7808" w:rsidRPr="00F871F8">
        <w:lastRenderedPageBreak/>
        <w:t xml:space="preserve">0.22 </w:t>
      </w:r>
      <w:r w:rsidR="004D2966" w:rsidRPr="00F871F8">
        <w:t>µ</w:t>
      </w:r>
      <w:r w:rsidR="002B562E" w:rsidRPr="00F871F8">
        <w:t>g Mn</w:t>
      </w:r>
      <w:r w:rsidR="00562AC6" w:rsidRPr="00F871F8">
        <w:t xml:space="preserve"> </w:t>
      </w:r>
      <w:r w:rsidR="002B562E" w:rsidRPr="00F871F8">
        <w:t>at the final experimental time</w:t>
      </w:r>
      <w:r w:rsidR="00B72939" w:rsidRPr="00F871F8">
        <w:t xml:space="preserve"> </w:t>
      </w:r>
      <w:r w:rsidR="002B562E" w:rsidRPr="00F871F8">
        <w:t xml:space="preserve">point. </w:t>
      </w:r>
      <w:r w:rsidR="00065FFC" w:rsidRPr="00F871F8">
        <w:t>Acid digestion of the reactor contents</w:t>
      </w:r>
      <w:r w:rsidR="0044216F" w:rsidRPr="00F871F8">
        <w:t xml:space="preserve"> was validated previously using synchrotron-based measurements of Mn oxide mass and found to result in less than 18% error</w:t>
      </w:r>
      <w:r w:rsidR="00E043E6" w:rsidRPr="00F871F8">
        <w:fldChar w:fldCharType="begin"/>
      </w:r>
      <w:r w:rsidR="00432E5F" w:rsidRPr="00F871F8">
        <w:instrText xml:space="preserve"> ADDIN ZOTERO_ITEM CSL_CITATION {"citationID":"9JXG8Ezy","properties":{"formattedCitation":"\\super 61\\nosupersub{}","plainCitation":"61","noteIndex":0},"citationItems":[{"id":2246,"uris":["http://zotero.org/users/7069502/items/9BVJ7JRC"],"itemData":{"id":2246,"type":"article-journal","abstract":"Microbial oxidation of manganese (Mn) from aqueous Mn(II) to solid-phase Mn(III, IV) minerals catalyzes Mn(II) removal in natural and engineered porous systems. However, little is known about the spatiotemporal evolution of Mn biomineralization in confined spaces that experience simultaneous Mn(II) delivery and Mn oxide precipitation. Here, we combine time-lapse microscopy, image analysis, and mass spectrometry to quantify the extent and rate of Mn biomineralization by Pseudomonas putida GB-1 in an optically transparent two-dimensional porous medium. We found that Mn(II) oxidation initially occurred within biofilms but shifted over time toward the edges of biofilms in contact with pore fluid. Minerals precipitated outside of the initial biofilm footprint likely due to surface-mediated oxidation of Mn(II) by nascent biogenic Mn oxides, reinforcing a gradient in mineral accumulation from the Mn(II) source near the reactor inlet to the outlet. The rate of mineral precipitation outside the biofilm footprint surpassed the rate of mineral accumulation inside biofilms within 6 h and accounted for two-thirds of the total Mn oxide mass in the pore space at the end of the experiment. This work advances a mechanistic understanding of coupled biotic and abiotic Mn oxidation in porous environments while providing a novel platform to quantify microbe–mineral–fluid interactions.","container-title":"Environmental Science &amp; Technology","DOI":"10.1021/acs.est.5c11326","ISSN":"0013-936X","issue":"1","journalAbbreviation":"Environ. Sci. Technol.","note":"publisher: American Chemical Society","page":"654-663","source":"ACS Publications","title":"Enhanced Manganese Oxidation at the Biofilm–Fluid Interface Drives Pore-Scale Patterns in Mineral Precipitation","volume":"60","author":[{"family":"Fadely","given":"Eleanor C."},{"family":"Gehin","given":"Gaitan"},{"family":"Bone","given":"Sharon E."},{"family":"Webb","given":"Samuel M."},{"family":"Morales","given":"Verónica L."},{"family":"Peña","given":"Jasquelin"}],"issued":{"date-parts":[["2026",1,13]]}}}],"schema":"https://github.com/citation-style-language/schema/raw/master/csl-citation.json"} </w:instrText>
      </w:r>
      <w:r w:rsidR="00E043E6" w:rsidRPr="00F871F8">
        <w:fldChar w:fldCharType="separate"/>
      </w:r>
      <w:r w:rsidR="00432E5F" w:rsidRPr="00F871F8">
        <w:rPr>
          <w:vertAlign w:val="superscript"/>
        </w:rPr>
        <w:t>61</w:t>
      </w:r>
      <w:r w:rsidR="00E043E6" w:rsidRPr="00F871F8">
        <w:fldChar w:fldCharType="end"/>
      </w:r>
      <w:r w:rsidR="00F11737" w:rsidRPr="00F871F8">
        <w:t xml:space="preserve">. </w:t>
      </w:r>
      <w:r w:rsidR="00C95031" w:rsidRPr="00F871F8">
        <w:t xml:space="preserve">Therefore, </w:t>
      </w:r>
      <w:r w:rsidR="005615E5" w:rsidRPr="00F871F8">
        <w:t xml:space="preserve">the </w:t>
      </w:r>
      <w:r w:rsidR="00E455D8" w:rsidRPr="00F871F8">
        <w:t xml:space="preserve">intensity-corrected </w:t>
      </w:r>
      <w:r w:rsidR="001765E8" w:rsidRPr="00F871F8">
        <w:t>matrices</w:t>
      </w:r>
      <w:r w:rsidR="00E455D8" w:rsidRPr="00F871F8">
        <w:t xml:space="preserve"> </w:t>
      </w:r>
      <w:r w:rsidR="005615E5" w:rsidRPr="00F871F8">
        <w:t xml:space="preserve">were rescaled </w:t>
      </w:r>
      <w:r w:rsidR="00E455D8" w:rsidRPr="00F871F8">
        <w:t>to this final mass</w:t>
      </w:r>
      <w:r w:rsidR="007C708A" w:rsidRPr="00F871F8">
        <w:t>. The resulting</w:t>
      </w:r>
      <w:r w:rsidR="00E043E6" w:rsidRPr="00F871F8">
        <w:t xml:space="preserve"> </w:t>
      </w:r>
      <w:r w:rsidR="007C708A" w:rsidRPr="00F871F8">
        <w:t xml:space="preserve">estimated </w:t>
      </w:r>
      <w:r w:rsidR="002B562E" w:rsidRPr="00F871F8">
        <w:t>rate of Mn oxide precipitation was non-monotonic, increasing steeply between t = 19.5 h and t = 21</w:t>
      </w:r>
      <w:r w:rsidR="001765E8" w:rsidRPr="00F871F8">
        <w:t xml:space="preserve"> </w:t>
      </w:r>
      <w:r w:rsidR="002B562E" w:rsidRPr="00F871F8">
        <w:t xml:space="preserve">h, before peaking at </w:t>
      </w:r>
      <w:r w:rsidR="00D11BA0" w:rsidRPr="00F871F8">
        <w:t xml:space="preserve">0.29 ± </w:t>
      </w:r>
      <w:r w:rsidR="00BF6B66" w:rsidRPr="00F871F8">
        <w:t>0.04 µg</w:t>
      </w:r>
      <w:r w:rsidR="00A045B4" w:rsidRPr="00F871F8">
        <w:t>·</w:t>
      </w:r>
      <w:r w:rsidR="00BF6B66" w:rsidRPr="00F871F8">
        <w:t>h</w:t>
      </w:r>
      <w:r w:rsidR="00BF6B66" w:rsidRPr="00F871F8">
        <w:rPr>
          <w:vertAlign w:val="superscript"/>
        </w:rPr>
        <w:t>-1</w:t>
      </w:r>
      <w:r w:rsidR="002B562E" w:rsidRPr="00F871F8">
        <w:t xml:space="preserve"> and decelerating gradually until t = 43.5 h (</w:t>
      </w:r>
      <w:r w:rsidR="002B562E" w:rsidRPr="00F871F8">
        <w:rPr>
          <w:b/>
          <w:bCs/>
        </w:rPr>
        <w:t>Figure 7</w:t>
      </w:r>
      <w:r w:rsidR="002B562E" w:rsidRPr="00F871F8">
        <w:t xml:space="preserve">). </w:t>
      </w:r>
      <w:r w:rsidR="00480EE0" w:rsidRPr="00F871F8">
        <w:t xml:space="preserve">It should be noted that this rate calculation does not account for any nanoparticulate Mn oxides below the </w:t>
      </w:r>
      <w:r w:rsidR="00457CD0" w:rsidRPr="00F871F8">
        <w:t>resolution of the optical microscope</w:t>
      </w:r>
      <w:r w:rsidR="00480EE0" w:rsidRPr="00F871F8">
        <w:t xml:space="preserve"> or for any oxide mass lost due to transport over the experiment duration</w:t>
      </w:r>
      <w:r w:rsidR="00314462" w:rsidRPr="00F871F8">
        <w:t>, which is expected to be minimal</w:t>
      </w:r>
      <w:r w:rsidR="00480EE0" w:rsidRPr="00F871F8">
        <w:t xml:space="preserve">. </w:t>
      </w:r>
      <w:r w:rsidR="00170621" w:rsidRPr="00F871F8">
        <w:t>This</w:t>
      </w:r>
      <w:r w:rsidR="008A5378" w:rsidRPr="00F871F8">
        <w:t xml:space="preserve"> approach </w:t>
      </w:r>
      <w:r w:rsidR="00155DAB" w:rsidRPr="00F871F8">
        <w:t>therefore takes advantage of</w:t>
      </w:r>
      <w:r w:rsidR="00E963D2" w:rsidRPr="00F871F8">
        <w:t xml:space="preserve"> accessible microscopy </w:t>
      </w:r>
      <w:r w:rsidR="00E358AA" w:rsidRPr="00F871F8">
        <w:t>techniques</w:t>
      </w:r>
      <w:r w:rsidR="00E963D2" w:rsidRPr="00F871F8">
        <w:t xml:space="preserve"> to</w:t>
      </w:r>
      <w:r w:rsidR="008A5378" w:rsidRPr="00F871F8">
        <w:t xml:space="preserve"> </w:t>
      </w:r>
      <w:r w:rsidR="00422A59" w:rsidRPr="00F871F8">
        <w:t>semi-quantitatively evaluate</w:t>
      </w:r>
      <w:r w:rsidR="007C708A" w:rsidRPr="00F871F8">
        <w:t xml:space="preserve"> </w:t>
      </w:r>
      <w:r w:rsidR="006B73DF" w:rsidRPr="00F871F8">
        <w:t xml:space="preserve">temporal trends in </w:t>
      </w:r>
      <w:r w:rsidR="001161D6" w:rsidRPr="00F871F8">
        <w:t>bio</w:t>
      </w:r>
      <w:r w:rsidR="006B73DF" w:rsidRPr="00F871F8">
        <w:t xml:space="preserve">mineralization kinetics. </w:t>
      </w:r>
      <w:r w:rsidR="008A5378" w:rsidRPr="00F871F8">
        <w:t xml:space="preserve"> </w:t>
      </w:r>
      <w:r w:rsidR="00927648" w:rsidRPr="00F871F8">
        <w:t xml:space="preserve"> </w:t>
      </w:r>
    </w:p>
    <w:p w14:paraId="079B5679" w14:textId="77777777" w:rsidR="006E4797" w:rsidRPr="00F871F8" w:rsidRDefault="006E4797" w:rsidP="001B0A4E"/>
    <w:p w14:paraId="6D510784" w14:textId="488AE7E3" w:rsidR="006E4797" w:rsidRPr="00F871F8" w:rsidRDefault="00000000" w:rsidP="001B0A4E">
      <w:r w:rsidRPr="00F871F8">
        <w:rPr>
          <w:b/>
        </w:rPr>
        <w:t>FIGURE AND TABLE LEGENDS:</w:t>
      </w:r>
    </w:p>
    <w:p w14:paraId="7487F447" w14:textId="34E30BEC" w:rsidR="00F30B46" w:rsidRPr="00F871F8" w:rsidRDefault="00000000" w:rsidP="001B0A4E">
      <w:r w:rsidRPr="00F871F8">
        <w:rPr>
          <w:b/>
          <w:bCs/>
        </w:rPr>
        <w:t>Figure 1:</w:t>
      </w:r>
      <w:r w:rsidRPr="00F871F8">
        <w:t xml:space="preserve"> </w:t>
      </w:r>
      <w:r w:rsidR="000C6294" w:rsidRPr="00F871F8">
        <w:rPr>
          <w:b/>
          <w:bCs/>
        </w:rPr>
        <w:t>F</w:t>
      </w:r>
      <w:r w:rsidRPr="00F871F8">
        <w:rPr>
          <w:b/>
          <w:bCs/>
        </w:rPr>
        <w:t xml:space="preserve">low control system and </w:t>
      </w:r>
      <w:r w:rsidR="000C6294" w:rsidRPr="00F871F8">
        <w:rPr>
          <w:b/>
          <w:bCs/>
        </w:rPr>
        <w:t xml:space="preserve">microfluidic </w:t>
      </w:r>
      <w:r w:rsidRPr="00F871F8">
        <w:rPr>
          <w:b/>
          <w:bCs/>
        </w:rPr>
        <w:t>reactor geometry.</w:t>
      </w:r>
      <w:r w:rsidRPr="00F871F8">
        <w:t xml:space="preserve"> </w:t>
      </w:r>
      <w:r w:rsidR="0010689F" w:rsidRPr="00F871F8">
        <w:t xml:space="preserve">The </w:t>
      </w:r>
      <w:r w:rsidRPr="00F871F8">
        <w:t xml:space="preserve">experimental system consists of a </w:t>
      </w:r>
      <w:r w:rsidR="00B72939" w:rsidRPr="00F871F8">
        <w:t xml:space="preserve">(1) </w:t>
      </w:r>
      <w:r w:rsidRPr="00F871F8">
        <w:t xml:space="preserve">flow controller connected via </w:t>
      </w:r>
      <w:r w:rsidR="00B72939" w:rsidRPr="00F871F8">
        <w:t xml:space="preserve">(2) </w:t>
      </w:r>
      <w:r w:rsidRPr="00F871F8">
        <w:t xml:space="preserve">pneumatic tubing to a </w:t>
      </w:r>
      <w:r w:rsidR="00B72939" w:rsidRPr="00F871F8">
        <w:t xml:space="preserve">(3) </w:t>
      </w:r>
      <w:r w:rsidRPr="00F871F8">
        <w:t xml:space="preserve">fluid reservoir rack, a distribution valve to provide </w:t>
      </w:r>
      <w:r w:rsidR="00B72939" w:rsidRPr="00F871F8">
        <w:t xml:space="preserve">(4) </w:t>
      </w:r>
      <w:r w:rsidRPr="00F871F8">
        <w:t>sequential injection of growth medium (</w:t>
      </w:r>
      <w:proofErr w:type="spellStart"/>
      <w:r w:rsidRPr="00F871F8">
        <w:t>G</w:t>
      </w:r>
      <w:r w:rsidR="000C6294" w:rsidRPr="00F871F8">
        <w:t>M</w:t>
      </w:r>
      <w:r w:rsidRPr="00F871F8">
        <w:rPr>
          <w:vertAlign w:val="subscript"/>
        </w:rPr>
        <w:t>Mn</w:t>
      </w:r>
      <w:proofErr w:type="spellEnd"/>
      <w:r w:rsidRPr="00F871F8">
        <w:t>) and salt solution (</w:t>
      </w:r>
      <w:proofErr w:type="spellStart"/>
      <w:r w:rsidRPr="00F871F8">
        <w:t>SS</w:t>
      </w:r>
      <w:r w:rsidRPr="00F871F8">
        <w:rPr>
          <w:vertAlign w:val="subscript"/>
        </w:rPr>
        <w:t>Mn</w:t>
      </w:r>
      <w:proofErr w:type="spellEnd"/>
      <w:r w:rsidRPr="00F871F8">
        <w:t>)</w:t>
      </w:r>
      <w:r w:rsidR="00B72939" w:rsidRPr="00F871F8">
        <w:t>,</w:t>
      </w:r>
      <w:r w:rsidRPr="00F871F8">
        <w:t xml:space="preserve"> (</w:t>
      </w:r>
      <w:r w:rsidR="00B72939" w:rsidRPr="00F871F8">
        <w:t>5</w:t>
      </w:r>
      <w:r w:rsidRPr="00F871F8">
        <w:t xml:space="preserve">) a flow sensor connected to the </w:t>
      </w:r>
      <w:r w:rsidR="00B72939" w:rsidRPr="00F871F8">
        <w:t xml:space="preserve">(6) </w:t>
      </w:r>
      <w:r w:rsidRPr="00F871F8">
        <w:t xml:space="preserve">flow controller to provide real-time feedback and flow adjustment, </w:t>
      </w:r>
      <w:r w:rsidR="00B72939" w:rsidRPr="00F871F8">
        <w:t xml:space="preserve">(7) </w:t>
      </w:r>
      <w:r w:rsidRPr="00F871F8">
        <w:t xml:space="preserve">PEEK tubing with a small inner diameter to provide fluidic resistance, and </w:t>
      </w:r>
      <w:r w:rsidR="00B72939" w:rsidRPr="00F871F8">
        <w:t xml:space="preserve">(8) </w:t>
      </w:r>
      <w:r w:rsidRPr="00F871F8">
        <w:t xml:space="preserve">a bubble trap upstream of the </w:t>
      </w:r>
      <w:r w:rsidR="00B72939" w:rsidRPr="00F871F8">
        <w:t xml:space="preserve">(9) </w:t>
      </w:r>
      <w:r w:rsidRPr="00F871F8">
        <w:t>microfluidic reactor. System schematic not to scale.</w:t>
      </w:r>
    </w:p>
    <w:p w14:paraId="3291D140" w14:textId="77777777" w:rsidR="0019159D" w:rsidRPr="00F871F8" w:rsidRDefault="0019159D" w:rsidP="001B0A4E"/>
    <w:p w14:paraId="5A2610AE" w14:textId="14535084" w:rsidR="0019159D" w:rsidRPr="00F871F8" w:rsidRDefault="00000000" w:rsidP="001B0A4E">
      <w:r w:rsidRPr="00F871F8">
        <w:rPr>
          <w:b/>
          <w:bCs/>
        </w:rPr>
        <w:t>Figure 2:</w:t>
      </w:r>
      <w:r w:rsidRPr="00F871F8">
        <w:t xml:space="preserve"> </w:t>
      </w:r>
      <w:r w:rsidRPr="00F871F8">
        <w:rPr>
          <w:b/>
          <w:bCs/>
        </w:rPr>
        <w:t xml:space="preserve">Custom-built ultraviolet-C (UVC) irradiation system for microfluidic </w:t>
      </w:r>
      <w:r w:rsidR="00FF2D6F" w:rsidRPr="00F871F8">
        <w:rPr>
          <w:b/>
          <w:bCs/>
        </w:rPr>
        <w:t>reactors</w:t>
      </w:r>
      <w:r w:rsidRPr="00F871F8">
        <w:rPr>
          <w:b/>
          <w:bCs/>
        </w:rPr>
        <w:t>.</w:t>
      </w:r>
      <w:r w:rsidRPr="00F871F8">
        <w:t xml:space="preserve"> (</w:t>
      </w:r>
      <w:r w:rsidR="00680E7D" w:rsidRPr="00F871F8">
        <w:rPr>
          <w:b/>
          <w:bCs/>
        </w:rPr>
        <w:t>A</w:t>
      </w:r>
      <w:r w:rsidRPr="00F871F8">
        <w:t>). Top view of the system mounted on the microscope stage</w:t>
      </w:r>
      <w:r w:rsidR="002035A4" w:rsidRPr="00F871F8">
        <w:t xml:space="preserve"> insert</w:t>
      </w:r>
      <w:r w:rsidRPr="00F871F8">
        <w:t xml:space="preserve"> showing posable arms (blue) with attached UVC light-emitting diode (LED) arrays (</w:t>
      </w:r>
      <w:r w:rsidR="00D32046" w:rsidRPr="00F871F8">
        <w:t>yellow rectangles</w:t>
      </w:r>
      <w:r w:rsidRPr="00F871F8">
        <w:t>) and a microfluidic reactor mounted on a sample frame (</w:t>
      </w:r>
      <w:r w:rsidR="00D32046" w:rsidRPr="00F871F8">
        <w:t xml:space="preserve">small </w:t>
      </w:r>
      <w:r w:rsidRPr="00F871F8">
        <w:t>gray rectangle). (</w:t>
      </w:r>
      <w:r w:rsidR="00680E7D" w:rsidRPr="00F871F8">
        <w:rPr>
          <w:b/>
          <w:bCs/>
        </w:rPr>
        <w:t>B</w:t>
      </w:r>
      <w:r w:rsidRPr="00F871F8">
        <w:t>). Bottom view of the system showing UVC LEDs (tan squares)</w:t>
      </w:r>
      <w:r w:rsidR="00686FD0" w:rsidRPr="00F871F8">
        <w:t xml:space="preserve"> embedded</w:t>
      </w:r>
      <w:r w:rsidRPr="00F871F8">
        <w:t xml:space="preserve"> in the posable arms.</w:t>
      </w:r>
    </w:p>
    <w:p w14:paraId="3332938D" w14:textId="77777777" w:rsidR="0019159D" w:rsidRPr="00F871F8" w:rsidRDefault="0019159D" w:rsidP="001B0A4E"/>
    <w:p w14:paraId="7E506A31" w14:textId="324D136D" w:rsidR="004B34DB" w:rsidRPr="00F871F8" w:rsidRDefault="00000000" w:rsidP="001B0A4E">
      <w:r w:rsidRPr="00F871F8">
        <w:rPr>
          <w:b/>
          <w:bCs/>
        </w:rPr>
        <w:t>Figure 3: Effect of UVC irradiation</w:t>
      </w:r>
      <w:r w:rsidR="002D2A6A" w:rsidRPr="00F871F8">
        <w:rPr>
          <w:b/>
          <w:bCs/>
        </w:rPr>
        <w:t xml:space="preserve"> on</w:t>
      </w:r>
      <w:r w:rsidRPr="00F871F8">
        <w:rPr>
          <w:b/>
          <w:bCs/>
        </w:rPr>
        <w:t xml:space="preserve"> the microfluidic reactor inlet</w:t>
      </w:r>
      <w:r w:rsidR="002D2A6A" w:rsidRPr="00F871F8">
        <w:rPr>
          <w:b/>
          <w:bCs/>
        </w:rPr>
        <w:t xml:space="preserve"> region</w:t>
      </w:r>
      <w:r w:rsidRPr="00F871F8">
        <w:t>. (</w:t>
      </w:r>
      <w:r w:rsidR="00680E7D" w:rsidRPr="00F871F8">
        <w:rPr>
          <w:b/>
          <w:bCs/>
        </w:rPr>
        <w:t>A</w:t>
      </w:r>
      <w:r w:rsidRPr="00F871F8">
        <w:t xml:space="preserve">). </w:t>
      </w:r>
      <w:r w:rsidR="008F1338" w:rsidRPr="00F871F8">
        <w:t>R</w:t>
      </w:r>
      <w:r w:rsidRPr="00F871F8">
        <w:t xml:space="preserve">eactor inlet </w:t>
      </w:r>
      <w:r w:rsidR="008F1338" w:rsidRPr="00F871F8">
        <w:t xml:space="preserve">region </w:t>
      </w:r>
      <w:r w:rsidRPr="00F871F8">
        <w:t>with a 5-min UVC treatment at t = 0 h showing proper alignment for complete removal of unwanted biofilms. (</w:t>
      </w:r>
      <w:r w:rsidR="00680E7D" w:rsidRPr="00F871F8">
        <w:rPr>
          <w:b/>
          <w:bCs/>
        </w:rPr>
        <w:t>B</w:t>
      </w:r>
      <w:r w:rsidRPr="00F871F8">
        <w:t xml:space="preserve">). </w:t>
      </w:r>
      <w:r w:rsidR="008F1338" w:rsidRPr="00F871F8">
        <w:t>Reactor inlet region</w:t>
      </w:r>
      <w:r w:rsidRPr="00F871F8">
        <w:t xml:space="preserve"> with an improperly aligned UVC array, which left residual biofilms in the inlet hole and outside of the pore space, allowing Mn oxides to precipitate upstream. (</w:t>
      </w:r>
      <w:r w:rsidR="00680E7D" w:rsidRPr="00F871F8">
        <w:rPr>
          <w:b/>
          <w:bCs/>
        </w:rPr>
        <w:t>C</w:t>
      </w:r>
      <w:r w:rsidRPr="00F871F8">
        <w:t xml:space="preserve">). </w:t>
      </w:r>
      <w:r w:rsidR="00A46876" w:rsidRPr="00F871F8">
        <w:t>Reactor inlet region</w:t>
      </w:r>
      <w:r w:rsidR="00013C92" w:rsidRPr="00F871F8">
        <w:t xml:space="preserve"> </w:t>
      </w:r>
      <w:r w:rsidRPr="00F871F8">
        <w:t xml:space="preserve">with no UVC treatment, leading to extensive biofilm growth and mineral precipitation. </w:t>
      </w:r>
      <w:r w:rsidR="00E05354" w:rsidRPr="00F871F8">
        <w:t>Gray s</w:t>
      </w:r>
      <w:r w:rsidR="00A46876" w:rsidRPr="00F871F8">
        <w:t xml:space="preserve">hading delineates the pore space. </w:t>
      </w:r>
      <w:r w:rsidRPr="00F871F8">
        <w:t>Scale bar is 2 mm.</w:t>
      </w:r>
    </w:p>
    <w:p w14:paraId="2CC3D06E" w14:textId="77777777" w:rsidR="00492715" w:rsidRPr="00F871F8" w:rsidRDefault="00492715" w:rsidP="001B0A4E"/>
    <w:p w14:paraId="19018CFF" w14:textId="58D95C2F" w:rsidR="00492715" w:rsidRPr="00F871F8" w:rsidRDefault="00000000" w:rsidP="001B0A4E">
      <w:r w:rsidRPr="00F871F8">
        <w:rPr>
          <w:b/>
          <w:bCs/>
        </w:rPr>
        <w:t xml:space="preserve">Figure 4: Image subtraction workflow to </w:t>
      </w:r>
      <w:r w:rsidR="002D2A6A" w:rsidRPr="00F871F8">
        <w:rPr>
          <w:b/>
          <w:bCs/>
        </w:rPr>
        <w:t xml:space="preserve">isolate </w:t>
      </w:r>
      <w:r w:rsidRPr="00F871F8">
        <w:rPr>
          <w:b/>
          <w:bCs/>
        </w:rPr>
        <w:t xml:space="preserve">Mn oxide </w:t>
      </w:r>
      <w:r w:rsidR="002D2A6A" w:rsidRPr="00F871F8">
        <w:rPr>
          <w:b/>
          <w:bCs/>
        </w:rPr>
        <w:t>precipitates</w:t>
      </w:r>
      <w:r w:rsidRPr="00F871F8">
        <w:rPr>
          <w:b/>
          <w:bCs/>
        </w:rPr>
        <w:t xml:space="preserve">. </w:t>
      </w:r>
      <w:r w:rsidRPr="00F871F8">
        <w:t xml:space="preserve">From time-lapse color brightfield images, </w:t>
      </w:r>
      <w:r w:rsidR="00B72939" w:rsidRPr="00F871F8">
        <w:t xml:space="preserve">(1) </w:t>
      </w:r>
      <w:r w:rsidRPr="00F871F8">
        <w:t>a reference image (</w:t>
      </w:r>
      <w:proofErr w:type="spellStart"/>
      <w:r w:rsidRPr="00F871F8">
        <w:t>t</w:t>
      </w:r>
      <w:r w:rsidRPr="00F871F8">
        <w:rPr>
          <w:vertAlign w:val="subscript"/>
        </w:rPr>
        <w:t>ref</w:t>
      </w:r>
      <w:proofErr w:type="spellEnd"/>
      <w:r w:rsidRPr="00F871F8">
        <w:t xml:space="preserve">) was identified to remove the </w:t>
      </w:r>
      <w:r w:rsidR="004C2E83" w:rsidRPr="00F871F8">
        <w:t xml:space="preserve">intensity </w:t>
      </w:r>
      <w:r w:rsidRPr="00F871F8">
        <w:t xml:space="preserve">of the underlying stationary phase biofilms from all subsequent </w:t>
      </w:r>
      <w:r w:rsidR="00B72939" w:rsidRPr="00F871F8">
        <w:t xml:space="preserve">(2) </w:t>
      </w:r>
      <w:r w:rsidRPr="00F871F8">
        <w:t>timepoint images (</w:t>
      </w:r>
      <w:proofErr w:type="spellStart"/>
      <w:r w:rsidRPr="00F871F8">
        <w:t>t</w:t>
      </w:r>
      <w:r w:rsidRPr="00F871F8">
        <w:rPr>
          <w:vertAlign w:val="subscript"/>
        </w:rPr>
        <w:t>n</w:t>
      </w:r>
      <w:proofErr w:type="spellEnd"/>
      <w:r w:rsidRPr="00F871F8">
        <w:t xml:space="preserve">). </w:t>
      </w:r>
      <w:r w:rsidR="00B72939" w:rsidRPr="00F871F8">
        <w:t xml:space="preserve">(3) </w:t>
      </w:r>
      <w:r w:rsidR="0010612D" w:rsidRPr="00F871F8">
        <w:t>Binary</w:t>
      </w:r>
      <w:r w:rsidRPr="00F871F8">
        <w:t xml:space="preserve"> mask</w:t>
      </w:r>
      <w:r w:rsidR="0010612D" w:rsidRPr="00F871F8">
        <w:t>s</w:t>
      </w:r>
      <w:r w:rsidRPr="00F871F8">
        <w:t xml:space="preserve"> of all </w:t>
      </w:r>
      <w:proofErr w:type="spellStart"/>
      <w:r w:rsidRPr="00F871F8">
        <w:t>t</w:t>
      </w:r>
      <w:r w:rsidRPr="00F871F8">
        <w:rPr>
          <w:vertAlign w:val="subscript"/>
        </w:rPr>
        <w:t>n</w:t>
      </w:r>
      <w:proofErr w:type="spellEnd"/>
      <w:r w:rsidRPr="00F871F8">
        <w:t xml:space="preserve"> </w:t>
      </w:r>
      <w:r w:rsidR="0010612D" w:rsidRPr="00F871F8">
        <w:t>were</w:t>
      </w:r>
      <w:r w:rsidRPr="00F871F8">
        <w:t xml:space="preserve"> generated and multiplied by both</w:t>
      </w:r>
      <w:r w:rsidR="00B72939" w:rsidRPr="00F871F8">
        <w:t xml:space="preserve"> (4</w:t>
      </w:r>
      <w:proofErr w:type="gramStart"/>
      <w:r w:rsidR="00B72939" w:rsidRPr="00F871F8">
        <w:t xml:space="preserve">) </w:t>
      </w:r>
      <w:r w:rsidRPr="00F871F8">
        <w:t xml:space="preserve"> </w:t>
      </w:r>
      <w:proofErr w:type="spellStart"/>
      <w:r w:rsidRPr="00F871F8">
        <w:t>t</w:t>
      </w:r>
      <w:r w:rsidRPr="00F871F8">
        <w:rPr>
          <w:vertAlign w:val="subscript"/>
        </w:rPr>
        <w:t>ref</w:t>
      </w:r>
      <w:proofErr w:type="spellEnd"/>
      <w:proofErr w:type="gramEnd"/>
      <w:r w:rsidRPr="00F871F8">
        <w:t xml:space="preserve"> and the corresponding</w:t>
      </w:r>
      <w:r w:rsidR="00B72939" w:rsidRPr="00F871F8">
        <w:t xml:space="preserve"> (5</w:t>
      </w:r>
      <w:proofErr w:type="gramStart"/>
      <w:r w:rsidR="00B72939" w:rsidRPr="00F871F8">
        <w:t xml:space="preserve">) </w:t>
      </w:r>
      <w:r w:rsidRPr="00F871F8">
        <w:t xml:space="preserve"> </w:t>
      </w:r>
      <w:proofErr w:type="spellStart"/>
      <w:r w:rsidRPr="00F871F8">
        <w:t>t</w:t>
      </w:r>
      <w:r w:rsidRPr="00F871F8">
        <w:rPr>
          <w:vertAlign w:val="subscript"/>
        </w:rPr>
        <w:t>n</w:t>
      </w:r>
      <w:proofErr w:type="spellEnd"/>
      <w:proofErr w:type="gramEnd"/>
      <w:r w:rsidRPr="00F871F8">
        <w:t xml:space="preserve"> to capture biofilm-biomineral extent. Finally, </w:t>
      </w:r>
      <w:r w:rsidR="00B72939" w:rsidRPr="00F871F8">
        <w:t xml:space="preserve">(6) </w:t>
      </w:r>
      <w:r w:rsidRPr="00F871F8">
        <w:t xml:space="preserve">the masked </w:t>
      </w:r>
      <w:proofErr w:type="spellStart"/>
      <w:r w:rsidRPr="00F871F8">
        <w:t>t</w:t>
      </w:r>
      <w:r w:rsidRPr="00F871F8">
        <w:rPr>
          <w:vertAlign w:val="subscript"/>
        </w:rPr>
        <w:t>n</w:t>
      </w:r>
      <w:proofErr w:type="spellEnd"/>
      <w:r w:rsidRPr="00F871F8">
        <w:t xml:space="preserve"> were subtracted from the masked </w:t>
      </w:r>
      <w:proofErr w:type="spellStart"/>
      <w:r w:rsidRPr="00F871F8">
        <w:t>t</w:t>
      </w:r>
      <w:r w:rsidRPr="00F871F8">
        <w:rPr>
          <w:vertAlign w:val="subscript"/>
        </w:rPr>
        <w:t>ref</w:t>
      </w:r>
      <w:proofErr w:type="spellEnd"/>
      <w:r w:rsidRPr="00F871F8">
        <w:t xml:space="preserve">. The resulting intensity-corrected </w:t>
      </w:r>
      <w:r w:rsidR="0010612D" w:rsidRPr="00F871F8">
        <w:t>matrices quantify</w:t>
      </w:r>
      <w:r w:rsidRPr="00F871F8">
        <w:t xml:space="preserve"> the decrease in intensity (</w:t>
      </w:r>
      <w:proofErr w:type="spellStart"/>
      <w:r w:rsidRPr="00F871F8">
        <w:t>a.u</w:t>
      </w:r>
      <w:proofErr w:type="spellEnd"/>
      <w:r w:rsidRPr="00F871F8">
        <w:t>.) due to Mn oxide accumulation at each pixel.</w:t>
      </w:r>
    </w:p>
    <w:p w14:paraId="3017C5FC" w14:textId="77777777" w:rsidR="00492715" w:rsidRPr="00F871F8" w:rsidRDefault="00492715" w:rsidP="001B0A4E"/>
    <w:p w14:paraId="49934AE5" w14:textId="43618F5E" w:rsidR="00294581" w:rsidRPr="00F871F8" w:rsidRDefault="00000000" w:rsidP="001B0A4E">
      <w:r w:rsidRPr="00F871F8">
        <w:rPr>
          <w:b/>
          <w:bCs/>
        </w:rPr>
        <w:t xml:space="preserve">Figure 5: Reactor-scale distribution of </w:t>
      </w:r>
      <w:r w:rsidR="001220E8" w:rsidRPr="00F871F8">
        <w:rPr>
          <w:b/>
          <w:bCs/>
        </w:rPr>
        <w:t xml:space="preserve">biofilms and </w:t>
      </w:r>
      <w:r w:rsidRPr="00F871F8">
        <w:rPr>
          <w:b/>
          <w:bCs/>
        </w:rPr>
        <w:t>Mn oxide</w:t>
      </w:r>
      <w:r w:rsidR="00A92A58" w:rsidRPr="00F871F8">
        <w:rPr>
          <w:b/>
          <w:bCs/>
        </w:rPr>
        <w:t>s</w:t>
      </w:r>
      <w:r w:rsidRPr="00F871F8">
        <w:rPr>
          <w:b/>
          <w:bCs/>
        </w:rPr>
        <w:t xml:space="preserve">. </w:t>
      </w:r>
      <w:r w:rsidRPr="00F871F8">
        <w:t>(</w:t>
      </w:r>
      <w:r w:rsidR="006A0ECC" w:rsidRPr="00F871F8">
        <w:rPr>
          <w:b/>
          <w:bCs/>
        </w:rPr>
        <w:t>A</w:t>
      </w:r>
      <w:r w:rsidRPr="00F871F8">
        <w:t xml:space="preserve">). </w:t>
      </w:r>
      <w:r w:rsidR="00FF5233" w:rsidRPr="00F871F8">
        <w:t xml:space="preserve">Color brightfield image of </w:t>
      </w:r>
      <w:r w:rsidRPr="00F871F8">
        <w:rPr>
          <w:i/>
          <w:iCs/>
        </w:rPr>
        <w:t>P. putida</w:t>
      </w:r>
      <w:r w:rsidRPr="00F871F8">
        <w:t xml:space="preserve"> GB-1 biofilms </w:t>
      </w:r>
      <w:r w:rsidR="006F3B50" w:rsidRPr="00F871F8">
        <w:t xml:space="preserve">within the microfluidic pore space </w:t>
      </w:r>
      <w:r w:rsidRPr="00F871F8">
        <w:t xml:space="preserve">at the onset of </w:t>
      </w:r>
      <w:r w:rsidR="00B72939" w:rsidRPr="00F871F8">
        <w:t xml:space="preserve">the </w:t>
      </w:r>
      <w:r w:rsidRPr="00F871F8">
        <w:t>stationary phase</w:t>
      </w:r>
      <w:r w:rsidR="00C61E41" w:rsidRPr="00F871F8">
        <w:t xml:space="preserve"> </w:t>
      </w:r>
      <w:r w:rsidRPr="00F871F8">
        <w:t xml:space="preserve">(t = 18.5 h, </w:t>
      </w:r>
      <w:proofErr w:type="spellStart"/>
      <w:r w:rsidRPr="00F871F8">
        <w:t>t</w:t>
      </w:r>
      <w:r w:rsidRPr="00F871F8">
        <w:rPr>
          <w:vertAlign w:val="subscript"/>
        </w:rPr>
        <w:t>ref</w:t>
      </w:r>
      <w:proofErr w:type="spellEnd"/>
      <w:r w:rsidRPr="00F871F8">
        <w:t>). (</w:t>
      </w:r>
      <w:r w:rsidR="006A0ECC" w:rsidRPr="00F871F8">
        <w:rPr>
          <w:b/>
          <w:bCs/>
        </w:rPr>
        <w:t>B</w:t>
      </w:r>
      <w:r w:rsidRPr="00F871F8">
        <w:t xml:space="preserve">). </w:t>
      </w:r>
      <w:r w:rsidR="00FF5233" w:rsidRPr="00F871F8">
        <w:t>Color brightfield image</w:t>
      </w:r>
      <w:r w:rsidRPr="00F871F8">
        <w:t xml:space="preserve"> of Mn oxide precipitates on and around </w:t>
      </w:r>
      <w:r w:rsidRPr="00F871F8">
        <w:rPr>
          <w:i/>
          <w:iCs/>
        </w:rPr>
        <w:t>P. putida</w:t>
      </w:r>
      <w:r w:rsidRPr="00F871F8">
        <w:t xml:space="preserve"> GB-1 biofilms at the final experimental timepoint (t = 43.5 h). (</w:t>
      </w:r>
      <w:r w:rsidR="006A0ECC" w:rsidRPr="00F871F8">
        <w:rPr>
          <w:b/>
          <w:bCs/>
        </w:rPr>
        <w:t>C</w:t>
      </w:r>
      <w:r w:rsidRPr="00F871F8">
        <w:t xml:space="preserve">). </w:t>
      </w:r>
      <w:r w:rsidR="00174378" w:rsidRPr="00F871F8">
        <w:t>Intensity</w:t>
      </w:r>
      <w:r w:rsidRPr="00F871F8">
        <w:t xml:space="preserve">-corrected matrix of </w:t>
      </w:r>
      <w:r w:rsidR="00740F55" w:rsidRPr="00F871F8">
        <w:t xml:space="preserve">mineral </w:t>
      </w:r>
      <w:r w:rsidR="00740F55" w:rsidRPr="00F871F8">
        <w:lastRenderedPageBreak/>
        <w:t>accumulation</w:t>
      </w:r>
      <w:r w:rsidR="003D4FD9" w:rsidRPr="00F871F8">
        <w:t xml:space="preserve"> at the final experimental timepoint (t = 43.5 h)</w:t>
      </w:r>
      <w:r w:rsidRPr="00F871F8">
        <w:t xml:space="preserve">, with grains shown in gray and pores shown in white. </w:t>
      </w:r>
      <w:r w:rsidR="00BE4024" w:rsidRPr="00F871F8">
        <w:t xml:space="preserve">Scale bar is 1 mm. </w:t>
      </w:r>
      <w:r w:rsidRPr="00F871F8">
        <w:t>(</w:t>
      </w:r>
      <w:r w:rsidR="006A0ECC" w:rsidRPr="00F871F8">
        <w:rPr>
          <w:b/>
          <w:bCs/>
        </w:rPr>
        <w:t>D</w:t>
      </w:r>
      <w:r w:rsidRPr="00F871F8">
        <w:t xml:space="preserve">). One-dimensional spatial distribution of </w:t>
      </w:r>
      <w:r w:rsidR="006E53AA" w:rsidRPr="00F871F8">
        <w:t>total corrected intensity</w:t>
      </w:r>
      <w:r w:rsidRPr="00F871F8">
        <w:t xml:space="preserve"> from the inlet </w:t>
      </w:r>
      <w:r w:rsidR="009C7FB9" w:rsidRPr="00F871F8">
        <w:t>(left) to the outlet (right) side of the pore space (t = 43.5 h)</w:t>
      </w:r>
      <w:r w:rsidRPr="00F871F8">
        <w:t>. The solid line represents a 1-mm moving average along the pore space from inlet to outlet averaged over triplicate experiments, and the shading represents the standard deviation</w:t>
      </w:r>
      <w:r w:rsidR="00174378" w:rsidRPr="00F871F8">
        <w:t>.</w:t>
      </w:r>
    </w:p>
    <w:p w14:paraId="68D02472" w14:textId="77777777" w:rsidR="00D27CCD" w:rsidRPr="00F871F8" w:rsidRDefault="00D27CCD" w:rsidP="001B0A4E"/>
    <w:p w14:paraId="5CCE2AFA" w14:textId="39664628" w:rsidR="00D27CCD" w:rsidRPr="00F871F8" w:rsidRDefault="00000000" w:rsidP="001B0A4E">
      <w:pPr>
        <w:rPr>
          <w:b/>
          <w:bCs/>
        </w:rPr>
      </w:pPr>
      <w:r w:rsidRPr="00F871F8">
        <w:rPr>
          <w:b/>
          <w:bCs/>
          <w:lang w:val="fr-FR"/>
        </w:rPr>
        <w:t xml:space="preserve">Figure </w:t>
      </w:r>
      <w:proofErr w:type="gramStart"/>
      <w:r w:rsidRPr="00F871F8">
        <w:rPr>
          <w:b/>
          <w:bCs/>
          <w:lang w:val="fr-FR"/>
        </w:rPr>
        <w:t>6:</w:t>
      </w:r>
      <w:proofErr w:type="gramEnd"/>
      <w:r w:rsidRPr="00F871F8">
        <w:rPr>
          <w:b/>
          <w:bCs/>
          <w:lang w:val="fr-FR"/>
        </w:rPr>
        <w:t xml:space="preserve"> Biofilm-</w:t>
      </w:r>
      <w:proofErr w:type="spellStart"/>
      <w:r w:rsidRPr="00F871F8">
        <w:rPr>
          <w:b/>
          <w:bCs/>
          <w:lang w:val="fr-FR"/>
        </w:rPr>
        <w:t>scale</w:t>
      </w:r>
      <w:proofErr w:type="spellEnd"/>
      <w:r w:rsidRPr="00F871F8">
        <w:rPr>
          <w:b/>
          <w:bCs/>
          <w:lang w:val="fr-FR"/>
        </w:rPr>
        <w:t xml:space="preserve"> Mn oxide accumulation. </w:t>
      </w:r>
      <w:r w:rsidRPr="00F871F8">
        <w:t>(</w:t>
      </w:r>
      <w:r w:rsidR="006A0ECC" w:rsidRPr="00F871F8">
        <w:rPr>
          <w:b/>
          <w:bCs/>
        </w:rPr>
        <w:t>A</w:t>
      </w:r>
      <w:r w:rsidRPr="00F871F8">
        <w:t xml:space="preserve">). Select color brightfield images of representative </w:t>
      </w:r>
      <w:r w:rsidRPr="00F871F8">
        <w:rPr>
          <w:i/>
          <w:iCs/>
        </w:rPr>
        <w:t>P. putida</w:t>
      </w:r>
      <w:r w:rsidRPr="00F871F8">
        <w:t xml:space="preserve"> GB-1 biofilms. Manganese oxides </w:t>
      </w:r>
      <w:r w:rsidR="001161D6" w:rsidRPr="00F871F8">
        <w:t xml:space="preserve">were </w:t>
      </w:r>
      <w:r w:rsidRPr="00F871F8">
        <w:t>detectable first as a color change from gray to brown on biofilm surfaces (shown at t = 20 h and t = 21 h) and later as an accumulation of dark brown precipitates at biofilm edges (shown at t = 33 h and t = 43 h). (</w:t>
      </w:r>
      <w:r w:rsidR="006A0ECC" w:rsidRPr="00F871F8">
        <w:rPr>
          <w:b/>
          <w:bCs/>
        </w:rPr>
        <w:t>B</w:t>
      </w:r>
      <w:r w:rsidRPr="00F871F8">
        <w:t xml:space="preserve">). </w:t>
      </w:r>
      <w:r w:rsidR="00A92A58" w:rsidRPr="00F871F8">
        <w:t>I</w:t>
      </w:r>
      <w:r w:rsidRPr="00F871F8">
        <w:t xml:space="preserve">ntensity-corrected matrices </w:t>
      </w:r>
      <w:r w:rsidR="00202C5D" w:rsidRPr="00F871F8">
        <w:t xml:space="preserve">of mineral accumulation </w:t>
      </w:r>
      <w:r w:rsidRPr="00F871F8">
        <w:t>with grains in dark gray, pores in white, and underlying biofilms in light gray. Scale bar is 150 µm.</w:t>
      </w:r>
    </w:p>
    <w:p w14:paraId="7958E6B1" w14:textId="77777777" w:rsidR="00D27CCD" w:rsidRPr="00F871F8" w:rsidRDefault="00D27CCD" w:rsidP="001B0A4E">
      <w:pPr>
        <w:rPr>
          <w:b/>
          <w:bCs/>
        </w:rPr>
      </w:pPr>
    </w:p>
    <w:p w14:paraId="4414ECEE" w14:textId="6B02EDF5" w:rsidR="004B34DB" w:rsidRPr="00F871F8" w:rsidRDefault="00000000" w:rsidP="001B0A4E">
      <w:r w:rsidRPr="00F871F8">
        <w:rPr>
          <w:b/>
          <w:bCs/>
        </w:rPr>
        <w:t xml:space="preserve">Figure 7: Estimation of Mn oxide precipitation rate </w:t>
      </w:r>
      <w:r w:rsidR="00420428" w:rsidRPr="00F871F8">
        <w:rPr>
          <w:b/>
          <w:bCs/>
        </w:rPr>
        <w:t>over time</w:t>
      </w:r>
      <w:r w:rsidRPr="00F871F8">
        <w:rPr>
          <w:b/>
          <w:bCs/>
        </w:rPr>
        <w:t>.</w:t>
      </w:r>
      <w:r w:rsidRPr="00F871F8">
        <w:t xml:space="preserve"> </w:t>
      </w:r>
      <w:r w:rsidR="00C20B42" w:rsidRPr="00F871F8">
        <w:t>The r</w:t>
      </w:r>
      <w:r w:rsidRPr="00F871F8">
        <w:t>ate (</w:t>
      </w:r>
      <w:r w:rsidR="00B72939" w:rsidRPr="00F871F8">
        <w:t>micrograms per hour</w:t>
      </w:r>
      <w:r w:rsidRPr="00F871F8">
        <w:t xml:space="preserve">) </w:t>
      </w:r>
      <w:r w:rsidR="00C20B42" w:rsidRPr="00F871F8">
        <w:t xml:space="preserve">was </w:t>
      </w:r>
      <w:r w:rsidR="00DE4727" w:rsidRPr="00F871F8">
        <w:t>quantified</w:t>
      </w:r>
      <w:r w:rsidRPr="00F871F8">
        <w:t xml:space="preserve"> by rescaling </w:t>
      </w:r>
      <w:r w:rsidR="00713A3D" w:rsidRPr="00F871F8">
        <w:t xml:space="preserve">the </w:t>
      </w:r>
      <w:r w:rsidR="00C20B42" w:rsidRPr="00F871F8">
        <w:t>total corrected intensity at each time</w:t>
      </w:r>
      <w:r w:rsidR="00B72939" w:rsidRPr="00F871F8">
        <w:t xml:space="preserve"> </w:t>
      </w:r>
      <w:r w:rsidR="00C20B42" w:rsidRPr="00F871F8">
        <w:t xml:space="preserve">point to </w:t>
      </w:r>
      <w:r w:rsidRPr="00F871F8">
        <w:t>the endpoint Mn mass measured with ICP-MS, then taking the derivative</w:t>
      </w:r>
      <w:r w:rsidR="009371C6" w:rsidRPr="00F871F8">
        <w:t xml:space="preserve"> with respect to time</w:t>
      </w:r>
      <w:r w:rsidR="006616FA" w:rsidRPr="00F871F8">
        <w:t>.</w:t>
      </w:r>
      <w:r w:rsidR="009371C6" w:rsidRPr="00F871F8">
        <w:t xml:space="preserve"> </w:t>
      </w:r>
      <w:r w:rsidRPr="00F871F8">
        <w:t>Markers represent the average of triplicate experiments, and the shading represents the standard deviation.</w:t>
      </w:r>
      <w:r w:rsidR="006564A4" w:rsidRPr="00F871F8">
        <w:t xml:space="preserve"> </w:t>
      </w:r>
    </w:p>
    <w:p w14:paraId="32EAFD7D" w14:textId="77777777" w:rsidR="006E4797" w:rsidRPr="00F871F8" w:rsidRDefault="006E4797" w:rsidP="001B0A4E"/>
    <w:p w14:paraId="2E39C32D" w14:textId="7BA1225F" w:rsidR="00200934" w:rsidRPr="00F871F8" w:rsidRDefault="00000000" w:rsidP="001B0A4E">
      <w:pPr>
        <w:rPr>
          <w:b/>
          <w:bCs/>
        </w:rPr>
      </w:pPr>
      <w:r w:rsidRPr="00F871F8">
        <w:rPr>
          <w:b/>
          <w:bCs/>
        </w:rPr>
        <w:t>Supplementary File 1: Step1_ImageRegistration.m.</w:t>
      </w:r>
    </w:p>
    <w:p w14:paraId="57A48108" w14:textId="77777777" w:rsidR="00200934" w:rsidRPr="00F871F8" w:rsidRDefault="00200934" w:rsidP="001B0A4E">
      <w:pPr>
        <w:rPr>
          <w:b/>
          <w:bCs/>
        </w:rPr>
      </w:pPr>
    </w:p>
    <w:p w14:paraId="3ADC8CDA" w14:textId="464A52FD" w:rsidR="00200934" w:rsidRPr="00F871F8" w:rsidRDefault="00000000" w:rsidP="001B0A4E">
      <w:pPr>
        <w:rPr>
          <w:b/>
          <w:bCs/>
        </w:rPr>
      </w:pPr>
      <w:r w:rsidRPr="00F871F8">
        <w:rPr>
          <w:b/>
          <w:bCs/>
        </w:rPr>
        <w:t>Supplementary File 2: Step2_ImageSubtraction.m.</w:t>
      </w:r>
    </w:p>
    <w:p w14:paraId="64033EF2" w14:textId="77777777" w:rsidR="00200934" w:rsidRPr="00F871F8" w:rsidRDefault="00200934" w:rsidP="001B0A4E">
      <w:pPr>
        <w:rPr>
          <w:b/>
          <w:bCs/>
        </w:rPr>
      </w:pPr>
    </w:p>
    <w:p w14:paraId="50E95B16" w14:textId="13F1A624" w:rsidR="00200934" w:rsidRPr="00F871F8" w:rsidRDefault="00000000" w:rsidP="001B0A4E">
      <w:pPr>
        <w:rPr>
          <w:b/>
          <w:bCs/>
        </w:rPr>
      </w:pPr>
      <w:r w:rsidRPr="00F871F8">
        <w:rPr>
          <w:b/>
          <w:bCs/>
        </w:rPr>
        <w:t>Supplementary File 3: Step3_Figures.m.</w:t>
      </w:r>
    </w:p>
    <w:p w14:paraId="75E2CAF8" w14:textId="77777777" w:rsidR="00200934" w:rsidRPr="00F871F8" w:rsidRDefault="00200934" w:rsidP="001B0A4E"/>
    <w:p w14:paraId="7C0B6465" w14:textId="6E4EC5F4" w:rsidR="006E4797" w:rsidRPr="00F871F8" w:rsidRDefault="00000000" w:rsidP="001B0A4E">
      <w:pPr>
        <w:rPr>
          <w:b/>
        </w:rPr>
      </w:pPr>
      <w:r w:rsidRPr="00F871F8">
        <w:rPr>
          <w:b/>
        </w:rPr>
        <w:t xml:space="preserve">DISCUSSION: </w:t>
      </w:r>
    </w:p>
    <w:p w14:paraId="7273D631" w14:textId="49B67EEA" w:rsidR="00A40EA7" w:rsidRPr="00F871F8" w:rsidRDefault="00000000" w:rsidP="001B0A4E">
      <w:bookmarkStart w:id="0" w:name="_Hlk218763431"/>
      <w:r w:rsidRPr="00F871F8">
        <w:t>This experimental platform offers unique opportunities for investigating spatiotemporal dynamics of biogeochemical processes in porous environments</w:t>
      </w:r>
      <w:r w:rsidR="00A82C3E" w:rsidRPr="00F871F8">
        <w:t xml:space="preserve"> free of artifacts that prevent </w:t>
      </w:r>
      <w:r w:rsidR="00B72939" w:rsidRPr="00F871F8">
        <w:t xml:space="preserve">the </w:t>
      </w:r>
      <w:r w:rsidR="00A82C3E" w:rsidRPr="00F871F8">
        <w:t>acquisition of high-fidelity data.</w:t>
      </w:r>
      <w:r w:rsidRPr="00F871F8">
        <w:t xml:space="preserve"> This approach is particularly well-suited for Mn and Fe biomineralization, which produce mineral precipitates with characteristic ochre, brown, and black hues that can be readily segmented with optical microscopy</w:t>
      </w:r>
      <w:r w:rsidR="001161D6" w:rsidRPr="00F871F8">
        <w:t xml:space="preserve"> and image analysis</w:t>
      </w:r>
      <w:r w:rsidRPr="00F871F8">
        <w:t xml:space="preserve">. Using Mn biomineralization as a case study, it is possible to evaluate patterns and rates of mineral precipitation </w:t>
      </w:r>
      <w:r w:rsidRPr="00F871F8">
        <w:rPr>
          <w:i/>
          <w:iCs/>
        </w:rPr>
        <w:t>in situ</w:t>
      </w:r>
      <w:r w:rsidRPr="00F871F8">
        <w:t xml:space="preserve"> with high </w:t>
      </w:r>
      <w:r w:rsidR="0043756D" w:rsidRPr="00F871F8">
        <w:t xml:space="preserve">spatial and temporal </w:t>
      </w:r>
      <w:r w:rsidRPr="00F871F8">
        <w:t xml:space="preserve">resolution. </w:t>
      </w:r>
      <w:bookmarkStart w:id="1" w:name="_Hlk218763828"/>
    </w:p>
    <w:bookmarkEnd w:id="0"/>
    <w:bookmarkEnd w:id="1"/>
    <w:p w14:paraId="773A642E" w14:textId="77777777" w:rsidR="00A40EA7" w:rsidRPr="00F871F8" w:rsidRDefault="00A40EA7" w:rsidP="001B0A4E"/>
    <w:p w14:paraId="60ED0AC3" w14:textId="6A6FB8D4" w:rsidR="00A40EA7" w:rsidRPr="00F871F8" w:rsidRDefault="00000000" w:rsidP="001B0A4E">
      <w:r w:rsidRPr="00F871F8">
        <w:t xml:space="preserve">Several aspects of this protocol </w:t>
      </w:r>
      <w:r w:rsidR="004B501D" w:rsidRPr="00F871F8">
        <w:t xml:space="preserve">enable </w:t>
      </w:r>
      <w:r w:rsidR="00B72939" w:rsidRPr="00F871F8">
        <w:t xml:space="preserve">the </w:t>
      </w:r>
      <w:r w:rsidR="004B501D" w:rsidRPr="00F871F8">
        <w:t>collection of</w:t>
      </w:r>
      <w:r w:rsidRPr="00F871F8">
        <w:t xml:space="preserve"> reproducible </w:t>
      </w:r>
      <w:r w:rsidR="00B207A4" w:rsidRPr="00F871F8">
        <w:t>measurements of</w:t>
      </w:r>
      <w:r w:rsidRPr="00F871F8">
        <w:t xml:space="preserve"> biogeochemical transformations. First, using a sequential injection valve with low dead volume</w:t>
      </w:r>
      <w:r w:rsidR="00F34D7C" w:rsidRPr="00F871F8">
        <w:t xml:space="preserve"> facilitated</w:t>
      </w:r>
      <w:r w:rsidRPr="00F871F8">
        <w:t xml:space="preserve"> experiments with multiple fluids without perturbing the biofilms within the </w:t>
      </w:r>
      <w:r w:rsidR="004849E4" w:rsidRPr="00F871F8">
        <w:t xml:space="preserve">microfluidic </w:t>
      </w:r>
      <w:r w:rsidRPr="00F871F8">
        <w:t xml:space="preserve">pore space. </w:t>
      </w:r>
      <w:r w:rsidR="00921A73" w:rsidRPr="00F871F8">
        <w:t>T</w:t>
      </w:r>
      <w:r w:rsidRPr="00F871F8">
        <w:t xml:space="preserve">his setup </w:t>
      </w:r>
      <w:r w:rsidR="00C871BA" w:rsidRPr="00F871F8">
        <w:t xml:space="preserve">preserved </w:t>
      </w:r>
      <w:r w:rsidRPr="00F871F8">
        <w:t>the initial biofilm spatial distribution by preventing pressure surges that can lead to sloughing or displacement of biofilms when switching injected fluids</w:t>
      </w:r>
      <w:r w:rsidR="00921A73" w:rsidRPr="00F871F8">
        <w:t>, which may occur with other instruments such as syringe pumps</w:t>
      </w:r>
      <w:r w:rsidRPr="00F871F8">
        <w:t xml:space="preserve">. </w:t>
      </w:r>
      <w:r w:rsidR="00175A78" w:rsidRPr="00F871F8">
        <w:t xml:space="preserve">This component </w:t>
      </w:r>
      <w:r w:rsidRPr="00F871F8">
        <w:t xml:space="preserve">further provides the user with the flexibility to customize the geochemical conditions imposed on the </w:t>
      </w:r>
      <w:r w:rsidR="00E80BE9" w:rsidRPr="00F871F8">
        <w:t>resident microorganisms</w:t>
      </w:r>
      <w:r w:rsidRPr="00F871F8">
        <w:t xml:space="preserve">. Finally, because it preserves initial biofilm distribution, this setup </w:t>
      </w:r>
      <w:r w:rsidR="005B6C81" w:rsidRPr="00F871F8">
        <w:t xml:space="preserve">allows the user </w:t>
      </w:r>
      <w:r w:rsidRPr="00F871F8">
        <w:t xml:space="preserve">to systematically </w:t>
      </w:r>
      <w:r w:rsidR="001D4FF6" w:rsidRPr="00F871F8">
        <w:t xml:space="preserve">test </w:t>
      </w:r>
      <w:r w:rsidRPr="00F871F8">
        <w:t xml:space="preserve">how </w:t>
      </w:r>
      <w:r w:rsidR="00A44D55" w:rsidRPr="00F871F8">
        <w:t>different biofilm morphologies or biomass amount</w:t>
      </w:r>
      <w:r w:rsidR="00B72939" w:rsidRPr="00F871F8">
        <w:t>s</w:t>
      </w:r>
      <w:r w:rsidR="00A44D55" w:rsidRPr="00F871F8">
        <w:t xml:space="preserve"> influence the </w:t>
      </w:r>
      <w:r w:rsidR="001D4FF6" w:rsidRPr="00F871F8">
        <w:t>distribution and rate of Mn oxide precipitation.</w:t>
      </w:r>
      <w:r w:rsidRPr="00F871F8">
        <w:t xml:space="preserve"> </w:t>
      </w:r>
    </w:p>
    <w:p w14:paraId="6E0579B7" w14:textId="77777777" w:rsidR="00A40EA7" w:rsidRPr="00F871F8" w:rsidRDefault="00A40EA7" w:rsidP="001B0A4E"/>
    <w:p w14:paraId="29C1C2C4" w14:textId="6F12F978" w:rsidR="004B386A" w:rsidRPr="00F871F8" w:rsidRDefault="00000000" w:rsidP="001B0A4E">
      <w:r w:rsidRPr="00F871F8">
        <w:lastRenderedPageBreak/>
        <w:t xml:space="preserve">Second, </w:t>
      </w:r>
      <w:r w:rsidR="00F34D7C" w:rsidRPr="00F871F8">
        <w:t>mitigating</w:t>
      </w:r>
      <w:r w:rsidRPr="00F871F8">
        <w:t xml:space="preserve"> the formation and intrusion of bubbles in the microfluidic pore space </w:t>
      </w:r>
      <w:r w:rsidR="00F34D7C" w:rsidRPr="00F871F8">
        <w:t>allowed for</w:t>
      </w:r>
      <w:r w:rsidRPr="00F871F8">
        <w:t xml:space="preserve"> </w:t>
      </w:r>
      <w:r w:rsidR="00A60380" w:rsidRPr="00F871F8">
        <w:t>multi-day</w:t>
      </w:r>
      <w:r w:rsidRPr="00F871F8">
        <w:t xml:space="preserve"> experiments that captured the environmentally relevant timescales of Mn biomineralization. Bubbles, a common and often inevitable issue in long experiments above room temperature</w:t>
      </w:r>
      <w:r w:rsidRPr="00F871F8">
        <w:fldChar w:fldCharType="begin"/>
      </w:r>
      <w:r w:rsidR="00432E5F" w:rsidRPr="00F871F8">
        <w:instrText xml:space="preserve"> ADDIN ZOTERO_ITEM CSL_CITATION {"citationID":"dV4fO9MO","properties":{"formattedCitation":"\\super 62,63\\nosupersub{}","plainCitation":"62,63","noteIndex":0},"citationItems":[{"id":"dwCIK0jk/PrUSkkMr","uris":["http://zotero.org/users/7069502/items/RGPXRPC2"],"itemData":{"id":2075,"type":"article-journal","abstract":"Gas bubbles present a frequent challenge to the on-chip investigation and culture of biological cells and small organs. The presence of a single bubble can adversely impair biological function and often viability as it increases the wall shear stress in a liquid-perfused microchannel by at least one order of magnitude. We present a microfluidic strategy for in-plane trapping and removal of gas bubbles with volumes of 0.1–500 nL. The presented bubble trap is compatible with single-layer soft lithography and requires a footprint of less than ten square millimetres. Nitrogen bubbles were consistently removed at a rate of 0.14 μL min−1. Experiments were complemented with analytical and numerical models to comprehensively characterize bubble removal for liquids with different wetting behaviour. Consistent long-term operation of the bubble trap was demonstrated by removing approximately 4000 bubbles during one day. In a case study, we successfully applied the bubble trap to the on-chip investigation of intact small blood vessels. Scalability of the design was demonstrated by realizing eight parallel traps at a total removal rate of 0.9 μL min−1 (measured for nitrogen).","container-title":"Lab on a Chip","DOI":"10.1039/C1LC20817A","ISSN":"1473-0189","issue":"3","journalAbbreviation":"Lab Chip","language":"en","note":"publisher: The Royal Society of Chemistry","page":"595-601","source":"pubs.rsc.org","title":"Bubbles no more: in-plane trapping and removal of bubbles in microfluidic devices","title-short":"Bubbles no more","volume":"12","author":[{"family":"Lochovsky","given":"Conrad"},{"family":"Yasotharan","given":"Sanjesh"},{"family":"Günther","given":"Axel"}],"issued":{"date-parts":[["2012",1,10]]}}},{"id":"dwCIK0jk/ln95aBFq","uris":["http://zotero.org/users/7069502/items/2JAI9MU7"],"itemData":{"id":2073,"type":"article-journal","abstract":"Gas bubbles are almost a routine occurrence encountered by researchers working in the field of microfluidics. The spontaneous and unexpected nature of gas bubbles represents a major challenge for experimentalists and a stumbling block for the translation of microfluidic concepts to commercial products. This is a startling example of successful scientific results in the field overshadowing the practical hurdles of day-to-day usage. We however believe such hurdles can be overcome with a sound understanding of the underlying conditions that lead to bubble formation. In this tutorial, we focus on the two main conditions that result in bubble nucleation: surface nuclei and gas supersaturation in liquids. Key theoretical concepts such as Henry's law, Laplace pressure, the role of surface properties, nanobubbles and surfactants are presented along with a view of practical implementations that serve as preventive and curative measures. These considerations include not only microfluidic chip design and bubble traps but also often-overlooked conditions that regulate bubble formation, such as gas saturation under pressure or temperature gradients. Scenarios involving electrolysis, laser and acoustic cavitation or T-junction/co-flow geometries are also explored to provide the reader with a broader understanding on the topic. Interestingly, despite their often-disruptive nature, gas bubbles have also been cleverly utilized for certain practical applications, which we briefly review. We hope this tutorial will provide a reference guide in helping to deal with a familiar foe, the “bubble”.","container-title":"Lab on a Chip","DOI":"10.1039/C9LC00211A","ISSN":"1473-0189","issue":"14","journalAbbreviation":"Lab Chip","language":"en","note":"publisher: The Royal Society of Chemistry","page":"2296-2314","source":"pubs.rsc.org","title":"Nip the bubble in the bud: a guide to avoid gas nucleation in microfluidics","title-short":"Nip the bubble in the bud","volume":"19","author":[{"family":"Pereiro","given":"Iago"},{"family":"Khartchenko","given":"Anna Fomitcheva"},{"family":"Petrini","given":"Lorenzo"},{"family":"Kaigala","given":"Govind V."}],"issued":{"date-parts":[["2019",7,9]]}}}],"schema":"https://github.com/citation-style-language/schema/raw/master/csl-citation.json"} </w:instrText>
      </w:r>
      <w:r w:rsidRPr="00F871F8">
        <w:fldChar w:fldCharType="separate"/>
      </w:r>
      <w:r w:rsidR="00432E5F" w:rsidRPr="00F871F8">
        <w:rPr>
          <w:vertAlign w:val="superscript"/>
        </w:rPr>
        <w:t>62,63</w:t>
      </w:r>
      <w:r w:rsidRPr="00F871F8">
        <w:fldChar w:fldCharType="end"/>
      </w:r>
      <w:r w:rsidRPr="00F871F8">
        <w:t xml:space="preserve">, can fragment and block individual pores, reroute fluid flow, and disrupt reaction progress. </w:t>
      </w:r>
      <w:r w:rsidR="0070310E" w:rsidRPr="00F871F8">
        <w:t>To prevent bubble trapping in the pore space, the</w:t>
      </w:r>
      <w:r w:rsidR="00607B26" w:rsidRPr="00F871F8">
        <w:t xml:space="preserve"> reactor was fully saturated prior to inoculation. </w:t>
      </w:r>
      <w:r w:rsidRPr="00F871F8">
        <w:t xml:space="preserve">To minimize </w:t>
      </w:r>
      <w:r w:rsidR="00B72939" w:rsidRPr="00F871F8">
        <w:t xml:space="preserve">the </w:t>
      </w:r>
      <w:r w:rsidRPr="00F871F8">
        <w:t xml:space="preserve">introduction of bubbles through the flow control system, the microscope incubator </w:t>
      </w:r>
      <w:r w:rsidR="00F27304" w:rsidRPr="00F871F8">
        <w:t xml:space="preserve">was set </w:t>
      </w:r>
      <w:r w:rsidRPr="00F871F8">
        <w:t>to 30 °C well in advance of the experiment</w:t>
      </w:r>
      <w:r w:rsidR="00B72939" w:rsidRPr="00F871F8">
        <w:t>,</w:t>
      </w:r>
      <w:r w:rsidRPr="00F871F8">
        <w:t xml:space="preserve"> and multiple volumes of influent solution </w:t>
      </w:r>
      <w:r w:rsidR="00F27304" w:rsidRPr="00F871F8">
        <w:t xml:space="preserve">were flushed </w:t>
      </w:r>
      <w:r w:rsidRPr="00F871F8">
        <w:t xml:space="preserve">prior to attaching the inoculated reactor. This </w:t>
      </w:r>
      <w:r w:rsidR="005C7679" w:rsidRPr="00F871F8">
        <w:t xml:space="preserve">step </w:t>
      </w:r>
      <w:r w:rsidRPr="00F871F8">
        <w:t xml:space="preserve">removed </w:t>
      </w:r>
      <w:r w:rsidR="00A065E0" w:rsidRPr="00F871F8">
        <w:t>trapped air from</w:t>
      </w:r>
      <w:r w:rsidRPr="00F871F8">
        <w:t xml:space="preserve"> the tubing and fittings and minimized the risk of fluid outgassing during the experiment. </w:t>
      </w:r>
      <w:r w:rsidR="003F3660" w:rsidRPr="00F871F8">
        <w:t xml:space="preserve">A </w:t>
      </w:r>
      <w:r w:rsidRPr="00F871F8">
        <w:t>bubble trap</w:t>
      </w:r>
      <w:r w:rsidR="003F3660" w:rsidRPr="00F871F8">
        <w:t xml:space="preserve"> was also integrated into the flow control system</w:t>
      </w:r>
      <w:r w:rsidRPr="00F871F8">
        <w:t xml:space="preserve"> to </w:t>
      </w:r>
      <w:r w:rsidR="00DD2D0F" w:rsidRPr="00F871F8">
        <w:t xml:space="preserve">capture any residual </w:t>
      </w:r>
      <w:r w:rsidR="005C7679" w:rsidRPr="00F871F8">
        <w:t>bubbles</w:t>
      </w:r>
      <w:r w:rsidRPr="00F871F8">
        <w:t xml:space="preserve">, </w:t>
      </w:r>
      <w:r w:rsidR="003F3660" w:rsidRPr="00F871F8">
        <w:t xml:space="preserve">with </w:t>
      </w:r>
      <w:r w:rsidRPr="00F871F8">
        <w:t xml:space="preserve">a length of 200-µm ID PTFE tubing to the trap outlet to increase resistance and enhance bubble removal efficiency. Finally, to prevent air trapping or leaking at the interface between the influent tubing and reactor inlet hole, all connections </w:t>
      </w:r>
      <w:r w:rsidR="003F3660" w:rsidRPr="00F871F8">
        <w:t xml:space="preserve">were made </w:t>
      </w:r>
      <w:r w:rsidRPr="00F871F8">
        <w:t xml:space="preserve">with droplets of fluid on both </w:t>
      </w:r>
      <w:r w:rsidR="00B72939" w:rsidRPr="00F871F8">
        <w:t>ends</w:t>
      </w:r>
      <w:r w:rsidRPr="00F871F8">
        <w:t xml:space="preserve"> of the tubing and </w:t>
      </w:r>
      <w:r w:rsidR="00B72939" w:rsidRPr="00F871F8">
        <w:t xml:space="preserve">the </w:t>
      </w:r>
      <w:r w:rsidRPr="00F871F8">
        <w:t>punched hole</w:t>
      </w:r>
      <w:r w:rsidR="00B72939" w:rsidRPr="00F871F8">
        <w:t>. T</w:t>
      </w:r>
      <w:r w:rsidRPr="00F871F8">
        <w:t xml:space="preserve">he hydrophobic PTFE tubing </w:t>
      </w:r>
      <w:r w:rsidR="005B6F7A" w:rsidRPr="00F871F8">
        <w:t xml:space="preserve">was coated </w:t>
      </w:r>
      <w:r w:rsidRPr="00F871F8">
        <w:t>with 1% PEG-DA, and the end of the inserted tubing was kept perpendicular to the PDMS surface throughout the experiment</w:t>
      </w:r>
      <w:r w:rsidR="00A01C5A" w:rsidRPr="00F871F8">
        <w:t>.</w:t>
      </w:r>
    </w:p>
    <w:p w14:paraId="09A9980F" w14:textId="77777777" w:rsidR="00A40EA7" w:rsidRPr="00F871F8" w:rsidRDefault="00A40EA7" w:rsidP="001B0A4E"/>
    <w:p w14:paraId="4BB964EE" w14:textId="11294928" w:rsidR="00A40EA7" w:rsidRPr="00F871F8" w:rsidRDefault="00000000" w:rsidP="001B0A4E">
      <w:r w:rsidRPr="00F871F8">
        <w:t xml:space="preserve">Third, incorporating a </w:t>
      </w:r>
      <w:r w:rsidR="005B6C81" w:rsidRPr="00F871F8">
        <w:t xml:space="preserve">custom-built </w:t>
      </w:r>
      <w:r w:rsidRPr="00F871F8">
        <w:t xml:space="preserve">UVC irradiation system into </w:t>
      </w:r>
      <w:r w:rsidR="005B6F7A" w:rsidRPr="00F871F8">
        <w:t xml:space="preserve">the </w:t>
      </w:r>
      <w:r w:rsidR="006C2B1F" w:rsidRPr="00F871F8">
        <w:t>experimental platform</w:t>
      </w:r>
      <w:r w:rsidR="005512B9" w:rsidRPr="00F871F8">
        <w:t xml:space="preserve"> </w:t>
      </w:r>
      <w:r w:rsidR="0001743F" w:rsidRPr="00F871F8">
        <w:t>maintained</w:t>
      </w:r>
      <w:r w:rsidRPr="00F871F8">
        <w:t xml:space="preserve"> a defined geochemical boundary condition and reproducibly constrained Mn biomineralization within the </w:t>
      </w:r>
      <w:r w:rsidR="004849E4" w:rsidRPr="00F871F8">
        <w:t xml:space="preserve">microfluidic </w:t>
      </w:r>
      <w:r w:rsidRPr="00F871F8">
        <w:t xml:space="preserve">pore space. </w:t>
      </w:r>
      <w:r w:rsidR="00AE79EB" w:rsidRPr="00F871F8">
        <w:t>Pilot experiments showed</w:t>
      </w:r>
      <w:r w:rsidRPr="00F871F8">
        <w:t xml:space="preserve"> that extraneous biofilms in the</w:t>
      </w:r>
      <w:r w:rsidR="00130E1E" w:rsidRPr="00F871F8">
        <w:t xml:space="preserve"> reactor</w:t>
      </w:r>
      <w:r w:rsidRPr="00F871F8">
        <w:t xml:space="preserve"> inlet region </w:t>
      </w:r>
      <w:r w:rsidR="003B6CA2" w:rsidRPr="00F871F8">
        <w:t xml:space="preserve">precipitated Mn oxides </w:t>
      </w:r>
      <w:r w:rsidRPr="00F871F8">
        <w:t>upstream of the pore space</w:t>
      </w:r>
      <w:r w:rsidR="00656B83" w:rsidRPr="00F871F8">
        <w:t xml:space="preserve">, restricting the </w:t>
      </w:r>
      <w:r w:rsidR="00130E1E" w:rsidRPr="00F871F8">
        <w:t xml:space="preserve">downstream </w:t>
      </w:r>
      <w:r w:rsidR="00656B83" w:rsidRPr="00F871F8">
        <w:t xml:space="preserve">availability of </w:t>
      </w:r>
      <w:proofErr w:type="gramStart"/>
      <w:r w:rsidR="00656B83" w:rsidRPr="00F871F8">
        <w:t>Mn(</w:t>
      </w:r>
      <w:proofErr w:type="gramEnd"/>
      <w:r w:rsidR="00656B83" w:rsidRPr="00F871F8">
        <w:t>II)</w:t>
      </w:r>
      <w:r w:rsidRPr="00F871F8">
        <w:t xml:space="preserve">. </w:t>
      </w:r>
      <w:r w:rsidR="00841DCC" w:rsidRPr="00F871F8">
        <w:t>Briefly i</w:t>
      </w:r>
      <w:r w:rsidRPr="00F871F8">
        <w:t>rradiating the</w:t>
      </w:r>
      <w:r w:rsidR="00E62D3B" w:rsidRPr="00F871F8">
        <w:t xml:space="preserve"> reactor</w:t>
      </w:r>
      <w:r w:rsidRPr="00F871F8">
        <w:t xml:space="preserve"> inlet and outlet regions </w:t>
      </w:r>
      <w:r w:rsidR="00A779E0" w:rsidRPr="00F871F8">
        <w:t>with proper alignment</w:t>
      </w:r>
      <w:r w:rsidR="00B72939" w:rsidRPr="00F871F8">
        <w:t>,</w:t>
      </w:r>
      <w:r w:rsidRPr="00F871F8">
        <w:t xml:space="preserve"> following the no-flow settling period</w:t>
      </w:r>
      <w:r w:rsidR="00B72939" w:rsidRPr="00F871F8">
        <w:t>,</w:t>
      </w:r>
      <w:r w:rsidRPr="00F871F8">
        <w:t xml:space="preserve"> prevented biofilm development from any initially deposited bacteria. Continuous unidirectional fluid flow prevented recolonization of the </w:t>
      </w:r>
      <w:r w:rsidR="00D35BA1" w:rsidRPr="00F871F8">
        <w:t>reactor</w:t>
      </w:r>
      <w:r w:rsidRPr="00F871F8">
        <w:t xml:space="preserve"> inlet region following this initial UVC treatment. Irradiating the </w:t>
      </w:r>
      <w:r w:rsidR="00EF296D" w:rsidRPr="00F871F8">
        <w:t>reactor</w:t>
      </w:r>
      <w:r w:rsidRPr="00F871F8">
        <w:t xml:space="preserve"> outlet region at t = 17.5 h prior to the onset of </w:t>
      </w:r>
      <w:r w:rsidR="00B72939" w:rsidRPr="00F871F8">
        <w:t xml:space="preserve">the </w:t>
      </w:r>
      <w:r w:rsidRPr="00F871F8">
        <w:t xml:space="preserve">stationary phase and visible Mn oxide precipitation minimized the amount of mineral accumulation downstream of the pore space. This </w:t>
      </w:r>
      <w:r w:rsidR="00890053" w:rsidRPr="00F871F8">
        <w:t xml:space="preserve">facilitated </w:t>
      </w:r>
      <w:r w:rsidR="00BE3282" w:rsidRPr="00F871F8">
        <w:t>direct comparison of</w:t>
      </w:r>
      <w:r w:rsidR="00040938" w:rsidRPr="00F871F8">
        <w:t xml:space="preserve"> color </w:t>
      </w:r>
      <w:r w:rsidR="007B42BA" w:rsidRPr="00F871F8">
        <w:t>brightfield</w:t>
      </w:r>
      <w:r w:rsidR="00040938" w:rsidRPr="00F871F8">
        <w:t xml:space="preserve"> image</w:t>
      </w:r>
      <w:r w:rsidR="005B6C81" w:rsidRPr="00F871F8">
        <w:t xml:space="preserve"> data </w:t>
      </w:r>
      <w:r w:rsidRPr="00F871F8">
        <w:t>with Mn mass digested and measured with ICP-MS.</w:t>
      </w:r>
    </w:p>
    <w:p w14:paraId="5BD66F98" w14:textId="77777777" w:rsidR="00A40EA7" w:rsidRPr="00F871F8" w:rsidRDefault="00A40EA7" w:rsidP="001B0A4E"/>
    <w:p w14:paraId="2261DD19" w14:textId="0AC8721F" w:rsidR="00A40EA7" w:rsidRPr="00F871F8" w:rsidRDefault="00000000" w:rsidP="001B0A4E">
      <w:r w:rsidRPr="00F871F8">
        <w:t xml:space="preserve">The combination of image subtraction and </w:t>
      </w:r>
      <w:r w:rsidR="00803047" w:rsidRPr="00F871F8">
        <w:t xml:space="preserve">endpoint </w:t>
      </w:r>
      <w:r w:rsidRPr="00F871F8">
        <w:t xml:space="preserve">mass measurements </w:t>
      </w:r>
      <w:r w:rsidR="00C871BA" w:rsidRPr="00F871F8">
        <w:t xml:space="preserve">provided </w:t>
      </w:r>
      <w:r w:rsidRPr="00F871F8">
        <w:t>a semi-quantitative method for evaluating</w:t>
      </w:r>
      <w:r w:rsidR="007B42BA" w:rsidRPr="00F871F8">
        <w:t xml:space="preserve"> the kinetics of</w:t>
      </w:r>
      <w:r w:rsidRPr="00F871F8">
        <w:t xml:space="preserve"> Mn oxide </w:t>
      </w:r>
      <w:r w:rsidR="005D4501" w:rsidRPr="00F871F8">
        <w:t xml:space="preserve">precipitation </w:t>
      </w:r>
      <w:r w:rsidR="005D4501" w:rsidRPr="00F871F8">
        <w:rPr>
          <w:i/>
          <w:iCs/>
        </w:rPr>
        <w:t>in situ</w:t>
      </w:r>
      <w:r w:rsidR="005D4501" w:rsidRPr="00F871F8">
        <w:t>.</w:t>
      </w:r>
      <w:r w:rsidRPr="00F871F8">
        <w:t xml:space="preserve"> However, it is important to note that pixel intensity ceases to be directly proportional to Mn oxide mass at very high mineral density due to limited camera sensitivity to dark colors</w:t>
      </w:r>
      <w:r w:rsidR="00162BA8" w:rsidRPr="00F871F8">
        <w:fldChar w:fldCharType="begin"/>
      </w:r>
      <w:r w:rsidR="00432E5F" w:rsidRPr="00F871F8">
        <w:instrText xml:space="preserve"> ADDIN ZOTERO_ITEM CSL_CITATION {"citationID":"k23758wf","properties":{"formattedCitation":"\\super 61\\nosupersub{}","plainCitation":"61","noteIndex":0},"citationItems":[{"id":2246,"uris":["http://zotero.org/users/7069502/items/9BVJ7JRC"],"itemData":{"id":2246,"type":"article-journal","abstract":"Microbial oxidation of manganese (Mn) from aqueous Mn(II) to solid-phase Mn(III, IV) minerals catalyzes Mn(II) removal in natural and engineered porous systems. However, little is known about the spatiotemporal evolution of Mn biomineralization in confined spaces that experience simultaneous Mn(II) delivery and Mn oxide precipitation. Here, we combine time-lapse microscopy, image analysis, and mass spectrometry to quantify the extent and rate of Mn biomineralization by Pseudomonas putida GB-1 in an optically transparent two-dimensional porous medium. We found that Mn(II) oxidation initially occurred within biofilms but shifted over time toward the edges of biofilms in contact with pore fluid. Minerals precipitated outside of the initial biofilm footprint likely due to surface-mediated oxidation of Mn(II) by nascent biogenic Mn oxides, reinforcing a gradient in mineral accumulation from the Mn(II) source near the reactor inlet to the outlet. The rate of mineral precipitation outside the biofilm footprint surpassed the rate of mineral accumulation inside biofilms within 6 h and accounted for two-thirds of the total Mn oxide mass in the pore space at the end of the experiment. This work advances a mechanistic understanding of coupled biotic and abiotic Mn oxidation in porous environments while providing a novel platform to quantify microbe–mineral–fluid interactions.","container-title":"Environmental Science &amp; Technology","DOI":"10.1021/acs.est.5c11326","ISSN":"0013-936X","issue":"1","journalAbbreviation":"Environ. Sci. Technol.","note":"publisher: American Chemical Society","page":"654-663","source":"ACS Publications","title":"Enhanced Manganese Oxidation at the Biofilm–Fluid Interface Drives Pore-Scale Patterns in Mineral Precipitation","volume":"60","author":[{"family":"Fadely","given":"Eleanor C."},{"family":"Gehin","given":"Gaitan"},{"family":"Bone","given":"Sharon E."},{"family":"Webb","given":"Samuel M."},{"family":"Morales","given":"Verónica L."},{"family":"Peña","given":"Jasquelin"}],"issued":{"date-parts":[["2026",1,13]]}}}],"schema":"https://github.com/citation-style-language/schema/raw/master/csl-citation.json"} </w:instrText>
      </w:r>
      <w:r w:rsidR="00162BA8" w:rsidRPr="00F871F8">
        <w:fldChar w:fldCharType="separate"/>
      </w:r>
      <w:r w:rsidR="00432E5F" w:rsidRPr="00F871F8">
        <w:rPr>
          <w:vertAlign w:val="superscript"/>
        </w:rPr>
        <w:t>61</w:t>
      </w:r>
      <w:r w:rsidR="00162BA8" w:rsidRPr="00F871F8">
        <w:fldChar w:fldCharType="end"/>
      </w:r>
      <w:r w:rsidR="00B72939" w:rsidRPr="00F871F8">
        <w:t>.</w:t>
      </w:r>
      <w:r w:rsidRPr="00F871F8">
        <w:t xml:space="preserve"> </w:t>
      </w:r>
      <w:r w:rsidR="00216430" w:rsidRPr="00F871F8">
        <w:t xml:space="preserve">Evaluation of this non-linear behavior could be </w:t>
      </w:r>
      <w:r w:rsidR="000211A0" w:rsidRPr="00F871F8">
        <w:t xml:space="preserve">improved by acid-digesting samples at defined timepoints and comparing </w:t>
      </w:r>
      <w:r w:rsidR="00604764" w:rsidRPr="00F871F8">
        <w:t>the dig</w:t>
      </w:r>
      <w:r w:rsidR="001C4901" w:rsidRPr="00F871F8">
        <w:t xml:space="preserve">ested mass </w:t>
      </w:r>
      <w:r w:rsidR="000211A0" w:rsidRPr="00F871F8">
        <w:t xml:space="preserve">to the original mass scaled by the final experimental timepoint. </w:t>
      </w:r>
      <w:r w:rsidRPr="00F871F8">
        <w:t xml:space="preserve">If exact quantification of mineral mass is required, users </w:t>
      </w:r>
      <w:r w:rsidR="009C44CF" w:rsidRPr="00F871F8">
        <w:t>can</w:t>
      </w:r>
      <w:r w:rsidRPr="00F871F8">
        <w:t xml:space="preserve"> develop a calibration curve using mineral samples of known intensity</w:t>
      </w:r>
      <w:r w:rsidR="00B61935" w:rsidRPr="00F871F8">
        <w:t xml:space="preserve"> and mass</w:t>
      </w:r>
      <w:r w:rsidR="00222D4C" w:rsidRPr="00F871F8">
        <w:t xml:space="preserve">, which has been demonstrated previously </w:t>
      </w:r>
      <w:r w:rsidR="00E06123" w:rsidRPr="00F871F8">
        <w:t>in Fadely et al</w:t>
      </w:r>
      <w:r w:rsidR="00B72939" w:rsidRPr="00F871F8">
        <w:t>.</w:t>
      </w:r>
      <w:r w:rsidR="00162BA8" w:rsidRPr="00F871F8">
        <w:fldChar w:fldCharType="begin"/>
      </w:r>
      <w:r w:rsidR="00432E5F" w:rsidRPr="00F871F8">
        <w:instrText xml:space="preserve"> ADDIN ZOTERO_ITEM CSL_CITATION {"citationID":"6eU2lOy9","properties":{"formattedCitation":"\\super 61\\nosupersub{}","plainCitation":"61","noteIndex":0},"citationItems":[{"id":2246,"uris":["http://zotero.org/users/7069502/items/9BVJ7JRC"],"itemData":{"id":2246,"type":"article-journal","abstract":"Microbial oxidation of manganese (Mn) from aqueous Mn(II) to solid-phase Mn(III, IV) minerals catalyzes Mn(II) removal in natural and engineered porous systems. However, little is known about the spatiotemporal evolution of Mn biomineralization in confined spaces that experience simultaneous Mn(II) delivery and Mn oxide precipitation. Here, we combine time-lapse microscopy, image analysis, and mass spectrometry to quantify the extent and rate of Mn biomineralization by Pseudomonas putida GB-1 in an optically transparent two-dimensional porous medium. We found that Mn(II) oxidation initially occurred within biofilms but shifted over time toward the edges of biofilms in contact with pore fluid. Minerals precipitated outside of the initial biofilm footprint likely due to surface-mediated oxidation of Mn(II) by nascent biogenic Mn oxides, reinforcing a gradient in mineral accumulation from the Mn(II) source near the reactor inlet to the outlet. The rate of mineral precipitation outside the biofilm footprint surpassed the rate of mineral accumulation inside biofilms within 6 h and accounted for two-thirds of the total Mn oxide mass in the pore space at the end of the experiment. This work advances a mechanistic understanding of coupled biotic and abiotic Mn oxidation in porous environments while providing a novel platform to quantify microbe–mineral–fluid interactions.","container-title":"Environmental Science &amp; Technology","DOI":"10.1021/acs.est.5c11326","ISSN":"0013-936X","issue":"1","journalAbbreviation":"Environ. Sci. Technol.","note":"publisher: American Chemical Society","page":"654-663","source":"ACS Publications","title":"Enhanced Manganese Oxidation at the Biofilm–Fluid Interface Drives Pore-Scale Patterns in Mineral Precipitation","volume":"60","author":[{"family":"Fadely","given":"Eleanor C."},{"family":"Gehin","given":"Gaitan"},{"family":"Bone","given":"Sharon E."},{"family":"Webb","given":"Samuel M."},{"family":"Morales","given":"Verónica L."},{"family":"Peña","given":"Jasquelin"}],"issued":{"date-parts":[["2026",1,13]]}}}],"schema":"https://github.com/citation-style-language/schema/raw/master/csl-citation.json"} </w:instrText>
      </w:r>
      <w:r w:rsidR="00162BA8" w:rsidRPr="00F871F8">
        <w:fldChar w:fldCharType="separate"/>
      </w:r>
      <w:r w:rsidR="00432E5F" w:rsidRPr="00F871F8">
        <w:rPr>
          <w:vertAlign w:val="superscript"/>
        </w:rPr>
        <w:t>61</w:t>
      </w:r>
      <w:r w:rsidR="00162BA8" w:rsidRPr="00F871F8">
        <w:fldChar w:fldCharType="end"/>
      </w:r>
      <w:r w:rsidR="00B72939" w:rsidRPr="00F871F8">
        <w:t>,</w:t>
      </w:r>
      <w:r w:rsidR="00D57E51" w:rsidRPr="00F871F8">
        <w:t xml:space="preserve"> </w:t>
      </w:r>
      <w:r w:rsidR="00D3187A" w:rsidRPr="00F871F8">
        <w:t xml:space="preserve">or make direct measurements with synchrotron-based X-ray fluorescence. </w:t>
      </w:r>
      <w:r w:rsidRPr="00F871F8">
        <w:t xml:space="preserve"> </w:t>
      </w:r>
    </w:p>
    <w:p w14:paraId="0B070231" w14:textId="77777777" w:rsidR="00A40EA7" w:rsidRPr="00F871F8" w:rsidRDefault="00A40EA7" w:rsidP="001B0A4E"/>
    <w:p w14:paraId="64F1C519" w14:textId="47A72D7C" w:rsidR="00A40EA7" w:rsidRPr="00F871F8" w:rsidRDefault="00000000" w:rsidP="001B0A4E">
      <w:r w:rsidRPr="00F871F8">
        <w:t xml:space="preserve">The microfluidic platform presented here can be applied to investigate biomineralization processes </w:t>
      </w:r>
      <w:r w:rsidR="00EB5679" w:rsidRPr="00F871F8">
        <w:t>under a wide range of</w:t>
      </w:r>
      <w:r w:rsidRPr="00F871F8">
        <w:t xml:space="preserve"> environment</w:t>
      </w:r>
      <w:r w:rsidR="00EB5679" w:rsidRPr="00F871F8">
        <w:t>al conditions</w:t>
      </w:r>
      <w:r w:rsidR="00DE1BA1" w:rsidRPr="00F871F8">
        <w:t xml:space="preserve">. </w:t>
      </w:r>
      <w:r w:rsidR="001A3F1E" w:rsidRPr="00F871F8">
        <w:t>While</w:t>
      </w:r>
      <w:r w:rsidRPr="00F871F8">
        <w:t xml:space="preserve"> </w:t>
      </w:r>
      <w:r w:rsidR="000B17B5" w:rsidRPr="00F871F8">
        <w:t xml:space="preserve">representative experiments </w:t>
      </w:r>
      <w:r w:rsidR="00EC6052" w:rsidRPr="00F871F8">
        <w:t>were</w:t>
      </w:r>
      <w:r w:rsidR="000B17B5" w:rsidRPr="00F871F8">
        <w:t xml:space="preserve"> </w:t>
      </w:r>
      <w:r w:rsidR="00EB5679" w:rsidRPr="00F871F8">
        <w:t>optimized</w:t>
      </w:r>
      <w:r w:rsidR="001C70DF" w:rsidRPr="00F871F8">
        <w:t xml:space="preserve"> for </w:t>
      </w:r>
      <w:r w:rsidR="001C70DF" w:rsidRPr="00F871F8">
        <w:rPr>
          <w:i/>
          <w:iCs/>
        </w:rPr>
        <w:t>P. putida</w:t>
      </w:r>
      <w:r w:rsidR="001C70DF" w:rsidRPr="00F871F8">
        <w:t xml:space="preserve"> GB-1</w:t>
      </w:r>
      <w:r w:rsidR="00BB2103" w:rsidRPr="00F871F8">
        <w:t xml:space="preserve">, </w:t>
      </w:r>
      <w:r w:rsidR="006225A7" w:rsidRPr="00F871F8">
        <w:t>th</w:t>
      </w:r>
      <w:r w:rsidR="00980561" w:rsidRPr="00F871F8">
        <w:t>is</w:t>
      </w:r>
      <w:r w:rsidR="006225A7" w:rsidRPr="00F871F8">
        <w:t xml:space="preserve"> </w:t>
      </w:r>
      <w:r w:rsidR="00F10607" w:rsidRPr="00F871F8">
        <w:t>setup</w:t>
      </w:r>
      <w:r w:rsidR="006225A7" w:rsidRPr="00F871F8">
        <w:t xml:space="preserve"> can be used to systematically </w:t>
      </w:r>
      <w:r w:rsidR="00BA5ECB" w:rsidRPr="00F871F8">
        <w:t>test</w:t>
      </w:r>
      <w:r w:rsidR="006225A7" w:rsidRPr="00F871F8">
        <w:t xml:space="preserve"> </w:t>
      </w:r>
      <w:r w:rsidR="00EC24A0" w:rsidRPr="00F871F8">
        <w:t xml:space="preserve">a range of influent </w:t>
      </w:r>
      <w:r w:rsidRPr="00F871F8">
        <w:t>solution chemistries (e.g., Mn</w:t>
      </w:r>
      <w:r w:rsidR="00935CE1" w:rsidRPr="00F871F8">
        <w:t xml:space="preserve"> or Fe</w:t>
      </w:r>
      <w:r w:rsidRPr="00F871F8">
        <w:t xml:space="preserve"> concentration, carbon source</w:t>
      </w:r>
      <w:r w:rsidR="00665FAA" w:rsidRPr="00F871F8">
        <w:t>,</w:t>
      </w:r>
      <w:r w:rsidR="004640F3" w:rsidRPr="00F871F8">
        <w:t xml:space="preserve"> </w:t>
      </w:r>
      <w:r w:rsidRPr="00F871F8">
        <w:t xml:space="preserve">presence of co-occurring </w:t>
      </w:r>
      <w:r w:rsidRPr="00F871F8">
        <w:lastRenderedPageBreak/>
        <w:t xml:space="preserve">metals), flow rates, </w:t>
      </w:r>
      <w:r w:rsidR="00C66922" w:rsidRPr="00F871F8">
        <w:t xml:space="preserve">temperatures, </w:t>
      </w:r>
      <w:r w:rsidRPr="00F871F8">
        <w:t>or the presence of a microbial consortium.</w:t>
      </w:r>
      <w:r w:rsidR="00120611" w:rsidRPr="00F871F8">
        <w:t xml:space="preserve"> </w:t>
      </w:r>
      <w:r w:rsidR="001116B3" w:rsidRPr="00F871F8">
        <w:t xml:space="preserve">Specific </w:t>
      </w:r>
      <w:r w:rsidR="00577968" w:rsidRPr="00F871F8">
        <w:t xml:space="preserve">acidic </w:t>
      </w:r>
      <w:r w:rsidR="00B65475" w:rsidRPr="00F871F8">
        <w:t xml:space="preserve">or </w:t>
      </w:r>
      <w:proofErr w:type="spellStart"/>
      <w:r w:rsidR="00850B41" w:rsidRPr="00F871F8">
        <w:t>suboxic</w:t>
      </w:r>
      <w:proofErr w:type="spellEnd"/>
      <w:r w:rsidR="00577968" w:rsidRPr="00F871F8">
        <w:t xml:space="preserve"> </w:t>
      </w:r>
      <w:r w:rsidR="00577AB7" w:rsidRPr="00F871F8">
        <w:t>conditions</w:t>
      </w:r>
      <w:r w:rsidR="002F0DD8" w:rsidRPr="00F871F8">
        <w:t xml:space="preserve">, such as those </w:t>
      </w:r>
      <w:r w:rsidR="00600E3E" w:rsidRPr="00F871F8">
        <w:t>favorable to Fe-oxidizing bacteria</w:t>
      </w:r>
      <w:r w:rsidR="002F0DD8" w:rsidRPr="00F871F8">
        <w:t>,</w:t>
      </w:r>
      <w:r w:rsidR="00600E3E" w:rsidRPr="00F871F8">
        <w:t xml:space="preserve"> </w:t>
      </w:r>
      <w:r w:rsidR="001116B3" w:rsidRPr="00F871F8">
        <w:t xml:space="preserve">can be simulated </w:t>
      </w:r>
      <w:r w:rsidR="00F614B6" w:rsidRPr="00F871F8">
        <w:t xml:space="preserve">by </w:t>
      </w:r>
      <w:r w:rsidR="00C1501A" w:rsidRPr="00F871F8">
        <w:t>decreasing influent</w:t>
      </w:r>
      <w:r w:rsidR="000F307A" w:rsidRPr="00F871F8">
        <w:t xml:space="preserve"> pH or </w:t>
      </w:r>
      <w:r w:rsidR="00C1501A" w:rsidRPr="00F871F8">
        <w:t>coating the PDMS</w:t>
      </w:r>
      <w:r w:rsidR="00CD19CE" w:rsidRPr="00F871F8">
        <w:t xml:space="preserve"> with </w:t>
      </w:r>
      <w:r w:rsidR="00F95A36" w:rsidRPr="00F871F8">
        <w:t xml:space="preserve">an </w:t>
      </w:r>
      <w:r w:rsidR="00CD19CE" w:rsidRPr="00F871F8">
        <w:t>oxygen-impermeable polymer</w:t>
      </w:r>
      <w:r w:rsidR="00577AB7" w:rsidRPr="00F871F8">
        <w:t>.</w:t>
      </w:r>
      <w:r w:rsidR="00BD10FF" w:rsidRPr="00F871F8">
        <w:t xml:space="preserve"> </w:t>
      </w:r>
      <w:r w:rsidR="001D40C3" w:rsidRPr="00F871F8">
        <w:t xml:space="preserve">Insights </w:t>
      </w:r>
      <w:r w:rsidR="009238DF" w:rsidRPr="00F871F8">
        <w:t>into</w:t>
      </w:r>
      <w:r w:rsidR="001D40C3" w:rsidRPr="00F871F8">
        <w:t xml:space="preserve"> the microbial controls on biomineralization can be obtained by implementing </w:t>
      </w:r>
      <w:r w:rsidR="00866143" w:rsidRPr="00F871F8">
        <w:t>reporter gene fusion strains</w:t>
      </w:r>
      <w:r w:rsidR="000810D9" w:rsidRPr="00F871F8">
        <w:t xml:space="preserve"> and tracking </w:t>
      </w:r>
      <w:r w:rsidR="00286634" w:rsidRPr="00F871F8">
        <w:t>the resulting optical fluorescence</w:t>
      </w:r>
      <w:r w:rsidR="00687F8A" w:rsidRPr="00F871F8">
        <w:fldChar w:fldCharType="begin"/>
      </w:r>
      <w:r w:rsidR="00432E5F" w:rsidRPr="00F871F8">
        <w:instrText xml:space="preserve"> ADDIN ZOTERO_ITEM CSL_CITATION {"citationID":"JH2Gb1X7","properties":{"formattedCitation":"\\super 59,64\\nosupersub{}","plainCitation":"59,64","noteIndex":0},"citationItems":[{"id":1837,"uris":["http://zotero.org/users/7069502/items/W6HSB4R5"],"itemData":{"id":1837,"type":"article-journal","abstract":"The enzymatic oxidation of aqueous divalent manganese (Mn) is a widespread microbial trait that produces reactive Mn(III, IV) oxide minerals. These biominerals drive carbon, nutrient, and trace metal cycles, thus playing important environmental and ecological roles. However, the regulatory mechanisms and physiological functions of Mn biomineralization are unknown. This challenge arises from the common occurrence of multiple Mn oxidases within the same organism and the use of Mn oxides as indicators of combined gene activity. Through the detection of gene activation in individual cells, we discover that expression of mnxG and mcoA, two Mn oxidase-encoding genes in Pseudomonas putida GB-1, is confined to subsets of cells within the population, with each gene showing distinct spatiotemporal patterns that reflect local microenvironments. These coordinated intra-population dynamics control Mn biomineralization and illuminate the strategies used by microbial communities to dictate the extent, location, and timing of biogeochemical transformations.","container-title":"npj Biofilms and Microbiomes","DOI":"10.1038/s41522-025-00670-5","ISSN":"2055-5008","issue":"1","journalAbbreviation":"NPJ Biofilms Microbiomes","language":"en","license":"2025 The Author(s)","note":"publisher: Nature Publishing Group","page":"1-12","source":"www.nature.com","title":"Population-level control of two manganese oxidases expands the niche for bacterial manganese biomineralization","volume":"11","author":[{"family":"Gehin","given":"Gaitan"},{"family":"Carraro","given":"Nicolas"},{"family":"Meer","given":"Jan Roelof","non-dropping-particle":"van der"},{"family":"Peña","given":"Jasquelin"}],"issued":{"date-parts":[["2025",3,24]]}}},{"id":2062,"uris":["http://zotero.org/users/7069502/items/CJY7CLXN"],"itemData":{"id":2062,"type":"article-journal","abstract":"Manganese (Mn) oxides are commonly precipitated by bacteria and fungi. Recent studies have shown that Mn-oxidizing bacteria can harbor multiple Mn oxidases, but environmental controls on the regulation of these enzymes are unknown. Here, we examine the activation of the genes encoding for MnxG and McoA, two Mn oxidases in Pseudomonas putida GB-1, in response to varying Mn(II) concentrations. Using reporter gene fusion strains, we found that mnxG and mcoA are activated only by a fraction of the cells in the population and at different threshold Mn concentrations, with an increasing proportion of cells expressing mnxG (&lt;10 μM) and then mcoA (&gt;10 to 500 μM). Kinetic modeling showed that coexpression of mnxG and mcoA not only alleviates substrate saturation and inhibition of MnxG at high Mn(II) concentrations but also results in an 8-fold increase in the initial rate of Mn oxidation in the wild type compared to strains lacking mnxG or mcoA. The population-level control of gene activation and, ultimately, Mn oxide precipitation, in response to the initial Mn(II) concentration, shows that P. putida fine-tunes the regulation of multiple Mn oxidases to operate under varying environmental conditions.","container-title":"Environmental Science &amp; Technology","DOI":"10.1021/acs.est.5c00255","ISSN":"0013-936X","issue":"27","journalAbbreviation":"Environ. Sci. Technol.","note":"publisher: American Chemical Society","page":"13777-13786","source":"ACS Publications","title":"Pseudomonas putida Coordinates the Expression of two Manganese Oxidases and Optimizes Manganese Oxide Precipitation in Response to Aqueous Mn(II)","volume":"59","author":[{"family":"Gehin","given":"Gaitan"},{"family":"Carraro","given":"Nicolas"},{"family":"Gurfield","given":"Konane"},{"family":"Meer","given":"Jan Roelof","non-dropping-particle":"van der"},{"family":"Peña","given":"Jasquelin"}],"issued":{"date-parts":[["2025",7,15]]}}}],"schema":"https://github.com/citation-style-language/schema/raw/master/csl-citation.json"} </w:instrText>
      </w:r>
      <w:r w:rsidR="00687F8A" w:rsidRPr="00F871F8">
        <w:fldChar w:fldCharType="separate"/>
      </w:r>
      <w:r w:rsidR="00432E5F" w:rsidRPr="00F871F8">
        <w:rPr>
          <w:vertAlign w:val="superscript"/>
        </w:rPr>
        <w:t>59,64</w:t>
      </w:r>
      <w:r w:rsidR="00687F8A" w:rsidRPr="00F871F8">
        <w:fldChar w:fldCharType="end"/>
      </w:r>
      <w:r w:rsidR="00687F8A" w:rsidRPr="00F871F8">
        <w:t>.</w:t>
      </w:r>
      <w:r w:rsidR="00866143" w:rsidRPr="00F871F8">
        <w:t xml:space="preserve"> </w:t>
      </w:r>
      <w:r w:rsidR="003F0A61" w:rsidRPr="00F871F8">
        <w:t>Microfluidic r</w:t>
      </w:r>
      <w:r w:rsidR="00ED1173" w:rsidRPr="00F871F8">
        <w:t xml:space="preserve">eactors </w:t>
      </w:r>
      <w:r w:rsidR="009147F5" w:rsidRPr="00F871F8">
        <w:t xml:space="preserve">can be </w:t>
      </w:r>
      <w:r w:rsidR="004D1334" w:rsidRPr="00F871F8">
        <w:t xml:space="preserve">redesigned </w:t>
      </w:r>
      <w:r w:rsidR="009147F5" w:rsidRPr="00F871F8">
        <w:t xml:space="preserve">to simulate a range of </w:t>
      </w:r>
      <w:r w:rsidR="0064687F" w:rsidRPr="00F871F8">
        <w:t>porous environments</w:t>
      </w:r>
      <w:r w:rsidR="00770787" w:rsidRPr="00F871F8">
        <w:t xml:space="preserve">, </w:t>
      </w:r>
      <w:r w:rsidR="009147F5" w:rsidRPr="00F871F8">
        <w:t>for example</w:t>
      </w:r>
      <w:r w:rsidR="00B72939" w:rsidRPr="00F871F8">
        <w:t>,</w:t>
      </w:r>
      <w:r w:rsidR="009147F5" w:rsidRPr="00F871F8">
        <w:t xml:space="preserve"> by changing the </w:t>
      </w:r>
      <w:r w:rsidR="00795870" w:rsidRPr="00F871F8">
        <w:t>particle size distribution, particle shape,</w:t>
      </w:r>
      <w:r w:rsidR="009147F5" w:rsidRPr="00F871F8">
        <w:t xml:space="preserve"> </w:t>
      </w:r>
      <w:r w:rsidR="00795870" w:rsidRPr="00F871F8">
        <w:t xml:space="preserve">or </w:t>
      </w:r>
      <w:r w:rsidR="009147F5" w:rsidRPr="00F871F8">
        <w:t>porosity</w:t>
      </w:r>
      <w:r w:rsidR="00795870" w:rsidRPr="00F871F8">
        <w:t>,</w:t>
      </w:r>
      <w:r w:rsidR="009147F5" w:rsidRPr="00F871F8">
        <w:t xml:space="preserve"> or by functionalizing the PDMS to mimic the surface charge of </w:t>
      </w:r>
      <w:r w:rsidR="00DE1BA1" w:rsidRPr="00F871F8">
        <w:t>clay particles</w:t>
      </w:r>
      <w:r w:rsidR="009147F5" w:rsidRPr="00F871F8">
        <w:t xml:space="preserve"> or natural organic matter.</w:t>
      </w:r>
      <w:r w:rsidR="002F0DD8" w:rsidRPr="00F871F8">
        <w:t xml:space="preserve"> </w:t>
      </w:r>
      <w:r w:rsidR="00073DCB" w:rsidRPr="00F871F8">
        <w:t>With additional</w:t>
      </w:r>
      <w:r w:rsidRPr="00F871F8">
        <w:t xml:space="preserve"> modifications (e.g., replacing the glass reactor substrate with plastic), </w:t>
      </w:r>
      <w:r w:rsidR="00E91EFD" w:rsidRPr="00F871F8">
        <w:t>reactors</w:t>
      </w:r>
      <w:r w:rsidRPr="00F871F8">
        <w:t xml:space="preserve"> </w:t>
      </w:r>
      <w:r w:rsidR="003A778D" w:rsidRPr="00F871F8">
        <w:t xml:space="preserve">can </w:t>
      </w:r>
      <w:r w:rsidR="00F20B24" w:rsidRPr="00F871F8">
        <w:t>support</w:t>
      </w:r>
      <w:r w:rsidRPr="00F871F8">
        <w:t xml:space="preserve"> direct </w:t>
      </w:r>
      <w:r w:rsidR="00F20B24" w:rsidRPr="00F871F8">
        <w:t xml:space="preserve">spectroscopic </w:t>
      </w:r>
      <w:r w:rsidRPr="00F871F8">
        <w:t>measurement</w:t>
      </w:r>
      <w:r w:rsidR="00F20B24" w:rsidRPr="00F871F8">
        <w:t>s</w:t>
      </w:r>
      <w:r w:rsidRPr="00F871F8">
        <w:t xml:space="preserve"> of metal oxidation state, mineralogy,</w:t>
      </w:r>
      <w:r w:rsidR="003827CF" w:rsidRPr="00F871F8">
        <w:t xml:space="preserve"> </w:t>
      </w:r>
      <w:r w:rsidRPr="00F871F8">
        <w:t>organo-mineral associations</w:t>
      </w:r>
      <w:r w:rsidR="003827CF" w:rsidRPr="00F871F8">
        <w:t xml:space="preserve">, or the sorption or co-precipitation of </w:t>
      </w:r>
      <w:r w:rsidR="00E92E94" w:rsidRPr="00F871F8">
        <w:t>secondary metals</w:t>
      </w:r>
      <w:r w:rsidRPr="00F871F8">
        <w:t>.</w:t>
      </w:r>
      <w:r w:rsidR="002961A6" w:rsidRPr="00F871F8">
        <w:t xml:space="preserve"> </w:t>
      </w:r>
      <w:r w:rsidR="00073DCB" w:rsidRPr="00F871F8">
        <w:t xml:space="preserve">Finally, this </w:t>
      </w:r>
      <w:r w:rsidR="00E91EFD" w:rsidRPr="00F871F8">
        <w:t>experimental platform</w:t>
      </w:r>
      <w:r w:rsidR="006454A2" w:rsidRPr="00F871F8">
        <w:t xml:space="preserve"> can be expanded to investigate precipitation of other metal biominerals</w:t>
      </w:r>
      <w:r w:rsidR="00FE4742" w:rsidRPr="00F871F8">
        <w:t xml:space="preserve"> (e.g., </w:t>
      </w:r>
      <w:r w:rsidR="006454A2" w:rsidRPr="00F871F8">
        <w:t>phosphates, carbonates</w:t>
      </w:r>
      <w:r w:rsidR="00FE4742" w:rsidRPr="00F871F8">
        <w:t xml:space="preserve">, </w:t>
      </w:r>
      <w:r w:rsidR="006454A2" w:rsidRPr="00F871F8">
        <w:t>sulfides</w:t>
      </w:r>
      <w:r w:rsidR="00FE4742" w:rsidRPr="00F871F8">
        <w:t>)</w:t>
      </w:r>
      <w:r w:rsidR="006454A2" w:rsidRPr="00F871F8">
        <w:t>, provided their optical properties are sufficiently distinct to allow for image segmentation</w:t>
      </w:r>
      <w:r w:rsidR="00E92E94" w:rsidRPr="00F871F8">
        <w:t xml:space="preserve">. </w:t>
      </w:r>
      <w:r w:rsidR="003A778D" w:rsidRPr="00F871F8">
        <w:t xml:space="preserve">This </w:t>
      </w:r>
      <w:proofErr w:type="gramStart"/>
      <w:r w:rsidR="002961A6" w:rsidRPr="00F871F8">
        <w:t>protocol</w:t>
      </w:r>
      <w:proofErr w:type="gramEnd"/>
      <w:r w:rsidR="002961A6" w:rsidRPr="00F871F8">
        <w:t xml:space="preserve"> therefore</w:t>
      </w:r>
      <w:r w:rsidR="00B72939" w:rsidRPr="00F871F8">
        <w:t>,</w:t>
      </w:r>
      <w:r w:rsidR="002961A6" w:rsidRPr="00F871F8">
        <w:t xml:space="preserve"> offers a framework to</w:t>
      </w:r>
      <w:r w:rsidR="007B5225" w:rsidRPr="00F871F8">
        <w:t xml:space="preserve"> comprehensively</w:t>
      </w:r>
      <w:r w:rsidR="002961A6" w:rsidRPr="00F871F8">
        <w:t xml:space="preserve"> investigate </w:t>
      </w:r>
      <w:r w:rsidR="002E350B" w:rsidRPr="00F871F8">
        <w:t>biomineralization and microbe-mineral</w:t>
      </w:r>
      <w:r w:rsidR="00F10607" w:rsidRPr="00F871F8">
        <w:t>-fluid</w:t>
      </w:r>
      <w:r w:rsidR="002E350B" w:rsidRPr="00F871F8">
        <w:t xml:space="preserve"> interactions </w:t>
      </w:r>
      <w:r w:rsidR="002961A6" w:rsidRPr="00F871F8">
        <w:t xml:space="preserve">in relevant </w:t>
      </w:r>
      <w:r w:rsidR="0067125A" w:rsidRPr="00F871F8">
        <w:t xml:space="preserve">porous </w:t>
      </w:r>
      <w:r w:rsidR="002961A6" w:rsidRPr="00F871F8">
        <w:t>environments.</w:t>
      </w:r>
    </w:p>
    <w:p w14:paraId="353FFA76" w14:textId="77777777" w:rsidR="00866143" w:rsidRPr="00F871F8" w:rsidRDefault="00866143" w:rsidP="001B0A4E"/>
    <w:p w14:paraId="59F37CC4" w14:textId="718DF307" w:rsidR="006E4797" w:rsidRPr="00F871F8" w:rsidRDefault="00000000" w:rsidP="001B0A4E">
      <w:pPr>
        <w:pBdr>
          <w:top w:val="nil"/>
          <w:left w:val="nil"/>
          <w:bottom w:val="nil"/>
          <w:right w:val="nil"/>
          <w:between w:val="nil"/>
        </w:pBdr>
      </w:pPr>
      <w:r w:rsidRPr="00F871F8">
        <w:rPr>
          <w:b/>
        </w:rPr>
        <w:t xml:space="preserve">ACKNOWLEDGMENTS: </w:t>
      </w:r>
    </w:p>
    <w:p w14:paraId="6424A9A8" w14:textId="3F8E3BBF" w:rsidR="00AE468A" w:rsidRPr="00F871F8" w:rsidRDefault="00000000" w:rsidP="001B0A4E">
      <w:pPr>
        <w:pStyle w:val="TAMainText"/>
        <w:spacing w:line="240" w:lineRule="auto"/>
        <w:ind w:firstLine="0"/>
        <w:rPr>
          <w:rFonts w:ascii="Calibri" w:hAnsi="Calibri" w:cs="Calibri"/>
          <w:szCs w:val="24"/>
        </w:rPr>
      </w:pPr>
      <w:r w:rsidRPr="00F871F8">
        <w:rPr>
          <w:rFonts w:ascii="Calibri" w:hAnsi="Calibri" w:cs="Calibri"/>
          <w:szCs w:val="24"/>
        </w:rPr>
        <w:t>This project was supported by the U.S. National Science Foundation Center for Bio-mediated and Bio-inspired Geotechnics</w:t>
      </w:r>
      <w:r w:rsidRPr="00F871F8">
        <w:rPr>
          <w:rFonts w:ascii="Calibri" w:hAnsi="Calibri" w:cs="Calibri"/>
          <w:b/>
          <w:bCs/>
          <w:szCs w:val="24"/>
        </w:rPr>
        <w:t xml:space="preserve"> </w:t>
      </w:r>
      <w:r w:rsidRPr="00F871F8">
        <w:rPr>
          <w:rFonts w:ascii="Calibri" w:hAnsi="Calibri" w:cs="Calibri"/>
          <w:szCs w:val="24"/>
        </w:rPr>
        <w:t xml:space="preserve">(ERC-1449501), the Swiss National Science Foundation (200021_188546), and the U.S National Science Foundation (MCA-2322428, EAR-1847689, DMR-2003849). Part of this study was carried out at the UC Davis Center for Nano and Micro Manufacturing (CNM2). We thank Steven Lucero and the UC Davis Tech Foundry for </w:t>
      </w:r>
      <w:r w:rsidR="00B72939" w:rsidRPr="00F871F8">
        <w:rPr>
          <w:rFonts w:ascii="Calibri" w:hAnsi="Calibri" w:cs="Calibri"/>
          <w:szCs w:val="24"/>
        </w:rPr>
        <w:t xml:space="preserve">the </w:t>
      </w:r>
      <w:r w:rsidRPr="00F871F8">
        <w:rPr>
          <w:rFonts w:ascii="Calibri" w:hAnsi="Calibri" w:cs="Calibri"/>
          <w:szCs w:val="24"/>
        </w:rPr>
        <w:t xml:space="preserve">design and fabrication of the microscope incubator and UVC </w:t>
      </w:r>
      <w:r w:rsidR="00D64F2A" w:rsidRPr="00F871F8">
        <w:rPr>
          <w:rFonts w:ascii="Calibri" w:hAnsi="Calibri" w:cs="Calibri"/>
          <w:szCs w:val="24"/>
        </w:rPr>
        <w:t>irradiation system</w:t>
      </w:r>
      <w:r w:rsidRPr="00F871F8">
        <w:rPr>
          <w:rFonts w:ascii="Calibri" w:hAnsi="Calibri" w:cs="Calibri"/>
          <w:szCs w:val="24"/>
        </w:rPr>
        <w:t xml:space="preserve">. We also thank Dr. Yuze Wang and Dr. Jason DeJong for providing the porous medium </w:t>
      </w:r>
      <w:r w:rsidR="004B2939" w:rsidRPr="00F871F8">
        <w:rPr>
          <w:rFonts w:ascii="Calibri" w:hAnsi="Calibri" w:cs="Calibri"/>
          <w:szCs w:val="24"/>
        </w:rPr>
        <w:t>geometry</w:t>
      </w:r>
      <w:r w:rsidRPr="00F871F8">
        <w:rPr>
          <w:rFonts w:ascii="Calibri" w:hAnsi="Calibri" w:cs="Calibri"/>
          <w:szCs w:val="24"/>
        </w:rPr>
        <w:t xml:space="preserve"> used for microfluidic reactor fabrication, and </w:t>
      </w:r>
      <w:r w:rsidR="00680678" w:rsidRPr="00F871F8">
        <w:rPr>
          <w:rFonts w:ascii="Calibri" w:hAnsi="Calibri" w:cs="Calibri"/>
          <w:szCs w:val="24"/>
        </w:rPr>
        <w:t xml:space="preserve">Dr. Arunima Bhatacharjee, </w:t>
      </w:r>
      <w:r w:rsidRPr="00F871F8">
        <w:rPr>
          <w:rFonts w:ascii="Calibri" w:hAnsi="Calibri" w:cs="Calibri"/>
          <w:szCs w:val="24"/>
        </w:rPr>
        <w:t xml:space="preserve">Dr. Noah Goshi, Dr. Gregory Girardi, and </w:t>
      </w:r>
      <w:proofErr w:type="spellStart"/>
      <w:r w:rsidRPr="00F871F8">
        <w:rPr>
          <w:rFonts w:ascii="Calibri" w:hAnsi="Calibri" w:cs="Calibri"/>
          <w:szCs w:val="24"/>
        </w:rPr>
        <w:t>Hyehyun</w:t>
      </w:r>
      <w:proofErr w:type="spellEnd"/>
      <w:r w:rsidRPr="00F871F8">
        <w:rPr>
          <w:rFonts w:ascii="Calibri" w:hAnsi="Calibri" w:cs="Calibri"/>
          <w:szCs w:val="24"/>
        </w:rPr>
        <w:t xml:space="preserve"> Kim for </w:t>
      </w:r>
      <w:r w:rsidR="00680678" w:rsidRPr="00F871F8">
        <w:rPr>
          <w:rFonts w:ascii="Calibri" w:hAnsi="Calibri" w:cs="Calibri"/>
          <w:szCs w:val="24"/>
        </w:rPr>
        <w:t xml:space="preserve">useful discussions and/or </w:t>
      </w:r>
      <w:r w:rsidRPr="00F871F8">
        <w:rPr>
          <w:rFonts w:ascii="Calibri" w:hAnsi="Calibri" w:cs="Calibri"/>
          <w:szCs w:val="24"/>
        </w:rPr>
        <w:t xml:space="preserve">providing training on photolithography and soft lithography. Finally, we thank Dr. Gaitan Gehin, </w:t>
      </w:r>
      <w:r w:rsidR="00A450B4" w:rsidRPr="00F871F8">
        <w:rPr>
          <w:rFonts w:ascii="Calibri" w:hAnsi="Calibri" w:cs="Calibri"/>
          <w:szCs w:val="24"/>
        </w:rPr>
        <w:t xml:space="preserve">Dr. Tonya Kuhl, </w:t>
      </w:r>
      <w:r w:rsidRPr="00F871F8">
        <w:rPr>
          <w:rFonts w:ascii="Calibri" w:hAnsi="Calibri" w:cs="Calibri"/>
          <w:szCs w:val="24"/>
        </w:rPr>
        <w:t>Dr. Filippo Miele, and Dr. Charles Graddy</w:t>
      </w:r>
      <w:r w:rsidR="0029391D" w:rsidRPr="00F871F8">
        <w:rPr>
          <w:rFonts w:ascii="Calibri" w:hAnsi="Calibri" w:cs="Calibri"/>
          <w:szCs w:val="24"/>
        </w:rPr>
        <w:t xml:space="preserve"> for </w:t>
      </w:r>
      <w:r w:rsidR="000F3878" w:rsidRPr="00F871F8">
        <w:rPr>
          <w:rFonts w:ascii="Calibri" w:hAnsi="Calibri" w:cs="Calibri"/>
          <w:szCs w:val="24"/>
        </w:rPr>
        <w:t xml:space="preserve">valuable </w:t>
      </w:r>
      <w:r w:rsidRPr="00F871F8">
        <w:rPr>
          <w:rFonts w:ascii="Calibri" w:hAnsi="Calibri" w:cs="Calibri"/>
          <w:szCs w:val="24"/>
        </w:rPr>
        <w:t>discussions on experimental design and image analysis.</w:t>
      </w:r>
    </w:p>
    <w:p w14:paraId="25B2FBBD" w14:textId="77777777" w:rsidR="006E4797" w:rsidRPr="00F871F8" w:rsidRDefault="006E4797" w:rsidP="001B0A4E">
      <w:pPr>
        <w:rPr>
          <w:b/>
        </w:rPr>
      </w:pPr>
    </w:p>
    <w:p w14:paraId="5E703EBA" w14:textId="6AC21191" w:rsidR="006E4797" w:rsidRPr="00F871F8" w:rsidRDefault="00000000" w:rsidP="001B0A4E">
      <w:pPr>
        <w:pBdr>
          <w:top w:val="nil"/>
          <w:left w:val="nil"/>
          <w:bottom w:val="nil"/>
          <w:right w:val="nil"/>
          <w:between w:val="nil"/>
        </w:pBdr>
      </w:pPr>
      <w:r w:rsidRPr="00F871F8">
        <w:rPr>
          <w:b/>
        </w:rPr>
        <w:t xml:space="preserve">DISCLOSURES: </w:t>
      </w:r>
    </w:p>
    <w:p w14:paraId="2B0296C1" w14:textId="77777777" w:rsidR="0038549E" w:rsidRPr="00F871F8" w:rsidRDefault="00000000" w:rsidP="001B0A4E">
      <w:r w:rsidRPr="00F871F8">
        <w:t>The authors declare no conflicts of interest.</w:t>
      </w:r>
    </w:p>
    <w:p w14:paraId="4A7B0E5C" w14:textId="77777777" w:rsidR="006E4797" w:rsidRPr="00F871F8" w:rsidRDefault="006E4797" w:rsidP="001B0A4E"/>
    <w:p w14:paraId="6DE2B73C" w14:textId="3CEA799E" w:rsidR="006E4797" w:rsidRPr="00F871F8" w:rsidRDefault="00000000" w:rsidP="001B0A4E">
      <w:r w:rsidRPr="00F871F8">
        <w:rPr>
          <w:b/>
        </w:rPr>
        <w:t>REFERENCES:</w:t>
      </w:r>
      <w:r w:rsidRPr="00F871F8">
        <w:t xml:space="preserve"> </w:t>
      </w:r>
    </w:p>
    <w:p w14:paraId="1E7D7B5F"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Scheinost AC, Singh B. Metal oxides. In: Goss MJ, Oliver M, eds. Encyclopedia of soils in the environment. 2nd ed. Academic Press; Oxford; 2023.</w:t>
      </w:r>
    </w:p>
    <w:p w14:paraId="4EF2B025"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Tebo BM et al. Biogenic manganese oxides: properties and mechanisms of formation. Annu Rev Earth Planet Sci. </w:t>
      </w:r>
      <w:proofErr w:type="gramStart"/>
      <w:r w:rsidRPr="00F871F8">
        <w:rPr>
          <w:rFonts w:eastAsia="Times New Roman"/>
        </w:rPr>
        <w:t>2004;32:287</w:t>
      </w:r>
      <w:proofErr w:type="gramEnd"/>
      <w:r w:rsidRPr="00F871F8">
        <w:rPr>
          <w:rFonts w:eastAsia="Times New Roman"/>
        </w:rPr>
        <w:t>–328.</w:t>
      </w:r>
    </w:p>
    <w:p w14:paraId="4F5C63F7"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Droz B, Dumas N, Duckworth OW, Peña J. A comparison of the sorption reactivity of bacteriogenic and </w:t>
      </w:r>
      <w:proofErr w:type="spellStart"/>
      <w:r w:rsidRPr="00F871F8">
        <w:rPr>
          <w:rFonts w:eastAsia="Times New Roman"/>
        </w:rPr>
        <w:t>mycogenic</w:t>
      </w:r>
      <w:proofErr w:type="spellEnd"/>
      <w:r w:rsidRPr="00F871F8">
        <w:rPr>
          <w:rFonts w:eastAsia="Times New Roman"/>
        </w:rPr>
        <w:t xml:space="preserve"> Mn oxide nanoparticles. Environ Sci Technol. </w:t>
      </w:r>
      <w:proofErr w:type="gramStart"/>
      <w:r w:rsidRPr="00F871F8">
        <w:rPr>
          <w:rFonts w:eastAsia="Times New Roman"/>
        </w:rPr>
        <w:t>2015;49:4200</w:t>
      </w:r>
      <w:proofErr w:type="gramEnd"/>
      <w:r w:rsidRPr="00F871F8">
        <w:rPr>
          <w:rFonts w:eastAsia="Times New Roman"/>
        </w:rPr>
        <w:t>–4208.</w:t>
      </w:r>
    </w:p>
    <w:p w14:paraId="2673E37B" w14:textId="77777777" w:rsidR="00B72939" w:rsidRPr="00F871F8" w:rsidRDefault="00000000" w:rsidP="001B0A4E">
      <w:pPr>
        <w:widowControl/>
        <w:numPr>
          <w:ilvl w:val="0"/>
          <w:numId w:val="38"/>
        </w:numPr>
        <w:tabs>
          <w:tab w:val="clear" w:pos="720"/>
          <w:tab w:val="num" w:pos="709"/>
        </w:tabs>
        <w:ind w:left="0" w:firstLine="0"/>
        <w:rPr>
          <w:rFonts w:eastAsia="Times New Roman"/>
        </w:rPr>
      </w:pPr>
      <w:proofErr w:type="spellStart"/>
      <w:r w:rsidRPr="00F871F8">
        <w:rPr>
          <w:rFonts w:eastAsia="Times New Roman"/>
        </w:rPr>
        <w:t>Holguera</w:t>
      </w:r>
      <w:proofErr w:type="spellEnd"/>
      <w:r w:rsidRPr="00F871F8">
        <w:rPr>
          <w:rFonts w:eastAsia="Times New Roman"/>
        </w:rPr>
        <w:t xml:space="preserve"> JG, Etui ID, Jensen LHS, Peña J. Contaminant loading and competitive access of Pb, Zn and </w:t>
      </w:r>
      <w:proofErr w:type="gramStart"/>
      <w:r w:rsidRPr="00F871F8">
        <w:rPr>
          <w:rFonts w:eastAsia="Times New Roman"/>
        </w:rPr>
        <w:t>Mn(</w:t>
      </w:r>
      <w:proofErr w:type="gramEnd"/>
      <w:r w:rsidRPr="00F871F8">
        <w:rPr>
          <w:rFonts w:eastAsia="Times New Roman"/>
        </w:rPr>
        <w:t xml:space="preserve">III) to vacancy sites in biogenic </w:t>
      </w:r>
      <w:proofErr w:type="spellStart"/>
      <w:r w:rsidRPr="00F871F8">
        <w:rPr>
          <w:rFonts w:eastAsia="Times New Roman"/>
        </w:rPr>
        <w:t>MnO</w:t>
      </w:r>
      <w:proofErr w:type="spellEnd"/>
      <w:r w:rsidRPr="00F871F8">
        <w:rPr>
          <w:rFonts w:eastAsia="Times New Roman"/>
        </w:rPr>
        <w:t xml:space="preserve">₂. Chem Geol. </w:t>
      </w:r>
      <w:proofErr w:type="gramStart"/>
      <w:r w:rsidRPr="00F871F8">
        <w:rPr>
          <w:rFonts w:eastAsia="Times New Roman"/>
        </w:rPr>
        <w:t>2018;502:76</w:t>
      </w:r>
      <w:proofErr w:type="gramEnd"/>
      <w:r w:rsidRPr="00F871F8">
        <w:rPr>
          <w:rFonts w:eastAsia="Times New Roman"/>
        </w:rPr>
        <w:t>–87.</w:t>
      </w:r>
    </w:p>
    <w:p w14:paraId="46EABCFA"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Peña J et al. Mechanisms of nickel sorption by a bacteriogenic </w:t>
      </w:r>
      <w:proofErr w:type="spellStart"/>
      <w:r w:rsidRPr="00F871F8">
        <w:rPr>
          <w:rFonts w:eastAsia="Times New Roman"/>
        </w:rPr>
        <w:t>birnessite</w:t>
      </w:r>
      <w:proofErr w:type="spellEnd"/>
      <w:r w:rsidRPr="00F871F8">
        <w:rPr>
          <w:rFonts w:eastAsia="Times New Roman"/>
        </w:rPr>
        <w:t xml:space="preserve">. </w:t>
      </w:r>
      <w:proofErr w:type="spellStart"/>
      <w:r w:rsidRPr="00F871F8">
        <w:rPr>
          <w:rFonts w:eastAsia="Times New Roman"/>
        </w:rPr>
        <w:t>Geochim</w:t>
      </w:r>
      <w:proofErr w:type="spellEnd"/>
      <w:r w:rsidRPr="00F871F8">
        <w:rPr>
          <w:rFonts w:eastAsia="Times New Roman"/>
        </w:rPr>
        <w:t xml:space="preserve"> </w:t>
      </w:r>
      <w:proofErr w:type="spellStart"/>
      <w:r w:rsidRPr="00F871F8">
        <w:rPr>
          <w:rFonts w:eastAsia="Times New Roman"/>
        </w:rPr>
        <w:t>Cosmochim</w:t>
      </w:r>
      <w:proofErr w:type="spellEnd"/>
      <w:r w:rsidRPr="00F871F8">
        <w:rPr>
          <w:rFonts w:eastAsia="Times New Roman"/>
        </w:rPr>
        <w:t xml:space="preserve"> Acta. </w:t>
      </w:r>
      <w:proofErr w:type="gramStart"/>
      <w:r w:rsidRPr="00F871F8">
        <w:rPr>
          <w:rFonts w:eastAsia="Times New Roman"/>
        </w:rPr>
        <w:t>2010;74:3076</w:t>
      </w:r>
      <w:proofErr w:type="gramEnd"/>
      <w:r w:rsidRPr="00F871F8">
        <w:rPr>
          <w:rFonts w:eastAsia="Times New Roman"/>
        </w:rPr>
        <w:t>–3089.</w:t>
      </w:r>
    </w:p>
    <w:p w14:paraId="36608DC0"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lastRenderedPageBreak/>
        <w:t>Toner B, Manceau A, Webb SM, Sposito G. Zinc sorption to biogenic hexagonal-</w:t>
      </w:r>
      <w:proofErr w:type="spellStart"/>
      <w:r w:rsidRPr="00F871F8">
        <w:rPr>
          <w:rFonts w:eastAsia="Times New Roman"/>
        </w:rPr>
        <w:t>birnessite</w:t>
      </w:r>
      <w:proofErr w:type="spellEnd"/>
      <w:r w:rsidRPr="00F871F8">
        <w:rPr>
          <w:rFonts w:eastAsia="Times New Roman"/>
        </w:rPr>
        <w:t xml:space="preserve"> particles within a hydrated bacterial biofilm. </w:t>
      </w:r>
      <w:proofErr w:type="spellStart"/>
      <w:r w:rsidRPr="00F871F8">
        <w:rPr>
          <w:rFonts w:eastAsia="Times New Roman"/>
        </w:rPr>
        <w:t>Geochim</w:t>
      </w:r>
      <w:proofErr w:type="spellEnd"/>
      <w:r w:rsidRPr="00F871F8">
        <w:rPr>
          <w:rFonts w:eastAsia="Times New Roman"/>
        </w:rPr>
        <w:t xml:space="preserve"> </w:t>
      </w:r>
      <w:proofErr w:type="spellStart"/>
      <w:r w:rsidRPr="00F871F8">
        <w:rPr>
          <w:rFonts w:eastAsia="Times New Roman"/>
        </w:rPr>
        <w:t>Cosmochim</w:t>
      </w:r>
      <w:proofErr w:type="spellEnd"/>
      <w:r w:rsidRPr="00F871F8">
        <w:rPr>
          <w:rFonts w:eastAsia="Times New Roman"/>
        </w:rPr>
        <w:t xml:space="preserve"> Acta. </w:t>
      </w:r>
      <w:proofErr w:type="gramStart"/>
      <w:r w:rsidRPr="00F871F8">
        <w:rPr>
          <w:rFonts w:eastAsia="Times New Roman"/>
        </w:rPr>
        <w:t>2006;70:27</w:t>
      </w:r>
      <w:proofErr w:type="gramEnd"/>
      <w:r w:rsidRPr="00F871F8">
        <w:rPr>
          <w:rFonts w:eastAsia="Times New Roman"/>
        </w:rPr>
        <w:t>–43.</w:t>
      </w:r>
    </w:p>
    <w:p w14:paraId="312ACACE"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Castro L, Blázquez ML, González F, Muñoz JA, Ballester A. Heavy metal adsorption using biogenic iron compounds. Hydrometallurgy. </w:t>
      </w:r>
      <w:proofErr w:type="gramStart"/>
      <w:r w:rsidRPr="00F871F8">
        <w:rPr>
          <w:rFonts w:eastAsia="Times New Roman"/>
        </w:rPr>
        <w:t>2018;179:44</w:t>
      </w:r>
      <w:proofErr w:type="gramEnd"/>
      <w:r w:rsidRPr="00F871F8">
        <w:rPr>
          <w:rFonts w:eastAsia="Times New Roman"/>
        </w:rPr>
        <w:t>–51.</w:t>
      </w:r>
    </w:p>
    <w:p w14:paraId="51B30253"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Whitaker AH, Duckworth OW. Cu, Pb, and Zn sorption to biogenic iron (</w:t>
      </w:r>
      <w:proofErr w:type="spellStart"/>
      <w:r w:rsidRPr="00F871F8">
        <w:rPr>
          <w:rFonts w:eastAsia="Times New Roman"/>
        </w:rPr>
        <w:t>oxyhydr</w:t>
      </w:r>
      <w:proofErr w:type="spellEnd"/>
      <w:r w:rsidRPr="00F871F8">
        <w:rPr>
          <w:rFonts w:eastAsia="Times New Roman"/>
        </w:rPr>
        <w:t xml:space="preserve">)oxides formed in circumneutral environments. Soil Syst. </w:t>
      </w:r>
      <w:proofErr w:type="gramStart"/>
      <w:r w:rsidRPr="00F871F8">
        <w:rPr>
          <w:rFonts w:eastAsia="Times New Roman"/>
        </w:rPr>
        <w:t>2018;2:18</w:t>
      </w:r>
      <w:proofErr w:type="gramEnd"/>
      <w:r w:rsidRPr="00F871F8">
        <w:rPr>
          <w:rFonts w:eastAsia="Times New Roman"/>
        </w:rPr>
        <w:t>.</w:t>
      </w:r>
    </w:p>
    <w:p w14:paraId="5B6CFA8D" w14:textId="77777777" w:rsidR="00B72939" w:rsidRPr="00F871F8" w:rsidRDefault="00000000" w:rsidP="001B0A4E">
      <w:pPr>
        <w:widowControl/>
        <w:numPr>
          <w:ilvl w:val="0"/>
          <w:numId w:val="38"/>
        </w:numPr>
        <w:tabs>
          <w:tab w:val="clear" w:pos="720"/>
          <w:tab w:val="num" w:pos="709"/>
        </w:tabs>
        <w:ind w:left="0" w:firstLine="0"/>
        <w:rPr>
          <w:rFonts w:eastAsia="Times New Roman"/>
        </w:rPr>
      </w:pPr>
      <w:proofErr w:type="spellStart"/>
      <w:r w:rsidRPr="00F871F8">
        <w:rPr>
          <w:rFonts w:eastAsia="Times New Roman"/>
        </w:rPr>
        <w:t>Brüggenwirth</w:t>
      </w:r>
      <w:proofErr w:type="spellEnd"/>
      <w:r w:rsidRPr="00F871F8">
        <w:rPr>
          <w:rFonts w:eastAsia="Times New Roman"/>
        </w:rPr>
        <w:t xml:space="preserve"> L et al. Interactions of manganese oxides with natural dissolved organic matter: implications for soil organic carbon cycling. </w:t>
      </w:r>
      <w:proofErr w:type="spellStart"/>
      <w:r w:rsidRPr="00F871F8">
        <w:rPr>
          <w:rFonts w:eastAsia="Times New Roman"/>
        </w:rPr>
        <w:t>Geochim</w:t>
      </w:r>
      <w:proofErr w:type="spellEnd"/>
      <w:r w:rsidRPr="00F871F8">
        <w:rPr>
          <w:rFonts w:eastAsia="Times New Roman"/>
        </w:rPr>
        <w:t xml:space="preserve"> </w:t>
      </w:r>
      <w:proofErr w:type="spellStart"/>
      <w:r w:rsidRPr="00F871F8">
        <w:rPr>
          <w:rFonts w:eastAsia="Times New Roman"/>
        </w:rPr>
        <w:t>Cosmochim</w:t>
      </w:r>
      <w:proofErr w:type="spellEnd"/>
      <w:r w:rsidRPr="00F871F8">
        <w:rPr>
          <w:rFonts w:eastAsia="Times New Roman"/>
        </w:rPr>
        <w:t xml:space="preserve"> Acta. </w:t>
      </w:r>
      <w:proofErr w:type="gramStart"/>
      <w:r w:rsidRPr="00F871F8">
        <w:rPr>
          <w:rFonts w:eastAsia="Times New Roman"/>
        </w:rPr>
        <w:t>2024;366:182</w:t>
      </w:r>
      <w:proofErr w:type="gramEnd"/>
      <w:r w:rsidRPr="00F871F8">
        <w:rPr>
          <w:rFonts w:eastAsia="Times New Roman"/>
        </w:rPr>
        <w:t>–200.</w:t>
      </w:r>
    </w:p>
    <w:p w14:paraId="7ED4C93D"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Li H, Santos F, Butler K, Herndon E. A critical review on the multiple roles of manganese in stabilizing and destabilizing soil organic matter. Environ Sci Technol. </w:t>
      </w:r>
      <w:proofErr w:type="gramStart"/>
      <w:r w:rsidRPr="00F871F8">
        <w:rPr>
          <w:rFonts w:eastAsia="Times New Roman"/>
        </w:rPr>
        <w:t>2021;55:12136</w:t>
      </w:r>
      <w:proofErr w:type="gramEnd"/>
      <w:r w:rsidRPr="00F871F8">
        <w:rPr>
          <w:rFonts w:eastAsia="Times New Roman"/>
        </w:rPr>
        <w:t>–12152.</w:t>
      </w:r>
    </w:p>
    <w:p w14:paraId="44391714"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Li Q, Hu W, Li L, Li Y. Interactions between organic matter and Fe oxides at soil micro-interfaces: quantification, associations, and influencing factors. Sci Total Environ. </w:t>
      </w:r>
      <w:proofErr w:type="gramStart"/>
      <w:r w:rsidRPr="00F871F8">
        <w:rPr>
          <w:rFonts w:eastAsia="Times New Roman"/>
        </w:rPr>
        <w:t>2023;855:158710</w:t>
      </w:r>
      <w:proofErr w:type="gramEnd"/>
      <w:r w:rsidRPr="00F871F8">
        <w:rPr>
          <w:rFonts w:eastAsia="Times New Roman"/>
        </w:rPr>
        <w:t>.</w:t>
      </w:r>
    </w:p>
    <w:p w14:paraId="5D374616"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Song X et al. Towards a better understanding of the role of Fe cycling in soil for carbon stabilization and degradation. Carbon Res. </w:t>
      </w:r>
      <w:proofErr w:type="gramStart"/>
      <w:r w:rsidRPr="00F871F8">
        <w:rPr>
          <w:rFonts w:eastAsia="Times New Roman"/>
        </w:rPr>
        <w:t>2022;1:5</w:t>
      </w:r>
      <w:proofErr w:type="gramEnd"/>
      <w:r w:rsidRPr="00F871F8">
        <w:rPr>
          <w:rFonts w:eastAsia="Times New Roman"/>
        </w:rPr>
        <w:t>.</w:t>
      </w:r>
    </w:p>
    <w:p w14:paraId="2C88A272" w14:textId="77777777" w:rsidR="00B72939" w:rsidRPr="00F871F8" w:rsidRDefault="00000000" w:rsidP="001B0A4E">
      <w:pPr>
        <w:widowControl/>
        <w:numPr>
          <w:ilvl w:val="0"/>
          <w:numId w:val="38"/>
        </w:numPr>
        <w:tabs>
          <w:tab w:val="clear" w:pos="720"/>
          <w:tab w:val="num" w:pos="709"/>
        </w:tabs>
        <w:ind w:left="0" w:firstLine="0"/>
        <w:rPr>
          <w:rFonts w:eastAsia="Times New Roman"/>
        </w:rPr>
      </w:pPr>
      <w:proofErr w:type="spellStart"/>
      <w:r w:rsidRPr="00F871F8">
        <w:rPr>
          <w:rFonts w:eastAsia="Times New Roman"/>
        </w:rPr>
        <w:t>Hennebel</w:t>
      </w:r>
      <w:proofErr w:type="spellEnd"/>
      <w:r w:rsidRPr="00F871F8">
        <w:rPr>
          <w:rFonts w:eastAsia="Times New Roman"/>
        </w:rPr>
        <w:t xml:space="preserve"> T, De </w:t>
      </w:r>
      <w:proofErr w:type="spellStart"/>
      <w:r w:rsidRPr="00F871F8">
        <w:rPr>
          <w:rFonts w:eastAsia="Times New Roman"/>
        </w:rPr>
        <w:t>Gusseme</w:t>
      </w:r>
      <w:proofErr w:type="spellEnd"/>
      <w:r w:rsidRPr="00F871F8">
        <w:rPr>
          <w:rFonts w:eastAsia="Times New Roman"/>
        </w:rPr>
        <w:t xml:space="preserve"> B, Boon N, Verstraete W. Biogenic metals in advanced water treatment. Trends </w:t>
      </w:r>
      <w:proofErr w:type="spellStart"/>
      <w:r w:rsidRPr="00F871F8">
        <w:rPr>
          <w:rFonts w:eastAsia="Times New Roman"/>
        </w:rPr>
        <w:t>Biotechnol</w:t>
      </w:r>
      <w:proofErr w:type="spellEnd"/>
      <w:r w:rsidRPr="00F871F8">
        <w:rPr>
          <w:rFonts w:eastAsia="Times New Roman"/>
        </w:rPr>
        <w:t xml:space="preserve">. </w:t>
      </w:r>
      <w:proofErr w:type="gramStart"/>
      <w:r w:rsidRPr="00F871F8">
        <w:rPr>
          <w:rFonts w:eastAsia="Times New Roman"/>
        </w:rPr>
        <w:t>2009;27:90</w:t>
      </w:r>
      <w:proofErr w:type="gramEnd"/>
      <w:r w:rsidRPr="00F871F8">
        <w:rPr>
          <w:rFonts w:eastAsia="Times New Roman"/>
        </w:rPr>
        <w:t>–98.</w:t>
      </w:r>
    </w:p>
    <w:p w14:paraId="10CCAAD6" w14:textId="77777777" w:rsidR="00B72939" w:rsidRPr="00F871F8" w:rsidRDefault="00000000" w:rsidP="001B0A4E">
      <w:pPr>
        <w:widowControl/>
        <w:numPr>
          <w:ilvl w:val="0"/>
          <w:numId w:val="38"/>
        </w:numPr>
        <w:tabs>
          <w:tab w:val="clear" w:pos="720"/>
          <w:tab w:val="num" w:pos="709"/>
        </w:tabs>
        <w:ind w:left="0" w:firstLine="0"/>
        <w:rPr>
          <w:rFonts w:eastAsia="Times New Roman"/>
        </w:rPr>
      </w:pPr>
      <w:proofErr w:type="spellStart"/>
      <w:r w:rsidRPr="00F871F8">
        <w:rPr>
          <w:rFonts w:eastAsia="Times New Roman"/>
        </w:rPr>
        <w:t>Marsidi</w:t>
      </w:r>
      <w:proofErr w:type="spellEnd"/>
      <w:r w:rsidRPr="00F871F8">
        <w:rPr>
          <w:rFonts w:eastAsia="Times New Roman"/>
        </w:rPr>
        <w:t xml:space="preserve"> N, Abu Hasan H, Sheikh Abdullah SR. A review of biological aerated filters for iron and manganese ions removal in water treatment. J Water Process Eng. </w:t>
      </w:r>
      <w:proofErr w:type="gramStart"/>
      <w:r w:rsidRPr="00F871F8">
        <w:rPr>
          <w:rFonts w:eastAsia="Times New Roman"/>
        </w:rPr>
        <w:t>2018;23:1</w:t>
      </w:r>
      <w:proofErr w:type="gramEnd"/>
      <w:r w:rsidRPr="00F871F8">
        <w:rPr>
          <w:rFonts w:eastAsia="Times New Roman"/>
        </w:rPr>
        <w:t>–12.</w:t>
      </w:r>
    </w:p>
    <w:p w14:paraId="16C288CB"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Li Y, Xu Z, Ma H, </w:t>
      </w:r>
      <w:proofErr w:type="spellStart"/>
      <w:r w:rsidRPr="00F871F8">
        <w:rPr>
          <w:rFonts w:eastAsia="Times New Roman"/>
        </w:rPr>
        <w:t>Hursthouse</w:t>
      </w:r>
      <w:proofErr w:type="spellEnd"/>
      <w:r w:rsidRPr="00F871F8">
        <w:rPr>
          <w:rFonts w:eastAsia="Times New Roman"/>
        </w:rPr>
        <w:t xml:space="preserve"> AS. Removal of </w:t>
      </w:r>
      <w:proofErr w:type="gramStart"/>
      <w:r w:rsidRPr="00F871F8">
        <w:rPr>
          <w:rFonts w:eastAsia="Times New Roman"/>
        </w:rPr>
        <w:t>manganese(</w:t>
      </w:r>
      <w:proofErr w:type="gramEnd"/>
      <w:r w:rsidRPr="00F871F8">
        <w:rPr>
          <w:rFonts w:eastAsia="Times New Roman"/>
        </w:rPr>
        <w:t xml:space="preserve">II) from acid </w:t>
      </w:r>
      <w:proofErr w:type="gramStart"/>
      <w:r w:rsidRPr="00F871F8">
        <w:rPr>
          <w:rFonts w:eastAsia="Times New Roman"/>
        </w:rPr>
        <w:t>mine</w:t>
      </w:r>
      <w:proofErr w:type="gramEnd"/>
      <w:r w:rsidRPr="00F871F8">
        <w:rPr>
          <w:rFonts w:eastAsia="Times New Roman"/>
        </w:rPr>
        <w:t xml:space="preserve"> wastewater: a review. Water. </w:t>
      </w:r>
      <w:proofErr w:type="gramStart"/>
      <w:r w:rsidRPr="00F871F8">
        <w:rPr>
          <w:rFonts w:eastAsia="Times New Roman"/>
        </w:rPr>
        <w:t>2019;11:2493</w:t>
      </w:r>
      <w:proofErr w:type="gramEnd"/>
      <w:r w:rsidRPr="00F871F8">
        <w:rPr>
          <w:rFonts w:eastAsia="Times New Roman"/>
        </w:rPr>
        <w:t>.</w:t>
      </w:r>
    </w:p>
    <w:p w14:paraId="40069E4D"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Li S et al. Biomineralization mediated by iron-oxidizing microorganisms. Minerals. </w:t>
      </w:r>
      <w:proofErr w:type="gramStart"/>
      <w:r w:rsidRPr="00F871F8">
        <w:rPr>
          <w:rFonts w:eastAsia="Times New Roman"/>
        </w:rPr>
        <w:t>2025;15:868</w:t>
      </w:r>
      <w:proofErr w:type="gramEnd"/>
      <w:r w:rsidRPr="00F871F8">
        <w:rPr>
          <w:rFonts w:eastAsia="Times New Roman"/>
        </w:rPr>
        <w:t>.</w:t>
      </w:r>
    </w:p>
    <w:p w14:paraId="58F3BF8C"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Skousen J et al. Review of passive systems for acid mine drainage treatment. Mine Water Environ. </w:t>
      </w:r>
      <w:proofErr w:type="gramStart"/>
      <w:r w:rsidRPr="00F871F8">
        <w:rPr>
          <w:rFonts w:eastAsia="Times New Roman"/>
        </w:rPr>
        <w:t>2017;36:133</w:t>
      </w:r>
      <w:proofErr w:type="gramEnd"/>
      <w:r w:rsidRPr="00F871F8">
        <w:rPr>
          <w:rFonts w:eastAsia="Times New Roman"/>
        </w:rPr>
        <w:t>–153.</w:t>
      </w:r>
    </w:p>
    <w:p w14:paraId="1A0833F4"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Post JE. Manganese oxide minerals: crystal structures and economic and environmental significance. Proc Natl Acad Sci U S A. </w:t>
      </w:r>
      <w:proofErr w:type="gramStart"/>
      <w:r w:rsidRPr="00F871F8">
        <w:rPr>
          <w:rFonts w:eastAsia="Times New Roman"/>
        </w:rPr>
        <w:t>1999;96:3447</w:t>
      </w:r>
      <w:proofErr w:type="gramEnd"/>
      <w:r w:rsidRPr="00F871F8">
        <w:rPr>
          <w:rFonts w:eastAsia="Times New Roman"/>
        </w:rPr>
        <w:t>–3454.</w:t>
      </w:r>
    </w:p>
    <w:p w14:paraId="47BDE62A"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Cornell RM, </w:t>
      </w:r>
      <w:proofErr w:type="spellStart"/>
      <w:r w:rsidRPr="00F871F8">
        <w:rPr>
          <w:rFonts w:eastAsia="Times New Roman"/>
        </w:rPr>
        <w:t>Schwertmann</w:t>
      </w:r>
      <w:proofErr w:type="spellEnd"/>
      <w:r w:rsidRPr="00F871F8">
        <w:rPr>
          <w:rFonts w:eastAsia="Times New Roman"/>
        </w:rPr>
        <w:t xml:space="preserve"> U. The iron oxides: structure, properties, reactions, occurrences and uses. John Wiley &amp; Sons; 2003.</w:t>
      </w:r>
    </w:p>
    <w:p w14:paraId="5B33C0E2" w14:textId="77777777" w:rsidR="00B72939" w:rsidRPr="00F871F8" w:rsidRDefault="00000000" w:rsidP="001B0A4E">
      <w:pPr>
        <w:widowControl/>
        <w:numPr>
          <w:ilvl w:val="0"/>
          <w:numId w:val="38"/>
        </w:numPr>
        <w:tabs>
          <w:tab w:val="clear" w:pos="720"/>
          <w:tab w:val="num" w:pos="709"/>
        </w:tabs>
        <w:ind w:left="0" w:firstLine="0"/>
        <w:rPr>
          <w:rFonts w:eastAsia="Times New Roman"/>
        </w:rPr>
      </w:pPr>
      <w:proofErr w:type="spellStart"/>
      <w:r w:rsidRPr="00F871F8">
        <w:rPr>
          <w:rFonts w:eastAsia="Times New Roman"/>
        </w:rPr>
        <w:t>Cosmidis</w:t>
      </w:r>
      <w:proofErr w:type="spellEnd"/>
      <w:r w:rsidRPr="00F871F8">
        <w:rPr>
          <w:rFonts w:eastAsia="Times New Roman"/>
        </w:rPr>
        <w:t xml:space="preserve"> J, </w:t>
      </w:r>
      <w:proofErr w:type="spellStart"/>
      <w:r w:rsidRPr="00F871F8">
        <w:rPr>
          <w:rFonts w:eastAsia="Times New Roman"/>
        </w:rPr>
        <w:t>Benzerara</w:t>
      </w:r>
      <w:proofErr w:type="spellEnd"/>
      <w:r w:rsidRPr="00F871F8">
        <w:rPr>
          <w:rFonts w:eastAsia="Times New Roman"/>
        </w:rPr>
        <w:t xml:space="preserve"> K. Why do microbes make minerals? C R </w:t>
      </w:r>
      <w:proofErr w:type="spellStart"/>
      <w:r w:rsidRPr="00F871F8">
        <w:rPr>
          <w:rFonts w:eastAsia="Times New Roman"/>
        </w:rPr>
        <w:t>Geosci</w:t>
      </w:r>
      <w:proofErr w:type="spellEnd"/>
      <w:r w:rsidRPr="00F871F8">
        <w:rPr>
          <w:rFonts w:eastAsia="Times New Roman"/>
        </w:rPr>
        <w:t xml:space="preserve">. </w:t>
      </w:r>
      <w:proofErr w:type="gramStart"/>
      <w:r w:rsidRPr="00F871F8">
        <w:rPr>
          <w:rFonts w:eastAsia="Times New Roman"/>
        </w:rPr>
        <w:t>2022;354:1</w:t>
      </w:r>
      <w:proofErr w:type="gramEnd"/>
      <w:r w:rsidRPr="00F871F8">
        <w:rPr>
          <w:rFonts w:eastAsia="Times New Roman"/>
        </w:rPr>
        <w:t>–39.</w:t>
      </w:r>
    </w:p>
    <w:p w14:paraId="6B7B7FF5"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Ehrlich H, Bailey E, </w:t>
      </w:r>
      <w:proofErr w:type="spellStart"/>
      <w:r w:rsidRPr="00F871F8">
        <w:rPr>
          <w:rFonts w:eastAsia="Times New Roman"/>
        </w:rPr>
        <w:t>Wysokowski</w:t>
      </w:r>
      <w:proofErr w:type="spellEnd"/>
      <w:r w:rsidRPr="00F871F8">
        <w:rPr>
          <w:rFonts w:eastAsia="Times New Roman"/>
        </w:rPr>
        <w:t xml:space="preserve"> M, Jesionowski T. Forced biomineralization: a review. Biomimetics. </w:t>
      </w:r>
      <w:proofErr w:type="gramStart"/>
      <w:r w:rsidRPr="00F871F8">
        <w:rPr>
          <w:rFonts w:eastAsia="Times New Roman"/>
        </w:rPr>
        <w:t>2021;6:46</w:t>
      </w:r>
      <w:proofErr w:type="gramEnd"/>
      <w:r w:rsidRPr="00F871F8">
        <w:rPr>
          <w:rFonts w:eastAsia="Times New Roman"/>
        </w:rPr>
        <w:t>.</w:t>
      </w:r>
    </w:p>
    <w:p w14:paraId="7BE8BC62"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Hoffmann TD, </w:t>
      </w:r>
      <w:proofErr w:type="spellStart"/>
      <w:r w:rsidRPr="00F871F8">
        <w:rPr>
          <w:rFonts w:eastAsia="Times New Roman"/>
        </w:rPr>
        <w:t>Reeksting</w:t>
      </w:r>
      <w:proofErr w:type="spellEnd"/>
      <w:r w:rsidRPr="00F871F8">
        <w:rPr>
          <w:rFonts w:eastAsia="Times New Roman"/>
        </w:rPr>
        <w:t xml:space="preserve"> BJ, Gebhard S. Bacteria-induced mineral precipitation: a mechanistic review. Microbiology. </w:t>
      </w:r>
      <w:proofErr w:type="gramStart"/>
      <w:r w:rsidRPr="00F871F8">
        <w:rPr>
          <w:rFonts w:eastAsia="Times New Roman"/>
        </w:rPr>
        <w:t>2021;167:001049</w:t>
      </w:r>
      <w:proofErr w:type="gramEnd"/>
      <w:r w:rsidRPr="00F871F8">
        <w:rPr>
          <w:rFonts w:eastAsia="Times New Roman"/>
        </w:rPr>
        <w:t>.</w:t>
      </w:r>
    </w:p>
    <w:p w14:paraId="2A8FE879"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Hansel CM, Learman DR. Geomicrobiology of manganese. In: Ehrlich HL, Newman DK, Kappler A, eds. Ehrlich's geomicrobiology. CRC Press; 2015.</w:t>
      </w:r>
    </w:p>
    <w:p w14:paraId="6DD640F2"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Tebo BM, Johnson HA, McCarthy JK, Templeton AS. Geomicrobiology of </w:t>
      </w:r>
      <w:proofErr w:type="gramStart"/>
      <w:r w:rsidRPr="00F871F8">
        <w:rPr>
          <w:rFonts w:eastAsia="Times New Roman"/>
        </w:rPr>
        <w:t>manganese(</w:t>
      </w:r>
      <w:proofErr w:type="gramEnd"/>
      <w:r w:rsidRPr="00F871F8">
        <w:rPr>
          <w:rFonts w:eastAsia="Times New Roman"/>
        </w:rPr>
        <w:t xml:space="preserve">II) oxidation. Trends </w:t>
      </w:r>
      <w:proofErr w:type="spellStart"/>
      <w:r w:rsidRPr="00F871F8">
        <w:rPr>
          <w:rFonts w:eastAsia="Times New Roman"/>
        </w:rPr>
        <w:t>Microbiol</w:t>
      </w:r>
      <w:proofErr w:type="spellEnd"/>
      <w:r w:rsidRPr="00F871F8">
        <w:rPr>
          <w:rFonts w:eastAsia="Times New Roman"/>
        </w:rPr>
        <w:t xml:space="preserve">. </w:t>
      </w:r>
      <w:proofErr w:type="gramStart"/>
      <w:r w:rsidRPr="00F871F8">
        <w:rPr>
          <w:rFonts w:eastAsia="Times New Roman"/>
        </w:rPr>
        <w:t>2005;13:421</w:t>
      </w:r>
      <w:proofErr w:type="gramEnd"/>
      <w:r w:rsidRPr="00F871F8">
        <w:rPr>
          <w:rFonts w:eastAsia="Times New Roman"/>
        </w:rPr>
        <w:t>–428.</w:t>
      </w:r>
    </w:p>
    <w:p w14:paraId="4F867FB2"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Kappler A, Emerson D, Gralnick JA, Roden EE, Muehe EM. Geomicrobiology of iron. In: Ehrlich HL, Newman DK, Kappler A, eds. Ehrlich's geomicrobiology. CRC Press; 2015.</w:t>
      </w:r>
    </w:p>
    <w:p w14:paraId="75DDAC33"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Emerson D, Fleming EJ, McBeth JM. Iron-oxidizing bacteria: an environmental and genomic perspective. Annu Rev </w:t>
      </w:r>
      <w:proofErr w:type="spellStart"/>
      <w:r w:rsidRPr="00F871F8">
        <w:rPr>
          <w:rFonts w:eastAsia="Times New Roman"/>
        </w:rPr>
        <w:t>Microbiol</w:t>
      </w:r>
      <w:proofErr w:type="spellEnd"/>
      <w:r w:rsidRPr="00F871F8">
        <w:rPr>
          <w:rFonts w:eastAsia="Times New Roman"/>
        </w:rPr>
        <w:t xml:space="preserve">. </w:t>
      </w:r>
      <w:proofErr w:type="gramStart"/>
      <w:r w:rsidRPr="00F871F8">
        <w:rPr>
          <w:rFonts w:eastAsia="Times New Roman"/>
        </w:rPr>
        <w:t>2010;64:561</w:t>
      </w:r>
      <w:proofErr w:type="gramEnd"/>
      <w:r w:rsidRPr="00F871F8">
        <w:rPr>
          <w:rFonts w:eastAsia="Times New Roman"/>
        </w:rPr>
        <w:t>–583.</w:t>
      </w:r>
    </w:p>
    <w:p w14:paraId="542406E1"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lastRenderedPageBreak/>
        <w:t xml:space="preserve">Fortin D, Langley S. Formation and occurrence of biogenic iron-rich minerals. Earth Sci Rev. </w:t>
      </w:r>
      <w:proofErr w:type="gramStart"/>
      <w:r w:rsidRPr="00F871F8">
        <w:rPr>
          <w:rFonts w:eastAsia="Times New Roman"/>
        </w:rPr>
        <w:t>2005;72:1</w:t>
      </w:r>
      <w:proofErr w:type="gramEnd"/>
      <w:r w:rsidRPr="00F871F8">
        <w:rPr>
          <w:rFonts w:eastAsia="Times New Roman"/>
        </w:rPr>
        <w:t>–19.</w:t>
      </w:r>
    </w:p>
    <w:p w14:paraId="0528C460"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Konhauser KO. Bacterial iron </w:t>
      </w:r>
      <w:proofErr w:type="spellStart"/>
      <w:r w:rsidRPr="00F871F8">
        <w:rPr>
          <w:rFonts w:eastAsia="Times New Roman"/>
        </w:rPr>
        <w:t>biomineralisation</w:t>
      </w:r>
      <w:proofErr w:type="spellEnd"/>
      <w:r w:rsidRPr="00F871F8">
        <w:rPr>
          <w:rFonts w:eastAsia="Times New Roman"/>
        </w:rPr>
        <w:t xml:space="preserve"> in nature. FEMS </w:t>
      </w:r>
      <w:proofErr w:type="spellStart"/>
      <w:r w:rsidRPr="00F871F8">
        <w:rPr>
          <w:rFonts w:eastAsia="Times New Roman"/>
        </w:rPr>
        <w:t>Microbiol</w:t>
      </w:r>
      <w:proofErr w:type="spellEnd"/>
      <w:r w:rsidRPr="00F871F8">
        <w:rPr>
          <w:rFonts w:eastAsia="Times New Roman"/>
        </w:rPr>
        <w:t xml:space="preserve"> Rev. </w:t>
      </w:r>
      <w:proofErr w:type="gramStart"/>
      <w:r w:rsidRPr="00F871F8">
        <w:rPr>
          <w:rFonts w:eastAsia="Times New Roman"/>
        </w:rPr>
        <w:t>1997;20:315</w:t>
      </w:r>
      <w:proofErr w:type="gramEnd"/>
      <w:r w:rsidRPr="00F871F8">
        <w:rPr>
          <w:rFonts w:eastAsia="Times New Roman"/>
        </w:rPr>
        <w:t>–326.</w:t>
      </w:r>
    </w:p>
    <w:p w14:paraId="08025A2A"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Toner B et al. Spatially resolved characterization of biogenic manganese oxide production. Appl Environ Microbiol. </w:t>
      </w:r>
      <w:proofErr w:type="gramStart"/>
      <w:r w:rsidRPr="00F871F8">
        <w:rPr>
          <w:rFonts w:eastAsia="Times New Roman"/>
        </w:rPr>
        <w:t>2005;71:1300</w:t>
      </w:r>
      <w:proofErr w:type="gramEnd"/>
      <w:r w:rsidRPr="00F871F8">
        <w:rPr>
          <w:rFonts w:eastAsia="Times New Roman"/>
        </w:rPr>
        <w:t>–1310.</w:t>
      </w:r>
    </w:p>
    <w:p w14:paraId="5D49B514" w14:textId="77777777" w:rsidR="00B72939" w:rsidRPr="00F871F8" w:rsidRDefault="00000000" w:rsidP="001B0A4E">
      <w:pPr>
        <w:widowControl/>
        <w:numPr>
          <w:ilvl w:val="0"/>
          <w:numId w:val="38"/>
        </w:numPr>
        <w:tabs>
          <w:tab w:val="clear" w:pos="720"/>
          <w:tab w:val="num" w:pos="709"/>
        </w:tabs>
        <w:ind w:left="0" w:firstLine="0"/>
        <w:rPr>
          <w:rFonts w:eastAsia="Times New Roman"/>
        </w:rPr>
      </w:pPr>
      <w:r w:rsidRPr="00F871F8">
        <w:rPr>
          <w:rFonts w:eastAsia="Times New Roman"/>
        </w:rPr>
        <w:t xml:space="preserve">Miot J et al. Extracellular iron biomineralization by photoautotrophic bacteria. Appl Environ Microbiol. </w:t>
      </w:r>
      <w:proofErr w:type="gramStart"/>
      <w:r w:rsidRPr="00F871F8">
        <w:rPr>
          <w:rFonts w:eastAsia="Times New Roman"/>
        </w:rPr>
        <w:t>2009;75:5586</w:t>
      </w:r>
      <w:proofErr w:type="gramEnd"/>
      <w:r w:rsidRPr="00F871F8">
        <w:rPr>
          <w:rFonts w:eastAsia="Times New Roman"/>
        </w:rPr>
        <w:t>–5591.</w:t>
      </w:r>
    </w:p>
    <w:p w14:paraId="6FB4A677" w14:textId="77777777" w:rsidR="00B72939" w:rsidRPr="00F871F8" w:rsidRDefault="00000000" w:rsidP="001B0A4E">
      <w:pPr>
        <w:widowControl/>
        <w:numPr>
          <w:ilvl w:val="0"/>
          <w:numId w:val="39"/>
        </w:numPr>
        <w:tabs>
          <w:tab w:val="clear" w:pos="720"/>
          <w:tab w:val="num" w:pos="709"/>
        </w:tabs>
        <w:ind w:left="0" w:firstLine="0"/>
        <w:rPr>
          <w:rFonts w:eastAsia="Times New Roman"/>
        </w:rPr>
      </w:pPr>
      <w:proofErr w:type="spellStart"/>
      <w:r w:rsidRPr="00F871F8">
        <w:rPr>
          <w:rFonts w:eastAsia="Times New Roman"/>
        </w:rPr>
        <w:t>Bottero</w:t>
      </w:r>
      <w:proofErr w:type="spellEnd"/>
      <w:r w:rsidRPr="00F871F8">
        <w:rPr>
          <w:rFonts w:eastAsia="Times New Roman"/>
        </w:rPr>
        <w:t xml:space="preserve"> S, Storck T, </w:t>
      </w:r>
      <w:proofErr w:type="spellStart"/>
      <w:r w:rsidRPr="00F871F8">
        <w:rPr>
          <w:rFonts w:eastAsia="Times New Roman"/>
        </w:rPr>
        <w:t>Heimovaara</w:t>
      </w:r>
      <w:proofErr w:type="spellEnd"/>
      <w:r w:rsidRPr="00F871F8">
        <w:rPr>
          <w:rFonts w:eastAsia="Times New Roman"/>
        </w:rPr>
        <w:t xml:space="preserve"> TJ, van </w:t>
      </w:r>
      <w:proofErr w:type="spellStart"/>
      <w:r w:rsidRPr="00F871F8">
        <w:rPr>
          <w:rFonts w:eastAsia="Times New Roman"/>
        </w:rPr>
        <w:t>Loosdrecht</w:t>
      </w:r>
      <w:proofErr w:type="spellEnd"/>
      <w:r w:rsidRPr="00F871F8">
        <w:rPr>
          <w:rFonts w:eastAsia="Times New Roman"/>
        </w:rPr>
        <w:t xml:space="preserve"> MCM, </w:t>
      </w:r>
      <w:proofErr w:type="spellStart"/>
      <w:r w:rsidRPr="00F871F8">
        <w:rPr>
          <w:rFonts w:eastAsia="Times New Roman"/>
        </w:rPr>
        <w:t>Enzien</w:t>
      </w:r>
      <w:proofErr w:type="spellEnd"/>
      <w:r w:rsidRPr="00F871F8">
        <w:rPr>
          <w:rFonts w:eastAsia="Times New Roman"/>
        </w:rPr>
        <w:t xml:space="preserve"> MV, </w:t>
      </w:r>
      <w:proofErr w:type="spellStart"/>
      <w:r w:rsidRPr="00F871F8">
        <w:rPr>
          <w:rFonts w:eastAsia="Times New Roman"/>
        </w:rPr>
        <w:t>Picioreanu</w:t>
      </w:r>
      <w:proofErr w:type="spellEnd"/>
      <w:r w:rsidRPr="00F871F8">
        <w:rPr>
          <w:rFonts w:eastAsia="Times New Roman"/>
        </w:rPr>
        <w:t xml:space="preserve"> C. Biofilm development and the dynamics of preferential flow paths in porous media. Biofouling. </w:t>
      </w:r>
      <w:proofErr w:type="gramStart"/>
      <w:r w:rsidRPr="00F871F8">
        <w:rPr>
          <w:rFonts w:eastAsia="Times New Roman"/>
        </w:rPr>
        <w:t>2013;29:1069</w:t>
      </w:r>
      <w:proofErr w:type="gramEnd"/>
      <w:r w:rsidRPr="00F871F8">
        <w:rPr>
          <w:rFonts w:eastAsia="Times New Roman"/>
        </w:rPr>
        <w:t>–1086.</w:t>
      </w:r>
    </w:p>
    <w:p w14:paraId="00631A25"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Dentz M, Le Borgne T, Englert A, </w:t>
      </w:r>
      <w:proofErr w:type="spellStart"/>
      <w:r w:rsidRPr="00F871F8">
        <w:rPr>
          <w:rFonts w:eastAsia="Times New Roman"/>
        </w:rPr>
        <w:t>Bijeljic</w:t>
      </w:r>
      <w:proofErr w:type="spellEnd"/>
      <w:r w:rsidRPr="00F871F8">
        <w:rPr>
          <w:rFonts w:eastAsia="Times New Roman"/>
        </w:rPr>
        <w:t xml:space="preserve"> B. Mixing, spreading and reaction in heterogeneous media: a brief review. J </w:t>
      </w:r>
      <w:proofErr w:type="spellStart"/>
      <w:r w:rsidRPr="00F871F8">
        <w:rPr>
          <w:rFonts w:eastAsia="Times New Roman"/>
        </w:rPr>
        <w:t>Contam</w:t>
      </w:r>
      <w:proofErr w:type="spellEnd"/>
      <w:r w:rsidRPr="00F871F8">
        <w:rPr>
          <w:rFonts w:eastAsia="Times New Roman"/>
        </w:rPr>
        <w:t xml:space="preserve"> </w:t>
      </w:r>
      <w:proofErr w:type="spellStart"/>
      <w:r w:rsidRPr="00F871F8">
        <w:rPr>
          <w:rFonts w:eastAsia="Times New Roman"/>
        </w:rPr>
        <w:t>Hydrol</w:t>
      </w:r>
      <w:proofErr w:type="spellEnd"/>
      <w:r w:rsidRPr="00F871F8">
        <w:rPr>
          <w:rFonts w:eastAsia="Times New Roman"/>
        </w:rPr>
        <w:t>. 2011;120–121:1–17.</w:t>
      </w:r>
    </w:p>
    <w:p w14:paraId="74EEBB1B"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Gerke HH. Preferential flow descriptions for structured soils. J Plant </w:t>
      </w:r>
      <w:proofErr w:type="spellStart"/>
      <w:r w:rsidRPr="00F871F8">
        <w:rPr>
          <w:rFonts w:eastAsia="Times New Roman"/>
        </w:rPr>
        <w:t>Nutr</w:t>
      </w:r>
      <w:proofErr w:type="spellEnd"/>
      <w:r w:rsidRPr="00F871F8">
        <w:rPr>
          <w:rFonts w:eastAsia="Times New Roman"/>
        </w:rPr>
        <w:t xml:space="preserve"> Soil Sci. </w:t>
      </w:r>
      <w:proofErr w:type="gramStart"/>
      <w:r w:rsidRPr="00F871F8">
        <w:rPr>
          <w:rFonts w:eastAsia="Times New Roman"/>
        </w:rPr>
        <w:t>2006;169:382</w:t>
      </w:r>
      <w:proofErr w:type="gramEnd"/>
      <w:r w:rsidRPr="00F871F8">
        <w:rPr>
          <w:rFonts w:eastAsia="Times New Roman"/>
        </w:rPr>
        <w:t>–400.</w:t>
      </w:r>
    </w:p>
    <w:p w14:paraId="058CE776"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Jimenez-Martinez J, Nguyen J, Or D. Controlling pore-scale processes to tame subsurface biomineralization. Rev Environ Sci </w:t>
      </w:r>
      <w:proofErr w:type="spellStart"/>
      <w:r w:rsidRPr="00F871F8">
        <w:rPr>
          <w:rFonts w:eastAsia="Times New Roman"/>
        </w:rPr>
        <w:t>Biotechnol</w:t>
      </w:r>
      <w:proofErr w:type="spellEnd"/>
      <w:r w:rsidRPr="00F871F8">
        <w:rPr>
          <w:rFonts w:eastAsia="Times New Roman"/>
        </w:rPr>
        <w:t xml:space="preserve">. </w:t>
      </w:r>
      <w:proofErr w:type="gramStart"/>
      <w:r w:rsidRPr="00F871F8">
        <w:rPr>
          <w:rFonts w:eastAsia="Times New Roman"/>
        </w:rPr>
        <w:t>2022;21:27</w:t>
      </w:r>
      <w:proofErr w:type="gramEnd"/>
      <w:r w:rsidRPr="00F871F8">
        <w:rPr>
          <w:rFonts w:eastAsia="Times New Roman"/>
        </w:rPr>
        <w:t>–52.</w:t>
      </w:r>
    </w:p>
    <w:p w14:paraId="099843E8"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Or D, Smets BF, Wraith JM, </w:t>
      </w:r>
      <w:proofErr w:type="spellStart"/>
      <w:r w:rsidRPr="00F871F8">
        <w:rPr>
          <w:rFonts w:eastAsia="Times New Roman"/>
        </w:rPr>
        <w:t>Dechesne</w:t>
      </w:r>
      <w:proofErr w:type="spellEnd"/>
      <w:r w:rsidRPr="00F871F8">
        <w:rPr>
          <w:rFonts w:eastAsia="Times New Roman"/>
        </w:rPr>
        <w:t xml:space="preserve"> A, Friedman SP. Physical constraints affecting bacterial habitats and activity in unsaturated porous media: a review. Adv Water </w:t>
      </w:r>
      <w:proofErr w:type="spellStart"/>
      <w:r w:rsidRPr="00F871F8">
        <w:rPr>
          <w:rFonts w:eastAsia="Times New Roman"/>
        </w:rPr>
        <w:t>Resour</w:t>
      </w:r>
      <w:proofErr w:type="spellEnd"/>
      <w:r w:rsidRPr="00F871F8">
        <w:rPr>
          <w:rFonts w:eastAsia="Times New Roman"/>
        </w:rPr>
        <w:t xml:space="preserve">. </w:t>
      </w:r>
      <w:proofErr w:type="gramStart"/>
      <w:r w:rsidRPr="00F871F8">
        <w:rPr>
          <w:rFonts w:eastAsia="Times New Roman"/>
        </w:rPr>
        <w:t>2007;30:1505</w:t>
      </w:r>
      <w:proofErr w:type="gramEnd"/>
      <w:r w:rsidRPr="00F871F8">
        <w:rPr>
          <w:rFonts w:eastAsia="Times New Roman"/>
        </w:rPr>
        <w:t>–1527.</w:t>
      </w:r>
    </w:p>
    <w:p w14:paraId="3171CAF0"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Toyoda K, Tebo BM. The effect of Ca²⁺ ions and ionic strength on </w:t>
      </w:r>
      <w:proofErr w:type="gramStart"/>
      <w:r w:rsidRPr="00F871F8">
        <w:rPr>
          <w:rFonts w:eastAsia="Times New Roman"/>
        </w:rPr>
        <w:t>Mn(</w:t>
      </w:r>
      <w:proofErr w:type="gramEnd"/>
      <w:r w:rsidRPr="00F871F8">
        <w:rPr>
          <w:rFonts w:eastAsia="Times New Roman"/>
        </w:rPr>
        <w:t xml:space="preserve">II) oxidation by spores of the marine Bacillus sp. SG-1. </w:t>
      </w:r>
      <w:proofErr w:type="spellStart"/>
      <w:r w:rsidRPr="00F871F8">
        <w:rPr>
          <w:rFonts w:eastAsia="Times New Roman"/>
        </w:rPr>
        <w:t>Geochim</w:t>
      </w:r>
      <w:proofErr w:type="spellEnd"/>
      <w:r w:rsidRPr="00F871F8">
        <w:rPr>
          <w:rFonts w:eastAsia="Times New Roman"/>
        </w:rPr>
        <w:t xml:space="preserve"> </w:t>
      </w:r>
      <w:proofErr w:type="spellStart"/>
      <w:r w:rsidRPr="00F871F8">
        <w:rPr>
          <w:rFonts w:eastAsia="Times New Roman"/>
        </w:rPr>
        <w:t>Cosmochim</w:t>
      </w:r>
      <w:proofErr w:type="spellEnd"/>
      <w:r w:rsidRPr="00F871F8">
        <w:rPr>
          <w:rFonts w:eastAsia="Times New Roman"/>
        </w:rPr>
        <w:t xml:space="preserve"> Acta. </w:t>
      </w:r>
      <w:proofErr w:type="gramStart"/>
      <w:r w:rsidRPr="00F871F8">
        <w:rPr>
          <w:rFonts w:eastAsia="Times New Roman"/>
        </w:rPr>
        <w:t>2013;101:1</w:t>
      </w:r>
      <w:proofErr w:type="gramEnd"/>
      <w:r w:rsidRPr="00F871F8">
        <w:rPr>
          <w:rFonts w:eastAsia="Times New Roman"/>
        </w:rPr>
        <w:t>–11.</w:t>
      </w:r>
    </w:p>
    <w:p w14:paraId="758320BE"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Toyoda K, Tebo BM. Kinetics of </w:t>
      </w:r>
      <w:proofErr w:type="gramStart"/>
      <w:r w:rsidRPr="00F871F8">
        <w:rPr>
          <w:rFonts w:eastAsia="Times New Roman"/>
        </w:rPr>
        <w:t>Mn(</w:t>
      </w:r>
      <w:proofErr w:type="gramEnd"/>
      <w:r w:rsidRPr="00F871F8">
        <w:rPr>
          <w:rFonts w:eastAsia="Times New Roman"/>
        </w:rPr>
        <w:t xml:space="preserve">II) oxidation by spores of the marine Bacillus sp. SG-1. </w:t>
      </w:r>
      <w:proofErr w:type="spellStart"/>
      <w:r w:rsidRPr="00F871F8">
        <w:rPr>
          <w:rFonts w:eastAsia="Times New Roman"/>
        </w:rPr>
        <w:t>Geochim</w:t>
      </w:r>
      <w:proofErr w:type="spellEnd"/>
      <w:r w:rsidRPr="00F871F8">
        <w:rPr>
          <w:rFonts w:eastAsia="Times New Roman"/>
        </w:rPr>
        <w:t xml:space="preserve"> </w:t>
      </w:r>
      <w:proofErr w:type="spellStart"/>
      <w:r w:rsidRPr="00F871F8">
        <w:rPr>
          <w:rFonts w:eastAsia="Times New Roman"/>
        </w:rPr>
        <w:t>Cosmochim</w:t>
      </w:r>
      <w:proofErr w:type="spellEnd"/>
      <w:r w:rsidRPr="00F871F8">
        <w:rPr>
          <w:rFonts w:eastAsia="Times New Roman"/>
        </w:rPr>
        <w:t xml:space="preserve"> Acta. </w:t>
      </w:r>
      <w:proofErr w:type="gramStart"/>
      <w:r w:rsidRPr="00F871F8">
        <w:rPr>
          <w:rFonts w:eastAsia="Times New Roman"/>
        </w:rPr>
        <w:t>2016;189:58</w:t>
      </w:r>
      <w:proofErr w:type="gramEnd"/>
      <w:r w:rsidRPr="00F871F8">
        <w:rPr>
          <w:rFonts w:eastAsia="Times New Roman"/>
        </w:rPr>
        <w:t>–69.</w:t>
      </w:r>
    </w:p>
    <w:p w14:paraId="428C04C5"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Learman DR, Wankel SD, Webb SM, Martinez N, Madden AS, Hansel CM. Coupled biotic–abiotic </w:t>
      </w:r>
      <w:proofErr w:type="gramStart"/>
      <w:r w:rsidRPr="00F871F8">
        <w:rPr>
          <w:rFonts w:eastAsia="Times New Roman"/>
        </w:rPr>
        <w:t>Mn(</w:t>
      </w:r>
      <w:proofErr w:type="gramEnd"/>
      <w:r w:rsidRPr="00F871F8">
        <w:rPr>
          <w:rFonts w:eastAsia="Times New Roman"/>
        </w:rPr>
        <w:t xml:space="preserve">II) oxidation pathway mediates the formation and structural evolution of biogenic Mn oxides. </w:t>
      </w:r>
      <w:proofErr w:type="spellStart"/>
      <w:r w:rsidRPr="00F871F8">
        <w:rPr>
          <w:rFonts w:eastAsia="Times New Roman"/>
        </w:rPr>
        <w:t>Geochim</w:t>
      </w:r>
      <w:proofErr w:type="spellEnd"/>
      <w:r w:rsidRPr="00F871F8">
        <w:rPr>
          <w:rFonts w:eastAsia="Times New Roman"/>
        </w:rPr>
        <w:t xml:space="preserve"> </w:t>
      </w:r>
      <w:proofErr w:type="spellStart"/>
      <w:r w:rsidRPr="00F871F8">
        <w:rPr>
          <w:rFonts w:eastAsia="Times New Roman"/>
        </w:rPr>
        <w:t>Cosmochim</w:t>
      </w:r>
      <w:proofErr w:type="spellEnd"/>
      <w:r w:rsidRPr="00F871F8">
        <w:rPr>
          <w:rFonts w:eastAsia="Times New Roman"/>
        </w:rPr>
        <w:t xml:space="preserve"> Acta. </w:t>
      </w:r>
      <w:proofErr w:type="gramStart"/>
      <w:r w:rsidRPr="00F871F8">
        <w:rPr>
          <w:rFonts w:eastAsia="Times New Roman"/>
        </w:rPr>
        <w:t>2011;75:6048</w:t>
      </w:r>
      <w:proofErr w:type="gramEnd"/>
      <w:r w:rsidRPr="00F871F8">
        <w:rPr>
          <w:rFonts w:eastAsia="Times New Roman"/>
        </w:rPr>
        <w:t>–6063.</w:t>
      </w:r>
    </w:p>
    <w:p w14:paraId="109FDB34"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Bargar JR et al. Biotic and abiotic products of </w:t>
      </w:r>
      <w:proofErr w:type="gramStart"/>
      <w:r w:rsidRPr="00F871F8">
        <w:rPr>
          <w:rFonts w:eastAsia="Times New Roman"/>
        </w:rPr>
        <w:t>Mn(</w:t>
      </w:r>
      <w:proofErr w:type="gramEnd"/>
      <w:r w:rsidRPr="00F871F8">
        <w:rPr>
          <w:rFonts w:eastAsia="Times New Roman"/>
        </w:rPr>
        <w:t xml:space="preserve">II) oxidation by spores of the marine Bacillus sp. strain SG-1. Am Mineral. </w:t>
      </w:r>
      <w:proofErr w:type="gramStart"/>
      <w:r w:rsidRPr="00F871F8">
        <w:rPr>
          <w:rFonts w:eastAsia="Times New Roman"/>
        </w:rPr>
        <w:t>2005;90:143</w:t>
      </w:r>
      <w:proofErr w:type="gramEnd"/>
      <w:r w:rsidRPr="00F871F8">
        <w:rPr>
          <w:rFonts w:eastAsia="Times New Roman"/>
        </w:rPr>
        <w:t>–154.</w:t>
      </w:r>
    </w:p>
    <w:p w14:paraId="5FA90100"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Mao Q, Qin W, Yan B, Luo L. Ferrous iron oxidation efficiency and kinetics by indigenous iron-oxidizing bacteria in acid </w:t>
      </w:r>
      <w:proofErr w:type="gramStart"/>
      <w:r w:rsidRPr="00F871F8">
        <w:rPr>
          <w:rFonts w:eastAsia="Times New Roman"/>
        </w:rPr>
        <w:t>mine</w:t>
      </w:r>
      <w:proofErr w:type="gramEnd"/>
      <w:r w:rsidRPr="00F871F8">
        <w:rPr>
          <w:rFonts w:eastAsia="Times New Roman"/>
        </w:rPr>
        <w:t xml:space="preserve"> drainage. Environ Technol </w:t>
      </w:r>
      <w:proofErr w:type="spellStart"/>
      <w:r w:rsidRPr="00F871F8">
        <w:rPr>
          <w:rFonts w:eastAsia="Times New Roman"/>
        </w:rPr>
        <w:t>Innov</w:t>
      </w:r>
      <w:proofErr w:type="spellEnd"/>
      <w:r w:rsidRPr="00F871F8">
        <w:rPr>
          <w:rFonts w:eastAsia="Times New Roman"/>
        </w:rPr>
        <w:t xml:space="preserve">. </w:t>
      </w:r>
      <w:proofErr w:type="gramStart"/>
      <w:r w:rsidRPr="00F871F8">
        <w:rPr>
          <w:rFonts w:eastAsia="Times New Roman"/>
        </w:rPr>
        <w:t>2024;36:103785</w:t>
      </w:r>
      <w:proofErr w:type="gramEnd"/>
      <w:r w:rsidRPr="00F871F8">
        <w:rPr>
          <w:rFonts w:eastAsia="Times New Roman"/>
        </w:rPr>
        <w:t>.</w:t>
      </w:r>
    </w:p>
    <w:p w14:paraId="71985628"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Farnsworth CE, Voegelin A, Hering JG. Manganese oxidation induced by water table fluctuations in a sand column. Environ Sci Technol. </w:t>
      </w:r>
      <w:proofErr w:type="gramStart"/>
      <w:r w:rsidRPr="00F871F8">
        <w:rPr>
          <w:rFonts w:eastAsia="Times New Roman"/>
        </w:rPr>
        <w:t>2012;46:277</w:t>
      </w:r>
      <w:proofErr w:type="gramEnd"/>
      <w:r w:rsidRPr="00F871F8">
        <w:rPr>
          <w:rFonts w:eastAsia="Times New Roman"/>
        </w:rPr>
        <w:t>–284.</w:t>
      </w:r>
    </w:p>
    <w:p w14:paraId="7C2E31B7" w14:textId="77777777" w:rsidR="00B72939" w:rsidRPr="00F871F8" w:rsidRDefault="00000000" w:rsidP="001B0A4E">
      <w:pPr>
        <w:widowControl/>
        <w:numPr>
          <w:ilvl w:val="0"/>
          <w:numId w:val="39"/>
        </w:numPr>
        <w:tabs>
          <w:tab w:val="clear" w:pos="720"/>
          <w:tab w:val="num" w:pos="709"/>
        </w:tabs>
        <w:ind w:left="0" w:firstLine="0"/>
        <w:rPr>
          <w:rFonts w:eastAsia="Times New Roman"/>
        </w:rPr>
      </w:pPr>
      <w:proofErr w:type="spellStart"/>
      <w:r w:rsidRPr="00F871F8">
        <w:rPr>
          <w:rFonts w:eastAsia="Times New Roman"/>
        </w:rPr>
        <w:t>Haukelidsaeter</w:t>
      </w:r>
      <w:proofErr w:type="spellEnd"/>
      <w:r w:rsidRPr="00F871F8">
        <w:rPr>
          <w:rFonts w:eastAsia="Times New Roman"/>
        </w:rPr>
        <w:t xml:space="preserve"> S et al. Efficient chemical and microbial removal of iron and manganese in a rapid sand filter and impact of regular backwash. Appl Geochem. </w:t>
      </w:r>
      <w:proofErr w:type="gramStart"/>
      <w:r w:rsidRPr="00F871F8">
        <w:rPr>
          <w:rFonts w:eastAsia="Times New Roman"/>
        </w:rPr>
        <w:t>2024;162:105904</w:t>
      </w:r>
      <w:proofErr w:type="gramEnd"/>
      <w:r w:rsidRPr="00F871F8">
        <w:rPr>
          <w:rFonts w:eastAsia="Times New Roman"/>
        </w:rPr>
        <w:t>.</w:t>
      </w:r>
    </w:p>
    <w:p w14:paraId="13363CFC"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Li C et al. Immobilization of iron- and manganese-oxidizing bacteria with a biofilm-forming bacterium for effective removal of iron and manganese from groundwater. </w:t>
      </w:r>
      <w:proofErr w:type="spellStart"/>
      <w:r w:rsidRPr="00F871F8">
        <w:rPr>
          <w:rFonts w:eastAsia="Times New Roman"/>
        </w:rPr>
        <w:t>Bioresour</w:t>
      </w:r>
      <w:proofErr w:type="spellEnd"/>
      <w:r w:rsidRPr="00F871F8">
        <w:rPr>
          <w:rFonts w:eastAsia="Times New Roman"/>
        </w:rPr>
        <w:t xml:space="preserve"> Technol. </w:t>
      </w:r>
      <w:proofErr w:type="gramStart"/>
      <w:r w:rsidRPr="00F871F8">
        <w:rPr>
          <w:rFonts w:eastAsia="Times New Roman"/>
        </w:rPr>
        <w:t>2016;220:76</w:t>
      </w:r>
      <w:proofErr w:type="gramEnd"/>
      <w:r w:rsidRPr="00F871F8">
        <w:rPr>
          <w:rFonts w:eastAsia="Times New Roman"/>
        </w:rPr>
        <w:t>–84.</w:t>
      </w:r>
    </w:p>
    <w:p w14:paraId="22CE3AA2"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Breda IL, Søborg DA, Ramsay L, Roslev P. Manganese removal processes during start-up of inoculated and non-inoculated drinking water biofilters. Water Qual Res J. </w:t>
      </w:r>
      <w:proofErr w:type="gramStart"/>
      <w:r w:rsidRPr="00F871F8">
        <w:rPr>
          <w:rFonts w:eastAsia="Times New Roman"/>
        </w:rPr>
        <w:t>2019;54:47</w:t>
      </w:r>
      <w:proofErr w:type="gramEnd"/>
      <w:r w:rsidRPr="00F871F8">
        <w:rPr>
          <w:rFonts w:eastAsia="Times New Roman"/>
        </w:rPr>
        <w:t>–56.</w:t>
      </w:r>
    </w:p>
    <w:p w14:paraId="5CAC1D56"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Zhu X, Wang K, Yan H, Liu C, Zhu X, Chen B. Microfluidics as an emerging platform for exploring soil environmental processes: a critical review. Environ Sci Technol. </w:t>
      </w:r>
      <w:proofErr w:type="gramStart"/>
      <w:r w:rsidRPr="00F871F8">
        <w:rPr>
          <w:rFonts w:eastAsia="Times New Roman"/>
        </w:rPr>
        <w:t>2022;56:711</w:t>
      </w:r>
      <w:proofErr w:type="gramEnd"/>
      <w:r w:rsidRPr="00F871F8">
        <w:rPr>
          <w:rFonts w:eastAsia="Times New Roman"/>
        </w:rPr>
        <w:t>–731.</w:t>
      </w:r>
    </w:p>
    <w:p w14:paraId="51EE46D4" w14:textId="77777777" w:rsidR="00B72939" w:rsidRPr="00F871F8" w:rsidRDefault="00000000" w:rsidP="001B0A4E">
      <w:pPr>
        <w:widowControl/>
        <w:numPr>
          <w:ilvl w:val="0"/>
          <w:numId w:val="39"/>
        </w:numPr>
        <w:tabs>
          <w:tab w:val="clear" w:pos="720"/>
          <w:tab w:val="num" w:pos="709"/>
        </w:tabs>
        <w:ind w:left="0" w:firstLine="0"/>
        <w:rPr>
          <w:rFonts w:eastAsia="Times New Roman"/>
        </w:rPr>
      </w:pPr>
      <w:proofErr w:type="spellStart"/>
      <w:r w:rsidRPr="00F871F8">
        <w:rPr>
          <w:rFonts w:eastAsia="Times New Roman"/>
        </w:rPr>
        <w:lastRenderedPageBreak/>
        <w:t>Scheidweiler</w:t>
      </w:r>
      <w:proofErr w:type="spellEnd"/>
      <w:r w:rsidRPr="00F871F8">
        <w:rPr>
          <w:rFonts w:eastAsia="Times New Roman"/>
        </w:rPr>
        <w:t xml:space="preserve"> D, Peter H, </w:t>
      </w:r>
      <w:proofErr w:type="spellStart"/>
      <w:r w:rsidRPr="00F871F8">
        <w:rPr>
          <w:rFonts w:eastAsia="Times New Roman"/>
        </w:rPr>
        <w:t>Pramateftaki</w:t>
      </w:r>
      <w:proofErr w:type="spellEnd"/>
      <w:r w:rsidRPr="00F871F8">
        <w:rPr>
          <w:rFonts w:eastAsia="Times New Roman"/>
        </w:rPr>
        <w:t xml:space="preserve"> P, de Anna P, Battin TJ. Unraveling the biophysical underpinnings to the success of multispecies biofilms in porous environments. ISME J. </w:t>
      </w:r>
      <w:proofErr w:type="gramStart"/>
      <w:r w:rsidRPr="00F871F8">
        <w:rPr>
          <w:rFonts w:eastAsia="Times New Roman"/>
        </w:rPr>
        <w:t>2019;13:1700</w:t>
      </w:r>
      <w:proofErr w:type="gramEnd"/>
      <w:r w:rsidRPr="00F871F8">
        <w:rPr>
          <w:rFonts w:eastAsia="Times New Roman"/>
        </w:rPr>
        <w:t>–1710.</w:t>
      </w:r>
    </w:p>
    <w:p w14:paraId="3D202402" w14:textId="77777777" w:rsidR="00B72939" w:rsidRPr="00F871F8" w:rsidRDefault="00000000" w:rsidP="001B0A4E">
      <w:pPr>
        <w:widowControl/>
        <w:numPr>
          <w:ilvl w:val="0"/>
          <w:numId w:val="39"/>
        </w:numPr>
        <w:tabs>
          <w:tab w:val="clear" w:pos="720"/>
          <w:tab w:val="num" w:pos="709"/>
        </w:tabs>
        <w:ind w:left="0" w:firstLine="0"/>
        <w:rPr>
          <w:rFonts w:eastAsia="Times New Roman"/>
        </w:rPr>
      </w:pPr>
      <w:proofErr w:type="spellStart"/>
      <w:r w:rsidRPr="00F871F8">
        <w:rPr>
          <w:rFonts w:eastAsia="Times New Roman"/>
        </w:rPr>
        <w:t>Aufrecht</w:t>
      </w:r>
      <w:proofErr w:type="spellEnd"/>
      <w:r w:rsidRPr="00F871F8">
        <w:rPr>
          <w:rFonts w:eastAsia="Times New Roman"/>
        </w:rPr>
        <w:t xml:space="preserve"> JA, Fowlkes JD, Bible AN, Morrell-Falvey J, </w:t>
      </w:r>
      <w:proofErr w:type="spellStart"/>
      <w:r w:rsidRPr="00F871F8">
        <w:rPr>
          <w:rFonts w:eastAsia="Times New Roman"/>
        </w:rPr>
        <w:t>Doktycz</w:t>
      </w:r>
      <w:proofErr w:type="spellEnd"/>
      <w:r w:rsidRPr="00F871F8">
        <w:rPr>
          <w:rFonts w:eastAsia="Times New Roman"/>
        </w:rPr>
        <w:t xml:space="preserve"> MJ, Retterer ST. Pore-scale hydrodynamics influence the spatial evolution of bacterial biofilms in a microfluidic porous network. </w:t>
      </w:r>
      <w:proofErr w:type="spellStart"/>
      <w:r w:rsidRPr="00F871F8">
        <w:rPr>
          <w:rFonts w:eastAsia="Times New Roman"/>
        </w:rPr>
        <w:t>PLoS</w:t>
      </w:r>
      <w:proofErr w:type="spellEnd"/>
      <w:r w:rsidRPr="00F871F8">
        <w:rPr>
          <w:rFonts w:eastAsia="Times New Roman"/>
        </w:rPr>
        <w:t xml:space="preserve"> ONE. 2019;</w:t>
      </w:r>
      <w:proofErr w:type="gramStart"/>
      <w:r w:rsidRPr="00F871F8">
        <w:rPr>
          <w:rFonts w:eastAsia="Times New Roman"/>
        </w:rPr>
        <w:t>14:e</w:t>
      </w:r>
      <w:proofErr w:type="gramEnd"/>
      <w:r w:rsidRPr="00F871F8">
        <w:rPr>
          <w:rFonts w:eastAsia="Times New Roman"/>
        </w:rPr>
        <w:t>0218316.</w:t>
      </w:r>
    </w:p>
    <w:p w14:paraId="15123746"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Kurz DL et al. Competition between growth and shear stress drives intermittency in preferential flow paths in porous medium biofilms. Proc Natl Acad Sci U S A. 2022;</w:t>
      </w:r>
      <w:proofErr w:type="gramStart"/>
      <w:r w:rsidRPr="00F871F8">
        <w:rPr>
          <w:rFonts w:eastAsia="Times New Roman"/>
        </w:rPr>
        <w:t>119:e</w:t>
      </w:r>
      <w:proofErr w:type="gramEnd"/>
      <w:r w:rsidRPr="00F871F8">
        <w:rPr>
          <w:rFonts w:eastAsia="Times New Roman"/>
        </w:rPr>
        <w:t>2122202119.</w:t>
      </w:r>
    </w:p>
    <w:p w14:paraId="76DF2409"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Kurz DL, Secchi E, Stocker R, Jimenez-Martinez J. Morphogenesis of biofilms in porous media and control on hydrodynamics. Environ Sci Technol. </w:t>
      </w:r>
      <w:proofErr w:type="gramStart"/>
      <w:r w:rsidRPr="00F871F8">
        <w:rPr>
          <w:rFonts w:eastAsia="Times New Roman"/>
        </w:rPr>
        <w:t>2023;57:5666</w:t>
      </w:r>
      <w:proofErr w:type="gramEnd"/>
      <w:r w:rsidRPr="00F871F8">
        <w:rPr>
          <w:rFonts w:eastAsia="Times New Roman"/>
        </w:rPr>
        <w:t>–5677.</w:t>
      </w:r>
    </w:p>
    <w:p w14:paraId="69766288"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Borer B, Tecon R, Or D. Spatial organization of bacterial populations in response to oxygen and carbon counter-gradients in pore networks. Nat Commun. </w:t>
      </w:r>
      <w:proofErr w:type="gramStart"/>
      <w:r w:rsidRPr="00F871F8">
        <w:rPr>
          <w:rFonts w:eastAsia="Times New Roman"/>
        </w:rPr>
        <w:t>2018;9:769</w:t>
      </w:r>
      <w:proofErr w:type="gramEnd"/>
      <w:r w:rsidRPr="00F871F8">
        <w:rPr>
          <w:rFonts w:eastAsia="Times New Roman"/>
        </w:rPr>
        <w:t>.</w:t>
      </w:r>
    </w:p>
    <w:p w14:paraId="7DAEDF95" w14:textId="77777777" w:rsidR="00B72939" w:rsidRPr="00F871F8" w:rsidRDefault="00000000" w:rsidP="001B0A4E">
      <w:pPr>
        <w:widowControl/>
        <w:numPr>
          <w:ilvl w:val="0"/>
          <w:numId w:val="39"/>
        </w:numPr>
        <w:tabs>
          <w:tab w:val="clear" w:pos="720"/>
          <w:tab w:val="num" w:pos="709"/>
        </w:tabs>
        <w:ind w:left="0" w:firstLine="0"/>
        <w:rPr>
          <w:rFonts w:eastAsia="Times New Roman"/>
        </w:rPr>
      </w:pPr>
      <w:proofErr w:type="spellStart"/>
      <w:r w:rsidRPr="00F871F8">
        <w:rPr>
          <w:rFonts w:eastAsia="Times New Roman"/>
        </w:rPr>
        <w:t>Ceriotti</w:t>
      </w:r>
      <w:proofErr w:type="spellEnd"/>
      <w:r w:rsidRPr="00F871F8">
        <w:rPr>
          <w:rFonts w:eastAsia="Times New Roman"/>
        </w:rPr>
        <w:t xml:space="preserve"> G, Borisov SM, Berg JS, de Anna P. Morphology and size of bacterial colonies control anoxic microenvironment formation in porous media. Environ Sci Technol. </w:t>
      </w:r>
      <w:proofErr w:type="gramStart"/>
      <w:r w:rsidRPr="00F871F8">
        <w:rPr>
          <w:rFonts w:eastAsia="Times New Roman"/>
        </w:rPr>
        <w:t>2022;56:17471</w:t>
      </w:r>
      <w:proofErr w:type="gramEnd"/>
      <w:r w:rsidRPr="00F871F8">
        <w:rPr>
          <w:rFonts w:eastAsia="Times New Roman"/>
        </w:rPr>
        <w:t>–17480.</w:t>
      </w:r>
    </w:p>
    <w:p w14:paraId="38C451B6"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Park S, </w:t>
      </w:r>
      <w:proofErr w:type="spellStart"/>
      <w:r w:rsidRPr="00F871F8">
        <w:rPr>
          <w:rFonts w:eastAsia="Times New Roman"/>
        </w:rPr>
        <w:t>Anggraini</w:t>
      </w:r>
      <w:proofErr w:type="spellEnd"/>
      <w:r w:rsidRPr="00F871F8">
        <w:rPr>
          <w:rFonts w:eastAsia="Times New Roman"/>
        </w:rPr>
        <w:t xml:space="preserve"> TM, Chung J, Kang PK, Lee S. Microfluidic pore model study of precipitates induced by pore-scale mixing of an iron sulfate solution with simulated groundwater. Chemosphere. </w:t>
      </w:r>
      <w:proofErr w:type="gramStart"/>
      <w:r w:rsidRPr="00F871F8">
        <w:rPr>
          <w:rFonts w:eastAsia="Times New Roman"/>
        </w:rPr>
        <w:t>2021;271:129857</w:t>
      </w:r>
      <w:proofErr w:type="gramEnd"/>
      <w:r w:rsidRPr="00F871F8">
        <w:rPr>
          <w:rFonts w:eastAsia="Times New Roman"/>
        </w:rPr>
        <w:t>.</w:t>
      </w:r>
    </w:p>
    <w:p w14:paraId="5E7F9340"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Wielinski J et al. Spatiotemporal mineral phase evolution and arsenic retention in microfluidic models of zerovalent iron-based water treatment. Environ Sci Technol. </w:t>
      </w:r>
      <w:proofErr w:type="gramStart"/>
      <w:r w:rsidRPr="00F871F8">
        <w:rPr>
          <w:rFonts w:eastAsia="Times New Roman"/>
        </w:rPr>
        <w:t>2022;56:13696</w:t>
      </w:r>
      <w:proofErr w:type="gramEnd"/>
      <w:r w:rsidRPr="00F871F8">
        <w:rPr>
          <w:rFonts w:eastAsia="Times New Roman"/>
        </w:rPr>
        <w:t>–13708.</w:t>
      </w:r>
    </w:p>
    <w:p w14:paraId="5F40D9D0"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Elmaloglou A et al. Microfluidic study in a meter-long reactive path reveals how structural heterogeneity shapes MICP-induced </w:t>
      </w:r>
      <w:proofErr w:type="spellStart"/>
      <w:r w:rsidRPr="00F871F8">
        <w:rPr>
          <w:rFonts w:eastAsia="Times New Roman"/>
        </w:rPr>
        <w:t>biocementation</w:t>
      </w:r>
      <w:proofErr w:type="spellEnd"/>
      <w:r w:rsidRPr="00F871F8">
        <w:rPr>
          <w:rFonts w:eastAsia="Times New Roman"/>
        </w:rPr>
        <w:t xml:space="preserve">. Sci Rep. </w:t>
      </w:r>
      <w:proofErr w:type="gramStart"/>
      <w:r w:rsidRPr="00F871F8">
        <w:rPr>
          <w:rFonts w:eastAsia="Times New Roman"/>
        </w:rPr>
        <w:t>2022;12:19553</w:t>
      </w:r>
      <w:proofErr w:type="gramEnd"/>
      <w:r w:rsidRPr="00F871F8">
        <w:rPr>
          <w:rFonts w:eastAsia="Times New Roman"/>
        </w:rPr>
        <w:t>.</w:t>
      </w:r>
    </w:p>
    <w:p w14:paraId="55F0D90D"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Wang Y, Soga K, DeJong JT, </w:t>
      </w:r>
      <w:proofErr w:type="spellStart"/>
      <w:r w:rsidRPr="00F871F8">
        <w:rPr>
          <w:rFonts w:eastAsia="Times New Roman"/>
        </w:rPr>
        <w:t>Kabla</w:t>
      </w:r>
      <w:proofErr w:type="spellEnd"/>
      <w:r w:rsidRPr="00F871F8">
        <w:rPr>
          <w:rFonts w:eastAsia="Times New Roman"/>
        </w:rPr>
        <w:t xml:space="preserve"> AJ. A microfluidic chip and its use in </w:t>
      </w:r>
      <w:proofErr w:type="spellStart"/>
      <w:r w:rsidRPr="00F871F8">
        <w:rPr>
          <w:rFonts w:eastAsia="Times New Roman"/>
        </w:rPr>
        <w:t>characterising</w:t>
      </w:r>
      <w:proofErr w:type="spellEnd"/>
      <w:r w:rsidRPr="00F871F8">
        <w:rPr>
          <w:rFonts w:eastAsia="Times New Roman"/>
        </w:rPr>
        <w:t xml:space="preserve"> particle-scale </w:t>
      </w:r>
      <w:proofErr w:type="spellStart"/>
      <w:r w:rsidRPr="00F871F8">
        <w:rPr>
          <w:rFonts w:eastAsia="Times New Roman"/>
        </w:rPr>
        <w:t>behaviour</w:t>
      </w:r>
      <w:proofErr w:type="spellEnd"/>
      <w:r w:rsidRPr="00F871F8">
        <w:rPr>
          <w:rFonts w:eastAsia="Times New Roman"/>
        </w:rPr>
        <w:t xml:space="preserve"> of microbial-induced calcium carbonate precipitation. </w:t>
      </w:r>
      <w:proofErr w:type="spellStart"/>
      <w:r w:rsidRPr="00F871F8">
        <w:rPr>
          <w:rFonts w:eastAsia="Times New Roman"/>
        </w:rPr>
        <w:t>Géotechnique</w:t>
      </w:r>
      <w:proofErr w:type="spellEnd"/>
      <w:r w:rsidRPr="00F871F8">
        <w:rPr>
          <w:rFonts w:eastAsia="Times New Roman"/>
        </w:rPr>
        <w:t xml:space="preserve">. </w:t>
      </w:r>
      <w:proofErr w:type="gramStart"/>
      <w:r w:rsidRPr="00F871F8">
        <w:rPr>
          <w:rFonts w:eastAsia="Times New Roman"/>
        </w:rPr>
        <w:t>2019;69:1086</w:t>
      </w:r>
      <w:proofErr w:type="gramEnd"/>
      <w:r w:rsidRPr="00F871F8">
        <w:rPr>
          <w:rFonts w:eastAsia="Times New Roman"/>
        </w:rPr>
        <w:t>–1094.</w:t>
      </w:r>
    </w:p>
    <w:p w14:paraId="13C3B56C"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Wang Y et al. Microscale investigations of temperature-dependent microbially induced carbonate precipitation in the range 4–50 °C. Acta Geotech. </w:t>
      </w:r>
      <w:proofErr w:type="gramStart"/>
      <w:r w:rsidRPr="00F871F8">
        <w:rPr>
          <w:rFonts w:eastAsia="Times New Roman"/>
        </w:rPr>
        <w:t>2023;18:2239</w:t>
      </w:r>
      <w:proofErr w:type="gramEnd"/>
      <w:r w:rsidRPr="00F871F8">
        <w:rPr>
          <w:rFonts w:eastAsia="Times New Roman"/>
        </w:rPr>
        <w:t>–2261.</w:t>
      </w:r>
    </w:p>
    <w:p w14:paraId="5613A0B6" w14:textId="77777777" w:rsidR="00B72939" w:rsidRPr="00F871F8" w:rsidRDefault="00000000" w:rsidP="001B0A4E">
      <w:pPr>
        <w:widowControl/>
        <w:numPr>
          <w:ilvl w:val="0"/>
          <w:numId w:val="39"/>
        </w:numPr>
        <w:tabs>
          <w:tab w:val="clear" w:pos="720"/>
          <w:tab w:val="num" w:pos="709"/>
        </w:tabs>
        <w:ind w:left="0" w:firstLine="0"/>
        <w:rPr>
          <w:rFonts w:eastAsia="Times New Roman"/>
        </w:rPr>
      </w:pPr>
      <w:proofErr w:type="spellStart"/>
      <w:r w:rsidRPr="00F871F8">
        <w:rPr>
          <w:rFonts w:eastAsia="Times New Roman"/>
        </w:rPr>
        <w:t>Pucetaite</w:t>
      </w:r>
      <w:proofErr w:type="spellEnd"/>
      <w:r w:rsidRPr="00F871F8">
        <w:rPr>
          <w:rFonts w:eastAsia="Times New Roman"/>
        </w:rPr>
        <w:t xml:space="preserve"> M, Ohlsson P, Persson P, Hammer E. Shining new light into soil systems: spectroscopy in microfluidic soil chips reveals microbial biogeochemistry. Soil Biol </w:t>
      </w:r>
      <w:proofErr w:type="spellStart"/>
      <w:r w:rsidRPr="00F871F8">
        <w:rPr>
          <w:rFonts w:eastAsia="Times New Roman"/>
        </w:rPr>
        <w:t>Biochem</w:t>
      </w:r>
      <w:proofErr w:type="spellEnd"/>
      <w:r w:rsidRPr="00F871F8">
        <w:rPr>
          <w:rFonts w:eastAsia="Times New Roman"/>
        </w:rPr>
        <w:t xml:space="preserve">. </w:t>
      </w:r>
      <w:proofErr w:type="gramStart"/>
      <w:r w:rsidRPr="00F871F8">
        <w:rPr>
          <w:rFonts w:eastAsia="Times New Roman"/>
        </w:rPr>
        <w:t>2021;153:108078</w:t>
      </w:r>
      <w:proofErr w:type="gramEnd"/>
      <w:r w:rsidRPr="00F871F8">
        <w:rPr>
          <w:rFonts w:eastAsia="Times New Roman"/>
        </w:rPr>
        <w:t>.</w:t>
      </w:r>
    </w:p>
    <w:p w14:paraId="4A0953F6" w14:textId="77777777" w:rsidR="00B72939" w:rsidRPr="00F871F8" w:rsidRDefault="00000000" w:rsidP="001B0A4E">
      <w:pPr>
        <w:widowControl/>
        <w:numPr>
          <w:ilvl w:val="0"/>
          <w:numId w:val="39"/>
        </w:numPr>
        <w:tabs>
          <w:tab w:val="clear" w:pos="720"/>
          <w:tab w:val="num" w:pos="709"/>
        </w:tabs>
        <w:ind w:left="0" w:firstLine="0"/>
        <w:rPr>
          <w:rFonts w:eastAsia="Times New Roman"/>
        </w:rPr>
      </w:pPr>
      <w:proofErr w:type="spellStart"/>
      <w:r w:rsidRPr="00F871F8">
        <w:rPr>
          <w:rFonts w:eastAsia="Times New Roman"/>
        </w:rPr>
        <w:t>Geszvain</w:t>
      </w:r>
      <w:proofErr w:type="spellEnd"/>
      <w:r w:rsidRPr="00F871F8">
        <w:rPr>
          <w:rFonts w:eastAsia="Times New Roman"/>
        </w:rPr>
        <w:t xml:space="preserve"> K, McCarthy JK, Tebo BM. Elimination of </w:t>
      </w:r>
      <w:proofErr w:type="gramStart"/>
      <w:r w:rsidRPr="00F871F8">
        <w:rPr>
          <w:rFonts w:eastAsia="Times New Roman"/>
        </w:rPr>
        <w:t>manganese(II,III</w:t>
      </w:r>
      <w:proofErr w:type="gramEnd"/>
      <w:r w:rsidRPr="00F871F8">
        <w:rPr>
          <w:rFonts w:eastAsia="Times New Roman"/>
        </w:rPr>
        <w:t xml:space="preserve">) oxidation in Pseudomonas putida GB-1 by a double knockout of two putative multicopper oxidase genes. Appl Environ Microbiol. </w:t>
      </w:r>
      <w:proofErr w:type="gramStart"/>
      <w:r w:rsidRPr="00F871F8">
        <w:rPr>
          <w:rFonts w:eastAsia="Times New Roman"/>
        </w:rPr>
        <w:t>2013;79:357</w:t>
      </w:r>
      <w:proofErr w:type="gramEnd"/>
      <w:r w:rsidRPr="00F871F8">
        <w:rPr>
          <w:rFonts w:eastAsia="Times New Roman"/>
        </w:rPr>
        <w:t>–366.</w:t>
      </w:r>
    </w:p>
    <w:p w14:paraId="62E6E925"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Gehin G et al. Population-level control of two manganese oxidases expands the niche for bacterial manganese biomineralization. NPJ Biofilms Microbiomes. </w:t>
      </w:r>
      <w:proofErr w:type="gramStart"/>
      <w:r w:rsidRPr="00F871F8">
        <w:rPr>
          <w:rFonts w:eastAsia="Times New Roman"/>
        </w:rPr>
        <w:t>2025;11:1</w:t>
      </w:r>
      <w:proofErr w:type="gramEnd"/>
      <w:r w:rsidRPr="00F871F8">
        <w:rPr>
          <w:rFonts w:eastAsia="Times New Roman"/>
        </w:rPr>
        <w:t>–12.</w:t>
      </w:r>
    </w:p>
    <w:p w14:paraId="4F8B160B"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Ramos G, </w:t>
      </w:r>
      <w:proofErr w:type="spellStart"/>
      <w:r w:rsidRPr="00F871F8">
        <w:rPr>
          <w:rFonts w:eastAsia="Times New Roman"/>
        </w:rPr>
        <w:t>Toulouze</w:t>
      </w:r>
      <w:proofErr w:type="spellEnd"/>
      <w:r w:rsidRPr="00F871F8">
        <w:rPr>
          <w:rFonts w:eastAsia="Times New Roman"/>
        </w:rPr>
        <w:t xml:space="preserve"> C, Rima M, </w:t>
      </w:r>
      <w:proofErr w:type="spellStart"/>
      <w:r w:rsidRPr="00F871F8">
        <w:rPr>
          <w:rFonts w:eastAsia="Times New Roman"/>
        </w:rPr>
        <w:t>Liot</w:t>
      </w:r>
      <w:proofErr w:type="spellEnd"/>
      <w:r w:rsidRPr="00F871F8">
        <w:rPr>
          <w:rFonts w:eastAsia="Times New Roman"/>
        </w:rPr>
        <w:t xml:space="preserve"> O, Duru P, Davit Y. Ultraviolet control of bacterial biofilms in microfluidic chips. </w:t>
      </w:r>
      <w:proofErr w:type="spellStart"/>
      <w:r w:rsidRPr="00F871F8">
        <w:rPr>
          <w:rFonts w:eastAsia="Times New Roman"/>
        </w:rPr>
        <w:t>Biomicrofluidics</w:t>
      </w:r>
      <w:proofErr w:type="spellEnd"/>
      <w:r w:rsidRPr="00F871F8">
        <w:rPr>
          <w:rFonts w:eastAsia="Times New Roman"/>
        </w:rPr>
        <w:t xml:space="preserve">. </w:t>
      </w:r>
      <w:proofErr w:type="gramStart"/>
      <w:r w:rsidRPr="00F871F8">
        <w:rPr>
          <w:rFonts w:eastAsia="Times New Roman"/>
        </w:rPr>
        <w:t>2023;17:024107</w:t>
      </w:r>
      <w:proofErr w:type="gramEnd"/>
      <w:r w:rsidRPr="00F871F8">
        <w:rPr>
          <w:rFonts w:eastAsia="Times New Roman"/>
        </w:rPr>
        <w:t>.</w:t>
      </w:r>
    </w:p>
    <w:p w14:paraId="25D98987"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Fadely EC et al. Enhanced manganese oxidation at the biofilm–fluid interface drives pore-scale patterns in mineral precipitation. Environ Sci Technol. </w:t>
      </w:r>
      <w:proofErr w:type="gramStart"/>
      <w:r w:rsidRPr="00F871F8">
        <w:rPr>
          <w:rFonts w:eastAsia="Times New Roman"/>
        </w:rPr>
        <w:t>2026;60:654</w:t>
      </w:r>
      <w:proofErr w:type="gramEnd"/>
      <w:r w:rsidRPr="00F871F8">
        <w:rPr>
          <w:rFonts w:eastAsia="Times New Roman"/>
        </w:rPr>
        <w:t>–663.</w:t>
      </w:r>
    </w:p>
    <w:p w14:paraId="257DB83E" w14:textId="77777777" w:rsidR="00B72939" w:rsidRPr="00F871F8" w:rsidRDefault="00000000" w:rsidP="001B0A4E">
      <w:pPr>
        <w:widowControl/>
        <w:numPr>
          <w:ilvl w:val="0"/>
          <w:numId w:val="39"/>
        </w:numPr>
        <w:tabs>
          <w:tab w:val="clear" w:pos="720"/>
          <w:tab w:val="num" w:pos="709"/>
        </w:tabs>
        <w:ind w:left="0" w:firstLine="0"/>
        <w:rPr>
          <w:rFonts w:eastAsia="Times New Roman"/>
        </w:rPr>
      </w:pPr>
      <w:proofErr w:type="spellStart"/>
      <w:r w:rsidRPr="00F871F8">
        <w:rPr>
          <w:rFonts w:eastAsia="Times New Roman"/>
        </w:rPr>
        <w:t>Lochovsky</w:t>
      </w:r>
      <w:proofErr w:type="spellEnd"/>
      <w:r w:rsidRPr="00F871F8">
        <w:rPr>
          <w:rFonts w:eastAsia="Times New Roman"/>
        </w:rPr>
        <w:t xml:space="preserve"> C, Yasotharan S, Günther A. Bubbles no more: in-plane trapping and removal of bubbles in microfluidic devices. Lab Chip. </w:t>
      </w:r>
      <w:proofErr w:type="gramStart"/>
      <w:r w:rsidRPr="00F871F8">
        <w:rPr>
          <w:rFonts w:eastAsia="Times New Roman"/>
        </w:rPr>
        <w:t>2012;12:595</w:t>
      </w:r>
      <w:proofErr w:type="gramEnd"/>
      <w:r w:rsidRPr="00F871F8">
        <w:rPr>
          <w:rFonts w:eastAsia="Times New Roman"/>
        </w:rPr>
        <w:t>–601.</w:t>
      </w:r>
    </w:p>
    <w:p w14:paraId="6311DED7"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lastRenderedPageBreak/>
        <w:t xml:space="preserve">Pereiro I, </w:t>
      </w:r>
      <w:proofErr w:type="spellStart"/>
      <w:r w:rsidRPr="00F871F8">
        <w:rPr>
          <w:rFonts w:eastAsia="Times New Roman"/>
        </w:rPr>
        <w:t>Khartchenko</w:t>
      </w:r>
      <w:proofErr w:type="spellEnd"/>
      <w:r w:rsidRPr="00F871F8">
        <w:rPr>
          <w:rFonts w:eastAsia="Times New Roman"/>
        </w:rPr>
        <w:t xml:space="preserve"> AF, Petrini L, </w:t>
      </w:r>
      <w:proofErr w:type="spellStart"/>
      <w:r w:rsidRPr="00F871F8">
        <w:rPr>
          <w:rFonts w:eastAsia="Times New Roman"/>
        </w:rPr>
        <w:t>Kaigala</w:t>
      </w:r>
      <w:proofErr w:type="spellEnd"/>
      <w:r w:rsidRPr="00F871F8">
        <w:rPr>
          <w:rFonts w:eastAsia="Times New Roman"/>
        </w:rPr>
        <w:t xml:space="preserve"> GV. Nip the bubble in the bud: a guide to avoid gas nucleation in microfluidics. Lab Chip. </w:t>
      </w:r>
      <w:proofErr w:type="gramStart"/>
      <w:r w:rsidRPr="00F871F8">
        <w:rPr>
          <w:rFonts w:eastAsia="Times New Roman"/>
        </w:rPr>
        <w:t>2019;19:2296</w:t>
      </w:r>
      <w:proofErr w:type="gramEnd"/>
      <w:r w:rsidRPr="00F871F8">
        <w:rPr>
          <w:rFonts w:eastAsia="Times New Roman"/>
        </w:rPr>
        <w:t>–2314.</w:t>
      </w:r>
    </w:p>
    <w:p w14:paraId="3F9EC069" w14:textId="77777777" w:rsidR="00B72939" w:rsidRPr="00F871F8" w:rsidRDefault="00000000" w:rsidP="001B0A4E">
      <w:pPr>
        <w:widowControl/>
        <w:numPr>
          <w:ilvl w:val="0"/>
          <w:numId w:val="39"/>
        </w:numPr>
        <w:tabs>
          <w:tab w:val="clear" w:pos="720"/>
          <w:tab w:val="num" w:pos="709"/>
        </w:tabs>
        <w:ind w:left="0" w:firstLine="0"/>
        <w:rPr>
          <w:rFonts w:eastAsia="Times New Roman"/>
        </w:rPr>
      </w:pPr>
      <w:r w:rsidRPr="00F871F8">
        <w:rPr>
          <w:rFonts w:eastAsia="Times New Roman"/>
        </w:rPr>
        <w:t xml:space="preserve">Gehin G et al. Pseudomonas putida coordinates the expression of two manganese oxidases and optimizes manganese oxide precipitation in response to aqueous </w:t>
      </w:r>
      <w:proofErr w:type="gramStart"/>
      <w:r w:rsidRPr="00F871F8">
        <w:rPr>
          <w:rFonts w:eastAsia="Times New Roman"/>
        </w:rPr>
        <w:t>Mn(</w:t>
      </w:r>
      <w:proofErr w:type="gramEnd"/>
      <w:r w:rsidRPr="00F871F8">
        <w:rPr>
          <w:rFonts w:eastAsia="Times New Roman"/>
        </w:rPr>
        <w:t xml:space="preserve">II). Environ Sci Technol. </w:t>
      </w:r>
      <w:proofErr w:type="gramStart"/>
      <w:r w:rsidRPr="00F871F8">
        <w:rPr>
          <w:rFonts w:eastAsia="Times New Roman"/>
        </w:rPr>
        <w:t>2025;59:13777</w:t>
      </w:r>
      <w:proofErr w:type="gramEnd"/>
      <w:r w:rsidRPr="00F871F8">
        <w:rPr>
          <w:rFonts w:eastAsia="Times New Roman"/>
        </w:rPr>
        <w:t>–13786.</w:t>
      </w:r>
    </w:p>
    <w:p w14:paraId="484861F9" w14:textId="77777777" w:rsidR="00B72939" w:rsidRPr="001B0A4E" w:rsidRDefault="00B72939" w:rsidP="001B0A4E"/>
    <w:p w14:paraId="1FA0F787" w14:textId="77777777" w:rsidR="00B72939" w:rsidRPr="00796876" w:rsidRDefault="00B72939" w:rsidP="001B0A4E"/>
    <w:p w14:paraId="039C561C" w14:textId="46CECE80" w:rsidR="00516914" w:rsidRPr="00796876" w:rsidRDefault="00516914" w:rsidP="00796876">
      <w:pPr>
        <w:pBdr>
          <w:top w:val="nil"/>
          <w:left w:val="nil"/>
          <w:bottom w:val="nil"/>
          <w:right w:val="nil"/>
          <w:between w:val="nil"/>
        </w:pBdr>
        <w:rPr>
          <w:bCs/>
        </w:rPr>
      </w:pPr>
      <w:bookmarkStart w:id="2" w:name="gjdgxs" w:colFirst="0" w:colLast="0"/>
      <w:bookmarkStart w:id="3" w:name="30j0zll" w:colFirst="0" w:colLast="0"/>
      <w:bookmarkStart w:id="4" w:name="kix.dnstqay1kwjl" w:colFirst="0" w:colLast="0"/>
      <w:bookmarkStart w:id="5" w:name="3znysh7" w:colFirst="0" w:colLast="0"/>
      <w:bookmarkStart w:id="6" w:name="2et92p0" w:colFirst="0" w:colLast="0"/>
      <w:bookmarkStart w:id="7" w:name="3dy6vkm" w:colFirst="0" w:colLast="0"/>
      <w:bookmarkStart w:id="8" w:name="1t3h5sf" w:colFirst="0" w:colLast="0"/>
      <w:bookmarkStart w:id="9" w:name="4d34og8" w:colFirst="0" w:colLast="0"/>
      <w:bookmarkStart w:id="10" w:name="2s8eyo1" w:colFirst="0" w:colLast="0"/>
      <w:bookmarkStart w:id="11" w:name="17dp8vu" w:colFirst="0" w:colLast="0"/>
      <w:bookmarkStart w:id="12" w:name="3rdcrjn" w:colFirst="0" w:colLast="0"/>
      <w:bookmarkEnd w:id="2"/>
      <w:bookmarkEnd w:id="3"/>
      <w:bookmarkEnd w:id="4"/>
      <w:bookmarkEnd w:id="5"/>
      <w:bookmarkEnd w:id="6"/>
      <w:bookmarkEnd w:id="7"/>
      <w:bookmarkEnd w:id="8"/>
      <w:bookmarkEnd w:id="9"/>
      <w:bookmarkEnd w:id="10"/>
      <w:bookmarkEnd w:id="11"/>
      <w:bookmarkEnd w:id="12"/>
    </w:p>
    <w:sectPr w:rsidR="00516914" w:rsidRPr="00796876" w:rsidSect="00147CB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5692B" w14:textId="77777777" w:rsidR="009B7BB3" w:rsidRDefault="009B7BB3">
      <w:r>
        <w:separator/>
      </w:r>
    </w:p>
  </w:endnote>
  <w:endnote w:type="continuationSeparator" w:id="0">
    <w:p w14:paraId="1B18294D" w14:textId="77777777" w:rsidR="009B7BB3" w:rsidRDefault="009B7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E2484" w14:textId="77777777" w:rsidR="00141467" w:rsidRDefault="001414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93752" w14:textId="77777777" w:rsidR="00141467" w:rsidRDefault="00141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818AF" w14:textId="77777777" w:rsidR="009B7BB3" w:rsidRDefault="009B7BB3">
      <w:r>
        <w:separator/>
      </w:r>
    </w:p>
  </w:footnote>
  <w:footnote w:type="continuationSeparator" w:id="0">
    <w:p w14:paraId="1A48DBE7" w14:textId="77777777" w:rsidR="009B7BB3" w:rsidRDefault="009B7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2D83587"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311"/>
    <w:multiLevelType w:val="hybridMultilevel"/>
    <w:tmpl w:val="AE928E7E"/>
    <w:lvl w:ilvl="0" w:tplc="58F62C98">
      <w:start w:val="1"/>
      <w:numFmt w:val="decimal"/>
      <w:lvlText w:val="%1."/>
      <w:lvlJc w:val="left"/>
      <w:pPr>
        <w:ind w:left="720" w:hanging="360"/>
      </w:pPr>
    </w:lvl>
    <w:lvl w:ilvl="1" w:tplc="27565FC6" w:tentative="1">
      <w:start w:val="1"/>
      <w:numFmt w:val="lowerLetter"/>
      <w:lvlText w:val="%2."/>
      <w:lvlJc w:val="left"/>
      <w:pPr>
        <w:ind w:left="1440" w:hanging="360"/>
      </w:pPr>
    </w:lvl>
    <w:lvl w:ilvl="2" w:tplc="8C066C96" w:tentative="1">
      <w:start w:val="1"/>
      <w:numFmt w:val="lowerRoman"/>
      <w:lvlText w:val="%3."/>
      <w:lvlJc w:val="right"/>
      <w:pPr>
        <w:ind w:left="2160" w:hanging="180"/>
      </w:pPr>
    </w:lvl>
    <w:lvl w:ilvl="3" w:tplc="33DA97AC" w:tentative="1">
      <w:start w:val="1"/>
      <w:numFmt w:val="decimal"/>
      <w:lvlText w:val="%4."/>
      <w:lvlJc w:val="left"/>
      <w:pPr>
        <w:ind w:left="2880" w:hanging="360"/>
      </w:pPr>
    </w:lvl>
    <w:lvl w:ilvl="4" w:tplc="1A3CED14" w:tentative="1">
      <w:start w:val="1"/>
      <w:numFmt w:val="lowerLetter"/>
      <w:lvlText w:val="%5."/>
      <w:lvlJc w:val="left"/>
      <w:pPr>
        <w:ind w:left="3600" w:hanging="360"/>
      </w:pPr>
    </w:lvl>
    <w:lvl w:ilvl="5" w:tplc="BB56847A" w:tentative="1">
      <w:start w:val="1"/>
      <w:numFmt w:val="lowerRoman"/>
      <w:lvlText w:val="%6."/>
      <w:lvlJc w:val="right"/>
      <w:pPr>
        <w:ind w:left="4320" w:hanging="180"/>
      </w:pPr>
    </w:lvl>
    <w:lvl w:ilvl="6" w:tplc="D354EDD6" w:tentative="1">
      <w:start w:val="1"/>
      <w:numFmt w:val="decimal"/>
      <w:lvlText w:val="%7."/>
      <w:lvlJc w:val="left"/>
      <w:pPr>
        <w:ind w:left="5040" w:hanging="360"/>
      </w:pPr>
    </w:lvl>
    <w:lvl w:ilvl="7" w:tplc="E684F64E" w:tentative="1">
      <w:start w:val="1"/>
      <w:numFmt w:val="lowerLetter"/>
      <w:lvlText w:val="%8."/>
      <w:lvlJc w:val="left"/>
      <w:pPr>
        <w:ind w:left="5760" w:hanging="360"/>
      </w:pPr>
    </w:lvl>
    <w:lvl w:ilvl="8" w:tplc="A9883A16"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8CC84202">
      <w:start w:val="1"/>
      <w:numFmt w:val="bullet"/>
      <w:lvlText w:val=""/>
      <w:lvlJc w:val="left"/>
      <w:pPr>
        <w:ind w:left="360" w:hanging="360"/>
      </w:pPr>
      <w:rPr>
        <w:rFonts w:ascii="Symbol" w:hAnsi="Symbol" w:hint="default"/>
        <w:sz w:val="28"/>
        <w:szCs w:val="28"/>
      </w:rPr>
    </w:lvl>
    <w:lvl w:ilvl="1" w:tplc="BD5052F2" w:tentative="1">
      <w:start w:val="1"/>
      <w:numFmt w:val="bullet"/>
      <w:lvlText w:val="o"/>
      <w:lvlJc w:val="left"/>
      <w:pPr>
        <w:ind w:left="1440" w:hanging="360"/>
      </w:pPr>
      <w:rPr>
        <w:rFonts w:ascii="Courier New" w:hAnsi="Courier New" w:cs="Courier New" w:hint="default"/>
      </w:rPr>
    </w:lvl>
    <w:lvl w:ilvl="2" w:tplc="5CFC83D2" w:tentative="1">
      <w:start w:val="1"/>
      <w:numFmt w:val="bullet"/>
      <w:lvlText w:val=""/>
      <w:lvlJc w:val="left"/>
      <w:pPr>
        <w:ind w:left="2160" w:hanging="360"/>
      </w:pPr>
      <w:rPr>
        <w:rFonts w:ascii="Wingdings" w:hAnsi="Wingdings" w:hint="default"/>
      </w:rPr>
    </w:lvl>
    <w:lvl w:ilvl="3" w:tplc="9DD8E6C2" w:tentative="1">
      <w:start w:val="1"/>
      <w:numFmt w:val="bullet"/>
      <w:lvlText w:val=""/>
      <w:lvlJc w:val="left"/>
      <w:pPr>
        <w:ind w:left="2880" w:hanging="360"/>
      </w:pPr>
      <w:rPr>
        <w:rFonts w:ascii="Symbol" w:hAnsi="Symbol" w:hint="default"/>
      </w:rPr>
    </w:lvl>
    <w:lvl w:ilvl="4" w:tplc="4974590A" w:tentative="1">
      <w:start w:val="1"/>
      <w:numFmt w:val="bullet"/>
      <w:lvlText w:val="o"/>
      <w:lvlJc w:val="left"/>
      <w:pPr>
        <w:ind w:left="3600" w:hanging="360"/>
      </w:pPr>
      <w:rPr>
        <w:rFonts w:ascii="Courier New" w:hAnsi="Courier New" w:cs="Courier New" w:hint="default"/>
      </w:rPr>
    </w:lvl>
    <w:lvl w:ilvl="5" w:tplc="694E68D2" w:tentative="1">
      <w:start w:val="1"/>
      <w:numFmt w:val="bullet"/>
      <w:lvlText w:val=""/>
      <w:lvlJc w:val="left"/>
      <w:pPr>
        <w:ind w:left="4320" w:hanging="360"/>
      </w:pPr>
      <w:rPr>
        <w:rFonts w:ascii="Wingdings" w:hAnsi="Wingdings" w:hint="default"/>
      </w:rPr>
    </w:lvl>
    <w:lvl w:ilvl="6" w:tplc="99F8545A" w:tentative="1">
      <w:start w:val="1"/>
      <w:numFmt w:val="bullet"/>
      <w:lvlText w:val=""/>
      <w:lvlJc w:val="left"/>
      <w:pPr>
        <w:ind w:left="5040" w:hanging="360"/>
      </w:pPr>
      <w:rPr>
        <w:rFonts w:ascii="Symbol" w:hAnsi="Symbol" w:hint="default"/>
      </w:rPr>
    </w:lvl>
    <w:lvl w:ilvl="7" w:tplc="9022E9A4" w:tentative="1">
      <w:start w:val="1"/>
      <w:numFmt w:val="bullet"/>
      <w:lvlText w:val="o"/>
      <w:lvlJc w:val="left"/>
      <w:pPr>
        <w:ind w:left="5760" w:hanging="360"/>
      </w:pPr>
      <w:rPr>
        <w:rFonts w:ascii="Courier New" w:hAnsi="Courier New" w:cs="Courier New" w:hint="default"/>
      </w:rPr>
    </w:lvl>
    <w:lvl w:ilvl="8" w:tplc="F7FE64B8"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57386BF4">
      <w:start w:val="1"/>
      <w:numFmt w:val="decimal"/>
      <w:lvlText w:val="%1."/>
      <w:lvlJc w:val="left"/>
      <w:pPr>
        <w:ind w:left="720" w:hanging="360"/>
      </w:pPr>
    </w:lvl>
    <w:lvl w:ilvl="1" w:tplc="D93A20B2" w:tentative="1">
      <w:start w:val="1"/>
      <w:numFmt w:val="lowerLetter"/>
      <w:lvlText w:val="%2."/>
      <w:lvlJc w:val="left"/>
      <w:pPr>
        <w:ind w:left="1440" w:hanging="360"/>
      </w:pPr>
    </w:lvl>
    <w:lvl w:ilvl="2" w:tplc="99327768" w:tentative="1">
      <w:start w:val="1"/>
      <w:numFmt w:val="lowerRoman"/>
      <w:lvlText w:val="%3."/>
      <w:lvlJc w:val="right"/>
      <w:pPr>
        <w:ind w:left="2160" w:hanging="180"/>
      </w:pPr>
    </w:lvl>
    <w:lvl w:ilvl="3" w:tplc="662E9194" w:tentative="1">
      <w:start w:val="1"/>
      <w:numFmt w:val="decimal"/>
      <w:lvlText w:val="%4."/>
      <w:lvlJc w:val="left"/>
      <w:pPr>
        <w:ind w:left="2880" w:hanging="360"/>
      </w:pPr>
    </w:lvl>
    <w:lvl w:ilvl="4" w:tplc="75C21F94" w:tentative="1">
      <w:start w:val="1"/>
      <w:numFmt w:val="lowerLetter"/>
      <w:lvlText w:val="%5."/>
      <w:lvlJc w:val="left"/>
      <w:pPr>
        <w:ind w:left="3600" w:hanging="360"/>
      </w:pPr>
    </w:lvl>
    <w:lvl w:ilvl="5" w:tplc="DA9EA0E8" w:tentative="1">
      <w:start w:val="1"/>
      <w:numFmt w:val="lowerRoman"/>
      <w:lvlText w:val="%6."/>
      <w:lvlJc w:val="right"/>
      <w:pPr>
        <w:ind w:left="4320" w:hanging="180"/>
      </w:pPr>
    </w:lvl>
    <w:lvl w:ilvl="6" w:tplc="52AE3E58" w:tentative="1">
      <w:start w:val="1"/>
      <w:numFmt w:val="decimal"/>
      <w:lvlText w:val="%7."/>
      <w:lvlJc w:val="left"/>
      <w:pPr>
        <w:ind w:left="5040" w:hanging="360"/>
      </w:pPr>
    </w:lvl>
    <w:lvl w:ilvl="7" w:tplc="4230894E" w:tentative="1">
      <w:start w:val="1"/>
      <w:numFmt w:val="lowerLetter"/>
      <w:lvlText w:val="%8."/>
      <w:lvlJc w:val="left"/>
      <w:pPr>
        <w:ind w:left="5760" w:hanging="360"/>
      </w:pPr>
    </w:lvl>
    <w:lvl w:ilvl="8" w:tplc="EA7C2D4C" w:tentative="1">
      <w:start w:val="1"/>
      <w:numFmt w:val="lowerRoman"/>
      <w:lvlText w:val="%9."/>
      <w:lvlJc w:val="right"/>
      <w:pPr>
        <w:ind w:left="6480" w:hanging="180"/>
      </w:pPr>
    </w:lvl>
  </w:abstractNum>
  <w:abstractNum w:abstractNumId="3" w15:restartNumberingAfterBreak="0">
    <w:nsid w:val="1C047F39"/>
    <w:multiLevelType w:val="hybridMultilevel"/>
    <w:tmpl w:val="CA98BBC8"/>
    <w:lvl w:ilvl="0" w:tplc="201EA612">
      <w:start w:val="1"/>
      <w:numFmt w:val="bullet"/>
      <w:lvlText w:val=""/>
      <w:lvlJc w:val="left"/>
      <w:pPr>
        <w:ind w:left="360" w:hanging="360"/>
      </w:pPr>
      <w:rPr>
        <w:rFonts w:ascii="Symbol" w:hAnsi="Symbol" w:hint="default"/>
      </w:rPr>
    </w:lvl>
    <w:lvl w:ilvl="1" w:tplc="8C6A4D34">
      <w:start w:val="1"/>
      <w:numFmt w:val="bullet"/>
      <w:lvlText w:val="o"/>
      <w:lvlJc w:val="left"/>
      <w:pPr>
        <w:ind w:left="1080" w:hanging="360"/>
      </w:pPr>
      <w:rPr>
        <w:rFonts w:ascii="Courier New" w:hAnsi="Courier New" w:cs="Courier New" w:hint="default"/>
      </w:rPr>
    </w:lvl>
    <w:lvl w:ilvl="2" w:tplc="538A3FE6" w:tentative="1">
      <w:start w:val="1"/>
      <w:numFmt w:val="bullet"/>
      <w:lvlText w:val=""/>
      <w:lvlJc w:val="left"/>
      <w:pPr>
        <w:ind w:left="1800" w:hanging="360"/>
      </w:pPr>
      <w:rPr>
        <w:rFonts w:ascii="Wingdings" w:hAnsi="Wingdings" w:hint="default"/>
      </w:rPr>
    </w:lvl>
    <w:lvl w:ilvl="3" w:tplc="E2B852BE" w:tentative="1">
      <w:start w:val="1"/>
      <w:numFmt w:val="bullet"/>
      <w:lvlText w:val=""/>
      <w:lvlJc w:val="left"/>
      <w:pPr>
        <w:ind w:left="2520" w:hanging="360"/>
      </w:pPr>
      <w:rPr>
        <w:rFonts w:ascii="Symbol" w:hAnsi="Symbol" w:hint="default"/>
      </w:rPr>
    </w:lvl>
    <w:lvl w:ilvl="4" w:tplc="C54ED9B6" w:tentative="1">
      <w:start w:val="1"/>
      <w:numFmt w:val="bullet"/>
      <w:lvlText w:val="o"/>
      <w:lvlJc w:val="left"/>
      <w:pPr>
        <w:ind w:left="3240" w:hanging="360"/>
      </w:pPr>
      <w:rPr>
        <w:rFonts w:ascii="Courier New" w:hAnsi="Courier New" w:cs="Courier New" w:hint="default"/>
      </w:rPr>
    </w:lvl>
    <w:lvl w:ilvl="5" w:tplc="D54C6B9A" w:tentative="1">
      <w:start w:val="1"/>
      <w:numFmt w:val="bullet"/>
      <w:lvlText w:val=""/>
      <w:lvlJc w:val="left"/>
      <w:pPr>
        <w:ind w:left="3960" w:hanging="360"/>
      </w:pPr>
      <w:rPr>
        <w:rFonts w:ascii="Wingdings" w:hAnsi="Wingdings" w:hint="default"/>
      </w:rPr>
    </w:lvl>
    <w:lvl w:ilvl="6" w:tplc="5AAA90FC" w:tentative="1">
      <w:start w:val="1"/>
      <w:numFmt w:val="bullet"/>
      <w:lvlText w:val=""/>
      <w:lvlJc w:val="left"/>
      <w:pPr>
        <w:ind w:left="4680" w:hanging="360"/>
      </w:pPr>
      <w:rPr>
        <w:rFonts w:ascii="Symbol" w:hAnsi="Symbol" w:hint="default"/>
      </w:rPr>
    </w:lvl>
    <w:lvl w:ilvl="7" w:tplc="A072B4E4" w:tentative="1">
      <w:start w:val="1"/>
      <w:numFmt w:val="bullet"/>
      <w:lvlText w:val="o"/>
      <w:lvlJc w:val="left"/>
      <w:pPr>
        <w:ind w:left="5400" w:hanging="360"/>
      </w:pPr>
      <w:rPr>
        <w:rFonts w:ascii="Courier New" w:hAnsi="Courier New" w:cs="Courier New" w:hint="default"/>
      </w:rPr>
    </w:lvl>
    <w:lvl w:ilvl="8" w:tplc="27101BDC" w:tentative="1">
      <w:start w:val="1"/>
      <w:numFmt w:val="bullet"/>
      <w:lvlText w:val=""/>
      <w:lvlJc w:val="left"/>
      <w:pPr>
        <w:ind w:left="6120" w:hanging="360"/>
      </w:pPr>
      <w:rPr>
        <w:rFonts w:ascii="Wingdings" w:hAnsi="Wingdings" w:hint="default"/>
      </w:rPr>
    </w:lvl>
  </w:abstractNum>
  <w:abstractNum w:abstractNumId="4" w15:restartNumberingAfterBreak="0">
    <w:nsid w:val="21BA043A"/>
    <w:multiLevelType w:val="hybridMultilevel"/>
    <w:tmpl w:val="97EA5562"/>
    <w:lvl w:ilvl="0" w:tplc="9ECEF316">
      <w:start w:val="1"/>
      <w:numFmt w:val="decimal"/>
      <w:lvlText w:val="%1."/>
      <w:lvlJc w:val="left"/>
      <w:pPr>
        <w:ind w:left="720" w:hanging="360"/>
      </w:pPr>
    </w:lvl>
    <w:lvl w:ilvl="1" w:tplc="44DE7B32" w:tentative="1">
      <w:start w:val="1"/>
      <w:numFmt w:val="lowerLetter"/>
      <w:lvlText w:val="%2."/>
      <w:lvlJc w:val="left"/>
      <w:pPr>
        <w:ind w:left="1440" w:hanging="360"/>
      </w:pPr>
    </w:lvl>
    <w:lvl w:ilvl="2" w:tplc="A280A456" w:tentative="1">
      <w:start w:val="1"/>
      <w:numFmt w:val="lowerRoman"/>
      <w:lvlText w:val="%3."/>
      <w:lvlJc w:val="right"/>
      <w:pPr>
        <w:ind w:left="2160" w:hanging="180"/>
      </w:pPr>
    </w:lvl>
    <w:lvl w:ilvl="3" w:tplc="E65A9A80" w:tentative="1">
      <w:start w:val="1"/>
      <w:numFmt w:val="decimal"/>
      <w:lvlText w:val="%4."/>
      <w:lvlJc w:val="left"/>
      <w:pPr>
        <w:ind w:left="2880" w:hanging="360"/>
      </w:pPr>
    </w:lvl>
    <w:lvl w:ilvl="4" w:tplc="C0A0316C" w:tentative="1">
      <w:start w:val="1"/>
      <w:numFmt w:val="lowerLetter"/>
      <w:lvlText w:val="%5."/>
      <w:lvlJc w:val="left"/>
      <w:pPr>
        <w:ind w:left="3600" w:hanging="360"/>
      </w:pPr>
    </w:lvl>
    <w:lvl w:ilvl="5" w:tplc="6542FDD0" w:tentative="1">
      <w:start w:val="1"/>
      <w:numFmt w:val="lowerRoman"/>
      <w:lvlText w:val="%6."/>
      <w:lvlJc w:val="right"/>
      <w:pPr>
        <w:ind w:left="4320" w:hanging="180"/>
      </w:pPr>
    </w:lvl>
    <w:lvl w:ilvl="6" w:tplc="A57E6EFA" w:tentative="1">
      <w:start w:val="1"/>
      <w:numFmt w:val="decimal"/>
      <w:lvlText w:val="%7."/>
      <w:lvlJc w:val="left"/>
      <w:pPr>
        <w:ind w:left="5040" w:hanging="360"/>
      </w:pPr>
    </w:lvl>
    <w:lvl w:ilvl="7" w:tplc="0DEC5A1C" w:tentative="1">
      <w:start w:val="1"/>
      <w:numFmt w:val="lowerLetter"/>
      <w:lvlText w:val="%8."/>
      <w:lvlJc w:val="left"/>
      <w:pPr>
        <w:ind w:left="5760" w:hanging="360"/>
      </w:pPr>
    </w:lvl>
    <w:lvl w:ilvl="8" w:tplc="508A2818"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BEBA6262">
      <w:start w:val="1"/>
      <w:numFmt w:val="decimal"/>
      <w:lvlText w:val="%1."/>
      <w:lvlJc w:val="left"/>
      <w:pPr>
        <w:ind w:left="720" w:hanging="360"/>
      </w:pPr>
    </w:lvl>
    <w:lvl w:ilvl="1" w:tplc="D010A478" w:tentative="1">
      <w:start w:val="1"/>
      <w:numFmt w:val="lowerLetter"/>
      <w:lvlText w:val="%2."/>
      <w:lvlJc w:val="left"/>
      <w:pPr>
        <w:ind w:left="1440" w:hanging="360"/>
      </w:pPr>
    </w:lvl>
    <w:lvl w:ilvl="2" w:tplc="FA7AA42C" w:tentative="1">
      <w:start w:val="1"/>
      <w:numFmt w:val="lowerRoman"/>
      <w:lvlText w:val="%3."/>
      <w:lvlJc w:val="right"/>
      <w:pPr>
        <w:ind w:left="2160" w:hanging="180"/>
      </w:pPr>
    </w:lvl>
    <w:lvl w:ilvl="3" w:tplc="B10E08E2" w:tentative="1">
      <w:start w:val="1"/>
      <w:numFmt w:val="decimal"/>
      <w:lvlText w:val="%4."/>
      <w:lvlJc w:val="left"/>
      <w:pPr>
        <w:ind w:left="2880" w:hanging="360"/>
      </w:pPr>
    </w:lvl>
    <w:lvl w:ilvl="4" w:tplc="26F00EC0" w:tentative="1">
      <w:start w:val="1"/>
      <w:numFmt w:val="lowerLetter"/>
      <w:lvlText w:val="%5."/>
      <w:lvlJc w:val="left"/>
      <w:pPr>
        <w:ind w:left="3600" w:hanging="360"/>
      </w:pPr>
    </w:lvl>
    <w:lvl w:ilvl="5" w:tplc="36BAD67E" w:tentative="1">
      <w:start w:val="1"/>
      <w:numFmt w:val="lowerRoman"/>
      <w:lvlText w:val="%6."/>
      <w:lvlJc w:val="right"/>
      <w:pPr>
        <w:ind w:left="4320" w:hanging="180"/>
      </w:pPr>
    </w:lvl>
    <w:lvl w:ilvl="6" w:tplc="3FDE7802" w:tentative="1">
      <w:start w:val="1"/>
      <w:numFmt w:val="decimal"/>
      <w:lvlText w:val="%7."/>
      <w:lvlJc w:val="left"/>
      <w:pPr>
        <w:ind w:left="5040" w:hanging="360"/>
      </w:pPr>
    </w:lvl>
    <w:lvl w:ilvl="7" w:tplc="899A394A" w:tentative="1">
      <w:start w:val="1"/>
      <w:numFmt w:val="lowerLetter"/>
      <w:lvlText w:val="%8."/>
      <w:lvlJc w:val="left"/>
      <w:pPr>
        <w:ind w:left="5760" w:hanging="360"/>
      </w:pPr>
    </w:lvl>
    <w:lvl w:ilvl="8" w:tplc="470628BA"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7B412D"/>
    <w:multiLevelType w:val="hybridMultilevel"/>
    <w:tmpl w:val="4B3C9B32"/>
    <w:lvl w:ilvl="0" w:tplc="6B60B616">
      <w:start w:val="1"/>
      <w:numFmt w:val="bullet"/>
      <w:lvlText w:val=""/>
      <w:lvlJc w:val="left"/>
      <w:pPr>
        <w:ind w:left="720" w:hanging="360"/>
      </w:pPr>
      <w:rPr>
        <w:rFonts w:ascii="Symbol" w:hAnsi="Symbol" w:hint="default"/>
      </w:rPr>
    </w:lvl>
    <w:lvl w:ilvl="1" w:tplc="DC04400C" w:tentative="1">
      <w:start w:val="1"/>
      <w:numFmt w:val="bullet"/>
      <w:lvlText w:val="o"/>
      <w:lvlJc w:val="left"/>
      <w:pPr>
        <w:ind w:left="1440" w:hanging="360"/>
      </w:pPr>
      <w:rPr>
        <w:rFonts w:ascii="Courier New" w:hAnsi="Courier New" w:cs="Courier New" w:hint="default"/>
      </w:rPr>
    </w:lvl>
    <w:lvl w:ilvl="2" w:tplc="68B08258" w:tentative="1">
      <w:start w:val="1"/>
      <w:numFmt w:val="bullet"/>
      <w:lvlText w:val=""/>
      <w:lvlJc w:val="left"/>
      <w:pPr>
        <w:ind w:left="2160" w:hanging="360"/>
      </w:pPr>
      <w:rPr>
        <w:rFonts w:ascii="Wingdings" w:hAnsi="Wingdings" w:hint="default"/>
      </w:rPr>
    </w:lvl>
    <w:lvl w:ilvl="3" w:tplc="1338CA1C" w:tentative="1">
      <w:start w:val="1"/>
      <w:numFmt w:val="bullet"/>
      <w:lvlText w:val=""/>
      <w:lvlJc w:val="left"/>
      <w:pPr>
        <w:ind w:left="2880" w:hanging="360"/>
      </w:pPr>
      <w:rPr>
        <w:rFonts w:ascii="Symbol" w:hAnsi="Symbol" w:hint="default"/>
      </w:rPr>
    </w:lvl>
    <w:lvl w:ilvl="4" w:tplc="2CB8DB40" w:tentative="1">
      <w:start w:val="1"/>
      <w:numFmt w:val="bullet"/>
      <w:lvlText w:val="o"/>
      <w:lvlJc w:val="left"/>
      <w:pPr>
        <w:ind w:left="3600" w:hanging="360"/>
      </w:pPr>
      <w:rPr>
        <w:rFonts w:ascii="Courier New" w:hAnsi="Courier New" w:cs="Courier New" w:hint="default"/>
      </w:rPr>
    </w:lvl>
    <w:lvl w:ilvl="5" w:tplc="C374F1CC" w:tentative="1">
      <w:start w:val="1"/>
      <w:numFmt w:val="bullet"/>
      <w:lvlText w:val=""/>
      <w:lvlJc w:val="left"/>
      <w:pPr>
        <w:ind w:left="4320" w:hanging="360"/>
      </w:pPr>
      <w:rPr>
        <w:rFonts w:ascii="Wingdings" w:hAnsi="Wingdings" w:hint="default"/>
      </w:rPr>
    </w:lvl>
    <w:lvl w:ilvl="6" w:tplc="9F506FFE" w:tentative="1">
      <w:start w:val="1"/>
      <w:numFmt w:val="bullet"/>
      <w:lvlText w:val=""/>
      <w:lvlJc w:val="left"/>
      <w:pPr>
        <w:ind w:left="5040" w:hanging="360"/>
      </w:pPr>
      <w:rPr>
        <w:rFonts w:ascii="Symbol" w:hAnsi="Symbol" w:hint="default"/>
      </w:rPr>
    </w:lvl>
    <w:lvl w:ilvl="7" w:tplc="F4040588" w:tentative="1">
      <w:start w:val="1"/>
      <w:numFmt w:val="bullet"/>
      <w:lvlText w:val="o"/>
      <w:lvlJc w:val="left"/>
      <w:pPr>
        <w:ind w:left="5760" w:hanging="360"/>
      </w:pPr>
      <w:rPr>
        <w:rFonts w:ascii="Courier New" w:hAnsi="Courier New" w:cs="Courier New" w:hint="default"/>
      </w:rPr>
    </w:lvl>
    <w:lvl w:ilvl="8" w:tplc="8B84BE7E" w:tentative="1">
      <w:start w:val="1"/>
      <w:numFmt w:val="bullet"/>
      <w:lvlText w:val=""/>
      <w:lvlJc w:val="left"/>
      <w:pPr>
        <w:ind w:left="6480" w:hanging="360"/>
      </w:pPr>
      <w:rPr>
        <w:rFonts w:ascii="Wingdings" w:hAnsi="Wingdings" w:hint="default"/>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9C4732F"/>
    <w:multiLevelType w:val="multilevel"/>
    <w:tmpl w:val="3C2A907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662C58"/>
    <w:multiLevelType w:val="hybridMultilevel"/>
    <w:tmpl w:val="5AA4B84A"/>
    <w:lvl w:ilvl="0" w:tplc="ECA874C0">
      <w:start w:val="1"/>
      <w:numFmt w:val="decimal"/>
      <w:lvlText w:val="%1."/>
      <w:lvlJc w:val="left"/>
      <w:pPr>
        <w:ind w:left="720" w:hanging="360"/>
      </w:pPr>
      <w:rPr>
        <w:rFonts w:asciiTheme="minorHAnsi" w:eastAsiaTheme="minorHAnsi" w:hAnsiTheme="minorHAnsi" w:cstheme="minorBidi"/>
      </w:rPr>
    </w:lvl>
    <w:lvl w:ilvl="1" w:tplc="8C64471C" w:tentative="1">
      <w:start w:val="1"/>
      <w:numFmt w:val="lowerLetter"/>
      <w:lvlText w:val="%2."/>
      <w:lvlJc w:val="left"/>
      <w:pPr>
        <w:ind w:left="1440" w:hanging="360"/>
      </w:pPr>
    </w:lvl>
    <w:lvl w:ilvl="2" w:tplc="4CF6EDE8" w:tentative="1">
      <w:start w:val="1"/>
      <w:numFmt w:val="lowerRoman"/>
      <w:lvlText w:val="%3."/>
      <w:lvlJc w:val="right"/>
      <w:pPr>
        <w:ind w:left="2160" w:hanging="180"/>
      </w:pPr>
    </w:lvl>
    <w:lvl w:ilvl="3" w:tplc="6A803CCA" w:tentative="1">
      <w:start w:val="1"/>
      <w:numFmt w:val="decimal"/>
      <w:lvlText w:val="%4."/>
      <w:lvlJc w:val="left"/>
      <w:pPr>
        <w:ind w:left="2880" w:hanging="360"/>
      </w:pPr>
    </w:lvl>
    <w:lvl w:ilvl="4" w:tplc="88BADADC" w:tentative="1">
      <w:start w:val="1"/>
      <w:numFmt w:val="lowerLetter"/>
      <w:lvlText w:val="%5."/>
      <w:lvlJc w:val="left"/>
      <w:pPr>
        <w:ind w:left="3600" w:hanging="360"/>
      </w:pPr>
    </w:lvl>
    <w:lvl w:ilvl="5" w:tplc="DB1E9DE0" w:tentative="1">
      <w:start w:val="1"/>
      <w:numFmt w:val="lowerRoman"/>
      <w:lvlText w:val="%6."/>
      <w:lvlJc w:val="right"/>
      <w:pPr>
        <w:ind w:left="4320" w:hanging="180"/>
      </w:pPr>
    </w:lvl>
    <w:lvl w:ilvl="6" w:tplc="3E84C078" w:tentative="1">
      <w:start w:val="1"/>
      <w:numFmt w:val="decimal"/>
      <w:lvlText w:val="%7."/>
      <w:lvlJc w:val="left"/>
      <w:pPr>
        <w:ind w:left="5040" w:hanging="360"/>
      </w:pPr>
    </w:lvl>
    <w:lvl w:ilvl="7" w:tplc="6D2E1A78" w:tentative="1">
      <w:start w:val="1"/>
      <w:numFmt w:val="lowerLetter"/>
      <w:lvlText w:val="%8."/>
      <w:lvlJc w:val="left"/>
      <w:pPr>
        <w:ind w:left="5760" w:hanging="360"/>
      </w:pPr>
    </w:lvl>
    <w:lvl w:ilvl="8" w:tplc="EE389562" w:tentative="1">
      <w:start w:val="1"/>
      <w:numFmt w:val="lowerRoman"/>
      <w:lvlText w:val="%9."/>
      <w:lvlJc w:val="right"/>
      <w:pPr>
        <w:ind w:left="6480" w:hanging="180"/>
      </w:pPr>
    </w:lvl>
  </w:abstractNum>
  <w:abstractNum w:abstractNumId="11" w15:restartNumberingAfterBreak="0">
    <w:nsid w:val="2D1373D0"/>
    <w:multiLevelType w:val="hybridMultilevel"/>
    <w:tmpl w:val="64823644"/>
    <w:lvl w:ilvl="0" w:tplc="3878DF38">
      <w:start w:val="1"/>
      <w:numFmt w:val="bullet"/>
      <w:lvlText w:val=""/>
      <w:lvlJc w:val="left"/>
      <w:pPr>
        <w:ind w:left="720" w:hanging="360"/>
      </w:pPr>
      <w:rPr>
        <w:rFonts w:ascii="Symbol" w:hAnsi="Symbol" w:hint="default"/>
      </w:rPr>
    </w:lvl>
    <w:lvl w:ilvl="1" w:tplc="EB0499BA" w:tentative="1">
      <w:start w:val="1"/>
      <w:numFmt w:val="bullet"/>
      <w:lvlText w:val="o"/>
      <w:lvlJc w:val="left"/>
      <w:pPr>
        <w:ind w:left="1440" w:hanging="360"/>
      </w:pPr>
      <w:rPr>
        <w:rFonts w:ascii="Courier New" w:hAnsi="Courier New" w:cs="Courier New" w:hint="default"/>
      </w:rPr>
    </w:lvl>
    <w:lvl w:ilvl="2" w:tplc="179C14F8" w:tentative="1">
      <w:start w:val="1"/>
      <w:numFmt w:val="bullet"/>
      <w:lvlText w:val=""/>
      <w:lvlJc w:val="left"/>
      <w:pPr>
        <w:ind w:left="2160" w:hanging="360"/>
      </w:pPr>
      <w:rPr>
        <w:rFonts w:ascii="Wingdings" w:hAnsi="Wingdings" w:hint="default"/>
      </w:rPr>
    </w:lvl>
    <w:lvl w:ilvl="3" w:tplc="CDCCC316" w:tentative="1">
      <w:start w:val="1"/>
      <w:numFmt w:val="bullet"/>
      <w:lvlText w:val=""/>
      <w:lvlJc w:val="left"/>
      <w:pPr>
        <w:ind w:left="2880" w:hanging="360"/>
      </w:pPr>
      <w:rPr>
        <w:rFonts w:ascii="Symbol" w:hAnsi="Symbol" w:hint="default"/>
      </w:rPr>
    </w:lvl>
    <w:lvl w:ilvl="4" w:tplc="CD666580" w:tentative="1">
      <w:start w:val="1"/>
      <w:numFmt w:val="bullet"/>
      <w:lvlText w:val="o"/>
      <w:lvlJc w:val="left"/>
      <w:pPr>
        <w:ind w:left="3600" w:hanging="360"/>
      </w:pPr>
      <w:rPr>
        <w:rFonts w:ascii="Courier New" w:hAnsi="Courier New" w:cs="Courier New" w:hint="default"/>
      </w:rPr>
    </w:lvl>
    <w:lvl w:ilvl="5" w:tplc="4FF83174" w:tentative="1">
      <w:start w:val="1"/>
      <w:numFmt w:val="bullet"/>
      <w:lvlText w:val=""/>
      <w:lvlJc w:val="left"/>
      <w:pPr>
        <w:ind w:left="4320" w:hanging="360"/>
      </w:pPr>
      <w:rPr>
        <w:rFonts w:ascii="Wingdings" w:hAnsi="Wingdings" w:hint="default"/>
      </w:rPr>
    </w:lvl>
    <w:lvl w:ilvl="6" w:tplc="7A0A66DE" w:tentative="1">
      <w:start w:val="1"/>
      <w:numFmt w:val="bullet"/>
      <w:lvlText w:val=""/>
      <w:lvlJc w:val="left"/>
      <w:pPr>
        <w:ind w:left="5040" w:hanging="360"/>
      </w:pPr>
      <w:rPr>
        <w:rFonts w:ascii="Symbol" w:hAnsi="Symbol" w:hint="default"/>
      </w:rPr>
    </w:lvl>
    <w:lvl w:ilvl="7" w:tplc="CBBC840C" w:tentative="1">
      <w:start w:val="1"/>
      <w:numFmt w:val="bullet"/>
      <w:lvlText w:val="o"/>
      <w:lvlJc w:val="left"/>
      <w:pPr>
        <w:ind w:left="5760" w:hanging="360"/>
      </w:pPr>
      <w:rPr>
        <w:rFonts w:ascii="Courier New" w:hAnsi="Courier New" w:cs="Courier New" w:hint="default"/>
      </w:rPr>
    </w:lvl>
    <w:lvl w:ilvl="8" w:tplc="6672BF38" w:tentative="1">
      <w:start w:val="1"/>
      <w:numFmt w:val="bullet"/>
      <w:lvlText w:val=""/>
      <w:lvlJc w:val="left"/>
      <w:pPr>
        <w:ind w:left="6480" w:hanging="360"/>
      </w:pPr>
      <w:rPr>
        <w:rFonts w:ascii="Wingdings" w:hAnsi="Wingdings" w:hint="default"/>
      </w:rPr>
    </w:lvl>
  </w:abstractNum>
  <w:abstractNum w:abstractNumId="12"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E07ABC"/>
    <w:multiLevelType w:val="hybridMultilevel"/>
    <w:tmpl w:val="DF8229D0"/>
    <w:lvl w:ilvl="0" w:tplc="EAC04A44">
      <w:start w:val="1"/>
      <w:numFmt w:val="decimal"/>
      <w:lvlText w:val="%1."/>
      <w:lvlJc w:val="left"/>
      <w:pPr>
        <w:ind w:left="720" w:hanging="360"/>
      </w:pPr>
    </w:lvl>
    <w:lvl w:ilvl="1" w:tplc="865285A2" w:tentative="1">
      <w:start w:val="1"/>
      <w:numFmt w:val="lowerLetter"/>
      <w:lvlText w:val="%2."/>
      <w:lvlJc w:val="left"/>
      <w:pPr>
        <w:ind w:left="1440" w:hanging="360"/>
      </w:pPr>
    </w:lvl>
    <w:lvl w:ilvl="2" w:tplc="26527BA8" w:tentative="1">
      <w:start w:val="1"/>
      <w:numFmt w:val="lowerRoman"/>
      <w:lvlText w:val="%3."/>
      <w:lvlJc w:val="right"/>
      <w:pPr>
        <w:ind w:left="2160" w:hanging="180"/>
      </w:pPr>
    </w:lvl>
    <w:lvl w:ilvl="3" w:tplc="402EAD00" w:tentative="1">
      <w:start w:val="1"/>
      <w:numFmt w:val="decimal"/>
      <w:lvlText w:val="%4."/>
      <w:lvlJc w:val="left"/>
      <w:pPr>
        <w:ind w:left="2880" w:hanging="360"/>
      </w:pPr>
    </w:lvl>
    <w:lvl w:ilvl="4" w:tplc="6ECE606A" w:tentative="1">
      <w:start w:val="1"/>
      <w:numFmt w:val="lowerLetter"/>
      <w:lvlText w:val="%5."/>
      <w:lvlJc w:val="left"/>
      <w:pPr>
        <w:ind w:left="3600" w:hanging="360"/>
      </w:pPr>
    </w:lvl>
    <w:lvl w:ilvl="5" w:tplc="1EC4A2CA" w:tentative="1">
      <w:start w:val="1"/>
      <w:numFmt w:val="lowerRoman"/>
      <w:lvlText w:val="%6."/>
      <w:lvlJc w:val="right"/>
      <w:pPr>
        <w:ind w:left="4320" w:hanging="180"/>
      </w:pPr>
    </w:lvl>
    <w:lvl w:ilvl="6" w:tplc="9F646070" w:tentative="1">
      <w:start w:val="1"/>
      <w:numFmt w:val="decimal"/>
      <w:lvlText w:val="%7."/>
      <w:lvlJc w:val="left"/>
      <w:pPr>
        <w:ind w:left="5040" w:hanging="360"/>
      </w:pPr>
    </w:lvl>
    <w:lvl w:ilvl="7" w:tplc="2E92DF2E" w:tentative="1">
      <w:start w:val="1"/>
      <w:numFmt w:val="lowerLetter"/>
      <w:lvlText w:val="%8."/>
      <w:lvlJc w:val="left"/>
      <w:pPr>
        <w:ind w:left="5760" w:hanging="360"/>
      </w:pPr>
    </w:lvl>
    <w:lvl w:ilvl="8" w:tplc="AB2E9884" w:tentative="1">
      <w:start w:val="1"/>
      <w:numFmt w:val="lowerRoman"/>
      <w:lvlText w:val="%9."/>
      <w:lvlJc w:val="right"/>
      <w:pPr>
        <w:ind w:left="6480" w:hanging="180"/>
      </w:pPr>
    </w:lvl>
  </w:abstractNum>
  <w:abstractNum w:abstractNumId="1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5AD6859"/>
    <w:multiLevelType w:val="hybridMultilevel"/>
    <w:tmpl w:val="E2D239D6"/>
    <w:lvl w:ilvl="0" w:tplc="AA1EBED0">
      <w:start w:val="1"/>
      <w:numFmt w:val="bullet"/>
      <w:lvlText w:val=""/>
      <w:lvlJc w:val="left"/>
      <w:pPr>
        <w:ind w:left="720" w:hanging="360"/>
      </w:pPr>
      <w:rPr>
        <w:rFonts w:ascii="Symbol" w:hAnsi="Symbol" w:hint="default"/>
      </w:rPr>
    </w:lvl>
    <w:lvl w:ilvl="1" w:tplc="EAECF0D4">
      <w:start w:val="1"/>
      <w:numFmt w:val="bullet"/>
      <w:lvlText w:val="o"/>
      <w:lvlJc w:val="left"/>
      <w:pPr>
        <w:ind w:left="1440" w:hanging="360"/>
      </w:pPr>
      <w:rPr>
        <w:rFonts w:ascii="Courier New" w:hAnsi="Courier New" w:cs="Courier New" w:hint="default"/>
      </w:rPr>
    </w:lvl>
    <w:lvl w:ilvl="2" w:tplc="80EE91B4" w:tentative="1">
      <w:start w:val="1"/>
      <w:numFmt w:val="bullet"/>
      <w:lvlText w:val=""/>
      <w:lvlJc w:val="left"/>
      <w:pPr>
        <w:ind w:left="2160" w:hanging="360"/>
      </w:pPr>
      <w:rPr>
        <w:rFonts w:ascii="Wingdings" w:hAnsi="Wingdings" w:hint="default"/>
      </w:rPr>
    </w:lvl>
    <w:lvl w:ilvl="3" w:tplc="10481828" w:tentative="1">
      <w:start w:val="1"/>
      <w:numFmt w:val="bullet"/>
      <w:lvlText w:val=""/>
      <w:lvlJc w:val="left"/>
      <w:pPr>
        <w:ind w:left="2880" w:hanging="360"/>
      </w:pPr>
      <w:rPr>
        <w:rFonts w:ascii="Symbol" w:hAnsi="Symbol" w:hint="default"/>
      </w:rPr>
    </w:lvl>
    <w:lvl w:ilvl="4" w:tplc="39280126" w:tentative="1">
      <w:start w:val="1"/>
      <w:numFmt w:val="bullet"/>
      <w:lvlText w:val="o"/>
      <w:lvlJc w:val="left"/>
      <w:pPr>
        <w:ind w:left="3600" w:hanging="360"/>
      </w:pPr>
      <w:rPr>
        <w:rFonts w:ascii="Courier New" w:hAnsi="Courier New" w:cs="Courier New" w:hint="default"/>
      </w:rPr>
    </w:lvl>
    <w:lvl w:ilvl="5" w:tplc="5E94ECC6" w:tentative="1">
      <w:start w:val="1"/>
      <w:numFmt w:val="bullet"/>
      <w:lvlText w:val=""/>
      <w:lvlJc w:val="left"/>
      <w:pPr>
        <w:ind w:left="4320" w:hanging="360"/>
      </w:pPr>
      <w:rPr>
        <w:rFonts w:ascii="Wingdings" w:hAnsi="Wingdings" w:hint="default"/>
      </w:rPr>
    </w:lvl>
    <w:lvl w:ilvl="6" w:tplc="2F32F0CE" w:tentative="1">
      <w:start w:val="1"/>
      <w:numFmt w:val="bullet"/>
      <w:lvlText w:val=""/>
      <w:lvlJc w:val="left"/>
      <w:pPr>
        <w:ind w:left="5040" w:hanging="360"/>
      </w:pPr>
      <w:rPr>
        <w:rFonts w:ascii="Symbol" w:hAnsi="Symbol" w:hint="default"/>
      </w:rPr>
    </w:lvl>
    <w:lvl w:ilvl="7" w:tplc="9CEEDA86" w:tentative="1">
      <w:start w:val="1"/>
      <w:numFmt w:val="bullet"/>
      <w:lvlText w:val="o"/>
      <w:lvlJc w:val="left"/>
      <w:pPr>
        <w:ind w:left="5760" w:hanging="360"/>
      </w:pPr>
      <w:rPr>
        <w:rFonts w:ascii="Courier New" w:hAnsi="Courier New" w:cs="Courier New" w:hint="default"/>
      </w:rPr>
    </w:lvl>
    <w:lvl w:ilvl="8" w:tplc="D11EEF5A" w:tentative="1">
      <w:start w:val="1"/>
      <w:numFmt w:val="bullet"/>
      <w:lvlText w:val=""/>
      <w:lvlJc w:val="left"/>
      <w:pPr>
        <w:ind w:left="6480" w:hanging="360"/>
      </w:pPr>
      <w:rPr>
        <w:rFonts w:ascii="Wingdings" w:hAnsi="Wingdings" w:hint="default"/>
      </w:rPr>
    </w:lvl>
  </w:abstractNum>
  <w:abstractNum w:abstractNumId="17"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A1D3030"/>
    <w:multiLevelType w:val="hybridMultilevel"/>
    <w:tmpl w:val="34ECB596"/>
    <w:lvl w:ilvl="0" w:tplc="42F8B53E">
      <w:start w:val="1"/>
      <w:numFmt w:val="decimal"/>
      <w:lvlText w:val="%1."/>
      <w:lvlJc w:val="left"/>
      <w:pPr>
        <w:ind w:left="1080" w:hanging="360"/>
      </w:pPr>
      <w:rPr>
        <w:rFonts w:hint="default"/>
      </w:rPr>
    </w:lvl>
    <w:lvl w:ilvl="1" w:tplc="8CB20F4A" w:tentative="1">
      <w:start w:val="1"/>
      <w:numFmt w:val="lowerLetter"/>
      <w:lvlText w:val="%2."/>
      <w:lvlJc w:val="left"/>
      <w:pPr>
        <w:ind w:left="1800" w:hanging="360"/>
      </w:pPr>
    </w:lvl>
    <w:lvl w:ilvl="2" w:tplc="F6A23512" w:tentative="1">
      <w:start w:val="1"/>
      <w:numFmt w:val="lowerRoman"/>
      <w:lvlText w:val="%3."/>
      <w:lvlJc w:val="right"/>
      <w:pPr>
        <w:ind w:left="2520" w:hanging="180"/>
      </w:pPr>
    </w:lvl>
    <w:lvl w:ilvl="3" w:tplc="763A0AE8" w:tentative="1">
      <w:start w:val="1"/>
      <w:numFmt w:val="decimal"/>
      <w:lvlText w:val="%4."/>
      <w:lvlJc w:val="left"/>
      <w:pPr>
        <w:ind w:left="3240" w:hanging="360"/>
      </w:pPr>
    </w:lvl>
    <w:lvl w:ilvl="4" w:tplc="CB54FAA8" w:tentative="1">
      <w:start w:val="1"/>
      <w:numFmt w:val="lowerLetter"/>
      <w:lvlText w:val="%5."/>
      <w:lvlJc w:val="left"/>
      <w:pPr>
        <w:ind w:left="3960" w:hanging="360"/>
      </w:pPr>
    </w:lvl>
    <w:lvl w:ilvl="5" w:tplc="C3BE092E" w:tentative="1">
      <w:start w:val="1"/>
      <w:numFmt w:val="lowerRoman"/>
      <w:lvlText w:val="%6."/>
      <w:lvlJc w:val="right"/>
      <w:pPr>
        <w:ind w:left="4680" w:hanging="180"/>
      </w:pPr>
    </w:lvl>
    <w:lvl w:ilvl="6" w:tplc="7A64CCCE" w:tentative="1">
      <w:start w:val="1"/>
      <w:numFmt w:val="decimal"/>
      <w:lvlText w:val="%7."/>
      <w:lvlJc w:val="left"/>
      <w:pPr>
        <w:ind w:left="5400" w:hanging="360"/>
      </w:pPr>
    </w:lvl>
    <w:lvl w:ilvl="7" w:tplc="92A423CC" w:tentative="1">
      <w:start w:val="1"/>
      <w:numFmt w:val="lowerLetter"/>
      <w:lvlText w:val="%8."/>
      <w:lvlJc w:val="left"/>
      <w:pPr>
        <w:ind w:left="6120" w:hanging="360"/>
      </w:pPr>
    </w:lvl>
    <w:lvl w:ilvl="8" w:tplc="9CFCE7B4" w:tentative="1">
      <w:start w:val="1"/>
      <w:numFmt w:val="lowerRoman"/>
      <w:lvlText w:val="%9."/>
      <w:lvlJc w:val="right"/>
      <w:pPr>
        <w:ind w:left="6840" w:hanging="180"/>
      </w:pPr>
    </w:lvl>
  </w:abstractNum>
  <w:abstractNum w:abstractNumId="19" w15:restartNumberingAfterBreak="0">
    <w:nsid w:val="3D3F5AAB"/>
    <w:multiLevelType w:val="hybridMultilevel"/>
    <w:tmpl w:val="42EAA0BE"/>
    <w:lvl w:ilvl="0" w:tplc="89DAF814">
      <w:start w:val="1"/>
      <w:numFmt w:val="bullet"/>
      <w:lvlText w:val=""/>
      <w:lvlJc w:val="left"/>
      <w:pPr>
        <w:ind w:left="720" w:hanging="360"/>
      </w:pPr>
      <w:rPr>
        <w:rFonts w:ascii="Symbol" w:hAnsi="Symbol" w:hint="default"/>
      </w:rPr>
    </w:lvl>
    <w:lvl w:ilvl="1" w:tplc="D6425018">
      <w:start w:val="1"/>
      <w:numFmt w:val="bullet"/>
      <w:lvlText w:val="o"/>
      <w:lvlJc w:val="left"/>
      <w:pPr>
        <w:ind w:left="1440" w:hanging="360"/>
      </w:pPr>
      <w:rPr>
        <w:rFonts w:ascii="Courier New" w:hAnsi="Courier New" w:cs="Courier New" w:hint="default"/>
      </w:rPr>
    </w:lvl>
    <w:lvl w:ilvl="2" w:tplc="FD5A1D28" w:tentative="1">
      <w:start w:val="1"/>
      <w:numFmt w:val="bullet"/>
      <w:lvlText w:val=""/>
      <w:lvlJc w:val="left"/>
      <w:pPr>
        <w:ind w:left="2160" w:hanging="360"/>
      </w:pPr>
      <w:rPr>
        <w:rFonts w:ascii="Wingdings" w:hAnsi="Wingdings" w:hint="default"/>
      </w:rPr>
    </w:lvl>
    <w:lvl w:ilvl="3" w:tplc="E4FE7FD4" w:tentative="1">
      <w:start w:val="1"/>
      <w:numFmt w:val="bullet"/>
      <w:lvlText w:val=""/>
      <w:lvlJc w:val="left"/>
      <w:pPr>
        <w:ind w:left="2880" w:hanging="360"/>
      </w:pPr>
      <w:rPr>
        <w:rFonts w:ascii="Symbol" w:hAnsi="Symbol" w:hint="default"/>
      </w:rPr>
    </w:lvl>
    <w:lvl w:ilvl="4" w:tplc="7F402C0C" w:tentative="1">
      <w:start w:val="1"/>
      <w:numFmt w:val="bullet"/>
      <w:lvlText w:val="o"/>
      <w:lvlJc w:val="left"/>
      <w:pPr>
        <w:ind w:left="3600" w:hanging="360"/>
      </w:pPr>
      <w:rPr>
        <w:rFonts w:ascii="Courier New" w:hAnsi="Courier New" w:cs="Courier New" w:hint="default"/>
      </w:rPr>
    </w:lvl>
    <w:lvl w:ilvl="5" w:tplc="48E29AD2" w:tentative="1">
      <w:start w:val="1"/>
      <w:numFmt w:val="bullet"/>
      <w:lvlText w:val=""/>
      <w:lvlJc w:val="left"/>
      <w:pPr>
        <w:ind w:left="4320" w:hanging="360"/>
      </w:pPr>
      <w:rPr>
        <w:rFonts w:ascii="Wingdings" w:hAnsi="Wingdings" w:hint="default"/>
      </w:rPr>
    </w:lvl>
    <w:lvl w:ilvl="6" w:tplc="0C047B24" w:tentative="1">
      <w:start w:val="1"/>
      <w:numFmt w:val="bullet"/>
      <w:lvlText w:val=""/>
      <w:lvlJc w:val="left"/>
      <w:pPr>
        <w:ind w:left="5040" w:hanging="360"/>
      </w:pPr>
      <w:rPr>
        <w:rFonts w:ascii="Symbol" w:hAnsi="Symbol" w:hint="default"/>
      </w:rPr>
    </w:lvl>
    <w:lvl w:ilvl="7" w:tplc="97BC9F82" w:tentative="1">
      <w:start w:val="1"/>
      <w:numFmt w:val="bullet"/>
      <w:lvlText w:val="o"/>
      <w:lvlJc w:val="left"/>
      <w:pPr>
        <w:ind w:left="5760" w:hanging="360"/>
      </w:pPr>
      <w:rPr>
        <w:rFonts w:ascii="Courier New" w:hAnsi="Courier New" w:cs="Courier New" w:hint="default"/>
      </w:rPr>
    </w:lvl>
    <w:lvl w:ilvl="8" w:tplc="AA0C22D6" w:tentative="1">
      <w:start w:val="1"/>
      <w:numFmt w:val="bullet"/>
      <w:lvlText w:val=""/>
      <w:lvlJc w:val="left"/>
      <w:pPr>
        <w:ind w:left="6480" w:hanging="360"/>
      </w:pPr>
      <w:rPr>
        <w:rFonts w:ascii="Wingdings" w:hAnsi="Wingdings" w:hint="default"/>
      </w:rPr>
    </w:lvl>
  </w:abstractNum>
  <w:abstractNum w:abstractNumId="20" w15:restartNumberingAfterBreak="0">
    <w:nsid w:val="3ED36808"/>
    <w:multiLevelType w:val="multilevel"/>
    <w:tmpl w:val="8EF4CCA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C23C41"/>
    <w:multiLevelType w:val="multilevel"/>
    <w:tmpl w:val="E4D0BBF4"/>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F0293"/>
    <w:multiLevelType w:val="hybridMultilevel"/>
    <w:tmpl w:val="FA6EDFA4"/>
    <w:lvl w:ilvl="0" w:tplc="8E50230E">
      <w:start w:val="1"/>
      <w:numFmt w:val="bullet"/>
      <w:lvlText w:val=""/>
      <w:lvlJc w:val="left"/>
      <w:pPr>
        <w:ind w:left="720" w:hanging="360"/>
      </w:pPr>
      <w:rPr>
        <w:rFonts w:ascii="Symbol" w:hAnsi="Symbol" w:hint="default"/>
      </w:rPr>
    </w:lvl>
    <w:lvl w:ilvl="1" w:tplc="319ED3B0" w:tentative="1">
      <w:start w:val="1"/>
      <w:numFmt w:val="bullet"/>
      <w:lvlText w:val="o"/>
      <w:lvlJc w:val="left"/>
      <w:pPr>
        <w:ind w:left="1440" w:hanging="360"/>
      </w:pPr>
      <w:rPr>
        <w:rFonts w:ascii="Courier New" w:hAnsi="Courier New" w:cs="Courier New" w:hint="default"/>
      </w:rPr>
    </w:lvl>
    <w:lvl w:ilvl="2" w:tplc="9DF2F052" w:tentative="1">
      <w:start w:val="1"/>
      <w:numFmt w:val="bullet"/>
      <w:lvlText w:val=""/>
      <w:lvlJc w:val="left"/>
      <w:pPr>
        <w:ind w:left="2160" w:hanging="360"/>
      </w:pPr>
      <w:rPr>
        <w:rFonts w:ascii="Wingdings" w:hAnsi="Wingdings" w:hint="default"/>
      </w:rPr>
    </w:lvl>
    <w:lvl w:ilvl="3" w:tplc="42448A94" w:tentative="1">
      <w:start w:val="1"/>
      <w:numFmt w:val="bullet"/>
      <w:lvlText w:val=""/>
      <w:lvlJc w:val="left"/>
      <w:pPr>
        <w:ind w:left="2880" w:hanging="360"/>
      </w:pPr>
      <w:rPr>
        <w:rFonts w:ascii="Symbol" w:hAnsi="Symbol" w:hint="default"/>
      </w:rPr>
    </w:lvl>
    <w:lvl w:ilvl="4" w:tplc="E0047782" w:tentative="1">
      <w:start w:val="1"/>
      <w:numFmt w:val="bullet"/>
      <w:lvlText w:val="o"/>
      <w:lvlJc w:val="left"/>
      <w:pPr>
        <w:ind w:left="3600" w:hanging="360"/>
      </w:pPr>
      <w:rPr>
        <w:rFonts w:ascii="Courier New" w:hAnsi="Courier New" w:cs="Courier New" w:hint="default"/>
      </w:rPr>
    </w:lvl>
    <w:lvl w:ilvl="5" w:tplc="1B12C2BE" w:tentative="1">
      <w:start w:val="1"/>
      <w:numFmt w:val="bullet"/>
      <w:lvlText w:val=""/>
      <w:lvlJc w:val="left"/>
      <w:pPr>
        <w:ind w:left="4320" w:hanging="360"/>
      </w:pPr>
      <w:rPr>
        <w:rFonts w:ascii="Wingdings" w:hAnsi="Wingdings" w:hint="default"/>
      </w:rPr>
    </w:lvl>
    <w:lvl w:ilvl="6" w:tplc="87B81E66" w:tentative="1">
      <w:start w:val="1"/>
      <w:numFmt w:val="bullet"/>
      <w:lvlText w:val=""/>
      <w:lvlJc w:val="left"/>
      <w:pPr>
        <w:ind w:left="5040" w:hanging="360"/>
      </w:pPr>
      <w:rPr>
        <w:rFonts w:ascii="Symbol" w:hAnsi="Symbol" w:hint="default"/>
      </w:rPr>
    </w:lvl>
    <w:lvl w:ilvl="7" w:tplc="A5566EBC" w:tentative="1">
      <w:start w:val="1"/>
      <w:numFmt w:val="bullet"/>
      <w:lvlText w:val="o"/>
      <w:lvlJc w:val="left"/>
      <w:pPr>
        <w:ind w:left="5760" w:hanging="360"/>
      </w:pPr>
      <w:rPr>
        <w:rFonts w:ascii="Courier New" w:hAnsi="Courier New" w:cs="Courier New" w:hint="default"/>
      </w:rPr>
    </w:lvl>
    <w:lvl w:ilvl="8" w:tplc="BC5A47A4" w:tentative="1">
      <w:start w:val="1"/>
      <w:numFmt w:val="bullet"/>
      <w:lvlText w:val=""/>
      <w:lvlJc w:val="left"/>
      <w:pPr>
        <w:ind w:left="6480" w:hanging="360"/>
      </w:pPr>
      <w:rPr>
        <w:rFonts w:ascii="Wingdings" w:hAnsi="Wingdings" w:hint="default"/>
      </w:rPr>
    </w:lvl>
  </w:abstractNum>
  <w:abstractNum w:abstractNumId="2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BA835FA"/>
    <w:multiLevelType w:val="hybridMultilevel"/>
    <w:tmpl w:val="82D819C0"/>
    <w:lvl w:ilvl="0" w:tplc="548847E8">
      <w:start w:val="1"/>
      <w:numFmt w:val="decimal"/>
      <w:lvlText w:val="(%1)"/>
      <w:lvlJc w:val="left"/>
      <w:pPr>
        <w:ind w:left="360" w:hanging="360"/>
      </w:pPr>
      <w:rPr>
        <w:rFonts w:hint="default"/>
      </w:rPr>
    </w:lvl>
    <w:lvl w:ilvl="1" w:tplc="26F4AE8E" w:tentative="1">
      <w:start w:val="1"/>
      <w:numFmt w:val="lowerLetter"/>
      <w:lvlText w:val="%2."/>
      <w:lvlJc w:val="left"/>
      <w:pPr>
        <w:ind w:left="1080" w:hanging="360"/>
      </w:pPr>
    </w:lvl>
    <w:lvl w:ilvl="2" w:tplc="230CFFF8" w:tentative="1">
      <w:start w:val="1"/>
      <w:numFmt w:val="lowerRoman"/>
      <w:lvlText w:val="%3."/>
      <w:lvlJc w:val="right"/>
      <w:pPr>
        <w:ind w:left="1800" w:hanging="180"/>
      </w:pPr>
    </w:lvl>
    <w:lvl w:ilvl="3" w:tplc="8E64F848" w:tentative="1">
      <w:start w:val="1"/>
      <w:numFmt w:val="decimal"/>
      <w:lvlText w:val="%4."/>
      <w:lvlJc w:val="left"/>
      <w:pPr>
        <w:ind w:left="2520" w:hanging="360"/>
      </w:pPr>
    </w:lvl>
    <w:lvl w:ilvl="4" w:tplc="800A6074" w:tentative="1">
      <w:start w:val="1"/>
      <w:numFmt w:val="lowerLetter"/>
      <w:lvlText w:val="%5."/>
      <w:lvlJc w:val="left"/>
      <w:pPr>
        <w:ind w:left="3240" w:hanging="360"/>
      </w:pPr>
    </w:lvl>
    <w:lvl w:ilvl="5" w:tplc="D0E45A82" w:tentative="1">
      <w:start w:val="1"/>
      <w:numFmt w:val="lowerRoman"/>
      <w:lvlText w:val="%6."/>
      <w:lvlJc w:val="right"/>
      <w:pPr>
        <w:ind w:left="3960" w:hanging="180"/>
      </w:pPr>
    </w:lvl>
    <w:lvl w:ilvl="6" w:tplc="8938A53C" w:tentative="1">
      <w:start w:val="1"/>
      <w:numFmt w:val="decimal"/>
      <w:lvlText w:val="%7."/>
      <w:lvlJc w:val="left"/>
      <w:pPr>
        <w:ind w:left="4680" w:hanging="360"/>
      </w:pPr>
    </w:lvl>
    <w:lvl w:ilvl="7" w:tplc="6562D79A" w:tentative="1">
      <w:start w:val="1"/>
      <w:numFmt w:val="lowerLetter"/>
      <w:lvlText w:val="%8."/>
      <w:lvlJc w:val="left"/>
      <w:pPr>
        <w:ind w:left="5400" w:hanging="360"/>
      </w:pPr>
    </w:lvl>
    <w:lvl w:ilvl="8" w:tplc="D1680BE6" w:tentative="1">
      <w:start w:val="1"/>
      <w:numFmt w:val="lowerRoman"/>
      <w:lvlText w:val="%9."/>
      <w:lvlJc w:val="right"/>
      <w:pPr>
        <w:ind w:left="6120" w:hanging="180"/>
      </w:p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7026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0FC11D4"/>
    <w:multiLevelType w:val="hybridMultilevel"/>
    <w:tmpl w:val="84D43CAC"/>
    <w:lvl w:ilvl="0" w:tplc="0ABAD83A">
      <w:start w:val="1"/>
      <w:numFmt w:val="bullet"/>
      <w:lvlText w:val=""/>
      <w:lvlJc w:val="left"/>
      <w:pPr>
        <w:ind w:left="360" w:hanging="360"/>
      </w:pPr>
      <w:rPr>
        <w:rFonts w:ascii="Symbol" w:hAnsi="Symbol" w:hint="default"/>
        <w:sz w:val="28"/>
        <w:szCs w:val="28"/>
      </w:rPr>
    </w:lvl>
    <w:lvl w:ilvl="1" w:tplc="D16CC134" w:tentative="1">
      <w:start w:val="1"/>
      <w:numFmt w:val="bullet"/>
      <w:lvlText w:val="o"/>
      <w:lvlJc w:val="left"/>
      <w:pPr>
        <w:ind w:left="1080" w:hanging="360"/>
      </w:pPr>
      <w:rPr>
        <w:rFonts w:ascii="Courier New" w:hAnsi="Courier New" w:cs="Courier New" w:hint="default"/>
      </w:rPr>
    </w:lvl>
    <w:lvl w:ilvl="2" w:tplc="6414BE0A" w:tentative="1">
      <w:start w:val="1"/>
      <w:numFmt w:val="bullet"/>
      <w:lvlText w:val=""/>
      <w:lvlJc w:val="left"/>
      <w:pPr>
        <w:ind w:left="1800" w:hanging="360"/>
      </w:pPr>
      <w:rPr>
        <w:rFonts w:ascii="Wingdings" w:hAnsi="Wingdings" w:hint="default"/>
      </w:rPr>
    </w:lvl>
    <w:lvl w:ilvl="3" w:tplc="270EA378" w:tentative="1">
      <w:start w:val="1"/>
      <w:numFmt w:val="bullet"/>
      <w:lvlText w:val=""/>
      <w:lvlJc w:val="left"/>
      <w:pPr>
        <w:ind w:left="2520" w:hanging="360"/>
      </w:pPr>
      <w:rPr>
        <w:rFonts w:ascii="Symbol" w:hAnsi="Symbol" w:hint="default"/>
      </w:rPr>
    </w:lvl>
    <w:lvl w:ilvl="4" w:tplc="CD4EA792" w:tentative="1">
      <w:start w:val="1"/>
      <w:numFmt w:val="bullet"/>
      <w:lvlText w:val="o"/>
      <w:lvlJc w:val="left"/>
      <w:pPr>
        <w:ind w:left="3240" w:hanging="360"/>
      </w:pPr>
      <w:rPr>
        <w:rFonts w:ascii="Courier New" w:hAnsi="Courier New" w:cs="Courier New" w:hint="default"/>
      </w:rPr>
    </w:lvl>
    <w:lvl w:ilvl="5" w:tplc="0EAADB14" w:tentative="1">
      <w:start w:val="1"/>
      <w:numFmt w:val="bullet"/>
      <w:lvlText w:val=""/>
      <w:lvlJc w:val="left"/>
      <w:pPr>
        <w:ind w:left="3960" w:hanging="360"/>
      </w:pPr>
      <w:rPr>
        <w:rFonts w:ascii="Wingdings" w:hAnsi="Wingdings" w:hint="default"/>
      </w:rPr>
    </w:lvl>
    <w:lvl w:ilvl="6" w:tplc="1B8A0782" w:tentative="1">
      <w:start w:val="1"/>
      <w:numFmt w:val="bullet"/>
      <w:lvlText w:val=""/>
      <w:lvlJc w:val="left"/>
      <w:pPr>
        <w:ind w:left="4680" w:hanging="360"/>
      </w:pPr>
      <w:rPr>
        <w:rFonts w:ascii="Symbol" w:hAnsi="Symbol" w:hint="default"/>
      </w:rPr>
    </w:lvl>
    <w:lvl w:ilvl="7" w:tplc="84285D38" w:tentative="1">
      <w:start w:val="1"/>
      <w:numFmt w:val="bullet"/>
      <w:lvlText w:val="o"/>
      <w:lvlJc w:val="left"/>
      <w:pPr>
        <w:ind w:left="5400" w:hanging="360"/>
      </w:pPr>
      <w:rPr>
        <w:rFonts w:ascii="Courier New" w:hAnsi="Courier New" w:cs="Courier New" w:hint="default"/>
      </w:rPr>
    </w:lvl>
    <w:lvl w:ilvl="8" w:tplc="C3A2C8E8" w:tentative="1">
      <w:start w:val="1"/>
      <w:numFmt w:val="bullet"/>
      <w:lvlText w:val=""/>
      <w:lvlJc w:val="left"/>
      <w:pPr>
        <w:ind w:left="6120" w:hanging="360"/>
      </w:pPr>
      <w:rPr>
        <w:rFonts w:ascii="Wingdings" w:hAnsi="Wingdings" w:hint="default"/>
      </w:rPr>
    </w:lvl>
  </w:abstractNum>
  <w:abstractNum w:abstractNumId="30" w15:restartNumberingAfterBreak="0">
    <w:nsid w:val="57675826"/>
    <w:multiLevelType w:val="hybridMultilevel"/>
    <w:tmpl w:val="C478A71E"/>
    <w:lvl w:ilvl="0" w:tplc="79760446">
      <w:start w:val="1"/>
      <w:numFmt w:val="decimal"/>
      <w:lvlText w:val="%1)"/>
      <w:lvlJc w:val="left"/>
      <w:pPr>
        <w:ind w:left="720" w:hanging="360"/>
      </w:pPr>
    </w:lvl>
    <w:lvl w:ilvl="1" w:tplc="56F21A54" w:tentative="1">
      <w:start w:val="1"/>
      <w:numFmt w:val="lowerLetter"/>
      <w:lvlText w:val="%2."/>
      <w:lvlJc w:val="left"/>
      <w:pPr>
        <w:ind w:left="1440" w:hanging="360"/>
      </w:pPr>
    </w:lvl>
    <w:lvl w:ilvl="2" w:tplc="8850DDE2" w:tentative="1">
      <w:start w:val="1"/>
      <w:numFmt w:val="lowerRoman"/>
      <w:lvlText w:val="%3."/>
      <w:lvlJc w:val="right"/>
      <w:pPr>
        <w:ind w:left="2160" w:hanging="180"/>
      </w:pPr>
    </w:lvl>
    <w:lvl w:ilvl="3" w:tplc="E724DD3C" w:tentative="1">
      <w:start w:val="1"/>
      <w:numFmt w:val="decimal"/>
      <w:lvlText w:val="%4."/>
      <w:lvlJc w:val="left"/>
      <w:pPr>
        <w:ind w:left="2880" w:hanging="360"/>
      </w:pPr>
    </w:lvl>
    <w:lvl w:ilvl="4" w:tplc="DB5E25D4" w:tentative="1">
      <w:start w:val="1"/>
      <w:numFmt w:val="lowerLetter"/>
      <w:lvlText w:val="%5."/>
      <w:lvlJc w:val="left"/>
      <w:pPr>
        <w:ind w:left="3600" w:hanging="360"/>
      </w:pPr>
    </w:lvl>
    <w:lvl w:ilvl="5" w:tplc="B5003A04" w:tentative="1">
      <w:start w:val="1"/>
      <w:numFmt w:val="lowerRoman"/>
      <w:lvlText w:val="%6."/>
      <w:lvlJc w:val="right"/>
      <w:pPr>
        <w:ind w:left="4320" w:hanging="180"/>
      </w:pPr>
    </w:lvl>
    <w:lvl w:ilvl="6" w:tplc="31E47D00" w:tentative="1">
      <w:start w:val="1"/>
      <w:numFmt w:val="decimal"/>
      <w:lvlText w:val="%7."/>
      <w:lvlJc w:val="left"/>
      <w:pPr>
        <w:ind w:left="5040" w:hanging="360"/>
      </w:pPr>
    </w:lvl>
    <w:lvl w:ilvl="7" w:tplc="E6002B3A" w:tentative="1">
      <w:start w:val="1"/>
      <w:numFmt w:val="lowerLetter"/>
      <w:lvlText w:val="%8."/>
      <w:lvlJc w:val="left"/>
      <w:pPr>
        <w:ind w:left="5760" w:hanging="360"/>
      </w:pPr>
    </w:lvl>
    <w:lvl w:ilvl="8" w:tplc="DD46672E" w:tentative="1">
      <w:start w:val="1"/>
      <w:numFmt w:val="lowerRoman"/>
      <w:lvlText w:val="%9."/>
      <w:lvlJc w:val="right"/>
      <w:pPr>
        <w:ind w:left="6480" w:hanging="180"/>
      </w:pPr>
    </w:lvl>
  </w:abstractNum>
  <w:abstractNum w:abstractNumId="3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1BC0B24"/>
    <w:multiLevelType w:val="hybridMultilevel"/>
    <w:tmpl w:val="07B2B9B2"/>
    <w:lvl w:ilvl="0" w:tplc="A2B0E60A">
      <w:start w:val="1"/>
      <w:numFmt w:val="bullet"/>
      <w:lvlText w:val=""/>
      <w:lvlJc w:val="left"/>
      <w:pPr>
        <w:ind w:left="720" w:hanging="360"/>
      </w:pPr>
      <w:rPr>
        <w:rFonts w:ascii="Symbol" w:hAnsi="Symbol" w:hint="default"/>
      </w:rPr>
    </w:lvl>
    <w:lvl w:ilvl="1" w:tplc="A792135C" w:tentative="1">
      <w:start w:val="1"/>
      <w:numFmt w:val="bullet"/>
      <w:lvlText w:val="o"/>
      <w:lvlJc w:val="left"/>
      <w:pPr>
        <w:ind w:left="1440" w:hanging="360"/>
      </w:pPr>
      <w:rPr>
        <w:rFonts w:ascii="Courier New" w:hAnsi="Courier New" w:cs="Courier New" w:hint="default"/>
      </w:rPr>
    </w:lvl>
    <w:lvl w:ilvl="2" w:tplc="1018EA06" w:tentative="1">
      <w:start w:val="1"/>
      <w:numFmt w:val="bullet"/>
      <w:lvlText w:val=""/>
      <w:lvlJc w:val="left"/>
      <w:pPr>
        <w:ind w:left="2160" w:hanging="360"/>
      </w:pPr>
      <w:rPr>
        <w:rFonts w:ascii="Wingdings" w:hAnsi="Wingdings" w:hint="default"/>
      </w:rPr>
    </w:lvl>
    <w:lvl w:ilvl="3" w:tplc="801673C2" w:tentative="1">
      <w:start w:val="1"/>
      <w:numFmt w:val="bullet"/>
      <w:lvlText w:val=""/>
      <w:lvlJc w:val="left"/>
      <w:pPr>
        <w:ind w:left="2880" w:hanging="360"/>
      </w:pPr>
      <w:rPr>
        <w:rFonts w:ascii="Symbol" w:hAnsi="Symbol" w:hint="default"/>
      </w:rPr>
    </w:lvl>
    <w:lvl w:ilvl="4" w:tplc="7E84F2F4" w:tentative="1">
      <w:start w:val="1"/>
      <w:numFmt w:val="bullet"/>
      <w:lvlText w:val="o"/>
      <w:lvlJc w:val="left"/>
      <w:pPr>
        <w:ind w:left="3600" w:hanging="360"/>
      </w:pPr>
      <w:rPr>
        <w:rFonts w:ascii="Courier New" w:hAnsi="Courier New" w:cs="Courier New" w:hint="default"/>
      </w:rPr>
    </w:lvl>
    <w:lvl w:ilvl="5" w:tplc="013EFC76" w:tentative="1">
      <w:start w:val="1"/>
      <w:numFmt w:val="bullet"/>
      <w:lvlText w:val=""/>
      <w:lvlJc w:val="left"/>
      <w:pPr>
        <w:ind w:left="4320" w:hanging="360"/>
      </w:pPr>
      <w:rPr>
        <w:rFonts w:ascii="Wingdings" w:hAnsi="Wingdings" w:hint="default"/>
      </w:rPr>
    </w:lvl>
    <w:lvl w:ilvl="6" w:tplc="EEA6151E" w:tentative="1">
      <w:start w:val="1"/>
      <w:numFmt w:val="bullet"/>
      <w:lvlText w:val=""/>
      <w:lvlJc w:val="left"/>
      <w:pPr>
        <w:ind w:left="5040" w:hanging="360"/>
      </w:pPr>
      <w:rPr>
        <w:rFonts w:ascii="Symbol" w:hAnsi="Symbol" w:hint="default"/>
      </w:rPr>
    </w:lvl>
    <w:lvl w:ilvl="7" w:tplc="85A0E8C4" w:tentative="1">
      <w:start w:val="1"/>
      <w:numFmt w:val="bullet"/>
      <w:lvlText w:val="o"/>
      <w:lvlJc w:val="left"/>
      <w:pPr>
        <w:ind w:left="5760" w:hanging="360"/>
      </w:pPr>
      <w:rPr>
        <w:rFonts w:ascii="Courier New" w:hAnsi="Courier New" w:cs="Courier New" w:hint="default"/>
      </w:rPr>
    </w:lvl>
    <w:lvl w:ilvl="8" w:tplc="32EE664A" w:tentative="1">
      <w:start w:val="1"/>
      <w:numFmt w:val="bullet"/>
      <w:lvlText w:val=""/>
      <w:lvlJc w:val="left"/>
      <w:pPr>
        <w:ind w:left="6480" w:hanging="360"/>
      </w:pPr>
      <w:rPr>
        <w:rFonts w:ascii="Wingdings" w:hAnsi="Wingdings" w:hint="default"/>
      </w:rPr>
    </w:lvl>
  </w:abstractNum>
  <w:abstractNum w:abstractNumId="34" w15:restartNumberingAfterBreak="0">
    <w:nsid w:val="747B6BC2"/>
    <w:multiLevelType w:val="hybridMultilevel"/>
    <w:tmpl w:val="36F6EDBE"/>
    <w:lvl w:ilvl="0" w:tplc="079C450E">
      <w:start w:val="1"/>
      <w:numFmt w:val="bullet"/>
      <w:lvlText w:val=""/>
      <w:lvlJc w:val="left"/>
      <w:pPr>
        <w:ind w:left="720" w:hanging="360"/>
      </w:pPr>
      <w:rPr>
        <w:rFonts w:ascii="Symbol" w:hAnsi="Symbol" w:hint="default"/>
      </w:rPr>
    </w:lvl>
    <w:lvl w:ilvl="1" w:tplc="88523D70" w:tentative="1">
      <w:start w:val="1"/>
      <w:numFmt w:val="bullet"/>
      <w:lvlText w:val="o"/>
      <w:lvlJc w:val="left"/>
      <w:pPr>
        <w:ind w:left="1440" w:hanging="360"/>
      </w:pPr>
      <w:rPr>
        <w:rFonts w:ascii="Courier New" w:hAnsi="Courier New" w:cs="Courier New" w:hint="default"/>
      </w:rPr>
    </w:lvl>
    <w:lvl w:ilvl="2" w:tplc="6AF25854" w:tentative="1">
      <w:start w:val="1"/>
      <w:numFmt w:val="bullet"/>
      <w:lvlText w:val=""/>
      <w:lvlJc w:val="left"/>
      <w:pPr>
        <w:ind w:left="2160" w:hanging="360"/>
      </w:pPr>
      <w:rPr>
        <w:rFonts w:ascii="Wingdings" w:hAnsi="Wingdings" w:hint="default"/>
      </w:rPr>
    </w:lvl>
    <w:lvl w:ilvl="3" w:tplc="24EE217C" w:tentative="1">
      <w:start w:val="1"/>
      <w:numFmt w:val="bullet"/>
      <w:lvlText w:val=""/>
      <w:lvlJc w:val="left"/>
      <w:pPr>
        <w:ind w:left="2880" w:hanging="360"/>
      </w:pPr>
      <w:rPr>
        <w:rFonts w:ascii="Symbol" w:hAnsi="Symbol" w:hint="default"/>
      </w:rPr>
    </w:lvl>
    <w:lvl w:ilvl="4" w:tplc="FA8C6350" w:tentative="1">
      <w:start w:val="1"/>
      <w:numFmt w:val="bullet"/>
      <w:lvlText w:val="o"/>
      <w:lvlJc w:val="left"/>
      <w:pPr>
        <w:ind w:left="3600" w:hanging="360"/>
      </w:pPr>
      <w:rPr>
        <w:rFonts w:ascii="Courier New" w:hAnsi="Courier New" w:cs="Courier New" w:hint="default"/>
      </w:rPr>
    </w:lvl>
    <w:lvl w:ilvl="5" w:tplc="7116F428" w:tentative="1">
      <w:start w:val="1"/>
      <w:numFmt w:val="bullet"/>
      <w:lvlText w:val=""/>
      <w:lvlJc w:val="left"/>
      <w:pPr>
        <w:ind w:left="4320" w:hanging="360"/>
      </w:pPr>
      <w:rPr>
        <w:rFonts w:ascii="Wingdings" w:hAnsi="Wingdings" w:hint="default"/>
      </w:rPr>
    </w:lvl>
    <w:lvl w:ilvl="6" w:tplc="38D25AAC" w:tentative="1">
      <w:start w:val="1"/>
      <w:numFmt w:val="bullet"/>
      <w:lvlText w:val=""/>
      <w:lvlJc w:val="left"/>
      <w:pPr>
        <w:ind w:left="5040" w:hanging="360"/>
      </w:pPr>
      <w:rPr>
        <w:rFonts w:ascii="Symbol" w:hAnsi="Symbol" w:hint="default"/>
      </w:rPr>
    </w:lvl>
    <w:lvl w:ilvl="7" w:tplc="D5EC6356" w:tentative="1">
      <w:start w:val="1"/>
      <w:numFmt w:val="bullet"/>
      <w:lvlText w:val="o"/>
      <w:lvlJc w:val="left"/>
      <w:pPr>
        <w:ind w:left="5760" w:hanging="360"/>
      </w:pPr>
      <w:rPr>
        <w:rFonts w:ascii="Courier New" w:hAnsi="Courier New" w:cs="Courier New" w:hint="default"/>
      </w:rPr>
    </w:lvl>
    <w:lvl w:ilvl="8" w:tplc="65EEC808" w:tentative="1">
      <w:start w:val="1"/>
      <w:numFmt w:val="bullet"/>
      <w:lvlText w:val=""/>
      <w:lvlJc w:val="left"/>
      <w:pPr>
        <w:ind w:left="6480" w:hanging="360"/>
      </w:pPr>
      <w:rPr>
        <w:rFonts w:ascii="Wingdings" w:hAnsi="Wingdings" w:hint="default"/>
      </w:rPr>
    </w:lvl>
  </w:abstractNum>
  <w:abstractNum w:abstractNumId="35" w15:restartNumberingAfterBreak="0">
    <w:nsid w:val="78B16019"/>
    <w:multiLevelType w:val="hybridMultilevel"/>
    <w:tmpl w:val="DA520206"/>
    <w:lvl w:ilvl="0" w:tplc="D070F978">
      <w:start w:val="1"/>
      <w:numFmt w:val="decimal"/>
      <w:lvlText w:val="%1)"/>
      <w:lvlJc w:val="left"/>
      <w:pPr>
        <w:ind w:left="720" w:hanging="360"/>
      </w:pPr>
    </w:lvl>
    <w:lvl w:ilvl="1" w:tplc="393E6D40" w:tentative="1">
      <w:start w:val="1"/>
      <w:numFmt w:val="lowerLetter"/>
      <w:lvlText w:val="%2."/>
      <w:lvlJc w:val="left"/>
      <w:pPr>
        <w:ind w:left="1440" w:hanging="360"/>
      </w:pPr>
    </w:lvl>
    <w:lvl w:ilvl="2" w:tplc="BDEEDA92" w:tentative="1">
      <w:start w:val="1"/>
      <w:numFmt w:val="lowerRoman"/>
      <w:lvlText w:val="%3."/>
      <w:lvlJc w:val="right"/>
      <w:pPr>
        <w:ind w:left="2160" w:hanging="180"/>
      </w:pPr>
    </w:lvl>
    <w:lvl w:ilvl="3" w:tplc="BCD266F2" w:tentative="1">
      <w:start w:val="1"/>
      <w:numFmt w:val="decimal"/>
      <w:lvlText w:val="%4."/>
      <w:lvlJc w:val="left"/>
      <w:pPr>
        <w:ind w:left="2880" w:hanging="360"/>
      </w:pPr>
    </w:lvl>
    <w:lvl w:ilvl="4" w:tplc="E69CAD52" w:tentative="1">
      <w:start w:val="1"/>
      <w:numFmt w:val="lowerLetter"/>
      <w:lvlText w:val="%5."/>
      <w:lvlJc w:val="left"/>
      <w:pPr>
        <w:ind w:left="3600" w:hanging="360"/>
      </w:pPr>
    </w:lvl>
    <w:lvl w:ilvl="5" w:tplc="9766A7B2" w:tentative="1">
      <w:start w:val="1"/>
      <w:numFmt w:val="lowerRoman"/>
      <w:lvlText w:val="%6."/>
      <w:lvlJc w:val="right"/>
      <w:pPr>
        <w:ind w:left="4320" w:hanging="180"/>
      </w:pPr>
    </w:lvl>
    <w:lvl w:ilvl="6" w:tplc="FB768850" w:tentative="1">
      <w:start w:val="1"/>
      <w:numFmt w:val="decimal"/>
      <w:lvlText w:val="%7."/>
      <w:lvlJc w:val="left"/>
      <w:pPr>
        <w:ind w:left="5040" w:hanging="360"/>
      </w:pPr>
    </w:lvl>
    <w:lvl w:ilvl="7" w:tplc="FE884F1C" w:tentative="1">
      <w:start w:val="1"/>
      <w:numFmt w:val="lowerLetter"/>
      <w:lvlText w:val="%8."/>
      <w:lvlJc w:val="left"/>
      <w:pPr>
        <w:ind w:left="5760" w:hanging="360"/>
      </w:pPr>
    </w:lvl>
    <w:lvl w:ilvl="8" w:tplc="4B0ED842" w:tentative="1">
      <w:start w:val="1"/>
      <w:numFmt w:val="lowerRoman"/>
      <w:lvlText w:val="%9."/>
      <w:lvlJc w:val="right"/>
      <w:pPr>
        <w:ind w:left="6480" w:hanging="180"/>
      </w:pPr>
    </w:lvl>
  </w:abstractNum>
  <w:abstractNum w:abstractNumId="36" w15:restartNumberingAfterBreak="0">
    <w:nsid w:val="7980701F"/>
    <w:multiLevelType w:val="hybridMultilevel"/>
    <w:tmpl w:val="EDCE8ABC"/>
    <w:lvl w:ilvl="0" w:tplc="A9163D12">
      <w:start w:val="1"/>
      <w:numFmt w:val="decimal"/>
      <w:lvlText w:val="%1."/>
      <w:lvlJc w:val="left"/>
      <w:pPr>
        <w:ind w:left="720" w:hanging="360"/>
      </w:pPr>
    </w:lvl>
    <w:lvl w:ilvl="1" w:tplc="69427D7A" w:tentative="1">
      <w:start w:val="1"/>
      <w:numFmt w:val="lowerLetter"/>
      <w:lvlText w:val="%2."/>
      <w:lvlJc w:val="left"/>
      <w:pPr>
        <w:ind w:left="1440" w:hanging="360"/>
      </w:pPr>
    </w:lvl>
    <w:lvl w:ilvl="2" w:tplc="115C5DFE" w:tentative="1">
      <w:start w:val="1"/>
      <w:numFmt w:val="lowerRoman"/>
      <w:lvlText w:val="%3."/>
      <w:lvlJc w:val="right"/>
      <w:pPr>
        <w:ind w:left="2160" w:hanging="180"/>
      </w:pPr>
    </w:lvl>
    <w:lvl w:ilvl="3" w:tplc="345C326C" w:tentative="1">
      <w:start w:val="1"/>
      <w:numFmt w:val="decimal"/>
      <w:lvlText w:val="%4."/>
      <w:lvlJc w:val="left"/>
      <w:pPr>
        <w:ind w:left="2880" w:hanging="360"/>
      </w:pPr>
    </w:lvl>
    <w:lvl w:ilvl="4" w:tplc="D0A0254A" w:tentative="1">
      <w:start w:val="1"/>
      <w:numFmt w:val="lowerLetter"/>
      <w:lvlText w:val="%5."/>
      <w:lvlJc w:val="left"/>
      <w:pPr>
        <w:ind w:left="3600" w:hanging="360"/>
      </w:pPr>
    </w:lvl>
    <w:lvl w:ilvl="5" w:tplc="FD008FDC" w:tentative="1">
      <w:start w:val="1"/>
      <w:numFmt w:val="lowerRoman"/>
      <w:lvlText w:val="%6."/>
      <w:lvlJc w:val="right"/>
      <w:pPr>
        <w:ind w:left="4320" w:hanging="180"/>
      </w:pPr>
    </w:lvl>
    <w:lvl w:ilvl="6" w:tplc="4CFCD59C" w:tentative="1">
      <w:start w:val="1"/>
      <w:numFmt w:val="decimal"/>
      <w:lvlText w:val="%7."/>
      <w:lvlJc w:val="left"/>
      <w:pPr>
        <w:ind w:left="5040" w:hanging="360"/>
      </w:pPr>
    </w:lvl>
    <w:lvl w:ilvl="7" w:tplc="445CF03A" w:tentative="1">
      <w:start w:val="1"/>
      <w:numFmt w:val="lowerLetter"/>
      <w:lvlText w:val="%8."/>
      <w:lvlJc w:val="left"/>
      <w:pPr>
        <w:ind w:left="5760" w:hanging="360"/>
      </w:pPr>
    </w:lvl>
    <w:lvl w:ilvl="8" w:tplc="68E81236" w:tentative="1">
      <w:start w:val="1"/>
      <w:numFmt w:val="lowerRoman"/>
      <w:lvlText w:val="%9."/>
      <w:lvlJc w:val="right"/>
      <w:pPr>
        <w:ind w:left="6480" w:hanging="180"/>
      </w:pPr>
    </w:lvl>
  </w:abstractNum>
  <w:abstractNum w:abstractNumId="37" w15:restartNumberingAfterBreak="0">
    <w:nsid w:val="7FB62A9B"/>
    <w:multiLevelType w:val="multilevel"/>
    <w:tmpl w:val="72D4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EB33E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02726287">
    <w:abstractNumId w:val="14"/>
  </w:num>
  <w:num w:numId="2" w16cid:durableId="984352129">
    <w:abstractNumId w:val="24"/>
  </w:num>
  <w:num w:numId="3" w16cid:durableId="1026827737">
    <w:abstractNumId w:val="32"/>
  </w:num>
  <w:num w:numId="4" w16cid:durableId="597183007">
    <w:abstractNumId w:val="6"/>
  </w:num>
  <w:num w:numId="5" w16cid:durableId="1048577978">
    <w:abstractNumId w:val="27"/>
  </w:num>
  <w:num w:numId="6" w16cid:durableId="974873203">
    <w:abstractNumId w:val="31"/>
  </w:num>
  <w:num w:numId="7" w16cid:durableId="1227255122">
    <w:abstractNumId w:val="15"/>
  </w:num>
  <w:num w:numId="8" w16cid:durableId="1404334370">
    <w:abstractNumId w:val="22"/>
  </w:num>
  <w:num w:numId="9" w16cid:durableId="1752314963">
    <w:abstractNumId w:val="8"/>
  </w:num>
  <w:num w:numId="10" w16cid:durableId="1775249295">
    <w:abstractNumId w:val="17"/>
  </w:num>
  <w:num w:numId="11" w16cid:durableId="894976366">
    <w:abstractNumId w:val="25"/>
  </w:num>
  <w:num w:numId="12" w16cid:durableId="415368948">
    <w:abstractNumId w:val="12"/>
  </w:num>
  <w:num w:numId="13" w16cid:durableId="873227608">
    <w:abstractNumId w:val="36"/>
  </w:num>
  <w:num w:numId="14" w16cid:durableId="2141486870">
    <w:abstractNumId w:val="34"/>
  </w:num>
  <w:num w:numId="15" w16cid:durableId="1518084743">
    <w:abstractNumId w:val="13"/>
  </w:num>
  <w:num w:numId="16" w16cid:durableId="1663195841">
    <w:abstractNumId w:val="5"/>
  </w:num>
  <w:num w:numId="17" w16cid:durableId="1441877611">
    <w:abstractNumId w:val="4"/>
  </w:num>
  <w:num w:numId="18" w16cid:durableId="1454707673">
    <w:abstractNumId w:val="23"/>
  </w:num>
  <w:num w:numId="19" w16cid:durableId="358940976">
    <w:abstractNumId w:val="11"/>
  </w:num>
  <w:num w:numId="20" w16cid:durableId="1739935188">
    <w:abstractNumId w:val="29"/>
  </w:num>
  <w:num w:numId="21" w16cid:durableId="829904182">
    <w:abstractNumId w:val="1"/>
  </w:num>
  <w:num w:numId="22" w16cid:durableId="174464995">
    <w:abstractNumId w:val="2"/>
  </w:num>
  <w:num w:numId="23" w16cid:durableId="400178070">
    <w:abstractNumId w:val="10"/>
  </w:num>
  <w:num w:numId="24" w16cid:durableId="1872302061">
    <w:abstractNumId w:val="18"/>
  </w:num>
  <w:num w:numId="25" w16cid:durableId="1565213692">
    <w:abstractNumId w:val="28"/>
  </w:num>
  <w:num w:numId="26" w16cid:durableId="890920388">
    <w:abstractNumId w:val="38"/>
  </w:num>
  <w:num w:numId="27" w16cid:durableId="1162433596">
    <w:abstractNumId w:val="21"/>
  </w:num>
  <w:num w:numId="28" w16cid:durableId="333387230">
    <w:abstractNumId w:val="3"/>
  </w:num>
  <w:num w:numId="29" w16cid:durableId="422385610">
    <w:abstractNumId w:val="19"/>
  </w:num>
  <w:num w:numId="30" w16cid:durableId="57948222">
    <w:abstractNumId w:val="33"/>
  </w:num>
  <w:num w:numId="31" w16cid:durableId="1429347387">
    <w:abstractNumId w:val="16"/>
  </w:num>
  <w:num w:numId="32" w16cid:durableId="1215964572">
    <w:abstractNumId w:val="7"/>
  </w:num>
  <w:num w:numId="33" w16cid:durableId="228001534">
    <w:abstractNumId w:val="26"/>
  </w:num>
  <w:num w:numId="34" w16cid:durableId="461848964">
    <w:abstractNumId w:val="0"/>
  </w:num>
  <w:num w:numId="35" w16cid:durableId="519660109">
    <w:abstractNumId w:val="30"/>
  </w:num>
  <w:num w:numId="36" w16cid:durableId="1150292207">
    <w:abstractNumId w:val="35"/>
  </w:num>
  <w:num w:numId="37" w16cid:durableId="1721712237">
    <w:abstractNumId w:val="9"/>
  </w:num>
  <w:num w:numId="38" w16cid:durableId="1354650311">
    <w:abstractNumId w:val="37"/>
  </w:num>
  <w:num w:numId="39" w16cid:durableId="18325951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0387"/>
    <w:rsid w:val="0000515B"/>
    <w:rsid w:val="000104F5"/>
    <w:rsid w:val="000107B8"/>
    <w:rsid w:val="000108C7"/>
    <w:rsid w:val="00011457"/>
    <w:rsid w:val="00011963"/>
    <w:rsid w:val="00013512"/>
    <w:rsid w:val="00013652"/>
    <w:rsid w:val="000139D4"/>
    <w:rsid w:val="00013C92"/>
    <w:rsid w:val="000156CF"/>
    <w:rsid w:val="00015981"/>
    <w:rsid w:val="00016E32"/>
    <w:rsid w:val="0001743F"/>
    <w:rsid w:val="000211A0"/>
    <w:rsid w:val="000236C4"/>
    <w:rsid w:val="00025618"/>
    <w:rsid w:val="00026664"/>
    <w:rsid w:val="000302B8"/>
    <w:rsid w:val="0003099F"/>
    <w:rsid w:val="00031890"/>
    <w:rsid w:val="00032BDF"/>
    <w:rsid w:val="000342D5"/>
    <w:rsid w:val="000346B8"/>
    <w:rsid w:val="00034DD1"/>
    <w:rsid w:val="000359C9"/>
    <w:rsid w:val="00040938"/>
    <w:rsid w:val="00041521"/>
    <w:rsid w:val="000418DD"/>
    <w:rsid w:val="00041B78"/>
    <w:rsid w:val="0004355D"/>
    <w:rsid w:val="000460E7"/>
    <w:rsid w:val="000510BF"/>
    <w:rsid w:val="000512DA"/>
    <w:rsid w:val="00051C4F"/>
    <w:rsid w:val="00052D0F"/>
    <w:rsid w:val="00056240"/>
    <w:rsid w:val="00056252"/>
    <w:rsid w:val="00056C23"/>
    <w:rsid w:val="00057B67"/>
    <w:rsid w:val="00061AFB"/>
    <w:rsid w:val="00061E0E"/>
    <w:rsid w:val="00063141"/>
    <w:rsid w:val="00064FC4"/>
    <w:rsid w:val="00065FFC"/>
    <w:rsid w:val="00067B76"/>
    <w:rsid w:val="000712F4"/>
    <w:rsid w:val="00071B42"/>
    <w:rsid w:val="00071C21"/>
    <w:rsid w:val="00071F72"/>
    <w:rsid w:val="000722EE"/>
    <w:rsid w:val="00073DCB"/>
    <w:rsid w:val="00074EFF"/>
    <w:rsid w:val="0007506F"/>
    <w:rsid w:val="00076815"/>
    <w:rsid w:val="00076B2B"/>
    <w:rsid w:val="00077433"/>
    <w:rsid w:val="000804BE"/>
    <w:rsid w:val="000810D9"/>
    <w:rsid w:val="00081F44"/>
    <w:rsid w:val="00082A5F"/>
    <w:rsid w:val="0008734E"/>
    <w:rsid w:val="00087C3D"/>
    <w:rsid w:val="00090BCC"/>
    <w:rsid w:val="00090E30"/>
    <w:rsid w:val="00091314"/>
    <w:rsid w:val="00095467"/>
    <w:rsid w:val="00097A85"/>
    <w:rsid w:val="00097FCA"/>
    <w:rsid w:val="000A01BB"/>
    <w:rsid w:val="000A0923"/>
    <w:rsid w:val="000A19D0"/>
    <w:rsid w:val="000A19F4"/>
    <w:rsid w:val="000A1BC8"/>
    <w:rsid w:val="000A1C80"/>
    <w:rsid w:val="000A1D57"/>
    <w:rsid w:val="000A1FFA"/>
    <w:rsid w:val="000A48BF"/>
    <w:rsid w:val="000A571B"/>
    <w:rsid w:val="000A5F71"/>
    <w:rsid w:val="000A67F2"/>
    <w:rsid w:val="000B17B5"/>
    <w:rsid w:val="000B3241"/>
    <w:rsid w:val="000B41B6"/>
    <w:rsid w:val="000B72B2"/>
    <w:rsid w:val="000C083E"/>
    <w:rsid w:val="000C16AF"/>
    <w:rsid w:val="000C3DBF"/>
    <w:rsid w:val="000C5476"/>
    <w:rsid w:val="000C593F"/>
    <w:rsid w:val="000C6294"/>
    <w:rsid w:val="000C6CAE"/>
    <w:rsid w:val="000C721D"/>
    <w:rsid w:val="000D0258"/>
    <w:rsid w:val="000D1062"/>
    <w:rsid w:val="000D15F4"/>
    <w:rsid w:val="000D2DBD"/>
    <w:rsid w:val="000D6719"/>
    <w:rsid w:val="000D7B41"/>
    <w:rsid w:val="000E04DE"/>
    <w:rsid w:val="000E1666"/>
    <w:rsid w:val="000E1950"/>
    <w:rsid w:val="000E2ABF"/>
    <w:rsid w:val="000E3F21"/>
    <w:rsid w:val="000E4C51"/>
    <w:rsid w:val="000E55C4"/>
    <w:rsid w:val="000E55EA"/>
    <w:rsid w:val="000E5647"/>
    <w:rsid w:val="000E5D0E"/>
    <w:rsid w:val="000E7CA2"/>
    <w:rsid w:val="000F038B"/>
    <w:rsid w:val="000F17FB"/>
    <w:rsid w:val="000F307A"/>
    <w:rsid w:val="000F37AB"/>
    <w:rsid w:val="000F3878"/>
    <w:rsid w:val="000F4C74"/>
    <w:rsid w:val="000F6576"/>
    <w:rsid w:val="000F7FC6"/>
    <w:rsid w:val="001013B6"/>
    <w:rsid w:val="00101606"/>
    <w:rsid w:val="001049D5"/>
    <w:rsid w:val="00105B0B"/>
    <w:rsid w:val="0010612D"/>
    <w:rsid w:val="0010668B"/>
    <w:rsid w:val="0010689F"/>
    <w:rsid w:val="00110074"/>
    <w:rsid w:val="001106FE"/>
    <w:rsid w:val="001110D1"/>
    <w:rsid w:val="001116B3"/>
    <w:rsid w:val="001161D6"/>
    <w:rsid w:val="00120611"/>
    <w:rsid w:val="001220E8"/>
    <w:rsid w:val="001222FD"/>
    <w:rsid w:val="00123AEB"/>
    <w:rsid w:val="00125002"/>
    <w:rsid w:val="001266C3"/>
    <w:rsid w:val="00126DE6"/>
    <w:rsid w:val="001275F8"/>
    <w:rsid w:val="001277F9"/>
    <w:rsid w:val="00130AAA"/>
    <w:rsid w:val="00130E1E"/>
    <w:rsid w:val="00130F05"/>
    <w:rsid w:val="00131F1F"/>
    <w:rsid w:val="0013259E"/>
    <w:rsid w:val="00132D7F"/>
    <w:rsid w:val="00141467"/>
    <w:rsid w:val="00141909"/>
    <w:rsid w:val="001422D4"/>
    <w:rsid w:val="00142E34"/>
    <w:rsid w:val="00145A38"/>
    <w:rsid w:val="0014758C"/>
    <w:rsid w:val="00147CBA"/>
    <w:rsid w:val="00152149"/>
    <w:rsid w:val="0015327B"/>
    <w:rsid w:val="00155DAB"/>
    <w:rsid w:val="001610BE"/>
    <w:rsid w:val="001619C1"/>
    <w:rsid w:val="00162434"/>
    <w:rsid w:val="001624E4"/>
    <w:rsid w:val="00162BA8"/>
    <w:rsid w:val="0016617B"/>
    <w:rsid w:val="001665F0"/>
    <w:rsid w:val="00170621"/>
    <w:rsid w:val="00171D83"/>
    <w:rsid w:val="00172252"/>
    <w:rsid w:val="00172E8C"/>
    <w:rsid w:val="00174378"/>
    <w:rsid w:val="00175A78"/>
    <w:rsid w:val="00176104"/>
    <w:rsid w:val="001765E8"/>
    <w:rsid w:val="00176C07"/>
    <w:rsid w:val="00177256"/>
    <w:rsid w:val="00180093"/>
    <w:rsid w:val="00181A81"/>
    <w:rsid w:val="00181EEB"/>
    <w:rsid w:val="00182180"/>
    <w:rsid w:val="00182622"/>
    <w:rsid w:val="001826CD"/>
    <w:rsid w:val="00182801"/>
    <w:rsid w:val="001850C3"/>
    <w:rsid w:val="001851C9"/>
    <w:rsid w:val="001914C7"/>
    <w:rsid w:val="0019159D"/>
    <w:rsid w:val="00194C04"/>
    <w:rsid w:val="00194CE8"/>
    <w:rsid w:val="001959A2"/>
    <w:rsid w:val="001A1579"/>
    <w:rsid w:val="001A1AC2"/>
    <w:rsid w:val="001A1CA1"/>
    <w:rsid w:val="001A3331"/>
    <w:rsid w:val="001A3F1E"/>
    <w:rsid w:val="001A5134"/>
    <w:rsid w:val="001A6717"/>
    <w:rsid w:val="001B0A4E"/>
    <w:rsid w:val="001B762C"/>
    <w:rsid w:val="001C1294"/>
    <w:rsid w:val="001C1609"/>
    <w:rsid w:val="001C1744"/>
    <w:rsid w:val="001C33BC"/>
    <w:rsid w:val="001C4901"/>
    <w:rsid w:val="001C70DF"/>
    <w:rsid w:val="001C7253"/>
    <w:rsid w:val="001D2225"/>
    <w:rsid w:val="001D3D91"/>
    <w:rsid w:val="001D40C3"/>
    <w:rsid w:val="001D4FF6"/>
    <w:rsid w:val="001D6203"/>
    <w:rsid w:val="001D6288"/>
    <w:rsid w:val="001E10C8"/>
    <w:rsid w:val="001E1A65"/>
    <w:rsid w:val="001E592A"/>
    <w:rsid w:val="001E643D"/>
    <w:rsid w:val="001F0B75"/>
    <w:rsid w:val="001F2EEA"/>
    <w:rsid w:val="001F3109"/>
    <w:rsid w:val="001F3624"/>
    <w:rsid w:val="001F7923"/>
    <w:rsid w:val="001F7B20"/>
    <w:rsid w:val="0020009D"/>
    <w:rsid w:val="002008A0"/>
    <w:rsid w:val="00200934"/>
    <w:rsid w:val="00200DF7"/>
    <w:rsid w:val="00202C5D"/>
    <w:rsid w:val="002035A4"/>
    <w:rsid w:val="00204454"/>
    <w:rsid w:val="002066AD"/>
    <w:rsid w:val="00207601"/>
    <w:rsid w:val="002106EF"/>
    <w:rsid w:val="00210DD6"/>
    <w:rsid w:val="00214319"/>
    <w:rsid w:val="002161C7"/>
    <w:rsid w:val="00216430"/>
    <w:rsid w:val="002217AD"/>
    <w:rsid w:val="00222D4C"/>
    <w:rsid w:val="00224D38"/>
    <w:rsid w:val="00225B42"/>
    <w:rsid w:val="002306D2"/>
    <w:rsid w:val="00231184"/>
    <w:rsid w:val="0023228E"/>
    <w:rsid w:val="0023296D"/>
    <w:rsid w:val="00232DDC"/>
    <w:rsid w:val="0023699A"/>
    <w:rsid w:val="00237A60"/>
    <w:rsid w:val="00237DE8"/>
    <w:rsid w:val="00240BB9"/>
    <w:rsid w:val="002412F2"/>
    <w:rsid w:val="00242051"/>
    <w:rsid w:val="002420C7"/>
    <w:rsid w:val="002422E5"/>
    <w:rsid w:val="0024243B"/>
    <w:rsid w:val="00246E12"/>
    <w:rsid w:val="00246F38"/>
    <w:rsid w:val="002472A9"/>
    <w:rsid w:val="00252077"/>
    <w:rsid w:val="00254E56"/>
    <w:rsid w:val="002565CA"/>
    <w:rsid w:val="00260108"/>
    <w:rsid w:val="00260D13"/>
    <w:rsid w:val="00262547"/>
    <w:rsid w:val="00263942"/>
    <w:rsid w:val="002660C7"/>
    <w:rsid w:val="0026655A"/>
    <w:rsid w:val="00273DC3"/>
    <w:rsid w:val="00273EDD"/>
    <w:rsid w:val="0027482E"/>
    <w:rsid w:val="00275CBB"/>
    <w:rsid w:val="00275D2E"/>
    <w:rsid w:val="002770C7"/>
    <w:rsid w:val="002778D9"/>
    <w:rsid w:val="002779E5"/>
    <w:rsid w:val="002807E5"/>
    <w:rsid w:val="00286634"/>
    <w:rsid w:val="00290D64"/>
    <w:rsid w:val="0029391D"/>
    <w:rsid w:val="00293E59"/>
    <w:rsid w:val="00294581"/>
    <w:rsid w:val="002961A6"/>
    <w:rsid w:val="002A2C74"/>
    <w:rsid w:val="002A5694"/>
    <w:rsid w:val="002A67D5"/>
    <w:rsid w:val="002A74B5"/>
    <w:rsid w:val="002B1EF4"/>
    <w:rsid w:val="002B2234"/>
    <w:rsid w:val="002B22D5"/>
    <w:rsid w:val="002B3D70"/>
    <w:rsid w:val="002B4CCF"/>
    <w:rsid w:val="002B562E"/>
    <w:rsid w:val="002B6B99"/>
    <w:rsid w:val="002B6E04"/>
    <w:rsid w:val="002C0B80"/>
    <w:rsid w:val="002C69D2"/>
    <w:rsid w:val="002D2A6A"/>
    <w:rsid w:val="002D3CDB"/>
    <w:rsid w:val="002D432A"/>
    <w:rsid w:val="002D492E"/>
    <w:rsid w:val="002D5B24"/>
    <w:rsid w:val="002D7373"/>
    <w:rsid w:val="002D7E50"/>
    <w:rsid w:val="002E350B"/>
    <w:rsid w:val="002E3B53"/>
    <w:rsid w:val="002E6218"/>
    <w:rsid w:val="002F0CFA"/>
    <w:rsid w:val="002F0DD8"/>
    <w:rsid w:val="002F1F2A"/>
    <w:rsid w:val="002F2F2D"/>
    <w:rsid w:val="002F4BE7"/>
    <w:rsid w:val="002F57B2"/>
    <w:rsid w:val="002F5B80"/>
    <w:rsid w:val="002F7116"/>
    <w:rsid w:val="002F7629"/>
    <w:rsid w:val="0030080B"/>
    <w:rsid w:val="003023BA"/>
    <w:rsid w:val="00304D88"/>
    <w:rsid w:val="00307284"/>
    <w:rsid w:val="00307F66"/>
    <w:rsid w:val="00312BE1"/>
    <w:rsid w:val="00314079"/>
    <w:rsid w:val="00314462"/>
    <w:rsid w:val="00314EDF"/>
    <w:rsid w:val="003159F7"/>
    <w:rsid w:val="0031658E"/>
    <w:rsid w:val="00320A9C"/>
    <w:rsid w:val="00321612"/>
    <w:rsid w:val="00321B57"/>
    <w:rsid w:val="00327A0B"/>
    <w:rsid w:val="00327F80"/>
    <w:rsid w:val="00330352"/>
    <w:rsid w:val="003310C2"/>
    <w:rsid w:val="00331534"/>
    <w:rsid w:val="00331AC4"/>
    <w:rsid w:val="0033207B"/>
    <w:rsid w:val="003324EA"/>
    <w:rsid w:val="00332B47"/>
    <w:rsid w:val="003333CE"/>
    <w:rsid w:val="00333D2C"/>
    <w:rsid w:val="0033595E"/>
    <w:rsid w:val="003400F0"/>
    <w:rsid w:val="00345E38"/>
    <w:rsid w:val="0035074B"/>
    <w:rsid w:val="00351087"/>
    <w:rsid w:val="0035144B"/>
    <w:rsid w:val="00351827"/>
    <w:rsid w:val="0035191A"/>
    <w:rsid w:val="00351E77"/>
    <w:rsid w:val="00354210"/>
    <w:rsid w:val="003548DA"/>
    <w:rsid w:val="0036064D"/>
    <w:rsid w:val="00364389"/>
    <w:rsid w:val="003644A4"/>
    <w:rsid w:val="00366D3D"/>
    <w:rsid w:val="00366DBC"/>
    <w:rsid w:val="0037029E"/>
    <w:rsid w:val="00371392"/>
    <w:rsid w:val="00371E2E"/>
    <w:rsid w:val="00371FF0"/>
    <w:rsid w:val="00373774"/>
    <w:rsid w:val="00376712"/>
    <w:rsid w:val="00376B25"/>
    <w:rsid w:val="00377472"/>
    <w:rsid w:val="003802FB"/>
    <w:rsid w:val="003817A8"/>
    <w:rsid w:val="003827CF"/>
    <w:rsid w:val="00383D15"/>
    <w:rsid w:val="0038434E"/>
    <w:rsid w:val="003850D6"/>
    <w:rsid w:val="0038549E"/>
    <w:rsid w:val="00385BA2"/>
    <w:rsid w:val="00387AE6"/>
    <w:rsid w:val="00387CDA"/>
    <w:rsid w:val="003903FE"/>
    <w:rsid w:val="0039481D"/>
    <w:rsid w:val="00395BFB"/>
    <w:rsid w:val="00396994"/>
    <w:rsid w:val="00397DB4"/>
    <w:rsid w:val="003A1911"/>
    <w:rsid w:val="003A1DD5"/>
    <w:rsid w:val="003A3378"/>
    <w:rsid w:val="003A36E3"/>
    <w:rsid w:val="003A3AF1"/>
    <w:rsid w:val="003A4E82"/>
    <w:rsid w:val="003A5297"/>
    <w:rsid w:val="003A778D"/>
    <w:rsid w:val="003B0E0A"/>
    <w:rsid w:val="003B25D6"/>
    <w:rsid w:val="003B297A"/>
    <w:rsid w:val="003B3871"/>
    <w:rsid w:val="003B5837"/>
    <w:rsid w:val="003B5D26"/>
    <w:rsid w:val="003B6675"/>
    <w:rsid w:val="003B6CA2"/>
    <w:rsid w:val="003C064E"/>
    <w:rsid w:val="003C124F"/>
    <w:rsid w:val="003C21CE"/>
    <w:rsid w:val="003C26AD"/>
    <w:rsid w:val="003C38F4"/>
    <w:rsid w:val="003C3A41"/>
    <w:rsid w:val="003C521E"/>
    <w:rsid w:val="003C5F20"/>
    <w:rsid w:val="003C79EA"/>
    <w:rsid w:val="003D1EAD"/>
    <w:rsid w:val="003D481B"/>
    <w:rsid w:val="003D4FD9"/>
    <w:rsid w:val="003D5994"/>
    <w:rsid w:val="003D6229"/>
    <w:rsid w:val="003D67E2"/>
    <w:rsid w:val="003D6B58"/>
    <w:rsid w:val="003E1072"/>
    <w:rsid w:val="003E23A7"/>
    <w:rsid w:val="003E2808"/>
    <w:rsid w:val="003E4020"/>
    <w:rsid w:val="003E568B"/>
    <w:rsid w:val="003E73AF"/>
    <w:rsid w:val="003F0A61"/>
    <w:rsid w:val="003F1C5E"/>
    <w:rsid w:val="003F265B"/>
    <w:rsid w:val="003F304D"/>
    <w:rsid w:val="003F3660"/>
    <w:rsid w:val="003F6B2E"/>
    <w:rsid w:val="003F7189"/>
    <w:rsid w:val="00404393"/>
    <w:rsid w:val="004044F9"/>
    <w:rsid w:val="004047B4"/>
    <w:rsid w:val="00404EF0"/>
    <w:rsid w:val="0040579A"/>
    <w:rsid w:val="004059E1"/>
    <w:rsid w:val="004062CA"/>
    <w:rsid w:val="004075BB"/>
    <w:rsid w:val="004108C0"/>
    <w:rsid w:val="00411982"/>
    <w:rsid w:val="00412ADD"/>
    <w:rsid w:val="0041344A"/>
    <w:rsid w:val="00413654"/>
    <w:rsid w:val="00414ADE"/>
    <w:rsid w:val="00415A30"/>
    <w:rsid w:val="00420428"/>
    <w:rsid w:val="00421777"/>
    <w:rsid w:val="00421A40"/>
    <w:rsid w:val="0042208C"/>
    <w:rsid w:val="00422745"/>
    <w:rsid w:val="00422A59"/>
    <w:rsid w:val="00423909"/>
    <w:rsid w:val="004245D5"/>
    <w:rsid w:val="00424BA5"/>
    <w:rsid w:val="004310AD"/>
    <w:rsid w:val="00432E5F"/>
    <w:rsid w:val="00435959"/>
    <w:rsid w:val="004361C8"/>
    <w:rsid w:val="00436E1E"/>
    <w:rsid w:val="00436F4D"/>
    <w:rsid w:val="0043756D"/>
    <w:rsid w:val="00440DF7"/>
    <w:rsid w:val="0044216F"/>
    <w:rsid w:val="00444C41"/>
    <w:rsid w:val="00446D4B"/>
    <w:rsid w:val="0044762D"/>
    <w:rsid w:val="004478EB"/>
    <w:rsid w:val="00450BE9"/>
    <w:rsid w:val="00451D2B"/>
    <w:rsid w:val="004520B1"/>
    <w:rsid w:val="004554F6"/>
    <w:rsid w:val="004565F2"/>
    <w:rsid w:val="004572C2"/>
    <w:rsid w:val="00457CD0"/>
    <w:rsid w:val="004620C9"/>
    <w:rsid w:val="004627DA"/>
    <w:rsid w:val="0046351D"/>
    <w:rsid w:val="004640F3"/>
    <w:rsid w:val="00466DC8"/>
    <w:rsid w:val="0046759A"/>
    <w:rsid w:val="0047085B"/>
    <w:rsid w:val="00470CEC"/>
    <w:rsid w:val="00470F9D"/>
    <w:rsid w:val="00472101"/>
    <w:rsid w:val="00475A4A"/>
    <w:rsid w:val="00480EE0"/>
    <w:rsid w:val="004819B1"/>
    <w:rsid w:val="00482D5D"/>
    <w:rsid w:val="004849E4"/>
    <w:rsid w:val="00484A7B"/>
    <w:rsid w:val="00484F38"/>
    <w:rsid w:val="00486E74"/>
    <w:rsid w:val="00487D28"/>
    <w:rsid w:val="00492715"/>
    <w:rsid w:val="004928D2"/>
    <w:rsid w:val="00492DAE"/>
    <w:rsid w:val="00493123"/>
    <w:rsid w:val="004939EE"/>
    <w:rsid w:val="00495116"/>
    <w:rsid w:val="00495D15"/>
    <w:rsid w:val="0049635F"/>
    <w:rsid w:val="004969D3"/>
    <w:rsid w:val="004B01DE"/>
    <w:rsid w:val="004B0B48"/>
    <w:rsid w:val="004B2939"/>
    <w:rsid w:val="004B34DB"/>
    <w:rsid w:val="004B386A"/>
    <w:rsid w:val="004B41EF"/>
    <w:rsid w:val="004B501D"/>
    <w:rsid w:val="004B63A4"/>
    <w:rsid w:val="004B6464"/>
    <w:rsid w:val="004B68DC"/>
    <w:rsid w:val="004B69A9"/>
    <w:rsid w:val="004B6FAD"/>
    <w:rsid w:val="004C0985"/>
    <w:rsid w:val="004C28AE"/>
    <w:rsid w:val="004C2E83"/>
    <w:rsid w:val="004C3738"/>
    <w:rsid w:val="004C3953"/>
    <w:rsid w:val="004C7710"/>
    <w:rsid w:val="004D0CD4"/>
    <w:rsid w:val="004D1334"/>
    <w:rsid w:val="004D19BE"/>
    <w:rsid w:val="004D2966"/>
    <w:rsid w:val="004D362E"/>
    <w:rsid w:val="004D3D11"/>
    <w:rsid w:val="004D7DCD"/>
    <w:rsid w:val="004E0E8A"/>
    <w:rsid w:val="004E0FA0"/>
    <w:rsid w:val="004E148D"/>
    <w:rsid w:val="004E5491"/>
    <w:rsid w:val="004E651D"/>
    <w:rsid w:val="004E783E"/>
    <w:rsid w:val="004E7F99"/>
    <w:rsid w:val="004F0845"/>
    <w:rsid w:val="004F089B"/>
    <w:rsid w:val="004F1067"/>
    <w:rsid w:val="004F1822"/>
    <w:rsid w:val="004F1E87"/>
    <w:rsid w:val="004F4971"/>
    <w:rsid w:val="004F5896"/>
    <w:rsid w:val="004F58B8"/>
    <w:rsid w:val="004F65FA"/>
    <w:rsid w:val="004F6AD9"/>
    <w:rsid w:val="00500261"/>
    <w:rsid w:val="0050059F"/>
    <w:rsid w:val="0050342F"/>
    <w:rsid w:val="005039EB"/>
    <w:rsid w:val="00503CEA"/>
    <w:rsid w:val="005047C1"/>
    <w:rsid w:val="00507F1A"/>
    <w:rsid w:val="00511F02"/>
    <w:rsid w:val="00513987"/>
    <w:rsid w:val="00513CCF"/>
    <w:rsid w:val="00516914"/>
    <w:rsid w:val="00517380"/>
    <w:rsid w:val="00517FE8"/>
    <w:rsid w:val="005200CC"/>
    <w:rsid w:val="00520231"/>
    <w:rsid w:val="00520FEC"/>
    <w:rsid w:val="00524F06"/>
    <w:rsid w:val="005250D5"/>
    <w:rsid w:val="00531BD8"/>
    <w:rsid w:val="00533074"/>
    <w:rsid w:val="005353CE"/>
    <w:rsid w:val="00536AD7"/>
    <w:rsid w:val="00540C91"/>
    <w:rsid w:val="00541E50"/>
    <w:rsid w:val="00542413"/>
    <w:rsid w:val="005433AF"/>
    <w:rsid w:val="005433CA"/>
    <w:rsid w:val="005442A0"/>
    <w:rsid w:val="00544956"/>
    <w:rsid w:val="00545B2F"/>
    <w:rsid w:val="00547C02"/>
    <w:rsid w:val="00550F5B"/>
    <w:rsid w:val="005512B9"/>
    <w:rsid w:val="00551D82"/>
    <w:rsid w:val="00552654"/>
    <w:rsid w:val="00554160"/>
    <w:rsid w:val="00556265"/>
    <w:rsid w:val="00557D1B"/>
    <w:rsid w:val="005615E5"/>
    <w:rsid w:val="0056171F"/>
    <w:rsid w:val="005625C6"/>
    <w:rsid w:val="00562A48"/>
    <w:rsid w:val="00562AC6"/>
    <w:rsid w:val="00565A2F"/>
    <w:rsid w:val="00565F3A"/>
    <w:rsid w:val="00566B0A"/>
    <w:rsid w:val="00570022"/>
    <w:rsid w:val="00570D08"/>
    <w:rsid w:val="005734B8"/>
    <w:rsid w:val="005734D7"/>
    <w:rsid w:val="00574828"/>
    <w:rsid w:val="00575E55"/>
    <w:rsid w:val="00577968"/>
    <w:rsid w:val="00577AB7"/>
    <w:rsid w:val="005827C7"/>
    <w:rsid w:val="00582A30"/>
    <w:rsid w:val="00585BF5"/>
    <w:rsid w:val="005908D2"/>
    <w:rsid w:val="005913E6"/>
    <w:rsid w:val="00591C99"/>
    <w:rsid w:val="005936EC"/>
    <w:rsid w:val="00596615"/>
    <w:rsid w:val="005A33DC"/>
    <w:rsid w:val="005A3E69"/>
    <w:rsid w:val="005A40C2"/>
    <w:rsid w:val="005A46A6"/>
    <w:rsid w:val="005A4B87"/>
    <w:rsid w:val="005A4F56"/>
    <w:rsid w:val="005A5FA6"/>
    <w:rsid w:val="005A637B"/>
    <w:rsid w:val="005B0B8E"/>
    <w:rsid w:val="005B0EC7"/>
    <w:rsid w:val="005B233A"/>
    <w:rsid w:val="005B3702"/>
    <w:rsid w:val="005B3D7E"/>
    <w:rsid w:val="005B3D93"/>
    <w:rsid w:val="005B5381"/>
    <w:rsid w:val="005B6C81"/>
    <w:rsid w:val="005B6F7A"/>
    <w:rsid w:val="005C2D49"/>
    <w:rsid w:val="005C5DE1"/>
    <w:rsid w:val="005C7679"/>
    <w:rsid w:val="005D3A25"/>
    <w:rsid w:val="005D4501"/>
    <w:rsid w:val="005D645D"/>
    <w:rsid w:val="005E1EE7"/>
    <w:rsid w:val="005E75CF"/>
    <w:rsid w:val="005E7867"/>
    <w:rsid w:val="005F181C"/>
    <w:rsid w:val="005F1BF3"/>
    <w:rsid w:val="005F279D"/>
    <w:rsid w:val="005F318D"/>
    <w:rsid w:val="005F3CB1"/>
    <w:rsid w:val="005F6B78"/>
    <w:rsid w:val="005F76DB"/>
    <w:rsid w:val="0060009A"/>
    <w:rsid w:val="00600E3E"/>
    <w:rsid w:val="00602028"/>
    <w:rsid w:val="00602DDD"/>
    <w:rsid w:val="006039CD"/>
    <w:rsid w:val="00604100"/>
    <w:rsid w:val="006045C0"/>
    <w:rsid w:val="00604764"/>
    <w:rsid w:val="00604AD6"/>
    <w:rsid w:val="00605ABC"/>
    <w:rsid w:val="00607B26"/>
    <w:rsid w:val="006105E8"/>
    <w:rsid w:val="00610CB7"/>
    <w:rsid w:val="00611C3B"/>
    <w:rsid w:val="00612076"/>
    <w:rsid w:val="00615035"/>
    <w:rsid w:val="00615092"/>
    <w:rsid w:val="006160F2"/>
    <w:rsid w:val="006172AA"/>
    <w:rsid w:val="006200E5"/>
    <w:rsid w:val="006201ED"/>
    <w:rsid w:val="0062068B"/>
    <w:rsid w:val="00622578"/>
    <w:rsid w:val="006225A7"/>
    <w:rsid w:val="00622A3E"/>
    <w:rsid w:val="006239A1"/>
    <w:rsid w:val="006239B9"/>
    <w:rsid w:val="0062529D"/>
    <w:rsid w:val="006255D4"/>
    <w:rsid w:val="006257C2"/>
    <w:rsid w:val="006270AE"/>
    <w:rsid w:val="006308AA"/>
    <w:rsid w:val="00631E06"/>
    <w:rsid w:val="006332C1"/>
    <w:rsid w:val="0063420B"/>
    <w:rsid w:val="00634672"/>
    <w:rsid w:val="006350EE"/>
    <w:rsid w:val="00637638"/>
    <w:rsid w:val="00641002"/>
    <w:rsid w:val="00641518"/>
    <w:rsid w:val="006426DB"/>
    <w:rsid w:val="006443E6"/>
    <w:rsid w:val="006454A2"/>
    <w:rsid w:val="0064687F"/>
    <w:rsid w:val="00652322"/>
    <w:rsid w:val="0065329B"/>
    <w:rsid w:val="00655CEA"/>
    <w:rsid w:val="006564A4"/>
    <w:rsid w:val="0065695B"/>
    <w:rsid w:val="00656B83"/>
    <w:rsid w:val="00656C12"/>
    <w:rsid w:val="00657581"/>
    <w:rsid w:val="006616FA"/>
    <w:rsid w:val="00663D52"/>
    <w:rsid w:val="00665FAA"/>
    <w:rsid w:val="00666563"/>
    <w:rsid w:val="0067125A"/>
    <w:rsid w:val="006747EA"/>
    <w:rsid w:val="006755EE"/>
    <w:rsid w:val="00675C0B"/>
    <w:rsid w:val="00680678"/>
    <w:rsid w:val="006806DD"/>
    <w:rsid w:val="00680E7D"/>
    <w:rsid w:val="006824BF"/>
    <w:rsid w:val="0068270A"/>
    <w:rsid w:val="006836DD"/>
    <w:rsid w:val="00683E5D"/>
    <w:rsid w:val="00685832"/>
    <w:rsid w:val="00686FD0"/>
    <w:rsid w:val="00687F8A"/>
    <w:rsid w:val="006900DF"/>
    <w:rsid w:val="00690E39"/>
    <w:rsid w:val="00691027"/>
    <w:rsid w:val="00691DCC"/>
    <w:rsid w:val="006972FF"/>
    <w:rsid w:val="006A0ECC"/>
    <w:rsid w:val="006A2E8A"/>
    <w:rsid w:val="006A598F"/>
    <w:rsid w:val="006A5BE5"/>
    <w:rsid w:val="006B0A3D"/>
    <w:rsid w:val="006B0E2C"/>
    <w:rsid w:val="006B437C"/>
    <w:rsid w:val="006B464B"/>
    <w:rsid w:val="006B6260"/>
    <w:rsid w:val="006B6930"/>
    <w:rsid w:val="006B73DF"/>
    <w:rsid w:val="006B76CC"/>
    <w:rsid w:val="006C2B1F"/>
    <w:rsid w:val="006C381A"/>
    <w:rsid w:val="006C5721"/>
    <w:rsid w:val="006C60CD"/>
    <w:rsid w:val="006D17FF"/>
    <w:rsid w:val="006D4201"/>
    <w:rsid w:val="006E02BC"/>
    <w:rsid w:val="006E1A21"/>
    <w:rsid w:val="006E2336"/>
    <w:rsid w:val="006E2E5E"/>
    <w:rsid w:val="006E3B20"/>
    <w:rsid w:val="006E450B"/>
    <w:rsid w:val="006E4797"/>
    <w:rsid w:val="006E4A9A"/>
    <w:rsid w:val="006E5097"/>
    <w:rsid w:val="006E53AA"/>
    <w:rsid w:val="006E5522"/>
    <w:rsid w:val="006E5675"/>
    <w:rsid w:val="006E7404"/>
    <w:rsid w:val="006E7C64"/>
    <w:rsid w:val="006F01AD"/>
    <w:rsid w:val="006F3B50"/>
    <w:rsid w:val="00702ADE"/>
    <w:rsid w:val="0070310E"/>
    <w:rsid w:val="0070444F"/>
    <w:rsid w:val="00704A00"/>
    <w:rsid w:val="00704B80"/>
    <w:rsid w:val="00704CED"/>
    <w:rsid w:val="00705FD8"/>
    <w:rsid w:val="00712880"/>
    <w:rsid w:val="00712DC2"/>
    <w:rsid w:val="00713A3D"/>
    <w:rsid w:val="00713F3A"/>
    <w:rsid w:val="00714BE0"/>
    <w:rsid w:val="00717745"/>
    <w:rsid w:val="007217DF"/>
    <w:rsid w:val="00721DDF"/>
    <w:rsid w:val="00721E17"/>
    <w:rsid w:val="0072231B"/>
    <w:rsid w:val="007229C8"/>
    <w:rsid w:val="0072379E"/>
    <w:rsid w:val="00723C23"/>
    <w:rsid w:val="0072442A"/>
    <w:rsid w:val="00724DB6"/>
    <w:rsid w:val="00724F22"/>
    <w:rsid w:val="0072648A"/>
    <w:rsid w:val="0073392F"/>
    <w:rsid w:val="007350C7"/>
    <w:rsid w:val="0073556C"/>
    <w:rsid w:val="00736371"/>
    <w:rsid w:val="00736598"/>
    <w:rsid w:val="007369B9"/>
    <w:rsid w:val="00736FDE"/>
    <w:rsid w:val="00737100"/>
    <w:rsid w:val="007408E4"/>
    <w:rsid w:val="00740F55"/>
    <w:rsid w:val="007427BB"/>
    <w:rsid w:val="00743BED"/>
    <w:rsid w:val="00743C8C"/>
    <w:rsid w:val="0074606B"/>
    <w:rsid w:val="00750667"/>
    <w:rsid w:val="00751931"/>
    <w:rsid w:val="00751D3D"/>
    <w:rsid w:val="00752AF3"/>
    <w:rsid w:val="00753255"/>
    <w:rsid w:val="00753769"/>
    <w:rsid w:val="007549AF"/>
    <w:rsid w:val="00755CFB"/>
    <w:rsid w:val="007579B1"/>
    <w:rsid w:val="00760612"/>
    <w:rsid w:val="0076205B"/>
    <w:rsid w:val="00763B8D"/>
    <w:rsid w:val="00763DB5"/>
    <w:rsid w:val="007661C8"/>
    <w:rsid w:val="00766930"/>
    <w:rsid w:val="00766A3F"/>
    <w:rsid w:val="00770787"/>
    <w:rsid w:val="00771558"/>
    <w:rsid w:val="00771600"/>
    <w:rsid w:val="00771CE3"/>
    <w:rsid w:val="00772B46"/>
    <w:rsid w:val="00773921"/>
    <w:rsid w:val="00773B0F"/>
    <w:rsid w:val="00774755"/>
    <w:rsid w:val="00774CA0"/>
    <w:rsid w:val="00781643"/>
    <w:rsid w:val="0078464C"/>
    <w:rsid w:val="00784DF7"/>
    <w:rsid w:val="007858F9"/>
    <w:rsid w:val="007865B2"/>
    <w:rsid w:val="00786D22"/>
    <w:rsid w:val="0079508C"/>
    <w:rsid w:val="00795870"/>
    <w:rsid w:val="00796876"/>
    <w:rsid w:val="00796943"/>
    <w:rsid w:val="0079714F"/>
    <w:rsid w:val="007A2A7D"/>
    <w:rsid w:val="007A402A"/>
    <w:rsid w:val="007A4BBA"/>
    <w:rsid w:val="007A74F4"/>
    <w:rsid w:val="007A7C29"/>
    <w:rsid w:val="007B0413"/>
    <w:rsid w:val="007B0557"/>
    <w:rsid w:val="007B1968"/>
    <w:rsid w:val="007B1CDE"/>
    <w:rsid w:val="007B2DA9"/>
    <w:rsid w:val="007B388C"/>
    <w:rsid w:val="007B42BA"/>
    <w:rsid w:val="007B488F"/>
    <w:rsid w:val="007B50AE"/>
    <w:rsid w:val="007B5225"/>
    <w:rsid w:val="007B57ED"/>
    <w:rsid w:val="007B59BC"/>
    <w:rsid w:val="007B72A4"/>
    <w:rsid w:val="007B7373"/>
    <w:rsid w:val="007B75D6"/>
    <w:rsid w:val="007C0EEB"/>
    <w:rsid w:val="007C6D44"/>
    <w:rsid w:val="007C708A"/>
    <w:rsid w:val="007C71E9"/>
    <w:rsid w:val="007C7F9F"/>
    <w:rsid w:val="007D0778"/>
    <w:rsid w:val="007D08A2"/>
    <w:rsid w:val="007D161A"/>
    <w:rsid w:val="007D1DB5"/>
    <w:rsid w:val="007D23A3"/>
    <w:rsid w:val="007D2C4B"/>
    <w:rsid w:val="007D4464"/>
    <w:rsid w:val="007D5A00"/>
    <w:rsid w:val="007D6BE0"/>
    <w:rsid w:val="007D7762"/>
    <w:rsid w:val="007E095D"/>
    <w:rsid w:val="007E2DFA"/>
    <w:rsid w:val="007E32E5"/>
    <w:rsid w:val="007E3BC3"/>
    <w:rsid w:val="007E3E36"/>
    <w:rsid w:val="007E462D"/>
    <w:rsid w:val="007E60E9"/>
    <w:rsid w:val="007F12D8"/>
    <w:rsid w:val="007F13E9"/>
    <w:rsid w:val="007F178D"/>
    <w:rsid w:val="007F1C96"/>
    <w:rsid w:val="007F2030"/>
    <w:rsid w:val="007F4B30"/>
    <w:rsid w:val="00800731"/>
    <w:rsid w:val="00800E36"/>
    <w:rsid w:val="008019DF"/>
    <w:rsid w:val="008021A0"/>
    <w:rsid w:val="00802408"/>
    <w:rsid w:val="00803047"/>
    <w:rsid w:val="00803337"/>
    <w:rsid w:val="00803981"/>
    <w:rsid w:val="00803E2B"/>
    <w:rsid w:val="008040AA"/>
    <w:rsid w:val="00810105"/>
    <w:rsid w:val="00810F3E"/>
    <w:rsid w:val="00812710"/>
    <w:rsid w:val="00813074"/>
    <w:rsid w:val="008202EE"/>
    <w:rsid w:val="00820A29"/>
    <w:rsid w:val="00822287"/>
    <w:rsid w:val="00823C95"/>
    <w:rsid w:val="00826325"/>
    <w:rsid w:val="00826EBA"/>
    <w:rsid w:val="00827624"/>
    <w:rsid w:val="00830DE7"/>
    <w:rsid w:val="00833211"/>
    <w:rsid w:val="00833B96"/>
    <w:rsid w:val="008346FE"/>
    <w:rsid w:val="008408FA"/>
    <w:rsid w:val="008413A0"/>
    <w:rsid w:val="00841C89"/>
    <w:rsid w:val="00841DCC"/>
    <w:rsid w:val="008425A4"/>
    <w:rsid w:val="00843A01"/>
    <w:rsid w:val="00843F24"/>
    <w:rsid w:val="008461C6"/>
    <w:rsid w:val="0084649D"/>
    <w:rsid w:val="00846CEF"/>
    <w:rsid w:val="00847181"/>
    <w:rsid w:val="00850B41"/>
    <w:rsid w:val="0085421A"/>
    <w:rsid w:val="00855162"/>
    <w:rsid w:val="0085548D"/>
    <w:rsid w:val="00855CFD"/>
    <w:rsid w:val="008623E7"/>
    <w:rsid w:val="008629B5"/>
    <w:rsid w:val="00864D4E"/>
    <w:rsid w:val="00865AA7"/>
    <w:rsid w:val="00865ECC"/>
    <w:rsid w:val="00866143"/>
    <w:rsid w:val="00871608"/>
    <w:rsid w:val="00874225"/>
    <w:rsid w:val="0087483F"/>
    <w:rsid w:val="00877AE1"/>
    <w:rsid w:val="008827BA"/>
    <w:rsid w:val="00882973"/>
    <w:rsid w:val="00882F27"/>
    <w:rsid w:val="00885422"/>
    <w:rsid w:val="00885F1B"/>
    <w:rsid w:val="00886DA8"/>
    <w:rsid w:val="00887269"/>
    <w:rsid w:val="00887349"/>
    <w:rsid w:val="00887CEF"/>
    <w:rsid w:val="00890053"/>
    <w:rsid w:val="0089224B"/>
    <w:rsid w:val="00894732"/>
    <w:rsid w:val="00894E0D"/>
    <w:rsid w:val="008973BE"/>
    <w:rsid w:val="008978E8"/>
    <w:rsid w:val="00897A37"/>
    <w:rsid w:val="00897D92"/>
    <w:rsid w:val="008A17DD"/>
    <w:rsid w:val="008A3877"/>
    <w:rsid w:val="008A3A1E"/>
    <w:rsid w:val="008A4859"/>
    <w:rsid w:val="008A5378"/>
    <w:rsid w:val="008A7808"/>
    <w:rsid w:val="008A7FC6"/>
    <w:rsid w:val="008B2D50"/>
    <w:rsid w:val="008B35D2"/>
    <w:rsid w:val="008B4DF0"/>
    <w:rsid w:val="008B68EA"/>
    <w:rsid w:val="008C640D"/>
    <w:rsid w:val="008C774C"/>
    <w:rsid w:val="008D0466"/>
    <w:rsid w:val="008D0A12"/>
    <w:rsid w:val="008D157B"/>
    <w:rsid w:val="008D2694"/>
    <w:rsid w:val="008D293E"/>
    <w:rsid w:val="008D4D33"/>
    <w:rsid w:val="008D5904"/>
    <w:rsid w:val="008E19AC"/>
    <w:rsid w:val="008E1FCE"/>
    <w:rsid w:val="008E2B50"/>
    <w:rsid w:val="008E2D16"/>
    <w:rsid w:val="008E2ECC"/>
    <w:rsid w:val="008E3E63"/>
    <w:rsid w:val="008E3F7A"/>
    <w:rsid w:val="008E5C4B"/>
    <w:rsid w:val="008F04D3"/>
    <w:rsid w:val="008F0DAC"/>
    <w:rsid w:val="008F1338"/>
    <w:rsid w:val="008F3078"/>
    <w:rsid w:val="008F7C03"/>
    <w:rsid w:val="00900E07"/>
    <w:rsid w:val="00901CFD"/>
    <w:rsid w:val="009026A2"/>
    <w:rsid w:val="0090294D"/>
    <w:rsid w:val="00905112"/>
    <w:rsid w:val="00907EED"/>
    <w:rsid w:val="00910012"/>
    <w:rsid w:val="009133C4"/>
    <w:rsid w:val="009147F5"/>
    <w:rsid w:val="0091647B"/>
    <w:rsid w:val="00917DEB"/>
    <w:rsid w:val="00921A73"/>
    <w:rsid w:val="00922673"/>
    <w:rsid w:val="00922D86"/>
    <w:rsid w:val="009238DF"/>
    <w:rsid w:val="00924C0C"/>
    <w:rsid w:val="00926A86"/>
    <w:rsid w:val="00926D65"/>
    <w:rsid w:val="00926E07"/>
    <w:rsid w:val="00927648"/>
    <w:rsid w:val="00932DC7"/>
    <w:rsid w:val="009352CE"/>
    <w:rsid w:val="00935CE1"/>
    <w:rsid w:val="009371C6"/>
    <w:rsid w:val="009409EA"/>
    <w:rsid w:val="00941462"/>
    <w:rsid w:val="009428D5"/>
    <w:rsid w:val="009462DA"/>
    <w:rsid w:val="00950CBC"/>
    <w:rsid w:val="00951DF0"/>
    <w:rsid w:val="009527FC"/>
    <w:rsid w:val="00953012"/>
    <w:rsid w:val="009572D9"/>
    <w:rsid w:val="00957E26"/>
    <w:rsid w:val="00960D1B"/>
    <w:rsid w:val="00961E83"/>
    <w:rsid w:val="009625DC"/>
    <w:rsid w:val="009630AA"/>
    <w:rsid w:val="00963DE4"/>
    <w:rsid w:val="00967093"/>
    <w:rsid w:val="00972542"/>
    <w:rsid w:val="0097362F"/>
    <w:rsid w:val="009736F8"/>
    <w:rsid w:val="00973B59"/>
    <w:rsid w:val="00974431"/>
    <w:rsid w:val="00975AE8"/>
    <w:rsid w:val="00976E82"/>
    <w:rsid w:val="0098009A"/>
    <w:rsid w:val="00980561"/>
    <w:rsid w:val="00981280"/>
    <w:rsid w:val="00981B20"/>
    <w:rsid w:val="009820AA"/>
    <w:rsid w:val="00986672"/>
    <w:rsid w:val="00986960"/>
    <w:rsid w:val="00993996"/>
    <w:rsid w:val="00994DE9"/>
    <w:rsid w:val="00994F50"/>
    <w:rsid w:val="00996AC1"/>
    <w:rsid w:val="00997A93"/>
    <w:rsid w:val="009A5399"/>
    <w:rsid w:val="009A631E"/>
    <w:rsid w:val="009A7A25"/>
    <w:rsid w:val="009B26CF"/>
    <w:rsid w:val="009B4F7A"/>
    <w:rsid w:val="009B5BB5"/>
    <w:rsid w:val="009B7BB3"/>
    <w:rsid w:val="009B7D11"/>
    <w:rsid w:val="009B7DDA"/>
    <w:rsid w:val="009C0A19"/>
    <w:rsid w:val="009C195A"/>
    <w:rsid w:val="009C31B9"/>
    <w:rsid w:val="009C44CF"/>
    <w:rsid w:val="009C5F50"/>
    <w:rsid w:val="009C7FB9"/>
    <w:rsid w:val="009D0114"/>
    <w:rsid w:val="009D1801"/>
    <w:rsid w:val="009D28C1"/>
    <w:rsid w:val="009D3485"/>
    <w:rsid w:val="009D49FF"/>
    <w:rsid w:val="009D60F5"/>
    <w:rsid w:val="009D779D"/>
    <w:rsid w:val="009D77C2"/>
    <w:rsid w:val="009E0B46"/>
    <w:rsid w:val="009E1C9A"/>
    <w:rsid w:val="009E20E0"/>
    <w:rsid w:val="009E2713"/>
    <w:rsid w:val="009E2EB8"/>
    <w:rsid w:val="009E58ED"/>
    <w:rsid w:val="009E71A9"/>
    <w:rsid w:val="009E7F1C"/>
    <w:rsid w:val="009F1D10"/>
    <w:rsid w:val="009F1E88"/>
    <w:rsid w:val="009F42C1"/>
    <w:rsid w:val="009F5F74"/>
    <w:rsid w:val="009F6F9A"/>
    <w:rsid w:val="00A0065B"/>
    <w:rsid w:val="00A007A1"/>
    <w:rsid w:val="00A01C5A"/>
    <w:rsid w:val="00A036B8"/>
    <w:rsid w:val="00A045B4"/>
    <w:rsid w:val="00A065E0"/>
    <w:rsid w:val="00A068CE"/>
    <w:rsid w:val="00A10C33"/>
    <w:rsid w:val="00A12952"/>
    <w:rsid w:val="00A15381"/>
    <w:rsid w:val="00A16092"/>
    <w:rsid w:val="00A16601"/>
    <w:rsid w:val="00A1684A"/>
    <w:rsid w:val="00A17859"/>
    <w:rsid w:val="00A201EE"/>
    <w:rsid w:val="00A211AC"/>
    <w:rsid w:val="00A2459D"/>
    <w:rsid w:val="00A245FC"/>
    <w:rsid w:val="00A310FC"/>
    <w:rsid w:val="00A316DF"/>
    <w:rsid w:val="00A31D61"/>
    <w:rsid w:val="00A3226A"/>
    <w:rsid w:val="00A37478"/>
    <w:rsid w:val="00A40248"/>
    <w:rsid w:val="00A40A56"/>
    <w:rsid w:val="00A40EA7"/>
    <w:rsid w:val="00A41508"/>
    <w:rsid w:val="00A41BBE"/>
    <w:rsid w:val="00A42FC1"/>
    <w:rsid w:val="00A433D2"/>
    <w:rsid w:val="00A44742"/>
    <w:rsid w:val="00A44D55"/>
    <w:rsid w:val="00A44F88"/>
    <w:rsid w:val="00A450B4"/>
    <w:rsid w:val="00A46876"/>
    <w:rsid w:val="00A506AA"/>
    <w:rsid w:val="00A51F72"/>
    <w:rsid w:val="00A545D6"/>
    <w:rsid w:val="00A5482F"/>
    <w:rsid w:val="00A60380"/>
    <w:rsid w:val="00A609E0"/>
    <w:rsid w:val="00A61636"/>
    <w:rsid w:val="00A624BE"/>
    <w:rsid w:val="00A624F8"/>
    <w:rsid w:val="00A67787"/>
    <w:rsid w:val="00A73387"/>
    <w:rsid w:val="00A7351C"/>
    <w:rsid w:val="00A73A44"/>
    <w:rsid w:val="00A75C3E"/>
    <w:rsid w:val="00A76F75"/>
    <w:rsid w:val="00A779E0"/>
    <w:rsid w:val="00A8251C"/>
    <w:rsid w:val="00A82C3E"/>
    <w:rsid w:val="00A83713"/>
    <w:rsid w:val="00A856F7"/>
    <w:rsid w:val="00A87D29"/>
    <w:rsid w:val="00A92A58"/>
    <w:rsid w:val="00A93D00"/>
    <w:rsid w:val="00A93DC0"/>
    <w:rsid w:val="00A93FFF"/>
    <w:rsid w:val="00A95D76"/>
    <w:rsid w:val="00AA0CC2"/>
    <w:rsid w:val="00AA3D6A"/>
    <w:rsid w:val="00AA43B5"/>
    <w:rsid w:val="00AA472A"/>
    <w:rsid w:val="00AA5107"/>
    <w:rsid w:val="00AA6851"/>
    <w:rsid w:val="00AA6F88"/>
    <w:rsid w:val="00AA72B6"/>
    <w:rsid w:val="00AB0E3B"/>
    <w:rsid w:val="00AB18EF"/>
    <w:rsid w:val="00AB4038"/>
    <w:rsid w:val="00AB468B"/>
    <w:rsid w:val="00AB46CC"/>
    <w:rsid w:val="00AB6098"/>
    <w:rsid w:val="00AB7870"/>
    <w:rsid w:val="00AC0223"/>
    <w:rsid w:val="00AC42A9"/>
    <w:rsid w:val="00AC6A89"/>
    <w:rsid w:val="00AC6F30"/>
    <w:rsid w:val="00AD4CBE"/>
    <w:rsid w:val="00AD6D1E"/>
    <w:rsid w:val="00AE1A2A"/>
    <w:rsid w:val="00AE3C70"/>
    <w:rsid w:val="00AE468A"/>
    <w:rsid w:val="00AE5145"/>
    <w:rsid w:val="00AE691A"/>
    <w:rsid w:val="00AE7587"/>
    <w:rsid w:val="00AE79EB"/>
    <w:rsid w:val="00AF1FC9"/>
    <w:rsid w:val="00AF2D22"/>
    <w:rsid w:val="00AF3AC9"/>
    <w:rsid w:val="00AF60CB"/>
    <w:rsid w:val="00B014CF"/>
    <w:rsid w:val="00B0298F"/>
    <w:rsid w:val="00B03A79"/>
    <w:rsid w:val="00B03EF4"/>
    <w:rsid w:val="00B04477"/>
    <w:rsid w:val="00B05A51"/>
    <w:rsid w:val="00B10FFA"/>
    <w:rsid w:val="00B11F93"/>
    <w:rsid w:val="00B122D5"/>
    <w:rsid w:val="00B124D2"/>
    <w:rsid w:val="00B13E4B"/>
    <w:rsid w:val="00B1442B"/>
    <w:rsid w:val="00B15752"/>
    <w:rsid w:val="00B16E7A"/>
    <w:rsid w:val="00B178BD"/>
    <w:rsid w:val="00B207A4"/>
    <w:rsid w:val="00B223DD"/>
    <w:rsid w:val="00B22672"/>
    <w:rsid w:val="00B2293C"/>
    <w:rsid w:val="00B2356B"/>
    <w:rsid w:val="00B27CAC"/>
    <w:rsid w:val="00B27E08"/>
    <w:rsid w:val="00B27F42"/>
    <w:rsid w:val="00B31263"/>
    <w:rsid w:val="00B32086"/>
    <w:rsid w:val="00B32577"/>
    <w:rsid w:val="00B33DA6"/>
    <w:rsid w:val="00B3677E"/>
    <w:rsid w:val="00B37157"/>
    <w:rsid w:val="00B42BDB"/>
    <w:rsid w:val="00B45A26"/>
    <w:rsid w:val="00B4663F"/>
    <w:rsid w:val="00B4793B"/>
    <w:rsid w:val="00B506B4"/>
    <w:rsid w:val="00B51024"/>
    <w:rsid w:val="00B54227"/>
    <w:rsid w:val="00B543FC"/>
    <w:rsid w:val="00B54CB0"/>
    <w:rsid w:val="00B54EA0"/>
    <w:rsid w:val="00B57F09"/>
    <w:rsid w:val="00B60423"/>
    <w:rsid w:val="00B61935"/>
    <w:rsid w:val="00B6264C"/>
    <w:rsid w:val="00B6377C"/>
    <w:rsid w:val="00B6405A"/>
    <w:rsid w:val="00B65475"/>
    <w:rsid w:val="00B65F88"/>
    <w:rsid w:val="00B66177"/>
    <w:rsid w:val="00B67817"/>
    <w:rsid w:val="00B71142"/>
    <w:rsid w:val="00B72939"/>
    <w:rsid w:val="00B72D4C"/>
    <w:rsid w:val="00B7435C"/>
    <w:rsid w:val="00B75351"/>
    <w:rsid w:val="00B75A1C"/>
    <w:rsid w:val="00B77262"/>
    <w:rsid w:val="00B77E16"/>
    <w:rsid w:val="00B81064"/>
    <w:rsid w:val="00B817C0"/>
    <w:rsid w:val="00B81922"/>
    <w:rsid w:val="00B83059"/>
    <w:rsid w:val="00B8395A"/>
    <w:rsid w:val="00B845B0"/>
    <w:rsid w:val="00B86AEC"/>
    <w:rsid w:val="00B8752A"/>
    <w:rsid w:val="00B87681"/>
    <w:rsid w:val="00B87EE4"/>
    <w:rsid w:val="00B905F4"/>
    <w:rsid w:val="00B93199"/>
    <w:rsid w:val="00B936E8"/>
    <w:rsid w:val="00B948C0"/>
    <w:rsid w:val="00B94D03"/>
    <w:rsid w:val="00B95410"/>
    <w:rsid w:val="00B95575"/>
    <w:rsid w:val="00B95EE4"/>
    <w:rsid w:val="00BA0F7F"/>
    <w:rsid w:val="00BA2EA0"/>
    <w:rsid w:val="00BA34C6"/>
    <w:rsid w:val="00BA4B14"/>
    <w:rsid w:val="00BA4E35"/>
    <w:rsid w:val="00BA5C6C"/>
    <w:rsid w:val="00BA5ECB"/>
    <w:rsid w:val="00BB2103"/>
    <w:rsid w:val="00BB446C"/>
    <w:rsid w:val="00BB6A52"/>
    <w:rsid w:val="00BC131E"/>
    <w:rsid w:val="00BC279B"/>
    <w:rsid w:val="00BC66A1"/>
    <w:rsid w:val="00BC70C9"/>
    <w:rsid w:val="00BD10FF"/>
    <w:rsid w:val="00BD1FE9"/>
    <w:rsid w:val="00BD3767"/>
    <w:rsid w:val="00BD4D85"/>
    <w:rsid w:val="00BD512B"/>
    <w:rsid w:val="00BD5569"/>
    <w:rsid w:val="00BE0991"/>
    <w:rsid w:val="00BE22A2"/>
    <w:rsid w:val="00BE2769"/>
    <w:rsid w:val="00BE3282"/>
    <w:rsid w:val="00BE4024"/>
    <w:rsid w:val="00BE4111"/>
    <w:rsid w:val="00BE5894"/>
    <w:rsid w:val="00BE5BCC"/>
    <w:rsid w:val="00BE6C8F"/>
    <w:rsid w:val="00BE768A"/>
    <w:rsid w:val="00BF1B24"/>
    <w:rsid w:val="00BF5676"/>
    <w:rsid w:val="00BF6B66"/>
    <w:rsid w:val="00C01E88"/>
    <w:rsid w:val="00C03256"/>
    <w:rsid w:val="00C053A2"/>
    <w:rsid w:val="00C059E2"/>
    <w:rsid w:val="00C063DE"/>
    <w:rsid w:val="00C0733A"/>
    <w:rsid w:val="00C07905"/>
    <w:rsid w:val="00C10FD0"/>
    <w:rsid w:val="00C11D93"/>
    <w:rsid w:val="00C1501A"/>
    <w:rsid w:val="00C15464"/>
    <w:rsid w:val="00C1678E"/>
    <w:rsid w:val="00C17D69"/>
    <w:rsid w:val="00C20B42"/>
    <w:rsid w:val="00C22517"/>
    <w:rsid w:val="00C25D86"/>
    <w:rsid w:val="00C260F5"/>
    <w:rsid w:val="00C26D03"/>
    <w:rsid w:val="00C2773B"/>
    <w:rsid w:val="00C27C71"/>
    <w:rsid w:val="00C3088B"/>
    <w:rsid w:val="00C309A9"/>
    <w:rsid w:val="00C30E2C"/>
    <w:rsid w:val="00C31A49"/>
    <w:rsid w:val="00C31EA3"/>
    <w:rsid w:val="00C32D9A"/>
    <w:rsid w:val="00C32F62"/>
    <w:rsid w:val="00C33AC8"/>
    <w:rsid w:val="00C35521"/>
    <w:rsid w:val="00C35E0C"/>
    <w:rsid w:val="00C36301"/>
    <w:rsid w:val="00C366E0"/>
    <w:rsid w:val="00C40AB3"/>
    <w:rsid w:val="00C40C40"/>
    <w:rsid w:val="00C550F3"/>
    <w:rsid w:val="00C564E9"/>
    <w:rsid w:val="00C61CD5"/>
    <w:rsid w:val="00C61E41"/>
    <w:rsid w:val="00C63799"/>
    <w:rsid w:val="00C646E5"/>
    <w:rsid w:val="00C652D8"/>
    <w:rsid w:val="00C65AA8"/>
    <w:rsid w:val="00C66073"/>
    <w:rsid w:val="00C66922"/>
    <w:rsid w:val="00C6714A"/>
    <w:rsid w:val="00C7083B"/>
    <w:rsid w:val="00C70D36"/>
    <w:rsid w:val="00C717FC"/>
    <w:rsid w:val="00C71916"/>
    <w:rsid w:val="00C71AD5"/>
    <w:rsid w:val="00C71F20"/>
    <w:rsid w:val="00C728E6"/>
    <w:rsid w:val="00C7296F"/>
    <w:rsid w:val="00C732BB"/>
    <w:rsid w:val="00C748E7"/>
    <w:rsid w:val="00C7518A"/>
    <w:rsid w:val="00C76544"/>
    <w:rsid w:val="00C770F9"/>
    <w:rsid w:val="00C8464A"/>
    <w:rsid w:val="00C85080"/>
    <w:rsid w:val="00C86CFC"/>
    <w:rsid w:val="00C871BA"/>
    <w:rsid w:val="00C87392"/>
    <w:rsid w:val="00C875D1"/>
    <w:rsid w:val="00C914DB"/>
    <w:rsid w:val="00C91703"/>
    <w:rsid w:val="00C91CC6"/>
    <w:rsid w:val="00C9337E"/>
    <w:rsid w:val="00C93D7C"/>
    <w:rsid w:val="00C95031"/>
    <w:rsid w:val="00C95810"/>
    <w:rsid w:val="00CA0FE0"/>
    <w:rsid w:val="00CA1FBC"/>
    <w:rsid w:val="00CA7CE2"/>
    <w:rsid w:val="00CB1713"/>
    <w:rsid w:val="00CB1783"/>
    <w:rsid w:val="00CB3367"/>
    <w:rsid w:val="00CB4D75"/>
    <w:rsid w:val="00CB5FD0"/>
    <w:rsid w:val="00CC3A29"/>
    <w:rsid w:val="00CC49DE"/>
    <w:rsid w:val="00CC4A06"/>
    <w:rsid w:val="00CC4D48"/>
    <w:rsid w:val="00CD04FA"/>
    <w:rsid w:val="00CD15B5"/>
    <w:rsid w:val="00CD19CE"/>
    <w:rsid w:val="00CD1B6C"/>
    <w:rsid w:val="00CD3683"/>
    <w:rsid w:val="00CD4AC4"/>
    <w:rsid w:val="00CE496B"/>
    <w:rsid w:val="00CE62BD"/>
    <w:rsid w:val="00CE695E"/>
    <w:rsid w:val="00CF0CAC"/>
    <w:rsid w:val="00CF11AD"/>
    <w:rsid w:val="00CF3601"/>
    <w:rsid w:val="00CF5158"/>
    <w:rsid w:val="00D00D70"/>
    <w:rsid w:val="00D01720"/>
    <w:rsid w:val="00D039EC"/>
    <w:rsid w:val="00D0479B"/>
    <w:rsid w:val="00D0578F"/>
    <w:rsid w:val="00D07933"/>
    <w:rsid w:val="00D07A90"/>
    <w:rsid w:val="00D10D15"/>
    <w:rsid w:val="00D11BA0"/>
    <w:rsid w:val="00D124DB"/>
    <w:rsid w:val="00D1258B"/>
    <w:rsid w:val="00D16800"/>
    <w:rsid w:val="00D17FAD"/>
    <w:rsid w:val="00D207DE"/>
    <w:rsid w:val="00D227B6"/>
    <w:rsid w:val="00D2332C"/>
    <w:rsid w:val="00D24CA8"/>
    <w:rsid w:val="00D2510B"/>
    <w:rsid w:val="00D25C3D"/>
    <w:rsid w:val="00D26861"/>
    <w:rsid w:val="00D27CCD"/>
    <w:rsid w:val="00D30F5D"/>
    <w:rsid w:val="00D3187A"/>
    <w:rsid w:val="00D32046"/>
    <w:rsid w:val="00D333A1"/>
    <w:rsid w:val="00D33DFC"/>
    <w:rsid w:val="00D34196"/>
    <w:rsid w:val="00D34868"/>
    <w:rsid w:val="00D34BE5"/>
    <w:rsid w:val="00D34D9E"/>
    <w:rsid w:val="00D35BA1"/>
    <w:rsid w:val="00D3687C"/>
    <w:rsid w:val="00D36DDF"/>
    <w:rsid w:val="00D40804"/>
    <w:rsid w:val="00D40B0F"/>
    <w:rsid w:val="00D41E49"/>
    <w:rsid w:val="00D43B47"/>
    <w:rsid w:val="00D46372"/>
    <w:rsid w:val="00D46938"/>
    <w:rsid w:val="00D4772A"/>
    <w:rsid w:val="00D47F46"/>
    <w:rsid w:val="00D50911"/>
    <w:rsid w:val="00D52697"/>
    <w:rsid w:val="00D52C5A"/>
    <w:rsid w:val="00D53E37"/>
    <w:rsid w:val="00D54655"/>
    <w:rsid w:val="00D54B02"/>
    <w:rsid w:val="00D551A8"/>
    <w:rsid w:val="00D56903"/>
    <w:rsid w:val="00D57E51"/>
    <w:rsid w:val="00D57F1F"/>
    <w:rsid w:val="00D628AF"/>
    <w:rsid w:val="00D64801"/>
    <w:rsid w:val="00D649C1"/>
    <w:rsid w:val="00D64F2A"/>
    <w:rsid w:val="00D65133"/>
    <w:rsid w:val="00D65491"/>
    <w:rsid w:val="00D661BB"/>
    <w:rsid w:val="00D736F0"/>
    <w:rsid w:val="00D743B8"/>
    <w:rsid w:val="00D74CD0"/>
    <w:rsid w:val="00D75786"/>
    <w:rsid w:val="00D757C1"/>
    <w:rsid w:val="00D76673"/>
    <w:rsid w:val="00D8464D"/>
    <w:rsid w:val="00D86B31"/>
    <w:rsid w:val="00D86D57"/>
    <w:rsid w:val="00D906C7"/>
    <w:rsid w:val="00D91C67"/>
    <w:rsid w:val="00D9209D"/>
    <w:rsid w:val="00D95207"/>
    <w:rsid w:val="00D959E7"/>
    <w:rsid w:val="00DA154A"/>
    <w:rsid w:val="00DA15C0"/>
    <w:rsid w:val="00DA359B"/>
    <w:rsid w:val="00DA3C5C"/>
    <w:rsid w:val="00DA5653"/>
    <w:rsid w:val="00DA7B65"/>
    <w:rsid w:val="00DB12AC"/>
    <w:rsid w:val="00DB29C6"/>
    <w:rsid w:val="00DB2C7B"/>
    <w:rsid w:val="00DC030F"/>
    <w:rsid w:val="00DC0491"/>
    <w:rsid w:val="00DC0E61"/>
    <w:rsid w:val="00DC0E8B"/>
    <w:rsid w:val="00DC18A7"/>
    <w:rsid w:val="00DC422B"/>
    <w:rsid w:val="00DC5272"/>
    <w:rsid w:val="00DC64C4"/>
    <w:rsid w:val="00DC6B22"/>
    <w:rsid w:val="00DD0D2A"/>
    <w:rsid w:val="00DD17ED"/>
    <w:rsid w:val="00DD2630"/>
    <w:rsid w:val="00DD2D0F"/>
    <w:rsid w:val="00DD4181"/>
    <w:rsid w:val="00DD4FC0"/>
    <w:rsid w:val="00DD6551"/>
    <w:rsid w:val="00DD6CAF"/>
    <w:rsid w:val="00DE1BA1"/>
    <w:rsid w:val="00DE2520"/>
    <w:rsid w:val="00DE4727"/>
    <w:rsid w:val="00DE546F"/>
    <w:rsid w:val="00DF0051"/>
    <w:rsid w:val="00DF343C"/>
    <w:rsid w:val="00DF3CAA"/>
    <w:rsid w:val="00DF4FA7"/>
    <w:rsid w:val="00DF7251"/>
    <w:rsid w:val="00E00227"/>
    <w:rsid w:val="00E0058A"/>
    <w:rsid w:val="00E03054"/>
    <w:rsid w:val="00E043E6"/>
    <w:rsid w:val="00E051CC"/>
    <w:rsid w:val="00E05354"/>
    <w:rsid w:val="00E05443"/>
    <w:rsid w:val="00E06123"/>
    <w:rsid w:val="00E076A9"/>
    <w:rsid w:val="00E106F3"/>
    <w:rsid w:val="00E11A40"/>
    <w:rsid w:val="00E11E91"/>
    <w:rsid w:val="00E16991"/>
    <w:rsid w:val="00E20120"/>
    <w:rsid w:val="00E20949"/>
    <w:rsid w:val="00E223EE"/>
    <w:rsid w:val="00E2477E"/>
    <w:rsid w:val="00E25436"/>
    <w:rsid w:val="00E273EA"/>
    <w:rsid w:val="00E32354"/>
    <w:rsid w:val="00E338F2"/>
    <w:rsid w:val="00E358AA"/>
    <w:rsid w:val="00E35B7D"/>
    <w:rsid w:val="00E36A3F"/>
    <w:rsid w:val="00E37048"/>
    <w:rsid w:val="00E400D4"/>
    <w:rsid w:val="00E401D5"/>
    <w:rsid w:val="00E42D12"/>
    <w:rsid w:val="00E43218"/>
    <w:rsid w:val="00E436AA"/>
    <w:rsid w:val="00E4474A"/>
    <w:rsid w:val="00E4550D"/>
    <w:rsid w:val="00E455D8"/>
    <w:rsid w:val="00E47017"/>
    <w:rsid w:val="00E4771A"/>
    <w:rsid w:val="00E5145F"/>
    <w:rsid w:val="00E52669"/>
    <w:rsid w:val="00E52846"/>
    <w:rsid w:val="00E53AB7"/>
    <w:rsid w:val="00E53B72"/>
    <w:rsid w:val="00E546D9"/>
    <w:rsid w:val="00E556A6"/>
    <w:rsid w:val="00E60151"/>
    <w:rsid w:val="00E603B4"/>
    <w:rsid w:val="00E604D6"/>
    <w:rsid w:val="00E60E1B"/>
    <w:rsid w:val="00E62D3B"/>
    <w:rsid w:val="00E64F73"/>
    <w:rsid w:val="00E65601"/>
    <w:rsid w:val="00E66B7F"/>
    <w:rsid w:val="00E718DF"/>
    <w:rsid w:val="00E71AE6"/>
    <w:rsid w:val="00E72EFE"/>
    <w:rsid w:val="00E73074"/>
    <w:rsid w:val="00E7322B"/>
    <w:rsid w:val="00E75128"/>
    <w:rsid w:val="00E75B2C"/>
    <w:rsid w:val="00E77150"/>
    <w:rsid w:val="00E77232"/>
    <w:rsid w:val="00E7782A"/>
    <w:rsid w:val="00E77AC9"/>
    <w:rsid w:val="00E80BE9"/>
    <w:rsid w:val="00E81DF1"/>
    <w:rsid w:val="00E85197"/>
    <w:rsid w:val="00E91EFD"/>
    <w:rsid w:val="00E92E94"/>
    <w:rsid w:val="00E940B0"/>
    <w:rsid w:val="00E950A1"/>
    <w:rsid w:val="00E963D2"/>
    <w:rsid w:val="00E96D4A"/>
    <w:rsid w:val="00E97648"/>
    <w:rsid w:val="00E97D77"/>
    <w:rsid w:val="00EA0FCD"/>
    <w:rsid w:val="00EA1373"/>
    <w:rsid w:val="00EA68CD"/>
    <w:rsid w:val="00EA6E76"/>
    <w:rsid w:val="00EB1E68"/>
    <w:rsid w:val="00EB5679"/>
    <w:rsid w:val="00EB76D2"/>
    <w:rsid w:val="00EC0649"/>
    <w:rsid w:val="00EC0C60"/>
    <w:rsid w:val="00EC11E4"/>
    <w:rsid w:val="00EC24A0"/>
    <w:rsid w:val="00EC56D8"/>
    <w:rsid w:val="00EC57F0"/>
    <w:rsid w:val="00EC6052"/>
    <w:rsid w:val="00ED1173"/>
    <w:rsid w:val="00ED1870"/>
    <w:rsid w:val="00ED2688"/>
    <w:rsid w:val="00ED2787"/>
    <w:rsid w:val="00ED2C3E"/>
    <w:rsid w:val="00ED30ED"/>
    <w:rsid w:val="00ED503C"/>
    <w:rsid w:val="00EE1FE0"/>
    <w:rsid w:val="00EE439A"/>
    <w:rsid w:val="00EE5A17"/>
    <w:rsid w:val="00EE6750"/>
    <w:rsid w:val="00EE7927"/>
    <w:rsid w:val="00EF04C3"/>
    <w:rsid w:val="00EF20BB"/>
    <w:rsid w:val="00EF296D"/>
    <w:rsid w:val="00EF3DCC"/>
    <w:rsid w:val="00F00511"/>
    <w:rsid w:val="00F00AED"/>
    <w:rsid w:val="00F00BA2"/>
    <w:rsid w:val="00F01790"/>
    <w:rsid w:val="00F02276"/>
    <w:rsid w:val="00F04547"/>
    <w:rsid w:val="00F054B8"/>
    <w:rsid w:val="00F10607"/>
    <w:rsid w:val="00F11737"/>
    <w:rsid w:val="00F14191"/>
    <w:rsid w:val="00F16D82"/>
    <w:rsid w:val="00F17BD6"/>
    <w:rsid w:val="00F20B24"/>
    <w:rsid w:val="00F22FB1"/>
    <w:rsid w:val="00F27298"/>
    <w:rsid w:val="00F27304"/>
    <w:rsid w:val="00F275CC"/>
    <w:rsid w:val="00F30B46"/>
    <w:rsid w:val="00F33C8F"/>
    <w:rsid w:val="00F34231"/>
    <w:rsid w:val="00F34D7C"/>
    <w:rsid w:val="00F359F1"/>
    <w:rsid w:val="00F361B7"/>
    <w:rsid w:val="00F361D9"/>
    <w:rsid w:val="00F36869"/>
    <w:rsid w:val="00F36F1E"/>
    <w:rsid w:val="00F3742D"/>
    <w:rsid w:val="00F3754C"/>
    <w:rsid w:val="00F4034D"/>
    <w:rsid w:val="00F403FF"/>
    <w:rsid w:val="00F41DE1"/>
    <w:rsid w:val="00F4266A"/>
    <w:rsid w:val="00F42DCC"/>
    <w:rsid w:val="00F4594C"/>
    <w:rsid w:val="00F51BD8"/>
    <w:rsid w:val="00F51D8B"/>
    <w:rsid w:val="00F55494"/>
    <w:rsid w:val="00F56A08"/>
    <w:rsid w:val="00F61055"/>
    <w:rsid w:val="00F614B6"/>
    <w:rsid w:val="00F619F1"/>
    <w:rsid w:val="00F61D67"/>
    <w:rsid w:val="00F65BFC"/>
    <w:rsid w:val="00F66DD8"/>
    <w:rsid w:val="00F6753C"/>
    <w:rsid w:val="00F72213"/>
    <w:rsid w:val="00F73FFE"/>
    <w:rsid w:val="00F7440F"/>
    <w:rsid w:val="00F74DAF"/>
    <w:rsid w:val="00F771CF"/>
    <w:rsid w:val="00F77800"/>
    <w:rsid w:val="00F81B2C"/>
    <w:rsid w:val="00F8233C"/>
    <w:rsid w:val="00F85A00"/>
    <w:rsid w:val="00F871F8"/>
    <w:rsid w:val="00F87CF3"/>
    <w:rsid w:val="00F92741"/>
    <w:rsid w:val="00F93818"/>
    <w:rsid w:val="00F94589"/>
    <w:rsid w:val="00F959AC"/>
    <w:rsid w:val="00F95A36"/>
    <w:rsid w:val="00F97916"/>
    <w:rsid w:val="00FA13DC"/>
    <w:rsid w:val="00FA14AE"/>
    <w:rsid w:val="00FA3B53"/>
    <w:rsid w:val="00FA4B3F"/>
    <w:rsid w:val="00FA617A"/>
    <w:rsid w:val="00FA6C9C"/>
    <w:rsid w:val="00FA701D"/>
    <w:rsid w:val="00FB1D70"/>
    <w:rsid w:val="00FB1F93"/>
    <w:rsid w:val="00FB224E"/>
    <w:rsid w:val="00FB2C04"/>
    <w:rsid w:val="00FB3772"/>
    <w:rsid w:val="00FB45F1"/>
    <w:rsid w:val="00FB5A41"/>
    <w:rsid w:val="00FC0280"/>
    <w:rsid w:val="00FC10F5"/>
    <w:rsid w:val="00FC1D47"/>
    <w:rsid w:val="00FC2C70"/>
    <w:rsid w:val="00FC3B6E"/>
    <w:rsid w:val="00FC45F6"/>
    <w:rsid w:val="00FD0EEF"/>
    <w:rsid w:val="00FD188C"/>
    <w:rsid w:val="00FD287E"/>
    <w:rsid w:val="00FD4BAD"/>
    <w:rsid w:val="00FD5A3B"/>
    <w:rsid w:val="00FD6E54"/>
    <w:rsid w:val="00FD7D52"/>
    <w:rsid w:val="00FE1709"/>
    <w:rsid w:val="00FE4742"/>
    <w:rsid w:val="00FE5023"/>
    <w:rsid w:val="00FE71C1"/>
    <w:rsid w:val="00FF1AEF"/>
    <w:rsid w:val="00FF2D6F"/>
    <w:rsid w:val="00FF3722"/>
    <w:rsid w:val="00FF3AAB"/>
    <w:rsid w:val="00FF42EA"/>
    <w:rsid w:val="00FF5233"/>
    <w:rsid w:val="00FF6EA3"/>
    <w:rsid w:val="00FF735C"/>
    <w:rsid w:val="00FF7D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4A2"/>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PlaceholderText">
    <w:name w:val="Placeholder Text"/>
    <w:basedOn w:val="DefaultParagraphFont"/>
    <w:uiPriority w:val="99"/>
    <w:semiHidden/>
    <w:rsid w:val="00CC4A06"/>
    <w:rPr>
      <w:color w:val="666666"/>
    </w:rPr>
  </w:style>
  <w:style w:type="paragraph" w:customStyle="1" w:styleId="BBAuthorName">
    <w:name w:val="BB_Author_Name"/>
    <w:basedOn w:val="Normal"/>
    <w:next w:val="BCAuthorAddress"/>
    <w:rsid w:val="00CC4A06"/>
    <w:pPr>
      <w:widowControl/>
      <w:spacing w:after="240" w:line="480" w:lineRule="auto"/>
      <w:jc w:val="center"/>
    </w:pPr>
    <w:rPr>
      <w:rFonts w:ascii="Times" w:eastAsia="Times New Roman" w:hAnsi="Times" w:cs="Times New Roman"/>
      <w:i/>
      <w:szCs w:val="20"/>
    </w:rPr>
  </w:style>
  <w:style w:type="paragraph" w:customStyle="1" w:styleId="BCAuthorAddress">
    <w:name w:val="BC_Author_Address"/>
    <w:basedOn w:val="Normal"/>
    <w:next w:val="Normal"/>
    <w:rsid w:val="00CC4A06"/>
    <w:pPr>
      <w:widowControl/>
      <w:spacing w:after="240" w:line="480" w:lineRule="auto"/>
      <w:jc w:val="center"/>
    </w:pPr>
    <w:rPr>
      <w:rFonts w:ascii="Times" w:eastAsia="Times New Roman" w:hAnsi="Times" w:cs="Times New Roman"/>
      <w:szCs w:val="20"/>
    </w:rPr>
  </w:style>
  <w:style w:type="paragraph" w:customStyle="1" w:styleId="p1">
    <w:name w:val="p1"/>
    <w:basedOn w:val="Normal"/>
    <w:rsid w:val="00CC4A06"/>
    <w:pPr>
      <w:widowControl/>
      <w:jc w:val="left"/>
    </w:pPr>
    <w:rPr>
      <w:rFonts w:ascii="Arial" w:eastAsia="Times New Roman" w:hAnsi="Arial" w:cs="Arial"/>
      <w:color w:val="000000"/>
      <w:sz w:val="15"/>
      <w:szCs w:val="15"/>
    </w:rPr>
  </w:style>
  <w:style w:type="table" w:styleId="TableGrid">
    <w:name w:val="Table Grid"/>
    <w:basedOn w:val="TableNormal"/>
    <w:uiPriority w:val="39"/>
    <w:rsid w:val="00CC4A06"/>
    <w:pPr>
      <w:widowControl/>
      <w:jc w:val="left"/>
    </w:pPr>
    <w:rPr>
      <w:rFonts w:asciiTheme="minorHAnsi" w:eastAsiaTheme="minorHAnsi" w:hAnsiTheme="minorHAnsi" w:cstheme="minorBidi"/>
      <w:kern w:val="2"/>
      <w:sz w:val="22"/>
      <w:szCs w:val="22"/>
      <w14:ligatures w14:val="standardContextual"/>
    </w:rPr>
    <w:tblPr/>
  </w:style>
  <w:style w:type="paragraph" w:customStyle="1" w:styleId="TAMainText">
    <w:name w:val="TA_Main_Text"/>
    <w:basedOn w:val="Normal"/>
    <w:rsid w:val="00CC4A06"/>
    <w:pPr>
      <w:widowControl/>
      <w:spacing w:line="480" w:lineRule="auto"/>
      <w:ind w:firstLine="202"/>
    </w:pPr>
    <w:rPr>
      <w:rFonts w:ascii="Times" w:eastAsia="Times New Roman" w:hAnsi="Times" w:cs="Times New Roman"/>
      <w:szCs w:val="20"/>
    </w:rPr>
  </w:style>
  <w:style w:type="paragraph" w:styleId="Bibliography">
    <w:name w:val="Bibliography"/>
    <w:basedOn w:val="Normal"/>
    <w:next w:val="Normal"/>
    <w:uiPriority w:val="37"/>
    <w:unhideWhenUsed/>
    <w:rsid w:val="00CC4A06"/>
    <w:pPr>
      <w:widowControl/>
      <w:tabs>
        <w:tab w:val="left" w:pos="504"/>
      </w:tabs>
      <w:ind w:left="504" w:hanging="504"/>
      <w:jc w:val="left"/>
    </w:pPr>
    <w:rPr>
      <w:rFonts w:asciiTheme="minorHAnsi" w:eastAsiaTheme="minorHAnsi" w:hAnsiTheme="minorHAnsi" w:cstheme="minorBidi"/>
      <w:kern w:val="2"/>
      <w:sz w:val="22"/>
      <w:szCs w:val="22"/>
      <w14:ligatures w14:val="standardContextual"/>
    </w:rPr>
  </w:style>
  <w:style w:type="paragraph" w:styleId="BalloonText">
    <w:name w:val="Balloon Text"/>
    <w:basedOn w:val="Normal"/>
    <w:link w:val="BalloonTextChar"/>
    <w:uiPriority w:val="99"/>
    <w:semiHidden/>
    <w:unhideWhenUsed/>
    <w:rsid w:val="00CC4A06"/>
    <w:pPr>
      <w:widowControl/>
      <w:jc w:val="left"/>
    </w:pPr>
    <w:rPr>
      <w:rFonts w:ascii="Segoe UI" w:eastAsiaTheme="minorHAnsi"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CC4A06"/>
    <w:rPr>
      <w:rFonts w:ascii="Segoe UI" w:eastAsiaTheme="minorHAnsi" w:hAnsi="Segoe UI" w:cs="Segoe UI"/>
      <w:kern w:val="2"/>
      <w:sz w:val="18"/>
      <w:szCs w:val="18"/>
      <w14:ligatures w14:val="standardContextual"/>
    </w:rPr>
  </w:style>
  <w:style w:type="paragraph" w:styleId="Header">
    <w:name w:val="header"/>
    <w:basedOn w:val="Normal"/>
    <w:link w:val="HeaderChar"/>
    <w:uiPriority w:val="99"/>
    <w:unhideWhenUsed/>
    <w:rsid w:val="00CC4A06"/>
    <w:pPr>
      <w:widowControl/>
      <w:tabs>
        <w:tab w:val="center" w:pos="4680"/>
        <w:tab w:val="right" w:pos="9360"/>
      </w:tabs>
      <w:jc w:val="left"/>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CC4A06"/>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34290</Words>
  <Characters>195454</Characters>
  <Application>Microsoft Office Word</Application>
  <DocSecurity>0</DocSecurity>
  <Lines>1628</Lines>
  <Paragraphs>458</Paragraphs>
  <ScaleCrop>false</ScaleCrop>
  <Company/>
  <LinksUpToDate>false</LinksUpToDate>
  <CharactersWithSpaces>229286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2026-04-13T15:12:00Z</dcterms:created>
  <dcterms:modified xsi:type="dcterms:W3CDTF">2026-04-15T17:52:00Z</dcterms:modified>
</cp:coreProperties>
</file>