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body>
    <w:p>
      <w:pPr>
        <w:pBdr>
          <w:between w:val="nil"/>
          <w:top w:val="nil"/>
          <w:left w:val="nil"/>
          <w:bottom w:val="nil"/>
          <w:right w:val="nil"/>
        </w:pBdr>
      </w:pPr>
      <w:r>
        <w:rPr>
          <w:b/>
        </w:rPr>
        <w:t>TITLE:</w:t>
      </w:r>
      <w:r>
        <w:t xml:space="preserve"> </w:t>
      </w:r>
    </w:p>
    <w:p>
      <w:pPr>
        <w:pBdr>
          <w:between w:val="nil"/>
          <w:top w:val="nil"/>
          <w:left w:val="nil"/>
          <w:bottom w:val="nil"/>
          <w:right w:val="nil"/>
        </w:pBdr>
      </w:pPr>
      <w:r>
        <w:rPr>
          <w:lang w:eastAsia="ko-KR"/>
        </w:rPr>
        <w:t xml:space="preserve">Uniportal </w:t>
      </w:r>
      <w:r>
        <w:t>Endoscopic Cervic</w:t>
      </w:r>
      <w:r>
        <w:rPr>
          <w:lang w:eastAsia="ko-KR"/>
        </w:rPr>
        <w:t>al</w:t>
      </w:r>
      <w:r>
        <w:t xml:space="preserve"> Decompression for Myelopathic Spinal Stenosis</w:t>
      </w:r>
    </w:p>
    <w:p>
      <w:pPr>
        <w:rPr>
          <w:b/>
        </w:rPr>
      </w:pPr>
    </w:p>
    <w:p>
      <w:r>
        <w:rPr>
          <w:b/>
        </w:rPr>
        <w:t>AUTHORS AND AFFILIATIONS:</w:t>
      </w:r>
    </w:p>
    <w:p>
      <w:r>
        <w:rPr>
          <w:lang w:eastAsia="ko-KR"/>
        </w:rPr>
        <w:t>Yoon Ha Hwang</w:t>
      </w:r>
      <w:r>
        <w:rPr>
          <w:lang w:eastAsia="ko-KR"/>
          <w:vertAlign w:val="superscript"/>
        </w:rPr>
        <w:t>1</w:t>
      </w:r>
      <w:r>
        <w:rPr>
          <w:lang w:eastAsia="ko-KR"/>
        </w:rPr>
        <w:t>, Steve S. Cho</w:t>
      </w:r>
      <w:r>
        <w:rPr>
          <w:lang w:eastAsia="ko-KR"/>
          <w:vertAlign w:val="superscript"/>
        </w:rPr>
        <w:t>1,2</w:t>
      </w:r>
      <w:r>
        <w:rPr>
          <w:lang w:eastAsia="ko-KR"/>
        </w:rPr>
        <w:t>, Dong-</w:t>
      </w:r>
      <w:r>
        <w:rPr>
          <w:lang w:eastAsia="ko-KR"/>
        </w:rPr>
        <w:t xml:space="preserve">Hwa </w:t>
      </w:r>
      <w:r>
        <w:rPr>
          <w:lang w:eastAsia="ko-KR"/>
        </w:rPr>
        <w:t>Heo</w:t>
      </w:r>
      <w:r>
        <w:rPr>
          <w:lang w:eastAsia="ko-KR"/>
          <w:vertAlign w:val="superscript"/>
        </w:rPr>
        <w:t>1</w:t>
      </w:r>
      <w:r>
        <w:rPr>
          <w:lang w:eastAsia="ko-KR"/>
        </w:rPr>
        <w:t>, Hyeun-sung Kim</w:t>
      </w:r>
      <w:r>
        <w:rPr>
          <w:lang w:eastAsia="ko-KR"/>
          <w:vertAlign w:val="superscript"/>
        </w:rPr>
        <w:t>1</w:t>
      </w:r>
    </w:p>
    <w:p>
      <w:pPr>
        <w:pBdr>
          <w:between w:val="nil"/>
          <w:top w:val="nil"/>
          <w:left w:val="nil"/>
          <w:bottom w:val="nil"/>
          <w:right w:val="nil"/>
        </w:pBdr>
      </w:pPr>
    </w:p>
    <w:p>
      <w:pPr>
        <w:pBdr>
          <w:between w:val="nil"/>
          <w:top w:val="nil"/>
          <w:left w:val="nil"/>
          <w:bottom w:val="nil"/>
          <w:right w:val="nil"/>
        </w:pBdr>
      </w:pPr>
      <w:r>
        <w:rPr>
          <w:vertAlign w:val="superscript"/>
        </w:rPr>
        <w:t>1</w:t>
      </w:r>
      <w:r>
        <w:t>Department of Neurosurgery, Harrison Spinartus Hospital Chungdam, Seoul, Republic of Korea</w:t>
      </w:r>
    </w:p>
    <w:p>
      <w:pPr>
        <w:pBdr>
          <w:between w:val="nil"/>
          <w:top w:val="nil"/>
          <w:left w:val="nil"/>
          <w:bottom w:val="nil"/>
          <w:right w:val="nil"/>
        </w:pBdr>
      </w:pPr>
      <w:r>
        <w:rPr>
          <w:vertAlign w:val="superscript"/>
        </w:rPr>
        <w:t>2</w:t>
      </w:r>
      <w:r>
        <w:t>Department of Neurosurgery, Barrow Neurological Institute, Phoenix, AZ, USA</w:t>
      </w:r>
    </w:p>
    <w:p>
      <w:pPr>
        <w:pBdr>
          <w:between w:val="nil"/>
          <w:top w:val="nil"/>
          <w:left w:val="nil"/>
          <w:bottom w:val="nil"/>
          <w:right w:val="nil"/>
        </w:pBdr>
      </w:pPr>
    </w:p>
    <w:p>
      <w:pPr>
        <w:pBdr>
          <w:between w:val="nil"/>
          <w:top w:val="nil"/>
          <w:left w:val="nil"/>
          <w:bottom w:val="nil"/>
          <w:right w:val="nil"/>
        </w:pBdr>
      </w:pPr>
      <w:r>
        <w:t>Email addresses of the co-authors:</w:t>
      </w:r>
    </w:p>
    <w:p>
      <w:pPr>
        <w:pBdr>
          <w:between w:val="nil"/>
          <w:top w:val="nil"/>
          <w:left w:val="nil"/>
          <w:bottom w:val="nil"/>
          <w:right w:val="nil"/>
        </w:pBdr>
        <w:rPr>
          <w:lang w:eastAsia="ko-KR"/>
        </w:rPr>
      </w:pPr>
      <w:r>
        <w:rPr>
          <w:lang w:eastAsia="ko-KR"/>
        </w:rPr>
        <w:t>Yoon Ha Hwang</w:t>
      </w:r>
      <w:r>
        <w:rPr>
          <w:lang w:eastAsia="ko-KR"/>
        </w:rPr>
        <w:tab/>
      </w:r>
      <w:r>
        <w:rPr>
          <w:lang w:eastAsia="ko-KR"/>
        </w:rPr>
        <w:tab/>
      </w:r>
      <w:r>
        <w:rPr>
          <w:lang w:eastAsia="ko-KR"/>
        </w:rPr>
        <w:t>hwangyoonha88@gmail.com</w:t>
      </w:r>
    </w:p>
    <w:p>
      <w:pPr>
        <w:pBdr>
          <w:between w:val="nil"/>
          <w:top w:val="nil"/>
          <w:left w:val="nil"/>
          <w:bottom w:val="nil"/>
          <w:right w:val="nil"/>
        </w:pBdr>
        <w:rPr>
          <w:lang w:eastAsia="ko-KR"/>
        </w:rPr>
      </w:pPr>
      <w:r>
        <w:rPr>
          <w:lang w:eastAsia="ko-KR"/>
        </w:rPr>
        <w:t>Steve S. Cho</w:t>
      </w:r>
      <w:r>
        <w:rPr>
          <w:lang w:eastAsia="ko-KR"/>
        </w:rPr>
        <w:tab/>
      </w:r>
      <w:r>
        <w:rPr>
          <w:lang w:eastAsia="ko-KR"/>
        </w:rPr>
        <w:tab/>
      </w:r>
      <w:r>
        <w:rPr>
          <w:lang w:eastAsia="ko-KR"/>
        </w:rPr>
        <w:t>swcho92@gmail.com</w:t>
      </w:r>
    </w:p>
    <w:p>
      <w:pPr>
        <w:pBdr>
          <w:between w:val="nil"/>
          <w:top w:val="nil"/>
          <w:left w:val="nil"/>
          <w:bottom w:val="nil"/>
          <w:right w:val="nil"/>
        </w:pBdr>
        <w:rPr>
          <w:lang w:eastAsia="ko-KR"/>
        </w:rPr>
      </w:pPr>
      <w:r>
        <w:rPr>
          <w:lang w:eastAsia="ko-KR"/>
        </w:rPr>
        <w:t>Dong-</w:t>
      </w:r>
      <w:r>
        <w:rPr>
          <w:lang w:eastAsia="ko-KR"/>
        </w:rPr>
        <w:t>H</w:t>
      </w:r>
      <w:r>
        <w:rPr>
          <w:lang w:eastAsia="ko-KR"/>
        </w:rPr>
        <w:t>wa Heo</w:t>
      </w:r>
      <w:r>
        <w:rPr>
          <w:lang w:eastAsia="ko-KR"/>
        </w:rPr>
        <w:tab/>
      </w:r>
      <w:r>
        <w:rPr>
          <w:lang w:eastAsia="ko-KR"/>
        </w:rPr>
        <w:tab/>
      </w:r>
      <w:r>
        <w:rPr>
          <w:lang w:eastAsia="ko-KR"/>
        </w:rPr>
        <w:t>spineneurosurgeon@gmail.com</w:t>
      </w:r>
    </w:p>
    <w:p>
      <w:pPr>
        <w:pBdr>
          <w:between w:val="nil"/>
          <w:top w:val="nil"/>
          <w:left w:val="nil"/>
          <w:bottom w:val="nil"/>
          <w:right w:val="nil"/>
        </w:pBdr>
        <w:rPr>
          <w:lang w:eastAsia="ko-KR"/>
        </w:rPr>
      </w:pPr>
    </w:p>
    <w:p>
      <w:pPr>
        <w:pBdr>
          <w:between w:val="nil"/>
          <w:top w:val="nil"/>
          <w:left w:val="nil"/>
          <w:bottom w:val="nil"/>
          <w:right w:val="nil"/>
        </w:pBdr>
        <w:rPr>
          <w:lang w:eastAsia="ko-KR"/>
        </w:rPr>
      </w:pPr>
      <w:r>
        <w:rPr>
          <w:lang w:eastAsia="ko-KR"/>
        </w:rPr>
        <w:t>Corresponding author:</w:t>
      </w:r>
    </w:p>
    <w:p>
      <w:pPr>
        <w:pBdr>
          <w:between w:val="nil"/>
          <w:top w:val="nil"/>
          <w:left w:val="nil"/>
          <w:bottom w:val="nil"/>
          <w:right w:val="nil"/>
        </w:pBdr>
        <w:rPr>
          <w:lang w:eastAsia="ko-KR"/>
        </w:rPr>
      </w:pPr>
      <w:r>
        <w:rPr>
          <w:lang w:eastAsia="ko-KR"/>
        </w:rPr>
        <w:t>Hyeun-sung Kim</w:t>
      </w:r>
      <w:r>
        <w:rPr>
          <w:lang w:eastAsia="ko-KR"/>
        </w:rPr>
        <w:tab/>
      </w:r>
      <w:r>
        <w:rPr>
          <w:lang w:eastAsia="ko-KR"/>
        </w:rPr>
        <w:tab/>
      </w:r>
      <w:r>
        <w:rPr>
          <w:lang w:eastAsia="ko-KR"/>
        </w:rPr>
        <w:t>neurospinekim@gmail.com</w:t>
      </w:r>
    </w:p>
    <w:p>
      <w:pPr>
        <w:pBdr>
          <w:between w:val="nil"/>
          <w:top w:val="nil"/>
          <w:left w:val="nil"/>
          <w:bottom w:val="nil"/>
          <w:right w:val="nil"/>
        </w:pBdr>
        <w:rPr>
          <w:lang w:eastAsia="ko-KR"/>
        </w:rPr>
      </w:pPr>
    </w:p>
    <w:p>
      <w:r>
        <w:rPr>
          <w:b/>
        </w:rPr>
        <w:t>SUMMARY:</w:t>
      </w:r>
    </w:p>
    <w:p>
      <w:r>
        <w:t xml:space="preserve">This </w:t>
      </w:r>
      <w:r>
        <w:t>article</w:t>
      </w:r>
      <w:r>
        <w:t xml:space="preserve"> presents an endoscopic cervical decompression technique enabling precise, minimally invasive treatment of myelopathic spinal stenosis with effective neural decompression and reduced tissue </w:t>
      </w:r>
      <w:r>
        <w:rPr>
          <w:lang w:eastAsia="ko-KR"/>
        </w:rPr>
        <w:t>damage</w:t>
      </w:r>
      <w:r>
        <w:t>.</w:t>
      </w:r>
    </w:p>
    <w:p/>
    <w:p>
      <w:pPr>
        <w:rPr>
          <w:lang w:eastAsia="ko-KR"/>
        </w:rPr>
      </w:pPr>
      <w:r>
        <w:rPr>
          <w:b/>
        </w:rPr>
        <w:t>ABSTRACT:</w:t>
      </w:r>
      <w:r>
        <w:t xml:space="preserve"> </w:t>
      </w:r>
    </w:p>
    <w:p>
      <w:r>
        <w:rPr>
          <w:lang w:eastAsia="ko-KR"/>
        </w:rPr>
        <w:t>This article demonstrates the step-by-step surgical technique of endoscopic cervical decompression for myelopathic cervical spinal stenosis. The procedure allows precise neural decompression under continuous endoscopic visualization while minimizing muscle disruption and aiming to preserve posterior stabilizing structures. The key steps include portal docking, controlled drilling of the osseous structures, and removal of the ligamentum flavum to achieve sufficient spinal cord decompression while avoiding neural injury. Despite its minimally invasive advantages, endoscopic cervical decompression can be technically challenging, particularly for surgeons in the early learning phase, due to the narrow working corridor and close proximity to critical neural elements. Therefore, this article provides detailed guidance and explanations of common technical difficulties, anatomical considerations, and practical strategies to overcome these challenges. By highlighting both procedural steps and potential pitfalls, this protocol demonstrates the feasibility of endoscopic cervical decompression and presents representative institutional outcomes. It aims to facilitate safer and more effective adoption of this minimally invasive treatment option for cervical myelopathy in appropriately selected patients.</w:t>
      </w:r>
    </w:p>
    <w:p/>
    <w:p>
      <w:r>
        <w:rPr>
          <w:b/>
        </w:rPr>
        <w:t>INTRODUCTION:</w:t>
      </w:r>
      <w:r>
        <w:t xml:space="preserve"> </w:t>
      </w:r>
    </w:p>
    <w:p>
      <w:pPr>
        <w:rPr>
          <w:lang w:eastAsia="ko-KR"/>
        </w:rPr>
      </w:pPr>
      <w:r>
        <w:t>Approximately 5–20% of patients with cervical spinal stenosis eventually require surgical intervention due to progressive myelopathic symptoms</w:t>
      </w:r>
      <w:r>
        <w:rPr>
          <w:noProof/>
          <w:vertAlign w:val="superscript"/>
        </w:rPr>
        <w:t>1,2</w:t>
      </w:r>
      <w:r>
        <w:t>. Conventional wide posterior decompression through open laminectomy provides sufficient neural decompression; however, it is associated with extensive injury to the posterior musculature and supporting soft tissues</w:t>
      </w:r>
      <w:r>
        <w:rPr>
          <w:noProof/>
          <w:vertAlign w:val="superscript"/>
        </w:rPr>
        <w:t>3</w:t>
      </w:r>
      <w:r>
        <w:t xml:space="preserve">. Such tissue disruption has been reported to contribute to postoperative </w:t>
      </w:r>
      <w:r>
        <w:t>cervical kyphotic deformity and segmental instability. To mitigate these deformities, posterior instrumentation with screw fixation has been employed in selected cases. Although effective in maintaining sagittal alignment, this approach may restrict postoperative cervical motion and has been associated with complications</w:t>
      </w:r>
      <w:r>
        <w:t>,</w:t>
      </w:r>
      <w:r>
        <w:t xml:space="preserve"> including hardware-related failure</w:t>
      </w:r>
      <w:r>
        <w:rPr>
          <w:noProof/>
          <w:vertAlign w:val="superscript"/>
        </w:rPr>
        <w:t>4</w:t>
      </w:r>
      <w:r>
        <w:rPr>
          <w:lang w:eastAsia="ko-KR"/>
        </w:rPr>
        <w:t>.</w:t>
      </w:r>
    </w:p>
    <w:p/>
    <w:p>
      <w:r>
        <w:t>To overcome these limitations, minimally invasive spine surgery techniques aimed at minimizing muscle and soft tissue injury have increasingly been applied to the cervical spine</w:t>
      </w:r>
      <w:r>
        <w:rPr>
          <w:noProof/>
          <w:vertAlign w:val="superscript"/>
        </w:rPr>
        <w:t>5</w:t>
      </w:r>
      <w:r>
        <w:t>. Among these, endoscopic cervical decompression has gained attention due to its ability to achieve adequate neural decompression while minimizing surgical invasiveness</w:t>
      </w:r>
      <w:r>
        <w:rPr>
          <w:noProof/>
          <w:vertAlign w:val="superscript"/>
        </w:rPr>
        <w:t>6</w:t>
      </w:r>
      <w:r>
        <w:t>. By preserving posterior stabilizing structures, this technique may reduce the risk of postoperative deformity and facilitate earlier functional recovery</w:t>
      </w:r>
      <w:r>
        <w:rPr>
          <w:noProof/>
          <w:vertAlign w:val="superscript"/>
        </w:rPr>
        <w:t>7</w:t>
      </w:r>
      <w:r>
        <w:t>. Nevertheless, because the procedure is performed in close proximity to the spinal cord within a narrow working corridor, it carries a non-negligible risk of complications and requires a steep learning curve, particularly for surgeons in the early phase of adoption</w:t>
      </w:r>
      <w:r>
        <w:rPr>
          <w:noProof/>
          <w:vertAlign w:val="superscript"/>
        </w:rPr>
        <w:t>8</w:t>
      </w:r>
      <w:r>
        <w:t>.</w:t>
      </w:r>
    </w:p>
    <w:p/>
    <w:p>
      <w:r>
        <w:t>The overall goal of this method is to achieve effective spinal cord decompression while minimizing tissue injury and preserving cervical stability. In this article, we provide a detailed, step-by-step demonstration of endoscopic posterior cervical decompression, with a specific focus on anticipated technical challenges, anatomical pitfalls, and practical strategies to enhance procedural safety. This technique may be particularly suitable for patients with posterior compressive pathology, including multilevel cervical myelopathy or selected cases without significant cervical deformity. This article presents a technical protocol supported by representative institutional outcomes rather than comparative efficacy data.</w:t>
      </w:r>
      <w:r>
        <w:rPr>
          <w:lang w:eastAsia="ko-KR"/>
        </w:rPr>
        <w:t xml:space="preserve"> </w:t>
      </w:r>
      <w:r>
        <w:t>Representative preoperative and postoperative imaging, radiological findings, and clinical outcomes from patients treated at our institution are presented to assist readers in determining whether this technique is an appropriate surgical option for the management of myelopathic cervical spinal stenosis.</w:t>
      </w:r>
    </w:p>
    <w:p>
      <w:pPr>
        <w:rPr>
          <w:b/>
        </w:rPr>
      </w:pPr>
    </w:p>
    <w:p>
      <w:r>
        <w:rPr>
          <w:b/>
        </w:rPr>
        <w:t>PROTOCOL:</w:t>
      </w:r>
      <w:r>
        <w:t xml:space="preserve"> </w:t>
      </w:r>
    </w:p>
    <w:p>
      <w:r>
        <w:t>The procedure described in this article was approved by the Institutional Review Board (IRB No. HRS-IRB 2025-001), and written informed consent was obtained from all patients for participation, video recording, and data collection.</w:t>
      </w:r>
    </w:p>
    <w:p/>
    <w:p>
      <w:pPr>
        <w:pStyle w:val="ListParagraph"/>
        <w:ind w:left="0" w:firstLine="0"/>
        <w:numPr>
          <w:ilvl w:val="0"/>
          <w:numId w:val="1"/>
        </w:numPr>
        <w:spacing w:after="0" w:line="240" w:lineRule="auto"/>
        <w:rPr>
          <w:rFonts w:ascii="Calibri" w:hAnsi="Calibri" w:cs="Calibri"/>
          <w:b/>
          <w:bCs/>
          <w:sz w:val="24"/>
          <w:szCs w:val="24"/>
        </w:rPr>
      </w:pPr>
      <w:r>
        <w:rPr>
          <w:rFonts w:ascii="Calibri" w:hAnsi="Calibri" w:cs="Calibri"/>
          <w:b/>
          <w:bCs/>
          <w:sz w:val="24"/>
          <w:szCs w:val="24"/>
        </w:rPr>
        <w:t xml:space="preserve">Experimental </w:t>
      </w:r>
      <w:r>
        <w:rPr>
          <w:rFonts w:ascii="Calibri" w:hAnsi="Calibri" w:cs="Calibri"/>
          <w:b/>
          <w:bCs/>
          <w:sz w:val="24"/>
          <w:szCs w:val="24"/>
        </w:rPr>
        <w:t>preoperative preparation</w:t>
      </w:r>
    </w:p>
    <w:p>
      <w:pPr>
        <w:rPr>
          <w:b/>
          <w:bCs/>
        </w:rPr>
      </w:pPr>
    </w:p>
    <w:p>
      <w:pPr>
        <w:pStyle w:val="ListParagraph"/>
        <w:ind w:left="0" w:firstLine="0"/>
        <w:numPr>
          <w:ilvl w:val="1"/>
          <w:numId w:val="1"/>
        </w:numPr>
        <w:spacing w:after="0" w:line="240" w:lineRule="auto"/>
        <w:rPr>
          <w:lang w:eastAsia="ko-KR"/>
          <w:rFonts w:ascii="Calibri" w:hAnsi="Calibri" w:cs="Calibri"/>
          <w:sz w:val="24"/>
          <w:szCs w:val="24"/>
        </w:rPr>
      </w:pPr>
      <w:r>
        <w:rPr>
          <w:lang w:eastAsia="ko-KR"/>
          <w:rFonts w:ascii="Calibri" w:hAnsi="Calibri" w:cs="Calibri"/>
          <w:sz w:val="24"/>
          <w:szCs w:val="24"/>
        </w:rPr>
        <w:t xml:space="preserve">Patient </w:t>
      </w:r>
      <w:r>
        <w:rPr>
          <w:lang w:eastAsia="ko-KR"/>
          <w:rFonts w:ascii="Calibri" w:hAnsi="Calibri" w:cs="Calibri"/>
          <w:sz w:val="24"/>
          <w:szCs w:val="24"/>
        </w:rPr>
        <w:t>selection</w:t>
      </w:r>
    </w:p>
    <w:p>
      <w:pPr>
        <w:ind w:firstLineChars="100" w:firstLine="240"/>
        <w:rPr>
          <w:lang w:eastAsia="ko-KR"/>
        </w:rPr>
      </w:pPr>
    </w:p>
    <w:p>
      <w:pPr>
        <w:rPr>
          <w:lang w:eastAsia="ko-KR"/>
        </w:rPr>
      </w:pPr>
      <w:r>
        <w:rPr>
          <w:lang w:eastAsia="ko-KR"/>
        </w:rPr>
        <w:t>NOTE: The primary indication for this procedure is multilevel degenerative cervical myelopathy with predominantly posterior compressive pathology.</w:t>
      </w:r>
    </w:p>
    <w:p>
      <w:pPr>
        <w:rPr>
          <w:lang w:eastAsia="ko-KR"/>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Select patients presenting with clinical signs and symptoms of cervical myelopathy, including gait disturbance, hand clumsiness, or upper motor neuron signs.</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Confirm spinal cord compression at the target cervical level using preoperative magnetic resonance imaging (MRI) and computed tomography (CT)</w:t>
      </w:r>
      <w:r>
        <w:rPr>
          <w:lang w:eastAsia="ko-KR"/>
          <w:rFonts w:ascii="Calibri" w:hAnsi="Calibri" w:cs="Calibri"/>
          <w:sz w:val="24"/>
          <w:szCs w:val="24"/>
        </w:rPr>
        <w:t>.</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Ensure that the compressive pathology is primarily posterior or dorsal in nature and amenable to posterior endoscopic decompression.</w:t>
      </w:r>
    </w:p>
    <w:p>
      <w:pPr>
        <w:pStyle w:val="ListParagraph"/>
        <w:ind w:left="0"/>
        <w:spacing w:after="0" w:line="240" w:lineRule="auto"/>
        <w:rPr>
          <w:lang w:eastAsia="ko-KR"/>
          <w:rFonts w:ascii="Calibri" w:hAnsi="Calibri" w:cs="Calibri"/>
          <w:sz w:val="24"/>
          <w:szCs w:val="24"/>
        </w:rPr>
      </w:pPr>
    </w:p>
    <w:p>
      <w:pPr>
        <w:rPr>
          <w:lang w:eastAsia="ko-KR"/>
        </w:rPr>
      </w:pPr>
      <w:r>
        <w:rPr>
          <w:lang w:eastAsia="ko-KR"/>
        </w:rPr>
        <w:t>NOTE: Exclude patients with significant cervical deformity, defined as preoperative kyphotic alignment exceeding 10° in the C2–7 Cobb angle on lateral radiographs (e.g., swan-neck deformity), preoperative cervical instability, or conditions requiring mandatory anterior decompression. This includes patients with predominant ventral pathology such as large cervical disc herniations or ossification of the posterior longitudinal ligament (OPLL), where adequate decompression cannot be achieved through a posterior endoscopic approach alone.</w:t>
      </w:r>
    </w:p>
    <w:p>
      <w:pPr>
        <w:ind w:leftChars="500" w:left="1200"/>
        <w:rPr>
          <w:lang w:eastAsia="ko-KR"/>
        </w:rPr>
      </w:pPr>
    </w:p>
    <w:p>
      <w:pPr>
        <w:pStyle w:val="ListParagraph"/>
        <w:ind w:left="0" w:firstLine="0"/>
        <w:numPr>
          <w:ilvl w:val="1"/>
          <w:numId w:val="1"/>
        </w:numPr>
        <w:spacing w:after="0" w:line="240" w:lineRule="auto"/>
        <w:rPr>
          <w:lang w:eastAsia="ko-KR"/>
          <w:rFonts w:ascii="Calibri" w:hAnsi="Calibri" w:cs="Calibri"/>
          <w:sz w:val="24"/>
          <w:szCs w:val="24"/>
        </w:rPr>
      </w:pPr>
      <w:r>
        <w:rPr>
          <w:lang w:eastAsia="ko-KR"/>
          <w:rFonts w:ascii="Calibri" w:hAnsi="Calibri" w:cs="Calibri"/>
          <w:sz w:val="24"/>
          <w:szCs w:val="24"/>
        </w:rPr>
        <w:t xml:space="preserve">Patient </w:t>
      </w:r>
      <w:r>
        <w:rPr>
          <w:lang w:eastAsia="ko-KR"/>
          <w:rFonts w:ascii="Calibri" w:hAnsi="Calibri" w:cs="Calibri"/>
          <w:sz w:val="24"/>
          <w:szCs w:val="24"/>
        </w:rPr>
        <w:t>preparation</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 xml:space="preserve">Perform routine preoperative evaluations, including standard laboratory blood tests and chest radiography, to confirm the </w:t>
      </w:r>
      <w:r>
        <w:rPr>
          <w:lang w:eastAsia="ko-KR"/>
          <w:rFonts w:ascii="Calibri" w:hAnsi="Calibri" w:cs="Calibri"/>
          <w:sz w:val="24"/>
          <w:szCs w:val="24"/>
        </w:rPr>
        <w:t xml:space="preserve">patient's </w:t>
      </w:r>
      <w:r>
        <w:rPr>
          <w:lang w:eastAsia="ko-KR"/>
          <w:rFonts w:ascii="Calibri" w:hAnsi="Calibri" w:cs="Calibri"/>
          <w:sz w:val="24"/>
          <w:szCs w:val="24"/>
        </w:rPr>
        <w:t>suitability for general anesthesia and surgical intervention.</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Conduct a thorough preoperative neurological examination to document baseline neurological status, including motor strength, sensory function, and signs of myelopathy.</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Administer prophylactic antibiotics (First-generation cephalosporin) on the day of surgery, typically initiated preoperatively and continued at regular intervals postoperatively according to institutional protocol.</w:t>
      </w:r>
    </w:p>
    <w:p>
      <w:pPr>
        <w:pStyle w:val="ListParagraph"/>
        <w:ind w:left="0"/>
        <w:spacing w:after="0" w:line="240" w:lineRule="auto"/>
        <w:rPr>
          <w:lang w:eastAsia="ko-KR"/>
          <w:rFonts w:ascii="Calibri" w:hAnsi="Calibri" w:cs="Calibri"/>
          <w:sz w:val="24"/>
          <w:szCs w:val="24"/>
        </w:rPr>
      </w:pPr>
    </w:p>
    <w:p>
      <w:pPr>
        <w:pStyle w:val="ListParagraph"/>
        <w:ind w:left="0" w:firstLine="0"/>
        <w:numPr>
          <w:ilvl w:val="1"/>
          <w:numId w:val="1"/>
        </w:numPr>
        <w:spacing w:after="0" w:line="240" w:lineRule="auto"/>
        <w:rPr>
          <w:lang w:eastAsia="ko-KR"/>
          <w:rFonts w:ascii="Calibri" w:hAnsi="Calibri" w:cs="Calibri"/>
          <w:sz w:val="24"/>
          <w:szCs w:val="24"/>
        </w:rPr>
      </w:pPr>
      <w:r>
        <w:rPr>
          <w:lang w:eastAsia="ko-KR"/>
          <w:rFonts w:ascii="Calibri" w:hAnsi="Calibri" w:cs="Calibri"/>
          <w:sz w:val="24"/>
          <w:szCs w:val="24"/>
        </w:rPr>
        <w:t>Equipment</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Ensure the availability of a full-endoscopic spine surgery system, including a</w:t>
      </w:r>
      <w:r>
        <w:rPr>
          <w:lang w:eastAsia="ko-KR"/>
          <w:rFonts w:ascii="Calibri" w:hAnsi="Calibri" w:cs="Calibri"/>
          <w:sz w:val="24"/>
          <w:szCs w:val="24"/>
        </w:rPr>
        <w:t>n</w:t>
      </w:r>
      <w:r>
        <w:rPr>
          <w:lang w:eastAsia="ko-KR"/>
          <w:rFonts w:ascii="Calibri" w:hAnsi="Calibri" w:cs="Calibri"/>
          <w:sz w:val="24"/>
          <w:szCs w:val="24"/>
        </w:rPr>
        <w:t xml:space="preserve"> endoscope with an integrated working channel, light source, irrigation system, and high-definition video display.</w:t>
      </w:r>
    </w:p>
    <w:p>
      <w:pPr>
        <w:pStyle w:val="ListParagraph"/>
        <w:ind w:left="0"/>
        <w:spacing w:after="0" w:line="240" w:lineRule="auto"/>
        <w:rPr>
          <w:lang w:eastAsia="ko-KR"/>
          <w:rFonts w:ascii="Calibri" w:hAnsi="Calibri" w:cs="Calibri"/>
          <w:sz w:val="24"/>
          <w:szCs w:val="24"/>
        </w:rPr>
      </w:pPr>
    </w:p>
    <w:p>
      <w:pPr>
        <w:rPr>
          <w:lang w:eastAsia="ko-KR"/>
        </w:rPr>
      </w:pPr>
      <w:r>
        <w:rPr>
          <w:lang w:eastAsia="ko-KR"/>
        </w:rPr>
        <w:t>NOTE: The principles and techniques described in this protocol are generally applicable to most contemporary spinal endoscopic systems.</w:t>
      </w:r>
    </w:p>
    <w:p>
      <w:pPr>
        <w:ind w:leftChars="500" w:left="1200"/>
        <w:rPr>
          <w:lang w:eastAsia="ko-KR"/>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Ensure that standard endoscopic spine surgery instruments (</w:t>
      </w:r>
      <w:r>
        <w:rPr>
          <w:lang w:eastAsia="ko-KR"/>
          <w:rFonts w:ascii="Calibri" w:hAnsi="Calibri" w:cs="Calibri"/>
          <w:b/>
          <w:bCs/>
          <w:sz w:val="24"/>
          <w:szCs w:val="24"/>
        </w:rPr>
        <w:t>Table of Materials</w:t>
      </w:r>
      <w:r>
        <w:rPr>
          <w:lang w:eastAsia="ko-KR"/>
          <w:rFonts w:ascii="Calibri" w:hAnsi="Calibri" w:cs="Calibri"/>
          <w:sz w:val="24"/>
          <w:szCs w:val="24"/>
        </w:rPr>
        <w:t xml:space="preserve">) are available, including working cannulas, sequential dilators, radiofrequency (RF) probes for soft tissue ablation and hemostasis, endoscopic forceps, Kerrison punches, </w:t>
      </w:r>
      <w:r>
        <w:rPr>
          <w:lang w:eastAsia="ko-KR"/>
          <w:rFonts w:ascii="Calibri" w:hAnsi="Calibri" w:cs="Calibri"/>
          <w:sz w:val="24"/>
          <w:szCs w:val="24"/>
        </w:rPr>
        <w:t xml:space="preserve">and </w:t>
      </w:r>
      <w:r>
        <w:rPr>
          <w:lang w:eastAsia="ko-KR"/>
          <w:rFonts w:ascii="Calibri" w:hAnsi="Calibri" w:cs="Calibri"/>
          <w:sz w:val="24"/>
          <w:szCs w:val="24"/>
        </w:rPr>
        <w:t>a high-speed endoscopic drill with diamond and cutting burr.</w:t>
      </w:r>
    </w:p>
    <w:p>
      <w:pPr>
        <w:rPr>
          <w:lang w:eastAsia="ko-KR"/>
        </w:rPr>
      </w:pPr>
    </w:p>
    <w:p>
      <w:pPr>
        <w:pStyle w:val="ListParagraph"/>
        <w:ind w:left="0" w:firstLine="0"/>
        <w:numPr>
          <w:ilvl w:val="0"/>
          <w:numId w:val="1"/>
        </w:numPr>
        <w:spacing w:after="0" w:line="240" w:lineRule="auto"/>
        <w:rPr>
          <w:lang w:eastAsia="ko-KR"/>
          <w:rFonts w:ascii="Calibri" w:hAnsi="Calibri" w:cs="Calibri"/>
          <w:b/>
          <w:bCs/>
          <w:sz w:val="24"/>
          <w:szCs w:val="24"/>
        </w:rPr>
      </w:pPr>
      <w:r>
        <w:rPr>
          <w:rFonts w:ascii="Calibri" w:hAnsi="Calibri" w:cs="Calibri"/>
          <w:b/>
          <w:bCs/>
          <w:sz w:val="24"/>
          <w:szCs w:val="24"/>
        </w:rPr>
        <w:t>Surgical</w:t>
      </w:r>
      <w:r>
        <w:rPr>
          <w:lang w:eastAsia="ko-KR"/>
          <w:rFonts w:ascii="Calibri" w:hAnsi="Calibri" w:cs="Calibri"/>
          <w:b/>
          <w:bCs/>
          <w:sz w:val="24"/>
          <w:szCs w:val="24"/>
        </w:rPr>
        <w:t xml:space="preserve"> preparation</w:t>
      </w:r>
    </w:p>
    <w:p>
      <w:pPr>
        <w:pStyle w:val="ListParagraph"/>
        <w:ind w:left="0"/>
        <w:spacing w:after="0" w:line="240" w:lineRule="auto"/>
        <w:rPr>
          <w:lang w:eastAsia="ko-KR"/>
          <w:rFonts w:ascii="Calibri" w:hAnsi="Calibri" w:cs="Calibri"/>
          <w:b/>
          <w:bCs/>
          <w:sz w:val="24"/>
          <w:szCs w:val="24"/>
        </w:rPr>
      </w:pPr>
    </w:p>
    <w:p>
      <w:pPr>
        <w:pStyle w:val="ListParagraph"/>
        <w:ind w:left="0" w:firstLine="0"/>
        <w:numPr>
          <w:ilvl w:val="1"/>
          <w:numId w:val="1"/>
        </w:numPr>
        <w:spacing w:after="0" w:line="240" w:lineRule="auto"/>
        <w:rPr>
          <w:lang w:eastAsia="ko-KR"/>
          <w:rFonts w:ascii="Calibri" w:hAnsi="Calibri" w:cs="Calibri"/>
          <w:sz w:val="24"/>
          <w:szCs w:val="24"/>
        </w:rPr>
      </w:pPr>
      <w:r>
        <w:rPr>
          <w:lang w:eastAsia="ko-KR"/>
          <w:rFonts w:ascii="Calibri" w:hAnsi="Calibri" w:cs="Calibri"/>
          <w:sz w:val="24"/>
          <w:szCs w:val="24"/>
        </w:rPr>
        <w:t>Anesthesia</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 xml:space="preserve">Evaluate the </w:t>
      </w:r>
      <w:r>
        <w:rPr>
          <w:lang w:eastAsia="ko-KR"/>
          <w:rFonts w:ascii="Calibri" w:hAnsi="Calibri" w:cs="Calibri"/>
          <w:sz w:val="24"/>
          <w:szCs w:val="24"/>
        </w:rPr>
        <w:t xml:space="preserve">patient's </w:t>
      </w:r>
      <w:r>
        <w:rPr>
          <w:lang w:eastAsia="ko-KR"/>
          <w:rFonts w:ascii="Calibri" w:hAnsi="Calibri" w:cs="Calibri"/>
          <w:sz w:val="24"/>
          <w:szCs w:val="24"/>
        </w:rPr>
        <w:t>operative risk using the American Society of Anesthesiologists (ASA) Physical Status Classification.</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Establish at least one large-bore peripheral intravenous line (14</w:t>
      </w:r>
      <w:r>
        <w:rPr>
          <w:lang w:eastAsia="ko-KR"/>
          <w:rFonts w:ascii="Calibri" w:hAnsi="Calibri" w:cs="Calibri"/>
          <w:sz w:val="24"/>
          <w:szCs w:val="24"/>
        </w:rPr>
        <w:t xml:space="preserve"> </w:t>
      </w:r>
      <w:r>
        <w:rPr>
          <w:lang w:eastAsia="ko-KR"/>
          <w:rFonts w:ascii="Calibri" w:hAnsi="Calibri" w:cs="Calibri"/>
          <w:sz w:val="24"/>
          <w:szCs w:val="24"/>
        </w:rPr>
        <w:t>G or 16</w:t>
      </w:r>
      <w:r>
        <w:rPr>
          <w:lang w:eastAsia="ko-KR"/>
          <w:rFonts w:ascii="Calibri" w:hAnsi="Calibri" w:cs="Calibri"/>
          <w:sz w:val="24"/>
          <w:szCs w:val="24"/>
        </w:rPr>
        <w:t xml:space="preserve"> </w:t>
      </w:r>
      <w:r>
        <w:rPr>
          <w:lang w:eastAsia="ko-KR"/>
          <w:rFonts w:ascii="Calibri" w:hAnsi="Calibri" w:cs="Calibri"/>
          <w:sz w:val="24"/>
          <w:szCs w:val="24"/>
        </w:rPr>
        <w:t>G).</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Continuously monitor electrocardiography, blood pressure using an automated cuff, pulse oximetry, urine output, and body temperature.</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Administer sedative agents and neuromuscular blockers, and perform endotracheal intubation to secure the airway under general anesthesia.</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Upon completion of the procedure, reverse anesthesia.</w:t>
      </w:r>
    </w:p>
    <w:p>
      <w:pPr>
        <w:pStyle w:val="ListParagraph"/>
        <w:ind w:left="0"/>
        <w:spacing w:after="0" w:line="240" w:lineRule="auto"/>
        <w:rPr>
          <w:lang w:eastAsia="ko-KR"/>
          <w:rFonts w:ascii="Calibri" w:hAnsi="Calibri" w:cs="Calibri"/>
          <w:sz w:val="24"/>
          <w:szCs w:val="24"/>
        </w:rPr>
      </w:pPr>
    </w:p>
    <w:p>
      <w:pPr>
        <w:pStyle w:val="ListParagraph"/>
        <w:ind w:left="0" w:firstLine="0"/>
        <w:numPr>
          <w:ilvl w:val="2"/>
          <w:numId w:val="1"/>
        </w:numPr>
        <w:spacing w:after="0" w:line="240" w:lineRule="auto"/>
        <w:rPr>
          <w:lang w:eastAsia="ko-KR"/>
          <w:rFonts w:ascii="Calibri" w:hAnsi="Calibri" w:cs="Calibri"/>
          <w:sz w:val="24"/>
          <w:szCs w:val="24"/>
        </w:rPr>
      </w:pPr>
      <w:r>
        <w:rPr>
          <w:lang w:eastAsia="ko-KR"/>
          <w:rFonts w:ascii="Calibri" w:hAnsi="Calibri" w:cs="Calibri"/>
          <w:sz w:val="24"/>
          <w:szCs w:val="24"/>
        </w:rPr>
        <w:t>Intraoperative neuromonitoring (e.g., somatosensory evoked potentials and motor evoked potentials) may be used when available to enhance procedural safety. In our institution, neuromonitoring is not routinely utilized, and careful surgical technique is employed to avoid direct spinal cord manipulation.</w:t>
      </w:r>
    </w:p>
    <w:p>
      <w:pPr>
        <w:pStyle w:val="ListParagraph"/>
        <w:ind w:left="0"/>
        <w:spacing w:after="0" w:line="240" w:lineRule="auto"/>
        <w:rPr>
          <w:lang w:eastAsia="ko-KR"/>
          <w:rFonts w:ascii="Calibri" w:hAnsi="Calibri" w:cs="Calibri"/>
          <w:sz w:val="24"/>
          <w:szCs w:val="24"/>
        </w:rPr>
      </w:pPr>
    </w:p>
    <w:p>
      <w:pPr>
        <w:pStyle w:val="ListParagraph"/>
        <w:ind w:left="0" w:firstLine="0"/>
        <w:numPr>
          <w:ilvl w:val="1"/>
          <w:numId w:val="1"/>
        </w:numPr>
        <w:spacing w:after="0" w:line="240" w:lineRule="auto"/>
        <w:rPr>
          <w:lang w:eastAsia="ko-KR"/>
          <w:rFonts w:ascii="Calibri" w:hAnsi="Calibri" w:cs="Calibri"/>
          <w:b/>
          <w:bCs/>
          <w:sz w:val="24"/>
          <w:szCs w:val="24"/>
        </w:rPr>
      </w:pPr>
      <w:r>
        <w:rPr>
          <w:lang w:eastAsia="ko-KR"/>
          <w:rFonts w:ascii="Calibri" w:hAnsi="Calibri" w:cs="Calibri"/>
          <w:sz w:val="24"/>
          <w:szCs w:val="24"/>
        </w:rPr>
        <w:t>Operation setting (</w:t>
      </w:r>
      <w:r>
        <w:rPr>
          <w:lang w:eastAsia="ko-KR"/>
          <w:rFonts w:ascii="Calibri" w:hAnsi="Calibri" w:cs="Calibri"/>
          <w:b/>
          <w:bCs/>
          <w:sz w:val="24"/>
          <w:szCs w:val="24"/>
        </w:rPr>
        <w:t>Figure 1</w:t>
      </w:r>
      <w:r>
        <w:rPr>
          <w:lang w:eastAsia="ko-KR"/>
          <w:rFonts w:ascii="Calibri" w:hAnsi="Calibri" w:cs="Calibri"/>
          <w:sz w:val="24"/>
          <w:szCs w:val="24"/>
        </w:rPr>
        <w:t>)</w:t>
      </w:r>
    </w:p>
    <w:p>
      <w:pPr>
        <w:pStyle w:val="ListParagraph"/>
        <w:ind w:left="0"/>
        <w:spacing w:after="0" w:line="240" w:lineRule="auto"/>
        <w:rPr>
          <w:lang w:eastAsia="ko-KR"/>
          <w:rFonts w:ascii="Calibri" w:hAnsi="Calibri" w:cs="Calibri"/>
          <w:b/>
          <w:bCs/>
          <w:sz w:val="24"/>
          <w:szCs w:val="24"/>
        </w:rPr>
      </w:pPr>
    </w:p>
    <w:p>
      <w:pPr>
        <w:pStyle w:val="ListParagraph"/>
        <w:ind w:left="0" w:firstLine="0"/>
        <w:numPr>
          <w:ilvl w:val="2"/>
          <w:numId w:val="1"/>
        </w:numPr>
        <w:spacing w:after="0" w:line="240" w:lineRule="auto"/>
        <w:rPr>
          <w:rFonts w:ascii="Calibri" w:hAnsi="Calibri" w:cs="Calibri"/>
          <w:bCs/>
          <w:sz w:val="24"/>
          <w:szCs w:val="24"/>
        </w:rPr>
      </w:pPr>
      <w:r>
        <w:rPr>
          <w:rFonts w:ascii="Calibri" w:hAnsi="Calibri" w:cs="Calibri"/>
          <w:bCs/>
          <w:sz w:val="24"/>
          <w:szCs w:val="24"/>
        </w:rPr>
        <w:t>Position the surgeon at the operating side of the patient, directly facing the endoscopic monitor, to maintain ergonomic instrument handling and a direct line of sight to the surgical field.</w:t>
      </w:r>
    </w:p>
    <w:p>
      <w:pPr>
        <w:pStyle w:val="ListParagraph"/>
        <w:ind w:left="0"/>
        <w:spacing w:after="0" w:line="240" w:lineRule="auto"/>
        <w:rPr>
          <w:rFonts w:ascii="Calibri" w:hAnsi="Calibri" w:cs="Calibri"/>
          <w:bCs/>
          <w:sz w:val="24"/>
          <w:szCs w:val="24"/>
        </w:rPr>
      </w:pPr>
    </w:p>
    <w:p>
      <w:pPr>
        <w:pStyle w:val="ListParagraph"/>
        <w:ind w:left="0" w:firstLine="0"/>
        <w:numPr>
          <w:ilvl w:val="2"/>
          <w:numId w:val="1"/>
        </w:numPr>
        <w:spacing w:after="0" w:line="240" w:lineRule="auto"/>
        <w:rPr>
          <w:rFonts w:ascii="Calibri" w:hAnsi="Calibri" w:cs="Calibri"/>
          <w:bCs/>
          <w:sz w:val="24"/>
          <w:szCs w:val="24"/>
        </w:rPr>
      </w:pPr>
      <w:r>
        <w:rPr>
          <w:rFonts w:ascii="Calibri" w:hAnsi="Calibri" w:cs="Calibri"/>
          <w:bCs/>
          <w:sz w:val="24"/>
          <w:szCs w:val="24"/>
        </w:rPr>
        <w:t>Assign a scrub nurse to stand adjacent to the surgeon, responsible for</w:t>
      </w:r>
      <w:r>
        <w:rPr>
          <w:lang w:eastAsia="ko-KR"/>
          <w:rFonts w:ascii="Calibri" w:hAnsi="Calibri" w:cs="Calibri"/>
          <w:bCs/>
          <w:sz w:val="24"/>
          <w:szCs w:val="24"/>
        </w:rPr>
        <w:t xml:space="preserve"> </w:t>
      </w:r>
      <w:r>
        <w:rPr>
          <w:rFonts w:ascii="Calibri" w:hAnsi="Calibri" w:cs="Calibri"/>
          <w:bCs/>
          <w:sz w:val="24"/>
          <w:szCs w:val="24"/>
        </w:rPr>
        <w:t>manag</w:t>
      </w:r>
      <w:r>
        <w:rPr>
          <w:lang w:eastAsia="ko-KR"/>
          <w:rFonts w:ascii="Calibri" w:hAnsi="Calibri" w:cs="Calibri"/>
          <w:bCs/>
          <w:sz w:val="24"/>
          <w:szCs w:val="24"/>
        </w:rPr>
        <w:t>ing</w:t>
      </w:r>
      <w:r>
        <w:rPr>
          <w:rFonts w:ascii="Calibri" w:hAnsi="Calibri" w:cs="Calibri"/>
          <w:bCs/>
          <w:sz w:val="24"/>
          <w:szCs w:val="24"/>
        </w:rPr>
        <w:t xml:space="preserve"> endoscopic instruments, RF probes, drills, and </w:t>
      </w:r>
      <w:r>
        <w:rPr>
          <w:lang w:eastAsia="ko-KR"/>
          <w:rFonts w:ascii="Calibri" w:hAnsi="Calibri" w:cs="Calibri"/>
          <w:bCs/>
          <w:sz w:val="24"/>
          <w:szCs w:val="24"/>
        </w:rPr>
        <w:t>other</w:t>
      </w:r>
      <w:r>
        <w:rPr>
          <w:rFonts w:ascii="Calibri" w:hAnsi="Calibri" w:cs="Calibri"/>
          <w:bCs/>
          <w:sz w:val="24"/>
          <w:szCs w:val="24"/>
        </w:rPr>
        <w:t xml:space="preserve"> devices</w:t>
      </w:r>
      <w:r>
        <w:rPr>
          <w:lang w:eastAsia="ko-KR"/>
          <w:rFonts w:ascii="Calibri" w:hAnsi="Calibri" w:cs="Calibri"/>
          <w:bCs/>
          <w:sz w:val="24"/>
          <w:szCs w:val="24"/>
        </w:rPr>
        <w:t xml:space="preserve"> while</w:t>
      </w:r>
      <w:r>
        <w:rPr>
          <w:rFonts w:ascii="Calibri" w:hAnsi="Calibri" w:cs="Calibri"/>
          <w:bCs/>
          <w:sz w:val="24"/>
          <w:szCs w:val="24"/>
        </w:rPr>
        <w:t xml:space="preserve"> assisting instrument exchange as required during the procedure.</w:t>
      </w:r>
      <w:r>
        <w:rPr>
          <w:lang w:eastAsia="ko-KR"/>
          <w:rFonts w:ascii="Calibri" w:hAnsi="Calibri" w:cs="Calibri"/>
          <w:bCs/>
          <w:sz w:val="24"/>
          <w:szCs w:val="24"/>
        </w:rPr>
        <w:t xml:space="preserve"> </w:t>
      </w:r>
    </w:p>
    <w:p>
      <w:pPr>
        <w:pStyle w:val="ListParagraph"/>
        <w:ind w:left="0"/>
        <w:spacing w:after="0" w:line="240" w:lineRule="auto"/>
        <w:rPr>
          <w:rFonts w:ascii="Calibri" w:hAnsi="Calibri" w:cs="Calibri"/>
          <w:bCs/>
          <w:sz w:val="24"/>
          <w:szCs w:val="24"/>
        </w:rPr>
      </w:pPr>
    </w:p>
    <w:p>
      <w:pPr>
        <w:pStyle w:val="ListParagraph"/>
        <w:ind w:left="0" w:firstLine="0"/>
        <w:numPr>
          <w:ilvl w:val="2"/>
          <w:numId w:val="1"/>
        </w:numPr>
        <w:spacing w:after="0" w:line="240" w:lineRule="auto"/>
        <w:rPr>
          <w:rFonts w:ascii="Calibri" w:hAnsi="Calibri" w:cs="Calibri"/>
          <w:bCs/>
          <w:sz w:val="24"/>
          <w:szCs w:val="24"/>
        </w:rPr>
      </w:pPr>
      <w:r>
        <w:rPr>
          <w:lang w:eastAsia="ko-KR"/>
          <w:rFonts w:ascii="Calibri" w:hAnsi="Calibri" w:cs="Calibri"/>
          <w:sz w:val="24"/>
          <w:szCs w:val="24"/>
        </w:rPr>
        <w:t xml:space="preserve">Have </w:t>
      </w:r>
      <w:r>
        <w:rPr>
          <w:rFonts w:ascii="Calibri" w:hAnsi="Calibri" w:cs="Calibri"/>
          <w:bCs/>
          <w:sz w:val="24"/>
          <w:szCs w:val="24"/>
        </w:rPr>
        <w:t>the anesthesiologist</w:t>
      </w:r>
      <w:r>
        <w:rPr>
          <w:rFonts w:ascii="Calibri" w:hAnsi="Calibri" w:cs="Calibri"/>
          <w:bCs/>
          <w:sz w:val="24"/>
          <w:szCs w:val="24"/>
        </w:rPr>
        <w:t xml:space="preserve"> stand</w:t>
      </w:r>
      <w:r>
        <w:rPr>
          <w:rFonts w:ascii="Calibri" w:hAnsi="Calibri" w:cs="Calibri"/>
          <w:bCs/>
          <w:sz w:val="24"/>
          <w:szCs w:val="24"/>
        </w:rPr>
        <w:t xml:space="preserve"> at the head of the patient to allow continuous airway access and physiologic monitoring throughout the procedure.</w:t>
      </w:r>
    </w:p>
    <w:p>
      <w:pPr>
        <w:pStyle w:val="ListParagraph"/>
        <w:ind w:left="0"/>
        <w:spacing w:after="0" w:line="240" w:lineRule="auto"/>
        <w:rPr>
          <w:rFonts w:ascii="Calibri" w:hAnsi="Calibri" w:cs="Calibri"/>
          <w:bCs/>
          <w:sz w:val="24"/>
          <w:szCs w:val="24"/>
        </w:rPr>
      </w:pPr>
    </w:p>
    <w:p>
      <w:pPr>
        <w:pStyle w:val="ListParagraph"/>
        <w:ind w:left="0" w:firstLine="0"/>
        <w:numPr>
          <w:ilvl w:val="2"/>
          <w:numId w:val="1"/>
        </w:numPr>
        <w:spacing w:after="0" w:line="240" w:lineRule="auto"/>
        <w:rPr>
          <w:rFonts w:ascii="Calibri" w:hAnsi="Calibri" w:cs="Calibri"/>
          <w:bCs/>
          <w:sz w:val="24"/>
          <w:szCs w:val="24"/>
        </w:rPr>
      </w:pPr>
      <w:r>
        <w:rPr>
          <w:rFonts w:ascii="Calibri" w:hAnsi="Calibri" w:cs="Calibri"/>
          <w:bCs/>
          <w:sz w:val="24"/>
          <w:szCs w:val="24"/>
        </w:rPr>
        <w:t>Arrange the C-arm fluoroscopy unit perpendicular to the operating table to allow unobstructed anteroposterior and lateral imaging during localization and intraoperative confirmation.</w:t>
      </w:r>
    </w:p>
    <w:p>
      <w:pPr>
        <w:pStyle w:val="ListParagraph"/>
        <w:ind w:left="0"/>
        <w:spacing w:after="0" w:line="240" w:lineRule="auto"/>
        <w:rPr>
          <w:rFonts w:ascii="Calibri" w:hAnsi="Calibri" w:cs="Calibri"/>
          <w:bCs/>
          <w:sz w:val="24"/>
          <w:szCs w:val="24"/>
        </w:rPr>
      </w:pPr>
    </w:p>
    <w:p>
      <w:pPr>
        <w:pStyle w:val="ListParagraph"/>
        <w:ind w:left="0" w:firstLine="0"/>
        <w:numPr>
          <w:ilvl w:val="2"/>
          <w:numId w:val="1"/>
        </w:numPr>
        <w:spacing w:after="0" w:line="240" w:lineRule="auto"/>
        <w:rPr>
          <w:rFonts w:ascii="Calibri" w:hAnsi="Calibri" w:cs="Calibri"/>
          <w:bCs/>
          <w:sz w:val="24"/>
          <w:szCs w:val="24"/>
        </w:rPr>
      </w:pPr>
      <w:r>
        <w:rPr>
          <w:lang w:eastAsia="ko-KR"/>
          <w:rFonts w:ascii="Calibri" w:hAnsi="Calibri" w:cs="Calibri"/>
          <w:sz w:val="24"/>
          <w:szCs w:val="24"/>
        </w:rPr>
        <w:t>Place</w:t>
      </w:r>
      <w:r>
        <w:rPr>
          <w:rFonts w:ascii="Calibri" w:hAnsi="Calibri" w:cs="Calibri"/>
          <w:bCs/>
          <w:sz w:val="24"/>
          <w:szCs w:val="24"/>
        </w:rPr>
        <w:t xml:space="preserve"> the endoscopic video tower and image processing system opposite the surgeon, within the </w:t>
      </w:r>
      <w:r>
        <w:rPr>
          <w:rFonts w:ascii="Calibri" w:hAnsi="Calibri" w:cs="Calibri"/>
          <w:bCs/>
          <w:sz w:val="24"/>
          <w:szCs w:val="24"/>
        </w:rPr>
        <w:t xml:space="preserve">surgeon's </w:t>
      </w:r>
      <w:r>
        <w:rPr>
          <w:rFonts w:ascii="Calibri" w:hAnsi="Calibri" w:cs="Calibri"/>
          <w:bCs/>
          <w:sz w:val="24"/>
          <w:szCs w:val="24"/>
        </w:rPr>
        <w:t>direct visual axis, to optimize hand–eye coordination.</w:t>
      </w:r>
    </w:p>
    <w:p>
      <w:pPr>
        <w:pStyle w:val="ListParagraph"/>
        <w:ind w:left="0"/>
        <w:spacing w:after="0" w:line="240" w:lineRule="auto"/>
        <w:rP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sz w:val="24"/>
          <w:szCs w:val="24"/>
        </w:rPr>
        <w:t>Patient</w:t>
      </w:r>
      <w:r>
        <w:rPr>
          <w:lang w:eastAsia="ko-KR"/>
          <w:rFonts w:ascii="Calibri" w:hAnsi="Calibri" w:cs="Calibri"/>
          <w:bCs/>
          <w:sz w:val="24"/>
          <w:szCs w:val="24"/>
        </w:rPr>
        <w:t xml:space="preserve"> </w:t>
      </w:r>
      <w:r>
        <w:rPr>
          <w:lang w:eastAsia="ko-KR"/>
          <w:rFonts w:ascii="Calibri" w:hAnsi="Calibri" w:cs="Calibri"/>
          <w:bCs/>
          <w:sz w:val="24"/>
          <w:szCs w:val="24"/>
        </w:rPr>
        <w:t xml:space="preserve">positioning and surgical draping </w:t>
      </w:r>
      <w:r>
        <w:rPr>
          <w:lang w:eastAsia="ko-KR"/>
          <w:rFonts w:ascii="Calibri" w:hAnsi="Calibri" w:cs="Calibri"/>
          <w:sz w:val="24"/>
          <w:szCs w:val="24"/>
        </w:rPr>
        <w:t>(</w:t>
      </w:r>
      <w:r>
        <w:rPr>
          <w:lang w:eastAsia="ko-KR"/>
          <w:rFonts w:ascii="Calibri" w:hAnsi="Calibri" w:cs="Calibri"/>
          <w:b/>
          <w:bCs/>
          <w:sz w:val="24"/>
          <w:szCs w:val="24"/>
        </w:rPr>
        <w:t>Figure 2</w:t>
      </w:r>
      <w:r>
        <w:rPr>
          <w:lang w:eastAsia="ko-KR"/>
          <w:rFonts w:ascii="Calibri" w:hAnsi="Calibri" w:cs="Calibri"/>
          <w:sz w:val="24"/>
          <w:szCs w:val="24"/>
        </w:rPr>
        <w:t>)</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2"/>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Place the patient in the prone position on a radiolucent operating table equipped with a Wilson frame, with the neck maintained in slight flexion and a mild reverse Trendelenburg position to facilitate venous drainage and optimize posterior cervical exposure.</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2"/>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Immobilize the patient using a three-point plaster traction technique applied to the head, shoulders, and back to maintain stable cervical alignment throughout the procedure.</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2"/>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Apply polyurethane foam pads to protect pressure-sensitive areas, including the eyes, nose, and mouth, in order to prevent pressure-related injuries.</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2"/>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Secure the patient to the operating table with wide safety straps, ensuring adequate padding of all bony prominences.</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2"/>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Perform sterile skin preparation of the posterior cervical region using iodine povacrylex and isopropyl alcohol, followed by sterile draping to allow unobstructed access for endoscopic instrumentation and fluoroscopic guidance.</w:t>
      </w:r>
    </w:p>
    <w:p>
      <w:pPr>
        <w:pBdr>
          <w:between w:val="nil"/>
          <w:top w:val="nil"/>
          <w:left w:val="nil"/>
          <w:bottom w:val="nil"/>
          <w:right w:val="nil"/>
        </w:pBdr>
        <w:rPr>
          <w:lang w:eastAsia="ko-KR"/>
          <w:bCs/>
        </w:rPr>
      </w:pPr>
    </w:p>
    <w:p>
      <w:pPr>
        <w:pStyle w:val="ListParagraph"/>
        <w:ind w:left="0" w:firstLine="0"/>
        <w:numPr>
          <w:ilvl w:val="0"/>
          <w:numId w:val="1"/>
        </w:numPr>
        <w:spacing w:after="0" w:line="240" w:lineRule="auto"/>
        <w:rPr>
          <w:rFonts w:ascii="Calibri" w:hAnsi="Calibri" w:cs="Calibri"/>
          <w:b/>
          <w:sz w:val="24"/>
          <w:szCs w:val="24"/>
          <w:highlight w:val="yellow"/>
          <w:rPrChange w:id="4" w:author="진료원장" w:date="2026-05-15T08:26:45Z">
            <w:rPr>
              <w:lang w:eastAsia="ko-KR"/>
              <w:rFonts w:ascii="Calibri" w:hAnsi="Calibri" w:cs="Calibri"/>
              <w:b/>
              <w:sz w:val="24"/>
              <w:szCs w:val="24"/>
            </w:rPr>
          </w:rPrChange>
        </w:rPr>
      </w:pPr>
      <w:r>
        <w:rPr>
          <w:rFonts w:ascii="Calibri" w:hAnsi="Calibri" w:cs="Calibri"/>
          <w:b/>
          <w:bCs/>
          <w:sz w:val="24"/>
          <w:szCs w:val="24"/>
          <w:highlight w:val="yellow"/>
          <w:rPrChange w:id="5" w:author="진료원장" w:date="2026-05-15T08:26:45Z">
            <w:rPr>
              <w:rFonts w:ascii="Calibri" w:hAnsi="Calibri" w:cs="Calibri"/>
              <w:b/>
              <w:bCs/>
              <w:sz w:val="24"/>
              <w:szCs w:val="24"/>
            </w:rPr>
          </w:rPrChange>
        </w:rPr>
        <w:t>Surface</w:t>
      </w:r>
      <w:r>
        <w:rPr>
          <w:rFonts w:ascii="Calibri" w:hAnsi="Calibri" w:cs="Calibri"/>
          <w:b/>
          <w:sz w:val="24"/>
          <w:szCs w:val="24"/>
          <w:highlight w:val="yellow"/>
          <w:rPrChange w:id="6" w:author="진료원장" w:date="2026-05-15T08:26:45Z">
            <w:rPr>
              <w:lang w:eastAsia="ko-KR"/>
              <w:rFonts w:ascii="Calibri" w:hAnsi="Calibri" w:cs="Calibri"/>
              <w:b/>
              <w:sz w:val="24"/>
              <w:szCs w:val="24"/>
            </w:rPr>
          </w:rPrChange>
        </w:rPr>
        <w:t xml:space="preserve"> </w:t>
      </w:r>
      <w:r>
        <w:rPr>
          <w:rFonts w:ascii="Calibri" w:hAnsi="Calibri" w:cs="Calibri"/>
          <w:b/>
          <w:sz w:val="24"/>
          <w:szCs w:val="24"/>
          <w:highlight w:val="yellow"/>
          <w:rPrChange w:id="7" w:author="진료원장" w:date="2026-05-15T08:26:45Z">
            <w:rPr>
              <w:lang w:eastAsia="ko-KR"/>
              <w:rFonts w:ascii="Calibri" w:hAnsi="Calibri" w:cs="Calibri"/>
              <w:b/>
              <w:sz w:val="24"/>
              <w:szCs w:val="24"/>
            </w:rPr>
          </w:rPrChange>
        </w:rPr>
        <w:t xml:space="preserve">marking and docking </w:t>
      </w:r>
      <w:r>
        <w:rPr>
          <w:rFonts w:ascii="Calibri" w:hAnsi="Calibri" w:cs="Calibri"/>
          <w:b/>
          <w:bCs/>
          <w:sz w:val="24"/>
          <w:szCs w:val="24"/>
          <w:highlight w:val="yellow"/>
          <w:rPrChange w:id="8" w:author="진료원장" w:date="2026-05-15T08:26:45Z">
            <w:rPr>
              <w:lang w:eastAsia="ko-KR"/>
              <w:rFonts w:ascii="Calibri" w:hAnsi="Calibri" w:cs="Calibri"/>
              <w:b/>
              <w:bCs/>
              <w:sz w:val="24"/>
              <w:szCs w:val="24"/>
            </w:rPr>
          </w:rPrChange>
        </w:rPr>
        <w:t>(Figure 3)</w:t>
      </w:r>
      <w:r>
        <w:rPr>
          <w:rFonts w:ascii="Calibri" w:hAnsi="Calibri" w:cs="Calibri"/>
          <w:noProof/>
          <w:sz w:val="24"/>
          <w:szCs w:val="24"/>
          <w:highlight w:val="yellow"/>
          <w:rPrChange w:id="9" w:author="진료원장" w:date="2026-05-15T08:26:45Z">
            <w:rPr>
              <w:lang w:eastAsia="ko-KR"/>
              <w:rFonts w:ascii="Calibri" w:hAnsi="Calibri" w:cs="Calibri"/>
              <w:noProof/>
              <w:sz w:val="24"/>
              <w:szCs w:val="24"/>
              <w:vertAlign w:val="superscript"/>
            </w:rPr>
          </w:rPrChange>
        </w:rPr>
        <w:t>9</w:t>
      </w:r>
    </w:p>
    <w:p>
      <w:pPr>
        <w:pStyle w:val="ListParagraph"/>
        <w:ind w:left="0"/>
        <w:spacing w:after="0" w:line="240" w:lineRule="auto"/>
        <w:rPr>
          <w:rFonts w:ascii="Calibri" w:hAnsi="Calibri" w:cs="Calibri"/>
          <w:b/>
          <w:sz w:val="24"/>
          <w:szCs w:val="24"/>
          <w:highlight w:val="yellow"/>
          <w:rPrChange w:id="10" w:author="진료원장" w:date="2026-05-15T08:26:45Z">
            <w:rPr>
              <w:lang w:eastAsia="ko-KR"/>
              <w:rFonts w:ascii="Calibri" w:hAnsi="Calibri" w:cs="Calibri"/>
              <w:b/>
              <w:sz w:val="24"/>
              <w:szCs w:val="24"/>
            </w:rPr>
          </w:rPrChange>
        </w:rPr>
      </w:pPr>
    </w:p>
    <w:p>
      <w:pPr>
        <w:pStyle w:val="ListParagraph"/>
        <w:ind w:left="0" w:firstLine="0"/>
        <w:numPr>
          <w:ilvl w:val="1"/>
          <w:numId w:val="1"/>
        </w:numPr>
        <w:spacing w:after="0" w:line="240" w:lineRule="auto"/>
        <w:rPr>
          <w:rFonts w:ascii="Calibri" w:hAnsi="Calibri" w:cs="Calibri"/>
          <w:bCs/>
          <w:sz w:val="24"/>
          <w:szCs w:val="24"/>
          <w:highlight w:val="yellow"/>
          <w:rPrChange w:id="11"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12" w:author="진료원장" w:date="2026-05-15T08:26:45Z">
            <w:rPr>
              <w:lang w:eastAsia="ko-KR"/>
              <w:rFonts w:ascii="Calibri" w:hAnsi="Calibri" w:cs="Calibri"/>
              <w:bCs/>
              <w:sz w:val="24"/>
              <w:szCs w:val="24"/>
            </w:rPr>
          </w:rPrChange>
        </w:rPr>
        <w:t xml:space="preserve">Perform skin marking under anteroposterior and lateral cervical fluoroscopic guidance, targeting the junction of the lateral margin of the interlaminar space and the medial border of the facet joint (V point) </w:t>
      </w:r>
      <w:r>
        <w:rPr>
          <w:rFonts w:ascii="Calibri" w:hAnsi="Calibri" w:cs="Calibri"/>
          <w:sz w:val="24"/>
          <w:szCs w:val="24"/>
          <w:highlight w:val="yellow"/>
          <w:rPrChange w:id="13" w:author="진료원장" w:date="2026-05-15T08:26:45Z">
            <w:rPr>
              <w:lang w:eastAsia="ko-KR"/>
              <w:rFonts w:ascii="Calibri" w:hAnsi="Calibri" w:cs="Calibri"/>
              <w:sz w:val="24"/>
              <w:szCs w:val="24"/>
            </w:rPr>
          </w:rPrChange>
        </w:rPr>
        <w:t>(</w:t>
      </w:r>
      <w:r>
        <w:rPr>
          <w:rFonts w:ascii="Calibri" w:hAnsi="Calibri" w:cs="Calibri"/>
          <w:b/>
          <w:bCs/>
          <w:sz w:val="24"/>
          <w:szCs w:val="24"/>
          <w:highlight w:val="yellow"/>
          <w:rPrChange w:id="14" w:author="진료원장" w:date="2026-05-15T08:26:45Z">
            <w:rPr>
              <w:lang w:eastAsia="ko-KR"/>
              <w:rFonts w:ascii="Calibri" w:hAnsi="Calibri" w:cs="Calibri"/>
              <w:b/>
              <w:bCs/>
              <w:sz w:val="24"/>
              <w:szCs w:val="24"/>
            </w:rPr>
          </w:rPrChange>
        </w:rPr>
        <w:t>Figure 3A,B</w:t>
      </w:r>
      <w:r>
        <w:rPr>
          <w:rFonts w:ascii="Calibri" w:hAnsi="Calibri" w:cs="Calibri"/>
          <w:sz w:val="24"/>
          <w:szCs w:val="24"/>
          <w:highlight w:val="yellow"/>
          <w:rPrChange w:id="15" w:author="진료원장" w:date="2026-05-15T08:26:45Z">
            <w:rPr>
              <w:lang w:eastAsia="ko-KR"/>
              <w:rFonts w:ascii="Calibri" w:hAnsi="Calibri" w:cs="Calibri"/>
              <w:sz w:val="24"/>
              <w:szCs w:val="24"/>
            </w:rPr>
          </w:rPrChange>
        </w:rPr>
        <w:t>).</w:t>
      </w:r>
    </w:p>
    <w:p>
      <w:pPr>
        <w:pStyle w:val="ListParagraph"/>
        <w:ind w:left="0"/>
        <w:spacing w:after="0" w:line="240" w:lineRule="auto"/>
        <w:rPr>
          <w:rFonts w:ascii="Calibri" w:hAnsi="Calibri" w:cs="Calibri"/>
          <w:bCs/>
          <w:sz w:val="24"/>
          <w:szCs w:val="24"/>
          <w:highlight w:val="yellow"/>
          <w:rPrChange w:id="16" w:author="진료원장" w:date="2026-05-15T08:26:45Z">
            <w:rPr>
              <w:lang w:eastAsia="ko-KR"/>
              <w:rFonts w:ascii="Calibri" w:hAnsi="Calibri" w:cs="Calibri"/>
              <w:bCs/>
              <w:sz w:val="24"/>
              <w:szCs w:val="24"/>
            </w:rPr>
          </w:rPrChange>
        </w:rPr>
      </w:pPr>
    </w:p>
    <w:p>
      <w:pPr>
        <w:pStyle w:val="ListParagraph"/>
        <w:ind w:left="0" w:firstLine="0"/>
        <w:numPr>
          <w:ilvl w:val="1"/>
          <w:numId w:val="1"/>
        </w:numPr>
        <w:spacing w:after="0" w:line="240" w:lineRule="auto"/>
        <w:rPr>
          <w:rFonts w:ascii="Calibri" w:hAnsi="Calibri" w:cs="Calibri"/>
          <w:bCs/>
          <w:sz w:val="24"/>
          <w:szCs w:val="24"/>
          <w:highlight w:val="yellow"/>
          <w:rPrChange w:id="17"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18" w:author="진료원장" w:date="2026-05-15T08:26:45Z">
            <w:rPr>
              <w:lang w:eastAsia="ko-KR"/>
              <w:rFonts w:ascii="Calibri" w:hAnsi="Calibri" w:cs="Calibri"/>
              <w:bCs/>
              <w:sz w:val="24"/>
              <w:szCs w:val="24"/>
            </w:rPr>
          </w:rPrChange>
        </w:rPr>
        <w:t xml:space="preserve">Make a longitudinal skin incision approximately 1 cm in length at the marked </w:t>
      </w:r>
      <w:r>
        <w:rPr>
          <w:rFonts w:ascii="Calibri" w:hAnsi="Calibri" w:cs="Calibri"/>
          <w:bCs/>
          <w:sz w:val="24"/>
          <w:szCs w:val="24"/>
          <w:highlight w:val="yellow"/>
          <w:rPrChange w:id="19" w:author="진료원장" w:date="2026-05-15T08:26:45Z">
            <w:rPr>
              <w:lang w:eastAsia="ko-KR"/>
              <w:rFonts w:ascii="Calibri" w:hAnsi="Calibri" w:cs="Calibri"/>
              <w:bCs/>
              <w:sz w:val="24"/>
              <w:szCs w:val="24"/>
            </w:rPr>
          </w:rPrChange>
        </w:rPr>
        <w:t xml:space="preserve"> </w:t>
      </w:r>
      <w:r>
        <w:rPr>
          <w:rFonts w:ascii="Calibri" w:hAnsi="Calibri" w:cs="Calibri"/>
          <w:bCs/>
          <w:sz w:val="24"/>
          <w:szCs w:val="24"/>
          <w:highlight w:val="yellow"/>
          <w:rPrChange w:id="20" w:author="진료원장" w:date="2026-05-15T08:26:45Z">
            <w:rPr>
              <w:lang w:eastAsia="ko-KR"/>
              <w:rFonts w:ascii="Calibri" w:hAnsi="Calibri" w:cs="Calibri"/>
              <w:bCs/>
              <w:sz w:val="24"/>
              <w:szCs w:val="24"/>
            </w:rPr>
          </w:rPrChange>
        </w:rPr>
        <w:t>V point.</w:t>
      </w:r>
    </w:p>
    <w:p>
      <w:pPr>
        <w:pStyle w:val="ListParagraph"/>
        <w:ind w:left="0"/>
        <w:spacing w:after="0" w:line="240" w:lineRule="auto"/>
        <w:rPr>
          <w:rFonts w:ascii="Calibri" w:hAnsi="Calibri" w:cs="Calibri"/>
          <w:bCs/>
          <w:sz w:val="24"/>
          <w:szCs w:val="24"/>
          <w:highlight w:val="yellow"/>
          <w:rPrChange w:id="21" w:author="진료원장" w:date="2026-05-15T08:26:45Z">
            <w:rPr>
              <w:lang w:eastAsia="ko-KR"/>
              <w:rFonts w:ascii="Calibri" w:hAnsi="Calibri" w:cs="Calibri"/>
              <w:bCs/>
              <w:sz w:val="24"/>
              <w:szCs w:val="24"/>
            </w:rPr>
          </w:rPrChange>
        </w:rPr>
      </w:pPr>
    </w:p>
    <w:p>
      <w:pPr>
        <w:pStyle w:val="ListParagraph"/>
        <w:ind w:left="0" w:firstLine="0"/>
        <w:numPr>
          <w:ilvl w:val="1"/>
          <w:numId w:val="1"/>
        </w:numPr>
        <w:spacing w:after="0" w:line="240" w:lineRule="auto"/>
        <w:rPr>
          <w:rFonts w:ascii="Calibri" w:hAnsi="Calibri" w:cs="Calibri"/>
          <w:bCs/>
          <w:sz w:val="24"/>
          <w:szCs w:val="24"/>
          <w:highlight w:val="yellow"/>
          <w:rPrChange w:id="22"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23" w:author="진료원장" w:date="2026-05-15T08:26:45Z">
            <w:rPr>
              <w:lang w:eastAsia="ko-KR"/>
              <w:rFonts w:ascii="Calibri" w:hAnsi="Calibri" w:cs="Calibri"/>
              <w:bCs/>
              <w:sz w:val="24"/>
              <w:szCs w:val="24"/>
            </w:rPr>
          </w:rPrChange>
        </w:rPr>
        <w:t xml:space="preserve">For a single-level decompression, </w:t>
      </w:r>
      <w:r>
        <w:rPr>
          <w:rFonts w:ascii="Calibri" w:hAnsi="Calibri" w:cs="Calibri"/>
          <w:bCs/>
          <w:sz w:val="24"/>
          <w:szCs w:val="24"/>
          <w:highlight w:val="yellow"/>
          <w:rPrChange w:id="24" w:author="진료원장" w:date="2026-05-15T08:26:45Z">
            <w:rPr>
              <w:lang w:eastAsia="ko-KR"/>
              <w:rFonts w:ascii="Calibri" w:hAnsi="Calibri" w:cs="Calibri"/>
              <w:bCs/>
              <w:sz w:val="24"/>
              <w:szCs w:val="24"/>
            </w:rPr>
          </w:rPrChange>
        </w:rPr>
        <w:t xml:space="preserve">center </w:t>
      </w:r>
      <w:r>
        <w:rPr>
          <w:rFonts w:ascii="Calibri" w:hAnsi="Calibri" w:cs="Calibri"/>
          <w:bCs/>
          <w:sz w:val="24"/>
          <w:szCs w:val="24"/>
          <w:highlight w:val="yellow"/>
          <w:rPrChange w:id="25" w:author="진료원장" w:date="2026-05-15T08:26:45Z">
            <w:rPr>
              <w:lang w:eastAsia="ko-KR"/>
              <w:rFonts w:ascii="Calibri" w:hAnsi="Calibri" w:cs="Calibri"/>
              <w:bCs/>
              <w:sz w:val="24"/>
              <w:szCs w:val="24"/>
            </w:rPr>
          </w:rPrChange>
        </w:rPr>
        <w:t xml:space="preserve">the incision directly over the V point of the target level. </w:t>
      </w:r>
    </w:p>
    <w:p>
      <w:pPr>
        <w:pStyle w:val="ListParagraph"/>
        <w:ind w:left="0"/>
        <w:spacing w:after="0" w:line="240" w:lineRule="auto"/>
        <w:rPr>
          <w:rFonts w:ascii="Calibri" w:hAnsi="Calibri" w:cs="Calibri"/>
          <w:bCs/>
          <w:sz w:val="24"/>
          <w:szCs w:val="24"/>
          <w:highlight w:val="yellow"/>
          <w:rPrChange w:id="26" w:author="진료원장" w:date="2026-05-15T08:26:45Z">
            <w:rPr>
              <w:lang w:eastAsia="ko-KR"/>
              <w:rFonts w:ascii="Calibri" w:hAnsi="Calibri" w:cs="Calibri"/>
              <w:bCs/>
              <w:sz w:val="24"/>
              <w:szCs w:val="24"/>
            </w:rPr>
          </w:rPrChange>
        </w:rPr>
      </w:pPr>
    </w:p>
    <w:p>
      <w:pPr>
        <w:pStyle w:val="ListParagraph"/>
        <w:ind w:left="0" w:firstLine="0"/>
        <w:numPr>
          <w:ilvl w:val="1"/>
          <w:numId w:val="1"/>
        </w:numPr>
        <w:spacing w:after="0" w:line="240" w:lineRule="auto"/>
        <w:rPr>
          <w:rFonts w:ascii="Calibri" w:hAnsi="Calibri" w:cs="Calibri"/>
          <w:bCs/>
          <w:sz w:val="24"/>
          <w:szCs w:val="24"/>
          <w:highlight w:val="yellow"/>
          <w:rPrChange w:id="27"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28" w:author="진료원장" w:date="2026-05-15T08:26:45Z">
            <w:rPr>
              <w:lang w:eastAsia="ko-KR"/>
              <w:rFonts w:ascii="Calibri" w:hAnsi="Calibri" w:cs="Calibri"/>
              <w:bCs/>
              <w:sz w:val="24"/>
              <w:szCs w:val="24"/>
            </w:rPr>
          </w:rPrChange>
        </w:rPr>
        <w:t>For two-level decompression,</w:t>
      </w:r>
      <w:r>
        <w:rPr>
          <w:rFonts w:ascii="Calibri" w:hAnsi="Calibri" w:cs="Calibri"/>
          <w:bCs/>
          <w:sz w:val="24"/>
          <w:szCs w:val="24"/>
          <w:highlight w:val="yellow"/>
          <w:rPrChange w:id="29" w:author="진료원장" w:date="2026-05-15T08:26:45Z">
            <w:rPr>
              <w:lang w:eastAsia="ko-KR"/>
              <w:rFonts w:ascii="Calibri" w:hAnsi="Calibri" w:cs="Calibri"/>
              <w:bCs/>
              <w:sz w:val="24"/>
              <w:szCs w:val="24"/>
            </w:rPr>
          </w:rPrChange>
        </w:rPr>
        <w:t xml:space="preserve"> perform </w:t>
      </w:r>
      <w:r>
        <w:rPr>
          <w:rFonts w:ascii="Calibri" w:hAnsi="Calibri" w:cs="Calibri"/>
          <w:bCs/>
          <w:sz w:val="24"/>
          <w:szCs w:val="24"/>
          <w:highlight w:val="yellow"/>
          <w:rPrChange w:id="30" w:author="진료원장" w:date="2026-05-15T08:26:45Z">
            <w:rPr>
              <w:lang w:eastAsia="ko-KR"/>
              <w:rFonts w:ascii="Calibri" w:hAnsi="Calibri" w:cs="Calibri"/>
              <w:bCs/>
              <w:sz w:val="24"/>
              <w:szCs w:val="24"/>
            </w:rPr>
          </w:rPrChange>
        </w:rPr>
        <w:t xml:space="preserve">a single skin incision and </w:t>
      </w:r>
      <w:r>
        <w:rPr>
          <w:rFonts w:ascii="Calibri" w:hAnsi="Calibri" w:cs="Calibri"/>
          <w:bCs/>
          <w:sz w:val="24"/>
          <w:szCs w:val="24"/>
          <w:highlight w:val="yellow"/>
          <w:rPrChange w:id="31" w:author="진료원장" w:date="2026-05-15T08:26:45Z">
            <w:rPr>
              <w:lang w:eastAsia="ko-KR"/>
              <w:rFonts w:ascii="Calibri" w:hAnsi="Calibri" w:cs="Calibri"/>
              <w:bCs/>
              <w:sz w:val="24"/>
              <w:szCs w:val="24"/>
            </w:rPr>
          </w:rPrChange>
        </w:rPr>
        <w:t xml:space="preserve">achieve </w:t>
      </w:r>
      <w:r>
        <w:rPr>
          <w:rFonts w:ascii="Calibri" w:hAnsi="Calibri" w:cs="Calibri"/>
          <w:bCs/>
          <w:sz w:val="24"/>
          <w:szCs w:val="24"/>
          <w:highlight w:val="yellow"/>
          <w:rPrChange w:id="32" w:author="진료원장" w:date="2026-05-15T08:26:45Z">
            <w:rPr>
              <w:lang w:eastAsia="ko-KR"/>
              <w:rFonts w:ascii="Calibri" w:hAnsi="Calibri" w:cs="Calibri"/>
              <w:bCs/>
              <w:sz w:val="24"/>
              <w:szCs w:val="24"/>
            </w:rPr>
          </w:rPrChange>
        </w:rPr>
        <w:t>endoscopic access by cranial</w:t>
      </w:r>
      <w:r>
        <w:rPr>
          <w:rFonts w:ascii="Calibri" w:hAnsi="Calibri" w:cs="Calibri"/>
          <w:bCs/>
          <w:sz w:val="24"/>
          <w:szCs w:val="24"/>
          <w:highlight w:val="yellow"/>
          <w:rPrChange w:id="33" w:author="진료원장" w:date="2026-05-15T08:26:45Z">
            <w:rPr>
              <w:lang w:eastAsia="ko-KR"/>
              <w:rFonts w:ascii="Calibri" w:hAnsi="Calibri" w:cs="Calibri"/>
              <w:bCs/>
              <w:sz w:val="24"/>
              <w:szCs w:val="24"/>
            </w:rPr>
          </w:rPrChange>
        </w:rPr>
        <w:t>-</w:t>
      </w:r>
      <w:r>
        <w:rPr>
          <w:rFonts w:ascii="Calibri" w:hAnsi="Calibri" w:cs="Calibri"/>
          <w:bCs/>
          <w:sz w:val="24"/>
          <w:szCs w:val="24"/>
          <w:highlight w:val="yellow"/>
          <w:rPrChange w:id="34" w:author="진료원장" w:date="2026-05-15T08:26:45Z">
            <w:rPr>
              <w:lang w:eastAsia="ko-KR"/>
              <w:rFonts w:ascii="Calibri" w:hAnsi="Calibri" w:cs="Calibri"/>
              <w:bCs/>
              <w:sz w:val="24"/>
              <w:szCs w:val="24"/>
            </w:rPr>
          </w:rPrChange>
        </w:rPr>
        <w:t>caudal sliding of the working channel</w:t>
      </w:r>
      <w:r>
        <w:rPr>
          <w:rFonts w:ascii="Calibri" w:hAnsi="Calibri" w:cs="Calibri"/>
          <w:bCs/>
          <w:sz w:val="24"/>
          <w:szCs w:val="24"/>
          <w:highlight w:val="yellow"/>
          <w:rPrChange w:id="35" w:author="진료원장" w:date="2026-05-15T08:26:45Z">
            <w:rPr>
              <w:lang w:eastAsia="ko-KR"/>
              <w:rFonts w:ascii="Calibri" w:hAnsi="Calibri" w:cs="Calibri"/>
              <w:bCs/>
              <w:sz w:val="24"/>
              <w:szCs w:val="24"/>
            </w:rPr>
          </w:rPrChange>
        </w:rPr>
        <w:t>.</w:t>
      </w:r>
      <w:r>
        <w:rPr>
          <w:rFonts w:ascii="Calibri" w:hAnsi="Calibri" w:cs="Calibri"/>
          <w:bCs/>
          <w:sz w:val="24"/>
          <w:szCs w:val="24"/>
          <w:highlight w:val="yellow"/>
          <w:rPrChange w:id="36" w:author="진료원장" w:date="2026-05-15T08:26:45Z">
            <w:rPr>
              <w:lang w:eastAsia="ko-KR"/>
              <w:rFonts w:ascii="Calibri" w:hAnsi="Calibri" w:cs="Calibri"/>
              <w:bCs/>
              <w:sz w:val="24"/>
              <w:szCs w:val="24"/>
            </w:rPr>
          </w:rPrChange>
        </w:rPr>
        <w:t xml:space="preserve"> </w:t>
      </w:r>
      <w:r>
        <w:rPr>
          <w:rFonts w:ascii="Calibri" w:hAnsi="Calibri" w:cs="Calibri"/>
          <w:bCs/>
          <w:sz w:val="24"/>
          <w:szCs w:val="24"/>
          <w:highlight w:val="yellow"/>
          <w:rPrChange w:id="37" w:author="진료원장" w:date="2026-05-15T08:26:45Z">
            <w:rPr>
              <w:lang w:eastAsia="ko-KR"/>
              <w:rFonts w:ascii="Calibri" w:hAnsi="Calibri" w:cs="Calibri"/>
              <w:bCs/>
              <w:sz w:val="24"/>
              <w:szCs w:val="24"/>
            </w:rPr>
          </w:rPrChange>
        </w:rPr>
        <w:t>I</w:t>
      </w:r>
      <w:r>
        <w:rPr>
          <w:rFonts w:ascii="Calibri" w:hAnsi="Calibri" w:cs="Calibri"/>
          <w:bCs/>
          <w:sz w:val="24"/>
          <w:szCs w:val="24"/>
          <w:highlight w:val="yellow"/>
          <w:rPrChange w:id="38" w:author="진료원장" w:date="2026-05-15T08:26:45Z">
            <w:rPr>
              <w:lang w:eastAsia="ko-KR"/>
              <w:rFonts w:ascii="Calibri" w:hAnsi="Calibri" w:cs="Calibri"/>
              <w:bCs/>
              <w:sz w:val="24"/>
              <w:szCs w:val="24"/>
            </w:rPr>
          </w:rPrChange>
        </w:rPr>
        <w:t xml:space="preserve">n this case, </w:t>
      </w:r>
      <w:r>
        <w:rPr>
          <w:rFonts w:ascii="Calibri" w:hAnsi="Calibri" w:cs="Calibri"/>
          <w:bCs/>
          <w:sz w:val="24"/>
          <w:szCs w:val="24"/>
          <w:highlight w:val="yellow"/>
          <w:rPrChange w:id="39" w:author="진료원장" w:date="2026-05-15T08:26:45Z">
            <w:rPr>
              <w:lang w:eastAsia="ko-KR"/>
              <w:rFonts w:ascii="Calibri" w:hAnsi="Calibri" w:cs="Calibri"/>
              <w:bCs/>
              <w:sz w:val="24"/>
              <w:szCs w:val="24"/>
            </w:rPr>
          </w:rPrChange>
        </w:rPr>
        <w:t xml:space="preserve">center </w:t>
      </w:r>
      <w:r>
        <w:rPr>
          <w:rFonts w:ascii="Calibri" w:hAnsi="Calibri" w:cs="Calibri"/>
          <w:bCs/>
          <w:sz w:val="24"/>
          <w:szCs w:val="24"/>
          <w:highlight w:val="yellow"/>
          <w:rPrChange w:id="40" w:author="진료원장" w:date="2026-05-15T08:26:45Z">
            <w:rPr>
              <w:lang w:eastAsia="ko-KR"/>
              <w:rFonts w:ascii="Calibri" w:hAnsi="Calibri" w:cs="Calibri"/>
              <w:bCs/>
              <w:sz w:val="24"/>
              <w:szCs w:val="24"/>
            </w:rPr>
          </w:rPrChange>
        </w:rPr>
        <w:t>the incision at the midpoint between the V points of the two target levels.</w:t>
      </w:r>
    </w:p>
    <w:p>
      <w:pPr>
        <w:pStyle w:val="ListParagraph"/>
        <w:ind w:left="0"/>
        <w:spacing w:after="0" w:line="240" w:lineRule="auto"/>
        <w:rPr>
          <w:rFonts w:ascii="Calibri" w:hAnsi="Calibri" w:cs="Calibri"/>
          <w:bCs/>
          <w:sz w:val="24"/>
          <w:szCs w:val="24"/>
          <w:highlight w:val="yellow"/>
          <w:rPrChange w:id="41" w:author="진료원장" w:date="2026-05-15T08:26:45Z">
            <w:rPr>
              <w:lang w:eastAsia="ko-KR"/>
              <w:rFonts w:ascii="Calibri" w:hAnsi="Calibri" w:cs="Calibri"/>
              <w:bCs/>
              <w:sz w:val="24"/>
              <w:szCs w:val="24"/>
            </w:rPr>
          </w:rPrChange>
        </w:rPr>
      </w:pPr>
    </w:p>
    <w:p>
      <w:pPr>
        <w:pStyle w:val="ListParagraph"/>
        <w:ind w:left="0" w:firstLine="0"/>
        <w:numPr>
          <w:ilvl w:val="1"/>
          <w:numId w:val="1"/>
        </w:numPr>
        <w:spacing w:after="0" w:line="240" w:lineRule="auto"/>
        <w:rPr>
          <w:rFonts w:ascii="Calibri" w:hAnsi="Calibri" w:cs="Calibri"/>
          <w:bCs/>
          <w:sz w:val="24"/>
          <w:szCs w:val="24"/>
          <w:highlight w:val="yellow"/>
          <w:rPrChange w:id="42"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43" w:author="진료원장" w:date="2026-05-15T08:26:45Z">
            <w:rPr>
              <w:lang w:eastAsia="ko-KR"/>
              <w:rFonts w:ascii="Calibri" w:hAnsi="Calibri" w:cs="Calibri"/>
              <w:bCs/>
              <w:sz w:val="24"/>
              <w:szCs w:val="24"/>
            </w:rPr>
          </w:rPrChange>
        </w:rPr>
        <w:t xml:space="preserve">For three-level decompression, </w:t>
      </w:r>
      <w:r>
        <w:rPr>
          <w:rFonts w:ascii="Calibri" w:hAnsi="Calibri" w:cs="Calibri"/>
          <w:bCs/>
          <w:sz w:val="24"/>
          <w:szCs w:val="24"/>
          <w:highlight w:val="yellow"/>
          <w:rPrChange w:id="44" w:author="진료원장" w:date="2026-05-15T08:26:45Z">
            <w:rPr>
              <w:lang w:eastAsia="ko-KR"/>
              <w:rFonts w:ascii="Calibri" w:hAnsi="Calibri" w:cs="Calibri"/>
              <w:bCs/>
              <w:sz w:val="24"/>
              <w:szCs w:val="24"/>
            </w:rPr>
          </w:rPrChange>
        </w:rPr>
        <w:t xml:space="preserve">perform </w:t>
      </w:r>
      <w:r>
        <w:rPr>
          <w:rFonts w:ascii="Calibri" w:hAnsi="Calibri" w:cs="Calibri"/>
          <w:bCs/>
          <w:sz w:val="24"/>
          <w:szCs w:val="24"/>
          <w:highlight w:val="yellow"/>
          <w:rPrChange w:id="45" w:author="진료원장" w:date="2026-05-15T08:26:45Z">
            <w:rPr>
              <w:lang w:eastAsia="ko-KR"/>
              <w:rFonts w:ascii="Calibri" w:hAnsi="Calibri" w:cs="Calibri"/>
              <w:bCs/>
              <w:sz w:val="24"/>
              <w:szCs w:val="24"/>
            </w:rPr>
          </w:rPrChange>
        </w:rPr>
        <w:t>a single skin incision, with the incision centered over the V point of the middle level to allow adequate cranial and caudal reach.</w:t>
      </w:r>
    </w:p>
    <w:p>
      <w:pPr>
        <w:pStyle w:val="ListParagraph"/>
        <w:ind w:left="0"/>
        <w:spacing w:after="0" w:line="240" w:lineRule="auto"/>
        <w:rPr>
          <w:rFonts w:ascii="Calibri" w:hAnsi="Calibri" w:cs="Calibri"/>
          <w:bCs/>
          <w:sz w:val="24"/>
          <w:szCs w:val="24"/>
          <w:highlight w:val="yellow"/>
          <w:rPrChange w:id="46" w:author="진료원장" w:date="2026-05-15T08:26:45Z">
            <w:rPr>
              <w:lang w:eastAsia="ko-KR"/>
              <w:rFonts w:ascii="Calibri" w:hAnsi="Calibri" w:cs="Calibri"/>
              <w:bCs/>
              <w:sz w:val="24"/>
              <w:szCs w:val="24"/>
            </w:rPr>
          </w:rPrChange>
        </w:rPr>
      </w:pPr>
    </w:p>
    <w:p>
      <w:pPr>
        <w:pBdr>
          <w:between w:val="nil"/>
          <w:top w:val="nil"/>
          <w:left w:val="nil"/>
          <w:bottom w:val="nil"/>
          <w:right w:val="nil"/>
        </w:pBdr>
        <w:tabs>
          <w:tab w:val="num" w:pos="720"/>
        </w:tabs>
        <w:rPr>
          <w:bCs/>
          <w:highlight w:val="yellow"/>
          <w:rPrChange w:id="47" w:author="진료원장" w:date="2026-05-15T08:26:45Z">
            <w:rPr>
              <w:lang w:eastAsia="ko-KR"/>
              <w:bCs/>
            </w:rPr>
          </w:rPrChange>
        </w:rPr>
      </w:pPr>
      <w:r>
        <w:rPr>
          <w:bCs/>
          <w:highlight w:val="yellow"/>
          <w:rPrChange w:id="48" w:author="진료원장" w:date="2026-05-15T08:26:45Z">
            <w:rPr>
              <w:lang w:eastAsia="ko-KR"/>
              <w:bCs/>
            </w:rPr>
          </w:rPrChange>
        </w:rPr>
        <w:t xml:space="preserve"> </w:t>
      </w:r>
      <w:r>
        <w:rPr>
          <w:bCs/>
          <w:highlight w:val="yellow"/>
          <w:rPrChange w:id="49" w:author="진료원장" w:date="2026-05-15T08:26:45Z">
            <w:rPr>
              <w:lang w:eastAsia="ko-KR"/>
              <w:bCs/>
            </w:rPr>
          </w:rPrChange>
        </w:rPr>
        <w:t>N</w:t>
      </w:r>
      <w:r>
        <w:rPr>
          <w:bCs/>
          <w:highlight w:val="yellow"/>
          <w:rPrChange w:id="50" w:author="진료원장" w:date="2026-05-15T08:26:45Z">
            <w:rPr>
              <w:lang w:eastAsia="ko-KR"/>
              <w:bCs/>
            </w:rPr>
          </w:rPrChange>
        </w:rPr>
        <w:t>OTE: During multilevel decompression, excessive angulation of the endoscope should be avoided to prevent undue soft tissue tension. Controlled cranial</w:t>
      </w:r>
      <w:r>
        <w:rPr>
          <w:bCs/>
          <w:highlight w:val="yellow"/>
          <w:rPrChange w:id="51" w:author="진료원장" w:date="2026-05-15T08:26:45Z">
            <w:rPr>
              <w:lang w:eastAsia="ko-KR"/>
              <w:bCs/>
            </w:rPr>
          </w:rPrChange>
        </w:rPr>
        <w:t>-</w:t>
      </w:r>
      <w:r>
        <w:rPr>
          <w:bCs/>
          <w:highlight w:val="yellow"/>
          <w:rPrChange w:id="52" w:author="진료원장" w:date="2026-05-15T08:26:45Z">
            <w:rPr>
              <w:lang w:eastAsia="ko-KR"/>
              <w:bCs/>
            </w:rPr>
          </w:rPrChange>
        </w:rPr>
        <w:t>caudal sliding of the working channel along the bony corridor is recommended. If adequate access cannot be achieved without excessive tissue strain, repositioning or an additional skin incision should be considered.</w:t>
      </w:r>
    </w:p>
    <w:p>
      <w:pPr>
        <w:pBdr>
          <w:between w:val="nil"/>
          <w:top w:val="nil"/>
          <w:left w:val="nil"/>
          <w:bottom w:val="nil"/>
          <w:right w:val="nil"/>
        </w:pBdr>
        <w:tabs>
          <w:tab w:val="num" w:pos="720"/>
        </w:tabs>
        <w:rPr>
          <w:bCs/>
          <w:highlight w:val="yellow"/>
          <w:rPrChange w:id="53" w:author="진료원장" w:date="2026-05-15T08:26:45Z">
            <w:rPr>
              <w:lang w:eastAsia="ko-KR"/>
              <w:bCs/>
            </w:rPr>
          </w:rPrChange>
        </w:rPr>
      </w:pPr>
    </w:p>
    <w:p>
      <w:pPr>
        <w:pStyle w:val="ListParagraph"/>
        <w:ind w:left="0" w:firstLine="0"/>
        <w:numPr>
          <w:ilvl w:val="1"/>
          <w:numId w:val="1"/>
        </w:numPr>
        <w:spacing w:after="0" w:line="240" w:lineRule="auto"/>
        <w:rPr>
          <w:rFonts w:ascii="Calibri" w:hAnsi="Calibri" w:cs="Calibri"/>
          <w:bCs/>
          <w:sz w:val="24"/>
          <w:szCs w:val="24"/>
          <w:highlight w:val="yellow"/>
          <w:rPrChange w:id="54"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55" w:author="진료원장" w:date="2026-05-15T08:26:45Z">
            <w:rPr>
              <w:lang w:eastAsia="ko-KR"/>
              <w:rFonts w:ascii="Calibri" w:hAnsi="Calibri" w:cs="Calibri"/>
              <w:bCs/>
              <w:sz w:val="24"/>
              <w:szCs w:val="24"/>
            </w:rPr>
          </w:rPrChange>
        </w:rPr>
        <w:t xml:space="preserve">Insert the obturator and working sleeve sequentially and dock them onto the target bony landmark </w:t>
      </w:r>
      <w:r>
        <w:rPr>
          <w:rFonts w:ascii="Calibri" w:hAnsi="Calibri" w:cs="Calibri"/>
          <w:sz w:val="24"/>
          <w:szCs w:val="24"/>
          <w:highlight w:val="yellow"/>
          <w:rPrChange w:id="56" w:author="진료원장" w:date="2026-05-15T08:26:45Z">
            <w:rPr>
              <w:lang w:eastAsia="ko-KR"/>
              <w:rFonts w:ascii="Calibri" w:hAnsi="Calibri" w:cs="Calibri"/>
              <w:sz w:val="24"/>
              <w:szCs w:val="24"/>
            </w:rPr>
          </w:rPrChange>
        </w:rPr>
        <w:t>(</w:t>
      </w:r>
      <w:r>
        <w:rPr>
          <w:rFonts w:ascii="Calibri" w:hAnsi="Calibri" w:cs="Calibri"/>
          <w:b/>
          <w:bCs/>
          <w:sz w:val="24"/>
          <w:szCs w:val="24"/>
          <w:highlight w:val="yellow"/>
          <w:rPrChange w:id="57" w:author="진료원장" w:date="2026-05-15T08:26:45Z">
            <w:rPr>
              <w:lang w:eastAsia="ko-KR"/>
              <w:rFonts w:ascii="Calibri" w:hAnsi="Calibri" w:cs="Calibri"/>
              <w:b/>
              <w:bCs/>
              <w:sz w:val="24"/>
              <w:szCs w:val="24"/>
            </w:rPr>
          </w:rPrChange>
        </w:rPr>
        <w:t>Figure 3C,D</w:t>
      </w:r>
      <w:r>
        <w:rPr>
          <w:rFonts w:ascii="Calibri" w:hAnsi="Calibri" w:cs="Calibri"/>
          <w:sz w:val="24"/>
          <w:szCs w:val="24"/>
          <w:highlight w:val="yellow"/>
          <w:rPrChange w:id="58" w:author="진료원장" w:date="2026-05-15T08:26:45Z">
            <w:rPr>
              <w:lang w:eastAsia="ko-KR"/>
              <w:rFonts w:ascii="Calibri" w:hAnsi="Calibri" w:cs="Calibri"/>
              <w:sz w:val="24"/>
              <w:szCs w:val="24"/>
            </w:rPr>
          </w:rPrChange>
        </w:rPr>
        <w:t>).</w:t>
      </w:r>
    </w:p>
    <w:p>
      <w:pPr>
        <w:pStyle w:val="ListParagraph"/>
        <w:ind w:left="0"/>
        <w:spacing w:after="0" w:line="240" w:lineRule="auto"/>
        <w:rPr>
          <w:rFonts w:ascii="Calibri" w:hAnsi="Calibri" w:cs="Calibri"/>
          <w:bCs/>
          <w:sz w:val="24"/>
          <w:szCs w:val="24"/>
          <w:highlight w:val="yellow"/>
          <w:rPrChange w:id="59" w:author="진료원장" w:date="2026-05-15T08:26:45Z">
            <w:rPr>
              <w:lang w:eastAsia="ko-KR"/>
              <w:rFonts w:ascii="Calibri" w:hAnsi="Calibri" w:cs="Calibri"/>
              <w:bCs/>
              <w:sz w:val="24"/>
              <w:szCs w:val="24"/>
            </w:rPr>
          </w:rPrChange>
        </w:rPr>
      </w:pPr>
    </w:p>
    <w:p>
      <w:pPr>
        <w:pBdr>
          <w:between w:val="nil"/>
          <w:top w:val="nil"/>
          <w:left w:val="nil"/>
          <w:bottom w:val="nil"/>
          <w:right w:val="nil"/>
        </w:pBdr>
        <w:tabs>
          <w:tab w:val="num" w:pos="720"/>
        </w:tabs>
        <w:rPr>
          <w:bCs/>
          <w:highlight w:val="yellow"/>
          <w:rPrChange w:id="60" w:author="진료원장" w:date="2026-05-15T08:26:45Z">
            <w:rPr>
              <w:lang w:eastAsia="ko-KR"/>
              <w:bCs/>
            </w:rPr>
          </w:rPrChange>
        </w:rPr>
      </w:pPr>
      <w:r>
        <w:rPr>
          <w:bCs/>
          <w:highlight w:val="yellow"/>
          <w:rPrChange w:id="61" w:author="진료원장" w:date="2026-05-15T08:26:45Z">
            <w:rPr>
              <w:lang w:eastAsia="ko-KR"/>
              <w:bCs/>
            </w:rPr>
          </w:rPrChange>
        </w:rPr>
        <w:t>NOTE: During obturator and working sleeve insertion, advance strictly along the intended bony corridor to avoid unnecessary violation of paraspinal muscles and vessel</w:t>
      </w:r>
      <w:r>
        <w:rPr>
          <w:bCs/>
          <w:highlight w:val="yellow"/>
          <w:rPrChange w:id="62" w:author="진료원장" w:date="2026-05-15T08:26:45Z">
            <w:rPr>
              <w:lang w:eastAsia="ko-KR"/>
              <w:bCs/>
            </w:rPr>
          </w:rPrChange>
        </w:rPr>
        <w:t>s</w:t>
      </w:r>
      <w:r>
        <w:rPr>
          <w:bCs/>
          <w:highlight w:val="yellow"/>
          <w:rPrChange w:id="63" w:author="진료원장" w:date="2026-05-15T08:26:45Z">
            <w:rPr>
              <w:lang w:eastAsia="ko-KR"/>
              <w:bCs/>
            </w:rPr>
          </w:rPrChange>
        </w:rPr>
        <w:t>.</w:t>
      </w:r>
    </w:p>
    <w:p>
      <w:pPr>
        <w:pBdr>
          <w:between w:val="nil"/>
          <w:top w:val="nil"/>
          <w:left w:val="nil"/>
          <w:bottom w:val="nil"/>
          <w:right w:val="nil"/>
        </w:pBdr>
        <w:tabs>
          <w:tab w:val="num" w:pos="720"/>
        </w:tabs>
        <w:rPr>
          <w:bCs/>
          <w:highlight w:val="yellow"/>
          <w:rPrChange w:id="64" w:author="진료원장" w:date="2026-05-15T08:26:45Z">
            <w:rPr>
              <w:lang w:eastAsia="ko-KR"/>
              <w:bCs/>
            </w:rPr>
          </w:rPrChange>
        </w:rPr>
      </w:pPr>
    </w:p>
    <w:p>
      <w:pPr>
        <w:pStyle w:val="ListParagraph"/>
        <w:ind w:left="0" w:firstLine="0"/>
        <w:numPr>
          <w:ilvl w:val="1"/>
          <w:numId w:val="1"/>
        </w:numPr>
        <w:spacing w:after="0" w:line="240" w:lineRule="auto"/>
        <w:rPr>
          <w:rFonts w:ascii="Calibri" w:hAnsi="Calibri" w:cs="Calibri"/>
          <w:bCs/>
          <w:sz w:val="24"/>
          <w:szCs w:val="24"/>
          <w:highlight w:val="yellow"/>
          <w:rPrChange w:id="65"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66" w:author="진료원장" w:date="2026-05-15T08:26:45Z">
            <w:rPr>
              <w:lang w:eastAsia="ko-KR"/>
              <w:rFonts w:ascii="Calibri" w:hAnsi="Calibri" w:cs="Calibri"/>
              <w:bCs/>
              <w:sz w:val="24"/>
              <w:szCs w:val="24"/>
            </w:rPr>
          </w:rPrChange>
        </w:rPr>
        <w:t>Reconfirm the final position of the working sleeve tip using anteroposterior and lateral fluoroscopy.</w:t>
      </w:r>
    </w:p>
    <w:p>
      <w:pPr>
        <w:pStyle w:val="ListParagraph"/>
        <w:ind w:left="0"/>
        <w:spacing w:after="0" w:line="240" w:lineRule="auto"/>
        <w:rPr>
          <w:rFonts w:ascii="Calibri" w:hAnsi="Calibri" w:cs="Calibri"/>
          <w:bCs/>
          <w:sz w:val="24"/>
          <w:szCs w:val="24"/>
          <w:highlight w:val="yellow"/>
          <w:rPrChange w:id="67" w:author="진료원장" w:date="2026-05-15T08:26:45Z">
            <w:rPr>
              <w:lang w:eastAsia="ko-KR"/>
              <w:rFonts w:ascii="Calibri" w:hAnsi="Calibri" w:cs="Calibri"/>
              <w:bCs/>
              <w:sz w:val="24"/>
              <w:szCs w:val="24"/>
            </w:rPr>
          </w:rPrChange>
        </w:rPr>
      </w:pPr>
    </w:p>
    <w:p>
      <w:pPr>
        <w:pStyle w:val="ListParagraph"/>
        <w:ind w:left="0" w:firstLine="0"/>
        <w:numPr>
          <w:ilvl w:val="0"/>
          <w:numId w:val="1"/>
        </w:numPr>
        <w:spacing w:after="0" w:line="240" w:lineRule="auto"/>
        <w:rPr>
          <w:rFonts w:ascii="Calibri" w:hAnsi="Calibri" w:cs="Calibri"/>
          <w:b/>
          <w:sz w:val="24"/>
          <w:szCs w:val="24"/>
          <w:highlight w:val="yellow"/>
          <w:rPrChange w:id="68" w:author="진료원장" w:date="2026-05-15T08:26:45Z">
            <w:rPr>
              <w:lang w:eastAsia="ko-KR"/>
              <w:rFonts w:ascii="Calibri" w:hAnsi="Calibri" w:cs="Calibri"/>
              <w:b/>
              <w:sz w:val="24"/>
              <w:szCs w:val="24"/>
            </w:rPr>
          </w:rPrChange>
        </w:rPr>
      </w:pPr>
      <w:r>
        <w:rPr>
          <w:rFonts w:ascii="Calibri" w:hAnsi="Calibri" w:cs="Calibri"/>
          <w:b/>
          <w:bCs/>
          <w:sz w:val="24"/>
          <w:szCs w:val="24"/>
          <w:highlight w:val="yellow"/>
          <w:rPrChange w:id="69" w:author="진료원장" w:date="2026-05-15T08:26:45Z">
            <w:rPr>
              <w:rFonts w:ascii="Calibri" w:hAnsi="Calibri" w:cs="Calibri"/>
              <w:b/>
              <w:bCs/>
              <w:sz w:val="24"/>
              <w:szCs w:val="24"/>
            </w:rPr>
          </w:rPrChange>
        </w:rPr>
        <w:t>Endoscopic</w:t>
      </w:r>
      <w:r>
        <w:rPr>
          <w:rFonts w:ascii="Calibri" w:hAnsi="Calibri" w:cs="Calibri"/>
          <w:b/>
          <w:sz w:val="24"/>
          <w:szCs w:val="24"/>
          <w:highlight w:val="yellow"/>
          <w:rPrChange w:id="70" w:author="진료원장" w:date="2026-05-15T08:26:45Z">
            <w:rPr>
              <w:lang w:eastAsia="ko-KR"/>
              <w:rFonts w:ascii="Calibri" w:hAnsi="Calibri" w:cs="Calibri"/>
              <w:b/>
              <w:sz w:val="24"/>
              <w:szCs w:val="24"/>
            </w:rPr>
          </w:rPrChange>
        </w:rPr>
        <w:t xml:space="preserve"> decompression</w:t>
      </w:r>
    </w:p>
    <w:p>
      <w:pPr>
        <w:pStyle w:val="ListParagraph"/>
        <w:ind w:left="0"/>
        <w:spacing w:after="0" w:line="240" w:lineRule="auto"/>
        <w:rPr>
          <w:rFonts w:ascii="Calibri" w:hAnsi="Calibri" w:cs="Calibri"/>
          <w:b/>
          <w:sz w:val="24"/>
          <w:szCs w:val="24"/>
          <w:highlight w:val="yellow"/>
          <w:rPrChange w:id="71" w:author="진료원장" w:date="2026-05-15T08:26:45Z">
            <w:rPr>
              <w:lang w:eastAsia="ko-KR"/>
              <w:rFonts w:ascii="Calibri" w:hAnsi="Calibri" w:cs="Calibri"/>
              <w:b/>
              <w:sz w:val="24"/>
              <w:szCs w:val="24"/>
            </w:rPr>
          </w:rPrChange>
        </w:rPr>
      </w:pPr>
    </w:p>
    <w:p>
      <w:pPr>
        <w:rPr>
          <w:highlight w:val="yellow"/>
          <w:rPrChange w:id="72" w:author="진료원장" w:date="2026-05-15T08:26:45Z">
            <w:rPr>
              <w:lang w:eastAsia="ko-KR"/>
            </w:rPr>
          </w:rPrChange>
        </w:rPr>
      </w:pPr>
      <w:r>
        <w:rPr>
          <w:bCs/>
          <w:highlight w:val="yellow"/>
          <w:rPrChange w:id="73" w:author="진료원장" w:date="2026-05-15T08:26:45Z">
            <w:rPr>
              <w:lang w:eastAsia="ko-KR"/>
              <w:bCs/>
            </w:rPr>
          </w:rPrChange>
        </w:rPr>
        <w:t xml:space="preserve">NOTE: This section describes the fundamental steps of endoscopic posterior cervical decompression. During surgery, the water pump pressure is maintained at 30–50 mmHg. Care should be taken to maintain appropriate irrigation pressure and ensure continuous fluid outflow to avoid excessive pressure accumulation. Close intraoperative observation is recommended throughout the procedure. For multilevel procedures, the same sequence is repeated at each level, and the workflow is illustrated schematically in the accompanying figures for a two-level decompression </w:t>
      </w:r>
      <w:r>
        <w:rPr>
          <w:highlight w:val="yellow"/>
          <w:rPrChange w:id="74" w:author="진료원장" w:date="2026-05-15T08:26:45Z">
            <w:rPr>
              <w:lang w:eastAsia="ko-KR"/>
            </w:rPr>
          </w:rPrChange>
        </w:rPr>
        <w:t>(</w:t>
      </w:r>
      <w:r>
        <w:rPr>
          <w:b/>
          <w:bCs/>
          <w:highlight w:val="yellow"/>
          <w:rPrChange w:id="75" w:author="진료원장" w:date="2026-05-15T08:26:45Z">
            <w:rPr>
              <w:lang w:eastAsia="ko-KR"/>
              <w:b/>
              <w:bCs/>
            </w:rPr>
          </w:rPrChange>
        </w:rPr>
        <w:t>Figure 4</w:t>
      </w:r>
      <w:r>
        <w:rPr>
          <w:highlight w:val="yellow"/>
          <w:rPrChange w:id="76" w:author="진료원장" w:date="2026-05-15T08:26:45Z">
            <w:rPr>
              <w:lang w:eastAsia="ko-KR"/>
            </w:rPr>
          </w:rPrChange>
        </w:rPr>
        <w:t>).</w:t>
      </w:r>
    </w:p>
    <w:p>
      <w:pPr>
        <w:pBdr>
          <w:between w:val="nil"/>
          <w:top w:val="nil"/>
          <w:left w:val="nil"/>
          <w:bottom w:val="nil"/>
          <w:right w:val="nil"/>
        </w:pBdr>
        <w:rPr>
          <w:b/>
          <w:highlight w:val="yellow"/>
          <w:rPrChange w:id="77" w:author="진료원장" w:date="2026-05-15T08:26:45Z">
            <w:rPr>
              <w:lang w:eastAsia="ko-KR"/>
              <w:b/>
            </w:rPr>
          </w:rPrChange>
        </w:rPr>
      </w:pPr>
    </w:p>
    <w:p>
      <w:pPr>
        <w:pStyle w:val="ListParagraph"/>
        <w:ind w:left="0" w:firstLine="0"/>
        <w:numPr>
          <w:ilvl w:val="1"/>
          <w:numId w:val="1"/>
        </w:numPr>
        <w:spacing w:after="0" w:line="240" w:lineRule="auto"/>
        <w:rPr>
          <w:rFonts w:ascii="Calibri" w:hAnsi="Calibri" w:cs="Calibri"/>
          <w:bCs/>
          <w:sz w:val="24"/>
          <w:szCs w:val="24"/>
          <w:highlight w:val="yellow"/>
          <w:rPrChange w:id="78"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79" w:author="진료원장" w:date="2026-05-15T08:26:45Z">
            <w:rPr>
              <w:lang w:eastAsia="ko-KR"/>
              <w:rFonts w:ascii="Calibri" w:hAnsi="Calibri" w:cs="Calibri"/>
              <w:bCs/>
              <w:sz w:val="24"/>
              <w:szCs w:val="24"/>
            </w:rPr>
          </w:rPrChange>
        </w:rPr>
        <w:t xml:space="preserve">Bone </w:t>
      </w:r>
      <w:r>
        <w:rPr>
          <w:rFonts w:ascii="Calibri" w:hAnsi="Calibri" w:cs="Calibri"/>
          <w:bCs/>
          <w:sz w:val="24"/>
          <w:szCs w:val="24"/>
          <w:highlight w:val="yellow"/>
          <w:rPrChange w:id="80" w:author="진료원장" w:date="2026-05-15T08:26:45Z">
            <w:rPr>
              <w:lang w:eastAsia="ko-KR"/>
              <w:rFonts w:ascii="Calibri" w:hAnsi="Calibri" w:cs="Calibri"/>
              <w:bCs/>
              <w:sz w:val="24"/>
              <w:szCs w:val="24"/>
            </w:rPr>
          </w:rPrChange>
        </w:rPr>
        <w:t xml:space="preserve">drilling </w:t>
      </w:r>
      <w:r>
        <w:rPr>
          <w:rFonts w:ascii="Calibri" w:hAnsi="Calibri" w:cs="Calibri"/>
          <w:bCs/>
          <w:sz w:val="24"/>
          <w:szCs w:val="24"/>
          <w:highlight w:val="yellow"/>
          <w:rPrChange w:id="81" w:author="진료원장" w:date="2026-05-15T08:26:45Z">
            <w:rPr>
              <w:lang w:eastAsia="ko-KR"/>
              <w:rFonts w:ascii="Calibri" w:hAnsi="Calibri" w:cs="Calibri"/>
              <w:bCs/>
              <w:sz w:val="24"/>
              <w:szCs w:val="24"/>
            </w:rPr>
          </w:rPrChange>
        </w:rPr>
        <w:t>(Laminectomy)</w:t>
      </w:r>
    </w:p>
    <w:p>
      <w:pPr>
        <w:pStyle w:val="ListParagraph"/>
        <w:ind w:left="0"/>
        <w:spacing w:after="0" w:line="240" w:lineRule="auto"/>
        <w:rPr>
          <w:rFonts w:ascii="Calibri" w:hAnsi="Calibri" w:cs="Calibri"/>
          <w:bCs/>
          <w:sz w:val="24"/>
          <w:szCs w:val="24"/>
          <w:highlight w:val="yellow"/>
          <w:rPrChange w:id="82" w:author="진료원장" w:date="2026-05-15T08:26:45Z">
            <w:rPr>
              <w:lang w:eastAsia="ko-KR"/>
              <w:rFonts w:ascii="Calibri" w:hAnsi="Calibri" w:cs="Calibri"/>
              <w:bCs/>
              <w:sz w:val="24"/>
              <w:szCs w:val="24"/>
            </w:rPr>
          </w:rPrChange>
        </w:rPr>
      </w:pPr>
    </w:p>
    <w:p>
      <w:pPr>
        <w:pStyle w:val="ListParagraph"/>
        <w:ind w:left="0" w:firstLine="0"/>
        <w:numPr>
          <w:ilvl w:val="2"/>
          <w:numId w:val="1"/>
        </w:numPr>
        <w:spacing w:after="0" w:line="240" w:lineRule="auto"/>
        <w:rPr>
          <w:rFonts w:ascii="Calibri" w:hAnsi="Calibri" w:cs="Calibri"/>
          <w:bCs/>
          <w:sz w:val="24"/>
          <w:szCs w:val="24"/>
          <w:highlight w:val="yellow"/>
          <w:rPrChange w:id="83"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84" w:author="진료원장" w:date="2026-05-15T08:26:45Z">
            <w:rPr>
              <w:lang w:eastAsia="ko-KR"/>
              <w:rFonts w:ascii="Calibri" w:hAnsi="Calibri" w:cs="Calibri"/>
              <w:bCs/>
              <w:sz w:val="24"/>
              <w:szCs w:val="24"/>
            </w:rPr>
          </w:rPrChange>
        </w:rPr>
        <w:t>Remove the muscle fibers covering the V point using a combination of radiofrequency ablation and blunt dissection until the bony anatomy of the superior articular process (SAP) and inferior articular process (IAP) is clearly visualized.</w:t>
      </w:r>
    </w:p>
    <w:p>
      <w:pPr>
        <w:pStyle w:val="ListParagraph"/>
        <w:ind w:left="0"/>
        <w:spacing w:after="0" w:line="240" w:lineRule="auto"/>
        <w:rPr>
          <w:rFonts w:ascii="Calibri" w:hAnsi="Calibri" w:cs="Calibri"/>
          <w:bCs/>
          <w:sz w:val="24"/>
          <w:szCs w:val="24"/>
          <w:highlight w:val="yellow"/>
          <w:rPrChange w:id="85" w:author="진료원장" w:date="2026-05-15T08:26:45Z">
            <w:rPr>
              <w:lang w:eastAsia="ko-KR"/>
              <w:rFonts w:ascii="Calibri" w:hAnsi="Calibri" w:cs="Calibri"/>
              <w:bCs/>
              <w:sz w:val="24"/>
              <w:szCs w:val="24"/>
            </w:rPr>
          </w:rPrChange>
        </w:rPr>
      </w:pPr>
    </w:p>
    <w:p>
      <w:pPr>
        <w:pStyle w:val="ListParagraph"/>
        <w:ind w:left="0" w:firstLine="0"/>
        <w:numPr>
          <w:ilvl w:val="2"/>
          <w:numId w:val="1"/>
        </w:numPr>
        <w:spacing w:after="0" w:line="240" w:lineRule="auto"/>
        <w:rPr>
          <w:rFonts w:ascii="Calibri" w:hAnsi="Calibri" w:cs="Calibri"/>
          <w:bCs/>
          <w:sz w:val="24"/>
          <w:szCs w:val="24"/>
          <w:highlight w:val="yellow"/>
          <w:rPrChange w:id="86"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87" w:author="진료원장" w:date="2026-05-15T08:26:45Z">
            <w:rPr>
              <w:lang w:eastAsia="ko-KR"/>
              <w:rFonts w:ascii="Calibri" w:hAnsi="Calibri" w:cs="Calibri"/>
              <w:bCs/>
              <w:sz w:val="24"/>
              <w:szCs w:val="24"/>
            </w:rPr>
          </w:rPrChange>
        </w:rPr>
        <w:t>Drill the medial-inferior portion of the IAP to expose the medial-superior portion of the SAP (</w:t>
      </w:r>
      <w:r>
        <w:rPr>
          <w:rFonts w:ascii="Calibri" w:hAnsi="Calibri" w:cs="Calibri"/>
          <w:b/>
          <w:sz w:val="24"/>
          <w:szCs w:val="24"/>
          <w:highlight w:val="yellow"/>
          <w:rPrChange w:id="88" w:author="진료원장" w:date="2026-05-15T08:26:45Z">
            <w:rPr>
              <w:lang w:eastAsia="ko-KR"/>
              <w:rFonts w:ascii="Calibri" w:hAnsi="Calibri" w:cs="Calibri"/>
              <w:b/>
              <w:sz w:val="24"/>
              <w:szCs w:val="24"/>
            </w:rPr>
          </w:rPrChange>
        </w:rPr>
        <w:t>Figure 4A</w:t>
      </w:r>
      <w:r>
        <w:rPr>
          <w:rFonts w:ascii="Calibri" w:hAnsi="Calibri" w:cs="Calibri"/>
          <w:bCs/>
          <w:sz w:val="24"/>
          <w:szCs w:val="24"/>
          <w:highlight w:val="yellow"/>
          <w:rPrChange w:id="89" w:author="진료원장" w:date="2026-05-15T08:26:45Z">
            <w:rPr>
              <w:lang w:eastAsia="ko-KR"/>
              <w:rFonts w:ascii="Calibri" w:hAnsi="Calibri" w:cs="Calibri"/>
              <w:bCs/>
              <w:sz w:val="24"/>
              <w:szCs w:val="24"/>
            </w:rPr>
          </w:rPrChange>
        </w:rPr>
        <w:t xml:space="preserve">). </w:t>
      </w:r>
    </w:p>
    <w:p>
      <w:pPr>
        <w:pStyle w:val="ListParagraph"/>
        <w:ind w:left="0"/>
        <w:spacing w:after="0" w:line="240" w:lineRule="auto"/>
        <w:rPr>
          <w:rFonts w:ascii="Calibri" w:hAnsi="Calibri" w:cs="Calibri"/>
          <w:bCs/>
          <w:sz w:val="24"/>
          <w:szCs w:val="24"/>
          <w:highlight w:val="yellow"/>
          <w:rPrChange w:id="90" w:author="진료원장" w:date="2026-05-15T08:26:45Z">
            <w:rPr>
              <w:lang w:eastAsia="ko-KR"/>
              <w:rFonts w:ascii="Calibri" w:hAnsi="Calibri" w:cs="Calibri"/>
              <w:bCs/>
              <w:sz w:val="24"/>
              <w:szCs w:val="24"/>
            </w:rPr>
          </w:rPrChange>
        </w:rPr>
      </w:pPr>
    </w:p>
    <w:p>
      <w:pPr>
        <w:pBdr>
          <w:between w:val="nil"/>
          <w:top w:val="nil"/>
          <w:left w:val="nil"/>
          <w:bottom w:val="nil"/>
          <w:right w:val="nil"/>
        </w:pBdr>
        <w:rPr>
          <w:bCs/>
          <w:highlight w:val="yellow"/>
          <w:rPrChange w:id="91" w:author="진료원장" w:date="2026-05-15T08:26:45Z">
            <w:rPr>
              <w:lang w:eastAsia="ko-KR"/>
              <w:bCs/>
            </w:rPr>
          </w:rPrChange>
        </w:rPr>
      </w:pPr>
      <w:r>
        <w:rPr>
          <w:bCs/>
          <w:highlight w:val="yellow"/>
          <w:rPrChange w:id="92" w:author="진료원장" w:date="2026-05-15T08:26:45Z">
            <w:rPr>
              <w:lang w:eastAsia="ko-KR"/>
              <w:bCs/>
            </w:rPr>
          </w:rPrChange>
        </w:rPr>
        <w:t>NOTE: This step typically extends approximately 3–4 mm lateral to the initially identified V point and represents a fundamental requirement for securing an adequate lateral working margin.</w:t>
      </w:r>
    </w:p>
    <w:p>
      <w:pPr>
        <w:pBdr>
          <w:between w:val="nil"/>
          <w:top w:val="nil"/>
          <w:left w:val="nil"/>
          <w:bottom w:val="nil"/>
          <w:right w:val="nil"/>
        </w:pBdr>
        <w:rPr>
          <w:bCs/>
          <w:highlight w:val="yellow"/>
          <w:rPrChange w:id="93" w:author="진료원장" w:date="2026-05-15T08:26:45Z">
            <w:rPr>
              <w:lang w:eastAsia="ko-KR"/>
              <w:bCs/>
            </w:rPr>
          </w:rPrChange>
        </w:rPr>
      </w:pPr>
    </w:p>
    <w:p>
      <w:pPr>
        <w:pStyle w:val="ListParagraph"/>
        <w:ind w:left="0" w:firstLine="0"/>
        <w:numPr>
          <w:ilvl w:val="2"/>
          <w:numId w:val="1"/>
        </w:numPr>
        <w:spacing w:after="0" w:line="240" w:lineRule="auto"/>
        <w:rPr>
          <w:rFonts w:ascii="Calibri" w:hAnsi="Calibri" w:cs="Calibri"/>
          <w:bCs/>
          <w:sz w:val="24"/>
          <w:szCs w:val="24"/>
          <w:highlight w:val="yellow"/>
          <w:rPrChange w:id="94"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95" w:author="진료원장" w:date="2026-05-15T08:26:45Z">
            <w:rPr>
              <w:lang w:eastAsia="ko-KR"/>
              <w:rFonts w:ascii="Calibri" w:hAnsi="Calibri" w:cs="Calibri"/>
              <w:bCs/>
              <w:sz w:val="24"/>
              <w:szCs w:val="24"/>
            </w:rPr>
          </w:rPrChange>
        </w:rPr>
        <w:t>Follow the exposed SAP medially to identify the cranial portion of the caudal lamina.</w:t>
      </w:r>
    </w:p>
    <w:p>
      <w:pPr>
        <w:pStyle w:val="ListParagraph"/>
        <w:ind w:left="0"/>
        <w:spacing w:after="0" w:line="240" w:lineRule="auto"/>
        <w:rPr>
          <w:rFonts w:ascii="Calibri" w:hAnsi="Calibri" w:cs="Calibri"/>
          <w:bCs/>
          <w:sz w:val="24"/>
          <w:szCs w:val="24"/>
          <w:highlight w:val="yellow"/>
          <w:rPrChange w:id="96" w:author="진료원장" w:date="2026-05-15T08:26:45Z">
            <w:rPr>
              <w:lang w:eastAsia="ko-KR"/>
              <w:rFonts w:ascii="Calibri" w:hAnsi="Calibri" w:cs="Calibri"/>
              <w:bCs/>
              <w:sz w:val="24"/>
              <w:szCs w:val="24"/>
            </w:rPr>
          </w:rPrChange>
        </w:rPr>
      </w:pPr>
    </w:p>
    <w:p>
      <w:pPr>
        <w:pBdr>
          <w:between w:val="nil"/>
          <w:top w:val="nil"/>
          <w:left w:val="nil"/>
          <w:bottom w:val="nil"/>
          <w:right w:val="nil"/>
        </w:pBdr>
        <w:rPr>
          <w:bCs/>
          <w:highlight w:val="yellow"/>
          <w:rPrChange w:id="97" w:author="진료원장" w:date="2026-05-15T08:26:45Z">
            <w:rPr>
              <w:lang w:eastAsia="ko-KR"/>
              <w:bCs/>
            </w:rPr>
          </w:rPrChange>
        </w:rPr>
      </w:pPr>
      <w:r>
        <w:rPr>
          <w:bCs/>
          <w:highlight w:val="yellow"/>
          <w:rPrChange w:id="98" w:author="진료원장" w:date="2026-05-15T08:26:45Z">
            <w:rPr>
              <w:lang w:eastAsia="ko-KR"/>
              <w:bCs/>
            </w:rPr>
          </w:rPrChange>
        </w:rPr>
        <w:t>NOTE: Bleeding from the facet joint after drilling is controlled using RF ablation in coagulation mode. Persistent cancellous bone oozing is managed by additional drilling to mechanically tamponade the bleeding surface.</w:t>
      </w:r>
    </w:p>
    <w:p>
      <w:pPr>
        <w:pBdr>
          <w:between w:val="nil"/>
          <w:top w:val="nil"/>
          <w:left w:val="nil"/>
          <w:bottom w:val="nil"/>
          <w:right w:val="nil"/>
        </w:pBdr>
        <w:rPr>
          <w:bCs/>
          <w:highlight w:val="yellow"/>
          <w:rPrChange w:id="99" w:author="진료원장" w:date="2026-05-15T08:26:45Z">
            <w:rPr>
              <w:lang w:eastAsia="ko-KR"/>
              <w:bCs/>
            </w:rPr>
          </w:rPrChange>
        </w:rPr>
      </w:pPr>
    </w:p>
    <w:p>
      <w:pPr>
        <w:pStyle w:val="ListParagraph"/>
        <w:ind w:left="0" w:firstLine="0"/>
        <w:numPr>
          <w:ilvl w:val="2"/>
          <w:numId w:val="1"/>
        </w:numPr>
        <w:spacing w:after="0" w:line="240" w:lineRule="auto"/>
        <w:rPr>
          <w:rFonts w:ascii="Calibri" w:hAnsi="Calibri" w:cs="Calibri"/>
          <w:bCs/>
          <w:sz w:val="24"/>
          <w:szCs w:val="24"/>
          <w:highlight w:val="yellow"/>
          <w:rPrChange w:id="100"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101" w:author="진료원장" w:date="2026-05-15T08:26:45Z">
            <w:rPr>
              <w:lang w:eastAsia="ko-KR"/>
              <w:rFonts w:ascii="Calibri" w:hAnsi="Calibri" w:cs="Calibri"/>
              <w:bCs/>
              <w:sz w:val="24"/>
              <w:szCs w:val="24"/>
            </w:rPr>
          </w:rPrChange>
        </w:rPr>
        <w:t xml:space="preserve">Drill the caudal lamina medially and caudally to expose the inferior edge of the ligamentum flavum and the midline raphe. </w:t>
      </w:r>
    </w:p>
    <w:p>
      <w:pPr>
        <w:pStyle w:val="ListParagraph"/>
        <w:ind w:left="0"/>
        <w:spacing w:after="0" w:line="240" w:lineRule="auto"/>
        <w:rPr>
          <w:rFonts w:ascii="Calibri" w:hAnsi="Calibri" w:cs="Calibri"/>
          <w:bCs/>
          <w:sz w:val="24"/>
          <w:szCs w:val="24"/>
          <w:highlight w:val="yellow"/>
          <w:rPrChange w:id="102" w:author="진료원장" w:date="2026-05-15T08:26:45Z">
            <w:rPr>
              <w:lang w:eastAsia="ko-KR"/>
              <w:rFonts w:ascii="Calibri" w:hAnsi="Calibri" w:cs="Calibri"/>
              <w:bCs/>
              <w:sz w:val="24"/>
              <w:szCs w:val="24"/>
            </w:rPr>
          </w:rPrChange>
        </w:rPr>
      </w:pPr>
    </w:p>
    <w:p>
      <w:pPr>
        <w:pStyle w:val="ListParagraph"/>
        <w:ind w:left="0" w:firstLine="0"/>
        <w:numPr>
          <w:ilvl w:val="2"/>
          <w:numId w:val="1"/>
        </w:numPr>
        <w:spacing w:after="0" w:line="240" w:lineRule="auto"/>
        <w:rPr>
          <w:rFonts w:ascii="Calibri" w:hAnsi="Calibri" w:cs="Calibri"/>
          <w:bCs/>
          <w:sz w:val="24"/>
          <w:szCs w:val="24"/>
          <w:highlight w:val="yellow"/>
          <w:rPrChange w:id="103"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104" w:author="진료원장" w:date="2026-05-15T08:26:45Z">
            <w:rPr>
              <w:lang w:eastAsia="ko-KR"/>
              <w:rFonts w:ascii="Calibri" w:hAnsi="Calibri" w:cs="Calibri"/>
              <w:bCs/>
              <w:sz w:val="24"/>
              <w:szCs w:val="24"/>
            </w:rPr>
          </w:rPrChange>
        </w:rPr>
        <w:t xml:space="preserve">Drill the caudal portion of the cranial lamina </w:t>
      </w:r>
      <w:r>
        <w:rPr>
          <w:rFonts w:ascii="Calibri" w:hAnsi="Calibri" w:cs="Calibri"/>
          <w:bCs/>
          <w:sz w:val="24"/>
          <w:szCs w:val="24"/>
          <w:highlight w:val="yellow"/>
          <w:rPrChange w:id="105" w:author="진료원장" w:date="2026-05-15T08:26:45Z">
            <w:rPr>
              <w:lang w:eastAsia="ko-KR"/>
              <w:rFonts w:ascii="Calibri" w:hAnsi="Calibri" w:cs="Calibri"/>
              <w:bCs/>
              <w:sz w:val="24"/>
              <w:szCs w:val="24"/>
            </w:rPr>
          </w:rPrChange>
        </w:rPr>
        <w:t>similarly</w:t>
      </w:r>
      <w:r>
        <w:rPr>
          <w:rFonts w:ascii="Calibri" w:hAnsi="Calibri" w:cs="Calibri"/>
          <w:bCs/>
          <w:sz w:val="24"/>
          <w:szCs w:val="24"/>
          <w:highlight w:val="yellow"/>
          <w:rPrChange w:id="106" w:author="진료원장" w:date="2026-05-15T08:26:45Z">
            <w:rPr>
              <w:lang w:eastAsia="ko-KR"/>
              <w:rFonts w:ascii="Calibri" w:hAnsi="Calibri" w:cs="Calibri"/>
              <w:bCs/>
              <w:sz w:val="24"/>
              <w:szCs w:val="24"/>
            </w:rPr>
          </w:rPrChange>
        </w:rPr>
        <w:t xml:space="preserve"> to expose the superior edge of the ligamentum flavum, extending decompression toward the midline and contralateral side until the medial aspect of the contralateral superior articular process (facet joint) is visualized, which serves as the anatomical endpoint (</w:t>
      </w:r>
      <w:r>
        <w:rPr>
          <w:rFonts w:ascii="Calibri" w:hAnsi="Calibri" w:cs="Calibri"/>
          <w:b/>
          <w:sz w:val="24"/>
          <w:szCs w:val="24"/>
          <w:highlight w:val="yellow"/>
          <w:rPrChange w:id="107" w:author="진료원장" w:date="2026-05-15T08:26:45Z">
            <w:rPr>
              <w:lang w:eastAsia="ko-KR"/>
              <w:rFonts w:ascii="Calibri" w:hAnsi="Calibri" w:cs="Calibri"/>
              <w:b/>
              <w:sz w:val="24"/>
              <w:szCs w:val="24"/>
            </w:rPr>
          </w:rPrChange>
        </w:rPr>
        <w:t>Figure 4B</w:t>
      </w:r>
      <w:r>
        <w:rPr>
          <w:rFonts w:ascii="Calibri" w:hAnsi="Calibri" w:cs="Calibri"/>
          <w:bCs/>
          <w:sz w:val="24"/>
          <w:szCs w:val="24"/>
          <w:highlight w:val="yellow"/>
          <w:rPrChange w:id="108" w:author="진료원장" w:date="2026-05-15T08:26:45Z">
            <w:rPr>
              <w:lang w:eastAsia="ko-KR"/>
              <w:rFonts w:ascii="Calibri" w:hAnsi="Calibri" w:cs="Calibri"/>
              <w:bCs/>
              <w:sz w:val="24"/>
              <w:szCs w:val="24"/>
            </w:rPr>
          </w:rPrChange>
        </w:rPr>
        <w:t xml:space="preserve">). </w:t>
      </w:r>
    </w:p>
    <w:p>
      <w:pPr>
        <w:pStyle w:val="ListParagraph"/>
        <w:ind w:left="0"/>
        <w:spacing w:after="0" w:line="240" w:lineRule="auto"/>
        <w:rPr>
          <w:rFonts w:ascii="Calibri" w:hAnsi="Calibri" w:cs="Calibri"/>
          <w:bCs/>
          <w:sz w:val="24"/>
          <w:szCs w:val="24"/>
          <w:highlight w:val="yellow"/>
          <w:rPrChange w:id="109" w:author="진료원장" w:date="2026-05-15T08:26:45Z">
            <w:rPr>
              <w:lang w:eastAsia="ko-KR"/>
              <w:rFonts w:ascii="Calibri" w:hAnsi="Calibri" w:cs="Calibri"/>
              <w:bCs/>
              <w:sz w:val="24"/>
              <w:szCs w:val="24"/>
            </w:rPr>
          </w:rPrChange>
        </w:rPr>
      </w:pPr>
    </w:p>
    <w:p>
      <w:pPr>
        <w:pBdr>
          <w:between w:val="nil"/>
          <w:top w:val="nil"/>
          <w:left w:val="nil"/>
          <w:bottom w:val="nil"/>
          <w:right w:val="nil"/>
        </w:pBdr>
        <w:rPr>
          <w:bCs/>
          <w:highlight w:val="yellow"/>
          <w:rPrChange w:id="110" w:author="진료원장" w:date="2026-05-15T08:26:45Z">
            <w:rPr>
              <w:lang w:eastAsia="ko-KR"/>
              <w:bCs/>
            </w:rPr>
          </w:rPrChange>
        </w:rPr>
      </w:pPr>
      <w:r>
        <w:rPr>
          <w:bCs/>
          <w:highlight w:val="yellow"/>
          <w:rPrChange w:id="111" w:author="진료원장" w:date="2026-05-15T08:26:45Z">
            <w:rPr>
              <w:lang w:eastAsia="ko-KR"/>
              <w:bCs/>
            </w:rPr>
          </w:rPrChange>
        </w:rPr>
        <w:t>NOTE: Although sublaminar drilling may be performed when crossing to the contralateral side, if there is a risk of spinal cord compression, controlled undercutting and limited additional bone drilling around the spinous process may be performed to secure a safer working corridor, while preserving the posterior tension band structures and avoiding complete detachment of the spinous process (</w:t>
      </w:r>
      <w:r>
        <w:rPr>
          <w:b/>
          <w:highlight w:val="yellow"/>
          <w:rPrChange w:id="112" w:author="진료원장" w:date="2026-05-15T08:26:45Z">
            <w:rPr>
              <w:lang w:eastAsia="ko-KR"/>
              <w:b/>
            </w:rPr>
          </w:rPrChange>
        </w:rPr>
        <w:t>Figure 4A</w:t>
      </w:r>
      <w:r>
        <w:rPr>
          <w:bCs/>
          <w:highlight w:val="yellow"/>
          <w:rPrChange w:id="113" w:author="진료원장" w:date="2026-05-15T08:26:45Z">
            <w:rPr>
              <w:lang w:eastAsia="ko-KR"/>
              <w:bCs/>
            </w:rPr>
          </w:rPrChange>
        </w:rPr>
        <w:t>). In multilevel procedures, the same decompression strategy is applied sequentially at each level using a cranio-caudal sliding of the working channel through a single incision, maintaining a continuous laminar corridor.</w:t>
      </w:r>
    </w:p>
    <w:p>
      <w:pPr>
        <w:ind w:leftChars="400" w:left="960"/>
        <w:pBdr>
          <w:between w:val="nil"/>
          <w:top w:val="nil"/>
          <w:left w:val="nil"/>
          <w:bottom w:val="nil"/>
          <w:right w:val="nil"/>
        </w:pBdr>
        <w:rPr>
          <w:bCs/>
          <w:highlight w:val="yellow"/>
          <w:rPrChange w:id="114" w:author="진료원장" w:date="2026-05-15T08:26:45Z">
            <w:rPr>
              <w:lang w:eastAsia="ko-KR"/>
              <w:bCs/>
            </w:rPr>
          </w:rPrChange>
        </w:rPr>
      </w:pPr>
    </w:p>
    <w:p>
      <w:pPr>
        <w:pStyle w:val="ListParagraph"/>
        <w:ind w:left="0" w:firstLine="0"/>
        <w:numPr>
          <w:ilvl w:val="1"/>
          <w:numId w:val="1"/>
        </w:numPr>
        <w:spacing w:after="0" w:line="240" w:lineRule="auto"/>
        <w:rPr>
          <w:rFonts w:ascii="Calibri" w:hAnsi="Calibri" w:cs="Calibri"/>
          <w:bCs/>
          <w:sz w:val="24"/>
          <w:szCs w:val="24"/>
          <w:highlight w:val="yellow"/>
          <w:rPrChange w:id="115"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116" w:author="진료원장" w:date="2026-05-15T08:26:45Z">
            <w:rPr>
              <w:lang w:eastAsia="ko-KR"/>
              <w:rFonts w:ascii="Calibri" w:hAnsi="Calibri" w:cs="Calibri"/>
              <w:bCs/>
              <w:sz w:val="24"/>
              <w:szCs w:val="24"/>
            </w:rPr>
          </w:rPrChange>
        </w:rPr>
        <w:t xml:space="preserve">Ligamentum </w:t>
      </w:r>
      <w:r>
        <w:rPr>
          <w:rFonts w:ascii="Calibri" w:hAnsi="Calibri" w:cs="Calibri"/>
          <w:bCs/>
          <w:sz w:val="24"/>
          <w:szCs w:val="24"/>
          <w:highlight w:val="yellow"/>
          <w:rPrChange w:id="117" w:author="진료원장" w:date="2026-05-15T08:26:45Z">
            <w:rPr>
              <w:lang w:eastAsia="ko-KR"/>
              <w:rFonts w:ascii="Calibri" w:hAnsi="Calibri" w:cs="Calibri"/>
              <w:bCs/>
              <w:sz w:val="24"/>
              <w:szCs w:val="24"/>
            </w:rPr>
          </w:rPrChange>
        </w:rPr>
        <w:t>flavum removal</w:t>
      </w:r>
    </w:p>
    <w:p>
      <w:pPr>
        <w:pStyle w:val="ListParagraph"/>
        <w:ind w:left="0"/>
        <w:spacing w:after="0" w:line="240" w:lineRule="auto"/>
        <w:rPr>
          <w:rFonts w:ascii="Calibri" w:hAnsi="Calibri" w:cs="Calibri"/>
          <w:bCs/>
          <w:sz w:val="24"/>
          <w:szCs w:val="24"/>
          <w:highlight w:val="yellow"/>
          <w:rPrChange w:id="118" w:author="진료원장" w:date="2026-05-15T08:26:45Z">
            <w:rPr>
              <w:lang w:eastAsia="ko-KR"/>
              <w:rFonts w:ascii="Calibri" w:hAnsi="Calibri" w:cs="Calibri"/>
              <w:bCs/>
              <w:sz w:val="24"/>
              <w:szCs w:val="24"/>
            </w:rPr>
          </w:rPrChange>
        </w:rPr>
      </w:pPr>
    </w:p>
    <w:p>
      <w:pPr>
        <w:pStyle w:val="ListParagraph"/>
        <w:ind w:left="0" w:firstLine="0"/>
        <w:numPr>
          <w:ilvl w:val="2"/>
          <w:numId w:val="1"/>
        </w:numPr>
        <w:spacing w:after="0" w:line="240" w:lineRule="auto"/>
        <w:rPr>
          <w:rFonts w:ascii="Calibri" w:hAnsi="Calibri" w:cs="Calibri"/>
          <w:bCs/>
          <w:sz w:val="24"/>
          <w:szCs w:val="24"/>
          <w:highlight w:val="yellow"/>
          <w:rPrChange w:id="119"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120" w:author="진료원장" w:date="2026-05-15T08:26:45Z">
            <w:rPr>
              <w:lang w:eastAsia="ko-KR"/>
              <w:rFonts w:ascii="Calibri" w:hAnsi="Calibri" w:cs="Calibri"/>
              <w:bCs/>
              <w:sz w:val="24"/>
              <w:szCs w:val="24"/>
            </w:rPr>
          </w:rPrChange>
        </w:rPr>
        <w:t>Carefully dissect the lateral margins of the ligamentum flavum.</w:t>
      </w:r>
    </w:p>
    <w:p>
      <w:pPr>
        <w:pStyle w:val="ListParagraph"/>
        <w:ind w:left="0"/>
        <w:spacing w:after="0" w:line="240" w:lineRule="auto"/>
        <w:rPr>
          <w:rFonts w:ascii="Calibri" w:hAnsi="Calibri" w:cs="Calibri"/>
          <w:bCs/>
          <w:sz w:val="24"/>
          <w:szCs w:val="24"/>
          <w:highlight w:val="yellow"/>
          <w:rPrChange w:id="121" w:author="진료원장" w:date="2026-05-15T08:26:45Z">
            <w:rPr>
              <w:lang w:eastAsia="ko-KR"/>
              <w:rFonts w:ascii="Calibri" w:hAnsi="Calibri" w:cs="Calibri"/>
              <w:bCs/>
              <w:sz w:val="24"/>
              <w:szCs w:val="24"/>
            </w:rPr>
          </w:rPrChange>
        </w:rPr>
      </w:pPr>
    </w:p>
    <w:p>
      <w:pPr>
        <w:pBdr>
          <w:between w:val="nil"/>
          <w:top w:val="nil"/>
          <w:left w:val="nil"/>
          <w:bottom w:val="nil"/>
          <w:right w:val="nil"/>
        </w:pBdr>
        <w:rPr>
          <w:bCs/>
          <w:highlight w:val="yellow"/>
          <w:rPrChange w:id="122" w:author="진료원장" w:date="2026-05-15T08:26:45Z">
            <w:rPr>
              <w:lang w:eastAsia="ko-KR"/>
              <w:bCs/>
            </w:rPr>
          </w:rPrChange>
        </w:rPr>
      </w:pPr>
      <w:r>
        <w:rPr>
          <w:bCs/>
          <w:highlight w:val="yellow"/>
          <w:rPrChange w:id="123" w:author="진료원장" w:date="2026-05-15T08:26:45Z">
            <w:rPr>
              <w:lang w:eastAsia="ko-KR"/>
              <w:bCs/>
            </w:rPr>
          </w:rPrChange>
        </w:rPr>
        <w:t>NOTE: Adequate bony decompression should be achieved through sufficient drilling before proceeding to ligamentum flavum manipulation.</w:t>
      </w:r>
    </w:p>
    <w:p>
      <w:pPr>
        <w:pBdr>
          <w:between w:val="nil"/>
          <w:top w:val="nil"/>
          <w:left w:val="nil"/>
          <w:bottom w:val="nil"/>
          <w:right w:val="nil"/>
        </w:pBdr>
        <w:rPr>
          <w:bCs/>
          <w:highlight w:val="yellow"/>
          <w:rPrChange w:id="124" w:author="진료원장" w:date="2026-05-15T08:26:45Z">
            <w:rPr>
              <w:lang w:eastAsia="ko-KR"/>
              <w:bCs/>
            </w:rPr>
          </w:rPrChange>
        </w:rPr>
      </w:pPr>
    </w:p>
    <w:p>
      <w:pPr>
        <w:pStyle w:val="ListParagraph"/>
        <w:ind w:left="0" w:firstLine="0"/>
        <w:numPr>
          <w:ilvl w:val="2"/>
          <w:numId w:val="1"/>
        </w:numPr>
        <w:spacing w:after="0" w:line="240" w:lineRule="auto"/>
        <w:rPr>
          <w:rFonts w:ascii="Calibri" w:hAnsi="Calibri" w:cs="Calibri"/>
          <w:bCs/>
          <w:sz w:val="24"/>
          <w:szCs w:val="24"/>
          <w:highlight w:val="yellow"/>
          <w:rPrChange w:id="125" w:author="진료원장" w:date="2026-05-15T08:26:45Z">
            <w:rPr>
              <w:lang w:eastAsia="ko-KR"/>
              <w:rFonts w:ascii="Calibri" w:hAnsi="Calibri" w:cs="Calibri"/>
              <w:bCs/>
              <w:sz w:val="24"/>
              <w:szCs w:val="24"/>
            </w:rPr>
          </w:rPrChange>
        </w:rPr>
      </w:pPr>
      <w:r>
        <w:rPr>
          <w:rFonts w:ascii="Calibri" w:hAnsi="Calibri" w:cs="Calibri"/>
          <w:bCs/>
          <w:sz w:val="24"/>
          <w:szCs w:val="24"/>
          <w:highlight w:val="yellow"/>
          <w:rPrChange w:id="126" w:author="진료원장" w:date="2026-05-15T08:26:45Z">
            <w:rPr>
              <w:lang w:eastAsia="ko-KR"/>
              <w:rFonts w:ascii="Calibri" w:hAnsi="Calibri" w:cs="Calibri"/>
              <w:bCs/>
              <w:sz w:val="24"/>
              <w:szCs w:val="24"/>
            </w:rPr>
          </w:rPrChange>
        </w:rPr>
        <w:t>Remove the ligamentum flavum en bloc to expose the dura mater and spinal cord, and confirm bilateral lateral recess decompression (</w:t>
      </w:r>
      <w:r>
        <w:rPr>
          <w:rFonts w:ascii="Calibri" w:hAnsi="Calibri" w:cs="Calibri"/>
          <w:b/>
          <w:sz w:val="24"/>
          <w:szCs w:val="24"/>
          <w:highlight w:val="yellow"/>
          <w:rPrChange w:id="127" w:author="진료원장" w:date="2026-05-15T08:26:45Z">
            <w:rPr>
              <w:lang w:eastAsia="ko-KR"/>
              <w:rFonts w:ascii="Calibri" w:hAnsi="Calibri" w:cs="Calibri"/>
              <w:b/>
              <w:sz w:val="24"/>
              <w:szCs w:val="24"/>
            </w:rPr>
          </w:rPrChange>
        </w:rPr>
        <w:t>Figure 4B,C</w:t>
      </w:r>
      <w:r>
        <w:rPr>
          <w:rFonts w:ascii="Calibri" w:hAnsi="Calibri" w:cs="Calibri"/>
          <w:bCs/>
          <w:sz w:val="24"/>
          <w:szCs w:val="24"/>
          <w:highlight w:val="yellow"/>
          <w:rPrChange w:id="128" w:author="진료원장" w:date="2026-05-15T08:26:45Z">
            <w:rPr>
              <w:lang w:eastAsia="ko-KR"/>
              <w:rFonts w:ascii="Calibri" w:hAnsi="Calibri" w:cs="Calibri"/>
              <w:bCs/>
              <w:sz w:val="24"/>
              <w:szCs w:val="24"/>
            </w:rPr>
          </w:rPrChange>
        </w:rPr>
        <w:t xml:space="preserve">). </w:t>
      </w:r>
    </w:p>
    <w:p>
      <w:pPr>
        <w:pStyle w:val="ListParagraph"/>
        <w:ind w:left="0"/>
        <w:spacing w:after="0" w:line="240" w:lineRule="auto"/>
        <w:rPr>
          <w:rFonts w:ascii="Calibri" w:hAnsi="Calibri" w:cs="Calibri"/>
          <w:bCs/>
          <w:sz w:val="24"/>
          <w:szCs w:val="24"/>
          <w:highlight w:val="yellow"/>
          <w:rPrChange w:id="129" w:author="진료원장" w:date="2026-05-15T08:26:45Z">
            <w:rPr>
              <w:lang w:eastAsia="ko-KR"/>
              <w:rFonts w:ascii="Calibri" w:hAnsi="Calibri" w:cs="Calibri"/>
              <w:bCs/>
              <w:sz w:val="24"/>
              <w:szCs w:val="24"/>
            </w:rPr>
          </w:rPrChange>
        </w:rPr>
      </w:pPr>
    </w:p>
    <w:p>
      <w:pPr>
        <w:pBdr>
          <w:between w:val="nil"/>
          <w:top w:val="nil"/>
          <w:left w:val="nil"/>
          <w:bottom w:val="nil"/>
          <w:right w:val="nil"/>
        </w:pBdr>
        <w:rPr>
          <w:lang w:eastAsia="ko-KR"/>
          <w:bCs/>
        </w:rPr>
      </w:pPr>
      <w:r>
        <w:rPr>
          <w:bCs/>
          <w:highlight w:val="yellow"/>
          <w:rPrChange w:id="130" w:author="진료원장" w:date="2026-05-15T08:26:45Z">
            <w:rPr>
              <w:lang w:eastAsia="ko-KR"/>
              <w:bCs/>
            </w:rPr>
          </w:rPrChange>
        </w:rPr>
        <w:t>NOTE: After ligamentum flavum removal, instruments such as punches should be used cautiously and only when direct visualization confirms that spinal cord contact is avoided.</w:t>
      </w:r>
    </w:p>
    <w:p>
      <w:pPr>
        <w:pBdr>
          <w:between w:val="nil"/>
          <w:top w:val="nil"/>
          <w:left w:val="nil"/>
          <w:bottom w:val="nil"/>
          <w:right w:val="nil"/>
        </w:pBdr>
        <w:rPr>
          <w:lang w:eastAsia="ko-KR"/>
          <w:b/>
        </w:rPr>
      </w:pPr>
    </w:p>
    <w:p>
      <w:pPr>
        <w:pStyle w:val="ListParagraph"/>
        <w:ind w:left="0" w:firstLine="0"/>
        <w:numPr>
          <w:ilvl w:val="0"/>
          <w:numId w:val="1"/>
        </w:numPr>
        <w:spacing w:after="0" w:line="240" w:lineRule="auto"/>
        <w:rPr>
          <w:lang w:eastAsia="ko-KR"/>
          <w:rFonts w:ascii="Calibri" w:hAnsi="Calibri" w:cs="Calibri"/>
          <w:b/>
          <w:sz w:val="24"/>
          <w:szCs w:val="24"/>
        </w:rPr>
      </w:pPr>
      <w:r>
        <w:rPr>
          <w:lang w:eastAsia="ko-KR"/>
          <w:rFonts w:ascii="Calibri" w:hAnsi="Calibri" w:cs="Calibri"/>
          <w:b/>
          <w:sz w:val="24"/>
          <w:szCs w:val="24"/>
        </w:rPr>
        <w:t>Hemostasis and wound closure</w:t>
      </w:r>
    </w:p>
    <w:p>
      <w:pPr>
        <w:pStyle w:val="ListParagraph"/>
        <w:ind w:left="0"/>
        <w:spacing w:after="0" w:line="240" w:lineRule="auto"/>
        <w:rPr>
          <w:lang w:eastAsia="ko-KR"/>
          <w:rFonts w:ascii="Calibri" w:hAnsi="Calibri" w:cs="Calibri"/>
          <w:b/>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Achieve hemostasis using radiofrequency coagulation under endoscopic visualization, targeting only clearly identified bleeding points.</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A</w:t>
      </w:r>
      <w:r>
        <w:rPr>
          <w:lang w:eastAsia="ko-KR"/>
          <w:rFonts w:ascii="Calibri" w:hAnsi="Calibri" w:cs="Calibri"/>
          <w:bCs/>
          <w:sz w:val="24"/>
          <w:szCs w:val="24"/>
        </w:rPr>
        <w:t>pply a</w:t>
      </w:r>
      <w:r>
        <w:rPr>
          <w:lang w:eastAsia="ko-KR"/>
          <w:rFonts w:ascii="Calibri" w:hAnsi="Calibri" w:cs="Calibri"/>
          <w:bCs/>
          <w:sz w:val="24"/>
          <w:szCs w:val="24"/>
        </w:rPr>
        <w:t xml:space="preserve"> gelatin-thrombin based flowable hemostatic agent (e.g., Floseal) to the epidural space and bony surfaces as needed to reinforce hemostasis.</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Insert a closed-suction drainage catheter through the working incision to reduce the risk of postoperative hematoma formation.</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Perform subcutaneous closure using absorbable surgical sutures.</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Complete skin closure using a topical skin adhesive.</w:t>
      </w:r>
    </w:p>
    <w:p>
      <w:pPr>
        <w:ind w:firstLineChars="100" w:firstLine="240"/>
        <w:jc w:val="left"/>
        <w:pBdr>
          <w:between w:val="nil"/>
          <w:top w:val="nil"/>
          <w:left w:val="nil"/>
          <w:bottom w:val="nil"/>
          <w:right w:val="nil"/>
        </w:pBdr>
        <w:rPr>
          <w:lang w:eastAsia="ko-KR"/>
          <w:bCs/>
        </w:rPr>
      </w:pPr>
    </w:p>
    <w:p>
      <w:pPr>
        <w:pStyle w:val="ListParagraph"/>
        <w:ind w:left="0" w:firstLine="0"/>
        <w:numPr>
          <w:ilvl w:val="0"/>
          <w:numId w:val="1"/>
        </w:numPr>
        <w:spacing w:after="0" w:line="240" w:lineRule="auto"/>
        <w:rPr>
          <w:lang w:eastAsia="ko-KR"/>
          <w:rFonts w:ascii="Calibri" w:hAnsi="Calibri" w:cs="Calibri"/>
          <w:bCs/>
          <w:sz w:val="24"/>
          <w:szCs w:val="24"/>
        </w:rPr>
      </w:pPr>
      <w:r>
        <w:rPr>
          <w:rFonts w:ascii="Calibri" w:hAnsi="Calibri" w:cs="Calibri"/>
          <w:b/>
          <w:bCs/>
          <w:sz w:val="24"/>
          <w:szCs w:val="24"/>
        </w:rPr>
        <w:t xml:space="preserve">Postoperative </w:t>
      </w:r>
      <w:r>
        <w:rPr>
          <w:rFonts w:ascii="Calibri" w:hAnsi="Calibri" w:cs="Calibri"/>
          <w:b/>
          <w:bCs/>
          <w:sz w:val="24"/>
          <w:szCs w:val="24"/>
        </w:rPr>
        <w:t>m</w:t>
      </w:r>
      <w:r>
        <w:rPr>
          <w:rFonts w:ascii="Calibri" w:hAnsi="Calibri" w:cs="Calibri"/>
          <w:b/>
          <w:bCs/>
          <w:sz w:val="24"/>
          <w:szCs w:val="24"/>
        </w:rPr>
        <w:t>anagement</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 xml:space="preserve">Maintain closed-suction drainage following surgery. </w:t>
      </w:r>
      <w:r>
        <w:rPr>
          <w:lang w:eastAsia="ko-KR"/>
          <w:rFonts w:ascii="Calibri" w:hAnsi="Calibri" w:cs="Calibri"/>
          <w:bCs/>
          <w:sz w:val="24"/>
          <w:szCs w:val="24"/>
        </w:rPr>
        <w:t>Here</w:t>
      </w:r>
      <w:r>
        <w:rPr>
          <w:lang w:eastAsia="ko-KR"/>
          <w:rFonts w:ascii="Calibri" w:hAnsi="Calibri" w:cs="Calibri"/>
          <w:bCs/>
          <w:sz w:val="24"/>
          <w:szCs w:val="24"/>
        </w:rPr>
        <w:t xml:space="preserve">, </w:t>
      </w:r>
      <w:r>
        <w:rPr>
          <w:lang w:eastAsia="ko-KR"/>
          <w:rFonts w:ascii="Calibri" w:hAnsi="Calibri" w:cs="Calibri"/>
          <w:bCs/>
          <w:sz w:val="24"/>
          <w:szCs w:val="24"/>
        </w:rPr>
        <w:t xml:space="preserve">place </w:t>
      </w:r>
      <w:r>
        <w:rPr>
          <w:lang w:eastAsia="ko-KR"/>
          <w:rFonts w:ascii="Calibri" w:hAnsi="Calibri" w:cs="Calibri"/>
          <w:bCs/>
          <w:sz w:val="24"/>
          <w:szCs w:val="24"/>
        </w:rPr>
        <w:t>at least one drain per level</w:t>
      </w:r>
      <w:r>
        <w:rPr>
          <w:lang w:eastAsia="ko-KR"/>
          <w:rFonts w:ascii="Calibri" w:hAnsi="Calibri" w:cs="Calibri"/>
          <w:bCs/>
          <w:sz w:val="24"/>
          <w:szCs w:val="24"/>
        </w:rPr>
        <w:t xml:space="preserve"> and maintain drainage</w:t>
      </w:r>
      <w:r>
        <w:rPr>
          <w:lang w:eastAsia="ko-KR"/>
          <w:rFonts w:ascii="Calibri" w:hAnsi="Calibri" w:cs="Calibri"/>
          <w:bCs/>
          <w:sz w:val="24"/>
          <w:szCs w:val="24"/>
        </w:rPr>
        <w:t xml:space="preserve"> for approximately 2 days.</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Remove the drainage catheter when the output is less than 50 mL over 24 h.</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Monitor patients for neurological status, wound condition, and signs of postoperative complications.</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Allow mobilization, oral intake, and basic daily activities as tolerated.</w:t>
      </w:r>
    </w:p>
    <w:p>
      <w:pPr>
        <w:pStyle w:val="ListParagraph"/>
        <w:ind w:left="0"/>
        <w:spacing w:after="0" w:line="240" w:lineRule="auto"/>
        <w:rPr>
          <w:lang w:eastAsia="ko-KR"/>
          <w:rFonts w:ascii="Calibri" w:hAnsi="Calibri" w:cs="Calibri"/>
          <w:bCs/>
          <w:sz w:val="24"/>
          <w:szCs w:val="24"/>
        </w:rPr>
      </w:pPr>
    </w:p>
    <w:p>
      <w:pPr>
        <w:pStyle w:val="ListParagraph"/>
        <w:ind w:left="0" w:firstLine="0"/>
        <w:numPr>
          <w:ilvl w:val="1"/>
          <w:numId w:val="1"/>
        </w:numPr>
        <w:spacing w:after="0" w:line="240" w:lineRule="auto"/>
        <w:rPr>
          <w:lang w:eastAsia="ko-KR"/>
          <w:rFonts w:ascii="Calibri" w:hAnsi="Calibri" w:cs="Calibri"/>
          <w:bCs/>
          <w:sz w:val="24"/>
          <w:szCs w:val="24"/>
        </w:rPr>
      </w:pPr>
      <w:r>
        <w:rPr>
          <w:lang w:eastAsia="ko-KR"/>
          <w:rFonts w:ascii="Calibri" w:hAnsi="Calibri" w:cs="Calibri"/>
          <w:bCs/>
          <w:sz w:val="24"/>
          <w:szCs w:val="24"/>
        </w:rPr>
        <w:t>Discharge the patient once adequate pain control is achieved and independent ambulation and basic activities (e.g., eating, toileting) are possible, typically after drain removal.</w:t>
      </w:r>
    </w:p>
    <w:p>
      <w:pPr>
        <w:pStyle w:val="ListParagraph"/>
        <w:ind w:left="792"/>
        <w:spacing w:after="0" w:line="240" w:lineRule="auto"/>
        <w:rPr>
          <w:lang w:eastAsia="ko-KR"/>
          <w:rFonts w:ascii="Calibri" w:hAnsi="Calibri" w:cs="Calibri"/>
          <w:bCs/>
          <w:sz w:val="24"/>
          <w:szCs w:val="24"/>
        </w:rPr>
      </w:pPr>
    </w:p>
    <w:p>
      <w:pPr>
        <w:rPr>
          <w:b/>
        </w:rPr>
      </w:pPr>
      <w:r>
        <w:rPr>
          <w:b/>
        </w:rPr>
        <w:t>REPRESENTATIVE RESULTS:</w:t>
      </w:r>
      <w:r>
        <w:t xml:space="preserve"> </w:t>
      </w:r>
    </w:p>
    <w:p>
      <w:pPr>
        <w:pStyle w:val="ListParagraph"/>
        <w:ind w:left="0"/>
        <w:jc w:val="both"/>
        <w:pBdr>
          <w:between w:val="nil"/>
          <w:top w:val="nil"/>
          <w:left w:val="nil"/>
          <w:bottom w:val="nil"/>
          <w:right w:val="nil"/>
        </w:pBdr>
        <w:spacing w:after="0" w:line="240" w:lineRule="auto"/>
        <w:rPr>
          <w:rFonts w:ascii="Calibri" w:hAnsi="Calibri" w:cs="Calibri"/>
          <w:sz w:val="24"/>
          <w:szCs w:val="24"/>
        </w:rPr>
      </w:pPr>
      <w:r>
        <w:rPr>
          <w:rFonts w:ascii="Calibri" w:hAnsi="Calibri" w:cs="Calibri"/>
          <w:sz w:val="24"/>
          <w:szCs w:val="24"/>
        </w:rPr>
        <w:t>Between August 2023 and August 2024, 24 patients underwent uniportal endoscopic cervical decompression at our institution</w:t>
      </w:r>
      <w:r>
        <w:rPr>
          <w:rFonts w:ascii="Calibri" w:hAnsi="Calibri" w:cs="Calibri"/>
          <w:sz w:val="24"/>
          <w:szCs w:val="24"/>
        </w:rPr>
        <w:t>.</w:t>
      </w:r>
      <w:r>
        <w:rPr>
          <w:rFonts w:ascii="Calibri" w:hAnsi="Calibri" w:cs="Calibri"/>
          <w:sz w:val="24"/>
          <w:szCs w:val="24"/>
        </w:rPr>
        <w:t xml:space="preserve"> All patients included in the representative series were consecutive cases treated during the study period. Outcome analysis was performed </w:t>
      </w:r>
      <w:r>
        <w:rPr>
          <w:rFonts w:ascii="Calibri" w:hAnsi="Calibri" w:cs="Calibri"/>
          <w:sz w:val="24"/>
          <w:szCs w:val="24"/>
        </w:rPr>
        <w:t xml:space="preserve">for patients who completed the predefined </w:t>
      </w:r>
      <w:r>
        <w:rPr>
          <w:lang w:eastAsia="ko-KR"/>
          <w:rFonts w:ascii="Calibri" w:hAnsi="Calibri" w:cs="Calibri"/>
          <w:sz w:val="24"/>
          <w:szCs w:val="24"/>
        </w:rPr>
        <w:t xml:space="preserve">1 </w:t>
      </w:r>
      <w:r>
        <w:rPr>
          <w:lang w:eastAsia="ko-KR"/>
          <w:rFonts w:ascii="Calibri" w:hAnsi="Calibri" w:cs="Calibri"/>
          <w:sz w:val="24"/>
          <w:szCs w:val="24"/>
        </w:rPr>
        <w:t xml:space="preserve">year </w:t>
      </w:r>
      <w:r>
        <w:rPr>
          <w:rFonts w:ascii="Calibri" w:hAnsi="Calibri" w:cs="Calibri"/>
          <w:sz w:val="24"/>
          <w:szCs w:val="24"/>
        </w:rPr>
        <w:t>follow-up duration, and no patients were excluded based on clinical outcomes.</w:t>
      </w:r>
      <w:r>
        <w:rPr>
          <w:lang w:eastAsia="ko-KR"/>
          <w:rFonts w:ascii="Calibri" w:hAnsi="Calibri" w:cs="Calibri"/>
          <w:sz w:val="24"/>
          <w:szCs w:val="24"/>
        </w:rPr>
        <w:t xml:space="preserve"> </w:t>
      </w:r>
      <w:r>
        <w:rPr>
          <w:lang w:eastAsia="ko-KR"/>
          <w:rFonts w:ascii="Calibri" w:hAnsi="Calibri" w:cs="Calibri"/>
          <w:sz w:val="24"/>
          <w:szCs w:val="24"/>
        </w:rPr>
        <w:t xml:space="preserve">A total of </w:t>
      </w:r>
      <w:r>
        <w:rPr>
          <w:rFonts w:ascii="Calibri" w:hAnsi="Calibri" w:cs="Calibri"/>
          <w:sz w:val="24"/>
          <w:szCs w:val="24"/>
        </w:rPr>
        <w:t>15 patients completed &gt;</w:t>
      </w:r>
      <w:r>
        <w:rPr>
          <w:lang w:eastAsia="ko-KR"/>
          <w:rFonts w:ascii="Calibri" w:eastAsiaTheme="minorEastAsia" w:hAnsi="Calibri" w:cs="Calibri"/>
          <w:sz w:val="24"/>
          <w:szCs w:val="24"/>
        </w:rPr>
        <w:t>12</w:t>
      </w:r>
      <w:r>
        <w:rPr>
          <w:rFonts w:ascii="Calibri" w:hAnsi="Calibri" w:cs="Calibri"/>
          <w:sz w:val="24"/>
          <w:szCs w:val="24"/>
        </w:rPr>
        <w:t xml:space="preserve"> months of follow-up (mean 1</w:t>
      </w:r>
      <w:r>
        <w:rPr>
          <w:lang w:eastAsia="ko-KR"/>
          <w:rFonts w:ascii="Calibri" w:hAnsi="Calibri" w:cs="Calibri"/>
          <w:sz w:val="24"/>
          <w:szCs w:val="24"/>
        </w:rPr>
        <w:t>5</w:t>
      </w:r>
      <w:r>
        <w:rPr>
          <w:rFonts w:ascii="Calibri" w:hAnsi="Calibri" w:cs="Calibri"/>
          <w:sz w:val="24"/>
          <w:szCs w:val="24"/>
        </w:rPr>
        <w:t>.</w:t>
      </w:r>
      <w:r>
        <w:rPr>
          <w:lang w:eastAsia="ko-KR"/>
          <w:rFonts w:ascii="Calibri" w:hAnsi="Calibri" w:cs="Calibri"/>
          <w:sz w:val="24"/>
          <w:szCs w:val="24"/>
        </w:rPr>
        <w:t>2</w:t>
      </w:r>
      <w:r>
        <w:rPr>
          <w:rFonts w:ascii="Calibri" w:hAnsi="Calibri" w:cs="Calibri"/>
          <w:sz w:val="24"/>
          <w:szCs w:val="24"/>
        </w:rPr>
        <w:t xml:space="preserve"> ±</w:t>
      </w:r>
      <w:r>
        <w:rPr>
          <w:lang w:eastAsia="ko-KR"/>
          <w:rFonts w:ascii="Calibri" w:eastAsiaTheme="minorEastAsia" w:hAnsi="Calibri" w:cs="Calibri"/>
          <w:sz w:val="24"/>
          <w:szCs w:val="24"/>
        </w:rPr>
        <w:t xml:space="preserve"> </w:t>
      </w:r>
      <w:r>
        <w:rPr>
          <w:lang w:eastAsia="ko-KR"/>
          <w:rFonts w:ascii="Calibri" w:hAnsi="Calibri" w:cs="Calibri"/>
          <w:sz w:val="24"/>
          <w:szCs w:val="24"/>
        </w:rPr>
        <w:t>2</w:t>
      </w:r>
      <w:r>
        <w:rPr>
          <w:rFonts w:ascii="Calibri" w:hAnsi="Calibri" w:cs="Calibri"/>
          <w:sz w:val="24"/>
          <w:szCs w:val="24"/>
        </w:rPr>
        <w:t>.</w:t>
      </w:r>
      <w:r>
        <w:rPr>
          <w:lang w:eastAsia="ko-KR"/>
          <w:rFonts w:ascii="Calibri" w:hAnsi="Calibri" w:cs="Calibri"/>
          <w:sz w:val="24"/>
          <w:szCs w:val="24"/>
        </w:rPr>
        <w:t>5</w:t>
      </w:r>
      <w:r>
        <w:rPr>
          <w:rFonts w:ascii="Calibri" w:hAnsi="Calibri" w:cs="Calibri"/>
          <w:sz w:val="24"/>
          <w:szCs w:val="24"/>
        </w:rPr>
        <w:t xml:space="preserve"> months, range </w:t>
      </w:r>
      <w:r>
        <w:rPr>
          <w:lang w:eastAsia="ko-KR"/>
          <w:rFonts w:ascii="Calibri" w:hAnsi="Calibri" w:cs="Calibri"/>
          <w:sz w:val="24"/>
          <w:szCs w:val="24"/>
        </w:rPr>
        <w:t>12</w:t>
      </w:r>
      <w:r>
        <w:rPr>
          <w:rFonts w:ascii="Calibri" w:hAnsi="Calibri" w:cs="Calibri"/>
          <w:sz w:val="24"/>
          <w:szCs w:val="24"/>
        </w:rPr>
        <w:t>.0</w:t>
      </w:r>
      <w:r>
        <w:rPr>
          <w:rFonts w:ascii="Calibri" w:hAnsi="Calibri" w:cs="Calibri"/>
          <w:sz w:val="24"/>
          <w:szCs w:val="24"/>
        </w:rPr>
        <w:t>–</w:t>
      </w:r>
      <w:r>
        <w:rPr>
          <w:rFonts w:ascii="Calibri" w:hAnsi="Calibri" w:cs="Calibri"/>
          <w:sz w:val="24"/>
          <w:szCs w:val="24"/>
        </w:rPr>
        <w:t xml:space="preserve">18.1 months). </w:t>
      </w:r>
      <w:r>
        <w:rPr>
          <w:rFonts w:ascii="Calibri" w:hAnsi="Calibri" w:cs="Calibri"/>
          <w:sz w:val="24"/>
          <w:szCs w:val="24"/>
        </w:rPr>
        <w:t>Around 6</w:t>
      </w:r>
      <w:r>
        <w:rPr>
          <w:rFonts w:ascii="Calibri" w:hAnsi="Calibri" w:cs="Calibri"/>
          <w:sz w:val="24"/>
          <w:szCs w:val="24"/>
        </w:rPr>
        <w:t xml:space="preserve"> patients had &gt;1 level decompressed. The mean operative time was 89.0</w:t>
      </w:r>
      <w:r>
        <w:rPr>
          <w:lang w:eastAsia="ko-KR"/>
          <w:rFonts w:ascii="Calibri" w:eastAsiaTheme="minorEastAsia" w:hAnsi="Calibri" w:cs="Calibri"/>
          <w:sz w:val="24"/>
          <w:szCs w:val="24"/>
        </w:rPr>
        <w:t xml:space="preserve"> </w:t>
      </w:r>
      <w:r>
        <w:rPr>
          <w:rFonts w:ascii="Calibri" w:hAnsi="Calibri" w:cs="Calibri"/>
          <w:sz w:val="24"/>
          <w:szCs w:val="24"/>
        </w:rPr>
        <w:t>±</w:t>
      </w:r>
      <w:r>
        <w:rPr>
          <w:lang w:eastAsia="ko-KR"/>
          <w:rFonts w:ascii="Calibri" w:eastAsiaTheme="minorEastAsia" w:hAnsi="Calibri" w:cs="Calibri"/>
          <w:sz w:val="24"/>
          <w:szCs w:val="24"/>
        </w:rPr>
        <w:t xml:space="preserve"> </w:t>
      </w:r>
      <w:r>
        <w:rPr>
          <w:rFonts w:ascii="Calibri" w:hAnsi="Calibri" w:cs="Calibri"/>
          <w:sz w:val="24"/>
          <w:szCs w:val="24"/>
        </w:rPr>
        <w:t>37.6 min per level, and the mean length of hospital stay was 3.1</w:t>
      </w:r>
      <w:r>
        <w:rPr>
          <w:lang w:eastAsia="ko-KR"/>
          <w:rFonts w:ascii="Calibri" w:eastAsiaTheme="minorEastAsia" w:hAnsi="Calibri" w:cs="Calibri"/>
          <w:sz w:val="24"/>
          <w:szCs w:val="24"/>
        </w:rPr>
        <w:t xml:space="preserve"> </w:t>
      </w:r>
      <w:r>
        <w:rPr>
          <w:rFonts w:ascii="Calibri" w:hAnsi="Calibri" w:cs="Calibri"/>
          <w:sz w:val="24"/>
          <w:szCs w:val="24"/>
        </w:rPr>
        <w:t>±</w:t>
      </w:r>
      <w:r>
        <w:rPr>
          <w:lang w:eastAsia="ko-KR"/>
          <w:rFonts w:ascii="Calibri" w:eastAsiaTheme="minorEastAsia" w:hAnsi="Calibri" w:cs="Calibri"/>
          <w:sz w:val="24"/>
          <w:szCs w:val="24"/>
        </w:rPr>
        <w:t xml:space="preserve"> </w:t>
      </w:r>
      <w:r>
        <w:rPr>
          <w:rFonts w:ascii="Calibri" w:hAnsi="Calibri" w:cs="Calibri"/>
          <w:sz w:val="24"/>
          <w:szCs w:val="24"/>
        </w:rPr>
        <w:t>1.4 days (range 2</w:t>
      </w:r>
      <w:r>
        <w:rPr>
          <w:rFonts w:ascii="Calibri" w:hAnsi="Calibri" w:cs="Calibri"/>
          <w:sz w:val="24"/>
          <w:szCs w:val="24"/>
        </w:rPr>
        <w:t>–</w:t>
      </w:r>
      <w:r>
        <w:rPr>
          <w:rFonts w:ascii="Calibri" w:hAnsi="Calibri" w:cs="Calibri"/>
          <w:sz w:val="24"/>
          <w:szCs w:val="24"/>
        </w:rPr>
        <w:t>6)</w:t>
      </w:r>
      <w:r>
        <w:rPr>
          <w:lang w:eastAsia="ko-KR"/>
          <w:rFonts w:ascii="Calibri" w:hAnsi="Calibri" w:cs="Calibri"/>
          <w:sz w:val="24"/>
          <w:szCs w:val="24"/>
        </w:rPr>
        <w:t xml:space="preserve"> (</w:t>
      </w:r>
      <w:r>
        <w:rPr>
          <w:lang w:eastAsia="ko-KR"/>
          <w:rFonts w:ascii="Calibri" w:hAnsi="Calibri" w:cs="Calibri"/>
          <w:b/>
          <w:bCs/>
          <w:sz w:val="24"/>
          <w:szCs w:val="24"/>
        </w:rPr>
        <w:t>Table 1</w:t>
      </w:r>
      <w:r>
        <w:rPr>
          <w:lang w:eastAsia="ko-KR"/>
          <w:rFonts w:ascii="Calibri" w:hAnsi="Calibri" w:cs="Calibri"/>
          <w:sz w:val="24"/>
          <w:szCs w:val="24"/>
        </w:rPr>
        <w:t>)</w:t>
      </w:r>
      <w:r>
        <w:rPr>
          <w:rFonts w:ascii="Calibri" w:hAnsi="Calibri" w:cs="Calibri"/>
          <w:sz w:val="24"/>
          <w:szCs w:val="24"/>
        </w:rPr>
        <w:t xml:space="preserve">. </w:t>
      </w:r>
      <w:r>
        <w:rPr>
          <w:lang w:eastAsia="ko-KR"/>
          <w:rFonts w:ascii="Calibri" w:hAnsi="Calibri" w:cs="Calibri"/>
          <w:sz w:val="24"/>
          <w:szCs w:val="24"/>
        </w:rPr>
        <w:t xml:space="preserve">In </w:t>
      </w:r>
      <w:r>
        <w:rPr>
          <w:lang w:eastAsia="ko-KR"/>
          <w:rFonts w:ascii="Calibri" w:hAnsi="Calibri" w:cs="Calibri"/>
          <w:b/>
          <w:bCs/>
          <w:sz w:val="24"/>
          <w:szCs w:val="24"/>
        </w:rPr>
        <w:t>Table 2</w:t>
      </w:r>
      <w:r>
        <w:rPr>
          <w:lang w:eastAsia="ko-KR"/>
          <w:rFonts w:ascii="Calibri" w:hAnsi="Calibri" w:cs="Calibri"/>
          <w:sz w:val="24"/>
          <w:szCs w:val="24"/>
        </w:rPr>
        <w:t>, s</w:t>
      </w:r>
      <w:r>
        <w:rPr>
          <w:rFonts w:ascii="Calibri" w:hAnsi="Calibri" w:cs="Calibri"/>
          <w:sz w:val="24"/>
          <w:szCs w:val="24"/>
        </w:rPr>
        <w:t>erial radiological and clinical outcome measurements were analyzed using repeated-measures analysis of variance (ANOVA) to assess changes over time. When a significant overall effect was identified, post hoc pairwise comparisons were performed using Bonferroni correction. A p-value &lt; 0.05 was considered statistically significant.</w:t>
      </w:r>
      <w:r>
        <w:rPr>
          <w:lang w:eastAsia="ko-KR"/>
          <w:rFonts w:ascii="Calibri" w:hAnsi="Calibri" w:cs="Calibri"/>
          <w:sz w:val="24"/>
          <w:szCs w:val="24"/>
        </w:rPr>
        <w:t xml:space="preserve"> The cross-sectional area (CSA) of the spinal canal was measured at the most stenotic level and at the nearest adjacent normal level using axial MRI. Percent canal stenosis was calculated as (normal CSA </w:t>
      </w:r>
      <w:r>
        <w:rPr>
          <w:lang w:eastAsia="ko-KR"/>
          <w:rFonts w:ascii="Calibri" w:hAnsi="Calibri" w:cs="Calibri"/>
          <w:sz w:val="24"/>
          <w:szCs w:val="24"/>
        </w:rPr>
        <w:t>-</w:t>
      </w:r>
      <w:r>
        <w:rPr>
          <w:lang w:eastAsia="ko-KR"/>
          <w:rFonts w:ascii="Calibri" w:hAnsi="Calibri" w:cs="Calibri"/>
          <w:sz w:val="24"/>
          <w:szCs w:val="24"/>
        </w:rPr>
        <w:t xml:space="preserve"> stenotic CSA) / normal CSA. In cases of multilevel stenosis, this calculation was performed at each involved level, and the mean value was used for analysis. </w:t>
      </w:r>
      <w:r>
        <w:rPr>
          <w:rFonts w:ascii="Calibri" w:hAnsi="Calibri" w:cs="Calibri"/>
          <w:sz w:val="24"/>
          <w:szCs w:val="24"/>
        </w:rPr>
        <w:t>Mean canal stenosis on MRI improved significantly from 37.</w:t>
      </w:r>
      <w:r>
        <w:rPr>
          <w:rFonts w:ascii="Calibri" w:hAnsi="Calibri" w:cs="Calibri"/>
          <w:sz w:val="24"/>
          <w:szCs w:val="24"/>
        </w:rPr>
        <w:t>0%</w:t>
      </w:r>
      <w:r>
        <w:rPr>
          <w:lang w:eastAsia="ko-KR"/>
          <w:rFonts w:ascii="Calibri" w:eastAsiaTheme="minorEastAsia" w:hAnsi="Calibri" w:cs="Calibri"/>
          <w:sz w:val="24"/>
          <w:szCs w:val="24"/>
        </w:rPr>
        <w:t xml:space="preserve"> </w:t>
      </w:r>
      <w:r>
        <w:rPr>
          <w:rFonts w:ascii="Calibri" w:hAnsi="Calibri" w:cs="Calibri"/>
          <w:sz w:val="24"/>
          <w:szCs w:val="24"/>
        </w:rPr>
        <w:t>±</w:t>
      </w:r>
      <w:r>
        <w:rPr>
          <w:lang w:eastAsia="ko-KR"/>
          <w:rFonts w:ascii="Calibri" w:eastAsiaTheme="minorEastAsia" w:hAnsi="Calibri" w:cs="Calibri"/>
          <w:sz w:val="24"/>
          <w:szCs w:val="24"/>
        </w:rPr>
        <w:t xml:space="preserve"> </w:t>
      </w:r>
      <w:r>
        <w:rPr>
          <w:rFonts w:ascii="Calibri" w:hAnsi="Calibri" w:cs="Calibri"/>
          <w:sz w:val="24"/>
          <w:szCs w:val="24"/>
        </w:rPr>
        <w:t>1</w:t>
      </w:r>
      <w:r>
        <w:rPr>
          <w:rFonts w:ascii="Calibri" w:hAnsi="Calibri" w:cs="Calibri"/>
          <w:sz w:val="24"/>
          <w:szCs w:val="24"/>
        </w:rPr>
        <w:t>1</w:t>
      </w:r>
      <w:r>
        <w:rPr>
          <w:rFonts w:ascii="Calibri" w:hAnsi="Calibri" w:cs="Calibri"/>
          <w:sz w:val="24"/>
          <w:szCs w:val="24"/>
        </w:rPr>
        <w:t>.</w:t>
      </w:r>
      <w:r>
        <w:rPr>
          <w:rFonts w:ascii="Calibri" w:hAnsi="Calibri" w:cs="Calibri"/>
          <w:sz w:val="24"/>
          <w:szCs w:val="24"/>
        </w:rPr>
        <w:t>7</w:t>
      </w:r>
      <w:r>
        <w:rPr>
          <w:rFonts w:ascii="Calibri" w:hAnsi="Calibri" w:cs="Calibri"/>
          <w:sz w:val="24"/>
          <w:szCs w:val="24"/>
        </w:rPr>
        <w:t>% to 5.2</w:t>
      </w:r>
      <w:r>
        <w:rPr>
          <w:rFonts w:ascii="Calibri" w:hAnsi="Calibri" w:cs="Calibri"/>
          <w:sz w:val="24"/>
          <w:szCs w:val="24"/>
        </w:rPr>
        <w:t>%</w:t>
      </w:r>
      <w:r>
        <w:rPr>
          <w:lang w:eastAsia="ko-KR"/>
          <w:rFonts w:ascii="Calibri" w:eastAsiaTheme="minorEastAsia" w:hAnsi="Calibri" w:cs="Calibri"/>
          <w:sz w:val="24"/>
          <w:szCs w:val="24"/>
        </w:rPr>
        <w:t xml:space="preserve"> </w:t>
      </w:r>
      <w:r>
        <w:rPr>
          <w:rFonts w:ascii="Calibri" w:hAnsi="Calibri" w:cs="Calibri"/>
          <w:sz w:val="24"/>
          <w:szCs w:val="24"/>
        </w:rPr>
        <w:t>±</w:t>
      </w:r>
      <w:r>
        <w:rPr>
          <w:lang w:eastAsia="ko-KR"/>
          <w:rFonts w:ascii="Calibri" w:eastAsiaTheme="minorEastAsia" w:hAnsi="Calibri" w:cs="Calibri"/>
          <w:sz w:val="24"/>
          <w:szCs w:val="24"/>
        </w:rPr>
        <w:t xml:space="preserve"> </w:t>
      </w:r>
      <w:r>
        <w:rPr>
          <w:rFonts w:ascii="Calibri" w:hAnsi="Calibri" w:cs="Calibri"/>
          <w:sz w:val="24"/>
          <w:szCs w:val="24"/>
        </w:rPr>
        <w:t>14.5% (p</w:t>
      </w:r>
      <w:r>
        <w:rPr>
          <w:rFonts w:ascii="Calibri" w:hAnsi="Calibri" w:cs="Calibri"/>
          <w:sz w:val="24"/>
          <w:szCs w:val="24"/>
        </w:rPr>
        <w:t xml:space="preserve"> </w:t>
      </w:r>
      <w:r>
        <w:rPr>
          <w:rFonts w:ascii="Calibri" w:hAnsi="Calibri" w:cs="Calibri"/>
          <w:sz w:val="24"/>
          <w:szCs w:val="24"/>
        </w:rPr>
        <w:t>&lt;</w:t>
      </w:r>
      <w:r>
        <w:rPr>
          <w:rFonts w:ascii="Calibri" w:hAnsi="Calibri" w:cs="Calibri"/>
          <w:sz w:val="24"/>
          <w:szCs w:val="24"/>
        </w:rPr>
        <w:t xml:space="preserve"> </w:t>
      </w:r>
      <w:r>
        <w:rPr>
          <w:rFonts w:ascii="Calibri" w:hAnsi="Calibri" w:cs="Calibri"/>
          <w:sz w:val="24"/>
          <w:szCs w:val="24"/>
        </w:rPr>
        <w:t>0.0001)</w:t>
      </w:r>
      <w:r>
        <w:rPr>
          <w:rFonts w:ascii="Calibri" w:hAnsi="Calibri" w:cs="Calibri"/>
          <w:sz w:val="24"/>
          <w:szCs w:val="24"/>
        </w:rPr>
        <w:t>,</w:t>
      </w:r>
      <w:r>
        <w:rPr>
          <w:rFonts w:ascii="Calibri" w:hAnsi="Calibri" w:cs="Calibri"/>
          <w:sz w:val="24"/>
          <w:szCs w:val="24"/>
        </w:rPr>
        <w:t xml:space="preserve"> and no restenosis was observed on serial MRI follow-up. Patients demonstrated increase in canal cross-sectional area ranging from 11.2</w:t>
      </w:r>
      <w:r>
        <w:rPr>
          <w:rFonts w:ascii="Calibri" w:hAnsi="Calibri" w:cs="Calibri"/>
          <w:sz w:val="24"/>
          <w:szCs w:val="24"/>
        </w:rPr>
        <w:t>%–</w:t>
      </w:r>
      <w:r>
        <w:rPr>
          <w:rFonts w:ascii="Calibri" w:hAnsi="Calibri" w:cs="Calibri"/>
          <w:sz w:val="24"/>
          <w:szCs w:val="24"/>
        </w:rPr>
        <w:t xml:space="preserve">72.3%, demonstrating that the surgery was successful in relieving cord compression in all cases. </w:t>
      </w:r>
      <w:r>
        <w:rPr>
          <w:lang w:eastAsia="ko-KR"/>
          <w:rFonts w:ascii="Calibri" w:eastAsiaTheme="minorEastAsia" w:hAnsi="Calibri" w:cs="Calibri"/>
          <w:sz w:val="24"/>
          <w:szCs w:val="24"/>
        </w:rPr>
        <w:t>Representative preoperative and postoperative MRI and three-dimensional CT images are provided for a patient who underwent surgical treatment for cervical spinal stenosis at the C5–6 intervertebral level (</w:t>
      </w:r>
      <w:r>
        <w:rPr>
          <w:lang w:eastAsia="ko-KR"/>
          <w:rFonts w:ascii="Calibri" w:eastAsiaTheme="minorEastAsia" w:hAnsi="Calibri" w:cs="Calibri"/>
          <w:b/>
          <w:bCs/>
          <w:sz w:val="24"/>
          <w:szCs w:val="24"/>
        </w:rPr>
        <w:t>Figure 5</w:t>
      </w:r>
      <w:r>
        <w:rPr>
          <w:lang w:eastAsia="ko-KR"/>
          <w:rFonts w:ascii="Calibri" w:eastAsiaTheme="minorEastAsia" w:hAnsi="Calibri" w:cs="Calibri"/>
          <w:sz w:val="24"/>
          <w:szCs w:val="24"/>
        </w:rPr>
        <w:t>). In addition, a representative multilevel (two-level) case is presented to further illustrate the surgical technique and radiological outcomes of endoscopic posterior cervical decompression (</w:t>
      </w:r>
      <w:r>
        <w:rPr>
          <w:lang w:eastAsia="ko-KR"/>
          <w:rFonts w:ascii="Calibri" w:eastAsiaTheme="minorEastAsia" w:hAnsi="Calibri" w:cs="Calibri"/>
          <w:b/>
          <w:bCs/>
          <w:sz w:val="24"/>
          <w:szCs w:val="24"/>
        </w:rPr>
        <w:t>Figure 6</w:t>
      </w:r>
      <w:r>
        <w:rPr>
          <w:lang w:eastAsia="ko-KR"/>
          <w:rFonts w:ascii="Calibri" w:eastAsiaTheme="minorEastAsia" w:hAnsi="Calibri" w:cs="Calibri"/>
          <w:sz w:val="24"/>
          <w:szCs w:val="24"/>
        </w:rPr>
        <w:t xml:space="preserve">). </w:t>
      </w:r>
      <w:r>
        <w:rPr>
          <w:rFonts w:ascii="Calibri" w:hAnsi="Calibri" w:cs="Calibri"/>
          <w:sz w:val="24"/>
          <w:szCs w:val="24"/>
        </w:rPr>
        <w:t>At the most recent follow-up, no significant changes were observed in cervical alignment parameters or cervical range of motion. Although a transient change in segmental Cobb angle was observed in the early postoperative period (p = 0.0278), this difference was not maintained at the final follow-up. Clinical outcomes</w:t>
      </w:r>
      <w:r>
        <w:rPr>
          <w:rFonts w:ascii="Calibri" w:hAnsi="Calibri" w:cs="Calibri"/>
          <w:sz w:val="24"/>
          <w:szCs w:val="24"/>
        </w:rPr>
        <w:t xml:space="preserve"> (</w:t>
      </w:r>
      <w:r>
        <w:rPr>
          <w:rFonts w:ascii="Calibri" w:hAnsi="Calibri" w:cs="Calibri"/>
          <w:b/>
          <w:bCs/>
          <w:sz w:val="24"/>
          <w:szCs w:val="24"/>
        </w:rPr>
        <w:t>Table 2</w:t>
      </w:r>
      <w:r>
        <w:rPr>
          <w:rFonts w:ascii="Calibri" w:hAnsi="Calibri" w:cs="Calibri"/>
          <w:sz w:val="24"/>
          <w:szCs w:val="24"/>
        </w:rPr>
        <w:t>)</w:t>
      </w:r>
      <w:r>
        <w:rPr>
          <w:rFonts w:ascii="Calibri" w:hAnsi="Calibri" w:cs="Calibri"/>
          <w:sz w:val="24"/>
          <w:szCs w:val="24"/>
        </w:rPr>
        <w:t xml:space="preserve"> demonstrated significant improvement from preoperative to final follow-up. VAS neck pain decreased from 2.6 ± 2.4 to 0.9 ± 0.8, and VAS arm pain from 3.2 ± 2.6 to 1.1 ± 1.1. Neurological function also improved, with Nurick myelopathy grade decreasing from 1.9 ± 0.6 to 0.5 ± 0.8 and mJOA scores increasing from 14.0 ± 1.7 to 15.7 ± 1.0 (all p &lt; 0.05). Four of six patients with objective motor deficits demonstrated measurable improvements after surgery while the remaining two patients remained stable</w:t>
      </w:r>
      <w:r>
        <w:rPr>
          <w:lang w:eastAsia="ko-KR"/>
          <w:rFonts w:ascii="Calibri" w:hAnsi="Calibri" w:cs="Calibri"/>
          <w:sz w:val="24"/>
          <w:szCs w:val="24"/>
        </w:rPr>
        <w:t>.</w:t>
      </w:r>
      <w:r>
        <w:rPr>
          <w:rFonts w:ascii="Calibri" w:hAnsi="Calibri" w:cs="Calibri"/>
          <w:sz w:val="24"/>
          <w:szCs w:val="24"/>
        </w:rPr>
        <w:t xml:space="preserve"> Transient neurologic symptoms were observed in 3 patients (12.5%), all presenting as arm numbness, which resolved within 1 month without additional intervention</w:t>
      </w:r>
      <w:r>
        <w:rPr>
          <w:lang w:eastAsia="ko-KR"/>
          <w:rFonts w:ascii="Calibri" w:hAnsi="Calibri" w:cs="Calibri"/>
          <w:sz w:val="24"/>
          <w:szCs w:val="24"/>
        </w:rPr>
        <w:t>. No clinical signs suggestive of increased intracranial pressure or neck swelling were identified (</w:t>
      </w:r>
      <w:r>
        <w:rPr>
          <w:lang w:eastAsia="ko-KR"/>
          <w:rFonts w:ascii="Calibri" w:hAnsi="Calibri" w:cs="Calibri"/>
          <w:b/>
          <w:bCs/>
          <w:sz w:val="24"/>
          <w:szCs w:val="24"/>
        </w:rPr>
        <w:t>Table 3</w:t>
      </w:r>
      <w:r>
        <w:rPr>
          <w:lang w:eastAsia="ko-KR"/>
          <w:rFonts w:ascii="Calibri" w:hAnsi="Calibri" w:cs="Calibri"/>
          <w:sz w:val="24"/>
          <w:szCs w:val="24"/>
        </w:rPr>
        <w:t>)</w:t>
      </w:r>
      <w:r>
        <w:rPr>
          <w:rFonts w:ascii="Calibri" w:hAnsi="Calibri" w:cs="Calibri"/>
          <w:sz w:val="24"/>
          <w:szCs w:val="24"/>
        </w:rPr>
        <w:t>.</w:t>
      </w:r>
      <w:r>
        <w:rPr>
          <w:lang w:eastAsia="ko-KR"/>
          <w:rFonts w:ascii="Calibri" w:hAnsi="Calibri" w:cs="Calibri"/>
          <w:sz w:val="24"/>
          <w:szCs w:val="24"/>
        </w:rPr>
        <w:t xml:space="preserve"> N</w:t>
      </w:r>
      <w:r>
        <w:rPr>
          <w:rFonts w:ascii="Calibri" w:hAnsi="Calibri" w:cs="Calibri"/>
          <w:sz w:val="24"/>
          <w:szCs w:val="24"/>
        </w:rPr>
        <w:t xml:space="preserve">o patients demonstrated worsening symptoms. </w:t>
      </w:r>
    </w:p>
    <w:p>
      <w:pPr>
        <w:pStyle w:val="ListParagraph"/>
        <w:ind w:left="0"/>
        <w:pBdr>
          <w:between w:val="nil"/>
          <w:top w:val="nil"/>
          <w:left w:val="nil"/>
          <w:bottom w:val="nil"/>
          <w:right w:val="nil"/>
        </w:pBdr>
        <w:spacing w:after="0" w:line="240" w:lineRule="auto"/>
        <w:rPr>
          <w:rFonts w:ascii="Calibri" w:hAnsi="Calibri" w:cs="Calibri"/>
          <w:sz w:val="24"/>
          <w:szCs w:val="24"/>
          <w:highlight w:val="yellow"/>
        </w:rPr>
      </w:pPr>
    </w:p>
    <w:p>
      <w:pPr>
        <w:widowControl/>
        <w:pBdr>
          <w:between w:val="nil"/>
          <w:top w:val="nil"/>
          <w:left w:val="nil"/>
          <w:bottom w:val="nil"/>
          <w:right w:val="nil"/>
        </w:pBdr>
        <w:rPr>
          <w:b/>
        </w:rPr>
      </w:pPr>
      <w:r>
        <w:rPr>
          <w:b/>
        </w:rPr>
        <w:t>FIGURE AND TABLE LEGENDS:</w:t>
      </w:r>
      <w:r>
        <w:rPr>
          <w:i/>
        </w:rPr>
        <w:t xml:space="preserve"> </w:t>
      </w:r>
    </w:p>
    <w:p>
      <w:pPr>
        <w:rPr>
          <w:lang w:eastAsia="ko-KR"/>
        </w:rPr>
      </w:pPr>
      <w:r>
        <w:rPr>
          <w:b/>
          <w:bCs/>
        </w:rPr>
        <w:t xml:space="preserve">Figure </w:t>
      </w:r>
      <w:r>
        <w:rPr>
          <w:lang w:eastAsia="ko-KR"/>
          <w:b/>
          <w:bCs/>
        </w:rPr>
        <w:t>1</w:t>
      </w:r>
      <w:r>
        <w:rPr>
          <w:b/>
          <w:bCs/>
        </w:rPr>
        <w:t>:</w:t>
      </w:r>
      <w:r>
        <w:rPr>
          <w:lang w:eastAsia="ko-KR"/>
          <w:b/>
          <w:bCs/>
        </w:rPr>
        <w:t xml:space="preserve"> Operating room setup</w:t>
      </w:r>
      <w:r>
        <w:rPr>
          <w:lang w:eastAsia="ko-KR"/>
        </w:rPr>
        <w:t>. (</w:t>
      </w:r>
      <w:r>
        <w:rPr>
          <w:lang w:eastAsia="ko-KR"/>
          <w:b/>
          <w:bCs/>
        </w:rPr>
        <w:t>A</w:t>
      </w:r>
      <w:r>
        <w:rPr>
          <w:lang w:eastAsia="ko-KR"/>
        </w:rPr>
        <w:t>) Schematic image. (</w:t>
      </w:r>
      <w:r>
        <w:rPr>
          <w:lang w:eastAsia="ko-KR"/>
          <w:b/>
          <w:bCs/>
        </w:rPr>
        <w:t>B</w:t>
      </w:r>
      <w:r>
        <w:rPr>
          <w:lang w:eastAsia="ko-KR"/>
        </w:rPr>
        <w:t>) Actual operating room view.</w:t>
      </w:r>
    </w:p>
    <w:p>
      <w:pPr>
        <w:rPr>
          <w:lang w:eastAsia="ko-KR"/>
        </w:rPr>
      </w:pPr>
    </w:p>
    <w:p>
      <w:pPr>
        <w:rPr>
          <w:lang w:eastAsia="ko-KR"/>
        </w:rPr>
      </w:pPr>
      <w:r>
        <w:rPr>
          <w:b/>
          <w:bCs/>
        </w:rPr>
        <w:t xml:space="preserve">Figure </w:t>
      </w:r>
      <w:r>
        <w:rPr>
          <w:lang w:eastAsia="ko-KR"/>
          <w:b/>
          <w:bCs/>
        </w:rPr>
        <w:t>2</w:t>
      </w:r>
      <w:r>
        <w:rPr>
          <w:b/>
          <w:bCs/>
        </w:rPr>
        <w:t>:</w:t>
      </w:r>
      <w:r>
        <w:rPr>
          <w:lang w:eastAsia="ko-KR"/>
          <w:b/>
          <w:bCs/>
        </w:rPr>
        <w:t xml:space="preserve"> The patient is positioned prone on a radiolucent table with a Wilson frame, with slight cervical flexion and mild reverse Trendelenburg</w:t>
      </w:r>
      <w:r>
        <w:rPr>
          <w:lang w:eastAsia="ko-KR"/>
        </w:rPr>
        <w:t>. Three-point plaster traction is applied to maintain stable cervical alignment. (</w:t>
      </w:r>
      <w:r>
        <w:rPr>
          <w:lang w:eastAsia="ko-KR"/>
          <w:b/>
          <w:bCs/>
        </w:rPr>
        <w:t>A</w:t>
      </w:r>
      <w:r>
        <w:rPr>
          <w:lang w:eastAsia="ko-KR"/>
        </w:rPr>
        <w:t>) Top-down (bird</w:t>
      </w:r>
      <w:r>
        <w:rPr>
          <w:lang w:eastAsia="ko-KR"/>
        </w:rPr>
        <w:t>'</w:t>
      </w:r>
      <w:r>
        <w:rPr>
          <w:lang w:eastAsia="ko-KR"/>
        </w:rPr>
        <w:t>s-eye) view. (</w:t>
      </w:r>
      <w:r>
        <w:rPr>
          <w:lang w:eastAsia="ko-KR"/>
          <w:b/>
          <w:bCs/>
        </w:rPr>
        <w:t>B</w:t>
      </w:r>
      <w:r>
        <w:rPr>
          <w:lang w:eastAsia="ko-KR"/>
        </w:rPr>
        <w:t>) Lateral (side) view. (</w:t>
      </w:r>
      <w:r>
        <w:rPr>
          <w:lang w:eastAsia="ko-KR"/>
          <w:b/>
          <w:bCs/>
        </w:rPr>
        <w:t>C</w:t>
      </w:r>
      <w:r>
        <w:rPr>
          <w:lang w:eastAsia="ko-KR"/>
        </w:rPr>
        <w:t>) Post-draping view.</w:t>
      </w:r>
    </w:p>
    <w:p>
      <w:pPr>
        <w:rPr>
          <w:lang w:eastAsia="ko-KR"/>
        </w:rPr>
      </w:pPr>
    </w:p>
    <w:p>
      <w:pPr>
        <w:rPr>
          <w:lang w:eastAsia="ko-KR"/>
        </w:rPr>
      </w:pPr>
      <w:r>
        <w:rPr>
          <w:b/>
          <w:bCs/>
        </w:rPr>
        <w:t xml:space="preserve">Figure </w:t>
      </w:r>
      <w:r>
        <w:rPr>
          <w:lang w:eastAsia="ko-KR"/>
          <w:b/>
          <w:bCs/>
        </w:rPr>
        <w:t>3</w:t>
      </w:r>
      <w:r>
        <w:rPr>
          <w:b/>
          <w:bCs/>
        </w:rPr>
        <w:t>:</w:t>
      </w:r>
      <w:r>
        <w:rPr>
          <w:lang w:eastAsia="ko-KR"/>
          <w:b/>
          <w:bCs/>
        </w:rPr>
        <w:t xml:space="preserve"> Skin marking was performed under anteroposterior and lateral cervical fluoroscopic guidance, targeting the V-point at the junction of the interlaminar space and the medial border of the facet joint.</w:t>
      </w:r>
      <w:r>
        <w:rPr>
          <w:lang w:eastAsia="ko-KR"/>
        </w:rPr>
        <w:t xml:space="preserve"> (</w:t>
      </w:r>
      <w:r>
        <w:rPr>
          <w:lang w:eastAsia="ko-KR"/>
          <w:b/>
          <w:bCs/>
        </w:rPr>
        <w:t>A</w:t>
      </w:r>
      <w:r>
        <w:rPr>
          <w:lang w:eastAsia="ko-KR"/>
        </w:rPr>
        <w:t>) Skin marking. (</w:t>
      </w:r>
      <w:r>
        <w:rPr>
          <w:lang w:eastAsia="ko-KR"/>
          <w:b/>
          <w:bCs/>
        </w:rPr>
        <w:t>B</w:t>
      </w:r>
      <w:r>
        <w:rPr>
          <w:lang w:eastAsia="ko-KR"/>
        </w:rPr>
        <w:t xml:space="preserve">) Fluoroscopic C-arm view showing </w:t>
      </w:r>
      <w:r>
        <w:rPr>
          <w:lang w:eastAsia="ko-KR"/>
        </w:rPr>
        <w:t>corresponding landmarks: (1) spinous process line, (2) V-point line, and (3) interlaminar level. (</w:t>
      </w:r>
      <w:r>
        <w:rPr>
          <w:lang w:eastAsia="ko-KR"/>
          <w:b/>
          <w:bCs/>
        </w:rPr>
        <w:t>C</w:t>
      </w:r>
      <w:r>
        <w:rPr>
          <w:lang w:eastAsia="ko-KR"/>
        </w:rPr>
        <w:t>) Serial dilation using dilators. (</w:t>
      </w:r>
      <w:r>
        <w:rPr>
          <w:lang w:eastAsia="ko-KR"/>
          <w:b/>
          <w:bCs/>
        </w:rPr>
        <w:t>D</w:t>
      </w:r>
      <w:r>
        <w:rPr>
          <w:lang w:eastAsia="ko-KR"/>
        </w:rPr>
        <w:t>) Final docking of the endoscope.</w:t>
      </w:r>
    </w:p>
    <w:p>
      <w:pPr>
        <w:rPr>
          <w:lang w:eastAsia="ko-KR"/>
        </w:rPr>
      </w:pPr>
    </w:p>
    <w:p>
      <w:pPr>
        <w:rPr>
          <w:lang w:eastAsia="ko-KR"/>
        </w:rPr>
      </w:pPr>
      <w:r>
        <w:rPr>
          <w:b/>
          <w:bCs/>
        </w:rPr>
        <w:t xml:space="preserve">Figure </w:t>
      </w:r>
      <w:r>
        <w:rPr>
          <w:lang w:eastAsia="ko-KR"/>
          <w:b/>
          <w:bCs/>
        </w:rPr>
        <w:t>4</w:t>
      </w:r>
      <w:r>
        <w:rPr>
          <w:b/>
          <w:bCs/>
        </w:rPr>
        <w:t>: Illustrative steps for the uniportal cervical endoscopic unilateral laminotomy for bilateral decompression</w:t>
      </w:r>
      <w:r>
        <w:rPr>
          <w:lang w:eastAsia="ko-KR"/>
          <w:b/>
          <w:bCs/>
        </w:rPr>
        <w:t>.</w:t>
      </w:r>
      <w:r>
        <w:t xml:space="preserve"> </w:t>
      </w:r>
      <w:r>
        <w:rPr>
          <w:lang w:eastAsia="ko-KR"/>
        </w:rPr>
        <w:t>(</w:t>
      </w:r>
      <w:r>
        <w:rPr>
          <w:lang w:eastAsia="ko-KR"/>
          <w:b/>
          <w:bCs/>
        </w:rPr>
        <w:t>A</w:t>
      </w:r>
      <w:r>
        <w:rPr>
          <w:lang w:eastAsia="ko-KR"/>
        </w:rPr>
        <w:t xml:space="preserve">) </w:t>
      </w:r>
      <w:r>
        <w:t>Full-thickness laminotomy is performed ipsilaterally, with sublaminar drilling on the contralateral side to preserve bone over the contralateral cord.</w:t>
      </w:r>
      <w:r>
        <w:rPr>
          <w:lang w:eastAsia="ko-KR"/>
        </w:rPr>
        <w:t xml:space="preserve"> If the working space is limited, the spinous process is floated to allow the procedure to be performed safely. (</w:t>
      </w:r>
      <w:r>
        <w:rPr>
          <w:lang w:eastAsia="ko-KR"/>
          <w:b/>
          <w:bCs/>
        </w:rPr>
        <w:t>B</w:t>
      </w:r>
      <w:r>
        <w:rPr>
          <w:lang w:eastAsia="ko-KR"/>
        </w:rPr>
        <w:t>)</w:t>
      </w:r>
      <w:r>
        <w:t xml:space="preserve"> </w:t>
      </w:r>
      <w:r>
        <w:rPr>
          <w:lang w:eastAsia="ko-KR"/>
        </w:rPr>
        <w:t xml:space="preserve">Ipsilateral and contralateral drilling are demonstrated, with the procedure in a safe manner while remaining above the ligamentum flavum at all times. </w:t>
      </w:r>
      <w:r>
        <w:t>(</w:t>
      </w:r>
      <w:r>
        <w:rPr>
          <w:b/>
          <w:bCs/>
        </w:rPr>
        <w:t>C</w:t>
      </w:r>
      <w:r>
        <w:t xml:space="preserve">) </w:t>
      </w:r>
      <w:r>
        <w:rPr>
          <w:lang w:eastAsia="ko-KR"/>
        </w:rPr>
        <w:t>Removal of the ligamentum flavum results in spinal cord decompression, which is visualized endoscopically.</w:t>
      </w:r>
    </w:p>
    <w:p>
      <w:pPr>
        <w:rPr>
          <w:lang w:eastAsia="ko-KR"/>
        </w:rPr>
      </w:pPr>
    </w:p>
    <w:p>
      <w:pPr>
        <w:rPr>
          <w:b/>
          <w:bCs/>
        </w:rPr>
      </w:pPr>
      <w:r>
        <w:rPr>
          <w:lang w:eastAsia="ko-KR"/>
          <w:b/>
          <w:bCs/>
        </w:rPr>
        <w:t xml:space="preserve">Figure 5: </w:t>
      </w:r>
      <w:r>
        <w:rPr>
          <w:b/>
          <w:bCs/>
        </w:rPr>
        <w:t xml:space="preserve">Preoperative and postoperative imaging demonstrating adequate decompression. </w:t>
      </w:r>
      <w:r>
        <w:t>(</w:t>
      </w:r>
      <w:r>
        <w:rPr>
          <w:b/>
          <w:bCs/>
        </w:rPr>
        <w:t>A,B</w:t>
      </w:r>
      <w:r>
        <w:t>)</w:t>
      </w:r>
      <w:r>
        <w:rPr>
          <w:b/>
          <w:bCs/>
        </w:rPr>
        <w:t xml:space="preserve"> </w:t>
      </w:r>
      <w:r>
        <w:t>Preoperative T2-weighted MRI in (</w:t>
      </w:r>
      <w:r>
        <w:rPr>
          <w:b/>
          <w:bCs/>
        </w:rPr>
        <w:t>A</w:t>
      </w:r>
      <w:r>
        <w:t>) sagittal and (</w:t>
      </w:r>
      <w:r>
        <w:rPr>
          <w:b/>
          <w:bCs/>
        </w:rPr>
        <w:t>B</w:t>
      </w:r>
      <w:r>
        <w:t>) axial views demonstrating cervical spinal cord compression at C5–6. (</w:t>
      </w:r>
      <w:r>
        <w:rPr>
          <w:b/>
          <w:bCs/>
        </w:rPr>
        <w:t>C</w:t>
      </w:r>
      <w:r>
        <w:t>) Three-dimensional reconstructed CT images obtained preoperatively. (</w:t>
      </w:r>
      <w:r>
        <w:rPr>
          <w:b/>
          <w:bCs/>
        </w:rPr>
        <w:t>D,E</w:t>
      </w:r>
      <w:r>
        <w:t>)</w:t>
      </w:r>
      <w:r>
        <w:rPr>
          <w:b/>
          <w:bCs/>
        </w:rPr>
        <w:t xml:space="preserve"> </w:t>
      </w:r>
      <w:r>
        <w:t>Postoperative T2-weighted MRI at the final follow-up in (</w:t>
      </w:r>
      <w:r>
        <w:rPr>
          <w:b/>
          <w:bCs/>
        </w:rPr>
        <w:t>D</w:t>
      </w:r>
      <w:r>
        <w:t>) sagittal and (</w:t>
      </w:r>
      <w:r>
        <w:rPr>
          <w:lang w:eastAsia="ko-KR"/>
          <w:b/>
          <w:bCs/>
        </w:rPr>
        <w:t>E</w:t>
      </w:r>
      <w:r>
        <w:t>) axial views demonstrating adequate decompression of the spinal canal. (</w:t>
      </w:r>
      <w:r>
        <w:rPr>
          <w:b/>
          <w:bCs/>
        </w:rPr>
        <w:t>F</w:t>
      </w:r>
      <w:r>
        <w:t>) Three-dimensional reconstructed CT images obtained at the final follow-up demonstrate a laminotomy window with preservation of the contralateral lamina.</w:t>
      </w:r>
    </w:p>
    <w:p/>
    <w:p>
      <w:r>
        <w:rPr>
          <w:b/>
          <w:bCs/>
        </w:rPr>
        <w:t>Figure 6</w:t>
      </w:r>
      <w:r>
        <w:rPr>
          <w:lang w:eastAsia="ko-KR"/>
          <w:b/>
          <w:bCs/>
        </w:rPr>
        <w:t>:</w:t>
      </w:r>
      <w:r>
        <w:t xml:space="preserve"> </w:t>
      </w:r>
      <w:r>
        <w:rPr>
          <w:b/>
          <w:bCs/>
        </w:rPr>
        <w:t>Preoperative and postoperative imaging demonstrating adequate multilevel decompression</w:t>
      </w:r>
      <w:r>
        <w:t>. Preoperative T2-weighted MRI in (</w:t>
      </w:r>
      <w:r>
        <w:rPr>
          <w:b/>
          <w:bCs/>
        </w:rPr>
        <w:t>A</w:t>
      </w:r>
      <w:r>
        <w:t>) sagittal and axial views at (</w:t>
      </w:r>
      <w:r>
        <w:rPr>
          <w:b/>
          <w:bCs/>
        </w:rPr>
        <w:t>B</w:t>
      </w:r>
      <w:r>
        <w:t>) C5–6 and (</w:t>
      </w:r>
      <w:r>
        <w:rPr>
          <w:b/>
          <w:bCs/>
        </w:rPr>
        <w:t>C</w:t>
      </w:r>
      <w:r>
        <w:t>) C6–7 demonstrating cervical spinal cord compression. (</w:t>
      </w:r>
      <w:r>
        <w:rPr>
          <w:b/>
          <w:bCs/>
        </w:rPr>
        <w:t>D</w:t>
      </w:r>
      <w:r>
        <w:t>) Three-dimensional reconstructed CT images obtained preoperatively. Postoperative T2-weighted MRI at the final follow-up in (</w:t>
      </w:r>
      <w:r>
        <w:rPr>
          <w:b/>
          <w:bCs/>
        </w:rPr>
        <w:t>E</w:t>
      </w:r>
      <w:r>
        <w:t>) sagittal and axial views at (</w:t>
      </w:r>
      <w:r>
        <w:rPr>
          <w:b/>
          <w:bCs/>
        </w:rPr>
        <w:t>F</w:t>
      </w:r>
      <w:r>
        <w:t>) C5–6 and (</w:t>
      </w:r>
      <w:r>
        <w:rPr>
          <w:b/>
          <w:bCs/>
        </w:rPr>
        <w:t>G</w:t>
      </w:r>
      <w:r>
        <w:t>) C6–7 demonstrating adequate multilevel decompression of the spinal canal. (</w:t>
      </w:r>
      <w:r>
        <w:rPr>
          <w:b/>
          <w:bCs/>
        </w:rPr>
        <w:t>H</w:t>
      </w:r>
      <w:r>
        <w:t>) Three-dimensional reconstructed CT images at the final follow-up demonstrate a continuous laminotomy window across multiple levels with preservation of the contralateral lamina.</w:t>
      </w:r>
    </w:p>
    <w:p>
      <w:pPr>
        <w:rPr>
          <w:highlight w:val="yellow"/>
        </w:rPr>
      </w:pPr>
    </w:p>
    <w:p>
      <w:pPr>
        <w:rPr>
          <w:b/>
          <w:bCs/>
        </w:rPr>
      </w:pPr>
      <w:r>
        <w:rPr>
          <w:b/>
          <w:bCs/>
        </w:rPr>
        <w:t>Table 1: Baseline demographic and clinical characteristics (n = 15).</w:t>
      </w:r>
    </w:p>
    <w:p>
      <w:pPr>
        <w:rPr>
          <w:b/>
          <w:bCs/>
        </w:rPr>
      </w:pPr>
    </w:p>
    <w:p>
      <w:pPr>
        <w:rPr>
          <w:lang w:eastAsia="ko-KR"/>
        </w:rPr>
      </w:pPr>
      <w:r>
        <w:rPr>
          <w:b/>
          <w:bCs/>
        </w:rPr>
        <w:t>Table 2:</w:t>
      </w:r>
      <w:r>
        <w:rPr>
          <w:lang w:eastAsia="ko-KR"/>
          <w:b/>
          <w:bCs/>
        </w:rPr>
        <w:t xml:space="preserve"> Radiological and clinical outcomes following uniportal endoscopic cervical decompression (n = 15).</w:t>
      </w:r>
      <w:r>
        <w:rPr>
          <w:lang w:eastAsia="ko-KR"/>
          <w:b/>
          <w:bCs/>
        </w:rPr>
        <w:t xml:space="preserve"> </w:t>
      </w:r>
      <w:r>
        <w:rPr>
          <w:lang w:eastAsia="ko-KR"/>
        </w:rPr>
        <w:t>Values are presented as mean ± standard deviation.</w:t>
      </w:r>
      <w:r>
        <w:rPr>
          <w:lang w:eastAsia="ko-KR"/>
        </w:rPr>
        <w:t xml:space="preserve"> </w:t>
      </w:r>
      <w:r>
        <w:rPr>
          <w:lang w:eastAsia="ko-KR"/>
        </w:rPr>
        <w:t>*p &lt; 0.05 compared with preoperative values.</w:t>
      </w:r>
      <w:r>
        <w:rPr>
          <w:lang w:eastAsia="ko-KR"/>
        </w:rPr>
        <w:t xml:space="preserve"> </w:t>
      </w:r>
      <w:r>
        <w:rPr>
          <w:lang w:eastAsia="ko-KR"/>
        </w:rPr>
        <w:t>Serial measurements were analyzed using repeated-measures analysis of variance (ANOVA) with post hoc Bonferroni correction.</w:t>
      </w:r>
      <w:r>
        <w:rPr>
          <w:lang w:eastAsia="ko-KR"/>
        </w:rPr>
        <w:t xml:space="preserve"> </w:t>
      </w:r>
      <w:r>
        <w:rPr>
          <w:lang w:eastAsia="ko-KR"/>
        </w:rPr>
        <w:t>Negative values indicate cervical lordosis, whereas positive values indicate kyphosis.</w:t>
      </w:r>
      <w:r>
        <w:rPr>
          <w:lang w:eastAsia="ko-KR"/>
        </w:rPr>
        <w:t xml:space="preserve"> </w:t>
      </w:r>
      <w:r>
        <w:rPr>
          <w:lang w:eastAsia="ko-KR"/>
        </w:rPr>
        <w:t>Abbreviations: CCI, cervical curvature index (Ishihara method); ROM, range of motion; SVA, sagittal vertical axis; ANOVA, analysis of variance;</w:t>
      </w:r>
      <w:r>
        <w:rPr>
          <w:lang w:eastAsia="ko-KR"/>
          <w:b/>
          <w:bCs/>
        </w:rPr>
        <w:t xml:space="preserve"> </w:t>
      </w:r>
      <w:r>
        <w:rPr>
          <w:lang w:eastAsia="ko-KR"/>
        </w:rPr>
        <w:t>mJOA, modified Japanese Orthopaedic Association score; VAS, visual analog scale.</w:t>
      </w:r>
    </w:p>
    <w:p>
      <w:pPr>
        <w:rPr>
          <w:lang w:eastAsia="ko-KR"/>
          <w:b/>
          <w:bCs/>
        </w:rPr>
      </w:pPr>
    </w:p>
    <w:p>
      <w:pPr>
        <w:rPr>
          <w:lang w:eastAsia="ko-KR"/>
          <w:b/>
          <w:bCs/>
        </w:rPr>
      </w:pPr>
      <w:r>
        <w:rPr>
          <w:b/>
          <w:bCs/>
        </w:rPr>
        <w:t>Table 3:</w:t>
      </w:r>
      <w:r>
        <w:rPr>
          <w:lang w:eastAsia="ko-KR"/>
          <w:b/>
          <w:bCs/>
        </w:rPr>
        <w:t xml:space="preserve"> Perioperative complications in the entire cohort (n = 24).</w:t>
      </w:r>
    </w:p>
    <w:p>
      <w:pPr>
        <w:rPr>
          <w:lang w:eastAsia="ko-KR"/>
          <w:b/>
        </w:rPr>
      </w:pPr>
    </w:p>
    <w:p>
      <w:pPr>
        <w:rPr>
          <w:b/>
        </w:rPr>
      </w:pPr>
      <w:bookmarkStart w:id="1" w:name="4d34og8" w:colFirst="0" w:colLast="0"/>
      <w:bookmarkEnd w:id="1"/>
      <w:r>
        <w:rPr>
          <w:b/>
        </w:rPr>
        <w:t>DISCUSSION:</w:t>
      </w:r>
    </w:p>
    <w:p>
      <w:pPr>
        <w:rPr>
          <w:bCs/>
        </w:rPr>
      </w:pPr>
      <w:r>
        <w:rPr>
          <w:bCs/>
        </w:rPr>
        <w:t>Endoscopic posterior cervical decompression is often perceived as one of the most challenging endoscopic spine procedures, requiring a steep learning curve and advanced technical proficiency</w:t>
      </w:r>
      <w:r>
        <w:rPr>
          <w:bCs/>
          <w:noProof/>
          <w:vertAlign w:val="superscript"/>
        </w:rPr>
        <w:t>8</w:t>
      </w:r>
      <w:r>
        <w:rPr>
          <w:bCs/>
        </w:rPr>
        <w:t xml:space="preserve">. These challenges frequently result in incomplete decompression or </w:t>
      </w:r>
      <w:r>
        <w:rPr>
          <w:bCs/>
        </w:rPr>
        <w:t>increased complication risk during the early adoption phase</w:t>
      </w:r>
      <w:r>
        <w:rPr>
          <w:bCs/>
          <w:noProof/>
          <w:vertAlign w:val="superscript"/>
        </w:rPr>
        <w:t>10</w:t>
      </w:r>
      <w:r>
        <w:rPr>
          <w:bCs/>
        </w:rPr>
        <w:t>. The present protocol aims to address these difficulties by highlighting critical steps and practical strategies for safe and effective decompression</w:t>
      </w:r>
      <w:r>
        <w:rPr>
          <w:lang w:eastAsia="ko-KR"/>
          <w:bCs/>
        </w:rPr>
        <w:t>. These technical considerations provide a framework for the subsequent discussion of key procedural steps and potential pitfalls.</w:t>
      </w:r>
    </w:p>
    <w:p>
      <w:pPr>
        <w:rPr>
          <w:bCs/>
        </w:rPr>
      </w:pPr>
    </w:p>
    <w:p>
      <w:pPr>
        <w:rPr>
          <w:bCs/>
        </w:rPr>
      </w:pPr>
      <w:r>
        <w:rPr>
          <w:bCs/>
        </w:rPr>
        <w:t>Firm docking and meticulous bone drilling represent the most critical steps of this protocol. Accurate docking at the V point establishes a stable working corridor and ensures consistent orientation throughout the procedure, directly influencing both safety and decompression adequacy. Inadequate docking may lead to unnecessary muscle violation, loss of anatomical landmarks, and difficulty in controlling bleeding. Careful, progressive drilling of the lamina under continuous endoscopic visualization allows controlled exposure of the ligamentum flavum while minimizing the risk of inadvertent spinal cord injury</w:t>
      </w:r>
      <w:r>
        <w:rPr>
          <w:bCs/>
          <w:noProof/>
          <w:vertAlign w:val="superscript"/>
        </w:rPr>
        <w:t>11</w:t>
      </w:r>
      <w:r>
        <w:rPr>
          <w:bCs/>
        </w:rPr>
        <w:t>.</w:t>
      </w:r>
    </w:p>
    <w:p>
      <w:pPr>
        <w:rPr>
          <w:bCs/>
        </w:rPr>
      </w:pPr>
    </w:p>
    <w:p>
      <w:pPr>
        <w:rPr>
          <w:bCs/>
        </w:rPr>
      </w:pPr>
      <w:r>
        <w:rPr>
          <w:bCs/>
        </w:rPr>
        <w:t>One of the most common technical challenges of endoscopic cervical decompression is insufficient facet drilling, which often results in incomplete decompression and difficulty identifying key anatomical landmarks. Surgeons may hesitate to drill the facet joint, leading to a restricted working space and poor visualization. Drilling the facet joint until the tip of the superior articular process becomes visible provides a reliable anatomical reference and creates adequate lateral working space, thereby overcoming these limitations and facilitating safe decompression.</w:t>
      </w:r>
    </w:p>
    <w:p>
      <w:pPr>
        <w:rPr>
          <w:lang w:eastAsia="ko-KR"/>
          <w:bCs/>
        </w:rPr>
      </w:pPr>
    </w:p>
    <w:p>
      <w:pPr>
        <w:rPr>
          <w:bCs/>
        </w:rPr>
      </w:pPr>
      <w:r>
        <w:rPr>
          <w:bCs/>
        </w:rPr>
        <w:t>Hemostasis represents another major challenge due to the rich vascular network surrounding the cervical musculature and lamina. Excessive muscle violation during docking increases bleeding and obscures the surgical field. Therefore, maintaining a precise docking trajectory and minimizing unnecessary soft tissue disruption are essential. Frequent, early coagulation of visible bleeding points is recommended rather than delayed control. When epidural venous bleeding occurs, particularly after ligamentum flavum thinning, indiscriminate radiofrequency coagulation near the spinal cord should be avoided. Instead, increasing irrigation pressure, advancing the endoscope closer to the bleeding source, and performing targeted coagulation at the exact bleeding point improve safety and visualization</w:t>
      </w:r>
      <w:r>
        <w:rPr>
          <w:bCs/>
          <w:noProof/>
          <w:vertAlign w:val="superscript"/>
        </w:rPr>
        <w:t>12</w:t>
      </w:r>
      <w:r>
        <w:rPr>
          <w:bCs/>
        </w:rPr>
        <w:t>.</w:t>
      </w:r>
      <w:r>
        <w:rPr>
          <w:lang w:eastAsia="ko-KR"/>
          <w:bCs/>
        </w:rPr>
        <w:t xml:space="preserve"> </w:t>
      </w:r>
    </w:p>
    <w:p>
      <w:pPr>
        <w:rPr>
          <w:bCs/>
        </w:rPr>
      </w:pPr>
    </w:p>
    <w:p>
      <w:pPr>
        <w:rPr>
          <w:lang w:eastAsia="ko-KR"/>
          <w:bCs/>
        </w:rPr>
      </w:pPr>
      <w:r>
        <w:rPr>
          <w:bCs/>
        </w:rPr>
        <w:t>Protection of the spinal cord is a central concern in cervical endoscopic surgery. Adequate bony decompression should precede ligamentum flavum removal, which must be performed as the final step to avoid direct cord manipulation. Whenever possible, decompression should rely primarily on drilling rather than forceful use of punches, as downward pressure may transmit force to the spinal cord. This stepwise strategy reduces the risk of iatrogenic neurological injury and enhances procedural safety</w:t>
      </w:r>
      <w:r>
        <w:rPr>
          <w:bCs/>
          <w:noProof/>
          <w:vertAlign w:val="superscript"/>
        </w:rPr>
        <w:t>11</w:t>
      </w:r>
      <w:r>
        <w:rPr>
          <w:bCs/>
        </w:rPr>
        <w:t>.</w:t>
      </w:r>
      <w:r>
        <w:rPr>
          <w:lang w:eastAsia="ko-KR"/>
          <w:bCs/>
        </w:rPr>
        <w:t xml:space="preserve"> Operative time may decrease with increasing surgical experience; however, in cervical endoscopic surgery, a careful and stepwise approach is prioritized over procedural speed to ensure safety.</w:t>
      </w:r>
    </w:p>
    <w:p>
      <w:pPr>
        <w:rPr>
          <w:bCs/>
        </w:rPr>
      </w:pPr>
    </w:p>
    <w:p>
      <w:pPr>
        <w:rPr>
          <w:lang w:eastAsia="ko-KR"/>
          <w:bCs/>
        </w:rPr>
      </w:pPr>
      <w:r>
        <w:rPr>
          <w:bCs/>
        </w:rPr>
        <w:t>The endoscopic approach minimizes muscle and posterior structural damage while achieving sufficient neural decompression.</w:t>
      </w:r>
      <w:r>
        <w:rPr>
          <w:lang w:eastAsia="ko-KR"/>
          <w:bCs/>
        </w:rPr>
        <w:t xml:space="preserve"> </w:t>
      </w:r>
      <w:r>
        <w:rPr>
          <w:bCs/>
        </w:rPr>
        <w:t xml:space="preserve">By preserving posterior tension band structures, the method may reduce the risk of postoperative cervical kyphotic deformity and instability. However, long-term comparative studies are needed to determine whether this technique consistently prevents cervical sagittal imbalance and to evaluate the incidence of restenosis </w:t>
      </w:r>
      <w:r>
        <w:rPr>
          <w:bCs/>
        </w:rPr>
        <w:t xml:space="preserve">relative to </w:t>
      </w:r>
      <w:r>
        <w:rPr>
          <w:lang w:eastAsia="ko-KR"/>
          <w:bCs/>
        </w:rPr>
        <w:t>conventional open surgery</w:t>
      </w:r>
      <w:r>
        <w:rPr>
          <w:bCs/>
        </w:rPr>
        <w:t>.</w:t>
      </w:r>
    </w:p>
    <w:p>
      <w:pPr>
        <w:rPr>
          <w:bCs/>
        </w:rPr>
      </w:pPr>
    </w:p>
    <w:p>
      <w:pPr>
        <w:rPr>
          <w:bCs/>
        </w:rPr>
      </w:pPr>
      <w:r>
        <w:rPr>
          <w:bCs/>
        </w:rPr>
        <w:t>Future studies may further define the role of this technique in multilevel cervical myelopathy and other selected pathologies, as well as evaluate its long-term clinical and radiological outcomes. In addition, standardization of key technical steps, including precise docking and controlled bone drilling, may contribute to improved reproducibility and wider adoption of the procedure. These technical features are particularly important, as they directly influence surgical safety, adequacy of decompression, and the ability to maintain a stable working corridor throughout the procedure.</w:t>
      </w:r>
    </w:p>
    <w:p>
      <w:pPr>
        <w:rPr>
          <w:lang w:eastAsia="ko-KR"/>
          <w:bCs/>
        </w:rPr>
      </w:pPr>
    </w:p>
    <w:p>
      <w:bookmarkStart w:id="2" w:name="2s8eyo1" w:colFirst="0" w:colLast="0"/>
      <w:bookmarkEnd w:id="2"/>
      <w:r>
        <w:rPr>
          <w:b/>
        </w:rPr>
        <w:t>ACKNOWLEDGMENTS:</w:t>
      </w:r>
      <w:r>
        <w:t xml:space="preserve"> </w:t>
      </w:r>
    </w:p>
    <w:p>
      <w:r>
        <w:t>The authors have no acknowledgments.</w:t>
      </w:r>
    </w:p>
    <w:p/>
    <w:p>
      <w:pPr>
        <w:rPr>
          <w:b/>
        </w:rPr>
      </w:pPr>
      <w:bookmarkStart w:id="3" w:name="17dp8vu" w:colFirst="0" w:colLast="0"/>
      <w:bookmarkEnd w:id="3"/>
      <w:r>
        <w:rPr>
          <w:b/>
        </w:rPr>
        <w:t xml:space="preserve">DISCLOSURES: </w:t>
      </w:r>
    </w:p>
    <w:p>
      <w:r>
        <w:t>The authors have nothing to disclose.</w:t>
      </w:r>
    </w:p>
    <w:p/>
    <w:p>
      <w:r>
        <w:rPr>
          <w:b/>
        </w:rPr>
        <w:t>REFERENCES:</w:t>
      </w:r>
      <w:r>
        <w:t xml:space="preserve"> </w:t>
      </w:r>
    </w:p>
    <w:p>
      <w:pPr>
        <w:pStyle w:val="EndNoteBibliography"/>
        <w:ind w:left="0" w:firstLine="0"/>
        <w:numPr>
          <w:ilvl w:val="0"/>
          <w:numId w:val="2"/>
        </w:numPr>
      </w:pPr>
      <w:r>
        <w:t>Ghogawala Z, et al. Surgery versus conservative care for cervical spondylotic myelopathy: surgery is appropriate for progressive myelopathy. Neurosurgery. 2015;62:56-61.</w:t>
      </w:r>
    </w:p>
    <w:p>
      <w:pPr>
        <w:pStyle w:val="EndNoteBibliography"/>
        <w:ind w:left="0" w:firstLine="0"/>
        <w:numPr>
          <w:ilvl w:val="0"/>
          <w:numId w:val="2"/>
        </w:numPr>
      </w:pPr>
      <w:r>
        <w:t>Nouri A, et al. Degenerative cervical myelopathy: epidemiology, genetics, and pathogenesis. Spine (Phila Pa 1976). 2015;40(12):E675–E693.</w:t>
      </w:r>
    </w:p>
    <w:p>
      <w:pPr>
        <w:pStyle w:val="EndNoteBibliography"/>
        <w:ind w:left="0" w:firstLine="0"/>
        <w:numPr>
          <w:ilvl w:val="0"/>
          <w:numId w:val="2"/>
        </w:numPr>
      </w:pPr>
      <w:r>
        <w:t>Cho WS, Chung CK, Jahng TA, Kim HJ. Post-laminectomy kyphosis in patients with cervical ossification of the posterior longitudinal ligament: does it cause neurological deterioration? J Korean Neurosurg Soc. 2008;43(6):259.</w:t>
      </w:r>
    </w:p>
    <w:p>
      <w:pPr>
        <w:pStyle w:val="EndNoteBibliography"/>
        <w:ind w:left="0" w:firstLine="0"/>
        <w:numPr>
          <w:ilvl w:val="0"/>
          <w:numId w:val="2"/>
        </w:numPr>
      </w:pPr>
      <w:r>
        <w:t>Kaptain GJ, Simmons NE, Replogle RE, Pobereskin L. Incidence and outcome of kyphotic deformity following laminectomy for cervical spondylotic myelopathy. J Neurosurg Spine. 2000;93(2):199–204.</w:t>
      </w:r>
    </w:p>
    <w:p>
      <w:pPr>
        <w:pStyle w:val="EndNoteBibliography"/>
        <w:ind w:left="0" w:firstLine="0"/>
        <w:numPr>
          <w:ilvl w:val="0"/>
          <w:numId w:val="2"/>
        </w:numPr>
      </w:pPr>
      <w:r>
        <w:t>Fessler RG, O'Toole JE, Eichholz KM, Perez-Cruet MJ. The development of minimally invasive spine surgery. Neurosurg Clin N Am. 2006;17(4):401–409.</w:t>
      </w:r>
    </w:p>
    <w:p>
      <w:pPr>
        <w:pStyle w:val="EndNoteBibliography"/>
        <w:ind w:left="0" w:firstLine="0"/>
        <w:numPr>
          <w:ilvl w:val="0"/>
          <w:numId w:val="2"/>
        </w:numPr>
      </w:pPr>
      <w:r>
        <w:t>Kim J, Heo DH, Lee DC, Chung HT. Biportal endoscopic unilateral laminotomy with bilateral decompression for the treatment of cervical spondylotic myelopathy. Acta Neurochir. 2021;163(9):2537–2543.</w:t>
      </w:r>
    </w:p>
    <w:p>
      <w:pPr>
        <w:pStyle w:val="EndNoteBibliography"/>
        <w:ind w:left="0" w:firstLine="0"/>
        <w:numPr>
          <w:ilvl w:val="0"/>
          <w:numId w:val="2"/>
        </w:numPr>
      </w:pPr>
      <w:r>
        <w:t>Kurihara K, et al. Effect of minimally invasive selective laminectomy for cervical spondylotic myelopathy on degenerative spondylolisthesis. Clin Spine Surg. 2022;35(1):E242–E247.</w:t>
      </w:r>
    </w:p>
    <w:p>
      <w:pPr>
        <w:pStyle w:val="EndNoteBibliography"/>
        <w:ind w:left="0" w:firstLine="0"/>
        <w:numPr>
          <w:ilvl w:val="0"/>
          <w:numId w:val="2"/>
        </w:numPr>
      </w:pPr>
      <w:r>
        <w:t>Chan JP, et al. What is the learning curve for endoscopic spine surgery? A comprehensive systematic review. Spine J. 202</w:t>
      </w:r>
      <w:r>
        <w:t>6;26(3):438–449.</w:t>
      </w:r>
      <w:r>
        <w:tab/>
      </w:r>
    </w:p>
    <w:p>
      <w:pPr>
        <w:pStyle w:val="EndNoteBibliography"/>
        <w:ind w:left="0" w:firstLine="0"/>
        <w:numPr>
          <w:ilvl w:val="0"/>
          <w:numId w:val="2"/>
        </w:numPr>
      </w:pPr>
      <w:r>
        <w:t>Kim HS, Hwang YH. Posterior endoscopic cervical discectomy. J Minim Invasive Spine Surg Tech. 2024;9(2):180–182.</w:t>
      </w:r>
    </w:p>
    <w:p>
      <w:pPr>
        <w:pStyle w:val="EndNoteBibliography"/>
        <w:ind w:left="0" w:firstLine="0"/>
        <w:numPr>
          <w:ilvl w:val="0"/>
          <w:numId w:val="2"/>
        </w:numPr>
      </w:pPr>
      <w:r>
        <w:t>Kotheeranurak V, et al. Complications in full-endoscopic posterior cervical surgery: a review of the literature and preventive strategies. Global Spine J. 2025.</w:t>
      </w:r>
    </w:p>
    <w:p>
      <w:pPr>
        <w:pStyle w:val="EndNoteBibliography"/>
        <w:ind w:left="0" w:firstLine="0"/>
        <w:numPr>
          <w:ilvl w:val="0"/>
          <w:numId w:val="2"/>
        </w:numPr>
      </w:pPr>
      <w:r>
        <w:t>Kim JY, et al. Anatomical importance between neural structure and bony landmark: clinical importance for posterior endoscopic cervical foraminotomy. Neurospine. 2021;18(1):139.</w:t>
      </w:r>
    </w:p>
    <w:p>
      <w:pPr>
        <w:pStyle w:val="EndNoteBibliography"/>
        <w:ind w:left="0" w:firstLine="0"/>
        <w:numPr>
          <w:ilvl w:val="0"/>
          <w:numId w:val="2"/>
        </w:numPr>
        <w:rPr>
          <w:lang w:eastAsia="ko-KR"/>
          <w:b/>
        </w:rPr>
      </w:pPr>
      <w:r>
        <w:t xml:space="preserve">Ju CI, Kim P, Seo JH, Kim SW, Lee SM. Complications of cervical endoscopic spinal </w:t>
      </w:r>
      <w:r>
        <w:t>surgery: a systematic review and narrative analysis. World Neurosurg. 2023;178:330–339.</w:t>
      </w:r>
    </w:p>
    <w:p/>
    <w:sectPr>
      <w:pgSz w:w="11906" w:h="16838"/>
      <w:pgMar w:top="1701" w:right="1440" w:bottom="1440" w:left="1440" w:header="851" w:footer="992" w:gutter="0"/>
      <w:cols w:space="720"/>
      <w:docGrid w:linePitch="360"/>
      <w:headerReference w:type="even" r:id="rId1"/>
      <w:headerReference w:type="default" r:id="rId2"/>
      <w:headerReference w:type="first" r:id="rId3"/>
      <w:footerReference w:type="even" r:id="rId4"/>
      <w:footerReference w:type="first" r:id="rId5"/>
      <w:lnNumType w:countBy="1" w:restart="continuou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Calibri">
    <w:panose1 w:val="020F0502020204030204"/>
    <w:family w:val="swiss"/>
    <w:charset w:val="00"/>
    <w:notTrueType w:val="false"/>
    <w:sig w:usb0="E4002EFF" w:usb1="C200247B" w:usb2="00000009" w:usb3="00000001" w:csb0="200001FF" w:csb1="00000001"/>
  </w:font>
  <w:font w:name="Times New Roman">
    <w:panose1 w:val="02020603050405020304"/>
    <w:family w:val="roman"/>
    <w:charset w:val="00"/>
    <w:notTrueType w:val="false"/>
    <w:sig w:usb0="E0002EFF" w:usb1="C000785B" w:usb2="00000009" w:usb3="00000001" w:csb0="400001FF" w:csb1="FFFF0000"/>
  </w:font>
  <w:font w:name="Cambria">
    <w:panose1 w:val="02040503050406030204"/>
    <w:family w:val="roman"/>
    <w:charset w:val="00"/>
    <w:notTrueType w:val="false"/>
    <w:sig w:usb0="E00006FF" w:usb1="420024FF" w:usb2="02000000" w:usb3="00000001" w:csb0="2000019F" w:csb1="00000001"/>
  </w:font>
  <w:font w:name="Georgia">
    <w:panose1 w:val="02040502050405020303"/>
    <w:family w:val="roman"/>
    <w:charset w:val="00"/>
    <w:notTrueType w:val="false"/>
    <w:sig w:usb0="00000287" w:usb1="00000001" w:usb2="00000001" w:usb3="00000001" w:csb0="2000009F" w:csb1="00000001"/>
  </w:font>
  <w:font w:name="Segoe UI">
    <w:panose1 w:val="020B0502040204020203"/>
    <w:family w:val="swiss"/>
    <w:charset w:val="00"/>
    <w:notTrueType w:val="false"/>
    <w:sig w:usb0="E4002EFF" w:usb1="C000E47F" w:usb2="00000009" w:usb3="00000001" w:csb0="200001FF" w:csb1="000000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between w:val="nil"/>
        <w:top w:val="nil"/>
        <w:left w:val="nil"/>
        <w:bottom w:val="nil"/>
        <w:right w:val="nil"/>
      </w:pBd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between w:val="nil"/>
        <w:top w:val="nil"/>
        <w:left w:val="nil"/>
        <w:bottom w:val="nil"/>
        <w:right w:val="nil"/>
      </w:pBd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between w:val="nil"/>
        <w:top w:val="nil"/>
        <w:left w:val="nil"/>
        <w:bottom w:val="nil"/>
        <w:right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Bdr>
        <w:between w:val="nil"/>
        <w:top w:val="nil"/>
        <w:left w:val="nil"/>
        <w:bottom w:val="nil"/>
        <w:right w:val="nil"/>
      </w:pBdr>
      <w:tabs>
        <w:tab w:val="center" w:pos="4680"/>
        <w:tab w:val="right" w:pos="9360"/>
      </w:tabs>
      <w:rPr>
        <w:b/>
        <w:color w:val="1F497D"/>
        <w:sz w:val="32"/>
        <w:szCs w:val="32"/>
      </w:rPr>
    </w:pPr>
    <w:r>
      <w:rPr>
        <w:noProof/>
      </w:rPr>
      <mc:AlternateContent>
        <mc:Choice Requires="wpg">
          <w:drawing>
            <wp:anchor distT="0" distB="0" distL="114300" distR="114300" behindDoc="0" locked="0" layoutInCell="1" simplePos="0" relativeHeight="251659264" allowOverlap="1" hidden="0">
              <wp:simplePos x="0" y="0"/>
              <wp:positionH relativeFrom="column">
                <wp:posOffset>0</wp:posOffset>
              </wp:positionH>
              <wp:positionV relativeFrom="paragraph">
                <wp:posOffset>-409575</wp:posOffset>
              </wp:positionV>
              <wp:extent cx="3060065" cy="883285"/>
              <wp:effectExtent l="0" t="0" r="0" b="0"/>
              <wp:wrapSquare wrapText="bothSides"/>
              <wp:docPr id="2049" name="shape2049" hidden="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060065" cy="883285"/>
                        <a:chOff x="0" y="-37818060"/>
                        <a:chExt cx="123386848" cy="35640644"/>
                      </a:xfrm>
                    </wpg:grpSpPr>
                    <pic:pic xmlns:pic="http://schemas.openxmlformats.org/drawingml/2006/picture">
                      <pic:nvPicPr>
                        <pic:cNvPr id="0" name="이미지"/>
                        <pic:cNvPicPr preferRelativeResize="0">
                          <a:picLocks/>
                        </pic:cNvPicPr>
                      </pic:nvPicPr>
                      <pic:blipFill>
                        <a:blip r:embed="rId1">
                          <a:extLst>
                            <a:ext uri="{28A0092B-C50C-407E-A947-70E740481C1C}">
                              <a14:useLocalDpi xmlns:a14="http://schemas.microsoft.com/office/drawing/2010/main" val="0"/>
                            </a:ext>
                          </a:extLst>
                        </a:blip>
                        <a:srcRect/>
                        <a:stretch>
                          <a:fillRect/>
                        </a:stretch>
                      </pic:blipFill>
                      <pic:spPr>
                        <a:xfrm>
                          <a:off x="0" y="-37818060"/>
                          <a:ext cx="106922568" cy="33209230"/>
                        </a:xfrm>
                        <a:prstGeom prst="rect"/>
                      </pic:spPr>
                    </pic:pic>
                    <wps:wsp>
                      <wps:cNvPr id="2" name="child 2"/>
                      <wps:cNvSpPr>
                        <a:spLocks/>
                      </wps:cNvSpPr>
                      <wps:spPr>
                        <a:xfrm>
                          <a:off x="54919244" y="-37818060"/>
                          <a:ext cx="68467608" cy="35645088"/>
                        </a:xfrm>
                        <a:prstGeom prst="rect">
                          <a:avLst/>
                        </a:prstGeom>
                      </wps:spPr>
                      <wps:txbx>
                        <w:txbxContent>
                          <w:p>
                            <w:pPr>
                              <w:jc w:val="left"/>
                              <w:shd w:val="clear" w:color="auto" w:fill="FFFFFF" w:themeFill="background1"/>
                              <w:rPr>
                                <w:color w:val="262626"/>
                                <w:sz w:val="16"/>
                                <w:szCs w:val="16"/>
                              </w:rPr>
                            </w:pPr>
                          </w:p>
                          <w:p>
                            <w:pPr>
                              <w:jc w:val="left"/>
                              <w:shd w:val="clear" w:color="auto" w:fill="FFFFFF" w:themeFill="background1"/>
                              <w:rPr>
                                <w:color w:val="262626"/>
                                <w:sz w:val="16"/>
                                <w:szCs w:val="16"/>
                              </w:rPr>
                            </w:pPr>
                          </w:p>
                          <w:p>
                            <w:pPr>
                              <w:jc w:val="left"/>
                              <w:shd w:val="clear" w:color="auto" w:fill="FFFFFF" w:themeFill="background1"/>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r>
                            <w:r>
                              <w:rPr>
                                <w:color w:val="262626"/>
                                <w:sz w:val="16"/>
                                <w:szCs w:val="16"/>
                              </w:rPr>
                              <w:t xml:space="preserve">Cambridge, MA 02139 </w:t>
                            </w:r>
                            <w:r>
                              <w:rPr>
                                <w:color w:val="262626"/>
                                <w:sz w:val="16"/>
                                <w:szCs w:val="16"/>
                              </w:rPr>
                              <w:br/>
                            </w:r>
                            <w:r>
                              <w:rPr>
                                <w:color w:val="262626"/>
                                <w:sz w:val="16"/>
                                <w:szCs w:val="16"/>
                              </w:rPr>
                              <w:t>Ph: 617.945.9051</w:t>
                            </w:r>
                          </w:p>
                          <w:p>
                            <w:pPr>
                              <w:shd w:val="clear" w:color="auto" w:fill="FFFFFF" w:themeFill="background1"/>
                              <w:rPr>
                                <w:color w:val="262626"/>
                                <w:sz w:val="20"/>
                                <w:szCs w:val="20"/>
                              </w:rPr>
                            </w:pPr>
                          </w:p>
                          <w:p>
                            <w:pPr>
                              <w:shd w:val="clear" w:color="auto" w:fill="FFFFFF" w:themeFill="background1"/>
                              <w:rPr>
                                <w:color w:val="262626"/>
                                <w:sz w:val="20"/>
                                <w:szCs w:val="20"/>
                              </w:rPr>
                            </w:pPr>
                          </w:p>
                          <w:p>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upright="1">
                        <a:noAutofit/>
                      </wps:bodyPr>
                    </wps:wsp>
                  </wpg:wgp>
                </a:graphicData>
              </a:graphic>
            </wp:anchor>
          </w:drawing>
        </mc:Choice>
        <mc:Fallback>
          <w:pict>
            <v:group style="position:absolute;margin-left:0pt;margin-top:-32.25pt;width:240.95pt;height:69.55pt;mso-position-horizontal-relative:column;mso-position-vertical-relative:line;z-index:251659264" coordorigin="0,-59556" coordsize="194310,56127">
              <v:shapetype coordsize="21600, 21600" path="m0,0l21600,0,21600,21600,0,21600xe"/>
              <v:shape id="2050" type="#_x0000_t75" o:spt="75" style="position:absolute;left:0;top:-59556;width:168382;height:52298" coordsize="21600, 21600" filled="f" stroked="f">
                <v:imagedata r:id="rId1"/>
              </v:shape>
              <v:rect id="2051" style="position:absolute;left:86487;top:-59556;width:107823;height:56134" filled="f" stroked="f">
                <v:textbox inset="2.5mm,1.3mm,2.5mm,1.3mm">
                  <w:txbxContent>
                    <w:p>
                      <w:pPr>
                        <w:jc w:val="left"/>
                        <w:shd w:val="clear" w:color="auto" w:fill="FFFFFF" w:themeFill="background1"/>
                        <w:rPr>
                          <w:color w:val="262626"/>
                          <w:sz w:val="16"/>
                          <w:szCs w:val="16"/>
                        </w:rPr>
                      </w:pPr>
                    </w:p>
                    <w:p>
                      <w:pPr>
                        <w:jc w:val="left"/>
                        <w:shd w:val="clear" w:color="auto" w:fill="FFFFFF" w:themeFill="background1"/>
                        <w:rPr>
                          <w:color w:val="262626"/>
                          <w:sz w:val="16"/>
                          <w:szCs w:val="16"/>
                        </w:rPr>
                      </w:pPr>
                    </w:p>
                    <w:p>
                      <w:pPr>
                        <w:jc w:val="left"/>
                        <w:shd w:val="clear" w:color="auto" w:fill="FFFFFF" w:themeFill="background1"/>
                        <w:rPr>
                          <w:color w:val="262626"/>
                          <w:sz w:val="16"/>
                          <w:szCs w:val="16"/>
                        </w:rPr>
                      </w:pPr>
                      <w:r>
                        <w:rPr>
                          <w:color w:val="262626"/>
                          <w:sz w:val="16"/>
                          <w:szCs w:val="16"/>
                        </w:rPr>
                        <w:t>625 Massachusetts Ave, 2</w:t>
                      </w:r>
                      <w:r>
                        <w:rPr>
                          <w:color w:val="262626"/>
                          <w:sz w:val="16"/>
                          <w:szCs w:val="16"/>
                          <w:vertAlign w:val="superscript"/>
                        </w:rPr>
                        <w:t>nd</w:t>
                      </w:r>
                      <w:r>
                        <w:rPr>
                          <w:color w:val="262626"/>
                          <w:sz w:val="16"/>
                          <w:szCs w:val="16"/>
                        </w:rPr>
                        <w:t xml:space="preserve"> Floor </w:t>
                      </w:r>
                      <w:r>
                        <w:rPr>
                          <w:color w:val="262626"/>
                          <w:sz w:val="16"/>
                          <w:szCs w:val="16"/>
                        </w:rPr>
                        <w:br/>
                      </w:r>
                      <w:r>
                        <w:rPr>
                          <w:color w:val="262626"/>
                          <w:sz w:val="16"/>
                          <w:szCs w:val="16"/>
                        </w:rPr>
                        <w:t xml:space="preserve">Cambridge, MA 02139 </w:t>
                      </w:r>
                      <w:r>
                        <w:rPr>
                          <w:color w:val="262626"/>
                          <w:sz w:val="16"/>
                          <w:szCs w:val="16"/>
                        </w:rPr>
                        <w:br/>
                      </w:r>
                      <w:r>
                        <w:rPr>
                          <w:color w:val="262626"/>
                          <w:sz w:val="16"/>
                          <w:szCs w:val="16"/>
                        </w:rPr>
                        <w:t>Ph: 617.945.9051</w:t>
                      </w:r>
                    </w:p>
                    <w:p>
                      <w:pPr>
                        <w:shd w:val="clear" w:color="auto" w:fill="FFFFFF" w:themeFill="background1"/>
                        <w:rPr>
                          <w:color w:val="262626"/>
                          <w:sz w:val="20"/>
                          <w:szCs w:val="20"/>
                        </w:rPr>
                      </w:pPr>
                    </w:p>
                    <w:p>
                      <w:pPr>
                        <w:shd w:val="clear" w:color="auto" w:fill="FFFFFF" w:themeFill="background1"/>
                        <w:rPr>
                          <w:color w:val="262626"/>
                          <w:sz w:val="20"/>
                          <w:szCs w:val="20"/>
                        </w:rPr>
                      </w:pPr>
                    </w:p>
                    <w:p>
                      <w:pPr>
                        <w:rPr>
                          <w:rFonts w:ascii="Times New Roman" w:hAnsi="Times New Roman"/>
                          <w:color w:val="262626"/>
                        </w:rPr>
                      </w:pPr>
                      <w:r>
                        <w:rPr>
                          <w:rFonts w:ascii="Times New Roman" w:hAnsi="Times New Roman"/>
                          <w:color w:val="262626"/>
                        </w:rPr>
                        <w:t>`</w:t>
                      </w:r>
                    </w:p>
                  </w:txbxContent>
                </v:textbox>
              </v:rect>
              <w10:wrap type="square"/>
            </v:group>
          </w:pict>
        </mc:Fallback>
      </mc:AlternateContent>
    </w:r>
    <w:r>
      <w:rPr>
        <w:b/>
        <w:color w:val="1F497D"/>
        <w:sz w:val="32"/>
        <w:szCs w:val="32"/>
      </w:rPr>
      <w:t>Standard Manuscript Template</w:t>
    </w:r>
    <w:r>
      <w:rPr>
        <w:b/>
        <w:color w:val="1F497D"/>
        <w:sz w:val="32"/>
        <w:szCs w:val="32"/>
      </w:rPr>
      <w:br/>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7ec92cd4"/>
    <w:multiLevelType w:val="multilevel"/>
    <w:tmpl w:val="aa62fb64"/>
    <w:lvl w:ilvl="0">
      <w:start w:val="1"/>
      <w:lvlText w:val="%1."/>
      <w:lvlJc w:val="left"/>
      <w:pPr>
        <w:ind w:left="360" w:hanging="360"/>
      </w:pPr>
      <w:rPr>
        <w:rFonts w:ascii="Calibri" w:hAnsi="Calibri" w:cs="Calibri" w:hint="default"/>
        <w:b/>
        <w:bCs w:val="0"/>
        <w:sz w:val="24"/>
        <w:szCs w:val="24"/>
      </w:rPr>
    </w:lvl>
    <w:lvl w:ilvl="1">
      <w:start w:val="1"/>
      <w:lvlText w:val="%1.%2."/>
      <w:lvlJc w:val="left"/>
      <w:pPr>
        <w:ind w:left="792" w:hanging="432"/>
      </w:pPr>
      <w:rPr>
        <w:b w:val="0"/>
        <w:bCs w:val="0"/>
      </w:rPr>
    </w:lvl>
    <w:lvl w:ilvl="2">
      <w:start w:val="1"/>
      <w:lvlText w:val="%1.%2.%3."/>
      <w:lvlJc w:val="left"/>
      <w:pPr>
        <w:ind w:left="1224" w:hanging="504"/>
      </w:pPr>
      <w:rPr>
        <w:rFonts w:ascii="Calibri" w:hAnsi="Calibri" w:cs="Calibri" w:hint="default"/>
        <w:sz w:val="24"/>
        <w:szCs w:val="24"/>
      </w:rPr>
    </w:lvl>
    <w:lvl w:ilvl="3">
      <w:start w:val="1"/>
      <w:lvlText w:val="%1.%2.%3.%4."/>
      <w:lvlJc w:val="left"/>
      <w:pPr>
        <w:ind w:left="1728" w:hanging="648"/>
      </w:pPr>
    </w:lvl>
    <w:lvl w:ilvl="4">
      <w:start w:val="1"/>
      <w:lvlText w:val="%1.%2.%3.%4.%5."/>
      <w:lvlJc w:val="left"/>
      <w:pPr>
        <w:ind w:left="2232" w:hanging="792"/>
      </w:pPr>
    </w:lvl>
    <w:lvl w:ilvl="5">
      <w:start w:val="1"/>
      <w:lvlText w:val="%1.%2.%3.%4.%5.%6."/>
      <w:lvlJc w:val="left"/>
      <w:pPr>
        <w:ind w:left="2736" w:hanging="936"/>
      </w:pPr>
    </w:lvl>
    <w:lvl w:ilvl="6">
      <w:start w:val="1"/>
      <w:lvlText w:val="%1.%2.%3.%4.%5.%6.%7."/>
      <w:lvlJc w:val="left"/>
      <w:pPr>
        <w:ind w:left="3240" w:hanging="1080"/>
      </w:pPr>
    </w:lvl>
    <w:lvl w:ilvl="7">
      <w:start w:val="1"/>
      <w:lvlText w:val="%1.%2.%3.%4.%5.%6.%7.%8."/>
      <w:lvlJc w:val="left"/>
      <w:pPr>
        <w:ind w:left="3744" w:hanging="1224"/>
      </w:pPr>
    </w:lvl>
    <w:lvl w:ilvl="8">
      <w:start w:val="1"/>
      <w:lvlText w:val="%1.%2.%3.%4.%5.%6.%7.%8.%9."/>
      <w:lvlJc w:val="left"/>
      <w:pPr>
        <w:ind w:left="4320" w:hanging="1440"/>
      </w:pPr>
    </w:lvl>
  </w:abstractNum>
  <w:abstractNum w:abstractNumId="1">
    <w:nsid w:val="3d2207a3"/>
    <w:multiLevelType w:val="multilevel"/>
    <w:tmpl w:val="92d0b6d0"/>
    <w:lvl w:ilvl="0">
      <w:start w:val="1"/>
      <w:lvlText w:val="%1."/>
      <w:lvlJc w:val="left"/>
      <w:pPr>
        <w:ind w:left="360" w:hanging="360"/>
      </w:pPr>
      <w:rPr>
        <w:rFonts w:ascii="Calibri" w:hAnsi="Calibri" w:cs="Calibri" w:hint="default"/>
        <w:b w:val="0"/>
        <w:bCs/>
        <w:color w:val="auto"/>
        <w:sz w:val="24"/>
        <w:szCs w:val="24"/>
      </w:rPr>
    </w:lvl>
    <w:lvl w:ilvl="1">
      <w:start w:val="1"/>
      <w:lvlText w:val="%1.%2."/>
      <w:lvlJc w:val="left"/>
      <w:pPr>
        <w:ind w:left="792" w:hanging="432"/>
      </w:pPr>
      <w:rPr>
        <w:b w:val="0"/>
        <w:bCs w:val="0"/>
      </w:rPr>
    </w:lvl>
    <w:lvl w:ilvl="2">
      <w:start w:val="1"/>
      <w:lvlText w:val="%1.%2.%3."/>
      <w:lvlJc w:val="left"/>
      <w:pPr>
        <w:ind w:left="1224" w:hanging="504"/>
      </w:pPr>
      <w:rPr>
        <w:rFonts w:ascii="Calibri" w:hAnsi="Calibri" w:cs="Calibri" w:hint="default"/>
        <w:sz w:val="24"/>
        <w:szCs w:val="24"/>
      </w:rPr>
    </w:lvl>
    <w:lvl w:ilvl="3">
      <w:start w:val="1"/>
      <w:lvlText w:val="%1.%2.%3.%4."/>
      <w:lvlJc w:val="left"/>
      <w:pPr>
        <w:ind w:left="1728" w:hanging="648"/>
      </w:pPr>
    </w:lvl>
    <w:lvl w:ilvl="4">
      <w:start w:val="1"/>
      <w:lvlText w:val="%1.%2.%3.%4.%5."/>
      <w:lvlJc w:val="left"/>
      <w:pPr>
        <w:ind w:left="2232" w:hanging="792"/>
      </w:pPr>
    </w:lvl>
    <w:lvl w:ilvl="5">
      <w:start w:val="1"/>
      <w:lvlText w:val="%1.%2.%3.%4.%5.%6."/>
      <w:lvlJc w:val="left"/>
      <w:pPr>
        <w:ind w:left="2736" w:hanging="936"/>
      </w:pPr>
    </w:lvl>
    <w:lvl w:ilvl="6">
      <w:start w:val="1"/>
      <w:lvlText w:val="%1.%2.%3.%4.%5.%6.%7."/>
      <w:lvlJc w:val="left"/>
      <w:pPr>
        <w:ind w:left="3240" w:hanging="1080"/>
      </w:pPr>
    </w:lvl>
    <w:lvl w:ilvl="7">
      <w:start w:val="1"/>
      <w:lvlText w:val="%1.%2.%3.%4.%5.%6.%7.%8."/>
      <w:lvlJc w:val="left"/>
      <w:pPr>
        <w:ind w:left="3744" w:hanging="1224"/>
      </w:pPr>
    </w:lvl>
    <w:lvl w:ilvl="8">
      <w:start w:val="1"/>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trackRevisions/>
  <w:defaultTabStop w:val="800"/>
  <w:hyphenationZone w:val="360"/>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rawingGridHorizontalSpacing w:val="180"/>
  <w:drawingGridVerticalSpacing w:val="180"/>
  <w:displayHorizontalDrawingGridEvery w:val="1"/>
  <w:displayVerticalDrawingGridEvery w:val="1"/>
  <w:characterSpacingControl w:val="doNotCompress"/>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ko-KR" w:bidi="ar-SA"/>
        <w:rFonts w:asciiTheme="minorEastAsia" w:eastAsiaTheme="minorEastAsia" w:hAnsiTheme="minorHAnsi" w:cstheme="minorBidi"/>
        <w:sz w:val="22"/>
        <w:szCs w:val="24"/>
        <w:kern w:val="2"/>
      </w:rPr>
    </w:rPrDefault>
    <w:pPrDefault>
      <w:pPr>
        <w:spacing w:after="160"/>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153" w:unhideWhenUsed="1"/>
    <w:lsdException w:name="index 2" w:semiHidden="1" w:uiPriority="153" w:unhideWhenUsed="1"/>
    <w:lsdException w:name="index 3" w:semiHidden="1" w:uiPriority="153" w:unhideWhenUsed="1"/>
    <w:lsdException w:name="index 4" w:semiHidden="1" w:uiPriority="153" w:unhideWhenUsed="1"/>
    <w:lsdException w:name="index 5" w:semiHidden="1" w:uiPriority="153" w:unhideWhenUsed="1"/>
    <w:lsdException w:name="index 6" w:semiHidden="1" w:uiPriority="153" w:unhideWhenUsed="1"/>
    <w:lsdException w:name="index 7" w:semiHidden="1" w:uiPriority="153" w:unhideWhenUsed="1"/>
    <w:lsdException w:name="index 8" w:semiHidden="1" w:uiPriority="153" w:unhideWhenUsed="1"/>
    <w:lsdException w:name="index 9" w:semiHidden="1" w:uiPriority="153"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153" w:unhideWhenUsed="1"/>
    <w:lsdException w:name="footnote text" w:semiHidden="1" w:uiPriority="153" w:unhideWhenUsed="1"/>
    <w:lsdException w:name="annotation text" w:semiHidden="1" w:uiPriority="153" w:unhideWhenUsed="1"/>
    <w:lsdException w:name="header" w:semiHidden="1" w:uiPriority="153" w:unhideWhenUsed="1"/>
    <w:lsdException w:name="footer" w:semiHidden="1" w:uiPriority="153" w:unhideWhenUsed="1"/>
    <w:lsdException w:name="index heading" w:semiHidden="1" w:uiPriority="153" w:unhideWhenUsed="1"/>
    <w:lsdException w:name="caption" w:semiHidden="1" w:unhideWhenUsed="1" w:qFormat="1"/>
    <w:lsdException w:name="table of figures" w:semiHidden="1" w:uiPriority="153" w:unhideWhenUsed="1"/>
    <w:lsdException w:name="envelope address" w:semiHidden="1" w:uiPriority="153" w:unhideWhenUsed="1"/>
    <w:lsdException w:name="envelope return" w:semiHidden="1" w:uiPriority="153" w:unhideWhenUsed="1"/>
    <w:lsdException w:name="footnote reference" w:semiHidden="1" w:uiPriority="153" w:unhideWhenUsed="1"/>
    <w:lsdException w:name="annotation reference" w:semiHidden="1" w:uiPriority="153" w:unhideWhenUsed="1"/>
    <w:lsdException w:name="line number" w:semiHidden="1" w:uiPriority="153" w:unhideWhenUsed="1"/>
    <w:lsdException w:name="page number" w:semiHidden="1" w:uiPriority="153" w:unhideWhenUsed="1"/>
    <w:lsdException w:name="endnote reference" w:semiHidden="1" w:uiPriority="153" w:unhideWhenUsed="1"/>
    <w:lsdException w:name="endnote text" w:semiHidden="1" w:uiPriority="153" w:unhideWhenUsed="1"/>
    <w:lsdException w:name="table of authorities" w:semiHidden="1" w:uiPriority="153" w:unhideWhenUsed="1"/>
    <w:lsdException w:name="macro" w:semiHidden="1" w:uiPriority="153" w:unhideWhenUsed="1"/>
    <w:lsdException w:name="toa heading" w:semiHidden="1" w:uiPriority="153" w:unhideWhenUsed="1"/>
    <w:lsdException w:name="List" w:semiHidden="1" w:uiPriority="153" w:unhideWhenUsed="1"/>
    <w:lsdException w:name="List Bullet" w:semiHidden="1" w:uiPriority="153" w:unhideWhenUsed="1"/>
    <w:lsdException w:name="List Number" w:semiHidden="1" w:uiPriority="153" w:unhideWhenUsed="1"/>
    <w:lsdException w:name="List 2" w:semiHidden="1" w:uiPriority="153" w:unhideWhenUsed="1"/>
    <w:lsdException w:name="List 3" w:semiHidden="1" w:uiPriority="153" w:unhideWhenUsed="1"/>
    <w:lsdException w:name="List 4" w:semiHidden="1" w:uiPriority="153" w:unhideWhenUsed="1"/>
    <w:lsdException w:name="List 5" w:semiHidden="1" w:uiPriority="153" w:unhideWhenUsed="1"/>
    <w:lsdException w:name="List Bullet 2" w:semiHidden="1" w:uiPriority="153" w:unhideWhenUsed="1"/>
    <w:lsdException w:name="List Bullet 3" w:semiHidden="1" w:uiPriority="153" w:unhideWhenUsed="1"/>
    <w:lsdException w:name="List Bullet 4" w:semiHidden="1" w:uiPriority="153" w:unhideWhenUsed="1"/>
    <w:lsdException w:name="List Bullet 5" w:semiHidden="1" w:uiPriority="153" w:unhideWhenUsed="1"/>
    <w:lsdException w:name="List Number 2" w:semiHidden="1" w:uiPriority="153" w:unhideWhenUsed="1"/>
    <w:lsdException w:name="List Number 3" w:semiHidden="1" w:uiPriority="153" w:unhideWhenUsed="1"/>
    <w:lsdException w:name="List Number 4" w:semiHidden="1" w:uiPriority="153" w:unhideWhenUsed="1"/>
    <w:lsdException w:name="List Number 5" w:semiHidden="1" w:uiPriority="153" w:unhideWhenUsed="1"/>
    <w:lsdException w:name="Title" w:qFormat="1"/>
    <w:lsdException w:name="Closing" w:semiHidden="1" w:uiPriority="153" w:unhideWhenUsed="1"/>
    <w:lsdException w:name="Signature" w:semiHidden="1" w:uiPriority="153" w:unhideWhenUsed="1"/>
    <w:lsdException w:name="Default Paragraph Font" w:semiHidden="1" w:uiPriority="1" w:unhideWhenUsed="1"/>
    <w:lsdException w:name="Body Text" w:semiHidden="1" w:uiPriority="153" w:unhideWhenUsed="1"/>
    <w:lsdException w:name="Body Text Indent" w:semiHidden="1" w:uiPriority="153" w:unhideWhenUsed="1"/>
    <w:lsdException w:name="List Continue" w:semiHidden="1" w:uiPriority="153" w:unhideWhenUsed="1"/>
    <w:lsdException w:name="List Continue 2" w:semiHidden="1" w:uiPriority="153" w:unhideWhenUsed="1"/>
    <w:lsdException w:name="List Continue 3" w:semiHidden="1" w:uiPriority="153" w:unhideWhenUsed="1"/>
    <w:lsdException w:name="List Continue 4" w:semiHidden="1" w:uiPriority="153" w:unhideWhenUsed="1"/>
    <w:lsdException w:name="List Continue 5" w:semiHidden="1" w:uiPriority="153" w:unhideWhenUsed="1"/>
    <w:lsdException w:name="Message Header" w:semiHidden="1" w:uiPriority="153" w:unhideWhenUsed="1"/>
    <w:lsdException w:name="Subtitle" w:qFormat="1"/>
    <w:lsdException w:name="Salutation" w:semiHidden="1" w:uiPriority="153" w:unhideWhenUsed="1"/>
    <w:lsdException w:name="Date" w:semiHidden="1" w:uiPriority="153" w:unhideWhenUsed="1"/>
    <w:lsdException w:name="Body Text First Indent" w:semiHidden="1" w:uiPriority="153" w:unhideWhenUsed="1"/>
    <w:lsdException w:name="Body Text First Indent 2" w:semiHidden="1" w:uiPriority="153" w:unhideWhenUsed="1"/>
    <w:lsdException w:name="Note Heading" w:semiHidden="1" w:uiPriority="153" w:unhideWhenUsed="1"/>
    <w:lsdException w:name="Body Text 2" w:semiHidden="1" w:uiPriority="153" w:unhideWhenUsed="1"/>
    <w:lsdException w:name="Body Text 3" w:semiHidden="1" w:uiPriority="153" w:unhideWhenUsed="1"/>
    <w:lsdException w:name="Body Text Indent 2" w:semiHidden="1" w:uiPriority="153" w:unhideWhenUsed="1"/>
    <w:lsdException w:name="Body Text Indent 3" w:semiHidden="1" w:uiPriority="153" w:unhideWhenUsed="1"/>
    <w:lsdException w:name="Block Text" w:semiHidden="1" w:uiPriority="153" w:unhideWhenUsed="1"/>
    <w:lsdException w:name="Hyperlink" w:semiHidden="1" w:uiPriority="153" w:unhideWhenUsed="1"/>
    <w:lsdException w:name="FollowedHyperlink" w:semiHidden="1" w:uiPriority="153" w:unhideWhenUsed="1"/>
    <w:lsdException w:name="Strong" w:qFormat="1"/>
    <w:lsdException w:name="Emphasis" w:qFormat="1"/>
    <w:lsdException w:name="Document Map" w:semiHidden="1" w:uiPriority="153" w:unhideWhenUsed="1"/>
    <w:lsdException w:name="Plain Text" w:semiHidden="1" w:uiPriority="153" w:unhideWhenUsed="1"/>
    <w:lsdException w:name="E-mail Signature" w:semiHidden="1" w:uiPriority="153" w:unhideWhenUsed="1"/>
    <w:lsdException w:name="HTML Top of Form" w:semiHidden="1" w:uiPriority="153" w:unhideWhenUsed="1"/>
    <w:lsdException w:name="HTML Bottom of Form" w:semiHidden="1" w:uiPriority="153" w:unhideWhenUsed="1"/>
    <w:lsdException w:name="Normal (Web)" w:semiHidden="1" w:uiPriority="153" w:unhideWhenUsed="1"/>
    <w:lsdException w:name="HTML Acronym" w:semiHidden="1" w:uiPriority="153" w:unhideWhenUsed="1"/>
    <w:lsdException w:name="HTML Address" w:semiHidden="1" w:uiPriority="153" w:unhideWhenUsed="1"/>
    <w:lsdException w:name="HTML Cite" w:semiHidden="1" w:uiPriority="153" w:unhideWhenUsed="1"/>
    <w:lsdException w:name="HTML Code" w:semiHidden="1" w:uiPriority="153" w:unhideWhenUsed="1"/>
    <w:lsdException w:name="HTML Definition" w:semiHidden="1" w:uiPriority="153" w:unhideWhenUsed="1"/>
    <w:lsdException w:name="HTML Keyboard" w:semiHidden="1" w:uiPriority="153" w:unhideWhenUsed="1"/>
    <w:lsdException w:name="HTML Preformatted" w:semiHidden="1" w:uiPriority="153" w:unhideWhenUsed="1"/>
    <w:lsdException w:name="HTML Sample" w:semiHidden="1" w:uiPriority="153" w:unhideWhenUsed="1"/>
    <w:lsdException w:name="HTML Typewriter" w:semiHidden="1" w:uiPriority="153" w:unhideWhenUsed="1"/>
    <w:lsdException w:name="HTML Variable" w:semiHidden="1" w:uiPriority="153" w:unhideWhenUsed="1"/>
    <w:lsdException w:name="Normal Table" w:semiHidden="1" w:uiPriority="153" w:unhideWhenUsed="1"/>
    <w:lsdException w:name="annotation subject" w:semiHidden="1" w:uiPriority="153" w:unhideWhenUsed="1"/>
    <w:lsdException w:name="No List" w:semiHidden="1" w:uiPriority="153" w:unhideWhenUsed="1"/>
    <w:lsdException w:name="Outline List 1" w:semiHidden="1" w:uiPriority="153" w:unhideWhenUsed="1"/>
    <w:lsdException w:name="Outline List 2" w:semiHidden="1" w:uiPriority="153" w:unhideWhenUsed="1"/>
    <w:lsdException w:name="Outline List 3" w:semiHidden="1" w:uiPriority="153" w:unhideWhenUsed="1"/>
    <w:lsdException w:name="Table Simple 1" w:semiHidden="1" w:uiPriority="153" w:unhideWhenUsed="1"/>
    <w:lsdException w:name="Table Simple 2" w:semiHidden="1" w:uiPriority="153" w:unhideWhenUsed="1"/>
    <w:lsdException w:name="Table Simple 3" w:semiHidden="1" w:uiPriority="153" w:unhideWhenUsed="1"/>
    <w:lsdException w:name="Table Classic 1" w:semiHidden="1" w:uiPriority="153" w:unhideWhenUsed="1"/>
    <w:lsdException w:name="Table Classic 2" w:semiHidden="1" w:uiPriority="153" w:unhideWhenUsed="1"/>
    <w:lsdException w:name="Table Classic 3" w:semiHidden="1" w:uiPriority="153" w:unhideWhenUsed="1"/>
    <w:lsdException w:name="Table Classic 4" w:semiHidden="1" w:uiPriority="153" w:unhideWhenUsed="1"/>
    <w:lsdException w:name="Table Colorful 1" w:semiHidden="1" w:uiPriority="153" w:unhideWhenUsed="1"/>
    <w:lsdException w:name="Table Colorful 2" w:semiHidden="1" w:uiPriority="153" w:unhideWhenUsed="1"/>
    <w:lsdException w:name="Table Colorful 3" w:semiHidden="1" w:uiPriority="153" w:unhideWhenUsed="1"/>
    <w:lsdException w:name="Table Columns 1" w:semiHidden="1" w:uiPriority="153" w:unhideWhenUsed="1"/>
    <w:lsdException w:name="Table Columns 2" w:semiHidden="1" w:uiPriority="153" w:unhideWhenUsed="1"/>
    <w:lsdException w:name="Table Columns 3" w:semiHidden="1" w:uiPriority="153" w:unhideWhenUsed="1"/>
    <w:lsdException w:name="Table Columns 4" w:semiHidden="1" w:uiPriority="153" w:unhideWhenUsed="1"/>
    <w:lsdException w:name="Table Columns 5" w:semiHidden="1" w:uiPriority="153" w:unhideWhenUsed="1"/>
    <w:lsdException w:name="Table Grid 1" w:semiHidden="1" w:uiPriority="153" w:unhideWhenUsed="1"/>
    <w:lsdException w:name="Table Grid 2" w:semiHidden="1" w:uiPriority="153" w:unhideWhenUsed="1"/>
    <w:lsdException w:name="Table Grid 3" w:semiHidden="1" w:uiPriority="153" w:unhideWhenUsed="1"/>
    <w:lsdException w:name="Table Grid 4" w:semiHidden="1" w:uiPriority="153" w:unhideWhenUsed="1"/>
    <w:lsdException w:name="Table Grid 5" w:semiHidden="1" w:uiPriority="153" w:unhideWhenUsed="1"/>
    <w:lsdException w:name="Table Grid 6" w:semiHidden="1" w:uiPriority="153" w:unhideWhenUsed="1"/>
    <w:lsdException w:name="Table Grid 7" w:semiHidden="1" w:uiPriority="153" w:unhideWhenUsed="1"/>
    <w:lsdException w:name="Table Grid 8" w:semiHidden="1" w:uiPriority="153" w:unhideWhenUsed="1"/>
    <w:lsdException w:name="Table List 1" w:semiHidden="1" w:uiPriority="153" w:unhideWhenUsed="1"/>
    <w:lsdException w:name="Table List 2" w:semiHidden="1" w:uiPriority="153" w:unhideWhenUsed="1"/>
    <w:lsdException w:name="Table List 3" w:semiHidden="1" w:uiPriority="153" w:unhideWhenUsed="1"/>
    <w:lsdException w:name="Table List 4" w:semiHidden="1" w:uiPriority="153" w:unhideWhenUsed="1"/>
    <w:lsdException w:name="Table List 5" w:semiHidden="1" w:uiPriority="153" w:unhideWhenUsed="1"/>
    <w:lsdException w:name="Table List 6" w:semiHidden="1" w:uiPriority="153" w:unhideWhenUsed="1"/>
    <w:lsdException w:name="Table List 7" w:semiHidden="1" w:uiPriority="153" w:unhideWhenUsed="1"/>
    <w:lsdException w:name="Table List 8" w:semiHidden="1" w:uiPriority="153" w:unhideWhenUsed="1"/>
    <w:lsdException w:name="Table 3D effects 1" w:semiHidden="1" w:uiPriority="153" w:unhideWhenUsed="1"/>
    <w:lsdException w:name="Table 3D effects 2" w:semiHidden="1" w:uiPriority="153" w:unhideWhenUsed="1"/>
    <w:lsdException w:name="Table 3D effects 3" w:semiHidden="1" w:uiPriority="153" w:unhideWhenUsed="1"/>
    <w:lsdException w:name="Table Contemporary" w:semiHidden="1" w:uiPriority="153" w:unhideWhenUsed="1"/>
    <w:lsdException w:name="Table Elegant" w:semiHidden="1" w:uiPriority="153" w:unhideWhenUsed="1"/>
    <w:lsdException w:name="Table Professional" w:semiHidden="1" w:uiPriority="153" w:unhideWhenUsed="1"/>
    <w:lsdException w:name="Table Subtle 1" w:semiHidden="1" w:uiPriority="153" w:unhideWhenUsed="1"/>
    <w:lsdException w:name="Table Subtle 2" w:semiHidden="1" w:uiPriority="153" w:unhideWhenUsed="1"/>
    <w:lsdException w:name="Table Web 1" w:semiHidden="1" w:uiPriority="153" w:unhideWhenUsed="1"/>
    <w:lsdException w:name="Table Web 2" w:semiHidden="1" w:uiPriority="153" w:unhideWhenUsed="1"/>
    <w:lsdException w:name="Table Web 3" w:semiHidden="1" w:uiPriority="153" w:unhideWhenUsed="1"/>
    <w:lsdException w:name="Balloon Text" w:semiHidden="1" w:uiPriority="153" w:unhideWhenUsed="1"/>
    <w:lsdException w:name="Table Theme" w:semiHidden="1" w:uiPriority="153" w:unhideWhenUsed="1"/>
    <w:lsdException w:name="Placeholder Text" w:semiHidden="1" w:uiPriority="153"/>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153"/>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153" w:unhideWhenUsed="1"/>
    <w:lsdException w:name="Smart Hyperlink" w:semiHidden="1" w:uiPriority="153" w:unhideWhenUsed="1"/>
    <w:lsdException w:name="Hashtag" w:semiHidden="1" w:uiPriority="153" w:unhideWhenUsed="1"/>
    <w:lsdException w:name="Unresolved Mention" w:semiHidden="1" w:uiPriority="153" w:unhideWhenUsed="1"/>
    <w:lsdException w:name="Smart Link" w:semiHidden="1" w:uiPriority="153" w:unhideWhenUsed="1"/>
  </w:latentStyles>
  <w:style w:type="paragraph" w:default="1" w:styleId="Normal">
    <w:name w:val="Normal"/>
    <w:qFormat/>
    <w:pPr>
      <w:widowControl w:val="off"/>
      <w:jc w:val="both"/>
      <w:spacing w:after="0"/>
    </w:pPr>
    <w:rPr>
      <w:lang w:eastAsia="en-US"/>
      <w:rFonts w:ascii="Calibri" w:hAnsi="Calibri" w:cs="Calibri"/>
      <w:sz w:val="24"/>
      <w:kern w:val="0"/>
    </w:rPr>
  </w:style>
  <w:style w:type="paragraph" w:styleId="Heading1">
    <w:name w:val="heading 1"/>
    <w:uiPriority w:val="9"/>
    <w:basedOn w:val="Normal"/>
    <w:next w:val="Normal"/>
    <w:link w:val="Heading1Char"/>
    <w:qFormat/>
    <w:pPr>
      <w:keepNext/>
      <w:outlineLvl w:val="0"/>
      <w:spacing w:after="60" w:before="240"/>
    </w:pPr>
    <w:rPr>
      <w:b/>
      <w:sz w:val="28"/>
      <w:szCs w:val="28"/>
    </w:rPr>
  </w:style>
  <w:style w:type="paragraph" w:styleId="Heading2">
    <w:name w:val="heading 2"/>
    <w:uiPriority w:val="9"/>
    <w:basedOn w:val="Normal"/>
    <w:next w:val="Normal"/>
    <w:link w:val="Heading2Char"/>
    <w:qFormat/>
    <w:semiHidden/>
    <w:unhideWhenUsed/>
    <w:pPr>
      <w:keepNext/>
      <w:outlineLvl w:val="1"/>
    </w:pPr>
    <w:rPr>
      <w:b/>
    </w:rPr>
  </w:style>
  <w:style w:type="paragraph" w:styleId="Heading3">
    <w:name w:val="heading 3"/>
    <w:uiPriority w:val="9"/>
    <w:basedOn w:val="Normal"/>
    <w:next w:val="Normal"/>
    <w:link w:val="Heading3Char"/>
    <w:qFormat/>
    <w:semiHidden/>
    <w:unhideWhenUsed/>
    <w:pPr>
      <w:keepNext/>
      <w:keepLines/>
      <w:outlineLvl w:val="2"/>
      <w:spacing w:before="200"/>
    </w:pPr>
    <w:rPr>
      <w:rFonts w:ascii="Cambria" w:eastAsia="Cambria" w:hAnsi="Cambria" w:cs="Cambria"/>
      <w:b/>
      <w:color w:val="4F81BD"/>
    </w:rPr>
  </w:style>
  <w:style w:type="paragraph" w:styleId="Heading4">
    <w:name w:val="heading 4"/>
    <w:uiPriority w:val="9"/>
    <w:basedOn w:val="Normal"/>
    <w:next w:val="Normal"/>
    <w:link w:val="Heading4Char"/>
    <w:qFormat/>
    <w:semiHidden/>
    <w:unhideWhenUsed/>
    <w:pPr>
      <w:keepNext/>
      <w:keepLines/>
      <w:outlineLvl w:val="3"/>
      <w:spacing w:after="40" w:before="240"/>
    </w:pPr>
    <w:rPr>
      <w:b/>
    </w:rPr>
  </w:style>
  <w:style w:type="paragraph" w:styleId="Heading5">
    <w:name w:val="heading 5"/>
    <w:uiPriority w:val="9"/>
    <w:basedOn w:val="Normal"/>
    <w:next w:val="Normal"/>
    <w:link w:val="Heading5Char"/>
    <w:qFormat/>
    <w:semiHidden/>
    <w:unhideWhenUsed/>
    <w:pPr>
      <w:keepNext/>
      <w:keepLines/>
      <w:outlineLvl w:val="4"/>
      <w:spacing w:after="40" w:before="220"/>
    </w:pPr>
    <w:rPr>
      <w:b/>
      <w:sz w:val="22"/>
      <w:szCs w:val="22"/>
    </w:rPr>
  </w:style>
  <w:style w:type="paragraph" w:styleId="Heading6">
    <w:name w:val="heading 6"/>
    <w:uiPriority w:val="9"/>
    <w:basedOn w:val="Normal"/>
    <w:next w:val="Normal"/>
    <w:link w:val="Heading6Char"/>
    <w:qFormat/>
    <w:semiHidden/>
    <w:unhideWhenUsed/>
    <w:pPr>
      <w:keepNext/>
      <w:keepLines/>
      <w:outlineLvl w:val="5"/>
      <w:spacing w:after="40" w:before="200"/>
    </w:pPr>
    <w:rPr>
      <w:b/>
      <w:sz w:val="20"/>
      <w:szCs w:val="20"/>
    </w:rPr>
  </w:style>
  <w:style w:type="paragraph" w:styleId="Heading7">
    <w:name w:val="heading 7"/>
    <w:uiPriority w:val="9"/>
    <w:basedOn w:val="Normal"/>
    <w:next w:val="Normal"/>
    <w:link w:val="Heading7Char"/>
    <w:qFormat/>
    <w:semiHidden/>
    <w:unhideWhenUsed/>
    <w:pPr>
      <w:ind w:leftChars="300" w:left="300"/>
      <w:keepNext/>
      <w:keepLines/>
      <w:outlineLvl w:val="6"/>
      <w:spacing w:after="40" w:before="80"/>
    </w:pPr>
    <w:rPr>
      <w:rFonts w:asciiTheme="majorHAnsi" w:eastAsiaTheme="majorEastAsia" w:hAnsiTheme="majorHAnsi" w:cstheme="majorBidi"/>
      <w:color w:val="000000"/>
    </w:rPr>
  </w:style>
  <w:style w:type="paragraph" w:styleId="Heading8">
    <w:name w:val="heading 8"/>
    <w:uiPriority w:val="9"/>
    <w:basedOn w:val="Normal"/>
    <w:next w:val="Normal"/>
    <w:link w:val="Heading8Char"/>
    <w:qFormat/>
    <w:semiHidden/>
    <w:unhideWhenUsed/>
    <w:pPr>
      <w:ind w:leftChars="400" w:left="400"/>
      <w:keepNext/>
      <w:keepLines/>
      <w:outlineLvl w:val="7"/>
      <w:spacing w:after="40" w:before="80"/>
    </w:pPr>
    <w:rPr>
      <w:rFonts w:asciiTheme="majorHAnsi" w:eastAsiaTheme="majorEastAsia" w:hAnsiTheme="majorHAnsi" w:cstheme="majorBidi"/>
      <w:color w:val="000000"/>
    </w:rPr>
  </w:style>
  <w:style w:type="paragraph" w:styleId="Heading9">
    <w:name w:val="heading 9"/>
    <w:uiPriority w:val="9"/>
    <w:basedOn w:val="Normal"/>
    <w:next w:val="Normal"/>
    <w:link w:val="Heading9Char"/>
    <w:qFormat/>
    <w:semiHidden/>
    <w:unhideWhenUsed/>
    <w:pPr>
      <w:ind w:leftChars="500" w:left="500"/>
      <w:keepNext/>
      <w:keepLines/>
      <w:outlineLvl w:val="8"/>
      <w:spacing w:after="40" w:before="80"/>
    </w:pPr>
    <w:rPr>
      <w:rFonts w:asciiTheme="majorHAnsi" w:eastAsiaTheme="majorEastAsia" w:hAnsiTheme="majorHAnsi" w:cstheme="majorBid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
    <w:basedOn w:val="DefaultParagraphFont"/>
    <w:link w:val="Heading1"/>
    <w:rPr>
      <w:lang w:eastAsia="en-US"/>
      <w:rFonts w:ascii="Calibri" w:hAnsi="Calibri" w:cs="Calibri"/>
      <w:b/>
      <w:sz w:val="28"/>
      <w:szCs w:val="28"/>
      <w:kern w:val="0"/>
    </w:rPr>
  </w:style>
  <w:style w:type="character" w:customStyle="1" w:styleId="Heading2Char">
    <w:name w:val="Heading 2 Char"/>
    <w:uiPriority w:val="9"/>
    <w:basedOn w:val="DefaultParagraphFont"/>
    <w:link w:val="Heading2"/>
    <w:semiHidden/>
    <w:rPr>
      <w:lang w:eastAsia="en-US"/>
      <w:rFonts w:ascii="Calibri" w:hAnsi="Calibri" w:cs="Calibri"/>
      <w:b/>
      <w:sz w:val="24"/>
      <w:kern w:val="0"/>
    </w:rPr>
  </w:style>
  <w:style w:type="character" w:customStyle="1" w:styleId="Heading3Char">
    <w:name w:val="Heading 3 Char"/>
    <w:uiPriority w:val="9"/>
    <w:basedOn w:val="DefaultParagraphFont"/>
    <w:link w:val="Heading3"/>
    <w:semiHidden/>
    <w:rPr>
      <w:lang w:eastAsia="en-US"/>
      <w:rFonts w:ascii="Cambria" w:eastAsia="Cambria" w:hAnsi="Cambria" w:cs="Cambria"/>
      <w:b/>
      <w:color w:val="4F81BD"/>
      <w:sz w:val="24"/>
      <w:kern w:val="0"/>
    </w:rPr>
  </w:style>
  <w:style w:type="character" w:customStyle="1" w:styleId="Heading4Char">
    <w:name w:val="Heading 4 Char"/>
    <w:uiPriority w:val="9"/>
    <w:basedOn w:val="DefaultParagraphFont"/>
    <w:link w:val="Heading4"/>
    <w:semiHidden/>
    <w:rPr>
      <w:lang w:eastAsia="en-US"/>
      <w:rFonts w:ascii="Calibri" w:hAnsi="Calibri" w:cs="Calibri"/>
      <w:b/>
      <w:sz w:val="24"/>
      <w:kern w:val="0"/>
    </w:rPr>
  </w:style>
  <w:style w:type="character" w:customStyle="1" w:styleId="Heading5Char">
    <w:name w:val="Heading 5 Char"/>
    <w:uiPriority w:val="9"/>
    <w:basedOn w:val="DefaultParagraphFont"/>
    <w:link w:val="Heading5"/>
    <w:semiHidden/>
    <w:rPr>
      <w:lang w:eastAsia="en-US"/>
      <w:rFonts w:ascii="Calibri" w:hAnsi="Calibri" w:cs="Calibri"/>
      <w:b/>
      <w:szCs w:val="22"/>
      <w:kern w:val="0"/>
    </w:rPr>
  </w:style>
  <w:style w:type="character" w:customStyle="1" w:styleId="Heading6Char">
    <w:name w:val="Heading 6 Char"/>
    <w:uiPriority w:val="9"/>
    <w:basedOn w:val="DefaultParagraphFont"/>
    <w:link w:val="Heading6"/>
    <w:semiHidden/>
    <w:rPr>
      <w:lang w:eastAsia="en-US"/>
      <w:rFonts w:ascii="Calibri" w:hAnsi="Calibri" w:cs="Calibri"/>
      <w:b/>
      <w:sz w:val="20"/>
      <w:szCs w:val="20"/>
      <w:kern w:val="0"/>
    </w:rPr>
  </w:style>
  <w:style w:type="character" w:customStyle="1" w:styleId="Heading7Char">
    <w:name w:val="Heading 7 Char"/>
    <w:uiPriority w:val="9"/>
    <w:basedOn w:val="DefaultParagraphFont"/>
    <w:link w:val="Heading7"/>
    <w:semiHidden/>
    <w:rPr>
      <w:rFonts w:asciiTheme="majorHAnsi" w:eastAsiaTheme="majorEastAsia" w:hAnsiTheme="majorHAnsi" w:cstheme="majorBidi"/>
      <w:color w:val="000000"/>
    </w:rPr>
  </w:style>
  <w:style w:type="character" w:customStyle="1" w:styleId="Heading8Char">
    <w:name w:val="Heading 8 Char"/>
    <w:uiPriority w:val="9"/>
    <w:basedOn w:val="DefaultParagraphFont"/>
    <w:link w:val="Heading8"/>
    <w:semiHidden/>
    <w:rPr>
      <w:rFonts w:asciiTheme="majorHAnsi" w:eastAsiaTheme="majorEastAsia" w:hAnsiTheme="majorHAnsi" w:cstheme="majorBidi"/>
      <w:color w:val="000000"/>
    </w:rPr>
  </w:style>
  <w:style w:type="character" w:customStyle="1" w:styleId="Heading9Char">
    <w:name w:val="Heading 9 Char"/>
    <w:uiPriority w:val="9"/>
    <w:basedOn w:val="DefaultParagraphFont"/>
    <w:link w:val="Heading9"/>
    <w:semiHidden/>
    <w:rPr>
      <w:rFonts w:asciiTheme="majorHAnsi" w:eastAsiaTheme="majorEastAsia" w:hAnsiTheme="majorHAnsi" w:cstheme="majorBidi"/>
      <w:color w:val="000000"/>
    </w:rPr>
  </w:style>
  <w:style w:type="paragraph" w:styleId="Title">
    <w:name w:val="Title"/>
    <w:uiPriority w:val="10"/>
    <w:basedOn w:val="Normal"/>
    <w:next w:val="Normal"/>
    <w:link w:val="TitleChar"/>
    <w:qFormat/>
    <w:pPr>
      <w:keepNext/>
      <w:keepLines/>
      <w:spacing w:after="120" w:before="480"/>
    </w:pPr>
    <w:rPr>
      <w:b/>
      <w:sz w:val="72"/>
      <w:szCs w:val="72"/>
    </w:rPr>
  </w:style>
  <w:style w:type="character" w:customStyle="1" w:styleId="TitleChar">
    <w:name w:val="Title Char"/>
    <w:uiPriority w:val="10"/>
    <w:basedOn w:val="DefaultParagraphFont"/>
    <w:link w:val="Title"/>
    <w:rPr>
      <w:lang w:eastAsia="en-US"/>
      <w:rFonts w:ascii="Calibri" w:hAnsi="Calibri" w:cs="Calibri"/>
      <w:b/>
      <w:sz w:val="72"/>
      <w:szCs w:val="72"/>
      <w:kern w:val="0"/>
    </w:rPr>
  </w:style>
  <w:style w:type="paragraph" w:styleId="Subtitle">
    <w:name w:val="Subtitle"/>
    <w:uiPriority w:val="11"/>
    <w:basedOn w:val="Normal"/>
    <w:next w:val="Normal"/>
    <w:link w:val="SubtitleChar"/>
    <w:qFormat/>
    <w:pPr>
      <w:keepNext/>
      <w:keepLines/>
      <w:spacing w:after="80" w:before="360"/>
    </w:pPr>
    <w:rPr>
      <w:rFonts w:ascii="Georgia" w:eastAsia="Georgia" w:hAnsi="Georgia" w:cs="Georgia"/>
      <w:i/>
      <w:color w:val="666666"/>
      <w:sz w:val="48"/>
      <w:szCs w:val="48"/>
    </w:rPr>
  </w:style>
  <w:style w:type="character" w:customStyle="1" w:styleId="SubtitleChar">
    <w:name w:val="Subtitle Char"/>
    <w:uiPriority w:val="11"/>
    <w:basedOn w:val="DefaultParagraphFont"/>
    <w:link w:val="Subtitle"/>
    <w:rPr>
      <w:lang w:eastAsia="en-US"/>
      <w:rFonts w:ascii="Georgia" w:eastAsia="Georgia" w:hAnsi="Georgia" w:cs="Georgia"/>
      <w:i/>
      <w:color w:val="666666"/>
      <w:sz w:val="48"/>
      <w:szCs w:val="48"/>
      <w:kern w:val="0"/>
    </w:rPr>
  </w:style>
  <w:style w:type="paragraph" w:styleId="Quote">
    <w:name w:val="Quote"/>
    <w:uiPriority w:val="29"/>
    <w:basedOn w:val="Normal"/>
    <w:next w:val="Normal"/>
    <w:link w:val="QuoteChar"/>
    <w:qFormat/>
    <w:pPr>
      <w:jc w:val="center"/>
      <w:spacing w:before="160"/>
    </w:pPr>
    <w:rPr>
      <w:i/>
      <w:iCs/>
      <w:color w:val="3F3F3F"/>
    </w:rPr>
  </w:style>
  <w:style w:type="character" w:customStyle="1" w:styleId="QuoteChar">
    <w:name w:val="Quote Char"/>
    <w:uiPriority w:val="29"/>
    <w:basedOn w:val="DefaultParagraphFont"/>
    <w:link w:val="Quote"/>
    <w:rPr>
      <w:i/>
      <w:iCs/>
      <w:color w:val="3F3F3F"/>
    </w:rPr>
  </w:style>
  <w:style w:type="paragraph" w:styleId="ListParagraph">
    <w:name w:val="List Paragraph"/>
    <w:uiPriority w:val="34"/>
    <w:basedOn w:val="Normal"/>
    <w:qFormat/>
    <w:pPr>
      <w:ind w:left="720"/>
      <w:contextualSpacing/>
      <w:widowControl/>
      <w:jc w:val="left"/>
      <w:spacing w:after="200" w:line="276" w:lineRule="auto"/>
    </w:pPr>
    <w:rPr>
      <w:rFonts w:asciiTheme="minorHAnsi" w:eastAsiaTheme="minorHAnsi" w:hAnsiTheme="minorHAnsi" w:cstheme="minorBidi"/>
      <w:sz w:val="22"/>
      <w:szCs w:val="22"/>
    </w:rPr>
  </w:style>
  <w:style w:type="character" w:styleId="IntenseEmphasis">
    <w:name w:val="Intense Emphasis"/>
    <w:uiPriority w:val="21"/>
    <w:basedOn w:val="DefaultParagraphFont"/>
    <w:qFormat/>
    <w:rPr>
      <w:i/>
      <w:iCs/>
      <w:color w:val="104861"/>
    </w:rPr>
  </w:style>
  <w:style w:type="paragraph" w:styleId="IntenseQuote">
    <w:name w:val="Intense Quote"/>
    <w:uiPriority w:val="30"/>
    <w:basedOn w:val="Normal"/>
    <w:next w:val="Normal"/>
    <w:link w:val="IntenseQuoteChar"/>
    <w:qFormat/>
    <w:pPr>
      <w:ind w:left="864" w:right="864"/>
      <w:jc w:val="center"/>
      <w:pBdr>
        <w:top w:val="single" w:sz="4" w:space="10" w:color="104861" w:themeColor="accent1" w:themeShade="bf"/>
        <w:bottom w:val="single" w:sz="4" w:space="10" w:color="104861" w:themeColor="accent1" w:themeShade="bf"/>
      </w:pBdr>
      <w:spacing w:after="360" w:before="360"/>
    </w:pPr>
    <w:rPr>
      <w:i/>
      <w:iCs/>
      <w:color w:val="104861"/>
    </w:rPr>
  </w:style>
  <w:style w:type="character" w:customStyle="1" w:styleId="IntenseQuoteChar">
    <w:name w:val="Intense Quote Char"/>
    <w:uiPriority w:val="30"/>
    <w:basedOn w:val="DefaultParagraphFont"/>
    <w:link w:val="IntenseQuote"/>
    <w:rPr>
      <w:i/>
      <w:iCs/>
      <w:color w:val="104861"/>
    </w:rPr>
  </w:style>
  <w:style w:type="character" w:styleId="IntenseReference">
    <w:name w:val="Intense Reference"/>
    <w:uiPriority w:val="32"/>
    <w:basedOn w:val="DefaultParagraphFont"/>
    <w:qFormat/>
    <w:rPr>
      <w:b/>
      <w:bCs/>
      <w:smallCaps/>
      <w:color w:val="104861"/>
      <w:spacing w:val="5"/>
    </w:rPr>
  </w:style>
  <w:style w:type="character" w:styleId="Hyperlink">
    <w:name w:val="Hyperlink"/>
    <w:uiPriority w:val="99"/>
    <w:basedOn w:val="DefaultParagraphFont"/>
    <w:unhideWhenUsed/>
    <w:rPr>
      <w:color w:val="467886"/>
      <w:u w:val="single" w:color="auto"/>
    </w:rPr>
  </w:style>
  <w:style w:type="character" w:customStyle="1" w:styleId="1">
    <w:name w:val="확인되지 않은 멘션1"/>
    <w:uiPriority w:val="99"/>
    <w:basedOn w:val="DefaultParagraphFont"/>
    <w:semiHidden/>
    <w:unhideWhenUsed/>
    <w:rPr>
      <w:color w:val="605E5C"/>
      <w:shd w:val="clear" w:color="auto" w:fill="E1DFDD"/>
    </w:rPr>
  </w:style>
  <w:style w:type="paragraph" w:styleId="Footer">
    <w:name w:val="footer"/>
    <w:uiPriority w:val="99"/>
    <w:basedOn w:val="Normal"/>
    <w:link w:val="FooterChar"/>
    <w:unhideWhenUsed/>
    <w:pPr>
      <w:tabs>
        <w:tab w:val="center" w:pos="4680"/>
        <w:tab w:val="right" w:pos="9360"/>
      </w:tabs>
    </w:pPr>
  </w:style>
  <w:style w:type="character" w:customStyle="1" w:styleId="FooterChar">
    <w:name w:val="Footer Char"/>
    <w:uiPriority w:val="99"/>
    <w:basedOn w:val="DefaultParagraphFont"/>
    <w:link w:val="Footer"/>
    <w:rPr>
      <w:lang w:eastAsia="en-US"/>
      <w:rFonts w:ascii="Calibri" w:hAnsi="Calibri" w:cs="Calibri"/>
      <w:sz w:val="24"/>
      <w:kern w:val="0"/>
    </w:rPr>
  </w:style>
  <w:style w:type="paragraph" w:customStyle="1" w:styleId="10">
    <w:name w:val="수정1"/>
    <w:uiPriority w:val="99"/>
    <w:hidden/>
    <w:semiHidden/>
    <w:pPr>
      <w:spacing w:after="0"/>
    </w:pPr>
    <w:rPr>
      <w:lang w:eastAsia="en-US"/>
      <w:rFonts w:ascii="Calibri" w:hAnsi="Calibri" w:cs="Calibri"/>
      <w:sz w:val="24"/>
      <w:kern w:val="0"/>
    </w:rPr>
  </w:style>
  <w:style w:type="character" w:styleId="FollowedHyperlink">
    <w:name w:val="FollowedHyperlink"/>
    <w:uiPriority w:val="99"/>
    <w:basedOn w:val="DefaultParagraphFont"/>
    <w:semiHidden/>
    <w:unhideWhenUsed/>
    <w:rPr>
      <w:color w:val="96607D"/>
      <w:u w:val="single" w:color="auto"/>
    </w:rPr>
  </w:style>
  <w:style w:type="character" w:styleId="LineNumber">
    <w:name w:val="line number"/>
    <w:uiPriority w:val="99"/>
    <w:basedOn w:val="DefaultParagraphFont"/>
    <w:semiHidden/>
    <w:unhideWhenUsed/>
  </w:style>
  <w:style w:type="character" w:styleId="CommentReference">
    <w:name w:val="annotation reference"/>
    <w:uiPriority w:val="99"/>
    <w:basedOn w:val="DefaultParagraphFont"/>
    <w:semiHidden/>
    <w:unhideWhenUsed/>
    <w:rPr>
      <w:sz w:val="16"/>
      <w:szCs w:val="16"/>
    </w:rPr>
  </w:style>
  <w:style w:type="paragraph" w:styleId="CommentText">
    <w:name w:val="annotation text"/>
    <w:uiPriority w:val="99"/>
    <w:basedOn w:val="Normal"/>
    <w:link w:val="CommentTextChar"/>
    <w:unhideWhenUsed/>
    <w:rPr>
      <w:sz w:val="20"/>
      <w:szCs w:val="20"/>
    </w:rPr>
  </w:style>
  <w:style w:type="character" w:customStyle="1" w:styleId="CommentTextChar">
    <w:name w:val="Comment Text Char"/>
    <w:uiPriority w:val="99"/>
    <w:basedOn w:val="DefaultParagraphFont"/>
    <w:link w:val="CommentText"/>
    <w:rPr>
      <w:lang w:eastAsia="en-US"/>
      <w:rFonts w:ascii="Calibri" w:hAnsi="Calibri" w:cs="Calibri"/>
      <w:sz w:val="20"/>
      <w:szCs w:val="20"/>
      <w:kern w:val="0"/>
    </w:rPr>
  </w:style>
  <w:style w:type="paragraph" w:styleId="CommentSubject">
    <w:name w:val="annotation subject"/>
    <w:uiPriority w:val="99"/>
    <w:basedOn w:val="CommentText"/>
    <w:next w:val="CommentText"/>
    <w:link w:val="CommentSubjectChar"/>
    <w:semiHidden/>
    <w:unhideWhenUsed/>
    <w:rPr>
      <w:b/>
      <w:bCs/>
    </w:rPr>
  </w:style>
  <w:style w:type="character" w:customStyle="1" w:styleId="CommentSubjectChar">
    <w:name w:val="Comment Subject Char"/>
    <w:uiPriority w:val="99"/>
    <w:basedOn w:val="CommentTextChar"/>
    <w:link w:val="CommentSubject"/>
    <w:semiHidden/>
    <w:rPr>
      <w:lang w:eastAsia="en-US"/>
      <w:rFonts w:ascii="Calibri" w:hAnsi="Calibri" w:cs="Calibri"/>
      <w:b/>
      <w:bCs/>
      <w:sz w:val="20"/>
      <w:szCs w:val="20"/>
      <w:kern w:val="0"/>
    </w:rPr>
  </w:style>
  <w:style w:type="character" w:customStyle="1" w:styleId="cf01">
    <w:name w:val="cf01"/>
    <w:basedOn w:val="DefaultParagraphFont"/>
    <w:rPr>
      <w:rFonts w:ascii="Segoe UI" w:hAnsi="Segoe UI" w:cs="Segoe UI" w:hint="default"/>
      <w:sz w:val="18"/>
      <w:szCs w:val="18"/>
    </w:rPr>
  </w:style>
  <w:style w:type="paragraph" w:customStyle="1" w:styleId="EndNoteBibliographyTitle">
    <w:name w:val="EndNote Bibliography Title"/>
    <w:basedOn w:val="Normal"/>
    <w:link w:val="EndNoteBibliographyTitleChar"/>
    <w:pPr>
      <w:jc w:val="center"/>
    </w:pPr>
    <w:rPr>
      <w:noProof/>
    </w:rPr>
  </w:style>
  <w:style w:type="character" w:customStyle="1" w:styleId="EndNoteBibliographyTitleChar">
    <w:name w:val="EndNote Bibliography Title Char"/>
    <w:basedOn w:val="DefaultParagraphFont"/>
    <w:link w:val="EndNoteBibliographyTitle"/>
    <w:rPr>
      <w:lang w:eastAsia="en-US"/>
      <w:rFonts w:ascii="Calibri" w:hAnsi="Calibri" w:cs="Calibri"/>
      <w:noProof/>
      <w:sz w:val="24"/>
      <w:kern w:val="0"/>
    </w:rPr>
  </w:style>
  <w:style w:type="paragraph" w:customStyle="1" w:styleId="EndNoteBibliography">
    <w:name w:val="EndNote Bibliography"/>
    <w:basedOn w:val="Normal"/>
    <w:link w:val="EndNoteBibliographyChar"/>
    <w:rPr>
      <w:noProof/>
    </w:rPr>
  </w:style>
  <w:style w:type="character" w:customStyle="1" w:styleId="EndNoteBibliographyChar">
    <w:name w:val="EndNote Bibliography Char"/>
    <w:basedOn w:val="DefaultParagraphFont"/>
    <w:link w:val="EndNoteBibliography"/>
    <w:rPr>
      <w:lang w:eastAsia="en-US"/>
      <w:rFonts w:ascii="Calibri" w:hAnsi="Calibri" w:cs="Calibri"/>
      <w:noProof/>
      <w:sz w:val="24"/>
      <w:kern w:val="0"/>
    </w:rPr>
  </w:style>
  <w:style w:type="paragraph" w:styleId="BalloonText">
    <w:name w:val="Balloon Text"/>
    <w:uiPriority w:val="99"/>
    <w:basedOn w:val="Normal"/>
    <w:link w:val="BalloonTextChar"/>
    <w:unhideWhenUsed/>
    <w:rPr>
      <w:rFonts w:asciiTheme="majorHAnsi" w:eastAsiaTheme="majorEastAsia" w:hAnsiTheme="majorHAnsi" w:cstheme="majorBidi"/>
      <w:sz w:val="18"/>
      <w:szCs w:val="18"/>
    </w:rPr>
  </w:style>
  <w:style w:type="character" w:customStyle="1" w:styleId="BalloonTextChar">
    <w:name w:val="Balloon Text Char"/>
    <w:uiPriority w:val="99"/>
    <w:basedOn w:val="DefaultParagraphFont"/>
    <w:link w:val="BalloonText"/>
    <w:rPr>
      <w:rFonts w:asciiTheme="majorHAnsi" w:eastAsiaTheme="majorEastAsia" w:hAnsiTheme="majorHAnsi" w:cstheme="majorBidi"/>
      <w:sz w:val="18"/>
      <w:szCs w:val="18"/>
    </w:rPr>
  </w:style>
  <w:style w:type="paragraph" w:customStyle="1" w:styleId="Revision">
    <w:name w:val="Revision"/>
    <w:uiPriority w:val="99"/>
    <w:hidden/>
    <w:semiHidden/>
    <w:pPr>
      <w:spacing w:after="0"/>
    </w:pPr>
    <w:rPr>
      <w:lang w:eastAsia="en-US"/>
      <w:rFonts w:ascii="Calibri" w:hAnsi="Calibri" w:cs="Calibri"/>
      <w:sz w:val="24"/>
      <w:kern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header" Target="header1.xml" /><Relationship Id="rId2" Type="http://schemas.openxmlformats.org/officeDocument/2006/relationships/header" Target="header2.xml" /><Relationship Id="rId3" Type="http://schemas.openxmlformats.org/officeDocument/2006/relationships/header" Target="header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styles" Target="styles.xml" /><Relationship Id="rId7" Type="http://schemas.openxmlformats.org/officeDocument/2006/relationships/settings" Target="settings.xml" /><Relationship Id="rId8" Type="http://schemas.openxmlformats.org/officeDocument/2006/relationships/fontTable" Target="fontTable.xml" /><Relationship Id="rId9" Type="http://schemas.openxmlformats.org/officeDocument/2006/relationships/webSettings" Target="webSettings.xml" /><Relationship Id="rId10" Type="http://schemas.openxmlformats.org/officeDocument/2006/relationships/numbering" Target="numbering.xml" /><Relationship Id="rId11" Type="http://schemas.openxmlformats.org/officeDocument/2006/relationships/theme" Target="theme/theme1.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Mymr" typeface="Myanmar Text"/>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Mymr" typeface="Myanmar Text"/>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12700" cap="flat" cmpd="sng" algn="ctr">
          <a:solidFill>
            <a:schemeClr val="phClr"/>
          </a:solidFill>
          <a:prstDash val="solid"/>
        </a:ln>
        <a:ln w="1905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Word</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진료원장</dc:creator>
  <cp:keywords/>
  <dc:description/>
  <cp:lastModifiedBy>진료원장</cp:lastModifiedBy>
  <cp:revision>1</cp:revision>
  <dcterms:created xsi:type="dcterms:W3CDTF">2026-05-13T08:11:00Z</dcterms:created>
  <dcterms:modified xsi:type="dcterms:W3CDTF">2026-05-14T23:27:31Z</dcterms:modified>
  <cp:version>1200.0100.01</cp:version>
</cp:coreProperties>
</file>