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2885ABA8" w:rsidR="006E4797" w:rsidRPr="002166FE" w:rsidRDefault="00FC3F55" w:rsidP="002166FE">
      <w:pPr>
        <w:pBdr>
          <w:top w:val="nil"/>
          <w:left w:val="nil"/>
          <w:bottom w:val="nil"/>
          <w:right w:val="nil"/>
          <w:between w:val="nil"/>
        </w:pBdr>
      </w:pPr>
      <w:r w:rsidRPr="002166FE">
        <w:rPr>
          <w:b/>
        </w:rPr>
        <w:t>TITLE:</w:t>
      </w:r>
      <w:r w:rsidRPr="002166FE">
        <w:t xml:space="preserve"> </w:t>
      </w:r>
    </w:p>
    <w:p w14:paraId="2119F61B" w14:textId="526D47C9" w:rsidR="008763B9" w:rsidRPr="002166FE" w:rsidRDefault="00FC3F55" w:rsidP="002166FE">
      <w:pPr>
        <w:contextualSpacing/>
      </w:pPr>
      <w:r w:rsidRPr="002166FE">
        <w:t xml:space="preserve">Visualization and quantification of intermolecular RNA base pairing in </w:t>
      </w:r>
      <w:r w:rsidRPr="002166FE">
        <w:rPr>
          <w:i/>
          <w:iCs/>
        </w:rPr>
        <w:t>in vitro</w:t>
      </w:r>
      <w:r w:rsidRPr="002166FE">
        <w:t xml:space="preserve"> RNA clusters using split Broccoli RNA reporters</w:t>
      </w:r>
    </w:p>
    <w:p w14:paraId="06C0C87E" w14:textId="77777777" w:rsidR="006E4797" w:rsidRPr="002166FE" w:rsidRDefault="006E4797" w:rsidP="002166FE">
      <w:pPr>
        <w:rPr>
          <w:b/>
        </w:rPr>
      </w:pPr>
    </w:p>
    <w:p w14:paraId="2CD8481E" w14:textId="1ED6A976" w:rsidR="006E4797" w:rsidRPr="002166FE" w:rsidRDefault="00FC3F55" w:rsidP="002166FE">
      <w:r w:rsidRPr="002166FE">
        <w:rPr>
          <w:b/>
        </w:rPr>
        <w:t xml:space="preserve">AUTHORS AND AFFILIATIONS: </w:t>
      </w:r>
    </w:p>
    <w:p w14:paraId="784BF1F9" w14:textId="77777777" w:rsidR="00C8048F" w:rsidRPr="002166FE" w:rsidRDefault="00FC3F55" w:rsidP="002166FE">
      <w:pPr>
        <w:contextualSpacing/>
        <w:rPr>
          <w:bCs/>
        </w:rPr>
      </w:pPr>
      <w:r w:rsidRPr="002166FE">
        <w:rPr>
          <w:bCs/>
        </w:rPr>
        <w:t>Siran Tian</w:t>
      </w:r>
      <w:r w:rsidRPr="002166FE">
        <w:rPr>
          <w:bCs/>
          <w:vertAlign w:val="superscript"/>
        </w:rPr>
        <w:t>1</w:t>
      </w:r>
      <w:r w:rsidRPr="002166FE">
        <w:rPr>
          <w:bCs/>
        </w:rPr>
        <w:t>, Tatjana Trcek</w:t>
      </w:r>
      <w:r w:rsidRPr="002166FE">
        <w:rPr>
          <w:bCs/>
          <w:vertAlign w:val="superscript"/>
        </w:rPr>
        <w:t>1</w:t>
      </w:r>
      <w:r w:rsidRPr="002166FE">
        <w:rPr>
          <w:bCs/>
        </w:rPr>
        <w:t>*</w:t>
      </w:r>
    </w:p>
    <w:p w14:paraId="148EDFD6" w14:textId="77777777" w:rsidR="00C8048F" w:rsidRPr="002166FE" w:rsidRDefault="00C8048F" w:rsidP="002166FE">
      <w:pPr>
        <w:contextualSpacing/>
      </w:pPr>
    </w:p>
    <w:p w14:paraId="482DCA51" w14:textId="06E6143A" w:rsidR="00C8048F" w:rsidRPr="002166FE" w:rsidRDefault="00FC3F55" w:rsidP="002166FE">
      <w:pPr>
        <w:pStyle w:val="ListParagraph"/>
        <w:spacing w:after="0" w:line="240" w:lineRule="auto"/>
        <w:ind w:left="0"/>
        <w:rPr>
          <w:rFonts w:ascii="Calibri" w:hAnsi="Calibri" w:cs="Calibri"/>
          <w:sz w:val="24"/>
          <w:szCs w:val="24"/>
        </w:rPr>
      </w:pPr>
      <w:r w:rsidRPr="002166FE">
        <w:rPr>
          <w:rFonts w:ascii="Calibri" w:hAnsi="Calibri" w:cs="Calibri"/>
          <w:sz w:val="24"/>
          <w:szCs w:val="24"/>
          <w:vertAlign w:val="superscript"/>
        </w:rPr>
        <w:t>1</w:t>
      </w:r>
      <w:r w:rsidRPr="002166FE">
        <w:rPr>
          <w:rFonts w:ascii="Calibri" w:hAnsi="Calibri" w:cs="Calibri"/>
          <w:sz w:val="24"/>
          <w:szCs w:val="24"/>
        </w:rPr>
        <w:t xml:space="preserve">Department of Biology, Johns Hopkins University, 3400 N. Charles Street, Baltimore, MD 21218, USA </w:t>
      </w:r>
    </w:p>
    <w:p w14:paraId="1FB75A66" w14:textId="77777777" w:rsidR="00C8048F" w:rsidRPr="002166FE" w:rsidRDefault="00C8048F" w:rsidP="002166FE">
      <w:pPr>
        <w:contextualSpacing/>
      </w:pPr>
    </w:p>
    <w:p w14:paraId="52AB3252" w14:textId="77777777" w:rsidR="00373F16" w:rsidRPr="006B3CD7" w:rsidRDefault="00FC3F55" w:rsidP="002166FE">
      <w:pPr>
        <w:contextualSpacing/>
        <w:rPr>
          <w:b/>
          <w:bCs/>
        </w:rPr>
      </w:pPr>
      <w:r w:rsidRPr="006B3CD7">
        <w:rPr>
          <w:b/>
          <w:bCs/>
        </w:rPr>
        <w:t xml:space="preserve">Email address of the co-author: </w:t>
      </w:r>
    </w:p>
    <w:p w14:paraId="388702F4" w14:textId="4B0AE701" w:rsidR="00373F16" w:rsidRPr="002166FE" w:rsidRDefault="00FC3F55" w:rsidP="002166FE">
      <w:r w:rsidRPr="002166FE">
        <w:t>Siran Tian</w:t>
      </w:r>
      <w:r w:rsidRPr="002166FE">
        <w:tab/>
      </w:r>
      <w:r w:rsidRPr="002166FE">
        <w:tab/>
      </w:r>
      <w:r w:rsidRPr="002166FE">
        <w:tab/>
        <w:t>siran.tian@jhu.edu</w:t>
      </w:r>
    </w:p>
    <w:p w14:paraId="0B370785" w14:textId="77777777" w:rsidR="00373F16" w:rsidRPr="002166FE" w:rsidRDefault="00373F16" w:rsidP="002166FE">
      <w:pPr>
        <w:contextualSpacing/>
      </w:pPr>
    </w:p>
    <w:p w14:paraId="3F76C0BA" w14:textId="6BF93676" w:rsidR="00373F16" w:rsidRPr="006B3CD7" w:rsidRDefault="00FC3F55" w:rsidP="002166FE">
      <w:pPr>
        <w:contextualSpacing/>
        <w:rPr>
          <w:b/>
          <w:bCs/>
        </w:rPr>
      </w:pPr>
      <w:r w:rsidRPr="006B3CD7">
        <w:rPr>
          <w:b/>
          <w:bCs/>
        </w:rPr>
        <w:t xml:space="preserve">*Email address of the corresponding author: </w:t>
      </w:r>
    </w:p>
    <w:p w14:paraId="5813ADC8" w14:textId="7C7740CE" w:rsidR="00C8048F" w:rsidRPr="002166FE" w:rsidRDefault="00FC3F55" w:rsidP="002166FE">
      <w:pPr>
        <w:contextualSpacing/>
        <w:rPr>
          <w:b/>
        </w:rPr>
      </w:pPr>
      <w:r w:rsidRPr="002166FE">
        <w:t>Tatjana Trcek</w:t>
      </w:r>
      <w:r w:rsidRPr="002166FE">
        <w:tab/>
      </w:r>
      <w:r w:rsidRPr="002166FE">
        <w:tab/>
      </w:r>
      <w:r w:rsidRPr="002166FE">
        <w:tab/>
        <w:t>ttrcekp1@jhu.edu</w:t>
      </w:r>
    </w:p>
    <w:p w14:paraId="450C6577" w14:textId="77777777" w:rsidR="00373F16" w:rsidRPr="002166FE" w:rsidRDefault="00373F16" w:rsidP="002166FE"/>
    <w:p w14:paraId="60F3B8D4" w14:textId="147419BF" w:rsidR="006E4797" w:rsidRPr="002166FE" w:rsidRDefault="00FC3F55" w:rsidP="002166FE">
      <w:r w:rsidRPr="002166FE">
        <w:rPr>
          <w:b/>
        </w:rPr>
        <w:t>SUMMARY:</w:t>
      </w:r>
    </w:p>
    <w:p w14:paraId="4684D5C9" w14:textId="0975DC4D" w:rsidR="00C8048F" w:rsidRPr="002166FE" w:rsidRDefault="00FC3F55" w:rsidP="002166FE">
      <w:pPr>
        <w:rPr>
          <w:rFonts w:eastAsia="Times New Roman"/>
        </w:rPr>
      </w:pPr>
      <w:r w:rsidRPr="002166FE">
        <w:rPr>
          <w:rFonts w:eastAsia="Times New Roman"/>
        </w:rPr>
        <w:t xml:space="preserve">This protocol describes a visual assay using split Broccoli RNA reporters to detect and quantify intermolecular base pairing in RNA clusters </w:t>
      </w:r>
      <w:r w:rsidRPr="0076406B">
        <w:rPr>
          <w:rFonts w:eastAsia="Times New Roman"/>
          <w:i/>
          <w:iCs/>
        </w:rPr>
        <w:t>in vitro</w:t>
      </w:r>
      <w:r w:rsidRPr="002166FE">
        <w:rPr>
          <w:rFonts w:eastAsia="Times New Roman"/>
        </w:rPr>
        <w:t>.</w:t>
      </w:r>
    </w:p>
    <w:p w14:paraId="1856DA23" w14:textId="77777777" w:rsidR="004F7F40" w:rsidRPr="002166FE" w:rsidRDefault="004F7F40" w:rsidP="002166FE"/>
    <w:p w14:paraId="1C16A0F9" w14:textId="77777777" w:rsidR="003F5389" w:rsidRPr="002166FE" w:rsidRDefault="00FC3F55" w:rsidP="002166FE">
      <w:pPr>
        <w:rPr>
          <w:b/>
        </w:rPr>
      </w:pPr>
      <w:r w:rsidRPr="002166FE">
        <w:rPr>
          <w:b/>
        </w:rPr>
        <w:t>ABSTRACT:</w:t>
      </w:r>
    </w:p>
    <w:p w14:paraId="19B05CF9" w14:textId="4BAF381B" w:rsidR="000E7793" w:rsidRPr="000E7793" w:rsidRDefault="000E7793" w:rsidP="000E7793">
      <w:r w:rsidRPr="000E7793">
        <w:t xml:space="preserve">RNA clustering, driven by multivalent intermolecular RNA–RNA interactions, can occur </w:t>
      </w:r>
      <w:r w:rsidRPr="000E7793">
        <w:rPr>
          <w:i/>
          <w:iCs/>
        </w:rPr>
        <w:t>in vitro</w:t>
      </w:r>
      <w:r w:rsidRPr="000E7793">
        <w:t xml:space="preserve"> in the absence of proteins. While chemical probing and computational simulations have been used to predict these interactions, methods for directly assessing intermolecular base pairing in RNA clusters remain limited. This study presents a visual assay based on split Broccoli RNA reporters conjugated to fluorescently labeled RNAs of interest. The assay enables </w:t>
      </w:r>
      <w:r w:rsidR="00D24FDA">
        <w:t xml:space="preserve">the </w:t>
      </w:r>
      <w:r w:rsidRPr="000E7793">
        <w:t>detection and quantification of intermolecular base pairing in RNA clusters.</w:t>
      </w:r>
      <w:r>
        <w:t xml:space="preserve"> </w:t>
      </w:r>
      <w:r w:rsidRPr="000E7793">
        <w:t xml:space="preserve">The split Broccoli system contains complementary reporter sequences that dimerize to form the Broccoli RNA aptamer. The resulting dimerized RNA structure binds DFHBI-1T, a fluorophore that emits green fluorescence upon binding. Upon RNA clustering, the appearance of green fluorescence reports base pairing mediated by the complementary reporter sequences among the RNAs of interest. Measurement of DFHBI-1T fluorescence enables quantitative assessment of how </w:t>
      </w:r>
      <w:r w:rsidRPr="000E7793">
        <w:rPr>
          <w:i/>
          <w:iCs/>
        </w:rPr>
        <w:t>in vitro</w:t>
      </w:r>
      <w:r w:rsidRPr="000E7793">
        <w:t xml:space="preserve"> RNA clustering conditions influence intermolecular base pairing between these reporter sequences.</w:t>
      </w:r>
    </w:p>
    <w:p w14:paraId="3D710A59" w14:textId="77777777" w:rsidR="0055253F" w:rsidRPr="002166FE" w:rsidRDefault="0055253F" w:rsidP="002166FE"/>
    <w:p w14:paraId="0646E204" w14:textId="64F8CED8" w:rsidR="006E4797" w:rsidRPr="002166FE" w:rsidRDefault="00FC3F55" w:rsidP="002166FE">
      <w:r w:rsidRPr="002166FE">
        <w:rPr>
          <w:b/>
        </w:rPr>
        <w:t>INTRODUCTION:</w:t>
      </w:r>
      <w:r w:rsidRPr="002166FE">
        <w:t xml:space="preserve">  </w:t>
      </w:r>
    </w:p>
    <w:p w14:paraId="5BF43E76" w14:textId="7AD329E6" w:rsidR="003F5389" w:rsidRPr="002166FE" w:rsidRDefault="00FC3F55" w:rsidP="002166FE">
      <w:r w:rsidRPr="0076406B">
        <w:rPr>
          <w:i/>
          <w:iCs/>
        </w:rPr>
        <w:t>In vitro</w:t>
      </w:r>
      <w:r w:rsidRPr="002166FE">
        <w:rPr>
          <w:i/>
          <w:iCs/>
        </w:rPr>
        <w:t xml:space="preserve"> </w:t>
      </w:r>
      <w:r w:rsidRPr="002166FE">
        <w:t>transcribed RNAs can self-assemble into visible clusters upon the addition of salts and molecular crowding reagents</w:t>
      </w:r>
      <w:r w:rsidRPr="002166FE">
        <w:rPr>
          <w:vertAlign w:val="superscript"/>
        </w:rPr>
        <w:t>1–5</w:t>
      </w:r>
      <w:r w:rsidRPr="002166FE">
        <w:t xml:space="preserve">. Notably, these RNA clusters can form in the absence of other cellular components, including proteins, indicating that under specific conditions, intermolecular RNA–RNA interactions are sufficient to drive RNA condensation </w:t>
      </w:r>
      <w:r w:rsidRPr="0076406B">
        <w:rPr>
          <w:i/>
          <w:iCs/>
        </w:rPr>
        <w:t>in vitro</w:t>
      </w:r>
      <w:r w:rsidRPr="002166FE">
        <w:t>.</w:t>
      </w:r>
    </w:p>
    <w:p w14:paraId="416EA2CF" w14:textId="77777777" w:rsidR="003F5389" w:rsidRPr="002166FE" w:rsidRDefault="003F5389" w:rsidP="002166FE"/>
    <w:p w14:paraId="440D0E55" w14:textId="655C9DFF" w:rsidR="003F5389" w:rsidRPr="002166FE" w:rsidRDefault="00FC3F55" w:rsidP="002166FE">
      <w:r w:rsidRPr="002166FE">
        <w:t>Among the various types of intermolecular RNA–RNA interactions, intermolecular base pairing has received substantial attention in the condensate field</w:t>
      </w:r>
      <w:r w:rsidRPr="002166FE">
        <w:rPr>
          <w:vertAlign w:val="superscript"/>
        </w:rPr>
        <w:t>1,2,4,6</w:t>
      </w:r>
      <w:r w:rsidR="00562A12" w:rsidRPr="002166FE">
        <w:rPr>
          <w:vertAlign w:val="superscript"/>
        </w:rPr>
        <w:t>–</w:t>
      </w:r>
      <w:r w:rsidRPr="002166FE">
        <w:rPr>
          <w:vertAlign w:val="superscript"/>
        </w:rPr>
        <w:t>10</w:t>
      </w:r>
      <w:r w:rsidRPr="002166FE">
        <w:t>. These interactions can be driven by exposed complementary sequences (“</w:t>
      </w:r>
      <w:proofErr w:type="spellStart"/>
      <w:r w:rsidRPr="002166FE">
        <w:t>zipcodes</w:t>
      </w:r>
      <w:proofErr w:type="spellEnd"/>
      <w:r w:rsidRPr="002166FE">
        <w:t xml:space="preserve">”) between transcripts, as demonstrated by co-clustering of </w:t>
      </w:r>
      <w:r w:rsidRPr="002166FE">
        <w:rPr>
          <w:i/>
          <w:iCs/>
        </w:rPr>
        <w:t>BNI1</w:t>
      </w:r>
      <w:r w:rsidRPr="002166FE">
        <w:t xml:space="preserve"> and </w:t>
      </w:r>
      <w:r w:rsidRPr="002166FE">
        <w:rPr>
          <w:i/>
          <w:iCs/>
        </w:rPr>
        <w:t>SPA2</w:t>
      </w:r>
      <w:r w:rsidRPr="002166FE">
        <w:t xml:space="preserve"> mRNAs in the filamentous fungus </w:t>
      </w:r>
      <w:proofErr w:type="spellStart"/>
      <w:r w:rsidRPr="002166FE">
        <w:rPr>
          <w:i/>
          <w:iCs/>
        </w:rPr>
        <w:t>Ashbya</w:t>
      </w:r>
      <w:proofErr w:type="spellEnd"/>
      <w:r w:rsidRPr="002166FE">
        <w:rPr>
          <w:i/>
          <w:iCs/>
        </w:rPr>
        <w:t xml:space="preserve"> gossypii</w:t>
      </w:r>
      <w:r w:rsidRPr="002166FE">
        <w:rPr>
          <w:vertAlign w:val="superscript"/>
        </w:rPr>
        <w:t>2</w:t>
      </w:r>
      <w:r w:rsidRPr="002166FE">
        <w:t xml:space="preserve"> or </w:t>
      </w:r>
      <w:r w:rsidRPr="002166FE">
        <w:lastRenderedPageBreak/>
        <w:t xml:space="preserve">oligomerization of </w:t>
      </w:r>
      <w:proofErr w:type="spellStart"/>
      <w:r w:rsidRPr="002166FE">
        <w:rPr>
          <w:i/>
          <w:iCs/>
        </w:rPr>
        <w:t>oskar</w:t>
      </w:r>
      <w:proofErr w:type="spellEnd"/>
      <w:r w:rsidRPr="002166FE">
        <w:t xml:space="preserve"> mRNA in </w:t>
      </w:r>
      <w:r w:rsidRPr="002166FE">
        <w:rPr>
          <w:i/>
          <w:iCs/>
        </w:rPr>
        <w:t>Drosophila melanogaste</w:t>
      </w:r>
      <w:r w:rsidR="00562A12" w:rsidRPr="002166FE">
        <w:rPr>
          <w:i/>
          <w:iCs/>
        </w:rPr>
        <w:t xml:space="preserve">r </w:t>
      </w:r>
      <w:r w:rsidRPr="002166FE">
        <w:rPr>
          <w:vertAlign w:val="superscript"/>
        </w:rPr>
        <w:t>6,7</w:t>
      </w:r>
      <w:r w:rsidRPr="002166FE">
        <w:t xml:space="preserve">. Alternatively, intermolecular base pairing can be promoted by remodeling of RNA secondary structures, exposing complementary sequences that are otherwise structurally embedded. This mechanism has been observed in repeat RNAs </w:t>
      </w:r>
      <w:r w:rsidRPr="001D5A94">
        <w:rPr>
          <w:i/>
          <w:iCs/>
        </w:rPr>
        <w:t>in silico</w:t>
      </w:r>
      <w:r w:rsidRPr="002166FE">
        <w:rPr>
          <w:vertAlign w:val="superscript"/>
        </w:rPr>
        <w:t>9</w:t>
      </w:r>
      <w:r w:rsidRPr="002166FE">
        <w:t xml:space="preserve"> and guanidine riboswitches </w:t>
      </w:r>
      <w:r w:rsidRPr="0076406B">
        <w:rPr>
          <w:i/>
          <w:iCs/>
        </w:rPr>
        <w:t>in vitro</w:t>
      </w:r>
      <w:r w:rsidRPr="002166FE">
        <w:rPr>
          <w:vertAlign w:val="superscript"/>
        </w:rPr>
        <w:t>10</w:t>
      </w:r>
      <w:r w:rsidRPr="002166FE">
        <w:t>. Both exposed complementary sequences and RNA structural remodeling can be measured using chemical probing</w:t>
      </w:r>
      <w:r w:rsidRPr="002166FE">
        <w:rPr>
          <w:vertAlign w:val="superscript"/>
        </w:rPr>
        <w:t>11,12</w:t>
      </w:r>
      <w:r w:rsidRPr="002166FE">
        <w:t xml:space="preserve"> or simulation approaches</w:t>
      </w:r>
      <w:r w:rsidRPr="002166FE">
        <w:rPr>
          <w:vertAlign w:val="superscript"/>
        </w:rPr>
        <w:t>4,9,13,14</w:t>
      </w:r>
      <w:r w:rsidRPr="002166FE">
        <w:t xml:space="preserve">. However, methods that directly visualize intermolecular base pairing in </w:t>
      </w:r>
      <w:r w:rsidRPr="0076406B">
        <w:rPr>
          <w:i/>
          <w:iCs/>
        </w:rPr>
        <w:t>in vitro</w:t>
      </w:r>
      <w:r w:rsidRPr="002166FE">
        <w:t xml:space="preserve"> RNA clustering assays remain limited.</w:t>
      </w:r>
    </w:p>
    <w:p w14:paraId="67E92B64" w14:textId="77777777" w:rsidR="00E95FEC" w:rsidRPr="002166FE" w:rsidRDefault="00E95FEC" w:rsidP="002166FE"/>
    <w:p w14:paraId="43EBA813" w14:textId="7083F31B" w:rsidR="003F5389" w:rsidRPr="002166FE" w:rsidRDefault="00FC3F55" w:rsidP="002166FE">
      <w:r w:rsidRPr="002166FE">
        <w:t>RNA pull-down assays using base-pairing crosslinkers</w:t>
      </w:r>
      <w:r w:rsidRPr="002166FE">
        <w:rPr>
          <w:vertAlign w:val="superscript"/>
        </w:rPr>
        <w:t>15</w:t>
      </w:r>
      <w:r w:rsidR="00E95FEC" w:rsidRPr="002166FE">
        <w:rPr>
          <w:vertAlign w:val="superscript"/>
        </w:rPr>
        <w:t>–</w:t>
      </w:r>
      <w:r w:rsidRPr="002166FE">
        <w:rPr>
          <w:vertAlign w:val="superscript"/>
        </w:rPr>
        <w:t xml:space="preserve">17 </w:t>
      </w:r>
      <w:r w:rsidRPr="002166FE">
        <w:t>and gel electrophoresis</w:t>
      </w:r>
      <w:r w:rsidRPr="002166FE">
        <w:rPr>
          <w:vertAlign w:val="superscript"/>
        </w:rPr>
        <w:t xml:space="preserve">4,6,7 </w:t>
      </w:r>
      <w:r w:rsidRPr="002166FE">
        <w:t xml:space="preserve">are commonly used to study intermolecular RNA base pairing </w:t>
      </w:r>
      <w:r w:rsidRPr="0076406B">
        <w:rPr>
          <w:i/>
          <w:iCs/>
        </w:rPr>
        <w:t>in vitro</w:t>
      </w:r>
      <w:r w:rsidRPr="002166FE">
        <w:t xml:space="preserve">. However, these methods lack the spatial resolution </w:t>
      </w:r>
      <w:r w:rsidR="00E95FEC" w:rsidRPr="002166FE">
        <w:t xml:space="preserve">to distinguish base pairing within clusters from that outside </w:t>
      </w:r>
      <w:r w:rsidRPr="002166FE">
        <w:t>them. Moreover, isolating RNA clusters for downstream analysis is technically challenging, as it requires preservation of cluster stability while ensuring buffer compatibility with subsequent assays.</w:t>
      </w:r>
    </w:p>
    <w:p w14:paraId="35B7D43A" w14:textId="77777777" w:rsidR="00E95FEC" w:rsidRPr="002166FE" w:rsidRDefault="00E95FEC" w:rsidP="002166FE"/>
    <w:p w14:paraId="429BA889" w14:textId="49F239D5" w:rsidR="003F5389" w:rsidRPr="002166FE" w:rsidRDefault="00FC3F55" w:rsidP="002166FE">
      <w:r w:rsidRPr="002166FE">
        <w:t>A visual assay based on split Broccoli RNA reporters</w:t>
      </w:r>
      <w:r w:rsidRPr="002166FE">
        <w:rPr>
          <w:vertAlign w:val="superscript"/>
        </w:rPr>
        <w:t>18</w:t>
      </w:r>
      <w:r w:rsidRPr="002166FE">
        <w:t xml:space="preserve"> conjugated to fluorescently labeled RNAs of interest has previously been employed to enable direct detection of intermolecular base pairing during RNA condensation </w:t>
      </w:r>
      <w:r w:rsidRPr="0076406B">
        <w:rPr>
          <w:i/>
          <w:iCs/>
        </w:rPr>
        <w:t>in vitro</w:t>
      </w:r>
      <w:r w:rsidRPr="002166FE">
        <w:rPr>
          <w:vertAlign w:val="superscript"/>
        </w:rPr>
        <w:t>4</w:t>
      </w:r>
      <w:r w:rsidRPr="002166FE">
        <w:t xml:space="preserve">. In this context, the split Broccoli system reports on the likelihood of intermolecular interactions between </w:t>
      </w:r>
      <w:r w:rsidR="00E95FEC" w:rsidRPr="002166FE">
        <w:t>reporters or between RNAs carrying them</w:t>
      </w:r>
      <w:r w:rsidRPr="002166FE">
        <w:t xml:space="preserve"> under defined </w:t>
      </w:r>
      <w:r w:rsidRPr="0076406B">
        <w:rPr>
          <w:i/>
          <w:iCs/>
        </w:rPr>
        <w:t>in vitro</w:t>
      </w:r>
      <w:r w:rsidRPr="002166FE">
        <w:t xml:space="preserve"> clustering conditions. Thus, the assay probes how sequence context and environmental factors influence the propensity for intermolecular base pairing within an RNA cluster-like environment.</w:t>
      </w:r>
    </w:p>
    <w:p w14:paraId="02A74EDF" w14:textId="77777777" w:rsidR="00E95FEC" w:rsidRPr="002166FE" w:rsidRDefault="00E95FEC" w:rsidP="002166FE"/>
    <w:p w14:paraId="689D5C1F" w14:textId="51FFB6D3" w:rsidR="003F5389" w:rsidRPr="002166FE" w:rsidRDefault="00FC3F55" w:rsidP="002166FE">
      <w:r w:rsidRPr="002166FE">
        <w:t xml:space="preserve">The split Broccoli system consists of two complementary RNA sequences, </w:t>
      </w:r>
      <w:r w:rsidRPr="002166FE">
        <w:rPr>
          <w:i/>
          <w:iCs/>
        </w:rPr>
        <w:t>top</w:t>
      </w:r>
      <w:r w:rsidRPr="002166FE">
        <w:t xml:space="preserve"> and</w:t>
      </w:r>
      <w:r w:rsidRPr="002166FE">
        <w:rPr>
          <w:i/>
          <w:iCs/>
        </w:rPr>
        <w:t xml:space="preserve"> bottom</w:t>
      </w:r>
      <w:r w:rsidRPr="002166FE">
        <w:t>, that dimerize to reconstitute the Broccoli RNA aptamer (</w:t>
      </w:r>
      <w:r w:rsidRPr="002166FE">
        <w:rPr>
          <w:b/>
          <w:bCs/>
        </w:rPr>
        <w:t>Figures 1A–C</w:t>
      </w:r>
      <w:r w:rsidRPr="002166FE">
        <w:t>)</w:t>
      </w:r>
      <w:r w:rsidRPr="002166FE">
        <w:rPr>
          <w:vertAlign w:val="superscript"/>
        </w:rPr>
        <w:t>18</w:t>
      </w:r>
      <w:r w:rsidRPr="002166FE">
        <w:t>. Upon dimerization, the aptamer binds the fluorophore DFHBI-1T, resulting in green fluorescence (</w:t>
      </w:r>
      <w:r w:rsidRPr="002166FE">
        <w:rPr>
          <w:b/>
          <w:bCs/>
        </w:rPr>
        <w:t>Figures 1A–C</w:t>
      </w:r>
      <w:r w:rsidRPr="002166FE">
        <w:t>)</w:t>
      </w:r>
      <w:r w:rsidRPr="002166FE">
        <w:rPr>
          <w:vertAlign w:val="superscript"/>
        </w:rPr>
        <w:t>18</w:t>
      </w:r>
      <w:r w:rsidRPr="002166FE">
        <w:t xml:space="preserve">. Using this system, the extent of intermolecular base pairing between reporter complementary sequences within RNA clusters is shown to depend on RNA folding. By comparing the ratio of DFHBI-1T fluorescence to RNA levels across different experimental conditions, the influence of </w:t>
      </w:r>
      <w:r w:rsidRPr="0076406B">
        <w:rPr>
          <w:i/>
          <w:iCs/>
        </w:rPr>
        <w:t>in vitro</w:t>
      </w:r>
      <w:r w:rsidRPr="002166FE">
        <w:t xml:space="preserve"> conditions on reporter-mediated intermolecular base pairing within RNA clusters can be quantitatively assessed.</w:t>
      </w:r>
    </w:p>
    <w:p w14:paraId="35BDD751" w14:textId="77777777" w:rsidR="00E95FEC" w:rsidRPr="002166FE" w:rsidRDefault="00E95FEC" w:rsidP="002166FE"/>
    <w:p w14:paraId="77E3EE9F" w14:textId="77777777" w:rsidR="003F5389" w:rsidRPr="002166FE" w:rsidRDefault="00FC3F55" w:rsidP="002166FE">
      <w:r w:rsidRPr="002166FE">
        <w:t xml:space="preserve">This assay complements RNA pull-down and gel electrophoresis approaches for studying intermolecular base pairing in RNA clusters. However, robust signal detection may require molecular crowding reagents, and sensitivity is limited by the efficiency of dimerization and folding of the split Broccoli </w:t>
      </w:r>
      <w:r w:rsidRPr="002166FE">
        <w:rPr>
          <w:i/>
          <w:iCs/>
        </w:rPr>
        <w:t>top</w:t>
      </w:r>
      <w:r w:rsidRPr="002166FE">
        <w:t xml:space="preserve"> and </w:t>
      </w:r>
      <w:r w:rsidRPr="002166FE">
        <w:rPr>
          <w:i/>
          <w:iCs/>
        </w:rPr>
        <w:t>bottom</w:t>
      </w:r>
      <w:r w:rsidRPr="002166FE">
        <w:t xml:space="preserve"> RNAs.</w:t>
      </w:r>
    </w:p>
    <w:p w14:paraId="48BA6B0A" w14:textId="77777777" w:rsidR="006E4797" w:rsidRPr="002166FE" w:rsidRDefault="006E4797" w:rsidP="002166FE">
      <w:pPr>
        <w:rPr>
          <w:b/>
        </w:rPr>
      </w:pPr>
    </w:p>
    <w:p w14:paraId="32A92E82" w14:textId="1FC2FEAD" w:rsidR="006E4797" w:rsidRPr="002166FE" w:rsidRDefault="00FC3F55" w:rsidP="002166FE">
      <w:r w:rsidRPr="002166FE">
        <w:rPr>
          <w:b/>
        </w:rPr>
        <w:t>PROTOCOL:</w:t>
      </w:r>
      <w:r w:rsidRPr="002166FE">
        <w:t xml:space="preserve"> </w:t>
      </w:r>
    </w:p>
    <w:p w14:paraId="58E6097A" w14:textId="77777777" w:rsidR="002E70CF" w:rsidRPr="002166FE" w:rsidRDefault="002E70CF" w:rsidP="002166FE"/>
    <w:p w14:paraId="0A1A0A7F" w14:textId="3725A124" w:rsidR="002E70CF" w:rsidRPr="002166FE" w:rsidRDefault="00FC3F55" w:rsidP="002166FE">
      <w:r w:rsidRPr="002166FE">
        <w:t xml:space="preserve">This protocol provides a step-by-step method for implementing this assay and discusses its applications. The reagents and equipment used are listed in the </w:t>
      </w:r>
      <w:r w:rsidRPr="002166FE">
        <w:rPr>
          <w:b/>
          <w:bCs/>
        </w:rPr>
        <w:t>Table of Materials</w:t>
      </w:r>
      <w:r w:rsidRPr="002166FE">
        <w:t>.</w:t>
      </w:r>
    </w:p>
    <w:p w14:paraId="0C7EFEA5" w14:textId="77777777" w:rsidR="002E70CF" w:rsidRPr="002166FE" w:rsidRDefault="002E70CF" w:rsidP="002166FE"/>
    <w:p w14:paraId="0F216F12" w14:textId="77777777" w:rsidR="004B6ABA" w:rsidRPr="002166FE" w:rsidRDefault="00FC3F55" w:rsidP="002166FE">
      <w:pPr>
        <w:pStyle w:val="ListParagraph"/>
        <w:spacing w:after="0" w:line="240" w:lineRule="auto"/>
        <w:ind w:left="0"/>
        <w:jc w:val="both"/>
        <w:rPr>
          <w:rFonts w:ascii="Calibri" w:hAnsi="Calibri" w:cs="Calibri"/>
          <w:b/>
          <w:bCs/>
          <w:sz w:val="24"/>
          <w:szCs w:val="24"/>
        </w:rPr>
      </w:pPr>
      <w:r w:rsidRPr="002166FE">
        <w:rPr>
          <w:rFonts w:ascii="Calibri" w:hAnsi="Calibri" w:cs="Calibri"/>
          <w:b/>
          <w:bCs/>
          <w:sz w:val="24"/>
          <w:szCs w:val="24"/>
        </w:rPr>
        <w:t xml:space="preserve">1. Preparation of DNA templates for </w:t>
      </w:r>
      <w:r w:rsidRPr="0076406B">
        <w:rPr>
          <w:rFonts w:ascii="Calibri" w:hAnsi="Calibri" w:cs="Calibri"/>
          <w:b/>
          <w:bCs/>
          <w:i/>
          <w:iCs/>
          <w:sz w:val="24"/>
          <w:szCs w:val="24"/>
        </w:rPr>
        <w:t>in vitro</w:t>
      </w:r>
      <w:r w:rsidRPr="002166FE">
        <w:rPr>
          <w:rFonts w:ascii="Calibri" w:hAnsi="Calibri" w:cs="Calibri"/>
          <w:b/>
          <w:bCs/>
          <w:sz w:val="24"/>
          <w:szCs w:val="24"/>
        </w:rPr>
        <w:t xml:space="preserve"> RNA transcription</w:t>
      </w:r>
    </w:p>
    <w:p w14:paraId="10AEC9CD" w14:textId="77777777" w:rsidR="004B6ABA" w:rsidRPr="002166FE" w:rsidRDefault="004B6ABA" w:rsidP="002166FE">
      <w:pPr>
        <w:pStyle w:val="ListParagraph"/>
        <w:spacing w:after="0" w:line="240" w:lineRule="auto"/>
        <w:jc w:val="both"/>
        <w:rPr>
          <w:rFonts w:ascii="Calibri" w:hAnsi="Calibri" w:cs="Calibri"/>
          <w:b/>
          <w:bCs/>
          <w:sz w:val="24"/>
          <w:szCs w:val="24"/>
        </w:rPr>
      </w:pPr>
    </w:p>
    <w:p w14:paraId="0FD21CB7"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lastRenderedPageBreak/>
        <w:t>1.1 Append a T7 promoter sequence to the 5′ end of each DNA template containing the split Broccoli aptamer sequences for in vitro RNA transcription. Use the split Broccoli aptamer sequences (top and bottom) alone or insert them at any position downstream of the T7 promoter, with or without an additional RNA sequence of interest.</w:t>
      </w:r>
    </w:p>
    <w:p w14:paraId="0AA4460A" w14:textId="77777777" w:rsidR="00E54F23" w:rsidRPr="00E54F23" w:rsidRDefault="00E54F23" w:rsidP="00E54F23">
      <w:pPr>
        <w:pStyle w:val="ListParagraph"/>
        <w:ind w:left="0"/>
        <w:jc w:val="both"/>
        <w:rPr>
          <w:rFonts w:ascii="Calibri" w:hAnsi="Calibri" w:cs="Calibri"/>
          <w:sz w:val="24"/>
          <w:szCs w:val="24"/>
        </w:rPr>
      </w:pPr>
    </w:p>
    <w:p w14:paraId="5B1FB1E4"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b/>
          <w:bCs/>
          <w:sz w:val="24"/>
          <w:szCs w:val="24"/>
        </w:rPr>
        <w:t>NOTE:</w:t>
      </w:r>
      <w:r w:rsidRPr="00E54F23">
        <w:rPr>
          <w:rFonts w:ascii="Calibri" w:hAnsi="Calibri" w:cs="Calibri"/>
          <w:sz w:val="24"/>
          <w:szCs w:val="24"/>
        </w:rPr>
        <w:t xml:space="preserve"> The sequences for the T7 promoter, split Broccoli reporters, and primers used to amplify the DNA templates are listed in </w:t>
      </w:r>
      <w:r w:rsidRPr="00E54F23">
        <w:rPr>
          <w:rFonts w:ascii="Calibri" w:hAnsi="Calibri" w:cs="Calibri"/>
          <w:b/>
          <w:bCs/>
          <w:sz w:val="24"/>
          <w:szCs w:val="24"/>
        </w:rPr>
        <w:t>Table 1</w:t>
      </w:r>
      <w:r w:rsidRPr="00E54F23">
        <w:rPr>
          <w:rFonts w:ascii="Calibri" w:hAnsi="Calibri" w:cs="Calibri"/>
          <w:sz w:val="24"/>
          <w:szCs w:val="24"/>
        </w:rPr>
        <w:t>.</w:t>
      </w:r>
    </w:p>
    <w:p w14:paraId="69F863DF" w14:textId="77777777" w:rsidR="00E54F23" w:rsidRPr="00E54F23" w:rsidRDefault="00E54F23" w:rsidP="00E54F23">
      <w:pPr>
        <w:pStyle w:val="ListParagraph"/>
        <w:ind w:left="0"/>
        <w:jc w:val="both"/>
        <w:rPr>
          <w:rFonts w:ascii="Calibri" w:hAnsi="Calibri" w:cs="Calibri"/>
          <w:sz w:val="24"/>
          <w:szCs w:val="24"/>
        </w:rPr>
      </w:pPr>
    </w:p>
    <w:p w14:paraId="791C5F5D"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b/>
          <w:bCs/>
          <w:sz w:val="24"/>
          <w:szCs w:val="24"/>
        </w:rPr>
        <w:t>NOTE:</w:t>
      </w:r>
      <w:r w:rsidRPr="00E54F23">
        <w:rPr>
          <w:rFonts w:ascii="Calibri" w:hAnsi="Calibri" w:cs="Calibri"/>
          <w:sz w:val="24"/>
          <w:szCs w:val="24"/>
        </w:rPr>
        <w:t xml:space="preserve"> T7 RNA polymerase strongly prefers to initiate transcription with a “G” at the +1 position. The presence of additional Gs immediately downstream at the +2 and +3 positions can increase transcription yield¹⁹. However, when the downstream sequence begins with G, as in the top and bottom constructs that begin with two Gs, transcription can initiate at different positions²⁰. As a result, transcripts may carry one, two, or three Gs at the 5′ end (e.g., GATCC, GGATCC, or GGGATCC), which may affect the interpretation of base pairing in the designed constructs.</w:t>
      </w:r>
    </w:p>
    <w:p w14:paraId="50836E91" w14:textId="77777777" w:rsidR="00E54F23" w:rsidRPr="00E54F23" w:rsidRDefault="00E54F23" w:rsidP="00E54F23">
      <w:pPr>
        <w:pStyle w:val="ListParagraph"/>
        <w:ind w:left="0"/>
        <w:jc w:val="both"/>
        <w:rPr>
          <w:rFonts w:ascii="Calibri" w:hAnsi="Calibri" w:cs="Calibri"/>
          <w:sz w:val="24"/>
          <w:szCs w:val="24"/>
        </w:rPr>
      </w:pPr>
    </w:p>
    <w:p w14:paraId="5D358D36"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1.2 Use commercially synthesized gene blocks, plasmids, or DNA fragments as templates for PCR. If the original template does not contain a T7 promoter, use a forward primer with a 5′ T7 promoter overhang together with the appropriate reverse primer.</w:t>
      </w:r>
    </w:p>
    <w:p w14:paraId="6A7736F8" w14:textId="77777777" w:rsidR="00E54F23" w:rsidRPr="00E54F23" w:rsidRDefault="00E54F23" w:rsidP="00E54F23">
      <w:pPr>
        <w:pStyle w:val="ListParagraph"/>
        <w:ind w:left="0"/>
        <w:jc w:val="both"/>
        <w:rPr>
          <w:rFonts w:ascii="Calibri" w:hAnsi="Calibri" w:cs="Calibri"/>
          <w:sz w:val="24"/>
          <w:szCs w:val="24"/>
        </w:rPr>
      </w:pPr>
    </w:p>
    <w:p w14:paraId="7A84A693"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 xml:space="preserve">1.3 Prepare a 50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PCR reaction in a 200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PCR tube containing 2.5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each of 10 </w:t>
      </w:r>
      <w:proofErr w:type="spellStart"/>
      <w:r w:rsidRPr="00E54F23">
        <w:rPr>
          <w:rFonts w:ascii="Calibri" w:hAnsi="Calibri" w:cs="Calibri"/>
          <w:sz w:val="24"/>
          <w:szCs w:val="24"/>
        </w:rPr>
        <w:t>μM</w:t>
      </w:r>
      <w:proofErr w:type="spellEnd"/>
      <w:r w:rsidRPr="00E54F23">
        <w:rPr>
          <w:rFonts w:ascii="Calibri" w:hAnsi="Calibri" w:cs="Calibri"/>
          <w:sz w:val="24"/>
          <w:szCs w:val="24"/>
        </w:rPr>
        <w:t xml:space="preserve"> forward and reverse primers, 20 ng DNA template, 25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2× high-fidelity master mix, and nuclease-free water. Mix thoroughly by pipetting up and down and centrifuge at 2,000 </w:t>
      </w:r>
      <w:r w:rsidRPr="00E54F23">
        <w:rPr>
          <w:rFonts w:ascii="Calibri" w:hAnsi="Calibri" w:cs="Calibri"/>
          <w:i/>
          <w:iCs/>
          <w:sz w:val="24"/>
          <w:szCs w:val="24"/>
        </w:rPr>
        <w:t>× g</w:t>
      </w:r>
      <w:r w:rsidRPr="00E54F23">
        <w:rPr>
          <w:rFonts w:ascii="Calibri" w:hAnsi="Calibri" w:cs="Calibri"/>
          <w:sz w:val="24"/>
          <w:szCs w:val="24"/>
        </w:rPr>
        <w:t xml:space="preserve"> for 2 s.</w:t>
      </w:r>
    </w:p>
    <w:p w14:paraId="4DF7577A" w14:textId="77777777" w:rsidR="00E54F23" w:rsidRPr="00E54F23" w:rsidRDefault="00E54F23" w:rsidP="00E54F23">
      <w:pPr>
        <w:pStyle w:val="ListParagraph"/>
        <w:ind w:left="0"/>
        <w:jc w:val="both"/>
        <w:rPr>
          <w:rFonts w:ascii="Calibri" w:hAnsi="Calibri" w:cs="Calibri"/>
          <w:sz w:val="24"/>
          <w:szCs w:val="24"/>
        </w:rPr>
      </w:pPr>
    </w:p>
    <w:p w14:paraId="24E3C9C0"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1.4 Run the PCR reaction in a thermal cycler using the following program: 98 °C for 30 s (1 cycle); 98 °C for 10 s, optimized annealing temperature for 30 s, and 72 °C for 30 s per kilobase (35 cycles); 72 °C for 2 min (1 cycle).</w:t>
      </w:r>
    </w:p>
    <w:p w14:paraId="51BF89D7" w14:textId="77777777" w:rsidR="00E54F23" w:rsidRPr="00E54F23" w:rsidRDefault="00E54F23" w:rsidP="00E54F23">
      <w:pPr>
        <w:pStyle w:val="ListParagraph"/>
        <w:ind w:left="0"/>
        <w:jc w:val="both"/>
        <w:rPr>
          <w:rFonts w:ascii="Calibri" w:hAnsi="Calibri" w:cs="Calibri"/>
          <w:sz w:val="24"/>
          <w:szCs w:val="24"/>
        </w:rPr>
      </w:pPr>
    </w:p>
    <w:p w14:paraId="3C17D4B2"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b/>
          <w:bCs/>
          <w:sz w:val="24"/>
          <w:szCs w:val="24"/>
        </w:rPr>
        <w:t>NOTE:</w:t>
      </w:r>
      <w:r w:rsidRPr="00E54F23">
        <w:rPr>
          <w:rFonts w:ascii="Calibri" w:hAnsi="Calibri" w:cs="Calibri"/>
          <w:sz w:val="24"/>
          <w:szCs w:val="24"/>
        </w:rPr>
        <w:t xml:space="preserve"> Determine the optimized annealing temperature using an online tool such as a Tm calculator. PCR products may be stored at 4 °C after completion.</w:t>
      </w:r>
    </w:p>
    <w:p w14:paraId="79479776" w14:textId="77777777" w:rsidR="00E54F23" w:rsidRPr="00E54F23" w:rsidRDefault="00E54F23" w:rsidP="00E54F23">
      <w:pPr>
        <w:pStyle w:val="ListParagraph"/>
        <w:ind w:left="0"/>
        <w:jc w:val="both"/>
        <w:rPr>
          <w:rFonts w:ascii="Calibri" w:hAnsi="Calibri" w:cs="Calibri"/>
          <w:sz w:val="24"/>
          <w:szCs w:val="24"/>
        </w:rPr>
      </w:pPr>
    </w:p>
    <w:p w14:paraId="4A8A9229"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 xml:space="preserve">1.5 Mix 2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PCR product with 8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nuclease-free water and 2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6× loading dye. Load the mixture onto a 1% agarose gel for electrophoresis.</w:t>
      </w:r>
    </w:p>
    <w:p w14:paraId="41161852" w14:textId="77777777" w:rsidR="00E54F23" w:rsidRPr="00E54F23" w:rsidRDefault="00E54F23" w:rsidP="00E54F23">
      <w:pPr>
        <w:pStyle w:val="ListParagraph"/>
        <w:ind w:left="0"/>
        <w:jc w:val="both"/>
        <w:rPr>
          <w:rFonts w:ascii="Calibri" w:hAnsi="Calibri" w:cs="Calibri"/>
          <w:sz w:val="24"/>
          <w:szCs w:val="24"/>
        </w:rPr>
      </w:pPr>
    </w:p>
    <w:p w14:paraId="07AFCB13"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b/>
          <w:bCs/>
          <w:sz w:val="24"/>
          <w:szCs w:val="24"/>
        </w:rPr>
        <w:t>NOTE:</w:t>
      </w:r>
      <w:r w:rsidRPr="00E54F23">
        <w:rPr>
          <w:rFonts w:ascii="Calibri" w:hAnsi="Calibri" w:cs="Calibri"/>
          <w:sz w:val="24"/>
          <w:szCs w:val="24"/>
        </w:rPr>
        <w:t xml:space="preserve"> The PCR product should appear as a single band. If multiple bands are observed, excise the correct band and purify it using a gel extraction kit before proceeding.</w:t>
      </w:r>
    </w:p>
    <w:p w14:paraId="7E0E3DBD" w14:textId="77777777" w:rsidR="00E54F23" w:rsidRPr="00E54F23" w:rsidRDefault="00E54F23" w:rsidP="00E54F23">
      <w:pPr>
        <w:pStyle w:val="ListParagraph"/>
        <w:ind w:left="0"/>
        <w:jc w:val="both"/>
        <w:rPr>
          <w:rFonts w:ascii="Calibri" w:hAnsi="Calibri" w:cs="Calibri"/>
          <w:sz w:val="24"/>
          <w:szCs w:val="24"/>
        </w:rPr>
      </w:pPr>
    </w:p>
    <w:p w14:paraId="03637174"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 xml:space="preserve">1.6 Purify the PCR product or gel-extracted DNA using a DNA purification kit and elute in 20–30 </w:t>
      </w:r>
      <w:proofErr w:type="spellStart"/>
      <w:r w:rsidRPr="00E54F23">
        <w:rPr>
          <w:rFonts w:ascii="Calibri" w:hAnsi="Calibri" w:cs="Calibri"/>
          <w:sz w:val="24"/>
          <w:szCs w:val="24"/>
        </w:rPr>
        <w:t>μL</w:t>
      </w:r>
      <w:proofErr w:type="spellEnd"/>
      <w:r w:rsidRPr="00E54F23">
        <w:rPr>
          <w:rFonts w:ascii="Calibri" w:hAnsi="Calibri" w:cs="Calibri"/>
          <w:sz w:val="24"/>
          <w:szCs w:val="24"/>
        </w:rPr>
        <w:t xml:space="preserve"> nuclease-free water into a 1.5 mL microcentrifuge tube.</w:t>
      </w:r>
    </w:p>
    <w:p w14:paraId="190410F0" w14:textId="77777777" w:rsidR="00E54F23" w:rsidRPr="00E54F23" w:rsidRDefault="00E54F23" w:rsidP="00E54F23">
      <w:pPr>
        <w:pStyle w:val="ListParagraph"/>
        <w:ind w:left="0"/>
        <w:jc w:val="both"/>
        <w:rPr>
          <w:rFonts w:ascii="Calibri" w:hAnsi="Calibri" w:cs="Calibri"/>
          <w:sz w:val="24"/>
          <w:szCs w:val="24"/>
        </w:rPr>
      </w:pPr>
    </w:p>
    <w:p w14:paraId="4C0A7797"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sz w:val="24"/>
          <w:szCs w:val="24"/>
        </w:rPr>
        <w:t>1.7 Measure DNA concentration and purity using a microvolume spectrophotometer. Ensure that A260/A280 is approximately 1.8 and A260/A230 is greater than 2.0.</w:t>
      </w:r>
    </w:p>
    <w:p w14:paraId="489AC2BB" w14:textId="77777777" w:rsidR="00E54F23" w:rsidRPr="00E54F23" w:rsidRDefault="00E54F23" w:rsidP="00E54F23">
      <w:pPr>
        <w:pStyle w:val="ListParagraph"/>
        <w:ind w:left="0"/>
        <w:jc w:val="both"/>
        <w:rPr>
          <w:rFonts w:ascii="Calibri" w:hAnsi="Calibri" w:cs="Calibri"/>
          <w:sz w:val="24"/>
          <w:szCs w:val="24"/>
        </w:rPr>
      </w:pPr>
    </w:p>
    <w:p w14:paraId="742D68D5" w14:textId="77777777" w:rsidR="00E54F23" w:rsidRPr="00E54F23" w:rsidRDefault="00E54F23" w:rsidP="00E54F23">
      <w:pPr>
        <w:pStyle w:val="ListParagraph"/>
        <w:ind w:left="0"/>
        <w:jc w:val="both"/>
        <w:rPr>
          <w:rFonts w:ascii="Calibri" w:hAnsi="Calibri" w:cs="Calibri"/>
          <w:sz w:val="24"/>
          <w:szCs w:val="24"/>
        </w:rPr>
      </w:pPr>
      <w:r w:rsidRPr="00E54F23">
        <w:rPr>
          <w:rFonts w:ascii="Calibri" w:hAnsi="Calibri" w:cs="Calibri"/>
          <w:b/>
          <w:bCs/>
          <w:sz w:val="24"/>
          <w:szCs w:val="24"/>
        </w:rPr>
        <w:t>NOTE:</w:t>
      </w:r>
      <w:r w:rsidRPr="00E54F23">
        <w:rPr>
          <w:rFonts w:ascii="Calibri" w:hAnsi="Calibri" w:cs="Calibri"/>
          <w:sz w:val="24"/>
          <w:szCs w:val="24"/>
        </w:rPr>
        <w:t xml:space="preserve"> If A260/A230 is below 2.0, perform an additional purification step.</w:t>
      </w:r>
    </w:p>
    <w:p w14:paraId="0D1B989C" w14:textId="77777777" w:rsidR="00E54F23" w:rsidRPr="00E54F23" w:rsidRDefault="00E54F23" w:rsidP="00E54F23">
      <w:pPr>
        <w:pStyle w:val="ListParagraph"/>
        <w:ind w:left="0"/>
        <w:jc w:val="both"/>
        <w:rPr>
          <w:rFonts w:ascii="Calibri" w:hAnsi="Calibri" w:cs="Calibri"/>
          <w:sz w:val="24"/>
          <w:szCs w:val="24"/>
        </w:rPr>
      </w:pPr>
    </w:p>
    <w:p w14:paraId="2E26F3A0" w14:textId="76BA5B6E" w:rsidR="00FA0D6B" w:rsidRDefault="00E54F23" w:rsidP="00E54F23">
      <w:pPr>
        <w:pStyle w:val="ListParagraph"/>
        <w:spacing w:after="0" w:line="240" w:lineRule="auto"/>
        <w:ind w:left="0"/>
        <w:jc w:val="both"/>
        <w:rPr>
          <w:rFonts w:ascii="Calibri" w:eastAsia="Times New Roman" w:hAnsi="Calibri" w:cs="Calibri"/>
          <w:sz w:val="24"/>
          <w:szCs w:val="24"/>
        </w:rPr>
      </w:pPr>
      <w:r w:rsidRPr="00E54F23">
        <w:rPr>
          <w:rFonts w:ascii="Calibri" w:hAnsi="Calibri" w:cs="Calibri"/>
          <w:sz w:val="24"/>
          <w:szCs w:val="24"/>
        </w:rPr>
        <w:t>1.8 Store the DNA template at −20 °C until use.</w:t>
      </w:r>
      <w:r w:rsidR="00FC3F55" w:rsidRPr="002166FE">
        <w:rPr>
          <w:rFonts w:ascii="Calibri" w:eastAsia="Times New Roman" w:hAnsi="Calibri" w:cs="Calibri"/>
          <w:sz w:val="24"/>
          <w:szCs w:val="24"/>
        </w:rPr>
        <w:t xml:space="preserve"> </w:t>
      </w:r>
    </w:p>
    <w:p w14:paraId="09118114" w14:textId="77777777" w:rsidR="00E54F23" w:rsidRPr="002166FE" w:rsidRDefault="00E54F23" w:rsidP="00E54F23">
      <w:pPr>
        <w:pStyle w:val="ListParagraph"/>
        <w:spacing w:after="0" w:line="240" w:lineRule="auto"/>
        <w:ind w:left="0"/>
        <w:jc w:val="both"/>
        <w:rPr>
          <w:rFonts w:ascii="Calibri" w:hAnsi="Calibri" w:cs="Calibri"/>
          <w:sz w:val="24"/>
          <w:szCs w:val="24"/>
        </w:rPr>
      </w:pPr>
    </w:p>
    <w:p w14:paraId="1F45E5AC" w14:textId="2D990A19" w:rsidR="008F0645" w:rsidRPr="00153467" w:rsidRDefault="00FC3F55" w:rsidP="002166FE">
      <w:pPr>
        <w:rPr>
          <w:rFonts w:eastAsiaTheme="minorHAnsi"/>
          <w:b/>
          <w:bCs/>
        </w:rPr>
      </w:pPr>
      <w:r w:rsidRPr="00153467">
        <w:rPr>
          <w:rFonts w:eastAsiaTheme="minorHAnsi"/>
          <w:b/>
          <w:bCs/>
        </w:rPr>
        <w:t xml:space="preserve">2. Preparation of </w:t>
      </w:r>
      <w:r w:rsidRPr="00153467">
        <w:rPr>
          <w:rFonts w:eastAsiaTheme="minorHAnsi"/>
          <w:b/>
          <w:bCs/>
          <w:i/>
          <w:iCs/>
        </w:rPr>
        <w:t>in vitro</w:t>
      </w:r>
      <w:r w:rsidRPr="00153467">
        <w:rPr>
          <w:rFonts w:eastAsiaTheme="minorHAnsi"/>
          <w:b/>
          <w:bCs/>
        </w:rPr>
        <w:t xml:space="preserve"> RNA transcription reaction</w:t>
      </w:r>
    </w:p>
    <w:p w14:paraId="2C2EDF64" w14:textId="77777777" w:rsidR="008F0645" w:rsidRPr="00153467" w:rsidRDefault="008F0645" w:rsidP="002166FE">
      <w:pPr>
        <w:rPr>
          <w:rFonts w:eastAsiaTheme="minorHAnsi"/>
          <w:b/>
          <w:bCs/>
        </w:rPr>
      </w:pPr>
    </w:p>
    <w:p w14:paraId="61251F31" w14:textId="77777777" w:rsidR="00E54F23" w:rsidRPr="001C078C" w:rsidRDefault="00E54F23" w:rsidP="00E54F23">
      <w:pPr>
        <w:rPr>
          <w:rFonts w:eastAsiaTheme="minorHAnsi"/>
          <w:highlight w:val="yellow"/>
        </w:rPr>
      </w:pPr>
      <w:r w:rsidRPr="001C078C">
        <w:rPr>
          <w:rFonts w:eastAsiaTheme="minorHAnsi"/>
          <w:highlight w:val="yellow"/>
        </w:rPr>
        <w:t>2.1 Wipe the working surface, tube racks, and pipettes with RNase decontamination solution. Use RNase-free, filtered tips.</w:t>
      </w:r>
    </w:p>
    <w:p w14:paraId="1437D5E2" w14:textId="77777777" w:rsidR="00E54F23" w:rsidRPr="001C078C" w:rsidRDefault="00E54F23" w:rsidP="00E54F23">
      <w:pPr>
        <w:rPr>
          <w:rFonts w:eastAsiaTheme="minorHAnsi"/>
          <w:highlight w:val="yellow"/>
        </w:rPr>
      </w:pPr>
    </w:p>
    <w:p w14:paraId="682A971B" w14:textId="77777777" w:rsidR="00E54F23" w:rsidRPr="00153467" w:rsidRDefault="00E54F23" w:rsidP="00E54F23">
      <w:pPr>
        <w:rPr>
          <w:rFonts w:eastAsiaTheme="minorHAnsi"/>
        </w:rPr>
      </w:pPr>
      <w:r w:rsidRPr="001C078C">
        <w:rPr>
          <w:rFonts w:eastAsiaTheme="minorHAnsi"/>
          <w:highlight w:val="yellow"/>
        </w:rPr>
        <w:t xml:space="preserve">2.2 Thaw reaction buffer and nucleotide solutions (ATP, CTP, GTP, UTP) supplied with the T7 transcription kit, along with UTP-Cy5, on ice. Centrifuge all tubes at 2,000 </w:t>
      </w:r>
      <w:r w:rsidRPr="001C078C">
        <w:rPr>
          <w:rFonts w:eastAsiaTheme="minorHAnsi"/>
          <w:i/>
          <w:iCs/>
          <w:highlight w:val="yellow"/>
        </w:rPr>
        <w:t>× g</w:t>
      </w:r>
      <w:r w:rsidRPr="001C078C">
        <w:rPr>
          <w:rFonts w:eastAsiaTheme="minorHAnsi"/>
          <w:highlight w:val="yellow"/>
        </w:rPr>
        <w:t xml:space="preserve"> for 2 s prior to use.</w:t>
      </w:r>
    </w:p>
    <w:p w14:paraId="209B9AD2" w14:textId="77777777" w:rsidR="00123CE2" w:rsidRPr="00153467" w:rsidRDefault="00123CE2" w:rsidP="00E54F23">
      <w:pPr>
        <w:rPr>
          <w:rFonts w:eastAsiaTheme="minorHAnsi"/>
        </w:rPr>
      </w:pPr>
    </w:p>
    <w:p w14:paraId="44F3CDC3" w14:textId="067DBBD5" w:rsidR="00E54F23" w:rsidRPr="00153467" w:rsidRDefault="00E54F23" w:rsidP="00E54F23">
      <w:pPr>
        <w:rPr>
          <w:rFonts w:eastAsiaTheme="minorHAnsi"/>
        </w:rPr>
      </w:pPr>
      <w:r w:rsidRPr="00153467">
        <w:rPr>
          <w:rFonts w:eastAsiaTheme="minorHAnsi"/>
          <w:b/>
          <w:bCs/>
        </w:rPr>
        <w:t>NOTE:</w:t>
      </w:r>
      <w:r w:rsidRPr="00153467">
        <w:rPr>
          <w:rFonts w:eastAsiaTheme="minorHAnsi"/>
        </w:rPr>
        <w:t xml:space="preserve"> Protect UTP-Cy5 from light.</w:t>
      </w:r>
    </w:p>
    <w:p w14:paraId="4D6B4956" w14:textId="77777777" w:rsidR="00E54F23" w:rsidRPr="00153467" w:rsidRDefault="00E54F23" w:rsidP="00E54F23">
      <w:pPr>
        <w:rPr>
          <w:rFonts w:eastAsiaTheme="minorHAnsi"/>
        </w:rPr>
      </w:pPr>
    </w:p>
    <w:p w14:paraId="58297B58" w14:textId="77777777" w:rsidR="00E54F23" w:rsidRPr="00153467" w:rsidRDefault="00E54F23" w:rsidP="00E54F23">
      <w:pPr>
        <w:rPr>
          <w:rFonts w:eastAsiaTheme="minorHAnsi"/>
        </w:rPr>
      </w:pPr>
      <w:r w:rsidRPr="001C078C">
        <w:rPr>
          <w:rFonts w:eastAsiaTheme="minorHAnsi"/>
          <w:highlight w:val="yellow"/>
        </w:rPr>
        <w:t xml:space="preserve">2.3 Calculate the number of thymine bases in the DNA template (excluding the T7 promoter) and determine the required volumes of UTP and UTP-Cy5 for a 20 </w:t>
      </w:r>
      <w:proofErr w:type="spellStart"/>
      <w:r w:rsidRPr="001C078C">
        <w:rPr>
          <w:rFonts w:eastAsiaTheme="minorHAnsi"/>
          <w:highlight w:val="yellow"/>
        </w:rPr>
        <w:t>μL</w:t>
      </w:r>
      <w:proofErr w:type="spellEnd"/>
      <w:r w:rsidRPr="001C078C">
        <w:rPr>
          <w:rFonts w:eastAsiaTheme="minorHAnsi"/>
          <w:highlight w:val="yellow"/>
        </w:rPr>
        <w:t xml:space="preserve"> transcription reaction. Maintain consistent labeling density across RNA species.</w:t>
      </w:r>
    </w:p>
    <w:p w14:paraId="3D19560C" w14:textId="77777777" w:rsidR="00123CE2" w:rsidRPr="00153467" w:rsidRDefault="00123CE2" w:rsidP="00E54F23">
      <w:pPr>
        <w:rPr>
          <w:rFonts w:eastAsiaTheme="minorHAnsi"/>
        </w:rPr>
      </w:pPr>
    </w:p>
    <w:p w14:paraId="4A6DC013" w14:textId="77777777" w:rsidR="00E54F23" w:rsidRPr="00153467" w:rsidRDefault="00E54F23" w:rsidP="00E54F23">
      <w:pPr>
        <w:rPr>
          <w:rFonts w:eastAsiaTheme="minorHAnsi"/>
        </w:rPr>
      </w:pPr>
      <w:r w:rsidRPr="00153467">
        <w:rPr>
          <w:rFonts w:eastAsiaTheme="minorHAnsi"/>
          <w:b/>
          <w:bCs/>
        </w:rPr>
        <w:t>NOTE:</w:t>
      </w:r>
      <w:r w:rsidRPr="00153467">
        <w:rPr>
          <w:rFonts w:eastAsiaTheme="minorHAnsi"/>
        </w:rPr>
        <w:t xml:space="preserve"> For example, to label an RNA containing 100 uracil bases with approximately three Cy5-labeled </w:t>
      </w:r>
      <w:proofErr w:type="spellStart"/>
      <w:r w:rsidRPr="00153467">
        <w:rPr>
          <w:rFonts w:eastAsiaTheme="minorHAnsi"/>
        </w:rPr>
        <w:t>uracils</w:t>
      </w:r>
      <w:proofErr w:type="spellEnd"/>
      <w:r w:rsidRPr="00153467">
        <w:rPr>
          <w:rFonts w:eastAsiaTheme="minorHAnsi"/>
        </w:rPr>
        <w:t xml:space="preserve">, add 4.5 </w:t>
      </w:r>
      <w:proofErr w:type="spellStart"/>
      <w:r w:rsidRPr="00153467">
        <w:rPr>
          <w:rFonts w:eastAsiaTheme="minorHAnsi"/>
        </w:rPr>
        <w:t>μL</w:t>
      </w:r>
      <w:proofErr w:type="spellEnd"/>
      <w:r w:rsidRPr="00153467">
        <w:rPr>
          <w:rFonts w:eastAsiaTheme="minorHAnsi"/>
        </w:rPr>
        <w:t xml:space="preserve"> of 1 mM UTP-Cy5 and 1.9 </w:t>
      </w:r>
      <w:proofErr w:type="spellStart"/>
      <w:r w:rsidRPr="00153467">
        <w:rPr>
          <w:rFonts w:eastAsiaTheme="minorHAnsi"/>
        </w:rPr>
        <w:t>μL</w:t>
      </w:r>
      <w:proofErr w:type="spellEnd"/>
      <w:r w:rsidRPr="00153467">
        <w:rPr>
          <w:rFonts w:eastAsiaTheme="minorHAnsi"/>
        </w:rPr>
        <w:t xml:space="preserve"> of 75 mM UTP.</w:t>
      </w:r>
    </w:p>
    <w:p w14:paraId="3E3606E6" w14:textId="77777777" w:rsidR="00123CE2" w:rsidRPr="00153467" w:rsidRDefault="00123CE2" w:rsidP="00E54F23">
      <w:pPr>
        <w:rPr>
          <w:rFonts w:eastAsiaTheme="minorHAnsi"/>
        </w:rPr>
      </w:pPr>
    </w:p>
    <w:p w14:paraId="6F6E8253" w14:textId="77777777" w:rsidR="00E54F23" w:rsidRPr="00153467" w:rsidRDefault="00E54F23" w:rsidP="00E54F23">
      <w:pPr>
        <w:rPr>
          <w:rFonts w:eastAsiaTheme="minorHAnsi"/>
        </w:rPr>
      </w:pPr>
      <w:r w:rsidRPr="001C078C">
        <w:rPr>
          <w:rFonts w:eastAsiaTheme="minorHAnsi"/>
          <w:highlight w:val="yellow"/>
        </w:rPr>
        <w:t xml:space="preserve">2.4 Prepare a 20 </w:t>
      </w:r>
      <w:proofErr w:type="spellStart"/>
      <w:r w:rsidRPr="001C078C">
        <w:rPr>
          <w:rFonts w:eastAsiaTheme="minorHAnsi"/>
          <w:highlight w:val="yellow"/>
        </w:rPr>
        <w:t>μL</w:t>
      </w:r>
      <w:proofErr w:type="spellEnd"/>
      <w:r w:rsidRPr="001C078C">
        <w:rPr>
          <w:rFonts w:eastAsiaTheme="minorHAnsi"/>
          <w:highlight w:val="yellow"/>
        </w:rPr>
        <w:t xml:space="preserve"> transcription reaction by combining 2 </w:t>
      </w:r>
      <w:proofErr w:type="spellStart"/>
      <w:r w:rsidRPr="001C078C">
        <w:rPr>
          <w:rFonts w:eastAsiaTheme="minorHAnsi"/>
          <w:highlight w:val="yellow"/>
        </w:rPr>
        <w:t>μL</w:t>
      </w:r>
      <w:proofErr w:type="spellEnd"/>
      <w:r w:rsidRPr="001C078C">
        <w:rPr>
          <w:rFonts w:eastAsiaTheme="minorHAnsi"/>
          <w:highlight w:val="yellow"/>
        </w:rPr>
        <w:t xml:space="preserve"> each of ATP, CTP, and GTP, calculated volumes of UTP (all supplied with the kit) and UTP-Cy5, 2 </w:t>
      </w:r>
      <w:proofErr w:type="spellStart"/>
      <w:r w:rsidRPr="001C078C">
        <w:rPr>
          <w:rFonts w:eastAsiaTheme="minorHAnsi"/>
          <w:highlight w:val="yellow"/>
        </w:rPr>
        <w:t>μL</w:t>
      </w:r>
      <w:proofErr w:type="spellEnd"/>
      <w:r w:rsidRPr="001C078C">
        <w:rPr>
          <w:rFonts w:eastAsiaTheme="minorHAnsi"/>
          <w:highlight w:val="yellow"/>
        </w:rPr>
        <w:t xml:space="preserve"> 10× reaction buffer, 2 </w:t>
      </w:r>
      <w:proofErr w:type="spellStart"/>
      <w:r w:rsidRPr="001C078C">
        <w:rPr>
          <w:rFonts w:eastAsiaTheme="minorHAnsi"/>
          <w:highlight w:val="yellow"/>
        </w:rPr>
        <w:t>μL</w:t>
      </w:r>
      <w:proofErr w:type="spellEnd"/>
      <w:r w:rsidRPr="001C078C">
        <w:rPr>
          <w:rFonts w:eastAsiaTheme="minorHAnsi"/>
          <w:highlight w:val="yellow"/>
        </w:rPr>
        <w:t xml:space="preserve"> enzyme mix, 200 ng DNA template, and nuclease-free water. Mix thoroughly by pipetting up and down and centrifuge at 2,000 </w:t>
      </w:r>
      <w:r w:rsidRPr="001C078C">
        <w:rPr>
          <w:rFonts w:eastAsiaTheme="minorHAnsi"/>
          <w:i/>
          <w:iCs/>
          <w:highlight w:val="yellow"/>
        </w:rPr>
        <w:t>× g</w:t>
      </w:r>
      <w:r w:rsidRPr="001C078C">
        <w:rPr>
          <w:rFonts w:eastAsiaTheme="minorHAnsi"/>
          <w:highlight w:val="yellow"/>
        </w:rPr>
        <w:t xml:space="preserve"> for 2 s.</w:t>
      </w:r>
    </w:p>
    <w:p w14:paraId="57505910" w14:textId="77777777" w:rsidR="00123CE2" w:rsidRPr="00153467" w:rsidRDefault="00123CE2" w:rsidP="00E54F23">
      <w:pPr>
        <w:rPr>
          <w:rFonts w:eastAsiaTheme="minorHAnsi"/>
        </w:rPr>
      </w:pPr>
    </w:p>
    <w:p w14:paraId="7D8A99CB" w14:textId="77777777" w:rsidR="00E54F23" w:rsidRPr="001C078C" w:rsidRDefault="00E54F23" w:rsidP="00E54F23">
      <w:pPr>
        <w:rPr>
          <w:rFonts w:eastAsiaTheme="minorHAnsi"/>
          <w:highlight w:val="yellow"/>
        </w:rPr>
      </w:pPr>
      <w:r w:rsidRPr="001C078C">
        <w:rPr>
          <w:rFonts w:eastAsiaTheme="minorHAnsi"/>
          <w:highlight w:val="yellow"/>
        </w:rPr>
        <w:t>2.5 Incubate the reaction at 37 °C for 6 h.</w:t>
      </w:r>
    </w:p>
    <w:p w14:paraId="711BAC5B" w14:textId="77777777" w:rsidR="00123CE2" w:rsidRPr="001C078C" w:rsidRDefault="00123CE2" w:rsidP="00E54F23">
      <w:pPr>
        <w:rPr>
          <w:rFonts w:eastAsiaTheme="minorHAnsi"/>
          <w:highlight w:val="yellow"/>
        </w:rPr>
      </w:pPr>
    </w:p>
    <w:p w14:paraId="493AF376" w14:textId="77777777" w:rsidR="00E54F23" w:rsidRPr="001C078C" w:rsidRDefault="00E54F23" w:rsidP="00E54F23">
      <w:pPr>
        <w:rPr>
          <w:rFonts w:eastAsiaTheme="minorHAnsi"/>
          <w:highlight w:val="yellow"/>
        </w:rPr>
      </w:pPr>
      <w:r w:rsidRPr="001C078C">
        <w:rPr>
          <w:rFonts w:eastAsiaTheme="minorHAnsi"/>
          <w:highlight w:val="yellow"/>
        </w:rPr>
        <w:t xml:space="preserve">2.6 Add 1 </w:t>
      </w:r>
      <w:proofErr w:type="spellStart"/>
      <w:r w:rsidRPr="001C078C">
        <w:rPr>
          <w:rFonts w:eastAsiaTheme="minorHAnsi"/>
          <w:highlight w:val="yellow"/>
        </w:rPr>
        <w:t>μL</w:t>
      </w:r>
      <w:proofErr w:type="spellEnd"/>
      <w:r w:rsidRPr="001C078C">
        <w:rPr>
          <w:rFonts w:eastAsiaTheme="minorHAnsi"/>
          <w:highlight w:val="yellow"/>
        </w:rPr>
        <w:t xml:space="preserve"> DNase supplied with the kit. Mix thoroughly by pipetting up and down and centrifuge at 2,000 </w:t>
      </w:r>
      <w:r w:rsidRPr="001C078C">
        <w:rPr>
          <w:rFonts w:eastAsiaTheme="minorHAnsi"/>
          <w:i/>
          <w:iCs/>
          <w:highlight w:val="yellow"/>
        </w:rPr>
        <w:t>× g</w:t>
      </w:r>
      <w:r w:rsidRPr="001C078C">
        <w:rPr>
          <w:rFonts w:eastAsiaTheme="minorHAnsi"/>
          <w:highlight w:val="yellow"/>
        </w:rPr>
        <w:t xml:space="preserve"> for 2 s.</w:t>
      </w:r>
    </w:p>
    <w:p w14:paraId="6F724D2B" w14:textId="77777777" w:rsidR="00123CE2" w:rsidRPr="001C078C" w:rsidRDefault="00123CE2" w:rsidP="00E54F23">
      <w:pPr>
        <w:rPr>
          <w:rFonts w:eastAsiaTheme="minorHAnsi"/>
          <w:highlight w:val="yellow"/>
        </w:rPr>
      </w:pPr>
    </w:p>
    <w:p w14:paraId="759AD34D" w14:textId="77777777" w:rsidR="00E54F23" w:rsidRPr="001C078C" w:rsidRDefault="00E54F23" w:rsidP="00E54F23">
      <w:pPr>
        <w:rPr>
          <w:rFonts w:eastAsiaTheme="minorHAnsi"/>
          <w:highlight w:val="yellow"/>
        </w:rPr>
      </w:pPr>
      <w:r w:rsidRPr="001C078C">
        <w:rPr>
          <w:rFonts w:eastAsiaTheme="minorHAnsi"/>
          <w:highlight w:val="yellow"/>
        </w:rPr>
        <w:t>2.7 Incubate at 37 °C for an additional 15 min.</w:t>
      </w:r>
    </w:p>
    <w:p w14:paraId="4F152FF6" w14:textId="77777777" w:rsidR="00123CE2" w:rsidRPr="001C078C" w:rsidRDefault="00123CE2" w:rsidP="00E54F23">
      <w:pPr>
        <w:rPr>
          <w:rFonts w:eastAsiaTheme="minorHAnsi"/>
          <w:highlight w:val="yellow"/>
        </w:rPr>
      </w:pPr>
    </w:p>
    <w:p w14:paraId="4FA91E38" w14:textId="77777777" w:rsidR="00E54F23" w:rsidRPr="00153467" w:rsidRDefault="00E54F23" w:rsidP="00E54F23">
      <w:pPr>
        <w:rPr>
          <w:rFonts w:eastAsiaTheme="minorHAnsi"/>
        </w:rPr>
      </w:pPr>
      <w:r w:rsidRPr="001C078C">
        <w:rPr>
          <w:rFonts w:eastAsiaTheme="minorHAnsi"/>
          <w:highlight w:val="yellow"/>
        </w:rPr>
        <w:t xml:space="preserve">2.8 Transfer the reaction (~20 </w:t>
      </w:r>
      <w:proofErr w:type="spellStart"/>
      <w:r w:rsidRPr="001C078C">
        <w:rPr>
          <w:rFonts w:eastAsiaTheme="minorHAnsi"/>
          <w:highlight w:val="yellow"/>
        </w:rPr>
        <w:t>μL</w:t>
      </w:r>
      <w:proofErr w:type="spellEnd"/>
      <w:r w:rsidRPr="001C078C">
        <w:rPr>
          <w:rFonts w:eastAsiaTheme="minorHAnsi"/>
          <w:highlight w:val="yellow"/>
        </w:rPr>
        <w:t xml:space="preserve">) to a 1.5 mL tube. Add 115 </w:t>
      </w:r>
      <w:proofErr w:type="spellStart"/>
      <w:r w:rsidRPr="001C078C">
        <w:rPr>
          <w:rFonts w:eastAsiaTheme="minorHAnsi"/>
          <w:highlight w:val="yellow"/>
        </w:rPr>
        <w:t>μL</w:t>
      </w:r>
      <w:proofErr w:type="spellEnd"/>
      <w:r w:rsidRPr="001C078C">
        <w:rPr>
          <w:rFonts w:eastAsiaTheme="minorHAnsi"/>
          <w:highlight w:val="yellow"/>
        </w:rPr>
        <w:t xml:space="preserve"> nuclease-free water and 15 </w:t>
      </w:r>
      <w:proofErr w:type="spellStart"/>
      <w:r w:rsidRPr="001C078C">
        <w:rPr>
          <w:rFonts w:eastAsiaTheme="minorHAnsi"/>
          <w:highlight w:val="yellow"/>
        </w:rPr>
        <w:t>μL</w:t>
      </w:r>
      <w:proofErr w:type="spellEnd"/>
      <w:r w:rsidRPr="001C078C">
        <w:rPr>
          <w:rFonts w:eastAsiaTheme="minorHAnsi"/>
          <w:highlight w:val="yellow"/>
        </w:rPr>
        <w:t xml:space="preserve"> ammonium acetate stop solution supplied with the kit. Mix thoroughly by pipetting up and down and centrifuge at 2,000 </w:t>
      </w:r>
      <w:r w:rsidRPr="001C078C">
        <w:rPr>
          <w:rFonts w:eastAsiaTheme="minorHAnsi"/>
          <w:i/>
          <w:iCs/>
          <w:highlight w:val="yellow"/>
        </w:rPr>
        <w:t>× g</w:t>
      </w:r>
      <w:r w:rsidRPr="001C078C">
        <w:rPr>
          <w:rFonts w:eastAsiaTheme="minorHAnsi"/>
          <w:highlight w:val="yellow"/>
        </w:rPr>
        <w:t xml:space="preserve"> for 2 s.</w:t>
      </w:r>
    </w:p>
    <w:p w14:paraId="4922C243" w14:textId="77777777" w:rsidR="00123CE2" w:rsidRPr="00153467" w:rsidRDefault="00123CE2" w:rsidP="00E54F23">
      <w:pPr>
        <w:rPr>
          <w:rFonts w:eastAsiaTheme="minorHAnsi"/>
        </w:rPr>
      </w:pPr>
    </w:p>
    <w:p w14:paraId="25F91DE4" w14:textId="77777777" w:rsidR="00E54F23" w:rsidRPr="00153467" w:rsidRDefault="00E54F23" w:rsidP="00E54F23">
      <w:pPr>
        <w:rPr>
          <w:rFonts w:eastAsiaTheme="minorHAnsi"/>
        </w:rPr>
      </w:pPr>
      <w:r w:rsidRPr="00153467">
        <w:rPr>
          <w:rFonts w:eastAsiaTheme="minorHAnsi"/>
          <w:b/>
          <w:bCs/>
        </w:rPr>
        <w:t>NOTE:</w:t>
      </w:r>
      <w:r w:rsidRPr="00153467">
        <w:rPr>
          <w:rFonts w:eastAsiaTheme="minorHAnsi"/>
        </w:rPr>
        <w:t xml:space="preserve"> A commercial RNA purification kit may be used instead of </w:t>
      </w:r>
      <w:r w:rsidRPr="00153467">
        <w:rPr>
          <w:rFonts w:eastAsiaTheme="minorHAnsi"/>
          <w:i/>
          <w:iCs/>
        </w:rPr>
        <w:t>Steps 2.9–3.7</w:t>
      </w:r>
      <w:r w:rsidRPr="00153467">
        <w:rPr>
          <w:rFonts w:eastAsiaTheme="minorHAnsi"/>
        </w:rPr>
        <w:t>.</w:t>
      </w:r>
    </w:p>
    <w:p w14:paraId="1D0869A2" w14:textId="77777777" w:rsidR="00123CE2" w:rsidRPr="00153467" w:rsidRDefault="00123CE2" w:rsidP="00E54F23">
      <w:pPr>
        <w:rPr>
          <w:rFonts w:eastAsiaTheme="minorHAnsi"/>
        </w:rPr>
      </w:pPr>
    </w:p>
    <w:p w14:paraId="60FC7B9C" w14:textId="77777777" w:rsidR="00E54F23" w:rsidRPr="00153467" w:rsidRDefault="00E54F23" w:rsidP="00E54F23">
      <w:pPr>
        <w:rPr>
          <w:rFonts w:eastAsiaTheme="minorHAnsi"/>
        </w:rPr>
      </w:pPr>
      <w:r w:rsidRPr="001C078C">
        <w:rPr>
          <w:rFonts w:eastAsiaTheme="minorHAnsi"/>
          <w:highlight w:val="yellow"/>
        </w:rPr>
        <w:lastRenderedPageBreak/>
        <w:t xml:space="preserve">2.9 Add 150 </w:t>
      </w:r>
      <w:proofErr w:type="spellStart"/>
      <w:r w:rsidRPr="001C078C">
        <w:rPr>
          <w:rFonts w:eastAsiaTheme="minorHAnsi"/>
          <w:highlight w:val="yellow"/>
        </w:rPr>
        <w:t>μL</w:t>
      </w:r>
      <w:proofErr w:type="spellEnd"/>
      <w:r w:rsidRPr="001C078C">
        <w:rPr>
          <w:rFonts w:eastAsiaTheme="minorHAnsi"/>
          <w:highlight w:val="yellow"/>
        </w:rPr>
        <w:t xml:space="preserve"> phenol/chloroform and mix gently.</w:t>
      </w:r>
    </w:p>
    <w:p w14:paraId="376E7302" w14:textId="77777777" w:rsidR="00123CE2" w:rsidRPr="00153467" w:rsidRDefault="00123CE2" w:rsidP="00E54F23">
      <w:pPr>
        <w:rPr>
          <w:rFonts w:eastAsiaTheme="minorHAnsi"/>
        </w:rPr>
      </w:pPr>
    </w:p>
    <w:p w14:paraId="511EE9F6" w14:textId="77777777" w:rsidR="00E54F23" w:rsidRPr="00153467" w:rsidRDefault="00E54F23" w:rsidP="00E54F23">
      <w:pPr>
        <w:rPr>
          <w:rFonts w:eastAsiaTheme="minorHAnsi"/>
        </w:rPr>
      </w:pPr>
      <w:r w:rsidRPr="00153467">
        <w:rPr>
          <w:rFonts w:eastAsiaTheme="minorHAnsi"/>
          <w:b/>
          <w:bCs/>
        </w:rPr>
        <w:t>CAUTION:</w:t>
      </w:r>
      <w:r w:rsidRPr="00153467">
        <w:rPr>
          <w:rFonts w:eastAsiaTheme="minorHAnsi"/>
        </w:rPr>
        <w:t xml:space="preserve"> Handle phenol/chloroform in a chemical fume hood.</w:t>
      </w:r>
    </w:p>
    <w:p w14:paraId="6A8CFB66" w14:textId="77777777" w:rsidR="00123CE2" w:rsidRPr="00153467" w:rsidRDefault="00123CE2" w:rsidP="00E54F23">
      <w:pPr>
        <w:rPr>
          <w:rFonts w:eastAsiaTheme="minorHAnsi"/>
        </w:rPr>
      </w:pPr>
    </w:p>
    <w:p w14:paraId="2A02577D" w14:textId="77777777" w:rsidR="00E54F23" w:rsidRPr="001C078C" w:rsidRDefault="00E54F23" w:rsidP="00E54F23">
      <w:pPr>
        <w:rPr>
          <w:rFonts w:eastAsiaTheme="minorHAnsi"/>
          <w:highlight w:val="yellow"/>
        </w:rPr>
      </w:pPr>
      <w:r w:rsidRPr="001C078C">
        <w:rPr>
          <w:rFonts w:eastAsiaTheme="minorHAnsi"/>
          <w:highlight w:val="yellow"/>
        </w:rPr>
        <w:t xml:space="preserve">2.10 Centrifuge at 16,000 </w:t>
      </w:r>
      <w:r w:rsidRPr="001C078C">
        <w:rPr>
          <w:rFonts w:eastAsiaTheme="minorHAnsi"/>
          <w:i/>
          <w:iCs/>
          <w:highlight w:val="yellow"/>
        </w:rPr>
        <w:t>× g</w:t>
      </w:r>
      <w:r w:rsidRPr="001C078C">
        <w:rPr>
          <w:rFonts w:eastAsiaTheme="minorHAnsi"/>
          <w:highlight w:val="yellow"/>
        </w:rPr>
        <w:t xml:space="preserve"> for 10 min at 4 °C.</w:t>
      </w:r>
    </w:p>
    <w:p w14:paraId="6B2FEEDE" w14:textId="77777777" w:rsidR="00123CE2" w:rsidRPr="001C078C" w:rsidRDefault="00123CE2" w:rsidP="00E54F23">
      <w:pPr>
        <w:rPr>
          <w:rFonts w:eastAsiaTheme="minorHAnsi"/>
          <w:highlight w:val="yellow"/>
        </w:rPr>
      </w:pPr>
    </w:p>
    <w:p w14:paraId="36E31713" w14:textId="77777777" w:rsidR="00E54F23" w:rsidRPr="00153467" w:rsidRDefault="00E54F23" w:rsidP="00E54F23">
      <w:pPr>
        <w:rPr>
          <w:rFonts w:eastAsiaTheme="minorHAnsi"/>
        </w:rPr>
      </w:pPr>
      <w:r w:rsidRPr="001C078C">
        <w:rPr>
          <w:rFonts w:eastAsiaTheme="minorHAnsi"/>
          <w:highlight w:val="yellow"/>
        </w:rPr>
        <w:t>2.11 Transfer the upper aqueous phase to a new tube.</w:t>
      </w:r>
    </w:p>
    <w:p w14:paraId="2B47F626" w14:textId="77777777" w:rsidR="00123CE2" w:rsidRPr="00153467" w:rsidRDefault="00123CE2" w:rsidP="00E54F23">
      <w:pPr>
        <w:rPr>
          <w:rFonts w:eastAsiaTheme="minorHAnsi"/>
        </w:rPr>
      </w:pPr>
    </w:p>
    <w:p w14:paraId="40F90460" w14:textId="77777777" w:rsidR="00E54F23" w:rsidRPr="00153467" w:rsidRDefault="00E54F23" w:rsidP="00E54F23">
      <w:pPr>
        <w:rPr>
          <w:rFonts w:eastAsiaTheme="minorHAnsi"/>
        </w:rPr>
      </w:pPr>
      <w:r w:rsidRPr="00153467">
        <w:rPr>
          <w:rFonts w:eastAsiaTheme="minorHAnsi"/>
          <w:b/>
          <w:bCs/>
        </w:rPr>
        <w:t>NOTE:</w:t>
      </w:r>
      <w:r w:rsidRPr="00153467">
        <w:rPr>
          <w:rFonts w:eastAsiaTheme="minorHAnsi"/>
        </w:rPr>
        <w:t xml:space="preserve"> Avoid disturbing the interphase; the lower layer may appear blue due to unincorporated dye.</w:t>
      </w:r>
    </w:p>
    <w:p w14:paraId="46458E00" w14:textId="77777777" w:rsidR="00123CE2" w:rsidRPr="00153467" w:rsidRDefault="00123CE2" w:rsidP="00E54F23">
      <w:pPr>
        <w:rPr>
          <w:rFonts w:eastAsiaTheme="minorHAnsi"/>
        </w:rPr>
      </w:pPr>
    </w:p>
    <w:p w14:paraId="2C29B3DD" w14:textId="77777777" w:rsidR="00E54F23" w:rsidRPr="00153467" w:rsidRDefault="00E54F23" w:rsidP="00E54F23">
      <w:pPr>
        <w:rPr>
          <w:rFonts w:eastAsiaTheme="minorHAnsi"/>
        </w:rPr>
      </w:pPr>
      <w:r w:rsidRPr="001C078C">
        <w:rPr>
          <w:rFonts w:eastAsiaTheme="minorHAnsi"/>
          <w:highlight w:val="yellow"/>
        </w:rPr>
        <w:t>2.12 Add an equal volume of chloroform and mix thoroughly.</w:t>
      </w:r>
    </w:p>
    <w:p w14:paraId="1824F7EB" w14:textId="77777777" w:rsidR="00123CE2" w:rsidRPr="00153467" w:rsidRDefault="00123CE2" w:rsidP="00E54F23">
      <w:pPr>
        <w:rPr>
          <w:rFonts w:eastAsiaTheme="minorHAnsi"/>
        </w:rPr>
      </w:pPr>
    </w:p>
    <w:p w14:paraId="56E5E8B8" w14:textId="77777777" w:rsidR="00E54F23" w:rsidRPr="00153467" w:rsidRDefault="00E54F23" w:rsidP="00E54F23">
      <w:pPr>
        <w:rPr>
          <w:rFonts w:eastAsiaTheme="minorHAnsi"/>
        </w:rPr>
      </w:pPr>
      <w:r w:rsidRPr="00153467">
        <w:rPr>
          <w:rFonts w:eastAsiaTheme="minorHAnsi"/>
          <w:b/>
          <w:bCs/>
        </w:rPr>
        <w:t>CAUTION:</w:t>
      </w:r>
      <w:r w:rsidRPr="00153467">
        <w:rPr>
          <w:rFonts w:eastAsiaTheme="minorHAnsi"/>
        </w:rPr>
        <w:t xml:space="preserve"> Handle chloroform in a chemical fume hood.</w:t>
      </w:r>
    </w:p>
    <w:p w14:paraId="27B93FDF" w14:textId="77777777" w:rsidR="00123CE2" w:rsidRPr="00153467" w:rsidRDefault="00123CE2" w:rsidP="00E54F23">
      <w:pPr>
        <w:rPr>
          <w:rFonts w:eastAsiaTheme="minorHAnsi"/>
        </w:rPr>
      </w:pPr>
    </w:p>
    <w:p w14:paraId="4D1DC6F7" w14:textId="77777777" w:rsidR="00E54F23" w:rsidRPr="001C078C" w:rsidRDefault="00E54F23" w:rsidP="00E54F23">
      <w:pPr>
        <w:rPr>
          <w:rFonts w:eastAsiaTheme="minorHAnsi"/>
          <w:highlight w:val="yellow"/>
        </w:rPr>
      </w:pPr>
      <w:r w:rsidRPr="001C078C">
        <w:rPr>
          <w:rFonts w:eastAsiaTheme="minorHAnsi"/>
          <w:highlight w:val="yellow"/>
        </w:rPr>
        <w:t>2.13 Centrifuge at 16,000 × g for 2 min at 4 °C.</w:t>
      </w:r>
    </w:p>
    <w:p w14:paraId="66D262B6" w14:textId="77777777" w:rsidR="00123CE2" w:rsidRPr="001C078C" w:rsidRDefault="00123CE2" w:rsidP="00E54F23">
      <w:pPr>
        <w:rPr>
          <w:rFonts w:eastAsiaTheme="minorHAnsi"/>
          <w:highlight w:val="yellow"/>
        </w:rPr>
      </w:pPr>
    </w:p>
    <w:p w14:paraId="0A66CFB2" w14:textId="77777777" w:rsidR="00E54F23" w:rsidRPr="001C078C" w:rsidRDefault="00E54F23" w:rsidP="00E54F23">
      <w:pPr>
        <w:rPr>
          <w:rFonts w:eastAsiaTheme="minorHAnsi"/>
          <w:highlight w:val="yellow"/>
        </w:rPr>
      </w:pPr>
      <w:r w:rsidRPr="001C078C">
        <w:rPr>
          <w:rFonts w:eastAsiaTheme="minorHAnsi"/>
          <w:highlight w:val="yellow"/>
        </w:rPr>
        <w:t xml:space="preserve">2.14 Repeat </w:t>
      </w:r>
      <w:r w:rsidRPr="001C078C">
        <w:rPr>
          <w:rFonts w:eastAsiaTheme="minorHAnsi"/>
          <w:i/>
          <w:iCs/>
          <w:highlight w:val="yellow"/>
        </w:rPr>
        <w:t>Steps 2.11–2.13</w:t>
      </w:r>
      <w:r w:rsidRPr="001C078C">
        <w:rPr>
          <w:rFonts w:eastAsiaTheme="minorHAnsi"/>
          <w:highlight w:val="yellow"/>
        </w:rPr>
        <w:t>.</w:t>
      </w:r>
    </w:p>
    <w:p w14:paraId="32F1D84F" w14:textId="77777777" w:rsidR="00123CE2" w:rsidRPr="001C078C" w:rsidRDefault="00123CE2" w:rsidP="00E54F23">
      <w:pPr>
        <w:rPr>
          <w:rFonts w:eastAsiaTheme="minorHAnsi"/>
          <w:highlight w:val="yellow"/>
        </w:rPr>
      </w:pPr>
    </w:p>
    <w:p w14:paraId="253A8A9A" w14:textId="77777777" w:rsidR="00E54F23" w:rsidRPr="00153467" w:rsidRDefault="00E54F23" w:rsidP="00E54F23">
      <w:pPr>
        <w:rPr>
          <w:rFonts w:eastAsiaTheme="minorHAnsi"/>
        </w:rPr>
      </w:pPr>
      <w:r w:rsidRPr="001C078C">
        <w:rPr>
          <w:rFonts w:eastAsiaTheme="minorHAnsi"/>
          <w:highlight w:val="yellow"/>
        </w:rPr>
        <w:t xml:space="preserve">2.15 Transfer the aqueous layer (~100–150 </w:t>
      </w:r>
      <w:proofErr w:type="spellStart"/>
      <w:r w:rsidRPr="001C078C">
        <w:rPr>
          <w:rFonts w:eastAsiaTheme="minorHAnsi"/>
          <w:highlight w:val="yellow"/>
        </w:rPr>
        <w:t>μL</w:t>
      </w:r>
      <w:proofErr w:type="spellEnd"/>
      <w:r w:rsidRPr="001C078C">
        <w:rPr>
          <w:rFonts w:eastAsiaTheme="minorHAnsi"/>
          <w:highlight w:val="yellow"/>
        </w:rPr>
        <w:t xml:space="preserve">) to a new tube. Add 900 </w:t>
      </w:r>
      <w:proofErr w:type="spellStart"/>
      <w:r w:rsidRPr="001C078C">
        <w:rPr>
          <w:rFonts w:eastAsiaTheme="minorHAnsi"/>
          <w:highlight w:val="yellow"/>
        </w:rPr>
        <w:t>μL</w:t>
      </w:r>
      <w:proofErr w:type="spellEnd"/>
      <w:r w:rsidRPr="001C078C">
        <w:rPr>
          <w:rFonts w:eastAsiaTheme="minorHAnsi"/>
          <w:highlight w:val="yellow"/>
        </w:rPr>
        <w:t xml:space="preserve"> isopropanol and mix thoroughly.</w:t>
      </w:r>
    </w:p>
    <w:p w14:paraId="5F26B309" w14:textId="77777777" w:rsidR="00123CE2" w:rsidRPr="00153467" w:rsidRDefault="00123CE2" w:rsidP="00E54F23">
      <w:pPr>
        <w:rPr>
          <w:rFonts w:eastAsiaTheme="minorHAnsi"/>
        </w:rPr>
      </w:pPr>
    </w:p>
    <w:p w14:paraId="51E3EC7E" w14:textId="77777777" w:rsidR="00E54F23" w:rsidRPr="00153467" w:rsidRDefault="00E54F23" w:rsidP="00E54F23">
      <w:pPr>
        <w:rPr>
          <w:rFonts w:eastAsiaTheme="minorHAnsi"/>
        </w:rPr>
      </w:pPr>
      <w:r w:rsidRPr="001C078C">
        <w:rPr>
          <w:rFonts w:eastAsiaTheme="minorHAnsi"/>
          <w:highlight w:val="yellow"/>
        </w:rPr>
        <w:t>2.16 Aliquot into three equal volumes in separate tubes.</w:t>
      </w:r>
    </w:p>
    <w:p w14:paraId="40FCA1E1" w14:textId="77777777" w:rsidR="00123CE2" w:rsidRPr="00153467" w:rsidRDefault="00123CE2" w:rsidP="00E54F23">
      <w:pPr>
        <w:rPr>
          <w:rFonts w:eastAsiaTheme="minorHAnsi"/>
        </w:rPr>
      </w:pPr>
    </w:p>
    <w:p w14:paraId="2FF4809B" w14:textId="77777777" w:rsidR="00E54F23" w:rsidRPr="00153467" w:rsidRDefault="00E54F23" w:rsidP="00E54F23">
      <w:pPr>
        <w:rPr>
          <w:rFonts w:eastAsiaTheme="minorHAnsi"/>
        </w:rPr>
      </w:pPr>
      <w:r w:rsidRPr="00153467">
        <w:rPr>
          <w:rFonts w:eastAsiaTheme="minorHAnsi"/>
          <w:b/>
          <w:bCs/>
        </w:rPr>
        <w:t>NOTE:</w:t>
      </w:r>
      <w:r w:rsidRPr="00153467">
        <w:rPr>
          <w:rFonts w:eastAsiaTheme="minorHAnsi"/>
        </w:rPr>
        <w:t xml:space="preserve"> Each aliquot is sufficient for multiple RNA clustering reactions.</w:t>
      </w:r>
    </w:p>
    <w:p w14:paraId="6CB0E85F" w14:textId="77777777" w:rsidR="00123CE2" w:rsidRPr="00153467" w:rsidRDefault="00123CE2" w:rsidP="00E54F23">
      <w:pPr>
        <w:rPr>
          <w:rFonts w:eastAsiaTheme="minorHAnsi"/>
        </w:rPr>
      </w:pPr>
    </w:p>
    <w:p w14:paraId="51F68430" w14:textId="77777777" w:rsidR="00E54F23" w:rsidRPr="00E54F23" w:rsidRDefault="00E54F23" w:rsidP="00E54F23">
      <w:pPr>
        <w:rPr>
          <w:rFonts w:eastAsiaTheme="minorHAnsi"/>
        </w:rPr>
      </w:pPr>
      <w:r w:rsidRPr="001C078C">
        <w:rPr>
          <w:rFonts w:eastAsiaTheme="minorHAnsi"/>
          <w:highlight w:val="yellow"/>
        </w:rPr>
        <w:t>2.17 Store at −20 °C overnight or up to one month.</w:t>
      </w:r>
    </w:p>
    <w:p w14:paraId="03C81D37" w14:textId="77777777" w:rsidR="00FA0D6B" w:rsidRPr="002166FE" w:rsidRDefault="00FA0D6B" w:rsidP="002166FE"/>
    <w:p w14:paraId="0BEEE9E1" w14:textId="36E60D18" w:rsidR="00470E83" w:rsidRPr="002166FE" w:rsidRDefault="00FC3F55" w:rsidP="002166FE">
      <w:pPr>
        <w:rPr>
          <w:rFonts w:eastAsiaTheme="minorHAnsi"/>
          <w:b/>
          <w:bCs/>
        </w:rPr>
      </w:pPr>
      <w:r w:rsidRPr="00AA4FF6">
        <w:rPr>
          <w:rFonts w:eastAsiaTheme="minorHAnsi"/>
          <w:b/>
          <w:bCs/>
          <w:highlight w:val="yellow"/>
        </w:rPr>
        <w:t xml:space="preserve">3. Purification of </w:t>
      </w:r>
      <w:r w:rsidRPr="00AA4FF6">
        <w:rPr>
          <w:rFonts w:eastAsiaTheme="minorHAnsi"/>
          <w:b/>
          <w:bCs/>
          <w:i/>
          <w:iCs/>
          <w:highlight w:val="yellow"/>
        </w:rPr>
        <w:t>in vitro</w:t>
      </w:r>
      <w:r w:rsidRPr="00AA4FF6">
        <w:rPr>
          <w:rFonts w:eastAsiaTheme="minorHAnsi"/>
          <w:b/>
          <w:bCs/>
          <w:highlight w:val="yellow"/>
        </w:rPr>
        <w:t xml:space="preserve"> transcribed RNA</w:t>
      </w:r>
    </w:p>
    <w:p w14:paraId="4E74A3DE" w14:textId="77777777" w:rsidR="0011616C" w:rsidRPr="002166FE" w:rsidRDefault="0011616C" w:rsidP="002166FE">
      <w:pPr>
        <w:rPr>
          <w:rFonts w:eastAsiaTheme="minorHAnsi"/>
          <w:b/>
          <w:bCs/>
        </w:rPr>
      </w:pPr>
    </w:p>
    <w:p w14:paraId="678F130F" w14:textId="77777777" w:rsidR="00470E83" w:rsidRPr="002166FE" w:rsidRDefault="00FC3F55" w:rsidP="002166FE">
      <w:pPr>
        <w:rPr>
          <w:rFonts w:eastAsiaTheme="minorHAnsi"/>
        </w:rPr>
      </w:pPr>
      <w:r w:rsidRPr="00311D7C">
        <w:rPr>
          <w:rFonts w:eastAsiaTheme="minorHAnsi"/>
          <w:highlight w:val="yellow"/>
        </w:rPr>
        <w:t xml:space="preserve">3.1 Centrifuge the RNA sample in isopropanol at 16,000 </w:t>
      </w:r>
      <w:r w:rsidRPr="00311D7C">
        <w:rPr>
          <w:rFonts w:eastAsiaTheme="minorHAnsi"/>
          <w:i/>
          <w:iCs/>
          <w:highlight w:val="yellow"/>
        </w:rPr>
        <w:t>× g</w:t>
      </w:r>
      <w:r w:rsidRPr="00311D7C">
        <w:rPr>
          <w:rFonts w:eastAsiaTheme="minorHAnsi"/>
          <w:highlight w:val="yellow"/>
        </w:rPr>
        <w:t xml:space="preserve"> for 15 min at 4 °C.</w:t>
      </w:r>
    </w:p>
    <w:p w14:paraId="4C50512E" w14:textId="77777777" w:rsidR="00470E83" w:rsidRPr="002166FE" w:rsidRDefault="00470E83" w:rsidP="002166FE">
      <w:pPr>
        <w:rPr>
          <w:rFonts w:eastAsiaTheme="minorHAnsi"/>
        </w:rPr>
      </w:pPr>
    </w:p>
    <w:p w14:paraId="76DB1ABC" w14:textId="77777777" w:rsidR="00470E83" w:rsidRPr="00311D7C" w:rsidRDefault="00FC3F55" w:rsidP="002166FE">
      <w:pPr>
        <w:rPr>
          <w:rFonts w:eastAsiaTheme="minorHAnsi"/>
          <w:highlight w:val="yellow"/>
        </w:rPr>
      </w:pPr>
      <w:r w:rsidRPr="00311D7C">
        <w:rPr>
          <w:rFonts w:eastAsiaTheme="minorHAnsi"/>
          <w:highlight w:val="yellow"/>
        </w:rPr>
        <w:t>3.2 Carefully remove the isopropanol without disturbing the RNA pellet.</w:t>
      </w:r>
    </w:p>
    <w:p w14:paraId="24D95677" w14:textId="77777777" w:rsidR="00470E83" w:rsidRPr="00311D7C" w:rsidRDefault="00470E83" w:rsidP="002166FE">
      <w:pPr>
        <w:rPr>
          <w:rFonts w:eastAsiaTheme="minorHAnsi"/>
          <w:highlight w:val="yellow"/>
        </w:rPr>
      </w:pPr>
    </w:p>
    <w:p w14:paraId="4E9D9AE7" w14:textId="77777777" w:rsidR="00470E83" w:rsidRPr="00311D7C" w:rsidRDefault="00FC3F55" w:rsidP="002166FE">
      <w:pPr>
        <w:rPr>
          <w:rFonts w:eastAsiaTheme="minorHAnsi"/>
          <w:highlight w:val="yellow"/>
        </w:rPr>
      </w:pPr>
      <w:r w:rsidRPr="00311D7C">
        <w:rPr>
          <w:rFonts w:eastAsiaTheme="minorHAnsi"/>
          <w:highlight w:val="yellow"/>
        </w:rPr>
        <w:t>3.3 Add 1 mL of 70% ethanol prepared in nuclease-free water.</w:t>
      </w:r>
    </w:p>
    <w:p w14:paraId="02C0FCAA" w14:textId="77777777" w:rsidR="00470E83" w:rsidRPr="00311D7C" w:rsidRDefault="00470E83" w:rsidP="002166FE">
      <w:pPr>
        <w:rPr>
          <w:rFonts w:eastAsiaTheme="minorHAnsi"/>
          <w:highlight w:val="yellow"/>
        </w:rPr>
      </w:pPr>
    </w:p>
    <w:p w14:paraId="0F4C6C75" w14:textId="77777777" w:rsidR="00470E83" w:rsidRPr="00311D7C" w:rsidRDefault="00FC3F55" w:rsidP="002166FE">
      <w:pPr>
        <w:rPr>
          <w:rFonts w:eastAsiaTheme="minorHAnsi"/>
          <w:highlight w:val="yellow"/>
        </w:rPr>
      </w:pPr>
      <w:r w:rsidRPr="00311D7C">
        <w:rPr>
          <w:rFonts w:eastAsiaTheme="minorHAnsi"/>
          <w:highlight w:val="yellow"/>
        </w:rPr>
        <w:t xml:space="preserve">3.4 Centrifuge at 16,000 </w:t>
      </w:r>
      <w:r w:rsidRPr="00311D7C">
        <w:rPr>
          <w:rFonts w:eastAsiaTheme="minorHAnsi"/>
          <w:i/>
          <w:iCs/>
          <w:highlight w:val="yellow"/>
        </w:rPr>
        <w:t>× g</w:t>
      </w:r>
      <w:r w:rsidRPr="00311D7C">
        <w:rPr>
          <w:rFonts w:eastAsiaTheme="minorHAnsi"/>
          <w:highlight w:val="yellow"/>
        </w:rPr>
        <w:t xml:space="preserve"> for 2 min at 4 °C.</w:t>
      </w:r>
    </w:p>
    <w:p w14:paraId="407A917F" w14:textId="77777777" w:rsidR="00470E83" w:rsidRPr="00311D7C" w:rsidRDefault="00470E83" w:rsidP="002166FE">
      <w:pPr>
        <w:rPr>
          <w:rFonts w:eastAsiaTheme="minorHAnsi"/>
          <w:highlight w:val="yellow"/>
        </w:rPr>
      </w:pPr>
    </w:p>
    <w:p w14:paraId="01E9847F" w14:textId="77777777" w:rsidR="00470E83" w:rsidRPr="002166FE" w:rsidRDefault="00FC3F55" w:rsidP="002166FE">
      <w:pPr>
        <w:rPr>
          <w:rFonts w:eastAsiaTheme="minorHAnsi"/>
        </w:rPr>
      </w:pPr>
      <w:r w:rsidRPr="00311D7C">
        <w:rPr>
          <w:rFonts w:eastAsiaTheme="minorHAnsi"/>
          <w:highlight w:val="yellow"/>
        </w:rPr>
        <w:t xml:space="preserve">3.5 Remove the ethanol and repeat </w:t>
      </w:r>
      <w:r w:rsidRPr="00311D7C">
        <w:rPr>
          <w:rFonts w:eastAsiaTheme="minorHAnsi"/>
          <w:i/>
          <w:iCs/>
          <w:highlight w:val="yellow"/>
        </w:rPr>
        <w:t>Steps 3.3–3.4</w:t>
      </w:r>
      <w:r w:rsidRPr="00311D7C">
        <w:rPr>
          <w:rFonts w:eastAsiaTheme="minorHAnsi"/>
          <w:highlight w:val="yellow"/>
        </w:rPr>
        <w:t>.</w:t>
      </w:r>
    </w:p>
    <w:p w14:paraId="106C1F46" w14:textId="77777777" w:rsidR="00470E83" w:rsidRPr="002166FE" w:rsidRDefault="00470E83" w:rsidP="002166FE">
      <w:pPr>
        <w:rPr>
          <w:rFonts w:eastAsiaTheme="minorHAnsi"/>
        </w:rPr>
      </w:pPr>
    </w:p>
    <w:p w14:paraId="768CB441" w14:textId="708F331B" w:rsidR="00470E83" w:rsidRPr="002166FE" w:rsidRDefault="00FC3F55" w:rsidP="002166FE">
      <w:pPr>
        <w:rPr>
          <w:rFonts w:eastAsiaTheme="minorHAnsi"/>
        </w:rPr>
      </w:pPr>
      <w:r w:rsidRPr="00311D7C">
        <w:rPr>
          <w:rFonts w:eastAsiaTheme="minorHAnsi"/>
          <w:highlight w:val="yellow"/>
        </w:rPr>
        <w:t xml:space="preserve">3.6 During the final ethanol wash, remove most of the ethanol using a 1000 </w:t>
      </w:r>
      <w:proofErr w:type="spellStart"/>
      <w:r w:rsidRPr="00311D7C">
        <w:rPr>
          <w:rFonts w:eastAsiaTheme="minorHAnsi"/>
          <w:highlight w:val="yellow"/>
        </w:rPr>
        <w:t>μL</w:t>
      </w:r>
      <w:proofErr w:type="spellEnd"/>
      <w:r w:rsidRPr="00311D7C">
        <w:rPr>
          <w:rFonts w:eastAsiaTheme="minorHAnsi"/>
          <w:highlight w:val="yellow"/>
        </w:rPr>
        <w:t xml:space="preserve"> pipette. Briefly centrifuge</w:t>
      </w:r>
      <w:r w:rsidR="001D1E3F" w:rsidRPr="00311D7C">
        <w:rPr>
          <w:rFonts w:eastAsiaTheme="minorHAnsi"/>
          <w:highlight w:val="yellow"/>
        </w:rPr>
        <w:t xml:space="preserve"> </w:t>
      </w:r>
      <w:r w:rsidR="001D1E3F" w:rsidRPr="00311D7C">
        <w:rPr>
          <w:highlight w:val="yellow"/>
        </w:rPr>
        <w:t xml:space="preserve">at 2,000 </w:t>
      </w:r>
      <w:r w:rsidR="001D1E3F" w:rsidRPr="00311D7C">
        <w:rPr>
          <w:rFonts w:eastAsiaTheme="minorHAnsi"/>
          <w:i/>
          <w:iCs/>
          <w:highlight w:val="yellow"/>
        </w:rPr>
        <w:t>× g</w:t>
      </w:r>
      <w:r w:rsidR="001D1E3F" w:rsidRPr="00311D7C">
        <w:rPr>
          <w:highlight w:val="yellow"/>
        </w:rPr>
        <w:t xml:space="preserve"> for 2 s in a benchtop minicentrifuge</w:t>
      </w:r>
      <w:r w:rsidRPr="00311D7C">
        <w:rPr>
          <w:rFonts w:eastAsiaTheme="minorHAnsi"/>
          <w:highlight w:val="yellow"/>
        </w:rPr>
        <w:t xml:space="preserve"> and remove any remaining ethanol using a 20</w:t>
      </w:r>
      <w:r w:rsidR="00353526" w:rsidRPr="00311D7C">
        <w:rPr>
          <w:rFonts w:eastAsiaTheme="minorHAnsi"/>
          <w:highlight w:val="yellow"/>
        </w:rPr>
        <w:t xml:space="preserve"> </w:t>
      </w:r>
      <w:proofErr w:type="spellStart"/>
      <w:r w:rsidR="00353526" w:rsidRPr="00311D7C">
        <w:rPr>
          <w:rFonts w:eastAsiaTheme="minorHAnsi"/>
          <w:highlight w:val="yellow"/>
        </w:rPr>
        <w:t>μL</w:t>
      </w:r>
      <w:proofErr w:type="spellEnd"/>
      <w:r w:rsidRPr="00311D7C">
        <w:rPr>
          <w:rFonts w:eastAsiaTheme="minorHAnsi"/>
          <w:highlight w:val="yellow"/>
        </w:rPr>
        <w:t xml:space="preserve"> pipette.</w:t>
      </w:r>
    </w:p>
    <w:p w14:paraId="73309FE0" w14:textId="77777777" w:rsidR="00470E83" w:rsidRPr="002166FE" w:rsidRDefault="00470E83" w:rsidP="002166FE">
      <w:pPr>
        <w:rPr>
          <w:rFonts w:eastAsiaTheme="minorHAnsi"/>
        </w:rPr>
      </w:pPr>
    </w:p>
    <w:p w14:paraId="0EEC23B2" w14:textId="77777777" w:rsidR="00470E83" w:rsidRPr="00AA4FF6" w:rsidRDefault="00FC3F55" w:rsidP="002166FE">
      <w:pPr>
        <w:rPr>
          <w:rFonts w:eastAsiaTheme="minorHAnsi"/>
          <w:highlight w:val="yellow"/>
        </w:rPr>
      </w:pPr>
      <w:r w:rsidRPr="00AA4FF6">
        <w:rPr>
          <w:rFonts w:eastAsiaTheme="minorHAnsi"/>
          <w:highlight w:val="yellow"/>
        </w:rPr>
        <w:lastRenderedPageBreak/>
        <w:t>3.7 Air-dry the RNA pellet for 1–2 min at room temperature (RT).</w:t>
      </w:r>
    </w:p>
    <w:p w14:paraId="421EA364" w14:textId="77777777" w:rsidR="00470E83" w:rsidRPr="00AA4FF6" w:rsidRDefault="00470E83" w:rsidP="002166FE">
      <w:pPr>
        <w:rPr>
          <w:rFonts w:eastAsiaTheme="minorHAnsi"/>
          <w:highlight w:val="yellow"/>
        </w:rPr>
      </w:pPr>
    </w:p>
    <w:p w14:paraId="14221472" w14:textId="77777777" w:rsidR="00470E83" w:rsidRPr="00AA4FF6" w:rsidRDefault="00FC3F55" w:rsidP="002166FE">
      <w:pPr>
        <w:rPr>
          <w:rFonts w:eastAsiaTheme="minorHAnsi"/>
          <w:highlight w:val="yellow"/>
        </w:rPr>
      </w:pPr>
      <w:r w:rsidRPr="00AA4FF6">
        <w:rPr>
          <w:rFonts w:eastAsiaTheme="minorHAnsi"/>
          <w:highlight w:val="yellow"/>
        </w:rPr>
        <w:t xml:space="preserve">3.8 Resuspend the RNA pellet in 20 </w:t>
      </w:r>
      <w:proofErr w:type="spellStart"/>
      <w:r w:rsidRPr="00AA4FF6">
        <w:rPr>
          <w:rFonts w:eastAsiaTheme="minorHAnsi"/>
          <w:highlight w:val="yellow"/>
        </w:rPr>
        <w:t>μL</w:t>
      </w:r>
      <w:proofErr w:type="spellEnd"/>
      <w:r w:rsidRPr="00AA4FF6">
        <w:rPr>
          <w:rFonts w:eastAsiaTheme="minorHAnsi"/>
          <w:highlight w:val="yellow"/>
        </w:rPr>
        <w:t xml:space="preserve"> nuclease-free water. Keep the sample on ice and protect it from light.</w:t>
      </w:r>
    </w:p>
    <w:p w14:paraId="44D6D8E8" w14:textId="77777777" w:rsidR="00470E83" w:rsidRPr="00AA4FF6" w:rsidRDefault="00470E83" w:rsidP="002166FE">
      <w:pPr>
        <w:rPr>
          <w:rFonts w:eastAsiaTheme="minorHAnsi"/>
          <w:highlight w:val="yellow"/>
        </w:rPr>
      </w:pPr>
    </w:p>
    <w:p w14:paraId="7A771667" w14:textId="77777777" w:rsidR="00470E83" w:rsidRPr="002166FE" w:rsidRDefault="00FC3F55" w:rsidP="002166FE">
      <w:pPr>
        <w:rPr>
          <w:rFonts w:eastAsiaTheme="minorHAnsi"/>
        </w:rPr>
      </w:pPr>
      <w:r w:rsidRPr="00AA4FF6">
        <w:rPr>
          <w:rFonts w:eastAsiaTheme="minorHAnsi"/>
          <w:highlight w:val="yellow"/>
        </w:rPr>
        <w:t>3.9 Measure RNA concentration and purity using a microvolume spectrophotometer. Ensure that A260/A280 is approximately 2.0 and A260/A230 is greater than 2.0.</w:t>
      </w:r>
    </w:p>
    <w:p w14:paraId="38ED616D" w14:textId="77777777" w:rsidR="00FA0D6B" w:rsidRPr="002166FE" w:rsidRDefault="00FA0D6B" w:rsidP="002166FE"/>
    <w:p w14:paraId="05BF6639" w14:textId="75A8C196" w:rsidR="00FA0D6B" w:rsidRPr="002166FE" w:rsidRDefault="00FC3F55" w:rsidP="002166FE">
      <w:pPr>
        <w:rPr>
          <w:b/>
          <w:bCs/>
        </w:rPr>
      </w:pPr>
      <w:r w:rsidRPr="00AA4FF6">
        <w:rPr>
          <w:b/>
          <w:bCs/>
          <w:highlight w:val="yellow"/>
        </w:rPr>
        <w:t xml:space="preserve">4. Preparation of </w:t>
      </w:r>
      <w:r w:rsidRPr="00AA4FF6">
        <w:rPr>
          <w:b/>
          <w:bCs/>
          <w:i/>
          <w:iCs/>
          <w:highlight w:val="yellow"/>
        </w:rPr>
        <w:t>in vitro</w:t>
      </w:r>
      <w:r w:rsidRPr="00AA4FF6">
        <w:rPr>
          <w:b/>
          <w:bCs/>
          <w:highlight w:val="yellow"/>
        </w:rPr>
        <w:t xml:space="preserve"> RNA clustering reaction</w:t>
      </w:r>
    </w:p>
    <w:p w14:paraId="1AC14119" w14:textId="77777777" w:rsidR="00FA0D6B" w:rsidRPr="002166FE" w:rsidRDefault="00FA0D6B" w:rsidP="002166FE">
      <w:pPr>
        <w:pStyle w:val="ListParagraph"/>
        <w:spacing w:after="0" w:line="240" w:lineRule="auto"/>
        <w:ind w:left="360"/>
        <w:jc w:val="both"/>
        <w:rPr>
          <w:rFonts w:ascii="Calibri" w:hAnsi="Calibri" w:cs="Calibri"/>
          <w:b/>
          <w:bCs/>
          <w:sz w:val="24"/>
          <w:szCs w:val="24"/>
        </w:rPr>
      </w:pPr>
    </w:p>
    <w:p w14:paraId="02EB0BE4" w14:textId="4F9D6899" w:rsidR="00FA0D6B" w:rsidRPr="002166FE" w:rsidRDefault="00FC3F55" w:rsidP="002166FE">
      <w:pPr>
        <w:pStyle w:val="ListParagraph"/>
        <w:tabs>
          <w:tab w:val="left" w:pos="0"/>
        </w:tabs>
        <w:spacing w:after="0" w:line="240" w:lineRule="auto"/>
        <w:ind w:left="0"/>
        <w:jc w:val="both"/>
        <w:rPr>
          <w:rFonts w:ascii="Calibri" w:eastAsia="Times New Roman" w:hAnsi="Calibri" w:cs="Calibri"/>
          <w:sz w:val="24"/>
          <w:szCs w:val="24"/>
        </w:rPr>
      </w:pPr>
      <w:r w:rsidRPr="002166FE">
        <w:rPr>
          <w:rFonts w:ascii="Calibri" w:hAnsi="Calibri" w:cs="Calibri"/>
          <w:b/>
          <w:bCs/>
          <w:sz w:val="24"/>
          <w:szCs w:val="24"/>
        </w:rPr>
        <w:t>NOTE:</w:t>
      </w:r>
      <w:r w:rsidRPr="002166FE">
        <w:rPr>
          <w:rFonts w:ascii="Calibri" w:hAnsi="Calibri" w:cs="Calibri"/>
          <w:sz w:val="24"/>
          <w:szCs w:val="24"/>
        </w:rPr>
        <w:t xml:space="preserve"> In this protocol, induction of RNA clustering requires spermine and PEG 8000</w:t>
      </w:r>
      <w:r w:rsidR="00470E83" w:rsidRPr="002166FE">
        <w:rPr>
          <w:rFonts w:ascii="Calibri" w:hAnsi="Calibri" w:cs="Calibri"/>
          <w:sz w:val="24"/>
          <w:szCs w:val="24"/>
        </w:rPr>
        <w:t>,</w:t>
      </w:r>
      <w:r w:rsidRPr="002166FE">
        <w:rPr>
          <w:rFonts w:ascii="Calibri" w:hAnsi="Calibri" w:cs="Calibri"/>
          <w:sz w:val="24"/>
          <w:szCs w:val="24"/>
        </w:rPr>
        <w:t xml:space="preserve"> based on previous studies</w:t>
      </w:r>
      <w:r w:rsidRPr="002166FE">
        <w:rPr>
          <w:rFonts w:ascii="Calibri" w:hAnsi="Calibri" w:cs="Calibri"/>
          <w:sz w:val="24"/>
          <w:szCs w:val="24"/>
        </w:rPr>
        <w:fldChar w:fldCharType="begin">
          <w:fldData xml:space="preserve">PEVuZE5vdGU+PENpdGU+PEF1dGhvcj5MYW5nZG9uPC9BdXRob3I+PFllYXI+MjAxODwvWWVhcj48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</w:fldData>
        </w:fldChar>
      </w:r>
      <w:r w:rsidR="00FD3A19" w:rsidRPr="002166FE">
        <w:rPr>
          <w:rFonts w:ascii="Calibri" w:hAnsi="Calibri" w:cs="Calibri"/>
          <w:sz w:val="24"/>
          <w:szCs w:val="24"/>
        </w:rPr>
        <w:instrText xml:space="preserve"> ADDIN EN.CITE </w:instrText>
      </w:r>
      <w:r w:rsidR="00FD3A19" w:rsidRPr="002166FE">
        <w:rPr>
          <w:rFonts w:ascii="Calibri" w:hAnsi="Calibri" w:cs="Calibri"/>
          <w:sz w:val="24"/>
          <w:szCs w:val="24"/>
        </w:rPr>
        <w:fldChar w:fldCharType="begin">
          <w:fldData xml:space="preserve">PEVuZE5vdGU+PENpdGU+PEF1dGhvcj5MYW5nZG9uPC9BdXRob3I+PFllYXI+MjAxODwvWWVhcj48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</w:fldData>
        </w:fldChar>
      </w:r>
      <w:r w:rsidR="00FD3A19" w:rsidRPr="002166FE">
        <w:rPr>
          <w:rFonts w:ascii="Calibri" w:hAnsi="Calibri" w:cs="Calibri"/>
          <w:sz w:val="24"/>
          <w:szCs w:val="24"/>
        </w:rPr>
        <w:instrText xml:space="preserve"> ADDIN EN.CITE.DATA </w:instrText>
      </w:r>
      <w:r w:rsidR="00FD3A19" w:rsidRPr="002166FE">
        <w:rPr>
          <w:rFonts w:ascii="Calibri" w:hAnsi="Calibri" w:cs="Calibri"/>
          <w:sz w:val="24"/>
          <w:szCs w:val="24"/>
        </w:rPr>
      </w:r>
      <w:r w:rsidR="00FD3A19" w:rsidRPr="002166FE">
        <w:rPr>
          <w:rFonts w:ascii="Calibri" w:hAnsi="Calibri" w:cs="Calibri"/>
          <w:sz w:val="24"/>
          <w:szCs w:val="24"/>
        </w:rPr>
        <w:fldChar w:fldCharType="end"/>
      </w:r>
      <w:r w:rsidRPr="002166FE">
        <w:rPr>
          <w:rFonts w:ascii="Calibri" w:hAnsi="Calibri" w:cs="Calibri"/>
          <w:sz w:val="24"/>
          <w:szCs w:val="24"/>
        </w:rPr>
      </w:r>
      <w:r w:rsidRPr="002166FE">
        <w:rPr>
          <w:rFonts w:ascii="Calibri" w:hAnsi="Calibri" w:cs="Calibri"/>
          <w:sz w:val="24"/>
          <w:szCs w:val="24"/>
        </w:rPr>
        <w:fldChar w:fldCharType="separate"/>
      </w:r>
      <w:r w:rsidR="00FD3A19" w:rsidRPr="002166FE">
        <w:rPr>
          <w:rFonts w:ascii="Calibri" w:hAnsi="Calibri" w:cs="Calibri"/>
          <w:noProof/>
          <w:sz w:val="24"/>
          <w:szCs w:val="24"/>
          <w:vertAlign w:val="superscript"/>
        </w:rPr>
        <w:t>2, 4, 5</w:t>
      </w:r>
      <w:r w:rsidRPr="002166FE">
        <w:rPr>
          <w:rFonts w:ascii="Calibri" w:hAnsi="Calibri" w:cs="Calibri"/>
          <w:sz w:val="24"/>
          <w:szCs w:val="24"/>
        </w:rPr>
        <w:fldChar w:fldCharType="end"/>
      </w:r>
      <w:r w:rsidRPr="002166FE">
        <w:rPr>
          <w:rFonts w:ascii="Calibri" w:hAnsi="Calibri" w:cs="Calibri"/>
          <w:sz w:val="24"/>
          <w:szCs w:val="24"/>
        </w:rPr>
        <w:t xml:space="preserve">. Specifically, a 100 mM spermine tetrahydrochloride stock solution prepared in nuclease-free water was aliquoted into multiple 1.5 mL microcentrifuge tubes and stored </w:t>
      </w:r>
      <w:r w:rsidR="00470E83" w:rsidRPr="002166FE">
        <w:rPr>
          <w:rFonts w:ascii="Calibri" w:hAnsi="Calibri" w:cs="Calibri"/>
          <w:sz w:val="24"/>
          <w:szCs w:val="24"/>
        </w:rPr>
        <w:t>at −20</w:t>
      </w:r>
      <w:r w:rsidR="00061217" w:rsidRPr="002166FE">
        <w:rPr>
          <w:rFonts w:ascii="Calibri" w:hAnsi="Calibri" w:cs="Calibri"/>
          <w:sz w:val="24"/>
          <w:szCs w:val="24"/>
        </w:rPr>
        <w:t xml:space="preserve"> </w:t>
      </w:r>
      <w:r w:rsidRPr="002166FE">
        <w:rPr>
          <w:rFonts w:ascii="Calibri" w:eastAsia="Times New Roman" w:hAnsi="Calibri" w:cs="Calibri"/>
          <w:sz w:val="24"/>
          <w:szCs w:val="24"/>
        </w:rPr>
        <w:t xml:space="preserve">°C.  </w:t>
      </w:r>
    </w:p>
    <w:p w14:paraId="0E33D8F6" w14:textId="77777777" w:rsidR="00FA0D6B" w:rsidRPr="002166FE" w:rsidRDefault="00FA0D6B" w:rsidP="002166FE">
      <w:pPr>
        <w:pStyle w:val="ListParagraph"/>
        <w:tabs>
          <w:tab w:val="left" w:pos="0"/>
        </w:tabs>
        <w:spacing w:after="0" w:line="240" w:lineRule="auto"/>
        <w:ind w:left="0"/>
        <w:jc w:val="both"/>
        <w:rPr>
          <w:rFonts w:ascii="Calibri" w:eastAsia="Times New Roman" w:hAnsi="Calibri" w:cs="Calibri"/>
          <w:sz w:val="24"/>
          <w:szCs w:val="24"/>
        </w:rPr>
      </w:pPr>
    </w:p>
    <w:p w14:paraId="76171282" w14:textId="1D39A431" w:rsidR="00FA0D6B" w:rsidRPr="002166FE" w:rsidRDefault="00FC3F55" w:rsidP="002166FE">
      <w:pPr>
        <w:tabs>
          <w:tab w:val="left" w:pos="0"/>
        </w:tabs>
      </w:pPr>
      <w:r w:rsidRPr="00AA4FF6">
        <w:rPr>
          <w:highlight w:val="yellow"/>
        </w:rPr>
        <w:t>4.1 Thaw a tube of 100 mM spermine solution and 50% PEG 8000 on ice.</w:t>
      </w:r>
      <w:r w:rsidRPr="002166FE">
        <w:t xml:space="preserve"> </w:t>
      </w:r>
    </w:p>
    <w:p w14:paraId="6E2DFE75" w14:textId="2763E881"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7587CACF" w14:textId="3AA312E5" w:rsidR="00FA0D6B" w:rsidRPr="002166FE" w:rsidRDefault="00FC3F55" w:rsidP="002166FE">
      <w:pPr>
        <w:tabs>
          <w:tab w:val="left" w:pos="0"/>
        </w:tabs>
      </w:pPr>
      <w:r w:rsidRPr="002166FE">
        <w:rPr>
          <w:b/>
          <w:bCs/>
        </w:rPr>
        <w:t>NOTE:</w:t>
      </w:r>
      <w:r w:rsidRPr="002166FE">
        <w:t xml:space="preserve"> After opening, 50% PEG</w:t>
      </w:r>
      <w:r w:rsidR="00123CE2">
        <w:t xml:space="preserve"> </w:t>
      </w:r>
      <w:r w:rsidRPr="002166FE">
        <w:t xml:space="preserve">8000 should be used for no longer than two months due to potential degradation.  </w:t>
      </w:r>
    </w:p>
    <w:p w14:paraId="757C4E39" w14:textId="77777777"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4EDBD172" w14:textId="2C58398C" w:rsidR="003A510B" w:rsidRPr="002166FE" w:rsidRDefault="00FC3F55" w:rsidP="002166FE">
      <w:pPr>
        <w:tabs>
          <w:tab w:val="left" w:pos="0"/>
        </w:tabs>
      </w:pPr>
      <w:r w:rsidRPr="00AA4FF6">
        <w:rPr>
          <w:highlight w:val="yellow"/>
        </w:rPr>
        <w:t xml:space="preserve">4.2 </w:t>
      </w:r>
      <w:r w:rsidR="00FA0D6B" w:rsidRPr="00AA4FF6">
        <w:rPr>
          <w:highlight w:val="yellow"/>
        </w:rPr>
        <w:t xml:space="preserve">To prepare 500 </w:t>
      </w:r>
      <w:proofErr w:type="spellStart"/>
      <w:r w:rsidR="00FA0D6B" w:rsidRPr="00AA4FF6">
        <w:rPr>
          <w:highlight w:val="yellow"/>
        </w:rPr>
        <w:t>μL</w:t>
      </w:r>
      <w:proofErr w:type="spellEnd"/>
      <w:r w:rsidR="00FA0D6B" w:rsidRPr="00AA4FF6">
        <w:rPr>
          <w:highlight w:val="yellow"/>
        </w:rPr>
        <w:t xml:space="preserve"> freshly made 10</w:t>
      </w:r>
      <w:r w:rsidR="00FD3E24" w:rsidRPr="00AA4FF6">
        <w:rPr>
          <w:highlight w:val="yellow"/>
        </w:rPr>
        <w:t>×</w:t>
      </w:r>
      <w:r w:rsidR="00FA0D6B" w:rsidRPr="00AA4FF6">
        <w:rPr>
          <w:highlight w:val="yellow"/>
        </w:rPr>
        <w:t xml:space="preserve"> RNA refolding buffer, combine 50 </w:t>
      </w:r>
      <w:proofErr w:type="spellStart"/>
      <w:r w:rsidR="00FA0D6B" w:rsidRPr="00AA4FF6">
        <w:rPr>
          <w:highlight w:val="yellow"/>
        </w:rPr>
        <w:t>μL</w:t>
      </w:r>
      <w:proofErr w:type="spellEnd"/>
      <w:r w:rsidR="00FA0D6B" w:rsidRPr="00AA4FF6">
        <w:rPr>
          <w:highlight w:val="yellow"/>
        </w:rPr>
        <w:t xml:space="preserve"> 2M </w:t>
      </w:r>
      <w:proofErr w:type="spellStart"/>
      <w:r w:rsidR="00FA0D6B" w:rsidRPr="00AA4FF6">
        <w:rPr>
          <w:highlight w:val="yellow"/>
        </w:rPr>
        <w:t>KCl</w:t>
      </w:r>
      <w:proofErr w:type="spellEnd"/>
      <w:r w:rsidR="00FA0D6B" w:rsidRPr="00AA4FF6">
        <w:rPr>
          <w:highlight w:val="yellow"/>
        </w:rPr>
        <w:t xml:space="preserve">, 50 </w:t>
      </w:r>
      <w:proofErr w:type="spellStart"/>
      <w:r w:rsidR="00FA0D6B" w:rsidRPr="00AA4FF6">
        <w:rPr>
          <w:highlight w:val="yellow"/>
        </w:rPr>
        <w:t>μL</w:t>
      </w:r>
      <w:proofErr w:type="spellEnd"/>
      <w:r w:rsidR="00FA0D6B" w:rsidRPr="00AA4FF6">
        <w:rPr>
          <w:highlight w:val="yellow"/>
        </w:rPr>
        <w:t xml:space="preserve"> 1M MgCl</w:t>
      </w:r>
      <w:r w:rsidR="00FA0D6B" w:rsidRPr="00AA4FF6">
        <w:rPr>
          <w:highlight w:val="yellow"/>
          <w:vertAlign w:val="subscript"/>
        </w:rPr>
        <w:t>2</w:t>
      </w:r>
      <w:r w:rsidR="00FA0D6B" w:rsidRPr="00AA4FF6">
        <w:rPr>
          <w:highlight w:val="yellow"/>
        </w:rPr>
        <w:t xml:space="preserve">, 50 </w:t>
      </w:r>
      <w:proofErr w:type="spellStart"/>
      <w:r w:rsidR="00FA0D6B" w:rsidRPr="00AA4FF6">
        <w:rPr>
          <w:highlight w:val="yellow"/>
        </w:rPr>
        <w:t>μL</w:t>
      </w:r>
      <w:proofErr w:type="spellEnd"/>
      <w:r w:rsidR="00FA0D6B" w:rsidRPr="00AA4FF6">
        <w:rPr>
          <w:highlight w:val="yellow"/>
        </w:rPr>
        <w:t xml:space="preserve"> 1M Tris (pH 7.0), and 350 </w:t>
      </w:r>
      <w:proofErr w:type="spellStart"/>
      <w:r w:rsidR="00FA0D6B" w:rsidRPr="00AA4FF6">
        <w:rPr>
          <w:highlight w:val="yellow"/>
        </w:rPr>
        <w:t>μL</w:t>
      </w:r>
      <w:proofErr w:type="spellEnd"/>
      <w:r w:rsidR="00FA0D6B" w:rsidRPr="00AA4FF6">
        <w:rPr>
          <w:highlight w:val="yellow"/>
        </w:rPr>
        <w:t xml:space="preserve"> nuclease-free water. </w:t>
      </w:r>
      <w:r w:rsidRPr="00AA4FF6">
        <w:rPr>
          <w:highlight w:val="yellow"/>
        </w:rPr>
        <w:t xml:space="preserve">Mix thoroughly by pipetting up and down. </w:t>
      </w:r>
      <w:r w:rsidR="00C5108B" w:rsidRPr="00AA4FF6">
        <w:rPr>
          <w:rFonts w:eastAsiaTheme="minorHAnsi"/>
          <w:highlight w:val="yellow"/>
        </w:rPr>
        <w:t>C</w:t>
      </w:r>
      <w:r w:rsidR="00AF484E" w:rsidRPr="00AA4FF6">
        <w:rPr>
          <w:rFonts w:eastAsiaTheme="minorHAnsi"/>
          <w:highlight w:val="yellow"/>
        </w:rPr>
        <w:t xml:space="preserve">entrifuge </w:t>
      </w:r>
      <w:r w:rsidR="00AF484E" w:rsidRPr="00AA4FF6">
        <w:rPr>
          <w:highlight w:val="yellow"/>
        </w:rPr>
        <w:t xml:space="preserve">at 2,000 </w:t>
      </w:r>
      <w:r w:rsidR="00AF484E" w:rsidRPr="00AA4FF6">
        <w:rPr>
          <w:rFonts w:eastAsiaTheme="minorHAnsi"/>
          <w:i/>
          <w:iCs/>
          <w:highlight w:val="yellow"/>
        </w:rPr>
        <w:t>× g</w:t>
      </w:r>
      <w:r w:rsidR="00AF484E" w:rsidRPr="00AA4FF6">
        <w:rPr>
          <w:highlight w:val="yellow"/>
        </w:rPr>
        <w:t xml:space="preserve"> for 2 s in a benchtop minicentrifuge.</w:t>
      </w:r>
    </w:p>
    <w:p w14:paraId="73837ECB" w14:textId="77777777" w:rsidR="009659F3" w:rsidRPr="002166FE" w:rsidRDefault="009659F3" w:rsidP="002166FE">
      <w:pPr>
        <w:tabs>
          <w:tab w:val="left" w:pos="0"/>
        </w:tabs>
      </w:pPr>
    </w:p>
    <w:p w14:paraId="5949AC6D" w14:textId="4CB03794" w:rsidR="00FA0D6B" w:rsidRPr="002166FE" w:rsidRDefault="00FC3F55" w:rsidP="002166FE">
      <w:pPr>
        <w:tabs>
          <w:tab w:val="left" w:pos="0"/>
        </w:tabs>
      </w:pPr>
      <w:r w:rsidRPr="002166FE">
        <w:rPr>
          <w:b/>
          <w:bCs/>
        </w:rPr>
        <w:t>NOTE:</w:t>
      </w:r>
      <w:r w:rsidRPr="002166FE">
        <w:t xml:space="preserve"> The refolding buffer should be prepared on the day of the </w:t>
      </w:r>
      <w:r w:rsidR="00470E83" w:rsidRPr="002166FE">
        <w:t>RNA clustering experiment</w:t>
      </w:r>
      <w:r w:rsidRPr="002166FE">
        <w:t>.</w:t>
      </w:r>
    </w:p>
    <w:p w14:paraId="7A68BE3E" w14:textId="3EDB6924"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1F5738E7" w14:textId="0FF84790" w:rsidR="00FA0D6B" w:rsidRPr="002166FE" w:rsidRDefault="00FC3F55" w:rsidP="002166FE">
      <w:pPr>
        <w:tabs>
          <w:tab w:val="left" w:pos="0"/>
        </w:tabs>
      </w:pPr>
      <w:r w:rsidRPr="002166FE">
        <w:rPr>
          <w:b/>
          <w:bCs/>
        </w:rPr>
        <w:t>NOTE:</w:t>
      </w:r>
      <w:r w:rsidRPr="002166FE">
        <w:t xml:space="preserve"> </w:t>
      </w:r>
      <w:r w:rsidRPr="002166FE">
        <w:rPr>
          <w:i/>
          <w:iCs/>
        </w:rPr>
        <w:t xml:space="preserve">Steps </w:t>
      </w:r>
      <w:r w:rsidR="00AA2D80" w:rsidRPr="002166FE">
        <w:rPr>
          <w:i/>
          <w:iCs/>
        </w:rPr>
        <w:t>4.</w:t>
      </w:r>
      <w:r w:rsidRPr="002166FE">
        <w:rPr>
          <w:i/>
          <w:iCs/>
        </w:rPr>
        <w:t>3-</w:t>
      </w:r>
      <w:r w:rsidR="00AA2D80" w:rsidRPr="002166FE">
        <w:rPr>
          <w:i/>
          <w:iCs/>
        </w:rPr>
        <w:t>4.</w:t>
      </w:r>
      <w:r w:rsidR="00E9009D" w:rsidRPr="002166FE">
        <w:rPr>
          <w:i/>
          <w:iCs/>
        </w:rPr>
        <w:t>4</w:t>
      </w:r>
      <w:r w:rsidRPr="002166FE">
        <w:t xml:space="preserve"> depend on the experimental conditions and may be adjusted as needed. Two example conditions for RNA clustering used in this study are described below. </w:t>
      </w:r>
      <w:r w:rsidR="00094518" w:rsidRPr="002166FE">
        <w:t>The co-folding condition is adapted from a method used to anneal antisense oligonucleotides to RNA</w:t>
      </w:r>
      <w:r w:rsidR="00475A00" w:rsidRPr="002166FE">
        <w:fldChar w:fldCharType="begin">
          <w:fldData xml:space="preserve">PEVuZE5vdGU+PENpdGU+PEF1dGhvcj5MYW5nZG9uPC9BdXRob3I+PFllYXI+MjAxODwvWWVhcj48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</w:fldData>
        </w:fldChar>
      </w:r>
      <w:r w:rsidR="00475A00" w:rsidRPr="002166FE">
        <w:instrText xml:space="preserve"> ADDIN EN.CITE </w:instrText>
      </w:r>
      <w:r w:rsidR="00475A00" w:rsidRPr="002166FE">
        <w:fldChar w:fldCharType="begin">
          <w:fldData xml:space="preserve">PEVuZE5vdGU+PENpdGU+PEF1dGhvcj5MYW5nZG9uPC9BdXRob3I+PFllYXI+MjAxODwvWWVhcj48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</w:fldData>
        </w:fldChar>
      </w:r>
      <w:r w:rsidR="00475A00" w:rsidRPr="002166FE">
        <w:instrText xml:space="preserve"> ADDIN EN.CITE.DATA </w:instrText>
      </w:r>
      <w:r w:rsidR="00475A00" w:rsidRPr="002166FE">
        <w:fldChar w:fldCharType="end"/>
      </w:r>
      <w:r w:rsidR="00475A00" w:rsidRPr="002166FE">
        <w:fldChar w:fldCharType="separate"/>
      </w:r>
      <w:r w:rsidR="00475A00" w:rsidRPr="002166FE">
        <w:rPr>
          <w:noProof/>
          <w:vertAlign w:val="superscript"/>
        </w:rPr>
        <w:t>2</w:t>
      </w:r>
      <w:r w:rsidR="00475A00" w:rsidRPr="002166FE">
        <w:fldChar w:fldCharType="end"/>
      </w:r>
      <w:r w:rsidR="00094518" w:rsidRPr="002166FE">
        <w:t xml:space="preserve">. </w:t>
      </w:r>
      <w:r w:rsidR="00DD5510" w:rsidRPr="002166FE">
        <w:t xml:space="preserve">In this method, RNAs are mixed in </w:t>
      </w:r>
      <w:r w:rsidR="00FA7C89" w:rsidRPr="002166FE">
        <w:t xml:space="preserve">a </w:t>
      </w:r>
      <w:r w:rsidR="00DD5510" w:rsidRPr="002166FE">
        <w:t xml:space="preserve">salt buffer and heated together to promote intermolecular base pairing between RNAs carrying complementary sequences. </w:t>
      </w:r>
      <w:r w:rsidR="00051C44" w:rsidRPr="002166FE">
        <w:t>In contrast, for the separate folding condition, each RNA is folded individually prior to mixing</w:t>
      </w:r>
      <w:r w:rsidR="00830B27" w:rsidRPr="002166FE">
        <w:t xml:space="preserve">. </w:t>
      </w:r>
      <w:r w:rsidR="001C1D38" w:rsidRPr="002166FE">
        <w:t>This condition is intended to approximate a cellular scenario in which RNAs are folded prior to interacting.</w:t>
      </w:r>
    </w:p>
    <w:p w14:paraId="702EAA71" w14:textId="77777777" w:rsidR="00FA0D6B" w:rsidRPr="002166FE" w:rsidRDefault="00FA0D6B" w:rsidP="002166FE">
      <w:pPr>
        <w:tabs>
          <w:tab w:val="left" w:pos="0"/>
        </w:tabs>
      </w:pPr>
    </w:p>
    <w:p w14:paraId="494D978D" w14:textId="22C33C97" w:rsidR="00FA0D6B" w:rsidRPr="002166FE" w:rsidRDefault="00FC3F55" w:rsidP="002166FE">
      <w:pPr>
        <w:tabs>
          <w:tab w:val="left" w:pos="0"/>
        </w:tabs>
      </w:pPr>
      <w:r w:rsidRPr="00AA4FF6">
        <w:rPr>
          <w:highlight w:val="yellow"/>
        </w:rPr>
        <w:t>4.3 Co-folding</w:t>
      </w:r>
      <w:r w:rsidRPr="002166FE">
        <w:t xml:space="preserve"> </w:t>
      </w:r>
    </w:p>
    <w:p w14:paraId="40BBE8A5" w14:textId="77777777" w:rsidR="00FA0D6B" w:rsidRPr="002166FE" w:rsidRDefault="00FA0D6B" w:rsidP="002166FE">
      <w:pPr>
        <w:tabs>
          <w:tab w:val="left" w:pos="0"/>
        </w:tabs>
      </w:pPr>
    </w:p>
    <w:p w14:paraId="03D8D56A" w14:textId="5F74B5A9" w:rsidR="00FA0D6B" w:rsidRPr="002166FE" w:rsidRDefault="00FC3F55" w:rsidP="002166FE">
      <w:pPr>
        <w:tabs>
          <w:tab w:val="left" w:pos="0"/>
        </w:tabs>
      </w:pPr>
      <w:r w:rsidRPr="002166FE">
        <w:rPr>
          <w:b/>
          <w:bCs/>
        </w:rPr>
        <w:t>NOTE:</w:t>
      </w:r>
      <w:r w:rsidRPr="002166FE">
        <w:t xml:space="preserve"> This condition promotes intermolecular base pairing between RNAs containing the </w:t>
      </w:r>
      <w:r w:rsidRPr="002166FE">
        <w:rPr>
          <w:i/>
          <w:iCs/>
        </w:rPr>
        <w:t>top</w:t>
      </w:r>
      <w:r w:rsidRPr="002166FE">
        <w:t xml:space="preserve"> and </w:t>
      </w:r>
      <w:r w:rsidRPr="002166FE">
        <w:rPr>
          <w:i/>
          <w:iCs/>
        </w:rPr>
        <w:t>bottom</w:t>
      </w:r>
      <w:r w:rsidRPr="002166FE">
        <w:t xml:space="preserve"> sequences. It serves as </w:t>
      </w:r>
      <w:r w:rsidR="00123CE2">
        <w:t xml:space="preserve">a </w:t>
      </w:r>
      <w:r w:rsidRPr="002166FE">
        <w:t xml:space="preserve">positive control for reporter-driven intermolecular base pairing under the RNA clustering condition. </w:t>
      </w:r>
    </w:p>
    <w:p w14:paraId="30800452" w14:textId="77777777" w:rsidR="00FA0D6B" w:rsidRPr="002166FE" w:rsidRDefault="00FA0D6B" w:rsidP="002166FE">
      <w:pPr>
        <w:tabs>
          <w:tab w:val="left" w:pos="0"/>
        </w:tabs>
      </w:pPr>
    </w:p>
    <w:p w14:paraId="3A329C33" w14:textId="785A4029" w:rsidR="00FA0D6B" w:rsidRPr="002166FE" w:rsidRDefault="00FC3F55" w:rsidP="002166FE">
      <w:pPr>
        <w:tabs>
          <w:tab w:val="left" w:pos="0"/>
        </w:tabs>
      </w:pPr>
      <w:r w:rsidRPr="00AA4FF6">
        <w:rPr>
          <w:highlight w:val="yellow"/>
        </w:rPr>
        <w:t xml:space="preserve">4.3.1 In a 200 </w:t>
      </w:r>
      <w:proofErr w:type="spellStart"/>
      <w:r w:rsidRPr="00AA4FF6">
        <w:rPr>
          <w:highlight w:val="yellow"/>
        </w:rPr>
        <w:t>μL</w:t>
      </w:r>
      <w:proofErr w:type="spellEnd"/>
      <w:r w:rsidRPr="00AA4FF6">
        <w:rPr>
          <w:highlight w:val="yellow"/>
        </w:rPr>
        <w:t xml:space="preserve"> PCR tube, combine 16 </w:t>
      </w:r>
      <w:proofErr w:type="spellStart"/>
      <w:r w:rsidRPr="00AA4FF6">
        <w:rPr>
          <w:highlight w:val="yellow"/>
        </w:rPr>
        <w:t>pmol</w:t>
      </w:r>
      <w:proofErr w:type="spellEnd"/>
      <w:r w:rsidRPr="00AA4FF6">
        <w:rPr>
          <w:highlight w:val="yellow"/>
        </w:rPr>
        <w:t xml:space="preserve"> of each </w:t>
      </w:r>
      <w:r w:rsidRPr="00AA4FF6">
        <w:rPr>
          <w:i/>
          <w:iCs/>
          <w:highlight w:val="yellow"/>
        </w:rPr>
        <w:t xml:space="preserve">in vitro </w:t>
      </w:r>
      <w:r w:rsidRPr="00AA4FF6">
        <w:rPr>
          <w:highlight w:val="yellow"/>
        </w:rPr>
        <w:t xml:space="preserve">transcribed RNA carrying either </w:t>
      </w:r>
      <w:r w:rsidRPr="00AA4FF6">
        <w:rPr>
          <w:i/>
          <w:iCs/>
          <w:highlight w:val="yellow"/>
        </w:rPr>
        <w:t>top</w:t>
      </w:r>
      <w:r w:rsidRPr="00AA4FF6">
        <w:rPr>
          <w:highlight w:val="yellow"/>
        </w:rPr>
        <w:t xml:space="preserve"> or </w:t>
      </w:r>
      <w:r w:rsidRPr="00AA4FF6">
        <w:rPr>
          <w:i/>
          <w:iCs/>
          <w:highlight w:val="yellow"/>
        </w:rPr>
        <w:t>bottom</w:t>
      </w:r>
      <w:r w:rsidRPr="00AA4FF6">
        <w:rPr>
          <w:highlight w:val="yellow"/>
        </w:rPr>
        <w:t xml:space="preserve"> sequence, 2 </w:t>
      </w:r>
      <w:proofErr w:type="spellStart"/>
      <w:r w:rsidRPr="00AA4FF6">
        <w:rPr>
          <w:highlight w:val="yellow"/>
        </w:rPr>
        <w:t>μL</w:t>
      </w:r>
      <w:proofErr w:type="spellEnd"/>
      <w:r w:rsidRPr="00AA4FF6">
        <w:rPr>
          <w:highlight w:val="yellow"/>
        </w:rPr>
        <w:t xml:space="preserve"> of </w:t>
      </w:r>
      <w:r w:rsidR="007D1FA4" w:rsidRPr="00AA4FF6">
        <w:rPr>
          <w:highlight w:val="yellow"/>
        </w:rPr>
        <w:t>10×</w:t>
      </w:r>
      <w:r w:rsidRPr="00AA4FF6">
        <w:rPr>
          <w:highlight w:val="yellow"/>
        </w:rPr>
        <w:t xml:space="preserve"> refolding RNA buffer</w:t>
      </w:r>
      <w:r w:rsidR="00123CE2" w:rsidRPr="00AA4FF6">
        <w:rPr>
          <w:highlight w:val="yellow"/>
        </w:rPr>
        <w:t>,</w:t>
      </w:r>
      <w:r w:rsidRPr="00AA4FF6">
        <w:rPr>
          <w:highlight w:val="yellow"/>
        </w:rPr>
        <w:t xml:space="preserve"> and nuclease-free water to a final volume of 14 </w:t>
      </w:r>
      <w:proofErr w:type="spellStart"/>
      <w:r w:rsidRPr="00AA4FF6">
        <w:rPr>
          <w:highlight w:val="yellow"/>
        </w:rPr>
        <w:t>μL</w:t>
      </w:r>
      <w:proofErr w:type="spellEnd"/>
      <w:r w:rsidRPr="00AA4FF6">
        <w:rPr>
          <w:highlight w:val="yellow"/>
        </w:rPr>
        <w:t>.</w:t>
      </w:r>
      <w:r w:rsidR="00DC4D9B" w:rsidRPr="00AA4FF6">
        <w:rPr>
          <w:highlight w:val="yellow"/>
        </w:rPr>
        <w:t xml:space="preserve"> Mix thoroughly by pipetting up and down. </w:t>
      </w:r>
      <w:r w:rsidR="00C5108B" w:rsidRPr="00AA4FF6">
        <w:rPr>
          <w:rFonts w:eastAsiaTheme="minorHAnsi"/>
          <w:highlight w:val="yellow"/>
        </w:rPr>
        <w:t>C</w:t>
      </w:r>
      <w:r w:rsidR="00AF484E" w:rsidRPr="00AA4FF6">
        <w:rPr>
          <w:rFonts w:eastAsiaTheme="minorHAnsi"/>
          <w:highlight w:val="yellow"/>
        </w:rPr>
        <w:t xml:space="preserve">entrifuge </w:t>
      </w:r>
      <w:r w:rsidR="00AF484E" w:rsidRPr="00AA4FF6">
        <w:rPr>
          <w:highlight w:val="yellow"/>
        </w:rPr>
        <w:t xml:space="preserve">at 2,000 </w:t>
      </w:r>
      <w:r w:rsidR="00AF484E" w:rsidRPr="00AA4FF6">
        <w:rPr>
          <w:rFonts w:eastAsiaTheme="minorHAnsi"/>
          <w:i/>
          <w:iCs/>
          <w:highlight w:val="yellow"/>
        </w:rPr>
        <w:t>× g</w:t>
      </w:r>
      <w:r w:rsidR="00AF484E" w:rsidRPr="00AA4FF6">
        <w:rPr>
          <w:highlight w:val="yellow"/>
        </w:rPr>
        <w:t xml:space="preserve"> for 2 s in a benchtop minicentrifuge</w:t>
      </w:r>
      <w:r w:rsidR="0011616C" w:rsidRPr="00AA4FF6">
        <w:rPr>
          <w:highlight w:val="yellow"/>
        </w:rPr>
        <w:t>.</w:t>
      </w:r>
    </w:p>
    <w:p w14:paraId="429F2545" w14:textId="77777777"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4E82161D" w14:textId="368DBDFC" w:rsidR="00FA0D6B" w:rsidRDefault="00FC3F55" w:rsidP="00123CE2">
      <w:pPr>
        <w:tabs>
          <w:tab w:val="left" w:pos="0"/>
        </w:tabs>
      </w:pPr>
      <w:r w:rsidRPr="002166FE">
        <w:rPr>
          <w:b/>
          <w:bCs/>
        </w:rPr>
        <w:t>NOTE:</w:t>
      </w:r>
      <w:r w:rsidRPr="002166FE">
        <w:t xml:space="preserve"> To calculate the RNA mass corresponding to 16 </w:t>
      </w:r>
      <w:proofErr w:type="spellStart"/>
      <w:r w:rsidRPr="002166FE">
        <w:t>pmol</w:t>
      </w:r>
      <w:proofErr w:type="spellEnd"/>
      <w:r w:rsidR="00123CE2">
        <w:t>.</w:t>
      </w:r>
    </w:p>
    <w:p w14:paraId="23AA08D5" w14:textId="77777777" w:rsidR="00123CE2" w:rsidRPr="002166FE" w:rsidRDefault="00123CE2" w:rsidP="00123CE2">
      <w:pPr>
        <w:tabs>
          <w:tab w:val="left" w:pos="0"/>
        </w:tabs>
      </w:pPr>
    </w:p>
    <w:p w14:paraId="6F9731B8" w14:textId="15B8D912" w:rsidR="00FA0D6B" w:rsidRPr="00AA4FF6" w:rsidRDefault="00FC3F55" w:rsidP="002166FE">
      <w:pPr>
        <w:tabs>
          <w:tab w:val="left" w:pos="0"/>
        </w:tabs>
        <w:rPr>
          <w:rFonts w:eastAsia="Times New Roman"/>
          <w:highlight w:val="yellow"/>
        </w:rPr>
      </w:pPr>
      <w:r w:rsidRPr="00AA4FF6">
        <w:rPr>
          <w:highlight w:val="yellow"/>
        </w:rPr>
        <w:t>4.3.2 Heat the RNA sample at 9</w:t>
      </w:r>
      <w:r w:rsidR="000869A7" w:rsidRPr="00AA4FF6">
        <w:rPr>
          <w:highlight w:val="yellow"/>
        </w:rPr>
        <w:t>0</w:t>
      </w:r>
      <w:r w:rsidR="0069144E" w:rsidRPr="00AA4FF6">
        <w:rPr>
          <w:highlight w:val="yellow"/>
        </w:rPr>
        <w:t xml:space="preserve"> </w:t>
      </w:r>
      <w:r w:rsidRPr="00AA4FF6">
        <w:rPr>
          <w:rFonts w:eastAsia="Times New Roman"/>
          <w:highlight w:val="yellow"/>
        </w:rPr>
        <w:t xml:space="preserve">°C for 2 min. </w:t>
      </w:r>
    </w:p>
    <w:p w14:paraId="165B6239" w14:textId="77777777" w:rsidR="00FA0D6B" w:rsidRPr="00AA4FF6" w:rsidRDefault="00FA0D6B" w:rsidP="002166FE">
      <w:pPr>
        <w:pStyle w:val="ListParagraph"/>
        <w:tabs>
          <w:tab w:val="left" w:pos="0"/>
        </w:tabs>
        <w:spacing w:after="0" w:line="240" w:lineRule="auto"/>
        <w:ind w:left="0"/>
        <w:jc w:val="both"/>
        <w:rPr>
          <w:rFonts w:ascii="Calibri" w:eastAsia="Times New Roman" w:hAnsi="Calibri" w:cs="Calibri"/>
          <w:sz w:val="24"/>
          <w:szCs w:val="24"/>
          <w:highlight w:val="yellow"/>
        </w:rPr>
      </w:pPr>
    </w:p>
    <w:p w14:paraId="428891B7" w14:textId="06F97434" w:rsidR="00FA0D6B" w:rsidRPr="002166FE" w:rsidRDefault="00FC3F55" w:rsidP="002166FE">
      <w:pPr>
        <w:tabs>
          <w:tab w:val="left" w:pos="0"/>
        </w:tabs>
        <w:rPr>
          <w:rFonts w:eastAsia="Times New Roman"/>
        </w:rPr>
      </w:pPr>
      <w:r w:rsidRPr="00AA4FF6">
        <w:rPr>
          <w:rFonts w:eastAsia="Times New Roman"/>
          <w:highlight w:val="yellow"/>
        </w:rPr>
        <w:t xml:space="preserve">4.3.3 Immediately transfer the sample to RT and protect it from light. Incubate the reaction at </w:t>
      </w:r>
      <w:r w:rsidR="008F0645" w:rsidRPr="00AA4FF6">
        <w:rPr>
          <w:rFonts w:eastAsia="Times New Roman"/>
          <w:highlight w:val="yellow"/>
        </w:rPr>
        <w:t>RT</w:t>
      </w:r>
      <w:r w:rsidRPr="00AA4FF6">
        <w:rPr>
          <w:rFonts w:eastAsia="Times New Roman"/>
          <w:highlight w:val="yellow"/>
        </w:rPr>
        <w:t xml:space="preserve"> for 1</w:t>
      </w:r>
      <w:r w:rsidR="00D602EF" w:rsidRPr="00AA4FF6">
        <w:rPr>
          <w:rFonts w:eastAsia="Times New Roman"/>
          <w:highlight w:val="yellow"/>
        </w:rPr>
        <w:t xml:space="preserve"> </w:t>
      </w:r>
      <w:r w:rsidRPr="00AA4FF6">
        <w:rPr>
          <w:rFonts w:eastAsia="Times New Roman"/>
          <w:highlight w:val="yellow"/>
        </w:rPr>
        <w:t>h.</w:t>
      </w:r>
      <w:r w:rsidRPr="002166FE">
        <w:rPr>
          <w:rFonts w:eastAsia="Times New Roman"/>
        </w:rPr>
        <w:t xml:space="preserve"> </w:t>
      </w:r>
    </w:p>
    <w:p w14:paraId="313E541C" w14:textId="77777777" w:rsidR="00FA0D6B" w:rsidRPr="002166FE" w:rsidRDefault="00FA0D6B" w:rsidP="002166FE">
      <w:pPr>
        <w:tabs>
          <w:tab w:val="left" w:pos="0"/>
        </w:tabs>
      </w:pPr>
    </w:p>
    <w:p w14:paraId="3F2D92B5" w14:textId="3CBCAF25" w:rsidR="00FA0D6B" w:rsidRPr="002166FE" w:rsidRDefault="00FC3F55" w:rsidP="002166FE">
      <w:pPr>
        <w:tabs>
          <w:tab w:val="left" w:pos="0"/>
        </w:tabs>
      </w:pPr>
      <w:r w:rsidRPr="002166FE">
        <w:t>4.4 Separate folding</w:t>
      </w:r>
    </w:p>
    <w:p w14:paraId="5262101B" w14:textId="77777777" w:rsidR="00FA0D6B" w:rsidRPr="002166FE" w:rsidRDefault="00FA0D6B" w:rsidP="002166FE">
      <w:pPr>
        <w:tabs>
          <w:tab w:val="left" w:pos="0"/>
        </w:tabs>
      </w:pPr>
    </w:p>
    <w:p w14:paraId="1710BA4C" w14:textId="2FA19F62" w:rsidR="00FA0D6B" w:rsidRPr="00AA4FF6" w:rsidRDefault="00FC3F55" w:rsidP="002166FE">
      <w:pPr>
        <w:tabs>
          <w:tab w:val="left" w:pos="0"/>
          <w:tab w:val="left" w:pos="900"/>
        </w:tabs>
        <w:rPr>
          <w:highlight w:val="yellow"/>
        </w:rPr>
      </w:pPr>
      <w:r w:rsidRPr="00AA4FF6">
        <w:rPr>
          <w:highlight w:val="yellow"/>
        </w:rPr>
        <w:t>4.4.1 Heat the RNA sample at 9</w:t>
      </w:r>
      <w:r w:rsidR="00D024AC" w:rsidRPr="00AA4FF6">
        <w:rPr>
          <w:highlight w:val="yellow"/>
        </w:rPr>
        <w:t>0</w:t>
      </w:r>
      <w:r w:rsidR="00825CE9" w:rsidRPr="00AA4FF6">
        <w:rPr>
          <w:highlight w:val="yellow"/>
        </w:rPr>
        <w:t xml:space="preserve"> </w:t>
      </w:r>
      <w:r w:rsidRPr="00AA4FF6">
        <w:rPr>
          <w:rFonts w:eastAsia="Times New Roman"/>
          <w:highlight w:val="yellow"/>
        </w:rPr>
        <w:t>°C for 2 min and then immediately place it on ice for at least</w:t>
      </w:r>
      <w:r w:rsidR="00C20C64" w:rsidRPr="00AA4FF6">
        <w:rPr>
          <w:rFonts w:eastAsia="Times New Roman"/>
          <w:highlight w:val="yellow"/>
        </w:rPr>
        <w:t xml:space="preserve"> </w:t>
      </w:r>
      <w:r w:rsidRPr="00AA4FF6">
        <w:rPr>
          <w:rFonts w:eastAsia="Times New Roman"/>
          <w:highlight w:val="yellow"/>
        </w:rPr>
        <w:t xml:space="preserve">15 min. </w:t>
      </w:r>
    </w:p>
    <w:p w14:paraId="77C7AAF5" w14:textId="77777777" w:rsidR="00FA0D6B" w:rsidRPr="00AA4FF6" w:rsidRDefault="00FA0D6B" w:rsidP="002166FE">
      <w:pPr>
        <w:pStyle w:val="ListParagraph"/>
        <w:tabs>
          <w:tab w:val="left" w:pos="0"/>
        </w:tabs>
        <w:spacing w:after="0" w:line="240" w:lineRule="auto"/>
        <w:ind w:left="0"/>
        <w:jc w:val="both"/>
        <w:rPr>
          <w:rFonts w:ascii="Calibri" w:hAnsi="Calibri" w:cs="Calibri"/>
          <w:sz w:val="24"/>
          <w:szCs w:val="24"/>
          <w:highlight w:val="yellow"/>
        </w:rPr>
      </w:pPr>
    </w:p>
    <w:p w14:paraId="26E91CCE" w14:textId="1683C5F8" w:rsidR="00C20C64" w:rsidRPr="002166FE" w:rsidRDefault="00FC3F55" w:rsidP="002166FE">
      <w:pPr>
        <w:tabs>
          <w:tab w:val="left" w:pos="0"/>
          <w:tab w:val="left" w:pos="900"/>
        </w:tabs>
      </w:pPr>
      <w:r w:rsidRPr="00AA4FF6">
        <w:rPr>
          <w:highlight w:val="yellow"/>
        </w:rPr>
        <w:t xml:space="preserve">4.4.2 </w:t>
      </w:r>
      <w:r w:rsidR="00FA0D6B" w:rsidRPr="00AA4FF6">
        <w:rPr>
          <w:highlight w:val="yellow"/>
        </w:rPr>
        <w:t xml:space="preserve">In a 200 </w:t>
      </w:r>
      <w:proofErr w:type="spellStart"/>
      <w:r w:rsidR="00FA0D6B" w:rsidRPr="00AA4FF6">
        <w:rPr>
          <w:highlight w:val="yellow"/>
        </w:rPr>
        <w:t>μL</w:t>
      </w:r>
      <w:proofErr w:type="spellEnd"/>
      <w:r w:rsidR="00FA0D6B" w:rsidRPr="00AA4FF6">
        <w:rPr>
          <w:highlight w:val="yellow"/>
        </w:rPr>
        <w:t xml:space="preserve"> PCR tube, combine 16 </w:t>
      </w:r>
      <w:proofErr w:type="spellStart"/>
      <w:r w:rsidR="00FA0D6B" w:rsidRPr="00AA4FF6">
        <w:rPr>
          <w:highlight w:val="yellow"/>
        </w:rPr>
        <w:t>pmol</w:t>
      </w:r>
      <w:proofErr w:type="spellEnd"/>
      <w:r w:rsidR="00FA0D6B" w:rsidRPr="00AA4FF6">
        <w:rPr>
          <w:highlight w:val="yellow"/>
        </w:rPr>
        <w:t xml:space="preserve"> of </w:t>
      </w:r>
      <w:r w:rsidR="00FA0D6B" w:rsidRPr="00AA4FF6">
        <w:rPr>
          <w:i/>
          <w:iCs/>
          <w:highlight w:val="yellow"/>
        </w:rPr>
        <w:t xml:space="preserve">in vitro </w:t>
      </w:r>
      <w:r w:rsidR="00FA0D6B" w:rsidRPr="00AA4FF6">
        <w:rPr>
          <w:highlight w:val="yellow"/>
        </w:rPr>
        <w:t xml:space="preserve">transcribed RNA carrying either </w:t>
      </w:r>
      <w:r w:rsidR="00FA0D6B" w:rsidRPr="00AA4FF6">
        <w:rPr>
          <w:i/>
          <w:iCs/>
          <w:highlight w:val="yellow"/>
        </w:rPr>
        <w:t>top</w:t>
      </w:r>
      <w:r w:rsidR="00FA0D6B" w:rsidRPr="00AA4FF6">
        <w:rPr>
          <w:highlight w:val="yellow"/>
        </w:rPr>
        <w:t xml:space="preserve"> or </w:t>
      </w:r>
      <w:r w:rsidR="00FA0D6B" w:rsidRPr="00AA4FF6">
        <w:rPr>
          <w:i/>
          <w:iCs/>
          <w:highlight w:val="yellow"/>
        </w:rPr>
        <w:t>bottom</w:t>
      </w:r>
      <w:r w:rsidR="00FA0D6B" w:rsidRPr="00AA4FF6">
        <w:rPr>
          <w:highlight w:val="yellow"/>
        </w:rPr>
        <w:t xml:space="preserve"> sequence, 1 </w:t>
      </w:r>
      <w:proofErr w:type="spellStart"/>
      <w:r w:rsidR="00FA0D6B" w:rsidRPr="00AA4FF6">
        <w:rPr>
          <w:highlight w:val="yellow"/>
        </w:rPr>
        <w:t>μL</w:t>
      </w:r>
      <w:proofErr w:type="spellEnd"/>
      <w:r w:rsidR="00FA0D6B" w:rsidRPr="00AA4FF6">
        <w:rPr>
          <w:highlight w:val="yellow"/>
        </w:rPr>
        <w:t xml:space="preserve"> of </w:t>
      </w:r>
      <w:r w:rsidR="007D1FA4" w:rsidRPr="00AA4FF6">
        <w:rPr>
          <w:highlight w:val="yellow"/>
        </w:rPr>
        <w:t>10×</w:t>
      </w:r>
      <w:r w:rsidR="00FA0D6B" w:rsidRPr="00AA4FF6">
        <w:rPr>
          <w:highlight w:val="yellow"/>
        </w:rPr>
        <w:t xml:space="preserve"> refolding RNA buffer</w:t>
      </w:r>
      <w:r w:rsidR="00123CE2" w:rsidRPr="00AA4FF6">
        <w:rPr>
          <w:highlight w:val="yellow"/>
        </w:rPr>
        <w:t>,</w:t>
      </w:r>
      <w:r w:rsidR="00FA0D6B" w:rsidRPr="00AA4FF6">
        <w:rPr>
          <w:highlight w:val="yellow"/>
        </w:rPr>
        <w:t xml:space="preserve"> and nuclease-free water to a final volume of 7 </w:t>
      </w:r>
      <w:proofErr w:type="spellStart"/>
      <w:r w:rsidR="00FA0D6B" w:rsidRPr="00AA4FF6">
        <w:rPr>
          <w:highlight w:val="yellow"/>
        </w:rPr>
        <w:t>μL</w:t>
      </w:r>
      <w:proofErr w:type="spellEnd"/>
      <w:r w:rsidR="00FA0D6B" w:rsidRPr="00AA4FF6">
        <w:rPr>
          <w:highlight w:val="yellow"/>
        </w:rPr>
        <w:t>.</w:t>
      </w:r>
    </w:p>
    <w:p w14:paraId="65AE9C0A" w14:textId="77777777" w:rsidR="00C20C64" w:rsidRPr="002166FE" w:rsidRDefault="00C20C64" w:rsidP="002166FE">
      <w:pPr>
        <w:pStyle w:val="ListParagraph"/>
        <w:tabs>
          <w:tab w:val="left" w:pos="0"/>
        </w:tabs>
        <w:spacing w:after="0" w:line="240" w:lineRule="auto"/>
        <w:ind w:left="0"/>
        <w:rPr>
          <w:rFonts w:ascii="Calibri" w:hAnsi="Calibri" w:cs="Calibri"/>
          <w:sz w:val="24"/>
          <w:szCs w:val="24"/>
        </w:rPr>
      </w:pPr>
    </w:p>
    <w:p w14:paraId="60C56DF8" w14:textId="7535AB0E" w:rsidR="00FA0D6B" w:rsidRPr="002166FE" w:rsidRDefault="00FC3F55" w:rsidP="002166FE">
      <w:pPr>
        <w:tabs>
          <w:tab w:val="left" w:pos="0"/>
          <w:tab w:val="left" w:pos="900"/>
        </w:tabs>
      </w:pPr>
      <w:r w:rsidRPr="002166FE">
        <w:rPr>
          <w:b/>
          <w:bCs/>
        </w:rPr>
        <w:t>NOTE:</w:t>
      </w:r>
      <w:r w:rsidRPr="002166FE">
        <w:t xml:space="preserve"> To calculate the RNA mass corresponding to 16 </w:t>
      </w:r>
      <w:proofErr w:type="spellStart"/>
      <w:r w:rsidRPr="002166FE">
        <w:t>pmol</w:t>
      </w:r>
      <w:proofErr w:type="spellEnd"/>
      <w:r w:rsidR="00123CE2">
        <w:t>.</w:t>
      </w:r>
    </w:p>
    <w:p w14:paraId="1118A5C7" w14:textId="77777777" w:rsidR="00FA0D6B" w:rsidRPr="002166FE" w:rsidRDefault="00FA0D6B" w:rsidP="002166FE">
      <w:pPr>
        <w:tabs>
          <w:tab w:val="left" w:pos="0"/>
        </w:tabs>
      </w:pPr>
    </w:p>
    <w:p w14:paraId="799C7F3B" w14:textId="28C36217" w:rsidR="00FA0D6B" w:rsidRPr="00AA4FF6" w:rsidRDefault="00FC3F55" w:rsidP="002166FE">
      <w:pPr>
        <w:tabs>
          <w:tab w:val="left" w:pos="0"/>
        </w:tabs>
        <w:rPr>
          <w:highlight w:val="yellow"/>
        </w:rPr>
      </w:pPr>
      <w:r w:rsidRPr="00AA4FF6">
        <w:rPr>
          <w:highlight w:val="yellow"/>
        </w:rPr>
        <w:t xml:space="preserve">4.4.3 Incubate the reaction at RT for </w:t>
      </w:r>
      <w:r w:rsidR="00DC672D" w:rsidRPr="00AA4FF6">
        <w:rPr>
          <w:highlight w:val="yellow"/>
        </w:rPr>
        <w:t>30 min</w:t>
      </w:r>
      <w:r w:rsidR="00123CE2" w:rsidRPr="00AA4FF6">
        <w:rPr>
          <w:highlight w:val="yellow"/>
        </w:rPr>
        <w:t>,</w:t>
      </w:r>
      <w:r w:rsidRPr="00AA4FF6">
        <w:rPr>
          <w:highlight w:val="yellow"/>
        </w:rPr>
        <w:t xml:space="preserve"> protected from light. </w:t>
      </w:r>
    </w:p>
    <w:p w14:paraId="03CA06A1" w14:textId="77777777" w:rsidR="00FA0D6B" w:rsidRPr="00AA4FF6" w:rsidRDefault="00FA0D6B" w:rsidP="002166FE">
      <w:pPr>
        <w:tabs>
          <w:tab w:val="left" w:pos="0"/>
        </w:tabs>
        <w:rPr>
          <w:highlight w:val="yellow"/>
        </w:rPr>
      </w:pPr>
    </w:p>
    <w:p w14:paraId="786CFC44" w14:textId="75AB108D" w:rsidR="00FA0D6B" w:rsidRPr="00AA4FF6" w:rsidRDefault="00FC3F55" w:rsidP="002166FE">
      <w:pPr>
        <w:tabs>
          <w:tab w:val="left" w:pos="0"/>
          <w:tab w:val="left" w:pos="720"/>
        </w:tabs>
        <w:rPr>
          <w:highlight w:val="yellow"/>
        </w:rPr>
      </w:pPr>
      <w:r w:rsidRPr="00AA4FF6">
        <w:rPr>
          <w:highlight w:val="yellow"/>
        </w:rPr>
        <w:t xml:space="preserve">4.4.4 Combine the RNA samples containing the </w:t>
      </w:r>
      <w:r w:rsidRPr="00AA4FF6">
        <w:rPr>
          <w:i/>
          <w:iCs/>
          <w:highlight w:val="yellow"/>
        </w:rPr>
        <w:t>top</w:t>
      </w:r>
      <w:r w:rsidRPr="00AA4FF6">
        <w:rPr>
          <w:highlight w:val="yellow"/>
        </w:rPr>
        <w:t xml:space="preserve"> and </w:t>
      </w:r>
      <w:r w:rsidRPr="00AA4FF6">
        <w:rPr>
          <w:i/>
          <w:iCs/>
          <w:highlight w:val="yellow"/>
        </w:rPr>
        <w:t>bottom</w:t>
      </w:r>
      <w:r w:rsidRPr="00AA4FF6">
        <w:rPr>
          <w:highlight w:val="yellow"/>
        </w:rPr>
        <w:t xml:space="preserve"> sequences into a single PCR tub</w:t>
      </w:r>
      <w:r w:rsidR="00DC672D" w:rsidRPr="00AA4FF6">
        <w:rPr>
          <w:highlight w:val="yellow"/>
        </w:rPr>
        <w:t>e</w:t>
      </w:r>
      <w:r w:rsidR="003E568A" w:rsidRPr="00AA4FF6">
        <w:rPr>
          <w:highlight w:val="yellow"/>
        </w:rPr>
        <w:t>.</w:t>
      </w:r>
      <w:r w:rsidR="009B5416" w:rsidRPr="00AA4FF6">
        <w:rPr>
          <w:highlight w:val="yellow"/>
        </w:rPr>
        <w:t xml:space="preserve"> Mix thoroughly by pipetting up and down. </w:t>
      </w:r>
      <w:r w:rsidR="00C5108B" w:rsidRPr="00AA4FF6">
        <w:rPr>
          <w:rFonts w:eastAsiaTheme="minorHAnsi"/>
          <w:highlight w:val="yellow"/>
        </w:rPr>
        <w:t>C</w:t>
      </w:r>
      <w:r w:rsidR="00AD4B38" w:rsidRPr="00AA4FF6">
        <w:rPr>
          <w:rFonts w:eastAsiaTheme="minorHAnsi"/>
          <w:highlight w:val="yellow"/>
        </w:rPr>
        <w:t xml:space="preserve">entrifuge </w:t>
      </w:r>
      <w:r w:rsidR="00AD4B38" w:rsidRPr="00AA4FF6">
        <w:rPr>
          <w:highlight w:val="yellow"/>
        </w:rPr>
        <w:t xml:space="preserve">at 2,000 </w:t>
      </w:r>
      <w:r w:rsidR="00AD4B38" w:rsidRPr="00AA4FF6">
        <w:rPr>
          <w:rFonts w:eastAsiaTheme="minorHAnsi"/>
          <w:i/>
          <w:iCs/>
          <w:highlight w:val="yellow"/>
        </w:rPr>
        <w:t>× g</w:t>
      </w:r>
      <w:r w:rsidR="00AD4B38" w:rsidRPr="00AA4FF6">
        <w:rPr>
          <w:highlight w:val="yellow"/>
        </w:rPr>
        <w:t xml:space="preserve"> for 2 s in a benchtop minicentrifuge</w:t>
      </w:r>
      <w:r w:rsidR="009B5416" w:rsidRPr="00AA4FF6">
        <w:rPr>
          <w:highlight w:val="yellow"/>
        </w:rPr>
        <w:t xml:space="preserve">. </w:t>
      </w:r>
      <w:r w:rsidR="003E568A" w:rsidRPr="00AA4FF6">
        <w:rPr>
          <w:highlight w:val="yellow"/>
        </w:rPr>
        <w:t>I</w:t>
      </w:r>
      <w:r w:rsidR="009E72FB" w:rsidRPr="00AA4FF6">
        <w:rPr>
          <w:highlight w:val="yellow"/>
        </w:rPr>
        <w:t>ncubate at RT for 30 min</w:t>
      </w:r>
      <w:r w:rsidR="00DC672D" w:rsidRPr="00AA4FF6">
        <w:rPr>
          <w:highlight w:val="yellow"/>
        </w:rPr>
        <w:t>.</w:t>
      </w:r>
      <w:r w:rsidRPr="00AA4FF6">
        <w:rPr>
          <w:highlight w:val="yellow"/>
        </w:rPr>
        <w:t xml:space="preserve"> </w:t>
      </w:r>
    </w:p>
    <w:p w14:paraId="0816BC3C" w14:textId="77777777" w:rsidR="00FA0D6B" w:rsidRPr="00AA4FF6" w:rsidRDefault="00FA0D6B" w:rsidP="002166FE">
      <w:pPr>
        <w:pStyle w:val="ListParagraph"/>
        <w:tabs>
          <w:tab w:val="left" w:pos="0"/>
        </w:tabs>
        <w:spacing w:after="0" w:line="240" w:lineRule="auto"/>
        <w:ind w:left="0"/>
        <w:jc w:val="both"/>
        <w:rPr>
          <w:rFonts w:ascii="Calibri" w:hAnsi="Calibri" w:cs="Calibri"/>
          <w:sz w:val="24"/>
          <w:szCs w:val="24"/>
          <w:highlight w:val="yellow"/>
        </w:rPr>
      </w:pPr>
    </w:p>
    <w:p w14:paraId="191EFBA8" w14:textId="3EA6E536" w:rsidR="00007A1C" w:rsidRPr="002166FE" w:rsidRDefault="00FC3F55" w:rsidP="002166FE">
      <w:pPr>
        <w:tabs>
          <w:tab w:val="left" w:pos="0"/>
        </w:tabs>
      </w:pPr>
      <w:r w:rsidRPr="00AA4FF6">
        <w:rPr>
          <w:highlight w:val="yellow"/>
        </w:rPr>
        <w:t xml:space="preserve">4.5 </w:t>
      </w:r>
      <w:r w:rsidR="00FA0D6B" w:rsidRPr="00AA4FF6">
        <w:rPr>
          <w:highlight w:val="yellow"/>
        </w:rPr>
        <w:t xml:space="preserve">Add 6 </w:t>
      </w:r>
      <w:proofErr w:type="spellStart"/>
      <w:r w:rsidR="00FA0D6B" w:rsidRPr="00AA4FF6">
        <w:rPr>
          <w:highlight w:val="yellow"/>
        </w:rPr>
        <w:t>μL</w:t>
      </w:r>
      <w:proofErr w:type="spellEnd"/>
      <w:r w:rsidR="00FA0D6B" w:rsidRPr="00AA4FF6">
        <w:rPr>
          <w:highlight w:val="yellow"/>
        </w:rPr>
        <w:t xml:space="preserve"> of a 1:2 (v/v) premix of 100 mM spermine and 50% PEG 8000. </w:t>
      </w:r>
      <w:r w:rsidRPr="00AA4FF6">
        <w:rPr>
          <w:highlight w:val="yellow"/>
        </w:rPr>
        <w:t xml:space="preserve">Mix thoroughly by pipetting up and down. </w:t>
      </w:r>
      <w:r w:rsidR="00C5108B" w:rsidRPr="00AA4FF6">
        <w:rPr>
          <w:rFonts w:eastAsiaTheme="minorHAnsi"/>
          <w:highlight w:val="yellow"/>
        </w:rPr>
        <w:t>C</w:t>
      </w:r>
      <w:r w:rsidR="00007A1C" w:rsidRPr="00AA4FF6">
        <w:rPr>
          <w:rFonts w:eastAsiaTheme="minorHAnsi"/>
          <w:highlight w:val="yellow"/>
        </w:rPr>
        <w:t xml:space="preserve">entrifuge </w:t>
      </w:r>
      <w:r w:rsidR="00007A1C" w:rsidRPr="00AA4FF6">
        <w:rPr>
          <w:highlight w:val="yellow"/>
        </w:rPr>
        <w:t xml:space="preserve">at 2,000 </w:t>
      </w:r>
      <w:r w:rsidR="00007A1C" w:rsidRPr="00AA4FF6">
        <w:rPr>
          <w:rFonts w:eastAsiaTheme="minorHAnsi"/>
          <w:i/>
          <w:iCs/>
          <w:highlight w:val="yellow"/>
        </w:rPr>
        <w:t>× g</w:t>
      </w:r>
      <w:r w:rsidR="00007A1C" w:rsidRPr="00AA4FF6">
        <w:rPr>
          <w:highlight w:val="yellow"/>
        </w:rPr>
        <w:t xml:space="preserve"> for 2 s in a benchtop minicentrifuge.</w:t>
      </w:r>
    </w:p>
    <w:p w14:paraId="44DC6AB6" w14:textId="54A92A1B" w:rsidR="00C20C64" w:rsidRPr="002166FE" w:rsidRDefault="00C20C64" w:rsidP="002166FE">
      <w:pPr>
        <w:tabs>
          <w:tab w:val="left" w:pos="0"/>
        </w:tabs>
      </w:pPr>
    </w:p>
    <w:p w14:paraId="144A2E3E" w14:textId="1344B57C" w:rsidR="00FA0D6B" w:rsidRPr="002166FE" w:rsidRDefault="00FC3F55" w:rsidP="002166FE">
      <w:pPr>
        <w:tabs>
          <w:tab w:val="left" w:pos="0"/>
        </w:tabs>
      </w:pPr>
      <w:r w:rsidRPr="002166FE">
        <w:rPr>
          <w:b/>
          <w:bCs/>
        </w:rPr>
        <w:t>NOTE:</w:t>
      </w:r>
      <w:r w:rsidRPr="002166FE">
        <w:t xml:space="preserve"> 50% PEG</w:t>
      </w:r>
      <w:r w:rsidR="00123CE2">
        <w:t xml:space="preserve"> </w:t>
      </w:r>
      <w:r w:rsidRPr="002166FE">
        <w:t xml:space="preserve">8000 is highly viscous. Pipette slowly and carefully.  </w:t>
      </w:r>
    </w:p>
    <w:p w14:paraId="7CDCADED" w14:textId="77777777"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39096026" w14:textId="23B4295A" w:rsidR="00FA0D6B" w:rsidRPr="002166FE" w:rsidRDefault="00FC3F55" w:rsidP="002166FE">
      <w:pPr>
        <w:tabs>
          <w:tab w:val="left" w:pos="0"/>
        </w:tabs>
      </w:pPr>
      <w:r w:rsidRPr="00AA4FF6">
        <w:rPr>
          <w:highlight w:val="yellow"/>
        </w:rPr>
        <w:t>4.</w:t>
      </w:r>
      <w:r w:rsidR="00E91D68" w:rsidRPr="00AA4FF6">
        <w:rPr>
          <w:highlight w:val="yellow"/>
        </w:rPr>
        <w:t>6</w:t>
      </w:r>
      <w:r w:rsidRPr="00AA4FF6">
        <w:rPr>
          <w:highlight w:val="yellow"/>
        </w:rPr>
        <w:t xml:space="preserve"> Add 2 </w:t>
      </w:r>
      <w:proofErr w:type="spellStart"/>
      <w:r w:rsidRPr="00AA4FF6">
        <w:rPr>
          <w:highlight w:val="yellow"/>
        </w:rPr>
        <w:t>μL</w:t>
      </w:r>
      <w:proofErr w:type="spellEnd"/>
      <w:r w:rsidRPr="00AA4FF6">
        <w:rPr>
          <w:highlight w:val="yellow"/>
        </w:rPr>
        <w:t xml:space="preserve"> of 1 mM DFHBI-1T to the reaction</w:t>
      </w:r>
      <w:r w:rsidR="007B73CD" w:rsidRPr="00AA4FF6">
        <w:rPr>
          <w:highlight w:val="yellow"/>
        </w:rPr>
        <w:t xml:space="preserve">. Mix thoroughly by pipetting up and down. </w:t>
      </w:r>
      <w:r w:rsidR="00C5108B" w:rsidRPr="00AA4FF6">
        <w:rPr>
          <w:rFonts w:eastAsiaTheme="minorHAnsi"/>
          <w:highlight w:val="yellow"/>
        </w:rPr>
        <w:t>C</w:t>
      </w:r>
      <w:r w:rsidR="00AD4B38" w:rsidRPr="00AA4FF6">
        <w:rPr>
          <w:rFonts w:eastAsiaTheme="minorHAnsi"/>
          <w:highlight w:val="yellow"/>
        </w:rPr>
        <w:t xml:space="preserve">entrifuge </w:t>
      </w:r>
      <w:r w:rsidR="00AD4B38" w:rsidRPr="00AA4FF6">
        <w:rPr>
          <w:highlight w:val="yellow"/>
        </w:rPr>
        <w:t xml:space="preserve">at 2,000 </w:t>
      </w:r>
      <w:r w:rsidR="00AD4B38" w:rsidRPr="00AA4FF6">
        <w:rPr>
          <w:rFonts w:eastAsiaTheme="minorHAnsi"/>
          <w:i/>
          <w:iCs/>
          <w:highlight w:val="yellow"/>
        </w:rPr>
        <w:t>× g</w:t>
      </w:r>
      <w:r w:rsidR="00AD4B38" w:rsidRPr="00AA4FF6">
        <w:rPr>
          <w:highlight w:val="yellow"/>
        </w:rPr>
        <w:t xml:space="preserve"> for 2 s in a benchtop minicentrifuge.</w:t>
      </w:r>
      <w:r w:rsidR="007B73CD" w:rsidRPr="00AA4FF6">
        <w:rPr>
          <w:highlight w:val="yellow"/>
        </w:rPr>
        <w:t xml:space="preserve"> </w:t>
      </w:r>
      <w:r w:rsidRPr="00AA4FF6">
        <w:rPr>
          <w:highlight w:val="yellow"/>
        </w:rPr>
        <w:t>The reaction should appear yellow-green.</w:t>
      </w:r>
      <w:r w:rsidRPr="002166FE">
        <w:t xml:space="preserve"> </w:t>
      </w:r>
    </w:p>
    <w:p w14:paraId="37BA5FCE" w14:textId="77777777"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03FA3F0D" w14:textId="6A99785B" w:rsidR="00FA0D6B" w:rsidRPr="002166FE" w:rsidRDefault="00FC3F55" w:rsidP="002166FE">
      <w:pPr>
        <w:tabs>
          <w:tab w:val="left" w:pos="0"/>
        </w:tabs>
      </w:pPr>
      <w:r w:rsidRPr="002166FE">
        <w:rPr>
          <w:b/>
          <w:bCs/>
        </w:rPr>
        <w:t>NOTE:</w:t>
      </w:r>
      <w:r w:rsidRPr="002166FE">
        <w:t xml:space="preserve"> To prepare </w:t>
      </w:r>
      <w:r w:rsidR="00FA7C89" w:rsidRPr="002166FE">
        <w:t xml:space="preserve">a 20 mM DFHBI-1T stock solution from 1 mg of </w:t>
      </w:r>
      <w:r w:rsidRPr="002166FE">
        <w:t xml:space="preserve">DFHBI-1T (MW: 320.21) lyophilized dye, add 156 </w:t>
      </w:r>
      <w:proofErr w:type="spellStart"/>
      <w:r w:rsidRPr="002166FE">
        <w:t>μL</w:t>
      </w:r>
      <w:proofErr w:type="spellEnd"/>
      <w:r w:rsidRPr="002166FE">
        <w:t xml:space="preserve"> of molecular biology-grade anhydrous DMSO. Aliquot the stock in small </w:t>
      </w:r>
      <w:r w:rsidR="00FA7C89" w:rsidRPr="002166FE">
        <w:t>amounts</w:t>
      </w:r>
      <w:r w:rsidRPr="002166FE">
        <w:t xml:space="preserve"> in multiple microcentrifuge tubes and store in -20</w:t>
      </w:r>
      <w:r w:rsidR="00825CE9" w:rsidRPr="002166FE">
        <w:t xml:space="preserve"> </w:t>
      </w:r>
      <w:r w:rsidRPr="002166FE">
        <w:rPr>
          <w:rFonts w:eastAsia="Times New Roman"/>
        </w:rPr>
        <w:t xml:space="preserve">°C. Avoid repetitive freeze-thaw </w:t>
      </w:r>
      <w:r w:rsidR="00FA7C89" w:rsidRPr="002166FE">
        <w:rPr>
          <w:rFonts w:eastAsia="Times New Roman"/>
        </w:rPr>
        <w:t>cycles</w:t>
      </w:r>
      <w:r w:rsidRPr="002166FE">
        <w:rPr>
          <w:rFonts w:eastAsia="Times New Roman"/>
        </w:rPr>
        <w:t xml:space="preserve"> for the dye.</w:t>
      </w:r>
      <w:r w:rsidRPr="002166FE">
        <w:t xml:space="preserve"> </w:t>
      </w:r>
      <w:r w:rsidR="00FA7C89" w:rsidRPr="002166FE">
        <w:t xml:space="preserve">Prepare a freshly diluted 1 mM DFHBI-1T working solution by diluting the </w:t>
      </w:r>
      <w:r w:rsidRPr="002166FE">
        <w:t xml:space="preserve">20 mM stock in nuclease-free water and </w:t>
      </w:r>
      <w:r w:rsidR="00FA7C89" w:rsidRPr="002166FE">
        <w:t>storing it</w:t>
      </w:r>
      <w:r w:rsidRPr="002166FE">
        <w:t xml:space="preserve"> on ice. </w:t>
      </w:r>
    </w:p>
    <w:p w14:paraId="325187B3" w14:textId="77777777" w:rsidR="00FA0D6B" w:rsidRPr="002166FE" w:rsidRDefault="00FA0D6B" w:rsidP="002166FE">
      <w:pPr>
        <w:pStyle w:val="ListParagraph"/>
        <w:tabs>
          <w:tab w:val="left" w:pos="0"/>
        </w:tabs>
        <w:spacing w:after="0" w:line="240" w:lineRule="auto"/>
        <w:ind w:left="0"/>
        <w:jc w:val="both"/>
        <w:rPr>
          <w:rFonts w:ascii="Calibri" w:hAnsi="Calibri" w:cs="Calibri"/>
          <w:sz w:val="24"/>
          <w:szCs w:val="24"/>
        </w:rPr>
      </w:pPr>
    </w:p>
    <w:p w14:paraId="2A7470D9" w14:textId="0C6CB698" w:rsidR="00012B19" w:rsidRPr="00AA4FF6" w:rsidRDefault="00FC3F55" w:rsidP="002166FE">
      <w:pPr>
        <w:tabs>
          <w:tab w:val="left" w:pos="0"/>
        </w:tabs>
        <w:rPr>
          <w:highlight w:val="yellow"/>
        </w:rPr>
      </w:pPr>
      <w:r w:rsidRPr="00AA4FF6">
        <w:rPr>
          <w:highlight w:val="yellow"/>
        </w:rPr>
        <w:t>4.</w:t>
      </w:r>
      <w:r w:rsidR="00E91D68" w:rsidRPr="00AA4FF6">
        <w:rPr>
          <w:highlight w:val="yellow"/>
        </w:rPr>
        <w:t>7</w:t>
      </w:r>
      <w:r w:rsidRPr="00AA4FF6">
        <w:rPr>
          <w:highlight w:val="yellow"/>
        </w:rPr>
        <w:t xml:space="preserve"> </w:t>
      </w:r>
      <w:r w:rsidR="00FA0D6B" w:rsidRPr="00AA4FF6">
        <w:rPr>
          <w:highlight w:val="yellow"/>
        </w:rPr>
        <w:t>Load the reaction into a glass chambered coverglass.</w:t>
      </w:r>
    </w:p>
    <w:p w14:paraId="07F70A99" w14:textId="77777777" w:rsidR="00A92D45" w:rsidRPr="00AA4FF6" w:rsidRDefault="00A92D45" w:rsidP="002166FE">
      <w:pPr>
        <w:pStyle w:val="ListParagraph"/>
        <w:tabs>
          <w:tab w:val="left" w:pos="0"/>
        </w:tabs>
        <w:spacing w:after="0" w:line="240" w:lineRule="auto"/>
        <w:ind w:left="0"/>
        <w:jc w:val="both"/>
        <w:rPr>
          <w:rFonts w:ascii="Calibri" w:hAnsi="Calibri" w:cs="Calibri"/>
          <w:sz w:val="24"/>
          <w:szCs w:val="24"/>
          <w:highlight w:val="yellow"/>
        </w:rPr>
      </w:pPr>
    </w:p>
    <w:p w14:paraId="3C077D9E" w14:textId="6DB966ED" w:rsidR="00FA0D6B" w:rsidRPr="002166FE" w:rsidRDefault="00FC3F55" w:rsidP="002166FE">
      <w:pPr>
        <w:tabs>
          <w:tab w:val="left" w:pos="0"/>
          <w:tab w:val="left" w:pos="630"/>
        </w:tabs>
      </w:pPr>
      <w:r w:rsidRPr="00AA4FF6">
        <w:rPr>
          <w:highlight w:val="yellow"/>
        </w:rPr>
        <w:t>4.</w:t>
      </w:r>
      <w:r w:rsidR="00E91D68" w:rsidRPr="00AA4FF6">
        <w:rPr>
          <w:highlight w:val="yellow"/>
        </w:rPr>
        <w:t>8</w:t>
      </w:r>
      <w:r w:rsidRPr="00AA4FF6">
        <w:rPr>
          <w:highlight w:val="yellow"/>
        </w:rPr>
        <w:t xml:space="preserve"> Incubate the chamber at RT for 4 h in the dark with the cover on to minimize evaporation.</w:t>
      </w:r>
      <w:r w:rsidRPr="002166FE">
        <w:t xml:space="preserve">   </w:t>
      </w:r>
    </w:p>
    <w:p w14:paraId="066AE2D4" w14:textId="77777777" w:rsidR="00FA0D6B" w:rsidRPr="002166FE" w:rsidRDefault="00FA0D6B" w:rsidP="002166FE"/>
    <w:p w14:paraId="1874E163" w14:textId="77777777" w:rsidR="00FA7C89" w:rsidRPr="002166FE" w:rsidRDefault="00FC3F55" w:rsidP="002166FE">
      <w:pPr>
        <w:pStyle w:val="Heading2"/>
        <w:rPr>
          <w:rStyle w:val="Strong"/>
          <w:b/>
          <w:bCs w:val="0"/>
        </w:rPr>
      </w:pPr>
      <w:r w:rsidRPr="002166FE">
        <w:rPr>
          <w:rStyle w:val="Strong"/>
          <w:b/>
          <w:bCs w:val="0"/>
        </w:rPr>
        <w:lastRenderedPageBreak/>
        <w:t>5. Preparing for imaging</w:t>
      </w:r>
    </w:p>
    <w:p w14:paraId="34C71266" w14:textId="77777777" w:rsidR="0011616C" w:rsidRPr="002166FE" w:rsidRDefault="0011616C" w:rsidP="002166FE"/>
    <w:p w14:paraId="56F74863" w14:textId="77777777" w:rsidR="00FA7C89" w:rsidRPr="002166FE" w:rsidRDefault="00FC3F55" w:rsidP="002166FE">
      <w:pPr>
        <w:pStyle w:val="NormalWeb"/>
        <w:spacing w:before="0" w:beforeAutospacing="0" w:after="0" w:afterAutospacing="0"/>
        <w:jc w:val="both"/>
        <w:rPr>
          <w:rFonts w:ascii="Calibri" w:hAnsi="Calibri" w:cs="Calibri"/>
        </w:rPr>
      </w:pPr>
      <w:r w:rsidRPr="00500831">
        <w:rPr>
          <w:rFonts w:ascii="Calibri" w:hAnsi="Calibri" w:cs="Calibri"/>
          <w:highlight w:val="yellow"/>
        </w:rPr>
        <w:t>5.1 Acquire three-dimensional images using a structured illumination or confocal microscope equipped with appropriate lasers and objectives.</w:t>
      </w:r>
    </w:p>
    <w:p w14:paraId="0D0E5B99" w14:textId="77777777" w:rsidR="0011616C" w:rsidRPr="002166FE" w:rsidRDefault="0011616C" w:rsidP="002166FE">
      <w:pPr>
        <w:pStyle w:val="NormalWeb"/>
        <w:spacing w:before="0" w:beforeAutospacing="0" w:after="0" w:afterAutospacing="0"/>
        <w:jc w:val="both"/>
        <w:rPr>
          <w:rFonts w:ascii="Calibri" w:hAnsi="Calibri" w:cs="Calibri"/>
        </w:rPr>
      </w:pPr>
    </w:p>
    <w:p w14:paraId="67A0EB5C" w14:textId="77777777" w:rsidR="00FA7C89" w:rsidRPr="002166FE" w:rsidRDefault="00FC3F55" w:rsidP="002166FE">
      <w:pPr>
        <w:pStyle w:val="NormalWeb"/>
        <w:spacing w:before="0" w:beforeAutospacing="0" w:after="0" w:afterAutospacing="0"/>
        <w:jc w:val="both"/>
        <w:rPr>
          <w:rFonts w:ascii="Calibri" w:hAnsi="Calibri" w:cs="Calibri"/>
        </w:rPr>
      </w:pPr>
      <w:r w:rsidRPr="002166FE">
        <w:rPr>
          <w:rFonts w:ascii="Calibri" w:hAnsi="Calibri" w:cs="Calibri"/>
          <w:b/>
          <w:bCs/>
        </w:rPr>
        <w:t>NOTE:</w:t>
      </w:r>
      <w:r w:rsidRPr="002166FE">
        <w:rPr>
          <w:rFonts w:ascii="Calibri" w:hAnsi="Calibri" w:cs="Calibri"/>
        </w:rPr>
        <w:t xml:space="preserve"> Confocal microscopy is required to minimize out-of-focus light.</w:t>
      </w:r>
    </w:p>
    <w:p w14:paraId="21C075BF" w14:textId="77777777" w:rsidR="0011616C" w:rsidRPr="002166FE" w:rsidRDefault="0011616C" w:rsidP="002166FE">
      <w:pPr>
        <w:pStyle w:val="NormalWeb"/>
        <w:spacing w:before="0" w:beforeAutospacing="0" w:after="0" w:afterAutospacing="0"/>
        <w:jc w:val="both"/>
        <w:rPr>
          <w:rFonts w:ascii="Calibri" w:hAnsi="Calibri" w:cs="Calibri"/>
        </w:rPr>
      </w:pPr>
    </w:p>
    <w:p w14:paraId="237209C1" w14:textId="77777777" w:rsidR="00FA7C89" w:rsidRPr="002166FE" w:rsidRDefault="00FC3F55" w:rsidP="002166FE">
      <w:pPr>
        <w:pStyle w:val="NormalWeb"/>
        <w:spacing w:before="0" w:beforeAutospacing="0" w:after="0" w:afterAutospacing="0"/>
        <w:jc w:val="both"/>
        <w:rPr>
          <w:rFonts w:ascii="Calibri" w:hAnsi="Calibri" w:cs="Calibri"/>
        </w:rPr>
      </w:pPr>
      <w:r w:rsidRPr="002166FE">
        <w:rPr>
          <w:rFonts w:ascii="Calibri" w:hAnsi="Calibri" w:cs="Calibri"/>
        </w:rPr>
        <w:t>5.2 Configure the microscope to image each region of interest (ROI) with the Cy5 channel first at each z-plane, followed by imaging the same ROI using the GFP channel.</w:t>
      </w:r>
    </w:p>
    <w:p w14:paraId="18ABA03C" w14:textId="77777777" w:rsidR="0011616C" w:rsidRPr="002166FE" w:rsidRDefault="0011616C" w:rsidP="002166FE">
      <w:pPr>
        <w:pStyle w:val="NormalWeb"/>
        <w:spacing w:before="0" w:beforeAutospacing="0" w:after="0" w:afterAutospacing="0"/>
        <w:jc w:val="both"/>
        <w:rPr>
          <w:rFonts w:ascii="Calibri" w:hAnsi="Calibri" w:cs="Calibri"/>
        </w:rPr>
      </w:pPr>
    </w:p>
    <w:p w14:paraId="68ED0914" w14:textId="77777777" w:rsidR="00FA7C89" w:rsidRPr="002166FE" w:rsidRDefault="00FC3F55" w:rsidP="002166FE">
      <w:pPr>
        <w:pStyle w:val="NormalWeb"/>
        <w:spacing w:before="0" w:beforeAutospacing="0" w:after="0" w:afterAutospacing="0"/>
        <w:jc w:val="both"/>
        <w:rPr>
          <w:rFonts w:ascii="Calibri" w:hAnsi="Calibri" w:cs="Calibri"/>
        </w:rPr>
      </w:pPr>
      <w:r w:rsidRPr="002166FE">
        <w:rPr>
          <w:rFonts w:ascii="Calibri" w:hAnsi="Calibri" w:cs="Calibri"/>
        </w:rPr>
        <w:t xml:space="preserve">5.3 Set exposure time to 500 </w:t>
      </w:r>
      <w:proofErr w:type="spellStart"/>
      <w:r w:rsidRPr="002166FE">
        <w:rPr>
          <w:rFonts w:ascii="Calibri" w:hAnsi="Calibri" w:cs="Calibri"/>
        </w:rPr>
        <w:t>ms</w:t>
      </w:r>
      <w:proofErr w:type="spellEnd"/>
      <w:r w:rsidRPr="002166FE">
        <w:rPr>
          <w:rFonts w:ascii="Calibri" w:hAnsi="Calibri" w:cs="Calibri"/>
        </w:rPr>
        <w:t xml:space="preserve"> for all channels. Set laser power to 80% for GFP and 40% for Cy5.</w:t>
      </w:r>
    </w:p>
    <w:p w14:paraId="3EB60618" w14:textId="77777777" w:rsidR="0011616C" w:rsidRPr="002166FE" w:rsidRDefault="0011616C" w:rsidP="002166FE">
      <w:pPr>
        <w:pStyle w:val="NormalWeb"/>
        <w:spacing w:before="0" w:beforeAutospacing="0" w:after="0" w:afterAutospacing="0"/>
        <w:jc w:val="both"/>
        <w:rPr>
          <w:rFonts w:ascii="Calibri" w:hAnsi="Calibri" w:cs="Calibri"/>
        </w:rPr>
      </w:pPr>
    </w:p>
    <w:p w14:paraId="3737B3A3" w14:textId="77777777" w:rsidR="00FA023B" w:rsidRPr="002166FE" w:rsidRDefault="00FC3F55" w:rsidP="002166FE">
      <w:pPr>
        <w:pStyle w:val="NormalWeb"/>
        <w:spacing w:before="0" w:beforeAutospacing="0" w:after="0" w:afterAutospacing="0"/>
        <w:jc w:val="both"/>
        <w:rPr>
          <w:rFonts w:ascii="Calibri" w:hAnsi="Calibri" w:cs="Calibri"/>
        </w:rPr>
      </w:pPr>
      <w:r w:rsidRPr="002166FE">
        <w:rPr>
          <w:rFonts w:ascii="Calibri" w:hAnsi="Calibri" w:cs="Calibri"/>
        </w:rPr>
        <w:t>5.4 Image a coverslip region outside the reaction droplet at RT using a z-step size of 150 nm.</w:t>
      </w:r>
    </w:p>
    <w:p w14:paraId="41604388" w14:textId="77777777" w:rsidR="0011616C" w:rsidRPr="002166FE" w:rsidRDefault="0011616C" w:rsidP="002166FE">
      <w:pPr>
        <w:pStyle w:val="NormalWeb"/>
        <w:spacing w:before="0" w:beforeAutospacing="0" w:after="0" w:afterAutospacing="0"/>
        <w:jc w:val="both"/>
        <w:rPr>
          <w:rFonts w:ascii="Calibri" w:hAnsi="Calibri" w:cs="Calibri"/>
        </w:rPr>
      </w:pPr>
    </w:p>
    <w:p w14:paraId="3ED5CD2B" w14:textId="1DA178DF" w:rsidR="00FA023B" w:rsidRPr="002166FE" w:rsidRDefault="00FC3F55" w:rsidP="002166FE">
      <w:pPr>
        <w:pStyle w:val="NormalWeb"/>
        <w:spacing w:before="0" w:beforeAutospacing="0" w:after="0" w:afterAutospacing="0"/>
        <w:jc w:val="both"/>
        <w:rPr>
          <w:rFonts w:ascii="Calibri" w:eastAsiaTheme="minorHAnsi" w:hAnsi="Calibri" w:cs="Calibri"/>
          <w:b/>
          <w:bCs/>
        </w:rPr>
      </w:pPr>
      <w:r w:rsidRPr="002166FE">
        <w:rPr>
          <w:rFonts w:ascii="Calibri" w:hAnsi="Calibri" w:cs="Calibri"/>
          <w:b/>
          <w:bCs/>
        </w:rPr>
        <w:t xml:space="preserve">6. </w:t>
      </w:r>
      <w:r w:rsidRPr="002166FE">
        <w:rPr>
          <w:rFonts w:ascii="Calibri" w:eastAsiaTheme="minorHAnsi" w:hAnsi="Calibri" w:cs="Calibri"/>
          <w:b/>
          <w:bCs/>
        </w:rPr>
        <w:t>Quantification of intermolecular base pairing</w:t>
      </w:r>
    </w:p>
    <w:p w14:paraId="24A3788A" w14:textId="77777777" w:rsidR="0011616C" w:rsidRPr="002166FE" w:rsidRDefault="0011616C" w:rsidP="002166FE">
      <w:pPr>
        <w:pStyle w:val="NormalWeb"/>
        <w:spacing w:before="0" w:beforeAutospacing="0" w:after="0" w:afterAutospacing="0"/>
        <w:jc w:val="both"/>
        <w:rPr>
          <w:rFonts w:ascii="Calibri" w:hAnsi="Calibri" w:cs="Calibri"/>
          <w:b/>
          <w:bCs/>
        </w:rPr>
      </w:pPr>
    </w:p>
    <w:p w14:paraId="2B2CD0E6" w14:textId="67A994EE" w:rsidR="00FA023B" w:rsidRPr="002166FE" w:rsidRDefault="00FC3F55" w:rsidP="002166FE">
      <w:pPr>
        <w:pStyle w:val="ListParagraph"/>
        <w:spacing w:after="0" w:line="240" w:lineRule="auto"/>
        <w:ind w:left="0"/>
        <w:jc w:val="both"/>
        <w:rPr>
          <w:rFonts w:ascii="Calibri" w:hAnsi="Calibri" w:cs="Calibri"/>
          <w:sz w:val="24"/>
          <w:szCs w:val="24"/>
        </w:rPr>
      </w:pPr>
      <w:r w:rsidRPr="002166FE">
        <w:rPr>
          <w:rFonts w:ascii="Calibri" w:hAnsi="Calibri" w:cs="Calibri"/>
          <w:sz w:val="24"/>
          <w:szCs w:val="24"/>
        </w:rPr>
        <w:t>6.1 Import images into image analysis software</w:t>
      </w:r>
      <w:r w:rsidRPr="002166FE">
        <w:rPr>
          <w:rFonts w:ascii="Calibri" w:hAnsi="Calibri" w:cs="Calibri"/>
          <w:sz w:val="24"/>
          <w:szCs w:val="24"/>
          <w:vertAlign w:val="superscript"/>
        </w:rPr>
        <w:t>21</w:t>
      </w:r>
      <w:r w:rsidRPr="002166FE">
        <w:rPr>
          <w:rFonts w:ascii="Calibri" w:hAnsi="Calibri" w:cs="Calibri"/>
          <w:sz w:val="24"/>
          <w:szCs w:val="24"/>
        </w:rPr>
        <w:t>. Identify GFP (DFHBI-1T) and Cy5 (RNA) channels.</w:t>
      </w:r>
    </w:p>
    <w:p w14:paraId="4CDC26B0" w14:textId="77777777" w:rsidR="00FA023B" w:rsidRPr="002166FE" w:rsidRDefault="00FA023B" w:rsidP="002166FE">
      <w:pPr>
        <w:pStyle w:val="ListParagraph"/>
        <w:spacing w:after="0" w:line="240" w:lineRule="auto"/>
        <w:ind w:left="0"/>
        <w:jc w:val="both"/>
        <w:rPr>
          <w:rFonts w:ascii="Calibri" w:hAnsi="Calibri" w:cs="Calibri"/>
          <w:sz w:val="24"/>
          <w:szCs w:val="24"/>
        </w:rPr>
      </w:pPr>
    </w:p>
    <w:p w14:paraId="7156DF11" w14:textId="6C55141F" w:rsidR="00FA023B" w:rsidRPr="002166FE" w:rsidRDefault="00FC3F55" w:rsidP="002166FE">
      <w:pPr>
        <w:pStyle w:val="ListParagraph"/>
        <w:spacing w:after="0" w:line="240" w:lineRule="auto"/>
        <w:ind w:left="0"/>
        <w:jc w:val="both"/>
        <w:rPr>
          <w:rFonts w:ascii="Calibri" w:hAnsi="Calibri" w:cs="Calibri"/>
          <w:sz w:val="24"/>
          <w:szCs w:val="24"/>
        </w:rPr>
      </w:pPr>
      <w:r w:rsidRPr="002166FE">
        <w:rPr>
          <w:rFonts w:ascii="Calibri" w:hAnsi="Calibri" w:cs="Calibri"/>
          <w:sz w:val="24"/>
          <w:szCs w:val="24"/>
        </w:rPr>
        <w:t xml:space="preserve">6.2 Draw a 5 × </w:t>
      </w:r>
      <w:proofErr w:type="gramStart"/>
      <w:r w:rsidRPr="002166FE">
        <w:rPr>
          <w:rFonts w:ascii="Calibri" w:hAnsi="Calibri" w:cs="Calibri"/>
          <w:sz w:val="24"/>
          <w:szCs w:val="24"/>
        </w:rPr>
        <w:t>5 pixel</w:t>
      </w:r>
      <w:proofErr w:type="gramEnd"/>
      <w:r w:rsidRPr="002166FE">
        <w:rPr>
          <w:rFonts w:ascii="Calibri" w:hAnsi="Calibri" w:cs="Calibri"/>
          <w:sz w:val="24"/>
          <w:szCs w:val="24"/>
        </w:rPr>
        <w:t xml:space="preserve"> ROI within an RNA cluster and measure integrated density for both channels at the same z-plane. Select 5–8 ROIs</w:t>
      </w:r>
      <w:r w:rsidR="0011616C" w:rsidRPr="002166FE">
        <w:rPr>
          <w:rFonts w:ascii="Calibri" w:hAnsi="Calibri" w:cs="Calibri"/>
          <w:sz w:val="24"/>
          <w:szCs w:val="24"/>
        </w:rPr>
        <w:t xml:space="preserve"> from different RNA clusters</w:t>
      </w:r>
      <w:r w:rsidRPr="002166FE">
        <w:rPr>
          <w:rFonts w:ascii="Calibri" w:hAnsi="Calibri" w:cs="Calibri"/>
          <w:sz w:val="24"/>
          <w:szCs w:val="24"/>
        </w:rPr>
        <w:t xml:space="preserve"> </w:t>
      </w:r>
      <w:r w:rsidR="0011616C" w:rsidRPr="002166FE">
        <w:rPr>
          <w:rFonts w:ascii="Calibri" w:hAnsi="Calibri" w:cs="Calibri"/>
          <w:sz w:val="24"/>
          <w:szCs w:val="24"/>
        </w:rPr>
        <w:t>in each</w:t>
      </w:r>
      <w:r w:rsidRPr="002166FE">
        <w:rPr>
          <w:rFonts w:ascii="Calibri" w:hAnsi="Calibri" w:cs="Calibri"/>
          <w:sz w:val="24"/>
          <w:szCs w:val="24"/>
        </w:rPr>
        <w:t xml:space="preserve"> image.</w:t>
      </w:r>
    </w:p>
    <w:p w14:paraId="78B83815" w14:textId="77777777" w:rsidR="00FA023B" w:rsidRPr="002166FE" w:rsidRDefault="00FA023B" w:rsidP="002166FE">
      <w:pPr>
        <w:pStyle w:val="ListParagraph"/>
        <w:spacing w:after="0" w:line="240" w:lineRule="auto"/>
        <w:ind w:left="0"/>
        <w:jc w:val="both"/>
        <w:rPr>
          <w:rFonts w:ascii="Calibri" w:hAnsi="Calibri" w:cs="Calibri"/>
          <w:sz w:val="24"/>
          <w:szCs w:val="24"/>
        </w:rPr>
      </w:pPr>
    </w:p>
    <w:p w14:paraId="2CB89560" w14:textId="6B37A72D" w:rsidR="00FA023B" w:rsidRPr="002166FE" w:rsidRDefault="00FC3F55" w:rsidP="002166FE">
      <w:pPr>
        <w:pStyle w:val="ListParagraph"/>
        <w:spacing w:after="0" w:line="240" w:lineRule="auto"/>
        <w:ind w:left="0"/>
        <w:jc w:val="both"/>
        <w:rPr>
          <w:rFonts w:ascii="Calibri" w:hAnsi="Calibri" w:cs="Calibri"/>
          <w:sz w:val="24"/>
          <w:szCs w:val="24"/>
        </w:rPr>
      </w:pPr>
      <w:r w:rsidRPr="002166FE">
        <w:rPr>
          <w:rFonts w:ascii="Calibri" w:hAnsi="Calibri" w:cs="Calibri"/>
          <w:b/>
          <w:bCs/>
          <w:sz w:val="24"/>
          <w:szCs w:val="24"/>
        </w:rPr>
        <w:t>NOTE:</w:t>
      </w:r>
      <w:r w:rsidRPr="002166FE">
        <w:rPr>
          <w:rFonts w:ascii="Calibri" w:hAnsi="Calibri" w:cs="Calibri"/>
          <w:sz w:val="24"/>
          <w:szCs w:val="24"/>
        </w:rPr>
        <w:t xml:space="preserve"> Adjust ROI size depending on camera setup, but maintain consistency across experiments.</w:t>
      </w:r>
    </w:p>
    <w:p w14:paraId="1E8C5DEF" w14:textId="77777777" w:rsidR="00FA023B" w:rsidRPr="002166FE" w:rsidRDefault="00FA023B" w:rsidP="002166FE">
      <w:pPr>
        <w:pStyle w:val="ListParagraph"/>
        <w:spacing w:after="0" w:line="240" w:lineRule="auto"/>
        <w:ind w:left="0"/>
        <w:jc w:val="both"/>
        <w:rPr>
          <w:rFonts w:ascii="Calibri" w:hAnsi="Calibri" w:cs="Calibri"/>
          <w:sz w:val="24"/>
          <w:szCs w:val="24"/>
        </w:rPr>
      </w:pPr>
    </w:p>
    <w:p w14:paraId="404743A4" w14:textId="77777777" w:rsidR="00FA023B" w:rsidRPr="002166FE" w:rsidRDefault="00FC3F55" w:rsidP="002166FE">
      <w:pPr>
        <w:pStyle w:val="ListParagraph"/>
        <w:spacing w:after="0" w:line="240" w:lineRule="auto"/>
        <w:ind w:left="0"/>
        <w:jc w:val="both"/>
        <w:rPr>
          <w:rFonts w:ascii="Calibri" w:hAnsi="Calibri" w:cs="Calibri"/>
          <w:sz w:val="24"/>
          <w:szCs w:val="24"/>
        </w:rPr>
      </w:pPr>
      <w:r w:rsidRPr="002166FE">
        <w:rPr>
          <w:rFonts w:ascii="Calibri" w:hAnsi="Calibri" w:cs="Calibri"/>
          <w:sz w:val="24"/>
          <w:szCs w:val="24"/>
        </w:rPr>
        <w:t>6.3 Select 5–8 ROIs outside the reaction droplet for background measurement and calculate the average integrated density for both channels.</w:t>
      </w:r>
    </w:p>
    <w:p w14:paraId="1B6FA1BE" w14:textId="77777777" w:rsidR="00FA023B" w:rsidRPr="002166FE" w:rsidRDefault="00FA023B" w:rsidP="002166FE">
      <w:pPr>
        <w:pStyle w:val="ListParagraph"/>
        <w:spacing w:after="0" w:line="240" w:lineRule="auto"/>
        <w:ind w:left="0"/>
        <w:jc w:val="both"/>
        <w:rPr>
          <w:rFonts w:ascii="Calibri" w:hAnsi="Calibri" w:cs="Calibri"/>
          <w:sz w:val="24"/>
          <w:szCs w:val="24"/>
        </w:rPr>
      </w:pPr>
    </w:p>
    <w:p w14:paraId="08FAB429" w14:textId="77777777" w:rsidR="00FA023B" w:rsidRPr="002166FE" w:rsidRDefault="00FC3F55" w:rsidP="002166FE">
      <w:pPr>
        <w:pStyle w:val="ListParagraph"/>
        <w:spacing w:after="0" w:line="240" w:lineRule="auto"/>
        <w:ind w:left="0"/>
        <w:jc w:val="both"/>
        <w:rPr>
          <w:rFonts w:ascii="Calibri" w:hAnsi="Calibri" w:cs="Calibri"/>
          <w:sz w:val="24"/>
          <w:szCs w:val="24"/>
        </w:rPr>
      </w:pPr>
      <w:r w:rsidRPr="002166FE">
        <w:rPr>
          <w:rFonts w:ascii="Calibri" w:hAnsi="Calibri" w:cs="Calibri"/>
          <w:sz w:val="24"/>
          <w:szCs w:val="24"/>
        </w:rPr>
        <w:t>6.4 Calculate normalized DFHBI-1T intensity for each ROI using:</w:t>
      </w:r>
    </w:p>
    <w:p w14:paraId="016829EF" w14:textId="77777777" w:rsidR="00FA0D6B" w:rsidRPr="002166FE" w:rsidRDefault="00FC3F55" w:rsidP="002166FE">
      <w:pPr>
        <w:pStyle w:val="ListParagraph"/>
        <w:spacing w:after="0" w:line="240" w:lineRule="auto"/>
        <w:jc w:val="both"/>
        <w:rPr>
          <w:rFonts w:ascii="Calibri" w:hAnsi="Calibri" w:cs="Calibri"/>
          <w:sz w:val="24"/>
          <w:szCs w:val="24"/>
        </w:rPr>
      </w:pPr>
      <w:r w:rsidRPr="002166FE">
        <w:rPr>
          <w:rFonts w:ascii="Calibri" w:hAnsi="Calibri" w:cs="Calibri"/>
          <w:sz w:val="24"/>
          <w:szCs w:val="24"/>
        </w:rPr>
        <w:t xml:space="preserve"> </w:t>
      </w:r>
    </w:p>
    <w:p w14:paraId="141D5CB7" w14:textId="77777777" w:rsidR="00FA0D6B" w:rsidRPr="002166FE" w:rsidRDefault="00253410" w:rsidP="002166FE">
      <w:pPr>
        <w:pStyle w:val="ListParagraph"/>
        <w:spacing w:after="0" w:line="240" w:lineRule="auto"/>
        <w:jc w:val="both"/>
        <w:rPr>
          <w:rFonts w:ascii="Calibri" w:hAnsi="Calibri" w:cs="Calibri"/>
          <w:sz w:val="24"/>
          <w:szCs w:val="24"/>
        </w:rPr>
      </w:pPr>
      <m:oMathPara>
        <m:oMath>
          <m:f>
            <m:fPr>
              <m:ctrlPr>
                <w:rPr>
                  <w:rFonts w:ascii="Cambria Math" w:hAnsi="Cambria Math" w:cs="Calibri"/>
                  <w:i/>
                  <w:sz w:val="24"/>
                  <w:szCs w:val="24"/>
                </w:rPr>
              </m:ctrlPr>
            </m:fPr>
            <m:num>
              <m:r>
                <m:rPr>
                  <m:sty m:val="p"/>
                </m:rPr>
                <w:rPr>
                  <w:rFonts w:ascii="Cambria Math" w:hAnsi="Cambria Math" w:cs="Calibri"/>
                  <w:sz w:val="24"/>
                  <w:szCs w:val="24"/>
                </w:rPr>
                <m:t>Integrated density in GFP (ROI) - Average integrated density in GFP (background)</m:t>
              </m:r>
            </m:num>
            <m:den>
              <m:r>
                <m:rPr>
                  <m:sty m:val="p"/>
                </m:rPr>
                <w:rPr>
                  <w:rFonts w:ascii="Cambria Math" w:hAnsi="Cambria Math" w:cs="Calibri"/>
                  <w:sz w:val="24"/>
                  <w:szCs w:val="24"/>
                </w:rPr>
                <m:t xml:space="preserve">Integrated density in Cy5 </m:t>
              </m:r>
              <m:d>
                <m:dPr>
                  <m:ctrlPr>
                    <w:rPr>
                      <w:rFonts w:ascii="Cambria Math" w:hAnsi="Cambria Math" w:cs="Calibri"/>
                      <w:sz w:val="24"/>
                      <w:szCs w:val="24"/>
                    </w:rPr>
                  </m:ctrlPr>
                </m:dPr>
                <m:e>
                  <m:r>
                    <m:rPr>
                      <m:sty m:val="p"/>
                    </m:rPr>
                    <w:rPr>
                      <w:rFonts w:ascii="Cambria Math" w:hAnsi="Cambria Math" w:cs="Calibri"/>
                      <w:sz w:val="24"/>
                      <w:szCs w:val="24"/>
                    </w:rPr>
                    <m:t>ROI</m:t>
                  </m:r>
                </m:e>
              </m:d>
              <m:r>
                <m:rPr>
                  <m:sty m:val="p"/>
                </m:rPr>
                <w:rPr>
                  <w:rFonts w:ascii="Cambria Math" w:hAnsi="Cambria Math" w:cs="Calibri"/>
                  <w:sz w:val="24"/>
                  <w:szCs w:val="24"/>
                </w:rPr>
                <m:t>-Average integrated density in Cy5 (background)</m:t>
              </m:r>
            </m:den>
          </m:f>
        </m:oMath>
      </m:oMathPara>
    </w:p>
    <w:p w14:paraId="457A965F" w14:textId="77777777" w:rsidR="00FA0D6B" w:rsidRPr="002166FE" w:rsidRDefault="00FA0D6B" w:rsidP="002166FE">
      <w:pPr>
        <w:pStyle w:val="ListParagraph"/>
        <w:spacing w:after="0" w:line="240" w:lineRule="auto"/>
        <w:jc w:val="both"/>
        <w:rPr>
          <w:rFonts w:ascii="Calibri" w:hAnsi="Calibri" w:cs="Calibri"/>
          <w:sz w:val="24"/>
          <w:szCs w:val="24"/>
        </w:rPr>
      </w:pPr>
    </w:p>
    <w:p w14:paraId="175EA25B" w14:textId="61677157" w:rsidR="00FA023B" w:rsidRPr="002166FE" w:rsidRDefault="00FC3F55" w:rsidP="002166FE">
      <w:pPr>
        <w:pStyle w:val="ListParagraph"/>
        <w:pBdr>
          <w:top w:val="nil"/>
          <w:left w:val="nil"/>
          <w:bottom w:val="nil"/>
          <w:right w:val="nil"/>
          <w:between w:val="nil"/>
        </w:pBdr>
        <w:spacing w:after="0" w:line="240" w:lineRule="auto"/>
        <w:ind w:left="0"/>
        <w:jc w:val="both"/>
        <w:rPr>
          <w:rFonts w:ascii="Calibri" w:hAnsi="Calibri" w:cs="Calibri"/>
          <w:b/>
          <w:bCs/>
          <w:sz w:val="24"/>
          <w:szCs w:val="24"/>
        </w:rPr>
      </w:pPr>
      <w:r w:rsidRPr="002166FE">
        <w:rPr>
          <w:rFonts w:ascii="Calibri" w:hAnsi="Calibri" w:cs="Calibri"/>
          <w:b/>
          <w:bCs/>
          <w:sz w:val="24"/>
          <w:szCs w:val="24"/>
        </w:rPr>
        <w:t>7. Common problems and troubleshooting</w:t>
      </w:r>
    </w:p>
    <w:p w14:paraId="065CCE35" w14:textId="77777777" w:rsidR="00FA023B" w:rsidRPr="002166FE" w:rsidRDefault="00FA023B" w:rsidP="002166FE">
      <w:pPr>
        <w:pStyle w:val="ListParagraph"/>
        <w:pBdr>
          <w:top w:val="nil"/>
          <w:left w:val="nil"/>
          <w:bottom w:val="nil"/>
          <w:right w:val="nil"/>
          <w:between w:val="nil"/>
        </w:pBdr>
        <w:spacing w:after="0" w:line="240" w:lineRule="auto"/>
        <w:ind w:left="0"/>
        <w:jc w:val="both"/>
        <w:rPr>
          <w:rFonts w:ascii="Calibri" w:hAnsi="Calibri" w:cs="Calibri"/>
          <w:b/>
          <w:bCs/>
          <w:sz w:val="24"/>
          <w:szCs w:val="24"/>
        </w:rPr>
      </w:pPr>
    </w:p>
    <w:p w14:paraId="24872AC4" w14:textId="77777777" w:rsidR="00FA023B" w:rsidRPr="002166FE" w:rsidRDefault="00FC3F55"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2166FE">
        <w:rPr>
          <w:rFonts w:ascii="Calibri" w:hAnsi="Calibri" w:cs="Calibri"/>
          <w:sz w:val="24"/>
          <w:szCs w:val="24"/>
        </w:rPr>
        <w:t>7.1 If no RNA pellet is observed after centrifugation, consider RNA degradation, insufficient transcription time, inactive polymerase, residual salts, or low RNA concentration. Use RNase-free reagents, extend transcription time, use fresh enzyme, and purify templates.</w:t>
      </w:r>
    </w:p>
    <w:p w14:paraId="1F5BDC8D" w14:textId="77777777" w:rsidR="00FA023B" w:rsidRPr="002166FE" w:rsidRDefault="00FA023B"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0807366" w14:textId="77777777" w:rsidR="00FA023B" w:rsidRPr="002166FE" w:rsidRDefault="00FC3F55"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2166FE">
        <w:rPr>
          <w:rFonts w:ascii="Calibri" w:hAnsi="Calibri" w:cs="Calibri"/>
          <w:sz w:val="24"/>
          <w:szCs w:val="24"/>
        </w:rPr>
        <w:t>7.2 If no Cy5-labeled RNA clusters are observed, consider RNA degradation or degraded PEG 8000 or UTP-Cy5. Use fresh reagents and RNase-free conditions.</w:t>
      </w:r>
    </w:p>
    <w:p w14:paraId="3C5D7EC1" w14:textId="77777777" w:rsidR="00FA023B" w:rsidRPr="002166FE" w:rsidRDefault="00FA023B"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AD7F3DD" w14:textId="77777777" w:rsidR="00FA023B" w:rsidRPr="002166FE" w:rsidRDefault="00FC3F55"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2166FE">
        <w:rPr>
          <w:rFonts w:ascii="Calibri" w:hAnsi="Calibri" w:cs="Calibri"/>
          <w:sz w:val="24"/>
          <w:szCs w:val="24"/>
        </w:rPr>
        <w:t>7.3 If no DFHBI-1T signal is observed under co-folding conditions, consider poor dye quality, lack of Broccoli structure formation, or truncated transcripts. Use fresh dye, ensure proper buffer composition, and verify transcript size by gel analysis.</w:t>
      </w:r>
    </w:p>
    <w:p w14:paraId="6AB294BB" w14:textId="77777777" w:rsidR="00FA023B" w:rsidRPr="002166FE" w:rsidRDefault="00FA023B"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19B316AA" w14:textId="77777777" w:rsidR="00FA023B" w:rsidRPr="002166FE" w:rsidRDefault="00FC3F55" w:rsidP="002166F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2166FE">
        <w:rPr>
          <w:rFonts w:ascii="Calibri" w:hAnsi="Calibri" w:cs="Calibri"/>
          <w:sz w:val="24"/>
          <w:szCs w:val="24"/>
        </w:rPr>
        <w:t>7.4 If fluorescence signal bleaches, reduce laser power and exposure time, minimize imaging steps, and protect samples from light during incubation.</w:t>
      </w:r>
    </w:p>
    <w:p w14:paraId="4A88E85D" w14:textId="77777777" w:rsidR="0006583C" w:rsidRPr="002166FE" w:rsidRDefault="0006583C" w:rsidP="002166FE">
      <w:pPr>
        <w:pStyle w:val="ListParagraph"/>
        <w:pBdr>
          <w:top w:val="nil"/>
          <w:left w:val="nil"/>
          <w:bottom w:val="nil"/>
          <w:right w:val="nil"/>
          <w:between w:val="nil"/>
        </w:pBdr>
        <w:spacing w:after="0" w:line="240" w:lineRule="auto"/>
        <w:ind w:left="1440"/>
        <w:rPr>
          <w:rFonts w:ascii="Calibri" w:hAnsi="Calibri" w:cs="Calibri"/>
          <w:bCs/>
          <w:sz w:val="24"/>
          <w:szCs w:val="24"/>
        </w:rPr>
      </w:pPr>
    </w:p>
    <w:p w14:paraId="08AF3300" w14:textId="23668A10" w:rsidR="006E4797" w:rsidRPr="002166FE" w:rsidRDefault="00FC3F55" w:rsidP="002166FE">
      <w:pPr>
        <w:pBdr>
          <w:top w:val="nil"/>
          <w:left w:val="nil"/>
          <w:bottom w:val="nil"/>
          <w:right w:val="nil"/>
          <w:between w:val="nil"/>
        </w:pBdr>
      </w:pPr>
      <w:r w:rsidRPr="002166FE">
        <w:rPr>
          <w:b/>
        </w:rPr>
        <w:t xml:space="preserve">RESULTS: </w:t>
      </w:r>
    </w:p>
    <w:p w14:paraId="0D0712C9" w14:textId="06A691DD" w:rsidR="00123CE2" w:rsidRDefault="00123CE2" w:rsidP="00123CE2">
      <w:r w:rsidRPr="00123CE2">
        <w:t xml:space="preserve">In this demonstration experiment, the ability of the top and bottom RNA reporters alone to base pair and form the Broccoli structure was first evaluated using the previously described </w:t>
      </w:r>
      <w:r w:rsidRPr="00123CE2">
        <w:rPr>
          <w:i/>
          <w:iCs/>
        </w:rPr>
        <w:t>in vitro</w:t>
      </w:r>
      <w:r w:rsidRPr="00123CE2">
        <w:t xml:space="preserve"> RNA clustering protocol⁴.</w:t>
      </w:r>
      <w:r>
        <w:t xml:space="preserve"> </w:t>
      </w:r>
      <w:r w:rsidRPr="00123CE2">
        <w:t>Base pairing between top and bottom generates two Broccoli arms, each capable of intercalating one DFHBI-1T molecule (</w:t>
      </w:r>
      <w:r w:rsidRPr="00123CE2">
        <w:rPr>
          <w:b/>
          <w:bCs/>
        </w:rPr>
        <w:t>Figures 1A–</w:t>
      </w:r>
      <w:proofErr w:type="gramStart"/>
      <w:r w:rsidRPr="00123CE2">
        <w:rPr>
          <w:b/>
          <w:bCs/>
        </w:rPr>
        <w:t>C</w:t>
      </w:r>
      <w:r w:rsidRPr="00123CE2">
        <w:t>)¹</w:t>
      </w:r>
      <w:proofErr w:type="gramEnd"/>
      <w:r w:rsidRPr="00123CE2">
        <w:t>⁸</w:t>
      </w:r>
      <w:r w:rsidRPr="00123CE2">
        <w:rPr>
          <w:vertAlign w:val="superscript"/>
        </w:rPr>
        <w:t>,</w:t>
      </w:r>
      <w:r w:rsidRPr="00123CE2">
        <w:t>²².</w:t>
      </w:r>
    </w:p>
    <w:p w14:paraId="1C468B42" w14:textId="77777777" w:rsidR="00123CE2" w:rsidRPr="00123CE2" w:rsidRDefault="00123CE2" w:rsidP="00123CE2"/>
    <w:p w14:paraId="3707566B" w14:textId="124515F6" w:rsidR="00123CE2" w:rsidRDefault="00123CE2" w:rsidP="00123CE2">
      <w:r w:rsidRPr="00123CE2">
        <w:t>Upon induction of RNA clustering with spermine and PEG 8000, both RNAs formed clusters either individually or together (</w:t>
      </w:r>
      <w:r w:rsidRPr="00123CE2">
        <w:rPr>
          <w:b/>
          <w:bCs/>
        </w:rPr>
        <w:t>Figures 1D–</w:t>
      </w:r>
      <w:proofErr w:type="spellStart"/>
      <w:r w:rsidRPr="00123CE2">
        <w:rPr>
          <w:b/>
          <w:bCs/>
        </w:rPr>
        <w:t>Eii</w:t>
      </w:r>
      <w:proofErr w:type="spellEnd"/>
      <w:r w:rsidRPr="00123CE2">
        <w:t>).</w:t>
      </w:r>
      <w:r>
        <w:t xml:space="preserve"> </w:t>
      </w:r>
      <w:r w:rsidRPr="00123CE2">
        <w:t>When top or bottom RNAs were examined in isolation, DFHBI-1T fluorescence within RNA clusters was substantially lower than in the co-folding condition, in which the two RNAs were combined prior to heat denaturation and refolding (</w:t>
      </w:r>
      <w:r w:rsidRPr="00123CE2">
        <w:rPr>
          <w:b/>
          <w:bCs/>
        </w:rPr>
        <w:t>Figure 1F</w:t>
      </w:r>
      <w:r w:rsidRPr="00123CE2">
        <w:t xml:space="preserve">). In the co-folding condition, the molar ratio of DFHBI-1T (0.1 mM) to top (0.8 </w:t>
      </w:r>
      <w:proofErr w:type="spellStart"/>
      <w:r w:rsidRPr="00123CE2">
        <w:t>μM</w:t>
      </w:r>
      <w:proofErr w:type="spellEnd"/>
      <w:r w:rsidRPr="00123CE2">
        <w:t xml:space="preserve">) and bottom (0.8 </w:t>
      </w:r>
      <w:proofErr w:type="spellStart"/>
      <w:r w:rsidRPr="00123CE2">
        <w:t>μM</w:t>
      </w:r>
      <w:proofErr w:type="spellEnd"/>
      <w:r w:rsidRPr="00123CE2">
        <w:t>) was estimated to be 125:1:1. This corresponds to an approximately 62.5-fold excess of DFHBI-1T relative to the maximum number of potential Broccoli structures.</w:t>
      </w:r>
    </w:p>
    <w:p w14:paraId="5BD01D46" w14:textId="77777777" w:rsidR="00123CE2" w:rsidRPr="00123CE2" w:rsidRDefault="00123CE2" w:rsidP="00123CE2"/>
    <w:p w14:paraId="159794BB" w14:textId="77777777" w:rsidR="00123CE2" w:rsidRDefault="00123CE2" w:rsidP="00123CE2">
      <w:r w:rsidRPr="00123CE2">
        <w:t>The low but non-zero DFHBI-1T signal observed for top and bottom alone is consistent with previous reports showing minimal DFHBI-1T fluorescence when each reporter is expressed individually¹⁸. DFHBI-1T also exhibited very low but detectable background fluorescence in the absence of RNA (</w:t>
      </w:r>
      <w:r w:rsidRPr="00123CE2">
        <w:rPr>
          <w:b/>
          <w:bCs/>
        </w:rPr>
        <w:t>Figure 1F</w:t>
      </w:r>
      <w:r w:rsidRPr="00123CE2">
        <w:t xml:space="preserve">). Together, these results demonstrate that DFHBI-1T is compatible with the </w:t>
      </w:r>
      <w:r w:rsidRPr="00123CE2">
        <w:rPr>
          <w:i/>
          <w:iCs/>
        </w:rPr>
        <w:t>in vitro</w:t>
      </w:r>
      <w:r w:rsidRPr="00123CE2">
        <w:t xml:space="preserve"> RNA clustering assay and that co-folding enhances intermolecular base pairing between top and bottom RNAs.</w:t>
      </w:r>
      <w:r>
        <w:t xml:space="preserve"> </w:t>
      </w:r>
    </w:p>
    <w:p w14:paraId="2B123E5C" w14:textId="77777777" w:rsidR="00123CE2" w:rsidRDefault="00123CE2" w:rsidP="00123CE2"/>
    <w:p w14:paraId="08A08A37" w14:textId="61833CEA" w:rsidR="00123CE2" w:rsidRPr="00123CE2" w:rsidRDefault="00123CE2" w:rsidP="00123CE2">
      <w:r w:rsidRPr="00123CE2">
        <w:t>After normalization to RNA intensity, the normalized DFHBI-1T fluorescence intensity in the co-folding condition reached 1.03, which was significantly higher than that of top and bottom alone (0.054 and 0.023, respectively) (</w:t>
      </w:r>
      <w:r w:rsidRPr="00123CE2">
        <w:rPr>
          <w:b/>
          <w:bCs/>
        </w:rPr>
        <w:t xml:space="preserve">Figure 1D, </w:t>
      </w:r>
      <w:r w:rsidR="00750970" w:rsidRPr="00750970">
        <w:rPr>
          <w:b/>
          <w:bCs/>
        </w:rPr>
        <w:t xml:space="preserve">Figure </w:t>
      </w:r>
      <w:r w:rsidRPr="00123CE2">
        <w:rPr>
          <w:b/>
          <w:bCs/>
        </w:rPr>
        <w:t xml:space="preserve">1Ei, </w:t>
      </w:r>
      <w:r w:rsidRPr="00123CE2">
        <w:t xml:space="preserve">and </w:t>
      </w:r>
      <w:r w:rsidR="00750970" w:rsidRPr="00750970">
        <w:rPr>
          <w:b/>
          <w:bCs/>
        </w:rPr>
        <w:t xml:space="preserve">Figure </w:t>
      </w:r>
      <w:r w:rsidRPr="00123CE2">
        <w:rPr>
          <w:b/>
          <w:bCs/>
        </w:rPr>
        <w:t>1F</w:t>
      </w:r>
      <w:r w:rsidRPr="00123CE2">
        <w:t>). RNA clusters formed by mixing top and bottom RNAs that were folded separately prior to clustering were then examined (</w:t>
      </w:r>
      <w:r w:rsidRPr="00123CE2">
        <w:rPr>
          <w:b/>
          <w:bCs/>
        </w:rPr>
        <w:t xml:space="preserve">Figure 1D, </w:t>
      </w:r>
      <w:r w:rsidR="00750970" w:rsidRPr="00750970">
        <w:rPr>
          <w:b/>
          <w:bCs/>
        </w:rPr>
        <w:t xml:space="preserve">Figure </w:t>
      </w:r>
      <w:r w:rsidRPr="00123CE2">
        <w:rPr>
          <w:b/>
          <w:bCs/>
        </w:rPr>
        <w:t>1Eii</w:t>
      </w:r>
      <w:r w:rsidRPr="00123CE2">
        <w:t xml:space="preserve">, and </w:t>
      </w:r>
      <w:r w:rsidR="00750970" w:rsidRPr="00750970">
        <w:rPr>
          <w:b/>
          <w:bCs/>
        </w:rPr>
        <w:t xml:space="preserve">Figure </w:t>
      </w:r>
      <w:r w:rsidRPr="00123CE2">
        <w:rPr>
          <w:b/>
          <w:bCs/>
        </w:rPr>
        <w:t>1F</w:t>
      </w:r>
      <w:r w:rsidRPr="00123CE2">
        <w:t>). In this separate folding condition, the normalized DFHBI-1T signal was 0.031, comparable to baseline levels observed in the negative controls (top or bottom alone) (</w:t>
      </w:r>
      <w:r w:rsidRPr="00123CE2">
        <w:rPr>
          <w:b/>
          <w:bCs/>
        </w:rPr>
        <w:t>Figure 1F</w:t>
      </w:r>
      <w:r w:rsidRPr="00123CE2">
        <w:t>). These results indicate that co-folding promotes intermolecular base pairing between top and bottom RNAs, whereas separate folding restricts such interactions.</w:t>
      </w:r>
    </w:p>
    <w:p w14:paraId="11E3084C" w14:textId="572CA7DA" w:rsidR="00123CE2" w:rsidRPr="00123CE2" w:rsidRDefault="00123CE2" w:rsidP="00123CE2"/>
    <w:p w14:paraId="4DC1F472" w14:textId="77777777" w:rsidR="00123CE2" w:rsidRPr="00123CE2" w:rsidRDefault="00123CE2" w:rsidP="00123CE2">
      <w:r w:rsidRPr="00123CE2">
        <w:t xml:space="preserve">The top and bottom sequences were next inserted into the 3′ untranslated region (UTR) of </w:t>
      </w:r>
      <w:r w:rsidRPr="00123CE2">
        <w:rPr>
          <w:i/>
          <w:iCs/>
        </w:rPr>
        <w:t>Drosophila melanogaster</w:t>
      </w:r>
      <w:r w:rsidRPr="00123CE2">
        <w:t xml:space="preserve"> shutdown (</w:t>
      </w:r>
      <w:r w:rsidRPr="00123CE2">
        <w:rPr>
          <w:i/>
          <w:iCs/>
        </w:rPr>
        <w:t>shu</w:t>
      </w:r>
      <w:r w:rsidRPr="00123CE2">
        <w:t>), a germ granule mRNA</w:t>
      </w:r>
      <w:proofErr w:type="gramStart"/>
      <w:r w:rsidRPr="00123CE2">
        <w:t>⁴</w:t>
      </w:r>
      <w:r w:rsidRPr="00123CE2">
        <w:rPr>
          <w:vertAlign w:val="superscript"/>
        </w:rPr>
        <w:t>,</w:t>
      </w:r>
      <w:r w:rsidRPr="00123CE2">
        <w:t>²</w:t>
      </w:r>
      <w:proofErr w:type="gramEnd"/>
      <w:r w:rsidRPr="00123CE2">
        <w:t>³</w:t>
      </w:r>
      <w:r w:rsidRPr="00123CE2">
        <w:rPr>
          <w:vertAlign w:val="superscript"/>
        </w:rPr>
        <w:t>,</w:t>
      </w:r>
      <w:r w:rsidRPr="00123CE2">
        <w:t>²⁴, and its antisense counterpart (</w:t>
      </w:r>
      <w:r w:rsidRPr="00123CE2">
        <w:rPr>
          <w:i/>
          <w:iCs/>
        </w:rPr>
        <w:t>shuanti</w:t>
      </w:r>
      <w:r w:rsidRPr="00123CE2">
        <w:t xml:space="preserve">). The </w:t>
      </w:r>
      <w:r w:rsidRPr="00123CE2">
        <w:rPr>
          <w:i/>
          <w:iCs/>
        </w:rPr>
        <w:t>shu</w:t>
      </w:r>
      <w:r w:rsidRPr="00123CE2">
        <w:t xml:space="preserve"> 3′ UTR was selected because previous work demonstrated that this RNA predominantly exists as a monomer in </w:t>
      </w:r>
      <w:r w:rsidRPr="00123CE2">
        <w:rPr>
          <w:i/>
          <w:iCs/>
        </w:rPr>
        <w:t>Drosophila melanogaster</w:t>
      </w:r>
      <w:r w:rsidRPr="00123CE2">
        <w:t xml:space="preserve"> and does not dimerize even at high molar concentrations in RNA gel assays</w:t>
      </w:r>
      <w:proofErr w:type="gramStart"/>
      <w:r w:rsidRPr="00123CE2">
        <w:t>⁴</w:t>
      </w:r>
      <w:r w:rsidRPr="00123CE2">
        <w:rPr>
          <w:vertAlign w:val="superscript"/>
        </w:rPr>
        <w:t>,</w:t>
      </w:r>
      <w:r w:rsidRPr="00123CE2">
        <w:t>²</w:t>
      </w:r>
      <w:proofErr w:type="gramEnd"/>
      <w:r w:rsidRPr="00123CE2">
        <w:t xml:space="preserve">⁴. In addition, </w:t>
      </w:r>
      <w:r w:rsidRPr="00123CE2">
        <w:rPr>
          <w:i/>
          <w:iCs/>
        </w:rPr>
        <w:t>shu</w:t>
      </w:r>
      <w:r w:rsidRPr="00123CE2">
        <w:t xml:space="preserve">-top and </w:t>
      </w:r>
      <w:r w:rsidRPr="00123CE2">
        <w:rPr>
          <w:i/>
          <w:iCs/>
        </w:rPr>
        <w:t>shu</w:t>
      </w:r>
      <w:r w:rsidRPr="00123CE2">
        <w:t xml:space="preserve">-bottom do not form homodimers in RNA gels⁴, allowing more direct assessment of intermolecular interactions between top and bottom and the influence of flanking sequences derived from </w:t>
      </w:r>
      <w:r w:rsidRPr="00123CE2">
        <w:rPr>
          <w:i/>
          <w:iCs/>
        </w:rPr>
        <w:t>shu</w:t>
      </w:r>
      <w:r w:rsidRPr="00123CE2">
        <w:t>.</w:t>
      </w:r>
    </w:p>
    <w:p w14:paraId="24CB9308" w14:textId="77777777" w:rsidR="00123CE2" w:rsidRDefault="00123CE2" w:rsidP="00123CE2">
      <w:r w:rsidRPr="00123CE2">
        <w:t xml:space="preserve">The DNA templates for </w:t>
      </w:r>
      <w:r w:rsidRPr="00123CE2">
        <w:rPr>
          <w:i/>
          <w:iCs/>
        </w:rPr>
        <w:t>shu</w:t>
      </w:r>
      <w:r w:rsidRPr="00123CE2">
        <w:t xml:space="preserve">-top, </w:t>
      </w:r>
      <w:r w:rsidRPr="00123CE2">
        <w:rPr>
          <w:i/>
          <w:iCs/>
        </w:rPr>
        <w:t>shu</w:t>
      </w:r>
      <w:r w:rsidRPr="00123CE2">
        <w:t xml:space="preserve">-bottom, </w:t>
      </w:r>
      <w:r w:rsidRPr="00123CE2">
        <w:rPr>
          <w:i/>
          <w:iCs/>
        </w:rPr>
        <w:t>shuanti</w:t>
      </w:r>
      <w:r w:rsidRPr="00123CE2">
        <w:t xml:space="preserve">-top, and </w:t>
      </w:r>
      <w:r w:rsidRPr="00123CE2">
        <w:rPr>
          <w:i/>
          <w:iCs/>
        </w:rPr>
        <w:t>shuanti</w:t>
      </w:r>
      <w:r w:rsidRPr="00123CE2">
        <w:t xml:space="preserve">-bottom are listed in </w:t>
      </w:r>
      <w:r w:rsidRPr="00123CE2">
        <w:rPr>
          <w:b/>
          <w:bCs/>
        </w:rPr>
        <w:t>Table 2</w:t>
      </w:r>
      <w:r w:rsidRPr="00123CE2">
        <w:t xml:space="preserve">. The top and bottom sequences were inserted into the middle of the </w:t>
      </w:r>
      <w:r w:rsidRPr="00123CE2">
        <w:rPr>
          <w:i/>
          <w:iCs/>
        </w:rPr>
        <w:t>shu</w:t>
      </w:r>
      <w:r w:rsidRPr="00123CE2">
        <w:t xml:space="preserve"> or </w:t>
      </w:r>
      <w:r w:rsidRPr="00123CE2">
        <w:rPr>
          <w:i/>
          <w:iCs/>
        </w:rPr>
        <w:t>shuanti</w:t>
      </w:r>
      <w:r w:rsidRPr="00123CE2">
        <w:t xml:space="preserve"> 3′ UTR, requiring structural remodeling to facilitate interaction and better mimic physiological RNA–RNA </w:t>
      </w:r>
      <w:r w:rsidRPr="00123CE2">
        <w:lastRenderedPageBreak/>
        <w:t>interactions, in which interacting regions are typically embedded within transcripts⁴.</w:t>
      </w:r>
    </w:p>
    <w:p w14:paraId="4F325701" w14:textId="77777777" w:rsidR="00375D1D" w:rsidRPr="00123CE2" w:rsidRDefault="00375D1D" w:rsidP="00123CE2"/>
    <w:p w14:paraId="79DFF342" w14:textId="11C5135E" w:rsidR="00123CE2" w:rsidRDefault="00123CE2" w:rsidP="00123CE2">
      <w:r w:rsidRPr="00123CE2">
        <w:t xml:space="preserve">Upon induction of RNA clustering, </w:t>
      </w:r>
      <w:r w:rsidRPr="00123CE2">
        <w:rPr>
          <w:i/>
          <w:iCs/>
        </w:rPr>
        <w:t>shu</w:t>
      </w:r>
      <w:r w:rsidRPr="00123CE2">
        <w:t xml:space="preserve">-top, </w:t>
      </w:r>
      <w:r w:rsidRPr="00123CE2">
        <w:rPr>
          <w:i/>
          <w:iCs/>
        </w:rPr>
        <w:t>shu</w:t>
      </w:r>
      <w:r w:rsidRPr="00123CE2">
        <w:t xml:space="preserve">-bottom, </w:t>
      </w:r>
      <w:r w:rsidRPr="00123CE2">
        <w:rPr>
          <w:i/>
          <w:iCs/>
        </w:rPr>
        <w:t>shuanti</w:t>
      </w:r>
      <w:r w:rsidRPr="00123CE2">
        <w:t xml:space="preserve">-top, and </w:t>
      </w:r>
      <w:r w:rsidRPr="00123CE2">
        <w:rPr>
          <w:i/>
          <w:iCs/>
        </w:rPr>
        <w:t>shuanti</w:t>
      </w:r>
      <w:r w:rsidRPr="00123CE2">
        <w:t>-bottom individually exhibited minimal DFHBI-1T fluorescence, similar to top and bottom alone (Figures 2A and 2B).</w:t>
      </w:r>
      <w:r w:rsidR="00375D1D">
        <w:t xml:space="preserve"> </w:t>
      </w:r>
      <w:r w:rsidRPr="00123CE2">
        <w:t xml:space="preserve">Consistently, co-folding of </w:t>
      </w:r>
      <w:r w:rsidRPr="00123CE2">
        <w:rPr>
          <w:i/>
          <w:iCs/>
        </w:rPr>
        <w:t>shu</w:t>
      </w:r>
      <w:r w:rsidRPr="00123CE2">
        <w:t xml:space="preserve">-top with </w:t>
      </w:r>
      <w:r w:rsidRPr="00123CE2">
        <w:rPr>
          <w:i/>
          <w:iCs/>
        </w:rPr>
        <w:t>shu</w:t>
      </w:r>
      <w:r w:rsidRPr="00123CE2">
        <w:t xml:space="preserve">-bottom or </w:t>
      </w:r>
      <w:r w:rsidRPr="00123CE2">
        <w:rPr>
          <w:i/>
          <w:iCs/>
        </w:rPr>
        <w:t>shuanti</w:t>
      </w:r>
      <w:r w:rsidRPr="00123CE2">
        <w:t xml:space="preserve">-top with </w:t>
      </w:r>
      <w:r w:rsidRPr="00123CE2">
        <w:rPr>
          <w:i/>
          <w:iCs/>
        </w:rPr>
        <w:t>shuanti</w:t>
      </w:r>
      <w:r w:rsidRPr="00123CE2">
        <w:t>-bottom produced higher DFHBI-1T signal than separate folding (</w:t>
      </w:r>
      <w:r w:rsidRPr="00123CE2">
        <w:rPr>
          <w:b/>
          <w:bCs/>
        </w:rPr>
        <w:t>Figures 2Ci</w:t>
      </w:r>
      <w:r w:rsidR="001110E3">
        <w:rPr>
          <w:b/>
          <w:bCs/>
        </w:rPr>
        <w:t xml:space="preserve"> and</w:t>
      </w:r>
      <w:r w:rsidR="00375D1D" w:rsidRPr="00375D1D">
        <w:rPr>
          <w:b/>
          <w:bCs/>
        </w:rPr>
        <w:t xml:space="preserve"> </w:t>
      </w:r>
      <w:proofErr w:type="spellStart"/>
      <w:r w:rsidRPr="00123CE2">
        <w:rPr>
          <w:b/>
          <w:bCs/>
        </w:rPr>
        <w:t>Cii</w:t>
      </w:r>
      <w:proofErr w:type="spellEnd"/>
      <w:r w:rsidRPr="00123CE2">
        <w:t>).</w:t>
      </w:r>
      <w:r w:rsidR="00375D1D">
        <w:t xml:space="preserve"> </w:t>
      </w:r>
      <w:r w:rsidRPr="00123CE2">
        <w:t xml:space="preserve">After normalization to RNA intensity and negative controls (defined as the average normalized DFHBI-1T signal from each RNA alone), co-folding of </w:t>
      </w:r>
      <w:r w:rsidRPr="00123CE2">
        <w:rPr>
          <w:i/>
          <w:iCs/>
        </w:rPr>
        <w:t>shu</w:t>
      </w:r>
      <w:r w:rsidRPr="00123CE2">
        <w:t xml:space="preserve">-top and </w:t>
      </w:r>
      <w:r w:rsidRPr="00123CE2">
        <w:rPr>
          <w:i/>
          <w:iCs/>
        </w:rPr>
        <w:t>shu</w:t>
      </w:r>
      <w:r w:rsidRPr="00123CE2">
        <w:t xml:space="preserve">-bottom resulted in a 5.63-fold increase in normalized DFHBI-1T fluorescence (Figures 2Di and 2Dii). In contrast, separate folding showed only a 1.04-fold increase, comparable to baseline levels observed for </w:t>
      </w:r>
      <w:r w:rsidRPr="00123CE2">
        <w:rPr>
          <w:i/>
          <w:iCs/>
        </w:rPr>
        <w:t>shu</w:t>
      </w:r>
      <w:r w:rsidRPr="00123CE2">
        <w:t xml:space="preserve">-top and </w:t>
      </w:r>
      <w:r w:rsidRPr="00123CE2">
        <w:rPr>
          <w:i/>
          <w:iCs/>
        </w:rPr>
        <w:t>shu</w:t>
      </w:r>
      <w:r w:rsidRPr="00123CE2">
        <w:t xml:space="preserve">-bottom individually. Similar trends were observed for </w:t>
      </w:r>
      <w:r w:rsidRPr="00123CE2">
        <w:rPr>
          <w:i/>
          <w:iCs/>
        </w:rPr>
        <w:t>shuanti</w:t>
      </w:r>
      <w:r w:rsidRPr="00123CE2">
        <w:t xml:space="preserve">-top and </w:t>
      </w:r>
      <w:r w:rsidRPr="00123CE2">
        <w:rPr>
          <w:i/>
          <w:iCs/>
        </w:rPr>
        <w:t>shuanti</w:t>
      </w:r>
      <w:r w:rsidRPr="00123CE2">
        <w:t>-bottom under co-folding and separate folding conditions (</w:t>
      </w:r>
      <w:r w:rsidRPr="00123CE2">
        <w:rPr>
          <w:b/>
          <w:bCs/>
        </w:rPr>
        <w:t>Figures 2Di</w:t>
      </w:r>
      <w:r w:rsidR="001110E3">
        <w:rPr>
          <w:b/>
          <w:bCs/>
        </w:rPr>
        <w:t xml:space="preserve"> and</w:t>
      </w:r>
      <w:r w:rsidR="00375D1D" w:rsidRPr="00375D1D">
        <w:rPr>
          <w:b/>
          <w:bCs/>
        </w:rPr>
        <w:t xml:space="preserve"> </w:t>
      </w:r>
      <w:r w:rsidRPr="00123CE2">
        <w:rPr>
          <w:b/>
          <w:bCs/>
        </w:rPr>
        <w:t>2Dii</w:t>
      </w:r>
      <w:r w:rsidRPr="00123CE2">
        <w:t xml:space="preserve">). These results indicate that separate folding does not promote intermolecular base pairing between </w:t>
      </w:r>
      <w:r w:rsidRPr="00123CE2">
        <w:rPr>
          <w:i/>
          <w:iCs/>
        </w:rPr>
        <w:t>shu</w:t>
      </w:r>
      <w:r w:rsidRPr="00123CE2">
        <w:t xml:space="preserve">-top and </w:t>
      </w:r>
      <w:r w:rsidRPr="00123CE2">
        <w:rPr>
          <w:i/>
          <w:iCs/>
        </w:rPr>
        <w:t>shu</w:t>
      </w:r>
      <w:r w:rsidRPr="00123CE2">
        <w:t xml:space="preserve">-bottom or </w:t>
      </w:r>
      <w:r w:rsidRPr="00123CE2">
        <w:rPr>
          <w:i/>
          <w:iCs/>
        </w:rPr>
        <w:t>shuanti</w:t>
      </w:r>
      <w:r w:rsidRPr="00123CE2">
        <w:t xml:space="preserve">-top and </w:t>
      </w:r>
      <w:r w:rsidRPr="00123CE2">
        <w:rPr>
          <w:i/>
          <w:iCs/>
        </w:rPr>
        <w:t>shuanti</w:t>
      </w:r>
      <w:r w:rsidRPr="00123CE2">
        <w:t>-bottom, whereas co-folding enhances these interactions, likely due to the inserted reporter sequences.</w:t>
      </w:r>
    </w:p>
    <w:p w14:paraId="0F173D9E" w14:textId="77777777" w:rsidR="00375D1D" w:rsidRPr="00123CE2" w:rsidRDefault="00375D1D" w:rsidP="00123CE2"/>
    <w:p w14:paraId="2BF23B76" w14:textId="4AB3A65E" w:rsidR="00123CE2" w:rsidRDefault="00123CE2" w:rsidP="00123CE2">
      <w:r w:rsidRPr="00123CE2">
        <w:t xml:space="preserve">To test whether </w:t>
      </w:r>
      <w:r w:rsidRPr="00123CE2">
        <w:rPr>
          <w:i/>
          <w:iCs/>
        </w:rPr>
        <w:t>shu</w:t>
      </w:r>
      <w:r w:rsidRPr="00123CE2">
        <w:t xml:space="preserve"> and </w:t>
      </w:r>
      <w:r w:rsidRPr="00123CE2">
        <w:rPr>
          <w:i/>
          <w:iCs/>
        </w:rPr>
        <w:t>shuanti</w:t>
      </w:r>
      <w:r w:rsidRPr="00123CE2">
        <w:t xml:space="preserve"> can base pair, </w:t>
      </w:r>
      <w:r w:rsidRPr="00123CE2">
        <w:rPr>
          <w:i/>
          <w:iCs/>
        </w:rPr>
        <w:t>shu</w:t>
      </w:r>
      <w:r w:rsidRPr="00123CE2">
        <w:t xml:space="preserve">-top was mixed with </w:t>
      </w:r>
      <w:r w:rsidRPr="00123CE2">
        <w:rPr>
          <w:i/>
          <w:iCs/>
        </w:rPr>
        <w:t>shuanti</w:t>
      </w:r>
      <w:r w:rsidRPr="00123CE2">
        <w:t xml:space="preserve">-bottom, and </w:t>
      </w:r>
      <w:r w:rsidRPr="00123CE2">
        <w:rPr>
          <w:i/>
          <w:iCs/>
        </w:rPr>
        <w:t>shuanti</w:t>
      </w:r>
      <w:r w:rsidRPr="00123CE2">
        <w:t xml:space="preserve">-top was mixed with </w:t>
      </w:r>
      <w:r w:rsidRPr="00123CE2">
        <w:rPr>
          <w:i/>
          <w:iCs/>
        </w:rPr>
        <w:t>shu</w:t>
      </w:r>
      <w:r w:rsidRPr="00123CE2">
        <w:t xml:space="preserve">-bottom. Both combinations exhibited higher DFHBI-1T fluorescence under both co-folding and separate folding conditions compared to </w:t>
      </w:r>
      <w:r w:rsidRPr="00123CE2">
        <w:rPr>
          <w:i/>
          <w:iCs/>
        </w:rPr>
        <w:t>shu</w:t>
      </w:r>
      <w:r w:rsidRPr="00123CE2">
        <w:t xml:space="preserve">-top with </w:t>
      </w:r>
      <w:r w:rsidRPr="00123CE2">
        <w:rPr>
          <w:i/>
          <w:iCs/>
        </w:rPr>
        <w:t>shu</w:t>
      </w:r>
      <w:r w:rsidRPr="00123CE2">
        <w:t xml:space="preserve">-bottom or </w:t>
      </w:r>
      <w:r w:rsidRPr="00123CE2">
        <w:rPr>
          <w:i/>
          <w:iCs/>
        </w:rPr>
        <w:t>shuanti</w:t>
      </w:r>
      <w:r w:rsidRPr="00123CE2">
        <w:t xml:space="preserve">-top with </w:t>
      </w:r>
      <w:r w:rsidRPr="00123CE2">
        <w:rPr>
          <w:i/>
          <w:iCs/>
        </w:rPr>
        <w:t>shuanti</w:t>
      </w:r>
      <w:r w:rsidRPr="00123CE2">
        <w:t>-bottom (</w:t>
      </w:r>
      <w:r w:rsidRPr="00123CE2">
        <w:rPr>
          <w:b/>
          <w:bCs/>
        </w:rPr>
        <w:t>Figures 2Ci</w:t>
      </w:r>
      <w:r w:rsidR="001110E3">
        <w:rPr>
          <w:b/>
          <w:bCs/>
        </w:rPr>
        <w:t xml:space="preserve"> and</w:t>
      </w:r>
      <w:r w:rsidR="00375D1D" w:rsidRPr="00375D1D">
        <w:rPr>
          <w:b/>
          <w:bCs/>
        </w:rPr>
        <w:t xml:space="preserve"> </w:t>
      </w:r>
      <w:r w:rsidR="00375D1D">
        <w:rPr>
          <w:b/>
          <w:bCs/>
        </w:rPr>
        <w:t>2</w:t>
      </w:r>
      <w:r w:rsidRPr="00123CE2">
        <w:rPr>
          <w:b/>
          <w:bCs/>
        </w:rPr>
        <w:t>Cii</w:t>
      </w:r>
      <w:r w:rsidRPr="00123CE2">
        <w:t>).</w:t>
      </w:r>
      <w:r w:rsidR="00375D1D">
        <w:t xml:space="preserve"> </w:t>
      </w:r>
      <w:r w:rsidRPr="00123CE2">
        <w:t xml:space="preserve">After normalization, co-folding of </w:t>
      </w:r>
      <w:r w:rsidRPr="00123CE2">
        <w:rPr>
          <w:i/>
          <w:iCs/>
        </w:rPr>
        <w:t>shu</w:t>
      </w:r>
      <w:r w:rsidRPr="00123CE2">
        <w:t xml:space="preserve">-top with </w:t>
      </w:r>
      <w:r w:rsidRPr="00123CE2">
        <w:rPr>
          <w:i/>
          <w:iCs/>
        </w:rPr>
        <w:t>shuanti</w:t>
      </w:r>
      <w:r w:rsidRPr="00123CE2">
        <w:t xml:space="preserve">-bottom and </w:t>
      </w:r>
      <w:r w:rsidRPr="00123CE2">
        <w:rPr>
          <w:i/>
          <w:iCs/>
        </w:rPr>
        <w:t>shuanti</w:t>
      </w:r>
      <w:r w:rsidRPr="00123CE2">
        <w:t xml:space="preserve">-top with </w:t>
      </w:r>
      <w:r w:rsidRPr="00123CE2">
        <w:rPr>
          <w:i/>
          <w:iCs/>
        </w:rPr>
        <w:t>shu</w:t>
      </w:r>
      <w:r w:rsidRPr="00123CE2">
        <w:t>-bottom resulted in 61.86- and 82.60-fold increases in DFHBI-1T fluorescence, respectively (</w:t>
      </w:r>
      <w:r w:rsidRPr="00123CE2">
        <w:rPr>
          <w:b/>
          <w:bCs/>
        </w:rPr>
        <w:t xml:space="preserve">Figures 2Di </w:t>
      </w:r>
      <w:r w:rsidRPr="00123CE2">
        <w:t xml:space="preserve">and </w:t>
      </w:r>
      <w:r w:rsidRPr="00123CE2">
        <w:rPr>
          <w:b/>
          <w:bCs/>
        </w:rPr>
        <w:t>2Dii</w:t>
      </w:r>
      <w:r w:rsidRPr="00123CE2">
        <w:t>). In contrast, separate folding yielded only 2.69- and 4.94-fold increases, respectively (</w:t>
      </w:r>
      <w:r w:rsidRPr="00123CE2">
        <w:rPr>
          <w:b/>
          <w:bCs/>
        </w:rPr>
        <w:t>Figures 2Di</w:t>
      </w:r>
      <w:r w:rsidRPr="00123CE2">
        <w:t xml:space="preserve"> and </w:t>
      </w:r>
      <w:r w:rsidRPr="00123CE2">
        <w:rPr>
          <w:b/>
          <w:bCs/>
        </w:rPr>
        <w:t>2Dii</w:t>
      </w:r>
      <w:r w:rsidRPr="00123CE2">
        <w:t xml:space="preserve">). Although substantially lower than under co-folding conditions, these values were higher than those observed for </w:t>
      </w:r>
      <w:r w:rsidRPr="00123CE2">
        <w:rPr>
          <w:i/>
          <w:iCs/>
        </w:rPr>
        <w:t>shu</w:t>
      </w:r>
      <w:r w:rsidRPr="00123CE2">
        <w:t xml:space="preserve">-top with </w:t>
      </w:r>
      <w:r w:rsidRPr="00123CE2">
        <w:rPr>
          <w:i/>
          <w:iCs/>
        </w:rPr>
        <w:t>shu</w:t>
      </w:r>
      <w:r w:rsidRPr="00123CE2">
        <w:t xml:space="preserve">-bottom or </w:t>
      </w:r>
      <w:r w:rsidRPr="00123CE2">
        <w:rPr>
          <w:i/>
          <w:iCs/>
        </w:rPr>
        <w:t>shuanti</w:t>
      </w:r>
      <w:r w:rsidRPr="00123CE2">
        <w:t xml:space="preserve">-top with </w:t>
      </w:r>
      <w:r w:rsidRPr="00123CE2">
        <w:rPr>
          <w:i/>
          <w:iCs/>
        </w:rPr>
        <w:t>shuanti</w:t>
      </w:r>
      <w:r w:rsidRPr="00123CE2">
        <w:t>-bottom (1.04 and 1.16, respectively).</w:t>
      </w:r>
    </w:p>
    <w:p w14:paraId="332B9B47" w14:textId="77777777" w:rsidR="00375D1D" w:rsidRPr="00123CE2" w:rsidRDefault="00375D1D" w:rsidP="00123CE2"/>
    <w:p w14:paraId="06DFF922" w14:textId="77777777" w:rsidR="00123CE2" w:rsidRPr="00123CE2" w:rsidRDefault="00123CE2" w:rsidP="00123CE2">
      <w:r w:rsidRPr="00123CE2">
        <w:t>Together, these results indicate that reporters carrying additional complementary sequences have a greater capacity to base pair than those without such sequences. This effect is further enhanced under the co-folding condition, which promotes intermolecular interactions.</w:t>
      </w:r>
    </w:p>
    <w:p w14:paraId="08993AD2" w14:textId="77777777" w:rsidR="00BC61F8" w:rsidRPr="002166FE" w:rsidRDefault="00BC61F8" w:rsidP="002166FE"/>
    <w:p w14:paraId="6D510784" w14:textId="1672C4FA" w:rsidR="006E4797" w:rsidRPr="002166FE" w:rsidRDefault="00FC3F55" w:rsidP="002166FE">
      <w:r w:rsidRPr="002166FE">
        <w:rPr>
          <w:b/>
        </w:rPr>
        <w:t>FIGURE AND TABLE LEGENDS:</w:t>
      </w:r>
      <w:r w:rsidRPr="002166FE">
        <w:t xml:space="preserve"> </w:t>
      </w:r>
    </w:p>
    <w:p w14:paraId="1202CD8F" w14:textId="02584956" w:rsidR="00511373" w:rsidRPr="002166FE" w:rsidRDefault="00511373" w:rsidP="002166FE"/>
    <w:p w14:paraId="318E7234" w14:textId="5ABA28DF" w:rsidR="00375D1D" w:rsidRPr="00375D1D" w:rsidRDefault="00375D1D" w:rsidP="00375D1D">
      <w:pPr>
        <w:rPr>
          <w:b/>
          <w:bCs/>
        </w:rPr>
      </w:pPr>
      <w:r w:rsidRPr="00375D1D">
        <w:rPr>
          <w:b/>
          <w:bCs/>
        </w:rPr>
        <w:t>Figure 1</w:t>
      </w:r>
      <w:r>
        <w:rPr>
          <w:b/>
          <w:bCs/>
        </w:rPr>
        <w:t>:</w:t>
      </w:r>
      <w:r w:rsidRPr="00375D1D">
        <w:rPr>
          <w:b/>
          <w:bCs/>
        </w:rPr>
        <w:t xml:space="preserve"> Predicted secondary structures of top and bottom RNAs and quantification of their intermolecular base pairing in </w:t>
      </w:r>
      <w:r w:rsidRPr="00375D1D">
        <w:rPr>
          <w:b/>
          <w:bCs/>
          <w:i/>
          <w:iCs/>
        </w:rPr>
        <w:t>in vitro</w:t>
      </w:r>
      <w:r w:rsidRPr="00375D1D">
        <w:rPr>
          <w:b/>
          <w:bCs/>
        </w:rPr>
        <w:t xml:space="preserve"> RNA clusters.</w:t>
      </w:r>
      <w:r>
        <w:rPr>
          <w:b/>
          <w:bCs/>
        </w:rPr>
        <w:t xml:space="preserve"> </w:t>
      </w:r>
      <w:r w:rsidRPr="00375D1D">
        <w:t>(</w:t>
      </w:r>
      <w:r w:rsidRPr="00375D1D">
        <w:rPr>
          <w:b/>
          <w:bCs/>
        </w:rPr>
        <w:t>A–B</w:t>
      </w:r>
      <w:r w:rsidRPr="00375D1D">
        <w:t>) Examples of secondary structures of top (</w:t>
      </w:r>
      <w:r w:rsidRPr="00375D1D">
        <w:rPr>
          <w:b/>
          <w:bCs/>
        </w:rPr>
        <w:t>A</w:t>
      </w:r>
      <w:r w:rsidRPr="00375D1D">
        <w:t>) and bottom (</w:t>
      </w:r>
      <w:r w:rsidRPr="00375D1D">
        <w:rPr>
          <w:b/>
          <w:bCs/>
        </w:rPr>
        <w:t>B</w:t>
      </w:r>
      <w:r w:rsidRPr="00375D1D">
        <w:t>) folded individually, as predicted by RNAfold²⁵. When folded separately, top and bottom do not reconstitute the Broccoli aptamer, and DFHBI-1T (gray star) produces minimal fluorescence.</w:t>
      </w:r>
      <w:r>
        <w:rPr>
          <w:b/>
          <w:bCs/>
        </w:rPr>
        <w:t xml:space="preserve"> </w:t>
      </w:r>
      <w:r w:rsidRPr="00375D1D">
        <w:t>(</w:t>
      </w:r>
      <w:r w:rsidRPr="00375D1D">
        <w:rPr>
          <w:b/>
          <w:bCs/>
        </w:rPr>
        <w:t>C</w:t>
      </w:r>
      <w:r w:rsidRPr="00375D1D">
        <w:t>) Example of the secondary structure of base-paired top and bottom RNAs, as predicted by RNAcofold²⁵. Intermolecular base pairing between the two RNAs reconstitutes two Broccoli arms¹⁸, enabling DFHBI-1T binding and resulting in strong green fluorescence (green stars).</w:t>
      </w:r>
      <w:r>
        <w:rPr>
          <w:b/>
          <w:bCs/>
        </w:rPr>
        <w:t xml:space="preserve"> </w:t>
      </w:r>
      <w:r w:rsidRPr="00375D1D">
        <w:t>(</w:t>
      </w:r>
      <w:r w:rsidRPr="00375D1D">
        <w:rPr>
          <w:b/>
          <w:bCs/>
        </w:rPr>
        <w:t>D</w:t>
      </w:r>
      <w:r w:rsidRPr="00375D1D">
        <w:t xml:space="preserve">) Images of DFHBI-1T alone (dye-only control) and </w:t>
      </w:r>
      <w:r w:rsidRPr="00375D1D">
        <w:rPr>
          <w:i/>
          <w:iCs/>
        </w:rPr>
        <w:t>in vitro</w:t>
      </w:r>
      <w:r w:rsidRPr="00375D1D">
        <w:t xml:space="preserve"> RNA clusters (magenta) formed by top and bottom RNAs in the presence of DFHBI-1T (green).</w:t>
      </w:r>
      <w:r>
        <w:rPr>
          <w:b/>
          <w:bCs/>
        </w:rPr>
        <w:t xml:space="preserve"> </w:t>
      </w:r>
      <w:r w:rsidRPr="00375D1D">
        <w:t>(</w:t>
      </w:r>
      <w:r w:rsidRPr="00375D1D">
        <w:rPr>
          <w:b/>
          <w:bCs/>
        </w:rPr>
        <w:t>Ei, ii</w:t>
      </w:r>
      <w:r w:rsidRPr="00375D1D">
        <w:t xml:space="preserve">) </w:t>
      </w:r>
      <w:r w:rsidRPr="00375D1D">
        <w:rPr>
          <w:i/>
          <w:iCs/>
        </w:rPr>
        <w:t>In vitro</w:t>
      </w:r>
      <w:r w:rsidRPr="00375D1D">
        <w:t xml:space="preserve"> RNA clusters (magenta) formed by top and bottom RNAs under co-folding (</w:t>
      </w:r>
      <w:proofErr w:type="spellStart"/>
      <w:r w:rsidRPr="00375D1D">
        <w:rPr>
          <w:b/>
          <w:bCs/>
        </w:rPr>
        <w:t>i</w:t>
      </w:r>
      <w:proofErr w:type="spellEnd"/>
      <w:r w:rsidRPr="00375D1D">
        <w:t>) and separate folding (</w:t>
      </w:r>
      <w:r w:rsidRPr="00375D1D">
        <w:rPr>
          <w:b/>
          <w:bCs/>
        </w:rPr>
        <w:t>ii</w:t>
      </w:r>
      <w:r w:rsidRPr="00375D1D">
        <w:t xml:space="preserve">) conditions in the presence of DFHBI-1T (green). For panels D and E, RNAs were labeled </w:t>
      </w:r>
      <w:r w:rsidRPr="00375D1D">
        <w:lastRenderedPageBreak/>
        <w:t xml:space="preserve">with Cy5 such that, on average, approximately one-third of RNAs contain a single Cy5-labeled uracil, while the remaining two-thirds are unlabeled. Images represent average Z-projections of 27 slices acquired with a 150 nm step size, using the same exposure and laser power for each channel across all conditions. DFHBI-1T fluorescence was normalized to the same intensity range across conditions. Scale bars: 2 </w:t>
      </w:r>
      <w:proofErr w:type="spellStart"/>
      <w:r w:rsidRPr="00375D1D">
        <w:t>μm</w:t>
      </w:r>
      <w:proofErr w:type="spellEnd"/>
      <w:r w:rsidRPr="00375D1D">
        <w:t>.</w:t>
      </w:r>
      <w:r>
        <w:rPr>
          <w:b/>
          <w:bCs/>
        </w:rPr>
        <w:t xml:space="preserve"> </w:t>
      </w:r>
      <w:r w:rsidRPr="00375D1D">
        <w:t>(</w:t>
      </w:r>
      <w:r w:rsidRPr="00375D1D">
        <w:rPr>
          <w:b/>
          <w:bCs/>
        </w:rPr>
        <w:t>F</w:t>
      </w:r>
      <w:r w:rsidRPr="00375D1D">
        <w:t>) DFHBI-1T intensity was normalized to RNA abundance, as measured by Cy5 fluorescence. Data are presented as mean ± SEM. P-values for two-tailed t-test (**** vs. co-folding): 1.0 × 10⁻²² (dye-only), 2.3 × 10⁻²² (top), 4.9 × 10⁻²³ (bottom), and 7.0 × 10⁻²³ (separate folding). n = 30 regions for the dye-only condition and 30–31 RNA clusters for all other conditions.</w:t>
      </w:r>
    </w:p>
    <w:p w14:paraId="40C0000B" w14:textId="3C58235E" w:rsidR="00375D1D" w:rsidRPr="00375D1D" w:rsidRDefault="00375D1D" w:rsidP="00375D1D">
      <w:pPr>
        <w:rPr>
          <w:b/>
          <w:bCs/>
        </w:rPr>
      </w:pPr>
    </w:p>
    <w:p w14:paraId="69C9B276" w14:textId="53D8AEBE" w:rsidR="00375D1D" w:rsidRPr="00375D1D" w:rsidRDefault="00375D1D" w:rsidP="00375D1D">
      <w:pPr>
        <w:rPr>
          <w:b/>
          <w:bCs/>
        </w:rPr>
      </w:pPr>
      <w:r w:rsidRPr="00375D1D">
        <w:rPr>
          <w:b/>
          <w:bCs/>
        </w:rPr>
        <w:t>Figure 2</w:t>
      </w:r>
      <w:r>
        <w:rPr>
          <w:b/>
          <w:bCs/>
        </w:rPr>
        <w:t>:</w:t>
      </w:r>
      <w:r w:rsidRPr="00375D1D">
        <w:rPr>
          <w:b/>
          <w:bCs/>
        </w:rPr>
        <w:t xml:space="preserve"> Representative images and quantification of intermolecular base pairing for shu and shuanti carrying top and bottom reporters.</w:t>
      </w:r>
      <w:r>
        <w:rPr>
          <w:b/>
          <w:bCs/>
        </w:rPr>
        <w:t xml:space="preserve"> </w:t>
      </w:r>
      <w:r w:rsidRPr="00375D1D">
        <w:t>(</w:t>
      </w:r>
      <w:r w:rsidRPr="00375D1D">
        <w:rPr>
          <w:b/>
          <w:bCs/>
        </w:rPr>
        <w:t>A</w:t>
      </w:r>
      <w:r w:rsidRPr="00375D1D">
        <w:t xml:space="preserve">) Images of DFHBI-1T alone (dye-only control) and </w:t>
      </w:r>
      <w:r w:rsidRPr="00375D1D">
        <w:rPr>
          <w:i/>
          <w:iCs/>
        </w:rPr>
        <w:t>in vitro</w:t>
      </w:r>
      <w:r w:rsidRPr="00375D1D">
        <w:t xml:space="preserve"> RNA clusters (magenta) formed by shu-top, shu-bottom, shuanti-top, and shuanti-bottom RNAs in the presence of DFHBI-1T (green). RNAs were labeled with Cy5 such that, on average, three UTP-Cy5 </w:t>
      </w:r>
      <w:proofErr w:type="spellStart"/>
      <w:r w:rsidRPr="00375D1D">
        <w:t>uracils</w:t>
      </w:r>
      <w:proofErr w:type="spellEnd"/>
      <w:r w:rsidRPr="00375D1D">
        <w:t xml:space="preserve"> were incorporated during </w:t>
      </w:r>
      <w:r w:rsidRPr="00375D1D">
        <w:rPr>
          <w:i/>
          <w:iCs/>
        </w:rPr>
        <w:t>in vitro</w:t>
      </w:r>
      <w:r w:rsidRPr="00375D1D">
        <w:t xml:space="preserve"> transcription. Images represent average Z-projections of 27 slices acquired with a 150 nm step size, using the same exposure and laser power for each channel across all conditions. DFHBI-1T fluorescence was normalized to the same intensity range across conditions. Scale bars: 2 </w:t>
      </w:r>
      <w:proofErr w:type="spellStart"/>
      <w:r w:rsidRPr="00375D1D">
        <w:t>μm</w:t>
      </w:r>
      <w:proofErr w:type="spellEnd"/>
      <w:r w:rsidRPr="00375D1D">
        <w:t>.</w:t>
      </w:r>
      <w:r>
        <w:rPr>
          <w:b/>
          <w:bCs/>
        </w:rPr>
        <w:t xml:space="preserve"> </w:t>
      </w:r>
      <w:r w:rsidRPr="00375D1D">
        <w:t>(</w:t>
      </w:r>
      <w:r w:rsidRPr="00375D1D">
        <w:rPr>
          <w:b/>
          <w:bCs/>
        </w:rPr>
        <w:t>B</w:t>
      </w:r>
      <w:r w:rsidRPr="00375D1D">
        <w:t xml:space="preserve">) DFHBI-1T intensity was normalized to RNA abundance, as measured by Cy5 fluorescence. Data are presented as mean ± SEM. </w:t>
      </w:r>
      <w:proofErr w:type="spellStart"/>
      <w:r w:rsidRPr="00375D1D">
        <w:t>n.s</w:t>
      </w:r>
      <w:proofErr w:type="spellEnd"/>
      <w:r w:rsidRPr="00375D1D">
        <w:t>., not significant. P-values for two-tailed t-test (vs. dye-only): 3.1 × 10⁻³ (**; shu-top), 1.7 × 10⁻¹ (</w:t>
      </w:r>
      <w:proofErr w:type="spellStart"/>
      <w:r w:rsidRPr="00375D1D">
        <w:t>n.s</w:t>
      </w:r>
      <w:proofErr w:type="spellEnd"/>
      <w:r w:rsidRPr="00375D1D">
        <w:t>.; shu-bottom), 2.9 × 10⁻³⁵ (***</w:t>
      </w:r>
      <w:r w:rsidRPr="00375D1D">
        <w:rPr>
          <w:i/>
          <w:iCs/>
        </w:rPr>
        <w:t>; shuanti-top), and 2.2 × 10⁻² (</w:t>
      </w:r>
      <w:r w:rsidRPr="00375D1D">
        <w:t>; shuanti-bottom). n = 30 regions for the dye-only condition and 30–32 RNA clusters for all other conditions.</w:t>
      </w:r>
      <w:r>
        <w:rPr>
          <w:b/>
          <w:bCs/>
        </w:rPr>
        <w:t xml:space="preserve"> </w:t>
      </w:r>
      <w:r w:rsidRPr="00375D1D">
        <w:t>(</w:t>
      </w:r>
      <w:r w:rsidRPr="00375D1D">
        <w:rPr>
          <w:b/>
          <w:bCs/>
        </w:rPr>
        <w:t>Ci, ii</w:t>
      </w:r>
      <w:r w:rsidRPr="00375D1D">
        <w:t xml:space="preserve">) Images of </w:t>
      </w:r>
      <w:r w:rsidRPr="00375D1D">
        <w:rPr>
          <w:i/>
          <w:iCs/>
        </w:rPr>
        <w:t>in vitro</w:t>
      </w:r>
      <w:r w:rsidRPr="00375D1D">
        <w:t xml:space="preserve"> RNA clusters (magenta) formed by mixing shu-top with shu-bottom, shuanti-top with shuanti-bottom, shu-top with shuanti-bottom, and shuanti-top with shu-bottom in the presence of DFHBI-1T (green) under co-folding (</w:t>
      </w:r>
      <w:proofErr w:type="spellStart"/>
      <w:r w:rsidRPr="00375D1D">
        <w:rPr>
          <w:b/>
          <w:bCs/>
        </w:rPr>
        <w:t>i</w:t>
      </w:r>
      <w:proofErr w:type="spellEnd"/>
      <w:r w:rsidRPr="00375D1D">
        <w:t>) and separate folding (</w:t>
      </w:r>
      <w:r w:rsidRPr="00375D1D">
        <w:rPr>
          <w:b/>
          <w:bCs/>
        </w:rPr>
        <w:t>ii</w:t>
      </w:r>
      <w:r w:rsidRPr="00375D1D">
        <w:t xml:space="preserve">) conditions. Images represent average Z-projections of 27 slices acquired with a 150 nm step size, using the same exposure and laser power for each channel across all conditions. For the low range, DFHBI-1T fluorescence was normalized to the same intensity range as </w:t>
      </w:r>
      <w:r w:rsidRPr="00375D1D">
        <w:rPr>
          <w:b/>
          <w:bCs/>
        </w:rPr>
        <w:t>Figure 1D–</w:t>
      </w:r>
      <w:proofErr w:type="spellStart"/>
      <w:r w:rsidRPr="00375D1D">
        <w:rPr>
          <w:b/>
          <w:bCs/>
        </w:rPr>
        <w:t>Eii</w:t>
      </w:r>
      <w:proofErr w:type="spellEnd"/>
      <w:r w:rsidRPr="00375D1D">
        <w:t xml:space="preserve"> and </w:t>
      </w:r>
      <w:r w:rsidRPr="00375D1D">
        <w:rPr>
          <w:b/>
          <w:bCs/>
        </w:rPr>
        <w:t>Figure</w:t>
      </w:r>
      <w:r>
        <w:t xml:space="preserve"> </w:t>
      </w:r>
      <w:r w:rsidRPr="00375D1D">
        <w:rPr>
          <w:b/>
          <w:bCs/>
        </w:rPr>
        <w:t>2A</w:t>
      </w:r>
      <w:r w:rsidRPr="00375D1D">
        <w:t xml:space="preserve">. For the high range, DFHBI-1T fluorescence was normalized to a higher but consistent intensity range across all conditions in panels </w:t>
      </w:r>
      <w:r w:rsidRPr="00375D1D">
        <w:rPr>
          <w:b/>
          <w:bCs/>
        </w:rPr>
        <w:t xml:space="preserve">Ci </w:t>
      </w:r>
      <w:r w:rsidRPr="00375D1D">
        <w:t xml:space="preserve">and </w:t>
      </w:r>
      <w:proofErr w:type="spellStart"/>
      <w:r w:rsidRPr="00375D1D">
        <w:rPr>
          <w:b/>
          <w:bCs/>
        </w:rPr>
        <w:t>Cii</w:t>
      </w:r>
      <w:proofErr w:type="spellEnd"/>
      <w:r w:rsidRPr="00375D1D">
        <w:t xml:space="preserve">. Scale bars: 2 </w:t>
      </w:r>
      <w:proofErr w:type="spellStart"/>
      <w:r w:rsidRPr="00375D1D">
        <w:t>μm</w:t>
      </w:r>
      <w:proofErr w:type="spellEnd"/>
      <w:r w:rsidRPr="00375D1D">
        <w:t>.</w:t>
      </w:r>
      <w:r>
        <w:rPr>
          <w:b/>
          <w:bCs/>
        </w:rPr>
        <w:t xml:space="preserve"> </w:t>
      </w:r>
      <w:r w:rsidRPr="00375D1D">
        <w:t>(</w:t>
      </w:r>
      <w:r w:rsidRPr="00375D1D">
        <w:rPr>
          <w:b/>
          <w:bCs/>
        </w:rPr>
        <w:t>Di, ii</w:t>
      </w:r>
      <w:r w:rsidRPr="00375D1D">
        <w:t xml:space="preserve">) DFHBI-1T intensity was normalized first to RNA intensity and then to negative controls, defined as the average normalized DFHBI-1T signal from each RNA alone. Data are presented as mean ± SEM. </w:t>
      </w:r>
      <w:proofErr w:type="spellStart"/>
      <w:r w:rsidRPr="00375D1D">
        <w:t>n.s</w:t>
      </w:r>
      <w:proofErr w:type="spellEnd"/>
      <w:r w:rsidRPr="00375D1D">
        <w:t>., not significant.</w:t>
      </w:r>
      <w:r w:rsidRPr="00375D1D">
        <w:br/>
        <w:t>(</w:t>
      </w:r>
      <w:proofErr w:type="spellStart"/>
      <w:r w:rsidRPr="00375D1D">
        <w:rPr>
          <w:b/>
          <w:bCs/>
        </w:rPr>
        <w:t>i</w:t>
      </w:r>
      <w:proofErr w:type="spellEnd"/>
      <w:r w:rsidRPr="00375D1D">
        <w:t>) P-values for two-tailed t-test (**** vs. shu-top + shu-bottom): 1.1 × 10⁻³¹ (shuanti-top + shuanti-bottom), 1.1 × 10⁻²² (shu-top + shuanti-bottom), and 4.3 × 10⁻²⁷ (shuanti-top + shu-bottom).</w:t>
      </w:r>
      <w:r>
        <w:t xml:space="preserve"> </w:t>
      </w:r>
      <w:r w:rsidRPr="00375D1D">
        <w:t>(</w:t>
      </w:r>
      <w:r w:rsidRPr="00375D1D">
        <w:rPr>
          <w:b/>
          <w:bCs/>
        </w:rPr>
        <w:t>ii</w:t>
      </w:r>
      <w:r w:rsidRPr="00375D1D">
        <w:t>) P-values for two-tailed t-test (vs. shu-top + shu-bottom): 2.2 × 10⁻¹ (</w:t>
      </w:r>
      <w:proofErr w:type="spellStart"/>
      <w:r w:rsidRPr="00375D1D">
        <w:t>n.s</w:t>
      </w:r>
      <w:proofErr w:type="spellEnd"/>
      <w:r w:rsidRPr="00375D1D">
        <w:t>.; shuanti-top + shuanti-bottom), 1.9 × 10⁻⁹ (; shu-top + shuanti-bottom), and 1.3 × 10⁻¹⁵ (; shuanti-top + shu-bottom).</w:t>
      </w:r>
      <w:r>
        <w:t xml:space="preserve"> </w:t>
      </w:r>
      <w:r w:rsidRPr="00375D1D">
        <w:t>n = 29–32 RNA clusters for all conditions.</w:t>
      </w:r>
    </w:p>
    <w:p w14:paraId="79D04A61" w14:textId="51FDD1A3" w:rsidR="00375D1D" w:rsidRPr="00375D1D" w:rsidRDefault="00375D1D" w:rsidP="00375D1D"/>
    <w:p w14:paraId="2CB1B397" w14:textId="18C0EC08" w:rsidR="00375D1D" w:rsidRPr="00375D1D" w:rsidRDefault="00375D1D" w:rsidP="00375D1D">
      <w:r w:rsidRPr="00375D1D">
        <w:rPr>
          <w:b/>
          <w:bCs/>
        </w:rPr>
        <w:t>Table 1</w:t>
      </w:r>
      <w:r>
        <w:rPr>
          <w:b/>
          <w:bCs/>
        </w:rPr>
        <w:t>:</w:t>
      </w:r>
      <w:r w:rsidRPr="00375D1D">
        <w:rPr>
          <w:b/>
          <w:bCs/>
        </w:rPr>
        <w:t xml:space="preserve"> Sequences of T7 promoter, split Broccoli reporters, and primers used to amplify DNA templates for T7 transcription.</w:t>
      </w:r>
      <w:r>
        <w:rPr>
          <w:b/>
          <w:bCs/>
        </w:rPr>
        <w:t xml:space="preserve"> </w:t>
      </w:r>
      <w:r w:rsidRPr="00375D1D">
        <w:t xml:space="preserve">The listed primers were used to generate DNA templates for </w:t>
      </w:r>
      <w:r w:rsidRPr="00375D1D">
        <w:rPr>
          <w:i/>
          <w:iCs/>
        </w:rPr>
        <w:t>in vitro</w:t>
      </w:r>
      <w:r w:rsidRPr="00375D1D">
        <w:t xml:space="preserve"> transcription of the top and bottom RNAs, which were subsequently used in RNA clustering assays described in this study.</w:t>
      </w:r>
    </w:p>
    <w:p w14:paraId="384360F4" w14:textId="51F62347" w:rsidR="00375D1D" w:rsidRPr="00375D1D" w:rsidRDefault="00375D1D" w:rsidP="00375D1D">
      <w:pPr>
        <w:rPr>
          <w:b/>
          <w:bCs/>
        </w:rPr>
      </w:pPr>
    </w:p>
    <w:p w14:paraId="59310969" w14:textId="29EF09F6" w:rsidR="00375D1D" w:rsidRPr="00375D1D" w:rsidRDefault="00375D1D" w:rsidP="00375D1D">
      <w:pPr>
        <w:rPr>
          <w:b/>
          <w:bCs/>
        </w:rPr>
      </w:pPr>
      <w:r w:rsidRPr="00375D1D">
        <w:rPr>
          <w:b/>
          <w:bCs/>
        </w:rPr>
        <w:t>Table 2</w:t>
      </w:r>
      <w:r>
        <w:rPr>
          <w:b/>
          <w:bCs/>
        </w:rPr>
        <w:t>:</w:t>
      </w:r>
      <w:r w:rsidRPr="00375D1D">
        <w:rPr>
          <w:b/>
          <w:bCs/>
        </w:rPr>
        <w:t xml:space="preserve"> Sequences of shu-top, shu-bottom, shuanti-top, shuanti-bottom, and primers used to </w:t>
      </w:r>
      <w:r w:rsidRPr="00375D1D">
        <w:rPr>
          <w:b/>
          <w:bCs/>
        </w:rPr>
        <w:lastRenderedPageBreak/>
        <w:t>amplify DNA templates for T7 transcription.</w:t>
      </w:r>
      <w:r>
        <w:rPr>
          <w:b/>
          <w:bCs/>
        </w:rPr>
        <w:t xml:space="preserve"> </w:t>
      </w:r>
      <w:r w:rsidRPr="00375D1D">
        <w:t xml:space="preserve">The listed primers were used to generate DNA templates for </w:t>
      </w:r>
      <w:r w:rsidRPr="00375D1D">
        <w:rPr>
          <w:i/>
          <w:iCs/>
        </w:rPr>
        <w:t>in vitro</w:t>
      </w:r>
      <w:r w:rsidRPr="00375D1D">
        <w:t xml:space="preserve"> transcription of shu and shuanti RNAs carrying the top and bottom reporters, which were subsequently used in RNA clustering assays described in this study.</w:t>
      </w:r>
    </w:p>
    <w:p w14:paraId="3C4B91B5" w14:textId="77777777" w:rsidR="005F1CFC" w:rsidRPr="002166FE" w:rsidRDefault="005F1CFC" w:rsidP="002166FE"/>
    <w:p w14:paraId="7C0B6465" w14:textId="0773AA24" w:rsidR="006E4797" w:rsidRPr="002166FE" w:rsidRDefault="00FC3F55" w:rsidP="002166FE">
      <w:pPr>
        <w:rPr>
          <w:b/>
        </w:rPr>
      </w:pPr>
      <w:r w:rsidRPr="002166FE">
        <w:rPr>
          <w:b/>
        </w:rPr>
        <w:t xml:space="preserve">DISCUSSION: </w:t>
      </w:r>
    </w:p>
    <w:p w14:paraId="762A5C35" w14:textId="77777777" w:rsidR="00CA3EB6" w:rsidRDefault="00CA3EB6" w:rsidP="00CA3EB6">
      <w:r w:rsidRPr="00CA3EB6">
        <w:t xml:space="preserve">In this study, the split Broccoli aptamer system¹⁸ was adapted for direct visualization and quantification of intermolecular base pairing under </w:t>
      </w:r>
      <w:r w:rsidRPr="00CA3EB6">
        <w:rPr>
          <w:i/>
          <w:iCs/>
        </w:rPr>
        <w:t>in vitro</w:t>
      </w:r>
      <w:r w:rsidRPr="00CA3EB6">
        <w:t xml:space="preserve"> RNA clustering conditions. This approach enables assessment of intermolecular base pairing across different </w:t>
      </w:r>
      <w:r w:rsidRPr="00CA3EB6">
        <w:rPr>
          <w:i/>
          <w:iCs/>
        </w:rPr>
        <w:t>in vitro</w:t>
      </w:r>
      <w:r w:rsidRPr="00CA3EB6">
        <w:t xml:space="preserve"> conditions and complements downstream biochemical assays, such as RNA pull-down experiments using base-pairing crosslinkers¹⁵</w:t>
      </w:r>
      <w:r w:rsidRPr="006E2B01">
        <w:rPr>
          <w:vertAlign w:val="superscript"/>
        </w:rPr>
        <w:t>–</w:t>
      </w:r>
      <w:r w:rsidRPr="00CA3EB6">
        <w:t>¹⁷ and gel electrophoresis</w:t>
      </w:r>
      <w:proofErr w:type="gramStart"/>
      <w:r w:rsidRPr="00CA3EB6">
        <w:t>⁴</w:t>
      </w:r>
      <w:r w:rsidRPr="00CA3EB6">
        <w:rPr>
          <w:vertAlign w:val="superscript"/>
        </w:rPr>
        <w:t>,</w:t>
      </w:r>
      <w:r w:rsidRPr="00CA3EB6">
        <w:t>⁶</w:t>
      </w:r>
      <w:proofErr w:type="gramEnd"/>
      <w:r w:rsidRPr="00CA3EB6">
        <w:rPr>
          <w:vertAlign w:val="superscript"/>
        </w:rPr>
        <w:t>,</w:t>
      </w:r>
      <w:r w:rsidRPr="00CA3EB6">
        <w:t>⁷. Unlike these biochemical methods, which lack the spatial resolution to distinguish base pairing within RNA clusters from that occurring outside them, this approach enables direct spatial visualization of these interactions within clusters. Specifically, it allows monitoring of base pairing between top and bottom RNAs, or RNAs carrying these reporters, under defined RNA clustering conditions. In addition, it provides a real-time, quantitative readout of base pairing between reporter RNAs without requiring crosslinking or RNA extraction, thereby minimizing sample loss and buffer incompatibility.</w:t>
      </w:r>
    </w:p>
    <w:p w14:paraId="463321E7" w14:textId="77777777" w:rsidR="00CA3EB6" w:rsidRPr="00CA3EB6" w:rsidRDefault="00CA3EB6" w:rsidP="00CA3EB6"/>
    <w:p w14:paraId="522042C8" w14:textId="2F71430C" w:rsidR="00CA3EB6" w:rsidRDefault="00CA3EB6" w:rsidP="00CA3EB6">
      <w:r w:rsidRPr="00CA3EB6">
        <w:t xml:space="preserve">Using fluorescence microscopy, intermolecular base pairing between the split Broccoli aptamer sequences was quantitatively measured through DFHBI-1T signal, demonstrating compatibility of DFHBI-1T with the </w:t>
      </w:r>
      <w:r w:rsidRPr="00CA3EB6">
        <w:rPr>
          <w:i/>
          <w:iCs/>
        </w:rPr>
        <w:t>in vitro</w:t>
      </w:r>
      <w:r w:rsidRPr="00CA3EB6">
        <w:t xml:space="preserve"> RNA clustering protocol. The extent of intermolecular base pairing varied depending on RNA folding conditions, as observed under co-folding and separate folding conditions (</w:t>
      </w:r>
      <w:r w:rsidRPr="00CA3EB6">
        <w:rPr>
          <w:b/>
          <w:bCs/>
        </w:rPr>
        <w:t>Figure 1F</w:t>
      </w:r>
      <w:r w:rsidRPr="00CA3EB6">
        <w:t xml:space="preserve"> and </w:t>
      </w:r>
      <w:r w:rsidRPr="00CA3EB6">
        <w:rPr>
          <w:b/>
          <w:bCs/>
        </w:rPr>
        <w:t>Figure 2Di–2Dii</w:t>
      </w:r>
      <w:r w:rsidRPr="00CA3EB6">
        <w:t>). These findings indicate that RNA folding conditions critically influence intermolecular RNA interactions and should be carefully considered when interpreting experimental results.</w:t>
      </w:r>
    </w:p>
    <w:p w14:paraId="026B7041" w14:textId="77777777" w:rsidR="00CA3EB6" w:rsidRPr="00CA3EB6" w:rsidRDefault="00CA3EB6" w:rsidP="00CA3EB6"/>
    <w:p w14:paraId="3AAED14B" w14:textId="6E7D180D" w:rsidR="00CA3EB6" w:rsidRDefault="00CA3EB6" w:rsidP="00CA3EB6">
      <w:r w:rsidRPr="00CA3EB6">
        <w:t xml:space="preserve">This assay also provides a platform to evaluate whether sequences flanking the top and bottom reporters enhance intermolecular base pairing, as demonstrated using </w:t>
      </w:r>
      <w:r w:rsidRPr="00CA3EB6">
        <w:rPr>
          <w:i/>
          <w:iCs/>
        </w:rPr>
        <w:t>shu</w:t>
      </w:r>
      <w:r w:rsidRPr="00CA3EB6">
        <w:t xml:space="preserve">. DFHBI-1T fluorescence was higher for </w:t>
      </w:r>
      <w:r w:rsidRPr="00CA3EB6">
        <w:rPr>
          <w:i/>
          <w:iCs/>
        </w:rPr>
        <w:t>shu</w:t>
      </w:r>
      <w:r w:rsidRPr="00CA3EB6">
        <w:t xml:space="preserve">-top with </w:t>
      </w:r>
      <w:r w:rsidRPr="00CA3EB6">
        <w:rPr>
          <w:i/>
          <w:iCs/>
        </w:rPr>
        <w:t>shuanti</w:t>
      </w:r>
      <w:r w:rsidRPr="00CA3EB6">
        <w:t xml:space="preserve">-bottom and </w:t>
      </w:r>
      <w:r w:rsidRPr="00CA3EB6">
        <w:rPr>
          <w:i/>
          <w:iCs/>
        </w:rPr>
        <w:t>shuanti</w:t>
      </w:r>
      <w:r w:rsidRPr="00CA3EB6">
        <w:t xml:space="preserve">-top with </w:t>
      </w:r>
      <w:r w:rsidRPr="00CA3EB6">
        <w:rPr>
          <w:i/>
          <w:iCs/>
        </w:rPr>
        <w:t>shu</w:t>
      </w:r>
      <w:r w:rsidRPr="00CA3EB6">
        <w:t xml:space="preserve">-bottom than for </w:t>
      </w:r>
      <w:r w:rsidRPr="00CA3EB6">
        <w:rPr>
          <w:i/>
          <w:iCs/>
        </w:rPr>
        <w:t>shu</w:t>
      </w:r>
      <w:r w:rsidRPr="00CA3EB6">
        <w:t xml:space="preserve">-top with </w:t>
      </w:r>
      <w:r w:rsidRPr="00CA3EB6">
        <w:rPr>
          <w:i/>
          <w:iCs/>
        </w:rPr>
        <w:t>shu</w:t>
      </w:r>
      <w:r w:rsidRPr="00CA3EB6">
        <w:t xml:space="preserve">-bottom or </w:t>
      </w:r>
      <w:r w:rsidRPr="00CA3EB6">
        <w:rPr>
          <w:i/>
          <w:iCs/>
        </w:rPr>
        <w:t>shuanti</w:t>
      </w:r>
      <w:r w:rsidRPr="00CA3EB6">
        <w:t xml:space="preserve">-top with </w:t>
      </w:r>
      <w:r w:rsidRPr="00CA3EB6">
        <w:rPr>
          <w:i/>
          <w:iCs/>
        </w:rPr>
        <w:t>shuanti</w:t>
      </w:r>
      <w:r w:rsidRPr="00CA3EB6">
        <w:t xml:space="preserve">-bottom, indicating that intermolecular interactions involving </w:t>
      </w:r>
      <w:r w:rsidRPr="00CA3EB6">
        <w:rPr>
          <w:i/>
          <w:iCs/>
        </w:rPr>
        <w:t>shu</w:t>
      </w:r>
      <w:r w:rsidRPr="00CA3EB6">
        <w:t xml:space="preserve"> and </w:t>
      </w:r>
      <w:r w:rsidRPr="00CA3EB6">
        <w:rPr>
          <w:i/>
          <w:iCs/>
        </w:rPr>
        <w:t>shuanti</w:t>
      </w:r>
      <w:r w:rsidRPr="00CA3EB6">
        <w:t xml:space="preserve"> further enhance the Broccoli signal. These observations suggest that the DFHBI-1T fluorescence signal obtained from </w:t>
      </w:r>
      <w:r>
        <w:t xml:space="preserve">the </w:t>
      </w:r>
      <w:r w:rsidRPr="00CA3EB6">
        <w:t>co-folding of the top and bottom reporters alone does not represent the upper limit of the assay.</w:t>
      </w:r>
    </w:p>
    <w:p w14:paraId="63421DAF" w14:textId="77777777" w:rsidR="00CA3EB6" w:rsidRPr="00CA3EB6" w:rsidRDefault="00CA3EB6" w:rsidP="00CA3EB6"/>
    <w:p w14:paraId="5F9FED88" w14:textId="02F26F86" w:rsidR="00CA3EB6" w:rsidRDefault="00CA3EB6" w:rsidP="00CA3EB6">
      <w:r w:rsidRPr="00CA3EB6">
        <w:t>DFHBI-1T fluorescence measured in these experiments spanned a broad dynamic range, from a 1.04-fold increase (</w:t>
      </w:r>
      <w:r w:rsidRPr="00CA3EB6">
        <w:rPr>
          <w:i/>
          <w:iCs/>
        </w:rPr>
        <w:t>shu</w:t>
      </w:r>
      <w:r w:rsidRPr="00CA3EB6">
        <w:t xml:space="preserve">-top with </w:t>
      </w:r>
      <w:r w:rsidRPr="00CA3EB6">
        <w:rPr>
          <w:i/>
          <w:iCs/>
        </w:rPr>
        <w:t>shu</w:t>
      </w:r>
      <w:r w:rsidRPr="00CA3EB6">
        <w:t>-bottom under separate folding) to an 82.60-fold increase (</w:t>
      </w:r>
      <w:r w:rsidRPr="00CA3EB6">
        <w:rPr>
          <w:i/>
          <w:iCs/>
        </w:rPr>
        <w:t>shuanti</w:t>
      </w:r>
      <w:r w:rsidRPr="00CA3EB6">
        <w:t xml:space="preserve">-top with </w:t>
      </w:r>
      <w:r w:rsidRPr="00CA3EB6">
        <w:rPr>
          <w:i/>
          <w:iCs/>
        </w:rPr>
        <w:t>shu</w:t>
      </w:r>
      <w:r w:rsidRPr="00CA3EB6">
        <w:t xml:space="preserve">-bottom under co-folding conditions). This dynamic range enables </w:t>
      </w:r>
      <w:r>
        <w:t xml:space="preserve">the </w:t>
      </w:r>
      <w:r w:rsidRPr="00CA3EB6">
        <w:t>detection of differences in intermolecular RNA interactions among RNAs carrying these reporters.</w:t>
      </w:r>
    </w:p>
    <w:p w14:paraId="41C1595E" w14:textId="77777777" w:rsidR="00CA3EB6" w:rsidRPr="00CA3EB6" w:rsidRDefault="00CA3EB6" w:rsidP="00CA3EB6"/>
    <w:p w14:paraId="15685898" w14:textId="4103FEB0" w:rsidR="00CA3EB6" w:rsidRDefault="00CA3EB6" w:rsidP="00CA3EB6">
      <w:r w:rsidRPr="00CA3EB6">
        <w:t xml:space="preserve">Several steps in this protocol are critical for </w:t>
      </w:r>
      <w:r>
        <w:t xml:space="preserve">the </w:t>
      </w:r>
      <w:r w:rsidRPr="00CA3EB6">
        <w:t xml:space="preserve">successful detection of intermolecular RNA base pairing between split Broccoli top and bottom RNAs in RNA clusters. Fresh aliquots of PEG 8000 should be used to reliably induce RNA clustering, and repeated freeze–thaw cycles should be minimized due to reagent instability. DFHBI-1T should be aliquoted and stored at −20 °C to </w:t>
      </w:r>
      <w:r w:rsidRPr="00CA3EB6">
        <w:lastRenderedPageBreak/>
        <w:t xml:space="preserve">preserve fluorescence properties. </w:t>
      </w:r>
      <w:r w:rsidRPr="00CA3EB6">
        <w:rPr>
          <w:i/>
          <w:iCs/>
        </w:rPr>
        <w:t>In vitro</w:t>
      </w:r>
      <w:r w:rsidRPr="00CA3EB6">
        <w:t xml:space="preserve"> transcription products should be analyzed on a denaturing RNA gel prior to clustering to confirm the correct transcript size. In addition, maintaining RNase-free conditions, including a clean working environment and imaging chamber, is essential because RNA droplets are incubated at room temperature for extended periods prior to imaging.</w:t>
      </w:r>
    </w:p>
    <w:p w14:paraId="575802C3" w14:textId="77777777" w:rsidR="00CA3EB6" w:rsidRPr="00CA3EB6" w:rsidRDefault="00CA3EB6" w:rsidP="00CA3EB6"/>
    <w:p w14:paraId="5F1B7F0E" w14:textId="77777777" w:rsidR="00CA3EB6" w:rsidRDefault="00CA3EB6" w:rsidP="00CA3EB6">
      <w:r w:rsidRPr="00CA3EB6">
        <w:t xml:space="preserve">One limitation of this assay is that DFHBI-1T specifically reports intermolecular base pairing mediated by the top and bottom sequences. Other intermolecular base pairing events occurring in different RNA regions cannot be detected. In addition, the Broccoli structure formed by base pairing between the top and bottom strands is thermodynamically stable²⁶ and may not fully reflect weaker or transient interactions, such as those formed by scattered, surface-exposed bases, as observed in </w:t>
      </w:r>
      <w:r w:rsidRPr="00CA3EB6">
        <w:rPr>
          <w:i/>
          <w:iCs/>
        </w:rPr>
        <w:t>Drosophila</w:t>
      </w:r>
      <w:r w:rsidRPr="00CA3EB6">
        <w:t xml:space="preserve"> germ granule mRNA clusters⁴.</w:t>
      </w:r>
    </w:p>
    <w:p w14:paraId="1BCE0DD4" w14:textId="77777777" w:rsidR="00CA3EB6" w:rsidRPr="00CA3EB6" w:rsidRDefault="00CA3EB6" w:rsidP="00CA3EB6"/>
    <w:p w14:paraId="3CE632FF" w14:textId="77777777" w:rsidR="00CA3EB6" w:rsidRDefault="00CA3EB6" w:rsidP="00CA3EB6">
      <w:r w:rsidRPr="00CA3EB6">
        <w:t>Furthermore, intermolecular RNA–RNA interactions can be promiscuous and non-specific, and sequences flanking the top and bottom reporters may influence DFHBI-1T fluorescence. These flanking regions may directly interact with the reporter sequences, inhibiting Broccoli formation or altering RNA structure, thereby affecting interactions between RNAs carrying the reporters. Accordingly, the assay reflects the combined effects of RNA structure, top–bottom base pairing, interactions among flanking sequences, and interactions between flanking sequences and the reporters.</w:t>
      </w:r>
    </w:p>
    <w:p w14:paraId="198AA8CF" w14:textId="77777777" w:rsidR="00CA3EB6" w:rsidRPr="00CA3EB6" w:rsidRDefault="00CA3EB6" w:rsidP="00CA3EB6"/>
    <w:p w14:paraId="663F4497" w14:textId="3EC7DD4B" w:rsidR="00CA3EB6" w:rsidRPr="00CA3EB6" w:rsidRDefault="00CA3EB6" w:rsidP="00CA3EB6">
      <w:r w:rsidRPr="00CA3EB6">
        <w:t xml:space="preserve">This assay provides opportunities for future investigation. For example, altering RNA sequences flanking the reporters, introducing RNA helicases or chaperones, or modifying salt conditions may influence intermolecular base pairing in RNA clusters. Such effects can be assessed by measuring </w:t>
      </w:r>
      <w:r>
        <w:t xml:space="preserve">the </w:t>
      </w:r>
      <w:r w:rsidRPr="00CA3EB6">
        <w:t>DFHBI-1T signal under co-folding and separate folding conditions. Given that similar RNA aptamers have been used in cells, bacteria, and yeast²⁶</w:t>
      </w:r>
      <w:r w:rsidRPr="00CA3EB6">
        <w:rPr>
          <w:vertAlign w:val="superscript"/>
        </w:rPr>
        <w:t>–</w:t>
      </w:r>
      <w:r w:rsidRPr="00CA3EB6">
        <w:t xml:space="preserve">³⁰, this approach may be extended to </w:t>
      </w:r>
      <w:r w:rsidRPr="00CA3EB6">
        <w:rPr>
          <w:i/>
          <w:iCs/>
        </w:rPr>
        <w:t xml:space="preserve">in </w:t>
      </w:r>
      <w:proofErr w:type="spellStart"/>
      <w:r w:rsidRPr="00CA3EB6">
        <w:rPr>
          <w:i/>
          <w:iCs/>
        </w:rPr>
        <w:t>cellulo</w:t>
      </w:r>
      <w:proofErr w:type="spellEnd"/>
      <w:r w:rsidRPr="00CA3EB6">
        <w:t xml:space="preserve"> systems or model organisms to examine intermolecular base pairing in mRNA clusters.</w:t>
      </w:r>
    </w:p>
    <w:p w14:paraId="53368D81" w14:textId="77777777" w:rsidR="00257E0E" w:rsidRPr="002166FE" w:rsidRDefault="00257E0E" w:rsidP="002166FE"/>
    <w:p w14:paraId="59F37CC4" w14:textId="4F152397" w:rsidR="006E4797" w:rsidRPr="002166FE" w:rsidRDefault="00FC3F55" w:rsidP="002166FE">
      <w:pPr>
        <w:pBdr>
          <w:top w:val="nil"/>
          <w:left w:val="nil"/>
          <w:bottom w:val="nil"/>
          <w:right w:val="nil"/>
          <w:between w:val="nil"/>
        </w:pBdr>
      </w:pPr>
      <w:r w:rsidRPr="002166FE">
        <w:rPr>
          <w:b/>
        </w:rPr>
        <w:t xml:space="preserve">ACKNOWLEDGMENTS: </w:t>
      </w:r>
    </w:p>
    <w:p w14:paraId="0D23F0AE" w14:textId="5D72DFC2" w:rsidR="00FB72AB" w:rsidRDefault="00CA3EB6" w:rsidP="002166FE">
      <w:pPr>
        <w:rPr>
          <w:rFonts w:eastAsia="Times New Roman"/>
        </w:rPr>
      </w:pPr>
      <w:r w:rsidRPr="00CA3EB6">
        <w:rPr>
          <w:rFonts w:eastAsia="Times New Roman"/>
        </w:rPr>
        <w:t>During the preparation of this work, the authors used ChatGPT 5.2 to improve the readability and language of the manuscript. This research was supported by the NIGMS R35GM142737 grant awarded to T.T.</w:t>
      </w:r>
    </w:p>
    <w:p w14:paraId="4F025B4E" w14:textId="77777777" w:rsidR="00CA3EB6" w:rsidRPr="002166FE" w:rsidRDefault="00CA3EB6" w:rsidP="002166FE">
      <w:pPr>
        <w:rPr>
          <w:b/>
        </w:rPr>
      </w:pPr>
    </w:p>
    <w:p w14:paraId="5E703EBA" w14:textId="7B831043" w:rsidR="006E4797" w:rsidRPr="002166FE" w:rsidRDefault="00FC3F55" w:rsidP="002166FE">
      <w:pPr>
        <w:pBdr>
          <w:top w:val="nil"/>
          <w:left w:val="nil"/>
          <w:bottom w:val="nil"/>
          <w:right w:val="nil"/>
          <w:between w:val="nil"/>
        </w:pBdr>
      </w:pPr>
      <w:r w:rsidRPr="002166FE">
        <w:rPr>
          <w:b/>
        </w:rPr>
        <w:t xml:space="preserve">DISCLOSURES: </w:t>
      </w:r>
    </w:p>
    <w:p w14:paraId="17FC9EDC" w14:textId="77777777" w:rsidR="00B0794E" w:rsidRPr="002166FE" w:rsidRDefault="00FC3F55" w:rsidP="002166FE">
      <w:pPr>
        <w:pStyle w:val="NormalWeb"/>
        <w:spacing w:before="0" w:beforeAutospacing="0" w:after="0" w:afterAutospacing="0"/>
        <w:jc w:val="both"/>
        <w:rPr>
          <w:rFonts w:ascii="Calibri" w:hAnsi="Calibri" w:cs="Calibri"/>
        </w:rPr>
      </w:pPr>
      <w:r w:rsidRPr="002166FE">
        <w:rPr>
          <w:rFonts w:ascii="Calibri" w:hAnsi="Calibri" w:cs="Calibri"/>
        </w:rPr>
        <w:t>The authors declare no competing interests.</w:t>
      </w:r>
    </w:p>
    <w:p w14:paraId="4A7B0E5C" w14:textId="77777777" w:rsidR="006E4797" w:rsidRPr="002166FE" w:rsidRDefault="006E4797" w:rsidP="002166FE"/>
    <w:p w14:paraId="442E5FF5" w14:textId="161854E9" w:rsidR="00D66744" w:rsidRPr="002166FE" w:rsidRDefault="00FC3F55" w:rsidP="002166FE">
      <w:pPr>
        <w:rPr>
          <w:b/>
        </w:rPr>
      </w:pPr>
      <w:r w:rsidRPr="002166FE">
        <w:rPr>
          <w:b/>
        </w:rPr>
        <w:t>REFERENCES:</w:t>
      </w:r>
    </w:p>
    <w:p w14:paraId="484ACDFC" w14:textId="2FDA2380" w:rsidR="00CA3EB6" w:rsidRPr="00CA3EB6" w:rsidRDefault="00CA3EB6" w:rsidP="00BA7710">
      <w:pPr>
        <w:pStyle w:val="EndNoteBibliography"/>
        <w:numPr>
          <w:ilvl w:val="0"/>
          <w:numId w:val="25"/>
        </w:numPr>
        <w:tabs>
          <w:tab w:val="left" w:pos="360"/>
        </w:tabs>
        <w:ind w:left="0" w:firstLine="0"/>
        <w:rPr>
          <w:bCs/>
        </w:rPr>
      </w:pPr>
      <w:r w:rsidRPr="00CA3EB6">
        <w:rPr>
          <w:bCs/>
        </w:rPr>
        <w:t xml:space="preserve">Jain A, Vale RD. RNA phase transitions in repeat expansion disorders. </w:t>
      </w:r>
      <w:r w:rsidRPr="00CA3EB6">
        <w:rPr>
          <w:bCs/>
          <w:i/>
          <w:iCs/>
        </w:rPr>
        <w:t>Nature</w:t>
      </w:r>
      <w:r w:rsidRPr="00CA3EB6">
        <w:rPr>
          <w:bCs/>
        </w:rPr>
        <w:t xml:space="preserve">. 2017;546:243–7. </w:t>
      </w:r>
    </w:p>
    <w:p w14:paraId="78CD26B8" w14:textId="199A3619" w:rsidR="00CA3EB6" w:rsidRPr="00CA3EB6" w:rsidRDefault="00CA3EB6" w:rsidP="00BA7710">
      <w:pPr>
        <w:pStyle w:val="EndNoteBibliography"/>
        <w:numPr>
          <w:ilvl w:val="0"/>
          <w:numId w:val="25"/>
        </w:numPr>
        <w:tabs>
          <w:tab w:val="left" w:pos="360"/>
        </w:tabs>
        <w:ind w:left="0" w:firstLine="0"/>
        <w:rPr>
          <w:bCs/>
        </w:rPr>
      </w:pPr>
      <w:r w:rsidRPr="00CA3EB6">
        <w:rPr>
          <w:bCs/>
        </w:rPr>
        <w:t xml:space="preserve">Langdon EM et al. mRNA structure determines specificity of a polyQ-driven phase separation. </w:t>
      </w:r>
      <w:r w:rsidRPr="00CA3EB6">
        <w:rPr>
          <w:bCs/>
          <w:i/>
          <w:iCs/>
        </w:rPr>
        <w:t>Science</w:t>
      </w:r>
      <w:r w:rsidRPr="00CA3EB6">
        <w:rPr>
          <w:bCs/>
        </w:rPr>
        <w:t xml:space="preserve">. 2018;360:922–7. </w:t>
      </w:r>
    </w:p>
    <w:p w14:paraId="71534971" w14:textId="4C1A23D0" w:rsidR="00CA3EB6" w:rsidRPr="00CA3EB6" w:rsidRDefault="00CA3EB6" w:rsidP="00BA7710">
      <w:pPr>
        <w:pStyle w:val="EndNoteBibliography"/>
        <w:numPr>
          <w:ilvl w:val="0"/>
          <w:numId w:val="25"/>
        </w:numPr>
        <w:tabs>
          <w:tab w:val="left" w:pos="360"/>
        </w:tabs>
        <w:ind w:left="0" w:firstLine="0"/>
        <w:rPr>
          <w:bCs/>
        </w:rPr>
      </w:pPr>
      <w:r w:rsidRPr="00CA3EB6">
        <w:rPr>
          <w:bCs/>
        </w:rPr>
        <w:t xml:space="preserve">Tauber D et al. Modulation of RNA condensation by the DEAD-box protein eIF4A. </w:t>
      </w:r>
      <w:r w:rsidRPr="00CA3EB6">
        <w:rPr>
          <w:bCs/>
          <w:i/>
          <w:iCs/>
        </w:rPr>
        <w:t>Cell</w:t>
      </w:r>
      <w:r w:rsidRPr="00CA3EB6">
        <w:rPr>
          <w:bCs/>
        </w:rPr>
        <w:t xml:space="preserve">. 2020;180:411–26. </w:t>
      </w:r>
    </w:p>
    <w:p w14:paraId="233563C5" w14:textId="21DCCE63" w:rsidR="00CA3EB6" w:rsidRPr="00CA3EB6" w:rsidRDefault="00CA3EB6" w:rsidP="00BA7710">
      <w:pPr>
        <w:pStyle w:val="EndNoteBibliography"/>
        <w:numPr>
          <w:ilvl w:val="0"/>
          <w:numId w:val="25"/>
        </w:numPr>
        <w:tabs>
          <w:tab w:val="left" w:pos="360"/>
        </w:tabs>
        <w:ind w:left="0" w:firstLine="0"/>
        <w:rPr>
          <w:bCs/>
        </w:rPr>
      </w:pPr>
      <w:r w:rsidRPr="00CA3EB6">
        <w:rPr>
          <w:bCs/>
        </w:rPr>
        <w:t xml:space="preserve">Tian S et al. Controlling intermolecular base pairing in </w:t>
      </w:r>
      <w:r w:rsidRPr="00CA3EB6">
        <w:rPr>
          <w:bCs/>
          <w:i/>
          <w:iCs/>
        </w:rPr>
        <w:t>Drosophila</w:t>
      </w:r>
      <w:r w:rsidRPr="00CA3EB6">
        <w:rPr>
          <w:bCs/>
        </w:rPr>
        <w:t xml:space="preserve"> germ granules by mRNA </w:t>
      </w:r>
      <w:r w:rsidRPr="00CA3EB6">
        <w:rPr>
          <w:bCs/>
        </w:rPr>
        <w:lastRenderedPageBreak/>
        <w:t xml:space="preserve">folding and its implications in fly development. </w:t>
      </w:r>
      <w:r w:rsidRPr="00CA3EB6">
        <w:rPr>
          <w:bCs/>
          <w:i/>
          <w:iCs/>
        </w:rPr>
        <w:t>Nat Commun</w:t>
      </w:r>
      <w:r w:rsidRPr="00CA3EB6">
        <w:rPr>
          <w:bCs/>
        </w:rPr>
        <w:t xml:space="preserve">. 2025;16:8135. </w:t>
      </w:r>
    </w:p>
    <w:p w14:paraId="52414FD0" w14:textId="2EE66E0E" w:rsidR="00CA3EB6" w:rsidRPr="00CA3EB6" w:rsidRDefault="00CA3EB6" w:rsidP="00BA7710">
      <w:pPr>
        <w:pStyle w:val="EndNoteBibliography"/>
        <w:numPr>
          <w:ilvl w:val="0"/>
          <w:numId w:val="25"/>
        </w:numPr>
        <w:tabs>
          <w:tab w:val="left" w:pos="360"/>
        </w:tabs>
        <w:ind w:left="0" w:firstLine="0"/>
        <w:rPr>
          <w:bCs/>
        </w:rPr>
      </w:pPr>
      <w:r w:rsidRPr="00CA3EB6">
        <w:rPr>
          <w:bCs/>
        </w:rPr>
        <w:t xml:space="preserve">Van Treeck B et al. RNA self-assembly contributes to stress granule formation and defining the stress granule transcriptome. </w:t>
      </w:r>
      <w:r w:rsidRPr="00CA3EB6">
        <w:rPr>
          <w:bCs/>
          <w:i/>
          <w:iCs/>
        </w:rPr>
        <w:t>Proc Natl Acad Sci U S A</w:t>
      </w:r>
      <w:r w:rsidRPr="00CA3EB6">
        <w:rPr>
          <w:bCs/>
        </w:rPr>
        <w:t xml:space="preserve">. 2018;115:2734–9. </w:t>
      </w:r>
    </w:p>
    <w:p w14:paraId="2E9FB0D6" w14:textId="5918CA81" w:rsidR="00CA3EB6" w:rsidRPr="00CA3EB6" w:rsidRDefault="00CA3EB6" w:rsidP="00BA7710">
      <w:pPr>
        <w:pStyle w:val="EndNoteBibliography"/>
        <w:numPr>
          <w:ilvl w:val="0"/>
          <w:numId w:val="25"/>
        </w:numPr>
        <w:tabs>
          <w:tab w:val="left" w:pos="360"/>
        </w:tabs>
        <w:ind w:left="0" w:firstLine="0"/>
        <w:rPr>
          <w:bCs/>
        </w:rPr>
      </w:pPr>
      <w:r w:rsidRPr="00CA3EB6">
        <w:rPr>
          <w:bCs/>
        </w:rPr>
        <w:t xml:space="preserve">Bose M, Rankovic B, Mahamid J, Ephrussi A. An architectural role of specific RNA–RNA interactions in </w:t>
      </w:r>
      <w:r w:rsidRPr="00CA3EB6">
        <w:rPr>
          <w:bCs/>
          <w:i/>
          <w:iCs/>
        </w:rPr>
        <w:t>oskar</w:t>
      </w:r>
      <w:r w:rsidRPr="00CA3EB6">
        <w:rPr>
          <w:bCs/>
        </w:rPr>
        <w:t xml:space="preserve"> granules. </w:t>
      </w:r>
      <w:r w:rsidRPr="00CA3EB6">
        <w:rPr>
          <w:bCs/>
          <w:i/>
          <w:iCs/>
        </w:rPr>
        <w:t>Nat Cell Biol</w:t>
      </w:r>
      <w:r w:rsidRPr="00CA3EB6">
        <w:rPr>
          <w:bCs/>
        </w:rPr>
        <w:t xml:space="preserve">. 2024;26:1934–42. </w:t>
      </w:r>
    </w:p>
    <w:p w14:paraId="3F4FC627" w14:textId="271D9247" w:rsidR="00CA3EB6" w:rsidRPr="00CA3EB6" w:rsidRDefault="00CA3EB6" w:rsidP="00BA7710">
      <w:pPr>
        <w:pStyle w:val="EndNoteBibliography"/>
        <w:numPr>
          <w:ilvl w:val="0"/>
          <w:numId w:val="25"/>
        </w:numPr>
        <w:tabs>
          <w:tab w:val="left" w:pos="360"/>
        </w:tabs>
        <w:ind w:left="0" w:firstLine="0"/>
        <w:rPr>
          <w:bCs/>
        </w:rPr>
      </w:pPr>
      <w:r w:rsidRPr="00CA3EB6">
        <w:rPr>
          <w:bCs/>
        </w:rPr>
        <w:t xml:space="preserve">Jambor H, Brunel C, Ephrussi A. Dimerization of </w:t>
      </w:r>
      <w:r w:rsidRPr="00CA3EB6">
        <w:rPr>
          <w:bCs/>
          <w:i/>
          <w:iCs/>
        </w:rPr>
        <w:t>oskar</w:t>
      </w:r>
      <w:r w:rsidRPr="00CA3EB6">
        <w:rPr>
          <w:bCs/>
        </w:rPr>
        <w:t xml:space="preserve"> 3′ UTRs promotes hitchhiking for RNA localization in the </w:t>
      </w:r>
      <w:r w:rsidRPr="00CA3EB6">
        <w:rPr>
          <w:bCs/>
          <w:i/>
          <w:iCs/>
        </w:rPr>
        <w:t>Drosophila</w:t>
      </w:r>
      <w:r w:rsidRPr="00CA3EB6">
        <w:rPr>
          <w:bCs/>
        </w:rPr>
        <w:t xml:space="preserve"> oocyte. </w:t>
      </w:r>
      <w:r w:rsidRPr="00CA3EB6">
        <w:rPr>
          <w:bCs/>
          <w:i/>
          <w:iCs/>
        </w:rPr>
        <w:t>RNA</w:t>
      </w:r>
      <w:r w:rsidRPr="00CA3EB6">
        <w:rPr>
          <w:bCs/>
        </w:rPr>
        <w:t xml:space="preserve">. 2011;17:2049–57. </w:t>
      </w:r>
    </w:p>
    <w:p w14:paraId="727199C9" w14:textId="34817859" w:rsidR="00CA3EB6" w:rsidRPr="00CA3EB6" w:rsidRDefault="00CA3EB6" w:rsidP="00BA7710">
      <w:pPr>
        <w:pStyle w:val="EndNoteBibliography"/>
        <w:numPr>
          <w:ilvl w:val="0"/>
          <w:numId w:val="25"/>
        </w:numPr>
        <w:tabs>
          <w:tab w:val="left" w:pos="360"/>
        </w:tabs>
        <w:ind w:left="0" w:firstLine="0"/>
        <w:rPr>
          <w:bCs/>
        </w:rPr>
      </w:pPr>
      <w:r w:rsidRPr="00CA3EB6">
        <w:rPr>
          <w:bCs/>
        </w:rPr>
        <w:t xml:space="preserve">Majumder S, Coupe S, Fakhri N, Jain A. Sequence-encoded intermolecular base pairing modulates fluidity in DNA and RNA condensates. </w:t>
      </w:r>
      <w:r w:rsidRPr="00CA3EB6">
        <w:rPr>
          <w:bCs/>
          <w:i/>
          <w:iCs/>
        </w:rPr>
        <w:t>Nat Commun</w:t>
      </w:r>
      <w:r w:rsidRPr="00CA3EB6">
        <w:rPr>
          <w:bCs/>
        </w:rPr>
        <w:t xml:space="preserve">. 2025;16:4258. </w:t>
      </w:r>
    </w:p>
    <w:p w14:paraId="0B25A923" w14:textId="65F2BDE7" w:rsidR="00CA3EB6" w:rsidRPr="00CA3EB6" w:rsidRDefault="00CA3EB6" w:rsidP="00BA7710">
      <w:pPr>
        <w:pStyle w:val="EndNoteBibliography"/>
        <w:numPr>
          <w:ilvl w:val="0"/>
          <w:numId w:val="25"/>
        </w:numPr>
        <w:tabs>
          <w:tab w:val="left" w:pos="360"/>
        </w:tabs>
        <w:ind w:left="0" w:firstLine="0"/>
        <w:rPr>
          <w:bCs/>
        </w:rPr>
      </w:pPr>
      <w:r w:rsidRPr="00CA3EB6">
        <w:rPr>
          <w:bCs/>
        </w:rPr>
        <w:t xml:space="preserve">Nguyen HT, Hori N, Thirumalai D. Condensates in RNA repeat sequences are heterogeneously organized and exhibit reptation dynamics. </w:t>
      </w:r>
      <w:r w:rsidRPr="00CA3EB6">
        <w:rPr>
          <w:bCs/>
          <w:i/>
          <w:iCs/>
        </w:rPr>
        <w:t>Nat Chem</w:t>
      </w:r>
      <w:r w:rsidRPr="00CA3EB6">
        <w:rPr>
          <w:bCs/>
        </w:rPr>
        <w:t xml:space="preserve">. 2022;14:775–85. </w:t>
      </w:r>
    </w:p>
    <w:p w14:paraId="3ED65398" w14:textId="2C6C4360" w:rsidR="00CA3EB6" w:rsidRPr="00CA3EB6" w:rsidRDefault="00CA3EB6" w:rsidP="00BA7710">
      <w:pPr>
        <w:pStyle w:val="EndNoteBibliography"/>
        <w:numPr>
          <w:ilvl w:val="0"/>
          <w:numId w:val="25"/>
        </w:numPr>
        <w:tabs>
          <w:tab w:val="left" w:pos="360"/>
        </w:tabs>
        <w:ind w:left="0" w:firstLine="0"/>
        <w:rPr>
          <w:bCs/>
        </w:rPr>
      </w:pPr>
      <w:r w:rsidRPr="00CA3EB6">
        <w:rPr>
          <w:bCs/>
        </w:rPr>
        <w:t xml:space="preserve">Poudyal RR et al. RNA sequence and structure control assembly and function of RNA condensates. </w:t>
      </w:r>
      <w:r w:rsidRPr="00CA3EB6">
        <w:rPr>
          <w:bCs/>
          <w:i/>
          <w:iCs/>
        </w:rPr>
        <w:t>RNA</w:t>
      </w:r>
      <w:r w:rsidRPr="00CA3EB6">
        <w:rPr>
          <w:bCs/>
        </w:rPr>
        <w:t xml:space="preserve">. 2021;27:1589–601. </w:t>
      </w:r>
    </w:p>
    <w:p w14:paraId="3F51CAAE" w14:textId="50618866" w:rsidR="00CA3EB6" w:rsidRPr="00CA3EB6" w:rsidRDefault="00CA3EB6" w:rsidP="00BA7710">
      <w:pPr>
        <w:pStyle w:val="EndNoteBibliography"/>
        <w:numPr>
          <w:ilvl w:val="0"/>
          <w:numId w:val="25"/>
        </w:numPr>
        <w:tabs>
          <w:tab w:val="left" w:pos="360"/>
        </w:tabs>
        <w:ind w:left="0" w:firstLine="0"/>
        <w:rPr>
          <w:bCs/>
        </w:rPr>
      </w:pPr>
      <w:r w:rsidRPr="00CA3EB6">
        <w:rPr>
          <w:bCs/>
        </w:rPr>
        <w:t xml:space="preserve">Smola MJ et al. Selective 2′-hydroxyl acylation analyzed by primer extension and mutational profiling (SHAPE-MaP) for direct, versatile and accurate RNA structure analysis. </w:t>
      </w:r>
      <w:r w:rsidRPr="00CA3EB6">
        <w:rPr>
          <w:bCs/>
          <w:i/>
          <w:iCs/>
        </w:rPr>
        <w:t>Nat Protoc</w:t>
      </w:r>
      <w:r w:rsidRPr="00CA3EB6">
        <w:rPr>
          <w:bCs/>
        </w:rPr>
        <w:t xml:space="preserve">. 2015;10:1643–69. </w:t>
      </w:r>
    </w:p>
    <w:p w14:paraId="3FD95498" w14:textId="48BA98AE" w:rsidR="00CA3EB6" w:rsidRPr="00CA3EB6" w:rsidRDefault="00CA3EB6" w:rsidP="00BA7710">
      <w:pPr>
        <w:pStyle w:val="EndNoteBibliography"/>
        <w:numPr>
          <w:ilvl w:val="0"/>
          <w:numId w:val="25"/>
        </w:numPr>
        <w:tabs>
          <w:tab w:val="left" w:pos="360"/>
        </w:tabs>
        <w:ind w:left="0" w:firstLine="0"/>
        <w:rPr>
          <w:bCs/>
        </w:rPr>
      </w:pPr>
      <w:r w:rsidRPr="00CA3EB6">
        <w:rPr>
          <w:bCs/>
        </w:rPr>
        <w:t xml:space="preserve">Zubradt M et al. DMS-MaPseq for genome-wide or targeted RNA structure probing </w:t>
      </w:r>
      <w:r w:rsidRPr="00CA3EB6">
        <w:rPr>
          <w:bCs/>
          <w:i/>
          <w:iCs/>
        </w:rPr>
        <w:t>in vivo</w:t>
      </w:r>
      <w:r w:rsidRPr="00CA3EB6">
        <w:rPr>
          <w:bCs/>
        </w:rPr>
        <w:t xml:space="preserve">. </w:t>
      </w:r>
      <w:r w:rsidRPr="00CA3EB6">
        <w:rPr>
          <w:bCs/>
          <w:i/>
          <w:iCs/>
        </w:rPr>
        <w:t>Nat Methods</w:t>
      </w:r>
      <w:r w:rsidRPr="00CA3EB6">
        <w:rPr>
          <w:bCs/>
        </w:rPr>
        <w:t xml:space="preserve">. 2017;14:75–82. </w:t>
      </w:r>
    </w:p>
    <w:p w14:paraId="0F8F2DD4" w14:textId="39802D11" w:rsidR="00CA3EB6" w:rsidRPr="00CA3EB6" w:rsidRDefault="00CA3EB6" w:rsidP="00BA7710">
      <w:pPr>
        <w:pStyle w:val="EndNoteBibliography"/>
        <w:numPr>
          <w:ilvl w:val="0"/>
          <w:numId w:val="25"/>
        </w:numPr>
        <w:tabs>
          <w:tab w:val="left" w:pos="360"/>
        </w:tabs>
        <w:ind w:left="0" w:firstLine="0"/>
        <w:rPr>
          <w:bCs/>
        </w:rPr>
      </w:pPr>
      <w:r w:rsidRPr="00CA3EB6">
        <w:rPr>
          <w:bCs/>
        </w:rPr>
        <w:t xml:space="preserve">Nguyen HT, Hori N, Thirumalai D. Theory and simulations for RNA folding in mixtures of monovalent and divalent cations. </w:t>
      </w:r>
      <w:r w:rsidRPr="00CA3EB6">
        <w:rPr>
          <w:bCs/>
          <w:i/>
          <w:iCs/>
        </w:rPr>
        <w:t>Proc Natl Acad Sci U S A</w:t>
      </w:r>
      <w:r w:rsidRPr="00CA3EB6">
        <w:rPr>
          <w:bCs/>
        </w:rPr>
        <w:t xml:space="preserve">. 2019;116:21022–30. </w:t>
      </w:r>
    </w:p>
    <w:p w14:paraId="5B65E71A" w14:textId="77777777" w:rsidR="00CA3EB6" w:rsidRPr="00CA3EB6" w:rsidRDefault="00CA3EB6" w:rsidP="00BA7710">
      <w:pPr>
        <w:pStyle w:val="EndNoteBibliography"/>
        <w:numPr>
          <w:ilvl w:val="0"/>
          <w:numId w:val="25"/>
        </w:numPr>
        <w:tabs>
          <w:tab w:val="left" w:pos="360"/>
        </w:tabs>
        <w:ind w:left="0" w:firstLine="0"/>
        <w:rPr>
          <w:bCs/>
        </w:rPr>
      </w:pPr>
      <w:r w:rsidRPr="00CA3EB6">
        <w:rPr>
          <w:bCs/>
        </w:rPr>
        <w:t xml:space="preserve">Maity H, Nguyen HT, Hori N, Thirumalai D. Odd–even disparity in the population of slipped hairpins in RNA repeat sequences with implications for phase separation. </w:t>
      </w:r>
      <w:r w:rsidRPr="00CA3EB6">
        <w:rPr>
          <w:bCs/>
          <w:i/>
          <w:iCs/>
        </w:rPr>
        <w:t>Proc Natl Acad Sci U S A</w:t>
      </w:r>
      <w:r w:rsidRPr="00CA3EB6">
        <w:rPr>
          <w:bCs/>
        </w:rPr>
        <w:t>. 2023;120:e2301409120.</w:t>
      </w:r>
    </w:p>
    <w:p w14:paraId="6974E61F" w14:textId="5E9A2AB9" w:rsidR="00CA3EB6" w:rsidRPr="00CA3EB6" w:rsidRDefault="00CA3EB6" w:rsidP="00BA7710">
      <w:pPr>
        <w:pStyle w:val="EndNoteBibliography"/>
        <w:numPr>
          <w:ilvl w:val="0"/>
          <w:numId w:val="25"/>
        </w:numPr>
        <w:tabs>
          <w:tab w:val="left" w:pos="360"/>
        </w:tabs>
        <w:ind w:left="0" w:firstLine="0"/>
        <w:rPr>
          <w:bCs/>
        </w:rPr>
      </w:pPr>
      <w:r w:rsidRPr="00CA3EB6">
        <w:rPr>
          <w:bCs/>
        </w:rPr>
        <w:t xml:space="preserve">Liao JN et al. Characterization of intermolecular base pairing using AMT crosslinking in mammalian cells during oxidative stress. </w:t>
      </w:r>
      <w:r w:rsidRPr="00CA3EB6">
        <w:rPr>
          <w:bCs/>
          <w:i/>
          <w:iCs/>
        </w:rPr>
        <w:t>bioRxiv</w:t>
      </w:r>
      <w:r w:rsidRPr="00CA3EB6">
        <w:rPr>
          <w:bCs/>
        </w:rPr>
        <w:t>. 2025. doi:10.1101/2025.05.21.655305.</w:t>
      </w:r>
    </w:p>
    <w:p w14:paraId="6461526E" w14:textId="18068D2C"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Kirsch R et al. A streamlined protocol for the detection of mRNA–sRNA interactions using AMT-crosslinking </w:t>
      </w:r>
      <w:r w:rsidRPr="00CA3EB6">
        <w:rPr>
          <w:rFonts w:ascii="Calibri" w:eastAsia="Times New Roman" w:hAnsi="Calibri" w:cs="Calibri"/>
          <w:i/>
          <w:iCs/>
          <w:sz w:val="24"/>
          <w:szCs w:val="24"/>
        </w:rPr>
        <w:t>in vitro</w:t>
      </w:r>
      <w:r w:rsidRPr="00CA3EB6">
        <w:rPr>
          <w:rFonts w:ascii="Calibri" w:eastAsia="Times New Roman" w:hAnsi="Calibri" w:cs="Calibri"/>
          <w:sz w:val="24"/>
          <w:szCs w:val="24"/>
        </w:rPr>
        <w:t xml:space="preserve">. </w:t>
      </w:r>
      <w:r w:rsidRPr="00CA3EB6">
        <w:rPr>
          <w:rFonts w:ascii="Calibri" w:eastAsia="Times New Roman" w:hAnsi="Calibri" w:cs="Calibri"/>
          <w:i/>
          <w:iCs/>
          <w:sz w:val="24"/>
          <w:szCs w:val="24"/>
        </w:rPr>
        <w:t>Biotechniques</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2019;67:178</w:t>
      </w:r>
      <w:proofErr w:type="gramEnd"/>
      <w:r w:rsidRPr="00CA3EB6">
        <w:rPr>
          <w:rFonts w:ascii="Calibri" w:eastAsia="Times New Roman" w:hAnsi="Calibri" w:cs="Calibri"/>
          <w:sz w:val="24"/>
          <w:szCs w:val="24"/>
        </w:rPr>
        <w:t xml:space="preserve">–83. </w:t>
      </w:r>
    </w:p>
    <w:p w14:paraId="04A43C80" w14:textId="74D26375"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Aw JG et al. In vivo mapping of eukaryotic RNA interactomes reveals principles of higher-order organization and regulation. </w:t>
      </w:r>
      <w:r w:rsidRPr="00CA3EB6">
        <w:rPr>
          <w:rFonts w:ascii="Calibri" w:eastAsia="Times New Roman" w:hAnsi="Calibri" w:cs="Calibri"/>
          <w:i/>
          <w:iCs/>
          <w:sz w:val="24"/>
          <w:szCs w:val="24"/>
        </w:rPr>
        <w:t>Mol Cell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2016;62:603</w:t>
      </w:r>
      <w:proofErr w:type="gramEnd"/>
      <w:r w:rsidRPr="00CA3EB6">
        <w:rPr>
          <w:rFonts w:ascii="Calibri" w:eastAsia="Times New Roman" w:hAnsi="Calibri" w:cs="Calibri"/>
          <w:sz w:val="24"/>
          <w:szCs w:val="24"/>
        </w:rPr>
        <w:t xml:space="preserve">–17. </w:t>
      </w:r>
    </w:p>
    <w:p w14:paraId="2BB1BB9D" w14:textId="193D7A2F"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Alam KK et al. A fluorescent split aptamer for visualizing RNA–RNA assembly </w:t>
      </w:r>
      <w:r w:rsidRPr="00CA3EB6">
        <w:rPr>
          <w:rFonts w:ascii="Calibri" w:eastAsia="Times New Roman" w:hAnsi="Calibri" w:cs="Calibri"/>
          <w:i/>
          <w:iCs/>
          <w:sz w:val="24"/>
          <w:szCs w:val="24"/>
        </w:rPr>
        <w:t>in vivo</w:t>
      </w:r>
      <w:r w:rsidRPr="00CA3EB6">
        <w:rPr>
          <w:rFonts w:ascii="Calibri" w:eastAsia="Times New Roman" w:hAnsi="Calibri" w:cs="Calibri"/>
          <w:sz w:val="24"/>
          <w:szCs w:val="24"/>
        </w:rPr>
        <w:t xml:space="preserve">. </w:t>
      </w:r>
      <w:r w:rsidRPr="00CA3EB6">
        <w:rPr>
          <w:rFonts w:ascii="Calibri" w:eastAsia="Times New Roman" w:hAnsi="Calibri" w:cs="Calibri"/>
          <w:i/>
          <w:iCs/>
          <w:sz w:val="24"/>
          <w:szCs w:val="24"/>
        </w:rPr>
        <w:t>ACS Synth Biol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2017;6:1710</w:t>
      </w:r>
      <w:proofErr w:type="gramEnd"/>
      <w:r w:rsidRPr="00CA3EB6">
        <w:rPr>
          <w:rFonts w:ascii="Calibri" w:eastAsia="Times New Roman" w:hAnsi="Calibri" w:cs="Calibri"/>
          <w:sz w:val="24"/>
          <w:szCs w:val="24"/>
        </w:rPr>
        <w:t xml:space="preserve">–21. </w:t>
      </w:r>
    </w:p>
    <w:p w14:paraId="5C7749F4" w14:textId="57DA8B48"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Conrad T et al. Maximizing transcription of nucleic acids with efficient T7 promoters. </w:t>
      </w:r>
      <w:r w:rsidRPr="00CA3EB6">
        <w:rPr>
          <w:rFonts w:ascii="Calibri" w:eastAsia="Times New Roman" w:hAnsi="Calibri" w:cs="Calibri"/>
          <w:i/>
          <w:iCs/>
          <w:sz w:val="24"/>
          <w:szCs w:val="24"/>
        </w:rPr>
        <w:t>Commun Biol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2020;3:439</w:t>
      </w:r>
      <w:proofErr w:type="gramEnd"/>
      <w:r w:rsidRPr="00CA3EB6">
        <w:rPr>
          <w:rFonts w:ascii="Calibri" w:eastAsia="Times New Roman" w:hAnsi="Calibri" w:cs="Calibri"/>
          <w:sz w:val="24"/>
          <w:szCs w:val="24"/>
        </w:rPr>
        <w:t xml:space="preserve">. </w:t>
      </w:r>
    </w:p>
    <w:p w14:paraId="675D0043" w14:textId="28CB2F9F"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proofErr w:type="spellStart"/>
      <w:r w:rsidRPr="00CA3EB6">
        <w:rPr>
          <w:rFonts w:ascii="Calibri" w:eastAsia="Times New Roman" w:hAnsi="Calibri" w:cs="Calibri"/>
          <w:sz w:val="24"/>
          <w:szCs w:val="24"/>
        </w:rPr>
        <w:t>Imburgio</w:t>
      </w:r>
      <w:proofErr w:type="spellEnd"/>
      <w:r w:rsidRPr="00CA3EB6">
        <w:rPr>
          <w:rFonts w:ascii="Calibri" w:eastAsia="Times New Roman" w:hAnsi="Calibri" w:cs="Calibri"/>
          <w:sz w:val="24"/>
          <w:szCs w:val="24"/>
        </w:rPr>
        <w:t xml:space="preserve"> D, Rong M, Ma K, McAllister WT. Studies of promoter recognition and start site selection by T7 RNA polymerase using a comprehensive collection of promoter variants. </w:t>
      </w:r>
      <w:r w:rsidRPr="00CA3EB6">
        <w:rPr>
          <w:rFonts w:ascii="Calibri" w:eastAsia="Times New Roman" w:hAnsi="Calibri" w:cs="Calibri"/>
          <w:i/>
          <w:iCs/>
          <w:sz w:val="24"/>
          <w:szCs w:val="24"/>
        </w:rPr>
        <w:t>Biochemistry</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2000;39:10419</w:t>
      </w:r>
      <w:proofErr w:type="gramEnd"/>
      <w:r w:rsidRPr="00CA3EB6">
        <w:rPr>
          <w:rFonts w:ascii="Calibri" w:eastAsia="Times New Roman" w:hAnsi="Calibri" w:cs="Calibri"/>
          <w:sz w:val="24"/>
          <w:szCs w:val="24"/>
        </w:rPr>
        <w:t xml:space="preserve">–30. </w:t>
      </w:r>
    </w:p>
    <w:p w14:paraId="75DFF662" w14:textId="2CA07EAA"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Schneider CA, </w:t>
      </w:r>
      <w:proofErr w:type="spellStart"/>
      <w:r w:rsidRPr="00CA3EB6">
        <w:rPr>
          <w:rFonts w:ascii="Calibri" w:eastAsia="Times New Roman" w:hAnsi="Calibri" w:cs="Calibri"/>
          <w:sz w:val="24"/>
          <w:szCs w:val="24"/>
        </w:rPr>
        <w:t>Rasband</w:t>
      </w:r>
      <w:proofErr w:type="spellEnd"/>
      <w:r w:rsidRPr="00CA3EB6">
        <w:rPr>
          <w:rFonts w:ascii="Calibri" w:eastAsia="Times New Roman" w:hAnsi="Calibri" w:cs="Calibri"/>
          <w:sz w:val="24"/>
          <w:szCs w:val="24"/>
        </w:rPr>
        <w:t xml:space="preserve"> WS, </w:t>
      </w:r>
      <w:proofErr w:type="spellStart"/>
      <w:r w:rsidRPr="00CA3EB6">
        <w:rPr>
          <w:rFonts w:ascii="Calibri" w:eastAsia="Times New Roman" w:hAnsi="Calibri" w:cs="Calibri"/>
          <w:sz w:val="24"/>
          <w:szCs w:val="24"/>
        </w:rPr>
        <w:t>Eliceiri</w:t>
      </w:r>
      <w:proofErr w:type="spellEnd"/>
      <w:r w:rsidRPr="00CA3EB6">
        <w:rPr>
          <w:rFonts w:ascii="Calibri" w:eastAsia="Times New Roman" w:hAnsi="Calibri" w:cs="Calibri"/>
          <w:sz w:val="24"/>
          <w:szCs w:val="24"/>
        </w:rPr>
        <w:t xml:space="preserve"> KW. NIH Image to ImageJ: 25 years of image analysis. </w:t>
      </w:r>
      <w:r w:rsidRPr="00CA3EB6">
        <w:rPr>
          <w:rFonts w:ascii="Calibri" w:eastAsia="Times New Roman" w:hAnsi="Calibri" w:cs="Calibri"/>
          <w:i/>
          <w:iCs/>
          <w:sz w:val="24"/>
          <w:szCs w:val="24"/>
        </w:rPr>
        <w:t>Nat Methods</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2012;9:671</w:t>
      </w:r>
      <w:proofErr w:type="gramEnd"/>
      <w:r w:rsidRPr="00CA3EB6">
        <w:rPr>
          <w:rFonts w:ascii="Calibri" w:eastAsia="Times New Roman" w:hAnsi="Calibri" w:cs="Calibri"/>
          <w:sz w:val="24"/>
          <w:szCs w:val="24"/>
        </w:rPr>
        <w:t xml:space="preserve">–5. </w:t>
      </w:r>
    </w:p>
    <w:p w14:paraId="2BFC0AF5" w14:textId="184DFD75"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Shanaa OA, Rumyantsev A, Sambuk E, </w:t>
      </w:r>
      <w:proofErr w:type="spellStart"/>
      <w:r w:rsidRPr="00CA3EB6">
        <w:rPr>
          <w:rFonts w:ascii="Calibri" w:eastAsia="Times New Roman" w:hAnsi="Calibri" w:cs="Calibri"/>
          <w:sz w:val="24"/>
          <w:szCs w:val="24"/>
        </w:rPr>
        <w:t>Padkina</w:t>
      </w:r>
      <w:proofErr w:type="spellEnd"/>
      <w:r w:rsidRPr="00CA3EB6">
        <w:rPr>
          <w:rFonts w:ascii="Calibri" w:eastAsia="Times New Roman" w:hAnsi="Calibri" w:cs="Calibri"/>
          <w:sz w:val="24"/>
          <w:szCs w:val="24"/>
        </w:rPr>
        <w:t xml:space="preserve"> M. In vivo production of RNA aptamers and nanoparticles: problems and prospects. </w:t>
      </w:r>
      <w:r w:rsidRPr="00CA3EB6">
        <w:rPr>
          <w:rFonts w:ascii="Calibri" w:eastAsia="Times New Roman" w:hAnsi="Calibri" w:cs="Calibri"/>
          <w:i/>
          <w:iCs/>
          <w:sz w:val="24"/>
          <w:szCs w:val="24"/>
        </w:rPr>
        <w:t>Molecules</w:t>
      </w:r>
      <w:r w:rsidRPr="00CA3EB6">
        <w:rPr>
          <w:rFonts w:ascii="Calibri" w:eastAsia="Times New Roman" w:hAnsi="Calibri" w:cs="Calibri"/>
          <w:sz w:val="24"/>
          <w:szCs w:val="24"/>
        </w:rPr>
        <w:t xml:space="preserve">. 2021;26. </w:t>
      </w:r>
    </w:p>
    <w:p w14:paraId="7F3D2E7E" w14:textId="7290DE70"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Rangan P, DeGennaro M, Jaime-Bustamante K, </w:t>
      </w:r>
      <w:proofErr w:type="spellStart"/>
      <w:r w:rsidRPr="00CA3EB6">
        <w:rPr>
          <w:rFonts w:ascii="Calibri" w:eastAsia="Times New Roman" w:hAnsi="Calibri" w:cs="Calibri"/>
          <w:sz w:val="24"/>
          <w:szCs w:val="24"/>
        </w:rPr>
        <w:t>Coux</w:t>
      </w:r>
      <w:proofErr w:type="spellEnd"/>
      <w:r w:rsidRPr="00CA3EB6">
        <w:rPr>
          <w:rFonts w:ascii="Calibri" w:eastAsia="Times New Roman" w:hAnsi="Calibri" w:cs="Calibri"/>
          <w:sz w:val="24"/>
          <w:szCs w:val="24"/>
        </w:rPr>
        <w:t xml:space="preserve"> RX, </w:t>
      </w:r>
      <w:proofErr w:type="spellStart"/>
      <w:r w:rsidRPr="00CA3EB6">
        <w:rPr>
          <w:rFonts w:ascii="Calibri" w:eastAsia="Times New Roman" w:hAnsi="Calibri" w:cs="Calibri"/>
          <w:sz w:val="24"/>
          <w:szCs w:val="24"/>
        </w:rPr>
        <w:t>Martinho</w:t>
      </w:r>
      <w:proofErr w:type="spellEnd"/>
      <w:r w:rsidRPr="00CA3EB6">
        <w:rPr>
          <w:rFonts w:ascii="Calibri" w:eastAsia="Times New Roman" w:hAnsi="Calibri" w:cs="Calibri"/>
          <w:sz w:val="24"/>
          <w:szCs w:val="24"/>
        </w:rPr>
        <w:t xml:space="preserve"> RG, Lehmann R. Temporal and spatial control of germ-plasm RNAs. </w:t>
      </w:r>
      <w:r w:rsidRPr="00CA3EB6">
        <w:rPr>
          <w:rFonts w:ascii="Calibri" w:eastAsia="Times New Roman" w:hAnsi="Calibri" w:cs="Calibri"/>
          <w:i/>
          <w:iCs/>
          <w:sz w:val="24"/>
          <w:szCs w:val="24"/>
        </w:rPr>
        <w:t>Curr Biol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2009;19:72</w:t>
      </w:r>
      <w:proofErr w:type="gramEnd"/>
      <w:r w:rsidRPr="00CA3EB6">
        <w:rPr>
          <w:rFonts w:ascii="Calibri" w:eastAsia="Times New Roman" w:hAnsi="Calibri" w:cs="Calibri"/>
          <w:sz w:val="24"/>
          <w:szCs w:val="24"/>
        </w:rPr>
        <w:t xml:space="preserve">–7. </w:t>
      </w:r>
    </w:p>
    <w:p w14:paraId="692DA1A4" w14:textId="71AB7CC9"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Trcek T et al. Sequence-independent self-assembly of germ granule mRNAs into homotypic clusters. </w:t>
      </w:r>
      <w:r w:rsidRPr="00CA3EB6">
        <w:rPr>
          <w:rFonts w:ascii="Calibri" w:eastAsia="Times New Roman" w:hAnsi="Calibri" w:cs="Calibri"/>
          <w:i/>
          <w:iCs/>
          <w:sz w:val="24"/>
          <w:szCs w:val="24"/>
        </w:rPr>
        <w:t>Mol Cell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2020;78:941</w:t>
      </w:r>
      <w:proofErr w:type="gramEnd"/>
      <w:r w:rsidRPr="00CA3EB6">
        <w:rPr>
          <w:rFonts w:ascii="Calibri" w:eastAsia="Times New Roman" w:hAnsi="Calibri" w:cs="Calibri"/>
          <w:sz w:val="24"/>
          <w:szCs w:val="24"/>
        </w:rPr>
        <w:t xml:space="preserve">–50. </w:t>
      </w:r>
    </w:p>
    <w:p w14:paraId="169EF2D0" w14:textId="23A54FCD"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lastRenderedPageBreak/>
        <w:t xml:space="preserve">Lorenz R et al. </w:t>
      </w:r>
      <w:proofErr w:type="spellStart"/>
      <w:r w:rsidRPr="00CA3EB6">
        <w:rPr>
          <w:rFonts w:ascii="Calibri" w:eastAsia="Times New Roman" w:hAnsi="Calibri" w:cs="Calibri"/>
          <w:sz w:val="24"/>
          <w:szCs w:val="24"/>
        </w:rPr>
        <w:t>ViennaRNA</w:t>
      </w:r>
      <w:proofErr w:type="spellEnd"/>
      <w:r w:rsidRPr="00CA3EB6">
        <w:rPr>
          <w:rFonts w:ascii="Calibri" w:eastAsia="Times New Roman" w:hAnsi="Calibri" w:cs="Calibri"/>
          <w:sz w:val="24"/>
          <w:szCs w:val="24"/>
        </w:rPr>
        <w:t xml:space="preserve"> package 2.0. </w:t>
      </w:r>
      <w:r w:rsidRPr="00CA3EB6">
        <w:rPr>
          <w:rFonts w:ascii="Calibri" w:eastAsia="Times New Roman" w:hAnsi="Calibri" w:cs="Calibri"/>
          <w:i/>
          <w:iCs/>
          <w:sz w:val="24"/>
          <w:szCs w:val="24"/>
        </w:rPr>
        <w:t>Algorithms Mol Biol</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2011;6:26</w:t>
      </w:r>
      <w:proofErr w:type="gramEnd"/>
      <w:r w:rsidRPr="00CA3EB6">
        <w:rPr>
          <w:rFonts w:ascii="Calibri" w:eastAsia="Times New Roman" w:hAnsi="Calibri" w:cs="Calibri"/>
          <w:sz w:val="24"/>
          <w:szCs w:val="24"/>
        </w:rPr>
        <w:t xml:space="preserve">. </w:t>
      </w:r>
    </w:p>
    <w:p w14:paraId="6AD5CE0E" w14:textId="37FA73F4"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proofErr w:type="spellStart"/>
      <w:r w:rsidRPr="00CA3EB6">
        <w:rPr>
          <w:rFonts w:ascii="Calibri" w:eastAsia="Times New Roman" w:hAnsi="Calibri" w:cs="Calibri"/>
          <w:sz w:val="24"/>
          <w:szCs w:val="24"/>
        </w:rPr>
        <w:t>Filonov</w:t>
      </w:r>
      <w:proofErr w:type="spellEnd"/>
      <w:r w:rsidRPr="00CA3EB6">
        <w:rPr>
          <w:rFonts w:ascii="Calibri" w:eastAsia="Times New Roman" w:hAnsi="Calibri" w:cs="Calibri"/>
          <w:sz w:val="24"/>
          <w:szCs w:val="24"/>
        </w:rPr>
        <w:t xml:space="preserve"> GS et al. Broccoli: rapid selection of an RNA mimic of green fluorescent protein by fluorescence-based selection and directed evolution. </w:t>
      </w:r>
      <w:r w:rsidRPr="00CA3EB6">
        <w:rPr>
          <w:rFonts w:ascii="Calibri" w:eastAsia="Times New Roman" w:hAnsi="Calibri" w:cs="Calibri"/>
          <w:i/>
          <w:iCs/>
          <w:sz w:val="24"/>
          <w:szCs w:val="24"/>
        </w:rPr>
        <w:t>J Am Chem Soc</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2014;136:16299</w:t>
      </w:r>
      <w:proofErr w:type="gramEnd"/>
      <w:r w:rsidRPr="00CA3EB6">
        <w:rPr>
          <w:rFonts w:ascii="Calibri" w:eastAsia="Times New Roman" w:hAnsi="Calibri" w:cs="Calibri"/>
          <w:sz w:val="24"/>
          <w:szCs w:val="24"/>
        </w:rPr>
        <w:t xml:space="preserve">–308. </w:t>
      </w:r>
    </w:p>
    <w:p w14:paraId="274EEDA4" w14:textId="5ED96A29"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Song W, Strack RL, Svensen N, Jaffrey SR. Plug-and-play fluorophores extend the spectral properties of Spinach. </w:t>
      </w:r>
      <w:r w:rsidRPr="00CA3EB6">
        <w:rPr>
          <w:rFonts w:ascii="Calibri" w:eastAsia="Times New Roman" w:hAnsi="Calibri" w:cs="Calibri"/>
          <w:i/>
          <w:iCs/>
          <w:sz w:val="24"/>
          <w:szCs w:val="24"/>
        </w:rPr>
        <w:t>J Am Chem Soc</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2014;136:1198</w:t>
      </w:r>
      <w:proofErr w:type="gramEnd"/>
      <w:r w:rsidRPr="00CA3EB6">
        <w:rPr>
          <w:rFonts w:ascii="Calibri" w:eastAsia="Times New Roman" w:hAnsi="Calibri" w:cs="Calibri"/>
          <w:sz w:val="24"/>
          <w:szCs w:val="24"/>
        </w:rPr>
        <w:t xml:space="preserve">–201. </w:t>
      </w:r>
    </w:p>
    <w:p w14:paraId="19FF7E7A" w14:textId="77274CE3"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Guet D et al. Combining Spinach-tagged RNA and gene localization to image gene expression in live yeast. </w:t>
      </w:r>
      <w:r w:rsidRPr="00CA3EB6">
        <w:rPr>
          <w:rFonts w:ascii="Calibri" w:eastAsia="Times New Roman" w:hAnsi="Calibri" w:cs="Calibri"/>
          <w:i/>
          <w:iCs/>
          <w:sz w:val="24"/>
          <w:szCs w:val="24"/>
        </w:rPr>
        <w:t>Nat Commun</w:t>
      </w:r>
      <w:r w:rsidRPr="00CA3EB6">
        <w:rPr>
          <w:rFonts w:ascii="Calibri" w:eastAsia="Times New Roman" w:hAnsi="Calibri" w:cs="Calibri"/>
          <w:sz w:val="24"/>
          <w:szCs w:val="24"/>
        </w:rPr>
        <w:t xml:space="preserve">. </w:t>
      </w:r>
      <w:proofErr w:type="gramStart"/>
      <w:r w:rsidRPr="00CA3EB6">
        <w:rPr>
          <w:rFonts w:ascii="Calibri" w:eastAsia="Times New Roman" w:hAnsi="Calibri" w:cs="Calibri"/>
          <w:sz w:val="24"/>
          <w:szCs w:val="24"/>
        </w:rPr>
        <w:t>2015;6:8882</w:t>
      </w:r>
      <w:proofErr w:type="gramEnd"/>
      <w:r w:rsidRPr="00CA3EB6">
        <w:rPr>
          <w:rFonts w:ascii="Calibri" w:eastAsia="Times New Roman" w:hAnsi="Calibri" w:cs="Calibri"/>
          <w:sz w:val="24"/>
          <w:szCs w:val="24"/>
        </w:rPr>
        <w:t xml:space="preserve">. </w:t>
      </w:r>
    </w:p>
    <w:p w14:paraId="79A3D640" w14:textId="5C9251F8" w:rsidR="00CA3EB6" w:rsidRPr="00CA3EB6" w:rsidRDefault="00CA3EB6" w:rsidP="00BA7710">
      <w:pPr>
        <w:pStyle w:val="ListParagraph"/>
        <w:numPr>
          <w:ilvl w:val="0"/>
          <w:numId w:val="25"/>
        </w:numPr>
        <w:spacing w:after="0" w:line="240" w:lineRule="auto"/>
        <w:ind w:left="0" w:firstLine="0"/>
        <w:jc w:val="both"/>
        <w:rPr>
          <w:rFonts w:ascii="Calibri" w:eastAsia="Times New Roman" w:hAnsi="Calibri" w:cs="Calibri"/>
          <w:sz w:val="24"/>
          <w:szCs w:val="24"/>
        </w:rPr>
      </w:pPr>
      <w:r w:rsidRPr="00CA3EB6">
        <w:rPr>
          <w:rFonts w:ascii="Calibri" w:eastAsia="Times New Roman" w:hAnsi="Calibri" w:cs="Calibri"/>
          <w:sz w:val="24"/>
          <w:szCs w:val="24"/>
        </w:rPr>
        <w:t xml:space="preserve">You M, Litke JL, Jaffrey SR. Imaging metabolite dynamics in living cells using a Spinach-based riboswitch. </w:t>
      </w:r>
      <w:r w:rsidRPr="00CA3EB6">
        <w:rPr>
          <w:rFonts w:ascii="Calibri" w:eastAsia="Times New Roman" w:hAnsi="Calibri" w:cs="Calibri"/>
          <w:i/>
          <w:iCs/>
          <w:sz w:val="24"/>
          <w:szCs w:val="24"/>
        </w:rPr>
        <w:t>Proc Natl Acad Sci U S A</w:t>
      </w:r>
      <w:r w:rsidRPr="00CA3EB6">
        <w:rPr>
          <w:rFonts w:ascii="Calibri" w:eastAsia="Times New Roman" w:hAnsi="Calibri" w:cs="Calibri"/>
          <w:sz w:val="24"/>
          <w:szCs w:val="24"/>
        </w:rPr>
        <w:t>. 2015;</w:t>
      </w:r>
      <w:proofErr w:type="gramStart"/>
      <w:r w:rsidRPr="00CA3EB6">
        <w:rPr>
          <w:rFonts w:ascii="Calibri" w:eastAsia="Times New Roman" w:hAnsi="Calibri" w:cs="Calibri"/>
          <w:sz w:val="24"/>
          <w:szCs w:val="24"/>
        </w:rPr>
        <w:t>112:E</w:t>
      </w:r>
      <w:proofErr w:type="gramEnd"/>
      <w:r w:rsidRPr="00CA3EB6">
        <w:rPr>
          <w:rFonts w:ascii="Calibri" w:eastAsia="Times New Roman" w:hAnsi="Calibri" w:cs="Calibri"/>
          <w:sz w:val="24"/>
          <w:szCs w:val="24"/>
        </w:rPr>
        <w:t xml:space="preserve">2756–65. </w:t>
      </w:r>
    </w:p>
    <w:p w14:paraId="039C561C" w14:textId="3839852B" w:rsidR="00516914" w:rsidRPr="00CA3EB6" w:rsidRDefault="00CA3EB6" w:rsidP="00BA7710">
      <w:pPr>
        <w:pStyle w:val="EndNoteBibliography"/>
        <w:numPr>
          <w:ilvl w:val="0"/>
          <w:numId w:val="25"/>
        </w:numPr>
        <w:tabs>
          <w:tab w:val="left" w:pos="360"/>
        </w:tabs>
        <w:ind w:left="0" w:firstLine="0"/>
        <w:rPr>
          <w:bCs/>
        </w:rPr>
      </w:pPr>
      <w:proofErr w:type="spellStart"/>
      <w:r w:rsidRPr="00CA3EB6">
        <w:rPr>
          <w:rFonts w:eastAsia="Times New Roman"/>
          <w:noProof w:val="0"/>
        </w:rPr>
        <w:t>Zinskie</w:t>
      </w:r>
      <w:proofErr w:type="spellEnd"/>
      <w:r w:rsidRPr="00CA3EB6">
        <w:rPr>
          <w:rFonts w:eastAsia="Times New Roman"/>
          <w:noProof w:val="0"/>
        </w:rPr>
        <w:t xml:space="preserve"> JA, </w:t>
      </w:r>
      <w:proofErr w:type="spellStart"/>
      <w:r w:rsidRPr="00CA3EB6">
        <w:rPr>
          <w:rFonts w:eastAsia="Times New Roman"/>
          <w:noProof w:val="0"/>
        </w:rPr>
        <w:t>Roig</w:t>
      </w:r>
      <w:proofErr w:type="spellEnd"/>
      <w:r w:rsidRPr="00CA3EB6">
        <w:rPr>
          <w:rFonts w:eastAsia="Times New Roman"/>
          <w:noProof w:val="0"/>
        </w:rPr>
        <w:t xml:space="preserve"> M, </w:t>
      </w:r>
      <w:proofErr w:type="spellStart"/>
      <w:r w:rsidRPr="00CA3EB6">
        <w:rPr>
          <w:rFonts w:eastAsia="Times New Roman"/>
          <w:noProof w:val="0"/>
        </w:rPr>
        <w:t>Janetopoulos</w:t>
      </w:r>
      <w:proofErr w:type="spellEnd"/>
      <w:r w:rsidRPr="00CA3EB6">
        <w:rPr>
          <w:rFonts w:eastAsia="Times New Roman"/>
          <w:noProof w:val="0"/>
        </w:rPr>
        <w:t xml:space="preserve"> C, Myers KA, Bruist MF. Live-cell imaging of small nucleolar RNA tagged with the broccoli aptamer in yeast. </w:t>
      </w:r>
      <w:r w:rsidRPr="00CA3EB6">
        <w:rPr>
          <w:rFonts w:eastAsia="Times New Roman"/>
          <w:i/>
          <w:iCs/>
          <w:noProof w:val="0"/>
        </w:rPr>
        <w:t>FEMS Yeast Res</w:t>
      </w:r>
      <w:r w:rsidRPr="00CA3EB6">
        <w:rPr>
          <w:rFonts w:eastAsia="Times New Roman"/>
          <w:noProof w:val="0"/>
        </w:rPr>
        <w:t>. 2018;18.</w:t>
      </w:r>
    </w:p>
    <w:sectPr w:rsidR="00516914" w:rsidRPr="00CA3EB6"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68BE7" w14:textId="77777777" w:rsidR="00253410" w:rsidRDefault="00253410">
      <w:r>
        <w:separator/>
      </w:r>
    </w:p>
  </w:endnote>
  <w:endnote w:type="continuationSeparator" w:id="0">
    <w:p w14:paraId="1BEA7E45" w14:textId="77777777" w:rsidR="00253410" w:rsidRDefault="0025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C5108B" w:rsidRDefault="00C5108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0E91A" w14:textId="77777777" w:rsidR="00253410" w:rsidRDefault="00253410">
      <w:r>
        <w:separator/>
      </w:r>
    </w:p>
  </w:footnote>
  <w:footnote w:type="continuationSeparator" w:id="0">
    <w:p w14:paraId="41BFAB4A" w14:textId="77777777" w:rsidR="00253410" w:rsidRDefault="00253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C5108B" w:rsidRDefault="00C5108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C5108B" w:rsidRDefault="00C5108B">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4E0854C" w:rsidR="00C5108B" w:rsidRDefault="00C5108B">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FC9"/>
    <w:multiLevelType w:val="hybridMultilevel"/>
    <w:tmpl w:val="8794D04C"/>
    <w:lvl w:ilvl="0" w:tplc="49E2F21C">
      <w:start w:val="1"/>
      <w:numFmt w:val="bullet"/>
      <w:lvlText w:val=""/>
      <w:lvlJc w:val="left"/>
      <w:pPr>
        <w:ind w:left="720" w:hanging="360"/>
      </w:pPr>
      <w:rPr>
        <w:rFonts w:ascii="Symbol" w:hAnsi="Symbol"/>
      </w:rPr>
    </w:lvl>
    <w:lvl w:ilvl="1" w:tplc="B65A0D02">
      <w:start w:val="1"/>
      <w:numFmt w:val="bullet"/>
      <w:lvlText w:val=""/>
      <w:lvlJc w:val="left"/>
      <w:pPr>
        <w:ind w:left="720" w:hanging="360"/>
      </w:pPr>
      <w:rPr>
        <w:rFonts w:ascii="Symbol" w:hAnsi="Symbol"/>
      </w:rPr>
    </w:lvl>
    <w:lvl w:ilvl="2" w:tplc="460E1466">
      <w:start w:val="1"/>
      <w:numFmt w:val="bullet"/>
      <w:lvlText w:val=""/>
      <w:lvlJc w:val="left"/>
      <w:pPr>
        <w:ind w:left="720" w:hanging="360"/>
      </w:pPr>
      <w:rPr>
        <w:rFonts w:ascii="Symbol" w:hAnsi="Symbol"/>
      </w:rPr>
    </w:lvl>
    <w:lvl w:ilvl="3" w:tplc="0BE481C0">
      <w:start w:val="1"/>
      <w:numFmt w:val="bullet"/>
      <w:lvlText w:val=""/>
      <w:lvlJc w:val="left"/>
      <w:pPr>
        <w:ind w:left="720" w:hanging="360"/>
      </w:pPr>
      <w:rPr>
        <w:rFonts w:ascii="Symbol" w:hAnsi="Symbol"/>
      </w:rPr>
    </w:lvl>
    <w:lvl w:ilvl="4" w:tplc="35B8653C">
      <w:start w:val="1"/>
      <w:numFmt w:val="bullet"/>
      <w:lvlText w:val=""/>
      <w:lvlJc w:val="left"/>
      <w:pPr>
        <w:ind w:left="720" w:hanging="360"/>
      </w:pPr>
      <w:rPr>
        <w:rFonts w:ascii="Symbol" w:hAnsi="Symbol"/>
      </w:rPr>
    </w:lvl>
    <w:lvl w:ilvl="5" w:tplc="20941834">
      <w:start w:val="1"/>
      <w:numFmt w:val="bullet"/>
      <w:lvlText w:val=""/>
      <w:lvlJc w:val="left"/>
      <w:pPr>
        <w:ind w:left="720" w:hanging="360"/>
      </w:pPr>
      <w:rPr>
        <w:rFonts w:ascii="Symbol" w:hAnsi="Symbol"/>
      </w:rPr>
    </w:lvl>
    <w:lvl w:ilvl="6" w:tplc="C4A810B2">
      <w:start w:val="1"/>
      <w:numFmt w:val="bullet"/>
      <w:lvlText w:val=""/>
      <w:lvlJc w:val="left"/>
      <w:pPr>
        <w:ind w:left="720" w:hanging="360"/>
      </w:pPr>
      <w:rPr>
        <w:rFonts w:ascii="Symbol" w:hAnsi="Symbol"/>
      </w:rPr>
    </w:lvl>
    <w:lvl w:ilvl="7" w:tplc="E03055C2">
      <w:start w:val="1"/>
      <w:numFmt w:val="bullet"/>
      <w:lvlText w:val=""/>
      <w:lvlJc w:val="left"/>
      <w:pPr>
        <w:ind w:left="720" w:hanging="360"/>
      </w:pPr>
      <w:rPr>
        <w:rFonts w:ascii="Symbol" w:hAnsi="Symbol"/>
      </w:rPr>
    </w:lvl>
    <w:lvl w:ilvl="8" w:tplc="6AEC45BE">
      <w:start w:val="1"/>
      <w:numFmt w:val="bullet"/>
      <w:lvlText w:val=""/>
      <w:lvlJc w:val="left"/>
      <w:pPr>
        <w:ind w:left="720" w:hanging="360"/>
      </w:pPr>
      <w:rPr>
        <w:rFonts w:ascii="Symbol" w:hAnsi="Symbol"/>
      </w:rPr>
    </w:lvl>
  </w:abstractNum>
  <w:abstractNum w:abstractNumId="1" w15:restartNumberingAfterBreak="0">
    <w:nsid w:val="021E605B"/>
    <w:multiLevelType w:val="hybridMultilevel"/>
    <w:tmpl w:val="91586486"/>
    <w:lvl w:ilvl="0" w:tplc="BB425FB6">
      <w:start w:val="1"/>
      <w:numFmt w:val="decimal"/>
      <w:lvlText w:val="%1."/>
      <w:lvlJc w:val="left"/>
      <w:pPr>
        <w:ind w:left="720" w:hanging="360"/>
      </w:pPr>
    </w:lvl>
    <w:lvl w:ilvl="1" w:tplc="34169E96" w:tentative="1">
      <w:start w:val="1"/>
      <w:numFmt w:val="lowerLetter"/>
      <w:lvlText w:val="%2."/>
      <w:lvlJc w:val="left"/>
      <w:pPr>
        <w:ind w:left="1440" w:hanging="360"/>
      </w:pPr>
    </w:lvl>
    <w:lvl w:ilvl="2" w:tplc="8C18F194" w:tentative="1">
      <w:start w:val="1"/>
      <w:numFmt w:val="lowerRoman"/>
      <w:lvlText w:val="%3."/>
      <w:lvlJc w:val="right"/>
      <w:pPr>
        <w:ind w:left="2160" w:hanging="180"/>
      </w:pPr>
    </w:lvl>
    <w:lvl w:ilvl="3" w:tplc="7B12C102" w:tentative="1">
      <w:start w:val="1"/>
      <w:numFmt w:val="decimal"/>
      <w:lvlText w:val="%4."/>
      <w:lvlJc w:val="left"/>
      <w:pPr>
        <w:ind w:left="2880" w:hanging="360"/>
      </w:pPr>
    </w:lvl>
    <w:lvl w:ilvl="4" w:tplc="05829028" w:tentative="1">
      <w:start w:val="1"/>
      <w:numFmt w:val="lowerLetter"/>
      <w:lvlText w:val="%5."/>
      <w:lvlJc w:val="left"/>
      <w:pPr>
        <w:ind w:left="3600" w:hanging="360"/>
      </w:pPr>
    </w:lvl>
    <w:lvl w:ilvl="5" w:tplc="D8D62F9C" w:tentative="1">
      <w:start w:val="1"/>
      <w:numFmt w:val="lowerRoman"/>
      <w:lvlText w:val="%6."/>
      <w:lvlJc w:val="right"/>
      <w:pPr>
        <w:ind w:left="4320" w:hanging="180"/>
      </w:pPr>
    </w:lvl>
    <w:lvl w:ilvl="6" w:tplc="E6108D1E" w:tentative="1">
      <w:start w:val="1"/>
      <w:numFmt w:val="decimal"/>
      <w:lvlText w:val="%7."/>
      <w:lvlJc w:val="left"/>
      <w:pPr>
        <w:ind w:left="5040" w:hanging="360"/>
      </w:pPr>
    </w:lvl>
    <w:lvl w:ilvl="7" w:tplc="312604A4" w:tentative="1">
      <w:start w:val="1"/>
      <w:numFmt w:val="lowerLetter"/>
      <w:lvlText w:val="%8."/>
      <w:lvlJc w:val="left"/>
      <w:pPr>
        <w:ind w:left="5760" w:hanging="360"/>
      </w:pPr>
    </w:lvl>
    <w:lvl w:ilvl="8" w:tplc="5B8EB774" w:tentative="1">
      <w:start w:val="1"/>
      <w:numFmt w:val="lowerRoman"/>
      <w:lvlText w:val="%9."/>
      <w:lvlJc w:val="right"/>
      <w:pPr>
        <w:ind w:left="6480" w:hanging="180"/>
      </w:pPr>
    </w:lvl>
  </w:abstractNum>
  <w:abstractNum w:abstractNumId="2" w15:restartNumberingAfterBreak="0">
    <w:nsid w:val="0DD00F18"/>
    <w:multiLevelType w:val="multilevel"/>
    <w:tmpl w:val="048CB4CA"/>
    <w:lvl w:ilvl="0">
      <w:start w:val="5"/>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242EB3"/>
    <w:multiLevelType w:val="hybridMultilevel"/>
    <w:tmpl w:val="79C881FC"/>
    <w:lvl w:ilvl="0" w:tplc="62B2AB0C">
      <w:start w:val="1"/>
      <w:numFmt w:val="bullet"/>
      <w:lvlText w:val=""/>
      <w:lvlJc w:val="left"/>
      <w:pPr>
        <w:ind w:left="1080" w:hanging="360"/>
      </w:pPr>
      <w:rPr>
        <w:rFonts w:ascii="Symbol" w:hAnsi="Symbol"/>
      </w:rPr>
    </w:lvl>
    <w:lvl w:ilvl="1" w:tplc="951CE67A">
      <w:start w:val="1"/>
      <w:numFmt w:val="bullet"/>
      <w:lvlText w:val=""/>
      <w:lvlJc w:val="left"/>
      <w:pPr>
        <w:ind w:left="1080" w:hanging="360"/>
      </w:pPr>
      <w:rPr>
        <w:rFonts w:ascii="Symbol" w:hAnsi="Symbol"/>
      </w:rPr>
    </w:lvl>
    <w:lvl w:ilvl="2" w:tplc="6AF8377C">
      <w:start w:val="1"/>
      <w:numFmt w:val="bullet"/>
      <w:lvlText w:val=""/>
      <w:lvlJc w:val="left"/>
      <w:pPr>
        <w:ind w:left="1080" w:hanging="360"/>
      </w:pPr>
      <w:rPr>
        <w:rFonts w:ascii="Symbol" w:hAnsi="Symbol"/>
      </w:rPr>
    </w:lvl>
    <w:lvl w:ilvl="3" w:tplc="18887B22">
      <w:start w:val="1"/>
      <w:numFmt w:val="bullet"/>
      <w:lvlText w:val=""/>
      <w:lvlJc w:val="left"/>
      <w:pPr>
        <w:ind w:left="1080" w:hanging="360"/>
      </w:pPr>
      <w:rPr>
        <w:rFonts w:ascii="Symbol" w:hAnsi="Symbol"/>
      </w:rPr>
    </w:lvl>
    <w:lvl w:ilvl="4" w:tplc="54967D14">
      <w:start w:val="1"/>
      <w:numFmt w:val="bullet"/>
      <w:lvlText w:val=""/>
      <w:lvlJc w:val="left"/>
      <w:pPr>
        <w:ind w:left="1080" w:hanging="360"/>
      </w:pPr>
      <w:rPr>
        <w:rFonts w:ascii="Symbol" w:hAnsi="Symbol"/>
      </w:rPr>
    </w:lvl>
    <w:lvl w:ilvl="5" w:tplc="DE26F8CC">
      <w:start w:val="1"/>
      <w:numFmt w:val="bullet"/>
      <w:lvlText w:val=""/>
      <w:lvlJc w:val="left"/>
      <w:pPr>
        <w:ind w:left="1080" w:hanging="360"/>
      </w:pPr>
      <w:rPr>
        <w:rFonts w:ascii="Symbol" w:hAnsi="Symbol"/>
      </w:rPr>
    </w:lvl>
    <w:lvl w:ilvl="6" w:tplc="6ADE56F8">
      <w:start w:val="1"/>
      <w:numFmt w:val="bullet"/>
      <w:lvlText w:val=""/>
      <w:lvlJc w:val="left"/>
      <w:pPr>
        <w:ind w:left="1080" w:hanging="360"/>
      </w:pPr>
      <w:rPr>
        <w:rFonts w:ascii="Symbol" w:hAnsi="Symbol"/>
      </w:rPr>
    </w:lvl>
    <w:lvl w:ilvl="7" w:tplc="E0D6F9E8">
      <w:start w:val="1"/>
      <w:numFmt w:val="bullet"/>
      <w:lvlText w:val=""/>
      <w:lvlJc w:val="left"/>
      <w:pPr>
        <w:ind w:left="1080" w:hanging="360"/>
      </w:pPr>
      <w:rPr>
        <w:rFonts w:ascii="Symbol" w:hAnsi="Symbol"/>
      </w:rPr>
    </w:lvl>
    <w:lvl w:ilvl="8" w:tplc="DAE8B97E">
      <w:start w:val="1"/>
      <w:numFmt w:val="bullet"/>
      <w:lvlText w:val=""/>
      <w:lvlJc w:val="left"/>
      <w:pPr>
        <w:ind w:left="1080" w:hanging="360"/>
      </w:pPr>
      <w:rPr>
        <w:rFonts w:ascii="Symbol" w:hAnsi="Symbol"/>
      </w:rPr>
    </w:lvl>
  </w:abstractNum>
  <w:abstractNum w:abstractNumId="4" w15:restartNumberingAfterBreak="0">
    <w:nsid w:val="1C784C78"/>
    <w:multiLevelType w:val="multilevel"/>
    <w:tmpl w:val="962A56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0668AD"/>
    <w:multiLevelType w:val="hybridMultilevel"/>
    <w:tmpl w:val="F4D67EA2"/>
    <w:lvl w:ilvl="0" w:tplc="BB425FB6">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505455D"/>
    <w:multiLevelType w:val="hybridMultilevel"/>
    <w:tmpl w:val="46882A52"/>
    <w:lvl w:ilvl="0" w:tplc="9452A23A">
      <w:start w:val="1"/>
      <w:numFmt w:val="decimal"/>
      <w:lvlText w:val="(%1)"/>
      <w:lvlJc w:val="left"/>
      <w:pPr>
        <w:ind w:left="1440" w:hanging="360"/>
      </w:pPr>
    </w:lvl>
    <w:lvl w:ilvl="1" w:tplc="FCD2874C">
      <w:start w:val="1"/>
      <w:numFmt w:val="bullet"/>
      <w:lvlText w:val=""/>
      <w:lvlJc w:val="left"/>
      <w:pPr>
        <w:ind w:left="1800" w:hanging="360"/>
      </w:pPr>
      <w:rPr>
        <w:rFonts w:ascii="Symbol" w:hAnsi="Symbol"/>
      </w:rPr>
    </w:lvl>
    <w:lvl w:ilvl="2" w:tplc="FD94D63E">
      <w:start w:val="1"/>
      <w:numFmt w:val="decimal"/>
      <w:lvlText w:val="(%3)"/>
      <w:lvlJc w:val="left"/>
      <w:pPr>
        <w:ind w:left="1440" w:hanging="360"/>
      </w:pPr>
    </w:lvl>
    <w:lvl w:ilvl="3" w:tplc="A454B114">
      <w:start w:val="1"/>
      <w:numFmt w:val="decimal"/>
      <w:lvlText w:val="(%4)"/>
      <w:lvlJc w:val="left"/>
      <w:pPr>
        <w:ind w:left="1440" w:hanging="360"/>
      </w:pPr>
    </w:lvl>
    <w:lvl w:ilvl="4" w:tplc="E5CA1416">
      <w:start w:val="1"/>
      <w:numFmt w:val="decimal"/>
      <w:lvlText w:val="(%5)"/>
      <w:lvlJc w:val="left"/>
      <w:pPr>
        <w:ind w:left="1440" w:hanging="360"/>
      </w:pPr>
    </w:lvl>
    <w:lvl w:ilvl="5" w:tplc="0A70BF9C">
      <w:start w:val="1"/>
      <w:numFmt w:val="decimal"/>
      <w:lvlText w:val="(%6)"/>
      <w:lvlJc w:val="left"/>
      <w:pPr>
        <w:ind w:left="1440" w:hanging="360"/>
      </w:pPr>
    </w:lvl>
    <w:lvl w:ilvl="6" w:tplc="52F4B1BC">
      <w:start w:val="1"/>
      <w:numFmt w:val="decimal"/>
      <w:lvlText w:val="(%7)"/>
      <w:lvlJc w:val="left"/>
      <w:pPr>
        <w:ind w:left="1440" w:hanging="360"/>
      </w:pPr>
    </w:lvl>
    <w:lvl w:ilvl="7" w:tplc="2CC26DF8">
      <w:start w:val="1"/>
      <w:numFmt w:val="decimal"/>
      <w:lvlText w:val="(%8)"/>
      <w:lvlJc w:val="left"/>
      <w:pPr>
        <w:ind w:left="1440" w:hanging="360"/>
      </w:pPr>
    </w:lvl>
    <w:lvl w:ilvl="8" w:tplc="4E6AA7F6">
      <w:start w:val="1"/>
      <w:numFmt w:val="decimal"/>
      <w:lvlText w:val="(%9)"/>
      <w:lvlJc w:val="left"/>
      <w:pPr>
        <w:ind w:left="1440" w:hanging="360"/>
      </w:pPr>
    </w:lvl>
  </w:abstractNum>
  <w:abstractNum w:abstractNumId="7" w15:restartNumberingAfterBreak="0">
    <w:nsid w:val="35386F07"/>
    <w:multiLevelType w:val="multilevel"/>
    <w:tmpl w:val="BC802718"/>
    <w:lvl w:ilvl="0">
      <w:start w:val="4"/>
      <w:numFmt w:val="decimal"/>
      <w:lvlText w:val="%1."/>
      <w:lvlJc w:val="left"/>
      <w:pPr>
        <w:ind w:left="360" w:hanging="360"/>
      </w:pPr>
      <w:rPr>
        <w:rFonts w:hint="default"/>
      </w:rPr>
    </w:lvl>
    <w:lvl w:ilvl="1">
      <w:start w:val="3"/>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6842B41"/>
    <w:multiLevelType w:val="multilevel"/>
    <w:tmpl w:val="5832F93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C6F3562"/>
    <w:multiLevelType w:val="hybridMultilevel"/>
    <w:tmpl w:val="CBFC38D2"/>
    <w:lvl w:ilvl="0" w:tplc="FCF02D06">
      <w:numFmt w:val="bullet"/>
      <w:lvlText w:val=""/>
      <w:lvlJc w:val="left"/>
      <w:pPr>
        <w:ind w:left="840" w:hanging="480"/>
      </w:pPr>
      <w:rPr>
        <w:rFonts w:ascii="Calibri" w:eastAsia="Calibri" w:hAnsi="Calibri" w:cs="Calibri" w:hint="default"/>
      </w:rPr>
    </w:lvl>
    <w:lvl w:ilvl="1" w:tplc="8C8A258A" w:tentative="1">
      <w:start w:val="1"/>
      <w:numFmt w:val="bullet"/>
      <w:lvlText w:val="o"/>
      <w:lvlJc w:val="left"/>
      <w:pPr>
        <w:ind w:left="1440" w:hanging="360"/>
      </w:pPr>
      <w:rPr>
        <w:rFonts w:ascii="Courier New" w:hAnsi="Courier New" w:cs="Courier New" w:hint="default"/>
      </w:rPr>
    </w:lvl>
    <w:lvl w:ilvl="2" w:tplc="A5764558" w:tentative="1">
      <w:start w:val="1"/>
      <w:numFmt w:val="bullet"/>
      <w:lvlText w:val=""/>
      <w:lvlJc w:val="left"/>
      <w:pPr>
        <w:ind w:left="2160" w:hanging="360"/>
      </w:pPr>
      <w:rPr>
        <w:rFonts w:ascii="Wingdings" w:hAnsi="Wingdings" w:hint="default"/>
      </w:rPr>
    </w:lvl>
    <w:lvl w:ilvl="3" w:tplc="A5FAF5A2" w:tentative="1">
      <w:start w:val="1"/>
      <w:numFmt w:val="bullet"/>
      <w:lvlText w:val=""/>
      <w:lvlJc w:val="left"/>
      <w:pPr>
        <w:ind w:left="2880" w:hanging="360"/>
      </w:pPr>
      <w:rPr>
        <w:rFonts w:ascii="Symbol" w:hAnsi="Symbol" w:hint="default"/>
      </w:rPr>
    </w:lvl>
    <w:lvl w:ilvl="4" w:tplc="DEE6DE50" w:tentative="1">
      <w:start w:val="1"/>
      <w:numFmt w:val="bullet"/>
      <w:lvlText w:val="o"/>
      <w:lvlJc w:val="left"/>
      <w:pPr>
        <w:ind w:left="3600" w:hanging="360"/>
      </w:pPr>
      <w:rPr>
        <w:rFonts w:ascii="Courier New" w:hAnsi="Courier New" w:cs="Courier New" w:hint="default"/>
      </w:rPr>
    </w:lvl>
    <w:lvl w:ilvl="5" w:tplc="687853CC" w:tentative="1">
      <w:start w:val="1"/>
      <w:numFmt w:val="bullet"/>
      <w:lvlText w:val=""/>
      <w:lvlJc w:val="left"/>
      <w:pPr>
        <w:ind w:left="4320" w:hanging="360"/>
      </w:pPr>
      <w:rPr>
        <w:rFonts w:ascii="Wingdings" w:hAnsi="Wingdings" w:hint="default"/>
      </w:rPr>
    </w:lvl>
    <w:lvl w:ilvl="6" w:tplc="34924012" w:tentative="1">
      <w:start w:val="1"/>
      <w:numFmt w:val="bullet"/>
      <w:lvlText w:val=""/>
      <w:lvlJc w:val="left"/>
      <w:pPr>
        <w:ind w:left="5040" w:hanging="360"/>
      </w:pPr>
      <w:rPr>
        <w:rFonts w:ascii="Symbol" w:hAnsi="Symbol" w:hint="default"/>
      </w:rPr>
    </w:lvl>
    <w:lvl w:ilvl="7" w:tplc="79400302" w:tentative="1">
      <w:start w:val="1"/>
      <w:numFmt w:val="bullet"/>
      <w:lvlText w:val="o"/>
      <w:lvlJc w:val="left"/>
      <w:pPr>
        <w:ind w:left="5760" w:hanging="360"/>
      </w:pPr>
      <w:rPr>
        <w:rFonts w:ascii="Courier New" w:hAnsi="Courier New" w:cs="Courier New" w:hint="default"/>
      </w:rPr>
    </w:lvl>
    <w:lvl w:ilvl="8" w:tplc="BD645FCE" w:tentative="1">
      <w:start w:val="1"/>
      <w:numFmt w:val="bullet"/>
      <w:lvlText w:val=""/>
      <w:lvlJc w:val="left"/>
      <w:pPr>
        <w:ind w:left="6480" w:hanging="360"/>
      </w:pPr>
      <w:rPr>
        <w:rFonts w:ascii="Wingdings" w:hAnsi="Wingdings" w:hint="default"/>
      </w:rPr>
    </w:lvl>
  </w:abstractNum>
  <w:abstractNum w:abstractNumId="10" w15:restartNumberingAfterBreak="0">
    <w:nsid w:val="3EF91946"/>
    <w:multiLevelType w:val="hybridMultilevel"/>
    <w:tmpl w:val="D060A89A"/>
    <w:lvl w:ilvl="0" w:tplc="9A9E13D0">
      <w:start w:val="1"/>
      <w:numFmt w:val="decimal"/>
      <w:lvlText w:val="%1."/>
      <w:lvlJc w:val="left"/>
      <w:pPr>
        <w:ind w:left="1440" w:hanging="360"/>
      </w:pPr>
    </w:lvl>
    <w:lvl w:ilvl="1" w:tplc="5B02F484">
      <w:start w:val="1"/>
      <w:numFmt w:val="bullet"/>
      <w:lvlText w:val=""/>
      <w:lvlJc w:val="left"/>
      <w:pPr>
        <w:ind w:left="1440" w:hanging="360"/>
      </w:pPr>
      <w:rPr>
        <w:rFonts w:ascii="Symbol" w:hAnsi="Symbol"/>
      </w:rPr>
    </w:lvl>
    <w:lvl w:ilvl="2" w:tplc="1592E76C">
      <w:start w:val="1"/>
      <w:numFmt w:val="decimal"/>
      <w:lvlText w:val="%3."/>
      <w:lvlJc w:val="left"/>
      <w:pPr>
        <w:ind w:left="1440" w:hanging="360"/>
      </w:pPr>
    </w:lvl>
    <w:lvl w:ilvl="3" w:tplc="C2141570">
      <w:start w:val="1"/>
      <w:numFmt w:val="decimal"/>
      <w:lvlText w:val="%4."/>
      <w:lvlJc w:val="left"/>
      <w:pPr>
        <w:ind w:left="1440" w:hanging="360"/>
      </w:pPr>
    </w:lvl>
    <w:lvl w:ilvl="4" w:tplc="AD54D9BC">
      <w:start w:val="1"/>
      <w:numFmt w:val="decimal"/>
      <w:lvlText w:val="%5."/>
      <w:lvlJc w:val="left"/>
      <w:pPr>
        <w:ind w:left="1440" w:hanging="360"/>
      </w:pPr>
    </w:lvl>
    <w:lvl w:ilvl="5" w:tplc="A3FC94CA">
      <w:start w:val="1"/>
      <w:numFmt w:val="decimal"/>
      <w:lvlText w:val="%6."/>
      <w:lvlJc w:val="left"/>
      <w:pPr>
        <w:ind w:left="1440" w:hanging="360"/>
      </w:pPr>
    </w:lvl>
    <w:lvl w:ilvl="6" w:tplc="6F86D556">
      <w:start w:val="1"/>
      <w:numFmt w:val="decimal"/>
      <w:lvlText w:val="%7."/>
      <w:lvlJc w:val="left"/>
      <w:pPr>
        <w:ind w:left="1440" w:hanging="360"/>
      </w:pPr>
    </w:lvl>
    <w:lvl w:ilvl="7" w:tplc="BB008D18">
      <w:start w:val="1"/>
      <w:numFmt w:val="decimal"/>
      <w:lvlText w:val="%8."/>
      <w:lvlJc w:val="left"/>
      <w:pPr>
        <w:ind w:left="1440" w:hanging="360"/>
      </w:pPr>
    </w:lvl>
    <w:lvl w:ilvl="8" w:tplc="6C685E4C">
      <w:start w:val="1"/>
      <w:numFmt w:val="decimal"/>
      <w:lvlText w:val="%9."/>
      <w:lvlJc w:val="left"/>
      <w:pPr>
        <w:ind w:left="1440" w:hanging="360"/>
      </w:pPr>
    </w:lvl>
  </w:abstractNum>
  <w:abstractNum w:abstractNumId="11" w15:restartNumberingAfterBreak="0">
    <w:nsid w:val="426D0324"/>
    <w:multiLevelType w:val="hybridMultilevel"/>
    <w:tmpl w:val="65BA301C"/>
    <w:lvl w:ilvl="0" w:tplc="60448410">
      <w:start w:val="1"/>
      <w:numFmt w:val="decimal"/>
      <w:lvlText w:val="(%1)"/>
      <w:lvlJc w:val="left"/>
      <w:pPr>
        <w:ind w:left="1440" w:hanging="360"/>
      </w:pPr>
    </w:lvl>
    <w:lvl w:ilvl="1" w:tplc="029097EE">
      <w:start w:val="1"/>
      <w:numFmt w:val="decimal"/>
      <w:lvlText w:val="(%2)"/>
      <w:lvlJc w:val="left"/>
      <w:pPr>
        <w:ind w:left="1440" w:hanging="360"/>
      </w:pPr>
    </w:lvl>
    <w:lvl w:ilvl="2" w:tplc="33D02B84">
      <w:start w:val="1"/>
      <w:numFmt w:val="decimal"/>
      <w:lvlText w:val="(%3)"/>
      <w:lvlJc w:val="left"/>
      <w:pPr>
        <w:ind w:left="1440" w:hanging="360"/>
      </w:pPr>
    </w:lvl>
    <w:lvl w:ilvl="3" w:tplc="D744D524">
      <w:start w:val="1"/>
      <w:numFmt w:val="decimal"/>
      <w:lvlText w:val="(%4)"/>
      <w:lvlJc w:val="left"/>
      <w:pPr>
        <w:ind w:left="1440" w:hanging="360"/>
      </w:pPr>
    </w:lvl>
    <w:lvl w:ilvl="4" w:tplc="76B2EA2A">
      <w:start w:val="1"/>
      <w:numFmt w:val="decimal"/>
      <w:lvlText w:val="(%5)"/>
      <w:lvlJc w:val="left"/>
      <w:pPr>
        <w:ind w:left="1440" w:hanging="360"/>
      </w:pPr>
    </w:lvl>
    <w:lvl w:ilvl="5" w:tplc="FFDC3B80">
      <w:start w:val="1"/>
      <w:numFmt w:val="decimal"/>
      <w:lvlText w:val="(%6)"/>
      <w:lvlJc w:val="left"/>
      <w:pPr>
        <w:ind w:left="1440" w:hanging="360"/>
      </w:pPr>
    </w:lvl>
    <w:lvl w:ilvl="6" w:tplc="FA74D58E">
      <w:start w:val="1"/>
      <w:numFmt w:val="decimal"/>
      <w:lvlText w:val="(%7)"/>
      <w:lvlJc w:val="left"/>
      <w:pPr>
        <w:ind w:left="1440" w:hanging="360"/>
      </w:pPr>
    </w:lvl>
    <w:lvl w:ilvl="7" w:tplc="5770E67C">
      <w:start w:val="1"/>
      <w:numFmt w:val="decimal"/>
      <w:lvlText w:val="(%8)"/>
      <w:lvlJc w:val="left"/>
      <w:pPr>
        <w:ind w:left="1440" w:hanging="360"/>
      </w:pPr>
    </w:lvl>
    <w:lvl w:ilvl="8" w:tplc="C4DE02A6">
      <w:start w:val="1"/>
      <w:numFmt w:val="decimal"/>
      <w:lvlText w:val="(%9)"/>
      <w:lvlJc w:val="left"/>
      <w:pPr>
        <w:ind w:left="1440" w:hanging="360"/>
      </w:pPr>
    </w:lvl>
  </w:abstractNum>
  <w:abstractNum w:abstractNumId="12" w15:restartNumberingAfterBreak="0">
    <w:nsid w:val="43BA0089"/>
    <w:multiLevelType w:val="hybridMultilevel"/>
    <w:tmpl w:val="825ED642"/>
    <w:lvl w:ilvl="0" w:tplc="313411EA">
      <w:start w:val="1"/>
      <w:numFmt w:val="decimal"/>
      <w:lvlText w:val="%1."/>
      <w:lvlJc w:val="left"/>
      <w:pPr>
        <w:ind w:left="720" w:hanging="360"/>
      </w:pPr>
    </w:lvl>
    <w:lvl w:ilvl="1" w:tplc="8C342B0E" w:tentative="1">
      <w:start w:val="1"/>
      <w:numFmt w:val="lowerLetter"/>
      <w:lvlText w:val="%2."/>
      <w:lvlJc w:val="left"/>
      <w:pPr>
        <w:ind w:left="1440" w:hanging="360"/>
      </w:pPr>
    </w:lvl>
    <w:lvl w:ilvl="2" w:tplc="024EC7F2" w:tentative="1">
      <w:start w:val="1"/>
      <w:numFmt w:val="lowerRoman"/>
      <w:lvlText w:val="%3."/>
      <w:lvlJc w:val="right"/>
      <w:pPr>
        <w:ind w:left="2160" w:hanging="180"/>
      </w:pPr>
    </w:lvl>
    <w:lvl w:ilvl="3" w:tplc="314485D6" w:tentative="1">
      <w:start w:val="1"/>
      <w:numFmt w:val="decimal"/>
      <w:lvlText w:val="%4."/>
      <w:lvlJc w:val="left"/>
      <w:pPr>
        <w:ind w:left="2880" w:hanging="360"/>
      </w:pPr>
    </w:lvl>
    <w:lvl w:ilvl="4" w:tplc="FC46A346" w:tentative="1">
      <w:start w:val="1"/>
      <w:numFmt w:val="lowerLetter"/>
      <w:lvlText w:val="%5."/>
      <w:lvlJc w:val="left"/>
      <w:pPr>
        <w:ind w:left="3600" w:hanging="360"/>
      </w:pPr>
    </w:lvl>
    <w:lvl w:ilvl="5" w:tplc="67521CAE" w:tentative="1">
      <w:start w:val="1"/>
      <w:numFmt w:val="lowerRoman"/>
      <w:lvlText w:val="%6."/>
      <w:lvlJc w:val="right"/>
      <w:pPr>
        <w:ind w:left="4320" w:hanging="180"/>
      </w:pPr>
    </w:lvl>
    <w:lvl w:ilvl="6" w:tplc="A8AE8FC4" w:tentative="1">
      <w:start w:val="1"/>
      <w:numFmt w:val="decimal"/>
      <w:lvlText w:val="%7."/>
      <w:lvlJc w:val="left"/>
      <w:pPr>
        <w:ind w:left="5040" w:hanging="360"/>
      </w:pPr>
    </w:lvl>
    <w:lvl w:ilvl="7" w:tplc="D7FC682C" w:tentative="1">
      <w:start w:val="1"/>
      <w:numFmt w:val="lowerLetter"/>
      <w:lvlText w:val="%8."/>
      <w:lvlJc w:val="left"/>
      <w:pPr>
        <w:ind w:left="5760" w:hanging="360"/>
      </w:pPr>
    </w:lvl>
    <w:lvl w:ilvl="8" w:tplc="FA66B9F0" w:tentative="1">
      <w:start w:val="1"/>
      <w:numFmt w:val="lowerRoman"/>
      <w:lvlText w:val="%9."/>
      <w:lvlJc w:val="right"/>
      <w:pPr>
        <w:ind w:left="6480" w:hanging="180"/>
      </w:pPr>
    </w:lvl>
  </w:abstractNum>
  <w:abstractNum w:abstractNumId="13" w15:restartNumberingAfterBreak="0">
    <w:nsid w:val="4A1D0D9C"/>
    <w:multiLevelType w:val="hybridMultilevel"/>
    <w:tmpl w:val="8F44A95E"/>
    <w:lvl w:ilvl="0" w:tplc="BBB6C45E">
      <w:start w:val="1"/>
      <w:numFmt w:val="decimal"/>
      <w:lvlText w:val="%1."/>
      <w:lvlJc w:val="left"/>
      <w:pPr>
        <w:ind w:left="1440" w:hanging="360"/>
      </w:pPr>
    </w:lvl>
    <w:lvl w:ilvl="1" w:tplc="F89C276C">
      <w:start w:val="1"/>
      <w:numFmt w:val="decimal"/>
      <w:lvlText w:val="%2."/>
      <w:lvlJc w:val="left"/>
      <w:pPr>
        <w:ind w:left="1440" w:hanging="360"/>
      </w:pPr>
    </w:lvl>
    <w:lvl w:ilvl="2" w:tplc="D0C48E40">
      <w:start w:val="1"/>
      <w:numFmt w:val="decimal"/>
      <w:lvlText w:val="%3."/>
      <w:lvlJc w:val="left"/>
      <w:pPr>
        <w:ind w:left="1440" w:hanging="360"/>
      </w:pPr>
    </w:lvl>
    <w:lvl w:ilvl="3" w:tplc="C0D65B72">
      <w:start w:val="1"/>
      <w:numFmt w:val="decimal"/>
      <w:lvlText w:val="%4."/>
      <w:lvlJc w:val="left"/>
      <w:pPr>
        <w:ind w:left="1440" w:hanging="360"/>
      </w:pPr>
    </w:lvl>
    <w:lvl w:ilvl="4" w:tplc="7EBE9F16">
      <w:start w:val="1"/>
      <w:numFmt w:val="decimal"/>
      <w:lvlText w:val="%5."/>
      <w:lvlJc w:val="left"/>
      <w:pPr>
        <w:ind w:left="1440" w:hanging="360"/>
      </w:pPr>
    </w:lvl>
    <w:lvl w:ilvl="5" w:tplc="902A1C68">
      <w:start w:val="1"/>
      <w:numFmt w:val="decimal"/>
      <w:lvlText w:val="%6."/>
      <w:lvlJc w:val="left"/>
      <w:pPr>
        <w:ind w:left="1440" w:hanging="360"/>
      </w:pPr>
    </w:lvl>
    <w:lvl w:ilvl="6" w:tplc="11A2BCF0">
      <w:start w:val="1"/>
      <w:numFmt w:val="decimal"/>
      <w:lvlText w:val="%7."/>
      <w:lvlJc w:val="left"/>
      <w:pPr>
        <w:ind w:left="1440" w:hanging="360"/>
      </w:pPr>
    </w:lvl>
    <w:lvl w:ilvl="7" w:tplc="F0965E10">
      <w:start w:val="1"/>
      <w:numFmt w:val="decimal"/>
      <w:lvlText w:val="%8."/>
      <w:lvlJc w:val="left"/>
      <w:pPr>
        <w:ind w:left="1440" w:hanging="360"/>
      </w:pPr>
    </w:lvl>
    <w:lvl w:ilvl="8" w:tplc="028035AC">
      <w:start w:val="1"/>
      <w:numFmt w:val="decimal"/>
      <w:lvlText w:val="%9."/>
      <w:lvlJc w:val="left"/>
      <w:pPr>
        <w:ind w:left="1440" w:hanging="360"/>
      </w:pPr>
    </w:lvl>
  </w:abstractNum>
  <w:abstractNum w:abstractNumId="14" w15:restartNumberingAfterBreak="0">
    <w:nsid w:val="50E77E34"/>
    <w:multiLevelType w:val="hybridMultilevel"/>
    <w:tmpl w:val="A9AA775A"/>
    <w:lvl w:ilvl="0" w:tplc="D85E2EE2">
      <w:start w:val="1"/>
      <w:numFmt w:val="decimal"/>
      <w:lvlText w:val="(%1)"/>
      <w:lvlJc w:val="left"/>
      <w:pPr>
        <w:ind w:left="1440" w:hanging="360"/>
      </w:pPr>
    </w:lvl>
    <w:lvl w:ilvl="1" w:tplc="EE689D10">
      <w:start w:val="1"/>
      <w:numFmt w:val="decimal"/>
      <w:lvlText w:val="(%2)"/>
      <w:lvlJc w:val="left"/>
      <w:pPr>
        <w:ind w:left="1440" w:hanging="360"/>
      </w:pPr>
    </w:lvl>
    <w:lvl w:ilvl="2" w:tplc="08982ABA">
      <w:start w:val="1"/>
      <w:numFmt w:val="decimal"/>
      <w:lvlText w:val="(%3)"/>
      <w:lvlJc w:val="left"/>
      <w:pPr>
        <w:ind w:left="1440" w:hanging="360"/>
      </w:pPr>
    </w:lvl>
    <w:lvl w:ilvl="3" w:tplc="83F4AA66">
      <w:start w:val="1"/>
      <w:numFmt w:val="decimal"/>
      <w:lvlText w:val="(%4)"/>
      <w:lvlJc w:val="left"/>
      <w:pPr>
        <w:ind w:left="1440" w:hanging="360"/>
      </w:pPr>
    </w:lvl>
    <w:lvl w:ilvl="4" w:tplc="9CFAA246">
      <w:start w:val="1"/>
      <w:numFmt w:val="decimal"/>
      <w:lvlText w:val="(%5)"/>
      <w:lvlJc w:val="left"/>
      <w:pPr>
        <w:ind w:left="1440" w:hanging="360"/>
      </w:pPr>
    </w:lvl>
    <w:lvl w:ilvl="5" w:tplc="F44E01CC">
      <w:start w:val="1"/>
      <w:numFmt w:val="decimal"/>
      <w:lvlText w:val="(%6)"/>
      <w:lvlJc w:val="left"/>
      <w:pPr>
        <w:ind w:left="1440" w:hanging="360"/>
      </w:pPr>
    </w:lvl>
    <w:lvl w:ilvl="6" w:tplc="35463746">
      <w:start w:val="1"/>
      <w:numFmt w:val="decimal"/>
      <w:lvlText w:val="(%7)"/>
      <w:lvlJc w:val="left"/>
      <w:pPr>
        <w:ind w:left="1440" w:hanging="360"/>
      </w:pPr>
    </w:lvl>
    <w:lvl w:ilvl="7" w:tplc="F88E2A7A">
      <w:start w:val="1"/>
      <w:numFmt w:val="decimal"/>
      <w:lvlText w:val="(%8)"/>
      <w:lvlJc w:val="left"/>
      <w:pPr>
        <w:ind w:left="1440" w:hanging="360"/>
      </w:pPr>
    </w:lvl>
    <w:lvl w:ilvl="8" w:tplc="0EE0ED30">
      <w:start w:val="1"/>
      <w:numFmt w:val="decimal"/>
      <w:lvlText w:val="(%9)"/>
      <w:lvlJc w:val="left"/>
      <w:pPr>
        <w:ind w:left="1440" w:hanging="360"/>
      </w:pPr>
    </w:lvl>
  </w:abstractNum>
  <w:abstractNum w:abstractNumId="15" w15:restartNumberingAfterBreak="0">
    <w:nsid w:val="5F190A7F"/>
    <w:multiLevelType w:val="hybridMultilevel"/>
    <w:tmpl w:val="76DEC888"/>
    <w:lvl w:ilvl="0" w:tplc="BB425FB6">
      <w:start w:val="1"/>
      <w:numFmt w:val="decimal"/>
      <w:lvlText w:val="%1."/>
      <w:lvlJc w:val="left"/>
      <w:pPr>
        <w:ind w:left="720" w:hanging="360"/>
      </w:pPr>
    </w:lvl>
    <w:lvl w:ilvl="1" w:tplc="940E62A2">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B21DCD"/>
    <w:multiLevelType w:val="hybridMultilevel"/>
    <w:tmpl w:val="E7CE82A4"/>
    <w:lvl w:ilvl="0" w:tplc="19A29A04">
      <w:start w:val="1"/>
      <w:numFmt w:val="decimal"/>
      <w:lvlText w:val="%1."/>
      <w:lvlJc w:val="left"/>
      <w:pPr>
        <w:ind w:left="720" w:hanging="360"/>
      </w:pPr>
    </w:lvl>
    <w:lvl w:ilvl="1" w:tplc="392E051A">
      <w:start w:val="1"/>
      <w:numFmt w:val="lowerLetter"/>
      <w:lvlText w:val="%2."/>
      <w:lvlJc w:val="left"/>
      <w:pPr>
        <w:ind w:left="1440" w:hanging="360"/>
      </w:pPr>
    </w:lvl>
    <w:lvl w:ilvl="2" w:tplc="1A7C5558" w:tentative="1">
      <w:start w:val="1"/>
      <w:numFmt w:val="lowerRoman"/>
      <w:lvlText w:val="%3."/>
      <w:lvlJc w:val="right"/>
      <w:pPr>
        <w:ind w:left="2160" w:hanging="180"/>
      </w:pPr>
    </w:lvl>
    <w:lvl w:ilvl="3" w:tplc="746A7812" w:tentative="1">
      <w:start w:val="1"/>
      <w:numFmt w:val="decimal"/>
      <w:lvlText w:val="%4."/>
      <w:lvlJc w:val="left"/>
      <w:pPr>
        <w:ind w:left="2880" w:hanging="360"/>
      </w:pPr>
    </w:lvl>
    <w:lvl w:ilvl="4" w:tplc="CC824D52" w:tentative="1">
      <w:start w:val="1"/>
      <w:numFmt w:val="lowerLetter"/>
      <w:lvlText w:val="%5."/>
      <w:lvlJc w:val="left"/>
      <w:pPr>
        <w:ind w:left="3600" w:hanging="360"/>
      </w:pPr>
    </w:lvl>
    <w:lvl w:ilvl="5" w:tplc="AFF87132" w:tentative="1">
      <w:start w:val="1"/>
      <w:numFmt w:val="lowerRoman"/>
      <w:lvlText w:val="%6."/>
      <w:lvlJc w:val="right"/>
      <w:pPr>
        <w:ind w:left="4320" w:hanging="180"/>
      </w:pPr>
    </w:lvl>
    <w:lvl w:ilvl="6" w:tplc="2BA0EB6E" w:tentative="1">
      <w:start w:val="1"/>
      <w:numFmt w:val="decimal"/>
      <w:lvlText w:val="%7."/>
      <w:lvlJc w:val="left"/>
      <w:pPr>
        <w:ind w:left="5040" w:hanging="360"/>
      </w:pPr>
    </w:lvl>
    <w:lvl w:ilvl="7" w:tplc="A30EE4F8" w:tentative="1">
      <w:start w:val="1"/>
      <w:numFmt w:val="lowerLetter"/>
      <w:lvlText w:val="%8."/>
      <w:lvlJc w:val="left"/>
      <w:pPr>
        <w:ind w:left="5760" w:hanging="360"/>
      </w:pPr>
    </w:lvl>
    <w:lvl w:ilvl="8" w:tplc="8ECE0E9E" w:tentative="1">
      <w:start w:val="1"/>
      <w:numFmt w:val="lowerRoman"/>
      <w:lvlText w:val="%9."/>
      <w:lvlJc w:val="right"/>
      <w:pPr>
        <w:ind w:left="6480" w:hanging="180"/>
      </w:pPr>
    </w:lvl>
  </w:abstractNum>
  <w:abstractNum w:abstractNumId="17" w15:restartNumberingAfterBreak="0">
    <w:nsid w:val="6D6B659D"/>
    <w:multiLevelType w:val="hybridMultilevel"/>
    <w:tmpl w:val="2A9284A0"/>
    <w:lvl w:ilvl="0" w:tplc="02E45CB6">
      <w:start w:val="1"/>
      <w:numFmt w:val="bullet"/>
      <w:lvlText w:val=""/>
      <w:lvlJc w:val="left"/>
      <w:pPr>
        <w:ind w:left="720" w:hanging="360"/>
      </w:pPr>
      <w:rPr>
        <w:rFonts w:ascii="Symbol" w:hAnsi="Symbol"/>
      </w:rPr>
    </w:lvl>
    <w:lvl w:ilvl="1" w:tplc="102471A4">
      <w:start w:val="1"/>
      <w:numFmt w:val="bullet"/>
      <w:lvlText w:val=""/>
      <w:lvlJc w:val="left"/>
      <w:pPr>
        <w:ind w:left="720" w:hanging="360"/>
      </w:pPr>
      <w:rPr>
        <w:rFonts w:ascii="Symbol" w:hAnsi="Symbol"/>
      </w:rPr>
    </w:lvl>
    <w:lvl w:ilvl="2" w:tplc="00FAD914">
      <w:start w:val="1"/>
      <w:numFmt w:val="bullet"/>
      <w:lvlText w:val=""/>
      <w:lvlJc w:val="left"/>
      <w:pPr>
        <w:ind w:left="720" w:hanging="360"/>
      </w:pPr>
      <w:rPr>
        <w:rFonts w:ascii="Symbol" w:hAnsi="Symbol"/>
      </w:rPr>
    </w:lvl>
    <w:lvl w:ilvl="3" w:tplc="9202F53A">
      <w:start w:val="1"/>
      <w:numFmt w:val="bullet"/>
      <w:lvlText w:val=""/>
      <w:lvlJc w:val="left"/>
      <w:pPr>
        <w:ind w:left="720" w:hanging="360"/>
      </w:pPr>
      <w:rPr>
        <w:rFonts w:ascii="Symbol" w:hAnsi="Symbol"/>
      </w:rPr>
    </w:lvl>
    <w:lvl w:ilvl="4" w:tplc="747C140C">
      <w:start w:val="1"/>
      <w:numFmt w:val="bullet"/>
      <w:lvlText w:val=""/>
      <w:lvlJc w:val="left"/>
      <w:pPr>
        <w:ind w:left="720" w:hanging="360"/>
      </w:pPr>
      <w:rPr>
        <w:rFonts w:ascii="Symbol" w:hAnsi="Symbol"/>
      </w:rPr>
    </w:lvl>
    <w:lvl w:ilvl="5" w:tplc="95AA1A24">
      <w:start w:val="1"/>
      <w:numFmt w:val="bullet"/>
      <w:lvlText w:val=""/>
      <w:lvlJc w:val="left"/>
      <w:pPr>
        <w:ind w:left="720" w:hanging="360"/>
      </w:pPr>
      <w:rPr>
        <w:rFonts w:ascii="Symbol" w:hAnsi="Symbol"/>
      </w:rPr>
    </w:lvl>
    <w:lvl w:ilvl="6" w:tplc="2F9CE37A">
      <w:start w:val="1"/>
      <w:numFmt w:val="bullet"/>
      <w:lvlText w:val=""/>
      <w:lvlJc w:val="left"/>
      <w:pPr>
        <w:ind w:left="720" w:hanging="360"/>
      </w:pPr>
      <w:rPr>
        <w:rFonts w:ascii="Symbol" w:hAnsi="Symbol"/>
      </w:rPr>
    </w:lvl>
    <w:lvl w:ilvl="7" w:tplc="53A8C6DA">
      <w:start w:val="1"/>
      <w:numFmt w:val="bullet"/>
      <w:lvlText w:val=""/>
      <w:lvlJc w:val="left"/>
      <w:pPr>
        <w:ind w:left="720" w:hanging="360"/>
      </w:pPr>
      <w:rPr>
        <w:rFonts w:ascii="Symbol" w:hAnsi="Symbol"/>
      </w:rPr>
    </w:lvl>
    <w:lvl w:ilvl="8" w:tplc="3C003A40">
      <w:start w:val="1"/>
      <w:numFmt w:val="bullet"/>
      <w:lvlText w:val=""/>
      <w:lvlJc w:val="left"/>
      <w:pPr>
        <w:ind w:left="720" w:hanging="360"/>
      </w:pPr>
      <w:rPr>
        <w:rFonts w:ascii="Symbol" w:hAnsi="Symbol"/>
      </w:rPr>
    </w:lvl>
  </w:abstractNum>
  <w:abstractNum w:abstractNumId="18" w15:restartNumberingAfterBreak="0">
    <w:nsid w:val="6DDE218D"/>
    <w:multiLevelType w:val="hybridMultilevel"/>
    <w:tmpl w:val="9D30D5D0"/>
    <w:lvl w:ilvl="0" w:tplc="FB5CBB54">
      <w:start w:val="1"/>
      <w:numFmt w:val="bullet"/>
      <w:lvlText w:val=""/>
      <w:lvlJc w:val="left"/>
      <w:pPr>
        <w:ind w:left="720" w:hanging="360"/>
      </w:pPr>
      <w:rPr>
        <w:rFonts w:ascii="Symbol" w:hAnsi="Symbol"/>
      </w:rPr>
    </w:lvl>
    <w:lvl w:ilvl="1" w:tplc="0B983BAA">
      <w:start w:val="1"/>
      <w:numFmt w:val="bullet"/>
      <w:lvlText w:val=""/>
      <w:lvlJc w:val="left"/>
      <w:pPr>
        <w:ind w:left="720" w:hanging="360"/>
      </w:pPr>
      <w:rPr>
        <w:rFonts w:ascii="Symbol" w:hAnsi="Symbol"/>
      </w:rPr>
    </w:lvl>
    <w:lvl w:ilvl="2" w:tplc="528C5768">
      <w:start w:val="1"/>
      <w:numFmt w:val="bullet"/>
      <w:lvlText w:val=""/>
      <w:lvlJc w:val="left"/>
      <w:pPr>
        <w:ind w:left="720" w:hanging="360"/>
      </w:pPr>
      <w:rPr>
        <w:rFonts w:ascii="Symbol" w:hAnsi="Symbol"/>
      </w:rPr>
    </w:lvl>
    <w:lvl w:ilvl="3" w:tplc="94C6DFC8">
      <w:start w:val="1"/>
      <w:numFmt w:val="bullet"/>
      <w:lvlText w:val=""/>
      <w:lvlJc w:val="left"/>
      <w:pPr>
        <w:ind w:left="720" w:hanging="360"/>
      </w:pPr>
      <w:rPr>
        <w:rFonts w:ascii="Symbol" w:hAnsi="Symbol"/>
      </w:rPr>
    </w:lvl>
    <w:lvl w:ilvl="4" w:tplc="BD285420">
      <w:start w:val="1"/>
      <w:numFmt w:val="bullet"/>
      <w:lvlText w:val=""/>
      <w:lvlJc w:val="left"/>
      <w:pPr>
        <w:ind w:left="720" w:hanging="360"/>
      </w:pPr>
      <w:rPr>
        <w:rFonts w:ascii="Symbol" w:hAnsi="Symbol"/>
      </w:rPr>
    </w:lvl>
    <w:lvl w:ilvl="5" w:tplc="C0449048">
      <w:start w:val="1"/>
      <w:numFmt w:val="bullet"/>
      <w:lvlText w:val=""/>
      <w:lvlJc w:val="left"/>
      <w:pPr>
        <w:ind w:left="720" w:hanging="360"/>
      </w:pPr>
      <w:rPr>
        <w:rFonts w:ascii="Symbol" w:hAnsi="Symbol"/>
      </w:rPr>
    </w:lvl>
    <w:lvl w:ilvl="6" w:tplc="AEC8A3F2">
      <w:start w:val="1"/>
      <w:numFmt w:val="bullet"/>
      <w:lvlText w:val=""/>
      <w:lvlJc w:val="left"/>
      <w:pPr>
        <w:ind w:left="720" w:hanging="360"/>
      </w:pPr>
      <w:rPr>
        <w:rFonts w:ascii="Symbol" w:hAnsi="Symbol"/>
      </w:rPr>
    </w:lvl>
    <w:lvl w:ilvl="7" w:tplc="FDA688A2">
      <w:start w:val="1"/>
      <w:numFmt w:val="bullet"/>
      <w:lvlText w:val=""/>
      <w:lvlJc w:val="left"/>
      <w:pPr>
        <w:ind w:left="720" w:hanging="360"/>
      </w:pPr>
      <w:rPr>
        <w:rFonts w:ascii="Symbol" w:hAnsi="Symbol"/>
      </w:rPr>
    </w:lvl>
    <w:lvl w:ilvl="8" w:tplc="13F64330">
      <w:start w:val="1"/>
      <w:numFmt w:val="bullet"/>
      <w:lvlText w:val=""/>
      <w:lvlJc w:val="left"/>
      <w:pPr>
        <w:ind w:left="720" w:hanging="360"/>
      </w:pPr>
      <w:rPr>
        <w:rFonts w:ascii="Symbol" w:hAnsi="Symbol"/>
      </w:rPr>
    </w:lvl>
  </w:abstractNum>
  <w:abstractNum w:abstractNumId="19" w15:restartNumberingAfterBreak="0">
    <w:nsid w:val="6FD923C7"/>
    <w:multiLevelType w:val="hybridMultilevel"/>
    <w:tmpl w:val="7C0C34C4"/>
    <w:lvl w:ilvl="0" w:tplc="78A496CA">
      <w:start w:val="1"/>
      <w:numFmt w:val="decimal"/>
      <w:lvlText w:val="(%1)"/>
      <w:lvlJc w:val="left"/>
      <w:pPr>
        <w:ind w:left="1440" w:hanging="360"/>
      </w:pPr>
    </w:lvl>
    <w:lvl w:ilvl="1" w:tplc="666EEDC6">
      <w:start w:val="1"/>
      <w:numFmt w:val="bullet"/>
      <w:lvlText w:val=""/>
      <w:lvlJc w:val="left"/>
      <w:pPr>
        <w:ind w:left="1800" w:hanging="360"/>
      </w:pPr>
      <w:rPr>
        <w:rFonts w:ascii="Symbol" w:hAnsi="Symbol"/>
      </w:rPr>
    </w:lvl>
    <w:lvl w:ilvl="2" w:tplc="4448E760">
      <w:start w:val="1"/>
      <w:numFmt w:val="decimal"/>
      <w:lvlText w:val="(%3)"/>
      <w:lvlJc w:val="left"/>
      <w:pPr>
        <w:ind w:left="1440" w:hanging="360"/>
      </w:pPr>
    </w:lvl>
    <w:lvl w:ilvl="3" w:tplc="030C44F4">
      <w:start w:val="1"/>
      <w:numFmt w:val="decimal"/>
      <w:lvlText w:val="(%4)"/>
      <w:lvlJc w:val="left"/>
      <w:pPr>
        <w:ind w:left="1440" w:hanging="360"/>
      </w:pPr>
    </w:lvl>
    <w:lvl w:ilvl="4" w:tplc="C354E5E6">
      <w:start w:val="1"/>
      <w:numFmt w:val="decimal"/>
      <w:lvlText w:val="(%5)"/>
      <w:lvlJc w:val="left"/>
      <w:pPr>
        <w:ind w:left="1440" w:hanging="360"/>
      </w:pPr>
    </w:lvl>
    <w:lvl w:ilvl="5" w:tplc="30AE04F6">
      <w:start w:val="1"/>
      <w:numFmt w:val="decimal"/>
      <w:lvlText w:val="(%6)"/>
      <w:lvlJc w:val="left"/>
      <w:pPr>
        <w:ind w:left="1440" w:hanging="360"/>
      </w:pPr>
    </w:lvl>
    <w:lvl w:ilvl="6" w:tplc="8C2AB8FE">
      <w:start w:val="1"/>
      <w:numFmt w:val="decimal"/>
      <w:lvlText w:val="(%7)"/>
      <w:lvlJc w:val="left"/>
      <w:pPr>
        <w:ind w:left="1440" w:hanging="360"/>
      </w:pPr>
    </w:lvl>
    <w:lvl w:ilvl="7" w:tplc="86308258">
      <w:start w:val="1"/>
      <w:numFmt w:val="decimal"/>
      <w:lvlText w:val="(%8)"/>
      <w:lvlJc w:val="left"/>
      <w:pPr>
        <w:ind w:left="1440" w:hanging="360"/>
      </w:pPr>
    </w:lvl>
    <w:lvl w:ilvl="8" w:tplc="D11E243C">
      <w:start w:val="1"/>
      <w:numFmt w:val="decimal"/>
      <w:lvlText w:val="(%9)"/>
      <w:lvlJc w:val="left"/>
      <w:pPr>
        <w:ind w:left="1440" w:hanging="360"/>
      </w:pPr>
    </w:lvl>
  </w:abstractNum>
  <w:abstractNum w:abstractNumId="20" w15:restartNumberingAfterBreak="0">
    <w:nsid w:val="7875648B"/>
    <w:multiLevelType w:val="hybridMultilevel"/>
    <w:tmpl w:val="DE0C1CD8"/>
    <w:lvl w:ilvl="0" w:tplc="143A65B2">
      <w:numFmt w:val="bullet"/>
      <w:lvlText w:val=""/>
      <w:lvlJc w:val="left"/>
      <w:pPr>
        <w:ind w:left="840" w:hanging="480"/>
      </w:pPr>
      <w:rPr>
        <w:rFonts w:ascii="Calibri" w:eastAsia="Calibri" w:hAnsi="Calibri" w:cs="Calibri" w:hint="default"/>
      </w:rPr>
    </w:lvl>
    <w:lvl w:ilvl="1" w:tplc="D9A6707E" w:tentative="1">
      <w:start w:val="1"/>
      <w:numFmt w:val="bullet"/>
      <w:lvlText w:val="o"/>
      <w:lvlJc w:val="left"/>
      <w:pPr>
        <w:ind w:left="1440" w:hanging="360"/>
      </w:pPr>
      <w:rPr>
        <w:rFonts w:ascii="Courier New" w:hAnsi="Courier New" w:cs="Courier New" w:hint="default"/>
      </w:rPr>
    </w:lvl>
    <w:lvl w:ilvl="2" w:tplc="086203E6" w:tentative="1">
      <w:start w:val="1"/>
      <w:numFmt w:val="bullet"/>
      <w:lvlText w:val=""/>
      <w:lvlJc w:val="left"/>
      <w:pPr>
        <w:ind w:left="2160" w:hanging="360"/>
      </w:pPr>
      <w:rPr>
        <w:rFonts w:ascii="Wingdings" w:hAnsi="Wingdings" w:hint="default"/>
      </w:rPr>
    </w:lvl>
    <w:lvl w:ilvl="3" w:tplc="05E45B6C" w:tentative="1">
      <w:start w:val="1"/>
      <w:numFmt w:val="bullet"/>
      <w:lvlText w:val=""/>
      <w:lvlJc w:val="left"/>
      <w:pPr>
        <w:ind w:left="2880" w:hanging="360"/>
      </w:pPr>
      <w:rPr>
        <w:rFonts w:ascii="Symbol" w:hAnsi="Symbol" w:hint="default"/>
      </w:rPr>
    </w:lvl>
    <w:lvl w:ilvl="4" w:tplc="909C1AFA" w:tentative="1">
      <w:start w:val="1"/>
      <w:numFmt w:val="bullet"/>
      <w:lvlText w:val="o"/>
      <w:lvlJc w:val="left"/>
      <w:pPr>
        <w:ind w:left="3600" w:hanging="360"/>
      </w:pPr>
      <w:rPr>
        <w:rFonts w:ascii="Courier New" w:hAnsi="Courier New" w:cs="Courier New" w:hint="default"/>
      </w:rPr>
    </w:lvl>
    <w:lvl w:ilvl="5" w:tplc="6C265F5A" w:tentative="1">
      <w:start w:val="1"/>
      <w:numFmt w:val="bullet"/>
      <w:lvlText w:val=""/>
      <w:lvlJc w:val="left"/>
      <w:pPr>
        <w:ind w:left="4320" w:hanging="360"/>
      </w:pPr>
      <w:rPr>
        <w:rFonts w:ascii="Wingdings" w:hAnsi="Wingdings" w:hint="default"/>
      </w:rPr>
    </w:lvl>
    <w:lvl w:ilvl="6" w:tplc="5750F552" w:tentative="1">
      <w:start w:val="1"/>
      <w:numFmt w:val="bullet"/>
      <w:lvlText w:val=""/>
      <w:lvlJc w:val="left"/>
      <w:pPr>
        <w:ind w:left="5040" w:hanging="360"/>
      </w:pPr>
      <w:rPr>
        <w:rFonts w:ascii="Symbol" w:hAnsi="Symbol" w:hint="default"/>
      </w:rPr>
    </w:lvl>
    <w:lvl w:ilvl="7" w:tplc="FAA2D042" w:tentative="1">
      <w:start w:val="1"/>
      <w:numFmt w:val="bullet"/>
      <w:lvlText w:val="o"/>
      <w:lvlJc w:val="left"/>
      <w:pPr>
        <w:ind w:left="5760" w:hanging="360"/>
      </w:pPr>
      <w:rPr>
        <w:rFonts w:ascii="Courier New" w:hAnsi="Courier New" w:cs="Courier New" w:hint="default"/>
      </w:rPr>
    </w:lvl>
    <w:lvl w:ilvl="8" w:tplc="283E4808" w:tentative="1">
      <w:start w:val="1"/>
      <w:numFmt w:val="bullet"/>
      <w:lvlText w:val=""/>
      <w:lvlJc w:val="left"/>
      <w:pPr>
        <w:ind w:left="6480" w:hanging="360"/>
      </w:pPr>
      <w:rPr>
        <w:rFonts w:ascii="Wingdings" w:hAnsi="Wingdings" w:hint="default"/>
      </w:rPr>
    </w:lvl>
  </w:abstractNum>
  <w:abstractNum w:abstractNumId="21" w15:restartNumberingAfterBreak="0">
    <w:nsid w:val="7AF2676E"/>
    <w:multiLevelType w:val="hybridMultilevel"/>
    <w:tmpl w:val="70A62808"/>
    <w:lvl w:ilvl="0" w:tplc="FEA46D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ED2B61"/>
    <w:multiLevelType w:val="multilevel"/>
    <w:tmpl w:val="A6D23D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8"/>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1296" w:hanging="936"/>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7"/>
  </w:num>
  <w:num w:numId="4">
    <w:abstractNumId w:val="2"/>
  </w:num>
  <w:num w:numId="5">
    <w:abstractNumId w:val="16"/>
  </w:num>
  <w:num w:numId="6">
    <w:abstractNumId w:val="12"/>
  </w:num>
  <w:num w:numId="7">
    <w:abstractNumId w:val="20"/>
  </w:num>
  <w:num w:numId="8">
    <w:abstractNumId w:val="1"/>
  </w:num>
  <w:num w:numId="9">
    <w:abstractNumId w:val="9"/>
  </w:num>
  <w:num w:numId="10">
    <w:abstractNumId w:val="13"/>
  </w:num>
  <w:num w:numId="11">
    <w:abstractNumId w:val="6"/>
  </w:num>
  <w:num w:numId="12">
    <w:abstractNumId w:val="10"/>
  </w:num>
  <w:num w:numId="13">
    <w:abstractNumId w:val="14"/>
  </w:num>
  <w:num w:numId="14">
    <w:abstractNumId w:val="11"/>
  </w:num>
  <w:num w:numId="15">
    <w:abstractNumId w:val="19"/>
  </w:num>
  <w:num w:numId="16">
    <w:abstractNumId w:val="3"/>
  </w:num>
  <w:num w:numId="17">
    <w:abstractNumId w:val="17"/>
  </w:num>
  <w:num w:numId="18">
    <w:abstractNumId w:val="18"/>
  </w:num>
  <w:num w:numId="19">
    <w:abstractNumId w:val="0"/>
  </w:num>
  <w:num w:numId="20">
    <w:abstractNumId w:val="4"/>
  </w:num>
  <w:num w:numId="21">
    <w:abstractNumId w:val="4"/>
    <w:lvlOverride w:ilvl="0"/>
  </w:num>
  <w:num w:numId="22">
    <w:abstractNumId w:val="4"/>
    <w:lvlOverride w:ilvl="0"/>
  </w:num>
  <w:num w:numId="23">
    <w:abstractNumId w:val="22"/>
    <w:lvlOverride w:ilvl="0"/>
  </w:num>
  <w:num w:numId="24">
    <w:abstractNumId w:val="22"/>
    <w:lvlOverride w:ilvl="0"/>
  </w:num>
  <w:num w:numId="25">
    <w:abstractNumId w:val="15"/>
  </w:num>
  <w:num w:numId="26">
    <w:abstractNumId w:val="21"/>
  </w:num>
  <w:num w:numId="2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0&lt;/Enabled&gt;&lt;ScanUnformatted&gt;1&lt;/ScanUnformatted&gt;&lt;ScanChanges&gt;1&lt;/ScanChanges&gt;&lt;Suspended&gt;0&lt;/Suspended&gt;&lt;/ENInstantFormat&gt;"/>
    <w:docVar w:name="EN.Layout" w:val="&lt;ENLayout&gt;&lt;Style&gt;Vancouver-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5pszst5tr0vgedeaupfpdwxsdt920dazas&quot;&gt;paper3_Jove&lt;record-ids&gt;&lt;item&gt;13&lt;/item&gt;&lt;item&gt;24&lt;/item&gt;&lt;item&gt;25&lt;/item&gt;&lt;item&gt;29&lt;/item&gt;&lt;item&gt;31&lt;/item&gt;&lt;item&gt;34&lt;/item&gt;&lt;item&gt;38&lt;/item&gt;&lt;item&gt;40&lt;/item&gt;&lt;item&gt;44&lt;/item&gt;&lt;item&gt;45&lt;/item&gt;&lt;item&gt;69&lt;/item&gt;&lt;item&gt;105&lt;/item&gt;&lt;item&gt;176&lt;/item&gt;&lt;item&gt;177&lt;/item&gt;&lt;item&gt;191&lt;/item&gt;&lt;item&gt;200&lt;/item&gt;&lt;item&gt;202&lt;/item&gt;&lt;item&gt;237&lt;/item&gt;&lt;item&gt;257&lt;/item&gt;&lt;item&gt;266&lt;/item&gt;&lt;item&gt;267&lt;/item&gt;&lt;item&gt;268&lt;/item&gt;&lt;item&gt;269&lt;/item&gt;&lt;item&gt;270&lt;/item&gt;&lt;item&gt;271&lt;/item&gt;&lt;item&gt;272&lt;/item&gt;&lt;item&gt;273&lt;/item&gt;&lt;item&gt;274&lt;/item&gt;&lt;item&gt;275&lt;/item&gt;&lt;item&gt;276&lt;/item&gt;&lt;/record-ids&gt;&lt;/item&gt;&lt;/Libraries&gt;"/>
  </w:docVars>
  <w:rsids>
    <w:rsidRoot w:val="006E4797"/>
    <w:rsid w:val="0000089E"/>
    <w:rsid w:val="000008B6"/>
    <w:rsid w:val="0000433E"/>
    <w:rsid w:val="0000515B"/>
    <w:rsid w:val="00005FB3"/>
    <w:rsid w:val="00006DC0"/>
    <w:rsid w:val="00007A1C"/>
    <w:rsid w:val="00011457"/>
    <w:rsid w:val="000123AB"/>
    <w:rsid w:val="00012B19"/>
    <w:rsid w:val="00013572"/>
    <w:rsid w:val="00013652"/>
    <w:rsid w:val="000142A1"/>
    <w:rsid w:val="00015846"/>
    <w:rsid w:val="00022E6E"/>
    <w:rsid w:val="00023947"/>
    <w:rsid w:val="00023CE7"/>
    <w:rsid w:val="00025705"/>
    <w:rsid w:val="00025D1B"/>
    <w:rsid w:val="0002627D"/>
    <w:rsid w:val="0003096F"/>
    <w:rsid w:val="00030AC5"/>
    <w:rsid w:val="000316B1"/>
    <w:rsid w:val="0003457C"/>
    <w:rsid w:val="00034DD1"/>
    <w:rsid w:val="0003640C"/>
    <w:rsid w:val="00036CBD"/>
    <w:rsid w:val="00041E6B"/>
    <w:rsid w:val="0004355D"/>
    <w:rsid w:val="00044A08"/>
    <w:rsid w:val="00046A6F"/>
    <w:rsid w:val="00051C44"/>
    <w:rsid w:val="000560E5"/>
    <w:rsid w:val="00057B67"/>
    <w:rsid w:val="00060AC6"/>
    <w:rsid w:val="00061217"/>
    <w:rsid w:val="00061E0E"/>
    <w:rsid w:val="00061F3B"/>
    <w:rsid w:val="00062AC5"/>
    <w:rsid w:val="0006583C"/>
    <w:rsid w:val="00066F32"/>
    <w:rsid w:val="00067BD1"/>
    <w:rsid w:val="000707E1"/>
    <w:rsid w:val="00070C89"/>
    <w:rsid w:val="00071E3A"/>
    <w:rsid w:val="0007506F"/>
    <w:rsid w:val="00076815"/>
    <w:rsid w:val="00077517"/>
    <w:rsid w:val="00077EE6"/>
    <w:rsid w:val="00081F44"/>
    <w:rsid w:val="00082A5F"/>
    <w:rsid w:val="00082F9E"/>
    <w:rsid w:val="000860BA"/>
    <w:rsid w:val="000869A7"/>
    <w:rsid w:val="00087C4C"/>
    <w:rsid w:val="00092098"/>
    <w:rsid w:val="000930DF"/>
    <w:rsid w:val="00094518"/>
    <w:rsid w:val="00096F9D"/>
    <w:rsid w:val="00097255"/>
    <w:rsid w:val="000A0086"/>
    <w:rsid w:val="000A3CF6"/>
    <w:rsid w:val="000A414F"/>
    <w:rsid w:val="000A5E81"/>
    <w:rsid w:val="000A7E31"/>
    <w:rsid w:val="000B41B6"/>
    <w:rsid w:val="000B507E"/>
    <w:rsid w:val="000B5A9A"/>
    <w:rsid w:val="000B6B16"/>
    <w:rsid w:val="000B6E55"/>
    <w:rsid w:val="000B7AFC"/>
    <w:rsid w:val="000C647B"/>
    <w:rsid w:val="000C73F7"/>
    <w:rsid w:val="000D0F54"/>
    <w:rsid w:val="000D2982"/>
    <w:rsid w:val="000D3211"/>
    <w:rsid w:val="000D425A"/>
    <w:rsid w:val="000E04D3"/>
    <w:rsid w:val="000E2ABF"/>
    <w:rsid w:val="000E3F21"/>
    <w:rsid w:val="000E4B8D"/>
    <w:rsid w:val="000E4C51"/>
    <w:rsid w:val="000E7793"/>
    <w:rsid w:val="000E789D"/>
    <w:rsid w:val="000F0C1C"/>
    <w:rsid w:val="000F0D54"/>
    <w:rsid w:val="000F2228"/>
    <w:rsid w:val="000F2E41"/>
    <w:rsid w:val="000F54EC"/>
    <w:rsid w:val="0010270F"/>
    <w:rsid w:val="001110E3"/>
    <w:rsid w:val="001122EC"/>
    <w:rsid w:val="001149CB"/>
    <w:rsid w:val="0011616C"/>
    <w:rsid w:val="00123CE2"/>
    <w:rsid w:val="00136A64"/>
    <w:rsid w:val="00136D64"/>
    <w:rsid w:val="001460A3"/>
    <w:rsid w:val="00147CBA"/>
    <w:rsid w:val="00147F92"/>
    <w:rsid w:val="0015327B"/>
    <w:rsid w:val="00153467"/>
    <w:rsid w:val="001605A7"/>
    <w:rsid w:val="00160E07"/>
    <w:rsid w:val="001624E4"/>
    <w:rsid w:val="00162804"/>
    <w:rsid w:val="00162929"/>
    <w:rsid w:val="001629EF"/>
    <w:rsid w:val="0016745E"/>
    <w:rsid w:val="00167647"/>
    <w:rsid w:val="00167E05"/>
    <w:rsid w:val="00172D8D"/>
    <w:rsid w:val="00175563"/>
    <w:rsid w:val="00175C40"/>
    <w:rsid w:val="001806C9"/>
    <w:rsid w:val="00181A81"/>
    <w:rsid w:val="001828BD"/>
    <w:rsid w:val="00182ECF"/>
    <w:rsid w:val="0018412F"/>
    <w:rsid w:val="0018505F"/>
    <w:rsid w:val="00187CF3"/>
    <w:rsid w:val="001946C2"/>
    <w:rsid w:val="00194C04"/>
    <w:rsid w:val="00194CE8"/>
    <w:rsid w:val="001959A2"/>
    <w:rsid w:val="001A1CA1"/>
    <w:rsid w:val="001A2930"/>
    <w:rsid w:val="001A3D0F"/>
    <w:rsid w:val="001A5A53"/>
    <w:rsid w:val="001A7100"/>
    <w:rsid w:val="001A797A"/>
    <w:rsid w:val="001B5E6C"/>
    <w:rsid w:val="001B68B3"/>
    <w:rsid w:val="001B747E"/>
    <w:rsid w:val="001C078C"/>
    <w:rsid w:val="001C1D38"/>
    <w:rsid w:val="001C1D7B"/>
    <w:rsid w:val="001C3E96"/>
    <w:rsid w:val="001C4861"/>
    <w:rsid w:val="001C5C4D"/>
    <w:rsid w:val="001C5D9A"/>
    <w:rsid w:val="001C60D8"/>
    <w:rsid w:val="001C60E0"/>
    <w:rsid w:val="001C6D97"/>
    <w:rsid w:val="001C6E64"/>
    <w:rsid w:val="001C6FFA"/>
    <w:rsid w:val="001C7F93"/>
    <w:rsid w:val="001D1578"/>
    <w:rsid w:val="001D1B04"/>
    <w:rsid w:val="001D1E3F"/>
    <w:rsid w:val="001D2376"/>
    <w:rsid w:val="001D3FC9"/>
    <w:rsid w:val="001D5A94"/>
    <w:rsid w:val="001D6B9A"/>
    <w:rsid w:val="001E0105"/>
    <w:rsid w:val="001E0B98"/>
    <w:rsid w:val="001E44F9"/>
    <w:rsid w:val="001E4860"/>
    <w:rsid w:val="001E548B"/>
    <w:rsid w:val="001E7DBB"/>
    <w:rsid w:val="001F0248"/>
    <w:rsid w:val="001F1D8C"/>
    <w:rsid w:val="001F2878"/>
    <w:rsid w:val="001F3109"/>
    <w:rsid w:val="001F5044"/>
    <w:rsid w:val="00200B78"/>
    <w:rsid w:val="00201650"/>
    <w:rsid w:val="0020415A"/>
    <w:rsid w:val="00205564"/>
    <w:rsid w:val="00210DD6"/>
    <w:rsid w:val="00214319"/>
    <w:rsid w:val="002160B0"/>
    <w:rsid w:val="002166FE"/>
    <w:rsid w:val="00216774"/>
    <w:rsid w:val="002231A8"/>
    <w:rsid w:val="00224934"/>
    <w:rsid w:val="00225C13"/>
    <w:rsid w:val="0022637F"/>
    <w:rsid w:val="00231F3E"/>
    <w:rsid w:val="0023296D"/>
    <w:rsid w:val="00232DDC"/>
    <w:rsid w:val="00233303"/>
    <w:rsid w:val="00236BC3"/>
    <w:rsid w:val="00237CF4"/>
    <w:rsid w:val="0024404C"/>
    <w:rsid w:val="002451C3"/>
    <w:rsid w:val="00247420"/>
    <w:rsid w:val="00250C0A"/>
    <w:rsid w:val="00252077"/>
    <w:rsid w:val="00252F19"/>
    <w:rsid w:val="00253410"/>
    <w:rsid w:val="0025604A"/>
    <w:rsid w:val="00256D89"/>
    <w:rsid w:val="00257A85"/>
    <w:rsid w:val="00257E0E"/>
    <w:rsid w:val="00260F70"/>
    <w:rsid w:val="0026193B"/>
    <w:rsid w:val="002623C6"/>
    <w:rsid w:val="002635F4"/>
    <w:rsid w:val="00263A80"/>
    <w:rsid w:val="00273687"/>
    <w:rsid w:val="00273EDD"/>
    <w:rsid w:val="00276AE8"/>
    <w:rsid w:val="00277827"/>
    <w:rsid w:val="0028140A"/>
    <w:rsid w:val="0028533F"/>
    <w:rsid w:val="002865DC"/>
    <w:rsid w:val="00294DE0"/>
    <w:rsid w:val="002A0904"/>
    <w:rsid w:val="002A0B7A"/>
    <w:rsid w:val="002A1878"/>
    <w:rsid w:val="002A3D50"/>
    <w:rsid w:val="002A4CF3"/>
    <w:rsid w:val="002A6A8F"/>
    <w:rsid w:val="002A77F3"/>
    <w:rsid w:val="002B116C"/>
    <w:rsid w:val="002B6F93"/>
    <w:rsid w:val="002C1287"/>
    <w:rsid w:val="002C52BC"/>
    <w:rsid w:val="002C68CA"/>
    <w:rsid w:val="002C7153"/>
    <w:rsid w:val="002D260C"/>
    <w:rsid w:val="002D401A"/>
    <w:rsid w:val="002D5D98"/>
    <w:rsid w:val="002D5F70"/>
    <w:rsid w:val="002E2E62"/>
    <w:rsid w:val="002E31BF"/>
    <w:rsid w:val="002E6CD4"/>
    <w:rsid w:val="002E6FC1"/>
    <w:rsid w:val="002E70CF"/>
    <w:rsid w:val="002E7D89"/>
    <w:rsid w:val="00301EB1"/>
    <w:rsid w:val="00302CD6"/>
    <w:rsid w:val="0030510A"/>
    <w:rsid w:val="003065DE"/>
    <w:rsid w:val="00311D7C"/>
    <w:rsid w:val="003146D2"/>
    <w:rsid w:val="00315EF3"/>
    <w:rsid w:val="0031658E"/>
    <w:rsid w:val="00317A5C"/>
    <w:rsid w:val="00320E13"/>
    <w:rsid w:val="003253ED"/>
    <w:rsid w:val="00325CCB"/>
    <w:rsid w:val="00327293"/>
    <w:rsid w:val="00327A0C"/>
    <w:rsid w:val="00331DA4"/>
    <w:rsid w:val="00333D4B"/>
    <w:rsid w:val="003342AA"/>
    <w:rsid w:val="00335D85"/>
    <w:rsid w:val="0034122A"/>
    <w:rsid w:val="00343E5D"/>
    <w:rsid w:val="00345A90"/>
    <w:rsid w:val="00351087"/>
    <w:rsid w:val="00353526"/>
    <w:rsid w:val="003548DA"/>
    <w:rsid w:val="00356228"/>
    <w:rsid w:val="003567F1"/>
    <w:rsid w:val="00356880"/>
    <w:rsid w:val="00361A3A"/>
    <w:rsid w:val="0036247D"/>
    <w:rsid w:val="00363F47"/>
    <w:rsid w:val="00364C72"/>
    <w:rsid w:val="00367BFD"/>
    <w:rsid w:val="00370223"/>
    <w:rsid w:val="00373F16"/>
    <w:rsid w:val="0037566D"/>
    <w:rsid w:val="003759B8"/>
    <w:rsid w:val="00375D1D"/>
    <w:rsid w:val="0038181D"/>
    <w:rsid w:val="0038243D"/>
    <w:rsid w:val="00384302"/>
    <w:rsid w:val="00387CDA"/>
    <w:rsid w:val="00387FC3"/>
    <w:rsid w:val="00391FA3"/>
    <w:rsid w:val="00396694"/>
    <w:rsid w:val="003A23CE"/>
    <w:rsid w:val="003A34DA"/>
    <w:rsid w:val="003A451C"/>
    <w:rsid w:val="003A510B"/>
    <w:rsid w:val="003A5297"/>
    <w:rsid w:val="003A6946"/>
    <w:rsid w:val="003B02DC"/>
    <w:rsid w:val="003B16CD"/>
    <w:rsid w:val="003B32CC"/>
    <w:rsid w:val="003B5FC9"/>
    <w:rsid w:val="003B70F2"/>
    <w:rsid w:val="003C0517"/>
    <w:rsid w:val="003C0BA9"/>
    <w:rsid w:val="003C32DB"/>
    <w:rsid w:val="003C4BD6"/>
    <w:rsid w:val="003C5208"/>
    <w:rsid w:val="003D0CE8"/>
    <w:rsid w:val="003D153F"/>
    <w:rsid w:val="003D5CA6"/>
    <w:rsid w:val="003D67E2"/>
    <w:rsid w:val="003D719C"/>
    <w:rsid w:val="003E1A3D"/>
    <w:rsid w:val="003E45C3"/>
    <w:rsid w:val="003E50AE"/>
    <w:rsid w:val="003E568A"/>
    <w:rsid w:val="003F0233"/>
    <w:rsid w:val="003F182C"/>
    <w:rsid w:val="003F1D03"/>
    <w:rsid w:val="003F5389"/>
    <w:rsid w:val="003F617E"/>
    <w:rsid w:val="0040137C"/>
    <w:rsid w:val="00404824"/>
    <w:rsid w:val="0040579A"/>
    <w:rsid w:val="00406E4F"/>
    <w:rsid w:val="00406EAA"/>
    <w:rsid w:val="0040757C"/>
    <w:rsid w:val="00410850"/>
    <w:rsid w:val="004135A5"/>
    <w:rsid w:val="00414ADE"/>
    <w:rsid w:val="00416A5B"/>
    <w:rsid w:val="0042115C"/>
    <w:rsid w:val="0042286E"/>
    <w:rsid w:val="0042669C"/>
    <w:rsid w:val="0042713A"/>
    <w:rsid w:val="00427BF0"/>
    <w:rsid w:val="0043219E"/>
    <w:rsid w:val="00435A43"/>
    <w:rsid w:val="00435B14"/>
    <w:rsid w:val="004361C8"/>
    <w:rsid w:val="00436F4D"/>
    <w:rsid w:val="004417A9"/>
    <w:rsid w:val="00441911"/>
    <w:rsid w:val="0044581B"/>
    <w:rsid w:val="004479F4"/>
    <w:rsid w:val="00451A9F"/>
    <w:rsid w:val="00453CEA"/>
    <w:rsid w:val="00453D79"/>
    <w:rsid w:val="004572AB"/>
    <w:rsid w:val="0045739F"/>
    <w:rsid w:val="0045763C"/>
    <w:rsid w:val="004620C9"/>
    <w:rsid w:val="0046524C"/>
    <w:rsid w:val="00467335"/>
    <w:rsid w:val="004705F3"/>
    <w:rsid w:val="00470E83"/>
    <w:rsid w:val="00474BD9"/>
    <w:rsid w:val="00475A00"/>
    <w:rsid w:val="00475AAB"/>
    <w:rsid w:val="0048279F"/>
    <w:rsid w:val="00485A2E"/>
    <w:rsid w:val="004862DD"/>
    <w:rsid w:val="00487CE9"/>
    <w:rsid w:val="0049024C"/>
    <w:rsid w:val="0049177C"/>
    <w:rsid w:val="0049389D"/>
    <w:rsid w:val="004939EE"/>
    <w:rsid w:val="00495578"/>
    <w:rsid w:val="004969D3"/>
    <w:rsid w:val="004A0D7C"/>
    <w:rsid w:val="004A2661"/>
    <w:rsid w:val="004A5CC6"/>
    <w:rsid w:val="004A6DC5"/>
    <w:rsid w:val="004A72AE"/>
    <w:rsid w:val="004B3BAB"/>
    <w:rsid w:val="004B3CDD"/>
    <w:rsid w:val="004B4553"/>
    <w:rsid w:val="004B5D76"/>
    <w:rsid w:val="004B6ABA"/>
    <w:rsid w:val="004C0985"/>
    <w:rsid w:val="004C09A0"/>
    <w:rsid w:val="004C3C64"/>
    <w:rsid w:val="004C5756"/>
    <w:rsid w:val="004C723D"/>
    <w:rsid w:val="004C78BD"/>
    <w:rsid w:val="004D362E"/>
    <w:rsid w:val="004E26F0"/>
    <w:rsid w:val="004E59D6"/>
    <w:rsid w:val="004F0288"/>
    <w:rsid w:val="004F5654"/>
    <w:rsid w:val="004F6A1B"/>
    <w:rsid w:val="004F6AD9"/>
    <w:rsid w:val="004F6D55"/>
    <w:rsid w:val="004F6E35"/>
    <w:rsid w:val="004F6EB2"/>
    <w:rsid w:val="004F70A4"/>
    <w:rsid w:val="004F7F40"/>
    <w:rsid w:val="00500831"/>
    <w:rsid w:val="00506DA4"/>
    <w:rsid w:val="00507138"/>
    <w:rsid w:val="00510779"/>
    <w:rsid w:val="00511373"/>
    <w:rsid w:val="00511E23"/>
    <w:rsid w:val="00513CCF"/>
    <w:rsid w:val="00514B95"/>
    <w:rsid w:val="00515FC5"/>
    <w:rsid w:val="00516914"/>
    <w:rsid w:val="00521086"/>
    <w:rsid w:val="005238C1"/>
    <w:rsid w:val="00523BB2"/>
    <w:rsid w:val="005327B4"/>
    <w:rsid w:val="00545763"/>
    <w:rsid w:val="005466D6"/>
    <w:rsid w:val="005471E4"/>
    <w:rsid w:val="00547C51"/>
    <w:rsid w:val="00550244"/>
    <w:rsid w:val="00551159"/>
    <w:rsid w:val="00551D82"/>
    <w:rsid w:val="0055253F"/>
    <w:rsid w:val="00552580"/>
    <w:rsid w:val="0055344F"/>
    <w:rsid w:val="005558B5"/>
    <w:rsid w:val="00556CB6"/>
    <w:rsid w:val="005571A2"/>
    <w:rsid w:val="00561511"/>
    <w:rsid w:val="00561BB6"/>
    <w:rsid w:val="00562A12"/>
    <w:rsid w:val="00562C39"/>
    <w:rsid w:val="0057163E"/>
    <w:rsid w:val="005734D7"/>
    <w:rsid w:val="00574F21"/>
    <w:rsid w:val="00575E55"/>
    <w:rsid w:val="00581D82"/>
    <w:rsid w:val="00584A70"/>
    <w:rsid w:val="00585BF5"/>
    <w:rsid w:val="00590E1E"/>
    <w:rsid w:val="005910B5"/>
    <w:rsid w:val="0059431B"/>
    <w:rsid w:val="005A0AFE"/>
    <w:rsid w:val="005A3C9F"/>
    <w:rsid w:val="005A637B"/>
    <w:rsid w:val="005B3450"/>
    <w:rsid w:val="005B7F08"/>
    <w:rsid w:val="005C1E15"/>
    <w:rsid w:val="005C218C"/>
    <w:rsid w:val="005C3121"/>
    <w:rsid w:val="005C4318"/>
    <w:rsid w:val="005C61BD"/>
    <w:rsid w:val="005C7629"/>
    <w:rsid w:val="005D0488"/>
    <w:rsid w:val="005D0B48"/>
    <w:rsid w:val="005D1DEF"/>
    <w:rsid w:val="005D30D1"/>
    <w:rsid w:val="005D3EC7"/>
    <w:rsid w:val="005D740D"/>
    <w:rsid w:val="005D7D49"/>
    <w:rsid w:val="005E1EE7"/>
    <w:rsid w:val="005E2A44"/>
    <w:rsid w:val="005E76BE"/>
    <w:rsid w:val="005E7B92"/>
    <w:rsid w:val="005F071A"/>
    <w:rsid w:val="005F15DA"/>
    <w:rsid w:val="005F1CFC"/>
    <w:rsid w:val="005F5284"/>
    <w:rsid w:val="00604100"/>
    <w:rsid w:val="00605D6B"/>
    <w:rsid w:val="00612951"/>
    <w:rsid w:val="00614095"/>
    <w:rsid w:val="00614C22"/>
    <w:rsid w:val="00615035"/>
    <w:rsid w:val="006167C9"/>
    <w:rsid w:val="00616DC5"/>
    <w:rsid w:val="0062073F"/>
    <w:rsid w:val="00620842"/>
    <w:rsid w:val="00621545"/>
    <w:rsid w:val="00622578"/>
    <w:rsid w:val="006239A1"/>
    <w:rsid w:val="00627AB9"/>
    <w:rsid w:val="00630487"/>
    <w:rsid w:val="00633867"/>
    <w:rsid w:val="006344F4"/>
    <w:rsid w:val="00634672"/>
    <w:rsid w:val="00635012"/>
    <w:rsid w:val="0063658D"/>
    <w:rsid w:val="00643119"/>
    <w:rsid w:val="00646B50"/>
    <w:rsid w:val="00647209"/>
    <w:rsid w:val="00647520"/>
    <w:rsid w:val="00652BA2"/>
    <w:rsid w:val="006540D1"/>
    <w:rsid w:val="006541DA"/>
    <w:rsid w:val="0065601A"/>
    <w:rsid w:val="00663977"/>
    <w:rsid w:val="00663B74"/>
    <w:rsid w:val="00663CFB"/>
    <w:rsid w:val="0066594D"/>
    <w:rsid w:val="00665BF6"/>
    <w:rsid w:val="006673B2"/>
    <w:rsid w:val="006677D2"/>
    <w:rsid w:val="006744D7"/>
    <w:rsid w:val="006755EE"/>
    <w:rsid w:val="0067687F"/>
    <w:rsid w:val="006809D8"/>
    <w:rsid w:val="00681749"/>
    <w:rsid w:val="006824BF"/>
    <w:rsid w:val="00682951"/>
    <w:rsid w:val="00682C31"/>
    <w:rsid w:val="0068305F"/>
    <w:rsid w:val="006831C7"/>
    <w:rsid w:val="006869B0"/>
    <w:rsid w:val="00690403"/>
    <w:rsid w:val="0069144E"/>
    <w:rsid w:val="0069145B"/>
    <w:rsid w:val="006915AD"/>
    <w:rsid w:val="0069512C"/>
    <w:rsid w:val="006A0563"/>
    <w:rsid w:val="006A05D1"/>
    <w:rsid w:val="006A49AB"/>
    <w:rsid w:val="006A5F5A"/>
    <w:rsid w:val="006A6821"/>
    <w:rsid w:val="006A7FB2"/>
    <w:rsid w:val="006B0C8C"/>
    <w:rsid w:val="006B21EE"/>
    <w:rsid w:val="006B3CD7"/>
    <w:rsid w:val="006C0AB2"/>
    <w:rsid w:val="006C2171"/>
    <w:rsid w:val="006E2B01"/>
    <w:rsid w:val="006E30EB"/>
    <w:rsid w:val="006E4260"/>
    <w:rsid w:val="006E4797"/>
    <w:rsid w:val="006E7C64"/>
    <w:rsid w:val="006F1D62"/>
    <w:rsid w:val="006F3706"/>
    <w:rsid w:val="006F552C"/>
    <w:rsid w:val="006F7460"/>
    <w:rsid w:val="00700865"/>
    <w:rsid w:val="00702ADE"/>
    <w:rsid w:val="00703254"/>
    <w:rsid w:val="0070444F"/>
    <w:rsid w:val="00706043"/>
    <w:rsid w:val="00706F1C"/>
    <w:rsid w:val="0070726B"/>
    <w:rsid w:val="00711328"/>
    <w:rsid w:val="00713C96"/>
    <w:rsid w:val="00714BE0"/>
    <w:rsid w:val="007159BD"/>
    <w:rsid w:val="00715C80"/>
    <w:rsid w:val="007209F2"/>
    <w:rsid w:val="00720AF7"/>
    <w:rsid w:val="00720C6C"/>
    <w:rsid w:val="007212A5"/>
    <w:rsid w:val="00724D01"/>
    <w:rsid w:val="00732366"/>
    <w:rsid w:val="00736371"/>
    <w:rsid w:val="00742177"/>
    <w:rsid w:val="007433CF"/>
    <w:rsid w:val="00744629"/>
    <w:rsid w:val="00745270"/>
    <w:rsid w:val="00750970"/>
    <w:rsid w:val="00750D5D"/>
    <w:rsid w:val="007518A8"/>
    <w:rsid w:val="00751D3D"/>
    <w:rsid w:val="007566A2"/>
    <w:rsid w:val="0075780D"/>
    <w:rsid w:val="00757B35"/>
    <w:rsid w:val="007625B0"/>
    <w:rsid w:val="007639FE"/>
    <w:rsid w:val="0076406B"/>
    <w:rsid w:val="00765EB1"/>
    <w:rsid w:val="00766407"/>
    <w:rsid w:val="007734B0"/>
    <w:rsid w:val="00781E77"/>
    <w:rsid w:val="0078449C"/>
    <w:rsid w:val="00784D8E"/>
    <w:rsid w:val="00785546"/>
    <w:rsid w:val="00785E97"/>
    <w:rsid w:val="0078616E"/>
    <w:rsid w:val="007931BF"/>
    <w:rsid w:val="0079398B"/>
    <w:rsid w:val="0079655D"/>
    <w:rsid w:val="00797C1E"/>
    <w:rsid w:val="007A0840"/>
    <w:rsid w:val="007A19C5"/>
    <w:rsid w:val="007A4981"/>
    <w:rsid w:val="007A4BBA"/>
    <w:rsid w:val="007A5E68"/>
    <w:rsid w:val="007A7071"/>
    <w:rsid w:val="007B27DC"/>
    <w:rsid w:val="007B488F"/>
    <w:rsid w:val="007B5487"/>
    <w:rsid w:val="007B5DD2"/>
    <w:rsid w:val="007B6BC7"/>
    <w:rsid w:val="007B72A4"/>
    <w:rsid w:val="007B73CD"/>
    <w:rsid w:val="007C0E83"/>
    <w:rsid w:val="007C160E"/>
    <w:rsid w:val="007C1D40"/>
    <w:rsid w:val="007C3271"/>
    <w:rsid w:val="007D040F"/>
    <w:rsid w:val="007D05EB"/>
    <w:rsid w:val="007D1FA4"/>
    <w:rsid w:val="007D6BE0"/>
    <w:rsid w:val="007D6FA8"/>
    <w:rsid w:val="007E1447"/>
    <w:rsid w:val="007E15B7"/>
    <w:rsid w:val="007E32E2"/>
    <w:rsid w:val="007E4FEB"/>
    <w:rsid w:val="007E59B3"/>
    <w:rsid w:val="007E5C40"/>
    <w:rsid w:val="007E7D27"/>
    <w:rsid w:val="007F13E9"/>
    <w:rsid w:val="007F2030"/>
    <w:rsid w:val="007F4838"/>
    <w:rsid w:val="007F5CBC"/>
    <w:rsid w:val="007F5EB0"/>
    <w:rsid w:val="007F7DEC"/>
    <w:rsid w:val="00803174"/>
    <w:rsid w:val="00805986"/>
    <w:rsid w:val="008100B6"/>
    <w:rsid w:val="00811D1E"/>
    <w:rsid w:val="0081403A"/>
    <w:rsid w:val="00815C29"/>
    <w:rsid w:val="00824C2B"/>
    <w:rsid w:val="00824D5C"/>
    <w:rsid w:val="00825CE9"/>
    <w:rsid w:val="00830B27"/>
    <w:rsid w:val="00831ACB"/>
    <w:rsid w:val="00833B96"/>
    <w:rsid w:val="00834B3B"/>
    <w:rsid w:val="00840897"/>
    <w:rsid w:val="008425A4"/>
    <w:rsid w:val="00845A1B"/>
    <w:rsid w:val="008461C6"/>
    <w:rsid w:val="0084657B"/>
    <w:rsid w:val="00847017"/>
    <w:rsid w:val="008514E1"/>
    <w:rsid w:val="00852431"/>
    <w:rsid w:val="00853D48"/>
    <w:rsid w:val="0085421A"/>
    <w:rsid w:val="00854D41"/>
    <w:rsid w:val="0085548D"/>
    <w:rsid w:val="00855C4C"/>
    <w:rsid w:val="00861F53"/>
    <w:rsid w:val="00871986"/>
    <w:rsid w:val="00871C40"/>
    <w:rsid w:val="00872C6A"/>
    <w:rsid w:val="008763B9"/>
    <w:rsid w:val="0088144B"/>
    <w:rsid w:val="00881CB0"/>
    <w:rsid w:val="008849AD"/>
    <w:rsid w:val="0088644A"/>
    <w:rsid w:val="00893A1A"/>
    <w:rsid w:val="008A34A8"/>
    <w:rsid w:val="008A4859"/>
    <w:rsid w:val="008A4C5A"/>
    <w:rsid w:val="008A7A39"/>
    <w:rsid w:val="008A7CA8"/>
    <w:rsid w:val="008B0AAF"/>
    <w:rsid w:val="008B2D50"/>
    <w:rsid w:val="008B2F69"/>
    <w:rsid w:val="008B35D2"/>
    <w:rsid w:val="008B440D"/>
    <w:rsid w:val="008C52EE"/>
    <w:rsid w:val="008C56EC"/>
    <w:rsid w:val="008C6712"/>
    <w:rsid w:val="008C7A68"/>
    <w:rsid w:val="008D0A30"/>
    <w:rsid w:val="008D293E"/>
    <w:rsid w:val="008D2CDF"/>
    <w:rsid w:val="008D5776"/>
    <w:rsid w:val="008D58F2"/>
    <w:rsid w:val="008E01FC"/>
    <w:rsid w:val="008E19AC"/>
    <w:rsid w:val="008E5B63"/>
    <w:rsid w:val="008F0645"/>
    <w:rsid w:val="008F0CAC"/>
    <w:rsid w:val="008F11A9"/>
    <w:rsid w:val="008F11F2"/>
    <w:rsid w:val="008F275F"/>
    <w:rsid w:val="008F442E"/>
    <w:rsid w:val="008F4BA9"/>
    <w:rsid w:val="008F4E1F"/>
    <w:rsid w:val="008F5D50"/>
    <w:rsid w:val="008F615D"/>
    <w:rsid w:val="00901C81"/>
    <w:rsid w:val="00905214"/>
    <w:rsid w:val="00907CC1"/>
    <w:rsid w:val="00910C9F"/>
    <w:rsid w:val="00910E29"/>
    <w:rsid w:val="00911A64"/>
    <w:rsid w:val="00911EF7"/>
    <w:rsid w:val="00912FBD"/>
    <w:rsid w:val="00914204"/>
    <w:rsid w:val="00915FD0"/>
    <w:rsid w:val="0091626D"/>
    <w:rsid w:val="009169D3"/>
    <w:rsid w:val="00916D61"/>
    <w:rsid w:val="00916F10"/>
    <w:rsid w:val="00920AED"/>
    <w:rsid w:val="00922729"/>
    <w:rsid w:val="00922808"/>
    <w:rsid w:val="009305C8"/>
    <w:rsid w:val="00930D39"/>
    <w:rsid w:val="00930F12"/>
    <w:rsid w:val="00934279"/>
    <w:rsid w:val="00936E08"/>
    <w:rsid w:val="00940108"/>
    <w:rsid w:val="009409EA"/>
    <w:rsid w:val="009414F7"/>
    <w:rsid w:val="0096118B"/>
    <w:rsid w:val="009659F3"/>
    <w:rsid w:val="00966ADB"/>
    <w:rsid w:val="0096744D"/>
    <w:rsid w:val="00974379"/>
    <w:rsid w:val="00976D83"/>
    <w:rsid w:val="00982C83"/>
    <w:rsid w:val="0098424A"/>
    <w:rsid w:val="00986C22"/>
    <w:rsid w:val="00987DA7"/>
    <w:rsid w:val="0099093E"/>
    <w:rsid w:val="0099323A"/>
    <w:rsid w:val="00993DA8"/>
    <w:rsid w:val="00994F50"/>
    <w:rsid w:val="00996659"/>
    <w:rsid w:val="009977CA"/>
    <w:rsid w:val="009A42AA"/>
    <w:rsid w:val="009A544C"/>
    <w:rsid w:val="009B0030"/>
    <w:rsid w:val="009B224A"/>
    <w:rsid w:val="009B3EF8"/>
    <w:rsid w:val="009B4D94"/>
    <w:rsid w:val="009B5416"/>
    <w:rsid w:val="009B7B20"/>
    <w:rsid w:val="009C2ADC"/>
    <w:rsid w:val="009C5A39"/>
    <w:rsid w:val="009C71FE"/>
    <w:rsid w:val="009D0604"/>
    <w:rsid w:val="009D1C1B"/>
    <w:rsid w:val="009D23E0"/>
    <w:rsid w:val="009D2946"/>
    <w:rsid w:val="009D569B"/>
    <w:rsid w:val="009D7E80"/>
    <w:rsid w:val="009E07CA"/>
    <w:rsid w:val="009E44B6"/>
    <w:rsid w:val="009E63B2"/>
    <w:rsid w:val="009E72FB"/>
    <w:rsid w:val="009F0642"/>
    <w:rsid w:val="009F3568"/>
    <w:rsid w:val="009F6398"/>
    <w:rsid w:val="00A02B2F"/>
    <w:rsid w:val="00A10E70"/>
    <w:rsid w:val="00A112FE"/>
    <w:rsid w:val="00A14500"/>
    <w:rsid w:val="00A1684A"/>
    <w:rsid w:val="00A1749A"/>
    <w:rsid w:val="00A22AC6"/>
    <w:rsid w:val="00A32C23"/>
    <w:rsid w:val="00A337E3"/>
    <w:rsid w:val="00A33F22"/>
    <w:rsid w:val="00A34D1C"/>
    <w:rsid w:val="00A3525A"/>
    <w:rsid w:val="00A35853"/>
    <w:rsid w:val="00A3623F"/>
    <w:rsid w:val="00A3681C"/>
    <w:rsid w:val="00A4227A"/>
    <w:rsid w:val="00A45415"/>
    <w:rsid w:val="00A45714"/>
    <w:rsid w:val="00A510A9"/>
    <w:rsid w:val="00A61595"/>
    <w:rsid w:val="00A61636"/>
    <w:rsid w:val="00A624BE"/>
    <w:rsid w:val="00A631D5"/>
    <w:rsid w:val="00A6524D"/>
    <w:rsid w:val="00A676AD"/>
    <w:rsid w:val="00A76402"/>
    <w:rsid w:val="00A77161"/>
    <w:rsid w:val="00A816A1"/>
    <w:rsid w:val="00A827DF"/>
    <w:rsid w:val="00A82CE6"/>
    <w:rsid w:val="00A82ECA"/>
    <w:rsid w:val="00A90FEA"/>
    <w:rsid w:val="00A91E59"/>
    <w:rsid w:val="00A9227F"/>
    <w:rsid w:val="00A92D45"/>
    <w:rsid w:val="00A94298"/>
    <w:rsid w:val="00A976E1"/>
    <w:rsid w:val="00A97ED0"/>
    <w:rsid w:val="00AA243F"/>
    <w:rsid w:val="00AA2D80"/>
    <w:rsid w:val="00AA4FF6"/>
    <w:rsid w:val="00AB04AB"/>
    <w:rsid w:val="00AB0F92"/>
    <w:rsid w:val="00AB1E6F"/>
    <w:rsid w:val="00AB36DF"/>
    <w:rsid w:val="00AB3E96"/>
    <w:rsid w:val="00AB4038"/>
    <w:rsid w:val="00AC0FD0"/>
    <w:rsid w:val="00AC3236"/>
    <w:rsid w:val="00AC4FAC"/>
    <w:rsid w:val="00AC556A"/>
    <w:rsid w:val="00AC5BCA"/>
    <w:rsid w:val="00AC6987"/>
    <w:rsid w:val="00AC77AE"/>
    <w:rsid w:val="00AD2984"/>
    <w:rsid w:val="00AD2E07"/>
    <w:rsid w:val="00AD4B38"/>
    <w:rsid w:val="00AD670E"/>
    <w:rsid w:val="00AD7D6B"/>
    <w:rsid w:val="00AE283A"/>
    <w:rsid w:val="00AE4054"/>
    <w:rsid w:val="00AE55C9"/>
    <w:rsid w:val="00AE6BDF"/>
    <w:rsid w:val="00AF484E"/>
    <w:rsid w:val="00AF5AD8"/>
    <w:rsid w:val="00B00E60"/>
    <w:rsid w:val="00B01872"/>
    <w:rsid w:val="00B018C2"/>
    <w:rsid w:val="00B0325D"/>
    <w:rsid w:val="00B062EC"/>
    <w:rsid w:val="00B06D77"/>
    <w:rsid w:val="00B0794E"/>
    <w:rsid w:val="00B10C5E"/>
    <w:rsid w:val="00B145CA"/>
    <w:rsid w:val="00B16831"/>
    <w:rsid w:val="00B17FD5"/>
    <w:rsid w:val="00B21CFD"/>
    <w:rsid w:val="00B2704A"/>
    <w:rsid w:val="00B31811"/>
    <w:rsid w:val="00B3222C"/>
    <w:rsid w:val="00B322F6"/>
    <w:rsid w:val="00B35930"/>
    <w:rsid w:val="00B35E01"/>
    <w:rsid w:val="00B37C68"/>
    <w:rsid w:val="00B472FA"/>
    <w:rsid w:val="00B478DE"/>
    <w:rsid w:val="00B5073D"/>
    <w:rsid w:val="00B56956"/>
    <w:rsid w:val="00B66127"/>
    <w:rsid w:val="00B66177"/>
    <w:rsid w:val="00B6740C"/>
    <w:rsid w:val="00B72481"/>
    <w:rsid w:val="00B744A4"/>
    <w:rsid w:val="00B76A1B"/>
    <w:rsid w:val="00B804E2"/>
    <w:rsid w:val="00B81064"/>
    <w:rsid w:val="00B83974"/>
    <w:rsid w:val="00B85703"/>
    <w:rsid w:val="00B86087"/>
    <w:rsid w:val="00B87681"/>
    <w:rsid w:val="00B90FF9"/>
    <w:rsid w:val="00B91E2B"/>
    <w:rsid w:val="00B932D7"/>
    <w:rsid w:val="00B93787"/>
    <w:rsid w:val="00B93CE5"/>
    <w:rsid w:val="00B951AF"/>
    <w:rsid w:val="00B96E2F"/>
    <w:rsid w:val="00BA17A1"/>
    <w:rsid w:val="00BA1B90"/>
    <w:rsid w:val="00BA45E0"/>
    <w:rsid w:val="00BA7710"/>
    <w:rsid w:val="00BB1BCC"/>
    <w:rsid w:val="00BB1DCB"/>
    <w:rsid w:val="00BB3CFA"/>
    <w:rsid w:val="00BB4E60"/>
    <w:rsid w:val="00BB4F4B"/>
    <w:rsid w:val="00BC12D6"/>
    <w:rsid w:val="00BC61F8"/>
    <w:rsid w:val="00BD01BC"/>
    <w:rsid w:val="00BD3767"/>
    <w:rsid w:val="00BE0082"/>
    <w:rsid w:val="00BE1303"/>
    <w:rsid w:val="00BE22A2"/>
    <w:rsid w:val="00BE2769"/>
    <w:rsid w:val="00BE6B01"/>
    <w:rsid w:val="00BF2A15"/>
    <w:rsid w:val="00BF2F16"/>
    <w:rsid w:val="00BF49D7"/>
    <w:rsid w:val="00BF76CC"/>
    <w:rsid w:val="00C0078F"/>
    <w:rsid w:val="00C04468"/>
    <w:rsid w:val="00C07C92"/>
    <w:rsid w:val="00C11D93"/>
    <w:rsid w:val="00C11F16"/>
    <w:rsid w:val="00C14AF6"/>
    <w:rsid w:val="00C20C64"/>
    <w:rsid w:val="00C21340"/>
    <w:rsid w:val="00C277B3"/>
    <w:rsid w:val="00C27C71"/>
    <w:rsid w:val="00C308EC"/>
    <w:rsid w:val="00C3133D"/>
    <w:rsid w:val="00C32148"/>
    <w:rsid w:val="00C331C5"/>
    <w:rsid w:val="00C35134"/>
    <w:rsid w:val="00C3520A"/>
    <w:rsid w:val="00C366E0"/>
    <w:rsid w:val="00C36D5F"/>
    <w:rsid w:val="00C5108B"/>
    <w:rsid w:val="00C5123C"/>
    <w:rsid w:val="00C54707"/>
    <w:rsid w:val="00C550F3"/>
    <w:rsid w:val="00C569AB"/>
    <w:rsid w:val="00C63917"/>
    <w:rsid w:val="00C652D8"/>
    <w:rsid w:val="00C6647B"/>
    <w:rsid w:val="00C679CE"/>
    <w:rsid w:val="00C74018"/>
    <w:rsid w:val="00C74022"/>
    <w:rsid w:val="00C757E9"/>
    <w:rsid w:val="00C8048F"/>
    <w:rsid w:val="00C8051E"/>
    <w:rsid w:val="00C80C97"/>
    <w:rsid w:val="00C839E0"/>
    <w:rsid w:val="00C8636F"/>
    <w:rsid w:val="00C875D1"/>
    <w:rsid w:val="00C902D9"/>
    <w:rsid w:val="00C9197F"/>
    <w:rsid w:val="00C942C3"/>
    <w:rsid w:val="00CA0F57"/>
    <w:rsid w:val="00CA33ED"/>
    <w:rsid w:val="00CA3EB6"/>
    <w:rsid w:val="00CA4102"/>
    <w:rsid w:val="00CA641D"/>
    <w:rsid w:val="00CA7ABC"/>
    <w:rsid w:val="00CB06BC"/>
    <w:rsid w:val="00CB1713"/>
    <w:rsid w:val="00CB1783"/>
    <w:rsid w:val="00CB551E"/>
    <w:rsid w:val="00CC3051"/>
    <w:rsid w:val="00CC3897"/>
    <w:rsid w:val="00CC7BBD"/>
    <w:rsid w:val="00CD2DF6"/>
    <w:rsid w:val="00CE34C3"/>
    <w:rsid w:val="00CE35F2"/>
    <w:rsid w:val="00CE36E6"/>
    <w:rsid w:val="00CE6C8E"/>
    <w:rsid w:val="00CE6D55"/>
    <w:rsid w:val="00CE7F09"/>
    <w:rsid w:val="00CF043F"/>
    <w:rsid w:val="00CF08C3"/>
    <w:rsid w:val="00CF4D17"/>
    <w:rsid w:val="00CF5BC4"/>
    <w:rsid w:val="00CF683A"/>
    <w:rsid w:val="00CF77FF"/>
    <w:rsid w:val="00D024AC"/>
    <w:rsid w:val="00D029D2"/>
    <w:rsid w:val="00D032A7"/>
    <w:rsid w:val="00D057CA"/>
    <w:rsid w:val="00D07A90"/>
    <w:rsid w:val="00D1036C"/>
    <w:rsid w:val="00D11886"/>
    <w:rsid w:val="00D11E23"/>
    <w:rsid w:val="00D12EE2"/>
    <w:rsid w:val="00D14AC6"/>
    <w:rsid w:val="00D15A2A"/>
    <w:rsid w:val="00D16E6C"/>
    <w:rsid w:val="00D22897"/>
    <w:rsid w:val="00D23555"/>
    <w:rsid w:val="00D24FDA"/>
    <w:rsid w:val="00D2510B"/>
    <w:rsid w:val="00D25FB8"/>
    <w:rsid w:val="00D44061"/>
    <w:rsid w:val="00D4573F"/>
    <w:rsid w:val="00D45C21"/>
    <w:rsid w:val="00D45C46"/>
    <w:rsid w:val="00D47B11"/>
    <w:rsid w:val="00D51564"/>
    <w:rsid w:val="00D52B03"/>
    <w:rsid w:val="00D576BA"/>
    <w:rsid w:val="00D57F1F"/>
    <w:rsid w:val="00D602EF"/>
    <w:rsid w:val="00D6228F"/>
    <w:rsid w:val="00D661BB"/>
    <w:rsid w:val="00D66455"/>
    <w:rsid w:val="00D66744"/>
    <w:rsid w:val="00D7246F"/>
    <w:rsid w:val="00D72F5E"/>
    <w:rsid w:val="00D751DA"/>
    <w:rsid w:val="00D755C8"/>
    <w:rsid w:val="00D7684B"/>
    <w:rsid w:val="00D82E53"/>
    <w:rsid w:val="00D86D57"/>
    <w:rsid w:val="00D959E7"/>
    <w:rsid w:val="00DA154A"/>
    <w:rsid w:val="00DA3C5C"/>
    <w:rsid w:val="00DB0643"/>
    <w:rsid w:val="00DB64F2"/>
    <w:rsid w:val="00DC0E61"/>
    <w:rsid w:val="00DC18A7"/>
    <w:rsid w:val="00DC1DE9"/>
    <w:rsid w:val="00DC30E3"/>
    <w:rsid w:val="00DC3752"/>
    <w:rsid w:val="00DC4D9B"/>
    <w:rsid w:val="00DC672D"/>
    <w:rsid w:val="00DD0404"/>
    <w:rsid w:val="00DD0D2A"/>
    <w:rsid w:val="00DD5510"/>
    <w:rsid w:val="00DD578E"/>
    <w:rsid w:val="00DD72B6"/>
    <w:rsid w:val="00DD7F21"/>
    <w:rsid w:val="00DE1D0D"/>
    <w:rsid w:val="00DE53B0"/>
    <w:rsid w:val="00DF22DA"/>
    <w:rsid w:val="00DF281C"/>
    <w:rsid w:val="00E00B46"/>
    <w:rsid w:val="00E00C2D"/>
    <w:rsid w:val="00E01B0D"/>
    <w:rsid w:val="00E02A23"/>
    <w:rsid w:val="00E03054"/>
    <w:rsid w:val="00E045D0"/>
    <w:rsid w:val="00E0589E"/>
    <w:rsid w:val="00E065A4"/>
    <w:rsid w:val="00E07363"/>
    <w:rsid w:val="00E1180D"/>
    <w:rsid w:val="00E11A8D"/>
    <w:rsid w:val="00E125AB"/>
    <w:rsid w:val="00E12D82"/>
    <w:rsid w:val="00E16406"/>
    <w:rsid w:val="00E16E55"/>
    <w:rsid w:val="00E21864"/>
    <w:rsid w:val="00E21882"/>
    <w:rsid w:val="00E24A07"/>
    <w:rsid w:val="00E25F2A"/>
    <w:rsid w:val="00E25FF4"/>
    <w:rsid w:val="00E260BC"/>
    <w:rsid w:val="00E311EB"/>
    <w:rsid w:val="00E326D3"/>
    <w:rsid w:val="00E37686"/>
    <w:rsid w:val="00E37E3D"/>
    <w:rsid w:val="00E401D5"/>
    <w:rsid w:val="00E42973"/>
    <w:rsid w:val="00E44F30"/>
    <w:rsid w:val="00E47131"/>
    <w:rsid w:val="00E53709"/>
    <w:rsid w:val="00E53812"/>
    <w:rsid w:val="00E54510"/>
    <w:rsid w:val="00E54BED"/>
    <w:rsid w:val="00E54F23"/>
    <w:rsid w:val="00E557C9"/>
    <w:rsid w:val="00E61B52"/>
    <w:rsid w:val="00E61EE3"/>
    <w:rsid w:val="00E62670"/>
    <w:rsid w:val="00E630EB"/>
    <w:rsid w:val="00E64B33"/>
    <w:rsid w:val="00E70E7C"/>
    <w:rsid w:val="00E72AF0"/>
    <w:rsid w:val="00E80AA8"/>
    <w:rsid w:val="00E81266"/>
    <w:rsid w:val="00E82C88"/>
    <w:rsid w:val="00E865EB"/>
    <w:rsid w:val="00E8707F"/>
    <w:rsid w:val="00E879C2"/>
    <w:rsid w:val="00E9009D"/>
    <w:rsid w:val="00E909D3"/>
    <w:rsid w:val="00E91A3E"/>
    <w:rsid w:val="00E91D68"/>
    <w:rsid w:val="00E92413"/>
    <w:rsid w:val="00E9551D"/>
    <w:rsid w:val="00E95FEC"/>
    <w:rsid w:val="00EA470F"/>
    <w:rsid w:val="00EA4AFE"/>
    <w:rsid w:val="00EA7075"/>
    <w:rsid w:val="00EB1E68"/>
    <w:rsid w:val="00EB2628"/>
    <w:rsid w:val="00EB3473"/>
    <w:rsid w:val="00EB435E"/>
    <w:rsid w:val="00EB6F18"/>
    <w:rsid w:val="00EB7050"/>
    <w:rsid w:val="00EC0649"/>
    <w:rsid w:val="00EC16F4"/>
    <w:rsid w:val="00EC1DC6"/>
    <w:rsid w:val="00EC374C"/>
    <w:rsid w:val="00EC57F0"/>
    <w:rsid w:val="00EC6FFB"/>
    <w:rsid w:val="00ED12E4"/>
    <w:rsid w:val="00ED19BC"/>
    <w:rsid w:val="00ED3D0C"/>
    <w:rsid w:val="00ED5764"/>
    <w:rsid w:val="00ED7FD4"/>
    <w:rsid w:val="00EF626A"/>
    <w:rsid w:val="00EF71C2"/>
    <w:rsid w:val="00EF7A17"/>
    <w:rsid w:val="00F018E7"/>
    <w:rsid w:val="00F03A92"/>
    <w:rsid w:val="00F0575E"/>
    <w:rsid w:val="00F11836"/>
    <w:rsid w:val="00F13DB4"/>
    <w:rsid w:val="00F142B0"/>
    <w:rsid w:val="00F14F5D"/>
    <w:rsid w:val="00F164C9"/>
    <w:rsid w:val="00F20D2E"/>
    <w:rsid w:val="00F22D8D"/>
    <w:rsid w:val="00F22FB1"/>
    <w:rsid w:val="00F2384E"/>
    <w:rsid w:val="00F247A9"/>
    <w:rsid w:val="00F25C8A"/>
    <w:rsid w:val="00F264E2"/>
    <w:rsid w:val="00F30C45"/>
    <w:rsid w:val="00F32EE0"/>
    <w:rsid w:val="00F36869"/>
    <w:rsid w:val="00F41DE1"/>
    <w:rsid w:val="00F4547F"/>
    <w:rsid w:val="00F45ABD"/>
    <w:rsid w:val="00F50278"/>
    <w:rsid w:val="00F511BF"/>
    <w:rsid w:val="00F51ADE"/>
    <w:rsid w:val="00F51C41"/>
    <w:rsid w:val="00F52188"/>
    <w:rsid w:val="00F57EFB"/>
    <w:rsid w:val="00F6163C"/>
    <w:rsid w:val="00F618D5"/>
    <w:rsid w:val="00F63B8D"/>
    <w:rsid w:val="00F65089"/>
    <w:rsid w:val="00F669DC"/>
    <w:rsid w:val="00F72213"/>
    <w:rsid w:val="00F73621"/>
    <w:rsid w:val="00F73C19"/>
    <w:rsid w:val="00F7670E"/>
    <w:rsid w:val="00F777F5"/>
    <w:rsid w:val="00F830D6"/>
    <w:rsid w:val="00F849FA"/>
    <w:rsid w:val="00F8602B"/>
    <w:rsid w:val="00F8608C"/>
    <w:rsid w:val="00F86A62"/>
    <w:rsid w:val="00F86DBD"/>
    <w:rsid w:val="00F87627"/>
    <w:rsid w:val="00F936CA"/>
    <w:rsid w:val="00F96AAC"/>
    <w:rsid w:val="00F97F41"/>
    <w:rsid w:val="00FA023B"/>
    <w:rsid w:val="00FA0D6B"/>
    <w:rsid w:val="00FA3B53"/>
    <w:rsid w:val="00FA44C8"/>
    <w:rsid w:val="00FA6C22"/>
    <w:rsid w:val="00FA6C9C"/>
    <w:rsid w:val="00FA7C89"/>
    <w:rsid w:val="00FB037E"/>
    <w:rsid w:val="00FB477B"/>
    <w:rsid w:val="00FB72AB"/>
    <w:rsid w:val="00FC3F55"/>
    <w:rsid w:val="00FC42F0"/>
    <w:rsid w:val="00FC5094"/>
    <w:rsid w:val="00FC7CF8"/>
    <w:rsid w:val="00FD3A19"/>
    <w:rsid w:val="00FD3E24"/>
    <w:rsid w:val="00FD5820"/>
    <w:rsid w:val="00FE09EE"/>
    <w:rsid w:val="00FE2011"/>
    <w:rsid w:val="00FF4595"/>
    <w:rsid w:val="00FF50B9"/>
    <w:rsid w:val="00FF6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B018C2"/>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910E29"/>
    <w:rPr>
      <w:i/>
      <w:iCs/>
    </w:rPr>
  </w:style>
  <w:style w:type="character" w:styleId="Strong">
    <w:name w:val="Strong"/>
    <w:basedOn w:val="DefaultParagraphFont"/>
    <w:uiPriority w:val="22"/>
    <w:qFormat/>
    <w:rsid w:val="00FA0D6B"/>
    <w:rPr>
      <w:b/>
      <w:bCs/>
    </w:rPr>
  </w:style>
  <w:style w:type="paragraph" w:customStyle="1" w:styleId="EndNoteBibliographyTitle">
    <w:name w:val="EndNote Bibliography Title"/>
    <w:basedOn w:val="Normal"/>
    <w:link w:val="EndNoteBibliographyTitleChar"/>
    <w:rsid w:val="00D66744"/>
    <w:pPr>
      <w:jc w:val="center"/>
    </w:pPr>
    <w:rPr>
      <w:noProof/>
    </w:rPr>
  </w:style>
  <w:style w:type="character" w:customStyle="1" w:styleId="EndNoteBibliographyTitleChar">
    <w:name w:val="EndNote Bibliography Title Char"/>
    <w:basedOn w:val="DefaultParagraphFont"/>
    <w:link w:val="EndNoteBibliographyTitle"/>
    <w:rsid w:val="00D66744"/>
    <w:rPr>
      <w:noProof/>
    </w:rPr>
  </w:style>
  <w:style w:type="paragraph" w:customStyle="1" w:styleId="EndNoteBibliography">
    <w:name w:val="EndNote Bibliography"/>
    <w:basedOn w:val="Normal"/>
    <w:link w:val="EndNoteBibliographyChar"/>
    <w:rsid w:val="00D66744"/>
    <w:rPr>
      <w:noProof/>
    </w:rPr>
  </w:style>
  <w:style w:type="character" w:customStyle="1" w:styleId="EndNoteBibliographyChar">
    <w:name w:val="EndNote Bibliography Char"/>
    <w:basedOn w:val="DefaultParagraphFont"/>
    <w:link w:val="EndNoteBibliography"/>
    <w:rsid w:val="00D66744"/>
    <w:rPr>
      <w:noProof/>
    </w:rPr>
  </w:style>
  <w:style w:type="paragraph" w:styleId="Header">
    <w:name w:val="header"/>
    <w:basedOn w:val="Normal"/>
    <w:link w:val="HeaderChar"/>
    <w:uiPriority w:val="99"/>
    <w:semiHidden/>
    <w:unhideWhenUsed/>
    <w:rsid w:val="00EA4AFE"/>
    <w:pPr>
      <w:tabs>
        <w:tab w:val="center" w:pos="4680"/>
        <w:tab w:val="right" w:pos="9360"/>
      </w:tabs>
    </w:pPr>
  </w:style>
  <w:style w:type="character" w:customStyle="1" w:styleId="HeaderChar">
    <w:name w:val="Header Char"/>
    <w:basedOn w:val="DefaultParagraphFont"/>
    <w:link w:val="Header"/>
    <w:uiPriority w:val="99"/>
    <w:semiHidden/>
    <w:rsid w:val="00EA4AFE"/>
  </w:style>
  <w:style w:type="paragraph" w:customStyle="1" w:styleId="pf0">
    <w:name w:val="pf0"/>
    <w:basedOn w:val="Normal"/>
    <w:rsid w:val="00C04468"/>
    <w:pPr>
      <w:widowControl/>
      <w:spacing w:before="100" w:beforeAutospacing="1" w:after="100" w:afterAutospacing="1"/>
      <w:jc w:val="left"/>
    </w:pPr>
    <w:rPr>
      <w:rFonts w:ascii="Times New Roman" w:eastAsia="Times New Roman" w:hAnsi="Times New Roman" w:cs="Times New Roman"/>
    </w:rPr>
  </w:style>
  <w:style w:type="character" w:customStyle="1" w:styleId="cf11">
    <w:name w:val="cf11"/>
    <w:basedOn w:val="DefaultParagraphFont"/>
    <w:rsid w:val="00C04468"/>
    <w:rPr>
      <w:rFonts w:ascii="Segoe UI" w:hAnsi="Segoe UI" w:cs="Segoe UI" w:hint="default"/>
      <w:i/>
      <w:iCs/>
      <w:sz w:val="18"/>
      <w:szCs w:val="18"/>
    </w:rPr>
  </w:style>
  <w:style w:type="character" w:customStyle="1" w:styleId="cf21">
    <w:name w:val="cf21"/>
    <w:basedOn w:val="DefaultParagraphFont"/>
    <w:rsid w:val="00C04468"/>
    <w:rPr>
      <w:rFonts w:ascii="Segoe UI" w:hAnsi="Segoe UI" w:cs="Segoe UI" w:hint="default"/>
      <w:sz w:val="18"/>
      <w:szCs w:val="18"/>
      <w:vertAlign w:val="superscript"/>
    </w:rPr>
  </w:style>
  <w:style w:type="paragraph" w:styleId="BalloonText">
    <w:name w:val="Balloon Text"/>
    <w:basedOn w:val="Normal"/>
    <w:link w:val="BalloonTextChar"/>
    <w:uiPriority w:val="99"/>
    <w:semiHidden/>
    <w:unhideWhenUsed/>
    <w:rsid w:val="00C51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08B"/>
    <w:rPr>
      <w:rFonts w:ascii="Segoe UI" w:hAnsi="Segoe UI" w:cs="Segoe UI"/>
      <w:sz w:val="18"/>
      <w:szCs w:val="18"/>
    </w:rPr>
  </w:style>
  <w:style w:type="paragraph" w:customStyle="1" w:styleId="pf4">
    <w:name w:val="pf4"/>
    <w:basedOn w:val="Normal"/>
    <w:rsid w:val="00C5108B"/>
    <w:pPr>
      <w:widowControl/>
      <w:spacing w:before="100" w:beforeAutospacing="1" w:after="100" w:afterAutospacing="1"/>
      <w:jc w:val="left"/>
    </w:pPr>
    <w:rPr>
      <w:rFonts w:ascii="Times New Roman" w:eastAsia="Times New Roman" w:hAnsi="Times New Roman" w:cs="Times New Roman"/>
    </w:rPr>
  </w:style>
  <w:style w:type="paragraph" w:customStyle="1" w:styleId="pf5">
    <w:name w:val="pf5"/>
    <w:basedOn w:val="Normal"/>
    <w:rsid w:val="00C5108B"/>
    <w:pPr>
      <w:widowControl/>
      <w:spacing w:before="100" w:beforeAutospacing="1" w:after="100" w:afterAutospacing="1"/>
      <w:ind w:left="720"/>
      <w:jc w:val="left"/>
    </w:pPr>
    <w:rPr>
      <w:rFonts w:ascii="Times New Roman" w:eastAsia="Times New Roman" w:hAnsi="Times New Roman" w:cs="Times New Roman"/>
    </w:rPr>
  </w:style>
  <w:style w:type="paragraph" w:customStyle="1" w:styleId="pf6">
    <w:name w:val="pf6"/>
    <w:basedOn w:val="Normal"/>
    <w:rsid w:val="00C5108B"/>
    <w:pPr>
      <w:widowControl/>
      <w:spacing w:before="100" w:beforeAutospacing="1" w:after="100" w:afterAutospacing="1"/>
      <w:jc w:val="left"/>
    </w:pPr>
    <w:rPr>
      <w:rFonts w:ascii="Times New Roman" w:eastAsia="Times New Roman" w:hAnsi="Times New Roman" w:cs="Times New Roman"/>
    </w:rPr>
  </w:style>
  <w:style w:type="paragraph" w:customStyle="1" w:styleId="pf3">
    <w:name w:val="pf3"/>
    <w:basedOn w:val="Normal"/>
    <w:rsid w:val="003C0BA9"/>
    <w:pPr>
      <w:widowControl/>
      <w:spacing w:before="100" w:beforeAutospacing="1" w:after="100" w:afterAutospacing="1"/>
      <w:ind w:left="108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5683</Words>
  <Characters>32394</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2026-04-16T00:44:00Z</dcterms:created>
  <dcterms:modified xsi:type="dcterms:W3CDTF">2026-04-16T00:44:00Z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d94dc915-930a-4e41-88a7-7b06278b9dc3</vt:lpwstr>
  </property>
</Properties>
</file>