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9D6E26" w:rsidRDefault="009D6E26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9D6E2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70838</w:t>
      </w:r>
    </w:p>
    <w:p w14:paraId="2F6924E5" w14:textId="77777777" w:rsidR="009D6E2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5B558967" w:rsidR="009D6E2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Pr="0078749F">
          <w:rPr>
            <w:rStyle w:val="Hyperlink"/>
            <w:rFonts w:eastAsia="Times New Roman" w:cstheme="minorHAnsi"/>
            <w:b/>
          </w:rPr>
          <w:t>https://review.jove.com/account/file-uploa</w:t>
        </w:r>
        <w:r w:rsidRPr="0078749F">
          <w:rPr>
            <w:rStyle w:val="Hyperlink"/>
            <w:rFonts w:eastAsia="Times New Roman" w:cstheme="minorHAnsi"/>
            <w:b/>
          </w:rPr>
          <w:t>d</w:t>
        </w:r>
        <w:r w:rsidRPr="0078749F">
          <w:rPr>
            <w:rStyle w:val="Hyperlink"/>
            <w:rFonts w:eastAsia="Times New Roman" w:cstheme="minorHAnsi"/>
            <w:b/>
          </w:rPr>
          <w:t>er?src=21605638</w:t>
        </w:r>
      </w:hyperlink>
    </w:p>
    <w:p w14:paraId="2C89778F" w14:textId="77777777" w:rsidR="009D6E26" w:rsidRDefault="009D6E26">
      <w:pPr>
        <w:outlineLvl w:val="0"/>
        <w:rPr>
          <w:rFonts w:eastAsia="Times New Roman" w:cstheme="minorHAnsi"/>
          <w:b/>
        </w:rPr>
      </w:pPr>
    </w:p>
    <w:p w14:paraId="2CDCA7C5" w14:textId="77777777" w:rsidR="009D6E26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Digitally Guided Intraoral Segmental Mandibulectomy and Fibula Flap Reconstruction for Locally Invasive Odontogenic Tumors</w:t>
      </w:r>
    </w:p>
    <w:p w14:paraId="281CF162" w14:textId="77777777" w:rsidR="009D6E26" w:rsidRDefault="009D6E26"/>
    <w:p w14:paraId="1E30A820" w14:textId="77777777" w:rsidR="009D6E26" w:rsidRDefault="009D6E26">
      <w:pPr>
        <w:outlineLvl w:val="0"/>
        <w:rPr>
          <w:rFonts w:eastAsia="Times New Roman" w:cstheme="minorHAnsi"/>
          <w:b/>
        </w:rPr>
      </w:pPr>
    </w:p>
    <w:p w14:paraId="571B4839" w14:textId="77777777" w:rsidR="009D6E26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F995108" w14:textId="3DB6E6A9" w:rsidR="009D6E26" w:rsidRDefault="00000000">
      <w:pPr>
        <w:rPr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 w:bidi="ar"/>
        </w:rPr>
        <w:t>Chengyan Li</w:t>
      </w: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  <w:r>
        <w:rPr>
          <w:rFonts w:eastAsia="SimSun"/>
          <w:sz w:val="28"/>
          <w:szCs w:val="28"/>
          <w:lang w:eastAsia="zh-CN" w:bidi="ar"/>
        </w:rPr>
        <w:t>, Zijian Guo</w:t>
      </w: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  <w:r>
        <w:rPr>
          <w:rFonts w:eastAsia="SimSun"/>
          <w:sz w:val="28"/>
          <w:szCs w:val="28"/>
          <w:lang w:eastAsia="zh-CN" w:bidi="ar"/>
        </w:rPr>
        <w:t>, Haosen Lian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rFonts w:eastAsia="SimSun"/>
          <w:sz w:val="28"/>
          <w:szCs w:val="28"/>
          <w:lang w:eastAsia="zh-CN" w:bidi="ar"/>
        </w:rPr>
        <w:t>, Yubin Cao</w:t>
      </w:r>
      <w:r>
        <w:rPr>
          <w:rFonts w:eastAsia="SimSun"/>
          <w:sz w:val="28"/>
          <w:szCs w:val="28"/>
          <w:vertAlign w:val="superscript"/>
          <w:lang w:eastAsia="zh-CN" w:bidi="ar"/>
        </w:rPr>
        <w:t>3</w:t>
      </w:r>
      <w:r>
        <w:rPr>
          <w:rFonts w:eastAsia="SimSun"/>
          <w:sz w:val="28"/>
          <w:szCs w:val="28"/>
          <w:lang w:eastAsia="zh-CN" w:bidi="ar"/>
        </w:rPr>
        <w:t>, Ning Gao</w:t>
      </w: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  <w:r>
        <w:rPr>
          <w:rFonts w:eastAsia="SimSun"/>
          <w:sz w:val="28"/>
          <w:szCs w:val="28"/>
          <w:lang w:eastAsia="zh-CN" w:bidi="ar"/>
        </w:rPr>
        <w:t>, Cheng Miao</w:t>
      </w: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  <w:r>
        <w:rPr>
          <w:rFonts w:eastAsia="SimSun"/>
          <w:sz w:val="28"/>
          <w:szCs w:val="28"/>
          <w:lang w:eastAsia="zh-CN" w:bidi="ar"/>
        </w:rPr>
        <w:t>, Chunjie Li</w:t>
      </w: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</w:p>
    <w:p w14:paraId="67C68EF3" w14:textId="77777777" w:rsidR="009D6E26" w:rsidRDefault="009D6E26">
      <w:pPr>
        <w:rPr>
          <w:sz w:val="28"/>
          <w:szCs w:val="28"/>
          <w:lang w:eastAsia="zh-CN"/>
        </w:rPr>
      </w:pPr>
    </w:p>
    <w:p w14:paraId="4766E19C" w14:textId="77777777" w:rsidR="009D6E26" w:rsidRDefault="00000000">
      <w:pPr>
        <w:rPr>
          <w:rFonts w:eastAsiaTheme="minorEastAsia"/>
          <w:sz w:val="28"/>
          <w:szCs w:val="28"/>
          <w:lang w:eastAsia="zh-CN"/>
        </w:rPr>
      </w:pPr>
      <w:r>
        <w:rPr>
          <w:rFonts w:eastAsia="SimSun"/>
          <w:sz w:val="28"/>
          <w:szCs w:val="28"/>
          <w:vertAlign w:val="superscript"/>
          <w:lang w:eastAsia="zh-CN" w:bidi="ar"/>
        </w:rPr>
        <w:t>1</w:t>
      </w:r>
      <w:r>
        <w:rPr>
          <w:rFonts w:eastAsia="SimSun"/>
          <w:sz w:val="28"/>
          <w:szCs w:val="28"/>
          <w:lang w:eastAsia="zh-CN" w:bidi="ar"/>
        </w:rPr>
        <w:t>State Key Laboratory of Oral Diseases &amp; National Center for Stomatology &amp; National Clinical Research Center for Oral Diseases &amp; Department of Head and Neck Oncology, West China Hospital of Stomatology, Sichuan University</w:t>
      </w:r>
    </w:p>
    <w:p w14:paraId="50E9F5A3" w14:textId="77777777" w:rsidR="009D6E26" w:rsidRDefault="00000000">
      <w:pPr>
        <w:rPr>
          <w:rFonts w:eastAsiaTheme="minorEastAsia"/>
          <w:sz w:val="28"/>
          <w:szCs w:val="28"/>
          <w:lang w:eastAsia="zh-CN"/>
        </w:rPr>
      </w:pPr>
      <w:r>
        <w:rPr>
          <w:rFonts w:eastAsiaTheme="minorEastAsia"/>
          <w:sz w:val="28"/>
          <w:szCs w:val="28"/>
          <w:vertAlign w:val="superscript"/>
          <w:lang w:eastAsia="zh-CN"/>
        </w:rPr>
        <w:t>2</w:t>
      </w:r>
      <w:r>
        <w:rPr>
          <w:rFonts w:eastAsiaTheme="minorEastAsia"/>
          <w:sz w:val="28"/>
          <w:szCs w:val="28"/>
          <w:lang w:eastAsia="zh-CN"/>
        </w:rPr>
        <w:t>National Demonstration Center for Experimental West China Stomatology Education (Sichuan University).</w:t>
      </w:r>
    </w:p>
    <w:p w14:paraId="3A81517F" w14:textId="77777777" w:rsidR="009D6E26" w:rsidRDefault="00000000">
      <w:pPr>
        <w:rPr>
          <w:sz w:val="28"/>
          <w:szCs w:val="28"/>
        </w:rPr>
      </w:pPr>
      <w:r>
        <w:rPr>
          <w:rFonts w:eastAsia="SimSun"/>
          <w:sz w:val="28"/>
          <w:szCs w:val="28"/>
          <w:vertAlign w:val="superscript"/>
          <w:lang w:eastAsia="zh-CN" w:bidi="ar"/>
        </w:rPr>
        <w:t>3</w:t>
      </w:r>
      <w:r>
        <w:rPr>
          <w:rFonts w:eastAsia="SimSun"/>
          <w:sz w:val="28"/>
          <w:szCs w:val="28"/>
          <w:lang w:eastAsia="zh-CN" w:bidi="ar"/>
        </w:rPr>
        <w:t>State Key Laboratory of Oral Diseases &amp; National Center for Stomatology &amp; National Clinical Research Center for Oral Diseases &amp; Department of Oral and Maxillofacial Surgery, West China Hospital of Stomatology, Sichuan University</w:t>
      </w:r>
    </w:p>
    <w:p w14:paraId="33CD999C" w14:textId="77777777" w:rsidR="009D6E26" w:rsidRDefault="009D6E2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9D6E26" w:rsidRDefault="009D6E2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9D6E26" w:rsidRDefault="009D6E26">
      <w:pPr>
        <w:outlineLvl w:val="0"/>
        <w:rPr>
          <w:rFonts w:eastAsia="Times New Roman" w:cstheme="minorHAnsi"/>
        </w:rPr>
      </w:pPr>
    </w:p>
    <w:p w14:paraId="74288581" w14:textId="77777777" w:rsidR="009D6E26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05D9B803" w14:textId="77777777" w:rsidR="009D6E26" w:rsidRDefault="00000000">
      <w:pPr>
        <w:rPr>
          <w:rFonts w:eastAsia="SimSun"/>
          <w:lang w:eastAsia="zh-CN" w:bidi="ar"/>
        </w:rPr>
      </w:pPr>
      <w:bookmarkStart w:id="0" w:name="_Hlk25233958"/>
      <w:r>
        <w:rPr>
          <w:rFonts w:eastAsia="SimSun"/>
          <w:lang w:eastAsia="zh-CN" w:bidi="ar"/>
        </w:rPr>
        <w:t xml:space="preserve">Cheng Miao                 </w:t>
      </w:r>
      <w:r>
        <w:rPr>
          <w:rFonts w:eastAsia="SimSun"/>
          <w:lang w:eastAsia="zh-CN" w:bidi="ar"/>
        </w:rPr>
        <w:tab/>
        <w:t>(</w:t>
      </w:r>
      <w:r>
        <w:t>miaocheng_wchs@163.com</w:t>
      </w:r>
      <w:r>
        <w:rPr>
          <w:rFonts w:eastAsia="SimSun"/>
          <w:lang w:eastAsia="zh-CN" w:bidi="ar"/>
        </w:rPr>
        <w:t>)</w:t>
      </w:r>
    </w:p>
    <w:p w14:paraId="0C74F3B4" w14:textId="77777777" w:rsidR="009D6E26" w:rsidRDefault="00000000">
      <w:pPr>
        <w:rPr>
          <w:rFonts w:eastAsia="SimSun"/>
          <w:lang w:val="it-CH" w:eastAsia="zh-CN" w:bidi="ar"/>
        </w:rPr>
      </w:pPr>
      <w:r>
        <w:rPr>
          <w:rFonts w:eastAsia="SimSun"/>
          <w:lang w:val="it-CH" w:eastAsia="zh-CN" w:bidi="ar"/>
        </w:rPr>
        <w:t xml:space="preserve">Chunjie Li                   </w:t>
      </w:r>
      <w:r>
        <w:rPr>
          <w:rFonts w:eastAsia="SimSun"/>
          <w:lang w:val="it-CH" w:eastAsia="zh-CN" w:bidi="ar"/>
        </w:rPr>
        <w:tab/>
        <w:t>(lichunjie@scu.edu.cn)</w:t>
      </w:r>
    </w:p>
    <w:p w14:paraId="5196A52A" w14:textId="77777777" w:rsidR="009D6E26" w:rsidRDefault="009D6E26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9D6E26" w:rsidRDefault="009D6E26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9D6E26" w:rsidRDefault="009D6E26">
      <w:pPr>
        <w:outlineLvl w:val="0"/>
        <w:rPr>
          <w:rFonts w:eastAsia="Times New Roman" w:cstheme="minorHAnsi"/>
          <w:lang w:val="it-CH"/>
        </w:rPr>
      </w:pPr>
    </w:p>
    <w:bookmarkEnd w:id="0"/>
    <w:p w14:paraId="055B8CA7" w14:textId="77777777" w:rsidR="009D6E26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4A018697" w14:textId="77777777" w:rsidR="009D6E26" w:rsidRDefault="00000000">
      <w:pPr>
        <w:rPr>
          <w:rFonts w:eastAsia="SimSun"/>
          <w:lang w:val="it-CH" w:eastAsia="zh-CN" w:bidi="ar"/>
        </w:rPr>
      </w:pPr>
      <w:r>
        <w:rPr>
          <w:rFonts w:eastAsia="SimSun"/>
          <w:lang w:val="it-CH" w:eastAsia="zh-CN" w:bidi="ar"/>
        </w:rPr>
        <w:t xml:space="preserve">Chengyan Li               </w:t>
      </w:r>
      <w:r>
        <w:rPr>
          <w:rFonts w:eastAsia="SimSun"/>
          <w:lang w:val="it-CH" w:eastAsia="zh-CN" w:bidi="ar"/>
        </w:rPr>
        <w:tab/>
        <w:t>(lcyan1101@163.com)</w:t>
      </w:r>
    </w:p>
    <w:p w14:paraId="3795398E" w14:textId="77777777" w:rsidR="009D6E26" w:rsidRDefault="00000000">
      <w:pPr>
        <w:rPr>
          <w:rFonts w:eastAsia="SimSun"/>
          <w:lang w:val="it-CH" w:eastAsia="zh-CN" w:bidi="ar"/>
        </w:rPr>
      </w:pPr>
      <w:r>
        <w:rPr>
          <w:rFonts w:eastAsia="SimSun"/>
          <w:lang w:val="it-CH" w:eastAsia="zh-CN" w:bidi="ar"/>
        </w:rPr>
        <w:t xml:space="preserve">Zijian Guo               </w:t>
      </w:r>
      <w:r>
        <w:rPr>
          <w:rFonts w:eastAsia="SimSun"/>
          <w:lang w:val="it-CH" w:eastAsia="zh-CN" w:bidi="ar"/>
        </w:rPr>
        <w:tab/>
        <w:t xml:space="preserve"> </w:t>
      </w:r>
      <w:r>
        <w:rPr>
          <w:rFonts w:eastAsia="SimSun"/>
          <w:lang w:val="it-CH" w:eastAsia="zh-CN" w:bidi="ar"/>
        </w:rPr>
        <w:tab/>
        <w:t>(</w:t>
      </w:r>
      <w:r>
        <w:rPr>
          <w:lang w:val="it-CH"/>
        </w:rPr>
        <w:t>guo.zj@foxmail.com</w:t>
      </w:r>
      <w:r>
        <w:rPr>
          <w:rFonts w:eastAsia="SimSun"/>
          <w:lang w:val="it-CH" w:eastAsia="zh-CN" w:bidi="ar"/>
        </w:rPr>
        <w:t>)</w:t>
      </w:r>
    </w:p>
    <w:p w14:paraId="72CDC93C" w14:textId="77777777" w:rsidR="009D6E26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Haosen Lian                </w:t>
      </w:r>
      <w:r>
        <w:rPr>
          <w:rFonts w:eastAsia="SimSun"/>
          <w:lang w:eastAsia="zh-CN" w:bidi="ar"/>
        </w:rPr>
        <w:tab/>
        <w:t>(lianhaosen98@163.com)</w:t>
      </w:r>
    </w:p>
    <w:p w14:paraId="5BADFC08" w14:textId="77777777" w:rsidR="009D6E26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Yubin Cao                  </w:t>
      </w:r>
      <w:r>
        <w:rPr>
          <w:rFonts w:eastAsia="SimSun"/>
          <w:lang w:eastAsia="zh-CN" w:bidi="ar"/>
        </w:rPr>
        <w:tab/>
        <w:t>(yubin.cao@scu.edu.cn)</w:t>
      </w:r>
    </w:p>
    <w:p w14:paraId="3CAA94D9" w14:textId="77777777" w:rsidR="009D6E26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Ning Gao                  </w:t>
      </w:r>
      <w:r>
        <w:rPr>
          <w:rFonts w:eastAsia="SimSun"/>
          <w:lang w:eastAsia="zh-CN" w:bidi="ar"/>
        </w:rPr>
        <w:tab/>
        <w:t>(gaoningdaniell@163.com)</w:t>
      </w:r>
    </w:p>
    <w:p w14:paraId="75849D4D" w14:textId="77777777" w:rsidR="009D6E26" w:rsidRDefault="00000000">
      <w:pPr>
        <w:rPr>
          <w:rFonts w:eastAsia="SimSun"/>
          <w:lang w:eastAsia="zh-CN" w:bidi="ar"/>
        </w:rPr>
      </w:pPr>
      <w:r>
        <w:rPr>
          <w:rFonts w:eastAsia="SimSun"/>
          <w:lang w:eastAsia="zh-CN" w:bidi="ar"/>
        </w:rPr>
        <w:t xml:space="preserve">Cheng Miao                 </w:t>
      </w:r>
      <w:r>
        <w:rPr>
          <w:rFonts w:eastAsia="SimSun"/>
          <w:lang w:eastAsia="zh-CN" w:bidi="ar"/>
        </w:rPr>
        <w:tab/>
        <w:t>(</w:t>
      </w:r>
      <w:r>
        <w:t>miaocheng_wchs@163.com</w:t>
      </w:r>
      <w:r>
        <w:rPr>
          <w:rFonts w:eastAsia="SimSun"/>
          <w:lang w:eastAsia="zh-CN" w:bidi="ar"/>
        </w:rPr>
        <w:t>)</w:t>
      </w:r>
    </w:p>
    <w:p w14:paraId="7B937D98" w14:textId="77777777" w:rsidR="009D6E26" w:rsidRDefault="00000000">
      <w:pPr>
        <w:rPr>
          <w:rFonts w:eastAsia="SimSun"/>
          <w:lang w:val="it-CH" w:eastAsia="zh-CN" w:bidi="ar"/>
        </w:rPr>
      </w:pPr>
      <w:r>
        <w:rPr>
          <w:rFonts w:eastAsia="SimSun"/>
          <w:lang w:val="it-CH" w:eastAsia="zh-CN" w:bidi="ar"/>
        </w:rPr>
        <w:t xml:space="preserve">Chunjie Li                   </w:t>
      </w:r>
      <w:r>
        <w:rPr>
          <w:rFonts w:eastAsia="SimSun"/>
          <w:lang w:val="it-CH" w:eastAsia="zh-CN" w:bidi="ar"/>
        </w:rPr>
        <w:tab/>
        <w:t>(lichunjie@scu.edu.cn)</w:t>
      </w:r>
    </w:p>
    <w:p w14:paraId="771D2FC8" w14:textId="77777777" w:rsidR="009D6E26" w:rsidRDefault="009D6E26">
      <w:pPr>
        <w:rPr>
          <w:rFonts w:eastAsia="SimSun"/>
          <w:lang w:val="it-CH" w:eastAsia="zh-CN" w:bidi="ar"/>
        </w:rPr>
      </w:pPr>
    </w:p>
    <w:p w14:paraId="6F84F159" w14:textId="77777777" w:rsidR="009D6E26" w:rsidRDefault="009D6E26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2CBBC56D" w:rsidR="009D6E26" w:rsidRDefault="009D6E26">
      <w:pPr>
        <w:rPr>
          <w:rFonts w:cstheme="minorHAnsi"/>
          <w:b/>
          <w:sz w:val="22"/>
          <w:szCs w:val="22"/>
          <w:lang w:val="it-CH"/>
        </w:rPr>
      </w:pPr>
    </w:p>
    <w:p w14:paraId="1667ADCD" w14:textId="77777777" w:rsidR="009D6E26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Author Questionnaire </w:t>
      </w:r>
    </w:p>
    <w:p w14:paraId="21405354" w14:textId="77777777" w:rsidR="009D6E26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77777777" w:rsidR="009D6E26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>
            <w:rPr>
              <w:rFonts w:ascii="Arial" w:eastAsia="MS Gothic" w:hAnsi="Arial" w:cstheme="minorHAnsi" w:hint="eastAsia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3D2B2D7A" w14:textId="77777777" w:rsidR="009D6E26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  <w:r>
        <w:rPr>
          <w:rFonts w:cstheme="minorHAnsi"/>
        </w:rPr>
        <w:t xml:space="preserve"> Incorrect </w:t>
      </w:r>
    </w:p>
    <w:p w14:paraId="4645B28C" w14:textId="77777777" w:rsidR="009D6E26" w:rsidRDefault="009D6E26">
      <w:pPr>
        <w:spacing w:before="120"/>
        <w:rPr>
          <w:rFonts w:cstheme="minorHAnsi"/>
        </w:rPr>
      </w:pPr>
    </w:p>
    <w:p w14:paraId="30424AD9" w14:textId="77777777" w:rsidR="009D6E26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5687F63" w14:textId="77777777" w:rsidR="009D6E26" w:rsidRDefault="009D6E26">
      <w:pPr>
        <w:ind w:firstLine="720"/>
        <w:rPr>
          <w:rFonts w:eastAsia="Times New Roman" w:cs="Calibri"/>
          <w:color w:val="222222"/>
        </w:rPr>
      </w:pPr>
    </w:p>
    <w:p w14:paraId="44EBF3D9" w14:textId="77777777" w:rsidR="009D6E26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</w:t>
      </w:r>
      <w:r>
        <w:rPr>
          <w:rFonts w:eastAsia="Times New Roman" w:cs="Calibri"/>
          <w:color w:val="222222"/>
        </w:rPr>
        <w:tab/>
        <w:t xml:space="preserve">Interview Statements are read by JoVE’s voiceover talent. </w:t>
      </w:r>
    </w:p>
    <w:p w14:paraId="2AF6A17A" w14:textId="77777777" w:rsidR="009D6E26" w:rsidRDefault="009D6E26">
      <w:pPr>
        <w:spacing w:before="120"/>
        <w:rPr>
          <w:rFonts w:eastAsia="Times New Roman" w:cstheme="minorHAnsi"/>
          <w:b/>
        </w:rPr>
      </w:pPr>
    </w:p>
    <w:p w14:paraId="1C68C2BA" w14:textId="77777777" w:rsidR="009D6E26" w:rsidRDefault="009D6E26">
      <w:pPr>
        <w:spacing w:before="120"/>
        <w:rPr>
          <w:rFonts w:eastAsia="Times New Roman" w:cstheme="minorHAnsi"/>
          <w:b/>
        </w:rPr>
      </w:pPr>
    </w:p>
    <w:p w14:paraId="603B59C8" w14:textId="285C33DF" w:rsidR="009D6E26" w:rsidRDefault="00000000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</w:p>
    <w:p w14:paraId="12FBC75A" w14:textId="77777777" w:rsidR="009D6E26" w:rsidRDefault="009D6E26">
      <w:pPr>
        <w:rPr>
          <w:rFonts w:ascii="Calibri" w:hAnsi="Calibri" w:cs="Calibri"/>
          <w:b/>
          <w:bCs/>
          <w:color w:val="222222"/>
        </w:rPr>
      </w:pPr>
    </w:p>
    <w:p w14:paraId="4D9A9953" w14:textId="743EB452" w:rsidR="009D6E26" w:rsidRDefault="009D6E26">
      <w:pPr>
        <w:rPr>
          <w:rFonts w:ascii="Calibri" w:hAnsi="Calibri" w:cs="Calibri"/>
          <w:b/>
          <w:bCs/>
          <w:color w:val="222222"/>
        </w:rPr>
      </w:pPr>
    </w:p>
    <w:p w14:paraId="6D30CBE1" w14:textId="77777777" w:rsidR="0078749F" w:rsidRDefault="0078749F" w:rsidP="0078749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8" w:history="1">
        <w:proofErr w:type="spellStart"/>
        <w:r w:rsidRPr="0093430E">
          <w:rPr>
            <w:rStyle w:val="Hyperlink"/>
          </w:rPr>
          <w:t>Junling</w:t>
        </w:r>
        <w:proofErr w:type="spellEnd"/>
        <w:r w:rsidRPr="0093430E">
          <w:rPr>
            <w:rStyle w:val="Hyperlink"/>
          </w:rPr>
          <w:t xml:space="preserve"> Cheng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830B621" w14:textId="77777777" w:rsidR="009D6E26" w:rsidRDefault="009D6E26">
      <w:pPr>
        <w:rPr>
          <w:rFonts w:ascii="Calibri" w:hAnsi="Calibri" w:cs="Calibri"/>
          <w:color w:val="000000"/>
        </w:rPr>
      </w:pPr>
    </w:p>
    <w:p w14:paraId="685E1DF4" w14:textId="77777777" w:rsidR="009D6E26" w:rsidRDefault="009D6E26">
      <w:pPr>
        <w:rPr>
          <w:rFonts w:cstheme="minorHAnsi"/>
          <w:b/>
          <w:sz w:val="22"/>
          <w:szCs w:val="22"/>
        </w:rPr>
      </w:pPr>
    </w:p>
    <w:p w14:paraId="67386C83" w14:textId="77777777" w:rsidR="009D6E26" w:rsidRDefault="009D6E26">
      <w:pPr>
        <w:rPr>
          <w:rFonts w:cstheme="minorHAnsi"/>
          <w:b/>
          <w:sz w:val="22"/>
          <w:szCs w:val="22"/>
        </w:rPr>
      </w:pPr>
    </w:p>
    <w:p w14:paraId="7AA7BBC5" w14:textId="77777777" w:rsidR="009D6E2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9D6E26" w:rsidRDefault="009D6E26">
      <w:pPr>
        <w:rPr>
          <w:rFonts w:cstheme="minorHAnsi"/>
          <w:b/>
          <w:sz w:val="22"/>
          <w:szCs w:val="22"/>
        </w:rPr>
      </w:pPr>
    </w:p>
    <w:p w14:paraId="72F5C5E6" w14:textId="77777777" w:rsidR="009D6E26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11</w:t>
      </w:r>
    </w:p>
    <w:p w14:paraId="5AAC9C6C" w14:textId="77777777" w:rsidR="009D6E26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14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9D6E2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Introduction </w:t>
      </w:r>
    </w:p>
    <w:p w14:paraId="7E8076BA" w14:textId="66E4B337" w:rsidR="009D6E26" w:rsidRDefault="00307529">
      <w:pPr>
        <w:rPr>
          <w:rFonts w:cstheme="minorHAnsi"/>
          <w:b/>
        </w:rPr>
      </w:pPr>
      <w:r w:rsidRPr="00307529">
        <w:rPr>
          <w:rFonts w:cstheme="minorHAnsi"/>
          <w:b/>
          <w:highlight w:val="green"/>
        </w:rPr>
        <w:t>NOTE to VO: Please record the introduction and conclusion statements</w:t>
      </w:r>
    </w:p>
    <w:p w14:paraId="03CD18A5" w14:textId="77777777" w:rsidR="009D6E26" w:rsidRDefault="009D6E26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D6E26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D6E26" w:rsidRDefault="009D6E26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D6E26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23D2E94" w14:textId="77777777" w:rsidR="009D6E26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030C819" w14:textId="712F81EF" w:rsidR="009D6E26" w:rsidRPr="0078749F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>This study develops a digitally guided intraoral workflow to achieve precise mandibular resection and functional reconstruction without external incisions.</w:t>
      </w:r>
    </w:p>
    <w:p w14:paraId="27C90C6D" w14:textId="527975BF" w:rsidR="0078749F" w:rsidRPr="0078749F" w:rsidRDefault="0078749F" w:rsidP="0078749F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78749F">
        <w:rPr>
          <w:rFonts w:eastAsia="Times New Roman" w:cstheme="minorHAnsi"/>
          <w:i/>
          <w:iCs w:val="0"/>
          <w:color w:val="0000FF"/>
        </w:rPr>
        <w:t xml:space="preserve"> 3.3.2</w:t>
      </w:r>
    </w:p>
    <w:p w14:paraId="5A7922F3" w14:textId="77777777" w:rsidR="009D6E26" w:rsidRDefault="009D6E26">
      <w:pPr>
        <w:rPr>
          <w:rFonts w:eastAsia="Times New Roman" w:cstheme="minorHAnsi"/>
          <w:b/>
          <w:bCs/>
        </w:rPr>
      </w:pPr>
    </w:p>
    <w:p w14:paraId="743EA322" w14:textId="77777777" w:rsidR="009D6E26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22054DE8" w14:textId="4312B2CD" w:rsidR="009D6E26" w:rsidRPr="0078749F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cstheme="minorHAnsi" w:hint="eastAsia"/>
        </w:rPr>
        <w:t xml:space="preserve">Conventional methods lack precision and require external </w:t>
      </w:r>
      <w:proofErr w:type="gramStart"/>
      <w:r>
        <w:rPr>
          <w:rFonts w:cstheme="minorHAnsi" w:hint="eastAsia"/>
        </w:rPr>
        <w:t>incisions</w:t>
      </w:r>
      <w:proofErr w:type="gramEnd"/>
      <w:r>
        <w:rPr>
          <w:rFonts w:cstheme="minorHAnsi" w:hint="eastAsia"/>
        </w:rPr>
        <w:t>; this protocol enables accurate intraoral reconstruction using digital planning.</w:t>
      </w:r>
    </w:p>
    <w:p w14:paraId="61CB49D6" w14:textId="38BB04C9" w:rsidR="0078749F" w:rsidRPr="0078749F" w:rsidRDefault="0078749F" w:rsidP="0078749F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  <w:i/>
          <w:iCs w:val="0"/>
          <w:color w:val="0000FF"/>
        </w:rPr>
      </w:pPr>
      <w:r w:rsidRPr="0078749F">
        <w:rPr>
          <w:rFonts w:cstheme="minorHAnsi"/>
          <w:i/>
          <w:iCs w:val="0"/>
          <w:color w:val="0000FF"/>
        </w:rPr>
        <w:t>2.3.1.</w:t>
      </w:r>
    </w:p>
    <w:p w14:paraId="06303ECF" w14:textId="77777777" w:rsidR="009D6E26" w:rsidRDefault="009D6E26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D6E26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D6E26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1A98A553" w14:textId="77777777" w:rsidR="0078749F" w:rsidRPr="0078749F" w:rsidRDefault="0078749F" w:rsidP="0078749F">
      <w:pPr>
        <w:pStyle w:val="ListParagraph"/>
        <w:numPr>
          <w:ilvl w:val="0"/>
          <w:numId w:val="3"/>
        </w:numPr>
        <w:spacing w:before="120"/>
        <w:rPr>
          <w:rFonts w:cstheme="minorHAnsi" w:hint="eastAsia"/>
          <w:vanish/>
        </w:rPr>
      </w:pPr>
    </w:p>
    <w:p w14:paraId="5E4E28B5" w14:textId="77777777" w:rsidR="0078749F" w:rsidRPr="0078749F" w:rsidRDefault="0078749F" w:rsidP="0078749F">
      <w:pPr>
        <w:pStyle w:val="ListParagraph"/>
        <w:numPr>
          <w:ilvl w:val="1"/>
          <w:numId w:val="3"/>
        </w:numPr>
        <w:spacing w:before="120"/>
        <w:rPr>
          <w:rFonts w:cstheme="minorHAnsi" w:hint="eastAsia"/>
          <w:vanish/>
        </w:rPr>
      </w:pPr>
    </w:p>
    <w:p w14:paraId="033BBF94" w14:textId="77777777" w:rsidR="0078749F" w:rsidRPr="0078749F" w:rsidRDefault="0078749F" w:rsidP="0078749F">
      <w:pPr>
        <w:pStyle w:val="ListParagraph"/>
        <w:numPr>
          <w:ilvl w:val="1"/>
          <w:numId w:val="3"/>
        </w:numPr>
        <w:spacing w:before="120"/>
        <w:rPr>
          <w:rFonts w:cstheme="minorHAnsi" w:hint="eastAsia"/>
          <w:vanish/>
        </w:rPr>
      </w:pPr>
    </w:p>
    <w:p w14:paraId="613EC396" w14:textId="777CA10F" w:rsidR="009D6E26" w:rsidRPr="0078749F" w:rsidRDefault="00000000" w:rsidP="0078749F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78749F">
        <w:rPr>
          <w:rFonts w:cstheme="minorHAnsi" w:hint="eastAsia"/>
        </w:rPr>
        <w:t>This protocol allows evaluation of surgical accuracy, occlusal outcomes, and functional reconstruction in mandibular defect repair.</w:t>
      </w:r>
    </w:p>
    <w:p w14:paraId="6D1B4360" w14:textId="08F0045C" w:rsidR="0078749F" w:rsidRPr="0078749F" w:rsidRDefault="0078749F" w:rsidP="0078749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78749F">
        <w:rPr>
          <w:rFonts w:cstheme="minorHAnsi"/>
          <w:i/>
          <w:iCs w:val="0"/>
          <w:color w:val="0000FF"/>
        </w:rPr>
        <w:t>3.3.1.</w:t>
      </w:r>
    </w:p>
    <w:p w14:paraId="3FE243E8" w14:textId="77777777" w:rsidR="009D6E26" w:rsidRDefault="009D6E26"/>
    <w:p w14:paraId="66540321" w14:textId="77777777" w:rsidR="009D6E26" w:rsidRDefault="00000000">
      <w:r>
        <w:t>Describe the most important consideration or challenge when performing this protocol.</w:t>
      </w:r>
    </w:p>
    <w:p w14:paraId="4008FFC0" w14:textId="29574A27" w:rsidR="009D6E26" w:rsidRPr="00307529" w:rsidRDefault="0030752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Key considerations during this protocol are precise guide placement and careful handling of the vascular pedicle, both crucial for surgical accuracy and flap viability.</w:t>
      </w:r>
    </w:p>
    <w:p w14:paraId="569BF99D" w14:textId="3437A723" w:rsidR="00307529" w:rsidRPr="00307529" w:rsidRDefault="00307529" w:rsidP="0030752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EE0000"/>
        </w:rPr>
      </w:pPr>
      <w:r w:rsidRPr="00307529">
        <w:rPr>
          <w:rFonts w:cstheme="minorHAnsi"/>
          <w:i/>
          <w:iCs w:val="0"/>
          <w:color w:val="0000FF"/>
        </w:rPr>
        <w:t>2.4.1</w:t>
      </w:r>
      <w:r w:rsidRPr="00307529">
        <w:rPr>
          <w:rFonts w:cstheme="minorHAnsi"/>
          <w:i/>
          <w:iCs w:val="0"/>
          <w:color w:val="EE0000"/>
        </w:rPr>
        <w:t>.</w:t>
      </w:r>
    </w:p>
    <w:p w14:paraId="34483EC5" w14:textId="77777777" w:rsidR="009D6E26" w:rsidRDefault="009D6E26">
      <w:pPr>
        <w:rPr>
          <w:rFonts w:eastAsia="Times New Roman" w:cstheme="minorHAnsi"/>
        </w:rPr>
      </w:pPr>
    </w:p>
    <w:p w14:paraId="0D8C7EE1" w14:textId="77777777" w:rsidR="009D6E26" w:rsidRDefault="009D6E26">
      <w:pPr>
        <w:spacing w:before="120"/>
        <w:rPr>
          <w:rFonts w:cstheme="minorHAnsi"/>
        </w:rPr>
      </w:pPr>
    </w:p>
    <w:p w14:paraId="12C619D2" w14:textId="77777777" w:rsidR="00307529" w:rsidRDefault="00307529">
      <w:pPr>
        <w:spacing w:before="120"/>
        <w:rPr>
          <w:rFonts w:cstheme="minorHAnsi"/>
        </w:rPr>
      </w:pPr>
    </w:p>
    <w:p w14:paraId="2F7F1AE4" w14:textId="77777777" w:rsidR="00307529" w:rsidRDefault="00307529">
      <w:pPr>
        <w:spacing w:before="120"/>
        <w:rPr>
          <w:rFonts w:cstheme="minorHAnsi"/>
        </w:rPr>
      </w:pPr>
    </w:p>
    <w:p w14:paraId="7B3DE1E5" w14:textId="77777777" w:rsidR="00307529" w:rsidRDefault="00307529">
      <w:pPr>
        <w:spacing w:before="120"/>
        <w:rPr>
          <w:rFonts w:cstheme="minorHAnsi"/>
        </w:rPr>
      </w:pPr>
    </w:p>
    <w:p w14:paraId="1665FD06" w14:textId="77777777" w:rsidR="009D6E26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Ethics Title Card</w:t>
      </w:r>
    </w:p>
    <w:p w14:paraId="66D538A0" w14:textId="77777777" w:rsidR="009D6E26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br/>
        <w:t>This research has been approved by the I</w:t>
      </w:r>
      <w:r>
        <w:t>nstitutional Ethics Board of West China Hospital of Stomatology. Written informed consent was obtained from the patient.</w:t>
      </w:r>
      <w:r>
        <w:rPr>
          <w:rFonts w:cstheme="minorHAnsi"/>
        </w:rPr>
        <w:br w:type="page"/>
      </w:r>
    </w:p>
    <w:p w14:paraId="1CEA460B" w14:textId="77777777" w:rsidR="009D6E26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713769B9" w14:textId="77777777" w:rsidR="009D6E26" w:rsidRDefault="00000000">
      <w:pPr>
        <w:rPr>
          <w:rFonts w:cstheme="minorHAnsi"/>
        </w:rPr>
      </w:pPr>
      <w:r>
        <w:rPr>
          <w:rFonts w:cstheme="minorHAnsi"/>
          <w:highlight w:val="green"/>
        </w:rPr>
        <w:t>NOTE: Protocol is Scripted from the provided footage</w:t>
      </w:r>
      <w:r>
        <w:rPr>
          <w:rFonts w:cstheme="minorHAnsi"/>
        </w:rPr>
        <w:t xml:space="preserve"> </w:t>
      </w:r>
    </w:p>
    <w:p w14:paraId="75DFC648" w14:textId="4A1FB779" w:rsidR="009D6E26" w:rsidRDefault="00BD119D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 w:rsidRPr="00BD119D">
        <w:rPr>
          <w:rFonts w:cstheme="minorHAnsi"/>
          <w:b/>
          <w:bCs/>
        </w:rPr>
        <w:t>Mandibular Tumor Resection Using a Patient-Specific Osteotomy Guide</w:t>
      </w:r>
    </w:p>
    <w:p w14:paraId="22279C31" w14:textId="22F61CD3" w:rsidR="009D6E26" w:rsidRPr="00307529" w:rsidRDefault="00000000" w:rsidP="0030752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</w:rPr>
        <w:t>Chunjie Li</w:t>
      </w:r>
    </w:p>
    <w:p w14:paraId="5F9248C5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Begin by performing a mucosal incision along the mandibular vestibule to expose the tumor-bearing segment while preserving the surrounding soft tissues </w:t>
      </w:r>
      <w:r>
        <w:rPr>
          <w:b/>
          <w:bCs/>
        </w:rPr>
        <w:t>[1]</w:t>
      </w:r>
      <w:r>
        <w:t>.</w:t>
      </w:r>
    </w:p>
    <w:p w14:paraId="09FE93C6" w14:textId="77777777" w:rsidR="009D6E26" w:rsidRDefault="00000000">
      <w:pPr>
        <w:pStyle w:val="ShotDescription"/>
        <w:numPr>
          <w:ilvl w:val="2"/>
          <w:numId w:val="2"/>
        </w:num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00:00:40-00:00:50, 00:09:40-00:09:50</w:t>
      </w:r>
    </w:p>
    <w:p w14:paraId="3A9EE57D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Elevate the mucoperiosteum carefully to expose the buccal surface of the mandible and ramus within the limits required for guide placement </w:t>
      </w:r>
      <w:r>
        <w:rPr>
          <w:b/>
          <w:bCs/>
        </w:rPr>
        <w:t>[1]</w:t>
      </w:r>
      <w:r>
        <w:t>.</w:t>
      </w:r>
    </w:p>
    <w:p w14:paraId="7CD6D216" w14:textId="77777777" w:rsidR="009D6E26" w:rsidRDefault="00000000">
      <w:pPr>
        <w:pStyle w:val="ShotDescription"/>
        <w:numPr>
          <w:ilvl w:val="2"/>
          <w:numId w:val="2"/>
        </w:num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00:07:30-00:07:50</w:t>
      </w:r>
    </w:p>
    <w:p w14:paraId="2408CFDA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Then, position and secure the patient-specific mandibular osteotomy guide onto the exposed bone and confirm stable, passive seating using anatomical landmarks </w:t>
      </w:r>
      <w:r>
        <w:rPr>
          <w:b/>
          <w:bCs/>
        </w:rPr>
        <w:t>[2]</w:t>
      </w:r>
      <w:r>
        <w:t>.</w:t>
      </w:r>
    </w:p>
    <w:p w14:paraId="011A9AE4" w14:textId="77777777" w:rsidR="009D6E26" w:rsidRDefault="00000000">
      <w:pPr>
        <w:pStyle w:val="ShotDescription"/>
        <w:numPr>
          <w:ilvl w:val="2"/>
          <w:numId w:val="2"/>
        </w:num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00:14:28-00:14:40</w:t>
      </w:r>
    </w:p>
    <w:p w14:paraId="5865C979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Fix the guide with temporary monocortical screws through the predesigned fixation holes to prevent intraoperative displacement by maintaining the guide in position </w:t>
      </w:r>
      <w:r>
        <w:rPr>
          <w:b/>
          <w:bCs/>
        </w:rPr>
        <w:t>[1]</w:t>
      </w:r>
      <w:r>
        <w:t>.</w:t>
      </w:r>
    </w:p>
    <w:p w14:paraId="53EF0870" w14:textId="6C5F6352" w:rsidR="009D6E26" w:rsidRPr="00307529" w:rsidRDefault="00000000" w:rsidP="00307529">
      <w:pPr>
        <w:pStyle w:val="ShotDescription"/>
        <w:numPr>
          <w:ilvl w:val="2"/>
          <w:numId w:val="2"/>
        </w:numPr>
      </w:pPr>
      <w:r>
        <w:rPr>
          <w:lang w:val="en-IN"/>
        </w:rPr>
        <w:t xml:space="preserve">LAB MEDIA: </w:t>
      </w:r>
      <w:proofErr w:type="gramStart"/>
      <w:r>
        <w:rPr>
          <w:rFonts w:hint="eastAsia"/>
        </w:rPr>
        <w:t xml:space="preserve">JoVE70838_reconstruction.mp4 </w:t>
      </w:r>
      <w:r>
        <w:t>:</w:t>
      </w:r>
      <w:proofErr w:type="gramEnd"/>
      <w:r>
        <w:t xml:space="preserve"> </w:t>
      </w:r>
      <w:r>
        <w:rPr>
          <w:lang w:val="en-IN"/>
        </w:rPr>
        <w:t>00:16:03-00:16:30</w:t>
      </w:r>
    </w:p>
    <w:p w14:paraId="3454F9E5" w14:textId="51D9A2B0" w:rsidR="009D6E26" w:rsidRDefault="00307529">
      <w:pPr>
        <w:pStyle w:val="Narration"/>
        <w:numPr>
          <w:ilvl w:val="1"/>
          <w:numId w:val="2"/>
        </w:numPr>
      </w:pPr>
      <w:r>
        <w:t>P</w:t>
      </w:r>
      <w:r w:rsidR="00000000">
        <w:t xml:space="preserve">erform the segmental osteotomies through the guide using a reciprocating saw under continuous saline irrigation to prevent thermal injury </w:t>
      </w:r>
      <w:r w:rsidR="00000000">
        <w:rPr>
          <w:b/>
          <w:bCs/>
        </w:rPr>
        <w:t>[1]</w:t>
      </w:r>
      <w:r w:rsidR="00000000">
        <w:t xml:space="preserve">. Dissect the lingual soft tissue attachments and remove the tumor-bearing mandibular segment as a single intact specimen without fragmentation </w:t>
      </w:r>
      <w:r w:rsidR="00000000">
        <w:rPr>
          <w:b/>
          <w:bCs/>
        </w:rPr>
        <w:t>[2]</w:t>
      </w:r>
      <w:r w:rsidR="00000000">
        <w:t>.</w:t>
      </w:r>
    </w:p>
    <w:p w14:paraId="3B039444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rFonts w:eastAsia="SimSun" w:hint="eastAsia"/>
          <w:lang w:eastAsia="zh-CN"/>
        </w:rPr>
        <w:t>00:16:</w:t>
      </w:r>
      <w:r>
        <w:rPr>
          <w:rFonts w:eastAsia="SimSun"/>
          <w:lang w:eastAsia="zh-CN"/>
        </w:rPr>
        <w:t>42</w:t>
      </w:r>
      <w:r>
        <w:rPr>
          <w:rFonts w:eastAsia="SimSun" w:hint="eastAsia"/>
          <w:lang w:eastAsia="zh-CN"/>
        </w:rPr>
        <w:t xml:space="preserve"> </w:t>
      </w:r>
      <w:r>
        <w:rPr>
          <w:rFonts w:eastAsia="SimSun" w:hint="eastAsia"/>
          <w:lang w:eastAsia="zh-CN"/>
        </w:rPr>
        <w:t>–</w:t>
      </w:r>
      <w:r>
        <w:rPr>
          <w:rFonts w:eastAsia="SimSun" w:hint="eastAsia"/>
          <w:lang w:eastAsia="zh-CN"/>
        </w:rPr>
        <w:t xml:space="preserve"> 00:16:55</w:t>
      </w:r>
    </w:p>
    <w:p w14:paraId="459C2A52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>: 00:17:13-00:17:25, 00:17:40-00:17:45</w:t>
      </w:r>
    </w:p>
    <w:p w14:paraId="13106BED" w14:textId="77777777" w:rsidR="009D6E26" w:rsidRDefault="009D6E26">
      <w:pPr>
        <w:pStyle w:val="ShotDescription"/>
        <w:ind w:firstLine="0"/>
        <w:rPr>
          <w:lang w:val="en-IN"/>
        </w:rPr>
      </w:pPr>
    </w:p>
    <w:p w14:paraId="678BB2CE" w14:textId="5522224A" w:rsidR="009D6E26" w:rsidRPr="00307529" w:rsidRDefault="00000000" w:rsidP="00307529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rFonts w:eastAsia="SimSun"/>
          <w:b/>
          <w:bCs/>
          <w:lang w:eastAsia="zh-CN" w:bidi="ar"/>
        </w:rPr>
        <w:t xml:space="preserve">Mandibular Reconstruction </w:t>
      </w:r>
      <w:r w:rsidR="00BD119D">
        <w:rPr>
          <w:rFonts w:eastAsia="SimSun"/>
          <w:b/>
          <w:bCs/>
          <w:lang w:eastAsia="zh-CN" w:bidi="ar"/>
        </w:rPr>
        <w:t>U</w:t>
      </w:r>
      <w:r>
        <w:rPr>
          <w:rFonts w:eastAsia="SimSun"/>
          <w:b/>
          <w:bCs/>
          <w:lang w:eastAsia="zh-CN" w:bidi="ar"/>
        </w:rPr>
        <w:t>sing a Free Vascularized Fibula Flap</w:t>
      </w:r>
    </w:p>
    <w:p w14:paraId="7809184B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Expose the fibula through a standard lateral approach. Mark the planned osteotomy lines directly on the fibular surface and verify guide positioning before bone division </w:t>
      </w:r>
      <w:r>
        <w:rPr>
          <w:b/>
          <w:bCs/>
        </w:rPr>
        <w:t>[1]</w:t>
      </w:r>
      <w:r>
        <w:t>.</w:t>
      </w:r>
    </w:p>
    <w:p w14:paraId="13049902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>: 00:35:06-00:35:</w:t>
      </w:r>
      <w:r>
        <w:rPr>
          <w:rFonts w:hint="eastAsia"/>
          <w:lang w:eastAsia="zh-CN"/>
        </w:rPr>
        <w:t>56</w:t>
      </w:r>
    </w:p>
    <w:p w14:paraId="326EA517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After performing a lateral incision over the fibula, dissect between the peroneus and soleus muscles to expose the fibula </w:t>
      </w:r>
      <w:r>
        <w:rPr>
          <w:b/>
          <w:bCs/>
        </w:rPr>
        <w:t>[1]</w:t>
      </w:r>
      <w:r>
        <w:t xml:space="preserve">. Elevate the flap while preserving the vascular pedicle and maintaining adequate pedicle length </w:t>
      </w:r>
      <w:r>
        <w:rPr>
          <w:b/>
          <w:bCs/>
        </w:rPr>
        <w:t>[2]</w:t>
      </w:r>
      <w:r>
        <w:t>.</w:t>
      </w:r>
    </w:p>
    <w:p w14:paraId="59C02225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00:42:00-00:42:15</w:t>
      </w:r>
    </w:p>
    <w:p w14:paraId="5BF5309A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00:57:58-00:58:10 </w:t>
      </w:r>
    </w:p>
    <w:p w14:paraId="5555AE4F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Then apply the patient-specific fibular osteotomy guide to the harvested fibula and perform segmental osteotomies according to the virtual surgical plan </w:t>
      </w:r>
      <w:r>
        <w:rPr>
          <w:b/>
          <w:bCs/>
        </w:rPr>
        <w:t>[1]</w:t>
      </w:r>
      <w:r>
        <w:t>.</w:t>
      </w:r>
    </w:p>
    <w:p w14:paraId="530CFB11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lang w:val="en-IN"/>
        </w:rPr>
        <w:t>01:05:37-01:05:58.</w:t>
      </w:r>
    </w:p>
    <w:p w14:paraId="4B7CC744" w14:textId="7CAC0BBE" w:rsidR="009D6E26" w:rsidRDefault="00307529">
      <w:pPr>
        <w:pStyle w:val="Narration"/>
        <w:numPr>
          <w:ilvl w:val="1"/>
          <w:numId w:val="2"/>
        </w:numPr>
      </w:pPr>
      <w:r>
        <w:t>A</w:t>
      </w:r>
      <w:r w:rsidR="00000000">
        <w:t xml:space="preserve">ccess the facial artery and vein through a minimally invasive buccal window and remove excess adventitia to prepare the recipient vessels and fibular pedicle </w:t>
      </w:r>
      <w:r w:rsidR="00000000">
        <w:rPr>
          <w:b/>
          <w:bCs/>
        </w:rPr>
        <w:t>[1]</w:t>
      </w:r>
      <w:r w:rsidR="00000000">
        <w:t>.</w:t>
      </w:r>
    </w:p>
    <w:p w14:paraId="3D048E78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 </w:t>
      </w:r>
      <w:r>
        <w:rPr>
          <w:rFonts w:eastAsia="SimSun" w:hint="eastAsia"/>
          <w:lang w:eastAsia="zh-CN"/>
        </w:rPr>
        <w:t xml:space="preserve">00:34:30 </w:t>
      </w:r>
      <w:r>
        <w:rPr>
          <w:rFonts w:eastAsia="SimSun" w:hint="eastAsia"/>
          <w:lang w:eastAsia="zh-CN"/>
        </w:rPr>
        <w:t>–</w:t>
      </w:r>
      <w:r>
        <w:rPr>
          <w:rFonts w:eastAsia="SimSun" w:hint="eastAsia"/>
          <w:lang w:eastAsia="zh-CN"/>
        </w:rPr>
        <w:t xml:space="preserve"> 00:34:55 </w:t>
      </w:r>
    </w:p>
    <w:p w14:paraId="72DA5720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Perform end-to-end microvascular anastomoses of the artery and vein using 8-0 nylon sutures and a microvascular anastomosis device under an operating microscope </w:t>
      </w:r>
      <w:r>
        <w:rPr>
          <w:b/>
          <w:bCs/>
        </w:rPr>
        <w:t>[1]</w:t>
      </w:r>
      <w:r>
        <w:t xml:space="preserve">. Then, secure the fibular segments to the native mandible using titanium screws and reconstruction plates according to the preoperative plan </w:t>
      </w:r>
      <w:r>
        <w:rPr>
          <w:b/>
          <w:bCs/>
        </w:rPr>
        <w:t>[1]</w:t>
      </w:r>
      <w:r>
        <w:t>.</w:t>
      </w:r>
    </w:p>
    <w:p w14:paraId="3D4D560B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 xml:space="preserve">:01:12:25-01:12:30, </w:t>
      </w:r>
      <w:r>
        <w:rPr>
          <w:lang w:val="en-IN"/>
        </w:rPr>
        <w:t>01:15:26-01:15:34</w:t>
      </w:r>
    </w:p>
    <w:p w14:paraId="5AC90377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>: 01:22:36-01:22:43, 01:23:05-01:23:15</w:t>
      </w:r>
    </w:p>
    <w:p w14:paraId="427012B2" w14:textId="77777777" w:rsidR="009D6E26" w:rsidRDefault="00000000">
      <w:pPr>
        <w:pStyle w:val="Narration"/>
        <w:numPr>
          <w:ilvl w:val="1"/>
          <w:numId w:val="2"/>
        </w:numPr>
      </w:pPr>
      <w:r>
        <w:t xml:space="preserve">Achieve watertight closure of the intraoral mucosa over the reconstruction plate and bone graft using absorbable sutures to minimize the risk of salivary leakage </w:t>
      </w:r>
      <w:r>
        <w:rPr>
          <w:b/>
          <w:bCs/>
        </w:rPr>
        <w:t>[1]</w:t>
      </w:r>
      <w:r>
        <w:t>.</w:t>
      </w:r>
    </w:p>
    <w:p w14:paraId="2C5A2E85" w14:textId="77777777" w:rsidR="009D6E26" w:rsidRPr="00A230FC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</w:t>
      </w:r>
      <w:r>
        <w:rPr>
          <w:rFonts w:hint="eastAsia"/>
        </w:rPr>
        <w:t xml:space="preserve">JoVE70838_reconstruction.mp4 </w:t>
      </w:r>
      <w:r>
        <w:t>: 01:38:30-1:38:50</w:t>
      </w:r>
    </w:p>
    <w:p w14:paraId="2F1B44D8" w14:textId="77777777" w:rsidR="00A230FC" w:rsidRDefault="00A230FC" w:rsidP="00A230FC">
      <w:pPr>
        <w:pStyle w:val="ShotDescription"/>
      </w:pPr>
    </w:p>
    <w:p w14:paraId="0A55A5AB" w14:textId="77777777" w:rsidR="00A230FC" w:rsidRDefault="00A230FC" w:rsidP="00A230FC">
      <w:pPr>
        <w:pStyle w:val="ShotDescription"/>
      </w:pPr>
    </w:p>
    <w:p w14:paraId="1BCD6F1E" w14:textId="77777777" w:rsidR="00A230FC" w:rsidRDefault="00A230FC" w:rsidP="00A230FC">
      <w:pPr>
        <w:pStyle w:val="ShotDescription"/>
      </w:pPr>
    </w:p>
    <w:p w14:paraId="51302114" w14:textId="77777777" w:rsidR="00A230FC" w:rsidRDefault="00A230FC" w:rsidP="00A230FC">
      <w:pPr>
        <w:pStyle w:val="ShotDescription"/>
      </w:pPr>
    </w:p>
    <w:p w14:paraId="2E6F2FA8" w14:textId="77777777" w:rsidR="00A230FC" w:rsidRDefault="00A230FC" w:rsidP="00A230FC">
      <w:pPr>
        <w:pStyle w:val="ShotDescription"/>
      </w:pPr>
    </w:p>
    <w:p w14:paraId="376BA27F" w14:textId="77777777" w:rsidR="00A230FC" w:rsidRDefault="00A230FC" w:rsidP="00A230FC">
      <w:pPr>
        <w:pStyle w:val="ShotDescription"/>
      </w:pPr>
    </w:p>
    <w:p w14:paraId="3C7E4455" w14:textId="77777777" w:rsidR="00307529" w:rsidRDefault="00307529" w:rsidP="00A230FC">
      <w:pPr>
        <w:pStyle w:val="ShotDescription"/>
      </w:pPr>
    </w:p>
    <w:p w14:paraId="342EB996" w14:textId="77777777" w:rsidR="00307529" w:rsidRDefault="00307529" w:rsidP="00A230FC">
      <w:pPr>
        <w:pStyle w:val="ShotDescription"/>
      </w:pPr>
    </w:p>
    <w:p w14:paraId="2F55C579" w14:textId="77777777" w:rsidR="00307529" w:rsidRDefault="00307529" w:rsidP="00A230FC">
      <w:pPr>
        <w:pStyle w:val="ShotDescription"/>
      </w:pPr>
    </w:p>
    <w:p w14:paraId="035263FF" w14:textId="77777777" w:rsidR="00307529" w:rsidRDefault="00307529" w:rsidP="00A230FC">
      <w:pPr>
        <w:pStyle w:val="ShotDescription"/>
      </w:pPr>
    </w:p>
    <w:p w14:paraId="09043A9A" w14:textId="77777777" w:rsidR="00A230FC" w:rsidRDefault="00A230FC" w:rsidP="00A230FC">
      <w:pPr>
        <w:pStyle w:val="ShotDescription"/>
      </w:pPr>
    </w:p>
    <w:p w14:paraId="3D4BB29E" w14:textId="77777777" w:rsidR="00A230FC" w:rsidRDefault="00A230FC" w:rsidP="00A230FC">
      <w:pPr>
        <w:pStyle w:val="ShotDescription"/>
      </w:pPr>
    </w:p>
    <w:p w14:paraId="334C64B3" w14:textId="77777777" w:rsidR="00A230FC" w:rsidRDefault="00A230FC" w:rsidP="00A230FC">
      <w:pPr>
        <w:pStyle w:val="ShotDescription"/>
        <w:rPr>
          <w:lang w:val="en-IN"/>
        </w:rPr>
      </w:pPr>
    </w:p>
    <w:p w14:paraId="3AF598C5" w14:textId="77777777" w:rsidR="009D6E26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26AB8A38" w14:textId="77777777" w:rsidR="009D6E26" w:rsidRDefault="009D6E26">
      <w:pPr>
        <w:ind w:left="360"/>
        <w:outlineLvl w:val="0"/>
        <w:rPr>
          <w:rFonts w:cstheme="minorHAnsi"/>
          <w:lang w:eastAsia="zh-TW"/>
        </w:rPr>
      </w:pPr>
    </w:p>
    <w:p w14:paraId="1DE25339" w14:textId="77777777" w:rsidR="009D6E26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9D6E26" w:rsidRDefault="009D6E2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BE4DA47" w14:textId="0806FCD3" w:rsidR="009D6E26" w:rsidRDefault="00000000">
      <w:pPr>
        <w:pStyle w:val="Narration"/>
        <w:numPr>
          <w:ilvl w:val="1"/>
          <w:numId w:val="2"/>
        </w:numPr>
      </w:pPr>
      <w:r>
        <w:t xml:space="preserve">Follow-up computed tomography at 3 months confirmed complete tumor resection and restoration of mandibular continuity </w:t>
      </w:r>
      <w:r>
        <w:rPr>
          <w:b/>
          <w:bCs/>
        </w:rPr>
        <w:t>[1].</w:t>
      </w:r>
    </w:p>
    <w:p w14:paraId="5995FF53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Highlight the continuous lower jaw line showing no missing segments</w:t>
      </w:r>
    </w:p>
    <w:p w14:paraId="6A7103EB" w14:textId="163A1BC7" w:rsidR="009D6E26" w:rsidRDefault="00000000">
      <w:pPr>
        <w:pStyle w:val="Narration"/>
        <w:numPr>
          <w:ilvl w:val="1"/>
          <w:numId w:val="2"/>
        </w:numPr>
      </w:pPr>
      <w:r>
        <w:t xml:space="preserve">The interfaces between the fibular graft and native mandibular showed solid bony union without evidence of non-union or resorption </w:t>
      </w:r>
      <w:r>
        <w:rPr>
          <w:b/>
          <w:bCs/>
        </w:rPr>
        <w:t>[1].</w:t>
      </w:r>
    </w:p>
    <w:p w14:paraId="0CB03660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5A. </w:t>
      </w:r>
      <w:r>
        <w:rPr>
          <w:i/>
          <w:iCs/>
          <w:color w:val="0000FF"/>
          <w:lang w:val="en-IN"/>
        </w:rPr>
        <w:t>Video editor: Zoom in on the junction areas where the graft meets the original bone and show the smooth connection</w:t>
      </w:r>
    </w:p>
    <w:p w14:paraId="5F22B8D8" w14:textId="1B22C981" w:rsidR="009D6E26" w:rsidRDefault="00000000">
      <w:pPr>
        <w:pStyle w:val="Narration"/>
        <w:numPr>
          <w:ilvl w:val="1"/>
          <w:numId w:val="2"/>
        </w:numPr>
      </w:pPr>
      <w:r>
        <w:t xml:space="preserve">Clinical evaluation showed </w:t>
      </w:r>
      <w:r>
        <w:rPr>
          <w:rFonts w:hint="eastAsia"/>
          <w:lang w:val="en-US" w:eastAsia="zh-CN"/>
        </w:rPr>
        <w:t>symmetrical</w:t>
      </w:r>
      <w:r>
        <w:t xml:space="preserve"> mandibular contour without visible extraoral scarring </w:t>
      </w:r>
      <w:r>
        <w:rPr>
          <w:b/>
          <w:bCs/>
        </w:rPr>
        <w:t>[1].</w:t>
      </w:r>
    </w:p>
    <w:p w14:paraId="50E16AFA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5B and C </w:t>
      </w:r>
    </w:p>
    <w:p w14:paraId="72D1DD85" w14:textId="19F66104" w:rsidR="009D6E26" w:rsidRDefault="00000000">
      <w:pPr>
        <w:pStyle w:val="Narration"/>
        <w:numPr>
          <w:ilvl w:val="1"/>
          <w:numId w:val="2"/>
        </w:numPr>
      </w:pPr>
      <w:r>
        <w:t xml:space="preserve">Intraoral examination demonstrated stable and reproducible occlusion consistent with the preoperative bite </w:t>
      </w:r>
      <w:r>
        <w:rPr>
          <w:b/>
          <w:bCs/>
        </w:rPr>
        <w:t>[1].</w:t>
      </w:r>
    </w:p>
    <w:p w14:paraId="782C3C50" w14:textId="77777777" w:rsidR="009D6E26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5D. </w:t>
      </w:r>
      <w:r>
        <w:rPr>
          <w:i/>
          <w:iCs/>
          <w:color w:val="0000FF"/>
          <w:lang w:val="en-IN"/>
        </w:rPr>
        <w:t>Video editor: Highlight the teeth alignment where the upper and lower teeth meet evenly</w:t>
      </w:r>
    </w:p>
    <w:p w14:paraId="5412B2C9" w14:textId="77777777" w:rsidR="009D6E26" w:rsidRDefault="009D6E26">
      <w:pPr>
        <w:rPr>
          <w:lang w:val="en-IN"/>
        </w:rPr>
      </w:pPr>
    </w:p>
    <w:p w14:paraId="00E4DD89" w14:textId="77777777" w:rsidR="009D6E26" w:rsidRDefault="009D6E26">
      <w:pPr>
        <w:rPr>
          <w:rFonts w:cstheme="minorHAnsi"/>
          <w:sz w:val="22"/>
          <w:szCs w:val="22"/>
        </w:rPr>
      </w:pPr>
    </w:p>
    <w:sectPr w:rsidR="009D6E26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202B6" w14:textId="77777777" w:rsidR="005F2F6E" w:rsidRDefault="005F2F6E">
      <w:r>
        <w:separator/>
      </w:r>
    </w:p>
  </w:endnote>
  <w:endnote w:type="continuationSeparator" w:id="0">
    <w:p w14:paraId="11B01B5A" w14:textId="77777777" w:rsidR="005F2F6E" w:rsidRDefault="005F2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9D6E26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D6E26" w:rsidRDefault="009D6E26">
    <w:pPr>
      <w:pStyle w:val="Footer"/>
      <w:ind w:right="360"/>
    </w:pPr>
  </w:p>
  <w:p w14:paraId="1151463A" w14:textId="77777777" w:rsidR="009D6E26" w:rsidRDefault="009D6E2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80B53B" w:rsidR="009D6E26" w:rsidRDefault="00000000" w:rsidP="00BD119D">
    <w:pPr>
      <w:pStyle w:val="Footer"/>
      <w:tabs>
        <w:tab w:val="clear" w:pos="8640"/>
        <w:tab w:val="left" w:pos="488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0A11A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Journal of Visualized Experiments</w:t>
    </w:r>
    <w:r>
      <w:rPr>
        <w:rFonts w:cstheme="minorHAnsi"/>
      </w:rPr>
      <w:tab/>
    </w:r>
    <w:r>
      <w:rPr>
        <w:rFonts w:cstheme="minorHAnsi"/>
      </w:rPr>
      <w:tab/>
    </w:r>
    <w:r w:rsidR="00BD119D">
      <w:rPr>
        <w:rFonts w:cstheme="minorHAnsi"/>
        <w:lang w:val="en-US"/>
      </w:rPr>
      <w:t xml:space="preserve">August 29, </w:t>
    </w:r>
    <w:proofErr w:type="gramStart"/>
    <w:r w:rsidR="00BD119D">
      <w:rPr>
        <w:rFonts w:cstheme="minorHAnsi"/>
        <w:lang w:val="en-US"/>
      </w:rPr>
      <w:t>2026</w:t>
    </w:r>
    <w:proofErr w:type="gramEnd"/>
    <w:r w:rsidR="00BD119D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43844" w14:textId="77777777" w:rsidR="005F2F6E" w:rsidRDefault="005F2F6E">
      <w:r>
        <w:separator/>
      </w:r>
    </w:p>
  </w:footnote>
  <w:footnote w:type="continuationSeparator" w:id="0">
    <w:p w14:paraId="1130930D" w14:textId="77777777" w:rsidR="005F2F6E" w:rsidRDefault="005F2F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C0B9E88" w:rsidR="009D6E26" w:rsidRPr="00BD119D" w:rsidRDefault="00000000" w:rsidP="00BD119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D119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D119D" w:rsidRPr="00BD119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D6E26" w:rsidRDefault="009D6E2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FA0E98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D8D892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9085613">
    <w:abstractNumId w:val="4"/>
  </w:num>
  <w:num w:numId="2" w16cid:durableId="570192095">
    <w:abstractNumId w:val="3"/>
  </w:num>
  <w:num w:numId="3" w16cid:durableId="552230604">
    <w:abstractNumId w:val="0"/>
  </w:num>
  <w:num w:numId="4" w16cid:durableId="137429594">
    <w:abstractNumId w:val="2"/>
  </w:num>
  <w:num w:numId="5" w16cid:durableId="6071272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11A6"/>
    <w:rsid w:val="000A14F8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76D5"/>
    <w:rsid w:val="000E1C29"/>
    <w:rsid w:val="000E236A"/>
    <w:rsid w:val="000E548E"/>
    <w:rsid w:val="000E6166"/>
    <w:rsid w:val="000F05F6"/>
    <w:rsid w:val="000F1A61"/>
    <w:rsid w:val="000F5F7F"/>
    <w:rsid w:val="000F6241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E15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DA7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4955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07529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274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3B5E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C3C4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5C07"/>
    <w:rsid w:val="00557116"/>
    <w:rsid w:val="0055763A"/>
    <w:rsid w:val="005611F3"/>
    <w:rsid w:val="00565757"/>
    <w:rsid w:val="00573FB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5F2F6E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8749F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2497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4734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6E26"/>
    <w:rsid w:val="009E4241"/>
    <w:rsid w:val="009F0554"/>
    <w:rsid w:val="009F356C"/>
    <w:rsid w:val="009F51F2"/>
    <w:rsid w:val="00A05E2F"/>
    <w:rsid w:val="00A07468"/>
    <w:rsid w:val="00A20DA8"/>
    <w:rsid w:val="00A218EC"/>
    <w:rsid w:val="00A230F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119D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5FC1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028B"/>
    <w:rsid w:val="00FC1DA2"/>
    <w:rsid w:val="00FD1497"/>
    <w:rsid w:val="00FE059A"/>
    <w:rsid w:val="00FF34BC"/>
    <w:rsid w:val="00FF6C56"/>
    <w:rsid w:val="00FF754B"/>
    <w:rsid w:val="33695071"/>
    <w:rsid w:val="52DA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17B526"/>
  <w14:defaultImageDpi w14:val="330"/>
  <w15:docId w15:val="{F9A55874-8557-40F1-97E5-9BAD04D6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A230FC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7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ling.cheng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056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2026-08-29T10:48:00Z</dcterms:created>
  <dcterms:modified xsi:type="dcterms:W3CDTF">2026-08-29T10:48:00Z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eyJoZGlkIjoiNzdlNDUzZWZlNzY5YjEzNmRjMzRlMzA2NjRiODRkZDAiLCJ1c2VySWQiOiI1MTc4NDYyMDEifQ==</vt:lpwstr>
  </property>
  <property fmtid="{D5CDD505-2E9C-101B-9397-08002B2CF9AE}" pid="4" name="KSOProductBuildVer">
    <vt:lpwstr>2052-12.1.0.21915</vt:lpwstr>
  </property>
  <property fmtid="{D5CDD505-2E9C-101B-9397-08002B2CF9AE}" pid="5" name="ICV">
    <vt:lpwstr>CEA105E4EF2C4883BCC36337C5FF718D_12</vt:lpwstr>
  </property>
</Properties>
</file>