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6DD3A">
      <w:pPr>
        <w:numPr>
          <w:ilvl w:val="0"/>
          <w:numId w:val="1"/>
        </w:numPr>
        <w:shd w:val="clear" w:color="auto" w:fill="FFFF00"/>
        <w:spacing w:line="0" w:lineRule="atLeas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Dataset Acquisition and Description</w:t>
      </w:r>
    </w:p>
    <w:p w14:paraId="7851FCBE">
      <w:pPr>
        <w:shd w:val="clear" w:color="auto" w:fill="FFFF00"/>
        <w:spacing w:line="0" w:lineRule="atLeas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7C59FCD5">
      <w:pPr>
        <w:pStyle w:val="29"/>
        <w:widowControl/>
        <w:numPr>
          <w:ilvl w:val="1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Obtain the dataset</w:t>
      </w:r>
    </w:p>
    <w:p w14:paraId="2345624E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6169D1">
      <w:pPr>
        <w:pStyle w:val="29"/>
        <w:widowControl/>
        <w:numPr>
          <w:ilvl w:val="2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color w:val="000000" w:themeColor="text1"/>
          <w14:textFill>
            <w14:solidFill>
              <w14:schemeClr w14:val="tx1"/>
            </w14:solidFill>
          </w14:textFill>
        </w:rPr>
        <w:t>Download the NDB-UFES multimodal dataset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35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developed by the Federal University of Espírito Santo, Brazil.</w:t>
      </w:r>
    </w:p>
    <w:p w14:paraId="3D2545C0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9F1B3E2">
      <w:pPr>
        <w:pStyle w:val="29"/>
        <w:widowControl/>
        <w:numPr>
          <w:ilvl w:val="2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Verify that the dataset contains 237 samples of histopathological images corresponding to OSCC and leukoplakia.</w:t>
      </w:r>
    </w:p>
    <w:p w14:paraId="288EDCD7">
      <w:pPr>
        <w:pStyle w:val="29"/>
        <w:shd w:val="clear" w:color="auto" w:fill="FFFF00"/>
        <w:spacing w:line="0" w:lineRule="atLeast"/>
        <w:ind w:left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BBAE1A0">
      <w:pPr>
        <w:pStyle w:val="29"/>
        <w:widowControl/>
        <w:numPr>
          <w:ilvl w:val="1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Inspect dataset contents</w:t>
      </w:r>
    </w:p>
    <w:p w14:paraId="1B6E6F79">
      <w:pPr>
        <w:pStyle w:val="29"/>
        <w:shd w:val="clear" w:color="auto" w:fill="FFFF00"/>
        <w:spacing w:line="0" w:lineRule="atLeast"/>
        <w:ind w:left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6B73F35">
      <w:pPr>
        <w:pStyle w:val="29"/>
        <w:widowControl/>
        <w:numPr>
          <w:ilvl w:val="2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Verify that the dataset includes tabular attributes such as patient_id, image_path, localization, larger_size, tobacco_use, alcohol_consumption, sun_exposure, gender, skin_color, and age_group.</w:t>
      </w:r>
    </w:p>
    <w:p w14:paraId="6F00D4AE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DEBFDF1">
      <w:pPr>
        <w:pStyle w:val="29"/>
        <w:widowControl/>
        <w:numPr>
          <w:ilvl w:val="2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Confirm that image and clinical data are available for each sample.</w:t>
      </w:r>
    </w:p>
    <w:p w14:paraId="3179BB3A">
      <w:pPr>
        <w:shd w:val="clear" w:color="auto" w:fill="FFFF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6106E26">
      <w:pPr>
        <w:pStyle w:val="29"/>
        <w:widowControl/>
        <w:numPr>
          <w:ilvl w:val="2"/>
          <w:numId w:val="2"/>
        </w:num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Refer to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Figure 2A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and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Figure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2B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for sample images of OSCC and leukoplakia, respectively.</w:t>
      </w:r>
    </w:p>
    <w:p w14:paraId="52CAE566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CCF67C0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[Place Figure 2 here]</w:t>
      </w:r>
    </w:p>
    <w:p w14:paraId="4BCC0797">
      <w:pPr>
        <w:shd w:val="clear" w:color="auto" w:fill="FFFF00"/>
        <w:spacing w:line="0" w:lineRule="atLeas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D4C19B3">
      <w:pPr>
        <w:numPr>
          <w:ilvl w:val="0"/>
          <w:numId w:val="2"/>
        </w:numPr>
        <w:shd w:val="clear" w:color="auto" w:fill="FFFF00"/>
        <w:spacing w:line="0" w:lineRule="atLeas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Clinical Data Pre-Processing</w:t>
      </w:r>
    </w:p>
    <w:p w14:paraId="1B82CCCF">
      <w:pPr>
        <w:shd w:val="clear" w:color="auto" w:fill="FFFF00"/>
        <w:spacing w:line="0" w:lineRule="atLeas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08F69C6F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2.1 Handle missing values</w:t>
      </w:r>
    </w:p>
    <w:p w14:paraId="77DC0B03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F9F773D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2.1.1 Identify missing values in the clinical dataset.</w:t>
      </w:r>
    </w:p>
    <w:p w14:paraId="33AE3075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85D56A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2.1.2 Replace missing numerical values with the mean of the respective column.</w:t>
      </w:r>
    </w:p>
    <w:p w14:paraId="75592656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820A17B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2.1.3 Replace missing categorical values with a new category labeled “Unknown.”</w:t>
      </w:r>
    </w:p>
    <w:p w14:paraId="16DFEFC9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2B5E377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2.2. Normalize clinical data</w:t>
      </w:r>
    </w:p>
    <w:p w14:paraId="76E4477C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E975888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2.2.1. Fit StandardScaler on numerical features of training data only using StandardScaler from Scikit-learn to standardize feature distributions, avoid data leakage, and facilitate fast convergence during model training.</w:t>
      </w:r>
      <w:r>
        <w:rPr>
          <w:rStyle w:val="13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Apply the same transformation to validation and test sets</w:t>
      </w:r>
      <w:r>
        <w:rPr>
          <w:rStyle w:val="13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7F2C363D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E29C462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2.2.2. Encode categorical features using LabelEncoder from Scikit-learn to assign a unique integer value to each category.</w:t>
      </w:r>
    </w:p>
    <w:p w14:paraId="035FD81E">
      <w:pPr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EF2BBB0">
      <w:pPr>
        <w:numPr>
          <w:ilvl w:val="0"/>
          <w:numId w:val="2"/>
        </w:num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Histopathological Image Pre-Processing</w:t>
      </w:r>
    </w:p>
    <w:p w14:paraId="1116F8AD">
      <w:p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394EBEFE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Load the histopathological images dynamically by matching filenames from the CSV file. </w:t>
      </w:r>
    </w:p>
    <w:p w14:paraId="1D01EE51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E205D4F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Read each image using the Python imaging library within a custom PyTorch dataset class.</w:t>
      </w:r>
    </w:p>
    <w:p w14:paraId="6AA88F4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F8D0F60">
      <w:pPr>
        <w:pStyle w:val="29"/>
        <w:spacing w:line="0" w:lineRule="atLeast"/>
        <w:ind w:left="0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3.3. Resize all histopathological images to a fixed resolution of 224 × 224 pixels.</w:t>
      </w:r>
    </w:p>
    <w:p w14:paraId="4193B06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9E2AFFD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3.4. Normalize pixel intensity values to the range [0, 1] to ensure consistency across inputs and stabilize model training.</w:t>
      </w:r>
    </w:p>
    <w:p w14:paraId="6886579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4DA7401">
      <w:pPr>
        <w:numPr>
          <w:ilvl w:val="0"/>
          <w:numId w:val="2"/>
        </w:num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Dataset Splitting</w:t>
      </w:r>
    </w:p>
    <w:p w14:paraId="4BA0F66C">
      <w:p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91A5F94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Split the dataset using five-fold group-wise stratified cross-validation implemented via StratifiedGroupKFold from sklearn.model_selection, with shuffle=True and random_state=42. </w:t>
      </w:r>
    </w:p>
    <w:p w14:paraId="03D1A28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057FFA4">
      <w:pPr>
        <w:numPr>
          <w:ilvl w:val="0"/>
          <w:numId w:val="2"/>
        </w:num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Data Augmentation</w:t>
      </w:r>
    </w:p>
    <w:p w14:paraId="2AF71AE9">
      <w:p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4D0186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5.1. Apply augmentation to the training dataset only.</w:t>
      </w:r>
    </w:p>
    <w:p w14:paraId="1E46589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BC1021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5.2. Apply random rotation within ±15°to histopathological images using Torchvision transforms.</w:t>
      </w:r>
    </w:p>
    <w:p w14:paraId="06798AB7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FCB52F6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5.3. Apply horizontal flipping with probability 0.5 using Torchvision transforms.</w:t>
      </w:r>
    </w:p>
    <w:p w14:paraId="363AA85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3581C7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5.4. Apply color jitter transformations with brightness = 0.2, contrast = 0.2, saturation = 0.1, and hue = 0.05 using Torchvision transforms.</w:t>
      </w:r>
    </w:p>
    <w:p w14:paraId="6649EB4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3CD41D5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5.5. Introduce small perturbations to numerical clinical features.</w:t>
      </w:r>
    </w:p>
    <w:p w14:paraId="307794C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693C399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5.6. Preserve categorical feature values without any modification.</w:t>
      </w:r>
    </w:p>
    <w:p w14:paraId="1DC3C9F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B277BC4">
      <w:pPr>
        <w:numPr>
          <w:ilvl w:val="0"/>
          <w:numId w:val="2"/>
        </w:num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Data Balancing</w:t>
      </w:r>
    </w:p>
    <w:p w14:paraId="34C3FE26">
      <w:p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DF9B9AA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Calculate the number of samples in each class (e.g., OSCC and leukoplakia) to identify imbalance.</w:t>
      </w:r>
    </w:p>
    <w:p w14:paraId="5054A1F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9D79B69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Compute class weights as inverse class frequency to ensure that minority classes receive higher importance during training.</w:t>
      </w:r>
    </w:p>
    <w:p w14:paraId="3F71FAF0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2B4A354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Perform weighted sampling using the WeightedRandomSampler function in PyTorch to address class imbalance issue in training.</w:t>
      </w:r>
    </w:p>
    <w:p w14:paraId="36EA94B3">
      <w:pPr>
        <w:pStyle w:val="29"/>
        <w:spacing w:line="0" w:lineRule="atLeast"/>
        <w:ind w:left="0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0575FEE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Integrate WeightedRandomSampler with DataLoader (with shuffle=False) to generate balanced mini-batches during training. </w:t>
      </w:r>
    </w:p>
    <w:p w14:paraId="1308238D">
      <w:pPr>
        <w:pStyle w:val="29"/>
        <w:spacing w:line="0" w:lineRule="atLeast"/>
        <w:ind w:left="0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3A4895E4">
      <w:pPr>
        <w:pStyle w:val="29"/>
        <w:numPr>
          <w:ilvl w:val="1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Do not apply sampling strategy to validation or test datasets.</w:t>
      </w:r>
    </w:p>
    <w:p w14:paraId="0DAB121D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6E2A48B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NOTE: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 This approach enables the model to learn effectively from underrepresented classes without altering the original dataset distribution.</w:t>
      </w:r>
    </w:p>
    <w:p w14:paraId="6FCF69AB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315CB06">
      <w:pPr>
        <w:numPr>
          <w:ilvl w:val="0"/>
          <w:numId w:val="2"/>
        </w:num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Model Architecture</w:t>
      </w:r>
    </w:p>
    <w:p w14:paraId="761A4911">
      <w:pPr>
        <w:spacing w:line="0" w:lineRule="atLeast"/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972119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 Feature encoding</w:t>
      </w:r>
    </w:p>
    <w:p w14:paraId="581A3E99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BC58A7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7.1.1. Image feature extraction</w:t>
      </w:r>
    </w:p>
    <w:p w14:paraId="045D452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933C2AA">
      <w:pPr>
        <w:numPr>
          <w:ilvl w:val="3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Load histopathological images with a resolution of 224 × 224 pixels.</w:t>
      </w:r>
    </w:p>
    <w:p w14:paraId="21BFBC2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3A17663">
      <w:pPr>
        <w:numPr>
          <w:ilvl w:val="3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Initialize EfficientNetB0 as a pre-trained CNN model using torchvision. </w:t>
      </w:r>
      <w:r>
        <w:rPr>
          <w:rFonts w:eastAsia="SimSun"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Freeze the earlier convolutional layers during training and fine-tune the last two blocks to adapt to oral lesion features.</w:t>
      </w:r>
    </w:p>
    <w:p w14:paraId="74478E7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7831C857">
      <w:pPr>
        <w:numPr>
          <w:ilvl w:val="3"/>
          <w:numId w:val="2"/>
        </w:num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Remove the final classification layer from the CNN.</w:t>
      </w:r>
    </w:p>
    <w:p w14:paraId="28DFB2B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28D7A26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7.1.1.4. Pass the input image through the CNN backbone to extract high-level feature representations.</w:t>
      </w:r>
    </w:p>
    <w:p w14:paraId="737DD1F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3CEC98F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7.1.1.5. Apply global average pooling to obtain a fixed-length feature vector.</w:t>
      </w:r>
    </w:p>
    <w:p w14:paraId="5BB52A66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0286FC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7.1.1.6. Compute image embedding 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img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) using 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Equation 1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:</w:t>
      </w:r>
    </w:p>
    <w:p w14:paraId="3A54441D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4DC5CFD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img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CNN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d>
            <m:d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img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 xml:space="preserve">.                                                                   (1) </m:t>
          </m:r>
        </m:oMath>
      </m:oMathPara>
    </w:p>
    <w:p w14:paraId="38C2897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A20CD29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7.1.2. Clinical feature extraction</w:t>
      </w:r>
    </w:p>
    <w:p w14:paraId="776B6E70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F78C901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7.1.2.1. Input processed clinical features into a clinical encoder.</w:t>
      </w:r>
    </w:p>
    <w:p w14:paraId="07C4113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7D458F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7.1.2.2. Construct the clinical encoder using a two-layer multilayer perceptron, consisting of a fully connected layer with 256 neurons and ReLU activation, followed by a second fully connected layer that maps to a 128-dimensional embedding space with ReLU activation.</w:t>
      </w:r>
    </w:p>
    <w:p w14:paraId="7865151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8E67FF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7.1.2.3. Generate a compact feature embedding representing the clinical modality.</w:t>
      </w:r>
    </w:p>
    <w:p w14:paraId="1DC7657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58C7E6B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7.1.2.4. Compute the tabular embedding 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tab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) using 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Equation 2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:</w:t>
      </w:r>
    </w:p>
    <w:p w14:paraId="79DA8FD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0CCCAB9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tab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MLP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d>
            <m:d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tab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 xml:space="preserve">.                                                                (2) </m:t>
          </m:r>
        </m:oMath>
      </m:oMathPara>
    </w:p>
    <w:p w14:paraId="5B8A0E3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A50739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7.2. Projection of extracted features into common latent space</w:t>
      </w:r>
    </w:p>
    <w:p w14:paraId="34FCA34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F090E2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7.3. Cross-attention-based multimodal fusion</w:t>
      </w:r>
    </w:p>
    <w:p w14:paraId="497018F9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C7AF49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7.3.1. Implement attention using PyTorch nn.MultiheadAttention with one attention head.</w:t>
      </w:r>
    </w:p>
    <w:p w14:paraId="4405AFB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2933440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7.3.2. Compute attention scores using scaled dot-product between Q and K.</w:t>
      </w:r>
    </w:p>
    <w:p w14:paraId="2EC5384D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F0DBC8F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7.3.3. Normalize the attention scores using the softmax function.</w:t>
      </w:r>
    </w:p>
    <w:p w14:paraId="2D07AAF1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A35B61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7.3.4. Multiply the normalized attention weights with V to obtain the context-aware representation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att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.</w:t>
      </w:r>
    </w:p>
    <w:p w14:paraId="199788B1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563BD33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7.3.5. Compute the attention output using 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Equation 6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:</w:t>
      </w:r>
    </w:p>
    <w:p w14:paraId="3E5E31A2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3EA2E11A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CrossAttention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img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tab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=softmax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W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Q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F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img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ub>
                      </m:sSub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sSubPr>
                            <m:e>
                              <m:r>
                                <m:rPr/>
                                <w:rPr>
                                  <w:rFonts w:ascii="Cambria Math" w:hAnsi="Cambria Math"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m:t>W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e>
                            <m:sub>
                              <m:r>
                                <m:rPr/>
                                <w:rPr>
                                  <w:rFonts w:ascii="Cambria Math" w:hAnsi="Cambria Math"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m:t>K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sSubPr>
                            <m:e>
                              <m:r>
                                <m:rPr/>
                                <w:rPr>
                                  <w:rFonts w:ascii="Cambria Math" w:hAnsi="Cambria Math"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m:t>F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e>
                            <m:sub>
                              <m:r>
                                <m:rPr/>
                                <w:rPr>
                                  <w:rFonts w:ascii="Cambria Math" w:hAnsi="Cambria Math"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m:t>tab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highlight w:val="yellow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sub>
                          </m:sSub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</m:d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radPr>
                    <m:deg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deg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d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ascii="Cambria Math" w:hAnsi="Cambria Math"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k</m:t>
                          </m: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highlight w:val="yellow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ub>
                      </m:sSub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highlight w:val="yellow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</m:rad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d>
            <m:d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tab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W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.      (6)</m:t>
          </m:r>
        </m:oMath>
      </m:oMathPara>
    </w:p>
    <w:p w14:paraId="09A286B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E0D3D36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7.4. Feature fusion and refinement</w:t>
      </w:r>
    </w:p>
    <w:p w14:paraId="7CF21595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6E32F49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7.4.1. Concatenate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img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att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 to obtain the fused representation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m:t>fusion</m:t>
            </m:r>
            <m:ctrlPr>
              <w:rPr>
                <w:rFonts w:ascii="Cambria Math" w:hAnsi="Cambria Math"/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 (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Equation 7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).</w:t>
      </w:r>
    </w:p>
    <w:p w14:paraId="33DDD0EC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5FA4AAA6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fusion</m:t>
              </m:r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img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ascii="Cambria Math" w:hAnsi="Cambria Math"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  <m:t>||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  <m:t>att</m:t>
                  </m:r>
                  <m:ctrlPr>
                    <w:rPr>
                      <w:rFonts w:ascii="Cambria Math" w:hAnsi="Cambria Math"/>
                      <w:i/>
                      <w:color w:val="000000" w:themeColor="text1"/>
                      <w:highlight w:val="yellow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highlight w:val="yellow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:highlight w:val="yellow"/>
              <w14:textFill>
                <w14:solidFill>
                  <w14:schemeClr w14:val="tx1"/>
                </w14:solidFill>
              </w14:textFill>
            </w:rPr>
            <m:t>.                                                             (7)</m:t>
          </m:r>
        </m:oMath>
      </m:oMathPara>
    </w:p>
    <w:p w14:paraId="4B3395FE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150E1C80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7.4.2. Pass the fused features through a fully connected layer with 128 neurons followed by ReLU activation.</w:t>
      </w:r>
    </w:p>
    <w:p w14:paraId="59680B34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</w:p>
    <w:p w14:paraId="0782A648">
      <w:pPr>
        <w:spacing w:line="0" w:lineRule="atLeast"/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7.4.3. Apply dropout regularization to reduce overfitting.</w:t>
      </w:r>
    </w:p>
    <w:p w14:paraId="3A31CA36">
      <w:pPr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2739FC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7.5. Final classification layer</w:t>
      </w:r>
    </w:p>
    <w:p w14:paraId="32E82D26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018D1EA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7.5.1. Input the fused feature representation (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sSubPr>
          <m:e>
            <m:r>
              <m:rPr/>
              <w:rPr>
                <w:rFonts w:ascii="Cambria Math" w:hAnsi="Cambria Math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:t>F</m:t>
            </m:r>
            <m:ctrlPr>
              <w:rPr>
                <w:rFonts w:ascii="Cambria Math" w:hAnsi="Cambria Math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e>
          <m:sub>
            <m:r>
              <m:rPr/>
              <w:rPr>
                <w:rFonts w:ascii="Cambria Math" w:hAnsi="Cambria Math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:t>fusion</m:t>
            </m:r>
            <m:ctrlPr>
              <w:rPr>
                <w:rFonts w:ascii="Cambria Math" w:hAnsi="Cambria Math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sub>
        </m:sSub>
      </m:oMath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) into a fully connected classification layer to obtain a new feature representation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14:textFill>
              <w14:solidFill>
                <w14:schemeClr w14:val="tx1"/>
              </w14:solidFill>
            </w14:textFill>
          </w:rPr>
          <m:t>Z</m:t>
        </m:r>
      </m:oMath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(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Equation 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).</w:t>
      </w:r>
    </w:p>
    <w:p w14:paraId="2339BFF2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9857AC1">
      <w:pPr>
        <w:shd w:val="clear" w:color="auto" w:fill="FFFF00"/>
        <w:spacing w:line="0" w:lineRule="atLeast"/>
        <w:rPr>
          <w:iCs/>
          <w:color w:val="000000" w:themeColor="text1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r>
            <m:rPr/>
            <w:rPr>
              <w:rFonts w:ascii="Cambria Math" w:hAnsi="Cambria Math"/>
              <w:color w:val="000000" w:themeColor="text1"/>
              <w14:textFill>
                <w14:solidFill>
                  <w14:schemeClr w14:val="tx1"/>
                </w14:solidFill>
              </w14:textFill>
            </w:rPr>
            <m:t>Z=σ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W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fusion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ascii="Cambria Math" w:hAnsi="Cambria Math"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b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14:textFill>
                <w14:solidFill>
                  <w14:schemeClr w14:val="tx1"/>
                </w14:solidFill>
              </w14:textFill>
            </w:rPr>
            <m:t>.                                                        (8)</m:t>
          </m:r>
        </m:oMath>
      </m:oMathPara>
    </w:p>
    <w:p w14:paraId="7EA7AD8A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8099986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7.5.2. Apply a </w:t>
      </w:r>
      <m:oMath>
        <m:r>
          <m:rPr/>
          <w:rPr>
            <w:rFonts w:ascii="Cambria Math" w:hAnsi="Cambria Math"/>
            <w:color w:val="000000" w:themeColor="text1"/>
            <w14:textFill>
              <w14:solidFill>
                <w14:schemeClr w14:val="tx1"/>
              </w14:solidFill>
            </w14:textFill>
          </w:rPr>
          <m:t>sigmoid</m:t>
        </m:r>
      </m:oMath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activation function to obtain class probabilities (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Equation 9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):</w:t>
      </w:r>
    </w:p>
    <w:p w14:paraId="53539B92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840D79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m:oMathPara>
        <m:oMathParaPr>
          <m:jc m:val="right"/>
        </m:oMathParaPr>
        <m:oMath>
          <m:acc>
            <m:accPr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accPr>
            <m:e>
              <m:r>
                <m:rPr/>
                <w:rPr>
                  <w:rFonts w:ascii="Cambria Math" w:hAnsi="Cambria Math"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acc>
          <m:r>
            <m:rPr/>
            <w:rPr>
              <w:rFonts w:ascii="Cambria Math" w:hAnsi="Cambria Math"/>
              <w:color w:val="000000" w:themeColor="text1"/>
              <w14:textFill>
                <w14:solidFill>
                  <w14:schemeClr w14:val="tx1"/>
                </w14:solidFill>
              </w14:textFill>
            </w:rPr>
            <m:t xml:space="preserve">=sigmoid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W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0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ascii="Cambria Math" w:hAnsi="Cambria Math"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  <m:t>Z+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b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m:t>0</m:t>
                  </m: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ascii="Cambria Math" w:hAnsi="Cambria Math"/>
              <w:color w:val="000000" w:themeColor="text1"/>
              <w14:textFill>
                <w14:solidFill>
                  <w14:schemeClr w14:val="tx1"/>
                </w14:solidFill>
              </w14:textFill>
            </w:rPr>
            <m:t xml:space="preserve">.                                                             (9) </m:t>
          </m:r>
        </m:oMath>
      </m:oMathPara>
    </w:p>
    <w:p w14:paraId="3C3B3EBA">
      <w:pPr>
        <w:shd w:val="clear" w:color="auto" w:fill="FFFF00"/>
        <w:spacing w:line="0" w:lineRule="atLeast"/>
        <w:rPr>
          <w:i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E8CFEC3">
      <w:pPr>
        <w:shd w:val="clear" w:color="auto" w:fill="FFFF00"/>
        <w:spacing w:line="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7.5.3. Assign the final class label based on the maximum probability score.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Vrinda">
    <w:altName w:val="AMGDT"/>
    <w:panose1 w:val="000004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76F3D"/>
    <w:multiLevelType w:val="multilevel"/>
    <w:tmpl w:val="10676F3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854AAC6"/>
    <w:multiLevelType w:val="multilevel"/>
    <w:tmpl w:val="7854AAC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90"/>
    <w:rsid w:val="006117A5"/>
    <w:rsid w:val="00E41590"/>
    <w:rsid w:val="221A34A8"/>
    <w:rsid w:val="366559E4"/>
    <w:rsid w:val="5599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Calibri" w:cs="Calibri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35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character" w:customStyle="1" w:styleId="18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35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26">
    <w:name w:val="Subtitle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793</Words>
  <Characters>4882</Characters>
  <Lines>79</Lines>
  <Paragraphs>22</Paragraphs>
  <TotalTime>13</TotalTime>
  <ScaleCrop>false</ScaleCrop>
  <LinksUpToDate>false</LinksUpToDate>
  <CharactersWithSpaces>5611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2026-04-29T08:28:00Z</dcterms:created>
  <dc:creator>Sujata Dash</dc:creator>
  <cp:lastModifiedBy>Sourav Kumar Giri</cp:lastModifiedBy>
  <dcterms:modified xsi:type="dcterms:W3CDTF">2026-04-29T11:25:34Z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eyJoZGlkIjoiNmE3NjdlM2Q2M2E4YmI0NDNiMDhiZDI1MjUwOTFlYWIiLCJ1c2VySWQiOiI1Njc0MDI0NDE0MjgifQ==</vt:lpwstr>
  </property>
  <property fmtid="{D5CDD505-2E9C-101B-9397-08002B2CF9AE}" pid="3" name="KSOProductBuildVer">
    <vt:lpwstr>1033-12.1.0.25862</vt:lpwstr>
  </property>
  <property fmtid="{D5CDD505-2E9C-101B-9397-08002B2CF9AE}" pid="4" name="ICV">
    <vt:lpwstr>A46DE403762240F8954523AFBECB7C3B_12</vt:lpwstr>
  </property>
</Properties>
</file>