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4578D2"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TITLE: </w:t>
      </w:r>
      <w:r w:rsidRPr="005D5262">
        <w:rPr>
          <w:rFonts w:ascii="Calibri" w:eastAsia="Calibri" w:hAnsi="Calibri" w:cs="Calibri"/>
          <w:color w:val="000000" w:themeColor="text1"/>
        </w:rPr>
        <w:t> </w:t>
      </w:r>
    </w:p>
    <w:p w14:paraId="00000002"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A Method for Adapting </w:t>
      </w:r>
      <w:r w:rsidRPr="005D5262">
        <w:rPr>
          <w:rFonts w:ascii="Calibri" w:eastAsia="Calibri" w:hAnsi="Calibri" w:cs="Calibri"/>
          <w:i/>
          <w:iCs/>
          <w:color w:val="000000" w:themeColor="text1"/>
        </w:rPr>
        <w:t>Euglena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to Cassava-Based Substrates for Heterotrophic Cultivation  </w:t>
      </w:r>
    </w:p>
    <w:p w14:paraId="00000003"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04"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AUTHORS AND AFFILIATIONS</w:t>
      </w:r>
      <w:r w:rsidRPr="005D5262">
        <w:rPr>
          <w:rFonts w:ascii="Calibri" w:eastAsia="Calibri" w:hAnsi="Calibri" w:cs="Calibri"/>
          <w:color w:val="000000" w:themeColor="text1"/>
        </w:rPr>
        <w:t>:  </w:t>
      </w:r>
    </w:p>
    <w:p w14:paraId="00000005"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¹Adrian Guaman Vargas, ¹Zhiyong Zhang, ²Aaron Liew, ¹Zsofia Hatvani, ²Adam Noble, ¹R. J. Neil Emery </w:t>
      </w:r>
    </w:p>
    <w:p w14:paraId="00000006"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07"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¹Department of Biology and Environmental Science, Trent University, Peterborough, Ontario, Canada </w:t>
      </w:r>
      <w:r w:rsidRPr="005D5262">
        <w:rPr>
          <w:rFonts w:ascii="Calibri" w:eastAsia="Calibri" w:hAnsi="Calibri" w:cs="Calibri"/>
          <w:color w:val="000000" w:themeColor="text1"/>
        </w:rPr>
        <w:br/>
        <w:t>²BIOSIS Global </w:t>
      </w:r>
    </w:p>
    <w:p w14:paraId="00000008" w14:textId="5C6FD4AB" w:rsidR="00EA5BF7" w:rsidRPr="005D5262" w:rsidRDefault="00EA5BF7" w:rsidP="005D5262">
      <w:pPr>
        <w:spacing w:after="0" w:line="240" w:lineRule="auto"/>
        <w:jc w:val="both"/>
        <w:rPr>
          <w:rFonts w:ascii="Calibri" w:eastAsia="Calibri" w:hAnsi="Calibri" w:cs="Calibri"/>
          <w:color w:val="000000" w:themeColor="text1"/>
        </w:rPr>
      </w:pPr>
    </w:p>
    <w:p w14:paraId="0000000A" w14:textId="05D35955" w:rsidR="00EA5BF7" w:rsidRPr="005D5262" w:rsidRDefault="00640CC3" w:rsidP="005D5262">
      <w:pPr>
        <w:spacing w:after="0" w:line="240" w:lineRule="auto"/>
        <w:rPr>
          <w:rFonts w:ascii="Calibri" w:eastAsia="Calibri" w:hAnsi="Calibri" w:cs="Calibri"/>
          <w:color w:val="000000" w:themeColor="text1"/>
        </w:rPr>
      </w:pPr>
      <w:r w:rsidRPr="005D5262">
        <w:rPr>
          <w:rFonts w:ascii="Calibri" w:eastAsia="Calibri" w:hAnsi="Calibri" w:cs="Calibri"/>
          <w:color w:val="000000" w:themeColor="text1"/>
        </w:rPr>
        <w:t> </w:t>
      </w:r>
      <w:r w:rsidRPr="005D5262">
        <w:rPr>
          <w:rFonts w:ascii="Calibri" w:eastAsia="Calibri" w:hAnsi="Calibri" w:cs="Calibri"/>
          <w:b/>
          <w:bCs/>
          <w:color w:val="000000" w:themeColor="text1"/>
        </w:rPr>
        <w:t>Email addresses of the co-authors: </w:t>
      </w:r>
      <w:r w:rsidRPr="005D5262">
        <w:rPr>
          <w:rFonts w:ascii="Calibri" w:eastAsia="Calibri" w:hAnsi="Calibri" w:cs="Calibri"/>
          <w:color w:val="000000" w:themeColor="text1"/>
        </w:rPr>
        <w:t> </w:t>
      </w:r>
      <w:r w:rsidRPr="005D5262">
        <w:rPr>
          <w:rFonts w:ascii="Calibri" w:eastAsia="Calibri" w:hAnsi="Calibri" w:cs="Calibri"/>
          <w:color w:val="000000" w:themeColor="text1"/>
        </w:rPr>
        <w:br/>
        <w:t>Adrian Guaman Varga   (</w:t>
      </w:r>
      <w:hyperlink r:id="rId6">
        <w:r w:rsidR="00EA5BF7" w:rsidRPr="005D5262">
          <w:rPr>
            <w:rFonts w:ascii="Calibri" w:eastAsia="Calibri" w:hAnsi="Calibri" w:cs="Calibri"/>
            <w:color w:val="000000" w:themeColor="text1"/>
          </w:rPr>
          <w:t>adrianguamanvargas@trentu.ca</w:t>
        </w:r>
      </w:hyperlink>
      <w:r w:rsidRPr="005D5262">
        <w:rPr>
          <w:rFonts w:ascii="Calibri" w:eastAsia="Calibri" w:hAnsi="Calibri" w:cs="Calibri"/>
          <w:color w:val="000000" w:themeColor="text1"/>
        </w:rPr>
        <w:t>) </w:t>
      </w:r>
    </w:p>
    <w:p w14:paraId="0000000B" w14:textId="52B3920E" w:rsidR="00EA5BF7" w:rsidRPr="005D5262" w:rsidRDefault="00640CC3" w:rsidP="005D5262">
      <w:pPr>
        <w:spacing w:after="0" w:line="240" w:lineRule="auto"/>
        <w:rPr>
          <w:rFonts w:ascii="Calibri" w:eastAsia="Calibri" w:hAnsi="Calibri" w:cs="Calibri"/>
          <w:color w:val="000000" w:themeColor="text1"/>
        </w:rPr>
      </w:pPr>
      <w:r w:rsidRPr="005D5262">
        <w:rPr>
          <w:rFonts w:ascii="Calibri" w:eastAsia="Calibri" w:hAnsi="Calibri" w:cs="Calibri"/>
          <w:color w:val="000000" w:themeColor="text1"/>
        </w:rPr>
        <w:t xml:space="preserve">Zhiyong Zhang            </w:t>
      </w:r>
      <w:r w:rsidR="005D5262">
        <w:rPr>
          <w:rFonts w:ascii="Calibri" w:eastAsia="Calibri" w:hAnsi="Calibri" w:cs="Calibri"/>
          <w:color w:val="000000" w:themeColor="text1"/>
        </w:rPr>
        <w:t xml:space="preserve">    </w:t>
      </w:r>
      <w:r w:rsidRPr="005D5262">
        <w:rPr>
          <w:rFonts w:ascii="Calibri" w:eastAsia="Calibri" w:hAnsi="Calibri" w:cs="Calibri"/>
          <w:color w:val="000000" w:themeColor="text1"/>
        </w:rPr>
        <w:t>(</w:t>
      </w:r>
      <w:hyperlink r:id="rId7">
        <w:r w:rsidR="00EA5BF7" w:rsidRPr="005D5262">
          <w:rPr>
            <w:rFonts w:ascii="Calibri" w:eastAsia="Calibri" w:hAnsi="Calibri" w:cs="Calibri"/>
            <w:color w:val="000000" w:themeColor="text1"/>
          </w:rPr>
          <w:t>zhiyongzhang@trentu.ca</w:t>
        </w:r>
      </w:hyperlink>
      <w:r w:rsidRPr="005D5262">
        <w:rPr>
          <w:rFonts w:ascii="Calibri" w:eastAsia="Calibri" w:hAnsi="Calibri" w:cs="Calibri"/>
          <w:color w:val="000000" w:themeColor="text1"/>
        </w:rPr>
        <w:t>) </w:t>
      </w:r>
    </w:p>
    <w:p w14:paraId="0000000C" w14:textId="71F455AF" w:rsidR="00EA5BF7" w:rsidRPr="005D5262" w:rsidRDefault="00640CC3" w:rsidP="005D5262">
      <w:pPr>
        <w:spacing w:after="0" w:line="240" w:lineRule="auto"/>
        <w:rPr>
          <w:rFonts w:ascii="Calibri" w:eastAsia="Calibri" w:hAnsi="Calibri" w:cs="Calibri"/>
          <w:color w:val="000000" w:themeColor="text1"/>
        </w:rPr>
      </w:pPr>
      <w:r w:rsidRPr="005D5262">
        <w:rPr>
          <w:rFonts w:ascii="Calibri" w:eastAsia="Calibri" w:hAnsi="Calibri" w:cs="Calibri"/>
          <w:color w:val="000000" w:themeColor="text1"/>
        </w:rPr>
        <w:t xml:space="preserve">Aaron Liew      </w:t>
      </w:r>
      <w:r w:rsidR="003E0CAA" w:rsidRPr="005D5262">
        <w:rPr>
          <w:rFonts w:ascii="Calibri" w:eastAsia="Calibri" w:hAnsi="Calibri" w:cs="Calibri"/>
          <w:color w:val="000000" w:themeColor="text1"/>
        </w:rPr>
        <w:t xml:space="preserve">          </w:t>
      </w:r>
      <w:r w:rsidRPr="005D5262">
        <w:rPr>
          <w:rFonts w:ascii="Calibri" w:eastAsia="Calibri" w:hAnsi="Calibri" w:cs="Calibri"/>
          <w:color w:val="000000" w:themeColor="text1"/>
        </w:rPr>
        <w:t xml:space="preserve"> </w:t>
      </w:r>
      <w:r w:rsidR="005D5262">
        <w:rPr>
          <w:rFonts w:ascii="Calibri" w:eastAsia="Calibri" w:hAnsi="Calibri" w:cs="Calibri"/>
          <w:color w:val="000000" w:themeColor="text1"/>
        </w:rPr>
        <w:t xml:space="preserve">     </w:t>
      </w:r>
      <w:r w:rsidRPr="005D5262">
        <w:rPr>
          <w:rFonts w:ascii="Calibri" w:eastAsia="Calibri" w:hAnsi="Calibri" w:cs="Calibri"/>
          <w:color w:val="000000" w:themeColor="text1"/>
        </w:rPr>
        <w:t>(</w:t>
      </w:r>
      <w:hyperlink r:id="rId8">
        <w:r w:rsidR="00EA5BF7" w:rsidRPr="005D5262">
          <w:rPr>
            <w:rFonts w:ascii="Calibri" w:eastAsia="Calibri" w:hAnsi="Calibri" w:cs="Calibri"/>
            <w:color w:val="000000" w:themeColor="text1"/>
          </w:rPr>
          <w:t>aaron@biosis.global</w:t>
        </w:r>
      </w:hyperlink>
      <w:r w:rsidRPr="005D5262">
        <w:rPr>
          <w:rFonts w:ascii="Calibri" w:eastAsia="Calibri" w:hAnsi="Calibri" w:cs="Calibri"/>
          <w:color w:val="000000" w:themeColor="text1"/>
        </w:rPr>
        <w:t>)  </w:t>
      </w:r>
      <w:r w:rsidRPr="005D5262">
        <w:rPr>
          <w:rFonts w:ascii="Calibri" w:eastAsia="Calibri" w:hAnsi="Calibri" w:cs="Calibri"/>
          <w:color w:val="000000" w:themeColor="text1"/>
        </w:rPr>
        <w:br/>
        <w:t xml:space="preserve">Zsofia Hatvani             </w:t>
      </w:r>
      <w:r w:rsidR="005D5262">
        <w:rPr>
          <w:rFonts w:ascii="Calibri" w:eastAsia="Calibri" w:hAnsi="Calibri" w:cs="Calibri"/>
          <w:color w:val="000000" w:themeColor="text1"/>
        </w:rPr>
        <w:t xml:space="preserve">  </w:t>
      </w:r>
      <w:r w:rsidRPr="005D5262">
        <w:rPr>
          <w:rFonts w:ascii="Calibri" w:eastAsia="Calibri" w:hAnsi="Calibri" w:cs="Calibri"/>
          <w:color w:val="000000" w:themeColor="text1"/>
        </w:rPr>
        <w:t xml:space="preserve">  (</w:t>
      </w:r>
      <w:hyperlink r:id="rId9">
        <w:r w:rsidR="00EA5BF7" w:rsidRPr="005D5262">
          <w:rPr>
            <w:rFonts w:ascii="Calibri" w:eastAsia="Calibri" w:hAnsi="Calibri" w:cs="Calibri"/>
            <w:color w:val="000000" w:themeColor="text1"/>
          </w:rPr>
          <w:t>zhatvani@trentu.ca</w:t>
        </w:r>
      </w:hyperlink>
      <w:r w:rsidRPr="005D5262">
        <w:rPr>
          <w:rFonts w:ascii="Calibri" w:eastAsia="Calibri" w:hAnsi="Calibri" w:cs="Calibri"/>
          <w:color w:val="000000" w:themeColor="text1"/>
        </w:rPr>
        <w:t>)  </w:t>
      </w:r>
    </w:p>
    <w:p w14:paraId="0000000D" w14:textId="03359773" w:rsidR="00EA5BF7" w:rsidRPr="005D5262" w:rsidRDefault="00640CC3" w:rsidP="005D5262">
      <w:pPr>
        <w:spacing w:after="0" w:line="240" w:lineRule="auto"/>
        <w:rPr>
          <w:rFonts w:ascii="Calibri" w:eastAsia="Calibri" w:hAnsi="Calibri" w:cs="Calibri"/>
          <w:color w:val="000000" w:themeColor="text1"/>
        </w:rPr>
      </w:pPr>
      <w:r w:rsidRPr="005D5262">
        <w:rPr>
          <w:rFonts w:ascii="Calibri" w:eastAsia="Calibri" w:hAnsi="Calibri" w:cs="Calibri"/>
          <w:color w:val="000000" w:themeColor="text1"/>
        </w:rPr>
        <w:t xml:space="preserve">Adam Noble             </w:t>
      </w:r>
      <w:r w:rsidR="005D5262">
        <w:rPr>
          <w:rFonts w:ascii="Calibri" w:eastAsia="Calibri" w:hAnsi="Calibri" w:cs="Calibri"/>
          <w:color w:val="000000" w:themeColor="text1"/>
        </w:rPr>
        <w:t xml:space="preserve">  </w:t>
      </w:r>
      <w:r w:rsidRPr="005D5262">
        <w:rPr>
          <w:rFonts w:ascii="Calibri" w:eastAsia="Calibri" w:hAnsi="Calibri" w:cs="Calibri"/>
          <w:color w:val="000000" w:themeColor="text1"/>
        </w:rPr>
        <w:t xml:space="preserve">     (</w:t>
      </w:r>
      <w:hyperlink r:id="rId10">
        <w:r w:rsidR="00EA5BF7" w:rsidRPr="005D5262">
          <w:rPr>
            <w:rFonts w:ascii="Calibri" w:eastAsia="Calibri" w:hAnsi="Calibri" w:cs="Calibri"/>
            <w:color w:val="000000" w:themeColor="text1"/>
          </w:rPr>
          <w:t>adam@biosis.global</w:t>
        </w:r>
      </w:hyperlink>
      <w:r w:rsidRPr="005D5262">
        <w:rPr>
          <w:rFonts w:ascii="Calibri" w:eastAsia="Calibri" w:hAnsi="Calibri" w:cs="Calibri"/>
          <w:color w:val="000000" w:themeColor="text1"/>
        </w:rPr>
        <w:t>)  </w:t>
      </w:r>
      <w:r w:rsidRPr="005D5262">
        <w:rPr>
          <w:rFonts w:ascii="Calibri" w:eastAsia="Calibri" w:hAnsi="Calibri" w:cs="Calibri"/>
          <w:color w:val="000000" w:themeColor="text1"/>
        </w:rPr>
        <w:br/>
        <w:t xml:space="preserve">R. J. Neil Emery           </w:t>
      </w:r>
      <w:r w:rsidR="005D5262">
        <w:rPr>
          <w:rFonts w:ascii="Calibri" w:eastAsia="Calibri" w:hAnsi="Calibri" w:cs="Calibri"/>
          <w:color w:val="000000" w:themeColor="text1"/>
        </w:rPr>
        <w:t xml:space="preserve">    </w:t>
      </w:r>
      <w:r w:rsidRPr="005D5262">
        <w:rPr>
          <w:rFonts w:ascii="Calibri" w:eastAsia="Calibri" w:hAnsi="Calibri" w:cs="Calibri"/>
          <w:color w:val="000000" w:themeColor="text1"/>
        </w:rPr>
        <w:t xml:space="preserve"> (</w:t>
      </w:r>
      <w:hyperlink r:id="rId11">
        <w:r w:rsidR="00EA5BF7" w:rsidRPr="005D5262">
          <w:rPr>
            <w:rFonts w:ascii="Calibri" w:eastAsia="Calibri" w:hAnsi="Calibri" w:cs="Calibri"/>
            <w:color w:val="000000" w:themeColor="text1"/>
          </w:rPr>
          <w:t>nemery@trentu.ca</w:t>
        </w:r>
      </w:hyperlink>
      <w:r w:rsidRPr="005D5262">
        <w:rPr>
          <w:rFonts w:ascii="Calibri" w:eastAsia="Calibri" w:hAnsi="Calibri" w:cs="Calibri"/>
          <w:color w:val="000000" w:themeColor="text1"/>
        </w:rPr>
        <w:t>)  </w:t>
      </w:r>
    </w:p>
    <w:p w14:paraId="0000000E" w14:textId="77777777" w:rsidR="00EA5BF7" w:rsidRPr="005D5262" w:rsidRDefault="00EA5BF7" w:rsidP="005D5262">
      <w:pPr>
        <w:spacing w:after="0" w:line="240" w:lineRule="auto"/>
        <w:rPr>
          <w:rFonts w:ascii="Calibri" w:eastAsia="Calibri" w:hAnsi="Calibri" w:cs="Calibri"/>
          <w:color w:val="000000" w:themeColor="text1"/>
        </w:rPr>
      </w:pPr>
    </w:p>
    <w:p w14:paraId="0000000F" w14:textId="456F32C1" w:rsidR="00EA5BF7" w:rsidRPr="005D5262" w:rsidRDefault="00640CC3" w:rsidP="005D5262">
      <w:pPr>
        <w:spacing w:after="0" w:line="240" w:lineRule="auto"/>
        <w:rPr>
          <w:rFonts w:ascii="Calibri" w:eastAsia="Calibri" w:hAnsi="Calibri" w:cs="Calibri"/>
          <w:color w:val="000000" w:themeColor="text1"/>
        </w:rPr>
      </w:pPr>
      <w:r w:rsidRPr="005D5262">
        <w:rPr>
          <w:rFonts w:ascii="Calibri" w:eastAsia="Calibri" w:hAnsi="Calibri" w:cs="Calibri"/>
          <w:b/>
          <w:bCs/>
          <w:color w:val="000000" w:themeColor="text1"/>
        </w:rPr>
        <w:t>*Corresponding author:</w:t>
      </w:r>
      <w:r w:rsidRPr="005D5262">
        <w:rPr>
          <w:rFonts w:ascii="Calibri" w:eastAsia="Calibri" w:hAnsi="Calibri" w:cs="Calibri"/>
          <w:color w:val="000000" w:themeColor="text1"/>
        </w:rPr>
        <w:t> </w:t>
      </w:r>
      <w:r w:rsidRPr="005D5262">
        <w:rPr>
          <w:rFonts w:ascii="Calibri" w:eastAsia="Calibri" w:hAnsi="Calibri" w:cs="Calibri"/>
          <w:color w:val="000000" w:themeColor="text1"/>
          <w:u w:val="single"/>
        </w:rPr>
        <w:br/>
      </w:r>
      <w:r w:rsidRPr="005D5262">
        <w:rPr>
          <w:rFonts w:ascii="Calibri" w:eastAsia="Calibri" w:hAnsi="Calibri" w:cs="Calibri"/>
          <w:color w:val="000000" w:themeColor="text1"/>
        </w:rPr>
        <w:t>R. J. Neil Emery                  (</w:t>
      </w:r>
      <w:hyperlink r:id="rId12">
        <w:r w:rsidR="00EA5BF7" w:rsidRPr="005D5262">
          <w:rPr>
            <w:rFonts w:ascii="Calibri" w:eastAsia="Calibri" w:hAnsi="Calibri" w:cs="Calibri"/>
            <w:color w:val="000000" w:themeColor="text1"/>
          </w:rPr>
          <w:t>nemery@trentu.ca</w:t>
        </w:r>
      </w:hyperlink>
      <w:r w:rsidRPr="005D5262">
        <w:rPr>
          <w:rFonts w:ascii="Calibri" w:eastAsia="Calibri" w:hAnsi="Calibri" w:cs="Calibri"/>
          <w:color w:val="000000" w:themeColor="text1"/>
        </w:rPr>
        <w:t>)</w:t>
      </w:r>
    </w:p>
    <w:p w14:paraId="00000010" w14:textId="77777777" w:rsidR="00EA5BF7" w:rsidRPr="005D5262" w:rsidRDefault="00640CC3" w:rsidP="005D5262">
      <w:pPr>
        <w:spacing w:after="0" w:line="240" w:lineRule="auto"/>
        <w:rPr>
          <w:rFonts w:ascii="Calibri" w:eastAsia="Calibri" w:hAnsi="Calibri" w:cs="Calibri"/>
          <w:color w:val="000000" w:themeColor="text1"/>
        </w:rPr>
      </w:pPr>
      <w:r w:rsidRPr="005D5262">
        <w:rPr>
          <w:rFonts w:ascii="Calibri" w:eastAsia="Calibri" w:hAnsi="Calibri" w:cs="Calibri"/>
          <w:color w:val="000000" w:themeColor="text1"/>
        </w:rPr>
        <w:t> </w:t>
      </w:r>
    </w:p>
    <w:p w14:paraId="00000011"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Key words: </w:t>
      </w:r>
      <w:r w:rsidRPr="005D5262">
        <w:rPr>
          <w:rFonts w:ascii="Calibri" w:eastAsia="Calibri" w:hAnsi="Calibri" w:cs="Calibri"/>
          <w:i/>
          <w:iCs/>
          <w:color w:val="000000" w:themeColor="text1"/>
        </w:rPr>
        <w:t>Euglena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cassava-based substrates, heterotrophic cultivation, microbial adaptation, agro-industrial by-product valorization, biomass production, protein yield </w:t>
      </w:r>
    </w:p>
    <w:p w14:paraId="00000012"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13"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SUMMARY: </w:t>
      </w:r>
      <w:r w:rsidRPr="005D5262">
        <w:rPr>
          <w:rFonts w:ascii="Calibri" w:eastAsia="Calibri" w:hAnsi="Calibri" w:cs="Calibri"/>
          <w:color w:val="000000" w:themeColor="text1"/>
        </w:rPr>
        <w:t> </w:t>
      </w:r>
    </w:p>
    <w:p w14:paraId="00000014"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This protocol describes the stepwise method for adapting </w:t>
      </w:r>
      <w:r w:rsidRPr="005D5262">
        <w:rPr>
          <w:rFonts w:ascii="Calibri" w:eastAsia="Calibri" w:hAnsi="Calibri" w:cs="Calibri"/>
          <w:i/>
          <w:iCs/>
          <w:color w:val="000000" w:themeColor="text1"/>
        </w:rPr>
        <w:t>Euglena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to cassava-based substrates and the subsequent evaluation of growth, viability, and biomass production across multiple cassava products under heterotrophic cultivation conditions.  </w:t>
      </w:r>
    </w:p>
    <w:p w14:paraId="00000015"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16"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ABSTRACT</w:t>
      </w:r>
      <w:r w:rsidRPr="005D5262">
        <w:rPr>
          <w:rFonts w:ascii="Calibri" w:eastAsia="Calibri" w:hAnsi="Calibri" w:cs="Calibri"/>
          <w:color w:val="000000" w:themeColor="text1"/>
        </w:rPr>
        <w:t>:</w:t>
      </w:r>
    </w:p>
    <w:p w14:paraId="0000001B" w14:textId="0E60C361"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Cassava processing generates carbohydrate-rich by-products that remain underutilized due to variable composition, cyanogenic compounds, and active microbial communities. These factors limit the direct application of many microbial cultivation systems. This protocol describes a stepwise method for adapting </w:t>
      </w:r>
      <w:r w:rsidRPr="005D5262">
        <w:rPr>
          <w:rFonts w:ascii="Calibri" w:eastAsia="Calibri" w:hAnsi="Calibri" w:cs="Calibri"/>
          <w:i/>
          <w:iCs/>
          <w:color w:val="000000" w:themeColor="text1"/>
        </w:rPr>
        <w:t>Euglena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xml:space="preserve"> to cassava-based substrates for heterotrophic cultivation under fully dark conditions in cassava-derived substrates and for evaluating strain performance across multiple cassava products. The method begins with the gradual exposure of </w:t>
      </w:r>
      <w:r w:rsidRPr="005D5262">
        <w:rPr>
          <w:rFonts w:ascii="Calibri" w:eastAsia="Calibri" w:hAnsi="Calibri" w:cs="Calibri"/>
          <w:i/>
          <w:iCs/>
          <w:color w:val="000000" w:themeColor="text1"/>
        </w:rPr>
        <w:t xml:space="preserve">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xml:space="preserve"> cultures to fermented cassava-derived media across increasing substrate concentrations, including both autoclaved and non-autoclaved conditions. Autoclaving fermented cassava media can improve short-term consistency by reducing microbial load and altering substrat</w:t>
      </w:r>
      <w:r w:rsidRPr="005D5262">
        <w:rPr>
          <w:rFonts w:ascii="Calibri" w:eastAsia="Calibri" w:hAnsi="Calibri" w:cs="Calibri"/>
          <w:color w:val="000000" w:themeColor="text1"/>
        </w:rPr>
        <w:t xml:space="preserve">e structure, while non-autoclaved media retain native microbial communities. This staged adaptation strategy enables selection of a lineage capable of maintaining viability, motility, and consistent growth under chemically and microbially complex conditions. Following </w:t>
      </w:r>
      <w:r w:rsidRPr="005D5262">
        <w:rPr>
          <w:rFonts w:ascii="Calibri" w:eastAsia="Calibri" w:hAnsi="Calibri" w:cs="Calibri"/>
          <w:color w:val="000000" w:themeColor="text1"/>
        </w:rPr>
        <w:lastRenderedPageBreak/>
        <w:t xml:space="preserve">adaptation, the resulting lineage is compared with a non-adapted wild-type strain across five cassava products, including </w:t>
      </w:r>
      <w:proofErr w:type="spellStart"/>
      <w:r w:rsidRPr="005D5262">
        <w:rPr>
          <w:rFonts w:ascii="Calibri" w:eastAsia="Calibri" w:hAnsi="Calibri" w:cs="Calibri"/>
          <w:color w:val="000000" w:themeColor="text1"/>
        </w:rPr>
        <w:t>garri</w:t>
      </w:r>
      <w:proofErr w:type="spellEnd"/>
      <w:r w:rsidRPr="005D5262">
        <w:rPr>
          <w:rFonts w:ascii="Calibri" w:eastAsia="Calibri" w:hAnsi="Calibri" w:cs="Calibri"/>
          <w:color w:val="000000" w:themeColor="text1"/>
        </w:rPr>
        <w:t>, dried pulp, pellets, peels, and animal feed.</w:t>
      </w:r>
      <w:r w:rsidR="00480CB5" w:rsidRPr="005D5262">
        <w:rPr>
          <w:rFonts w:ascii="Calibri" w:eastAsia="Calibri" w:hAnsi="Calibri" w:cs="Calibri"/>
          <w:color w:val="000000" w:themeColor="text1"/>
        </w:rPr>
        <w:t xml:space="preserve"> </w:t>
      </w:r>
      <w:r w:rsidRPr="005D5262">
        <w:rPr>
          <w:rFonts w:ascii="Calibri" w:eastAsia="Calibri" w:hAnsi="Calibri" w:cs="Calibri"/>
          <w:color w:val="000000" w:themeColor="text1"/>
        </w:rPr>
        <w:t xml:space="preserve">The protocol includes standardized procedures for monitoring culture </w:t>
      </w:r>
      <w:r w:rsidRPr="005D5262">
        <w:rPr>
          <w:rFonts w:ascii="Calibri" w:eastAsia="Calibri" w:hAnsi="Calibri" w:cs="Calibri"/>
          <w:color w:val="000000" w:themeColor="text1"/>
        </w:rPr>
        <w:t>morphology, growth dynamics, pH changes, and cyanide levels during cultivation, as well as preparation of harvested biomass for downstream protein analysis. By emphasizing gradual selective pressure, longitudinal monitoring, and reproducible handling of heterogeneous substrates, this method provides a practical framework for cultivating </w:t>
      </w:r>
      <w:r w:rsidRPr="005D5262">
        <w:rPr>
          <w:rFonts w:ascii="Calibri" w:eastAsia="Calibri" w:hAnsi="Calibri" w:cs="Calibri"/>
          <w:i/>
          <w:iCs/>
          <w:color w:val="000000" w:themeColor="text1"/>
        </w:rPr>
        <w:t>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on cassava-derived materials. The approach is applicable to laboratory and pilot-scale studies focused on microbial adaptation, waste valorization, and sustainab</w:t>
      </w:r>
      <w:r w:rsidRPr="005D5262">
        <w:rPr>
          <w:rFonts w:ascii="Calibri" w:eastAsia="Calibri" w:hAnsi="Calibri" w:cs="Calibri"/>
          <w:color w:val="000000" w:themeColor="text1"/>
        </w:rPr>
        <w:t>le biomass production using agro-industrial by-products. </w:t>
      </w:r>
    </w:p>
    <w:p w14:paraId="0000001C"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1D"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INTRODUCTION:</w:t>
      </w:r>
      <w:r w:rsidRPr="005D5262">
        <w:rPr>
          <w:rFonts w:ascii="Calibri" w:eastAsia="Calibri" w:hAnsi="Calibri" w:cs="Calibri"/>
          <w:color w:val="000000" w:themeColor="text1"/>
        </w:rPr>
        <w:t> </w:t>
      </w:r>
    </w:p>
    <w:p w14:paraId="0000001E" w14:textId="74699CD0"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Cassava (</w:t>
      </w:r>
      <w:r w:rsidRPr="005D5262">
        <w:rPr>
          <w:rFonts w:ascii="Calibri" w:eastAsia="Calibri" w:hAnsi="Calibri" w:cs="Calibri"/>
          <w:i/>
          <w:iCs/>
          <w:color w:val="000000" w:themeColor="text1"/>
        </w:rPr>
        <w:t>Manihot esculenta</w:t>
      </w:r>
      <w:r w:rsidRPr="005D5262">
        <w:rPr>
          <w:rFonts w:ascii="Calibri" w:eastAsia="Calibri" w:hAnsi="Calibri" w:cs="Calibri"/>
          <w:color w:val="000000" w:themeColor="text1"/>
        </w:rPr>
        <w:t xml:space="preserve">) is a major food and industrial crop across West </w:t>
      </w:r>
      <w:r w:rsidR="00CD461F" w:rsidRPr="005D5262">
        <w:rPr>
          <w:rFonts w:ascii="Calibri" w:eastAsia="Calibri" w:hAnsi="Calibri" w:cs="Calibri"/>
          <w:color w:val="000000" w:themeColor="text1"/>
        </w:rPr>
        <w:t>1</w:t>
      </w:r>
      <w:r w:rsidRPr="005D5262">
        <w:rPr>
          <w:rFonts w:ascii="Calibri" w:eastAsia="Calibri" w:hAnsi="Calibri" w:cs="Calibri"/>
          <w:color w:val="000000" w:themeColor="text1"/>
        </w:rPr>
        <w:t>Africa, generating processed by-products such as </w:t>
      </w:r>
      <w:proofErr w:type="spellStart"/>
      <w:r w:rsidRPr="005D5262">
        <w:rPr>
          <w:rFonts w:ascii="Calibri" w:eastAsia="Calibri" w:hAnsi="Calibri" w:cs="Calibri"/>
          <w:color w:val="000000" w:themeColor="text1"/>
        </w:rPr>
        <w:t>garri</w:t>
      </w:r>
      <w:proofErr w:type="spellEnd"/>
      <w:r w:rsidRPr="005D5262">
        <w:rPr>
          <w:rFonts w:ascii="Calibri" w:eastAsia="Calibri" w:hAnsi="Calibri" w:cs="Calibri"/>
          <w:color w:val="000000" w:themeColor="text1"/>
        </w:rPr>
        <w:t>, dried pulp, peels, and pellets</w:t>
      </w:r>
      <w:r w:rsidR="00CD461F" w:rsidRPr="005D5262">
        <w:rPr>
          <w:rFonts w:ascii="Calibri" w:eastAsia="Calibri" w:hAnsi="Calibri" w:cs="Calibri"/>
          <w:color w:val="000000" w:themeColor="text1"/>
          <w:vertAlign w:val="superscript"/>
        </w:rPr>
        <w:t>1</w:t>
      </w:r>
      <w:r w:rsidRPr="005D5262">
        <w:rPr>
          <w:rFonts w:ascii="Calibri" w:eastAsia="Calibri" w:hAnsi="Calibri" w:cs="Calibri"/>
          <w:color w:val="000000" w:themeColor="text1"/>
          <w:vertAlign w:val="superscript"/>
        </w:rPr>
        <w:t>.</w:t>
      </w:r>
      <w:r w:rsidRPr="005D5262">
        <w:rPr>
          <w:rFonts w:ascii="Calibri" w:eastAsia="Calibri" w:hAnsi="Calibri" w:cs="Calibri"/>
          <w:color w:val="000000" w:themeColor="text1"/>
        </w:rPr>
        <w:t> </w:t>
      </w:r>
    </w:p>
    <w:p w14:paraId="0000001F"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020" w14:textId="3B8C242E" w:rsidR="00EA5BF7" w:rsidRPr="005D5262" w:rsidRDefault="00640CC3" w:rsidP="005D5262">
      <w:pPr>
        <w:spacing w:after="0" w:line="240" w:lineRule="auto"/>
        <w:jc w:val="both"/>
        <w:rPr>
          <w:rFonts w:ascii="Calibri" w:eastAsia="Calibri" w:hAnsi="Calibri" w:cs="Calibri"/>
          <w:color w:val="000000" w:themeColor="text1"/>
        </w:rPr>
      </w:pPr>
      <w:sdt>
        <w:sdtPr>
          <w:rPr>
            <w:rFonts w:ascii="Calibri" w:hAnsi="Calibri" w:cs="Calibri"/>
            <w:color w:val="000000" w:themeColor="text1"/>
          </w:rPr>
          <w:tag w:val="goog_rdk_0"/>
          <w:id w:val="68727035"/>
        </w:sdtPr>
        <w:sdtEndPr/>
        <w:sdtContent/>
      </w:sdt>
      <w:r w:rsidRPr="005D5262">
        <w:rPr>
          <w:rFonts w:ascii="Calibri" w:eastAsia="Calibri" w:hAnsi="Calibri" w:cs="Calibri"/>
          <w:color w:val="000000" w:themeColor="text1"/>
        </w:rPr>
        <w:t>Cassava derived substrates are primarily composed of fermentable carbohydrates and residual nutrients as well as minor protein and fibre content although composition can vary depending on the processing conditions and source material</w:t>
      </w:r>
      <w:r w:rsidR="00CD461F" w:rsidRPr="005D5262">
        <w:rPr>
          <w:rFonts w:ascii="Calibri" w:eastAsia="Calibri" w:hAnsi="Calibri" w:cs="Calibri"/>
          <w:color w:val="000000" w:themeColor="text1"/>
          <w:vertAlign w:val="superscript"/>
        </w:rPr>
        <w:t>2</w:t>
      </w:r>
      <w:r w:rsidRPr="005D5262">
        <w:rPr>
          <w:rFonts w:ascii="Calibri" w:eastAsia="Calibri" w:hAnsi="Calibri" w:cs="Calibri"/>
          <w:color w:val="000000" w:themeColor="text1"/>
          <w:vertAlign w:val="superscript"/>
        </w:rPr>
        <w:t>,</w:t>
      </w:r>
      <w:r w:rsidR="00CD461F" w:rsidRPr="005D5262">
        <w:rPr>
          <w:rFonts w:ascii="Calibri" w:eastAsia="Calibri" w:hAnsi="Calibri" w:cs="Calibri"/>
          <w:color w:val="000000" w:themeColor="text1"/>
          <w:vertAlign w:val="superscript"/>
        </w:rPr>
        <w:t>3</w:t>
      </w:r>
      <w:r w:rsidRPr="005D5262">
        <w:rPr>
          <w:rFonts w:ascii="Calibri" w:eastAsia="Calibri" w:hAnsi="Calibri" w:cs="Calibri"/>
          <w:color w:val="000000" w:themeColor="text1"/>
        </w:rPr>
        <w:t>. They remain underutilized due to their heterogeneous composition, presence of cyanogenic glycosides, and the diverse microbial communities that arise during traditional processing and fermentation</w:t>
      </w:r>
      <w:r w:rsidRPr="005D5262">
        <w:rPr>
          <w:rFonts w:ascii="Calibri" w:eastAsia="Calibri" w:hAnsi="Calibri" w:cs="Calibri"/>
          <w:color w:val="000000" w:themeColor="text1"/>
          <w:vertAlign w:val="superscript"/>
        </w:rPr>
        <w:t>4</w:t>
      </w:r>
      <w:r w:rsidRPr="005D5262">
        <w:rPr>
          <w:rFonts w:ascii="Calibri" w:eastAsia="Calibri" w:hAnsi="Calibri" w:cs="Calibri"/>
          <w:color w:val="000000" w:themeColor="text1"/>
        </w:rPr>
        <w:t>. These characteristics present challenges for direct microbial cultivation a</w:t>
      </w:r>
      <w:r w:rsidRPr="005D5262">
        <w:rPr>
          <w:rFonts w:ascii="Calibri" w:eastAsia="Calibri" w:hAnsi="Calibri" w:cs="Calibri"/>
          <w:color w:val="000000" w:themeColor="text1"/>
        </w:rPr>
        <w:t>nd limit the integration of cassava by-products into standardized bioprocessing workflows. Despite the abundance of cassava-derived by-products, there is currently a lack of reproducible and bio-sustainable methods for cultivating microbial systems on these chemically complex and microbially active substrates. A cultivation system capable of enriching or detoxifying such a popular food source while operating reliably under these conditions would support more sustainable cassava-processing workflows and circ</w:t>
      </w:r>
      <w:r w:rsidRPr="005D5262">
        <w:rPr>
          <w:rFonts w:ascii="Calibri" w:eastAsia="Calibri" w:hAnsi="Calibri" w:cs="Calibri"/>
          <w:color w:val="000000" w:themeColor="text1"/>
        </w:rPr>
        <w:t>ular resource utilization. </w:t>
      </w:r>
    </w:p>
    <w:p w14:paraId="00000021"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22" w14:textId="51E07215"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r w:rsidRPr="005D5262">
        <w:rPr>
          <w:rFonts w:ascii="Calibri" w:eastAsia="Calibri" w:hAnsi="Calibri" w:cs="Calibri"/>
          <w:i/>
          <w:iCs/>
          <w:color w:val="000000" w:themeColor="text1"/>
        </w:rPr>
        <w:t>Euglena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is a unicellular flagellate within the Euglenozoa</w:t>
      </w:r>
      <w:r w:rsidRPr="005D5262">
        <w:rPr>
          <w:rFonts w:ascii="Calibri" w:eastAsia="Calibri" w:hAnsi="Calibri" w:cs="Calibri"/>
          <w:color w:val="000000" w:themeColor="text1"/>
          <w:vertAlign w:val="superscript"/>
        </w:rPr>
        <w:t>5,</w:t>
      </w:r>
      <w:r w:rsidRPr="005D5262">
        <w:rPr>
          <w:rFonts w:ascii="Calibri" w:eastAsia="Calibri" w:hAnsi="Calibri" w:cs="Calibri"/>
          <w:color w:val="000000" w:themeColor="text1"/>
        </w:rPr>
        <w:t xml:space="preserve"> recognized for its flexible pellicle, dynamic morphology, and reversible </w:t>
      </w:r>
      <w:proofErr w:type="spellStart"/>
      <w:r w:rsidRPr="005D5262">
        <w:rPr>
          <w:rFonts w:ascii="Calibri" w:eastAsia="Calibri" w:hAnsi="Calibri" w:cs="Calibri"/>
          <w:color w:val="000000" w:themeColor="text1"/>
        </w:rPr>
        <w:t>encystment</w:t>
      </w:r>
      <w:proofErr w:type="spellEnd"/>
      <w:r w:rsidRPr="005D5262">
        <w:rPr>
          <w:rFonts w:ascii="Calibri" w:eastAsia="Calibri" w:hAnsi="Calibri" w:cs="Calibri"/>
          <w:color w:val="000000" w:themeColor="text1"/>
        </w:rPr>
        <w:t> capabilities in response to substantial fluctuations in nutrient availability, osmotic pressure, and chemical composition</w:t>
      </w:r>
      <w:r w:rsidR="00CD461F" w:rsidRPr="005D5262">
        <w:rPr>
          <w:rFonts w:ascii="Calibri" w:eastAsia="Calibri" w:hAnsi="Calibri" w:cs="Calibri"/>
          <w:color w:val="000000" w:themeColor="text1"/>
          <w:vertAlign w:val="superscript"/>
        </w:rPr>
        <w:t>6</w:t>
      </w:r>
      <w:r w:rsidRPr="005D5262">
        <w:rPr>
          <w:rFonts w:ascii="Calibri" w:eastAsia="Calibri" w:hAnsi="Calibri" w:cs="Calibri"/>
          <w:color w:val="000000" w:themeColor="text1"/>
        </w:rPr>
        <w:t>. Its metabolic adaptability also allows it to synthesize the storage polysaccharide paramylon</w:t>
      </w:r>
      <w:r w:rsidR="00CD461F" w:rsidRPr="005D5262">
        <w:rPr>
          <w:rFonts w:ascii="Calibri" w:eastAsia="Calibri" w:hAnsi="Calibri" w:cs="Calibri"/>
          <w:color w:val="000000" w:themeColor="text1"/>
          <w:vertAlign w:val="superscript"/>
        </w:rPr>
        <w:t>6</w:t>
      </w:r>
      <w:r w:rsidRPr="005D5262">
        <w:rPr>
          <w:rFonts w:ascii="Calibri" w:eastAsia="Calibri" w:hAnsi="Calibri" w:cs="Calibri"/>
          <w:color w:val="000000" w:themeColor="text1"/>
        </w:rPr>
        <w:t> and regulate cellular pH through organic acid metabolism. These metabolic traits, particularly paramylon accumulation, may enhance energy storage and stress tolerance, supporting survival and adaptation under the variable nutrient and chemical conditions characteristic of cassava-derived subs</w:t>
      </w:r>
      <w:r w:rsidRPr="005D5262">
        <w:rPr>
          <w:rFonts w:ascii="Calibri" w:eastAsia="Calibri" w:hAnsi="Calibri" w:cs="Calibri"/>
          <w:color w:val="000000" w:themeColor="text1"/>
        </w:rPr>
        <w:t>trates. These traits enable </w:t>
      </w:r>
      <w:r w:rsidRPr="005D5262">
        <w:rPr>
          <w:rFonts w:ascii="Calibri" w:eastAsia="Calibri" w:hAnsi="Calibri" w:cs="Calibri"/>
          <w:i/>
          <w:iCs/>
          <w:color w:val="000000" w:themeColor="text1"/>
        </w:rPr>
        <w:t>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to persist</w:t>
      </w:r>
      <w:r w:rsidR="00CD461F" w:rsidRPr="005D5262">
        <w:rPr>
          <w:rFonts w:ascii="Calibri" w:eastAsia="Calibri" w:hAnsi="Calibri" w:cs="Calibri"/>
          <w:color w:val="000000" w:themeColor="text1"/>
        </w:rPr>
        <w:t xml:space="preserve"> </w:t>
      </w:r>
      <w:r w:rsidRPr="005D5262">
        <w:rPr>
          <w:rFonts w:ascii="Calibri" w:eastAsia="Calibri" w:hAnsi="Calibri" w:cs="Calibri"/>
          <w:color w:val="000000" w:themeColor="text1"/>
        </w:rPr>
        <w:t>under chemically variable freshwater conditions, making it a promising candidate for cultivation on heterogenous, non-refined substrates</w:t>
      </w:r>
      <w:r w:rsidR="00CD461F" w:rsidRPr="005D5262">
        <w:rPr>
          <w:rFonts w:ascii="Calibri" w:eastAsia="Calibri" w:hAnsi="Calibri" w:cs="Calibri"/>
          <w:color w:val="000000" w:themeColor="text1"/>
          <w:vertAlign w:val="superscript"/>
        </w:rPr>
        <w:t>7</w:t>
      </w:r>
      <w:r w:rsidRPr="005D5262">
        <w:rPr>
          <w:rFonts w:ascii="Calibri" w:eastAsia="Calibri" w:hAnsi="Calibri" w:cs="Calibri"/>
          <w:color w:val="000000" w:themeColor="text1"/>
        </w:rPr>
        <w:t>.  </w:t>
      </w:r>
    </w:p>
    <w:p w14:paraId="00000023"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24" w14:textId="050E09AE"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When exposed to chemically complex or microbially active substrates, non-adapted </w:t>
      </w:r>
      <w:r w:rsidRPr="005D5262">
        <w:rPr>
          <w:rFonts w:ascii="Calibri" w:eastAsia="Calibri" w:hAnsi="Calibri" w:cs="Calibri"/>
          <w:i/>
          <w:iCs/>
          <w:color w:val="000000" w:themeColor="text1"/>
        </w:rPr>
        <w:t>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cultures often exhibit stress responses such as increased </w:t>
      </w:r>
      <w:proofErr w:type="spellStart"/>
      <w:r w:rsidRPr="005D5262">
        <w:rPr>
          <w:rFonts w:ascii="Calibri" w:eastAsia="Calibri" w:hAnsi="Calibri" w:cs="Calibri"/>
          <w:color w:val="000000" w:themeColor="text1"/>
        </w:rPr>
        <w:t>encystment</w:t>
      </w:r>
      <w:proofErr w:type="spellEnd"/>
      <w:r w:rsidRPr="005D5262">
        <w:rPr>
          <w:rFonts w:ascii="Calibri" w:eastAsia="Calibri" w:hAnsi="Calibri" w:cs="Calibri"/>
          <w:color w:val="000000" w:themeColor="text1"/>
        </w:rPr>
        <w:t> and reduced motility, whereas adapted populations may maintain more stable morphology and metabolic activity</w:t>
      </w:r>
      <w:r w:rsidRPr="005D5262">
        <w:rPr>
          <w:rFonts w:ascii="Calibri" w:eastAsia="Calibri" w:hAnsi="Calibri" w:cs="Calibri"/>
          <w:color w:val="000000" w:themeColor="text1"/>
          <w:vertAlign w:val="superscript"/>
        </w:rPr>
        <w:t>8</w:t>
      </w:r>
      <w:r w:rsidRPr="005D5262">
        <w:rPr>
          <w:rFonts w:ascii="Calibri" w:eastAsia="Calibri" w:hAnsi="Calibri" w:cs="Calibri"/>
          <w:color w:val="000000" w:themeColor="text1"/>
        </w:rPr>
        <w:t xml:space="preserve">. Interactions with associated microbial communities may further influence physiological performance during prolonged exposure to complex substrates. These </w:t>
      </w:r>
      <w:r w:rsidRPr="005D5262">
        <w:rPr>
          <w:rFonts w:ascii="Calibri" w:eastAsia="Calibri" w:hAnsi="Calibri" w:cs="Calibri"/>
          <w:color w:val="000000" w:themeColor="text1"/>
        </w:rPr>
        <w:lastRenderedPageBreak/>
        <w:t>characteristics highlight the relevance of adaptation-based approaches when cultivating </w:t>
      </w:r>
      <w:r w:rsidRPr="005D5262">
        <w:rPr>
          <w:rFonts w:ascii="Calibri" w:eastAsia="Calibri" w:hAnsi="Calibri" w:cs="Calibri"/>
          <w:i/>
          <w:iCs/>
          <w:color w:val="000000" w:themeColor="text1"/>
        </w:rPr>
        <w:t>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on cassava-derived materials</w:t>
      </w:r>
      <w:r w:rsidR="00CD461F" w:rsidRPr="005D5262">
        <w:rPr>
          <w:rFonts w:ascii="Calibri" w:eastAsia="Calibri" w:hAnsi="Calibri" w:cs="Calibri"/>
          <w:color w:val="000000" w:themeColor="text1"/>
          <w:vertAlign w:val="superscript"/>
        </w:rPr>
        <w:t>9</w:t>
      </w:r>
      <w:r w:rsidRPr="005D5262">
        <w:rPr>
          <w:rFonts w:ascii="Calibri" w:eastAsia="Calibri" w:hAnsi="Calibri" w:cs="Calibri"/>
          <w:color w:val="000000" w:themeColor="text1"/>
        </w:rPr>
        <w:t>.  </w:t>
      </w:r>
    </w:p>
    <w:p w14:paraId="00000025"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26"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To address these challenges, this method employs a staged adaptation strategy designed to gradually acclimate </w:t>
      </w:r>
      <w:r w:rsidRPr="005D5262">
        <w:rPr>
          <w:rFonts w:ascii="Calibri" w:eastAsia="Calibri" w:hAnsi="Calibri" w:cs="Calibri"/>
          <w:i/>
          <w:iCs/>
          <w:color w:val="000000" w:themeColor="text1"/>
        </w:rPr>
        <w:t>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to cassava-derived substrates. The approach incorporates controlled exposure to increasing substrate complexity and microbial activity, allowing selection of populations capable of maintaining viability and growth under heterogeneous cultivation conditions. This design allows </w:t>
      </w:r>
      <w:r w:rsidRPr="005D5262">
        <w:rPr>
          <w:rFonts w:ascii="Calibri" w:eastAsia="Calibri" w:hAnsi="Calibri" w:cs="Calibri"/>
          <w:i/>
          <w:iCs/>
          <w:color w:val="000000" w:themeColor="text1"/>
        </w:rPr>
        <w:t>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to interact with, and potentially derive advantages from, the associated microbiota, and adapt to increasing media concentrations.  </w:t>
      </w:r>
    </w:p>
    <w:p w14:paraId="00000027"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28"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Following adaptation, the protocol leads a comparative evaluation of adapted and non-adapted </w:t>
      </w:r>
      <w:r w:rsidRPr="005D5262">
        <w:rPr>
          <w:rFonts w:ascii="Calibri" w:eastAsia="Calibri" w:hAnsi="Calibri" w:cs="Calibri"/>
          <w:i/>
          <w:iCs/>
          <w:color w:val="000000" w:themeColor="text1"/>
        </w:rPr>
        <w:t>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lineages across multiple cassava-derived products. This comparative framework allows assessment of growth consistency, morphological stability, and physiological responses under field-relevant substrate conditions, as the adaptation process gradually prepares </w:t>
      </w:r>
      <w:r w:rsidRPr="005D5262">
        <w:rPr>
          <w:rFonts w:ascii="Calibri" w:eastAsia="Calibri" w:hAnsi="Calibri" w:cs="Calibri"/>
          <w:i/>
          <w:iCs/>
          <w:color w:val="000000" w:themeColor="text1"/>
        </w:rPr>
        <w:t>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to navigate the nutrient variability, chemical stressors, and microbial activity characteristic of cassava by-products. </w:t>
      </w:r>
    </w:p>
    <w:p w14:paraId="00000029"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2A" w14:textId="6B0A14B3"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The method incorporates standardized monitoring of pH and cyanide levels</w:t>
      </w:r>
      <w:r w:rsidRPr="005D5262">
        <w:rPr>
          <w:rFonts w:ascii="Calibri" w:eastAsia="Calibri" w:hAnsi="Calibri" w:cs="Calibri"/>
          <w:color w:val="000000" w:themeColor="text1"/>
          <w:vertAlign w:val="superscript"/>
        </w:rPr>
        <w:t>1</w:t>
      </w:r>
      <w:r w:rsidR="00CD461F" w:rsidRPr="005D5262">
        <w:rPr>
          <w:rFonts w:ascii="Calibri" w:eastAsia="Calibri" w:hAnsi="Calibri" w:cs="Calibri"/>
          <w:color w:val="000000" w:themeColor="text1"/>
          <w:vertAlign w:val="superscript"/>
        </w:rPr>
        <w:t>0</w:t>
      </w:r>
      <w:r w:rsidRPr="005D5262">
        <w:rPr>
          <w:rFonts w:ascii="Calibri" w:eastAsia="Calibri" w:hAnsi="Calibri" w:cs="Calibri"/>
          <w:color w:val="000000" w:themeColor="text1"/>
        </w:rPr>
        <w:t> during cultivation, as well as preparation of harvested biomass for downstream protein analysis via total nitrogen quantification</w:t>
      </w:r>
      <w:r w:rsidRPr="005D5262">
        <w:rPr>
          <w:rFonts w:ascii="Calibri" w:eastAsia="Calibri" w:hAnsi="Calibri" w:cs="Calibri"/>
          <w:color w:val="000000" w:themeColor="text1"/>
          <w:vertAlign w:val="superscript"/>
        </w:rPr>
        <w:t>11</w:t>
      </w:r>
      <w:r w:rsidRPr="005D5262">
        <w:rPr>
          <w:rFonts w:ascii="Calibri" w:eastAsia="Calibri" w:hAnsi="Calibri" w:cs="Calibri"/>
          <w:color w:val="000000" w:themeColor="text1"/>
        </w:rPr>
        <w:t>, enabling comparison of nutritional potential across substrates and strains. Together, these measurements support evaluation of metabolic stability, substrate interactions, and biomass characteristics during cassava-based cultivation and adaptation and demonstrate that adapted </w:t>
      </w:r>
      <w:r w:rsidRPr="005D5262">
        <w:rPr>
          <w:rFonts w:ascii="Calibri" w:eastAsia="Calibri" w:hAnsi="Calibri" w:cs="Calibri"/>
          <w:i/>
          <w:iCs/>
          <w:color w:val="000000" w:themeColor="text1"/>
        </w:rPr>
        <w:t>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lineage can grow robustly and consistently across multiple cassava by-products.</w:t>
      </w:r>
    </w:p>
    <w:p w14:paraId="0000002B"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02C" w14:textId="77777777" w:rsidR="00EA5BF7" w:rsidRPr="005D5262" w:rsidRDefault="00640CC3" w:rsidP="005D5262">
      <w:pPr>
        <w:spacing w:after="0" w:line="240" w:lineRule="auto"/>
        <w:jc w:val="both"/>
        <w:rPr>
          <w:rFonts w:ascii="Calibri" w:eastAsia="Calibri" w:hAnsi="Calibri" w:cs="Calibri"/>
          <w:color w:val="000000" w:themeColor="text1"/>
        </w:rPr>
      </w:pPr>
      <w:sdt>
        <w:sdtPr>
          <w:rPr>
            <w:rFonts w:ascii="Calibri" w:hAnsi="Calibri" w:cs="Calibri"/>
            <w:color w:val="000000" w:themeColor="text1"/>
          </w:rPr>
          <w:tag w:val="goog_rdk_1"/>
          <w:id w:val="1315150904"/>
        </w:sdtPr>
        <w:sdtEndPr/>
        <w:sdtContent/>
      </w:sdt>
      <w:r w:rsidRPr="005D5262">
        <w:rPr>
          <w:rFonts w:ascii="Calibri" w:eastAsia="Calibri" w:hAnsi="Calibri" w:cs="Calibri"/>
          <w:color w:val="000000" w:themeColor="text1"/>
        </w:rPr>
        <w:t>This method is most suitable for laboratory or applied research settings with access to basic microbiological infrastructure and locally available cassava-derived substrates. Practical considerations include the need for consistent handling of heterogeneous media, access to microscopy for monitoring culture health, and careful control of mixing to avoid shear stress during cultivation.</w:t>
      </w:r>
    </w:p>
    <w:p w14:paraId="0000002D"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2E"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PROTOCOL:  </w:t>
      </w:r>
      <w:r w:rsidRPr="005D5262">
        <w:rPr>
          <w:rFonts w:ascii="Calibri" w:eastAsia="Calibri" w:hAnsi="Calibri" w:cs="Calibri"/>
          <w:color w:val="000000" w:themeColor="text1"/>
        </w:rPr>
        <w:t> </w:t>
      </w:r>
    </w:p>
    <w:p w14:paraId="0000002F"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This protocol uses non-pathogenic protists and cassava-derived plant substrates. Perform all procedures according to institutional biosafety and chemical safety requirements for cyanogenic plant materials.</w:t>
      </w:r>
    </w:p>
    <w:p w14:paraId="00000030"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31"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1. Preparation and fermentation of Cassava-based media </w:t>
      </w:r>
      <w:r w:rsidRPr="005D5262">
        <w:rPr>
          <w:rFonts w:ascii="Calibri" w:eastAsia="Calibri" w:hAnsi="Calibri" w:cs="Calibri"/>
          <w:color w:val="000000" w:themeColor="text1"/>
        </w:rPr>
        <w:t> </w:t>
      </w:r>
    </w:p>
    <w:p w14:paraId="00000032"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33"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CAUTION: Cassava-derived materials may contain cyanogenic glycosides and can release hydrogen cyanide under certain conditions. Perform all weighing, hydration, mixing, and sampling steps in a chemical fume hood. Wear a lab coat, nitrile gloves, and safety glasses. Decontaminate work surfaces after handling cassava substrates and dispose of solid and liquid waste as hazardous chemical waste according to institutional guidelines.</w:t>
      </w:r>
    </w:p>
    <w:p w14:paraId="00000034"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35" w14:textId="77777777" w:rsidR="00EA5BF7" w:rsidRPr="005D5262" w:rsidRDefault="00640CC3" w:rsidP="005D5262">
      <w:pPr>
        <w:numPr>
          <w:ilvl w:val="1"/>
          <w:numId w:val="1"/>
        </w:numPr>
        <w:pBdr>
          <w:top w:val="nil"/>
          <w:left w:val="nil"/>
          <w:bottom w:val="nil"/>
          <w:right w:val="nil"/>
          <w:between w:val="nil"/>
        </w:pBdr>
        <w:spacing w:after="0" w:line="240" w:lineRule="auto"/>
        <w:ind w:left="0" w:firstLine="0"/>
        <w:jc w:val="both"/>
        <w:rPr>
          <w:rFonts w:ascii="Calibri" w:eastAsia="Calibri" w:hAnsi="Calibri" w:cs="Calibri"/>
          <w:color w:val="000000" w:themeColor="text1"/>
        </w:rPr>
      </w:pPr>
      <w:r w:rsidRPr="005D5262">
        <w:rPr>
          <w:rFonts w:ascii="Calibri" w:eastAsia="Calibri" w:hAnsi="Calibri" w:cs="Calibri"/>
          <w:color w:val="000000" w:themeColor="text1"/>
        </w:rPr>
        <w:lastRenderedPageBreak/>
        <w:t xml:space="preserve">Prepare </w:t>
      </w:r>
      <w:proofErr w:type="spellStart"/>
      <w:r w:rsidRPr="005D5262">
        <w:rPr>
          <w:rFonts w:ascii="Calibri" w:eastAsia="Calibri" w:hAnsi="Calibri" w:cs="Calibri"/>
          <w:color w:val="000000" w:themeColor="text1"/>
        </w:rPr>
        <w:t>garri</w:t>
      </w:r>
      <w:proofErr w:type="spellEnd"/>
      <w:r w:rsidRPr="005D5262">
        <w:rPr>
          <w:rFonts w:ascii="Calibri" w:eastAsia="Calibri" w:hAnsi="Calibri" w:cs="Calibri"/>
          <w:color w:val="000000" w:themeColor="text1"/>
        </w:rPr>
        <w:t xml:space="preserve"> suspensions</w:t>
      </w:r>
    </w:p>
    <w:p w14:paraId="00000036" w14:textId="77777777" w:rsidR="00EA5BF7" w:rsidRPr="005D5262" w:rsidRDefault="00EA5BF7" w:rsidP="005D5262">
      <w:pPr>
        <w:pBdr>
          <w:top w:val="nil"/>
          <w:left w:val="nil"/>
          <w:bottom w:val="nil"/>
          <w:right w:val="nil"/>
          <w:between w:val="nil"/>
        </w:pBdr>
        <w:spacing w:after="0" w:line="240" w:lineRule="auto"/>
        <w:jc w:val="both"/>
        <w:rPr>
          <w:rFonts w:ascii="Calibri" w:eastAsia="Calibri" w:hAnsi="Calibri" w:cs="Calibri"/>
          <w:color w:val="000000" w:themeColor="text1"/>
        </w:rPr>
      </w:pPr>
    </w:p>
    <w:p w14:paraId="00000037" w14:textId="6EBE45EE" w:rsidR="00EA5BF7" w:rsidRPr="005D5262" w:rsidRDefault="00640CC3" w:rsidP="005D5262">
      <w:pPr>
        <w:pBdr>
          <w:top w:val="nil"/>
          <w:left w:val="nil"/>
          <w:bottom w:val="nil"/>
          <w:right w:val="nil"/>
          <w:between w:val="nil"/>
        </w:pBdr>
        <w:spacing w:after="0" w:line="240" w:lineRule="auto"/>
        <w:jc w:val="both"/>
        <w:rPr>
          <w:rFonts w:ascii="Calibri" w:eastAsia="Calibri" w:hAnsi="Calibri" w:cs="Calibri"/>
          <w:color w:val="000000" w:themeColor="text1"/>
        </w:rPr>
      </w:pPr>
      <w:sdt>
        <w:sdtPr>
          <w:rPr>
            <w:rFonts w:ascii="Calibri" w:hAnsi="Calibri" w:cs="Calibri"/>
            <w:color w:val="000000" w:themeColor="text1"/>
          </w:rPr>
          <w:tag w:val="goog_rdk_2"/>
          <w:id w:val="-1227423205"/>
        </w:sdtPr>
        <w:sdtEndPr/>
        <w:sdtContent/>
      </w:sdt>
      <w:r w:rsidRPr="005D5262">
        <w:rPr>
          <w:rFonts w:ascii="Calibri" w:eastAsia="Calibri" w:hAnsi="Calibri" w:cs="Calibri"/>
          <w:color w:val="000000" w:themeColor="text1"/>
        </w:rPr>
        <w:t>Note: The wild type </w:t>
      </w:r>
      <w:r w:rsidRPr="005D5262">
        <w:rPr>
          <w:rFonts w:ascii="Calibri" w:eastAsia="Calibri" w:hAnsi="Calibri" w:cs="Calibri"/>
          <w:i/>
          <w:iCs/>
          <w:color w:val="000000" w:themeColor="text1"/>
        </w:rPr>
        <w:t xml:space="preserve">Euglena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xml:space="preserve"> was cultured under constant dark conditions at 28°C with orbital shaking at 120 </w:t>
      </w:r>
      <w:r w:rsidR="009D039C" w:rsidRPr="005D5262">
        <w:rPr>
          <w:rFonts w:ascii="Calibri" w:hAnsi="Calibri" w:cs="Calibri"/>
        </w:rPr>
        <w:t xml:space="preserve">x </w:t>
      </w:r>
      <w:r w:rsidR="009D039C" w:rsidRPr="005D5262">
        <w:rPr>
          <w:rFonts w:ascii="Calibri" w:hAnsi="Calibri" w:cs="Calibri"/>
          <w:i/>
        </w:rPr>
        <w:t>g</w:t>
      </w:r>
      <w:r w:rsidRPr="005D5262">
        <w:rPr>
          <w:rFonts w:ascii="Calibri" w:eastAsia="Calibri" w:hAnsi="Calibri" w:cs="Calibri"/>
          <w:color w:val="000000" w:themeColor="text1"/>
        </w:rPr>
        <w:t>. The composition of the heterotrophic nutrient medium was prepared as a defined formulation consisting of 1.5% glucose, 0.5% yeast extract, 0.1% KH2PO4, 0.1% MgSO4, 0.2% (NH4)2SO4, 0.01% CaCL2.2H2O plus 0.4 mL/L of vitamin stock solution (Vitamin B1: 2.50g/L; Vitamin B12: 12.5</w:t>
      </w:r>
      <w:r w:rsidR="001E2301" w:rsidRPr="005D5262">
        <w:rPr>
          <w:rFonts w:ascii="Calibri" w:eastAsia="Calibri" w:hAnsi="Calibri" w:cs="Calibri"/>
          <w:color w:val="000000" w:themeColor="text1"/>
        </w:rPr>
        <w:t xml:space="preserve"> </w:t>
      </w:r>
      <w:r w:rsidRPr="005D5262">
        <w:rPr>
          <w:rFonts w:ascii="Calibri" w:eastAsia="Calibri" w:hAnsi="Calibri" w:cs="Calibri"/>
          <w:color w:val="000000" w:themeColor="text1"/>
        </w:rPr>
        <w:t>mg/L; Vitamin B6: 0.5mg/L; Vitamin B7: 0.025</w:t>
      </w:r>
      <w:r w:rsidR="001E2301" w:rsidRPr="005D5262">
        <w:rPr>
          <w:rFonts w:ascii="Calibri" w:eastAsia="Calibri" w:hAnsi="Calibri" w:cs="Calibri"/>
          <w:color w:val="000000" w:themeColor="text1"/>
        </w:rPr>
        <w:t xml:space="preserve"> </w:t>
      </w:r>
      <w:r w:rsidRPr="005D5262">
        <w:rPr>
          <w:rFonts w:ascii="Calibri" w:eastAsia="Calibri" w:hAnsi="Calibri" w:cs="Calibri"/>
          <w:color w:val="000000" w:themeColor="text1"/>
        </w:rPr>
        <w:t>mg/L) and 2.0 mL/L of Trace metal stock solution (Na2EDTA.2H2O: 25.00 g/L; FeCl3.6H2O: 21.00</w:t>
      </w:r>
      <w:r w:rsidR="001E2301" w:rsidRPr="005D5262">
        <w:rPr>
          <w:rFonts w:ascii="Calibri" w:eastAsia="Calibri" w:hAnsi="Calibri" w:cs="Calibri"/>
          <w:color w:val="000000" w:themeColor="text1"/>
        </w:rPr>
        <w:t xml:space="preserve"> </w:t>
      </w:r>
      <w:r w:rsidRPr="005D5262">
        <w:rPr>
          <w:rFonts w:ascii="Calibri" w:eastAsia="Calibri" w:hAnsi="Calibri" w:cs="Calibri"/>
          <w:color w:val="000000" w:themeColor="text1"/>
        </w:rPr>
        <w:t>g/L; ZnSO4.</w:t>
      </w:r>
      <w:r w:rsidRPr="005D5262">
        <w:rPr>
          <w:rFonts w:ascii="Calibri" w:eastAsia="Calibri" w:hAnsi="Calibri" w:cs="Calibri"/>
          <w:color w:val="000000" w:themeColor="text1"/>
        </w:rPr>
        <w:t>7H2O: 11.0 g/L; MnCl2.4H2O: 4.0 g/L; CuSO4.5H2O: 0.39 g/L; H3BO3: 0.285 g/L; Na2MoO4.2H2O: 0.9 g/L).</w:t>
      </w:r>
    </w:p>
    <w:p w14:paraId="00000038"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039"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1.1.1 Label each sterile 500 mL vented-cap flask with substrate type (</w:t>
      </w:r>
      <w:proofErr w:type="spellStart"/>
      <w:r w:rsidRPr="00215E13">
        <w:rPr>
          <w:rFonts w:ascii="Calibri" w:eastAsia="Calibri" w:hAnsi="Calibri" w:cs="Calibri"/>
          <w:color w:val="000000" w:themeColor="text1"/>
          <w:highlight w:val="yellow"/>
        </w:rPr>
        <w:t>garri</w:t>
      </w:r>
      <w:proofErr w:type="spellEnd"/>
      <w:r w:rsidRPr="00215E13">
        <w:rPr>
          <w:rFonts w:ascii="Calibri" w:eastAsia="Calibri" w:hAnsi="Calibri" w:cs="Calibri"/>
          <w:color w:val="000000" w:themeColor="text1"/>
          <w:highlight w:val="yellow"/>
        </w:rPr>
        <w:t>), target concentration (10, 20, 30, 40, or 50 g L⁻¹), replicate ID, and planned sterilization condition (autoclaved or non-autoclaved).</w:t>
      </w:r>
    </w:p>
    <w:p w14:paraId="0000003A"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3B"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1.1.2 Place a weigh boat on the analytical balance and press TARE/Zero to set the display to 0.000 g.</w:t>
      </w:r>
    </w:p>
    <w:p w14:paraId="0000003C"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3D"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 xml:space="preserve">1.1.3 Weigh </w:t>
      </w:r>
      <w:proofErr w:type="spellStart"/>
      <w:r w:rsidRPr="00215E13">
        <w:rPr>
          <w:rFonts w:ascii="Calibri" w:eastAsia="Calibri" w:hAnsi="Calibri" w:cs="Calibri"/>
          <w:color w:val="000000" w:themeColor="text1"/>
          <w:highlight w:val="yellow"/>
        </w:rPr>
        <w:t>garri</w:t>
      </w:r>
      <w:proofErr w:type="spellEnd"/>
      <w:r w:rsidRPr="00215E13">
        <w:rPr>
          <w:rFonts w:ascii="Calibri" w:eastAsia="Calibri" w:hAnsi="Calibri" w:cs="Calibri"/>
          <w:color w:val="000000" w:themeColor="text1"/>
          <w:highlight w:val="yellow"/>
        </w:rPr>
        <w:t xml:space="preserve"> to match the final working volume (e.g., for 300 mL, weigh 3.0 g for 10 g L⁻¹, 6.0 g for 20 g L⁻¹, 9.0 g for 30 g L⁻¹, 12.0 g for 40 g L⁻¹, or 15.0 g for 50 g L⁻¹).</w:t>
      </w:r>
    </w:p>
    <w:p w14:paraId="0000003E"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3F"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NOTE: The selected concentration range (10–50 g L⁻¹) was designed to span conditions from baseline growth to high substrate loading, enabling assessment of adaptation across increasing physicochemical complexity.</w:t>
      </w:r>
    </w:p>
    <w:p w14:paraId="00000040"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41"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 xml:space="preserve">1.1.4 Aseptically add the weighed </w:t>
      </w:r>
      <w:proofErr w:type="spellStart"/>
      <w:r w:rsidRPr="00215E13">
        <w:rPr>
          <w:rFonts w:ascii="Calibri" w:eastAsia="Calibri" w:hAnsi="Calibri" w:cs="Calibri"/>
          <w:color w:val="000000" w:themeColor="text1"/>
          <w:highlight w:val="yellow"/>
        </w:rPr>
        <w:t>garri</w:t>
      </w:r>
      <w:proofErr w:type="spellEnd"/>
      <w:r w:rsidRPr="00215E13">
        <w:rPr>
          <w:rFonts w:ascii="Calibri" w:eastAsia="Calibri" w:hAnsi="Calibri" w:cs="Calibri"/>
          <w:color w:val="000000" w:themeColor="text1"/>
          <w:highlight w:val="yellow"/>
        </w:rPr>
        <w:t xml:space="preserve"> into each sterile 500 mL flask containing 300 mL deionized or distilled water and reapply the vented cap.</w:t>
      </w:r>
    </w:p>
    <w:p w14:paraId="00000042"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43" w14:textId="77777777" w:rsidR="00EA5BF7" w:rsidRPr="005D5262"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highlight w:val="yellow"/>
        </w:rPr>
        <w:t>1.1.5 Mix each suspension for 3 min, until the mixture is homogenized using one of the following approaches.</w:t>
      </w:r>
    </w:p>
    <w:p w14:paraId="00000044"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045" w14:textId="77777777" w:rsidR="00EA5BF7" w:rsidRPr="005D5262" w:rsidRDefault="00640CC3" w:rsidP="005D5262">
      <w:pPr>
        <w:spacing w:after="0" w:line="240" w:lineRule="auto"/>
        <w:jc w:val="both"/>
        <w:rPr>
          <w:rFonts w:ascii="Calibri" w:eastAsia="Calibri" w:hAnsi="Calibri" w:cs="Calibri"/>
          <w:color w:val="000000" w:themeColor="text1"/>
        </w:rPr>
      </w:pPr>
      <w:sdt>
        <w:sdtPr>
          <w:rPr>
            <w:rFonts w:ascii="Calibri" w:hAnsi="Calibri" w:cs="Calibri"/>
            <w:color w:val="000000" w:themeColor="text1"/>
          </w:rPr>
          <w:tag w:val="goog_rdk_3"/>
          <w:id w:val="-182221931"/>
        </w:sdtPr>
        <w:sdtEndPr/>
        <w:sdtContent/>
      </w:sdt>
      <w:r w:rsidRPr="005D5262">
        <w:rPr>
          <w:rFonts w:ascii="Calibri" w:eastAsia="Calibri" w:hAnsi="Calibri" w:cs="Calibri"/>
          <w:color w:val="000000" w:themeColor="text1"/>
        </w:rPr>
        <w:t xml:space="preserve">NOTE: </w:t>
      </w:r>
      <w:r w:rsidRPr="005D5262">
        <w:rPr>
          <w:rFonts w:ascii="Calibri" w:eastAsia="Calibri" w:hAnsi="Calibri" w:cs="Calibri"/>
          <w:i/>
          <w:iCs/>
          <w:color w:val="000000" w:themeColor="text1"/>
        </w:rPr>
        <w:t xml:space="preserve">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xml:space="preserve"> is sensitive to mechanical shear; therefore, mixing conditions were selected to minimize agitation-induced stress while maintaining adequate contact between cells and substrate.</w:t>
      </w:r>
    </w:p>
    <w:p w14:paraId="00000046"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047"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1.</w:t>
      </w:r>
      <w:r w:rsidRPr="00215E13">
        <w:rPr>
          <w:rFonts w:ascii="Calibri" w:eastAsia="Calibri" w:hAnsi="Calibri" w:cs="Calibri"/>
          <w:color w:val="000000" w:themeColor="text1"/>
          <w:highlight w:val="yellow"/>
        </w:rPr>
        <w:t>1.5.1 For manual mixing, tighten the vented cap and swirl the flask by hand in a circular motion for 3 min until solids are evenly dispersed.</w:t>
      </w:r>
    </w:p>
    <w:p w14:paraId="00000048"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49" w14:textId="61DA068F"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 xml:space="preserve">1.1.5.2 For magnetic stirring, aseptically add a sterile stir bar to the flask, place the flask on a stir plate, and set the speed to 200 </w:t>
      </w:r>
      <w:r w:rsidR="009D039C" w:rsidRPr="00215E13">
        <w:rPr>
          <w:rFonts w:ascii="Calibri" w:hAnsi="Calibri" w:cs="Calibri"/>
          <w:highlight w:val="yellow"/>
        </w:rPr>
        <w:t xml:space="preserve">x </w:t>
      </w:r>
      <w:r w:rsidR="009D039C" w:rsidRPr="00215E13">
        <w:rPr>
          <w:rFonts w:ascii="Calibri" w:hAnsi="Calibri" w:cs="Calibri"/>
          <w:i/>
          <w:highlight w:val="yellow"/>
        </w:rPr>
        <w:t>g</w:t>
      </w:r>
      <w:r w:rsidRPr="00215E13">
        <w:rPr>
          <w:rFonts w:ascii="Calibri" w:eastAsia="Calibri" w:hAnsi="Calibri" w:cs="Calibri"/>
          <w:color w:val="000000" w:themeColor="text1"/>
          <w:highlight w:val="yellow"/>
        </w:rPr>
        <w:t xml:space="preserve"> to form a shallow vortex without splashing.</w:t>
      </w:r>
    </w:p>
    <w:p w14:paraId="0000004A"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4B"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1.1.6 Allow the suspension to hydrate undisturbed for 10 min at room temperature (25 °C).</w:t>
      </w:r>
    </w:p>
    <w:p w14:paraId="0000004C"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4D" w14:textId="319C53D3" w:rsidR="00EA5BF7" w:rsidRPr="005D5262"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highlight w:val="yellow"/>
        </w:rPr>
        <w:lastRenderedPageBreak/>
        <w:t xml:space="preserve">1.1.7 Immediately prior to fermentation, gently homogenize the mixture by first tightening the vent cap and swirling the flasks by hand for 5 </w:t>
      </w:r>
      <w:r w:rsidR="003E0CAA" w:rsidRPr="00215E13">
        <w:rPr>
          <w:rFonts w:ascii="Calibri" w:eastAsia="Calibri" w:hAnsi="Calibri" w:cs="Calibri"/>
          <w:color w:val="000000" w:themeColor="text1"/>
          <w:highlight w:val="yellow"/>
        </w:rPr>
        <w:t>times to</w:t>
      </w:r>
      <w:r w:rsidRPr="00215E13">
        <w:rPr>
          <w:rFonts w:ascii="Calibri" w:eastAsia="Calibri" w:hAnsi="Calibri" w:cs="Calibri"/>
          <w:color w:val="000000" w:themeColor="text1"/>
          <w:highlight w:val="yellow"/>
        </w:rPr>
        <w:t xml:space="preserve"> resuspend settled material.</w:t>
      </w:r>
    </w:p>
    <w:p w14:paraId="0000004E"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04F"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xml:space="preserve">NOTE: The </w:t>
      </w:r>
      <w:proofErr w:type="spellStart"/>
      <w:r w:rsidRPr="005D5262">
        <w:rPr>
          <w:rFonts w:ascii="Calibri" w:eastAsia="Calibri" w:hAnsi="Calibri" w:cs="Calibri"/>
          <w:color w:val="000000" w:themeColor="text1"/>
        </w:rPr>
        <w:t>garri</w:t>
      </w:r>
      <w:proofErr w:type="spellEnd"/>
      <w:r w:rsidRPr="005D5262">
        <w:rPr>
          <w:rFonts w:ascii="Calibri" w:eastAsia="Calibri" w:hAnsi="Calibri" w:cs="Calibri"/>
          <w:color w:val="000000" w:themeColor="text1"/>
        </w:rPr>
        <w:t xml:space="preserve"> used in this study was a commercially available cassava-derived product. Based on manufacturer-provided nutritional information, it primarily consisted of carbohydrates, with minor amounts of protein and negligible fat content. This composition reflects typical processed cassava substrates used in food and industrial contexts.</w:t>
      </w:r>
    </w:p>
    <w:p w14:paraId="00000050"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051"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1</w:t>
      </w:r>
      <w:r w:rsidRPr="00215E13">
        <w:rPr>
          <w:rFonts w:ascii="Calibri" w:eastAsia="Calibri" w:hAnsi="Calibri" w:cs="Calibri"/>
          <w:color w:val="000000" w:themeColor="text1"/>
        </w:rPr>
        <w:t>.2 Prepare additional cassava-product media</w:t>
      </w:r>
    </w:p>
    <w:p w14:paraId="00000052"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53"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1.2.1 Label each sterile 500 mL vented-cap flask with substrate type (dried pulp, pellets, peels, or animal feed), concentration (30 g L⁻¹), replicate ID, and sterilization condition (autoclaved or non-autoclaved).</w:t>
      </w:r>
    </w:p>
    <w:p w14:paraId="00000054"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55"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 xml:space="preserve">1.2.2 Place a weigh boat on the </w:t>
      </w:r>
      <w:sdt>
        <w:sdtPr>
          <w:rPr>
            <w:rFonts w:ascii="Calibri" w:hAnsi="Calibri" w:cs="Calibri"/>
            <w:color w:val="000000" w:themeColor="text1"/>
            <w:highlight w:val="yellow"/>
          </w:rPr>
          <w:tag w:val="goog_rdk_4"/>
          <w:id w:val="148623996"/>
        </w:sdtPr>
        <w:sdtEndPr/>
        <w:sdtContent/>
      </w:sdt>
      <w:r w:rsidRPr="00215E13">
        <w:rPr>
          <w:rFonts w:ascii="Calibri" w:eastAsia="Calibri" w:hAnsi="Calibri" w:cs="Calibri"/>
          <w:color w:val="000000" w:themeColor="text1"/>
          <w:highlight w:val="yellow"/>
        </w:rPr>
        <w:t>analytical balance and press TARE/Zero to set the display to 0.000 g.</w:t>
      </w:r>
    </w:p>
    <w:p w14:paraId="00000056"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57"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1.2.3 Weigh substrate to achieve 30 g L⁻¹ based on the working volume (e.g., for 300 mL, weigh 9.0 g).</w:t>
      </w:r>
    </w:p>
    <w:p w14:paraId="00000058"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59"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1.2.4 Aseptically add the weighed substrate into each sterile flask containing 300 mL deionized or distilled water and reapply the vented cap.</w:t>
      </w:r>
    </w:p>
    <w:p w14:paraId="0000005A"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5B"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1.2.5 Hydrate and mix each suspension using one of the following approaches.</w:t>
      </w:r>
    </w:p>
    <w:p w14:paraId="0000005C"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5D" w14:textId="77777777" w:rsidR="00EA5BF7" w:rsidRPr="005D5262"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highlight w:val="yellow"/>
        </w:rPr>
        <w:t>1.2.5.1 For manual mixing, tighten the vent cap and gently swirl the flask 10 times every 3 min during the hydration period.</w:t>
      </w:r>
    </w:p>
    <w:p w14:paraId="0000005E"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05F" w14:textId="51693F5D"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1.</w:t>
      </w:r>
      <w:r w:rsidRPr="00215E13">
        <w:rPr>
          <w:rFonts w:ascii="Calibri" w:eastAsia="Calibri" w:hAnsi="Calibri" w:cs="Calibri"/>
          <w:color w:val="000000" w:themeColor="text1"/>
          <w:highlight w:val="yellow"/>
        </w:rPr>
        <w:t>2.5.2 For magnetic stirring, aseptically add a sterile stir bar and stir at 200</w:t>
      </w:r>
      <w:r w:rsidR="009D039C" w:rsidRPr="00215E13">
        <w:rPr>
          <w:rFonts w:ascii="Calibri" w:eastAsia="Calibri" w:hAnsi="Calibri" w:cs="Calibri"/>
          <w:color w:val="000000" w:themeColor="text1"/>
          <w:highlight w:val="yellow"/>
        </w:rPr>
        <w:t xml:space="preserve"> </w:t>
      </w:r>
      <w:r w:rsidR="009D039C" w:rsidRPr="00215E13">
        <w:rPr>
          <w:rFonts w:ascii="Calibri" w:hAnsi="Calibri" w:cs="Calibri"/>
          <w:highlight w:val="yellow"/>
        </w:rPr>
        <w:t xml:space="preserve">x </w:t>
      </w:r>
      <w:r w:rsidR="009D039C" w:rsidRPr="00215E13">
        <w:rPr>
          <w:rFonts w:ascii="Calibri" w:hAnsi="Calibri" w:cs="Calibri"/>
          <w:i/>
          <w:highlight w:val="yellow"/>
        </w:rPr>
        <w:t>g</w:t>
      </w:r>
      <w:r w:rsidRPr="00215E13">
        <w:rPr>
          <w:rFonts w:ascii="Calibri" w:eastAsia="Calibri" w:hAnsi="Calibri" w:cs="Calibri"/>
          <w:color w:val="000000" w:themeColor="text1"/>
          <w:highlight w:val="yellow"/>
        </w:rPr>
        <w:t xml:space="preserve"> until material is visibly hydrated and evenly dispersed.</w:t>
      </w:r>
    </w:p>
    <w:p w14:paraId="00000060"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61" w14:textId="77777777" w:rsidR="00EA5BF7" w:rsidRPr="005D5262"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highlight w:val="yellow"/>
        </w:rPr>
        <w:t>1.2.6 Visually inspect each suspension and confirm that solids are hydrated and that no large dry clumps remain.</w:t>
      </w:r>
    </w:p>
    <w:p w14:paraId="00000062"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063"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NOTE: Do not filter cassava media unless required for a downstream analytical measurement.</w:t>
      </w:r>
    </w:p>
    <w:p w14:paraId="00000064"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065"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1</w:t>
      </w:r>
      <w:r w:rsidRPr="00215E13">
        <w:rPr>
          <w:rFonts w:ascii="Calibri" w:eastAsia="Calibri" w:hAnsi="Calibri" w:cs="Calibri"/>
          <w:color w:val="000000" w:themeColor="text1"/>
          <w:highlight w:val="yellow"/>
        </w:rPr>
        <w:t>.3 Aerobically ferment cassava-based media</w:t>
      </w:r>
    </w:p>
    <w:p w14:paraId="00000066"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67"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1.3.1 Confirm that each flask is fitted with a sterile gas-permeable vented cap to permit gas exchange while minimizing environmental contamination.</w:t>
      </w:r>
    </w:p>
    <w:p w14:paraId="00000068"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69" w14:textId="77777777" w:rsidR="00EA5BF7" w:rsidRPr="005D5262"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highlight w:val="yellow"/>
        </w:rPr>
        <w:t>1.3.2 Place flasks upright at room temperature (25 °C) in a designated area away from direct sunlight and away from high-traffic airflow.</w:t>
      </w:r>
    </w:p>
    <w:p w14:paraId="0000006A"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06B"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lastRenderedPageBreak/>
        <w:t>1.3.3 Incubate without agitation for a minimum of 72h.</w:t>
      </w:r>
    </w:p>
    <w:p w14:paraId="0000006C"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6D" w14:textId="77777777" w:rsidR="00EA5BF7" w:rsidRPr="005D5262"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highlight w:val="yellow"/>
        </w:rPr>
        <w:t>1.3.4 Record the fermentation start date and time for each flask and condition.</w:t>
      </w:r>
    </w:p>
    <w:p w14:paraId="0000006E"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6F"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1.4. Prepare autoclaved media </w:t>
      </w:r>
      <w:r w:rsidRPr="005D5262">
        <w:rPr>
          <w:rFonts w:ascii="Calibri" w:eastAsia="Calibri" w:hAnsi="Calibri" w:cs="Calibri"/>
          <w:color w:val="000000" w:themeColor="text1"/>
        </w:rPr>
        <w:br/>
      </w:r>
    </w:p>
    <w:p w14:paraId="00000070"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1.4.1 Following fermentation, ensure each 500 mL flask contains ≤300 mL liquid (≤ two-thirds total volume) to prevent boil-over during sterilization.</w:t>
      </w:r>
    </w:p>
    <w:p w14:paraId="00000071"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72"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1.4.2 Loosen the vented cap to a “finger-tight” position suitable for autoclaving and apply autoclave indicator tape to the flask.</w:t>
      </w:r>
    </w:p>
    <w:p w14:paraId="00000073"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74"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 xml:space="preserve">1.4.3 Load flasks into the autoclave in an autoclave safe tray and select the P13 Liquid cycle. </w:t>
      </w:r>
    </w:p>
    <w:p w14:paraId="00000075"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76"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1.4.4 Ensure the sterilization parameters to 121 °C for 30 min (liquid sterilization) and start the cycle.</w:t>
      </w:r>
    </w:p>
    <w:p w14:paraId="00000077"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78"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1.4.5 After the cycle completes, allow the autoclave chamber pressure to return to atmospheric pressure before opening the door. Remove flasks using heat-resistant gloves and allow them to cool to room temperature.</w:t>
      </w:r>
    </w:p>
    <w:p w14:paraId="00000079"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7A" w14:textId="77777777" w:rsidR="00EA5BF7" w:rsidRPr="005D5262"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highlight w:val="yellow"/>
        </w:rPr>
        <w:t>1.4.6 Store cooled flasks overnight at room temperature prior to inoculation.</w:t>
      </w:r>
    </w:p>
    <w:p w14:paraId="0000007B"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07C"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CAUTION: Hot liquids and steam can cause burns. Open the autoclave door slowly and only remove flasks after pressure has equalized and liquids have cooled.</w:t>
      </w:r>
    </w:p>
    <w:p w14:paraId="0000007D"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07E" w14:textId="77777777" w:rsidR="00EA5BF7" w:rsidRPr="00215E13"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1</w:t>
      </w:r>
      <w:r w:rsidRPr="00215E13">
        <w:rPr>
          <w:rFonts w:ascii="Calibri" w:eastAsia="Calibri" w:hAnsi="Calibri" w:cs="Calibri"/>
          <w:color w:val="000000" w:themeColor="text1"/>
        </w:rPr>
        <w:t>.5</w:t>
      </w:r>
      <w:r w:rsidRPr="00215E13">
        <w:rPr>
          <w:rFonts w:ascii="Calibri" w:eastAsia="Calibri" w:hAnsi="Calibri" w:cs="Calibri"/>
          <w:color w:val="000000" w:themeColor="text1"/>
        </w:rPr>
        <w:t>. Prepare non-autoclaved media </w:t>
      </w:r>
      <w:r w:rsidRPr="00215E13">
        <w:rPr>
          <w:rFonts w:ascii="Calibri" w:eastAsia="Calibri" w:hAnsi="Calibri" w:cs="Calibri"/>
          <w:color w:val="000000" w:themeColor="text1"/>
          <w:highlight w:val="yellow"/>
        </w:rPr>
        <w:br/>
      </w:r>
      <w:r w:rsidRPr="00215E13">
        <w:rPr>
          <w:rFonts w:ascii="Calibri" w:eastAsia="Calibri" w:hAnsi="Calibri" w:cs="Calibri"/>
          <w:color w:val="000000" w:themeColor="text1"/>
        </w:rPr>
        <w:t> </w:t>
      </w:r>
    </w:p>
    <w:p w14:paraId="0000007F"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1.5.1 Use fermented cassava media directly without autoclaving to preserve native microbial communities.</w:t>
      </w:r>
    </w:p>
    <w:p w14:paraId="00000080"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81"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1.5.2 Inoculate non-autoclaved media immediately after the 72h fermentation period to minimize unintended environmental contamination.</w:t>
      </w:r>
    </w:p>
    <w:p w14:paraId="00000082"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83" w14:textId="77777777" w:rsidR="00EA5BF7" w:rsidRPr="005D5262"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highlight w:val="yellow"/>
        </w:rPr>
        <w:t>1.5.3 Maintain consistent handling across replicates by using the same vessel type (sterile 500 mL vented-cap flasks), the same working volume (300 mL), and the same fermentation duration (≥72h) for all substrate conditions.</w:t>
      </w:r>
    </w:p>
    <w:p w14:paraId="00000084" w14:textId="77777777" w:rsidR="00EA5BF7" w:rsidRPr="005D5262" w:rsidRDefault="00EA5BF7" w:rsidP="005D5262">
      <w:pPr>
        <w:spacing w:after="0" w:line="240" w:lineRule="auto"/>
        <w:jc w:val="both"/>
        <w:rPr>
          <w:rFonts w:ascii="Calibri" w:eastAsia="Calibri" w:hAnsi="Calibri" w:cs="Calibri"/>
          <w:b/>
          <w:bCs/>
          <w:color w:val="000000" w:themeColor="text1"/>
        </w:rPr>
      </w:pPr>
    </w:p>
    <w:p w14:paraId="00000085"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2. Establishment of </w:t>
      </w:r>
      <w:r w:rsidRPr="005D5262">
        <w:rPr>
          <w:rFonts w:ascii="Calibri" w:eastAsia="Calibri" w:hAnsi="Calibri" w:cs="Calibri"/>
          <w:b/>
          <w:bCs/>
          <w:i/>
          <w:iCs/>
          <w:color w:val="000000" w:themeColor="text1"/>
        </w:rPr>
        <w:t>E. </w:t>
      </w:r>
      <w:proofErr w:type="spellStart"/>
      <w:r w:rsidRPr="005D5262">
        <w:rPr>
          <w:rFonts w:ascii="Calibri" w:eastAsia="Calibri" w:hAnsi="Calibri" w:cs="Calibri"/>
          <w:b/>
          <w:bCs/>
          <w:i/>
          <w:iCs/>
          <w:color w:val="000000" w:themeColor="text1"/>
        </w:rPr>
        <w:t>gracilis</w:t>
      </w:r>
      <w:proofErr w:type="spellEnd"/>
      <w:r w:rsidRPr="005D5262">
        <w:rPr>
          <w:rFonts w:ascii="Calibri" w:eastAsia="Calibri" w:hAnsi="Calibri" w:cs="Calibri"/>
          <w:b/>
          <w:bCs/>
          <w:i/>
          <w:iCs/>
          <w:color w:val="000000" w:themeColor="text1"/>
        </w:rPr>
        <w:t> </w:t>
      </w:r>
      <w:r w:rsidRPr="005D5262">
        <w:rPr>
          <w:rFonts w:ascii="Calibri" w:eastAsia="Calibri" w:hAnsi="Calibri" w:cs="Calibri"/>
          <w:b/>
          <w:bCs/>
          <w:color w:val="000000" w:themeColor="text1"/>
        </w:rPr>
        <w:t>starter Cultures </w:t>
      </w:r>
      <w:r w:rsidRPr="005D5262">
        <w:rPr>
          <w:rFonts w:ascii="Calibri" w:eastAsia="Calibri" w:hAnsi="Calibri" w:cs="Calibri"/>
          <w:color w:val="000000" w:themeColor="text1"/>
        </w:rPr>
        <w:t> </w:t>
      </w:r>
    </w:p>
    <w:p w14:paraId="00000086"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87" w14:textId="77777777" w:rsidR="00EA5BF7" w:rsidRPr="005D5262"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2</w:t>
      </w:r>
      <w:r w:rsidRPr="005D5262">
        <w:rPr>
          <w:rFonts w:ascii="Calibri" w:eastAsia="Calibri" w:hAnsi="Calibri" w:cs="Calibri"/>
          <w:color w:val="000000" w:themeColor="text1"/>
        </w:rPr>
        <w:t>.1. Maintenance of </w:t>
      </w:r>
      <w:r w:rsidRPr="005D5262">
        <w:rPr>
          <w:rFonts w:ascii="Calibri" w:eastAsia="Calibri" w:hAnsi="Calibri" w:cs="Calibri"/>
          <w:i/>
          <w:iCs/>
          <w:color w:val="000000" w:themeColor="text1"/>
        </w:rPr>
        <w:t>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i/>
          <w:iCs/>
          <w:color w:val="000000" w:themeColor="text1"/>
        </w:rPr>
        <w:t> </w:t>
      </w:r>
      <w:r w:rsidRPr="005D5262">
        <w:rPr>
          <w:rFonts w:ascii="Calibri" w:eastAsia="Calibri" w:hAnsi="Calibri" w:cs="Calibri"/>
          <w:color w:val="000000" w:themeColor="text1"/>
        </w:rPr>
        <w:t>stock cultures </w:t>
      </w:r>
    </w:p>
    <w:p w14:paraId="00000088" w14:textId="10890332"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r w:rsidRPr="005D5262">
        <w:rPr>
          <w:rFonts w:ascii="Calibri" w:eastAsia="Calibri" w:hAnsi="Calibri" w:cs="Calibri"/>
          <w:color w:val="000000" w:themeColor="text1"/>
        </w:rPr>
        <w:br/>
      </w:r>
      <w:r w:rsidRPr="00215E13">
        <w:rPr>
          <w:rFonts w:ascii="Calibri" w:eastAsia="Calibri" w:hAnsi="Calibri" w:cs="Calibri"/>
          <w:color w:val="000000" w:themeColor="text1"/>
          <w:highlight w:val="yellow"/>
        </w:rPr>
        <w:t>2.1.1. Inoculate </w:t>
      </w:r>
      <w:r w:rsidRPr="00215E13">
        <w:rPr>
          <w:rFonts w:ascii="Calibri" w:eastAsia="Calibri" w:hAnsi="Calibri" w:cs="Calibri"/>
          <w:i/>
          <w:iCs/>
          <w:color w:val="000000" w:themeColor="text1"/>
          <w:highlight w:val="yellow"/>
        </w:rPr>
        <w:t>E. </w:t>
      </w:r>
      <w:proofErr w:type="spellStart"/>
      <w:r w:rsidRPr="00215E13">
        <w:rPr>
          <w:rFonts w:ascii="Calibri" w:eastAsia="Calibri" w:hAnsi="Calibri" w:cs="Calibri"/>
          <w:i/>
          <w:iCs/>
          <w:color w:val="000000" w:themeColor="text1"/>
          <w:highlight w:val="yellow"/>
        </w:rPr>
        <w:t>gracilis</w:t>
      </w:r>
      <w:proofErr w:type="spellEnd"/>
      <w:r w:rsidRPr="00215E13">
        <w:rPr>
          <w:rFonts w:ascii="Calibri" w:eastAsia="Calibri" w:hAnsi="Calibri" w:cs="Calibri"/>
          <w:i/>
          <w:iCs/>
          <w:color w:val="000000" w:themeColor="text1"/>
          <w:highlight w:val="yellow"/>
        </w:rPr>
        <w:t> </w:t>
      </w:r>
      <w:r w:rsidRPr="00215E13">
        <w:rPr>
          <w:rFonts w:ascii="Calibri" w:eastAsia="Calibri" w:hAnsi="Calibri" w:cs="Calibri"/>
          <w:color w:val="000000" w:themeColor="text1"/>
          <w:highlight w:val="yellow"/>
        </w:rPr>
        <w:t xml:space="preserve">into fresh heterotrophic nutrient medium and incubate cultures in complete darkness at 28 °C with continuous orbital shaking at 120 </w:t>
      </w:r>
      <w:r w:rsidR="009D039C" w:rsidRPr="00215E13">
        <w:rPr>
          <w:rFonts w:ascii="Calibri" w:hAnsi="Calibri" w:cs="Calibri"/>
          <w:highlight w:val="yellow"/>
        </w:rPr>
        <w:t xml:space="preserve">x </w:t>
      </w:r>
      <w:r w:rsidR="009D039C" w:rsidRPr="00215E13">
        <w:rPr>
          <w:rFonts w:ascii="Calibri" w:hAnsi="Calibri" w:cs="Calibri"/>
          <w:i/>
          <w:highlight w:val="yellow"/>
        </w:rPr>
        <w:t>g</w:t>
      </w:r>
      <w:r w:rsidRPr="00215E13">
        <w:rPr>
          <w:rFonts w:ascii="Calibri" w:eastAsia="Calibri" w:hAnsi="Calibri" w:cs="Calibri"/>
          <w:color w:val="000000" w:themeColor="text1"/>
          <w:highlight w:val="yellow"/>
        </w:rPr>
        <w:t xml:space="preserve"> until cultures reach mid-</w:t>
      </w:r>
      <w:r w:rsidRPr="00215E13">
        <w:rPr>
          <w:rFonts w:ascii="Calibri" w:eastAsia="Calibri" w:hAnsi="Calibri" w:cs="Calibri"/>
          <w:color w:val="000000" w:themeColor="text1"/>
          <w:highlight w:val="yellow"/>
        </w:rPr>
        <w:lastRenderedPageBreak/>
        <w:t>logarithmic growth.</w:t>
      </w:r>
      <w:r w:rsidRPr="005D5262">
        <w:rPr>
          <w:rFonts w:ascii="Calibri" w:eastAsia="Calibri" w:hAnsi="Calibri" w:cs="Calibri"/>
          <w:color w:val="000000" w:themeColor="text1"/>
        </w:rPr>
        <w:t> </w:t>
      </w:r>
      <w:r w:rsidRPr="005D5262">
        <w:rPr>
          <w:rFonts w:ascii="Calibri" w:eastAsia="Calibri" w:hAnsi="Calibri" w:cs="Calibri"/>
          <w:color w:val="000000" w:themeColor="text1"/>
        </w:rPr>
        <w:br/>
        <w:t> </w:t>
      </w:r>
    </w:p>
    <w:p w14:paraId="00000089" w14:textId="77777777" w:rsidR="00EA5BF7" w:rsidRPr="005D5262"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highlight w:val="yellow"/>
        </w:rPr>
        <w:t>2</w:t>
      </w:r>
      <w:r w:rsidRPr="00215E13">
        <w:rPr>
          <w:rFonts w:ascii="Calibri" w:eastAsia="Calibri" w:hAnsi="Calibri" w:cs="Calibri"/>
          <w:color w:val="000000" w:themeColor="text1"/>
          <w:highlight w:val="yellow"/>
        </w:rPr>
        <w:t>.1.2. Examine cultures using a compound light microscope (brightfield) 100×–400× total magnification (10× ocular with 10×–40× objectives) to confirm active motility, typical elongated cell morphology, and low levels of </w:t>
      </w:r>
      <w:proofErr w:type="spellStart"/>
      <w:r w:rsidRPr="00215E13">
        <w:rPr>
          <w:rFonts w:ascii="Calibri" w:eastAsia="Calibri" w:hAnsi="Calibri" w:cs="Calibri"/>
          <w:color w:val="000000" w:themeColor="text1"/>
          <w:highlight w:val="yellow"/>
        </w:rPr>
        <w:t>encystment</w:t>
      </w:r>
      <w:proofErr w:type="spellEnd"/>
      <w:r w:rsidRPr="00215E13">
        <w:rPr>
          <w:rFonts w:ascii="Calibri" w:eastAsia="Calibri" w:hAnsi="Calibri" w:cs="Calibri"/>
          <w:color w:val="000000" w:themeColor="text1"/>
          <w:highlight w:val="yellow"/>
        </w:rPr>
        <w:t>.</w:t>
      </w:r>
      <w:r w:rsidRPr="005D5262">
        <w:rPr>
          <w:rFonts w:ascii="Calibri" w:eastAsia="Calibri" w:hAnsi="Calibri" w:cs="Calibri"/>
          <w:color w:val="000000" w:themeColor="text1"/>
        </w:rPr>
        <w:t> </w:t>
      </w:r>
    </w:p>
    <w:p w14:paraId="0000008A"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08B"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NOTE: Viability was assessed based on the presence of intact cells with defined cellular boundaries and minimal debris. Active motility was defined as observable directional movement of cells within the field of view. Morphological stability was evaluated based on the predominance of characteristic cell shapes and low frequency of collapsed or highly irregular forms.</w:t>
      </w:r>
    </w:p>
    <w:p w14:paraId="0000008C"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08D" w14:textId="77777777" w:rsidR="00EA5BF7" w:rsidRPr="005D5262"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highlight w:val="yellow"/>
        </w:rPr>
        <w:t>2.1.3. Exclude cultures exhibiting excessive cellular debris, abnormal morphology, or elevated </w:t>
      </w:r>
      <w:proofErr w:type="spellStart"/>
      <w:r w:rsidRPr="00215E13">
        <w:rPr>
          <w:rFonts w:ascii="Calibri" w:eastAsia="Calibri" w:hAnsi="Calibri" w:cs="Calibri"/>
          <w:color w:val="000000" w:themeColor="text1"/>
          <w:highlight w:val="yellow"/>
        </w:rPr>
        <w:t>encystment</w:t>
      </w:r>
      <w:proofErr w:type="spellEnd"/>
      <w:r w:rsidRPr="00215E13">
        <w:rPr>
          <w:rFonts w:ascii="Calibri" w:eastAsia="Calibri" w:hAnsi="Calibri" w:cs="Calibri"/>
          <w:color w:val="000000" w:themeColor="text1"/>
          <w:highlight w:val="yellow"/>
        </w:rPr>
        <w:t> prior to use in adaptation experiments.</w:t>
      </w:r>
      <w:r w:rsidRPr="005D5262">
        <w:rPr>
          <w:rFonts w:ascii="Calibri" w:eastAsia="Calibri" w:hAnsi="Calibri" w:cs="Calibri"/>
          <w:color w:val="000000" w:themeColor="text1"/>
        </w:rPr>
        <w:t> </w:t>
      </w:r>
    </w:p>
    <w:p w14:paraId="0000008E"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8F"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2.2. Prepare inoculum for adaptation </w:t>
      </w:r>
      <w:r w:rsidRPr="005D5262">
        <w:rPr>
          <w:rFonts w:ascii="Calibri" w:eastAsia="Calibri" w:hAnsi="Calibri" w:cs="Calibri"/>
          <w:color w:val="000000" w:themeColor="text1"/>
        </w:rPr>
        <w:br/>
        <w:t> </w:t>
      </w:r>
    </w:p>
    <w:p w14:paraId="00000090" w14:textId="128A3A13"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2.2.1. Gently homogenize starter cultures by tightening the vent cap and swirling the flasks by hand for 15 sec to ensure uniform cell distribution without inducing shear stress.</w:t>
      </w:r>
      <w:r w:rsidRPr="00215E13">
        <w:rPr>
          <w:rFonts w:ascii="Calibri" w:eastAsia="Calibri" w:hAnsi="Calibri" w:cs="Calibri"/>
          <w:color w:val="000000" w:themeColor="text1"/>
          <w:highlight w:val="yellow"/>
        </w:rPr>
        <w:br/>
      </w:r>
    </w:p>
    <w:p w14:paraId="00000091"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2.2.2 Determine cell density using a Neubauer hemocytometer.</w:t>
      </w:r>
    </w:p>
    <w:p w14:paraId="00000092"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93" w14:textId="279DD096"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2.2.2.1 Gently mix the culture by swirling by hand for 15 sec.</w:t>
      </w:r>
    </w:p>
    <w:p w14:paraId="00000094"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95" w14:textId="20424E6C"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2.2.2.2 Pipette 1.0 mL of culture into a sterile 1.5</w:t>
      </w:r>
      <w:r w:rsidR="001E2301" w:rsidRPr="00215E13">
        <w:rPr>
          <w:rFonts w:ascii="Calibri" w:eastAsia="Calibri" w:hAnsi="Calibri" w:cs="Calibri"/>
          <w:color w:val="000000" w:themeColor="text1"/>
          <w:highlight w:val="yellow"/>
        </w:rPr>
        <w:t xml:space="preserve"> </w:t>
      </w:r>
      <w:r w:rsidRPr="00215E13">
        <w:rPr>
          <w:rFonts w:ascii="Calibri" w:eastAsia="Calibri" w:hAnsi="Calibri" w:cs="Calibri"/>
          <w:color w:val="000000" w:themeColor="text1"/>
          <w:highlight w:val="yellow"/>
        </w:rPr>
        <w:t xml:space="preserve">mL microcentrifuge tube. </w:t>
      </w:r>
    </w:p>
    <w:p w14:paraId="00000096"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97"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 xml:space="preserve">2.2.2.3 Clean the hemocytometer and coverslip with 70% ethanol and allow to air-dry. </w:t>
      </w:r>
    </w:p>
    <w:p w14:paraId="00000098"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99"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2.2.2.4 Pipette 10 µL of culture onto the two grids on the hemocytometer</w:t>
      </w:r>
      <w:r w:rsidRPr="00215E13">
        <w:rPr>
          <w:rFonts w:ascii="Calibri" w:eastAsia="Calibri" w:hAnsi="Calibri" w:cs="Calibri"/>
          <w:color w:val="000000" w:themeColor="text1"/>
          <w:highlight w:val="yellow"/>
        </w:rPr>
        <w:t xml:space="preserve"> </w:t>
      </w:r>
      <w:r w:rsidRPr="00215E13">
        <w:rPr>
          <w:rFonts w:ascii="Calibri" w:eastAsia="Calibri" w:hAnsi="Calibri" w:cs="Calibri"/>
          <w:color w:val="000000" w:themeColor="text1"/>
          <w:highlight w:val="yellow"/>
        </w:rPr>
        <w:t>and place the coverslip on the wet sample.</w:t>
      </w:r>
    </w:p>
    <w:p w14:paraId="0000009A"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9B"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2.2.2.5 Using brightfield microscopy (10× objective), focus on the grid and count cells in a defined set of squares (e.g., the 4 corner squares of the large grid).</w:t>
      </w:r>
    </w:p>
    <w:p w14:paraId="0000009C"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9D"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2.2.2.6 Apply standard boundary rules (count cells touching the top and left borders; exclude cells touching the bottom and right borders).</w:t>
      </w:r>
    </w:p>
    <w:p w14:paraId="0000009E"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9F"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2.2.2.7 Repeat counts on the second chamber (and/or reload) and calculate the mean cells/</w:t>
      </w:r>
      <w:proofErr w:type="spellStart"/>
      <w:r w:rsidRPr="00215E13">
        <w:rPr>
          <w:rFonts w:ascii="Calibri" w:eastAsia="Calibri" w:hAnsi="Calibri" w:cs="Calibri"/>
          <w:color w:val="000000" w:themeColor="text1"/>
          <w:highlight w:val="yellow"/>
        </w:rPr>
        <w:t>mL.</w:t>
      </w:r>
      <w:proofErr w:type="spellEnd"/>
    </w:p>
    <w:p w14:paraId="000000A0"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A1" w14:textId="48CA1C41" w:rsidR="00EA5BF7" w:rsidRPr="005D5262"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highlight w:val="yellow"/>
        </w:rPr>
        <w:t xml:space="preserve">2.2.2.8 Calculate cell density using the following equation: cells/mL= (mean cells per square </w:t>
      </w:r>
      <w:r w:rsidR="00480CB5" w:rsidRPr="00215E13">
        <w:rPr>
          <w:rFonts w:ascii="Calibri" w:eastAsia="Calibri" w:hAnsi="Calibri" w:cs="Calibri"/>
          <w:color w:val="000000" w:themeColor="text1"/>
          <w:highlight w:val="yellow"/>
        </w:rPr>
        <w:t>×</w:t>
      </w:r>
      <w:r w:rsidR="00480CB5" w:rsidRPr="005D5262">
        <w:rPr>
          <w:rFonts w:ascii="Calibri" w:eastAsia="Calibri" w:hAnsi="Calibri" w:cs="Calibri"/>
          <w:color w:val="000000" w:themeColor="text1"/>
        </w:rPr>
        <w:t xml:space="preserve"> </w:t>
      </w:r>
      <w:r w:rsidR="00480CB5" w:rsidRPr="00215E13">
        <w:rPr>
          <w:rFonts w:ascii="Calibri" w:eastAsia="Calibri" w:hAnsi="Calibri" w:cs="Calibri"/>
          <w:color w:val="000000" w:themeColor="text1"/>
          <w:highlight w:val="yellow"/>
        </w:rPr>
        <w:t>10</w:t>
      </w:r>
      <w:r w:rsidR="00480CB5" w:rsidRPr="00215E13">
        <w:rPr>
          <w:rFonts w:ascii="Calibri" w:eastAsia="Calibri" w:hAnsi="Calibri" w:cs="Calibri"/>
          <w:color w:val="000000" w:themeColor="text1"/>
          <w:highlight w:val="yellow"/>
          <w:vertAlign w:val="superscript"/>
        </w:rPr>
        <w:t xml:space="preserve">4  </w:t>
      </w:r>
      <w:r w:rsidRPr="00215E13">
        <w:rPr>
          <w:rFonts w:ascii="Calibri" w:eastAsia="Calibri" w:hAnsi="Calibri" w:cs="Calibri"/>
          <w:color w:val="000000" w:themeColor="text1"/>
          <w:highlight w:val="yellow"/>
        </w:rPr>
        <w:t>× dilution factor​)/1</w:t>
      </w:r>
    </w:p>
    <w:p w14:paraId="000000A2"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0A3" w14:textId="7B310896"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lastRenderedPageBreak/>
        <w:t>Note: To improve visualization of cells, dilute the sample with deionized water as needed (e.g. take an aliquot of 100uL of sample and dilute in 600</w:t>
      </w:r>
      <w:r w:rsidR="001E2301" w:rsidRPr="005D5262">
        <w:rPr>
          <w:rFonts w:ascii="Calibri" w:eastAsia="Calibri" w:hAnsi="Calibri" w:cs="Calibri"/>
          <w:color w:val="000000" w:themeColor="text1"/>
        </w:rPr>
        <w:t xml:space="preserve"> </w:t>
      </w:r>
      <w:r w:rsidR="001E2301" w:rsidRPr="005D5262">
        <w:rPr>
          <w:rFonts w:ascii="Calibri" w:hAnsi="Calibri" w:cs="Calibri"/>
        </w:rPr>
        <w:t>µ</w:t>
      </w:r>
      <w:r w:rsidRPr="005D5262">
        <w:rPr>
          <w:rFonts w:ascii="Calibri" w:eastAsia="Calibri" w:hAnsi="Calibri" w:cs="Calibri"/>
          <w:color w:val="000000" w:themeColor="text1"/>
        </w:rPr>
        <w:t xml:space="preserve">L of deionized water, and repeat the cell density assessment) </w:t>
      </w:r>
    </w:p>
    <w:p w14:paraId="000000A4"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0A5" w14:textId="77777777" w:rsidR="00EA5BF7" w:rsidRPr="005D5262"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highlight w:val="yellow"/>
        </w:rPr>
        <w:t>2.2.3. Adjust inoculation volumes to achieve a final inoculum of 5% (v/v) across all experimental media.</w:t>
      </w:r>
      <w:r w:rsidRPr="005D5262">
        <w:rPr>
          <w:rFonts w:ascii="Calibri" w:eastAsia="Calibri" w:hAnsi="Calibri" w:cs="Calibri"/>
          <w:color w:val="000000" w:themeColor="text1"/>
        </w:rPr>
        <w:t> </w:t>
      </w:r>
      <w:r w:rsidRPr="005D5262">
        <w:rPr>
          <w:rFonts w:ascii="Calibri" w:eastAsia="Calibri" w:hAnsi="Calibri" w:cs="Calibri"/>
          <w:color w:val="000000" w:themeColor="text1"/>
        </w:rPr>
        <w:br/>
        <w:t> </w:t>
      </w:r>
    </w:p>
    <w:p w14:paraId="000000A6"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NOTE: The selected inoculum ratios are chosen to ensure sufficient initial cell density and maintenance of cultures.</w:t>
      </w:r>
    </w:p>
    <w:p w14:paraId="000000A7"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0A8"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0A9" w14:textId="77777777" w:rsidR="00EA5BF7" w:rsidRPr="005D5262"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highlight w:val="yellow"/>
        </w:rPr>
        <w:t>2.2.4. Prepare separate </w:t>
      </w:r>
      <w:proofErr w:type="spellStart"/>
      <w:r w:rsidRPr="00215E13">
        <w:rPr>
          <w:rFonts w:ascii="Calibri" w:eastAsia="Calibri" w:hAnsi="Calibri" w:cs="Calibri"/>
          <w:color w:val="000000" w:themeColor="text1"/>
          <w:highlight w:val="yellow"/>
        </w:rPr>
        <w:t>inocula</w:t>
      </w:r>
      <w:proofErr w:type="spellEnd"/>
      <w:r w:rsidRPr="00215E13">
        <w:rPr>
          <w:rFonts w:ascii="Calibri" w:eastAsia="Calibri" w:hAnsi="Calibri" w:cs="Calibri"/>
          <w:color w:val="000000" w:themeColor="text1"/>
          <w:highlight w:val="yellow"/>
        </w:rPr>
        <w:t> for each treatment condition to maintain consistent initial cell densities between experimental groups.</w:t>
      </w:r>
      <w:r w:rsidRPr="005D5262">
        <w:rPr>
          <w:rFonts w:ascii="Calibri" w:eastAsia="Calibri" w:hAnsi="Calibri" w:cs="Calibri"/>
          <w:color w:val="000000" w:themeColor="text1"/>
        </w:rPr>
        <w:t> </w:t>
      </w:r>
    </w:p>
    <w:p w14:paraId="000000AA" w14:textId="77777777" w:rsidR="00EA5BF7" w:rsidRPr="005D5262" w:rsidRDefault="00640CC3" w:rsidP="005D5262">
      <w:pPr>
        <w:tabs>
          <w:tab w:val="center" w:pos="4680"/>
        </w:tabs>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r w:rsidRPr="005D5262">
        <w:rPr>
          <w:rFonts w:ascii="Calibri" w:eastAsia="Calibri" w:hAnsi="Calibri" w:cs="Calibri"/>
          <w:color w:val="000000" w:themeColor="text1"/>
        </w:rPr>
        <w:tab/>
      </w:r>
    </w:p>
    <w:p w14:paraId="000000AB"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 xml:space="preserve">3. Initial Adaptation in autoclaved and </w:t>
      </w:r>
      <w:proofErr w:type="gramStart"/>
      <w:r w:rsidRPr="005D5262">
        <w:rPr>
          <w:rFonts w:ascii="Calibri" w:eastAsia="Calibri" w:hAnsi="Calibri" w:cs="Calibri"/>
          <w:b/>
          <w:bCs/>
          <w:color w:val="000000" w:themeColor="text1"/>
        </w:rPr>
        <w:t>Non-autoclaved</w:t>
      </w:r>
      <w:proofErr w:type="gramEnd"/>
      <w:r w:rsidRPr="005D5262">
        <w:rPr>
          <w:rFonts w:ascii="Calibri" w:eastAsia="Calibri" w:hAnsi="Calibri" w:cs="Calibri"/>
          <w:b/>
          <w:bCs/>
          <w:color w:val="000000" w:themeColor="text1"/>
        </w:rPr>
        <w:t xml:space="preserve"> cassava media </w:t>
      </w:r>
      <w:r w:rsidRPr="005D5262">
        <w:rPr>
          <w:rFonts w:ascii="Calibri" w:eastAsia="Calibri" w:hAnsi="Calibri" w:cs="Calibri"/>
          <w:color w:val="000000" w:themeColor="text1"/>
        </w:rPr>
        <w:t> </w:t>
      </w:r>
    </w:p>
    <w:p w14:paraId="000000AC"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AD"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3.1. Inoculate adaptation media  </w:t>
      </w:r>
    </w:p>
    <w:p w14:paraId="000000AE"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0AF"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NOTE: Inoculum volumes were selected to balance sufficient initial cell density with sensitivity to adaptation effects, with lower volumes used during early adaptation and higher volumes used to maintain stable cultures during routine passaging.</w:t>
      </w:r>
    </w:p>
    <w:p w14:paraId="000000B0" w14:textId="09607FFD" w:rsidR="00EA5BF7" w:rsidRPr="00215E13" w:rsidRDefault="00640CC3" w:rsidP="005D5262">
      <w:pPr>
        <w:spacing w:after="0" w:line="240" w:lineRule="auto"/>
        <w:jc w:val="both"/>
        <w:rPr>
          <w:rFonts w:ascii="Calibri" w:eastAsia="Calibri" w:hAnsi="Calibri" w:cs="Calibri"/>
          <w:color w:val="000000" w:themeColor="text1"/>
          <w:highlight w:val="yellow"/>
        </w:rPr>
      </w:pPr>
      <w:r w:rsidRPr="005D5262">
        <w:rPr>
          <w:rFonts w:ascii="Calibri" w:eastAsia="Calibri" w:hAnsi="Calibri" w:cs="Calibri"/>
          <w:color w:val="000000" w:themeColor="text1"/>
        </w:rPr>
        <w:t> </w:t>
      </w:r>
      <w:r w:rsidRPr="005D5262">
        <w:rPr>
          <w:rFonts w:ascii="Calibri" w:eastAsia="Calibri" w:hAnsi="Calibri" w:cs="Calibri"/>
          <w:color w:val="000000" w:themeColor="text1"/>
        </w:rPr>
        <w:br/>
      </w:r>
      <w:r w:rsidRPr="005D5262">
        <w:rPr>
          <w:rFonts w:ascii="Calibri" w:eastAsia="Calibri" w:hAnsi="Calibri" w:cs="Calibri"/>
          <w:color w:val="000000" w:themeColor="text1"/>
        </w:rPr>
        <w:t>3</w:t>
      </w:r>
      <w:r w:rsidRPr="00215E13">
        <w:rPr>
          <w:rFonts w:ascii="Calibri" w:eastAsia="Calibri" w:hAnsi="Calibri" w:cs="Calibri"/>
          <w:color w:val="000000" w:themeColor="text1"/>
          <w:highlight w:val="yellow"/>
        </w:rPr>
        <w:t>.1.1. Add the prepared </w:t>
      </w:r>
      <w:r w:rsidRPr="00215E13">
        <w:rPr>
          <w:rFonts w:ascii="Calibri" w:eastAsia="Calibri" w:hAnsi="Calibri" w:cs="Calibri"/>
          <w:i/>
          <w:iCs/>
          <w:color w:val="000000" w:themeColor="text1"/>
          <w:highlight w:val="yellow"/>
        </w:rPr>
        <w:t>E. </w:t>
      </w:r>
      <w:proofErr w:type="spellStart"/>
      <w:r w:rsidRPr="00215E13">
        <w:rPr>
          <w:rFonts w:ascii="Calibri" w:eastAsia="Calibri" w:hAnsi="Calibri" w:cs="Calibri"/>
          <w:i/>
          <w:iCs/>
          <w:color w:val="000000" w:themeColor="text1"/>
          <w:highlight w:val="yellow"/>
        </w:rPr>
        <w:t>gracilis</w:t>
      </w:r>
      <w:proofErr w:type="spellEnd"/>
      <w:r w:rsidRPr="00215E13">
        <w:rPr>
          <w:rFonts w:ascii="Calibri" w:eastAsia="Calibri" w:hAnsi="Calibri" w:cs="Calibri"/>
          <w:color w:val="000000" w:themeColor="text1"/>
          <w:highlight w:val="yellow"/>
        </w:rPr>
        <w:t> inoculum to autoclaved and non-autoclaved cassava media prepared at final </w:t>
      </w:r>
      <w:proofErr w:type="spellStart"/>
      <w:r w:rsidRPr="00215E13">
        <w:rPr>
          <w:rFonts w:ascii="Calibri" w:eastAsia="Calibri" w:hAnsi="Calibri" w:cs="Calibri"/>
          <w:color w:val="000000" w:themeColor="text1"/>
          <w:highlight w:val="yellow"/>
        </w:rPr>
        <w:t>garri</w:t>
      </w:r>
      <w:proofErr w:type="spellEnd"/>
      <w:r w:rsidRPr="00215E13">
        <w:rPr>
          <w:rFonts w:ascii="Calibri" w:eastAsia="Calibri" w:hAnsi="Calibri" w:cs="Calibri"/>
          <w:color w:val="000000" w:themeColor="text1"/>
          <w:highlight w:val="yellow"/>
        </w:rPr>
        <w:t> concentrations of 10 gL⁻¹, 20 gL⁻¹, and 30 gL⁻¹. </w:t>
      </w:r>
      <w:r w:rsidRPr="00215E13">
        <w:rPr>
          <w:rFonts w:ascii="Calibri" w:eastAsia="Calibri" w:hAnsi="Calibri" w:cs="Calibri"/>
          <w:color w:val="000000" w:themeColor="text1"/>
          <w:highlight w:val="yellow"/>
        </w:rPr>
        <w:br/>
        <w:t> </w:t>
      </w:r>
    </w:p>
    <w:p w14:paraId="000000B1"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3.1.2. Use equal inoculation volumes across all treatment conditions to standardize initial cell density. </w:t>
      </w:r>
      <w:r w:rsidRPr="00215E13">
        <w:rPr>
          <w:rFonts w:ascii="Calibri" w:eastAsia="Calibri" w:hAnsi="Calibri" w:cs="Calibri"/>
          <w:color w:val="000000" w:themeColor="text1"/>
          <w:highlight w:val="yellow"/>
        </w:rPr>
        <w:br/>
        <w:t> </w:t>
      </w:r>
    </w:p>
    <w:p w14:paraId="000000B2" w14:textId="5D89A573"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3.1.3. To mix the cultures, tighten the vented cap and swirl the flask gently in a circular motion for 15 sec to distribute cells.</w:t>
      </w:r>
      <w:r w:rsidRPr="00215E13">
        <w:rPr>
          <w:rFonts w:ascii="Calibri" w:eastAsia="Calibri" w:hAnsi="Calibri" w:cs="Calibri"/>
          <w:color w:val="000000" w:themeColor="text1"/>
          <w:highlight w:val="yellow"/>
        </w:rPr>
        <w:br/>
        <w:t> </w:t>
      </w:r>
    </w:p>
    <w:p w14:paraId="000000B3" w14:textId="77777777" w:rsidR="00EA5BF7" w:rsidRPr="005D5262"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highlight w:val="yellow"/>
        </w:rPr>
        <w:t>3.1.4. Incubate cultures in complete darkness at 25 °C to initiate heterotrophic growth.</w:t>
      </w:r>
      <w:r w:rsidRPr="005D5262">
        <w:rPr>
          <w:rFonts w:ascii="Calibri" w:eastAsia="Calibri" w:hAnsi="Calibri" w:cs="Calibri"/>
          <w:color w:val="000000" w:themeColor="text1"/>
        </w:rPr>
        <w:t> </w:t>
      </w:r>
    </w:p>
    <w:p w14:paraId="000000B4"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B5"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3.2. Maintain culture conditions  </w:t>
      </w:r>
    </w:p>
    <w:p w14:paraId="000000B6"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B7"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3.2.1. For non-autoclaved media, minimize agitation to preserve the native microbial community structure and substrate stratification. </w:t>
      </w:r>
      <w:r w:rsidRPr="00215E13">
        <w:rPr>
          <w:rFonts w:ascii="Calibri" w:eastAsia="Calibri" w:hAnsi="Calibri" w:cs="Calibri"/>
          <w:color w:val="000000" w:themeColor="text1"/>
          <w:highlight w:val="yellow"/>
        </w:rPr>
        <w:br/>
        <w:t> </w:t>
      </w:r>
    </w:p>
    <w:p w14:paraId="000000B8" w14:textId="219BCC28" w:rsidR="00EA5BF7" w:rsidRPr="005D5262"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highlight w:val="yellow"/>
        </w:rPr>
        <w:t>3.2.2. Mix all cultures once daily using gentle manual swirling for 15 sec to maintain contact between </w:t>
      </w:r>
      <w:r w:rsidRPr="00215E13">
        <w:rPr>
          <w:rFonts w:ascii="Calibri" w:eastAsia="Calibri" w:hAnsi="Calibri" w:cs="Calibri"/>
          <w:i/>
          <w:iCs/>
          <w:color w:val="000000" w:themeColor="text1"/>
          <w:highlight w:val="yellow"/>
        </w:rPr>
        <w:t>E. </w:t>
      </w:r>
      <w:proofErr w:type="spellStart"/>
      <w:r w:rsidRPr="00215E13">
        <w:rPr>
          <w:rFonts w:ascii="Calibri" w:eastAsia="Calibri" w:hAnsi="Calibri" w:cs="Calibri"/>
          <w:i/>
          <w:iCs/>
          <w:color w:val="000000" w:themeColor="text1"/>
          <w:highlight w:val="yellow"/>
        </w:rPr>
        <w:t>gracilis</w:t>
      </w:r>
      <w:proofErr w:type="spellEnd"/>
      <w:r w:rsidRPr="00215E13">
        <w:rPr>
          <w:rFonts w:ascii="Calibri" w:eastAsia="Calibri" w:hAnsi="Calibri" w:cs="Calibri"/>
          <w:color w:val="000000" w:themeColor="text1"/>
          <w:highlight w:val="yellow"/>
        </w:rPr>
        <w:t> cells and suspended cassava material.</w:t>
      </w:r>
      <w:r w:rsidRPr="005D5262">
        <w:rPr>
          <w:rFonts w:ascii="Calibri" w:eastAsia="Calibri" w:hAnsi="Calibri" w:cs="Calibri"/>
          <w:color w:val="000000" w:themeColor="text1"/>
        </w:rPr>
        <w:t> </w:t>
      </w:r>
      <w:r w:rsidRPr="005D5262">
        <w:rPr>
          <w:rFonts w:ascii="Calibri" w:eastAsia="Calibri" w:hAnsi="Calibri" w:cs="Calibri"/>
          <w:color w:val="000000" w:themeColor="text1"/>
        </w:rPr>
        <w:br/>
        <w:t> </w:t>
      </w:r>
    </w:p>
    <w:p w14:paraId="000000B9"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CAUTION: Avoid vigorous shaking or continuous agitation to prevent shear stress and unintended disruption of microbial-substrate interactions. </w:t>
      </w:r>
    </w:p>
    <w:p w14:paraId="000000BA"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BB"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lastRenderedPageBreak/>
        <w:t>3.3. Monitor early adaptation  </w:t>
      </w:r>
    </w:p>
    <w:p w14:paraId="000000BC"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BD"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3.3.1. Every 48h, aseptically collect 1 mL samples from each culture using sterile pipette tips. </w:t>
      </w:r>
    </w:p>
    <w:p w14:paraId="000000BE"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BF" w14:textId="37D26591"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 xml:space="preserve">3.3.1.1. Tighten the vented cap and gently swirl the culture flask for 15 sec prior to sampling to ensure even distribution of cells and suspended material. </w:t>
      </w:r>
    </w:p>
    <w:p w14:paraId="000000C0"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C1"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3.3.3.2 Transfer an aliquot of culture into a sterile 1.5 mL microcentrifuge tube.</w:t>
      </w:r>
      <w:r w:rsidRPr="00215E13">
        <w:rPr>
          <w:rFonts w:ascii="Calibri" w:eastAsia="Calibri" w:hAnsi="Calibri" w:cs="Calibri"/>
          <w:color w:val="000000" w:themeColor="text1"/>
          <w:highlight w:val="yellow"/>
        </w:rPr>
        <w:br/>
      </w:r>
    </w:p>
    <w:p w14:paraId="000000C2" w14:textId="18A06AEA"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3.3.3.3 Dilute the sample with deionized water as needed to improve visualization of individual cells. (e.g. 100</w:t>
      </w:r>
      <w:r w:rsidR="001E2301" w:rsidRPr="00215E13">
        <w:rPr>
          <w:rFonts w:ascii="Calibri" w:eastAsia="Calibri" w:hAnsi="Calibri" w:cs="Calibri"/>
          <w:color w:val="000000" w:themeColor="text1"/>
          <w:highlight w:val="yellow"/>
        </w:rPr>
        <w:t xml:space="preserve"> </w:t>
      </w:r>
      <w:r w:rsidR="001E2301" w:rsidRPr="00215E13">
        <w:rPr>
          <w:rFonts w:ascii="Calibri" w:hAnsi="Calibri" w:cs="Calibri"/>
          <w:highlight w:val="yellow"/>
        </w:rPr>
        <w:t>µ</w:t>
      </w:r>
      <w:r w:rsidRPr="00215E13">
        <w:rPr>
          <w:rFonts w:ascii="Calibri" w:eastAsia="Calibri" w:hAnsi="Calibri" w:cs="Calibri"/>
          <w:color w:val="000000" w:themeColor="text1"/>
          <w:highlight w:val="yellow"/>
        </w:rPr>
        <w:t>L of sample diluted in 600</w:t>
      </w:r>
      <w:r w:rsidR="001E2301" w:rsidRPr="00215E13">
        <w:rPr>
          <w:rFonts w:ascii="Calibri" w:eastAsia="Calibri" w:hAnsi="Calibri" w:cs="Calibri"/>
          <w:color w:val="000000" w:themeColor="text1"/>
          <w:highlight w:val="yellow"/>
        </w:rPr>
        <w:t xml:space="preserve"> </w:t>
      </w:r>
      <w:r w:rsidR="001E2301" w:rsidRPr="00215E13">
        <w:rPr>
          <w:rFonts w:ascii="Calibri" w:hAnsi="Calibri" w:cs="Calibri"/>
          <w:highlight w:val="yellow"/>
        </w:rPr>
        <w:t>µ</w:t>
      </w:r>
      <w:r w:rsidRPr="00215E13">
        <w:rPr>
          <w:rFonts w:ascii="Calibri" w:eastAsia="Calibri" w:hAnsi="Calibri" w:cs="Calibri"/>
          <w:color w:val="000000" w:themeColor="text1"/>
          <w:highlight w:val="yellow"/>
        </w:rPr>
        <w:t>L of deionized water).</w:t>
      </w:r>
      <w:r w:rsidRPr="00215E13">
        <w:rPr>
          <w:rFonts w:ascii="Calibri" w:eastAsia="Calibri" w:hAnsi="Calibri" w:cs="Calibri"/>
          <w:color w:val="000000" w:themeColor="text1"/>
          <w:highlight w:val="yellow"/>
        </w:rPr>
        <w:br/>
        <w:t> </w:t>
      </w:r>
    </w:p>
    <w:p w14:paraId="000000C3"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 xml:space="preserve">3.3.3.4 Prepare wet-mount microscopy slide by pipetting 10 µL of the diluted sample onto a clean microscope slide and cover with a cover slide. </w:t>
      </w:r>
      <w:r w:rsidRPr="00215E13">
        <w:rPr>
          <w:rFonts w:ascii="Calibri" w:eastAsia="Calibri" w:hAnsi="Calibri" w:cs="Calibri"/>
          <w:color w:val="000000" w:themeColor="text1"/>
          <w:highlight w:val="yellow"/>
        </w:rPr>
        <w:br/>
        <w:t> </w:t>
      </w:r>
    </w:p>
    <w:p w14:paraId="000000C4"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3.3.2 Assess cultures by light microscopy</w:t>
      </w:r>
    </w:p>
    <w:p w14:paraId="000000C5"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C6"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 xml:space="preserve">3.3.2.1 Examine samples using a compound light microscope (brightfield) at 100×–400× total magnification (10× ocular with 10×–40× objectives). </w:t>
      </w:r>
    </w:p>
    <w:p w14:paraId="000000C7" w14:textId="77777777" w:rsidR="00EA5BF7" w:rsidRPr="00215E13" w:rsidRDefault="00EA5BF7" w:rsidP="005D5262">
      <w:pPr>
        <w:spacing w:after="0" w:line="240" w:lineRule="auto"/>
        <w:jc w:val="both"/>
        <w:rPr>
          <w:rFonts w:ascii="Calibri" w:eastAsia="Calibri" w:hAnsi="Calibri" w:cs="Calibri"/>
          <w:color w:val="000000" w:themeColor="text1"/>
          <w:highlight w:val="yellow"/>
        </w:rPr>
      </w:pPr>
    </w:p>
    <w:p w14:paraId="000000C8" w14:textId="77777777" w:rsidR="00EA5BF7" w:rsidRPr="005D5262"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highlight w:val="yellow"/>
        </w:rPr>
        <w:t xml:space="preserve">3.3.2.2 Assess cell motility, morphology, and frequency of </w:t>
      </w:r>
      <w:proofErr w:type="spellStart"/>
      <w:r w:rsidRPr="00215E13">
        <w:rPr>
          <w:rFonts w:ascii="Calibri" w:eastAsia="Calibri" w:hAnsi="Calibri" w:cs="Calibri"/>
          <w:color w:val="000000" w:themeColor="text1"/>
          <w:highlight w:val="yellow"/>
        </w:rPr>
        <w:t>encystment</w:t>
      </w:r>
      <w:proofErr w:type="spellEnd"/>
      <w:r w:rsidRPr="00215E13">
        <w:rPr>
          <w:rFonts w:ascii="Calibri" w:eastAsia="Calibri" w:hAnsi="Calibri" w:cs="Calibri"/>
          <w:color w:val="000000" w:themeColor="text1"/>
          <w:highlight w:val="yellow"/>
        </w:rPr>
        <w:t xml:space="preserve"> as indicators of adaptation status.</w:t>
      </w:r>
    </w:p>
    <w:p w14:paraId="000000C9"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0CA"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xml:space="preserve">NOTE: Viability was assessed based on the presence of intact cells with defined cellular boundaries and minimal debris. Active motility was defined as observable directional movement of cells within the field of view. Morphological stability was evaluated based on the </w:t>
      </w:r>
      <w:r w:rsidRPr="00215E13">
        <w:rPr>
          <w:rFonts w:ascii="Calibri" w:eastAsia="Calibri" w:hAnsi="Calibri" w:cs="Calibri"/>
          <w:color w:val="000000" w:themeColor="text1"/>
        </w:rPr>
        <w:t>predominance of characteristic cell shapes and low frequency of collapsed or highly irregular</w:t>
      </w:r>
      <w:r w:rsidRPr="005D5262">
        <w:rPr>
          <w:rFonts w:ascii="Calibri" w:eastAsia="Calibri" w:hAnsi="Calibri" w:cs="Calibri"/>
          <w:color w:val="000000" w:themeColor="text1"/>
        </w:rPr>
        <w:t xml:space="preserve"> forms.</w:t>
      </w:r>
    </w:p>
    <w:p w14:paraId="000000CB"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CC"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3.4. Perform serial passage during adaptation </w:t>
      </w:r>
    </w:p>
    <w:p w14:paraId="000000CD"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0CE"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NOTE: Sampling and transfer intervals are provided as defined ranges to accommodate variability in growth dynamics while maintaining consistent experimental timing across replicates.</w:t>
      </w:r>
      <w:r w:rsidRPr="005D5262">
        <w:rPr>
          <w:rFonts w:ascii="Calibri" w:eastAsia="Calibri" w:hAnsi="Calibri" w:cs="Calibri"/>
          <w:color w:val="000000" w:themeColor="text1"/>
        </w:rPr>
        <w:br/>
        <w:t> </w:t>
      </w:r>
    </w:p>
    <w:p w14:paraId="000000CF"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3</w:t>
      </w:r>
      <w:r w:rsidRPr="00215E13">
        <w:rPr>
          <w:rFonts w:ascii="Calibri" w:eastAsia="Calibri" w:hAnsi="Calibri" w:cs="Calibri"/>
          <w:color w:val="000000" w:themeColor="text1"/>
          <w:highlight w:val="yellow"/>
        </w:rPr>
        <w:t>.4.1. Every 7 days, aseptically transfer 20% (v/v) of each culture into freshly prepared cassava media of the same </w:t>
      </w:r>
      <w:proofErr w:type="spellStart"/>
      <w:r w:rsidRPr="00215E13">
        <w:rPr>
          <w:rFonts w:ascii="Calibri" w:eastAsia="Calibri" w:hAnsi="Calibri" w:cs="Calibri"/>
          <w:color w:val="000000" w:themeColor="text1"/>
          <w:highlight w:val="yellow"/>
        </w:rPr>
        <w:t>garri</w:t>
      </w:r>
      <w:proofErr w:type="spellEnd"/>
      <w:r w:rsidRPr="00215E13">
        <w:rPr>
          <w:rFonts w:ascii="Calibri" w:eastAsia="Calibri" w:hAnsi="Calibri" w:cs="Calibri"/>
          <w:color w:val="000000" w:themeColor="text1"/>
          <w:highlight w:val="yellow"/>
        </w:rPr>
        <w:t> concentration and sterilization condition. </w:t>
      </w:r>
      <w:r w:rsidRPr="00215E13">
        <w:rPr>
          <w:rFonts w:ascii="Calibri" w:eastAsia="Calibri" w:hAnsi="Calibri" w:cs="Calibri"/>
          <w:color w:val="000000" w:themeColor="text1"/>
          <w:highlight w:val="yellow"/>
        </w:rPr>
        <w:br/>
        <w:t> </w:t>
      </w:r>
    </w:p>
    <w:p w14:paraId="000000D0" w14:textId="77777777" w:rsidR="00EA5BF7" w:rsidRPr="00215E13" w:rsidRDefault="00640CC3" w:rsidP="005D5262">
      <w:pPr>
        <w:spacing w:after="0" w:line="240" w:lineRule="auto"/>
        <w:jc w:val="both"/>
        <w:rPr>
          <w:rFonts w:ascii="Calibri" w:eastAsia="Calibri" w:hAnsi="Calibri" w:cs="Calibri"/>
          <w:color w:val="000000" w:themeColor="text1"/>
          <w:highlight w:val="yellow"/>
        </w:rPr>
      </w:pPr>
      <w:r w:rsidRPr="00215E13">
        <w:rPr>
          <w:rFonts w:ascii="Calibri" w:eastAsia="Calibri" w:hAnsi="Calibri" w:cs="Calibri"/>
          <w:color w:val="000000" w:themeColor="text1"/>
          <w:highlight w:val="yellow"/>
        </w:rPr>
        <w:t>3.4.2. Maintain consistent transfer volumes between passages to preserve selection pressure. </w:t>
      </w:r>
      <w:r w:rsidRPr="00215E13">
        <w:rPr>
          <w:rFonts w:ascii="Calibri" w:eastAsia="Calibri" w:hAnsi="Calibri" w:cs="Calibri"/>
          <w:color w:val="000000" w:themeColor="text1"/>
          <w:highlight w:val="yellow"/>
        </w:rPr>
        <w:br/>
        <w:t> </w:t>
      </w:r>
    </w:p>
    <w:p w14:paraId="000000D1" w14:textId="77777777" w:rsidR="00EA5BF7" w:rsidRPr="005D5262"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highlight w:val="yellow"/>
        </w:rPr>
        <w:t>3.4.3. Repeat serial passaging until cultures exhibit consistent growth, sustained motility, and low </w:t>
      </w:r>
      <w:proofErr w:type="spellStart"/>
      <w:r w:rsidRPr="00215E13">
        <w:rPr>
          <w:rFonts w:ascii="Calibri" w:eastAsia="Calibri" w:hAnsi="Calibri" w:cs="Calibri"/>
          <w:color w:val="000000" w:themeColor="text1"/>
          <w:highlight w:val="yellow"/>
        </w:rPr>
        <w:t>encystment</w:t>
      </w:r>
      <w:proofErr w:type="spellEnd"/>
      <w:r w:rsidRPr="00215E13">
        <w:rPr>
          <w:rFonts w:ascii="Calibri" w:eastAsia="Calibri" w:hAnsi="Calibri" w:cs="Calibri"/>
          <w:color w:val="000000" w:themeColor="text1"/>
          <w:highlight w:val="yellow"/>
        </w:rPr>
        <w:t> frequency in 30 g L⁻¹ cassava media.</w:t>
      </w:r>
      <w:r w:rsidRPr="005D5262">
        <w:rPr>
          <w:rFonts w:ascii="Calibri" w:eastAsia="Calibri" w:hAnsi="Calibri" w:cs="Calibri"/>
          <w:color w:val="000000" w:themeColor="text1"/>
        </w:rPr>
        <w:t> </w:t>
      </w:r>
    </w:p>
    <w:p w14:paraId="000000D2"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D3"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Pause Point: Cultures may remain undisturbed for up to 24h between routine mixing and sampling steps.  </w:t>
      </w:r>
    </w:p>
    <w:p w14:paraId="000000D4"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lastRenderedPageBreak/>
        <w:t> </w:t>
      </w:r>
    </w:p>
    <w:p w14:paraId="000000D5" w14:textId="19846E43"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4. High-concentration selection (30</w:t>
      </w:r>
      <w:r w:rsidR="001E2301" w:rsidRPr="005D5262">
        <w:rPr>
          <w:rFonts w:ascii="Calibri" w:eastAsia="Calibri" w:hAnsi="Calibri" w:cs="Calibri"/>
          <w:b/>
          <w:bCs/>
          <w:color w:val="000000" w:themeColor="text1"/>
        </w:rPr>
        <w:t>–</w:t>
      </w:r>
      <w:r w:rsidRPr="005D5262">
        <w:rPr>
          <w:rFonts w:ascii="Calibri" w:eastAsia="Calibri" w:hAnsi="Calibri" w:cs="Calibri"/>
          <w:b/>
          <w:bCs/>
          <w:color w:val="000000" w:themeColor="text1"/>
        </w:rPr>
        <w:t>50 g/L) </w:t>
      </w:r>
      <w:r w:rsidRPr="005D5262">
        <w:rPr>
          <w:rFonts w:ascii="Calibri" w:eastAsia="Calibri" w:hAnsi="Calibri" w:cs="Calibri"/>
          <w:color w:val="000000" w:themeColor="text1"/>
        </w:rPr>
        <w:t> </w:t>
      </w:r>
    </w:p>
    <w:p w14:paraId="000000D6"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D7"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4.1. Prepare high-load substrates </w:t>
      </w:r>
      <w:r w:rsidRPr="005D5262">
        <w:rPr>
          <w:rFonts w:ascii="Calibri" w:eastAsia="Calibri" w:hAnsi="Calibri" w:cs="Calibri"/>
          <w:color w:val="000000" w:themeColor="text1"/>
        </w:rPr>
        <w:br/>
        <w:t> </w:t>
      </w:r>
    </w:p>
    <w:p w14:paraId="000000D8" w14:textId="167F9BD3"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4.1.1. Prepare </w:t>
      </w:r>
      <w:proofErr w:type="spellStart"/>
      <w:r w:rsidRPr="00215E13">
        <w:rPr>
          <w:rFonts w:ascii="Calibri" w:eastAsia="Calibri" w:hAnsi="Calibri" w:cs="Calibri"/>
          <w:color w:val="000000" w:themeColor="text1"/>
        </w:rPr>
        <w:t>garri</w:t>
      </w:r>
      <w:proofErr w:type="spellEnd"/>
      <w:r w:rsidRPr="00215E13">
        <w:rPr>
          <w:rFonts w:ascii="Calibri" w:eastAsia="Calibri" w:hAnsi="Calibri" w:cs="Calibri"/>
          <w:color w:val="000000" w:themeColor="text1"/>
        </w:rPr>
        <w:t>-based cassava media at final concentrations of 30 gL⁻¹, 40 gL⁻¹, and 50 gL⁻¹ by following the procedures described in Method 1. </w:t>
      </w:r>
      <w:r w:rsidRPr="00215E13">
        <w:rPr>
          <w:rFonts w:ascii="Calibri" w:eastAsia="Calibri" w:hAnsi="Calibri" w:cs="Calibri"/>
          <w:color w:val="000000" w:themeColor="text1"/>
        </w:rPr>
        <w:br/>
        <w:t> </w:t>
      </w:r>
    </w:p>
    <w:p w14:paraId="000000D9"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4.1.2. Allow substrates to fully hydrate during the fermentation period to ensure uniform exposure of cells to dissolved and particulate components. </w:t>
      </w:r>
      <w:r w:rsidRPr="00215E13">
        <w:rPr>
          <w:rFonts w:ascii="Calibri" w:eastAsia="Calibri" w:hAnsi="Calibri" w:cs="Calibri"/>
          <w:color w:val="000000" w:themeColor="text1"/>
        </w:rPr>
        <w:br/>
        <w:t> </w:t>
      </w:r>
    </w:p>
    <w:p w14:paraId="000000DA" w14:textId="23369BBB"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 xml:space="preserve">4.1.3. Gently resuspend settled particulates by swirling the flasks gently by </w:t>
      </w:r>
      <w:r w:rsidR="009D039C" w:rsidRPr="00215E13">
        <w:rPr>
          <w:rFonts w:ascii="Calibri" w:eastAsia="Calibri" w:hAnsi="Calibri" w:cs="Calibri"/>
          <w:color w:val="000000" w:themeColor="text1"/>
        </w:rPr>
        <w:t>hand for</w:t>
      </w:r>
      <w:r w:rsidRPr="00215E13">
        <w:rPr>
          <w:rFonts w:ascii="Calibri" w:eastAsia="Calibri" w:hAnsi="Calibri" w:cs="Calibri"/>
          <w:color w:val="000000" w:themeColor="text1"/>
        </w:rPr>
        <w:t xml:space="preserve"> 10</w:t>
      </w:r>
      <w:r w:rsidR="001E2301" w:rsidRPr="00215E13">
        <w:rPr>
          <w:rFonts w:ascii="Calibri" w:eastAsia="Calibri" w:hAnsi="Calibri" w:cs="Calibri"/>
          <w:color w:val="000000" w:themeColor="text1"/>
        </w:rPr>
        <w:t>–</w:t>
      </w:r>
      <w:r w:rsidRPr="00215E13">
        <w:rPr>
          <w:rFonts w:ascii="Calibri" w:eastAsia="Calibri" w:hAnsi="Calibri" w:cs="Calibri"/>
          <w:color w:val="000000" w:themeColor="text1"/>
        </w:rPr>
        <w:t>15 sec immediately prior to inoculation.</w:t>
      </w:r>
      <w:r w:rsidRPr="00215E13">
        <w:rPr>
          <w:rFonts w:ascii="Calibri" w:eastAsia="Calibri" w:hAnsi="Calibri" w:cs="Calibri"/>
          <w:color w:val="000000" w:themeColor="text1"/>
        </w:rPr>
        <w:t> </w:t>
      </w:r>
    </w:p>
    <w:p w14:paraId="000000DB"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 </w:t>
      </w:r>
    </w:p>
    <w:p w14:paraId="000000DC"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4.2 Inoculate high-load cultures  </w:t>
      </w:r>
    </w:p>
    <w:p w14:paraId="000000DD"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 </w:t>
      </w:r>
    </w:p>
    <w:p w14:paraId="000000DE" w14:textId="1B5678C1"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4.2.1. Inoculate each high-concentration cassava medium with 5% (v/v) of the </w:t>
      </w:r>
      <w:r w:rsidRPr="00215E13">
        <w:rPr>
          <w:rFonts w:ascii="Calibri" w:eastAsia="Calibri" w:hAnsi="Calibri" w:cs="Calibri"/>
          <w:i/>
          <w:iCs/>
          <w:color w:val="000000" w:themeColor="text1"/>
        </w:rPr>
        <w:t>E. </w:t>
      </w:r>
      <w:proofErr w:type="spellStart"/>
      <w:r w:rsidRPr="00215E13">
        <w:rPr>
          <w:rFonts w:ascii="Calibri" w:eastAsia="Calibri" w:hAnsi="Calibri" w:cs="Calibri"/>
          <w:i/>
          <w:iCs/>
          <w:color w:val="000000" w:themeColor="text1"/>
        </w:rPr>
        <w:t>gracilis</w:t>
      </w:r>
      <w:proofErr w:type="spellEnd"/>
      <w:r w:rsidRPr="00215E13">
        <w:rPr>
          <w:rFonts w:ascii="Calibri" w:eastAsia="Calibri" w:hAnsi="Calibri" w:cs="Calibri"/>
          <w:color w:val="000000" w:themeColor="text1"/>
        </w:rPr>
        <w:t> lineage previously adapted to 30 gL⁻¹ </w:t>
      </w:r>
      <w:proofErr w:type="spellStart"/>
      <w:r w:rsidRPr="00215E13">
        <w:rPr>
          <w:rFonts w:ascii="Calibri" w:eastAsia="Calibri" w:hAnsi="Calibri" w:cs="Calibri"/>
          <w:color w:val="000000" w:themeColor="text1"/>
        </w:rPr>
        <w:t>garri</w:t>
      </w:r>
      <w:proofErr w:type="spellEnd"/>
      <w:r w:rsidRPr="00215E13">
        <w:rPr>
          <w:rFonts w:ascii="Calibri" w:eastAsia="Calibri" w:hAnsi="Calibri" w:cs="Calibri"/>
          <w:color w:val="000000" w:themeColor="text1"/>
        </w:rPr>
        <w:t>. </w:t>
      </w:r>
      <w:r w:rsidRPr="00215E13">
        <w:rPr>
          <w:rFonts w:ascii="Calibri" w:eastAsia="Calibri" w:hAnsi="Calibri" w:cs="Calibri"/>
          <w:color w:val="000000" w:themeColor="text1"/>
        </w:rPr>
        <w:br/>
        <w:t> </w:t>
      </w:r>
    </w:p>
    <w:p w14:paraId="000000DF"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4.2.2. Standardize inoculation volumes across all concentrations to maintain comparable initial cell densities. </w:t>
      </w:r>
      <w:r w:rsidRPr="00215E13">
        <w:rPr>
          <w:rFonts w:ascii="Calibri" w:eastAsia="Calibri" w:hAnsi="Calibri" w:cs="Calibri"/>
          <w:color w:val="000000" w:themeColor="text1"/>
        </w:rPr>
        <w:br/>
        <w:t> </w:t>
      </w:r>
    </w:p>
    <w:p w14:paraId="000000E0" w14:textId="40FB27EB"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 xml:space="preserve">4.2.3. Incubate cultures in complete darkness at 25 °C with continuous orbital shaking at 120 </w:t>
      </w:r>
      <w:r w:rsidR="009D039C" w:rsidRPr="00215E13">
        <w:rPr>
          <w:rFonts w:ascii="Calibri" w:hAnsi="Calibri" w:cs="Calibri"/>
        </w:rPr>
        <w:t xml:space="preserve">x </w:t>
      </w:r>
      <w:r w:rsidR="009D039C" w:rsidRPr="00215E13">
        <w:rPr>
          <w:rFonts w:ascii="Calibri" w:hAnsi="Calibri" w:cs="Calibri"/>
          <w:i/>
        </w:rPr>
        <w:t>g</w:t>
      </w:r>
      <w:r w:rsidRPr="00215E13">
        <w:rPr>
          <w:rFonts w:ascii="Calibri" w:eastAsia="Calibri" w:hAnsi="Calibri" w:cs="Calibri"/>
          <w:color w:val="000000" w:themeColor="text1"/>
        </w:rPr>
        <w:t xml:space="preserve"> to maintain heterotrophic growth conditions. </w:t>
      </w:r>
      <w:r w:rsidRPr="00215E13">
        <w:rPr>
          <w:rFonts w:ascii="Calibri" w:eastAsia="Calibri" w:hAnsi="Calibri" w:cs="Calibri"/>
          <w:color w:val="000000" w:themeColor="text1"/>
        </w:rPr>
        <w:br/>
        <w:t> </w:t>
      </w:r>
    </w:p>
    <w:p w14:paraId="000000E1" w14:textId="1A870B1A"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4.2.4. Mix cultures once daily by gentle manual swirling for 15 sec to maintain contact between cells and suspended substrate without inducing shear stress</w:t>
      </w:r>
      <w:r w:rsidRPr="00215E13">
        <w:rPr>
          <w:rFonts w:ascii="Calibri" w:eastAsia="Calibri" w:hAnsi="Calibri" w:cs="Calibri"/>
          <w:color w:val="000000" w:themeColor="text1"/>
        </w:rPr>
        <w:t> </w:t>
      </w:r>
    </w:p>
    <w:p w14:paraId="000000E2"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  </w:t>
      </w:r>
    </w:p>
    <w:p w14:paraId="000000E3"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4.3. Monitor performance under high substrate load </w:t>
      </w:r>
      <w:r w:rsidRPr="00215E13">
        <w:rPr>
          <w:rFonts w:ascii="Calibri" w:eastAsia="Calibri" w:hAnsi="Calibri" w:cs="Calibri"/>
          <w:color w:val="000000" w:themeColor="text1"/>
        </w:rPr>
        <w:br/>
        <w:t> </w:t>
      </w:r>
    </w:p>
    <w:p w14:paraId="000000E4"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4.3.1. Inspect cultures every 48 h for visible changes in turbidity, pigmentation, and interaction between </w:t>
      </w:r>
      <w:r w:rsidRPr="00215E13">
        <w:rPr>
          <w:rFonts w:ascii="Calibri" w:eastAsia="Calibri" w:hAnsi="Calibri" w:cs="Calibri"/>
          <w:i/>
          <w:iCs/>
          <w:color w:val="000000" w:themeColor="text1"/>
        </w:rPr>
        <w:t>E. </w:t>
      </w:r>
      <w:proofErr w:type="spellStart"/>
      <w:r w:rsidRPr="00215E13">
        <w:rPr>
          <w:rFonts w:ascii="Calibri" w:eastAsia="Calibri" w:hAnsi="Calibri" w:cs="Calibri"/>
          <w:i/>
          <w:iCs/>
          <w:color w:val="000000" w:themeColor="text1"/>
        </w:rPr>
        <w:t>gracilis</w:t>
      </w:r>
      <w:proofErr w:type="spellEnd"/>
      <w:r w:rsidRPr="00215E13">
        <w:rPr>
          <w:rFonts w:ascii="Calibri" w:eastAsia="Calibri" w:hAnsi="Calibri" w:cs="Calibri"/>
          <w:color w:val="000000" w:themeColor="text1"/>
        </w:rPr>
        <w:t> cells and sedimented cassava material. </w:t>
      </w:r>
      <w:r w:rsidRPr="00215E13">
        <w:rPr>
          <w:rFonts w:ascii="Calibri" w:eastAsia="Calibri" w:hAnsi="Calibri" w:cs="Calibri"/>
          <w:color w:val="000000" w:themeColor="text1"/>
        </w:rPr>
        <w:br/>
        <w:t> </w:t>
      </w:r>
    </w:p>
    <w:p w14:paraId="000000E5"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4.3.2. Aseptically collect small aliquots and examine cells using a compound light microscope at 100×–400× total magnification (10× ocular with 10×–40× objectives).</w:t>
      </w:r>
      <w:r w:rsidRPr="00215E13">
        <w:rPr>
          <w:rFonts w:ascii="Calibri" w:eastAsia="Calibri" w:hAnsi="Calibri" w:cs="Calibri"/>
          <w:color w:val="000000" w:themeColor="text1"/>
        </w:rPr>
        <w:br/>
        <w:t> </w:t>
      </w:r>
    </w:p>
    <w:p w14:paraId="000000E6"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4.3.3. Assess motility, cell morphology, and frequency of </w:t>
      </w:r>
      <w:proofErr w:type="spellStart"/>
      <w:r w:rsidRPr="00215E13">
        <w:rPr>
          <w:rFonts w:ascii="Calibri" w:eastAsia="Calibri" w:hAnsi="Calibri" w:cs="Calibri"/>
          <w:color w:val="000000" w:themeColor="text1"/>
        </w:rPr>
        <w:t>encystment</w:t>
      </w:r>
      <w:proofErr w:type="spellEnd"/>
      <w:r w:rsidRPr="00215E13">
        <w:rPr>
          <w:rFonts w:ascii="Calibri" w:eastAsia="Calibri" w:hAnsi="Calibri" w:cs="Calibri"/>
          <w:color w:val="000000" w:themeColor="text1"/>
        </w:rPr>
        <w:t> as indicators of physiological tolerance to increased substrate concentration (Refer to Method 2).</w:t>
      </w:r>
    </w:p>
    <w:p w14:paraId="000000E7"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 </w:t>
      </w:r>
    </w:p>
    <w:p w14:paraId="000000E8"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4.4. Confirm adaptation to high substrate concentrations </w:t>
      </w:r>
      <w:r w:rsidRPr="00215E13">
        <w:rPr>
          <w:rFonts w:ascii="Calibri" w:eastAsia="Calibri" w:hAnsi="Calibri" w:cs="Calibri"/>
          <w:color w:val="000000" w:themeColor="text1"/>
        </w:rPr>
        <w:br/>
        <w:t> </w:t>
      </w:r>
    </w:p>
    <w:p w14:paraId="000000E9"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4.4.1. Identify cultures that maintain sustained motility, consistent morphology, and low </w:t>
      </w:r>
      <w:proofErr w:type="spellStart"/>
      <w:r w:rsidRPr="00215E13">
        <w:rPr>
          <w:rFonts w:ascii="Calibri" w:eastAsia="Calibri" w:hAnsi="Calibri" w:cs="Calibri"/>
          <w:color w:val="000000" w:themeColor="text1"/>
        </w:rPr>
        <w:t>encystment</w:t>
      </w:r>
      <w:proofErr w:type="spellEnd"/>
      <w:r w:rsidRPr="00215E13">
        <w:rPr>
          <w:rFonts w:ascii="Calibri" w:eastAsia="Calibri" w:hAnsi="Calibri" w:cs="Calibri"/>
          <w:color w:val="000000" w:themeColor="text1"/>
        </w:rPr>
        <w:t> frequency at cassava concentrations of ≥40 g L⁻¹. </w:t>
      </w:r>
      <w:r w:rsidRPr="00215E13">
        <w:rPr>
          <w:rFonts w:ascii="Calibri" w:eastAsia="Calibri" w:hAnsi="Calibri" w:cs="Calibri"/>
          <w:color w:val="000000" w:themeColor="text1"/>
        </w:rPr>
        <w:br/>
        <w:t> </w:t>
      </w:r>
    </w:p>
    <w:p w14:paraId="000000EA"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lastRenderedPageBreak/>
        <w:t>4.4.2. Designate cultures meeting these criteria as the cassava-adapted  </w:t>
      </w:r>
    </w:p>
    <w:p w14:paraId="000000EB"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i/>
          <w:iCs/>
          <w:color w:val="000000" w:themeColor="text1"/>
        </w:rPr>
        <w:t> </w:t>
      </w:r>
      <w:proofErr w:type="spellStart"/>
      <w:r w:rsidRPr="00215E13">
        <w:rPr>
          <w:rFonts w:ascii="Calibri" w:eastAsia="Calibri" w:hAnsi="Calibri" w:cs="Calibri"/>
          <w:i/>
          <w:iCs/>
          <w:color w:val="000000" w:themeColor="text1"/>
        </w:rPr>
        <w:t>gracilis</w:t>
      </w:r>
      <w:proofErr w:type="spellEnd"/>
      <w:r w:rsidRPr="00215E13">
        <w:rPr>
          <w:rFonts w:ascii="Calibri" w:eastAsia="Calibri" w:hAnsi="Calibri" w:cs="Calibri"/>
          <w:color w:val="000000" w:themeColor="text1"/>
        </w:rPr>
        <w:t> lineage for subsequent experimental evaluation.</w:t>
      </w:r>
      <w:r w:rsidRPr="00215E13">
        <w:rPr>
          <w:rFonts w:ascii="Calibri" w:eastAsia="Calibri" w:hAnsi="Calibri" w:cs="Calibri"/>
          <w:color w:val="000000" w:themeColor="text1"/>
        </w:rPr>
        <w:t> </w:t>
      </w:r>
    </w:p>
    <w:p w14:paraId="000000EC"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 </w:t>
      </w:r>
    </w:p>
    <w:p w14:paraId="000000ED"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b/>
          <w:bCs/>
          <w:color w:val="000000" w:themeColor="text1"/>
        </w:rPr>
        <w:t>5. Comparative growth testing in Cassava product media </w:t>
      </w:r>
      <w:r w:rsidRPr="00215E13">
        <w:rPr>
          <w:rFonts w:ascii="Calibri" w:eastAsia="Calibri" w:hAnsi="Calibri" w:cs="Calibri"/>
          <w:color w:val="000000" w:themeColor="text1"/>
        </w:rPr>
        <w:t> </w:t>
      </w:r>
    </w:p>
    <w:p w14:paraId="000000EE" w14:textId="77777777" w:rsidR="00EA5BF7" w:rsidRPr="00215E13" w:rsidRDefault="00EA5BF7" w:rsidP="005D5262">
      <w:pPr>
        <w:spacing w:after="0" w:line="240" w:lineRule="auto"/>
        <w:jc w:val="both"/>
        <w:rPr>
          <w:rFonts w:ascii="Calibri" w:eastAsia="Calibri" w:hAnsi="Calibri" w:cs="Calibri"/>
          <w:color w:val="000000" w:themeColor="text1"/>
        </w:rPr>
      </w:pPr>
    </w:p>
    <w:p w14:paraId="000000EF"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5.1. Prepare paired test conditions </w:t>
      </w:r>
      <w:r w:rsidRPr="00215E13">
        <w:rPr>
          <w:rFonts w:ascii="Calibri" w:eastAsia="Calibri" w:hAnsi="Calibri" w:cs="Calibri"/>
          <w:color w:val="000000" w:themeColor="text1"/>
        </w:rPr>
        <w:br/>
        <w:t> </w:t>
      </w:r>
    </w:p>
    <w:p w14:paraId="000000F0"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5</w:t>
      </w:r>
      <w:r w:rsidRPr="00215E13">
        <w:rPr>
          <w:rFonts w:ascii="Calibri" w:eastAsia="Calibri" w:hAnsi="Calibri" w:cs="Calibri"/>
          <w:color w:val="000000" w:themeColor="text1"/>
        </w:rPr>
        <w:t>.1.1. For each cassava product, including </w:t>
      </w:r>
      <w:proofErr w:type="spellStart"/>
      <w:r w:rsidRPr="00215E13">
        <w:rPr>
          <w:rFonts w:ascii="Calibri" w:eastAsia="Calibri" w:hAnsi="Calibri" w:cs="Calibri"/>
          <w:color w:val="000000" w:themeColor="text1"/>
        </w:rPr>
        <w:t>garri</w:t>
      </w:r>
      <w:proofErr w:type="spellEnd"/>
      <w:r w:rsidRPr="00215E13">
        <w:rPr>
          <w:rFonts w:ascii="Calibri" w:eastAsia="Calibri" w:hAnsi="Calibri" w:cs="Calibri"/>
          <w:color w:val="000000" w:themeColor="text1"/>
        </w:rPr>
        <w:t>, dried pulp, pellets, peels, and animal feed, prepare two identical vessels containing the same substrate concentration and volume. </w:t>
      </w:r>
      <w:r w:rsidRPr="00215E13">
        <w:rPr>
          <w:rFonts w:ascii="Calibri" w:eastAsia="Calibri" w:hAnsi="Calibri" w:cs="Calibri"/>
          <w:color w:val="000000" w:themeColor="text1"/>
        </w:rPr>
        <w:br/>
        <w:t> </w:t>
      </w:r>
    </w:p>
    <w:p w14:paraId="000000F1"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5.1.2. Inoculate one vessel with the cassava-adapted </w:t>
      </w:r>
      <w:r w:rsidRPr="00215E13">
        <w:rPr>
          <w:rFonts w:ascii="Calibri" w:eastAsia="Calibri" w:hAnsi="Calibri" w:cs="Calibri"/>
          <w:i/>
          <w:iCs/>
          <w:color w:val="000000" w:themeColor="text1"/>
        </w:rPr>
        <w:t>E. </w:t>
      </w:r>
      <w:proofErr w:type="spellStart"/>
      <w:r w:rsidRPr="00215E13">
        <w:rPr>
          <w:rFonts w:ascii="Calibri" w:eastAsia="Calibri" w:hAnsi="Calibri" w:cs="Calibri"/>
          <w:i/>
          <w:iCs/>
          <w:color w:val="000000" w:themeColor="text1"/>
        </w:rPr>
        <w:t>gracilis</w:t>
      </w:r>
      <w:proofErr w:type="spellEnd"/>
      <w:r w:rsidRPr="00215E13">
        <w:rPr>
          <w:rFonts w:ascii="Calibri" w:eastAsia="Calibri" w:hAnsi="Calibri" w:cs="Calibri"/>
          <w:i/>
          <w:iCs/>
          <w:color w:val="000000" w:themeColor="text1"/>
        </w:rPr>
        <w:t> </w:t>
      </w:r>
      <w:r w:rsidRPr="00215E13">
        <w:rPr>
          <w:rFonts w:ascii="Calibri" w:eastAsia="Calibri" w:hAnsi="Calibri" w:cs="Calibri"/>
          <w:color w:val="000000" w:themeColor="text1"/>
        </w:rPr>
        <w:t>lineage and the paired vessel with the non-adapted wild-type strain. </w:t>
      </w:r>
      <w:r w:rsidRPr="00215E13">
        <w:rPr>
          <w:rFonts w:ascii="Calibri" w:eastAsia="Calibri" w:hAnsi="Calibri" w:cs="Calibri"/>
          <w:color w:val="000000" w:themeColor="text1"/>
        </w:rPr>
        <w:br/>
        <w:t> </w:t>
      </w:r>
    </w:p>
    <w:p w14:paraId="000000F2"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5.1.3. Use equal inoculation volumes for each paired condition to ensure comparable initial cell densities between lineages</w:t>
      </w:r>
      <w:r w:rsidRPr="00215E13">
        <w:rPr>
          <w:rFonts w:ascii="Calibri" w:eastAsia="Calibri" w:hAnsi="Calibri" w:cs="Calibri"/>
          <w:color w:val="000000" w:themeColor="text1"/>
        </w:rPr>
        <w:t> </w:t>
      </w:r>
    </w:p>
    <w:p w14:paraId="000000F3"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 </w:t>
      </w:r>
    </w:p>
    <w:p w14:paraId="000000F4"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5.2. Maintain paired cultures </w:t>
      </w:r>
      <w:r w:rsidRPr="00215E13">
        <w:rPr>
          <w:rFonts w:ascii="Calibri" w:eastAsia="Calibri" w:hAnsi="Calibri" w:cs="Calibri"/>
          <w:color w:val="000000" w:themeColor="text1"/>
        </w:rPr>
        <w:br/>
        <w:t> </w:t>
      </w:r>
    </w:p>
    <w:p w14:paraId="000000F5" w14:textId="48EA532E"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 xml:space="preserve">5.2.1. Incubate all paired cultures in complete darkness at 25 °C with continuous orbital shaking at 120 </w:t>
      </w:r>
      <w:r w:rsidR="009D039C" w:rsidRPr="00215E13">
        <w:rPr>
          <w:rFonts w:ascii="Calibri" w:hAnsi="Calibri" w:cs="Calibri"/>
        </w:rPr>
        <w:t xml:space="preserve">x </w:t>
      </w:r>
      <w:r w:rsidR="009D039C" w:rsidRPr="00215E13">
        <w:rPr>
          <w:rFonts w:ascii="Calibri" w:hAnsi="Calibri" w:cs="Calibri"/>
          <w:i/>
        </w:rPr>
        <w:t>g</w:t>
      </w:r>
      <w:r w:rsidRPr="00215E13">
        <w:rPr>
          <w:rFonts w:ascii="Calibri" w:eastAsia="Calibri" w:hAnsi="Calibri" w:cs="Calibri"/>
          <w:color w:val="000000" w:themeColor="text1"/>
        </w:rPr>
        <w:t xml:space="preserve"> to maintain heterotrophic growth conditions.</w:t>
      </w:r>
      <w:r w:rsidRPr="00215E13">
        <w:rPr>
          <w:rFonts w:ascii="Calibri" w:eastAsia="Calibri" w:hAnsi="Calibri" w:cs="Calibri"/>
          <w:color w:val="000000" w:themeColor="text1"/>
        </w:rPr>
        <w:br/>
        <w:t> </w:t>
      </w:r>
    </w:p>
    <w:p w14:paraId="000000F6" w14:textId="77777777" w:rsidR="00EA5BF7" w:rsidRPr="00215E13"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5.2.2. Mix cultures once daily by gentle manual inversion to maintain contact between cells and suspended substrate. </w:t>
      </w:r>
      <w:r w:rsidRPr="00215E13">
        <w:rPr>
          <w:rFonts w:ascii="Calibri" w:eastAsia="Calibri" w:hAnsi="Calibri" w:cs="Calibri"/>
          <w:color w:val="000000" w:themeColor="text1"/>
        </w:rPr>
        <w:br/>
        <w:t> </w:t>
      </w:r>
    </w:p>
    <w:p w14:paraId="000000F7" w14:textId="77777777" w:rsidR="00EA5BF7" w:rsidRPr="005D5262" w:rsidRDefault="00640CC3" w:rsidP="005D5262">
      <w:pPr>
        <w:spacing w:after="0" w:line="240" w:lineRule="auto"/>
        <w:jc w:val="both"/>
        <w:rPr>
          <w:rFonts w:ascii="Calibri" w:eastAsia="Calibri" w:hAnsi="Calibri" w:cs="Calibri"/>
          <w:color w:val="000000" w:themeColor="text1"/>
        </w:rPr>
      </w:pPr>
      <w:r w:rsidRPr="00215E13">
        <w:rPr>
          <w:rFonts w:ascii="Calibri" w:eastAsia="Calibri" w:hAnsi="Calibri" w:cs="Calibri"/>
          <w:color w:val="000000" w:themeColor="text1"/>
        </w:rPr>
        <w:t>5.2.3. Record visible changes, including turbidity, pigmentation, and settling patterns, throughout the incubation period.</w:t>
      </w:r>
      <w:r w:rsidRPr="005D5262">
        <w:rPr>
          <w:rFonts w:ascii="Calibri" w:eastAsia="Calibri" w:hAnsi="Calibri" w:cs="Calibri"/>
          <w:color w:val="000000" w:themeColor="text1"/>
        </w:rPr>
        <w:t> </w:t>
      </w:r>
    </w:p>
    <w:p w14:paraId="000000F8"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F9"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5.3. Record observed morphological differences </w:t>
      </w:r>
      <w:r w:rsidRPr="005D5262">
        <w:rPr>
          <w:rFonts w:ascii="Calibri" w:eastAsia="Calibri" w:hAnsi="Calibri" w:cs="Calibri"/>
          <w:color w:val="000000" w:themeColor="text1"/>
        </w:rPr>
        <w:br/>
        <w:t> </w:t>
      </w:r>
    </w:p>
    <w:p w14:paraId="000000FA"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xml:space="preserve">5.3.1. At defined sampling intervals, aseptically collect aliquots from each culture for microscopic analysis (refer to Method 2.2 for aliquot collection and microscope analysis) </w:t>
      </w:r>
      <w:r w:rsidRPr="005D5262">
        <w:rPr>
          <w:rFonts w:ascii="Calibri" w:eastAsia="Calibri" w:hAnsi="Calibri" w:cs="Calibri"/>
          <w:color w:val="000000" w:themeColor="text1"/>
        </w:rPr>
        <w:br/>
        <w:t> </w:t>
      </w:r>
    </w:p>
    <w:p w14:paraId="000000FB" w14:textId="794C9D92"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5.3.2. Examine samples using a compound light microscope (</w:t>
      </w:r>
      <w:r w:rsidR="009D039C" w:rsidRPr="005D5262">
        <w:rPr>
          <w:rFonts w:ascii="Calibri" w:eastAsia="Calibri" w:hAnsi="Calibri" w:cs="Calibri"/>
          <w:color w:val="000000" w:themeColor="text1"/>
        </w:rPr>
        <w:t>brightfield) at</w:t>
      </w:r>
      <w:r w:rsidRPr="005D5262">
        <w:rPr>
          <w:rFonts w:ascii="Calibri" w:eastAsia="Calibri" w:hAnsi="Calibri" w:cs="Calibri"/>
          <w:color w:val="000000" w:themeColor="text1"/>
        </w:rPr>
        <w:t xml:space="preserve"> 100×–400× total magnification (10× ocular with 10×–40× objectives).</w:t>
      </w:r>
      <w:r w:rsidRPr="005D5262">
        <w:rPr>
          <w:rFonts w:ascii="Calibri" w:eastAsia="Calibri" w:hAnsi="Calibri" w:cs="Calibri"/>
          <w:color w:val="000000" w:themeColor="text1"/>
        </w:rPr>
        <w:br/>
        <w:t> </w:t>
      </w:r>
    </w:p>
    <w:p w14:paraId="000000FC"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5.3.3. Document differences between adapted and wild-type cultures with respect to motility, </w:t>
      </w:r>
      <w:proofErr w:type="spellStart"/>
      <w:r w:rsidRPr="005D5262">
        <w:rPr>
          <w:rFonts w:ascii="Calibri" w:eastAsia="Calibri" w:hAnsi="Calibri" w:cs="Calibri"/>
          <w:color w:val="000000" w:themeColor="text1"/>
        </w:rPr>
        <w:t>encystment</w:t>
      </w:r>
      <w:proofErr w:type="spellEnd"/>
      <w:r w:rsidRPr="005D5262">
        <w:rPr>
          <w:rFonts w:ascii="Calibri" w:eastAsia="Calibri" w:hAnsi="Calibri" w:cs="Calibri"/>
          <w:color w:val="000000" w:themeColor="text1"/>
        </w:rPr>
        <w:t> frequency, and overall cell morphology.  </w:t>
      </w:r>
    </w:p>
    <w:p w14:paraId="000000FD"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0FE"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6. pH Monitoring </w:t>
      </w:r>
      <w:r w:rsidRPr="005D5262">
        <w:rPr>
          <w:rFonts w:ascii="Calibri" w:eastAsia="Calibri" w:hAnsi="Calibri" w:cs="Calibri"/>
          <w:color w:val="000000" w:themeColor="text1"/>
        </w:rPr>
        <w:t> </w:t>
      </w:r>
    </w:p>
    <w:p w14:paraId="000000FF"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00"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6.1. Collect pH samples </w:t>
      </w:r>
      <w:r w:rsidRPr="005D5262">
        <w:rPr>
          <w:rFonts w:ascii="Calibri" w:eastAsia="Calibri" w:hAnsi="Calibri" w:cs="Calibri"/>
          <w:color w:val="000000" w:themeColor="text1"/>
        </w:rPr>
        <w:br/>
        <w:t> </w:t>
      </w:r>
    </w:p>
    <w:p w14:paraId="00000101"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lastRenderedPageBreak/>
        <w:t>6.1.1. At Days 0, 3, 6, 9, and 12, aseptically withdraw 1 mL of culture from each experimental condition using sterile pipette tips. </w:t>
      </w:r>
      <w:r w:rsidRPr="005D5262">
        <w:rPr>
          <w:rFonts w:ascii="Calibri" w:eastAsia="Calibri" w:hAnsi="Calibri" w:cs="Calibri"/>
          <w:color w:val="000000" w:themeColor="text1"/>
        </w:rPr>
        <w:br/>
        <w:t> </w:t>
      </w:r>
    </w:p>
    <w:p w14:paraId="00000102"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6.1.2. Allow samples to stand undisturbed for 2 min to permit settling of suspended solids. </w:t>
      </w:r>
      <w:r w:rsidRPr="005D5262">
        <w:rPr>
          <w:rFonts w:ascii="Calibri" w:eastAsia="Calibri" w:hAnsi="Calibri" w:cs="Calibri"/>
          <w:color w:val="000000" w:themeColor="text1"/>
        </w:rPr>
        <w:br/>
        <w:t> </w:t>
      </w:r>
    </w:p>
    <w:p w14:paraId="00000103"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6.1.3. Carefully transfer the clarified supernatant to a clean microcentrifuge tube without disturbing the settled material. </w:t>
      </w:r>
    </w:p>
    <w:p w14:paraId="00000104"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05"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6.2. Measure pH </w:t>
      </w:r>
      <w:r w:rsidRPr="005D5262">
        <w:rPr>
          <w:rFonts w:ascii="Calibri" w:eastAsia="Calibri" w:hAnsi="Calibri" w:cs="Calibri"/>
          <w:color w:val="000000" w:themeColor="text1"/>
        </w:rPr>
        <w:br/>
        <w:t> </w:t>
      </w:r>
    </w:p>
    <w:p w14:paraId="00000106"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6.2.1. Calibrate the pH meter according to the manufacturer’s instructions using appropriate standard buffers prior to measurement. </w:t>
      </w:r>
      <w:r w:rsidRPr="005D5262">
        <w:rPr>
          <w:rFonts w:ascii="Calibri" w:eastAsia="Calibri" w:hAnsi="Calibri" w:cs="Calibri"/>
          <w:color w:val="000000" w:themeColor="text1"/>
        </w:rPr>
        <w:br/>
        <w:t> </w:t>
      </w:r>
    </w:p>
    <w:p w14:paraId="00000107"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6.2.2. Insert the calibrated pH probe into the clarified supernatant without disturbing any residual settled material. </w:t>
      </w:r>
      <w:r w:rsidRPr="005D5262">
        <w:rPr>
          <w:rFonts w:ascii="Calibri" w:eastAsia="Calibri" w:hAnsi="Calibri" w:cs="Calibri"/>
          <w:color w:val="000000" w:themeColor="text1"/>
        </w:rPr>
        <w:br/>
        <w:t> </w:t>
      </w:r>
    </w:p>
    <w:p w14:paraId="00000108"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6.2.3. Record pH values immediately after pH reading has stabilized.   </w:t>
      </w:r>
    </w:p>
    <w:p w14:paraId="00000109"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0A"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6.2.4. Rinse the probe thoroughly with deionized water between samples to prevent cross-contamination. </w:t>
      </w:r>
    </w:p>
    <w:p w14:paraId="0000010B"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0C"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7. Cyanide Testing Using Colorimetric Strips </w:t>
      </w:r>
      <w:r w:rsidRPr="005D5262">
        <w:rPr>
          <w:rFonts w:ascii="Calibri" w:eastAsia="Calibri" w:hAnsi="Calibri" w:cs="Calibri"/>
          <w:color w:val="000000" w:themeColor="text1"/>
        </w:rPr>
        <w:t> </w:t>
      </w:r>
    </w:p>
    <w:p w14:paraId="0000010D"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0E"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CAUTION: Cyanide-containing supernatants are hazardous. Perform all sampling and testing steps in a chemical fume hood or well-ventilated area. Wear appropriate personal protective equipment, including gloves and eye protection. Avoid direct skin contact with samples and test strips and dispose of used strips and liquid waste according to institutional hazardous chemical waste disposal guidelines. </w:t>
      </w:r>
    </w:p>
    <w:p w14:paraId="0000010F"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10"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7.1. Collect cyanide samples </w:t>
      </w:r>
      <w:r w:rsidRPr="005D5262">
        <w:rPr>
          <w:rFonts w:ascii="Calibri" w:eastAsia="Calibri" w:hAnsi="Calibri" w:cs="Calibri"/>
          <w:color w:val="000000" w:themeColor="text1"/>
        </w:rPr>
        <w:br/>
        <w:t> </w:t>
      </w:r>
    </w:p>
    <w:p w14:paraId="00000111"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7.1.1. At Days 0, 4, 8, and 12, aseptically withdraw 1 mL of culture supernatant from each experimental condition using sterile pipette tips. </w:t>
      </w:r>
      <w:r w:rsidRPr="005D5262">
        <w:rPr>
          <w:rFonts w:ascii="Calibri" w:eastAsia="Calibri" w:hAnsi="Calibri" w:cs="Calibri"/>
          <w:color w:val="000000" w:themeColor="text1"/>
        </w:rPr>
        <w:br/>
        <w:t> </w:t>
      </w:r>
    </w:p>
    <w:p w14:paraId="00000112"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7.1.2. Allow samples to stand undisturbed for 2 min to permit settling of suspended solids. </w:t>
      </w:r>
      <w:r w:rsidRPr="005D5262">
        <w:rPr>
          <w:rFonts w:ascii="Calibri" w:eastAsia="Calibri" w:hAnsi="Calibri" w:cs="Calibri"/>
          <w:color w:val="000000" w:themeColor="text1"/>
        </w:rPr>
        <w:br/>
        <w:t> </w:t>
      </w:r>
    </w:p>
    <w:p w14:paraId="00000113"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7.1.3. Carefully collect the clarified supernatant without disturbing particulate material. </w:t>
      </w:r>
    </w:p>
    <w:p w14:paraId="00000114"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15"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7.2. Perform a colorimetric cyanide assay. </w:t>
      </w:r>
      <w:r w:rsidRPr="005D5262">
        <w:rPr>
          <w:rFonts w:ascii="Calibri" w:eastAsia="Calibri" w:hAnsi="Calibri" w:cs="Calibri"/>
          <w:color w:val="000000" w:themeColor="text1"/>
        </w:rPr>
        <w:br/>
        <w:t> </w:t>
      </w:r>
    </w:p>
    <w:p w14:paraId="00000116"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7.2.1. Immerse a colorimetric cyanide test strip test into the clarified supernatant for the duration specified by the manufacturer. </w:t>
      </w:r>
      <w:r w:rsidRPr="005D5262">
        <w:rPr>
          <w:rFonts w:ascii="Calibri" w:eastAsia="Calibri" w:hAnsi="Calibri" w:cs="Calibri"/>
          <w:color w:val="000000" w:themeColor="text1"/>
        </w:rPr>
        <w:br/>
        <w:t> </w:t>
      </w:r>
    </w:p>
    <w:p w14:paraId="00000117"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lastRenderedPageBreak/>
        <w:t>7.2.2. Remove the strip and allow full color development for the recommended time under ambient conditions. </w:t>
      </w:r>
      <w:r w:rsidRPr="005D5262">
        <w:rPr>
          <w:rFonts w:ascii="Calibri" w:eastAsia="Calibri" w:hAnsi="Calibri" w:cs="Calibri"/>
          <w:color w:val="000000" w:themeColor="text1"/>
        </w:rPr>
        <w:br/>
        <w:t> </w:t>
      </w:r>
    </w:p>
    <w:p w14:paraId="00000118"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7.2.3. Compare the developed strip to the manufacturer-provided reference scale to determine cyanide concentration. </w:t>
      </w:r>
    </w:p>
    <w:p w14:paraId="00000119"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1A"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7.3. Record cyanide levels </w:t>
      </w:r>
      <w:r w:rsidRPr="005D5262">
        <w:rPr>
          <w:rFonts w:ascii="Calibri" w:eastAsia="Calibri" w:hAnsi="Calibri" w:cs="Calibri"/>
          <w:color w:val="000000" w:themeColor="text1"/>
        </w:rPr>
        <w:br/>
        <w:t> </w:t>
      </w:r>
    </w:p>
    <w:p w14:paraId="0000011B"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7.3.1. Record cyanide concentrations for each sample at all time points according to the reference scale. </w:t>
      </w:r>
      <w:r w:rsidRPr="005D5262">
        <w:rPr>
          <w:rFonts w:ascii="Calibri" w:eastAsia="Calibri" w:hAnsi="Calibri" w:cs="Calibri"/>
          <w:color w:val="000000" w:themeColor="text1"/>
        </w:rPr>
        <w:br/>
        <w:t> </w:t>
      </w:r>
    </w:p>
    <w:p w14:paraId="0000011C"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7.3.2. Photograph each developed test strip alongside the reference scale or retain the strip according to manufacturer recommendations for future verification. </w:t>
      </w:r>
    </w:p>
    <w:p w14:paraId="0000011D"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1E"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8. Maintenance and Consolidation of Adapted </w:t>
      </w:r>
      <w:r w:rsidRPr="005D5262">
        <w:rPr>
          <w:rFonts w:ascii="Calibri" w:eastAsia="Calibri" w:hAnsi="Calibri" w:cs="Calibri"/>
          <w:b/>
          <w:bCs/>
          <w:i/>
          <w:iCs/>
          <w:color w:val="000000" w:themeColor="text1"/>
        </w:rPr>
        <w:t>E. </w:t>
      </w:r>
      <w:proofErr w:type="spellStart"/>
      <w:r w:rsidRPr="005D5262">
        <w:rPr>
          <w:rFonts w:ascii="Calibri" w:eastAsia="Calibri" w:hAnsi="Calibri" w:cs="Calibri"/>
          <w:b/>
          <w:bCs/>
          <w:i/>
          <w:iCs/>
          <w:color w:val="000000" w:themeColor="text1"/>
        </w:rPr>
        <w:t>gracilis</w:t>
      </w:r>
      <w:proofErr w:type="spellEnd"/>
      <w:r w:rsidRPr="005D5262">
        <w:rPr>
          <w:rFonts w:ascii="Calibri" w:eastAsia="Calibri" w:hAnsi="Calibri" w:cs="Calibri"/>
          <w:b/>
          <w:bCs/>
          <w:i/>
          <w:iCs/>
          <w:color w:val="000000" w:themeColor="text1"/>
        </w:rPr>
        <w:t xml:space="preserve"> </w:t>
      </w:r>
      <w:r w:rsidRPr="005D5262">
        <w:rPr>
          <w:rFonts w:ascii="Calibri" w:eastAsia="Calibri" w:hAnsi="Calibri" w:cs="Calibri"/>
          <w:b/>
          <w:bCs/>
          <w:color w:val="000000" w:themeColor="text1"/>
        </w:rPr>
        <w:t>Cultures </w:t>
      </w:r>
      <w:r w:rsidRPr="005D5262">
        <w:rPr>
          <w:rFonts w:ascii="Calibri" w:eastAsia="Calibri" w:hAnsi="Calibri" w:cs="Calibri"/>
          <w:color w:val="000000" w:themeColor="text1"/>
        </w:rPr>
        <w:t> </w:t>
      </w:r>
    </w:p>
    <w:p w14:paraId="0000011F"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20"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8.1. Combine adapted cultures </w:t>
      </w:r>
      <w:r w:rsidRPr="005D5262">
        <w:rPr>
          <w:rFonts w:ascii="Calibri" w:eastAsia="Calibri" w:hAnsi="Calibri" w:cs="Calibri"/>
          <w:color w:val="000000" w:themeColor="text1"/>
        </w:rPr>
        <w:br/>
        <w:t> </w:t>
      </w:r>
    </w:p>
    <w:p w14:paraId="00000121" w14:textId="3CD4BDB2"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8.1.1. After successful adaptation at cassava concentrations of ≥40 gL⁻¹ </w:t>
      </w:r>
      <w:proofErr w:type="spellStart"/>
      <w:r w:rsidRPr="005D5262">
        <w:rPr>
          <w:rFonts w:ascii="Calibri" w:eastAsia="Calibri" w:hAnsi="Calibri" w:cs="Calibri"/>
          <w:color w:val="000000" w:themeColor="text1"/>
        </w:rPr>
        <w:t>garri</w:t>
      </w:r>
      <w:proofErr w:type="spellEnd"/>
      <w:r w:rsidRPr="005D5262">
        <w:rPr>
          <w:rFonts w:ascii="Calibri" w:eastAsia="Calibri" w:hAnsi="Calibri" w:cs="Calibri"/>
          <w:color w:val="000000" w:themeColor="text1"/>
        </w:rPr>
        <w:t>, visually confirm the presence of viable </w:t>
      </w:r>
      <w:r w:rsidRPr="005D5262">
        <w:rPr>
          <w:rFonts w:ascii="Calibri" w:eastAsia="Calibri" w:hAnsi="Calibri" w:cs="Calibri"/>
          <w:i/>
          <w:iCs/>
          <w:color w:val="000000" w:themeColor="text1"/>
        </w:rPr>
        <w:t>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i/>
          <w:iCs/>
          <w:color w:val="000000" w:themeColor="text1"/>
        </w:rPr>
        <w:t> </w:t>
      </w:r>
      <w:r w:rsidRPr="005D5262">
        <w:rPr>
          <w:rFonts w:ascii="Calibri" w:eastAsia="Calibri" w:hAnsi="Calibri" w:cs="Calibri"/>
          <w:color w:val="000000" w:themeColor="text1"/>
        </w:rPr>
        <w:t>cells in each replicate culture. </w:t>
      </w:r>
      <w:r w:rsidRPr="005D5262">
        <w:rPr>
          <w:rFonts w:ascii="Calibri" w:eastAsia="Calibri" w:hAnsi="Calibri" w:cs="Calibri"/>
          <w:color w:val="000000" w:themeColor="text1"/>
        </w:rPr>
        <w:br/>
        <w:t> </w:t>
      </w:r>
    </w:p>
    <w:p w14:paraId="00000122"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8.1.2. Gently combine all replicate flasks of the adapted lineage into a single sterile vessel using aseptic technique to generate a homogeneous master culture. </w:t>
      </w:r>
    </w:p>
    <w:p w14:paraId="00000123"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24"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8.2. Prepare maintenance media </w:t>
      </w:r>
      <w:r w:rsidRPr="005D5262">
        <w:rPr>
          <w:rFonts w:ascii="Calibri" w:eastAsia="Calibri" w:hAnsi="Calibri" w:cs="Calibri"/>
          <w:color w:val="000000" w:themeColor="text1"/>
        </w:rPr>
        <w:br/>
        <w:t> </w:t>
      </w:r>
    </w:p>
    <w:p w14:paraId="00000125"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8.2.1. Prepare fresh cassava-based media at the selected maintenance concentration by following the procedures described in Method 1. </w:t>
      </w:r>
      <w:r w:rsidRPr="005D5262">
        <w:rPr>
          <w:rFonts w:ascii="Calibri" w:eastAsia="Calibri" w:hAnsi="Calibri" w:cs="Calibri"/>
          <w:color w:val="000000" w:themeColor="text1"/>
        </w:rPr>
        <w:br/>
        <w:t> </w:t>
      </w:r>
    </w:p>
    <w:p w14:paraId="00000126"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8.2.2. Select either autoclaved or non-autoclaved media based on downstream experimental requirements. </w:t>
      </w:r>
      <w:r w:rsidRPr="005D5262">
        <w:rPr>
          <w:rFonts w:ascii="Calibri" w:eastAsia="Calibri" w:hAnsi="Calibri" w:cs="Calibri"/>
          <w:color w:val="000000" w:themeColor="text1"/>
        </w:rPr>
        <w:br/>
        <w:t> </w:t>
      </w:r>
    </w:p>
    <w:p w14:paraId="00000127"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8.2.3. Maintain the same sterilization condition across all subsequent passages to ensure consistency in microbial exposure. </w:t>
      </w:r>
    </w:p>
    <w:p w14:paraId="00000128"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29"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8.3. Inoculate maintenance cultures </w:t>
      </w:r>
      <w:r w:rsidRPr="005D5262">
        <w:rPr>
          <w:rFonts w:ascii="Calibri" w:eastAsia="Calibri" w:hAnsi="Calibri" w:cs="Calibri"/>
          <w:color w:val="000000" w:themeColor="text1"/>
        </w:rPr>
        <w:br/>
        <w:t> </w:t>
      </w:r>
    </w:p>
    <w:p w14:paraId="0000012A"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8.3.1. Inoculate fresh maintenance media with 20% (v/v) of the consolidated master culture. </w:t>
      </w:r>
      <w:r w:rsidRPr="005D5262">
        <w:rPr>
          <w:rFonts w:ascii="Calibri" w:eastAsia="Calibri" w:hAnsi="Calibri" w:cs="Calibri"/>
          <w:color w:val="000000" w:themeColor="text1"/>
        </w:rPr>
        <w:br/>
        <w:t> </w:t>
      </w:r>
    </w:p>
    <w:p w14:paraId="0000012B"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8.3.2. Gently mix cultures by manual swirling to evenly distribute cells without inducing shear stress. </w:t>
      </w:r>
      <w:r w:rsidRPr="005D5262">
        <w:rPr>
          <w:rFonts w:ascii="Calibri" w:eastAsia="Calibri" w:hAnsi="Calibri" w:cs="Calibri"/>
          <w:color w:val="000000" w:themeColor="text1"/>
        </w:rPr>
        <w:br/>
        <w:t> </w:t>
      </w:r>
    </w:p>
    <w:p w14:paraId="0000012C" w14:textId="2C5A12DA"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xml:space="preserve">8.3.3. Incubate cultures under complete darkness at 25 °C with continuous orbital shaking at 120 </w:t>
      </w:r>
      <w:r w:rsidR="009D039C" w:rsidRPr="005D5262">
        <w:rPr>
          <w:rFonts w:ascii="Calibri" w:hAnsi="Calibri" w:cs="Calibri"/>
        </w:rPr>
        <w:t xml:space="preserve">x </w:t>
      </w:r>
      <w:r w:rsidR="009D039C" w:rsidRPr="005D5262">
        <w:rPr>
          <w:rFonts w:ascii="Calibri" w:hAnsi="Calibri" w:cs="Calibri"/>
          <w:i/>
        </w:rPr>
        <w:t>g</w:t>
      </w:r>
      <w:r w:rsidRPr="005D5262">
        <w:rPr>
          <w:rFonts w:ascii="Calibri" w:eastAsia="Calibri" w:hAnsi="Calibri" w:cs="Calibri"/>
          <w:color w:val="000000" w:themeColor="text1"/>
        </w:rPr>
        <w:t xml:space="preserve"> to maintain heterotrophic growth conditions. </w:t>
      </w:r>
    </w:p>
    <w:p w14:paraId="0000012D"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lastRenderedPageBreak/>
        <w:t> </w:t>
      </w:r>
    </w:p>
    <w:p w14:paraId="0000012E"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8.4. Perform routine maintenance and passaging </w:t>
      </w:r>
      <w:r w:rsidRPr="005D5262">
        <w:rPr>
          <w:rFonts w:ascii="Calibri" w:eastAsia="Calibri" w:hAnsi="Calibri" w:cs="Calibri"/>
          <w:color w:val="000000" w:themeColor="text1"/>
        </w:rPr>
        <w:br/>
        <w:t> </w:t>
      </w:r>
    </w:p>
    <w:p w14:paraId="0000012F"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8.4.1. Maintain cultures by gentle manual inversion once daily to prevent prolonged sedimentation of cells and substrate material. </w:t>
      </w:r>
      <w:r w:rsidRPr="005D5262">
        <w:rPr>
          <w:rFonts w:ascii="Calibri" w:eastAsia="Calibri" w:hAnsi="Calibri" w:cs="Calibri"/>
          <w:color w:val="000000" w:themeColor="text1"/>
        </w:rPr>
        <w:br/>
        <w:t> </w:t>
      </w:r>
    </w:p>
    <w:p w14:paraId="00000130"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8.4.2. Every 30 days, consolidate maintenance cultures by combining replicate flasks using aseptic technique. </w:t>
      </w:r>
      <w:r w:rsidRPr="005D5262">
        <w:rPr>
          <w:rFonts w:ascii="Calibri" w:eastAsia="Calibri" w:hAnsi="Calibri" w:cs="Calibri"/>
          <w:color w:val="000000" w:themeColor="text1"/>
        </w:rPr>
        <w:br/>
        <w:t> </w:t>
      </w:r>
    </w:p>
    <w:p w14:paraId="00000131"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8.4.3. Re-inoculate fresh maintenance media using the consolidated culture as described in Section 8.3. </w:t>
      </w:r>
    </w:p>
    <w:p w14:paraId="00000132"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33"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8.5. Monitor culture stability </w:t>
      </w:r>
      <w:r w:rsidRPr="005D5262">
        <w:rPr>
          <w:rFonts w:ascii="Calibri" w:eastAsia="Calibri" w:hAnsi="Calibri" w:cs="Calibri"/>
          <w:color w:val="000000" w:themeColor="text1"/>
        </w:rPr>
        <w:br/>
        <w:t> </w:t>
      </w:r>
    </w:p>
    <w:p w14:paraId="00000134" w14:textId="7EE5C5BB"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8.5.1. At each passage, assess cell morphology and motility using a compound light microscope (</w:t>
      </w:r>
      <w:r w:rsidR="009E3FF2" w:rsidRPr="005D5262">
        <w:rPr>
          <w:rFonts w:ascii="Calibri" w:eastAsia="Calibri" w:hAnsi="Calibri" w:cs="Calibri"/>
          <w:color w:val="000000" w:themeColor="text1"/>
        </w:rPr>
        <w:t>brightfield) at</w:t>
      </w:r>
      <w:r w:rsidRPr="005D5262">
        <w:rPr>
          <w:rFonts w:ascii="Calibri" w:eastAsia="Calibri" w:hAnsi="Calibri" w:cs="Calibri"/>
          <w:color w:val="000000" w:themeColor="text1"/>
        </w:rPr>
        <w:t xml:space="preserve"> 100×–400× total magnification (10× ocular with 10×–40× objectives).</w:t>
      </w:r>
      <w:r w:rsidRPr="005D5262">
        <w:rPr>
          <w:rFonts w:ascii="Calibri" w:eastAsia="Calibri" w:hAnsi="Calibri" w:cs="Calibri"/>
          <w:color w:val="000000" w:themeColor="text1"/>
        </w:rPr>
        <w:br/>
        <w:t> </w:t>
      </w:r>
    </w:p>
    <w:p w14:paraId="00000135"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8.5.2. Record shifts toward increased </w:t>
      </w:r>
      <w:proofErr w:type="spellStart"/>
      <w:r w:rsidRPr="005D5262">
        <w:rPr>
          <w:rFonts w:ascii="Calibri" w:eastAsia="Calibri" w:hAnsi="Calibri" w:cs="Calibri"/>
          <w:color w:val="000000" w:themeColor="text1"/>
        </w:rPr>
        <w:t>encystment</w:t>
      </w:r>
      <w:proofErr w:type="spellEnd"/>
      <w:r w:rsidRPr="005D5262">
        <w:rPr>
          <w:rFonts w:ascii="Calibri" w:eastAsia="Calibri" w:hAnsi="Calibri" w:cs="Calibri"/>
          <w:color w:val="000000" w:themeColor="text1"/>
        </w:rPr>
        <w:t>, accumulation of cellular debris, or reduced motility as indicators of declining culture stability. </w:t>
      </w:r>
    </w:p>
    <w:p w14:paraId="00000136"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37" w14:textId="77777777" w:rsidR="00EA5BF7" w:rsidRPr="005D5262" w:rsidRDefault="00640CC3" w:rsidP="005D5262">
      <w:pPr>
        <w:spacing w:after="0" w:line="240" w:lineRule="auto"/>
        <w:jc w:val="both"/>
        <w:rPr>
          <w:rFonts w:ascii="Calibri" w:eastAsia="Calibri" w:hAnsi="Calibri" w:cs="Calibri"/>
          <w:b/>
          <w:bCs/>
          <w:color w:val="000000" w:themeColor="text1"/>
        </w:rPr>
      </w:pPr>
      <w:r w:rsidRPr="005D5262">
        <w:rPr>
          <w:rFonts w:ascii="Calibri" w:eastAsia="Calibri" w:hAnsi="Calibri" w:cs="Calibri"/>
          <w:color w:val="000000" w:themeColor="text1"/>
        </w:rPr>
        <w:t> </w:t>
      </w:r>
      <w:r w:rsidRPr="005D5262">
        <w:rPr>
          <w:rFonts w:ascii="Calibri" w:eastAsia="Calibri" w:hAnsi="Calibri" w:cs="Calibri"/>
          <w:b/>
          <w:bCs/>
          <w:color w:val="000000" w:themeColor="text1"/>
        </w:rPr>
        <w:t>9 Biomass Harvesting for Downstream Protein Analysis</w:t>
      </w:r>
    </w:p>
    <w:p w14:paraId="00000138" w14:textId="77777777" w:rsidR="00EA5BF7" w:rsidRPr="005D5262" w:rsidRDefault="00EA5BF7" w:rsidP="005D5262">
      <w:pPr>
        <w:spacing w:after="0" w:line="240" w:lineRule="auto"/>
        <w:jc w:val="both"/>
        <w:rPr>
          <w:rFonts w:ascii="Calibri" w:eastAsia="Calibri" w:hAnsi="Calibri" w:cs="Calibri"/>
          <w:b/>
          <w:bCs/>
          <w:color w:val="000000" w:themeColor="text1"/>
        </w:rPr>
      </w:pPr>
    </w:p>
    <w:p w14:paraId="00000139" w14:textId="77777777" w:rsidR="00EA5BF7" w:rsidRPr="005D5262" w:rsidRDefault="00640CC3" w:rsidP="005D5262">
      <w:pPr>
        <w:spacing w:after="0" w:line="240" w:lineRule="auto"/>
        <w:jc w:val="both"/>
        <w:rPr>
          <w:rFonts w:ascii="Calibri" w:eastAsia="Calibri" w:hAnsi="Calibri" w:cs="Calibri"/>
          <w:b/>
          <w:bCs/>
          <w:color w:val="000000" w:themeColor="text1"/>
        </w:rPr>
      </w:pPr>
      <w:r w:rsidRPr="005D5262">
        <w:rPr>
          <w:rFonts w:ascii="Calibri" w:eastAsia="Calibri" w:hAnsi="Calibri" w:cs="Calibri"/>
          <w:b/>
          <w:bCs/>
          <w:color w:val="000000" w:themeColor="text1"/>
        </w:rPr>
        <w:t>9.1 Collect culture samples</w:t>
      </w:r>
    </w:p>
    <w:p w14:paraId="0000013A"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br/>
      </w:r>
      <w:r w:rsidRPr="005D5262">
        <w:rPr>
          <w:rFonts w:ascii="Calibri" w:eastAsia="Calibri" w:hAnsi="Calibri" w:cs="Calibri"/>
          <w:color w:val="000000" w:themeColor="text1"/>
        </w:rPr>
        <w:t>9.1.1 At the desired endpoint, transfer culture volumes into sterile centrifuge tubes.</w:t>
      </w:r>
      <w:r w:rsidRPr="005D5262">
        <w:rPr>
          <w:rFonts w:ascii="Calibri" w:eastAsia="Calibri" w:hAnsi="Calibri" w:cs="Calibri"/>
          <w:color w:val="000000" w:themeColor="text1"/>
        </w:rPr>
        <w:br/>
      </w:r>
    </w:p>
    <w:p w14:paraId="0000013B"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9.1.2 Ensure samples are representative of the full culture by mixing gently by swirling the culture flasks prior to transfer.</w:t>
      </w:r>
    </w:p>
    <w:p w14:paraId="0000013C" w14:textId="77777777" w:rsidR="00EA5BF7" w:rsidRPr="005D5262" w:rsidRDefault="00EA5BF7" w:rsidP="005D5262">
      <w:pPr>
        <w:spacing w:after="0" w:line="240" w:lineRule="auto"/>
        <w:jc w:val="both"/>
        <w:rPr>
          <w:rFonts w:ascii="Calibri" w:eastAsia="Calibri" w:hAnsi="Calibri" w:cs="Calibri"/>
          <w:b/>
          <w:bCs/>
          <w:color w:val="000000" w:themeColor="text1"/>
        </w:rPr>
      </w:pPr>
    </w:p>
    <w:p w14:paraId="0000013D"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9.2 Harvest biomass by centrifugation</w:t>
      </w:r>
      <w:r w:rsidRPr="005D5262">
        <w:rPr>
          <w:rFonts w:ascii="Calibri" w:eastAsia="Calibri" w:hAnsi="Calibri" w:cs="Calibri"/>
          <w:b/>
          <w:bCs/>
          <w:color w:val="000000" w:themeColor="text1"/>
        </w:rPr>
        <w:br/>
      </w:r>
    </w:p>
    <w:p w14:paraId="0000013E"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xml:space="preserve">9.2.1 Centrifuge samples at ≥3,500 × g for 10 min to pellet the biomass. Repeat this step if sediment has not completely settled. </w:t>
      </w:r>
      <w:r w:rsidRPr="005D5262">
        <w:rPr>
          <w:rFonts w:ascii="Calibri" w:eastAsia="Calibri" w:hAnsi="Calibri" w:cs="Calibri"/>
          <w:color w:val="000000" w:themeColor="text1"/>
        </w:rPr>
        <w:br/>
      </w:r>
    </w:p>
    <w:p w14:paraId="0000013F"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9.2.2 Confirm formation of a compact cell pellet at the bottom of the tube.</w:t>
      </w:r>
    </w:p>
    <w:p w14:paraId="00000140" w14:textId="77777777" w:rsidR="00EA5BF7" w:rsidRPr="005D5262" w:rsidRDefault="00EA5BF7" w:rsidP="005D5262">
      <w:pPr>
        <w:spacing w:after="0" w:line="240" w:lineRule="auto"/>
        <w:jc w:val="both"/>
        <w:rPr>
          <w:rFonts w:ascii="Calibri" w:eastAsia="Calibri" w:hAnsi="Calibri" w:cs="Calibri"/>
          <w:b/>
          <w:bCs/>
          <w:color w:val="000000" w:themeColor="text1"/>
        </w:rPr>
      </w:pPr>
    </w:p>
    <w:p w14:paraId="00000141"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9.3 Remove supernatant</w:t>
      </w:r>
      <w:r w:rsidRPr="005D5262">
        <w:rPr>
          <w:rFonts w:ascii="Calibri" w:eastAsia="Calibri" w:hAnsi="Calibri" w:cs="Calibri"/>
          <w:b/>
          <w:bCs/>
          <w:color w:val="000000" w:themeColor="text1"/>
        </w:rPr>
        <w:br/>
      </w:r>
    </w:p>
    <w:p w14:paraId="00000142"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9.3.1 Carefully decant or pipette off the supernatant without disturbing the pellet.</w:t>
      </w:r>
      <w:r w:rsidRPr="005D5262">
        <w:rPr>
          <w:rFonts w:ascii="Calibri" w:eastAsia="Calibri" w:hAnsi="Calibri" w:cs="Calibri"/>
          <w:color w:val="000000" w:themeColor="text1"/>
        </w:rPr>
        <w:br/>
      </w:r>
    </w:p>
    <w:p w14:paraId="00000143"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9.3.2 Dispose of supernatant according to laboratory waste protocols.</w:t>
      </w:r>
    </w:p>
    <w:p w14:paraId="00000144" w14:textId="77777777" w:rsidR="00EA5BF7" w:rsidRPr="005D5262" w:rsidRDefault="00EA5BF7" w:rsidP="005D5262">
      <w:pPr>
        <w:spacing w:after="0" w:line="240" w:lineRule="auto"/>
        <w:jc w:val="both"/>
        <w:rPr>
          <w:rFonts w:ascii="Calibri" w:eastAsia="Calibri" w:hAnsi="Calibri" w:cs="Calibri"/>
          <w:b/>
          <w:bCs/>
          <w:color w:val="000000" w:themeColor="text1"/>
        </w:rPr>
      </w:pPr>
    </w:p>
    <w:p w14:paraId="00000145"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9.4 Prepare biomass for downstream analysis</w:t>
      </w:r>
      <w:r w:rsidRPr="005D5262">
        <w:rPr>
          <w:rFonts w:ascii="Calibri" w:eastAsia="Calibri" w:hAnsi="Calibri" w:cs="Calibri"/>
          <w:b/>
          <w:bCs/>
          <w:color w:val="000000" w:themeColor="text1"/>
        </w:rPr>
        <w:br/>
      </w:r>
    </w:p>
    <w:p w14:paraId="00000146"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lastRenderedPageBreak/>
        <w:t>9.4.1 Retain the cell pellet for further processing (e.g., drying, storage, or protein analysis).</w:t>
      </w:r>
      <w:r w:rsidRPr="005D5262">
        <w:rPr>
          <w:rFonts w:ascii="Calibri" w:eastAsia="Calibri" w:hAnsi="Calibri" w:cs="Calibri"/>
          <w:color w:val="000000" w:themeColor="text1"/>
        </w:rPr>
        <w:br/>
      </w:r>
    </w:p>
    <w:p w14:paraId="00000147"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9.4.2 If not processed immediately, store pellets at 4 °C for short-term use or freeze as appropriate for long-term storage.</w:t>
      </w:r>
    </w:p>
    <w:p w14:paraId="00000148" w14:textId="77777777" w:rsidR="00EA5BF7" w:rsidRPr="005D5262" w:rsidRDefault="00EA5BF7" w:rsidP="005D5262">
      <w:pPr>
        <w:spacing w:after="0" w:line="240" w:lineRule="auto"/>
        <w:jc w:val="both"/>
        <w:rPr>
          <w:rFonts w:ascii="Calibri" w:eastAsia="Calibri" w:hAnsi="Calibri" w:cs="Calibri"/>
          <w:b/>
          <w:bCs/>
          <w:color w:val="000000" w:themeColor="text1"/>
        </w:rPr>
      </w:pPr>
    </w:p>
    <w:p w14:paraId="00000149"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10. Data Handling and Archiving </w:t>
      </w:r>
      <w:r w:rsidRPr="005D5262">
        <w:rPr>
          <w:rFonts w:ascii="Calibri" w:eastAsia="Calibri" w:hAnsi="Calibri" w:cs="Calibri"/>
          <w:color w:val="000000" w:themeColor="text1"/>
        </w:rPr>
        <w:t> </w:t>
      </w:r>
    </w:p>
    <w:p w14:paraId="0000014A"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4B"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10.1. Organize dataset </w:t>
      </w:r>
      <w:r w:rsidRPr="005D5262">
        <w:rPr>
          <w:rFonts w:ascii="Calibri" w:eastAsia="Calibri" w:hAnsi="Calibri" w:cs="Calibri"/>
          <w:color w:val="000000" w:themeColor="text1"/>
        </w:rPr>
        <w:br/>
        <w:t> </w:t>
      </w:r>
    </w:p>
    <w:p w14:paraId="0000014C"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10.1.1. Enter all quantitative measurements, including pH, cyanide concentration, viability assessments, cell counts, and biomass values, into a labeled electronic spreadsheet. </w:t>
      </w:r>
      <w:r w:rsidRPr="005D5262">
        <w:rPr>
          <w:rFonts w:ascii="Calibri" w:eastAsia="Calibri" w:hAnsi="Calibri" w:cs="Calibri"/>
          <w:color w:val="000000" w:themeColor="text1"/>
        </w:rPr>
        <w:br/>
        <w:t> </w:t>
      </w:r>
    </w:p>
    <w:p w14:paraId="0000014D"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10.1.2. Save microscopy images and associated observational notes using standardized file names that indicate substrate type, concentration, strain identity, replicate number, and sampling date (e.g., NAG40G_WT1_05-01-25). </w:t>
      </w:r>
    </w:p>
    <w:p w14:paraId="0000014E"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4F"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10.2. Prepare datasets for analysis </w:t>
      </w:r>
      <w:r w:rsidRPr="005D5262">
        <w:rPr>
          <w:rFonts w:ascii="Calibri" w:eastAsia="Calibri" w:hAnsi="Calibri" w:cs="Calibri"/>
          <w:color w:val="000000" w:themeColor="text1"/>
        </w:rPr>
        <w:br/>
        <w:t> </w:t>
      </w:r>
    </w:p>
    <w:p w14:paraId="00000150"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10.2.1. Verify that all experimental replicates and scheduled time points are represented and complete within the dataset. </w:t>
      </w:r>
      <w:r w:rsidRPr="005D5262">
        <w:rPr>
          <w:rFonts w:ascii="Calibri" w:eastAsia="Calibri" w:hAnsi="Calibri" w:cs="Calibri"/>
          <w:color w:val="000000" w:themeColor="text1"/>
        </w:rPr>
        <w:br/>
        <w:t> </w:t>
      </w:r>
    </w:p>
    <w:p w14:paraId="00000151"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10.2.2. Digitize any handwritten laboratory notes and back up all electronic files to secure storage to prevent data loss. </w:t>
      </w:r>
      <w:sdt>
        <w:sdtPr>
          <w:rPr>
            <w:rFonts w:ascii="Calibri" w:hAnsi="Calibri" w:cs="Calibri"/>
            <w:color w:val="000000" w:themeColor="text1"/>
          </w:rPr>
          <w:tag w:val="goog_rdk_5"/>
          <w:id w:val="1765473934"/>
        </w:sdtPr>
        <w:sdtEndPr/>
        <w:sdtContent/>
      </w:sdt>
      <w:r w:rsidRPr="005D5262">
        <w:rPr>
          <w:rFonts w:ascii="Calibri" w:eastAsia="Calibri" w:hAnsi="Calibri" w:cs="Calibri"/>
          <w:color w:val="000000" w:themeColor="text1"/>
        </w:rPr>
        <w:t>Data analysis and figure generation were performed using spreadsheet software (Microsoft Excel) and, where applicable, R (R Foundation for Statistical Computing). All core analyses can be reproduced using spreadsheet-based calculations, with R used only for supplemental visualization.</w:t>
      </w:r>
      <w:r w:rsidRPr="005D5262">
        <w:rPr>
          <w:rFonts w:ascii="Calibri" w:eastAsia="Calibri" w:hAnsi="Calibri" w:cs="Calibri"/>
          <w:color w:val="000000" w:themeColor="text1"/>
        </w:rPr>
        <w:tab/>
      </w:r>
    </w:p>
    <w:p w14:paraId="00000152"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53"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RESULTS:</w:t>
      </w:r>
      <w:r w:rsidRPr="005D5262">
        <w:rPr>
          <w:rFonts w:ascii="Calibri" w:eastAsia="Calibri" w:hAnsi="Calibri" w:cs="Calibri"/>
          <w:color w:val="000000" w:themeColor="text1"/>
        </w:rPr>
        <w:t> </w:t>
      </w:r>
    </w:p>
    <w:p w14:paraId="00000154" w14:textId="1E399853"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xml:space="preserve">The following representative results illustrate the expected outcomes when the described protocol is applied successfully, as well as the range of outcomes observed under suboptimal conditions. Representative data corresponding to these outcomes are shown in </w:t>
      </w:r>
      <w:r w:rsidRPr="005D5262">
        <w:rPr>
          <w:rFonts w:ascii="Calibri" w:eastAsia="Calibri" w:hAnsi="Calibri" w:cs="Calibri"/>
          <w:b/>
          <w:bCs/>
          <w:color w:val="000000" w:themeColor="text1"/>
        </w:rPr>
        <w:t>Figure 1–7</w:t>
      </w:r>
      <w:r w:rsidRPr="005D5262">
        <w:rPr>
          <w:rFonts w:ascii="Calibri" w:eastAsia="Calibri" w:hAnsi="Calibri" w:cs="Calibri"/>
          <w:color w:val="000000" w:themeColor="text1"/>
        </w:rPr>
        <w:t>. Together, these results provide practical guidance for interpreting growth dynamics, viability, morphology, and protein outcomes when adapting </w:t>
      </w:r>
      <w:r w:rsidRPr="005D5262">
        <w:rPr>
          <w:rFonts w:ascii="Calibri" w:eastAsia="Calibri" w:hAnsi="Calibri" w:cs="Calibri"/>
          <w:i/>
          <w:iCs/>
          <w:color w:val="000000" w:themeColor="text1"/>
        </w:rPr>
        <w:t>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i/>
          <w:iCs/>
          <w:color w:val="000000" w:themeColor="text1"/>
        </w:rPr>
        <w:t> </w:t>
      </w:r>
      <w:r w:rsidRPr="005D5262">
        <w:rPr>
          <w:rFonts w:ascii="Calibri" w:eastAsia="Calibri" w:hAnsi="Calibri" w:cs="Calibri"/>
          <w:color w:val="000000" w:themeColor="text1"/>
        </w:rPr>
        <w:t xml:space="preserve">to cassava-based substrates under heterotrophic, fully dark cultivation conditions. </w:t>
      </w:r>
      <w:sdt>
        <w:sdtPr>
          <w:rPr>
            <w:rFonts w:ascii="Calibri" w:hAnsi="Calibri" w:cs="Calibri"/>
            <w:color w:val="000000" w:themeColor="text1"/>
          </w:rPr>
          <w:tag w:val="goog_rdk_6"/>
          <w:id w:val="1178104005"/>
        </w:sdtPr>
        <w:sdtEndPr/>
        <w:sdtContent/>
      </w:sdt>
      <w:r w:rsidRPr="005D5262">
        <w:rPr>
          <w:rFonts w:ascii="Calibri" w:eastAsia="Calibri" w:hAnsi="Calibri" w:cs="Calibri"/>
          <w:color w:val="000000" w:themeColor="text1"/>
        </w:rPr>
        <w:t>Together, these results validate key biological outcomes of the protocol, including successful adaptation, sustained growth, high viability, stable morphology, consistent performance across substrates, and measurable protein production.</w:t>
      </w:r>
    </w:p>
    <w:p w14:paraId="00000155"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56"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Throughout the experiments, three replicates per treatment (all types of cassava media) were utilized. We acknowledge that the number of replicates is up to the discretion and logistical limitations of any group following the protocols above. Successful application of this protocol results in sustained heterotrophic growth of </w:t>
      </w:r>
      <w:r w:rsidRPr="005D5262">
        <w:rPr>
          <w:rFonts w:ascii="Calibri" w:eastAsia="Calibri" w:hAnsi="Calibri" w:cs="Calibri"/>
          <w:i/>
          <w:iCs/>
          <w:color w:val="000000" w:themeColor="text1"/>
        </w:rPr>
        <w:t xml:space="preserve">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in </w:t>
      </w:r>
      <w:proofErr w:type="spellStart"/>
      <w:r w:rsidRPr="005D5262">
        <w:rPr>
          <w:rFonts w:ascii="Calibri" w:eastAsia="Calibri" w:hAnsi="Calibri" w:cs="Calibri"/>
          <w:color w:val="000000" w:themeColor="text1"/>
        </w:rPr>
        <w:t>garri</w:t>
      </w:r>
      <w:proofErr w:type="spellEnd"/>
      <w:r w:rsidRPr="005D5262">
        <w:rPr>
          <w:rFonts w:ascii="Calibri" w:eastAsia="Calibri" w:hAnsi="Calibri" w:cs="Calibri"/>
          <w:color w:val="000000" w:themeColor="text1"/>
        </w:rPr>
        <w:t xml:space="preserve">-based media under fully dark conditions. Positive outcomes are characterized by smooth, sigmoidal growth trajectories, limited divergence among replicates, and stable late-phase cell densities. Morphological traits that signified positive outcomes and were consistently observed in adapted populations included </w:t>
      </w:r>
      <w:r w:rsidRPr="005D5262">
        <w:rPr>
          <w:rFonts w:ascii="Calibri" w:eastAsia="Calibri" w:hAnsi="Calibri" w:cs="Calibri"/>
          <w:color w:val="000000" w:themeColor="text1"/>
        </w:rPr>
        <w:lastRenderedPageBreak/>
        <w:t xml:space="preserve">cell roundness and thick cell membranes. In contrast, unhealthy collapsed cells typically appear irregular, fragmented, or structurally compromised and are associated with reduced </w:t>
      </w:r>
      <w:r w:rsidRPr="005D5262">
        <w:rPr>
          <w:rFonts w:ascii="Calibri" w:eastAsia="Calibri" w:hAnsi="Calibri" w:cs="Calibri"/>
          <w:color w:val="000000" w:themeColor="text1"/>
        </w:rPr>
        <w:t xml:space="preserve">viability, distinguishing them from intact rounded or semi-encysted forms observed in adapted cultures. For reference, representative images of wild-type </w:t>
      </w:r>
      <w:r w:rsidRPr="005D5262">
        <w:rPr>
          <w:rFonts w:ascii="Calibri" w:eastAsia="Calibri" w:hAnsi="Calibri" w:cs="Calibri"/>
          <w:i/>
          <w:iCs/>
          <w:color w:val="000000" w:themeColor="text1"/>
        </w:rPr>
        <w:t xml:space="preserve">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xml:space="preserve"> exhibiting characteristic elongated morphology are included (</w:t>
      </w:r>
      <w:r w:rsidRPr="005D5262">
        <w:rPr>
          <w:rFonts w:ascii="Calibri" w:eastAsia="Calibri" w:hAnsi="Calibri" w:cs="Calibri"/>
          <w:b/>
          <w:bCs/>
          <w:color w:val="000000" w:themeColor="text1"/>
        </w:rPr>
        <w:t>Figure 8</w:t>
      </w:r>
      <w:r w:rsidRPr="005D5262">
        <w:rPr>
          <w:rFonts w:ascii="Calibri" w:eastAsia="Calibri" w:hAnsi="Calibri" w:cs="Calibri"/>
          <w:color w:val="000000" w:themeColor="text1"/>
        </w:rPr>
        <w:t xml:space="preserve">) to distinguish baseline cellular structure from adapted or altered forms. Cultures grown at 30 g L⁻¹ </w:t>
      </w:r>
      <w:proofErr w:type="spellStart"/>
      <w:r w:rsidRPr="005D5262">
        <w:rPr>
          <w:rFonts w:ascii="Calibri" w:eastAsia="Calibri" w:hAnsi="Calibri" w:cs="Calibri"/>
          <w:color w:val="000000" w:themeColor="text1"/>
        </w:rPr>
        <w:t>garri</w:t>
      </w:r>
      <w:proofErr w:type="spellEnd"/>
      <w:r w:rsidRPr="005D5262">
        <w:rPr>
          <w:rFonts w:ascii="Calibri" w:eastAsia="Calibri" w:hAnsi="Calibri" w:cs="Calibri"/>
          <w:color w:val="000000" w:themeColor="text1"/>
        </w:rPr>
        <w:t xml:space="preserve"> exhibited higher integrated growth, as measured by area under the growth curve (AUC), compared with lower concentrations, suggesting more efficient utilization of the c</w:t>
      </w:r>
      <w:r w:rsidRPr="005D5262">
        <w:rPr>
          <w:rFonts w:ascii="Calibri" w:eastAsia="Calibri" w:hAnsi="Calibri" w:cs="Calibri"/>
          <w:color w:val="000000" w:themeColor="text1"/>
        </w:rPr>
        <w:t>assava substrate and successful physiological adaptation (</w:t>
      </w:r>
      <w:r w:rsidRPr="005D5262">
        <w:rPr>
          <w:rFonts w:ascii="Calibri" w:eastAsia="Calibri" w:hAnsi="Calibri" w:cs="Calibri"/>
          <w:b/>
          <w:bCs/>
          <w:color w:val="000000" w:themeColor="text1"/>
        </w:rPr>
        <w:t>Figure 1</w:t>
      </w:r>
      <w:r w:rsidRPr="005D5262">
        <w:rPr>
          <w:rFonts w:ascii="Calibri" w:eastAsia="Calibri" w:hAnsi="Calibri" w:cs="Calibri"/>
          <w:color w:val="000000" w:themeColor="text1"/>
        </w:rPr>
        <w:t>). </w:t>
      </w:r>
    </w:p>
    <w:p w14:paraId="00000157"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58"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Suboptimal outcomes are commonly observed at lower </w:t>
      </w:r>
      <w:proofErr w:type="spellStart"/>
      <w:r w:rsidRPr="005D5262">
        <w:rPr>
          <w:rFonts w:ascii="Calibri" w:eastAsia="Calibri" w:hAnsi="Calibri" w:cs="Calibri"/>
          <w:color w:val="000000" w:themeColor="text1"/>
        </w:rPr>
        <w:t>garri</w:t>
      </w:r>
      <w:proofErr w:type="spellEnd"/>
      <w:r w:rsidRPr="005D5262">
        <w:rPr>
          <w:rFonts w:ascii="Calibri" w:eastAsia="Calibri" w:hAnsi="Calibri" w:cs="Calibri"/>
          <w:color w:val="000000" w:themeColor="text1"/>
        </w:rPr>
        <w:t> concentrations (10–20 g L⁻¹), where growth is detectable but reduced in magnitude and more variable across replicates. At higher concentrations (40–50 g L⁻¹), cultures may reach elevated peak cell densities; however, these conditions frequently display delayed stabilization or increased temporal variability (</w:t>
      </w:r>
      <w:r w:rsidRPr="005D5262">
        <w:rPr>
          <w:rFonts w:ascii="Calibri" w:eastAsia="Calibri" w:hAnsi="Calibri" w:cs="Calibri"/>
          <w:b/>
          <w:bCs/>
          <w:color w:val="000000" w:themeColor="text1"/>
        </w:rPr>
        <w:t>Figure 2</w:t>
      </w:r>
      <w:r w:rsidRPr="005D5262">
        <w:rPr>
          <w:rFonts w:ascii="Calibri" w:eastAsia="Calibri" w:hAnsi="Calibri" w:cs="Calibri"/>
          <w:color w:val="000000" w:themeColor="text1"/>
        </w:rPr>
        <w:t>). </w:t>
      </w:r>
    </w:p>
    <w:p w14:paraId="00000159"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5A"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xml:space="preserve">In successful experiments, cell viability remains high throughout the culture period, with only minor mid-experiment fluctuations. Trypan Blue exclusion assays indicate that cultures maintained at 30 g L⁻¹ </w:t>
      </w:r>
      <w:proofErr w:type="spellStart"/>
      <w:r w:rsidRPr="005D5262">
        <w:rPr>
          <w:rFonts w:ascii="Calibri" w:eastAsia="Calibri" w:hAnsi="Calibri" w:cs="Calibri"/>
          <w:color w:val="000000" w:themeColor="text1"/>
        </w:rPr>
        <w:t>garri</w:t>
      </w:r>
      <w:proofErr w:type="spellEnd"/>
      <w:r w:rsidRPr="005D5262">
        <w:rPr>
          <w:rFonts w:ascii="Calibri" w:eastAsia="Calibri" w:hAnsi="Calibri" w:cs="Calibri"/>
          <w:color w:val="000000" w:themeColor="text1"/>
        </w:rPr>
        <w:t xml:space="preserve"> retain a high proportion of viable (unstained) cells relative to non-viable (blue-stained) cells across sampled time points (</w:t>
      </w:r>
      <w:r w:rsidRPr="005D5262">
        <w:rPr>
          <w:rFonts w:ascii="Calibri" w:eastAsia="Calibri" w:hAnsi="Calibri" w:cs="Calibri"/>
          <w:b/>
          <w:bCs/>
          <w:color w:val="000000" w:themeColor="text1"/>
        </w:rPr>
        <w:t>Figure 3</w:t>
      </w:r>
      <w:r w:rsidRPr="005D5262">
        <w:rPr>
          <w:rFonts w:ascii="Calibri" w:eastAsia="Calibri" w:hAnsi="Calibri" w:cs="Calibri"/>
          <w:color w:val="000000" w:themeColor="text1"/>
        </w:rPr>
        <w:t xml:space="preserve">). Deviations from this pattern, including an increased proportion of stained cells, reduced motility, or shifts toward rounded or collapsed morphologies, may indicate suboptimal conditions and serve as early triggers for troubleshooting. </w:t>
      </w:r>
      <w:sdt>
        <w:sdtPr>
          <w:rPr>
            <w:rFonts w:ascii="Calibri" w:hAnsi="Calibri" w:cs="Calibri"/>
            <w:color w:val="000000" w:themeColor="text1"/>
          </w:rPr>
          <w:tag w:val="goog_rdk_7"/>
          <w:id w:val="-1861927952"/>
        </w:sdtPr>
        <w:sdtEndPr/>
        <w:sdtContent/>
      </w:sdt>
      <w:r w:rsidRPr="005D5262">
        <w:rPr>
          <w:rFonts w:ascii="Calibri" w:eastAsia="Calibri" w:hAnsi="Calibri" w:cs="Calibri"/>
          <w:color w:val="000000" w:themeColor="text1"/>
        </w:rPr>
        <w:t>Viability and morphological assessments were based on consistent observational criteria, including cell integrity, directional motility, and the relative prevalence of elongated versus rounded or collapsed forms.</w:t>
      </w:r>
    </w:p>
    <w:p w14:paraId="0000015B"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5C" w14:textId="6920E96C"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Suboptimal outcomes are characterized by transient reductions in viability, </w:t>
      </w:r>
      <w:r w:rsidR="001E2301" w:rsidRPr="005D5262">
        <w:rPr>
          <w:rFonts w:ascii="Calibri" w:eastAsia="Calibri" w:hAnsi="Calibri" w:cs="Calibri"/>
          <w:color w:val="000000" w:themeColor="text1"/>
        </w:rPr>
        <w:t>most observed</w:t>
      </w:r>
      <w:r w:rsidRPr="005D5262">
        <w:rPr>
          <w:rFonts w:ascii="Calibri" w:eastAsia="Calibri" w:hAnsi="Calibri" w:cs="Calibri"/>
          <w:color w:val="000000" w:themeColor="text1"/>
        </w:rPr>
        <w:t> at higher </w:t>
      </w:r>
      <w:proofErr w:type="spellStart"/>
      <w:r w:rsidRPr="005D5262">
        <w:rPr>
          <w:rFonts w:ascii="Calibri" w:eastAsia="Calibri" w:hAnsi="Calibri" w:cs="Calibri"/>
          <w:color w:val="000000" w:themeColor="text1"/>
        </w:rPr>
        <w:t>garri</w:t>
      </w:r>
      <w:proofErr w:type="spellEnd"/>
      <w:r w:rsidRPr="005D5262">
        <w:rPr>
          <w:rFonts w:ascii="Calibri" w:eastAsia="Calibri" w:hAnsi="Calibri" w:cs="Calibri"/>
          <w:color w:val="000000" w:themeColor="text1"/>
        </w:rPr>
        <w:t> concentrations. Partial recovery may be observed at later time points; however, these conditions display increased variability in viability across the culture period (</w:t>
      </w:r>
      <w:r w:rsidRPr="005D5262">
        <w:rPr>
          <w:rFonts w:ascii="Calibri" w:eastAsia="Calibri" w:hAnsi="Calibri" w:cs="Calibri"/>
          <w:b/>
          <w:bCs/>
          <w:color w:val="000000" w:themeColor="text1"/>
        </w:rPr>
        <w:t>Figure 4</w:t>
      </w:r>
      <w:r w:rsidRPr="005D5262">
        <w:rPr>
          <w:rFonts w:ascii="Calibri" w:eastAsia="Calibri" w:hAnsi="Calibri" w:cs="Calibri"/>
          <w:color w:val="000000" w:themeColor="text1"/>
        </w:rPr>
        <w:t xml:space="preserve">). These growth patterns show that intermediate substrate concentrations (e.g., 30 g L⁻¹) provide a balance between nutrient availability and stress, resulting in more stable growth. </w:t>
      </w:r>
      <w:sdt>
        <w:sdtPr>
          <w:rPr>
            <w:rFonts w:ascii="Calibri" w:hAnsi="Calibri" w:cs="Calibri"/>
            <w:color w:val="000000" w:themeColor="text1"/>
          </w:rPr>
          <w:tag w:val="goog_rdk_8"/>
          <w:id w:val="-1257987668"/>
        </w:sdtPr>
        <w:sdtEndPr/>
        <w:sdtContent/>
      </w:sdt>
      <w:r w:rsidRPr="005D5262">
        <w:rPr>
          <w:rFonts w:ascii="Calibri" w:eastAsia="Calibri" w:hAnsi="Calibri" w:cs="Calibri"/>
          <w:color w:val="000000" w:themeColor="text1"/>
        </w:rPr>
        <w:t xml:space="preserve">These trends reflect the impact of preprocessing conditions and staged adaptation on culture performance, as gradual exposure to increasing substrate complexity supports improved physiological stability and reproducible growth behavior. Lower concentrations limit biomass production, while higher concentrations lead to greater variability and delayed stabilization. </w:t>
      </w:r>
    </w:p>
    <w:p w14:paraId="0000015D"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5E"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Morphological assessment provides a qualitative indicator of adaptation status. Positive outcomes include the emergence and persistence of rounded or semi-encysted cells with reduced motility that remain intact across repeated subculturing (</w:t>
      </w:r>
      <w:r w:rsidRPr="005D5262">
        <w:rPr>
          <w:rFonts w:ascii="Calibri" w:eastAsia="Calibri" w:hAnsi="Calibri" w:cs="Calibri"/>
          <w:b/>
          <w:bCs/>
          <w:color w:val="000000" w:themeColor="text1"/>
        </w:rPr>
        <w:t>Figure 5</w:t>
      </w:r>
      <w:r w:rsidRPr="005D5262">
        <w:rPr>
          <w:rFonts w:ascii="Calibri" w:eastAsia="Calibri" w:hAnsi="Calibri" w:cs="Calibri"/>
          <w:color w:val="000000" w:themeColor="text1"/>
        </w:rPr>
        <w:t>). </w:t>
      </w:r>
    </w:p>
    <w:p w14:paraId="0000015F"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60"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By contrast, suboptimal cultures, most associated with wild-type strains or early-stage adaptation, exhibit abrupt transitions from elongated, motile cells to irregular or collapsed morphologies that coincide with reduced growth stability. </w:t>
      </w:r>
    </w:p>
    <w:p w14:paraId="00000161"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62"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When the protocol is applied to additional cassava-derived substrates, including pulp, pellets, and peels, adapted </w:t>
      </w:r>
      <w:r w:rsidRPr="005D5262">
        <w:rPr>
          <w:rFonts w:ascii="Calibri" w:eastAsia="Calibri" w:hAnsi="Calibri" w:cs="Calibri"/>
          <w:i/>
          <w:iCs/>
          <w:color w:val="000000" w:themeColor="text1"/>
        </w:rPr>
        <w:t>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i/>
          <w:iCs/>
          <w:color w:val="000000" w:themeColor="text1"/>
        </w:rPr>
        <w:t> </w:t>
      </w:r>
      <w:r w:rsidRPr="005D5262">
        <w:rPr>
          <w:rFonts w:ascii="Calibri" w:eastAsia="Calibri" w:hAnsi="Calibri" w:cs="Calibri"/>
          <w:color w:val="000000" w:themeColor="text1"/>
        </w:rPr>
        <w:t xml:space="preserve">cultures display reproducible growth across multiple substrate </w:t>
      </w:r>
      <w:r w:rsidRPr="005D5262">
        <w:rPr>
          <w:rFonts w:ascii="Calibri" w:eastAsia="Calibri" w:hAnsi="Calibri" w:cs="Calibri"/>
          <w:color w:val="000000" w:themeColor="text1"/>
        </w:rPr>
        <w:lastRenderedPageBreak/>
        <w:t>types. Positive outcomes are characterized by earlier stabilization of growth curves and reduced late-stage decline relative to wild-type cultures (</w:t>
      </w:r>
      <w:r w:rsidRPr="005D5262">
        <w:rPr>
          <w:rFonts w:ascii="Calibri" w:eastAsia="Calibri" w:hAnsi="Calibri" w:cs="Calibri"/>
          <w:b/>
          <w:bCs/>
          <w:color w:val="000000" w:themeColor="text1"/>
        </w:rPr>
        <w:t>Figure 6</w:t>
      </w:r>
      <w:r w:rsidRPr="005D5262">
        <w:rPr>
          <w:rFonts w:ascii="Calibri" w:eastAsia="Calibri" w:hAnsi="Calibri" w:cs="Calibri"/>
          <w:color w:val="000000" w:themeColor="text1"/>
        </w:rPr>
        <w:t>). </w:t>
      </w:r>
    </w:p>
    <w:p w14:paraId="00000163"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64"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Suboptimal outcomes include delayed growth initiation or increased replicate variability, particularly in substrates with greater physical heterogeneity. </w:t>
      </w:r>
    </w:p>
    <w:p w14:paraId="00000165"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66"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Successful implementation of the protocol yields </w:t>
      </w:r>
      <w:r w:rsidRPr="005D5262">
        <w:rPr>
          <w:rFonts w:ascii="Calibri" w:eastAsia="Calibri" w:hAnsi="Calibri" w:cs="Calibri"/>
          <w:i/>
          <w:iCs/>
          <w:color w:val="000000" w:themeColor="text1"/>
        </w:rPr>
        <w:t>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xml:space="preserve"> biomass with measurable crude protein content, as quantified by external </w:t>
      </w:r>
      <w:sdt>
        <w:sdtPr>
          <w:rPr>
            <w:rFonts w:ascii="Calibri" w:hAnsi="Calibri" w:cs="Calibri"/>
            <w:color w:val="000000" w:themeColor="text1"/>
          </w:rPr>
          <w:tag w:val="goog_rdk_9"/>
          <w:id w:val="-1488111951"/>
        </w:sdtPr>
        <w:sdtEndPr/>
        <w:sdtContent/>
      </w:sdt>
      <w:r w:rsidRPr="005D5262">
        <w:rPr>
          <w:rFonts w:ascii="Calibri" w:eastAsia="Calibri" w:hAnsi="Calibri" w:cs="Calibri"/>
          <w:color w:val="000000" w:themeColor="text1"/>
        </w:rPr>
        <w:t>laboratory analysis using the Combustion (Dumas) method. Protein percentages observed in adapted cultures are comparable to those measured in wild-type cultures, with higher total protein output corresponding to increased biomass accumulation (</w:t>
      </w:r>
      <w:r w:rsidRPr="005D5262">
        <w:rPr>
          <w:rFonts w:ascii="Calibri" w:eastAsia="Calibri" w:hAnsi="Calibri" w:cs="Calibri"/>
          <w:b/>
          <w:bCs/>
          <w:color w:val="000000" w:themeColor="text1"/>
        </w:rPr>
        <w:t>Figure 7</w:t>
      </w:r>
      <w:r w:rsidRPr="005D5262">
        <w:rPr>
          <w:rFonts w:ascii="Calibri" w:eastAsia="Calibri" w:hAnsi="Calibri" w:cs="Calibri"/>
          <w:color w:val="000000" w:themeColor="text1"/>
        </w:rPr>
        <w:t>). </w:t>
      </w:r>
    </w:p>
    <w:p w14:paraId="00000167"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168" w14:textId="77777777" w:rsidR="00EA5BF7" w:rsidRPr="005D5262" w:rsidRDefault="00640CC3" w:rsidP="005D5262">
      <w:pPr>
        <w:spacing w:after="0" w:line="240" w:lineRule="auto"/>
        <w:jc w:val="both"/>
        <w:rPr>
          <w:rFonts w:ascii="Calibri" w:eastAsia="Calibri" w:hAnsi="Calibri" w:cs="Calibri"/>
          <w:color w:val="000000" w:themeColor="text1"/>
        </w:rPr>
      </w:pPr>
      <w:sdt>
        <w:sdtPr>
          <w:rPr>
            <w:rFonts w:ascii="Calibri" w:hAnsi="Calibri" w:cs="Calibri"/>
            <w:color w:val="000000" w:themeColor="text1"/>
          </w:rPr>
          <w:tag w:val="goog_rdk_10"/>
          <w:id w:val="1092495811"/>
        </w:sdtPr>
        <w:sdtEndPr/>
        <w:sdtContent/>
      </w:sdt>
      <w:r w:rsidRPr="005D5262">
        <w:rPr>
          <w:rFonts w:ascii="Calibri" w:eastAsia="Calibri" w:hAnsi="Calibri" w:cs="Calibri"/>
          <w:color w:val="000000" w:themeColor="text1"/>
        </w:rPr>
        <w:t>Monitoring of media chemistry supported culture–substrate interactions during adaptation and validated the inclusion of pH and cyanide measurements within the protocol. pH values showed gradual shifts over time, indicating metabolic activity and substrate utilization, with more stable trends in adapted cultures. Cyanide measurements further supported this, as adapted cultures showed reductions in detectable levels, while wild-type cultures remained more variable. Together, these results demonstrate that the</w:t>
      </w:r>
      <w:r w:rsidRPr="005D5262">
        <w:rPr>
          <w:rFonts w:ascii="Calibri" w:eastAsia="Calibri" w:hAnsi="Calibri" w:cs="Calibri"/>
          <w:color w:val="000000" w:themeColor="text1"/>
        </w:rPr>
        <w:t>se monitoring steps effectively capture changes in media chemistry associated with adaptation and support interpretation of culture performance. Although the underlying mechanisms were not investigated, this represents an important area for future research, particularly for industrial-scale applications.</w:t>
      </w:r>
    </w:p>
    <w:p w14:paraId="00000169"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16A" w14:textId="77777777" w:rsidR="00EA5BF7" w:rsidRPr="005D5262" w:rsidRDefault="00640CC3" w:rsidP="005D5262">
      <w:pPr>
        <w:spacing w:after="0" w:line="240" w:lineRule="auto"/>
        <w:jc w:val="both"/>
        <w:rPr>
          <w:rFonts w:ascii="Calibri" w:eastAsia="Calibri" w:hAnsi="Calibri" w:cs="Calibri"/>
          <w:color w:val="000000" w:themeColor="text1"/>
        </w:rPr>
      </w:pPr>
      <w:sdt>
        <w:sdtPr>
          <w:rPr>
            <w:rFonts w:ascii="Calibri" w:hAnsi="Calibri" w:cs="Calibri"/>
            <w:color w:val="000000" w:themeColor="text1"/>
          </w:rPr>
          <w:tag w:val="goog_rdk_11"/>
          <w:id w:val="1675286731"/>
        </w:sdtPr>
        <w:sdtEndPr/>
        <w:sdtContent/>
      </w:sdt>
      <w:r w:rsidRPr="005D5262">
        <w:rPr>
          <w:rFonts w:ascii="Calibri" w:eastAsia="Calibri" w:hAnsi="Calibri" w:cs="Calibri"/>
          <w:color w:val="000000" w:themeColor="text1"/>
        </w:rPr>
        <w:t xml:space="preserve">The long-term maintenance and consolidation workflow supported continued viability of the adapted </w:t>
      </w:r>
      <w:r w:rsidRPr="005D5262">
        <w:rPr>
          <w:rFonts w:ascii="Calibri" w:eastAsia="Calibri" w:hAnsi="Calibri" w:cs="Calibri"/>
          <w:i/>
          <w:iCs/>
          <w:color w:val="000000" w:themeColor="text1"/>
        </w:rPr>
        <w:t xml:space="preserve">Euglena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xml:space="preserve"> lineage over extended culture periods. Cultures maintained through repeated passaging consistently retained motility, characteristic morphology, and stable growth behavior across maintenance cycles. Although long-term performance was not quantitatively assessed, these observations provide representative evidence that the adapted lineage can be reliably maintained under the specified conditions.</w:t>
      </w:r>
    </w:p>
    <w:p w14:paraId="0000016B"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16C"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xml:space="preserve">Together, these results confirm that the adaptation protocol supports robust growth, viability, and biomass production of </w:t>
      </w:r>
      <w:r w:rsidRPr="005D5262">
        <w:rPr>
          <w:rFonts w:ascii="Calibri" w:eastAsia="Calibri" w:hAnsi="Calibri" w:cs="Calibri"/>
          <w:i/>
          <w:iCs/>
          <w:color w:val="000000" w:themeColor="text1"/>
        </w:rPr>
        <w:t xml:space="preserve">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xml:space="preserve"> across cassava-based substrates, with consistent performance and reduced cyanide levels over time.</w:t>
      </w:r>
    </w:p>
    <w:p w14:paraId="0000016D"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16E"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FIGURE AND TABLE LEGENDS:</w:t>
      </w:r>
      <w:r w:rsidRPr="005D5262">
        <w:rPr>
          <w:rFonts w:ascii="Calibri" w:eastAsia="Calibri" w:hAnsi="Calibri" w:cs="Calibri"/>
          <w:color w:val="000000" w:themeColor="text1"/>
        </w:rPr>
        <w:t> </w:t>
      </w:r>
    </w:p>
    <w:p w14:paraId="0000016F"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70" w14:textId="2B266649"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All figures and tables are provided as separate files and are not embedded within the manuscript document. Figure and table placement preferences are indicated within the manuscript text using bracketed notes (</w:t>
      </w:r>
      <w:r w:rsidR="00CD461F" w:rsidRPr="005D5262">
        <w:rPr>
          <w:rFonts w:ascii="Calibri" w:eastAsia="Calibri" w:hAnsi="Calibri" w:cs="Calibri"/>
          <w:color w:val="000000" w:themeColor="text1"/>
        </w:rPr>
        <w:t>e.g., (</w:t>
      </w:r>
      <w:r w:rsidRPr="005D5262">
        <w:rPr>
          <w:rFonts w:ascii="Calibri" w:eastAsia="Calibri" w:hAnsi="Calibri" w:cs="Calibri"/>
          <w:b/>
          <w:bCs/>
          <w:color w:val="000000" w:themeColor="text1"/>
        </w:rPr>
        <w:t>Figure 1</w:t>
      </w:r>
      <w:r w:rsidRPr="005D5262">
        <w:rPr>
          <w:rFonts w:ascii="Calibri" w:eastAsia="Calibri" w:hAnsi="Calibri" w:cs="Calibri"/>
          <w:color w:val="000000" w:themeColor="text1"/>
        </w:rPr>
        <w:t>)). Unless otherwise specified, all figures and tables are intended to appear below the Representative Results section in the final publication. </w:t>
      </w:r>
    </w:p>
    <w:p w14:paraId="00000171"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72"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All figures are submitted as individual files, with multipaneled figures provided as a single combined image. Microscopy images include scale bars in each panel. Data figures include labeled axes with defined measurement units, and error bars are specified in the corresponding figure legends. </w:t>
      </w:r>
    </w:p>
    <w:p w14:paraId="00000173"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lastRenderedPageBreak/>
        <w:t> </w:t>
      </w:r>
    </w:p>
    <w:p w14:paraId="00000174"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All tables are submitted as individual .</w:t>
      </w:r>
      <w:proofErr w:type="spellStart"/>
      <w:r w:rsidRPr="005D5262">
        <w:rPr>
          <w:rFonts w:ascii="Calibri" w:eastAsia="Calibri" w:hAnsi="Calibri" w:cs="Calibri"/>
          <w:color w:val="000000" w:themeColor="text1"/>
        </w:rPr>
        <w:t>xls</w:t>
      </w:r>
      <w:proofErr w:type="spellEnd"/>
      <w:r w:rsidRPr="005D5262">
        <w:rPr>
          <w:rFonts w:ascii="Calibri" w:eastAsia="Calibri" w:hAnsi="Calibri" w:cs="Calibri"/>
          <w:color w:val="000000" w:themeColor="text1"/>
        </w:rPr>
        <w:t> or .xlsx files and contain raw or summarized numerical data without decorative formatting. </w:t>
      </w:r>
    </w:p>
    <w:p w14:paraId="00000175"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76" w14:textId="590B7DFA"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Figure 1: Growth dynamics of </w:t>
      </w:r>
      <w:r w:rsidRPr="005D5262">
        <w:rPr>
          <w:rFonts w:ascii="Calibri" w:eastAsia="Calibri" w:hAnsi="Calibri" w:cs="Calibri"/>
          <w:b/>
          <w:bCs/>
          <w:i/>
          <w:iCs/>
          <w:color w:val="000000" w:themeColor="text1"/>
        </w:rPr>
        <w:t>E. </w:t>
      </w:r>
      <w:proofErr w:type="spellStart"/>
      <w:r w:rsidRPr="005D5262">
        <w:rPr>
          <w:rFonts w:ascii="Calibri" w:eastAsia="Calibri" w:hAnsi="Calibri" w:cs="Calibri"/>
          <w:b/>
          <w:bCs/>
          <w:i/>
          <w:iCs/>
          <w:color w:val="000000" w:themeColor="text1"/>
        </w:rPr>
        <w:t>gracilis</w:t>
      </w:r>
      <w:proofErr w:type="spellEnd"/>
      <w:r w:rsidRPr="005D5262">
        <w:rPr>
          <w:rFonts w:ascii="Calibri" w:eastAsia="Calibri" w:hAnsi="Calibri" w:cs="Calibri"/>
          <w:b/>
          <w:bCs/>
          <w:i/>
          <w:iCs/>
          <w:color w:val="000000" w:themeColor="text1"/>
        </w:rPr>
        <w:t> </w:t>
      </w:r>
      <w:r w:rsidRPr="005D5262">
        <w:rPr>
          <w:rFonts w:ascii="Calibri" w:eastAsia="Calibri" w:hAnsi="Calibri" w:cs="Calibri"/>
          <w:b/>
          <w:bCs/>
          <w:color w:val="000000" w:themeColor="text1"/>
        </w:rPr>
        <w:t>cultured at 10, 20, and 30 gL⁻¹ </w:t>
      </w:r>
      <w:proofErr w:type="spellStart"/>
      <w:r w:rsidRPr="005D5262">
        <w:rPr>
          <w:rFonts w:ascii="Calibri" w:eastAsia="Calibri" w:hAnsi="Calibri" w:cs="Calibri"/>
          <w:b/>
          <w:bCs/>
          <w:color w:val="000000" w:themeColor="text1"/>
        </w:rPr>
        <w:t>garri</w:t>
      </w:r>
      <w:proofErr w:type="spellEnd"/>
      <w:r w:rsidRPr="005D5262">
        <w:rPr>
          <w:rFonts w:ascii="Calibri" w:eastAsia="Calibri" w:hAnsi="Calibri" w:cs="Calibri"/>
          <w:b/>
          <w:bCs/>
          <w:color w:val="000000" w:themeColor="text1"/>
        </w:rPr>
        <w:t> under fully dark conditions. </w:t>
      </w:r>
      <w:r w:rsidRPr="005D5262">
        <w:rPr>
          <w:rFonts w:ascii="Calibri" w:eastAsia="Calibri" w:hAnsi="Calibri" w:cs="Calibri"/>
          <w:color w:val="000000" w:themeColor="text1"/>
        </w:rPr>
        <w:t>Mean cell densities are shown over time for each substrate concentration. Error bars represent SEM across biological replicates. </w:t>
      </w:r>
    </w:p>
    <w:p w14:paraId="00000177"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78"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Figure 2: Growth performance of </w:t>
      </w:r>
      <w:r w:rsidRPr="005D5262">
        <w:rPr>
          <w:rFonts w:ascii="Calibri" w:eastAsia="Calibri" w:hAnsi="Calibri" w:cs="Calibri"/>
          <w:b/>
          <w:bCs/>
          <w:i/>
          <w:iCs/>
          <w:color w:val="000000" w:themeColor="text1"/>
        </w:rPr>
        <w:t>E. </w:t>
      </w:r>
      <w:proofErr w:type="spellStart"/>
      <w:r w:rsidRPr="005D5262">
        <w:rPr>
          <w:rFonts w:ascii="Calibri" w:eastAsia="Calibri" w:hAnsi="Calibri" w:cs="Calibri"/>
          <w:b/>
          <w:bCs/>
          <w:i/>
          <w:iCs/>
          <w:color w:val="000000" w:themeColor="text1"/>
        </w:rPr>
        <w:t>gracilis</w:t>
      </w:r>
      <w:proofErr w:type="spellEnd"/>
      <w:r w:rsidRPr="005D5262">
        <w:rPr>
          <w:rFonts w:ascii="Calibri" w:eastAsia="Calibri" w:hAnsi="Calibri" w:cs="Calibri"/>
          <w:b/>
          <w:bCs/>
          <w:i/>
          <w:iCs/>
          <w:color w:val="000000" w:themeColor="text1"/>
        </w:rPr>
        <w:t> </w:t>
      </w:r>
      <w:r w:rsidRPr="005D5262">
        <w:rPr>
          <w:rFonts w:ascii="Calibri" w:eastAsia="Calibri" w:hAnsi="Calibri" w:cs="Calibri"/>
          <w:b/>
          <w:bCs/>
          <w:color w:val="000000" w:themeColor="text1"/>
        </w:rPr>
        <w:t>at elevated </w:t>
      </w:r>
      <w:proofErr w:type="spellStart"/>
      <w:r w:rsidRPr="005D5262">
        <w:rPr>
          <w:rFonts w:ascii="Calibri" w:eastAsia="Calibri" w:hAnsi="Calibri" w:cs="Calibri"/>
          <w:b/>
          <w:bCs/>
          <w:color w:val="000000" w:themeColor="text1"/>
        </w:rPr>
        <w:t>garri</w:t>
      </w:r>
      <w:proofErr w:type="spellEnd"/>
      <w:r w:rsidRPr="005D5262">
        <w:rPr>
          <w:rFonts w:ascii="Calibri" w:eastAsia="Calibri" w:hAnsi="Calibri" w:cs="Calibri"/>
          <w:b/>
          <w:bCs/>
          <w:color w:val="000000" w:themeColor="text1"/>
        </w:rPr>
        <w:t> concentrations (30–50 g L⁻¹). </w:t>
      </w:r>
      <w:r w:rsidRPr="005D5262">
        <w:rPr>
          <w:rFonts w:ascii="Calibri" w:eastAsia="Calibri" w:hAnsi="Calibri" w:cs="Calibri"/>
          <w:color w:val="000000" w:themeColor="text1"/>
        </w:rPr>
        <w:t>Cell density trajectories illustrate differences in peak density, stabilization timing, and variability across higher substrate concentrations. </w:t>
      </w:r>
    </w:p>
    <w:p w14:paraId="00000179"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7A" w14:textId="1046A268"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Figure 3: Cell viability trends of </w:t>
      </w:r>
      <w:r w:rsidRPr="005D5262">
        <w:rPr>
          <w:rFonts w:ascii="Calibri" w:eastAsia="Calibri" w:hAnsi="Calibri" w:cs="Calibri"/>
          <w:b/>
          <w:bCs/>
          <w:i/>
          <w:iCs/>
          <w:color w:val="000000" w:themeColor="text1"/>
        </w:rPr>
        <w:t>E. </w:t>
      </w:r>
      <w:proofErr w:type="spellStart"/>
      <w:r w:rsidRPr="005D5262">
        <w:rPr>
          <w:rFonts w:ascii="Calibri" w:eastAsia="Calibri" w:hAnsi="Calibri" w:cs="Calibri"/>
          <w:b/>
          <w:bCs/>
          <w:i/>
          <w:iCs/>
          <w:color w:val="000000" w:themeColor="text1"/>
        </w:rPr>
        <w:t>gracilis</w:t>
      </w:r>
      <w:proofErr w:type="spellEnd"/>
      <w:r w:rsidRPr="005D5262">
        <w:rPr>
          <w:rFonts w:ascii="Calibri" w:eastAsia="Calibri" w:hAnsi="Calibri" w:cs="Calibri"/>
          <w:b/>
          <w:bCs/>
          <w:i/>
          <w:iCs/>
          <w:color w:val="000000" w:themeColor="text1"/>
        </w:rPr>
        <w:t> </w:t>
      </w:r>
      <w:r w:rsidRPr="005D5262">
        <w:rPr>
          <w:rFonts w:ascii="Calibri" w:eastAsia="Calibri" w:hAnsi="Calibri" w:cs="Calibri"/>
          <w:b/>
          <w:bCs/>
          <w:color w:val="000000" w:themeColor="text1"/>
        </w:rPr>
        <w:t>cultured at 30 gL⁻¹ </w:t>
      </w:r>
      <w:proofErr w:type="spellStart"/>
      <w:r w:rsidRPr="005D5262">
        <w:rPr>
          <w:rFonts w:ascii="Calibri" w:eastAsia="Calibri" w:hAnsi="Calibri" w:cs="Calibri"/>
          <w:b/>
          <w:bCs/>
          <w:color w:val="000000" w:themeColor="text1"/>
        </w:rPr>
        <w:t>garri</w:t>
      </w:r>
      <w:proofErr w:type="spellEnd"/>
      <w:r w:rsidRPr="005D5262">
        <w:rPr>
          <w:rFonts w:ascii="Calibri" w:eastAsia="Calibri" w:hAnsi="Calibri" w:cs="Calibri"/>
          <w:b/>
          <w:bCs/>
          <w:color w:val="000000" w:themeColor="text1"/>
        </w:rPr>
        <w:t> measured by Trypan Blue exclusion. </w:t>
      </w:r>
      <w:r w:rsidRPr="005D5262">
        <w:rPr>
          <w:rFonts w:ascii="Calibri" w:eastAsia="Calibri" w:hAnsi="Calibri" w:cs="Calibri"/>
          <w:color w:val="000000" w:themeColor="text1"/>
        </w:rPr>
        <w:t>The proportion of viable cells is shown across sampled time points. </w:t>
      </w:r>
    </w:p>
    <w:p w14:paraId="0000017B"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7C"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Figure 4: Viability fluctuations of </w:t>
      </w:r>
      <w:r w:rsidRPr="005D5262">
        <w:rPr>
          <w:rFonts w:ascii="Calibri" w:eastAsia="Calibri" w:hAnsi="Calibri" w:cs="Calibri"/>
          <w:b/>
          <w:bCs/>
          <w:i/>
          <w:iCs/>
          <w:color w:val="000000" w:themeColor="text1"/>
        </w:rPr>
        <w:t>E. </w:t>
      </w:r>
      <w:proofErr w:type="spellStart"/>
      <w:r w:rsidRPr="005D5262">
        <w:rPr>
          <w:rFonts w:ascii="Calibri" w:eastAsia="Calibri" w:hAnsi="Calibri" w:cs="Calibri"/>
          <w:b/>
          <w:bCs/>
          <w:i/>
          <w:iCs/>
          <w:color w:val="000000" w:themeColor="text1"/>
        </w:rPr>
        <w:t>gracilis</w:t>
      </w:r>
      <w:proofErr w:type="spellEnd"/>
      <w:r w:rsidRPr="005D5262">
        <w:rPr>
          <w:rFonts w:ascii="Calibri" w:eastAsia="Calibri" w:hAnsi="Calibri" w:cs="Calibri"/>
          <w:b/>
          <w:bCs/>
          <w:i/>
          <w:iCs/>
          <w:color w:val="000000" w:themeColor="text1"/>
        </w:rPr>
        <w:t> </w:t>
      </w:r>
      <w:r w:rsidRPr="005D5262">
        <w:rPr>
          <w:rFonts w:ascii="Calibri" w:eastAsia="Calibri" w:hAnsi="Calibri" w:cs="Calibri"/>
          <w:b/>
          <w:bCs/>
          <w:color w:val="000000" w:themeColor="text1"/>
        </w:rPr>
        <w:t>cultured at higher </w:t>
      </w:r>
      <w:proofErr w:type="spellStart"/>
      <w:r w:rsidRPr="005D5262">
        <w:rPr>
          <w:rFonts w:ascii="Calibri" w:eastAsia="Calibri" w:hAnsi="Calibri" w:cs="Calibri"/>
          <w:b/>
          <w:bCs/>
          <w:color w:val="000000" w:themeColor="text1"/>
        </w:rPr>
        <w:t>garri</w:t>
      </w:r>
      <w:proofErr w:type="spellEnd"/>
      <w:r w:rsidRPr="005D5262">
        <w:rPr>
          <w:rFonts w:ascii="Calibri" w:eastAsia="Calibri" w:hAnsi="Calibri" w:cs="Calibri"/>
          <w:b/>
          <w:bCs/>
          <w:color w:val="000000" w:themeColor="text1"/>
        </w:rPr>
        <w:t> concentrations. </w:t>
      </w:r>
      <w:r w:rsidRPr="005D5262">
        <w:rPr>
          <w:rFonts w:ascii="Calibri" w:eastAsia="Calibri" w:hAnsi="Calibri" w:cs="Calibri"/>
          <w:color w:val="000000" w:themeColor="text1"/>
        </w:rPr>
        <w:t>Transient changes in cell viability are shown across the experimental period. </w:t>
      </w:r>
    </w:p>
    <w:p w14:paraId="0000017D"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7E"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Figure 5: Representative morphology of adapted </w:t>
      </w:r>
      <w:r w:rsidRPr="005D5262">
        <w:rPr>
          <w:rFonts w:ascii="Calibri" w:eastAsia="Calibri" w:hAnsi="Calibri" w:cs="Calibri"/>
          <w:b/>
          <w:bCs/>
          <w:i/>
          <w:iCs/>
          <w:color w:val="000000" w:themeColor="text1"/>
        </w:rPr>
        <w:t>E. </w:t>
      </w:r>
      <w:proofErr w:type="spellStart"/>
      <w:r w:rsidRPr="005D5262">
        <w:rPr>
          <w:rFonts w:ascii="Calibri" w:eastAsia="Calibri" w:hAnsi="Calibri" w:cs="Calibri"/>
          <w:b/>
          <w:bCs/>
          <w:i/>
          <w:iCs/>
          <w:color w:val="000000" w:themeColor="text1"/>
        </w:rPr>
        <w:t>gracilis</w:t>
      </w:r>
      <w:proofErr w:type="spellEnd"/>
      <w:r w:rsidRPr="005D5262">
        <w:rPr>
          <w:rFonts w:ascii="Calibri" w:eastAsia="Calibri" w:hAnsi="Calibri" w:cs="Calibri"/>
          <w:b/>
          <w:bCs/>
          <w:i/>
          <w:iCs/>
          <w:color w:val="000000" w:themeColor="text1"/>
        </w:rPr>
        <w:t> </w:t>
      </w:r>
      <w:r w:rsidRPr="005D5262">
        <w:rPr>
          <w:rFonts w:ascii="Calibri" w:eastAsia="Calibri" w:hAnsi="Calibri" w:cs="Calibri"/>
          <w:b/>
          <w:bCs/>
          <w:color w:val="000000" w:themeColor="text1"/>
        </w:rPr>
        <w:t>populations. </w:t>
      </w:r>
      <w:r w:rsidRPr="005D5262">
        <w:rPr>
          <w:rFonts w:ascii="Calibri" w:eastAsia="Calibri" w:hAnsi="Calibri" w:cs="Calibri"/>
          <w:color w:val="000000" w:themeColor="text1"/>
        </w:rPr>
        <w:t>Representative inverted light microscopy images show rounded and semi-encysted cells observed following adaptation. Scale bar = XX µm. </w:t>
      </w:r>
    </w:p>
    <w:p w14:paraId="0000017F"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80"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Figure 6: Growth performance of adapted and wild-type </w:t>
      </w:r>
      <w:r w:rsidRPr="005D5262">
        <w:rPr>
          <w:rFonts w:ascii="Calibri" w:eastAsia="Calibri" w:hAnsi="Calibri" w:cs="Calibri"/>
          <w:b/>
          <w:bCs/>
          <w:i/>
          <w:iCs/>
          <w:color w:val="000000" w:themeColor="text1"/>
        </w:rPr>
        <w:t>E. </w:t>
      </w:r>
      <w:proofErr w:type="spellStart"/>
      <w:r w:rsidRPr="005D5262">
        <w:rPr>
          <w:rFonts w:ascii="Calibri" w:eastAsia="Calibri" w:hAnsi="Calibri" w:cs="Calibri"/>
          <w:b/>
          <w:bCs/>
          <w:i/>
          <w:iCs/>
          <w:color w:val="000000" w:themeColor="text1"/>
        </w:rPr>
        <w:t>gracilis</w:t>
      </w:r>
      <w:proofErr w:type="spellEnd"/>
      <w:r w:rsidRPr="005D5262">
        <w:rPr>
          <w:rFonts w:ascii="Calibri" w:eastAsia="Calibri" w:hAnsi="Calibri" w:cs="Calibri"/>
          <w:b/>
          <w:bCs/>
          <w:i/>
          <w:iCs/>
          <w:color w:val="000000" w:themeColor="text1"/>
        </w:rPr>
        <w:t> </w:t>
      </w:r>
      <w:r w:rsidRPr="005D5262">
        <w:rPr>
          <w:rFonts w:ascii="Calibri" w:eastAsia="Calibri" w:hAnsi="Calibri" w:cs="Calibri"/>
          <w:b/>
          <w:bCs/>
          <w:color w:val="000000" w:themeColor="text1"/>
        </w:rPr>
        <w:t>across cassava-derived substrates. </w:t>
      </w:r>
      <w:r w:rsidRPr="005D5262">
        <w:rPr>
          <w:rFonts w:ascii="Calibri" w:eastAsia="Calibri" w:hAnsi="Calibri" w:cs="Calibri"/>
          <w:color w:val="000000" w:themeColor="text1"/>
        </w:rPr>
        <w:t>Growth trajectories are shown for adapted and wild-type cultures cultivated on multiple cassava products. </w:t>
      </w:r>
    </w:p>
    <w:p w14:paraId="00000181"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82"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Figure 7: Crude protein content and total protein output of cassava-grown </w:t>
      </w:r>
      <w:r w:rsidRPr="005D5262">
        <w:rPr>
          <w:rFonts w:ascii="Calibri" w:eastAsia="Calibri" w:hAnsi="Calibri" w:cs="Calibri"/>
          <w:b/>
          <w:bCs/>
          <w:i/>
          <w:iCs/>
          <w:color w:val="000000" w:themeColor="text1"/>
        </w:rPr>
        <w:t>E. </w:t>
      </w:r>
      <w:proofErr w:type="spellStart"/>
      <w:r w:rsidRPr="005D5262">
        <w:rPr>
          <w:rFonts w:ascii="Calibri" w:eastAsia="Calibri" w:hAnsi="Calibri" w:cs="Calibri"/>
          <w:b/>
          <w:bCs/>
          <w:i/>
          <w:iCs/>
          <w:color w:val="000000" w:themeColor="text1"/>
        </w:rPr>
        <w:t>gracilis</w:t>
      </w:r>
      <w:proofErr w:type="spellEnd"/>
      <w:r w:rsidRPr="005D5262">
        <w:rPr>
          <w:rFonts w:ascii="Calibri" w:eastAsia="Calibri" w:hAnsi="Calibri" w:cs="Calibri"/>
          <w:b/>
          <w:bCs/>
          <w:color w:val="000000" w:themeColor="text1"/>
        </w:rPr>
        <w:t> biomass. </w:t>
      </w:r>
      <w:r w:rsidRPr="005D5262">
        <w:rPr>
          <w:rFonts w:ascii="Calibri" w:eastAsia="Calibri" w:hAnsi="Calibri" w:cs="Calibri"/>
          <w:color w:val="000000" w:themeColor="text1"/>
        </w:rPr>
        <w:t>Protein content was quantified by external analysis using the SGS Combustion (Dumas) method. Total protein output is shown alongside biomass accumulation. </w:t>
      </w:r>
    </w:p>
    <w:p w14:paraId="00000183"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184"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 xml:space="preserve">Figure 8: Figure 8. Representative morphology of wild-type E. </w:t>
      </w:r>
      <w:proofErr w:type="spellStart"/>
      <w:r w:rsidRPr="005D5262">
        <w:rPr>
          <w:rFonts w:ascii="Calibri" w:eastAsia="Calibri" w:hAnsi="Calibri" w:cs="Calibri"/>
          <w:b/>
          <w:bCs/>
          <w:color w:val="000000" w:themeColor="text1"/>
        </w:rPr>
        <w:t>gracilis</w:t>
      </w:r>
      <w:proofErr w:type="spellEnd"/>
      <w:r w:rsidRPr="005D5262">
        <w:rPr>
          <w:rFonts w:ascii="Calibri" w:eastAsia="Calibri" w:hAnsi="Calibri" w:cs="Calibri"/>
          <w:b/>
          <w:bCs/>
          <w:color w:val="000000" w:themeColor="text1"/>
        </w:rPr>
        <w:t xml:space="preserve"> under standard conditions (40X magnification). </w:t>
      </w:r>
      <w:r w:rsidRPr="005D5262">
        <w:rPr>
          <w:rFonts w:ascii="Calibri" w:eastAsia="Calibri" w:hAnsi="Calibri" w:cs="Calibri"/>
          <w:color w:val="000000" w:themeColor="text1"/>
        </w:rPr>
        <w:t xml:space="preserve">Representative image of healthy, non-adapted </w:t>
      </w:r>
      <w:r w:rsidRPr="005D5262">
        <w:rPr>
          <w:rFonts w:ascii="Calibri" w:eastAsia="Calibri" w:hAnsi="Calibri" w:cs="Calibri"/>
          <w:i/>
          <w:iCs/>
          <w:color w:val="000000" w:themeColor="text1"/>
        </w:rPr>
        <w:t xml:space="preserve">Euglena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xml:space="preserve"> showing characteristic elongated morphology under light microscopy.</w:t>
      </w:r>
    </w:p>
    <w:p w14:paraId="00000187"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188"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DISCUSSION:</w:t>
      </w:r>
      <w:r w:rsidRPr="005D5262">
        <w:rPr>
          <w:rFonts w:ascii="Calibri" w:eastAsia="Calibri" w:hAnsi="Calibri" w:cs="Calibri"/>
          <w:color w:val="000000" w:themeColor="text1"/>
        </w:rPr>
        <w:t> </w:t>
      </w:r>
    </w:p>
    <w:p w14:paraId="00000189"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18A" w14:textId="5AF31F62"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A central determinant of success in this protocol is the balance between cassava substrate concentration and physiological stability during heterotrophic cultivation of </w:t>
      </w:r>
      <w:r w:rsidRPr="005D5262">
        <w:rPr>
          <w:rFonts w:ascii="Calibri" w:eastAsia="Calibri" w:hAnsi="Calibri" w:cs="Calibri"/>
          <w:i/>
          <w:iCs/>
          <w:color w:val="000000" w:themeColor="text1"/>
        </w:rPr>
        <w:t>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Cassava-derived materials introduce physical heterogeneity, residual particulates, and variable nutrient release kinetics that directly influence growth behavior and culture stability</w:t>
      </w:r>
      <w:r w:rsidR="00CD461F" w:rsidRPr="005D5262">
        <w:rPr>
          <w:rFonts w:ascii="Calibri" w:eastAsia="Calibri" w:hAnsi="Calibri" w:cs="Calibri"/>
          <w:color w:val="000000" w:themeColor="text1"/>
          <w:vertAlign w:val="superscript"/>
        </w:rPr>
        <w:t>2</w:t>
      </w:r>
      <w:r w:rsidRPr="005D5262">
        <w:rPr>
          <w:rFonts w:ascii="Calibri" w:eastAsia="Calibri" w:hAnsi="Calibri" w:cs="Calibri"/>
          <w:color w:val="000000" w:themeColor="text1"/>
          <w:vertAlign w:val="superscript"/>
        </w:rPr>
        <w:t>,</w:t>
      </w:r>
      <w:r w:rsidR="00CD461F" w:rsidRPr="005D5262">
        <w:rPr>
          <w:rFonts w:ascii="Calibri" w:eastAsia="Calibri" w:hAnsi="Calibri" w:cs="Calibri"/>
          <w:color w:val="000000" w:themeColor="text1"/>
          <w:vertAlign w:val="superscript"/>
        </w:rPr>
        <w:t>3</w:t>
      </w:r>
      <w:r w:rsidRPr="005D5262">
        <w:rPr>
          <w:rFonts w:ascii="Calibri" w:eastAsia="Calibri" w:hAnsi="Calibri" w:cs="Calibri"/>
          <w:color w:val="000000" w:themeColor="text1"/>
        </w:rPr>
        <w:t xml:space="preserve">. Among the protocol steps, substrate preparation and concentration selection therefore represent the most sensitive control points. As demonstrated by the Representative Results, intermediate substrate concentrations reliably support sustained growth with limited replicate </w:t>
      </w:r>
      <w:r w:rsidRPr="005D5262">
        <w:rPr>
          <w:rFonts w:ascii="Calibri" w:eastAsia="Calibri" w:hAnsi="Calibri" w:cs="Calibri"/>
          <w:color w:val="000000" w:themeColor="text1"/>
        </w:rPr>
        <w:lastRenderedPageBreak/>
        <w:t>divergence, whereas lower concentrations constrai</w:t>
      </w:r>
      <w:r w:rsidRPr="005D5262">
        <w:rPr>
          <w:rFonts w:ascii="Calibri" w:eastAsia="Calibri" w:hAnsi="Calibri" w:cs="Calibri"/>
          <w:color w:val="000000" w:themeColor="text1"/>
        </w:rPr>
        <w:t xml:space="preserve">n biomass accumulation and higher concentrations increase temporal variability and transient stress responses. These outcomes underscore that maximal substrate loading does not necessarily yield optimal or stable cultivation performance when working with heterogeneous agro-industrial materials. The selected preprocessing steps and substrate concentration ranges were designed to progressively challenge </w:t>
      </w:r>
      <w:r w:rsidRPr="005D5262">
        <w:rPr>
          <w:rFonts w:ascii="Calibri" w:eastAsia="Calibri" w:hAnsi="Calibri" w:cs="Calibri"/>
          <w:i/>
          <w:iCs/>
          <w:color w:val="000000" w:themeColor="text1"/>
        </w:rPr>
        <w:t xml:space="preserve">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xml:space="preserve"> under increasing chemical and microbial complexity. The observed differences in growth stabilit</w:t>
      </w:r>
      <w:r w:rsidRPr="005D5262">
        <w:rPr>
          <w:rFonts w:ascii="Calibri" w:eastAsia="Calibri" w:hAnsi="Calibri" w:cs="Calibri"/>
          <w:color w:val="000000" w:themeColor="text1"/>
        </w:rPr>
        <w:t>y and viability across these conditions support the validity of this staged approach and confirm that intermediate substrate concentrations provide a balance between nutrient availability and physiological stress.</w:t>
      </w:r>
    </w:p>
    <w:p w14:paraId="0000018B"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8C" w14:textId="05DF1E9E"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Culture handling during heterotrophic growth further influences adaptation outcomes. Consistent but gentle mixing under fully dark conditions was critical for maintaining contact between </w:t>
      </w:r>
      <w:r w:rsidRPr="005D5262">
        <w:rPr>
          <w:rFonts w:ascii="Calibri" w:eastAsia="Calibri" w:hAnsi="Calibri" w:cs="Calibri"/>
          <w:i/>
          <w:iCs/>
          <w:color w:val="000000" w:themeColor="text1"/>
        </w:rPr>
        <w:t>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cells and suspended substrate material while avoiding excessive shear stress. Insufficient mixing promoted sedimentation and localized nutrient gradients, confounding both growth and viability measurements, particularly in non-autoclaved media</w:t>
      </w:r>
      <w:r w:rsidR="00CD461F" w:rsidRPr="005D5262">
        <w:rPr>
          <w:rFonts w:ascii="Calibri" w:eastAsia="Calibri" w:hAnsi="Calibri" w:cs="Calibri"/>
          <w:color w:val="000000" w:themeColor="text1"/>
          <w:vertAlign w:val="superscript"/>
        </w:rPr>
        <w:t>12</w:t>
      </w:r>
      <w:r w:rsidRPr="005D5262">
        <w:rPr>
          <w:rFonts w:ascii="Calibri" w:eastAsia="Calibri" w:hAnsi="Calibri" w:cs="Calibri"/>
          <w:color w:val="000000" w:themeColor="text1"/>
        </w:rPr>
        <w:t xml:space="preserve">. These observations align with previous reports showing that spatial heterogeneity and uneven substrate exposure </w:t>
      </w:r>
      <w:r w:rsidR="00CD461F" w:rsidRPr="005D5262">
        <w:rPr>
          <w:rFonts w:ascii="Calibri" w:eastAsia="Calibri" w:hAnsi="Calibri" w:cs="Calibri"/>
          <w:color w:val="000000" w:themeColor="text1"/>
        </w:rPr>
        <w:t>4</w:t>
      </w:r>
      <w:r w:rsidRPr="005D5262">
        <w:rPr>
          <w:rFonts w:ascii="Calibri" w:eastAsia="Calibri" w:hAnsi="Calibri" w:cs="Calibri"/>
          <w:color w:val="000000" w:themeColor="text1"/>
        </w:rPr>
        <w:t>can obscure physiological responses in microbial cultivation systems. The protocol therefore emphasizes routine inversion rather than contin</w:t>
      </w:r>
      <w:r w:rsidRPr="005D5262">
        <w:rPr>
          <w:rFonts w:ascii="Calibri" w:eastAsia="Calibri" w:hAnsi="Calibri" w:cs="Calibri"/>
          <w:color w:val="000000" w:themeColor="text1"/>
        </w:rPr>
        <w:t>uous agitation as a practical compromise between homogeneity and culture integrity. </w:t>
      </w:r>
    </w:p>
    <w:p w14:paraId="0000018D"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8E" w14:textId="369904B6"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To accommodate variability inherent to cassava-based substrates, the protocol incorporates multiple troubleshooting and flexibility points. Autoclaving fermented cassava media improved short-term consistency by reducing microbial load and altering substrate structure, particularly during early adaptation stages. In contrast, non-autoclaved media can be used effectively following successful adaptation, provided inoculum density and mixing were sufficient to maintain stable growth. This staged approach is con</w:t>
      </w:r>
      <w:r w:rsidRPr="005D5262">
        <w:rPr>
          <w:rFonts w:ascii="Calibri" w:eastAsia="Calibri" w:hAnsi="Calibri" w:cs="Calibri"/>
          <w:color w:val="000000" w:themeColor="text1"/>
        </w:rPr>
        <w:t>sistent with prior studies demonstrating that gradual selective pressure enables microbial populations to tolerate increasing environmental complexity over time</w:t>
      </w:r>
      <w:r w:rsidR="00CD461F" w:rsidRPr="005D5262">
        <w:rPr>
          <w:rFonts w:ascii="Calibri" w:eastAsia="Calibri" w:hAnsi="Calibri" w:cs="Calibri"/>
          <w:color w:val="000000" w:themeColor="text1"/>
          <w:vertAlign w:val="superscript"/>
        </w:rPr>
        <w:t>13</w:t>
      </w:r>
      <w:r w:rsidRPr="005D5262">
        <w:rPr>
          <w:rFonts w:ascii="Calibri" w:eastAsia="Calibri" w:hAnsi="Calibri" w:cs="Calibri"/>
          <w:color w:val="000000" w:themeColor="text1"/>
          <w:vertAlign w:val="superscript"/>
        </w:rPr>
        <w:t>,</w:t>
      </w:r>
      <w:r w:rsidR="00CD461F" w:rsidRPr="005D5262">
        <w:rPr>
          <w:rFonts w:ascii="Calibri" w:eastAsia="Calibri" w:hAnsi="Calibri" w:cs="Calibri"/>
          <w:color w:val="000000" w:themeColor="text1"/>
          <w:vertAlign w:val="superscript"/>
        </w:rPr>
        <w:t>14</w:t>
      </w:r>
      <w:r w:rsidRPr="005D5262">
        <w:rPr>
          <w:rFonts w:ascii="Calibri" w:eastAsia="Calibri" w:hAnsi="Calibri" w:cs="Calibri"/>
          <w:color w:val="000000" w:themeColor="text1"/>
        </w:rPr>
        <w:t>. Longitudinal monitoring was essential in this context, as transient reductions in growth or viability frequently recovered during subsequent passages without compromising overall adaptation success. </w:t>
      </w:r>
    </w:p>
    <w:p w14:paraId="0000018F"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90" w14:textId="2883E42E"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Viability assays and morphological monitoring served as rapid diagnostic tools throughout the adaptation process. Trypan Blue exclusion provided a quantitative indicator of physiological robustness, while microscopy-based assessment of motility and </w:t>
      </w:r>
      <w:proofErr w:type="spellStart"/>
      <w:r w:rsidRPr="005D5262">
        <w:rPr>
          <w:rFonts w:ascii="Calibri" w:eastAsia="Calibri" w:hAnsi="Calibri" w:cs="Calibri"/>
          <w:color w:val="000000" w:themeColor="text1"/>
        </w:rPr>
        <w:t>encystment</w:t>
      </w:r>
      <w:proofErr w:type="spellEnd"/>
      <w:r w:rsidRPr="005D5262">
        <w:rPr>
          <w:rFonts w:ascii="Calibri" w:eastAsia="Calibri" w:hAnsi="Calibri" w:cs="Calibri"/>
          <w:color w:val="000000" w:themeColor="text1"/>
        </w:rPr>
        <w:t> offered early warning of suboptimal conditions such as excessive substrate loading or delayed acclimation</w:t>
      </w:r>
      <w:r w:rsidRPr="005D5262">
        <w:rPr>
          <w:rFonts w:ascii="Calibri" w:eastAsia="Calibri" w:hAnsi="Calibri" w:cs="Calibri"/>
          <w:color w:val="000000" w:themeColor="text1"/>
          <w:vertAlign w:val="superscript"/>
        </w:rPr>
        <w:t>1</w:t>
      </w:r>
      <w:r w:rsidR="00CD461F" w:rsidRPr="005D5262">
        <w:rPr>
          <w:rFonts w:ascii="Calibri" w:eastAsia="Calibri" w:hAnsi="Calibri" w:cs="Calibri"/>
          <w:color w:val="000000" w:themeColor="text1"/>
          <w:vertAlign w:val="superscript"/>
        </w:rPr>
        <w:t>5</w:t>
      </w:r>
      <w:r w:rsidRPr="005D5262">
        <w:rPr>
          <w:rFonts w:ascii="Calibri" w:eastAsia="Calibri" w:hAnsi="Calibri" w:cs="Calibri"/>
          <w:color w:val="000000" w:themeColor="text1"/>
        </w:rPr>
        <w:t>. Importantly, the protocol emphasizes trends across time rather than single-point measurements, as short-term fluctuations in viability or morphology were not always predictive of long-term culture failure. This longitudinal perspective proved critical for distinguishing transient stress responses from sustained physiological decline. </w:t>
      </w:r>
      <w:sdt>
        <w:sdtPr>
          <w:rPr>
            <w:rFonts w:ascii="Calibri" w:hAnsi="Calibri" w:cs="Calibri"/>
            <w:color w:val="000000" w:themeColor="text1"/>
          </w:rPr>
          <w:tag w:val="goog_rdk_12"/>
          <w:id w:val="149958749"/>
        </w:sdtPr>
        <w:sdtEndPr/>
        <w:sdtContent/>
      </w:sdt>
      <w:r w:rsidRPr="005D5262">
        <w:rPr>
          <w:rFonts w:ascii="Calibri" w:eastAsia="Calibri" w:hAnsi="Calibri" w:cs="Calibri"/>
          <w:color w:val="000000" w:themeColor="text1"/>
        </w:rPr>
        <w:t xml:space="preserve">Reductions in detectable cyanide levels observed during cultivation suggest partial detoxification of cassava-derived substrates under the conditions described. These reductions may result from a combination of fermentation-associated degradation, volatilization, and microbial activity. While the specific biochemical mechanisms and kinetics of cyanide removal were not directly investigated in this study, these </w:t>
      </w:r>
      <w:r w:rsidRPr="005D5262">
        <w:rPr>
          <w:rFonts w:ascii="Calibri" w:eastAsia="Calibri" w:hAnsi="Calibri" w:cs="Calibri"/>
          <w:color w:val="000000" w:themeColor="text1"/>
        </w:rPr>
        <w:lastRenderedPageBreak/>
        <w:t>observations support the inclusion of cyanide monitoring as a practical indicator of substrate tra</w:t>
      </w:r>
      <w:r w:rsidRPr="005D5262">
        <w:rPr>
          <w:rFonts w:ascii="Calibri" w:eastAsia="Calibri" w:hAnsi="Calibri" w:cs="Calibri"/>
          <w:color w:val="000000" w:themeColor="text1"/>
        </w:rPr>
        <w:t>nsformation and culture feasibility during adaptation.</w:t>
      </w:r>
    </w:p>
    <w:p w14:paraId="00000191"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92" w14:textId="7AE7396F"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Several limitations of the method should be acknowledged. First, crude protein percentage alone does not fully capture nutritional value or functional protein quality, and interpretation must consider total biomass output alongside compositional metrics</w:t>
      </w:r>
      <w:r w:rsidR="00CD461F" w:rsidRPr="005D5262">
        <w:rPr>
          <w:rFonts w:ascii="Calibri" w:eastAsia="Calibri" w:hAnsi="Calibri" w:cs="Calibri"/>
          <w:color w:val="000000" w:themeColor="text1"/>
          <w:vertAlign w:val="superscript"/>
        </w:rPr>
        <w:t>16</w:t>
      </w:r>
      <w:r w:rsidRPr="005D5262">
        <w:rPr>
          <w:rFonts w:ascii="Calibri" w:eastAsia="Calibri" w:hAnsi="Calibri" w:cs="Calibri"/>
          <w:color w:val="000000" w:themeColor="text1"/>
        </w:rPr>
        <w:t>. Second, the use of minimally processed, heterogeneous substrates introduce variability that cannot be eliminated, even with standardized preparation. This challenge is well recognized in agro-industrial bioprocessing</w:t>
      </w:r>
      <w:r w:rsidRPr="005D5262">
        <w:rPr>
          <w:rFonts w:ascii="Calibri" w:eastAsia="Calibri" w:hAnsi="Calibri" w:cs="Calibri"/>
          <w:color w:val="000000" w:themeColor="text1"/>
          <w:vertAlign w:val="superscript"/>
        </w:rPr>
        <w:t>1</w:t>
      </w:r>
      <w:r w:rsidR="00CD461F" w:rsidRPr="005D5262">
        <w:rPr>
          <w:rFonts w:ascii="Calibri" w:eastAsia="Calibri" w:hAnsi="Calibri" w:cs="Calibri"/>
          <w:color w:val="000000" w:themeColor="text1"/>
          <w:vertAlign w:val="superscript"/>
        </w:rPr>
        <w:t>7</w:t>
      </w:r>
      <w:r w:rsidRPr="005D5262">
        <w:rPr>
          <w:rFonts w:ascii="Calibri" w:eastAsia="Calibri" w:hAnsi="Calibri" w:cs="Calibri"/>
          <w:color w:val="000000" w:themeColor="text1"/>
        </w:rPr>
        <w:t xml:space="preserve"> and reflects real-world constraints rather than experimental shortcomings. Third, while the protocol is optimized for laboratory- and pilot-scale cultivation, </w:t>
      </w:r>
      <w:sdt>
        <w:sdtPr>
          <w:rPr>
            <w:rFonts w:ascii="Calibri" w:hAnsi="Calibri" w:cs="Calibri"/>
            <w:color w:val="000000" w:themeColor="text1"/>
          </w:rPr>
          <w:tag w:val="goog_rdk_13"/>
          <w:id w:val="-160021263"/>
        </w:sdtPr>
        <w:sdtEndPr/>
        <w:sdtContent/>
      </w:sdt>
      <w:r w:rsidRPr="005D5262">
        <w:rPr>
          <w:rFonts w:ascii="Calibri" w:eastAsia="Calibri" w:hAnsi="Calibri" w:cs="Calibri"/>
          <w:color w:val="000000" w:themeColor="text1"/>
        </w:rPr>
        <w:t>scale-up beyond bench-scale volumes will require additional control of mixing dynamics, oxygen transfer, and solids handling, as well as consideration of reactor configuration and hydrodynamic conditions, as has been shown for other microalgal and protist systems</w:t>
      </w:r>
      <w:r w:rsidRPr="005D5262">
        <w:rPr>
          <w:rFonts w:ascii="Calibri" w:eastAsia="Calibri" w:hAnsi="Calibri" w:cs="Calibri"/>
          <w:color w:val="000000" w:themeColor="text1"/>
          <w:vertAlign w:val="superscript"/>
        </w:rPr>
        <w:t>1</w:t>
      </w:r>
      <w:r w:rsidR="00CD461F" w:rsidRPr="005D5262">
        <w:rPr>
          <w:rFonts w:ascii="Calibri" w:eastAsia="Calibri" w:hAnsi="Calibri" w:cs="Calibri"/>
          <w:color w:val="000000" w:themeColor="text1"/>
          <w:vertAlign w:val="superscript"/>
        </w:rPr>
        <w:t>8</w:t>
      </w:r>
      <w:r w:rsidRPr="005D5262">
        <w:rPr>
          <w:rFonts w:ascii="Calibri" w:eastAsia="Calibri" w:hAnsi="Calibri" w:cs="Calibri"/>
          <w:color w:val="000000" w:themeColor="text1"/>
        </w:rPr>
        <w:t>.</w:t>
      </w:r>
    </w:p>
    <w:p w14:paraId="00000193"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94" w14:textId="092ACAD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In comparison to existing </w:t>
      </w:r>
      <w:r w:rsidRPr="005D5262">
        <w:rPr>
          <w:rFonts w:ascii="Calibri" w:eastAsia="Calibri" w:hAnsi="Calibri" w:cs="Calibri"/>
          <w:i/>
          <w:iCs/>
          <w:color w:val="000000" w:themeColor="text1"/>
        </w:rPr>
        <w:t>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cultivation methods that rely on refined sugars or tightly controlled phototrophic systems, this protocol offers a distinct methodological advantage by enabling growth on low-cost cassava-derived substrates under fully heterotrophic conditions. The approach avoids dependence on purified carbon sources</w:t>
      </w:r>
      <w:r w:rsidRPr="005D5262">
        <w:rPr>
          <w:rFonts w:ascii="Calibri" w:eastAsia="Calibri" w:hAnsi="Calibri" w:cs="Calibri"/>
          <w:color w:val="000000" w:themeColor="text1"/>
          <w:vertAlign w:val="superscript"/>
        </w:rPr>
        <w:t>1</w:t>
      </w:r>
      <w:r w:rsidR="00CD461F" w:rsidRPr="005D5262">
        <w:rPr>
          <w:rFonts w:ascii="Calibri" w:eastAsia="Calibri" w:hAnsi="Calibri" w:cs="Calibri"/>
          <w:color w:val="000000" w:themeColor="text1"/>
          <w:vertAlign w:val="superscript"/>
        </w:rPr>
        <w:t>9</w:t>
      </w:r>
      <w:r w:rsidRPr="005D5262">
        <w:rPr>
          <w:rFonts w:ascii="Calibri" w:eastAsia="Calibri" w:hAnsi="Calibri" w:cs="Calibri"/>
          <w:color w:val="000000" w:themeColor="text1"/>
          <w:vertAlign w:val="superscript"/>
        </w:rPr>
        <w:t>,</w:t>
      </w:r>
      <w:r w:rsidR="00CD461F" w:rsidRPr="005D5262">
        <w:rPr>
          <w:rFonts w:ascii="Calibri" w:eastAsia="Calibri" w:hAnsi="Calibri" w:cs="Calibri"/>
          <w:color w:val="000000" w:themeColor="text1"/>
          <w:vertAlign w:val="superscript"/>
        </w:rPr>
        <w:t>20</w:t>
      </w:r>
      <w:r w:rsidRPr="005D5262">
        <w:rPr>
          <w:rFonts w:ascii="Calibri" w:eastAsia="Calibri" w:hAnsi="Calibri" w:cs="Calibri"/>
          <w:color w:val="000000" w:themeColor="text1"/>
        </w:rPr>
        <w:t> and does not require specialized lighting infrastructure, expanding the operational flexibility of </w:t>
      </w:r>
      <w:r w:rsidRPr="005D5262">
        <w:rPr>
          <w:rFonts w:ascii="Calibri" w:eastAsia="Calibri" w:hAnsi="Calibri" w:cs="Calibri"/>
          <w:i/>
          <w:iCs/>
          <w:color w:val="000000" w:themeColor="text1"/>
        </w:rPr>
        <w:t>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xml:space="preserve"> cultivation. This is particularly relevant for applications focused on resource efficiency, </w:t>
      </w:r>
      <w:r w:rsidRPr="005D5262">
        <w:rPr>
          <w:rFonts w:ascii="Calibri" w:eastAsia="Calibri" w:hAnsi="Calibri" w:cs="Calibri"/>
          <w:color w:val="000000" w:themeColor="text1"/>
        </w:rPr>
        <w:t>waste valorization, and decentralized production in cassava-producing regions. </w:t>
      </w:r>
    </w:p>
    <w:p w14:paraId="00000195"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96" w14:textId="6AE731C2"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The broader significance of this method lies in its applicability to research areas focused on microbial adaptation, sustainable bioprocessing, and biomass valorization. By coupling incremental substrate exposure with simple, low-cost monitoring tools, the protocol provides a reproducible framework for integrating non-traditional substrates into microbial cultivation workflows. Although developed for </w:t>
      </w:r>
      <w:r w:rsidRPr="005D5262">
        <w:rPr>
          <w:rFonts w:ascii="Calibri" w:eastAsia="Calibri" w:hAnsi="Calibri" w:cs="Calibri"/>
          <w:i/>
          <w:iCs/>
          <w:color w:val="000000" w:themeColor="text1"/>
        </w:rPr>
        <w:t>E.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the underlying principles of staged adaptation, longitudinal performance assessment, and morphology-informed decision-making are broadly transferable to other microalgal and protist systems being explored for circular bioeconomy applications</w:t>
      </w:r>
      <w:r w:rsidR="00CD461F" w:rsidRPr="005D5262">
        <w:rPr>
          <w:rFonts w:ascii="Calibri" w:eastAsia="Calibri" w:hAnsi="Calibri" w:cs="Calibri"/>
          <w:color w:val="000000" w:themeColor="text1"/>
          <w:vertAlign w:val="superscript"/>
        </w:rPr>
        <w:t>21</w:t>
      </w:r>
      <w:r w:rsidRPr="005D5262">
        <w:rPr>
          <w:rFonts w:ascii="Calibri" w:eastAsia="Calibri" w:hAnsi="Calibri" w:cs="Calibri"/>
          <w:color w:val="000000" w:themeColor="text1"/>
          <w:vertAlign w:val="superscript"/>
        </w:rPr>
        <w:t>,2</w:t>
      </w:r>
      <w:r w:rsidR="00CD461F" w:rsidRPr="005D5262">
        <w:rPr>
          <w:rFonts w:ascii="Calibri" w:eastAsia="Calibri" w:hAnsi="Calibri" w:cs="Calibri"/>
          <w:color w:val="000000" w:themeColor="text1"/>
          <w:vertAlign w:val="superscript"/>
        </w:rPr>
        <w:t>2</w:t>
      </w:r>
      <w:r w:rsidRPr="005D5262">
        <w:rPr>
          <w:rFonts w:ascii="Calibri" w:eastAsia="Calibri" w:hAnsi="Calibri" w:cs="Calibri"/>
          <w:color w:val="000000" w:themeColor="text1"/>
        </w:rPr>
        <w:t>. As such, this protocol serves not only as a cultivation method but also as a generalizable framework for applied microbial adaptation under real-world substrate constraints. This method was designed with accessibility as a primary goal and is therefor</w:t>
      </w:r>
      <w:r w:rsidRPr="005D5262">
        <w:rPr>
          <w:rFonts w:ascii="Calibri" w:eastAsia="Calibri" w:hAnsi="Calibri" w:cs="Calibri"/>
          <w:color w:val="000000" w:themeColor="text1"/>
        </w:rPr>
        <w:t xml:space="preserve">e most suitable for laboratories or applied research settings with basic microbiological infrastructure and access to key biological resources, specifically </w:t>
      </w:r>
      <w:r w:rsidRPr="005D5262">
        <w:rPr>
          <w:rFonts w:ascii="Calibri" w:eastAsia="Calibri" w:hAnsi="Calibri" w:cs="Calibri"/>
          <w:i/>
          <w:iCs/>
          <w:color w:val="000000" w:themeColor="text1"/>
        </w:rPr>
        <w:t xml:space="preserve">Euglena </w:t>
      </w:r>
      <w:proofErr w:type="spellStart"/>
      <w:r w:rsidRPr="005D5262">
        <w:rPr>
          <w:rFonts w:ascii="Calibri" w:eastAsia="Calibri" w:hAnsi="Calibri" w:cs="Calibri"/>
          <w:i/>
          <w:iCs/>
          <w:color w:val="000000" w:themeColor="text1"/>
        </w:rPr>
        <w:t>gracilis</w:t>
      </w:r>
      <w:proofErr w:type="spellEnd"/>
      <w:r w:rsidRPr="005D5262">
        <w:rPr>
          <w:rFonts w:ascii="Calibri" w:eastAsia="Calibri" w:hAnsi="Calibri" w:cs="Calibri"/>
          <w:color w:val="000000" w:themeColor="text1"/>
        </w:rPr>
        <w:t xml:space="preserve"> cultures and cassava-derived substrates. Additionally, the system offers temporal flexibility, as cassava-based media can be prepared and fermented year-round without seasonal constraints. While this protocol was developed and validated at the laboratory scale, its use of low-cost cassava-derived substrates and minimal processing requir</w:t>
      </w:r>
      <w:r w:rsidRPr="005D5262">
        <w:rPr>
          <w:rFonts w:ascii="Calibri" w:eastAsia="Calibri" w:hAnsi="Calibri" w:cs="Calibri"/>
          <w:color w:val="000000" w:themeColor="text1"/>
        </w:rPr>
        <w:t>ements supports potential scalability to larger cultivation systems.</w:t>
      </w:r>
    </w:p>
    <w:p w14:paraId="00000197" w14:textId="77777777" w:rsidR="00EA5BF7" w:rsidRPr="005D5262" w:rsidRDefault="00EA5BF7" w:rsidP="005D5262">
      <w:pPr>
        <w:spacing w:after="0" w:line="240" w:lineRule="auto"/>
        <w:jc w:val="both"/>
        <w:rPr>
          <w:rFonts w:ascii="Calibri" w:eastAsia="Calibri" w:hAnsi="Calibri" w:cs="Calibri"/>
          <w:color w:val="000000" w:themeColor="text1"/>
        </w:rPr>
      </w:pPr>
    </w:p>
    <w:p w14:paraId="00000198"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While this protocol establishes a reproducible framework for adaptation and cultivation, further quantitative analyses of growth kinetics, biomass productivity, and substrate conversion efficiency will be important for optimizing performance in scaled or industrial applications.</w:t>
      </w:r>
    </w:p>
    <w:p w14:paraId="00000199"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9A"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ACKNOWLEDGEMENTS: </w:t>
      </w:r>
      <w:r w:rsidRPr="005D5262">
        <w:rPr>
          <w:rFonts w:ascii="Calibri" w:eastAsia="Calibri" w:hAnsi="Calibri" w:cs="Calibri"/>
          <w:color w:val="000000" w:themeColor="text1"/>
        </w:rPr>
        <w:t> </w:t>
      </w:r>
    </w:p>
    <w:p w14:paraId="0000019B"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lastRenderedPageBreak/>
        <w:t>The authors thank </w:t>
      </w:r>
      <w:proofErr w:type="spellStart"/>
      <w:r w:rsidRPr="005D5262">
        <w:rPr>
          <w:rFonts w:ascii="Calibri" w:eastAsia="Calibri" w:hAnsi="Calibri" w:cs="Calibri"/>
          <w:color w:val="000000" w:themeColor="text1"/>
        </w:rPr>
        <w:t>Psaltry</w:t>
      </w:r>
      <w:proofErr w:type="spellEnd"/>
      <w:r w:rsidRPr="005D5262">
        <w:rPr>
          <w:rFonts w:ascii="Calibri" w:eastAsia="Calibri" w:hAnsi="Calibri" w:cs="Calibri"/>
          <w:color w:val="000000" w:themeColor="text1"/>
        </w:rPr>
        <w:t> International Company Ltd. for supplying cassava-derived materials and for contributing to the definition of applied research objectives relevant to industrial cassava processing. </w:t>
      </w:r>
    </w:p>
    <w:p w14:paraId="0000019C"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9D"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The authors acknowledge Resourced Global Inc. (Lead of the Rockefeller Foundation supported NFAL Program). </w:t>
      </w:r>
    </w:p>
    <w:p w14:paraId="0000019E"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9F"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The authors acknowledge Société Générale de Surveillance (SGS) for conducting external crude protein analyses using the Combustion (Dumas) method. Additional laboratory support and methodological feedback were provided by members of the Trent University research community. </w:t>
      </w:r>
    </w:p>
    <w:p w14:paraId="000001A0"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A1"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This work was supported in part by partner-supported applied research initiatives. </w:t>
      </w:r>
    </w:p>
    <w:p w14:paraId="000001A2"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000001A3"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DISCLOSURES:</w:t>
      </w:r>
      <w:r w:rsidRPr="005D5262">
        <w:rPr>
          <w:rFonts w:ascii="Calibri" w:eastAsia="Calibri" w:hAnsi="Calibri" w:cs="Calibri"/>
          <w:color w:val="000000" w:themeColor="text1"/>
        </w:rPr>
        <w:t> </w:t>
      </w:r>
    </w:p>
    <w:p w14:paraId="000001A4"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The authors declare no competing financial interests or conflicts of interest. </w:t>
      </w:r>
    </w:p>
    <w:p w14:paraId="000001A5" w14:textId="77777777" w:rsidR="00EA5BF7" w:rsidRPr="005D5262" w:rsidRDefault="00640CC3"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 </w:t>
      </w:r>
    </w:p>
    <w:p w14:paraId="53B43BA9" w14:textId="77777777" w:rsidR="009E3FF2" w:rsidRPr="005D5262" w:rsidRDefault="009E3FF2" w:rsidP="005D5262">
      <w:pPr>
        <w:spacing w:after="0" w:line="240" w:lineRule="auto"/>
        <w:jc w:val="both"/>
        <w:rPr>
          <w:rFonts w:ascii="Calibri" w:eastAsia="Calibri" w:hAnsi="Calibri" w:cs="Calibri"/>
          <w:color w:val="000000" w:themeColor="text1"/>
        </w:rPr>
      </w:pPr>
      <w:r w:rsidRPr="005D5262">
        <w:rPr>
          <w:rFonts w:ascii="Calibri" w:eastAsia="Calibri" w:hAnsi="Calibri" w:cs="Calibri"/>
          <w:b/>
          <w:bCs/>
          <w:color w:val="000000" w:themeColor="text1"/>
        </w:rPr>
        <w:t>REFERENCES:</w:t>
      </w:r>
      <w:r w:rsidRPr="005D5262">
        <w:rPr>
          <w:rFonts w:ascii="Calibri" w:eastAsia="Calibri" w:hAnsi="Calibri" w:cs="Calibri"/>
          <w:color w:val="000000" w:themeColor="text1"/>
        </w:rPr>
        <w:t> </w:t>
      </w:r>
    </w:p>
    <w:p w14:paraId="4461AB85" w14:textId="77777777" w:rsidR="009E3FF2" w:rsidRPr="005D5262" w:rsidRDefault="009E3FF2"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1.</w:t>
      </w:r>
      <w:r w:rsidRPr="005D5262">
        <w:rPr>
          <w:rFonts w:ascii="Calibri" w:eastAsia="Calibri" w:hAnsi="Calibri" w:cs="Calibri"/>
          <w:color w:val="000000" w:themeColor="text1"/>
        </w:rPr>
        <w:tab/>
        <w:t>Jackson BA, Oladipo NO, Agaja MO. Cassava: A potential crop for industrial raw material in Nigeria. Int J Life Sci. 2014;3(3):105–112.</w:t>
      </w:r>
    </w:p>
    <w:p w14:paraId="71FDE115" w14:textId="77777777" w:rsidR="009E3FF2" w:rsidRPr="005D5262" w:rsidRDefault="009E3FF2"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2.</w:t>
      </w:r>
      <w:r w:rsidRPr="005D5262">
        <w:rPr>
          <w:rFonts w:ascii="Calibri" w:eastAsia="Calibri" w:hAnsi="Calibri" w:cs="Calibri"/>
          <w:color w:val="000000" w:themeColor="text1"/>
        </w:rPr>
        <w:tab/>
        <w:t xml:space="preserve">Adewumi AA, Adebayo GB, Adeboye AS. Cassava processing, utilization, and challenges: A review. Int J Agric Sci Res. 2019;9(2):123–136. </w:t>
      </w:r>
    </w:p>
    <w:p w14:paraId="33B0E5AE" w14:textId="77777777" w:rsidR="009E3FF2" w:rsidRPr="005D5262" w:rsidRDefault="009E3FF2"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3.</w:t>
      </w:r>
      <w:r w:rsidRPr="005D5262">
        <w:rPr>
          <w:rFonts w:ascii="Calibri" w:eastAsia="Calibri" w:hAnsi="Calibri" w:cs="Calibri"/>
          <w:color w:val="000000" w:themeColor="text1"/>
        </w:rPr>
        <w:tab/>
        <w:t xml:space="preserve">Falade KO, </w:t>
      </w:r>
      <w:proofErr w:type="spellStart"/>
      <w:r w:rsidRPr="005D5262">
        <w:rPr>
          <w:rFonts w:ascii="Calibri" w:eastAsia="Calibri" w:hAnsi="Calibri" w:cs="Calibri"/>
          <w:color w:val="000000" w:themeColor="text1"/>
        </w:rPr>
        <w:t>Akingbala</w:t>
      </w:r>
      <w:proofErr w:type="spellEnd"/>
      <w:r w:rsidRPr="005D5262">
        <w:rPr>
          <w:rFonts w:ascii="Calibri" w:eastAsia="Calibri" w:hAnsi="Calibri" w:cs="Calibri"/>
          <w:color w:val="000000" w:themeColor="text1"/>
        </w:rPr>
        <w:t xml:space="preserve"> JO. Utilization of cassava for food. Food Rev Int. 2010;27(1):51–83. </w:t>
      </w:r>
    </w:p>
    <w:p w14:paraId="24681237" w14:textId="77777777" w:rsidR="009E3FF2" w:rsidRPr="005D5262" w:rsidRDefault="009E3FF2"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4.</w:t>
      </w:r>
      <w:r w:rsidRPr="005D5262">
        <w:rPr>
          <w:rFonts w:ascii="Calibri" w:eastAsia="Calibri" w:hAnsi="Calibri" w:cs="Calibri"/>
          <w:color w:val="000000" w:themeColor="text1"/>
        </w:rPr>
        <w:tab/>
        <w:t xml:space="preserve">Ndubuisi ND, Chidiebere ACU. Cyanide in cassava: A review. Int J Genomics Data Min. 2018. </w:t>
      </w:r>
    </w:p>
    <w:p w14:paraId="478F7ED4" w14:textId="77777777" w:rsidR="009E3FF2" w:rsidRPr="005D5262" w:rsidRDefault="009E3FF2"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5.</w:t>
      </w:r>
      <w:r w:rsidRPr="005D5262">
        <w:rPr>
          <w:rFonts w:ascii="Calibri" w:eastAsia="Calibri" w:hAnsi="Calibri" w:cs="Calibri"/>
          <w:color w:val="000000" w:themeColor="text1"/>
        </w:rPr>
        <w:tab/>
      </w:r>
      <w:proofErr w:type="spellStart"/>
      <w:r w:rsidRPr="005D5262">
        <w:rPr>
          <w:rFonts w:ascii="Calibri" w:eastAsia="Calibri" w:hAnsi="Calibri" w:cs="Calibri"/>
          <w:color w:val="000000" w:themeColor="text1"/>
        </w:rPr>
        <w:t>Nezbrytska</w:t>
      </w:r>
      <w:proofErr w:type="spellEnd"/>
      <w:r w:rsidRPr="005D5262">
        <w:rPr>
          <w:rFonts w:ascii="Calibri" w:eastAsia="Calibri" w:hAnsi="Calibri" w:cs="Calibri"/>
          <w:color w:val="000000" w:themeColor="text1"/>
        </w:rPr>
        <w:t xml:space="preserve"> I, </w:t>
      </w:r>
      <w:proofErr w:type="spellStart"/>
      <w:r w:rsidRPr="005D5262">
        <w:rPr>
          <w:rFonts w:ascii="Calibri" w:eastAsia="Calibri" w:hAnsi="Calibri" w:cs="Calibri"/>
          <w:color w:val="000000" w:themeColor="text1"/>
        </w:rPr>
        <w:t>Shamanskyi</w:t>
      </w:r>
      <w:proofErr w:type="spellEnd"/>
      <w:r w:rsidRPr="005D5262">
        <w:rPr>
          <w:rFonts w:ascii="Calibri" w:eastAsia="Calibri" w:hAnsi="Calibri" w:cs="Calibri"/>
          <w:color w:val="000000" w:themeColor="text1"/>
        </w:rPr>
        <w:t xml:space="preserve"> S, </w:t>
      </w:r>
      <w:proofErr w:type="spellStart"/>
      <w:r w:rsidRPr="005D5262">
        <w:rPr>
          <w:rFonts w:ascii="Calibri" w:eastAsia="Calibri" w:hAnsi="Calibri" w:cs="Calibri"/>
          <w:color w:val="000000" w:themeColor="text1"/>
        </w:rPr>
        <w:t>Pavliukh</w:t>
      </w:r>
      <w:proofErr w:type="spellEnd"/>
      <w:r w:rsidRPr="005D5262">
        <w:rPr>
          <w:rFonts w:ascii="Calibri" w:eastAsia="Calibri" w:hAnsi="Calibri" w:cs="Calibri"/>
          <w:color w:val="000000" w:themeColor="text1"/>
        </w:rPr>
        <w:t xml:space="preserve"> L, Gorbunova Z. Application of Euglena </w:t>
      </w:r>
      <w:proofErr w:type="spellStart"/>
      <w:r w:rsidRPr="005D5262">
        <w:rPr>
          <w:rFonts w:ascii="Calibri" w:eastAsia="Calibri" w:hAnsi="Calibri" w:cs="Calibri"/>
          <w:color w:val="000000" w:themeColor="text1"/>
        </w:rPr>
        <w:t>gracilis</w:t>
      </w:r>
      <w:proofErr w:type="spellEnd"/>
      <w:r w:rsidRPr="005D5262">
        <w:rPr>
          <w:rFonts w:ascii="Calibri" w:eastAsia="Calibri" w:hAnsi="Calibri" w:cs="Calibri"/>
          <w:color w:val="000000" w:themeColor="text1"/>
        </w:rPr>
        <w:t xml:space="preserve"> in wastewater treatment processes. </w:t>
      </w:r>
      <w:proofErr w:type="spellStart"/>
      <w:r w:rsidRPr="005D5262">
        <w:rPr>
          <w:rFonts w:ascii="Calibri" w:eastAsia="Calibri" w:hAnsi="Calibri" w:cs="Calibri"/>
          <w:color w:val="000000" w:themeColor="text1"/>
        </w:rPr>
        <w:t>Biotechnologia</w:t>
      </w:r>
      <w:proofErr w:type="spellEnd"/>
      <w:r w:rsidRPr="005D5262">
        <w:rPr>
          <w:rFonts w:ascii="Calibri" w:eastAsia="Calibri" w:hAnsi="Calibri" w:cs="Calibri"/>
          <w:color w:val="000000" w:themeColor="text1"/>
        </w:rPr>
        <w:t>. 2022;103(4):323–330.</w:t>
      </w:r>
    </w:p>
    <w:p w14:paraId="6701635B" w14:textId="77777777" w:rsidR="009E3FF2" w:rsidRPr="005D5262" w:rsidRDefault="009E3FF2"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6.</w:t>
      </w:r>
      <w:r w:rsidRPr="005D5262">
        <w:rPr>
          <w:rFonts w:ascii="Calibri" w:eastAsia="Calibri" w:hAnsi="Calibri" w:cs="Calibri"/>
          <w:color w:val="000000" w:themeColor="text1"/>
        </w:rPr>
        <w:tab/>
        <w:t xml:space="preserve">Bedard S, Roxborough E, O’Neill E, Mangal V. The biomolecules of Euglena </w:t>
      </w:r>
      <w:proofErr w:type="spellStart"/>
      <w:r w:rsidRPr="005D5262">
        <w:rPr>
          <w:rFonts w:ascii="Calibri" w:eastAsia="Calibri" w:hAnsi="Calibri" w:cs="Calibri"/>
          <w:color w:val="000000" w:themeColor="text1"/>
        </w:rPr>
        <w:t>gracilis</w:t>
      </w:r>
      <w:proofErr w:type="spellEnd"/>
      <w:r w:rsidRPr="005D5262">
        <w:rPr>
          <w:rFonts w:ascii="Calibri" w:eastAsia="Calibri" w:hAnsi="Calibri" w:cs="Calibri"/>
          <w:color w:val="000000" w:themeColor="text1"/>
        </w:rPr>
        <w:t xml:space="preserve">: Harnessing biology for natural solutions to future problems. Protist. 2024;175(4):1434–4610. </w:t>
      </w:r>
    </w:p>
    <w:p w14:paraId="3B4D79D1" w14:textId="77777777" w:rsidR="009E3FF2" w:rsidRPr="005D5262" w:rsidRDefault="009E3FF2"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8.</w:t>
      </w:r>
      <w:r w:rsidRPr="005D5262">
        <w:rPr>
          <w:rFonts w:ascii="Calibri" w:eastAsia="Calibri" w:hAnsi="Calibri" w:cs="Calibri"/>
          <w:color w:val="000000" w:themeColor="text1"/>
        </w:rPr>
        <w:tab/>
      </w:r>
      <w:proofErr w:type="spellStart"/>
      <w:r w:rsidRPr="005D5262">
        <w:rPr>
          <w:rFonts w:ascii="Calibri" w:eastAsia="Calibri" w:hAnsi="Calibri" w:cs="Calibri"/>
          <w:color w:val="000000" w:themeColor="text1"/>
        </w:rPr>
        <w:t>Hindák</w:t>
      </w:r>
      <w:proofErr w:type="spellEnd"/>
      <w:r w:rsidRPr="005D5262">
        <w:rPr>
          <w:rFonts w:ascii="Calibri" w:eastAsia="Calibri" w:hAnsi="Calibri" w:cs="Calibri"/>
          <w:color w:val="000000" w:themeColor="text1"/>
        </w:rPr>
        <w:t xml:space="preserve"> F, Wolowski K, </w:t>
      </w:r>
      <w:proofErr w:type="spellStart"/>
      <w:r w:rsidRPr="005D5262">
        <w:rPr>
          <w:rFonts w:ascii="Calibri" w:eastAsia="Calibri" w:hAnsi="Calibri" w:cs="Calibri"/>
          <w:color w:val="000000" w:themeColor="text1"/>
        </w:rPr>
        <w:t>Hindáková</w:t>
      </w:r>
      <w:proofErr w:type="spellEnd"/>
      <w:r w:rsidRPr="005D5262">
        <w:rPr>
          <w:rFonts w:ascii="Calibri" w:eastAsia="Calibri" w:hAnsi="Calibri" w:cs="Calibri"/>
          <w:color w:val="000000" w:themeColor="text1"/>
        </w:rPr>
        <w:t xml:space="preserve"> A. Cysts and their formation in some </w:t>
      </w:r>
      <w:proofErr w:type="spellStart"/>
      <w:r w:rsidRPr="005D5262">
        <w:rPr>
          <w:rFonts w:ascii="Calibri" w:eastAsia="Calibri" w:hAnsi="Calibri" w:cs="Calibri"/>
          <w:color w:val="000000" w:themeColor="text1"/>
        </w:rPr>
        <w:t>neustonic</w:t>
      </w:r>
      <w:proofErr w:type="spellEnd"/>
      <w:r w:rsidRPr="005D5262">
        <w:rPr>
          <w:rFonts w:ascii="Calibri" w:eastAsia="Calibri" w:hAnsi="Calibri" w:cs="Calibri"/>
          <w:color w:val="000000" w:themeColor="text1"/>
        </w:rPr>
        <w:t xml:space="preserve"> Euglena species. Ann Limnol Int J </w:t>
      </w:r>
      <w:proofErr w:type="spellStart"/>
      <w:r w:rsidRPr="005D5262">
        <w:rPr>
          <w:rFonts w:ascii="Calibri" w:eastAsia="Calibri" w:hAnsi="Calibri" w:cs="Calibri"/>
          <w:color w:val="000000" w:themeColor="text1"/>
        </w:rPr>
        <w:t>Limnol</w:t>
      </w:r>
      <w:proofErr w:type="spellEnd"/>
      <w:r w:rsidRPr="005D5262">
        <w:rPr>
          <w:rFonts w:ascii="Calibri" w:eastAsia="Calibri" w:hAnsi="Calibri" w:cs="Calibri"/>
          <w:color w:val="000000" w:themeColor="text1"/>
        </w:rPr>
        <w:t xml:space="preserve">. 2000;36(2):83–93. </w:t>
      </w:r>
    </w:p>
    <w:p w14:paraId="26472603" w14:textId="77777777" w:rsidR="009E3FF2" w:rsidRPr="005D5262" w:rsidRDefault="009E3FF2"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9.</w:t>
      </w:r>
      <w:r w:rsidRPr="005D5262">
        <w:rPr>
          <w:rFonts w:ascii="Calibri" w:eastAsia="Calibri" w:hAnsi="Calibri" w:cs="Calibri"/>
          <w:color w:val="000000" w:themeColor="text1"/>
        </w:rPr>
        <w:tab/>
        <w:t xml:space="preserve">Jeon MS, Han SI, Kim JY, et al. Co-cultivation of Euglena </w:t>
      </w:r>
      <w:proofErr w:type="spellStart"/>
      <w:r w:rsidRPr="005D5262">
        <w:rPr>
          <w:rFonts w:ascii="Calibri" w:eastAsia="Calibri" w:hAnsi="Calibri" w:cs="Calibri"/>
          <w:color w:val="000000" w:themeColor="text1"/>
        </w:rPr>
        <w:t>gracilis</w:t>
      </w:r>
      <w:proofErr w:type="spellEnd"/>
      <w:r w:rsidRPr="005D5262">
        <w:rPr>
          <w:rFonts w:ascii="Calibri" w:eastAsia="Calibri" w:hAnsi="Calibri" w:cs="Calibri"/>
          <w:color w:val="000000" w:themeColor="text1"/>
        </w:rPr>
        <w:t xml:space="preserve"> and </w:t>
      </w:r>
      <w:proofErr w:type="spellStart"/>
      <w:r w:rsidRPr="005D5262">
        <w:rPr>
          <w:rFonts w:ascii="Calibri" w:eastAsia="Calibri" w:hAnsi="Calibri" w:cs="Calibri"/>
          <w:color w:val="000000" w:themeColor="text1"/>
        </w:rPr>
        <w:t>Pseudoalteromonas</w:t>
      </w:r>
      <w:proofErr w:type="spellEnd"/>
      <w:r w:rsidRPr="005D5262">
        <w:rPr>
          <w:rFonts w:ascii="Calibri" w:eastAsia="Calibri" w:hAnsi="Calibri" w:cs="Calibri"/>
          <w:color w:val="000000" w:themeColor="text1"/>
        </w:rPr>
        <w:t xml:space="preserve"> sp. </w:t>
      </w:r>
      <w:proofErr w:type="spellStart"/>
      <w:r w:rsidRPr="005D5262">
        <w:rPr>
          <w:rFonts w:ascii="Calibri" w:eastAsia="Calibri" w:hAnsi="Calibri" w:cs="Calibri"/>
          <w:color w:val="000000" w:themeColor="text1"/>
        </w:rPr>
        <w:t>MEBiC</w:t>
      </w:r>
      <w:proofErr w:type="spellEnd"/>
      <w:r w:rsidRPr="005D5262">
        <w:rPr>
          <w:rFonts w:ascii="Calibri" w:eastAsia="Calibri" w:hAnsi="Calibri" w:cs="Calibri"/>
          <w:color w:val="000000" w:themeColor="text1"/>
        </w:rPr>
        <w:t xml:space="preserve"> 03607 for paramylon production. J Appl </w:t>
      </w:r>
      <w:proofErr w:type="spellStart"/>
      <w:r w:rsidRPr="005D5262">
        <w:rPr>
          <w:rFonts w:ascii="Calibri" w:eastAsia="Calibri" w:hAnsi="Calibri" w:cs="Calibri"/>
          <w:color w:val="000000" w:themeColor="text1"/>
        </w:rPr>
        <w:t>Phycol</w:t>
      </w:r>
      <w:proofErr w:type="spellEnd"/>
      <w:r w:rsidRPr="005D5262">
        <w:rPr>
          <w:rFonts w:ascii="Calibri" w:eastAsia="Calibri" w:hAnsi="Calibri" w:cs="Calibri"/>
          <w:color w:val="000000" w:themeColor="text1"/>
        </w:rPr>
        <w:t xml:space="preserve">. 2020;32:3679–3686. </w:t>
      </w:r>
    </w:p>
    <w:p w14:paraId="128A07D3" w14:textId="77777777" w:rsidR="009E3FF2" w:rsidRPr="005D5262" w:rsidRDefault="009E3FF2"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10.</w:t>
      </w:r>
      <w:r w:rsidRPr="005D5262">
        <w:rPr>
          <w:rFonts w:ascii="Calibri" w:eastAsia="Calibri" w:hAnsi="Calibri" w:cs="Calibri"/>
          <w:color w:val="000000" w:themeColor="text1"/>
        </w:rPr>
        <w:tab/>
        <w:t xml:space="preserve">Rai P, Mehrotra S, Raj A, Sharma SK. A rapid and sensitive colorimetric method for the detection of cyanide ions in aqueous samples. Environ Technol </w:t>
      </w:r>
      <w:proofErr w:type="spellStart"/>
      <w:r w:rsidRPr="005D5262">
        <w:rPr>
          <w:rFonts w:ascii="Calibri" w:eastAsia="Calibri" w:hAnsi="Calibri" w:cs="Calibri"/>
          <w:color w:val="000000" w:themeColor="text1"/>
        </w:rPr>
        <w:t>Innov</w:t>
      </w:r>
      <w:proofErr w:type="spellEnd"/>
      <w:r w:rsidRPr="005D5262">
        <w:rPr>
          <w:rFonts w:ascii="Calibri" w:eastAsia="Calibri" w:hAnsi="Calibri" w:cs="Calibri"/>
          <w:color w:val="000000" w:themeColor="text1"/>
        </w:rPr>
        <w:t xml:space="preserve">. 2021. </w:t>
      </w:r>
    </w:p>
    <w:p w14:paraId="545AEF1C" w14:textId="77777777" w:rsidR="009E3FF2" w:rsidRPr="005D5262" w:rsidRDefault="009E3FF2"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11.</w:t>
      </w:r>
      <w:r w:rsidRPr="005D5262">
        <w:rPr>
          <w:rFonts w:ascii="Calibri" w:eastAsia="Calibri" w:hAnsi="Calibri" w:cs="Calibri"/>
          <w:color w:val="000000" w:themeColor="text1"/>
        </w:rPr>
        <w:tab/>
        <w:t xml:space="preserve">Laurens L, Olstad-Thompson J, Templeton D. Total protein content determination of microalgal biomass by elemental nitrogen analysis and a dedicated nitrogen-to-protein conversion factor. Methods Mol Biol. 2018;198:233–242. </w:t>
      </w:r>
    </w:p>
    <w:p w14:paraId="3F93ED9F" w14:textId="77777777" w:rsidR="009E3FF2" w:rsidRPr="005D5262" w:rsidRDefault="009E3FF2"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12.</w:t>
      </w:r>
      <w:r w:rsidRPr="005D5262">
        <w:rPr>
          <w:rFonts w:ascii="Calibri" w:eastAsia="Calibri" w:hAnsi="Calibri" w:cs="Calibri"/>
          <w:color w:val="000000" w:themeColor="text1"/>
        </w:rPr>
        <w:tab/>
      </w:r>
      <w:proofErr w:type="spellStart"/>
      <w:r w:rsidRPr="005D5262">
        <w:rPr>
          <w:rFonts w:ascii="Calibri" w:eastAsia="Calibri" w:hAnsi="Calibri" w:cs="Calibri"/>
          <w:color w:val="000000" w:themeColor="text1"/>
        </w:rPr>
        <w:t>Borowitzka</w:t>
      </w:r>
      <w:proofErr w:type="spellEnd"/>
      <w:r w:rsidRPr="005D5262">
        <w:rPr>
          <w:rFonts w:ascii="Calibri" w:eastAsia="Calibri" w:hAnsi="Calibri" w:cs="Calibri"/>
          <w:color w:val="000000" w:themeColor="text1"/>
        </w:rPr>
        <w:t xml:space="preserve"> MA. High-value products from microalgae-their development and commercialization. J Appl </w:t>
      </w:r>
      <w:proofErr w:type="spellStart"/>
      <w:r w:rsidRPr="005D5262">
        <w:rPr>
          <w:rFonts w:ascii="Calibri" w:eastAsia="Calibri" w:hAnsi="Calibri" w:cs="Calibri"/>
          <w:color w:val="000000" w:themeColor="text1"/>
        </w:rPr>
        <w:t>Phycol</w:t>
      </w:r>
      <w:proofErr w:type="spellEnd"/>
      <w:r w:rsidRPr="005D5262">
        <w:rPr>
          <w:rFonts w:ascii="Calibri" w:eastAsia="Calibri" w:hAnsi="Calibri" w:cs="Calibri"/>
          <w:color w:val="000000" w:themeColor="text1"/>
        </w:rPr>
        <w:t xml:space="preserve">. 2013;25(3):743–756. </w:t>
      </w:r>
    </w:p>
    <w:p w14:paraId="290FCE8B" w14:textId="77777777" w:rsidR="009E3FF2" w:rsidRPr="005D5262" w:rsidRDefault="009E3FF2"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13.</w:t>
      </w:r>
      <w:r w:rsidRPr="005D5262">
        <w:rPr>
          <w:rFonts w:ascii="Calibri" w:eastAsia="Calibri" w:hAnsi="Calibri" w:cs="Calibri"/>
          <w:color w:val="000000" w:themeColor="text1"/>
        </w:rPr>
        <w:tab/>
      </w:r>
      <w:proofErr w:type="spellStart"/>
      <w:r w:rsidRPr="005D5262">
        <w:rPr>
          <w:rFonts w:ascii="Calibri" w:eastAsia="Calibri" w:hAnsi="Calibri" w:cs="Calibri"/>
          <w:color w:val="000000" w:themeColor="text1"/>
        </w:rPr>
        <w:t>Dragosits</w:t>
      </w:r>
      <w:proofErr w:type="spellEnd"/>
      <w:r w:rsidRPr="005D5262">
        <w:rPr>
          <w:rFonts w:ascii="Calibri" w:eastAsia="Calibri" w:hAnsi="Calibri" w:cs="Calibri"/>
          <w:color w:val="000000" w:themeColor="text1"/>
        </w:rPr>
        <w:t xml:space="preserve"> M, Mattanovich D. Adaptive laboratory evolution-Principles and applications for biotechnology. </w:t>
      </w:r>
      <w:proofErr w:type="spellStart"/>
      <w:r w:rsidRPr="005D5262">
        <w:rPr>
          <w:rFonts w:ascii="Calibri" w:eastAsia="Calibri" w:hAnsi="Calibri" w:cs="Calibri"/>
          <w:color w:val="000000" w:themeColor="text1"/>
        </w:rPr>
        <w:t>Microb</w:t>
      </w:r>
      <w:proofErr w:type="spellEnd"/>
      <w:r w:rsidRPr="005D5262">
        <w:rPr>
          <w:rFonts w:ascii="Calibri" w:eastAsia="Calibri" w:hAnsi="Calibri" w:cs="Calibri"/>
          <w:color w:val="000000" w:themeColor="text1"/>
        </w:rPr>
        <w:t xml:space="preserve"> Cell Fact. 2013;12:64. </w:t>
      </w:r>
    </w:p>
    <w:p w14:paraId="5E7385E8" w14:textId="77777777" w:rsidR="009E3FF2" w:rsidRPr="005D5262" w:rsidRDefault="009E3FF2"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14.</w:t>
      </w:r>
      <w:r w:rsidRPr="005D5262">
        <w:rPr>
          <w:rFonts w:ascii="Calibri" w:eastAsia="Calibri" w:hAnsi="Calibri" w:cs="Calibri"/>
          <w:color w:val="000000" w:themeColor="text1"/>
        </w:rPr>
        <w:tab/>
        <w:t xml:space="preserve">Lenski RE. Experimental evolution and the dynamics of adaptation and genome evolution in microbial populations. ISME J. 2017;11(10):2181–2194. </w:t>
      </w:r>
    </w:p>
    <w:p w14:paraId="10E50634" w14:textId="77777777" w:rsidR="009E3FF2" w:rsidRPr="005D5262" w:rsidRDefault="009E3FF2"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lastRenderedPageBreak/>
        <w:t>15.</w:t>
      </w:r>
      <w:r w:rsidRPr="005D5262">
        <w:rPr>
          <w:rFonts w:ascii="Calibri" w:eastAsia="Calibri" w:hAnsi="Calibri" w:cs="Calibri"/>
          <w:color w:val="000000" w:themeColor="text1"/>
        </w:rPr>
        <w:tab/>
        <w:t xml:space="preserve">Strober W. Trypan blue exclusion test of cell viability. Curr </w:t>
      </w:r>
      <w:proofErr w:type="spellStart"/>
      <w:r w:rsidRPr="005D5262">
        <w:rPr>
          <w:rFonts w:ascii="Calibri" w:eastAsia="Calibri" w:hAnsi="Calibri" w:cs="Calibri"/>
          <w:color w:val="000000" w:themeColor="text1"/>
        </w:rPr>
        <w:t>Protoc</w:t>
      </w:r>
      <w:proofErr w:type="spellEnd"/>
      <w:r w:rsidRPr="005D5262">
        <w:rPr>
          <w:rFonts w:ascii="Calibri" w:eastAsia="Calibri" w:hAnsi="Calibri" w:cs="Calibri"/>
          <w:color w:val="000000" w:themeColor="text1"/>
        </w:rPr>
        <w:t xml:space="preserve"> Immunol. 2015;111(1):A3.B.1–A3.B.3. </w:t>
      </w:r>
    </w:p>
    <w:p w14:paraId="3D2BA21A" w14:textId="77777777" w:rsidR="009E3FF2" w:rsidRPr="005D5262" w:rsidRDefault="009E3FF2"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16.</w:t>
      </w:r>
      <w:r w:rsidRPr="005D5262">
        <w:rPr>
          <w:rFonts w:ascii="Calibri" w:eastAsia="Calibri" w:hAnsi="Calibri" w:cs="Calibri"/>
          <w:color w:val="000000" w:themeColor="text1"/>
        </w:rPr>
        <w:tab/>
        <w:t xml:space="preserve">Becker EW. Micro-algae as a source of protein. </w:t>
      </w:r>
      <w:proofErr w:type="spellStart"/>
      <w:r w:rsidRPr="005D5262">
        <w:rPr>
          <w:rFonts w:ascii="Calibri" w:eastAsia="Calibri" w:hAnsi="Calibri" w:cs="Calibri"/>
          <w:color w:val="000000" w:themeColor="text1"/>
        </w:rPr>
        <w:t>Biotechnol</w:t>
      </w:r>
      <w:proofErr w:type="spellEnd"/>
      <w:r w:rsidRPr="005D5262">
        <w:rPr>
          <w:rFonts w:ascii="Calibri" w:eastAsia="Calibri" w:hAnsi="Calibri" w:cs="Calibri"/>
          <w:color w:val="000000" w:themeColor="text1"/>
        </w:rPr>
        <w:t xml:space="preserve"> Adv. 2007;25(2):207–210. </w:t>
      </w:r>
    </w:p>
    <w:p w14:paraId="4DF6958A" w14:textId="77777777" w:rsidR="009E3FF2" w:rsidRPr="005D5262" w:rsidRDefault="009E3FF2"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17.</w:t>
      </w:r>
      <w:r w:rsidRPr="005D5262">
        <w:rPr>
          <w:rFonts w:ascii="Calibri" w:eastAsia="Calibri" w:hAnsi="Calibri" w:cs="Calibri"/>
          <w:color w:val="000000" w:themeColor="text1"/>
        </w:rPr>
        <w:tab/>
        <w:t xml:space="preserve">Ravindran V. Feed enzymes: The science, practice, and metabolic realities. J Appl Poult Res. 2016;25(4):628–636. </w:t>
      </w:r>
    </w:p>
    <w:p w14:paraId="07D39DA9" w14:textId="77777777" w:rsidR="009E3FF2" w:rsidRPr="005D5262" w:rsidRDefault="009E3FF2"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18.</w:t>
      </w:r>
      <w:r w:rsidRPr="005D5262">
        <w:rPr>
          <w:rFonts w:ascii="Calibri" w:eastAsia="Calibri" w:hAnsi="Calibri" w:cs="Calibri"/>
          <w:color w:val="000000" w:themeColor="text1"/>
        </w:rPr>
        <w:tab/>
      </w:r>
      <w:proofErr w:type="spellStart"/>
      <w:r w:rsidRPr="005D5262">
        <w:rPr>
          <w:rFonts w:ascii="Calibri" w:eastAsia="Calibri" w:hAnsi="Calibri" w:cs="Calibri"/>
          <w:color w:val="000000" w:themeColor="text1"/>
        </w:rPr>
        <w:t>Merchuk</w:t>
      </w:r>
      <w:proofErr w:type="spellEnd"/>
      <w:r w:rsidRPr="005D5262">
        <w:rPr>
          <w:rFonts w:ascii="Calibri" w:eastAsia="Calibri" w:hAnsi="Calibri" w:cs="Calibri"/>
          <w:color w:val="000000" w:themeColor="text1"/>
        </w:rPr>
        <w:t xml:space="preserve"> JC, Gluzman I, Cohen Z. Bioreactors for the mass cultivation of microalgae. In: Handbook of Microalgal Culture: Applied Phycology and Biotechnology. 2nd ed. 2018:195–218.</w:t>
      </w:r>
    </w:p>
    <w:p w14:paraId="5C541DA8" w14:textId="77777777" w:rsidR="009E3FF2" w:rsidRPr="005D5262" w:rsidRDefault="009E3FF2"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19.</w:t>
      </w:r>
      <w:r w:rsidRPr="005D5262">
        <w:rPr>
          <w:rFonts w:ascii="Calibri" w:eastAsia="Calibri" w:hAnsi="Calibri" w:cs="Calibri"/>
          <w:color w:val="000000" w:themeColor="text1"/>
        </w:rPr>
        <w:tab/>
        <w:t xml:space="preserve">Ogbonna JC, Masui H, Tanaka H. Sequential heterotrophic/autotrophic cultivation of Euglena </w:t>
      </w:r>
      <w:proofErr w:type="spellStart"/>
      <w:r w:rsidRPr="005D5262">
        <w:rPr>
          <w:rFonts w:ascii="Calibri" w:eastAsia="Calibri" w:hAnsi="Calibri" w:cs="Calibri"/>
          <w:color w:val="000000" w:themeColor="text1"/>
        </w:rPr>
        <w:t>gracilis</w:t>
      </w:r>
      <w:proofErr w:type="spellEnd"/>
      <w:r w:rsidRPr="005D5262">
        <w:rPr>
          <w:rFonts w:ascii="Calibri" w:eastAsia="Calibri" w:hAnsi="Calibri" w:cs="Calibri"/>
          <w:color w:val="000000" w:themeColor="text1"/>
        </w:rPr>
        <w:t xml:space="preserve"> for efficient biomass and paramylon production. J Appl </w:t>
      </w:r>
      <w:proofErr w:type="spellStart"/>
      <w:r w:rsidRPr="005D5262">
        <w:rPr>
          <w:rFonts w:ascii="Calibri" w:eastAsia="Calibri" w:hAnsi="Calibri" w:cs="Calibri"/>
          <w:color w:val="000000" w:themeColor="text1"/>
        </w:rPr>
        <w:t>Phycol</w:t>
      </w:r>
      <w:proofErr w:type="spellEnd"/>
      <w:r w:rsidRPr="005D5262">
        <w:rPr>
          <w:rFonts w:ascii="Calibri" w:eastAsia="Calibri" w:hAnsi="Calibri" w:cs="Calibri"/>
          <w:color w:val="000000" w:themeColor="text1"/>
        </w:rPr>
        <w:t xml:space="preserve">. 2002;14(4):259–265. </w:t>
      </w:r>
    </w:p>
    <w:p w14:paraId="220297E4" w14:textId="77777777" w:rsidR="009E3FF2" w:rsidRPr="005D5262" w:rsidRDefault="009E3FF2"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20.</w:t>
      </w:r>
      <w:r w:rsidRPr="005D5262">
        <w:rPr>
          <w:rFonts w:ascii="Calibri" w:eastAsia="Calibri" w:hAnsi="Calibri" w:cs="Calibri"/>
          <w:color w:val="000000" w:themeColor="text1"/>
        </w:rPr>
        <w:tab/>
        <w:t xml:space="preserve">O’Neill et al. The biosynthesis of β-1,3-glucan in Euglena </w:t>
      </w:r>
      <w:proofErr w:type="spellStart"/>
      <w:r w:rsidRPr="005D5262">
        <w:rPr>
          <w:rFonts w:ascii="Calibri" w:eastAsia="Calibri" w:hAnsi="Calibri" w:cs="Calibri"/>
          <w:color w:val="000000" w:themeColor="text1"/>
        </w:rPr>
        <w:t>gracilis</w:t>
      </w:r>
      <w:proofErr w:type="spellEnd"/>
      <w:r w:rsidRPr="005D5262">
        <w:rPr>
          <w:rFonts w:ascii="Calibri" w:eastAsia="Calibri" w:hAnsi="Calibri" w:cs="Calibri"/>
          <w:color w:val="000000" w:themeColor="text1"/>
        </w:rPr>
        <w:t>. J Exp Bot. 2020;71(6):1924–1935.</w:t>
      </w:r>
    </w:p>
    <w:p w14:paraId="5889C1D8" w14:textId="77777777" w:rsidR="009E3FF2" w:rsidRPr="005D5262" w:rsidRDefault="009E3FF2"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21.</w:t>
      </w:r>
      <w:r w:rsidRPr="005D5262">
        <w:rPr>
          <w:rFonts w:ascii="Calibri" w:eastAsia="Calibri" w:hAnsi="Calibri" w:cs="Calibri"/>
          <w:color w:val="000000" w:themeColor="text1"/>
        </w:rPr>
        <w:tab/>
        <w:t xml:space="preserve">Chisti Y. Biodiesel from microalgae. </w:t>
      </w:r>
      <w:proofErr w:type="spellStart"/>
      <w:r w:rsidRPr="005D5262">
        <w:rPr>
          <w:rFonts w:ascii="Calibri" w:eastAsia="Calibri" w:hAnsi="Calibri" w:cs="Calibri"/>
          <w:color w:val="000000" w:themeColor="text1"/>
        </w:rPr>
        <w:t>Biotechnol</w:t>
      </w:r>
      <w:proofErr w:type="spellEnd"/>
      <w:r w:rsidRPr="005D5262">
        <w:rPr>
          <w:rFonts w:ascii="Calibri" w:eastAsia="Calibri" w:hAnsi="Calibri" w:cs="Calibri"/>
          <w:color w:val="000000" w:themeColor="text1"/>
        </w:rPr>
        <w:t xml:space="preserve"> Adv. 2007;25(3):294–306. </w:t>
      </w:r>
    </w:p>
    <w:p w14:paraId="37DE6844" w14:textId="77777777" w:rsidR="009E3FF2" w:rsidRPr="005D5262" w:rsidRDefault="009E3FF2" w:rsidP="005D5262">
      <w:pPr>
        <w:spacing w:after="0" w:line="240" w:lineRule="auto"/>
        <w:jc w:val="both"/>
        <w:rPr>
          <w:rFonts w:ascii="Calibri" w:eastAsia="Calibri" w:hAnsi="Calibri" w:cs="Calibri"/>
          <w:color w:val="000000" w:themeColor="text1"/>
        </w:rPr>
      </w:pPr>
      <w:r w:rsidRPr="005D5262">
        <w:rPr>
          <w:rFonts w:ascii="Calibri" w:eastAsia="Calibri" w:hAnsi="Calibri" w:cs="Calibri"/>
          <w:color w:val="000000" w:themeColor="text1"/>
        </w:rPr>
        <w:t>22.</w:t>
      </w:r>
      <w:r w:rsidRPr="005D5262">
        <w:rPr>
          <w:rFonts w:ascii="Calibri" w:eastAsia="Calibri" w:hAnsi="Calibri" w:cs="Calibri"/>
          <w:color w:val="000000" w:themeColor="text1"/>
        </w:rPr>
        <w:tab/>
        <w:t xml:space="preserve">Stephens E, Ross IL, King Z, et al. An economic and technical evaluation of microalgal biofuels. Nat </w:t>
      </w:r>
      <w:proofErr w:type="spellStart"/>
      <w:r w:rsidRPr="005D5262">
        <w:rPr>
          <w:rFonts w:ascii="Calibri" w:eastAsia="Calibri" w:hAnsi="Calibri" w:cs="Calibri"/>
          <w:color w:val="000000" w:themeColor="text1"/>
        </w:rPr>
        <w:t>Biotechnol</w:t>
      </w:r>
      <w:proofErr w:type="spellEnd"/>
      <w:r w:rsidRPr="005D5262">
        <w:rPr>
          <w:rFonts w:ascii="Calibri" w:eastAsia="Calibri" w:hAnsi="Calibri" w:cs="Calibri"/>
          <w:color w:val="000000" w:themeColor="text1"/>
        </w:rPr>
        <w:t xml:space="preserve">. 2010;28(2):126–128. </w:t>
      </w:r>
    </w:p>
    <w:p w14:paraId="6A52C8A6" w14:textId="77777777" w:rsidR="009E3FF2" w:rsidRPr="005D5262" w:rsidRDefault="009E3FF2" w:rsidP="005D5262">
      <w:pPr>
        <w:spacing w:after="0" w:line="240" w:lineRule="auto"/>
        <w:jc w:val="both"/>
        <w:rPr>
          <w:rFonts w:ascii="Calibri" w:hAnsi="Calibri" w:cs="Calibri"/>
        </w:rPr>
      </w:pPr>
    </w:p>
    <w:p w14:paraId="1FE3A072" w14:textId="77777777" w:rsidR="009E3FF2" w:rsidRPr="005D5262" w:rsidRDefault="009E3FF2" w:rsidP="005D5262">
      <w:pPr>
        <w:spacing w:after="0" w:line="240" w:lineRule="auto"/>
        <w:jc w:val="both"/>
        <w:rPr>
          <w:rFonts w:ascii="Calibri" w:eastAsia="Calibri" w:hAnsi="Calibri" w:cs="Calibri"/>
          <w:color w:val="000000" w:themeColor="text1"/>
        </w:rPr>
      </w:pPr>
    </w:p>
    <w:sectPr w:rsidR="009E3FF2" w:rsidRPr="005D5262">
      <w:pgSz w:w="12240" w:h="15840"/>
      <w:pgMar w:top="1440" w:right="1440" w:bottom="1440" w:left="1440" w:header="708" w:footer="708" w:gutter="0"/>
      <w:lnNumType w:countBy="1" w:restart="continuou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CBA26D3C-FB34-440F-A538-019729EAD369}"/>
    <w:embedItalic r:id="rId2" w:fontKey="{FD6FE165-7294-4132-8EAE-BB311C29678D}"/>
  </w:font>
  <w:font w:name="Play">
    <w:charset w:val="00"/>
    <w:family w:val="auto"/>
    <w:pitch w:val="default"/>
    <w:embedRegular r:id="rId3" w:fontKey="{76A6FDEE-F4B7-40F2-8510-B3B3DC54F0D1}"/>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F23F70D9-8AD1-44C4-9186-9E66BB252627}"/>
    <w:embedBold r:id="rId5" w:fontKey="{836C5B73-2D74-4155-9EED-39807E21F08A}"/>
    <w:embedItalic r:id="rId6" w:fontKey="{749F3DC7-F821-4FB1-8B5E-771303E20AE2}"/>
    <w:embedBoldItalic r:id="rId7" w:fontKey="{0F977DD9-A797-45E3-A2BF-990E0D4AC5DB}"/>
  </w:font>
  <w:font w:name="Cambria">
    <w:panose1 w:val="02040503050406030204"/>
    <w:charset w:val="00"/>
    <w:family w:val="roman"/>
    <w:pitch w:val="variable"/>
    <w:sig w:usb0="E00006FF" w:usb1="420024FF" w:usb2="02000000" w:usb3="00000000" w:csb0="0000019F" w:csb1="00000000"/>
    <w:embedRegular r:id="rId8" w:fontKey="{52C5B239-81E1-4DAE-AD48-C69AD763A3E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225A2"/>
    <w:multiLevelType w:val="multilevel"/>
    <w:tmpl w:val="042086C8"/>
    <w:lvl w:ilvl="0">
      <w:start w:val="1"/>
      <w:numFmt w:val="decimal"/>
      <w:lvlText w:val="%1"/>
      <w:lvlJc w:val="left"/>
      <w:pPr>
        <w:ind w:left="375" w:hanging="375"/>
      </w:pPr>
    </w:lvl>
    <w:lvl w:ilvl="1">
      <w:start w:val="1"/>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889951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BF7"/>
    <w:rsid w:val="000A7387"/>
    <w:rsid w:val="001407F6"/>
    <w:rsid w:val="00144B28"/>
    <w:rsid w:val="001E2301"/>
    <w:rsid w:val="00215E13"/>
    <w:rsid w:val="002C74B3"/>
    <w:rsid w:val="003E0CAA"/>
    <w:rsid w:val="00480CB5"/>
    <w:rsid w:val="005D5262"/>
    <w:rsid w:val="00640CC3"/>
    <w:rsid w:val="009D039C"/>
    <w:rsid w:val="009E3FF2"/>
    <w:rsid w:val="00CD461F"/>
    <w:rsid w:val="00EA5BF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B08A2"/>
  <w15:docId w15:val="{AF0A2A00-A4F0-4647-BA86-D8F3743A8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CA" w:eastAsia="en-I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itre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itre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itre4">
    <w:name w:val="heading 4"/>
    <w:basedOn w:val="Normal"/>
    <w:next w:val="Normal"/>
    <w:uiPriority w:val="9"/>
    <w:semiHidden/>
    <w:unhideWhenUsed/>
    <w:qFormat/>
    <w:pPr>
      <w:keepNext/>
      <w:keepLines/>
      <w:spacing w:before="80" w:after="40"/>
      <w:outlineLvl w:val="3"/>
    </w:pPr>
    <w:rPr>
      <w:i/>
      <w:iCs/>
      <w:color w:val="0F4761"/>
    </w:rPr>
  </w:style>
  <w:style w:type="paragraph" w:styleId="Titre5">
    <w:name w:val="heading 5"/>
    <w:basedOn w:val="Normal"/>
    <w:next w:val="Normal"/>
    <w:uiPriority w:val="9"/>
    <w:semiHidden/>
    <w:unhideWhenUsed/>
    <w:qFormat/>
    <w:pPr>
      <w:keepNext/>
      <w:keepLines/>
      <w:spacing w:before="80" w:after="40"/>
      <w:outlineLvl w:val="4"/>
    </w:pPr>
    <w:rPr>
      <w:color w:val="0F4761"/>
    </w:rPr>
  </w:style>
  <w:style w:type="paragraph" w:styleId="Titre6">
    <w:name w:val="heading 6"/>
    <w:basedOn w:val="Normal"/>
    <w:next w:val="Normal"/>
    <w:uiPriority w:val="9"/>
    <w:semiHidden/>
    <w:unhideWhenUsed/>
    <w:qFormat/>
    <w:pPr>
      <w:keepNext/>
      <w:keepLines/>
      <w:spacing w:before="40" w:after="0"/>
      <w:outlineLvl w:val="5"/>
    </w:pPr>
    <w:rPr>
      <w:i/>
      <w:iCs/>
      <w:color w:val="59595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spacing w:after="80" w:line="240" w:lineRule="auto"/>
    </w:pPr>
    <w:rPr>
      <w:rFonts w:ascii="Play" w:eastAsia="Play" w:hAnsi="Play" w:cs="Play"/>
      <w:sz w:val="56"/>
      <w:szCs w:val="56"/>
    </w:rPr>
  </w:style>
  <w:style w:type="paragraph" w:styleId="Sous-titre">
    <w:name w:val="Subtitle"/>
    <w:basedOn w:val="Normal"/>
    <w:next w:val="Normal"/>
    <w:uiPriority w:val="11"/>
    <w:qFormat/>
    <w:rPr>
      <w:color w:val="595959"/>
      <w:sz w:val="28"/>
      <w:szCs w:val="28"/>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character" w:styleId="Numrodeligne">
    <w:name w:val="line number"/>
    <w:basedOn w:val="Policepardfaut"/>
    <w:uiPriority w:val="99"/>
    <w:semiHidden/>
    <w:unhideWhenUsed/>
    <w:rsid w:val="001407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aron@biosis.globa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zhiyongzhang@trentu.ca" TargetMode="External"/><Relationship Id="rId12" Type="http://schemas.openxmlformats.org/officeDocument/2006/relationships/hyperlink" Target="mailto:nemery@trentu.c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drianguamanvargas@trentu.ca" TargetMode="External"/><Relationship Id="rId11" Type="http://schemas.openxmlformats.org/officeDocument/2006/relationships/hyperlink" Target="mailto:nemery@trentu.ca" TargetMode="External"/><Relationship Id="rId5" Type="http://schemas.openxmlformats.org/officeDocument/2006/relationships/webSettings" Target="webSettings.xml"/><Relationship Id="rId10" Type="http://schemas.openxmlformats.org/officeDocument/2006/relationships/hyperlink" Target="mailto:adam@biosis.global" TargetMode="External"/><Relationship Id="rId4" Type="http://schemas.openxmlformats.org/officeDocument/2006/relationships/settings" Target="settings.xml"/><Relationship Id="rId9" Type="http://schemas.openxmlformats.org/officeDocument/2006/relationships/hyperlink" Target="mailto:zhatvani@trentu.ca"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JJdvrtVF5Ej2EBSEYTmqA2m+kA==">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22</Pages>
  <Words>7796</Words>
  <Characters>44442</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Jove</dc:creator>
  <cp:lastModifiedBy>Zsofia Hatvani</cp:lastModifiedBy>
  <cp:revision>2</cp:revision>
  <dcterms:created xsi:type="dcterms:W3CDTF">2026-05-05T12:47:00Z</dcterms:created>
  <dcterms:modified xsi:type="dcterms:W3CDTF">2026-05-05T12:47:00Z</dcterms:modified>
</cp:coreProperties>
</file>