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20C09" w14:textId="77777777" w:rsidR="00D27488" w:rsidRPr="00D27488" w:rsidRDefault="00D27488" w:rsidP="00D27488">
      <w:r w:rsidRPr="00D27488">
        <w:t>2.1.1 (Display the statistical power analysis setup in G*Power for determining the required sample size with six predictors)</w:t>
      </w:r>
      <w:r w:rsidRPr="00D27488">
        <w:br/>
        <w:t>00:00–00:15</w:t>
      </w:r>
    </w:p>
    <w:p w14:paraId="3BB47782" w14:textId="77777777" w:rsidR="00D27488" w:rsidRPr="00D27488" w:rsidRDefault="00D27488" w:rsidP="00D27488">
      <w:r w:rsidRPr="00D27488">
        <w:t>2.1.2 (Highlight the six predictors used for the endogenous construct in the structural model, including three virtual celebrity attributes and three control variables)</w:t>
      </w:r>
      <w:r w:rsidRPr="00D27488">
        <w:br/>
        <w:t>00:16–00:28</w:t>
      </w:r>
    </w:p>
    <w:p w14:paraId="15597F96" w14:textId="77777777" w:rsidR="00D27488" w:rsidRPr="00D27488" w:rsidRDefault="00D27488" w:rsidP="00D27488">
      <w:r w:rsidRPr="00D27488">
        <w:t>2.1.3 (Show the statistical parameters used for the power analysis, including medium effect size, significance level, and statistical power)</w:t>
      </w:r>
      <w:r w:rsidRPr="00D27488">
        <w:br/>
        <w:t>00:29–00:40</w:t>
      </w:r>
    </w:p>
    <w:p w14:paraId="3ECE7053" w14:textId="43464CE5" w:rsidR="001822D6" w:rsidRDefault="001822D6">
      <w:r w:rsidRPr="001822D6">
        <w:t>2.2.1 (Display the G*Power result showing the required sample size for the study)</w:t>
      </w:r>
      <w:r w:rsidRPr="001822D6">
        <w:br/>
        <w:t>00:00–00:10</w:t>
      </w:r>
    </w:p>
    <w:p w14:paraId="7D9F4FB3" w14:textId="2CF27656" w:rsidR="001822D6" w:rsidRDefault="001822D6">
      <w:r w:rsidRPr="001822D6">
        <w:t>2.2.2 (Show the dataset summary indicating the total number of collected survey responses)</w:t>
      </w:r>
      <w:r w:rsidRPr="001822D6">
        <w:br/>
        <w:t>00:11–00:20</w:t>
      </w:r>
    </w:p>
    <w:p w14:paraId="268A9D74" w14:textId="77777777" w:rsidR="00FF1DF1" w:rsidRDefault="00FF1DF1"/>
    <w:p w14:paraId="5AA03A73" w14:textId="77777777" w:rsidR="00FF1DF1" w:rsidRPr="00FF1DF1" w:rsidRDefault="00FF1DF1" w:rsidP="00FF1DF1">
      <w:r w:rsidRPr="00FF1DF1">
        <w:t>2.3.1 (Display the online research panel dashboard used for participant recruitment)</w:t>
      </w:r>
      <w:r w:rsidRPr="00FF1DF1">
        <w:br/>
        <w:t>00:00–00:08</w:t>
      </w:r>
    </w:p>
    <w:p w14:paraId="4FEF28D1" w14:textId="77777777" w:rsidR="00FF1DF1" w:rsidRPr="00FF1DF1" w:rsidRDefault="00FF1DF1" w:rsidP="00FF1DF1">
      <w:r w:rsidRPr="00FF1DF1">
        <w:t>2.3.2 (Show the survey eligibility criteria restricting participation to individuals aged 18 years or older)</w:t>
      </w:r>
      <w:r w:rsidRPr="00FF1DF1">
        <w:br/>
        <w:t>00:09–00:15</w:t>
      </w:r>
    </w:p>
    <w:p w14:paraId="24FDA801" w14:textId="1E6BDEB2" w:rsidR="00FF1DF1" w:rsidRPr="00FF1DF1" w:rsidRDefault="00FF1DF1" w:rsidP="00FF1DF1">
      <w:r w:rsidRPr="00FF1DF1">
        <w:t xml:space="preserve">2.3.3 (Display an example screening </w:t>
      </w:r>
      <w:r>
        <w:rPr>
          <w:rFonts w:hint="eastAsia"/>
        </w:rPr>
        <w:t xml:space="preserve">(experienced people) </w:t>
      </w:r>
      <w:r w:rsidRPr="00FF1DF1">
        <w:t>or attention-check question included in the survey to ensure response quality)</w:t>
      </w:r>
      <w:r w:rsidRPr="00FF1DF1">
        <w:br/>
        <w:t>00:16–00:22</w:t>
      </w:r>
    </w:p>
    <w:p w14:paraId="3222EC2E" w14:textId="120C4A46" w:rsidR="00FF1DF1" w:rsidRPr="00FF1DF1" w:rsidRDefault="00FF1DF1" w:rsidP="00FF1DF1">
      <w:r w:rsidRPr="00FF1DF1">
        <w:t>2.3.4 (Show the dataset or survey dashboard where responses failing screening or attention-check criteria are removed</w:t>
      </w:r>
      <w:r>
        <w:rPr>
          <w:rFonts w:hint="eastAsia"/>
        </w:rPr>
        <w:t>. Originally 213 participants, finally 249 participants)</w:t>
      </w:r>
      <w:r w:rsidRPr="00FF1DF1">
        <w:br/>
        <w:t>00:23–00:30</w:t>
      </w:r>
    </w:p>
    <w:p w14:paraId="00CB74EF" w14:textId="77777777" w:rsidR="00FF1DF1" w:rsidRPr="00FF1DF1" w:rsidRDefault="00FF1DF1" w:rsidP="00FF1DF1">
      <w:r w:rsidRPr="00FF1DF1">
        <w:t>2.3.5 (Display the survey dashboard showing the final completed participant count reaching 249)</w:t>
      </w:r>
      <w:r w:rsidRPr="00FF1DF1">
        <w:br/>
        <w:t>00:31–00:38</w:t>
      </w:r>
    </w:p>
    <w:p w14:paraId="2B389F2E" w14:textId="77777777" w:rsidR="00FF1DF1" w:rsidRDefault="00FF1DF1"/>
    <w:p w14:paraId="3FD3EDE1" w14:textId="656016E0" w:rsidR="002E77CC" w:rsidRDefault="002E77CC">
      <w:r w:rsidRPr="002E77CC">
        <w:t>3.1</w:t>
      </w:r>
      <w:r>
        <w:rPr>
          <w:rFonts w:hint="eastAsia"/>
        </w:rPr>
        <w:t xml:space="preserve">.1, 3.1.2, </w:t>
      </w:r>
      <w:r w:rsidRPr="002E77CC">
        <w:t>(Display the survey page presenting the definition of virtual celebrities to ensure participants understand the concept)</w:t>
      </w:r>
      <w:r>
        <w:rPr>
          <w:rFonts w:hint="eastAsia"/>
        </w:rPr>
        <w:t xml:space="preserve"> </w:t>
      </w:r>
      <w:r w:rsidRPr="002E77CC">
        <w:t>3.1.2 (Show the survey instruction directing participants to respond based on their real experiences with virtual celebrities)</w:t>
      </w:r>
      <w:r w:rsidRPr="002E77CC">
        <w:br/>
        <w:t>00:09–00:16</w:t>
      </w:r>
      <w:r w:rsidRPr="002E77CC">
        <w:br/>
        <w:t>00:00–00:08</w:t>
      </w:r>
    </w:p>
    <w:p w14:paraId="0C11CD91" w14:textId="77777777" w:rsidR="006D73D8" w:rsidRDefault="006D73D8"/>
    <w:p w14:paraId="47D3E3F1" w14:textId="51C7E05D" w:rsidR="006D73D8" w:rsidRPr="006D73D8" w:rsidRDefault="006D73D8" w:rsidP="006D73D8">
      <w:r w:rsidRPr="006D73D8">
        <w:t>3.2.1 (Scroll through the questionnaire to show labeled sections measuring appearance, voice, content quality, satisfaction, loyalty, personalization, purchase intention, and demographics)</w:t>
      </w:r>
      <w:r w:rsidRPr="006D73D8">
        <w:br/>
        <w:t>00:00–00:</w:t>
      </w:r>
      <w:proofErr w:type="gramStart"/>
      <w:r w:rsidRPr="006D73D8">
        <w:t>12</w:t>
      </w:r>
      <w:r>
        <w:rPr>
          <w:rFonts w:hint="eastAsia"/>
        </w:rPr>
        <w:t xml:space="preserve">  </w:t>
      </w:r>
      <w:r w:rsidRPr="006D73D8">
        <w:t>3.2.2</w:t>
      </w:r>
      <w:proofErr w:type="gramEnd"/>
      <w:r w:rsidRPr="006D73D8">
        <w:t xml:space="preserve"> (Display the 7-point Likert scale response format ranging from strongly disagree to </w:t>
      </w:r>
      <w:r w:rsidRPr="006D73D8">
        <w:lastRenderedPageBreak/>
        <w:t>strongly agree)</w:t>
      </w:r>
      <w:r w:rsidRPr="006D73D8">
        <w:br/>
        <w:t>00:13–00:20</w:t>
      </w:r>
    </w:p>
    <w:p w14:paraId="59E1C52D" w14:textId="03BD55CF" w:rsidR="00AA0112" w:rsidRDefault="006D73D8">
      <w:r w:rsidRPr="006D73D8">
        <w:t>3.2.3 (Show the survey platform settings where duplicate submission prevention is enabled)</w:t>
      </w:r>
      <w:r w:rsidRPr="006D73D8">
        <w:br/>
        <w:t>00:21–00:28</w:t>
      </w:r>
    </w:p>
    <w:p w14:paraId="15B09ECA" w14:textId="0CBBA595" w:rsidR="00AA0112" w:rsidRDefault="00AA0112" w:rsidP="00AA0112">
      <w:r w:rsidRPr="00AA0112">
        <w:t>3.3.1 (Show the</w:t>
      </w:r>
      <w:r>
        <w:rPr>
          <w:rFonts w:hint="eastAsia"/>
        </w:rPr>
        <w:t xml:space="preserve"> prolific</w:t>
      </w:r>
      <w:r w:rsidRPr="00AA0112">
        <w:t xml:space="preserve"> survey platform </w:t>
      </w:r>
      <w:r>
        <w:rPr>
          <w:rFonts w:hint="eastAsia"/>
        </w:rPr>
        <w:t xml:space="preserve">and the excel files in the folder, and the data in the </w:t>
      </w:r>
      <w:r w:rsidRPr="00AA0112">
        <w:t>PLS-SEM software for structural equation modeling analysis)</w:t>
      </w:r>
      <w:r w:rsidRPr="00AA0112">
        <w:br/>
        <w:t>00:17–00:25</w:t>
      </w:r>
    </w:p>
    <w:p w14:paraId="4D43C186" w14:textId="77777777" w:rsidR="00AA0112" w:rsidRDefault="00AA0112" w:rsidP="00AA0112"/>
    <w:p w14:paraId="297AF743" w14:textId="77777777" w:rsidR="00653659" w:rsidRPr="00653659" w:rsidRDefault="00653659" w:rsidP="00653659">
      <w:r w:rsidRPr="00653659">
        <w:t>4.1.1 (Display the PLS-SEM software showing all constructs specified as reflective constructs in the measurement model)</w:t>
      </w:r>
      <w:r w:rsidRPr="00653659">
        <w:br/>
        <w:t>00:00–00:08</w:t>
      </w:r>
    </w:p>
    <w:p w14:paraId="6D6C7D02" w14:textId="77777777" w:rsidR="00653659" w:rsidRPr="00653659" w:rsidRDefault="00653659" w:rsidP="00653659">
      <w:r w:rsidRPr="00653659">
        <w:t>4.1.2 (Show the reliability results panel displaying Cronbach’s alpha and composite reliability values)</w:t>
      </w:r>
      <w:r w:rsidRPr="00653659">
        <w:br/>
        <w:t>00:09–00:16</w:t>
      </w:r>
    </w:p>
    <w:p w14:paraId="7604B45A" w14:textId="77777777" w:rsidR="00653659" w:rsidRPr="00653659" w:rsidRDefault="00653659" w:rsidP="00653659">
      <w:r w:rsidRPr="00653659">
        <w:t>4.1.3 (Display the average variance extracted values in the convergent validity results table)</w:t>
      </w:r>
      <w:r w:rsidRPr="00653659">
        <w:br/>
        <w:t>00:17–00:22</w:t>
      </w:r>
    </w:p>
    <w:p w14:paraId="2D87E000" w14:textId="77777777" w:rsidR="00653659" w:rsidRPr="00653659" w:rsidRDefault="00653659" w:rsidP="00653659">
      <w:r w:rsidRPr="00653659">
        <w:t>4.1.4 (Show discriminant validity results including the Fornell-Larcker criterion table and HTMT ratio matrix)</w:t>
      </w:r>
      <w:r w:rsidRPr="00653659">
        <w:br/>
        <w:t>00:23–00:32</w:t>
      </w:r>
    </w:p>
    <w:p w14:paraId="07CD227C" w14:textId="77777777" w:rsidR="00AA0112" w:rsidRDefault="00AA0112" w:rsidP="00AA0112"/>
    <w:p w14:paraId="66EC2C6B" w14:textId="4B63F724" w:rsidR="00653659" w:rsidRDefault="00653659" w:rsidP="00AA0112">
      <w:pPr>
        <w:rPr>
          <w:color w:val="EE0000"/>
        </w:rPr>
      </w:pPr>
      <w:r w:rsidRPr="00653659">
        <w:rPr>
          <w:color w:val="EE0000"/>
        </w:rPr>
        <w:t>The description accurately reflects the measurement model evaluation used in our study. All constructs were specified as reflective constructs and reliability and validity were assessed using Cronbach’s alpha, composite reliability, AVE, Fornell-Larcker, and HTMT criteria.</w:t>
      </w:r>
    </w:p>
    <w:p w14:paraId="7A399044" w14:textId="77777777" w:rsidR="001A0E14" w:rsidRDefault="001A0E14" w:rsidP="00AA0112">
      <w:pPr>
        <w:rPr>
          <w:color w:val="EE0000"/>
        </w:rPr>
      </w:pPr>
    </w:p>
    <w:p w14:paraId="029F9D48" w14:textId="77777777" w:rsidR="001A0E14" w:rsidRPr="001A0E14" w:rsidRDefault="001A0E14" w:rsidP="001A0E14">
      <w:r w:rsidRPr="001A0E14">
        <w:t>4.2.1 (Display the structural model diagram in the PLS-SEM software along with the inner VIF values used to assess multicollinearity)</w:t>
      </w:r>
      <w:r w:rsidRPr="001A0E14">
        <w:br/>
        <w:t>00:00–00:10</w:t>
      </w:r>
    </w:p>
    <w:p w14:paraId="40618D3A" w14:textId="77777777" w:rsidR="001A0E14" w:rsidRPr="001A0E14" w:rsidRDefault="001A0E14" w:rsidP="001A0E14">
      <w:r w:rsidRPr="001A0E14">
        <w:t>4.2.2 (Show the bootstrapping setup with 5000 subsamples and the resulting path coefficient output panel)</w:t>
      </w:r>
      <w:r w:rsidRPr="001A0E14">
        <w:br/>
        <w:t>00:11–00:22</w:t>
      </w:r>
    </w:p>
    <w:p w14:paraId="4A499583" w14:textId="77777777" w:rsidR="001A0E14" w:rsidRDefault="001A0E14" w:rsidP="00AA0112">
      <w:pPr>
        <w:rPr>
          <w:color w:val="EE0000"/>
        </w:rPr>
      </w:pPr>
    </w:p>
    <w:p w14:paraId="25CA4A6A" w14:textId="77777777" w:rsidR="001B02EA" w:rsidRPr="001B02EA" w:rsidRDefault="001B02EA" w:rsidP="001B02EA">
      <w:r w:rsidRPr="001B02EA">
        <w:t>4.3.1 (Display the bootstrapped indirect effect results with 95% confidence intervals used to evaluate sequential mediation effects)</w:t>
      </w:r>
      <w:r w:rsidRPr="001B02EA">
        <w:br/>
        <w:t>00:00–00:10</w:t>
      </w:r>
    </w:p>
    <w:p w14:paraId="5C958911" w14:textId="77777777" w:rsidR="001B02EA" w:rsidRDefault="001B02EA" w:rsidP="001B02EA">
      <w:r w:rsidRPr="001B02EA">
        <w:t>4.3.2 (Show the mediation structure in the structural model linking virtual celebrity attributes, satisfaction, loyalty, and purchase intention)</w:t>
      </w:r>
      <w:r w:rsidRPr="001B02EA">
        <w:br/>
        <w:t>00:11–00:18</w:t>
      </w:r>
    </w:p>
    <w:p w14:paraId="3B871169" w14:textId="77777777" w:rsidR="001B02EA" w:rsidRDefault="001B02EA" w:rsidP="001B02EA"/>
    <w:p w14:paraId="56043273" w14:textId="1783FF3B" w:rsidR="001B02EA" w:rsidRDefault="001B02EA" w:rsidP="001B02EA">
      <w:pPr>
        <w:rPr>
          <w:color w:val="C00000"/>
        </w:rPr>
      </w:pPr>
      <w:r w:rsidRPr="001B02EA">
        <w:rPr>
          <w:color w:val="C00000"/>
        </w:rPr>
        <w:t>The sequence of steps is appropriate. The study examines sequential mediation where virtual celebrity attributes</w:t>
      </w:r>
      <w:r>
        <w:rPr>
          <w:rFonts w:hint="eastAsia"/>
          <w:color w:val="C00000"/>
        </w:rPr>
        <w:t xml:space="preserve">, excluding appearance, </w:t>
      </w:r>
      <w:r w:rsidRPr="001B02EA">
        <w:rPr>
          <w:color w:val="C00000"/>
        </w:rPr>
        <w:t>influence satisfaction, satisfaction influences loyalty, and loyalty subsequently affects purchase intention. Indirect effects are estimated using bootstrapping with 5000 subsamples and 95% confidence intervals.</w:t>
      </w:r>
    </w:p>
    <w:p w14:paraId="52BA24A4" w14:textId="77777777" w:rsidR="001B02EA" w:rsidRDefault="001B02EA" w:rsidP="001B02EA">
      <w:pPr>
        <w:rPr>
          <w:color w:val="C00000"/>
        </w:rPr>
      </w:pPr>
    </w:p>
    <w:p w14:paraId="41E2DFF3" w14:textId="2FF53F52" w:rsidR="001B02EA" w:rsidRPr="001B02EA" w:rsidRDefault="00FD6467" w:rsidP="001B02EA">
      <w:pPr>
        <w:rPr>
          <w:rFonts w:hint="eastAsia"/>
        </w:rPr>
      </w:pPr>
      <w:r w:rsidRPr="00FD6467">
        <w:rPr>
          <w:rFonts w:hint="eastAsia"/>
        </w:rPr>
        <w:t xml:space="preserve">4.4. </w:t>
      </w:r>
      <w:r w:rsidRPr="00FD6467">
        <w:t>(Show the bootstrapping results reporting moderation coefficients and effect sizes for the interaction term)</w:t>
      </w:r>
    </w:p>
    <w:p w14:paraId="409C5360" w14:textId="77777777" w:rsidR="001B02EA" w:rsidRPr="00AA0112" w:rsidRDefault="001B02EA" w:rsidP="00AA0112">
      <w:pPr>
        <w:rPr>
          <w:color w:val="EE0000"/>
        </w:rPr>
      </w:pPr>
    </w:p>
    <w:p w14:paraId="192CED55" w14:textId="5814432C" w:rsidR="00AA0112" w:rsidRDefault="00507E83">
      <w:r>
        <w:rPr>
          <w:rFonts w:hint="eastAsia"/>
        </w:rPr>
        <w:t xml:space="preserve">4.5. </w:t>
      </w:r>
      <w:r w:rsidRPr="00507E83">
        <w:t>The description accurately reflects the predictive performance assessment used in our study. Predictive relevance was evaluated using out-of-sample prediction procedures in PLS-SEM. Q²_predict values, root mean square error, and mean absolute error were compared with a linear benchmark model. Predictive relevance was confirmed when Q²_predict values were greater than zero and PLS prediction errors were lower than the benchmark model.</w:t>
      </w:r>
    </w:p>
    <w:p w14:paraId="63061CA2" w14:textId="3B6DD95B" w:rsidR="000974EE" w:rsidRDefault="00507E83">
      <w:r>
        <w:rPr>
          <w:rFonts w:hint="eastAsia"/>
        </w:rPr>
        <w:t xml:space="preserve">4.6. </w:t>
      </w:r>
      <w:r w:rsidRPr="00507E83">
        <w:t>The description accurately reflects the final reporting step of the analysis. Reliability, validity, structural, mediation, moderation, and predictive analysis results were compiled into reporting tables. All reported values were cross-checked against the PLS-SEM software output to ensure accuracy and consistency.</w:t>
      </w:r>
    </w:p>
    <w:p w14:paraId="22ECDC2E" w14:textId="3B80D133" w:rsidR="000974EE" w:rsidRDefault="000974EE">
      <w:r>
        <w:rPr>
          <w:rFonts w:hint="eastAsia"/>
        </w:rPr>
        <w:t xml:space="preserve">5. </w:t>
      </w:r>
      <w:r w:rsidR="00DD7075" w:rsidRPr="00DD7075">
        <w:t xml:space="preserve">Indicators met the thresholds </w:t>
      </w:r>
      <w:r w:rsidR="00554618">
        <w:rPr>
          <w:rFonts w:hint="eastAsia"/>
        </w:rPr>
        <w:t>and s</w:t>
      </w:r>
      <w:r w:rsidRPr="000974EE">
        <w:t>creening results were reviewed to ensure data quality, and measurement model criteria such as composite reliability and AVE were evaluated. Multicollinearity was assessed using VIF values, and mediation and moderation results were reviewed to confirm statistical significance.</w:t>
      </w:r>
    </w:p>
    <w:p w14:paraId="5ED02DD0" w14:textId="77777777" w:rsidR="00927A25" w:rsidRDefault="00927A25"/>
    <w:p w14:paraId="3B58C680" w14:textId="3FEEAA0C" w:rsidR="00927A25" w:rsidRDefault="00927A25">
      <w:r>
        <w:rPr>
          <w:rFonts w:hint="eastAsia"/>
        </w:rPr>
        <w:t xml:space="preserve">6.1. </w:t>
      </w:r>
      <w:r w:rsidRPr="00927A25">
        <w:t>Reliability and convergent validity tests indicated that all constructs exceeded the recommended thresholds. Cronbach’s alpha and composite reliability values were greater than 0.7, and the average variance extracted values were above 0.5, confirming that the measurement model demonstrated adequate reliability and convergent validity.</w:t>
      </w:r>
    </w:p>
    <w:p w14:paraId="3D756C2F" w14:textId="77777777" w:rsidR="00927A25" w:rsidRDefault="00927A25"/>
    <w:p w14:paraId="3C374B6B" w14:textId="77777777" w:rsidR="00927A25" w:rsidRPr="00927A25" w:rsidRDefault="00927A25" w:rsidP="00927A25">
      <w:r>
        <w:rPr>
          <w:rFonts w:hint="eastAsia"/>
        </w:rPr>
        <w:t xml:space="preserve">6.2. </w:t>
      </w:r>
      <w:r w:rsidRPr="00927A25">
        <w:t xml:space="preserve">Discriminant validity was assessed using both the Fornell–Larcker criterion and the HTMT ratio. The results indicate that all </w:t>
      </w:r>
      <w:proofErr w:type="gramStart"/>
      <w:r w:rsidRPr="00927A25">
        <w:t>constructs</w:t>
      </w:r>
      <w:proofErr w:type="gramEnd"/>
      <w:r w:rsidRPr="00927A25">
        <w:t xml:space="preserve"> are empirically distinct, as the square roots of AVE exceeded inter-construct correlations and all HTMT values were below the recommended threshold of 0.90.</w:t>
      </w:r>
    </w:p>
    <w:p w14:paraId="7AE6088C" w14:textId="30552A8E" w:rsidR="00927A25" w:rsidRDefault="00927A25"/>
    <w:p w14:paraId="1FC4A976" w14:textId="77777777" w:rsidR="00927A25" w:rsidRDefault="00927A25"/>
    <w:p w14:paraId="308CD043" w14:textId="66873C6B" w:rsidR="00927A25" w:rsidRDefault="00927A25">
      <w:r>
        <w:rPr>
          <w:rFonts w:hint="eastAsia"/>
        </w:rPr>
        <w:t xml:space="preserve">6.3. </w:t>
      </w:r>
      <w:r w:rsidRPr="00927A25">
        <w:t>Structural model evaluation indicated moderate explanatory power and acceptable predictive performance. Predictive relevance was confirmed as Q²_predict values ranged from 0.280 to 0.485, all exceeding zero. The predictive performance of the PLS-SEM model was compared with a linear regression benchmark, where lower RMSE and MAE values indicated superior prediction accuracy.</w:t>
      </w:r>
    </w:p>
    <w:p w14:paraId="099E3DD1" w14:textId="77777777" w:rsidR="00927A25" w:rsidRDefault="00927A25"/>
    <w:p w14:paraId="642DAD76" w14:textId="77777777" w:rsidR="00927A25" w:rsidRDefault="00927A25">
      <w:pPr>
        <w:rPr>
          <w:rFonts w:hint="eastAsia"/>
        </w:rPr>
      </w:pPr>
    </w:p>
    <w:p w14:paraId="6863C2E1" w14:textId="77777777" w:rsidR="00927A25" w:rsidRDefault="00927A25">
      <w:pPr>
        <w:rPr>
          <w:rFonts w:hint="eastAsia"/>
        </w:rPr>
      </w:pPr>
    </w:p>
    <w:p w14:paraId="53DDE281" w14:textId="77777777" w:rsidR="006D73D8" w:rsidRDefault="006D73D8"/>
    <w:p w14:paraId="05C25BCA" w14:textId="77777777" w:rsidR="006D73D8" w:rsidRDefault="006D73D8"/>
    <w:sectPr w:rsidR="006D7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488"/>
    <w:rsid w:val="000974EE"/>
    <w:rsid w:val="001822D6"/>
    <w:rsid w:val="001A0E14"/>
    <w:rsid w:val="001B02EA"/>
    <w:rsid w:val="002E77CC"/>
    <w:rsid w:val="00507E83"/>
    <w:rsid w:val="00554618"/>
    <w:rsid w:val="00653659"/>
    <w:rsid w:val="006D0374"/>
    <w:rsid w:val="006D73D8"/>
    <w:rsid w:val="00927A25"/>
    <w:rsid w:val="00AA0112"/>
    <w:rsid w:val="00AE7047"/>
    <w:rsid w:val="00D27488"/>
    <w:rsid w:val="00DD7075"/>
    <w:rsid w:val="00FD6467"/>
    <w:rsid w:val="00FF1DF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74E8A"/>
  <w15:chartTrackingRefBased/>
  <w15:docId w15:val="{2E43F757-7698-49C9-AFB3-B71ECADAB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4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74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74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74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74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74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4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4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4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4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74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74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74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74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74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4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4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488"/>
    <w:rPr>
      <w:rFonts w:eastAsiaTheme="majorEastAsia" w:cstheme="majorBidi"/>
      <w:color w:val="272727" w:themeColor="text1" w:themeTint="D8"/>
    </w:rPr>
  </w:style>
  <w:style w:type="paragraph" w:styleId="Title">
    <w:name w:val="Title"/>
    <w:basedOn w:val="Normal"/>
    <w:next w:val="Normal"/>
    <w:link w:val="TitleChar"/>
    <w:uiPriority w:val="10"/>
    <w:qFormat/>
    <w:rsid w:val="00D27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4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4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4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488"/>
    <w:pPr>
      <w:spacing w:before="160"/>
      <w:jc w:val="center"/>
    </w:pPr>
    <w:rPr>
      <w:i/>
      <w:iCs/>
      <w:color w:val="404040" w:themeColor="text1" w:themeTint="BF"/>
    </w:rPr>
  </w:style>
  <w:style w:type="character" w:customStyle="1" w:styleId="QuoteChar">
    <w:name w:val="Quote Char"/>
    <w:basedOn w:val="DefaultParagraphFont"/>
    <w:link w:val="Quote"/>
    <w:uiPriority w:val="29"/>
    <w:rsid w:val="00D27488"/>
    <w:rPr>
      <w:i/>
      <w:iCs/>
      <w:color w:val="404040" w:themeColor="text1" w:themeTint="BF"/>
    </w:rPr>
  </w:style>
  <w:style w:type="paragraph" w:styleId="ListParagraph">
    <w:name w:val="List Paragraph"/>
    <w:basedOn w:val="Normal"/>
    <w:uiPriority w:val="34"/>
    <w:qFormat/>
    <w:rsid w:val="00D27488"/>
    <w:pPr>
      <w:ind w:left="720"/>
      <w:contextualSpacing/>
    </w:pPr>
  </w:style>
  <w:style w:type="character" w:styleId="IntenseEmphasis">
    <w:name w:val="Intense Emphasis"/>
    <w:basedOn w:val="DefaultParagraphFont"/>
    <w:uiPriority w:val="21"/>
    <w:qFormat/>
    <w:rsid w:val="00D27488"/>
    <w:rPr>
      <w:i/>
      <w:iCs/>
      <w:color w:val="2F5496" w:themeColor="accent1" w:themeShade="BF"/>
    </w:rPr>
  </w:style>
  <w:style w:type="paragraph" w:styleId="IntenseQuote">
    <w:name w:val="Intense Quote"/>
    <w:basedOn w:val="Normal"/>
    <w:next w:val="Normal"/>
    <w:link w:val="IntenseQuoteChar"/>
    <w:uiPriority w:val="30"/>
    <w:qFormat/>
    <w:rsid w:val="00D274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7488"/>
    <w:rPr>
      <w:i/>
      <w:iCs/>
      <w:color w:val="2F5496" w:themeColor="accent1" w:themeShade="BF"/>
    </w:rPr>
  </w:style>
  <w:style w:type="character" w:styleId="IntenseReference">
    <w:name w:val="Intense Reference"/>
    <w:basedOn w:val="DefaultParagraphFont"/>
    <w:uiPriority w:val="32"/>
    <w:qFormat/>
    <w:rsid w:val="00D27488"/>
    <w:rPr>
      <w:b/>
      <w:bCs/>
      <w:smallCaps/>
      <w:color w:val="2F5496" w:themeColor="accent1" w:themeShade="BF"/>
      <w:spacing w:val="5"/>
    </w:rPr>
  </w:style>
  <w:style w:type="paragraph" w:styleId="NormalWeb">
    <w:name w:val="Normal (Web)"/>
    <w:basedOn w:val="Normal"/>
    <w:uiPriority w:val="99"/>
    <w:semiHidden/>
    <w:unhideWhenUsed/>
    <w:rsid w:val="00927A2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Eungkil Jeon</dc:creator>
  <cp:keywords/>
  <dc:description/>
  <cp:lastModifiedBy>Eungkil Jeon</cp:lastModifiedBy>
  <cp:revision>5</cp:revision>
  <dcterms:created xsi:type="dcterms:W3CDTF">2026-03-15T14:08:00Z</dcterms:created>
  <dcterms:modified xsi:type="dcterms:W3CDTF">2026-03-15T18:36:00Z</dcterms:modified>
</cp:coreProperties>
</file>