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46E175FE" w:rsidR="006E4797" w:rsidRPr="0055174B" w:rsidRDefault="00000000" w:rsidP="00DA3C5C">
      <w:pPr>
        <w:pBdr>
          <w:top w:val="nil"/>
          <w:left w:val="nil"/>
          <w:bottom w:val="nil"/>
          <w:right w:val="nil"/>
          <w:between w:val="nil"/>
        </w:pBdr>
        <w:rPr>
          <w:rFonts w:asciiTheme="majorHAnsi" w:hAnsiTheme="majorHAnsi" w:cstheme="majorHAnsi"/>
        </w:rPr>
      </w:pPr>
      <w:r w:rsidRPr="0055174B">
        <w:rPr>
          <w:rFonts w:asciiTheme="majorHAnsi" w:hAnsiTheme="majorHAnsi" w:cstheme="majorHAnsi"/>
          <w:b/>
        </w:rPr>
        <w:t>TITLE:</w:t>
      </w:r>
      <w:r w:rsidRPr="0055174B">
        <w:rPr>
          <w:rFonts w:asciiTheme="majorHAnsi" w:hAnsiTheme="majorHAnsi" w:cstheme="majorHAnsi"/>
        </w:rPr>
        <w:t xml:space="preserve"> </w:t>
      </w:r>
    </w:p>
    <w:p w14:paraId="06C0C87E" w14:textId="394A3AAC" w:rsidR="006E4797" w:rsidRPr="0055174B" w:rsidRDefault="00000000" w:rsidP="00DA3C5C">
      <w:pPr>
        <w:rPr>
          <w:rFonts w:asciiTheme="majorHAnsi" w:hAnsiTheme="majorHAnsi" w:cstheme="majorHAnsi"/>
        </w:rPr>
      </w:pPr>
      <w:r w:rsidRPr="0055174B">
        <w:rPr>
          <w:rFonts w:asciiTheme="majorHAnsi" w:hAnsiTheme="majorHAnsi" w:cstheme="majorHAnsi"/>
        </w:rPr>
        <w:t xml:space="preserve">Lysosomal </w:t>
      </w:r>
      <w:r w:rsidR="00165D83" w:rsidRPr="0055174B">
        <w:rPr>
          <w:rFonts w:asciiTheme="majorHAnsi" w:hAnsiTheme="majorHAnsi" w:cstheme="majorHAnsi"/>
        </w:rPr>
        <w:t>profiling with Lyso</w:t>
      </w:r>
      <w:r w:rsidR="00165D83">
        <w:rPr>
          <w:rFonts w:asciiTheme="majorHAnsi" w:hAnsiTheme="majorHAnsi" w:cstheme="majorHAnsi"/>
        </w:rPr>
        <w:t>T</w:t>
      </w:r>
      <w:r w:rsidR="00165D83" w:rsidRPr="0055174B">
        <w:rPr>
          <w:rFonts w:asciiTheme="majorHAnsi" w:hAnsiTheme="majorHAnsi" w:cstheme="majorHAnsi"/>
        </w:rPr>
        <w:t>racker for quantitative assessment of cellular senescence</w:t>
      </w:r>
      <w:r w:rsidR="00165D83">
        <w:rPr>
          <w:rFonts w:asciiTheme="majorHAnsi" w:hAnsiTheme="majorHAnsi" w:cstheme="majorHAnsi"/>
        </w:rPr>
        <w:t xml:space="preserve"> in human fibroblasts</w:t>
      </w:r>
    </w:p>
    <w:p w14:paraId="08A1001B" w14:textId="77777777" w:rsidR="0040687D" w:rsidRPr="0055174B" w:rsidRDefault="0040687D" w:rsidP="00DA3C5C">
      <w:pPr>
        <w:rPr>
          <w:rFonts w:asciiTheme="majorHAnsi" w:hAnsiTheme="majorHAnsi" w:cstheme="majorHAnsi"/>
          <w:b/>
        </w:rPr>
      </w:pPr>
    </w:p>
    <w:p w14:paraId="2CD8481E" w14:textId="1A47007B" w:rsidR="006E4797" w:rsidRPr="0055174B" w:rsidRDefault="00000000" w:rsidP="00DA3C5C">
      <w:pPr>
        <w:rPr>
          <w:rFonts w:asciiTheme="majorHAnsi" w:hAnsiTheme="majorHAnsi" w:cstheme="majorHAnsi"/>
        </w:rPr>
      </w:pPr>
      <w:r w:rsidRPr="0055174B">
        <w:rPr>
          <w:rFonts w:asciiTheme="majorHAnsi" w:hAnsiTheme="majorHAnsi" w:cstheme="majorHAnsi"/>
          <w:b/>
        </w:rPr>
        <w:t xml:space="preserve">AUTHORS AND AFFILIATIONS: </w:t>
      </w:r>
    </w:p>
    <w:p w14:paraId="141ABDE5" w14:textId="1BE8AA36" w:rsidR="006E4797" w:rsidRPr="0055174B" w:rsidRDefault="00000000" w:rsidP="00DA3C5C">
      <w:pPr>
        <w:pBdr>
          <w:top w:val="nil"/>
          <w:left w:val="nil"/>
          <w:bottom w:val="nil"/>
          <w:right w:val="nil"/>
          <w:between w:val="nil"/>
        </w:pBdr>
        <w:rPr>
          <w:rFonts w:asciiTheme="majorHAnsi" w:hAnsiTheme="majorHAnsi" w:cstheme="majorHAnsi"/>
        </w:rPr>
      </w:pPr>
      <w:r w:rsidRPr="0055174B">
        <w:rPr>
          <w:rFonts w:asciiTheme="majorHAnsi" w:hAnsiTheme="majorHAnsi" w:cstheme="majorHAnsi"/>
          <w:lang w:val=""/>
        </w:rPr>
        <w:t>Javier Estrada Toro</w:t>
      </w:r>
      <w:r w:rsidR="00A944EB" w:rsidRPr="0055174B">
        <w:rPr>
          <w:rFonts w:asciiTheme="majorHAnsi" w:hAnsiTheme="majorHAnsi" w:cstheme="majorHAnsi"/>
          <w:vertAlign w:val="superscript"/>
        </w:rPr>
        <w:t>1</w:t>
      </w:r>
      <w:r>
        <w:rPr>
          <w:rFonts w:asciiTheme="majorHAnsi" w:hAnsiTheme="majorHAnsi" w:cstheme="majorHAnsi"/>
        </w:rPr>
        <w:t>,</w:t>
      </w:r>
      <w:r w:rsidR="00D86B4F" w:rsidRPr="0055174B">
        <w:rPr>
          <w:rFonts w:asciiTheme="majorHAnsi" w:hAnsiTheme="majorHAnsi" w:cstheme="majorHAnsi"/>
        </w:rPr>
        <w:t xml:space="preserve"> </w:t>
      </w:r>
      <w:r w:rsidRPr="00D172DB">
        <w:rPr>
          <w:rFonts w:asciiTheme="majorHAnsi" w:hAnsiTheme="majorHAnsi" w:cstheme="majorHAnsi"/>
          <w:lang w:val=""/>
        </w:rPr>
        <w:t>Scott Tenenbaum</w:t>
      </w:r>
      <w:r w:rsidR="00A944EB" w:rsidRPr="0055174B">
        <w:rPr>
          <w:rFonts w:asciiTheme="majorHAnsi" w:hAnsiTheme="majorHAnsi" w:cstheme="majorHAnsi"/>
          <w:vertAlign w:val="superscript"/>
        </w:rPr>
        <w:t>1</w:t>
      </w:r>
      <w:r w:rsidR="00170114">
        <w:rPr>
          <w:rFonts w:asciiTheme="majorHAnsi" w:hAnsiTheme="majorHAnsi" w:cstheme="majorHAnsi"/>
          <w:vertAlign w:val="superscript"/>
        </w:rPr>
        <w:t>,</w:t>
      </w:r>
      <w:r w:rsidR="00170114" w:rsidRPr="00170114">
        <w:rPr>
          <w:rFonts w:asciiTheme="majorHAnsi" w:hAnsiTheme="majorHAnsi" w:cstheme="majorHAnsi"/>
          <w:vertAlign w:val="superscript"/>
        </w:rPr>
        <w:t>3</w:t>
      </w:r>
      <w:r>
        <w:rPr>
          <w:rFonts w:asciiTheme="majorHAnsi" w:hAnsiTheme="majorHAnsi" w:cstheme="majorHAnsi"/>
        </w:rPr>
        <w:t xml:space="preserve">, </w:t>
      </w:r>
      <w:r w:rsidRPr="0055174B">
        <w:rPr>
          <w:rFonts w:asciiTheme="majorHAnsi" w:hAnsiTheme="majorHAnsi" w:cstheme="majorHAnsi"/>
          <w:lang w:val=""/>
        </w:rPr>
        <w:t>Melinda Larsen</w:t>
      </w:r>
      <w:r w:rsidR="00A944EB" w:rsidRPr="0055174B">
        <w:rPr>
          <w:rFonts w:asciiTheme="majorHAnsi" w:hAnsiTheme="majorHAnsi" w:cstheme="majorHAnsi"/>
          <w:vertAlign w:val="superscript"/>
        </w:rPr>
        <w:t>2</w:t>
      </w:r>
      <w:r w:rsidR="00170114">
        <w:rPr>
          <w:rFonts w:asciiTheme="majorHAnsi" w:hAnsiTheme="majorHAnsi" w:cstheme="majorHAnsi"/>
          <w:vertAlign w:val="superscript"/>
        </w:rPr>
        <w:t>,</w:t>
      </w:r>
      <w:r w:rsidR="00170114" w:rsidRPr="00170114">
        <w:rPr>
          <w:rFonts w:asciiTheme="majorHAnsi" w:hAnsiTheme="majorHAnsi" w:cstheme="majorHAnsi"/>
          <w:vertAlign w:val="superscript"/>
        </w:rPr>
        <w:t>3</w:t>
      </w:r>
      <w:r>
        <w:rPr>
          <w:rFonts w:asciiTheme="majorHAnsi" w:hAnsiTheme="majorHAnsi" w:cstheme="majorHAnsi"/>
        </w:rPr>
        <w:t>,</w:t>
      </w:r>
      <w:r w:rsidR="00D86B4F" w:rsidRPr="0055174B">
        <w:rPr>
          <w:rFonts w:asciiTheme="majorHAnsi" w:hAnsiTheme="majorHAnsi" w:cstheme="majorHAnsi"/>
        </w:rPr>
        <w:t xml:space="preserve"> </w:t>
      </w:r>
      <w:r w:rsidRPr="0055174B">
        <w:rPr>
          <w:rFonts w:asciiTheme="majorHAnsi" w:hAnsiTheme="majorHAnsi" w:cstheme="majorHAnsi"/>
        </w:rPr>
        <w:t>Thomas Begley</w:t>
      </w:r>
      <w:r w:rsidR="00A944EB" w:rsidRPr="0055174B">
        <w:rPr>
          <w:rFonts w:asciiTheme="majorHAnsi" w:hAnsiTheme="majorHAnsi" w:cstheme="majorHAnsi"/>
          <w:vertAlign w:val="superscript"/>
        </w:rPr>
        <w:t>2</w:t>
      </w:r>
      <w:r w:rsidR="00170114">
        <w:rPr>
          <w:rFonts w:asciiTheme="majorHAnsi" w:hAnsiTheme="majorHAnsi" w:cstheme="majorHAnsi"/>
          <w:vertAlign w:val="superscript"/>
        </w:rPr>
        <w:t>,</w:t>
      </w:r>
      <w:r w:rsidR="00170114" w:rsidRPr="00170114">
        <w:rPr>
          <w:rFonts w:asciiTheme="majorHAnsi" w:hAnsiTheme="majorHAnsi" w:cstheme="majorHAnsi"/>
          <w:vertAlign w:val="superscript"/>
        </w:rPr>
        <w:t>3</w:t>
      </w:r>
      <w:r>
        <w:rPr>
          <w:rFonts w:asciiTheme="majorHAnsi" w:hAnsiTheme="majorHAnsi" w:cstheme="majorHAnsi"/>
        </w:rPr>
        <w:t>,</w:t>
      </w:r>
      <w:r w:rsidR="00D86B4F" w:rsidRPr="0055174B">
        <w:rPr>
          <w:rFonts w:asciiTheme="majorHAnsi" w:hAnsiTheme="majorHAnsi" w:cstheme="majorHAnsi"/>
        </w:rPr>
        <w:t xml:space="preserve"> </w:t>
      </w:r>
      <w:r w:rsidRPr="0055174B">
        <w:rPr>
          <w:rFonts w:asciiTheme="majorHAnsi" w:hAnsiTheme="majorHAnsi" w:cstheme="majorHAnsi"/>
          <w:lang w:val=""/>
        </w:rPr>
        <w:t xml:space="preserve">J. </w:t>
      </w:r>
      <w:r w:rsidRPr="00D172DB">
        <w:rPr>
          <w:rFonts w:asciiTheme="majorHAnsi" w:hAnsiTheme="majorHAnsi" w:cstheme="majorHAnsi"/>
          <w:lang w:val=""/>
        </w:rPr>
        <w:t>Andres Melendez</w:t>
      </w:r>
      <w:r w:rsidR="00A944EB" w:rsidRPr="0055174B">
        <w:rPr>
          <w:rFonts w:asciiTheme="majorHAnsi" w:hAnsiTheme="majorHAnsi" w:cstheme="majorHAnsi"/>
          <w:vertAlign w:val="superscript"/>
        </w:rPr>
        <w:t>1</w:t>
      </w:r>
      <w:r w:rsidR="00170114">
        <w:rPr>
          <w:rFonts w:asciiTheme="majorHAnsi" w:hAnsiTheme="majorHAnsi" w:cstheme="majorHAnsi"/>
          <w:vertAlign w:val="superscript"/>
        </w:rPr>
        <w:t>,</w:t>
      </w:r>
      <w:r w:rsidR="00170114" w:rsidRPr="00170114">
        <w:rPr>
          <w:rFonts w:asciiTheme="majorHAnsi" w:hAnsiTheme="majorHAnsi" w:cstheme="majorHAnsi"/>
          <w:vertAlign w:val="superscript"/>
        </w:rPr>
        <w:t>3</w:t>
      </w:r>
    </w:p>
    <w:p w14:paraId="074999B3" w14:textId="77777777" w:rsidR="00A944EB" w:rsidRPr="0055174B" w:rsidRDefault="00A944EB" w:rsidP="00DA3C5C">
      <w:pPr>
        <w:pBdr>
          <w:top w:val="nil"/>
          <w:left w:val="nil"/>
          <w:bottom w:val="nil"/>
          <w:right w:val="nil"/>
          <w:between w:val="nil"/>
        </w:pBdr>
        <w:rPr>
          <w:rFonts w:asciiTheme="majorHAnsi" w:hAnsiTheme="majorHAnsi" w:cstheme="majorHAnsi"/>
        </w:rPr>
      </w:pPr>
    </w:p>
    <w:p w14:paraId="1B5FB6CF" w14:textId="5B61C14D" w:rsidR="00A944EB" w:rsidRPr="0055174B" w:rsidRDefault="00000000" w:rsidP="00A944EB">
      <w:pPr>
        <w:pBdr>
          <w:top w:val="nil"/>
          <w:left w:val="nil"/>
          <w:bottom w:val="nil"/>
          <w:right w:val="nil"/>
          <w:between w:val="nil"/>
        </w:pBdr>
        <w:rPr>
          <w:rFonts w:asciiTheme="majorHAnsi" w:hAnsiTheme="majorHAnsi" w:cstheme="majorHAnsi"/>
        </w:rPr>
      </w:pPr>
      <w:r w:rsidRPr="0055174B">
        <w:rPr>
          <w:rFonts w:asciiTheme="majorHAnsi" w:hAnsiTheme="majorHAnsi" w:cstheme="majorHAnsi"/>
          <w:vertAlign w:val="superscript"/>
        </w:rPr>
        <w:t>1</w:t>
      </w:r>
      <w:r w:rsidRPr="0055174B">
        <w:rPr>
          <w:rFonts w:asciiTheme="majorHAnsi" w:hAnsiTheme="majorHAnsi" w:cstheme="majorHAnsi"/>
        </w:rPr>
        <w:t>Department of Nanoscale Sciences and Engineering, University at Albany, State University of New York.</w:t>
      </w:r>
    </w:p>
    <w:p w14:paraId="6A74AA27" w14:textId="233B3DAE" w:rsidR="00A944EB" w:rsidRPr="00170114" w:rsidRDefault="00000000" w:rsidP="00A944EB">
      <w:pPr>
        <w:pBdr>
          <w:top w:val="nil"/>
          <w:left w:val="nil"/>
          <w:bottom w:val="nil"/>
          <w:right w:val="nil"/>
          <w:between w:val="nil"/>
        </w:pBdr>
        <w:rPr>
          <w:rFonts w:asciiTheme="majorHAnsi" w:hAnsiTheme="majorHAnsi" w:cstheme="majorHAnsi"/>
        </w:rPr>
      </w:pPr>
      <w:r w:rsidRPr="00170114">
        <w:rPr>
          <w:rFonts w:asciiTheme="majorHAnsi" w:hAnsiTheme="majorHAnsi" w:cstheme="majorHAnsi"/>
          <w:vertAlign w:val="superscript"/>
        </w:rPr>
        <w:t>2</w:t>
      </w:r>
      <w:r w:rsidRPr="00170114">
        <w:rPr>
          <w:rFonts w:asciiTheme="majorHAnsi" w:hAnsiTheme="majorHAnsi" w:cstheme="majorHAnsi"/>
        </w:rPr>
        <w:t>Department of Biological Sciences, University at Albany, State University of New York.</w:t>
      </w:r>
    </w:p>
    <w:p w14:paraId="65F8D1B9" w14:textId="53F416FD" w:rsidR="00170114" w:rsidRPr="00170114" w:rsidRDefault="00000000" w:rsidP="00A944EB">
      <w:pPr>
        <w:pBdr>
          <w:top w:val="nil"/>
          <w:left w:val="nil"/>
          <w:bottom w:val="nil"/>
          <w:right w:val="nil"/>
          <w:between w:val="nil"/>
        </w:pBdr>
        <w:rPr>
          <w:rFonts w:asciiTheme="majorHAnsi" w:hAnsiTheme="majorHAnsi" w:cstheme="majorHAnsi"/>
        </w:rPr>
      </w:pPr>
      <w:r w:rsidRPr="00170114">
        <w:rPr>
          <w:rFonts w:asciiTheme="majorHAnsi" w:hAnsiTheme="majorHAnsi" w:cstheme="majorHAnsi"/>
          <w:vertAlign w:val="superscript"/>
        </w:rPr>
        <w:t>3</w:t>
      </w:r>
      <w:r w:rsidRPr="00170114">
        <w:rPr>
          <w:rFonts w:asciiTheme="majorHAnsi" w:hAnsiTheme="majorHAnsi" w:cstheme="majorHAnsi"/>
        </w:rPr>
        <w:t xml:space="preserve">The </w:t>
      </w:r>
      <w:r w:rsidRPr="00170114">
        <w:rPr>
          <w:rFonts w:asciiTheme="majorHAnsi" w:hAnsiTheme="majorHAnsi" w:cstheme="majorHAnsi"/>
          <w:color w:val="212121"/>
          <w:shd w:val="clear" w:color="auto" w:fill="FFFFFF"/>
        </w:rPr>
        <w:t xml:space="preserve">RNA </w:t>
      </w:r>
      <w:r w:rsidR="003A3856">
        <w:rPr>
          <w:rFonts w:asciiTheme="majorHAnsi" w:hAnsiTheme="majorHAnsi" w:cstheme="majorHAnsi"/>
          <w:color w:val="212121"/>
          <w:shd w:val="clear" w:color="auto" w:fill="FFFFFF"/>
        </w:rPr>
        <w:t>I</w:t>
      </w:r>
      <w:r w:rsidRPr="00170114">
        <w:rPr>
          <w:rFonts w:asciiTheme="majorHAnsi" w:hAnsiTheme="majorHAnsi" w:cstheme="majorHAnsi"/>
          <w:color w:val="212121"/>
          <w:shd w:val="clear" w:color="auto" w:fill="FFFFFF"/>
        </w:rPr>
        <w:t>nstitute,</w:t>
      </w:r>
      <w:r w:rsidRPr="00170114">
        <w:rPr>
          <w:rFonts w:asciiTheme="majorHAnsi" w:hAnsiTheme="majorHAnsi" w:cstheme="majorHAnsi"/>
        </w:rPr>
        <w:t xml:space="preserve"> University at Albany, State University of New York.</w:t>
      </w:r>
    </w:p>
    <w:p w14:paraId="18B0902F" w14:textId="77777777" w:rsidR="00A944EB" w:rsidRPr="0055174B" w:rsidRDefault="00A944EB" w:rsidP="00A944EB">
      <w:pPr>
        <w:pBdr>
          <w:top w:val="nil"/>
          <w:left w:val="nil"/>
          <w:bottom w:val="nil"/>
          <w:right w:val="nil"/>
          <w:between w:val="nil"/>
        </w:pBdr>
        <w:rPr>
          <w:rFonts w:asciiTheme="majorHAnsi" w:hAnsiTheme="majorHAnsi" w:cstheme="majorHAnsi"/>
        </w:rPr>
      </w:pPr>
    </w:p>
    <w:p w14:paraId="74CE7B44" w14:textId="1CA26458" w:rsidR="00A944EB" w:rsidRPr="0055174B" w:rsidRDefault="00000000" w:rsidP="00A944EB">
      <w:pPr>
        <w:pBdr>
          <w:top w:val="nil"/>
          <w:left w:val="nil"/>
          <w:bottom w:val="nil"/>
          <w:right w:val="nil"/>
          <w:between w:val="nil"/>
        </w:pBdr>
        <w:rPr>
          <w:rFonts w:asciiTheme="majorHAnsi" w:hAnsiTheme="majorHAnsi" w:cstheme="majorHAnsi"/>
          <w:b/>
          <w:bCs/>
          <w:lang w:val=""/>
        </w:rPr>
      </w:pPr>
      <w:r>
        <w:rPr>
          <w:rFonts w:asciiTheme="majorHAnsi" w:hAnsiTheme="majorHAnsi" w:cstheme="majorHAnsi"/>
          <w:b/>
          <w:bCs/>
          <w:lang w:val=""/>
        </w:rPr>
        <w:t>Email address of the c</w:t>
      </w:r>
      <w:r w:rsidRPr="0055174B">
        <w:rPr>
          <w:rFonts w:asciiTheme="majorHAnsi" w:hAnsiTheme="majorHAnsi" w:cstheme="majorHAnsi"/>
          <w:b/>
          <w:bCs/>
          <w:lang w:val=""/>
        </w:rPr>
        <w:t xml:space="preserve">orresponding authors: </w:t>
      </w:r>
    </w:p>
    <w:p w14:paraId="27116853" w14:textId="19CB06A6" w:rsidR="0055174B" w:rsidRPr="0055174B" w:rsidRDefault="00000000" w:rsidP="00A944EB">
      <w:pPr>
        <w:pBdr>
          <w:top w:val="nil"/>
          <w:left w:val="nil"/>
          <w:bottom w:val="nil"/>
          <w:right w:val="nil"/>
          <w:between w:val="nil"/>
        </w:pBdr>
        <w:rPr>
          <w:rFonts w:asciiTheme="majorHAnsi" w:hAnsiTheme="majorHAnsi" w:cstheme="majorHAnsi"/>
          <w:lang w:val=""/>
        </w:rPr>
      </w:pPr>
      <w:r w:rsidRPr="0055174B">
        <w:rPr>
          <w:rFonts w:asciiTheme="majorHAnsi" w:hAnsiTheme="majorHAnsi" w:cstheme="majorHAnsi"/>
          <w:lang w:val=""/>
        </w:rPr>
        <w:t xml:space="preserve">Javier Estrada Toro </w:t>
      </w:r>
      <w:r w:rsidR="00FC2E91">
        <w:rPr>
          <w:rFonts w:asciiTheme="majorHAnsi" w:hAnsiTheme="majorHAnsi" w:cstheme="majorHAnsi"/>
          <w:lang w:val=""/>
        </w:rPr>
        <w:tab/>
      </w:r>
      <w:r w:rsidR="00D471FD">
        <w:rPr>
          <w:rFonts w:asciiTheme="majorHAnsi" w:hAnsiTheme="majorHAnsi" w:cstheme="majorHAnsi"/>
          <w:lang w:val=""/>
        </w:rPr>
        <w:tab/>
      </w:r>
      <w:r w:rsidRPr="0055174B">
        <w:rPr>
          <w:rFonts w:asciiTheme="majorHAnsi" w:hAnsiTheme="majorHAnsi" w:cstheme="majorHAnsi"/>
          <w:lang w:val=""/>
        </w:rPr>
        <w:t>jestrada3@albany.edu</w:t>
      </w:r>
    </w:p>
    <w:p w14:paraId="4F0178D9" w14:textId="76B164EA" w:rsidR="0055174B" w:rsidRPr="00D172DB" w:rsidRDefault="00000000" w:rsidP="00A944EB">
      <w:pPr>
        <w:pBdr>
          <w:top w:val="nil"/>
          <w:left w:val="nil"/>
          <w:bottom w:val="nil"/>
          <w:right w:val="nil"/>
          <w:between w:val="nil"/>
        </w:pBdr>
        <w:rPr>
          <w:rFonts w:asciiTheme="majorHAnsi" w:hAnsiTheme="majorHAnsi" w:cstheme="majorHAnsi"/>
          <w:lang w:val=""/>
        </w:rPr>
      </w:pPr>
      <w:r w:rsidRPr="0055174B">
        <w:rPr>
          <w:rFonts w:asciiTheme="majorHAnsi" w:hAnsiTheme="majorHAnsi" w:cstheme="majorHAnsi"/>
          <w:lang w:val=""/>
        </w:rPr>
        <w:t xml:space="preserve">J. </w:t>
      </w:r>
      <w:r w:rsidRPr="00D172DB">
        <w:rPr>
          <w:rFonts w:asciiTheme="majorHAnsi" w:hAnsiTheme="majorHAnsi" w:cstheme="majorHAnsi"/>
          <w:lang w:val=""/>
        </w:rPr>
        <w:t xml:space="preserve">Andres Melendez </w:t>
      </w:r>
      <w:r w:rsidR="00FC2E91" w:rsidRPr="00D172DB">
        <w:rPr>
          <w:rFonts w:asciiTheme="majorHAnsi" w:hAnsiTheme="majorHAnsi" w:cstheme="majorHAnsi"/>
          <w:lang w:val=""/>
        </w:rPr>
        <w:tab/>
      </w:r>
      <w:r w:rsidR="00D471FD">
        <w:rPr>
          <w:rFonts w:asciiTheme="majorHAnsi" w:hAnsiTheme="majorHAnsi" w:cstheme="majorHAnsi"/>
          <w:lang w:val=""/>
        </w:rPr>
        <w:tab/>
      </w:r>
      <w:r w:rsidRPr="00D172DB">
        <w:rPr>
          <w:rFonts w:asciiTheme="majorHAnsi" w:hAnsiTheme="majorHAnsi" w:cstheme="majorHAnsi"/>
          <w:lang w:val=""/>
        </w:rPr>
        <w:t>jmelendez@albany.edu</w:t>
      </w:r>
    </w:p>
    <w:p w14:paraId="46F3B85F" w14:textId="77777777" w:rsidR="0055174B" w:rsidRPr="00D172DB" w:rsidRDefault="0055174B" w:rsidP="00A944EB">
      <w:pPr>
        <w:pBdr>
          <w:top w:val="nil"/>
          <w:left w:val="nil"/>
          <w:bottom w:val="nil"/>
          <w:right w:val="nil"/>
          <w:between w:val="nil"/>
        </w:pBdr>
        <w:rPr>
          <w:rFonts w:asciiTheme="majorHAnsi" w:hAnsiTheme="majorHAnsi" w:cstheme="majorHAnsi"/>
          <w:lang w:val=""/>
        </w:rPr>
      </w:pPr>
    </w:p>
    <w:p w14:paraId="20831CDB" w14:textId="04228441" w:rsidR="0055174B" w:rsidRPr="00D172DB" w:rsidRDefault="00000000" w:rsidP="00A944EB">
      <w:pPr>
        <w:pBdr>
          <w:top w:val="nil"/>
          <w:left w:val="nil"/>
          <w:bottom w:val="nil"/>
          <w:right w:val="nil"/>
          <w:between w:val="nil"/>
        </w:pBdr>
        <w:rPr>
          <w:rFonts w:asciiTheme="majorHAnsi" w:hAnsiTheme="majorHAnsi" w:cstheme="majorHAnsi"/>
          <w:b/>
          <w:bCs/>
          <w:lang w:val=""/>
        </w:rPr>
      </w:pPr>
      <w:r>
        <w:rPr>
          <w:rFonts w:asciiTheme="majorHAnsi" w:hAnsiTheme="majorHAnsi" w:cstheme="majorHAnsi"/>
          <w:b/>
          <w:bCs/>
          <w:lang w:val=""/>
        </w:rPr>
        <w:t>Email addresses of the c</w:t>
      </w:r>
      <w:r w:rsidRPr="00D172DB">
        <w:rPr>
          <w:rFonts w:asciiTheme="majorHAnsi" w:hAnsiTheme="majorHAnsi" w:cstheme="majorHAnsi"/>
          <w:b/>
          <w:bCs/>
          <w:lang w:val=""/>
        </w:rPr>
        <w:t>o-Authors:</w:t>
      </w:r>
    </w:p>
    <w:p w14:paraId="32F7523A" w14:textId="39B2E053" w:rsidR="0055174B" w:rsidRPr="00D172DB" w:rsidRDefault="00000000" w:rsidP="00A944EB">
      <w:pPr>
        <w:pBdr>
          <w:top w:val="nil"/>
          <w:left w:val="nil"/>
          <w:bottom w:val="nil"/>
          <w:right w:val="nil"/>
          <w:between w:val="nil"/>
        </w:pBdr>
        <w:rPr>
          <w:rFonts w:asciiTheme="majorHAnsi" w:hAnsiTheme="majorHAnsi" w:cstheme="majorHAnsi"/>
          <w:lang w:val=""/>
        </w:rPr>
      </w:pPr>
      <w:r w:rsidRPr="00D172DB">
        <w:rPr>
          <w:rFonts w:asciiTheme="majorHAnsi" w:hAnsiTheme="majorHAnsi" w:cstheme="majorHAnsi"/>
          <w:lang w:val=""/>
        </w:rPr>
        <w:t xml:space="preserve">Scott Tenenbaum </w:t>
      </w:r>
      <w:r w:rsidR="00FC2E91" w:rsidRPr="00D172DB">
        <w:rPr>
          <w:rFonts w:asciiTheme="majorHAnsi" w:hAnsiTheme="majorHAnsi" w:cstheme="majorHAnsi"/>
          <w:lang w:val=""/>
        </w:rPr>
        <w:tab/>
      </w:r>
      <w:r w:rsidR="00D471FD">
        <w:rPr>
          <w:rFonts w:asciiTheme="majorHAnsi" w:hAnsiTheme="majorHAnsi" w:cstheme="majorHAnsi"/>
          <w:lang w:val=""/>
        </w:rPr>
        <w:tab/>
      </w:r>
      <w:r w:rsidRPr="00D172DB">
        <w:rPr>
          <w:rFonts w:asciiTheme="majorHAnsi" w:hAnsiTheme="majorHAnsi" w:cstheme="majorHAnsi"/>
          <w:lang w:val=""/>
        </w:rPr>
        <w:t>stenenbaum@albany.edu</w:t>
      </w:r>
    </w:p>
    <w:p w14:paraId="7BB42A42" w14:textId="4C6A7CCC" w:rsidR="0055174B" w:rsidRPr="0055174B" w:rsidRDefault="00000000" w:rsidP="00A944EB">
      <w:pPr>
        <w:pBdr>
          <w:top w:val="nil"/>
          <w:left w:val="nil"/>
          <w:bottom w:val="nil"/>
          <w:right w:val="nil"/>
          <w:between w:val="nil"/>
        </w:pBdr>
        <w:rPr>
          <w:rFonts w:asciiTheme="majorHAnsi" w:hAnsiTheme="majorHAnsi" w:cstheme="majorHAnsi"/>
          <w:lang w:val=""/>
        </w:rPr>
      </w:pPr>
      <w:r w:rsidRPr="0055174B">
        <w:rPr>
          <w:rFonts w:asciiTheme="majorHAnsi" w:hAnsiTheme="majorHAnsi" w:cstheme="majorHAnsi"/>
          <w:lang w:val=""/>
        </w:rPr>
        <w:t xml:space="preserve">Melinda Larsen </w:t>
      </w:r>
      <w:r w:rsidR="00FC2E91">
        <w:rPr>
          <w:rFonts w:asciiTheme="majorHAnsi" w:hAnsiTheme="majorHAnsi" w:cstheme="majorHAnsi"/>
          <w:lang w:val=""/>
        </w:rPr>
        <w:tab/>
      </w:r>
      <w:r w:rsidR="00D471FD">
        <w:rPr>
          <w:rFonts w:asciiTheme="majorHAnsi" w:hAnsiTheme="majorHAnsi" w:cstheme="majorHAnsi"/>
          <w:lang w:val=""/>
        </w:rPr>
        <w:tab/>
      </w:r>
      <w:r w:rsidRPr="0055174B">
        <w:rPr>
          <w:rFonts w:asciiTheme="majorHAnsi" w:hAnsiTheme="majorHAnsi" w:cstheme="majorHAnsi"/>
          <w:lang w:val=""/>
        </w:rPr>
        <w:t>mlarsen@albany.edu</w:t>
      </w:r>
    </w:p>
    <w:p w14:paraId="7DCA1883" w14:textId="76B74BCE" w:rsidR="0055174B" w:rsidRDefault="00000000" w:rsidP="00A944EB">
      <w:pPr>
        <w:pBdr>
          <w:top w:val="nil"/>
          <w:left w:val="nil"/>
          <w:bottom w:val="nil"/>
          <w:right w:val="nil"/>
          <w:between w:val="nil"/>
        </w:pBdr>
        <w:rPr>
          <w:rFonts w:asciiTheme="majorHAnsi" w:hAnsiTheme="majorHAnsi" w:cstheme="majorHAnsi"/>
        </w:rPr>
      </w:pPr>
      <w:r w:rsidRPr="0055174B">
        <w:rPr>
          <w:rFonts w:asciiTheme="majorHAnsi" w:hAnsiTheme="majorHAnsi" w:cstheme="majorHAnsi"/>
        </w:rPr>
        <w:t>Thomas Begley</w:t>
      </w:r>
      <w:r>
        <w:rPr>
          <w:rFonts w:asciiTheme="majorHAnsi" w:hAnsiTheme="majorHAnsi" w:cstheme="majorHAnsi"/>
        </w:rPr>
        <w:t xml:space="preserve"> </w:t>
      </w:r>
      <w:r w:rsidR="00FC2E91">
        <w:rPr>
          <w:rFonts w:asciiTheme="majorHAnsi" w:hAnsiTheme="majorHAnsi" w:cstheme="majorHAnsi"/>
        </w:rPr>
        <w:tab/>
      </w:r>
      <w:r w:rsidR="00D471FD">
        <w:rPr>
          <w:rFonts w:asciiTheme="majorHAnsi" w:hAnsiTheme="majorHAnsi" w:cstheme="majorHAnsi"/>
        </w:rPr>
        <w:tab/>
      </w:r>
      <w:r w:rsidR="008E6A24" w:rsidRPr="008E6A24">
        <w:rPr>
          <w:rFonts w:asciiTheme="majorHAnsi" w:hAnsiTheme="majorHAnsi" w:cstheme="majorHAnsi"/>
        </w:rPr>
        <w:t>tbegley@albany.edu</w:t>
      </w:r>
    </w:p>
    <w:p w14:paraId="75CBEBEF" w14:textId="77777777" w:rsidR="008E6A24" w:rsidRDefault="008E6A24" w:rsidP="00A944EB">
      <w:pPr>
        <w:pBdr>
          <w:top w:val="nil"/>
          <w:left w:val="nil"/>
          <w:bottom w:val="nil"/>
          <w:right w:val="nil"/>
          <w:between w:val="nil"/>
        </w:pBdr>
        <w:rPr>
          <w:rFonts w:asciiTheme="majorHAnsi" w:hAnsiTheme="majorHAnsi" w:cstheme="majorHAnsi"/>
        </w:rPr>
      </w:pPr>
    </w:p>
    <w:p w14:paraId="0E32E7DB" w14:textId="5A2E80AE" w:rsidR="008E6A24" w:rsidRPr="008E6A24" w:rsidRDefault="00000000" w:rsidP="008E6A24">
      <w:pPr>
        <w:pBdr>
          <w:top w:val="nil"/>
          <w:left w:val="nil"/>
          <w:bottom w:val="nil"/>
          <w:right w:val="nil"/>
          <w:between w:val="nil"/>
        </w:pBdr>
        <w:rPr>
          <w:rFonts w:asciiTheme="majorHAnsi" w:hAnsiTheme="majorHAnsi" w:cstheme="majorHAnsi"/>
        </w:rPr>
      </w:pPr>
      <w:r w:rsidRPr="008E6A24">
        <w:rPr>
          <w:rFonts w:asciiTheme="majorHAnsi" w:hAnsiTheme="majorHAnsi" w:cstheme="majorHAnsi"/>
          <w:b/>
          <w:bCs/>
        </w:rPr>
        <w:t>Keywords:</w:t>
      </w:r>
    </w:p>
    <w:p w14:paraId="51F57AE6" w14:textId="6985F913" w:rsidR="008E6A24" w:rsidRPr="008E6A24" w:rsidRDefault="00000000" w:rsidP="008E6A24">
      <w:pPr>
        <w:pBdr>
          <w:top w:val="nil"/>
          <w:left w:val="nil"/>
          <w:bottom w:val="nil"/>
          <w:right w:val="nil"/>
          <w:between w:val="nil"/>
        </w:pBdr>
        <w:rPr>
          <w:rFonts w:asciiTheme="majorHAnsi" w:hAnsiTheme="majorHAnsi" w:cstheme="majorHAnsi"/>
        </w:rPr>
      </w:pPr>
      <w:r w:rsidRPr="008E6A24">
        <w:rPr>
          <w:rFonts w:asciiTheme="majorHAnsi" w:hAnsiTheme="majorHAnsi" w:cstheme="majorHAnsi"/>
        </w:rPr>
        <w:t>Cellular senescence; lysosome; LysoTracker Deep Red; IMR-90 fibroblasts; live-cell imaging; lysosomal profiling; replicative senescence; SA-β-Gal; fluorescence microscopy</w:t>
      </w:r>
    </w:p>
    <w:p w14:paraId="2A568E05" w14:textId="77777777" w:rsidR="00D86B4F" w:rsidRPr="0055174B" w:rsidRDefault="00D86B4F" w:rsidP="00DA3C5C">
      <w:pPr>
        <w:pBdr>
          <w:top w:val="nil"/>
          <w:left w:val="nil"/>
          <w:bottom w:val="nil"/>
          <w:right w:val="nil"/>
          <w:between w:val="nil"/>
        </w:pBdr>
        <w:rPr>
          <w:rFonts w:asciiTheme="majorHAnsi" w:hAnsiTheme="majorHAnsi" w:cstheme="majorHAnsi"/>
        </w:rPr>
      </w:pPr>
    </w:p>
    <w:p w14:paraId="60F3B8D4" w14:textId="3B3A8926" w:rsidR="006E4797" w:rsidRPr="0055174B" w:rsidRDefault="00000000" w:rsidP="00DA3C5C">
      <w:pPr>
        <w:rPr>
          <w:rFonts w:asciiTheme="majorHAnsi" w:hAnsiTheme="majorHAnsi" w:cstheme="majorHAnsi"/>
        </w:rPr>
      </w:pPr>
      <w:r w:rsidRPr="0055174B">
        <w:rPr>
          <w:rFonts w:asciiTheme="majorHAnsi" w:hAnsiTheme="majorHAnsi" w:cstheme="majorHAnsi"/>
          <w:b/>
        </w:rPr>
        <w:t>SUMMARY:</w:t>
      </w:r>
    </w:p>
    <w:p w14:paraId="74EFC8D7" w14:textId="69CCD1AE" w:rsidR="006E4797" w:rsidRDefault="00000000" w:rsidP="00DA3C5C">
      <w:pPr>
        <w:rPr>
          <w:rFonts w:asciiTheme="majorHAnsi" w:hAnsiTheme="majorHAnsi" w:cstheme="majorHAnsi"/>
        </w:rPr>
      </w:pPr>
      <w:r w:rsidRPr="009D76B7">
        <w:rPr>
          <w:rFonts w:asciiTheme="majorHAnsi" w:hAnsiTheme="majorHAnsi" w:cstheme="majorHAnsi"/>
        </w:rPr>
        <w:t>This article presents a live-cell LysoTracker protocol to measure lysosomal remodeling during senescence in IMR-90 human fibroblasts.</w:t>
      </w:r>
    </w:p>
    <w:p w14:paraId="6EBB14B4" w14:textId="77777777" w:rsidR="009D76B7" w:rsidRPr="0055174B" w:rsidRDefault="009D76B7" w:rsidP="00DA3C5C">
      <w:pPr>
        <w:rPr>
          <w:rFonts w:asciiTheme="majorHAnsi" w:hAnsiTheme="majorHAnsi" w:cstheme="majorHAnsi"/>
        </w:rPr>
      </w:pPr>
    </w:p>
    <w:p w14:paraId="2DF8E628" w14:textId="61BCEE25" w:rsidR="006E4797" w:rsidRPr="0055174B" w:rsidRDefault="00000000" w:rsidP="00DA3C5C">
      <w:pPr>
        <w:rPr>
          <w:rFonts w:asciiTheme="majorHAnsi" w:hAnsiTheme="majorHAnsi" w:cstheme="majorHAnsi"/>
        </w:rPr>
      </w:pPr>
      <w:r w:rsidRPr="0055174B">
        <w:rPr>
          <w:rFonts w:asciiTheme="majorHAnsi" w:hAnsiTheme="majorHAnsi" w:cstheme="majorHAnsi"/>
          <w:b/>
        </w:rPr>
        <w:t>ABSTRACT:</w:t>
      </w:r>
    </w:p>
    <w:p w14:paraId="2CF9CD54" w14:textId="4A655D95" w:rsidR="006E4797" w:rsidRDefault="00000000" w:rsidP="00DA3C5C">
      <w:pPr>
        <w:rPr>
          <w:rFonts w:asciiTheme="majorHAnsi" w:hAnsiTheme="majorHAnsi" w:cstheme="majorHAnsi"/>
        </w:rPr>
      </w:pPr>
      <w:r w:rsidRPr="009D76B7">
        <w:rPr>
          <w:rFonts w:asciiTheme="majorHAnsi" w:hAnsiTheme="majorHAnsi" w:cstheme="majorHAnsi"/>
        </w:rPr>
        <w:t xml:space="preserve">Cellular senescence is a stable cell-cycle arrest state associated with characteristic phenotypes, including enlarged cell morphology, altered secretory signaling, and pronounced lysosomal remodeling. Senescent cells commonly </w:t>
      </w:r>
      <w:r w:rsidR="00165D83">
        <w:rPr>
          <w:rFonts w:asciiTheme="majorHAnsi" w:hAnsiTheme="majorHAnsi" w:cstheme="majorHAnsi"/>
        </w:rPr>
        <w:t>exhibit expansion of the acidic endo-lysosomal compartment, accompanied by</w:t>
      </w:r>
      <w:r w:rsidRPr="009D76B7">
        <w:rPr>
          <w:rFonts w:asciiTheme="majorHAnsi" w:hAnsiTheme="majorHAnsi" w:cstheme="majorHAnsi"/>
        </w:rPr>
        <w:t xml:space="preserve"> changes in luminal acidity and degradative capacity, creating an opportunity for simple live-cell readouts of senescence-linked organelle remodeling. This work describes a live-cell imaging protocol that uses LysoTracker Deep Red, an acidotropic fluorescent dye, to provide an indirect, pH-dependent proxy for the acidic organelle compartment as a correlate of senescence burden. The method is demonstrated in IMR-90 human lung fibroblasts undergoing replicative senescence across serial passaging. The protocol details cell culture and passage tracking, LysoTracker staining, fluorescence imaging, and image-based quantification of lysosomal signal intensity and signal-positive area per cell. Senescence-associated β-galactosidase (SA-β-Gal) staining on parallel cultures is included as an optional confirmatory marker rather than a reference standard. Representative outcomes show higher </w:t>
      </w:r>
      <w:r w:rsidR="00165D83">
        <w:rPr>
          <w:rFonts w:asciiTheme="majorHAnsi" w:hAnsiTheme="majorHAnsi" w:cstheme="majorHAnsi"/>
        </w:rPr>
        <w:t>a</w:t>
      </w:r>
      <w:r w:rsidR="00165D83" w:rsidRPr="00165D83">
        <w:rPr>
          <w:rFonts w:asciiTheme="majorHAnsi" w:hAnsiTheme="majorHAnsi" w:cstheme="majorHAnsi"/>
        </w:rPr>
        <w:t xml:space="preserve">cidotropic </w:t>
      </w:r>
      <w:r w:rsidR="00165D83" w:rsidRPr="00165D83">
        <w:rPr>
          <w:rFonts w:asciiTheme="majorHAnsi" w:hAnsiTheme="majorHAnsi" w:cstheme="majorHAnsi"/>
        </w:rPr>
        <w:lastRenderedPageBreak/>
        <w:t>fluorescent dye</w:t>
      </w:r>
      <w:r w:rsidRPr="009D76B7">
        <w:rPr>
          <w:rFonts w:asciiTheme="majorHAnsi" w:hAnsiTheme="majorHAnsi" w:cstheme="majorHAnsi"/>
        </w:rPr>
        <w:t xml:space="preserve"> signal and larger lyso-positive regions in late-passage cultures than in early-passage controls, consistent with expansion of the acidic organelle compartment during senescence. Because the readout depends on compartment volume, proton gradient, and dye availability, it is best interpreted as an indirect correlate of lysosomal remodeling rather than a direct measure of lysosome number or biogenesis. The protocol is simple to adopt and can be adapted to other cell types or senescence-inducing stresses, providing a practical, quantitative complement to conventional endpoint assays.</w:t>
      </w:r>
    </w:p>
    <w:p w14:paraId="2F5F382D" w14:textId="77777777" w:rsidR="009D76B7" w:rsidRPr="0055174B" w:rsidRDefault="009D76B7" w:rsidP="00DA3C5C">
      <w:pPr>
        <w:rPr>
          <w:rFonts w:asciiTheme="majorHAnsi" w:hAnsiTheme="majorHAnsi" w:cstheme="majorHAnsi"/>
        </w:rPr>
      </w:pPr>
    </w:p>
    <w:p w14:paraId="0646E204" w14:textId="7018863F" w:rsidR="006E4797" w:rsidRPr="0055174B" w:rsidRDefault="00000000" w:rsidP="00DA3C5C">
      <w:pPr>
        <w:rPr>
          <w:rFonts w:asciiTheme="majorHAnsi" w:hAnsiTheme="majorHAnsi" w:cstheme="majorHAnsi"/>
        </w:rPr>
      </w:pPr>
      <w:r w:rsidRPr="0055174B">
        <w:rPr>
          <w:rFonts w:asciiTheme="majorHAnsi" w:hAnsiTheme="majorHAnsi" w:cstheme="majorHAnsi"/>
          <w:b/>
        </w:rPr>
        <w:t>INTRODUCTION:</w:t>
      </w:r>
      <w:r w:rsidRPr="0055174B">
        <w:rPr>
          <w:rFonts w:asciiTheme="majorHAnsi" w:hAnsiTheme="majorHAnsi" w:cstheme="majorHAnsi"/>
        </w:rPr>
        <w:t xml:space="preserve"> </w:t>
      </w:r>
    </w:p>
    <w:p w14:paraId="27A000DB" w14:textId="40481283" w:rsidR="009D76B7" w:rsidRDefault="00000000" w:rsidP="009D76B7">
      <w:pPr>
        <w:rPr>
          <w:rFonts w:asciiTheme="majorHAnsi" w:hAnsiTheme="majorHAnsi" w:cstheme="majorBidi"/>
        </w:rPr>
      </w:pPr>
      <w:r w:rsidRPr="009D76B7">
        <w:rPr>
          <w:rFonts w:asciiTheme="majorHAnsi" w:hAnsiTheme="majorHAnsi" w:cstheme="majorBidi"/>
        </w:rPr>
        <w:t>Cellular senescence is a durable cell-cycle arrest program activated by various stresses and aging-related triggers</w:t>
      </w:r>
      <w:r w:rsidRPr="009D76B7">
        <w:rPr>
          <w:rFonts w:asciiTheme="majorHAnsi" w:hAnsiTheme="majorHAnsi" w:cstheme="majorBidi"/>
          <w:vertAlign w:val="superscript"/>
        </w:rPr>
        <w:t>1–4</w:t>
      </w:r>
      <w:r w:rsidRPr="009D76B7">
        <w:rPr>
          <w:rFonts w:asciiTheme="majorHAnsi" w:hAnsiTheme="majorHAnsi" w:cstheme="majorBidi"/>
        </w:rPr>
        <w:t>. Senescent cells are classically identified by a constellation of markers, since no single marker is completely specific. Hallmarks include enlarged, flattened cell morphology, senescence-associated β-galactosidase (SA-β-Gal) activity, formation of DNA damage foci, and a pro-inflammatory secretory profile (SASP)</w:t>
      </w:r>
      <w:r w:rsidRPr="009D76B7">
        <w:rPr>
          <w:rFonts w:asciiTheme="majorHAnsi" w:hAnsiTheme="majorHAnsi" w:cstheme="majorBidi"/>
          <w:vertAlign w:val="superscript"/>
        </w:rPr>
        <w:t>2,4,5</w:t>
      </w:r>
      <w:r w:rsidRPr="009D76B7">
        <w:rPr>
          <w:rFonts w:asciiTheme="majorHAnsi" w:hAnsiTheme="majorHAnsi" w:cstheme="majorBidi"/>
        </w:rPr>
        <w:t>. Among these features, lysosomal remodeling has emerged as a prominent and functionally significant trait of senescence</w:t>
      </w:r>
      <w:r w:rsidRPr="009D76B7">
        <w:rPr>
          <w:rFonts w:asciiTheme="majorHAnsi" w:hAnsiTheme="majorHAnsi" w:cstheme="majorBidi"/>
          <w:vertAlign w:val="superscript"/>
        </w:rPr>
        <w:t>6,7</w:t>
      </w:r>
      <w:r w:rsidRPr="009D76B7">
        <w:rPr>
          <w:rFonts w:asciiTheme="majorHAnsi" w:hAnsiTheme="majorHAnsi" w:cstheme="majorBidi"/>
        </w:rPr>
        <w:t>. Senescent cells display profound lysosomal changes, including a dramatic expansion in lysosomal size and number along with altered function (often involving partial neutralization of lysosomal pH and accumulation of undegraded material)</w:t>
      </w:r>
      <w:r w:rsidRPr="009D76B7">
        <w:rPr>
          <w:rFonts w:asciiTheme="majorHAnsi" w:hAnsiTheme="majorHAnsi" w:cstheme="majorBidi"/>
          <w:vertAlign w:val="superscript"/>
        </w:rPr>
        <w:t>6–9</w:t>
      </w:r>
      <w:r w:rsidRPr="009D76B7">
        <w:rPr>
          <w:rFonts w:asciiTheme="majorHAnsi" w:hAnsiTheme="majorHAnsi" w:cstheme="majorBidi"/>
        </w:rPr>
        <w:t xml:space="preserve">. This lysosomal expansion contributes to increased SA-β-Gal activity, an established senescence marker that reflects elevated lysosomal β-galactosidase </w:t>
      </w:r>
      <w:r w:rsidR="001777FA">
        <w:rPr>
          <w:rFonts w:asciiTheme="majorHAnsi" w:hAnsiTheme="majorHAnsi" w:cstheme="majorBidi"/>
        </w:rPr>
        <w:t>activity</w:t>
      </w:r>
      <w:r w:rsidRPr="009D76B7">
        <w:rPr>
          <w:rFonts w:asciiTheme="majorHAnsi" w:hAnsiTheme="majorHAnsi" w:cstheme="majorBidi"/>
        </w:rPr>
        <w:t xml:space="preserve"> in senescent cells</w:t>
      </w:r>
      <w:r w:rsidRPr="009D76B7">
        <w:rPr>
          <w:rFonts w:asciiTheme="majorHAnsi" w:hAnsiTheme="majorHAnsi" w:cstheme="majorBidi"/>
          <w:vertAlign w:val="superscript"/>
        </w:rPr>
        <w:t>10–12</w:t>
      </w:r>
      <w:r w:rsidRPr="009D76B7">
        <w:rPr>
          <w:rFonts w:asciiTheme="majorHAnsi" w:hAnsiTheme="majorHAnsi" w:cstheme="majorBidi"/>
        </w:rPr>
        <w:t>. Indeed, SA-β-Gal staining exploits this phenomenon by using a suboptimal pH (6.0) incubation to selectively precipitate dye in senescent-cell lysosomes, which have accumulated the enzyme and exhibit a higher pH than young cells</w:t>
      </w:r>
      <w:r w:rsidRPr="009D76B7">
        <w:rPr>
          <w:rFonts w:asciiTheme="majorHAnsi" w:hAnsiTheme="majorHAnsi" w:cstheme="majorBidi"/>
          <w:vertAlign w:val="superscript"/>
        </w:rPr>
        <w:t>10,12,13</w:t>
      </w:r>
      <w:r w:rsidRPr="009D76B7">
        <w:rPr>
          <w:rFonts w:asciiTheme="majorHAnsi" w:hAnsiTheme="majorHAnsi" w:cstheme="majorBidi"/>
        </w:rPr>
        <w:t>.</w:t>
      </w:r>
    </w:p>
    <w:p w14:paraId="0DE4A7FC" w14:textId="77777777" w:rsidR="009D76B7" w:rsidRPr="009D76B7" w:rsidRDefault="009D76B7" w:rsidP="009D76B7">
      <w:pPr>
        <w:rPr>
          <w:rFonts w:asciiTheme="majorHAnsi" w:hAnsiTheme="majorHAnsi" w:cstheme="majorBidi"/>
        </w:rPr>
      </w:pPr>
    </w:p>
    <w:p w14:paraId="404D8CAD" w14:textId="77777777" w:rsidR="009D76B7" w:rsidRDefault="00000000" w:rsidP="009D76B7">
      <w:pPr>
        <w:rPr>
          <w:rFonts w:asciiTheme="majorHAnsi" w:hAnsiTheme="majorHAnsi" w:cstheme="majorBidi"/>
        </w:rPr>
      </w:pPr>
      <w:r w:rsidRPr="009D76B7">
        <w:rPr>
          <w:rFonts w:asciiTheme="majorHAnsi" w:hAnsiTheme="majorHAnsi" w:cstheme="majorBidi"/>
        </w:rPr>
        <w:t>Lysosomes play central roles in protein turnover and signaling, and their dysregulation is now considered a hallmark of aging and senescence</w:t>
      </w:r>
      <w:r w:rsidRPr="003D5987">
        <w:rPr>
          <w:rFonts w:asciiTheme="majorHAnsi" w:hAnsiTheme="majorHAnsi" w:cstheme="majorBidi"/>
          <w:vertAlign w:val="superscript"/>
        </w:rPr>
        <w:t>1,2,4,6</w:t>
      </w:r>
      <w:r w:rsidRPr="009D76B7">
        <w:rPr>
          <w:rFonts w:asciiTheme="majorHAnsi" w:hAnsiTheme="majorHAnsi" w:cstheme="majorBidi"/>
        </w:rPr>
        <w:t>. Senescent cells often exhibit lysosomal dysfunction, evidenced by elevated luminal pH, altered enzyme activity, and accumulation of lipofuscin (an autofluorescent pigment of oxidized macromolecules)</w:t>
      </w:r>
      <w:r w:rsidRPr="003D5987">
        <w:rPr>
          <w:rFonts w:asciiTheme="majorHAnsi" w:hAnsiTheme="majorHAnsi" w:cstheme="majorBidi"/>
          <w:vertAlign w:val="superscript"/>
        </w:rPr>
        <w:t>6,14</w:t>
      </w:r>
      <w:r w:rsidRPr="009D76B7">
        <w:rPr>
          <w:rFonts w:asciiTheme="majorHAnsi" w:hAnsiTheme="majorHAnsi" w:cstheme="majorBidi"/>
        </w:rPr>
        <w:t>. Lysosomal biogenesis is frequently upregulated or altered through the coordinated lysosomal expression and regulation (CLEAR) network under the control of transcription factor EB (TFEB) and related factors</w:t>
      </w:r>
      <w:r w:rsidRPr="003D5987">
        <w:rPr>
          <w:rFonts w:asciiTheme="majorHAnsi" w:hAnsiTheme="majorHAnsi" w:cstheme="majorBidi"/>
          <w:vertAlign w:val="superscript"/>
        </w:rPr>
        <w:t>6,7,15</w:t>
      </w:r>
      <w:r w:rsidRPr="009D76B7">
        <w:rPr>
          <w:rFonts w:asciiTheme="majorHAnsi" w:hAnsiTheme="majorHAnsi" w:cstheme="majorBidi"/>
        </w:rPr>
        <w:t>. This process can increase lysosomal mass in senescent cells as they adapt to stress by expanding the degradative compartment</w:t>
      </w:r>
      <w:r w:rsidRPr="003D5987">
        <w:rPr>
          <w:rFonts w:asciiTheme="majorHAnsi" w:hAnsiTheme="majorHAnsi" w:cstheme="majorBidi"/>
          <w:vertAlign w:val="superscript"/>
        </w:rPr>
        <w:t>6,7,10</w:t>
      </w:r>
      <w:r w:rsidRPr="009D76B7">
        <w:rPr>
          <w:rFonts w:asciiTheme="majorHAnsi" w:hAnsiTheme="majorHAnsi" w:cstheme="majorBidi"/>
        </w:rPr>
        <w:t>. Conversely, senescent cells may also experience lysosomal functional decline (e.g., reduced acidity), which can impact processes such as autophagy and confer resistance to certain stresses, including ferroptotic cell death</w:t>
      </w:r>
      <w:r w:rsidRPr="003D5987">
        <w:rPr>
          <w:rFonts w:asciiTheme="majorHAnsi" w:hAnsiTheme="majorHAnsi" w:cstheme="majorBidi"/>
          <w:vertAlign w:val="superscript"/>
        </w:rPr>
        <w:t>6,8</w:t>
      </w:r>
      <w:r w:rsidRPr="009D76B7">
        <w:rPr>
          <w:rFonts w:asciiTheme="majorHAnsi" w:hAnsiTheme="majorHAnsi" w:cstheme="majorBidi"/>
        </w:rPr>
        <w:t>. Measuring lysosomal content and function is therefore central to understanding and identifying senescence</w:t>
      </w:r>
      <w:r w:rsidRPr="003D5987">
        <w:rPr>
          <w:rFonts w:asciiTheme="majorHAnsi" w:hAnsiTheme="majorHAnsi" w:cstheme="majorBidi"/>
          <w:vertAlign w:val="superscript"/>
        </w:rPr>
        <w:t>6,16</w:t>
      </w:r>
      <w:r w:rsidRPr="009D76B7">
        <w:rPr>
          <w:rFonts w:asciiTheme="majorHAnsi" w:hAnsiTheme="majorHAnsi" w:cstheme="majorBidi"/>
        </w:rPr>
        <w:t>.</w:t>
      </w:r>
    </w:p>
    <w:p w14:paraId="4F5123A4" w14:textId="77777777" w:rsidR="009D76B7" w:rsidRPr="009D76B7" w:rsidRDefault="009D76B7" w:rsidP="009D76B7">
      <w:pPr>
        <w:rPr>
          <w:rFonts w:asciiTheme="majorHAnsi" w:hAnsiTheme="majorHAnsi" w:cstheme="majorBidi"/>
        </w:rPr>
      </w:pPr>
    </w:p>
    <w:p w14:paraId="7A1AAEBF" w14:textId="77777777" w:rsidR="009D76B7" w:rsidRDefault="00000000" w:rsidP="009D76B7">
      <w:pPr>
        <w:rPr>
          <w:rFonts w:asciiTheme="majorHAnsi" w:hAnsiTheme="majorHAnsi" w:cstheme="majorBidi"/>
        </w:rPr>
      </w:pPr>
      <w:r w:rsidRPr="009D76B7">
        <w:rPr>
          <w:rFonts w:asciiTheme="majorHAnsi" w:hAnsiTheme="majorHAnsi" w:cstheme="majorBidi"/>
        </w:rPr>
        <w:t>LysoTracker Deep Red is a membrane-permeant fluorescent probe that accumulates selectively in acidic organelles through protonation-driven trapping across the lysosomal membrane</w:t>
      </w:r>
      <w:r w:rsidRPr="007A718A">
        <w:rPr>
          <w:rFonts w:asciiTheme="majorHAnsi" w:hAnsiTheme="majorHAnsi" w:cstheme="majorBidi"/>
          <w:vertAlign w:val="superscript"/>
        </w:rPr>
        <w:t>16,17</w:t>
      </w:r>
      <w:r w:rsidRPr="009D76B7">
        <w:rPr>
          <w:rFonts w:asciiTheme="majorHAnsi" w:hAnsiTheme="majorHAnsi" w:cstheme="majorBidi"/>
        </w:rPr>
        <w:t>. The resulting signal reflects the combined acidic-compartment volume, proton gradient strength, and local dye availability rather than lysosomal mass, and can shift with changes in lysosomal pH or membrane state that occur independently of total lysosome number</w:t>
      </w:r>
      <w:r w:rsidRPr="00E6379C">
        <w:rPr>
          <w:rFonts w:asciiTheme="majorHAnsi" w:hAnsiTheme="majorHAnsi" w:cstheme="majorBidi"/>
          <w:vertAlign w:val="superscript"/>
        </w:rPr>
        <w:t>6,16</w:t>
      </w:r>
      <w:r w:rsidRPr="009D76B7">
        <w:rPr>
          <w:rFonts w:asciiTheme="majorHAnsi" w:hAnsiTheme="majorHAnsi" w:cstheme="majorBidi"/>
        </w:rPr>
        <w:t>. In the context of cellular senescence, cells exhibit expanded and more intensely labeled LysoTracker-positive compartments compared to pre-senescent counterparts</w:t>
      </w:r>
      <w:r w:rsidRPr="00CC772D">
        <w:rPr>
          <w:rFonts w:asciiTheme="majorHAnsi" w:hAnsiTheme="majorHAnsi" w:cstheme="majorBidi"/>
          <w:vertAlign w:val="superscript"/>
        </w:rPr>
        <w:t>9</w:t>
      </w:r>
      <w:r w:rsidRPr="009D76B7">
        <w:rPr>
          <w:rFonts w:asciiTheme="majorHAnsi" w:hAnsiTheme="majorHAnsi" w:cstheme="majorBidi"/>
        </w:rPr>
        <w:t>, consistent with the expansion of the acidic organelle compartment and increased lysosomal biogenesis reported by biochemical and ultrastructural studies</w:t>
      </w:r>
      <w:r w:rsidRPr="00E6379C">
        <w:rPr>
          <w:rFonts w:asciiTheme="majorHAnsi" w:hAnsiTheme="majorHAnsi" w:cstheme="majorBidi"/>
          <w:vertAlign w:val="superscript"/>
        </w:rPr>
        <w:t>6,7,10</w:t>
      </w:r>
      <w:r w:rsidRPr="009D76B7">
        <w:rPr>
          <w:rFonts w:asciiTheme="majorHAnsi" w:hAnsiTheme="majorHAnsi" w:cstheme="majorBidi"/>
        </w:rPr>
        <w:t xml:space="preserve">. This live-cell approach offers several advantages over conventional </w:t>
      </w:r>
      <w:r w:rsidRPr="009D76B7">
        <w:rPr>
          <w:rFonts w:asciiTheme="majorHAnsi" w:hAnsiTheme="majorHAnsi" w:cstheme="majorBidi"/>
        </w:rPr>
        <w:lastRenderedPageBreak/>
        <w:t>endpoint SA-β-Gal staining: it enables quantitative and spatially resolved analysis of individual cells, can be combined with other fluorescent reporters, does not require fixation, and captures heterogeneity by reporting continuous features rather than a binary endpoint</w:t>
      </w:r>
      <w:r w:rsidRPr="00E6379C">
        <w:rPr>
          <w:rFonts w:asciiTheme="majorHAnsi" w:hAnsiTheme="majorHAnsi" w:cstheme="majorBidi"/>
          <w:vertAlign w:val="superscript"/>
        </w:rPr>
        <w:t>6,16</w:t>
      </w:r>
      <w:r w:rsidRPr="009D76B7">
        <w:rPr>
          <w:rFonts w:asciiTheme="majorHAnsi" w:hAnsiTheme="majorHAnsi" w:cstheme="majorBidi"/>
        </w:rPr>
        <w:t>. Throughout this protocol, LysoTracker signal is used as a readout of the acidic organelle compartment in living cells, and condition-dependent changes are interpreted accordingly rather than treated as an absolute measure of lysosome number</w:t>
      </w:r>
      <w:r w:rsidRPr="00E6379C">
        <w:rPr>
          <w:rFonts w:asciiTheme="majorHAnsi" w:hAnsiTheme="majorHAnsi" w:cstheme="majorBidi"/>
          <w:vertAlign w:val="superscript"/>
        </w:rPr>
        <w:t>6,16</w:t>
      </w:r>
      <w:r w:rsidRPr="009D76B7">
        <w:rPr>
          <w:rFonts w:asciiTheme="majorHAnsi" w:hAnsiTheme="majorHAnsi" w:cstheme="majorBidi"/>
        </w:rPr>
        <w:t>.</w:t>
      </w:r>
    </w:p>
    <w:p w14:paraId="211B1BBA" w14:textId="77777777" w:rsidR="009D76B7" w:rsidRPr="009D76B7" w:rsidRDefault="009D76B7" w:rsidP="009D76B7">
      <w:pPr>
        <w:rPr>
          <w:rFonts w:asciiTheme="majorHAnsi" w:hAnsiTheme="majorHAnsi" w:cstheme="majorBidi"/>
        </w:rPr>
      </w:pPr>
    </w:p>
    <w:p w14:paraId="6CAED6C9" w14:textId="09CDDE94" w:rsidR="009D76B7" w:rsidRDefault="00000000" w:rsidP="009D76B7">
      <w:pPr>
        <w:rPr>
          <w:rFonts w:asciiTheme="majorHAnsi" w:hAnsiTheme="majorHAnsi" w:cstheme="majorBidi"/>
        </w:rPr>
      </w:pPr>
      <w:r w:rsidRPr="009D76B7">
        <w:rPr>
          <w:rFonts w:asciiTheme="majorHAnsi" w:hAnsiTheme="majorHAnsi" w:cstheme="majorBidi"/>
        </w:rPr>
        <w:t xml:space="preserve">This protocol details the use of </w:t>
      </w:r>
      <w:commentRangeStart w:id="0"/>
      <w:r w:rsidRPr="009D76B7">
        <w:rPr>
          <w:rFonts w:asciiTheme="majorHAnsi" w:hAnsiTheme="majorHAnsi" w:cstheme="majorBidi"/>
        </w:rPr>
        <w:t xml:space="preserve">LysoTracker Deep Red </w:t>
      </w:r>
      <w:commentRangeEnd w:id="0"/>
      <w:r w:rsidR="00165D83" w:rsidRPr="009D76B7">
        <w:rPr>
          <w:rStyle w:val="CommentReference"/>
          <w:rFonts w:asciiTheme="majorHAnsi" w:hAnsiTheme="majorHAnsi" w:cstheme="majorBidi"/>
          <w:sz w:val="24"/>
          <w:szCs w:val="24"/>
        </w:rPr>
        <w:commentReference w:id="0"/>
      </w:r>
      <w:r w:rsidRPr="009D76B7">
        <w:rPr>
          <w:rFonts w:asciiTheme="majorHAnsi" w:hAnsiTheme="majorHAnsi" w:cstheme="majorBidi"/>
        </w:rPr>
        <w:t>to profile lysosomal changes in IMR-90 fibroblasts undergoing replicative senescence. IMR-90 is a normal human diploid fibroblast line (female, fetal lung origin) widely used in aging research; like other primary-like fibroblasts (e.g., WI-38), IMR-90 cells enter senescence after ~50–60 population doublings (the Hayflick limit) due to telomere shortening and DNA damage signaling</w:t>
      </w:r>
      <w:r w:rsidRPr="009A0FA3">
        <w:rPr>
          <w:rFonts w:asciiTheme="majorHAnsi" w:hAnsiTheme="majorHAnsi" w:cstheme="majorBidi"/>
          <w:vertAlign w:val="superscript"/>
        </w:rPr>
        <w:t>18,19</w:t>
      </w:r>
      <w:r w:rsidRPr="009D76B7">
        <w:rPr>
          <w:rFonts w:asciiTheme="majorHAnsi" w:hAnsiTheme="majorHAnsi" w:cstheme="majorBidi"/>
        </w:rPr>
        <w:t>. The protocol describes how to culture IMR-90 cells to induce senescence via serial passaging, verify senescence by morphology and SA-β-Gal staining, and stain live cultures with LysoTracker Deep Red for fluorescence imaging</w:t>
      </w:r>
      <w:r w:rsidRPr="009A0FA3">
        <w:rPr>
          <w:rFonts w:asciiTheme="majorHAnsi" w:hAnsiTheme="majorHAnsi" w:cstheme="majorBidi"/>
          <w:vertAlign w:val="superscript"/>
        </w:rPr>
        <w:t>5,10,12,13</w:t>
      </w:r>
      <w:r w:rsidRPr="009D76B7">
        <w:rPr>
          <w:rFonts w:asciiTheme="majorHAnsi" w:hAnsiTheme="majorHAnsi" w:cstheme="majorBidi"/>
        </w:rPr>
        <w:t>. Image acquisition and analysis are included, with quantitative readouts such as lysosomal count per cell, total lysosomal area per cell, and mean fluorescence intensity. Experimental controls and safety considerations are emphasized, including careful handling of dyes and fixatives, minimizing phototoxicity during imaging, and accounting for cellular autofluorescence in aged cells. The method is demonstrated using replicative senescence but can be adapted to other models, including drug-induced senescence (e.g., doxorubicin or etoposide treatment) or stress-induced premature senescence (SIPS) by oxidants</w:t>
      </w:r>
      <w:r w:rsidRPr="009A0FA3">
        <w:rPr>
          <w:rFonts w:asciiTheme="majorHAnsi" w:hAnsiTheme="majorHAnsi" w:cstheme="majorBidi"/>
          <w:vertAlign w:val="superscript"/>
        </w:rPr>
        <w:t>2–4,19,20</w:t>
      </w:r>
      <w:r w:rsidRPr="009D76B7">
        <w:rPr>
          <w:rFonts w:asciiTheme="majorHAnsi" w:hAnsiTheme="majorHAnsi" w:cstheme="majorBidi"/>
        </w:rPr>
        <w:t>. In each case, LysoTracker-based readouts should be compared to appropriate controls (proliferating or quiescent cells) and, when possible, cross-validated with at least one traditional senescence marker (such as SA-β-Gal or p16INK4a expression)</w:t>
      </w:r>
      <w:r w:rsidRPr="009A0FA3">
        <w:rPr>
          <w:rFonts w:asciiTheme="majorHAnsi" w:hAnsiTheme="majorHAnsi" w:cstheme="majorBidi"/>
          <w:vertAlign w:val="superscript"/>
        </w:rPr>
        <w:t>3,5,12,13</w:t>
      </w:r>
      <w:r w:rsidRPr="009D76B7">
        <w:rPr>
          <w:rFonts w:asciiTheme="majorHAnsi" w:hAnsiTheme="majorHAnsi" w:cstheme="majorBidi"/>
        </w:rPr>
        <w:t>.</w:t>
      </w:r>
    </w:p>
    <w:p w14:paraId="0CDA53F2" w14:textId="77777777" w:rsidR="009D76B7" w:rsidRPr="009D76B7" w:rsidRDefault="009D76B7" w:rsidP="009D76B7">
      <w:pPr>
        <w:rPr>
          <w:rFonts w:asciiTheme="majorHAnsi" w:hAnsiTheme="majorHAnsi" w:cstheme="majorBidi"/>
        </w:rPr>
      </w:pPr>
    </w:p>
    <w:p w14:paraId="0A72D189" w14:textId="2875ABAF" w:rsidR="009D76B7" w:rsidRPr="009D76B7" w:rsidRDefault="00000000" w:rsidP="009D76B7">
      <w:pPr>
        <w:rPr>
          <w:rFonts w:asciiTheme="majorHAnsi" w:hAnsiTheme="majorHAnsi" w:cstheme="majorBidi"/>
        </w:rPr>
      </w:pPr>
      <w:r w:rsidRPr="009D76B7">
        <w:rPr>
          <w:rFonts w:asciiTheme="majorHAnsi" w:hAnsiTheme="majorHAnsi" w:cstheme="majorBidi"/>
        </w:rPr>
        <w:t>Live-cell lysosomal profiling fills a practical gap in senescence assays by providing a reproducible, single-cell resolution measurement of a key organelle phenotype—lysosomal expansion—directly linked to senescent cell function (e.g., enhanced degradative capacity and secretory activity)</w:t>
      </w:r>
      <w:r w:rsidRPr="00FB0615">
        <w:rPr>
          <w:rFonts w:asciiTheme="majorHAnsi" w:hAnsiTheme="majorHAnsi" w:cstheme="majorBidi"/>
          <w:vertAlign w:val="superscript"/>
        </w:rPr>
        <w:t>2–4,6</w:t>
      </w:r>
      <w:r w:rsidRPr="009D76B7">
        <w:rPr>
          <w:rFonts w:asciiTheme="majorHAnsi" w:hAnsiTheme="majorHAnsi" w:cstheme="majorBidi"/>
        </w:rPr>
        <w:t>. Because LysoTracker staining is compatible with high-throughput imaging and flow cytometry, the protocol can be scaled for applications such as drug screening (e.g., testing senolytics or modulators of lysosomal function)</w:t>
      </w:r>
      <w:r w:rsidRPr="00FB0615">
        <w:rPr>
          <w:rFonts w:asciiTheme="majorHAnsi" w:hAnsiTheme="majorHAnsi" w:cstheme="majorBidi"/>
          <w:vertAlign w:val="superscript"/>
        </w:rPr>
        <w:t>2,3,6</w:t>
      </w:r>
      <w:r w:rsidRPr="009D76B7">
        <w:rPr>
          <w:rFonts w:asciiTheme="majorHAnsi" w:hAnsiTheme="majorHAnsi" w:cstheme="majorBidi"/>
        </w:rPr>
        <w:t>. As a future direction, per-cell lysosomal features generated by this protocol are amenable to downstream classification approaches, including machine-learning models; training and validation of such classifiers are beyond the scope of this protocol. Overall, this method (</w:t>
      </w:r>
      <w:r w:rsidRPr="00FB0615">
        <w:rPr>
          <w:rFonts w:asciiTheme="majorHAnsi" w:hAnsiTheme="majorHAnsi" w:cstheme="majorBidi"/>
          <w:b/>
          <w:bCs/>
        </w:rPr>
        <w:t>Figure 1</w:t>
      </w:r>
      <w:r w:rsidRPr="009D76B7">
        <w:rPr>
          <w:rFonts w:asciiTheme="majorHAnsi" w:hAnsiTheme="majorHAnsi" w:cstheme="majorBidi"/>
        </w:rPr>
        <w:t>) enables visualization and quantification of the lysosomal dimension of senescence biology, providing insight into how lysosomal biogenesis and morphology change during aging or stress and offering a platform for testing interventions targeting lysosomes in senescent cells. The image-analysis workflow used to segment nuclei, derive cell-associated regions, threshold</w:t>
      </w:r>
      <w:r w:rsidR="00FB0615">
        <w:rPr>
          <w:rFonts w:asciiTheme="majorHAnsi" w:hAnsiTheme="majorHAnsi" w:cstheme="majorBidi"/>
        </w:rPr>
        <w:t>,</w:t>
      </w:r>
      <w:r w:rsidRPr="009D76B7">
        <w:rPr>
          <w:rFonts w:asciiTheme="majorHAnsi" w:hAnsiTheme="majorHAnsi" w:cstheme="majorBidi"/>
        </w:rPr>
        <w:t xml:space="preserve"> and quantify LysoTracker features, and reproduce the per-well and per-cell analyses presented here is implemented as an open-source companion package (SenTrackLite v0.5.0), provided as </w:t>
      </w:r>
      <w:r w:rsidRPr="00FB0615">
        <w:rPr>
          <w:rFonts w:asciiTheme="majorHAnsi" w:hAnsiTheme="majorHAnsi" w:cstheme="majorBidi"/>
          <w:b/>
          <w:bCs/>
        </w:rPr>
        <w:t>Supplemental File 1</w:t>
      </w:r>
      <w:r w:rsidRPr="009D76B7">
        <w:rPr>
          <w:rFonts w:asciiTheme="majorHAnsi" w:hAnsiTheme="majorHAnsi" w:cstheme="majorBidi"/>
        </w:rPr>
        <w:t xml:space="preserve"> and archived with a persistent DOI for citation and reuse</w:t>
      </w:r>
      <w:r w:rsidRPr="00FB0615">
        <w:rPr>
          <w:rFonts w:asciiTheme="majorHAnsi" w:hAnsiTheme="majorHAnsi" w:cstheme="majorBidi"/>
          <w:vertAlign w:val="superscript"/>
        </w:rPr>
        <w:t>21</w:t>
      </w:r>
      <w:r w:rsidRPr="009D76B7">
        <w:rPr>
          <w:rFonts w:asciiTheme="majorHAnsi" w:hAnsiTheme="majorHAnsi" w:cstheme="majorBidi"/>
        </w:rPr>
        <w:t>.</w:t>
      </w:r>
    </w:p>
    <w:p w14:paraId="48BA6B0A" w14:textId="77777777" w:rsidR="006E4797" w:rsidRPr="0055174B" w:rsidRDefault="006E4797" w:rsidP="00DA3C5C">
      <w:pPr>
        <w:rPr>
          <w:rFonts w:asciiTheme="majorHAnsi" w:hAnsiTheme="majorHAnsi" w:cstheme="majorHAnsi"/>
          <w:b/>
        </w:rPr>
      </w:pPr>
    </w:p>
    <w:p w14:paraId="40DB6724" w14:textId="3662C06D" w:rsidR="00124AE1" w:rsidRPr="00124AE1" w:rsidRDefault="00000000" w:rsidP="00124AE1">
      <w:pPr>
        <w:rPr>
          <w:rFonts w:asciiTheme="majorHAnsi" w:hAnsiTheme="majorHAnsi" w:cstheme="majorHAnsi"/>
          <w:b/>
          <w:bCs/>
        </w:rPr>
      </w:pPr>
      <w:r w:rsidRPr="00124AE1">
        <w:rPr>
          <w:rFonts w:asciiTheme="majorHAnsi" w:hAnsiTheme="majorHAnsi" w:cstheme="majorHAnsi"/>
          <w:b/>
          <w:bCs/>
        </w:rPr>
        <w:t xml:space="preserve">PROTOCOL: </w:t>
      </w:r>
    </w:p>
    <w:p w14:paraId="3C10B083" w14:textId="77777777" w:rsidR="00124AE1" w:rsidRDefault="00124AE1" w:rsidP="00124AE1">
      <w:pPr>
        <w:rPr>
          <w:rFonts w:asciiTheme="majorHAnsi" w:hAnsiTheme="majorHAnsi" w:cstheme="majorHAnsi"/>
        </w:rPr>
      </w:pPr>
    </w:p>
    <w:p w14:paraId="11E5DBC4" w14:textId="0E3C860D" w:rsidR="00124AE1" w:rsidRDefault="00000000" w:rsidP="00124AE1">
      <w:pPr>
        <w:rPr>
          <w:rFonts w:asciiTheme="majorHAnsi" w:hAnsiTheme="majorHAnsi" w:cstheme="majorHAnsi"/>
        </w:rPr>
      </w:pPr>
      <w:r w:rsidRPr="00D840C2">
        <w:rPr>
          <w:rFonts w:asciiTheme="majorHAnsi" w:hAnsiTheme="majorHAnsi" w:cstheme="majorHAnsi"/>
        </w:rPr>
        <w:lastRenderedPageBreak/>
        <w:t xml:space="preserve">IMR-90 cells are an established human fibroblast cell line and do not constitute human subjects research. No ethical approval or informed consent was required. All procedures were conducted in accordance with institutional biosafety guidelines for work with human-derived cell lines under Biosafety Level 2 (BSL-2) </w:t>
      </w:r>
      <w:commentRangeStart w:id="1"/>
      <w:r w:rsidRPr="00D840C2">
        <w:rPr>
          <w:rFonts w:asciiTheme="majorHAnsi" w:hAnsiTheme="majorHAnsi" w:cstheme="majorHAnsi"/>
        </w:rPr>
        <w:t>conditions</w:t>
      </w:r>
      <w:commentRangeEnd w:id="1"/>
      <w:r w:rsidR="00E51218" w:rsidRPr="00D840C2">
        <w:rPr>
          <w:rStyle w:val="CommentReference"/>
          <w:rFonts w:asciiTheme="majorHAnsi" w:hAnsiTheme="majorHAnsi" w:cstheme="majorHAnsi"/>
          <w:sz w:val="24"/>
          <w:szCs w:val="24"/>
        </w:rPr>
        <w:commentReference w:id="1"/>
      </w:r>
      <w:r w:rsidRPr="00D840C2">
        <w:rPr>
          <w:rFonts w:asciiTheme="majorHAnsi" w:hAnsiTheme="majorHAnsi" w:cstheme="majorHAnsi"/>
        </w:rPr>
        <w:t>.</w:t>
      </w:r>
    </w:p>
    <w:p w14:paraId="253AEA01" w14:textId="77777777" w:rsidR="00FB0615" w:rsidRPr="00124AE1" w:rsidRDefault="00FB0615" w:rsidP="00124AE1">
      <w:pPr>
        <w:rPr>
          <w:rFonts w:asciiTheme="majorHAnsi" w:hAnsiTheme="majorHAnsi" w:cstheme="majorHAnsi"/>
        </w:rPr>
      </w:pPr>
    </w:p>
    <w:p w14:paraId="2C7FF0D7" w14:textId="77777777" w:rsidR="00FB0615" w:rsidRDefault="00000000" w:rsidP="00FB0615">
      <w:pPr>
        <w:rPr>
          <w:rFonts w:asciiTheme="majorHAnsi" w:hAnsiTheme="majorHAnsi" w:cstheme="majorHAnsi"/>
          <w:b/>
          <w:bCs/>
        </w:rPr>
      </w:pPr>
      <w:r w:rsidRPr="00FB0615">
        <w:rPr>
          <w:rFonts w:asciiTheme="majorHAnsi" w:hAnsiTheme="majorHAnsi" w:cstheme="majorHAnsi"/>
          <w:b/>
          <w:bCs/>
        </w:rPr>
        <w:t>1. General preparation and workflow overview</w:t>
      </w:r>
    </w:p>
    <w:p w14:paraId="250AC8B3" w14:textId="77777777" w:rsidR="00FB0615" w:rsidRPr="00FB0615" w:rsidRDefault="00FB0615" w:rsidP="00FB0615">
      <w:pPr>
        <w:rPr>
          <w:rFonts w:asciiTheme="majorHAnsi" w:hAnsiTheme="majorHAnsi" w:cstheme="majorHAnsi"/>
          <w:b/>
          <w:bCs/>
        </w:rPr>
      </w:pPr>
    </w:p>
    <w:p w14:paraId="43473E20" w14:textId="77777777" w:rsidR="00FB0615" w:rsidRDefault="00000000" w:rsidP="00FB0615">
      <w:pPr>
        <w:rPr>
          <w:rFonts w:asciiTheme="majorHAnsi" w:hAnsiTheme="majorHAnsi" w:cstheme="majorHAnsi"/>
        </w:rPr>
      </w:pPr>
      <w:r w:rsidRPr="00FB0615">
        <w:rPr>
          <w:rFonts w:asciiTheme="majorHAnsi" w:hAnsiTheme="majorHAnsi" w:cstheme="majorHAnsi"/>
        </w:rPr>
        <w:t>1.1 Define the experimental goal as a live-cell lysosomal profiling assay using LysoTracker Deep Red staining and a live nuclear dye to quantify lysosomal remodeling as a continuous readout of senescence burden in IMR-90 cells. Define the primary biological comparison as one of the following designs:</w:t>
      </w:r>
    </w:p>
    <w:p w14:paraId="6217DB32" w14:textId="77777777" w:rsidR="00FB0615" w:rsidRPr="00FB0615" w:rsidRDefault="00FB0615" w:rsidP="00FB0615">
      <w:pPr>
        <w:rPr>
          <w:rFonts w:asciiTheme="majorHAnsi" w:hAnsiTheme="majorHAnsi" w:cstheme="majorHAnsi"/>
        </w:rPr>
      </w:pPr>
    </w:p>
    <w:p w14:paraId="102ACDBB" w14:textId="77777777" w:rsidR="00FB0615" w:rsidRDefault="00000000" w:rsidP="00FB0615">
      <w:pPr>
        <w:rPr>
          <w:rFonts w:asciiTheme="majorHAnsi" w:hAnsiTheme="majorHAnsi" w:cstheme="majorHAnsi"/>
        </w:rPr>
      </w:pPr>
      <w:r w:rsidRPr="00FB0615">
        <w:rPr>
          <w:rFonts w:asciiTheme="majorHAnsi" w:hAnsiTheme="majorHAnsi" w:cstheme="majorHAnsi"/>
        </w:rPr>
        <w:t>1.1.1 Senescence induction vs. matched non-induced control.</w:t>
      </w:r>
    </w:p>
    <w:p w14:paraId="2FA13024" w14:textId="77777777" w:rsidR="00FB0615" w:rsidRDefault="00000000" w:rsidP="00FB0615">
      <w:pPr>
        <w:rPr>
          <w:rFonts w:asciiTheme="majorHAnsi" w:hAnsiTheme="majorHAnsi" w:cstheme="majorHAnsi"/>
        </w:rPr>
      </w:pPr>
      <w:r w:rsidRPr="00FB0615">
        <w:rPr>
          <w:rFonts w:asciiTheme="majorHAnsi" w:hAnsiTheme="majorHAnsi" w:cstheme="majorHAnsi"/>
        </w:rPr>
        <w:br/>
        <w:t>1.1.2 Senescence-high vs. senescence-low conditions across a dose or time series.</w:t>
      </w:r>
    </w:p>
    <w:p w14:paraId="636669AC" w14:textId="77777777" w:rsidR="00FB0615" w:rsidRDefault="00000000" w:rsidP="00FB0615">
      <w:pPr>
        <w:rPr>
          <w:rFonts w:asciiTheme="majorHAnsi" w:hAnsiTheme="majorHAnsi" w:cstheme="majorHAnsi"/>
        </w:rPr>
      </w:pPr>
      <w:r w:rsidRPr="00FB0615">
        <w:rPr>
          <w:rFonts w:asciiTheme="majorHAnsi" w:hAnsiTheme="majorHAnsi" w:cstheme="majorHAnsi"/>
        </w:rPr>
        <w:br/>
        <w:t xml:space="preserve">1.1.3 Senescence-high condition treated with a senolytic </w:t>
      </w:r>
      <w:r w:rsidRPr="00CC772D">
        <w:rPr>
          <w:rFonts w:asciiTheme="majorHAnsi" w:hAnsiTheme="majorHAnsi" w:cstheme="majorHAnsi"/>
          <w:i/>
          <w:iCs/>
        </w:rPr>
        <w:t>vs</w:t>
      </w:r>
      <w:r w:rsidRPr="00FB0615">
        <w:rPr>
          <w:rFonts w:asciiTheme="majorHAnsi" w:hAnsiTheme="majorHAnsi" w:cstheme="majorHAnsi"/>
        </w:rPr>
        <w:t>. vehicle-treated senescence-high control.</w:t>
      </w:r>
    </w:p>
    <w:p w14:paraId="1F27192F" w14:textId="04D46654" w:rsidR="00FB0615" w:rsidRPr="00FB0615" w:rsidRDefault="00000000" w:rsidP="00FB0615">
      <w:pPr>
        <w:rPr>
          <w:rFonts w:asciiTheme="majorHAnsi" w:hAnsiTheme="majorHAnsi" w:cstheme="majorHAnsi"/>
        </w:rPr>
      </w:pPr>
      <w:r w:rsidRPr="00FB0615">
        <w:rPr>
          <w:rFonts w:asciiTheme="majorHAnsi" w:hAnsiTheme="majorHAnsi" w:cstheme="majorHAnsi"/>
        </w:rPr>
        <w:br/>
        <w:t>1.1.4 Senolytic treatment series including both a senescence-low baseline group and a senescence-high group.</w:t>
      </w:r>
    </w:p>
    <w:p w14:paraId="39FDE575" w14:textId="53C03845" w:rsidR="00FB0615" w:rsidRPr="00FB0615" w:rsidRDefault="00FB0615" w:rsidP="00FB0615">
      <w:pPr>
        <w:rPr>
          <w:rFonts w:asciiTheme="majorHAnsi" w:hAnsiTheme="majorHAnsi" w:cstheme="majorHAnsi"/>
        </w:rPr>
      </w:pPr>
    </w:p>
    <w:p w14:paraId="5C589AFC" w14:textId="77777777" w:rsidR="00FB0615" w:rsidRDefault="00000000" w:rsidP="00FB0615">
      <w:pPr>
        <w:rPr>
          <w:rFonts w:asciiTheme="majorHAnsi" w:hAnsiTheme="majorHAnsi" w:cstheme="majorHAnsi"/>
        </w:rPr>
      </w:pPr>
      <w:r w:rsidRPr="00FB0615">
        <w:rPr>
          <w:rFonts w:asciiTheme="majorHAnsi" w:hAnsiTheme="majorHAnsi" w:cstheme="majorHAnsi"/>
        </w:rPr>
        <w:t>1.2 Establish the minimum control structure for all experiments.</w:t>
      </w:r>
    </w:p>
    <w:p w14:paraId="26A241A0" w14:textId="77777777" w:rsidR="00FB0615" w:rsidRPr="00FB0615" w:rsidRDefault="00FB0615" w:rsidP="00FB0615">
      <w:pPr>
        <w:rPr>
          <w:rFonts w:asciiTheme="majorHAnsi" w:hAnsiTheme="majorHAnsi" w:cstheme="majorHAnsi"/>
        </w:rPr>
      </w:pPr>
    </w:p>
    <w:p w14:paraId="6D4E4330" w14:textId="77777777" w:rsidR="00FB0615" w:rsidRDefault="00000000" w:rsidP="00FB0615">
      <w:pPr>
        <w:rPr>
          <w:rFonts w:asciiTheme="majorHAnsi" w:hAnsiTheme="majorHAnsi" w:cstheme="majorHAnsi"/>
        </w:rPr>
      </w:pPr>
      <w:r w:rsidRPr="00FB0615">
        <w:rPr>
          <w:rFonts w:asciiTheme="majorHAnsi" w:hAnsiTheme="majorHAnsi" w:cstheme="majorHAnsi"/>
        </w:rPr>
        <w:t>1.2.1 Include a senescence-low control group matched for plating density, staining timing, and imaging settings.</w:t>
      </w:r>
    </w:p>
    <w:p w14:paraId="7C006170" w14:textId="77777777" w:rsidR="00FB0615" w:rsidRDefault="00000000" w:rsidP="00FB0615">
      <w:pPr>
        <w:rPr>
          <w:rFonts w:asciiTheme="majorHAnsi" w:hAnsiTheme="majorHAnsi" w:cstheme="majorHAnsi"/>
        </w:rPr>
      </w:pPr>
      <w:r w:rsidRPr="00FB0615">
        <w:rPr>
          <w:rFonts w:asciiTheme="majorHAnsi" w:hAnsiTheme="majorHAnsi" w:cstheme="majorHAnsi"/>
        </w:rPr>
        <w:br/>
        <w:t>1.2.2 Include a senescence-high group generated by a defined senescence trigger or by late-passage replicative senescence.</w:t>
      </w:r>
    </w:p>
    <w:p w14:paraId="4E3E9B73" w14:textId="4E505CAE" w:rsidR="00FB0615" w:rsidRPr="00FB0615" w:rsidRDefault="00000000" w:rsidP="00FB0615">
      <w:pPr>
        <w:rPr>
          <w:rFonts w:asciiTheme="majorHAnsi" w:hAnsiTheme="majorHAnsi" w:cstheme="majorHAnsi"/>
        </w:rPr>
      </w:pPr>
      <w:r w:rsidRPr="00FB0615">
        <w:rPr>
          <w:rFonts w:asciiTheme="majorHAnsi" w:hAnsiTheme="majorHAnsi" w:cstheme="majorHAnsi"/>
        </w:rPr>
        <w:br/>
        <w:t>1.2.3 Include biological replicates per condition and perform staining and imaging with identical timing across conditions.</w:t>
      </w:r>
    </w:p>
    <w:p w14:paraId="52DE65D0" w14:textId="24DF387E" w:rsidR="00FB0615" w:rsidRPr="00FB0615" w:rsidRDefault="00FB0615" w:rsidP="00FB0615">
      <w:pPr>
        <w:rPr>
          <w:rFonts w:asciiTheme="majorHAnsi" w:hAnsiTheme="majorHAnsi" w:cstheme="majorHAnsi"/>
        </w:rPr>
      </w:pPr>
    </w:p>
    <w:p w14:paraId="38F4D100" w14:textId="77777777" w:rsidR="00FB0615" w:rsidRDefault="00000000" w:rsidP="00FB0615">
      <w:pPr>
        <w:rPr>
          <w:rFonts w:asciiTheme="majorHAnsi" w:hAnsiTheme="majorHAnsi" w:cstheme="majorHAnsi"/>
        </w:rPr>
      </w:pPr>
      <w:r w:rsidRPr="00FB0615">
        <w:rPr>
          <w:rFonts w:asciiTheme="majorHAnsi" w:hAnsiTheme="majorHAnsi" w:cstheme="majorHAnsi"/>
        </w:rPr>
        <w:t>1.3 Define assay readouts as direct image-based measures of lysosomal remodeling:</w:t>
      </w:r>
    </w:p>
    <w:p w14:paraId="7CC69D9D" w14:textId="77777777" w:rsidR="00FB0615" w:rsidRPr="00FB0615" w:rsidRDefault="00FB0615" w:rsidP="00FB0615">
      <w:pPr>
        <w:rPr>
          <w:rFonts w:asciiTheme="majorHAnsi" w:hAnsiTheme="majorHAnsi" w:cstheme="majorHAnsi"/>
        </w:rPr>
      </w:pPr>
    </w:p>
    <w:p w14:paraId="2302D12E" w14:textId="22C55A8F" w:rsidR="00FB0615" w:rsidRDefault="00000000" w:rsidP="00FB0615">
      <w:pPr>
        <w:rPr>
          <w:rFonts w:asciiTheme="majorHAnsi" w:hAnsiTheme="majorHAnsi" w:cstheme="majorHAnsi"/>
        </w:rPr>
      </w:pPr>
      <w:r w:rsidRPr="00FB0615">
        <w:rPr>
          <w:rFonts w:asciiTheme="majorHAnsi" w:hAnsiTheme="majorHAnsi" w:cstheme="majorHAnsi"/>
        </w:rPr>
        <w:t>1.3.1 Measure per-cell mean LysoTracker intensity within the lyso-positive mask using a consistent intensity threshold as the primary assay readout. At the single-cell level, this metric separates senescence-low from senescence-high conditions with the largest effect size and is insensitive to field-level nuclear density (</w:t>
      </w:r>
      <w:r w:rsidRPr="00FB0615">
        <w:rPr>
          <w:rFonts w:asciiTheme="majorHAnsi" w:hAnsiTheme="majorHAnsi" w:cstheme="majorHAnsi"/>
          <w:b/>
          <w:bCs/>
        </w:rPr>
        <w:t>Supplementary Figure 1</w:t>
      </w:r>
      <w:r w:rsidRPr="00FB0615">
        <w:rPr>
          <w:rFonts w:asciiTheme="majorHAnsi" w:hAnsiTheme="majorHAnsi" w:cstheme="majorHAnsi"/>
        </w:rPr>
        <w:t>).</w:t>
      </w:r>
    </w:p>
    <w:p w14:paraId="495D6962" w14:textId="77777777" w:rsidR="00FB0615" w:rsidRPr="00FB0615" w:rsidRDefault="00FB0615" w:rsidP="00FB0615">
      <w:pPr>
        <w:rPr>
          <w:rFonts w:asciiTheme="majorHAnsi" w:hAnsiTheme="majorHAnsi" w:cstheme="majorHAnsi"/>
        </w:rPr>
      </w:pPr>
    </w:p>
    <w:p w14:paraId="3E1FA5EE" w14:textId="44502533" w:rsidR="00FB0615" w:rsidRPr="00FB0615" w:rsidRDefault="00000000" w:rsidP="00FB0615">
      <w:pPr>
        <w:rPr>
          <w:rFonts w:asciiTheme="majorHAnsi" w:hAnsiTheme="majorHAnsi" w:cstheme="majorHAnsi"/>
        </w:rPr>
      </w:pPr>
      <w:r w:rsidRPr="00FB0615">
        <w:rPr>
          <w:rFonts w:asciiTheme="majorHAnsi" w:hAnsiTheme="majorHAnsi" w:cstheme="majorHAnsi"/>
        </w:rPr>
        <w:t xml:space="preserve">1.3.2 </w:t>
      </w:r>
      <w:r w:rsidR="00060A9A" w:rsidRPr="00060A9A">
        <w:rPr>
          <w:rFonts w:asciiTheme="majorHAnsi" w:hAnsiTheme="majorHAnsi" w:cstheme="majorHAnsi"/>
        </w:rPr>
        <w:t xml:space="preserve">Record the following as secondary readouts, which document compartment expansion but are more sensitive to segmentation choices or field-level nuclear density: lysosome-enriched area per cell and integrated LysoTracker intensity per nucleus at the field level. Integrated intensity per nucleus is informative in well-populated fields but becomes unstable when a field </w:t>
      </w:r>
      <w:r w:rsidR="00060A9A" w:rsidRPr="00060A9A">
        <w:rPr>
          <w:rFonts w:asciiTheme="majorHAnsi" w:hAnsiTheme="majorHAnsi" w:cstheme="majorHAnsi"/>
        </w:rPr>
        <w:lastRenderedPageBreak/>
        <w:t>contains a small number of nuclei, as per-nucleus normalization becomes dominated by individual cells</w:t>
      </w:r>
      <w:r w:rsidRPr="00FB0615">
        <w:rPr>
          <w:rFonts w:asciiTheme="majorHAnsi" w:hAnsiTheme="majorHAnsi" w:cstheme="majorHAnsi"/>
        </w:rPr>
        <w:t>.</w:t>
      </w:r>
    </w:p>
    <w:p w14:paraId="28587EFA" w14:textId="77777777" w:rsidR="00FB0615" w:rsidRDefault="00FB0615" w:rsidP="00FB0615">
      <w:pPr>
        <w:rPr>
          <w:rFonts w:asciiTheme="majorHAnsi" w:hAnsiTheme="majorHAnsi" w:cstheme="majorHAnsi"/>
        </w:rPr>
      </w:pPr>
    </w:p>
    <w:p w14:paraId="5F2D7B98" w14:textId="217533FF" w:rsidR="00FB0615" w:rsidRPr="00FB0615" w:rsidRDefault="00000000" w:rsidP="00FB0615">
      <w:pPr>
        <w:rPr>
          <w:rFonts w:asciiTheme="majorHAnsi" w:hAnsiTheme="majorHAnsi" w:cstheme="majorHAnsi"/>
        </w:rPr>
      </w:pPr>
      <w:r w:rsidRPr="00FB0615">
        <w:rPr>
          <w:rFonts w:asciiTheme="majorHAnsi" w:hAnsiTheme="majorHAnsi" w:cstheme="majorHAnsi"/>
        </w:rPr>
        <w:t>1.3.3 Record optional lysosome puncta count and size metrics when imaging resolution supports puncta discrimination.</w:t>
      </w:r>
    </w:p>
    <w:p w14:paraId="6EEB51C7" w14:textId="532A0475" w:rsidR="00FB0615" w:rsidRPr="00FB0615" w:rsidRDefault="00FB0615" w:rsidP="00FB0615">
      <w:pPr>
        <w:rPr>
          <w:rFonts w:asciiTheme="majorHAnsi" w:hAnsiTheme="majorHAnsi" w:cstheme="majorHAnsi"/>
        </w:rPr>
      </w:pPr>
    </w:p>
    <w:p w14:paraId="54AD3E25" w14:textId="40E99BD3" w:rsidR="00FB0615" w:rsidRPr="00FB0615" w:rsidRDefault="00000000" w:rsidP="00FB0615">
      <w:pPr>
        <w:rPr>
          <w:rFonts w:asciiTheme="majorHAnsi" w:hAnsiTheme="majorHAnsi" w:cstheme="majorHAnsi"/>
        </w:rPr>
      </w:pPr>
      <w:r w:rsidRPr="00FB0615">
        <w:rPr>
          <w:rFonts w:asciiTheme="majorHAnsi" w:hAnsiTheme="majorHAnsi" w:cstheme="majorHAnsi"/>
        </w:rPr>
        <w:t xml:space="preserve">1.4 Use senescence-associated β-galactosidase (SA-β-Gal) staining as an optional validation step performed on parallel wells or matched samples, depending on experimental constraints. Use this validation to confirm that late-passage cultures </w:t>
      </w:r>
      <w:r w:rsidR="00CC772D">
        <w:rPr>
          <w:rFonts w:asciiTheme="majorHAnsi" w:hAnsiTheme="majorHAnsi" w:cstheme="majorHAnsi"/>
        </w:rPr>
        <w:t>exhibit increased SA-β-Gal positivity compared with</w:t>
      </w:r>
      <w:r w:rsidRPr="00FB0615">
        <w:rPr>
          <w:rFonts w:asciiTheme="majorHAnsi" w:hAnsiTheme="majorHAnsi" w:cstheme="majorHAnsi"/>
        </w:rPr>
        <w:t xml:space="preserve"> early-passage cultures.</w:t>
      </w:r>
    </w:p>
    <w:p w14:paraId="1535FF37" w14:textId="1D89AFC1" w:rsidR="00FB0615" w:rsidRPr="00FB0615" w:rsidRDefault="00FB0615" w:rsidP="00FB0615">
      <w:pPr>
        <w:rPr>
          <w:rFonts w:asciiTheme="majorHAnsi" w:hAnsiTheme="majorHAnsi" w:cstheme="majorHAnsi"/>
        </w:rPr>
      </w:pPr>
    </w:p>
    <w:p w14:paraId="538C986D" w14:textId="77777777" w:rsidR="00FB0615" w:rsidRDefault="00000000" w:rsidP="00FB0615">
      <w:pPr>
        <w:rPr>
          <w:rFonts w:asciiTheme="majorHAnsi" w:hAnsiTheme="majorHAnsi" w:cstheme="majorHAnsi"/>
        </w:rPr>
      </w:pPr>
      <w:r w:rsidRPr="00FB0615">
        <w:rPr>
          <w:rFonts w:asciiTheme="majorHAnsi" w:hAnsiTheme="majorHAnsi" w:cstheme="majorHAnsi"/>
        </w:rPr>
        <w:t>1.5 Standardize the assay across conditions by fixing the following variables prior to data collection:</w:t>
      </w:r>
    </w:p>
    <w:p w14:paraId="47973209" w14:textId="77777777" w:rsidR="00FB0615" w:rsidRPr="00FB0615" w:rsidRDefault="00FB0615" w:rsidP="00FB0615">
      <w:pPr>
        <w:rPr>
          <w:rFonts w:asciiTheme="majorHAnsi" w:hAnsiTheme="majorHAnsi" w:cstheme="majorHAnsi"/>
        </w:rPr>
      </w:pPr>
    </w:p>
    <w:p w14:paraId="54277167" w14:textId="77777777" w:rsidR="00FB0615" w:rsidRDefault="00000000" w:rsidP="00FB0615">
      <w:pPr>
        <w:rPr>
          <w:rFonts w:asciiTheme="majorHAnsi" w:hAnsiTheme="majorHAnsi" w:cstheme="majorHAnsi"/>
        </w:rPr>
      </w:pPr>
      <w:r w:rsidRPr="00FB0615">
        <w:rPr>
          <w:rFonts w:asciiTheme="majorHAnsi" w:hAnsiTheme="majorHAnsi" w:cstheme="majorHAnsi"/>
        </w:rPr>
        <w:t>1.5.1 LysoTracker working concentration (75 nM) and staining duration (30 min).</w:t>
      </w:r>
    </w:p>
    <w:p w14:paraId="7AB24B8B" w14:textId="782C3CDA" w:rsidR="00FB0615" w:rsidRDefault="00000000" w:rsidP="00FB0615">
      <w:pPr>
        <w:rPr>
          <w:rFonts w:asciiTheme="majorHAnsi" w:hAnsiTheme="majorHAnsi" w:cstheme="majorHAnsi"/>
        </w:rPr>
      </w:pPr>
      <w:r w:rsidRPr="00FB0615">
        <w:rPr>
          <w:rFonts w:asciiTheme="majorHAnsi" w:hAnsiTheme="majorHAnsi" w:cstheme="majorHAnsi"/>
        </w:rPr>
        <w:br/>
        <w:t>1.5.2 Nuclear dye identity and working concentration range (e.g., Hoechst 33342 at 1 µg/mL to 2 µg/mL).</w:t>
      </w:r>
    </w:p>
    <w:p w14:paraId="33651A88" w14:textId="77777777" w:rsidR="00FB0615" w:rsidRDefault="00000000" w:rsidP="00FB0615">
      <w:pPr>
        <w:rPr>
          <w:rFonts w:asciiTheme="majorHAnsi" w:hAnsiTheme="majorHAnsi" w:cstheme="majorHAnsi"/>
        </w:rPr>
      </w:pPr>
      <w:r w:rsidRPr="00FB0615">
        <w:rPr>
          <w:rFonts w:asciiTheme="majorHAnsi" w:hAnsiTheme="majorHAnsi" w:cstheme="majorHAnsi"/>
        </w:rPr>
        <w:br/>
        <w:t>1.5.3 Imaging parameters, including objective magnification, exposure time, illumination intensity, binning, and focus strategy.</w:t>
      </w:r>
    </w:p>
    <w:p w14:paraId="53C07752" w14:textId="05449718" w:rsidR="00FB0615" w:rsidRDefault="00000000" w:rsidP="00FB0615">
      <w:pPr>
        <w:rPr>
          <w:rFonts w:asciiTheme="majorHAnsi" w:hAnsiTheme="majorHAnsi" w:cstheme="majorHAnsi"/>
        </w:rPr>
      </w:pPr>
      <w:r w:rsidRPr="00FB0615">
        <w:rPr>
          <w:rFonts w:asciiTheme="majorHAnsi" w:hAnsiTheme="majorHAnsi" w:cstheme="majorHAnsi"/>
        </w:rPr>
        <w:br/>
        <w:t>1.5.4 Plate format and imaging configuration (clear-bottom imaging plates or glass-bottom dishes), including replicate well layout.</w:t>
      </w:r>
    </w:p>
    <w:p w14:paraId="17292990" w14:textId="77777777" w:rsidR="00FB0615" w:rsidRPr="00FB0615" w:rsidRDefault="00FB0615" w:rsidP="00FB0615">
      <w:pPr>
        <w:rPr>
          <w:rFonts w:asciiTheme="majorHAnsi" w:hAnsiTheme="majorHAnsi" w:cstheme="majorHAnsi"/>
        </w:rPr>
      </w:pPr>
    </w:p>
    <w:p w14:paraId="0D43895F" w14:textId="77777777" w:rsidR="00FB0615" w:rsidRDefault="00000000" w:rsidP="00FB0615">
      <w:pPr>
        <w:rPr>
          <w:rFonts w:asciiTheme="majorHAnsi" w:hAnsiTheme="majorHAnsi" w:cstheme="majorHAnsi"/>
        </w:rPr>
      </w:pPr>
      <w:r w:rsidRPr="00FB0615">
        <w:rPr>
          <w:rFonts w:asciiTheme="majorHAnsi" w:hAnsiTheme="majorHAnsi" w:cstheme="majorHAnsi"/>
        </w:rPr>
        <w:t xml:space="preserve">1.5.5 Threshold selection and intensity normalization. </w:t>
      </w:r>
    </w:p>
    <w:p w14:paraId="2B30CF8A" w14:textId="77777777" w:rsidR="00FB0615" w:rsidRDefault="00FB0615" w:rsidP="00FB0615">
      <w:pPr>
        <w:rPr>
          <w:rFonts w:asciiTheme="majorHAnsi" w:hAnsiTheme="majorHAnsi" w:cstheme="majorHAnsi"/>
        </w:rPr>
      </w:pPr>
    </w:p>
    <w:p w14:paraId="78C44D02" w14:textId="77777777" w:rsidR="00FB0615" w:rsidRDefault="00000000" w:rsidP="00FB0615">
      <w:pPr>
        <w:rPr>
          <w:rFonts w:asciiTheme="majorHAnsi" w:hAnsiTheme="majorHAnsi" w:cstheme="majorHAnsi"/>
        </w:rPr>
      </w:pPr>
      <w:r>
        <w:rPr>
          <w:rFonts w:asciiTheme="majorHAnsi" w:hAnsiTheme="majorHAnsi" w:cstheme="majorHAnsi"/>
        </w:rPr>
        <w:t xml:space="preserve">1.5.5.1 </w:t>
      </w:r>
      <w:r w:rsidRPr="00FB0615">
        <w:rPr>
          <w:rFonts w:asciiTheme="majorHAnsi" w:hAnsiTheme="majorHAnsi" w:cstheme="majorHAnsi"/>
        </w:rPr>
        <w:t xml:space="preserve">Apply a single fixed intensity threshold to the LysoTracker channel across all wells within an experiment to define the lyso-positive mask. </w:t>
      </w:r>
    </w:p>
    <w:p w14:paraId="305A02D1" w14:textId="77777777" w:rsidR="00FB0615" w:rsidRDefault="00FB0615" w:rsidP="00FB0615">
      <w:pPr>
        <w:rPr>
          <w:rFonts w:asciiTheme="majorHAnsi" w:hAnsiTheme="majorHAnsi" w:cstheme="majorHAnsi"/>
        </w:rPr>
      </w:pPr>
    </w:p>
    <w:p w14:paraId="250B27BC" w14:textId="77777777" w:rsidR="00FB0615" w:rsidRDefault="00000000" w:rsidP="00FB0615">
      <w:pPr>
        <w:rPr>
          <w:rFonts w:asciiTheme="majorHAnsi" w:hAnsiTheme="majorHAnsi" w:cstheme="majorHAnsi"/>
        </w:rPr>
      </w:pPr>
      <w:r>
        <w:rPr>
          <w:rFonts w:asciiTheme="majorHAnsi" w:hAnsiTheme="majorHAnsi" w:cstheme="majorHAnsi"/>
        </w:rPr>
        <w:t xml:space="preserve">1.5.5.2 </w:t>
      </w:r>
      <w:r w:rsidRPr="00FB0615">
        <w:rPr>
          <w:rFonts w:asciiTheme="majorHAnsi" w:hAnsiTheme="majorHAnsi" w:cstheme="majorHAnsi"/>
        </w:rPr>
        <w:t xml:space="preserve">Select the threshold once during assay setup using a calibration set of fields spanning the expected intensity range (e.g., two senescence-low and two senescence-high fields), and hold it constant across all wells within that session; allowing the threshold to vary per well introduces circular dependence between measurement and outcome. </w:t>
      </w:r>
    </w:p>
    <w:p w14:paraId="07915D16" w14:textId="77777777" w:rsidR="00FB0615" w:rsidRDefault="00FB0615" w:rsidP="00FB0615">
      <w:pPr>
        <w:rPr>
          <w:rFonts w:asciiTheme="majorHAnsi" w:hAnsiTheme="majorHAnsi" w:cstheme="majorHAnsi"/>
        </w:rPr>
      </w:pPr>
    </w:p>
    <w:p w14:paraId="17B6437D" w14:textId="77777777" w:rsidR="00FB0615" w:rsidRDefault="00000000" w:rsidP="00FB0615">
      <w:pPr>
        <w:rPr>
          <w:rFonts w:asciiTheme="majorHAnsi" w:hAnsiTheme="majorHAnsi" w:cstheme="majorHAnsi"/>
        </w:rPr>
      </w:pPr>
      <w:r>
        <w:rPr>
          <w:rFonts w:asciiTheme="majorHAnsi" w:hAnsiTheme="majorHAnsi" w:cstheme="majorHAnsi"/>
        </w:rPr>
        <w:t xml:space="preserve">1.5.5.3 </w:t>
      </w:r>
      <w:r w:rsidRPr="00FB0615">
        <w:rPr>
          <w:rFonts w:asciiTheme="majorHAnsi" w:hAnsiTheme="majorHAnsi" w:cstheme="majorHAnsi"/>
        </w:rPr>
        <w:t xml:space="preserve">For cross-experiment comparisons, acquire all conditions in a single session under identical laser power, exposure, and gain settings and report these settings in the figure legend. </w:t>
      </w:r>
    </w:p>
    <w:p w14:paraId="07D908AD" w14:textId="77777777" w:rsidR="00FB0615" w:rsidRDefault="00FB0615" w:rsidP="00FB0615">
      <w:pPr>
        <w:rPr>
          <w:rFonts w:asciiTheme="majorHAnsi" w:hAnsiTheme="majorHAnsi" w:cstheme="majorHAnsi"/>
        </w:rPr>
      </w:pPr>
    </w:p>
    <w:p w14:paraId="50C7D95D" w14:textId="77777777" w:rsidR="00FB0615" w:rsidRDefault="00000000" w:rsidP="00FB0615">
      <w:pPr>
        <w:rPr>
          <w:rFonts w:asciiTheme="majorHAnsi" w:hAnsiTheme="majorHAnsi" w:cstheme="majorHAnsi"/>
        </w:rPr>
      </w:pPr>
      <w:r>
        <w:rPr>
          <w:rFonts w:asciiTheme="majorHAnsi" w:hAnsiTheme="majorHAnsi" w:cstheme="majorHAnsi"/>
        </w:rPr>
        <w:t xml:space="preserve">1.5.5.4 </w:t>
      </w:r>
      <w:r w:rsidRPr="00FB0615">
        <w:rPr>
          <w:rFonts w:asciiTheme="majorHAnsi" w:hAnsiTheme="majorHAnsi" w:cstheme="majorHAnsi"/>
        </w:rPr>
        <w:t xml:space="preserve">If absolute intensity comparisons across sessions are required, include a fluorescent reference standard (e.g., a reference bead plate or fixed reference well) and normalize measured intensities accordingly. </w:t>
      </w:r>
    </w:p>
    <w:p w14:paraId="029BABE4" w14:textId="77777777" w:rsidR="00FB0615" w:rsidRDefault="00FB0615" w:rsidP="00FB0615">
      <w:pPr>
        <w:rPr>
          <w:rFonts w:asciiTheme="majorHAnsi" w:hAnsiTheme="majorHAnsi" w:cstheme="majorHAnsi"/>
        </w:rPr>
      </w:pPr>
    </w:p>
    <w:p w14:paraId="19AE69F2" w14:textId="60AD1005" w:rsidR="00FB0615" w:rsidRDefault="00000000" w:rsidP="00FB0615">
      <w:pPr>
        <w:rPr>
          <w:rFonts w:asciiTheme="majorHAnsi" w:hAnsiTheme="majorHAnsi" w:cstheme="majorHAnsi"/>
        </w:rPr>
      </w:pPr>
      <w:r w:rsidRPr="00FB0615">
        <w:rPr>
          <w:rFonts w:asciiTheme="majorHAnsi" w:hAnsiTheme="majorHAnsi" w:cstheme="majorHAnsi"/>
          <w:b/>
          <w:bCs/>
        </w:rPr>
        <w:t>NOTE:</w:t>
      </w:r>
      <w:r>
        <w:rPr>
          <w:rFonts w:asciiTheme="majorHAnsi" w:hAnsiTheme="majorHAnsi" w:cstheme="majorHAnsi"/>
        </w:rPr>
        <w:t xml:space="preserve"> </w:t>
      </w:r>
      <w:r w:rsidRPr="00FB0615">
        <w:rPr>
          <w:rFonts w:asciiTheme="majorHAnsi" w:hAnsiTheme="majorHAnsi" w:cstheme="majorHAnsi"/>
        </w:rPr>
        <w:t>Do not compare raw intensity values across sessions without identical acquisition settings or reference-based normalization.</w:t>
      </w:r>
    </w:p>
    <w:p w14:paraId="6C2D372D" w14:textId="77777777" w:rsidR="00FB0615" w:rsidRPr="00FB0615" w:rsidRDefault="00FB0615" w:rsidP="00FB0615">
      <w:pPr>
        <w:rPr>
          <w:rFonts w:asciiTheme="majorHAnsi" w:hAnsiTheme="majorHAnsi" w:cstheme="majorHAnsi"/>
        </w:rPr>
      </w:pPr>
    </w:p>
    <w:p w14:paraId="12FEA5BC" w14:textId="77777777" w:rsidR="00EE7D37" w:rsidRDefault="00000000" w:rsidP="00FB0615">
      <w:pPr>
        <w:rPr>
          <w:rFonts w:asciiTheme="majorHAnsi" w:hAnsiTheme="majorHAnsi" w:cstheme="majorHAnsi"/>
        </w:rPr>
      </w:pPr>
      <w:r w:rsidRPr="00FB0615">
        <w:rPr>
          <w:rFonts w:asciiTheme="majorHAnsi" w:hAnsiTheme="majorHAnsi" w:cstheme="majorHAnsi"/>
        </w:rPr>
        <w:t xml:space="preserve">1.5.6 Nuclear density normalization. </w:t>
      </w:r>
    </w:p>
    <w:p w14:paraId="611AB555" w14:textId="77777777" w:rsidR="00EE7D37" w:rsidRDefault="00EE7D37" w:rsidP="00FB0615">
      <w:pPr>
        <w:rPr>
          <w:rFonts w:asciiTheme="majorHAnsi" w:hAnsiTheme="majorHAnsi" w:cstheme="majorHAnsi"/>
        </w:rPr>
      </w:pPr>
    </w:p>
    <w:p w14:paraId="76D2A1D6" w14:textId="77777777" w:rsidR="00EE7D37" w:rsidRDefault="00000000" w:rsidP="00FB0615">
      <w:pPr>
        <w:rPr>
          <w:rFonts w:asciiTheme="majorHAnsi" w:hAnsiTheme="majorHAnsi" w:cstheme="majorHAnsi"/>
        </w:rPr>
      </w:pPr>
      <w:r w:rsidRPr="00EE7D37">
        <w:rPr>
          <w:rFonts w:asciiTheme="majorHAnsi" w:hAnsiTheme="majorHAnsi" w:cstheme="majorHAnsi"/>
          <w:b/>
          <w:bCs/>
        </w:rPr>
        <w:t>NOTE:</w:t>
      </w:r>
      <w:r>
        <w:rPr>
          <w:rFonts w:asciiTheme="majorHAnsi" w:hAnsiTheme="majorHAnsi" w:cstheme="majorHAnsi"/>
        </w:rPr>
        <w:t xml:space="preserve"> </w:t>
      </w:r>
      <w:r w:rsidR="00FB0615" w:rsidRPr="00FB0615">
        <w:rPr>
          <w:rFonts w:asciiTheme="majorHAnsi" w:hAnsiTheme="majorHAnsi" w:cstheme="majorHAnsi"/>
        </w:rPr>
        <w:t xml:space="preserve">Because senescent cultures typically exhibit reduced proliferation and lower nuclear density at comparable seeding times7,10, field-level metrics based on absolute pixel counts (e.g., total lyso-positive area) may be influenced by cell number per field. </w:t>
      </w:r>
    </w:p>
    <w:p w14:paraId="17E7F7F5" w14:textId="77777777" w:rsidR="00EE7D37" w:rsidRDefault="00EE7D37" w:rsidP="00FB0615">
      <w:pPr>
        <w:rPr>
          <w:rFonts w:asciiTheme="majorHAnsi" w:hAnsiTheme="majorHAnsi" w:cstheme="majorHAnsi"/>
        </w:rPr>
      </w:pPr>
    </w:p>
    <w:p w14:paraId="00C58DF6" w14:textId="77777777" w:rsidR="00EE7D37" w:rsidRDefault="00000000" w:rsidP="00FB0615">
      <w:pPr>
        <w:rPr>
          <w:rFonts w:asciiTheme="majorHAnsi" w:hAnsiTheme="majorHAnsi" w:cstheme="majorHAnsi"/>
        </w:rPr>
      </w:pPr>
      <w:r>
        <w:rPr>
          <w:rFonts w:asciiTheme="majorHAnsi" w:hAnsiTheme="majorHAnsi" w:cstheme="majorHAnsi"/>
        </w:rPr>
        <w:t xml:space="preserve">1.5.6.1 </w:t>
      </w:r>
      <w:r w:rsidR="00FB0615" w:rsidRPr="00FB0615">
        <w:rPr>
          <w:rFonts w:asciiTheme="majorHAnsi" w:hAnsiTheme="majorHAnsi" w:cstheme="majorHAnsi"/>
        </w:rPr>
        <w:t xml:space="preserve">Report both raw and per-nucleus normalized values (raw value divided by the number of Hoechst-segmented nuclei). </w:t>
      </w:r>
    </w:p>
    <w:p w14:paraId="45762D8E" w14:textId="77777777" w:rsidR="00EE7D37" w:rsidRDefault="00EE7D37" w:rsidP="00FB0615">
      <w:pPr>
        <w:rPr>
          <w:rFonts w:asciiTheme="majorHAnsi" w:hAnsiTheme="majorHAnsi" w:cstheme="majorHAnsi"/>
        </w:rPr>
      </w:pPr>
    </w:p>
    <w:p w14:paraId="532324A2" w14:textId="0EEEC988" w:rsidR="00FB0615" w:rsidRPr="00FB0615" w:rsidRDefault="00000000" w:rsidP="00FB0615">
      <w:pPr>
        <w:rPr>
          <w:rFonts w:asciiTheme="majorHAnsi" w:hAnsiTheme="majorHAnsi" w:cstheme="majorHAnsi"/>
        </w:rPr>
      </w:pPr>
      <w:r w:rsidRPr="00EE7D37">
        <w:rPr>
          <w:rFonts w:asciiTheme="majorHAnsi" w:hAnsiTheme="majorHAnsi" w:cstheme="majorHAnsi"/>
          <w:b/>
          <w:bCs/>
        </w:rPr>
        <w:t>NOTE:</w:t>
      </w:r>
      <w:r>
        <w:rPr>
          <w:rFonts w:asciiTheme="majorHAnsi" w:hAnsiTheme="majorHAnsi" w:cstheme="majorHAnsi"/>
        </w:rPr>
        <w:t xml:space="preserve"> </w:t>
      </w:r>
      <w:r w:rsidRPr="00FB0615">
        <w:rPr>
          <w:rFonts w:asciiTheme="majorHAnsi" w:hAnsiTheme="majorHAnsi" w:cstheme="majorHAnsi"/>
        </w:rPr>
        <w:t>Per-nucleus normalization controls for density-related confounds and is the appropriate comparison for per-cell interpretation. For area-based readouts, the normalized value serves as the primary metric, while the unnormalized total is retained for completeness.</w:t>
      </w:r>
    </w:p>
    <w:p w14:paraId="06412BC7" w14:textId="53894DEC" w:rsidR="00FB0615" w:rsidRPr="00FB0615" w:rsidRDefault="00FB0615" w:rsidP="00FB0615">
      <w:pPr>
        <w:rPr>
          <w:rFonts w:asciiTheme="majorHAnsi" w:hAnsiTheme="majorHAnsi" w:cstheme="majorHAnsi"/>
        </w:rPr>
      </w:pPr>
    </w:p>
    <w:p w14:paraId="0D392B5E" w14:textId="77777777" w:rsidR="00FB0615" w:rsidRPr="00FB0615" w:rsidRDefault="00000000" w:rsidP="00FB0615">
      <w:pPr>
        <w:rPr>
          <w:rFonts w:asciiTheme="majorHAnsi" w:hAnsiTheme="majorHAnsi" w:cstheme="majorHAnsi"/>
        </w:rPr>
      </w:pPr>
      <w:r w:rsidRPr="00FB0615">
        <w:rPr>
          <w:rFonts w:asciiTheme="majorHAnsi" w:hAnsiTheme="majorHAnsi" w:cstheme="majorHAnsi"/>
        </w:rPr>
        <w:t>1.6 Acquire images under conditions that preserve live-cell signal quality and minimize technical variability. Keep early- and late-passage plates protected from light during staining and transport, and minimize time outside controlled culture conditions during imaging.</w:t>
      </w:r>
    </w:p>
    <w:p w14:paraId="65415FDB" w14:textId="2AAE9337" w:rsidR="00FB0615" w:rsidRPr="00FB0615" w:rsidRDefault="00FB0615" w:rsidP="00FB0615">
      <w:pPr>
        <w:rPr>
          <w:rFonts w:asciiTheme="majorHAnsi" w:hAnsiTheme="majorHAnsi" w:cstheme="majorHAnsi"/>
        </w:rPr>
      </w:pPr>
    </w:p>
    <w:p w14:paraId="180742EE" w14:textId="77777777" w:rsidR="00FB0615" w:rsidRPr="00FB0615" w:rsidRDefault="00000000" w:rsidP="00FB0615">
      <w:pPr>
        <w:rPr>
          <w:rFonts w:asciiTheme="majorHAnsi" w:hAnsiTheme="majorHAnsi" w:cstheme="majorHAnsi"/>
        </w:rPr>
      </w:pPr>
      <w:r w:rsidRPr="00FB0615">
        <w:rPr>
          <w:rFonts w:asciiTheme="majorHAnsi" w:hAnsiTheme="majorHAnsi" w:cstheme="majorHAnsi"/>
        </w:rPr>
        <w:t>1.7 Save fluorescence images as single-plane, single-channel, lossless TIFF files. Use a consistent naming scheme that preserves pairing between nuclear and LysoTracker images and maintains traceability to plate, well, condition, and replicate. Use a shared base name with channel suffixes (e.g., _Hoechst.tif and _Lyso.tif). Store images in a dedicated folder organized by experiment, with subfolders as needed.</w:t>
      </w:r>
    </w:p>
    <w:p w14:paraId="699F6D4A" w14:textId="0E930630" w:rsidR="00FB0615" w:rsidRPr="00FB0615" w:rsidRDefault="00FB0615" w:rsidP="00FB0615">
      <w:pPr>
        <w:rPr>
          <w:rFonts w:asciiTheme="majorHAnsi" w:hAnsiTheme="majorHAnsi" w:cstheme="majorHAnsi"/>
        </w:rPr>
      </w:pPr>
    </w:p>
    <w:p w14:paraId="24309F01" w14:textId="77777777" w:rsidR="00FB0615" w:rsidRPr="00FB0615" w:rsidRDefault="00000000" w:rsidP="00FB0615">
      <w:pPr>
        <w:rPr>
          <w:rFonts w:asciiTheme="majorHAnsi" w:hAnsiTheme="majorHAnsi" w:cstheme="majorHAnsi"/>
        </w:rPr>
      </w:pPr>
      <w:r w:rsidRPr="00EE7D37">
        <w:rPr>
          <w:rFonts w:asciiTheme="majorHAnsi" w:hAnsiTheme="majorHAnsi" w:cstheme="majorHAnsi"/>
          <w:b/>
          <w:bCs/>
        </w:rPr>
        <w:t>NOTE:</w:t>
      </w:r>
      <w:r w:rsidRPr="00FB0615">
        <w:rPr>
          <w:rFonts w:asciiTheme="majorHAnsi" w:hAnsiTheme="majorHAnsi" w:cstheme="majorHAnsi"/>
        </w:rPr>
        <w:t xml:space="preserve"> A practical pause point is after establishing early- and late-passage cohorts and confirming that late-passage cultures show slowed growth and senescence-like morphology.</w:t>
      </w:r>
    </w:p>
    <w:p w14:paraId="7850AB26" w14:textId="50008575" w:rsidR="00FB0615" w:rsidRPr="00FB0615" w:rsidRDefault="00FB0615" w:rsidP="00FB0615">
      <w:pPr>
        <w:rPr>
          <w:rFonts w:asciiTheme="majorHAnsi" w:hAnsiTheme="majorHAnsi" w:cstheme="majorHAnsi"/>
        </w:rPr>
      </w:pPr>
    </w:p>
    <w:p w14:paraId="49C2BD13" w14:textId="77777777" w:rsidR="00FB0615" w:rsidRPr="00FB0615" w:rsidRDefault="00000000" w:rsidP="00FB0615">
      <w:pPr>
        <w:rPr>
          <w:rFonts w:asciiTheme="majorHAnsi" w:hAnsiTheme="majorHAnsi" w:cstheme="majorHAnsi"/>
        </w:rPr>
      </w:pPr>
      <w:r w:rsidRPr="00FB0615">
        <w:rPr>
          <w:rFonts w:asciiTheme="majorHAnsi" w:hAnsiTheme="majorHAnsi" w:cstheme="majorHAnsi"/>
        </w:rPr>
        <w:t>1.8 (</w:t>
      </w:r>
      <w:r w:rsidRPr="00EE7D37">
        <w:rPr>
          <w:rFonts w:asciiTheme="majorHAnsi" w:hAnsiTheme="majorHAnsi" w:cstheme="majorHAnsi"/>
          <w:i/>
          <w:iCs/>
        </w:rPr>
        <w:t>Optional</w:t>
      </w:r>
      <w:r w:rsidRPr="00FB0615">
        <w:rPr>
          <w:rFonts w:asciiTheme="majorHAnsi" w:hAnsiTheme="majorHAnsi" w:cstheme="majorHAnsi"/>
        </w:rPr>
        <w:t>) Include oxygen as an experimental variable by maintaining matched IMR-90 cohorts under ambient and low oxygen conditions. Process all groups identically.</w:t>
      </w:r>
    </w:p>
    <w:p w14:paraId="42DF7144" w14:textId="3B970213" w:rsidR="00124AE1" w:rsidRPr="00124AE1" w:rsidRDefault="00124AE1" w:rsidP="00124AE1">
      <w:pPr>
        <w:rPr>
          <w:rFonts w:asciiTheme="majorHAnsi" w:hAnsiTheme="majorHAnsi" w:cstheme="majorHAnsi"/>
        </w:rPr>
      </w:pPr>
    </w:p>
    <w:p w14:paraId="110917EC" w14:textId="77777777" w:rsidR="00124AE1" w:rsidRPr="00124AE1" w:rsidRDefault="00000000" w:rsidP="00124AE1">
      <w:pPr>
        <w:rPr>
          <w:rFonts w:asciiTheme="majorHAnsi" w:hAnsiTheme="majorHAnsi" w:cstheme="majorHAnsi"/>
          <w:b/>
          <w:bCs/>
        </w:rPr>
      </w:pPr>
      <w:r w:rsidRPr="00124AE1">
        <w:rPr>
          <w:rFonts w:asciiTheme="majorHAnsi" w:hAnsiTheme="majorHAnsi" w:cstheme="majorHAnsi"/>
          <w:b/>
          <w:bCs/>
        </w:rPr>
        <w:t>2. Cell culture and induction of replicative senescence</w:t>
      </w:r>
    </w:p>
    <w:p w14:paraId="24E76086" w14:textId="77777777" w:rsidR="00124AE1" w:rsidRPr="00124AE1" w:rsidRDefault="00124AE1" w:rsidP="00124AE1">
      <w:pPr>
        <w:rPr>
          <w:rFonts w:asciiTheme="majorHAnsi" w:hAnsiTheme="majorHAnsi" w:cstheme="majorHAnsi"/>
        </w:rPr>
      </w:pPr>
    </w:p>
    <w:p w14:paraId="5B6EB976" w14:textId="4A631B79" w:rsidR="00124AE1" w:rsidRPr="00124AE1" w:rsidRDefault="00000000" w:rsidP="00124AE1">
      <w:pPr>
        <w:rPr>
          <w:rFonts w:asciiTheme="majorHAnsi" w:hAnsiTheme="majorHAnsi" w:cstheme="majorHAnsi"/>
        </w:rPr>
      </w:pPr>
      <w:r w:rsidRPr="00124AE1">
        <w:rPr>
          <w:rFonts w:asciiTheme="majorHAnsi" w:hAnsiTheme="majorHAnsi" w:cstheme="majorHAnsi"/>
        </w:rPr>
        <w:t xml:space="preserve">2.1 Thaw IMR-90 human lung fibroblasts according to standard cell culture practices and expand cells in </w:t>
      </w:r>
      <w:r w:rsidR="00731891" w:rsidRPr="00731891">
        <w:rPr>
          <w:rFonts w:asciiTheme="majorHAnsi" w:hAnsiTheme="majorHAnsi" w:cstheme="majorHAnsi"/>
        </w:rPr>
        <w:t>Minimum Essential Medium (MEM)</w:t>
      </w:r>
      <w:r w:rsidRPr="00124AE1">
        <w:rPr>
          <w:rFonts w:asciiTheme="majorHAnsi" w:hAnsiTheme="majorHAnsi" w:cstheme="majorHAnsi"/>
        </w:rPr>
        <w:t xml:space="preserve"> supplemented with 10% fetal bovine serum. Add penicillin-streptomycin at 1% if consistent with laboratory practice and experimental design. Maintain cells at 37 °C in 5% CO₂.</w:t>
      </w:r>
    </w:p>
    <w:p w14:paraId="41CDDA54" w14:textId="77777777" w:rsidR="00124AE1" w:rsidRPr="00124AE1" w:rsidRDefault="00124AE1" w:rsidP="00124AE1">
      <w:pPr>
        <w:rPr>
          <w:rFonts w:asciiTheme="majorHAnsi" w:hAnsiTheme="majorHAnsi" w:cstheme="majorHAnsi"/>
        </w:rPr>
      </w:pPr>
    </w:p>
    <w:p w14:paraId="113DA907" w14:textId="18F1560B" w:rsidR="00124AE1" w:rsidRPr="00124AE1" w:rsidRDefault="00000000" w:rsidP="00124AE1">
      <w:pPr>
        <w:rPr>
          <w:rFonts w:asciiTheme="majorHAnsi" w:hAnsiTheme="majorHAnsi" w:cstheme="majorHAnsi"/>
        </w:rPr>
      </w:pPr>
      <w:r w:rsidRPr="00124AE1">
        <w:rPr>
          <w:rFonts w:asciiTheme="majorHAnsi" w:hAnsiTheme="majorHAnsi" w:cstheme="majorHAnsi"/>
        </w:rPr>
        <w:t xml:space="preserve">2.2 </w:t>
      </w:r>
      <w:r w:rsidR="00DC3D8F" w:rsidRPr="00DC3D8F">
        <w:rPr>
          <w:rFonts w:asciiTheme="majorHAnsi" w:hAnsiTheme="majorHAnsi" w:cstheme="majorHAnsi"/>
        </w:rPr>
        <w:t>Maintain cultures in logarithmic growth and passage before 70% to 80% confluence. Use consistent media handling and feeding schedules to reduce variability across experimental runs.</w:t>
      </w:r>
      <w:r w:rsidR="004C2AB2" w:rsidRPr="004C2AB2">
        <w:rPr>
          <w:rFonts w:asciiTheme="majorHAnsi" w:hAnsiTheme="majorHAnsi" w:cstheme="majorHAnsi"/>
        </w:rPr>
        <w:t xml:space="preserve"> Replace </w:t>
      </w:r>
      <w:r w:rsidR="00CC772D">
        <w:rPr>
          <w:rFonts w:asciiTheme="majorHAnsi" w:hAnsiTheme="majorHAnsi" w:cstheme="majorHAnsi"/>
        </w:rPr>
        <w:t xml:space="preserve">the </w:t>
      </w:r>
      <w:r w:rsidR="004C2AB2" w:rsidRPr="004C2AB2">
        <w:rPr>
          <w:rFonts w:asciiTheme="majorHAnsi" w:hAnsiTheme="majorHAnsi" w:cstheme="majorHAnsi"/>
        </w:rPr>
        <w:t>complete culture medium every 2 to 3 days between passages. Do not allow medium to remain unchanged for more than 72 h, as nutrient depletion and accumulation of secreted factors can promote stress-induced phenotypes that confound replicative senescence.</w:t>
      </w:r>
    </w:p>
    <w:p w14:paraId="058A2339" w14:textId="77777777" w:rsidR="00124AE1" w:rsidRPr="00124AE1" w:rsidRDefault="00124AE1" w:rsidP="00124AE1">
      <w:pPr>
        <w:rPr>
          <w:rFonts w:asciiTheme="majorHAnsi" w:hAnsiTheme="majorHAnsi" w:cstheme="majorHAnsi"/>
        </w:rPr>
      </w:pPr>
    </w:p>
    <w:p w14:paraId="1F760598" w14:textId="16103151" w:rsidR="00124AE1" w:rsidRPr="00124AE1" w:rsidRDefault="00000000" w:rsidP="00124AE1">
      <w:pPr>
        <w:rPr>
          <w:rFonts w:asciiTheme="majorHAnsi" w:hAnsiTheme="majorHAnsi" w:cstheme="majorHAnsi"/>
        </w:rPr>
      </w:pPr>
      <w:r w:rsidRPr="00124AE1">
        <w:rPr>
          <w:rFonts w:asciiTheme="majorHAnsi" w:hAnsiTheme="majorHAnsi" w:cstheme="majorHAnsi"/>
        </w:rPr>
        <w:t xml:space="preserve">2.3 </w:t>
      </w:r>
      <w:r w:rsidR="00DC3D8F" w:rsidRPr="00DC3D8F">
        <w:rPr>
          <w:rFonts w:asciiTheme="majorHAnsi" w:hAnsiTheme="majorHAnsi" w:cstheme="majorHAnsi"/>
        </w:rPr>
        <w:t xml:space="preserve">Define the senescence-low baseline group as actively proliferating IMR-90 cultures </w:t>
      </w:r>
      <w:r w:rsidR="00DC3D8F" w:rsidRPr="00DC3D8F">
        <w:rPr>
          <w:rFonts w:asciiTheme="majorHAnsi" w:hAnsiTheme="majorHAnsi" w:cstheme="majorHAnsi"/>
        </w:rPr>
        <w:lastRenderedPageBreak/>
        <w:t>maintained under conditions that preserve normal growth behavior. Match plating density and handling to all experimental groups.</w:t>
      </w:r>
    </w:p>
    <w:p w14:paraId="0DC1616D" w14:textId="77777777" w:rsidR="00124AE1" w:rsidRPr="00124AE1" w:rsidRDefault="00124AE1" w:rsidP="00124AE1">
      <w:pPr>
        <w:rPr>
          <w:rFonts w:asciiTheme="majorHAnsi" w:hAnsiTheme="majorHAnsi" w:cstheme="majorHAnsi"/>
        </w:rPr>
      </w:pPr>
    </w:p>
    <w:p w14:paraId="36095E5F" w14:textId="77777777" w:rsidR="00DC3D8F" w:rsidRDefault="00000000" w:rsidP="00DC3D8F">
      <w:pPr>
        <w:rPr>
          <w:rFonts w:asciiTheme="majorHAnsi" w:hAnsiTheme="majorHAnsi" w:cstheme="majorHAnsi"/>
        </w:rPr>
      </w:pPr>
      <w:r w:rsidRPr="00DC3D8F">
        <w:rPr>
          <w:rFonts w:asciiTheme="majorHAnsi" w:hAnsiTheme="majorHAnsi" w:cstheme="majorHAnsi"/>
        </w:rPr>
        <w:t>2.4 Generate a senescence-high group using one of the following approaches, chosen based on experimental aims.</w:t>
      </w:r>
    </w:p>
    <w:p w14:paraId="1DB691D4" w14:textId="77777777" w:rsidR="00DC3D8F" w:rsidRPr="00DC3D8F" w:rsidRDefault="00DC3D8F" w:rsidP="00DC3D8F">
      <w:pPr>
        <w:rPr>
          <w:rFonts w:asciiTheme="majorHAnsi" w:hAnsiTheme="majorHAnsi" w:cstheme="majorHAnsi"/>
        </w:rPr>
      </w:pPr>
    </w:p>
    <w:p w14:paraId="542F3FAD" w14:textId="77777777" w:rsidR="00060A9A" w:rsidRDefault="00000000" w:rsidP="00060A9A">
      <w:pPr>
        <w:rPr>
          <w:rFonts w:asciiTheme="majorHAnsi" w:hAnsiTheme="majorHAnsi" w:cstheme="majorHAnsi"/>
        </w:rPr>
      </w:pPr>
      <w:r w:rsidRPr="00DC3D8F">
        <w:rPr>
          <w:rFonts w:asciiTheme="majorHAnsi" w:hAnsiTheme="majorHAnsi" w:cstheme="majorHAnsi"/>
        </w:rPr>
        <w:t xml:space="preserve">2.4.1 </w:t>
      </w:r>
      <w:r w:rsidRPr="00060A9A">
        <w:rPr>
          <w:rFonts w:asciiTheme="majorHAnsi" w:hAnsiTheme="majorHAnsi" w:cstheme="majorHAnsi"/>
        </w:rPr>
        <w:t xml:space="preserve">Induce replicative senescence by serial passaging with population doubling tracking until slowed proliferation and senescence-associated morphology are evident. </w:t>
      </w:r>
    </w:p>
    <w:p w14:paraId="2340CBD7" w14:textId="77777777" w:rsidR="00060A9A" w:rsidRDefault="00060A9A" w:rsidP="00060A9A">
      <w:pPr>
        <w:rPr>
          <w:rFonts w:asciiTheme="majorHAnsi" w:hAnsiTheme="majorHAnsi" w:cstheme="majorHAnsi"/>
        </w:rPr>
      </w:pPr>
    </w:p>
    <w:p w14:paraId="15EA72A7" w14:textId="45AAC135" w:rsidR="00060A9A" w:rsidRDefault="00000000" w:rsidP="00060A9A">
      <w:pPr>
        <w:rPr>
          <w:rFonts w:asciiTheme="majorHAnsi" w:hAnsiTheme="majorHAnsi" w:cstheme="majorHAnsi"/>
        </w:rPr>
      </w:pPr>
      <w:r w:rsidRPr="00060A9A">
        <w:rPr>
          <w:rFonts w:asciiTheme="majorHAnsi" w:hAnsiTheme="majorHAnsi" w:cstheme="majorHAnsi"/>
          <w:b/>
          <w:bCs/>
        </w:rPr>
        <w:t>NOTE:</w:t>
      </w:r>
      <w:r>
        <w:rPr>
          <w:rFonts w:asciiTheme="majorHAnsi" w:hAnsiTheme="majorHAnsi" w:cstheme="majorHAnsi"/>
        </w:rPr>
        <w:t xml:space="preserve"> </w:t>
      </w:r>
      <w:r w:rsidRPr="00060A9A">
        <w:rPr>
          <w:rFonts w:asciiTheme="majorHAnsi" w:hAnsiTheme="majorHAnsi" w:cstheme="majorHAnsi"/>
        </w:rPr>
        <w:t>Population doubling level (PDL) and passage number are distinct measures and are tracked separately. PDL refers to cumulative post-thaw doublings and is calculated at each passage as</w:t>
      </w:r>
      <w:r>
        <w:rPr>
          <w:rFonts w:asciiTheme="majorHAnsi" w:hAnsiTheme="majorHAnsi" w:cstheme="majorHAnsi"/>
        </w:rPr>
        <w:t>:</w:t>
      </w:r>
    </w:p>
    <w:p w14:paraId="7A2C015C" w14:textId="77777777" w:rsidR="00060A9A" w:rsidRDefault="00060A9A" w:rsidP="00060A9A">
      <w:pPr>
        <w:rPr>
          <w:rFonts w:asciiTheme="majorHAnsi" w:hAnsiTheme="majorHAnsi" w:cstheme="majorHAnsi"/>
        </w:rPr>
      </w:pPr>
    </w:p>
    <w:p w14:paraId="6483B473" w14:textId="77777777" w:rsidR="00060A9A" w:rsidRDefault="00000000" w:rsidP="00060A9A">
      <w:pPr>
        <w:jc w:val="center"/>
        <w:rPr>
          <w:rFonts w:asciiTheme="majorHAnsi" w:hAnsiTheme="majorHAnsi" w:cstheme="majorHAnsi"/>
        </w:rPr>
      </w:pPr>
      <m:oMath>
        <m:r>
          <w:rPr>
            <w:rFonts w:ascii="Cambria Math" w:hAnsi="Cambria Math" w:cstheme="majorHAnsi"/>
          </w:rPr>
          <m:t>PDLᵢ = PDLᵢ₋₁ + log₂(cells harvested / cells seeded)</m:t>
        </m:r>
      </m:oMath>
      <w:r w:rsidRPr="00060A9A">
        <w:rPr>
          <w:rFonts w:asciiTheme="majorHAnsi" w:hAnsiTheme="majorHAnsi" w:cstheme="majorHAnsi"/>
          <w:vertAlign w:val="superscript"/>
        </w:rPr>
        <w:t>18</w:t>
      </w:r>
      <w:r w:rsidRPr="00060A9A">
        <w:rPr>
          <w:rFonts w:asciiTheme="majorHAnsi" w:hAnsiTheme="majorHAnsi" w:cstheme="majorHAnsi"/>
        </w:rPr>
        <w:t xml:space="preserve">, </w:t>
      </w:r>
    </w:p>
    <w:p w14:paraId="3A7F7AD5" w14:textId="77777777" w:rsidR="00060A9A" w:rsidRDefault="00060A9A" w:rsidP="00060A9A">
      <w:pPr>
        <w:rPr>
          <w:rFonts w:asciiTheme="majorHAnsi" w:hAnsiTheme="majorHAnsi" w:cstheme="majorHAnsi"/>
        </w:rPr>
      </w:pPr>
    </w:p>
    <w:p w14:paraId="29E45856" w14:textId="1F271C90" w:rsidR="00060A9A" w:rsidRDefault="00000000" w:rsidP="00060A9A">
      <w:pPr>
        <w:rPr>
          <w:rFonts w:asciiTheme="majorHAnsi" w:hAnsiTheme="majorHAnsi" w:cstheme="majorHAnsi"/>
        </w:rPr>
      </w:pPr>
      <w:r w:rsidRPr="00060A9A">
        <w:rPr>
          <w:rFonts w:asciiTheme="majorHAnsi" w:hAnsiTheme="majorHAnsi" w:cstheme="majorHAnsi"/>
        </w:rPr>
        <w:t>whereas passage number counts the number of subcultures since thaw. Because cultures are typically split 1:4 at approximately 70</w:t>
      </w:r>
      <w:r>
        <w:rPr>
          <w:rFonts w:asciiTheme="majorHAnsi" w:hAnsiTheme="majorHAnsi" w:cstheme="majorHAnsi"/>
        </w:rPr>
        <w:t>%</w:t>
      </w:r>
      <w:r w:rsidRPr="00060A9A">
        <w:rPr>
          <w:rFonts w:asciiTheme="majorHAnsi" w:hAnsiTheme="majorHAnsi" w:cstheme="majorHAnsi"/>
        </w:rPr>
        <w:t>–80% confluence, each passage contributes about two population doublings, so passage number and cumulative PDL are not interchangeable.</w:t>
      </w:r>
    </w:p>
    <w:p w14:paraId="55F0E19A" w14:textId="77777777" w:rsidR="00060A9A" w:rsidRPr="00060A9A" w:rsidRDefault="00060A9A" w:rsidP="00060A9A">
      <w:pPr>
        <w:rPr>
          <w:rFonts w:asciiTheme="majorHAnsi" w:hAnsiTheme="majorHAnsi" w:cstheme="majorHAnsi"/>
        </w:rPr>
      </w:pPr>
    </w:p>
    <w:p w14:paraId="381DB049" w14:textId="7CDABC2C" w:rsidR="00060A9A" w:rsidRPr="00060A9A" w:rsidRDefault="00000000" w:rsidP="00060A9A">
      <w:pPr>
        <w:rPr>
          <w:rFonts w:asciiTheme="majorHAnsi" w:hAnsiTheme="majorHAnsi" w:cstheme="majorHAnsi"/>
        </w:rPr>
      </w:pPr>
      <w:r w:rsidRPr="00060A9A">
        <w:rPr>
          <w:rFonts w:asciiTheme="majorHAnsi" w:hAnsiTheme="majorHAnsi" w:cstheme="majorHAnsi"/>
          <w:b/>
          <w:bCs/>
        </w:rPr>
        <w:t>NOTE:</w:t>
      </w:r>
      <w:r>
        <w:rPr>
          <w:rFonts w:asciiTheme="majorHAnsi" w:hAnsiTheme="majorHAnsi" w:cstheme="majorHAnsi"/>
        </w:rPr>
        <w:t xml:space="preserve"> </w:t>
      </w:r>
      <w:r w:rsidRPr="00060A9A">
        <w:rPr>
          <w:rFonts w:asciiTheme="majorHAnsi" w:hAnsiTheme="majorHAnsi" w:cstheme="majorHAnsi"/>
        </w:rPr>
        <w:t xml:space="preserve">Senescence-high cultures are typically observed at advanced </w:t>
      </w:r>
      <w:r w:rsidR="00CC772D">
        <w:rPr>
          <w:rFonts w:asciiTheme="majorHAnsi" w:hAnsiTheme="majorHAnsi" w:cstheme="majorHAnsi"/>
        </w:rPr>
        <w:t>population-doubling levels, when proliferation slows,</w:t>
      </w:r>
      <w:r w:rsidRPr="00060A9A">
        <w:rPr>
          <w:rFonts w:asciiTheme="majorHAnsi" w:hAnsiTheme="majorHAnsi" w:cstheme="majorHAnsi"/>
        </w:rPr>
        <w:t xml:space="preserve"> and senescence-associated morphology becomes evident. Exact thresholds should be determined empirically for each IMR-90 lot, as </w:t>
      </w:r>
      <w:r>
        <w:rPr>
          <w:rFonts w:asciiTheme="majorHAnsi" w:hAnsiTheme="majorHAnsi" w:cstheme="majorHAnsi"/>
        </w:rPr>
        <w:t>PDLs vary</w:t>
      </w:r>
      <w:r w:rsidRPr="00060A9A">
        <w:rPr>
          <w:rFonts w:asciiTheme="majorHAnsi" w:hAnsiTheme="majorHAnsi" w:cstheme="majorHAnsi"/>
        </w:rPr>
        <w:t xml:space="preserve"> between vendors.</w:t>
      </w:r>
    </w:p>
    <w:p w14:paraId="06FCCD7D" w14:textId="6600C093" w:rsidR="00DC3D8F" w:rsidRPr="00DC3D8F" w:rsidRDefault="00DC3D8F" w:rsidP="00DC3D8F">
      <w:pPr>
        <w:rPr>
          <w:rFonts w:asciiTheme="majorHAnsi" w:hAnsiTheme="majorHAnsi" w:cstheme="majorHAnsi"/>
        </w:rPr>
      </w:pPr>
    </w:p>
    <w:p w14:paraId="736C0373" w14:textId="77777777" w:rsidR="00DC3D8F" w:rsidRDefault="00000000" w:rsidP="00DC3D8F">
      <w:pPr>
        <w:rPr>
          <w:rFonts w:asciiTheme="majorHAnsi" w:hAnsiTheme="majorHAnsi" w:cstheme="majorHAnsi"/>
        </w:rPr>
      </w:pPr>
      <w:r w:rsidRPr="00DC3D8F">
        <w:rPr>
          <w:rFonts w:asciiTheme="majorHAnsi" w:hAnsiTheme="majorHAnsi" w:cstheme="majorHAnsi"/>
        </w:rPr>
        <w:t>2.4.2 Stress-induced senescence by applying a defined senescence trigger and allowing an appropriate phenotypic development window.</w:t>
      </w:r>
    </w:p>
    <w:p w14:paraId="4E2AA590" w14:textId="77777777" w:rsidR="00DC3D8F" w:rsidRPr="00DC3D8F" w:rsidRDefault="00DC3D8F" w:rsidP="00DC3D8F">
      <w:pPr>
        <w:rPr>
          <w:rFonts w:asciiTheme="majorHAnsi" w:hAnsiTheme="majorHAnsi" w:cstheme="majorHAnsi"/>
        </w:rPr>
      </w:pPr>
    </w:p>
    <w:p w14:paraId="11CD3E3A" w14:textId="77777777" w:rsidR="00DC3D8F" w:rsidRPr="00DC3D8F" w:rsidRDefault="00000000" w:rsidP="00DC3D8F">
      <w:pPr>
        <w:rPr>
          <w:rFonts w:asciiTheme="majorHAnsi" w:hAnsiTheme="majorHAnsi" w:cstheme="majorHAnsi"/>
        </w:rPr>
      </w:pPr>
      <w:r w:rsidRPr="00DC3D8F">
        <w:rPr>
          <w:rFonts w:asciiTheme="majorHAnsi" w:hAnsiTheme="majorHAnsi" w:cstheme="majorHAnsi"/>
        </w:rPr>
        <w:t>2.4.3 Treatment-induced senescence by exposing cells to the condition under study when the goal is to test whether that condition induces senescence.</w:t>
      </w:r>
    </w:p>
    <w:p w14:paraId="370D59ED" w14:textId="77777777" w:rsidR="00124AE1" w:rsidRPr="00124AE1" w:rsidRDefault="00124AE1" w:rsidP="00124AE1">
      <w:pPr>
        <w:rPr>
          <w:rFonts w:asciiTheme="majorHAnsi" w:hAnsiTheme="majorHAnsi" w:cstheme="majorHAnsi"/>
        </w:rPr>
      </w:pPr>
    </w:p>
    <w:p w14:paraId="6BFAF64A" w14:textId="77777777" w:rsidR="00060A9A" w:rsidRDefault="00000000" w:rsidP="00DC3D8F">
      <w:pPr>
        <w:rPr>
          <w:rFonts w:asciiTheme="majorHAnsi" w:hAnsiTheme="majorHAnsi" w:cstheme="majorHAnsi"/>
        </w:rPr>
      </w:pPr>
      <w:r w:rsidRPr="00DC3D8F">
        <w:rPr>
          <w:rFonts w:asciiTheme="majorHAnsi" w:hAnsiTheme="majorHAnsi" w:cstheme="majorHAnsi"/>
        </w:rPr>
        <w:t xml:space="preserve">2.5 </w:t>
      </w:r>
      <w:r w:rsidRPr="00060A9A">
        <w:rPr>
          <w:rFonts w:asciiTheme="majorHAnsi" w:hAnsiTheme="majorHAnsi" w:cstheme="majorHAnsi"/>
        </w:rPr>
        <w:t xml:space="preserve">Validate that the selected approach produces a senescence-high phenotype using at least one orthogonal readout performed on parallel wells. Perform SA-β-Gal staining as an optional validation method and document the fraction of positive cells per condition when included. </w:t>
      </w:r>
    </w:p>
    <w:p w14:paraId="317554AE" w14:textId="77777777" w:rsidR="00060A9A" w:rsidRDefault="00060A9A" w:rsidP="00DC3D8F">
      <w:pPr>
        <w:rPr>
          <w:rFonts w:asciiTheme="majorHAnsi" w:hAnsiTheme="majorHAnsi" w:cstheme="majorHAnsi"/>
        </w:rPr>
      </w:pPr>
    </w:p>
    <w:p w14:paraId="4A22EED9" w14:textId="77777777" w:rsidR="00060A9A" w:rsidRDefault="00000000" w:rsidP="00DC3D8F">
      <w:pPr>
        <w:rPr>
          <w:rFonts w:asciiTheme="majorHAnsi" w:hAnsiTheme="majorHAnsi" w:cstheme="majorHAnsi"/>
        </w:rPr>
      </w:pPr>
      <w:r>
        <w:rPr>
          <w:rFonts w:asciiTheme="majorHAnsi" w:hAnsiTheme="majorHAnsi" w:cstheme="majorHAnsi"/>
        </w:rPr>
        <w:t xml:space="preserve">2.5.1 </w:t>
      </w:r>
      <w:r w:rsidRPr="00060A9A">
        <w:rPr>
          <w:rFonts w:asciiTheme="majorHAnsi" w:hAnsiTheme="majorHAnsi" w:cstheme="majorHAnsi"/>
        </w:rPr>
        <w:t>A culture qualifies as senescence-high when at least 50% of cells show unambiguous blue perinuclear SA-β-Gal staining after 12 to 16 h incubation at pH 6.0, while the matched senescence-low control shows no more than 10% positive cells under identical staining conditions</w:t>
      </w:r>
      <w:r w:rsidRPr="00060A9A">
        <w:rPr>
          <w:rFonts w:asciiTheme="majorHAnsi" w:hAnsiTheme="majorHAnsi" w:cstheme="majorHAnsi"/>
          <w:vertAlign w:val="superscript"/>
        </w:rPr>
        <w:t>13</w:t>
      </w:r>
      <w:r w:rsidRPr="00060A9A">
        <w:rPr>
          <w:rFonts w:asciiTheme="majorHAnsi" w:hAnsiTheme="majorHAnsi" w:cstheme="majorHAnsi"/>
        </w:rPr>
        <w:t xml:space="preserve">. </w:t>
      </w:r>
    </w:p>
    <w:p w14:paraId="0E0221B3" w14:textId="77777777" w:rsidR="00060A9A" w:rsidRDefault="00060A9A" w:rsidP="00DC3D8F">
      <w:pPr>
        <w:rPr>
          <w:rFonts w:asciiTheme="majorHAnsi" w:hAnsiTheme="majorHAnsi" w:cstheme="majorHAnsi"/>
        </w:rPr>
      </w:pPr>
    </w:p>
    <w:p w14:paraId="153E44A4" w14:textId="5DC16C05" w:rsidR="00DC3D8F" w:rsidRPr="00DC3D8F" w:rsidRDefault="00000000" w:rsidP="00DC3D8F">
      <w:pPr>
        <w:rPr>
          <w:rFonts w:asciiTheme="majorHAnsi" w:hAnsiTheme="majorHAnsi" w:cstheme="majorHAnsi"/>
        </w:rPr>
      </w:pPr>
      <w:r>
        <w:rPr>
          <w:rFonts w:asciiTheme="majorHAnsi" w:hAnsiTheme="majorHAnsi" w:cstheme="majorHAnsi"/>
        </w:rPr>
        <w:t xml:space="preserve">2.5.2 </w:t>
      </w:r>
      <w:r w:rsidRPr="00060A9A">
        <w:rPr>
          <w:rFonts w:asciiTheme="majorHAnsi" w:hAnsiTheme="majorHAnsi" w:cstheme="majorHAnsi"/>
        </w:rPr>
        <w:t>Values outside these bounds indicate incomplete senescence induction or elevated background and warrant re-optimization before proceeding to imaging.</w:t>
      </w:r>
    </w:p>
    <w:p w14:paraId="10DBFFA1" w14:textId="77777777" w:rsidR="00DC3D8F" w:rsidRPr="00DC3D8F" w:rsidRDefault="00DC3D8F" w:rsidP="00DC3D8F">
      <w:pPr>
        <w:rPr>
          <w:rFonts w:asciiTheme="majorHAnsi" w:hAnsiTheme="majorHAnsi" w:cstheme="majorHAnsi"/>
        </w:rPr>
      </w:pPr>
    </w:p>
    <w:p w14:paraId="62EA71DE" w14:textId="18CCA14C" w:rsidR="00DC3D8F" w:rsidRPr="00DC3D8F" w:rsidRDefault="00000000" w:rsidP="00DC3D8F">
      <w:pPr>
        <w:rPr>
          <w:rFonts w:asciiTheme="majorHAnsi" w:hAnsiTheme="majorHAnsi" w:cstheme="majorHAnsi"/>
        </w:rPr>
      </w:pPr>
      <w:r w:rsidRPr="00060A9A">
        <w:rPr>
          <w:rFonts w:asciiTheme="majorHAnsi" w:hAnsiTheme="majorHAnsi" w:cstheme="majorHAnsi"/>
          <w:b/>
          <w:bCs/>
        </w:rPr>
        <w:t>NOTE:</w:t>
      </w:r>
      <w:r w:rsidRPr="00DC3D8F">
        <w:rPr>
          <w:rFonts w:asciiTheme="majorHAnsi" w:hAnsiTheme="majorHAnsi" w:cstheme="majorHAnsi"/>
        </w:rPr>
        <w:t xml:space="preserve"> Pause after establishing senescence-low and senescence-high cohorts and confirming a clear phenotypic difference by morphology and optional validation staining.</w:t>
      </w:r>
    </w:p>
    <w:p w14:paraId="220BB207" w14:textId="77777777" w:rsidR="00124AE1" w:rsidRPr="00124AE1" w:rsidRDefault="00124AE1" w:rsidP="00124AE1">
      <w:pPr>
        <w:rPr>
          <w:rFonts w:asciiTheme="majorHAnsi" w:hAnsiTheme="majorHAnsi" w:cstheme="majorHAnsi"/>
        </w:rPr>
      </w:pPr>
    </w:p>
    <w:p w14:paraId="270ABB0E" w14:textId="77777777" w:rsidR="00DC3D8F" w:rsidRDefault="00000000" w:rsidP="00DC3D8F">
      <w:pPr>
        <w:rPr>
          <w:rFonts w:asciiTheme="majorHAnsi" w:hAnsiTheme="majorHAnsi" w:cstheme="majorHAnsi"/>
        </w:rPr>
      </w:pPr>
      <w:r w:rsidRPr="00DC3D8F">
        <w:rPr>
          <w:rFonts w:asciiTheme="majorHAnsi" w:hAnsiTheme="majorHAnsi" w:cstheme="majorHAnsi"/>
        </w:rPr>
        <w:t xml:space="preserve">2.6 </w:t>
      </w:r>
      <w:r w:rsidRPr="00CC772D">
        <w:rPr>
          <w:rFonts w:asciiTheme="majorHAnsi" w:hAnsiTheme="majorHAnsi" w:cstheme="majorHAnsi"/>
          <w:i/>
          <w:iCs/>
        </w:rPr>
        <w:t>Optional:</w:t>
      </w:r>
      <w:r w:rsidRPr="00DC3D8F">
        <w:rPr>
          <w:rFonts w:asciiTheme="majorHAnsi" w:hAnsiTheme="majorHAnsi" w:cstheme="majorHAnsi"/>
        </w:rPr>
        <w:t xml:space="preserve"> Senolytic treatment design</w:t>
      </w:r>
    </w:p>
    <w:p w14:paraId="364309D6" w14:textId="77777777" w:rsidR="00DC3D8F" w:rsidRPr="00DC3D8F" w:rsidRDefault="00DC3D8F" w:rsidP="00DC3D8F">
      <w:pPr>
        <w:rPr>
          <w:rFonts w:asciiTheme="majorHAnsi" w:hAnsiTheme="majorHAnsi" w:cstheme="majorHAnsi"/>
        </w:rPr>
      </w:pPr>
    </w:p>
    <w:p w14:paraId="61B6C740" w14:textId="77777777" w:rsidR="00DC3D8F" w:rsidRDefault="00000000" w:rsidP="00DC3D8F">
      <w:pPr>
        <w:rPr>
          <w:rFonts w:asciiTheme="majorHAnsi" w:hAnsiTheme="majorHAnsi" w:cstheme="majorHAnsi"/>
        </w:rPr>
      </w:pPr>
      <w:r w:rsidRPr="00DC3D8F">
        <w:rPr>
          <w:rFonts w:asciiTheme="majorHAnsi" w:hAnsiTheme="majorHAnsi" w:cstheme="majorHAnsi"/>
        </w:rPr>
        <w:t>2.6.1 Plate senescence-low and senescence-high conditions in replicate wells and allow cells to adhere and recover prior to treatment.</w:t>
      </w:r>
    </w:p>
    <w:p w14:paraId="37F8DAED" w14:textId="77777777" w:rsidR="00DC3D8F" w:rsidRPr="00DC3D8F" w:rsidRDefault="00DC3D8F" w:rsidP="00DC3D8F">
      <w:pPr>
        <w:rPr>
          <w:rFonts w:asciiTheme="majorHAnsi" w:hAnsiTheme="majorHAnsi" w:cstheme="majorHAnsi"/>
        </w:rPr>
      </w:pPr>
    </w:p>
    <w:p w14:paraId="3C06C0CF" w14:textId="77777777" w:rsidR="00DC3D8F" w:rsidRDefault="00000000" w:rsidP="00DC3D8F">
      <w:pPr>
        <w:rPr>
          <w:rFonts w:asciiTheme="majorHAnsi" w:hAnsiTheme="majorHAnsi" w:cstheme="majorHAnsi"/>
        </w:rPr>
      </w:pPr>
      <w:r w:rsidRPr="00DC3D8F">
        <w:rPr>
          <w:rFonts w:asciiTheme="majorHAnsi" w:hAnsiTheme="majorHAnsi" w:cstheme="majorHAnsi"/>
        </w:rPr>
        <w:t>2.6.2 Treat senescence-high wells with senolytic compound(s) and include a vehicle-treated senescence-high control.</w:t>
      </w:r>
    </w:p>
    <w:p w14:paraId="450BAB46" w14:textId="77777777" w:rsidR="00DC3D8F" w:rsidRPr="00DC3D8F" w:rsidRDefault="00DC3D8F" w:rsidP="00DC3D8F">
      <w:pPr>
        <w:rPr>
          <w:rFonts w:asciiTheme="majorHAnsi" w:hAnsiTheme="majorHAnsi" w:cstheme="majorHAnsi"/>
        </w:rPr>
      </w:pPr>
    </w:p>
    <w:p w14:paraId="6A1FA7E1" w14:textId="77777777" w:rsidR="00DC3D8F" w:rsidRDefault="00000000" w:rsidP="00DC3D8F">
      <w:pPr>
        <w:rPr>
          <w:rFonts w:asciiTheme="majorHAnsi" w:hAnsiTheme="majorHAnsi" w:cstheme="majorHAnsi"/>
        </w:rPr>
      </w:pPr>
      <w:r w:rsidRPr="00DC3D8F">
        <w:rPr>
          <w:rFonts w:asciiTheme="majorHAnsi" w:hAnsiTheme="majorHAnsi" w:cstheme="majorHAnsi"/>
        </w:rPr>
        <w:t>2.6.3 Include a senescence-low group treated with the same vehicle and, when relevant, the same compound concentration(s) to monitor non-senescent sensitivity.</w:t>
      </w:r>
    </w:p>
    <w:p w14:paraId="05FE71B8" w14:textId="77777777" w:rsidR="00DC3D8F" w:rsidRPr="00DC3D8F" w:rsidRDefault="00DC3D8F" w:rsidP="00DC3D8F">
      <w:pPr>
        <w:rPr>
          <w:rFonts w:asciiTheme="majorHAnsi" w:hAnsiTheme="majorHAnsi" w:cstheme="majorHAnsi"/>
        </w:rPr>
      </w:pPr>
    </w:p>
    <w:p w14:paraId="5B78450B" w14:textId="77777777" w:rsidR="00DC3D8F" w:rsidRPr="00DC3D8F" w:rsidRDefault="00000000" w:rsidP="00DC3D8F">
      <w:pPr>
        <w:rPr>
          <w:rFonts w:asciiTheme="majorHAnsi" w:hAnsiTheme="majorHAnsi" w:cstheme="majorHAnsi"/>
        </w:rPr>
      </w:pPr>
      <w:r w:rsidRPr="00DC3D8F">
        <w:rPr>
          <w:rFonts w:asciiTheme="majorHAnsi" w:hAnsiTheme="majorHAnsi" w:cstheme="majorHAnsi"/>
        </w:rPr>
        <w:t>2.6.4 Proceed to live LysoTracker and nuclear staining at a consistent time after treatment across all conditions.</w:t>
      </w:r>
    </w:p>
    <w:p w14:paraId="2A2FB96C" w14:textId="77777777" w:rsidR="00124AE1" w:rsidRPr="00124AE1" w:rsidRDefault="00124AE1" w:rsidP="00124AE1">
      <w:pPr>
        <w:rPr>
          <w:rFonts w:asciiTheme="majorHAnsi" w:hAnsiTheme="majorHAnsi" w:cstheme="majorHAnsi"/>
        </w:rPr>
      </w:pPr>
    </w:p>
    <w:p w14:paraId="03E934B6" w14:textId="28722641" w:rsidR="00124AE1" w:rsidRPr="00124AE1" w:rsidRDefault="00000000" w:rsidP="00124AE1">
      <w:pPr>
        <w:rPr>
          <w:rFonts w:asciiTheme="majorHAnsi" w:hAnsiTheme="majorHAnsi" w:cstheme="majorHAnsi"/>
        </w:rPr>
      </w:pPr>
      <w:r w:rsidRPr="00124AE1">
        <w:rPr>
          <w:rFonts w:asciiTheme="majorHAnsi" w:hAnsiTheme="majorHAnsi" w:cstheme="majorHAnsi"/>
        </w:rPr>
        <w:t>2.7 Monitor cultures during late-passage</w:t>
      </w:r>
      <w:r w:rsidR="00DC3D8F">
        <w:rPr>
          <w:rFonts w:asciiTheme="majorHAnsi" w:hAnsiTheme="majorHAnsi" w:cstheme="majorHAnsi"/>
        </w:rPr>
        <w:t>/treatment</w:t>
      </w:r>
      <w:r w:rsidRPr="00124AE1">
        <w:rPr>
          <w:rFonts w:asciiTheme="majorHAnsi" w:hAnsiTheme="majorHAnsi" w:cstheme="majorHAnsi"/>
        </w:rPr>
        <w:t xml:space="preserve"> progression and document morphology and growth patterns. Identify senescent cultures by slowed proliferation, enlarged and flattened morphology, and increased cytoplasmic granularity. Once growth arrest is evident, maintain the culture as the senescence-high cohort for staining and imaging rather than passaging further.</w:t>
      </w:r>
    </w:p>
    <w:p w14:paraId="2497E0BE" w14:textId="77777777" w:rsidR="00124AE1" w:rsidRPr="00124AE1" w:rsidRDefault="00124AE1" w:rsidP="00124AE1">
      <w:pPr>
        <w:rPr>
          <w:rFonts w:asciiTheme="majorHAnsi" w:hAnsiTheme="majorHAnsi" w:cstheme="majorHAnsi"/>
        </w:rPr>
      </w:pPr>
    </w:p>
    <w:p w14:paraId="71959C75" w14:textId="77777777" w:rsidR="00124AE1" w:rsidRPr="00124AE1" w:rsidRDefault="00000000" w:rsidP="00124AE1">
      <w:pPr>
        <w:rPr>
          <w:rFonts w:asciiTheme="majorHAnsi" w:hAnsiTheme="majorHAnsi" w:cstheme="majorHAnsi"/>
        </w:rPr>
      </w:pPr>
      <w:r w:rsidRPr="00124AE1">
        <w:rPr>
          <w:rFonts w:asciiTheme="majorHAnsi" w:hAnsiTheme="majorHAnsi" w:cstheme="majorHAnsi"/>
        </w:rPr>
        <w:t>2.8 Minimize confounding stressors during culture maintenance by using consistent media preparation, consistent feeding schedules, and consistent handling time outside the incubator. Treat temperature fluctuations, extended time outside controlled CO₂, and inconsistent media warming as sources of avoidable technical variability.</w:t>
      </w:r>
    </w:p>
    <w:p w14:paraId="13A020A1" w14:textId="77777777" w:rsidR="00124AE1" w:rsidRPr="00124AE1" w:rsidRDefault="00124AE1" w:rsidP="00124AE1">
      <w:pPr>
        <w:rPr>
          <w:rFonts w:asciiTheme="majorHAnsi" w:hAnsiTheme="majorHAnsi" w:cstheme="majorHAnsi"/>
        </w:rPr>
      </w:pPr>
    </w:p>
    <w:p w14:paraId="0110782A" w14:textId="77777777" w:rsidR="00124AE1" w:rsidRPr="00124AE1" w:rsidRDefault="00000000" w:rsidP="00124AE1">
      <w:pPr>
        <w:rPr>
          <w:rFonts w:asciiTheme="majorHAnsi" w:hAnsiTheme="majorHAnsi" w:cstheme="majorHAnsi"/>
        </w:rPr>
      </w:pPr>
      <w:r w:rsidRPr="00124AE1">
        <w:rPr>
          <w:rFonts w:asciiTheme="majorHAnsi" w:hAnsiTheme="majorHAnsi" w:cstheme="majorHAnsi"/>
        </w:rPr>
        <w:t>2.9 Optional: Maintain matched cultures under ambient oxygen and low oxygen. Maintain cultures under 21% O₂ and under 5% O₂ as separate cohorts and keep each cohort under its assigned oxygen condition during routine culture handling when feasible. Limit exposure to ambient oxygen during transfers and imaging preparation for low oxygen cohorts.</w:t>
      </w:r>
    </w:p>
    <w:p w14:paraId="6FDE9528" w14:textId="77777777" w:rsidR="00124AE1" w:rsidRPr="00124AE1" w:rsidRDefault="00124AE1" w:rsidP="00124AE1">
      <w:pPr>
        <w:rPr>
          <w:rFonts w:asciiTheme="majorHAnsi" w:hAnsiTheme="majorHAnsi" w:cstheme="majorHAnsi"/>
        </w:rPr>
      </w:pPr>
    </w:p>
    <w:p w14:paraId="490D1EAF" w14:textId="77777777" w:rsidR="00124AE1" w:rsidRPr="00124AE1" w:rsidRDefault="00000000" w:rsidP="00124AE1">
      <w:pPr>
        <w:rPr>
          <w:rFonts w:asciiTheme="majorHAnsi" w:hAnsiTheme="majorHAnsi" w:cstheme="majorHAnsi"/>
        </w:rPr>
      </w:pPr>
      <w:r w:rsidRPr="00124AE1">
        <w:rPr>
          <w:rFonts w:asciiTheme="majorHAnsi" w:hAnsiTheme="majorHAnsi" w:cstheme="majorHAnsi"/>
        </w:rPr>
        <w:t>NOTE: A practical pause point is after defining and stabilizing early-passage and late-passage cohorts and confirming that late-passage cultures show consistent slowed growth and senescence-associated morphology.</w:t>
      </w:r>
    </w:p>
    <w:p w14:paraId="175F0E3F" w14:textId="57AF2202" w:rsidR="00124AE1" w:rsidRPr="00124AE1" w:rsidRDefault="00124AE1" w:rsidP="00124AE1">
      <w:pPr>
        <w:rPr>
          <w:rFonts w:asciiTheme="majorHAnsi" w:hAnsiTheme="majorHAnsi" w:cstheme="majorHAnsi"/>
        </w:rPr>
      </w:pPr>
    </w:p>
    <w:p w14:paraId="34B2453A" w14:textId="77777777" w:rsidR="00124AE1" w:rsidRPr="00CC772D" w:rsidRDefault="00000000" w:rsidP="00124AE1">
      <w:pPr>
        <w:rPr>
          <w:rFonts w:asciiTheme="majorHAnsi" w:hAnsiTheme="majorHAnsi" w:cstheme="majorHAnsi"/>
          <w:b/>
          <w:bCs/>
        </w:rPr>
      </w:pPr>
      <w:r w:rsidRPr="00CC772D">
        <w:rPr>
          <w:rFonts w:asciiTheme="majorHAnsi" w:hAnsiTheme="majorHAnsi" w:cstheme="majorHAnsi"/>
          <w:b/>
          <w:bCs/>
        </w:rPr>
        <w:t>3. Live-cell lysosomal and nuclear staining with LysoTracker Deep Red and a nuclear dye</w:t>
      </w:r>
    </w:p>
    <w:p w14:paraId="3616A0B5" w14:textId="77777777" w:rsidR="00124AE1" w:rsidRPr="00CC772D" w:rsidRDefault="00124AE1" w:rsidP="00124AE1">
      <w:pPr>
        <w:rPr>
          <w:rFonts w:asciiTheme="majorHAnsi" w:hAnsiTheme="majorHAnsi" w:cstheme="majorHAnsi"/>
        </w:rPr>
      </w:pPr>
    </w:p>
    <w:p w14:paraId="1EA7161F" w14:textId="77777777"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3.1 Plate IMR-90 cells for all experimental conditions in clear-bottom imaging plates or glass-bottom dishes. Include a senescence-low control condition and at least one senescence-high condition generated by the selected trigger, and include biological replicates for each condition.</w:t>
      </w:r>
    </w:p>
    <w:p w14:paraId="0B086E32" w14:textId="77777777" w:rsidR="00155CAD" w:rsidRPr="00B52FAE" w:rsidRDefault="00155CAD" w:rsidP="00155CAD">
      <w:pPr>
        <w:rPr>
          <w:rFonts w:asciiTheme="majorHAnsi" w:hAnsiTheme="majorHAnsi" w:cstheme="majorHAnsi"/>
          <w:highlight w:val="yellow"/>
        </w:rPr>
      </w:pPr>
    </w:p>
    <w:p w14:paraId="5D7819DA" w14:textId="77777777" w:rsidR="00155CAD" w:rsidRPr="00CC772D" w:rsidRDefault="00000000" w:rsidP="00155CAD">
      <w:pPr>
        <w:rPr>
          <w:rFonts w:asciiTheme="majorHAnsi" w:hAnsiTheme="majorHAnsi" w:cstheme="majorHAnsi"/>
        </w:rPr>
      </w:pPr>
      <w:r w:rsidRPr="00B52FAE">
        <w:rPr>
          <w:rFonts w:asciiTheme="majorHAnsi" w:hAnsiTheme="majorHAnsi" w:cstheme="majorHAnsi"/>
          <w:highlight w:val="yellow"/>
        </w:rPr>
        <w:t>3.2 Seed cells to achieve a subconfluent monolayer on the day of staining. Record the seeding density and the time between plating and staining for each experiment to support run-to-run comparability.</w:t>
      </w:r>
    </w:p>
    <w:p w14:paraId="6384A80B" w14:textId="77777777" w:rsidR="00155CAD" w:rsidRPr="00CC772D" w:rsidRDefault="00155CAD" w:rsidP="00155CAD">
      <w:pPr>
        <w:rPr>
          <w:rFonts w:asciiTheme="majorHAnsi" w:hAnsiTheme="majorHAnsi" w:cstheme="majorHAnsi"/>
        </w:rPr>
      </w:pPr>
    </w:p>
    <w:p w14:paraId="732FA4C1" w14:textId="744AEEBF" w:rsidR="00155CAD" w:rsidRPr="00CC772D" w:rsidRDefault="00000000" w:rsidP="00155CAD">
      <w:pPr>
        <w:rPr>
          <w:rFonts w:asciiTheme="majorHAnsi" w:hAnsiTheme="majorHAnsi" w:cstheme="majorHAnsi"/>
        </w:rPr>
      </w:pPr>
      <w:r w:rsidRPr="00B52FAE">
        <w:rPr>
          <w:rFonts w:asciiTheme="majorHAnsi" w:hAnsiTheme="majorHAnsi" w:cstheme="majorHAnsi"/>
          <w:highlight w:val="yellow"/>
        </w:rPr>
        <w:t>3.3 Warm complete culture medium to 37 °C. Prepare a LysoTracker Deep Red working solution at 75 nM in the warmed medium and protect it from light.</w:t>
      </w:r>
      <w:r w:rsidR="004C2AB2" w:rsidRPr="00B52FAE">
        <w:rPr>
          <w:rFonts w:asciiTheme="majorHAnsi" w:hAnsiTheme="majorHAnsi" w:cstheme="majorHAnsi"/>
          <w:highlight w:val="yellow"/>
        </w:rPr>
        <w:t xml:space="preserve"> The working solution is prepared by </w:t>
      </w:r>
      <w:r w:rsidR="004C2AB2" w:rsidRPr="00B52FAE">
        <w:rPr>
          <w:rFonts w:asciiTheme="majorHAnsi" w:hAnsiTheme="majorHAnsi" w:cstheme="majorHAnsi"/>
          <w:highlight w:val="yellow"/>
        </w:rPr>
        <w:lastRenderedPageBreak/>
        <w:t>diluting the 1 mM LysoTracker Deep Red stock (supplied by the manufacturer in DMSO) 1:13,333 in warmed complete culture medium (for example, 0.75 µL of 1 mM stock per 10 mL of warmed medium).</w:t>
      </w:r>
    </w:p>
    <w:p w14:paraId="72BCAD8A" w14:textId="77777777" w:rsidR="00424B98" w:rsidRPr="00CC772D" w:rsidRDefault="00424B98" w:rsidP="00155CAD">
      <w:pPr>
        <w:rPr>
          <w:rFonts w:asciiTheme="majorHAnsi" w:hAnsiTheme="majorHAnsi" w:cstheme="majorHAnsi"/>
        </w:rPr>
      </w:pPr>
    </w:p>
    <w:p w14:paraId="56085520" w14:textId="2D311621" w:rsidR="00DC5132" w:rsidRPr="00CC772D" w:rsidRDefault="00000000" w:rsidP="00155CAD">
      <w:pPr>
        <w:rPr>
          <w:rFonts w:asciiTheme="majorHAnsi" w:hAnsiTheme="majorHAnsi" w:cstheme="majorHAnsi"/>
        </w:rPr>
      </w:pPr>
      <w:r w:rsidRPr="00CC772D">
        <w:rPr>
          <w:rStyle w:val="Strong"/>
        </w:rPr>
        <w:t>NOTE:</w:t>
      </w:r>
      <w:r w:rsidRPr="00CC772D">
        <w:t xml:space="preserve"> Late-passage and stress-induced senescent cells accumulate lipofuscin and other non-specific autofluorescent material that emits across broad wavelength ranges and can contribute to apparent LysoTracker signal in unstained controls</w:t>
      </w:r>
      <w:r w:rsidRPr="00CC772D">
        <w:fldChar w:fldCharType="begin"/>
      </w:r>
      <w:r w:rsidRPr="00CC772D">
        <w:instrText xml:space="preserve"> ADDIN ZOTERO_ITEM CSL_CITATION {"citationID":"XtwKW4kw","properties":{"formattedCitation":"\\super 14\\nosupersub{}","plainCitation":"14","noteIndex":0},"citationItems":[{"id":3,"uris":["http://zotero.org/users/local/mcUgpCQu/items/69FM44BH"],"itemData":{"id":3,"type":"article-journal","container-title":"Redox Biology","DOI":"10.1016/j.redox.2013.01.006","ISSN":"2213-2317","issue":"1","journalAbbreviation":"Redox Biol","language":"en","license":"https://www.elsevier.com/tdm/userlicense/1.0/","page":"140-144","publisher":"Elsevier BV","source":"Crossref","title":"Lipofuscin: formation, effects and role of macroautophagy","title-short":"Lipofuscin","volume":"1","author":[{"family":"Höhn","given":"Annika"},{"family":"Grune","given":"Tilman"}],"issued":{"date-parts":[["2013"]]}}}],"schema":"https://github.com/citation-style-language/schema/raw/master/csl-citation.json"} </w:instrText>
      </w:r>
      <w:r w:rsidRPr="00CC772D">
        <w:fldChar w:fldCharType="separate"/>
      </w:r>
      <w:r w:rsidRPr="00CC772D">
        <w:rPr>
          <w:vertAlign w:val="superscript"/>
        </w:rPr>
        <w:t>14</w:t>
      </w:r>
      <w:r w:rsidRPr="00CC772D">
        <w:fldChar w:fldCharType="end"/>
      </w:r>
      <w:r w:rsidRPr="00CC772D">
        <w:t>. To estimate the contribution of autofluorescence in a given experiment, include at least one unstained well per condition and acquire it under identical imaging settings. Subtract the mean unstained-well signal from stained-well measurements, or report both raw and background-subtracted values. In practice, the unstained LysoTracker-channel signal in IMR-90 cultures is small relative to stained senescent signal (approximately 5% to 10% of the stained senescent mean in the present dataset), but the contribution increases with passage number and can become substantial (greater than 20%) in deeply senescent or oncogene-induced senescent cultures</w:t>
      </w:r>
      <w:r w:rsidRPr="00CC772D">
        <w:fldChar w:fldCharType="begin"/>
      </w:r>
      <w:r w:rsidRPr="00CC772D">
        <w:instrText xml:space="preserve"> ADDIN ZOTERO_ITEM CSL_CITATION {"citationID":"ZDtl3VQZ","properties":{"formattedCitation":"\\super 6,14\\nosupersub{}","plainCitation":"6,14","noteIndex":0},"citationItems":[{"id":66,"uris":["http://zotero.org/users/local/mcUgpCQu/items/JZXQ2TUL"],"itemData":{"id":66,"type":"article-journal","abstract":"Abstract\n            Dysfunction of lysosomes, the primary hydrolytic organelles in animal cells, is frequently associated with aging and age‐related diseases. At the cellular level, lysosomal dysfunction is strongly linked to cellular senescence or the induction of cell death pathways. However, the precise mechanisms by which lysosomal dysfunction participates in these various cellular or organismal phenotypes have remained elusive. The ability of lysosomes to degrade diverse macromolecules including damaged proteins and organelles puts lysosomes at the center of multiple cellular stress responses. Lysosomal activity is tightly regulated by many coordinated cellular processes including pathways that function inside and outside of the organelle. Here, we collectively classify these coordinated pathways as the lysosomal processing and adaptation system (LYPAS). We review evidence that the LYPAS is upregulated by diverse cellular stresses, its adaptability regulates senescence and cell death decisions, and it can form the basis for therapeutic manipulation for a wide range of age‐related diseases and potentially for aging itself.","container-title":"EMBO reports","DOI":"10.15252/embr.202357265","ISSN":"1469-221X, 1469-3178","issue":"11","journalAbbreviation":"EMBO Rep","language":"en","page":"e57265","source":"DOI.org (Crossref)","title":"Lysosomes in senescence and aging","volume":"24","author":[{"family":"Tan","given":"Jay Xiaojun"},{"family":"Finkel","given":"Toren"}],"issued":{"date-parts":[["2023",11,6]]}}},{"id":3,"uris":["http://zotero.org/users/local/mcUgpCQu/items/69FM44BH"],"itemData":{"id":3,"type":"article-journal","container-title":"Redox Biology","DOI":"10.1016/j.redox.2013.01.006","ISSN":"2213-2317","issue":"1","journalAbbreviation":"Redox Biol","language":"en","license":"https://www.elsevier.com/tdm/userlicense/1.0/","page":"140-144","publisher":"Elsevier BV","source":"Crossref","title":"Lipofuscin: formation, effects and role of macroautophagy","title-short":"Lipofuscin","volume":"1","author":[{"family":"Höhn","given":"Annika"},{"family":"Grune","given":"Tilman"}],"issued":{"date-parts":[["2013"]]}}}],"schema":"https://github.com/citation-style-language/schema/raw/master/csl-citation.json"} </w:instrText>
      </w:r>
      <w:r w:rsidRPr="00CC772D">
        <w:fldChar w:fldCharType="separate"/>
      </w:r>
      <w:r w:rsidRPr="00CC772D">
        <w:rPr>
          <w:vertAlign w:val="superscript"/>
        </w:rPr>
        <w:t>6,14</w:t>
      </w:r>
      <w:r w:rsidRPr="00CC772D">
        <w:fldChar w:fldCharType="end"/>
      </w:r>
      <w:r w:rsidRPr="00CC772D">
        <w:t xml:space="preserve">. Always verify the </w:t>
      </w:r>
      <w:r w:rsidR="00165D83">
        <w:t>autofluorescence magnitude when adopting this protocol for a new cell type or senescence-induction</w:t>
      </w:r>
      <w:r w:rsidRPr="00CC772D">
        <w:t xml:space="preserve"> model.</w:t>
      </w:r>
    </w:p>
    <w:p w14:paraId="05D07C80" w14:textId="77777777" w:rsidR="00155CAD" w:rsidRPr="00CC772D" w:rsidRDefault="00155CAD" w:rsidP="00155CAD">
      <w:pPr>
        <w:rPr>
          <w:rFonts w:asciiTheme="majorHAnsi" w:hAnsiTheme="majorHAnsi" w:cstheme="majorHAnsi"/>
        </w:rPr>
      </w:pPr>
    </w:p>
    <w:p w14:paraId="2A44DBB2" w14:textId="77777777"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3.4 Prepare sufficient LysoTracker working solution for all wells that will be stained in the run. Mix the working solution by gentle inversion and keep it protected from light until use.</w:t>
      </w:r>
    </w:p>
    <w:p w14:paraId="2EAD010D" w14:textId="77777777" w:rsidR="00155CAD" w:rsidRPr="00B52FAE" w:rsidRDefault="00155CAD" w:rsidP="00155CAD">
      <w:pPr>
        <w:rPr>
          <w:rFonts w:asciiTheme="majorHAnsi" w:hAnsiTheme="majorHAnsi" w:cstheme="majorHAnsi"/>
          <w:highlight w:val="yellow"/>
        </w:rPr>
      </w:pPr>
    </w:p>
    <w:p w14:paraId="3E0E0AD7" w14:textId="77777777"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3.5 Aspirate spent medium from each well. Add LysoTracker working solution gently along the wall of the well to avoid disturbing the monolayer and maintain a consistent staining volume across wells.</w:t>
      </w:r>
    </w:p>
    <w:p w14:paraId="3BC2C002" w14:textId="77777777" w:rsidR="00155CAD" w:rsidRPr="00B52FAE" w:rsidRDefault="00155CAD" w:rsidP="00155CAD">
      <w:pPr>
        <w:rPr>
          <w:rFonts w:asciiTheme="majorHAnsi" w:hAnsiTheme="majorHAnsi" w:cstheme="majorHAnsi"/>
          <w:highlight w:val="yellow"/>
        </w:rPr>
      </w:pPr>
    </w:p>
    <w:p w14:paraId="394CE7C4" w14:textId="77777777"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3.6 Incubate cells with LysoTracker for 30 min at 37 °C in 5% CO₂. Keep all experimental groups under the same incubation duration and temperature.</w:t>
      </w:r>
    </w:p>
    <w:p w14:paraId="56641847" w14:textId="77777777" w:rsidR="00155CAD" w:rsidRPr="00B52FAE" w:rsidRDefault="00155CAD" w:rsidP="00155CAD">
      <w:pPr>
        <w:rPr>
          <w:rFonts w:asciiTheme="majorHAnsi" w:hAnsiTheme="majorHAnsi" w:cstheme="majorHAnsi"/>
          <w:highlight w:val="yellow"/>
        </w:rPr>
      </w:pPr>
    </w:p>
    <w:p w14:paraId="59043FF9" w14:textId="0E8F36DD"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3.7 Add a live nuclear dye during the final 10 min of LysoTracker incubation. Add Hoechst 33342 directly to the LysoTracker-containing medium at the manufacturer-recommended working concentration, for example 1 µg/mL to 2 µg/mL, and mix by gentle rocking of the plate.</w:t>
      </w:r>
    </w:p>
    <w:p w14:paraId="131707AE" w14:textId="77777777" w:rsidR="00155CAD" w:rsidRPr="00B52FAE" w:rsidRDefault="00155CAD" w:rsidP="00155CAD">
      <w:pPr>
        <w:rPr>
          <w:rFonts w:asciiTheme="majorHAnsi" w:hAnsiTheme="majorHAnsi" w:cstheme="majorHAnsi"/>
          <w:highlight w:val="yellow"/>
        </w:rPr>
      </w:pPr>
    </w:p>
    <w:p w14:paraId="758E57FA" w14:textId="77777777"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3.8 Remove the staining medium at the end of the incubation. Rinse cells once with pre-warmed phosphate-buffered saline to reduce background fluorescence.</w:t>
      </w:r>
    </w:p>
    <w:p w14:paraId="70D213BE" w14:textId="77777777" w:rsidR="00155CAD" w:rsidRPr="00B52FAE" w:rsidRDefault="00155CAD" w:rsidP="00155CAD">
      <w:pPr>
        <w:rPr>
          <w:rFonts w:asciiTheme="majorHAnsi" w:hAnsiTheme="majorHAnsi" w:cstheme="majorHAnsi"/>
          <w:highlight w:val="yellow"/>
        </w:rPr>
      </w:pPr>
    </w:p>
    <w:p w14:paraId="464C5EE1" w14:textId="2EBE39CB"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 xml:space="preserve">3.9 Add pre-warmed phenol red-free culture medium or an imaging buffer immediately after the rinse. Proceed directly to live imaging and </w:t>
      </w:r>
      <w:r w:rsidR="00165D83" w:rsidRPr="00B52FAE">
        <w:rPr>
          <w:rFonts w:asciiTheme="majorHAnsi" w:hAnsiTheme="majorHAnsi" w:cstheme="majorHAnsi"/>
          <w:highlight w:val="yellow"/>
        </w:rPr>
        <w:t xml:space="preserve">maintain a consistent time between buffer exchange and image acquisition </w:t>
      </w:r>
      <w:r w:rsidRPr="00B52FAE">
        <w:rPr>
          <w:rFonts w:asciiTheme="majorHAnsi" w:hAnsiTheme="majorHAnsi" w:cstheme="majorHAnsi"/>
          <w:highlight w:val="yellow"/>
        </w:rPr>
        <w:t>across all wells in the experiment.</w:t>
      </w:r>
    </w:p>
    <w:p w14:paraId="7AE0A524" w14:textId="77777777" w:rsidR="00155CAD" w:rsidRPr="00B52FAE" w:rsidRDefault="00155CAD" w:rsidP="00155CAD">
      <w:pPr>
        <w:rPr>
          <w:rFonts w:asciiTheme="majorHAnsi" w:hAnsiTheme="majorHAnsi" w:cstheme="majorHAnsi"/>
          <w:highlight w:val="yellow"/>
        </w:rPr>
      </w:pPr>
    </w:p>
    <w:p w14:paraId="172C5A41" w14:textId="77777777" w:rsidR="00155CAD" w:rsidRPr="00CC772D" w:rsidRDefault="00000000" w:rsidP="00155CAD">
      <w:pPr>
        <w:rPr>
          <w:rFonts w:asciiTheme="majorHAnsi" w:hAnsiTheme="majorHAnsi" w:cstheme="majorHAnsi"/>
        </w:rPr>
      </w:pPr>
      <w:r w:rsidRPr="00B52FAE">
        <w:rPr>
          <w:rFonts w:asciiTheme="majorHAnsi" w:hAnsiTheme="majorHAnsi" w:cstheme="majorHAnsi"/>
          <w:highlight w:val="yellow"/>
        </w:rPr>
        <w:t>3.10 Protect plates from light during transfers and imaging setup. Minimize time outside controlled temperature and CO₂ conditions during handling and image acquisition.</w:t>
      </w:r>
    </w:p>
    <w:p w14:paraId="1B8F32FA" w14:textId="77777777" w:rsidR="00155CAD" w:rsidRPr="00CC772D" w:rsidRDefault="00155CAD" w:rsidP="00155CAD">
      <w:pPr>
        <w:rPr>
          <w:rFonts w:asciiTheme="majorHAnsi" w:hAnsiTheme="majorHAnsi" w:cstheme="majorHAnsi"/>
        </w:rPr>
      </w:pPr>
    </w:p>
    <w:p w14:paraId="5FA35F9C" w14:textId="77777777" w:rsidR="00155CAD" w:rsidRPr="00CC772D" w:rsidRDefault="00000000" w:rsidP="00155CAD">
      <w:pPr>
        <w:rPr>
          <w:rFonts w:asciiTheme="majorHAnsi" w:hAnsiTheme="majorHAnsi" w:cstheme="majorHAnsi"/>
        </w:rPr>
      </w:pPr>
      <w:r w:rsidRPr="00CC772D">
        <w:rPr>
          <w:rFonts w:asciiTheme="majorHAnsi" w:hAnsiTheme="majorHAnsi" w:cstheme="majorHAnsi"/>
          <w:b/>
          <w:bCs/>
        </w:rPr>
        <w:t xml:space="preserve">CAUTION: </w:t>
      </w:r>
      <w:r w:rsidRPr="00CC772D">
        <w:rPr>
          <w:rFonts w:asciiTheme="majorHAnsi" w:hAnsiTheme="majorHAnsi" w:cstheme="majorHAnsi"/>
        </w:rPr>
        <w:t>Handle fluorescent dyes using gloves and eye protection. Dispose of dye-containing liquids and contaminated consumables according to institutional chemical safety procedures.</w:t>
      </w:r>
    </w:p>
    <w:p w14:paraId="1997C5C1" w14:textId="77777777" w:rsidR="00155CAD" w:rsidRPr="00CC772D" w:rsidRDefault="00155CAD" w:rsidP="00155CAD">
      <w:pPr>
        <w:rPr>
          <w:rFonts w:asciiTheme="majorHAnsi" w:hAnsiTheme="majorHAnsi" w:cstheme="majorHAnsi"/>
        </w:rPr>
      </w:pPr>
    </w:p>
    <w:p w14:paraId="6E8A4E09" w14:textId="77777777" w:rsidR="00155CAD" w:rsidRPr="00CC772D" w:rsidRDefault="00000000" w:rsidP="00155CAD">
      <w:pPr>
        <w:rPr>
          <w:rFonts w:asciiTheme="majorHAnsi" w:hAnsiTheme="majorHAnsi" w:cstheme="majorHAnsi"/>
        </w:rPr>
      </w:pPr>
      <w:r w:rsidRPr="00CC772D">
        <w:rPr>
          <w:rFonts w:asciiTheme="majorHAnsi" w:hAnsiTheme="majorHAnsi" w:cstheme="majorHAnsi"/>
          <w:b/>
          <w:bCs/>
        </w:rPr>
        <w:lastRenderedPageBreak/>
        <w:t>NOTE:</w:t>
      </w:r>
      <w:r w:rsidRPr="00CC772D">
        <w:rPr>
          <w:rFonts w:asciiTheme="majorHAnsi" w:hAnsiTheme="majorHAnsi" w:cstheme="majorHAnsi"/>
        </w:rPr>
        <w:t xml:space="preserve"> Use a pause point after Step 3.9 if imaging requires staging multiple plates. Keep plates protected from light at 37 °C and resume imaging as soon as possible to limit staining drift.</w:t>
      </w:r>
    </w:p>
    <w:p w14:paraId="4AE08FB4" w14:textId="77777777" w:rsidR="00155CAD" w:rsidRPr="00CC772D" w:rsidRDefault="00155CAD" w:rsidP="00155CAD">
      <w:pPr>
        <w:rPr>
          <w:rFonts w:asciiTheme="majorHAnsi" w:hAnsiTheme="majorHAnsi" w:cstheme="majorHAnsi"/>
        </w:rPr>
      </w:pPr>
    </w:p>
    <w:p w14:paraId="23F5BD8A" w14:textId="77777777" w:rsidR="00155CAD" w:rsidRPr="00CC772D" w:rsidRDefault="00000000" w:rsidP="00155CAD">
      <w:pPr>
        <w:rPr>
          <w:rFonts w:asciiTheme="majorHAnsi" w:hAnsiTheme="majorHAnsi" w:cstheme="majorHAnsi"/>
        </w:rPr>
      </w:pPr>
      <w:r w:rsidRPr="00CC772D">
        <w:rPr>
          <w:rFonts w:asciiTheme="majorHAnsi" w:hAnsiTheme="majorHAnsi" w:cstheme="majorHAnsi"/>
        </w:rPr>
        <w:t>NOTE: If experimental design includes oxygen as a variable, maintain each cohort under its assigned oxygen condition during staining and incubation, and record the handling time outside the assigned condition.</w:t>
      </w:r>
    </w:p>
    <w:p w14:paraId="1F5754D7" w14:textId="03E590C0" w:rsidR="00124AE1" w:rsidRPr="00CC772D" w:rsidRDefault="00124AE1" w:rsidP="00124AE1">
      <w:pPr>
        <w:rPr>
          <w:rFonts w:asciiTheme="majorHAnsi" w:hAnsiTheme="majorHAnsi" w:cstheme="majorHAnsi"/>
        </w:rPr>
      </w:pPr>
    </w:p>
    <w:p w14:paraId="4C3AB390" w14:textId="0E5921FA" w:rsidR="00155CAD" w:rsidRPr="00B52FAE" w:rsidRDefault="00000000" w:rsidP="00155CAD">
      <w:pPr>
        <w:rPr>
          <w:rFonts w:asciiTheme="majorHAnsi" w:hAnsiTheme="majorHAnsi" w:cstheme="majorHAnsi"/>
          <w:b/>
          <w:bCs/>
          <w:highlight w:val="yellow"/>
        </w:rPr>
      </w:pPr>
      <w:r w:rsidRPr="00B52FAE">
        <w:rPr>
          <w:rFonts w:asciiTheme="majorHAnsi" w:hAnsiTheme="majorHAnsi" w:cstheme="majorHAnsi"/>
          <w:b/>
          <w:bCs/>
          <w:highlight w:val="yellow"/>
        </w:rPr>
        <w:t xml:space="preserve">4. </w:t>
      </w:r>
      <w:r w:rsidR="003A3856" w:rsidRPr="00B52FAE">
        <w:rPr>
          <w:rFonts w:asciiTheme="majorHAnsi" w:hAnsiTheme="majorHAnsi" w:cstheme="majorHAnsi"/>
          <w:b/>
          <w:bCs/>
          <w:highlight w:val="yellow"/>
        </w:rPr>
        <w:t>SA-β-Gal</w:t>
      </w:r>
      <w:r w:rsidRPr="00B52FAE">
        <w:rPr>
          <w:rFonts w:asciiTheme="majorHAnsi" w:hAnsiTheme="majorHAnsi" w:cstheme="majorHAnsi"/>
          <w:b/>
          <w:bCs/>
          <w:highlight w:val="yellow"/>
        </w:rPr>
        <w:t xml:space="preserve"> staining for validation (optional)</w:t>
      </w:r>
    </w:p>
    <w:p w14:paraId="030768CB" w14:textId="77777777" w:rsidR="00155CAD" w:rsidRPr="00B52FAE" w:rsidRDefault="00155CAD" w:rsidP="00155CAD">
      <w:pPr>
        <w:rPr>
          <w:rFonts w:asciiTheme="majorHAnsi" w:hAnsiTheme="majorHAnsi" w:cstheme="majorHAnsi"/>
          <w:b/>
          <w:bCs/>
          <w:highlight w:val="yellow"/>
        </w:rPr>
      </w:pPr>
    </w:p>
    <w:p w14:paraId="4E4BE02E" w14:textId="4FB24973"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 xml:space="preserve">4.1 Use </w:t>
      </w:r>
      <w:r w:rsidR="003A3856" w:rsidRPr="00B52FAE">
        <w:rPr>
          <w:rFonts w:asciiTheme="majorHAnsi" w:hAnsiTheme="majorHAnsi" w:cstheme="majorHAnsi"/>
          <w:highlight w:val="yellow"/>
        </w:rPr>
        <w:t>SA-β-Gal</w:t>
      </w:r>
      <w:r w:rsidRPr="00B52FAE">
        <w:rPr>
          <w:rFonts w:asciiTheme="majorHAnsi" w:hAnsiTheme="majorHAnsi" w:cstheme="majorHAnsi"/>
          <w:highlight w:val="yellow"/>
        </w:rPr>
        <w:t xml:space="preserve"> staining as an optional validation step to confirm that the senescence-high condition shows increased </w:t>
      </w:r>
      <w:r w:rsidR="003A3856" w:rsidRPr="00B52FAE">
        <w:rPr>
          <w:rFonts w:asciiTheme="majorHAnsi" w:hAnsiTheme="majorHAnsi" w:cstheme="majorHAnsi"/>
          <w:highlight w:val="yellow"/>
        </w:rPr>
        <w:t>SA-β-Gal</w:t>
      </w:r>
      <w:r w:rsidRPr="00B52FAE">
        <w:rPr>
          <w:rFonts w:asciiTheme="majorHAnsi" w:hAnsiTheme="majorHAnsi" w:cstheme="majorHAnsi"/>
          <w:highlight w:val="yellow"/>
        </w:rPr>
        <w:t xml:space="preserve"> activity relative to the senescence-low control. Perform validation on parallel wells processed in the same plate format and under the same handling timeline as the imaging wells.</w:t>
      </w:r>
    </w:p>
    <w:p w14:paraId="4FE4138A" w14:textId="77777777" w:rsidR="00155CAD" w:rsidRPr="00B52FAE" w:rsidRDefault="00155CAD" w:rsidP="00155CAD">
      <w:pPr>
        <w:rPr>
          <w:rFonts w:asciiTheme="majorHAnsi" w:hAnsiTheme="majorHAnsi" w:cstheme="majorHAnsi"/>
          <w:highlight w:val="yellow"/>
        </w:rPr>
      </w:pPr>
    </w:p>
    <w:p w14:paraId="7BCE62E8" w14:textId="3A5EAB77"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 xml:space="preserve">4.2 </w:t>
      </w:r>
      <w:r w:rsidR="0060274C" w:rsidRPr="00B52FAE">
        <w:rPr>
          <w:rFonts w:asciiTheme="majorHAnsi" w:hAnsiTheme="majorHAnsi" w:cstheme="majorHAnsi"/>
          <w:highlight w:val="yellow"/>
        </w:rPr>
        <w:t>Complete live imaging for the validation wells before fixation. When matched pre- and post-fixation comparisons of the same field are desired (Figure 2), record the stage coordinates at acquisition, re-locate each field manually after fixation and staining, and visually spot-check nuclear position and cell morphology to confirm that matched fields correspond before including them in downstream analysis.</w:t>
      </w:r>
    </w:p>
    <w:p w14:paraId="37B54CF4" w14:textId="77777777" w:rsidR="00155CAD" w:rsidRPr="00B52FAE" w:rsidRDefault="00155CAD" w:rsidP="00155CAD">
      <w:pPr>
        <w:rPr>
          <w:rFonts w:asciiTheme="majorHAnsi" w:hAnsiTheme="majorHAnsi" w:cstheme="majorHAnsi"/>
          <w:highlight w:val="yellow"/>
        </w:rPr>
      </w:pPr>
    </w:p>
    <w:p w14:paraId="4155EB0E" w14:textId="65FE7E24"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 xml:space="preserve">4.3 Fix cells using the fixation solution provided in the </w:t>
      </w:r>
      <w:r w:rsidR="003A3856" w:rsidRPr="00B52FAE">
        <w:rPr>
          <w:rFonts w:asciiTheme="majorHAnsi" w:hAnsiTheme="majorHAnsi" w:cstheme="majorHAnsi"/>
          <w:highlight w:val="yellow"/>
        </w:rPr>
        <w:t>SA-β-Gal</w:t>
      </w:r>
      <w:r w:rsidRPr="00B52FAE">
        <w:rPr>
          <w:rFonts w:asciiTheme="majorHAnsi" w:hAnsiTheme="majorHAnsi" w:cstheme="majorHAnsi"/>
          <w:highlight w:val="yellow"/>
        </w:rPr>
        <w:t xml:space="preserve"> staining kit prepared at the recommended 1x working concentration containing 2% formaldehyde and 0.2% glutaraldehyde. Incubate for 10 min to 15 min at room temperature.</w:t>
      </w:r>
      <w:r w:rsidR="00FE0B9D" w:rsidRPr="00B52FAE">
        <w:rPr>
          <w:rFonts w:asciiTheme="majorHAnsi" w:hAnsiTheme="majorHAnsi" w:cstheme="majorHAnsi"/>
          <w:highlight w:val="yellow"/>
        </w:rPr>
        <w:t xml:space="preserve"> For reference, the fixation solution contains 2% (w/v) formaldehyde and 0.2% (w/v) glutaraldehyde in phosphate-buffered saline. The SA-β-Gal staining solution at pH 6.0 contains 1 mg/mL X-gal (5-bromo-4-chloro-3-indolyl-β-D-galactopyranoside) dissolved in dimethylformamide immediately before use, 40 mM citric acid / sodium phosphate buffer at pH 6.0, 5 mM potassium ferrocyanide, 5 mM potassium ferricyanide, 150 mM NaCl, and 2 mM MgCl₂</w:t>
      </w:r>
      <w:r w:rsidR="00A65C0A" w:rsidRPr="00B52FAE">
        <w:rPr>
          <w:rFonts w:asciiTheme="majorHAnsi" w:hAnsiTheme="majorHAnsi" w:cstheme="majorHAnsi"/>
          <w:highlight w:val="yellow"/>
          <w:vertAlign w:val="superscript"/>
        </w:rPr>
        <w:fldChar w:fldCharType="begin"/>
      </w:r>
      <w:r w:rsidR="007B2A6A" w:rsidRPr="00B52FAE">
        <w:rPr>
          <w:rFonts w:asciiTheme="majorHAnsi" w:hAnsiTheme="majorHAnsi" w:cstheme="majorHAnsi"/>
          <w:highlight w:val="yellow"/>
          <w:vertAlign w:val="superscript"/>
        </w:rPr>
        <w:instrText xml:space="preserve"> ADDIN ZOTERO_ITEM CSL_CITATION {"citationID":"4NNhYOwm","properties":{"formattedCitation":"\\super 12,13\\nosupersub{}","plainCitation":"12,13","noteIndex":0},"citationItems":[{"id":72,"uris":["http://zotero.org/users/local/mcUgpCQu/items/MKELJN92"],"itemData":{"id":72,"type":"article-journal","abstract":"Normal somatic cells invariably enter a state of irreversibly arrested growth and altered function after a finite number of divisions. This process, termed replicative senescence, is thought to be a tumor-suppressive mechanism and an underlying cause of aging. There is ample evidence that escape from senescence, or immortality, is important for malignant transformation. By contrast, the role of replicative senescence in organismic aging is controversial. Studies on cells cultured from donors of different ages, genetic backgrounds, or species suggest that senescence occurs in vivo and that organismic lifespan and cell replicative lifespan are under common genetic control. However, senescent cells cannot be distinguished from quiescent or terminally differentiated cells in tissues. Thus, evidence that senescent cells exist and accumulate with age in vivo is lacking. We show that several human cells express a beta-galactosidase, histochemically detectable at pH 6, upon senescence in culture. This marker was expressed by senescent, but not presenescent, fibroblasts and keratinocytes but was absent from quiescent fibroblasts and terminally differentiated keratinocytes. It was also absent from immortal cells but was induced by genetic manipulations that reversed immortality. In skin samples from human donors of different age, there was an age-dependent increase in this marker in dermal fibroblasts and epidermal keratinocytes. This marker provides in situ evidence that senescent cells may exist and accumulate with age in vivo.","container-title":"Proceedings of the National Academy of Sciences","DOI":"10.1073/pnas.92.20.9363","ISSN":"0027-8424, 1091-6490","issue":"20","journalAbbreviation":"Proc. Natl. Acad. Sci. U.S.A.","language":"en","page":"9363-9367","source":"DOI.org (Crossref)","title":"A biomarker that identifies senescent human cells in culture and in aging skin in vivo.","volume":"92","author":[{"family":"Dimri","given":"G P"},{"family":"Lee","given":"X"},{"family":"Basile","given":"G"},{"family":"Acosta","given":"M"},{"family":"Scott","given":"G"},{"family":"Roskelley","given":"C"},{"family":"Medrano","given":"E E"},{"family":"Linskens","given":"M"},{"family":"Rubelj","given":"I"},{"family":"Pereira-Smith","given":"O"}],"issued":{"date-parts":[["1995",9,26]]}}},{"id":87,"uris":["http://zotero.org/users/local/mcUgpCQu/items/UDI5JQTE"],"itemData":{"id":87,"type":"article-journal","container-title":"Nature Protocols","DOI":"10.1038/nprot.2009.191","ISSN":"1754-2189, 1750-2799","issue":"12","journalAbbreviation":"Nat Protoc","language":"en","license":"http://www.springer.com/tdm","page":"1798-1806","source":"DOI.org (Crossref)","title":"Protocols to detect senescence-associated beta-galactosidase (SA-βgal) activity, a biomarker of senescent cells in culture and in vivo","volume":"4","author":[{"family":"Debacq-Chainiaux","given":"Florence"},{"family":"Erusalimsky","given":"Jorge D"},{"family":"Campisi","given":"Judith"},{"family":"Toussaint","given":"Olivier"}],"issued":{"date-parts":[["2009",12]]}}}],"schema":"https://github.com/citation-style-language/schema/raw/master/csl-citation.json"} </w:instrText>
      </w:r>
      <w:r w:rsidR="00A65C0A" w:rsidRPr="00B52FAE">
        <w:rPr>
          <w:rFonts w:asciiTheme="majorHAnsi" w:hAnsiTheme="majorHAnsi" w:cstheme="majorHAnsi"/>
          <w:highlight w:val="yellow"/>
          <w:vertAlign w:val="superscript"/>
        </w:rPr>
        <w:fldChar w:fldCharType="separate"/>
      </w:r>
      <w:r w:rsidR="007B2A6A" w:rsidRPr="00B52FAE">
        <w:rPr>
          <w:rFonts w:hAnsiTheme="majorHAnsi"/>
          <w:highlight w:val="yellow"/>
          <w:vertAlign w:val="superscript"/>
        </w:rPr>
        <w:t>12,13</w:t>
      </w:r>
      <w:r w:rsidR="00A65C0A" w:rsidRPr="00B52FAE">
        <w:rPr>
          <w:rFonts w:asciiTheme="majorHAnsi" w:hAnsiTheme="majorHAnsi" w:cstheme="majorHAnsi"/>
          <w:highlight w:val="yellow"/>
          <w:vertAlign w:val="superscript"/>
        </w:rPr>
        <w:fldChar w:fldCharType="end"/>
      </w:r>
      <w:r w:rsidR="00896DC4" w:rsidRPr="00B52FAE">
        <w:rPr>
          <w:rFonts w:asciiTheme="majorHAnsi" w:hAnsiTheme="majorHAnsi" w:cstheme="majorHAnsi"/>
          <w:highlight w:val="yellow"/>
        </w:rPr>
        <w:t>.</w:t>
      </w:r>
      <w:r w:rsidR="00FE0B9D" w:rsidRPr="00B52FAE">
        <w:rPr>
          <w:rFonts w:asciiTheme="majorHAnsi" w:hAnsiTheme="majorHAnsi" w:cstheme="majorHAnsi"/>
          <w:highlight w:val="yellow"/>
        </w:rPr>
        <w:t xml:space="preserve"> Commercial kits that match these specifications may be used interchangeably provided the staining buffer pH is verified at 6.0.</w:t>
      </w:r>
    </w:p>
    <w:p w14:paraId="18275DB1" w14:textId="77777777" w:rsidR="00155CAD" w:rsidRPr="00B52FAE" w:rsidRDefault="00155CAD" w:rsidP="00155CAD">
      <w:pPr>
        <w:rPr>
          <w:rFonts w:asciiTheme="majorHAnsi" w:hAnsiTheme="majorHAnsi" w:cstheme="majorHAnsi"/>
          <w:highlight w:val="yellow"/>
        </w:rPr>
      </w:pPr>
    </w:p>
    <w:p w14:paraId="39420E77" w14:textId="657EA6F4"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 xml:space="preserve">4.4 Remove fixative and rinse wells twice with phosphate-buffered saline. Add </w:t>
      </w:r>
      <w:r w:rsidR="003A3856" w:rsidRPr="00B52FAE">
        <w:rPr>
          <w:rFonts w:asciiTheme="majorHAnsi" w:hAnsiTheme="majorHAnsi" w:cstheme="majorHAnsi"/>
          <w:highlight w:val="yellow"/>
        </w:rPr>
        <w:t>SA-β-Gal</w:t>
      </w:r>
      <w:r w:rsidRPr="00B52FAE">
        <w:rPr>
          <w:rFonts w:asciiTheme="majorHAnsi" w:hAnsiTheme="majorHAnsi" w:cstheme="majorHAnsi"/>
          <w:highlight w:val="yellow"/>
        </w:rPr>
        <w:t xml:space="preserve"> staining solution at pH 6.0 containing X-gal substrate to each well.</w:t>
      </w:r>
    </w:p>
    <w:p w14:paraId="3631C9CA" w14:textId="77777777" w:rsidR="00155CAD" w:rsidRPr="00B52FAE" w:rsidRDefault="00155CAD" w:rsidP="00155CAD">
      <w:pPr>
        <w:rPr>
          <w:rFonts w:asciiTheme="majorHAnsi" w:hAnsiTheme="majorHAnsi" w:cstheme="majorHAnsi"/>
          <w:highlight w:val="yellow"/>
        </w:rPr>
      </w:pPr>
    </w:p>
    <w:p w14:paraId="2F172D11" w14:textId="77777777" w:rsidR="00155CAD" w:rsidRPr="00B52FAE" w:rsidRDefault="00000000" w:rsidP="00155CAD">
      <w:pPr>
        <w:rPr>
          <w:rFonts w:asciiTheme="majorHAnsi" w:hAnsiTheme="majorHAnsi" w:cstheme="majorHAnsi"/>
          <w:highlight w:val="yellow"/>
        </w:rPr>
      </w:pPr>
      <w:r w:rsidRPr="00B52FAE">
        <w:rPr>
          <w:rFonts w:asciiTheme="majorHAnsi" w:hAnsiTheme="majorHAnsi" w:cstheme="majorHAnsi"/>
          <w:highlight w:val="yellow"/>
        </w:rPr>
        <w:t>4.5 Seal the plate to limit evaporation during incubation. Place the plate in a 37 °C dry incubator without CO₂ for 12 h to 16 h.</w:t>
      </w:r>
    </w:p>
    <w:p w14:paraId="2728A11F" w14:textId="77777777" w:rsidR="00155CAD" w:rsidRPr="00B52FAE" w:rsidRDefault="00155CAD" w:rsidP="00155CAD">
      <w:pPr>
        <w:rPr>
          <w:rFonts w:asciiTheme="majorHAnsi" w:hAnsiTheme="majorHAnsi" w:cstheme="majorHAnsi"/>
          <w:highlight w:val="yellow"/>
        </w:rPr>
      </w:pPr>
    </w:p>
    <w:p w14:paraId="5CB9E1B9" w14:textId="5D0695C4" w:rsidR="00155CAD" w:rsidRPr="00CC772D" w:rsidRDefault="00000000" w:rsidP="00155CAD">
      <w:pPr>
        <w:rPr>
          <w:rFonts w:asciiTheme="majorHAnsi" w:hAnsiTheme="majorHAnsi" w:cstheme="majorHAnsi"/>
        </w:rPr>
      </w:pPr>
      <w:r w:rsidRPr="00B52FAE">
        <w:rPr>
          <w:rFonts w:asciiTheme="majorHAnsi" w:hAnsiTheme="majorHAnsi" w:cstheme="majorHAnsi"/>
          <w:highlight w:val="yellow"/>
        </w:rPr>
        <w:t xml:space="preserve">4.6 Inspect wells by brightfield microscopy and document the staining pattern. Acquire representative images for each condition and quantify the fraction of </w:t>
      </w:r>
      <w:r w:rsidR="003A3856" w:rsidRPr="00B52FAE">
        <w:rPr>
          <w:rFonts w:asciiTheme="majorHAnsi" w:hAnsiTheme="majorHAnsi" w:cstheme="majorHAnsi"/>
          <w:highlight w:val="yellow"/>
        </w:rPr>
        <w:t>SA-β-Gal</w:t>
      </w:r>
      <w:r w:rsidRPr="00B52FAE">
        <w:rPr>
          <w:rFonts w:asciiTheme="majorHAnsi" w:hAnsiTheme="majorHAnsi" w:cstheme="majorHAnsi"/>
          <w:highlight w:val="yellow"/>
        </w:rPr>
        <w:t>-positive cells per well when reporting validation results.</w:t>
      </w:r>
    </w:p>
    <w:p w14:paraId="621570A3" w14:textId="77777777" w:rsidR="00155CAD" w:rsidRPr="00CC772D" w:rsidRDefault="00155CAD" w:rsidP="00155CAD">
      <w:pPr>
        <w:rPr>
          <w:rFonts w:asciiTheme="majorHAnsi" w:hAnsiTheme="majorHAnsi" w:cstheme="majorHAnsi"/>
        </w:rPr>
      </w:pPr>
    </w:p>
    <w:p w14:paraId="6B8F15C6" w14:textId="77777777" w:rsidR="00155CAD" w:rsidRPr="00CC772D" w:rsidRDefault="00000000" w:rsidP="00155CAD">
      <w:pPr>
        <w:rPr>
          <w:rFonts w:asciiTheme="majorHAnsi" w:hAnsiTheme="majorHAnsi" w:cstheme="majorHAnsi"/>
        </w:rPr>
      </w:pPr>
      <w:r w:rsidRPr="00CC772D">
        <w:rPr>
          <w:rFonts w:asciiTheme="majorHAnsi" w:hAnsiTheme="majorHAnsi" w:cstheme="majorHAnsi"/>
          <w:b/>
          <w:bCs/>
        </w:rPr>
        <w:t>CAUTION:</w:t>
      </w:r>
      <w:r w:rsidRPr="00CC772D">
        <w:rPr>
          <w:rFonts w:asciiTheme="majorHAnsi" w:hAnsiTheme="majorHAnsi" w:cstheme="majorHAnsi"/>
        </w:rPr>
        <w:t xml:space="preserve"> Formaldehyde and glutaraldehyde are toxic and volatile. Prepare and use fixation solution in a chemical fume hood and wear appropriate personal protective equipment including gloves, eye protection, and a lab coat.</w:t>
      </w:r>
    </w:p>
    <w:p w14:paraId="6B4330BB" w14:textId="77777777" w:rsidR="00155CAD" w:rsidRPr="00CC772D" w:rsidRDefault="00155CAD" w:rsidP="00155CAD">
      <w:pPr>
        <w:rPr>
          <w:rFonts w:asciiTheme="majorHAnsi" w:hAnsiTheme="majorHAnsi" w:cstheme="majorHAnsi"/>
        </w:rPr>
      </w:pPr>
    </w:p>
    <w:p w14:paraId="65A01B7E" w14:textId="53DB320F" w:rsidR="008550CA" w:rsidRPr="00155CAD" w:rsidRDefault="00000000" w:rsidP="00DA3C5C">
      <w:pPr>
        <w:rPr>
          <w:rFonts w:asciiTheme="majorHAnsi" w:hAnsiTheme="majorHAnsi" w:cstheme="majorHAnsi"/>
        </w:rPr>
      </w:pPr>
      <w:r w:rsidRPr="00CC772D">
        <w:rPr>
          <w:rFonts w:asciiTheme="majorHAnsi" w:hAnsiTheme="majorHAnsi" w:cstheme="majorHAnsi"/>
          <w:b/>
          <w:bCs/>
        </w:rPr>
        <w:lastRenderedPageBreak/>
        <w:t>NOTE:</w:t>
      </w:r>
      <w:r w:rsidRPr="00CC772D">
        <w:rPr>
          <w:rFonts w:asciiTheme="majorHAnsi" w:hAnsiTheme="majorHAnsi" w:cstheme="majorHAnsi"/>
        </w:rPr>
        <w:t xml:space="preserve"> If </w:t>
      </w:r>
      <w:r w:rsidR="003A3856" w:rsidRPr="00CC772D">
        <w:rPr>
          <w:rFonts w:asciiTheme="majorHAnsi" w:hAnsiTheme="majorHAnsi" w:cstheme="majorHAnsi"/>
        </w:rPr>
        <w:t>SA-β-Gal</w:t>
      </w:r>
      <w:r w:rsidRPr="00CC772D">
        <w:rPr>
          <w:rFonts w:asciiTheme="majorHAnsi" w:hAnsiTheme="majorHAnsi" w:cstheme="majorHAnsi"/>
        </w:rPr>
        <w:t xml:space="preserve"> staining shows high background in the senescence-low control or weak staining in the senescence-high condition, repeat validation after adjusting plating density, fixation duration, incubation duration, and temperature consistency while keeping buffer pH at 6.0.</w:t>
      </w:r>
    </w:p>
    <w:p w14:paraId="4015356B" w14:textId="77777777" w:rsidR="006E4797" w:rsidRPr="00155CAD" w:rsidRDefault="006E4797" w:rsidP="00DA3C5C">
      <w:pPr>
        <w:pBdr>
          <w:top w:val="nil"/>
          <w:left w:val="nil"/>
          <w:bottom w:val="nil"/>
          <w:right w:val="nil"/>
          <w:between w:val="nil"/>
        </w:pBdr>
        <w:rPr>
          <w:rFonts w:asciiTheme="majorHAnsi" w:hAnsiTheme="majorHAnsi" w:cstheme="majorHAnsi"/>
        </w:rPr>
      </w:pPr>
    </w:p>
    <w:p w14:paraId="3D8ED02A" w14:textId="77777777" w:rsidR="00155CAD" w:rsidRPr="00155CAD" w:rsidRDefault="00000000" w:rsidP="00155CAD">
      <w:pPr>
        <w:rPr>
          <w:rFonts w:asciiTheme="majorHAnsi" w:hAnsiTheme="majorHAnsi" w:cstheme="majorHAnsi"/>
          <w:b/>
        </w:rPr>
      </w:pPr>
      <w:r w:rsidRPr="00155CAD">
        <w:rPr>
          <w:rFonts w:asciiTheme="majorHAnsi" w:hAnsiTheme="majorHAnsi" w:cstheme="majorHAnsi"/>
          <w:b/>
          <w:bCs/>
        </w:rPr>
        <w:t>REPRESENTATIVE RESULTS:</w:t>
      </w:r>
    </w:p>
    <w:p w14:paraId="6E6B5168" w14:textId="77777777" w:rsidR="00424B98" w:rsidRDefault="00000000" w:rsidP="00424B98">
      <w:pPr>
        <w:rPr>
          <w:rFonts w:asciiTheme="majorHAnsi" w:hAnsiTheme="majorHAnsi" w:cstheme="majorHAnsi"/>
          <w:bCs/>
        </w:rPr>
      </w:pPr>
      <w:r w:rsidRPr="00424B98">
        <w:rPr>
          <w:rFonts w:asciiTheme="majorHAnsi" w:hAnsiTheme="majorHAnsi" w:cstheme="majorHAnsi"/>
          <w:bCs/>
        </w:rPr>
        <w:t>Applying this protocol to IMR-90 fibroblasts across senescence-low and senescence-high conditions yields quantitative lysosomal readouts that can be summarized at the single-cell level and, when desired, at the whole-field level.</w:t>
      </w:r>
    </w:p>
    <w:p w14:paraId="239BC235" w14:textId="77777777" w:rsidR="00424B98" w:rsidRPr="00424B98" w:rsidRDefault="00424B98" w:rsidP="00424B98">
      <w:pPr>
        <w:rPr>
          <w:rFonts w:asciiTheme="majorHAnsi" w:hAnsiTheme="majorHAnsi" w:cstheme="majorHAnsi"/>
          <w:bCs/>
        </w:rPr>
      </w:pPr>
    </w:p>
    <w:p w14:paraId="261EE7A3" w14:textId="2D2ADBBF" w:rsidR="00424B98" w:rsidRDefault="00000000" w:rsidP="00424B98">
      <w:pPr>
        <w:rPr>
          <w:rFonts w:asciiTheme="majorHAnsi" w:hAnsiTheme="majorHAnsi" w:cstheme="majorHAnsi"/>
          <w:bCs/>
        </w:rPr>
      </w:pPr>
      <w:r w:rsidRPr="00424B98">
        <w:rPr>
          <w:rFonts w:asciiTheme="majorHAnsi" w:hAnsiTheme="majorHAnsi" w:cstheme="majorHAnsi"/>
          <w:bCs/>
        </w:rPr>
        <w:t>The representative dataset shown in Figure 2, Figure 3, Tables 1 and S1, and Supplementary Figure 1 derives from a single biological experiment comparing IMR-90 cultures at passage 13 (P13; senescence-low, ~PDL 26) and passage 23 (P23; senescence-high, ~PDL 46). Two wells per condition were imaged, with 44 fields acquired per well (176 fields total; 88 per condition). The per-well correlation in Figure 2D is computed from the mean of these 44 fields per well, with n = 4 points total (2 per condition). Tables 1 and S1 each report one representative 20× field per condition; together, the two tables cover both wells per condition (B01 and A01 for P13; C01 and D01 for P23) and allow between-well consistency to be inspected directly. Supplementary Figure 1 reports per-cell distributions pooled across all four wells, with 4,065 P13 cells and 568 P23 cells. All four wells were processed in the same experimental run under identical staining and imaging conditions, so intensity values are directly comparable within this dataset; cross-experiment and cross-platform generalization is discussed as a limitation below.</w:t>
      </w:r>
    </w:p>
    <w:p w14:paraId="005B5CAC" w14:textId="77777777" w:rsidR="00424B98" w:rsidRPr="00424B98" w:rsidRDefault="00424B98" w:rsidP="00424B98">
      <w:pPr>
        <w:rPr>
          <w:rFonts w:asciiTheme="majorHAnsi" w:hAnsiTheme="majorHAnsi" w:cstheme="majorHAnsi"/>
          <w:bCs/>
        </w:rPr>
      </w:pPr>
    </w:p>
    <w:p w14:paraId="0AA91E93" w14:textId="06ABD782" w:rsidR="00424B98" w:rsidRDefault="00000000" w:rsidP="00424B98">
      <w:pPr>
        <w:rPr>
          <w:rFonts w:asciiTheme="majorHAnsi" w:hAnsiTheme="majorHAnsi" w:cstheme="majorHAnsi"/>
          <w:bCs/>
        </w:rPr>
      </w:pPr>
      <w:r w:rsidRPr="00424B98">
        <w:rPr>
          <w:rFonts w:asciiTheme="majorHAnsi" w:hAnsiTheme="majorHAnsi" w:cstheme="majorHAnsi"/>
          <w:bCs/>
        </w:rPr>
        <w:t>Across the 20× field metrics reported in Tables 1 and S1, mean LysoTracker intensity within the positive mask was the most robust field-level discriminator between senescence-low and senescence-high conditions (Table 1: 49.91 vs. 67.95 a.u., 1.36-fold; Table S1: 52.30 vs. 61.01 a.u., 1.17-fold). Integrated intensity per nucleus showed a comparable shift in Table 1 (179,377 vs. 275,764 a.u./nucleus, 1.54-fold), but in Table S1 this metric was reversed (229,579 vs. 116,876 a.u./nucleus) because the senescent D01 f13 field contained only 7 nuclei—a sparse senescent field in which per-nucleus normalization becomes unstable and a small number of cells can dominate the denominator. The same sensitivity is evident in lyso-positive area per nucleus, which reflects the expected per-cell compartment expansion combined with the reduced nuclear density typical of senescent cultures and is therefore more variable between fields than intensity-based metrics. At the single-cell level (Supplementary Figure 1), where every segmented cell contributes independently of field density, per-cell mean LysoTracker intensity within the lyso-positive mask separated P13 and P23 with a large effect size (Cliff's δ = +0.54), whereas per-cell lyso-positive area separated them only weakly (δ = +0.15). Taken together, these data support mean LysoTracker intensity in the lyso-positive mask as the primary discriminator for routine use, with integrated intensity per nucleus as a useful field-level summary in well-populated fields and area-based readouts reserved as secondary measurements documenting compartment expansion.</w:t>
      </w:r>
    </w:p>
    <w:p w14:paraId="3AEB77D8" w14:textId="77777777" w:rsidR="00424B98" w:rsidRPr="00424B98" w:rsidRDefault="00424B98" w:rsidP="00424B98">
      <w:pPr>
        <w:rPr>
          <w:rFonts w:asciiTheme="majorHAnsi" w:hAnsiTheme="majorHAnsi" w:cstheme="majorHAnsi"/>
          <w:bCs/>
        </w:rPr>
      </w:pPr>
    </w:p>
    <w:p w14:paraId="1506B663" w14:textId="3C7BDE0B" w:rsidR="00424B98" w:rsidRDefault="00000000" w:rsidP="00424B98">
      <w:pPr>
        <w:rPr>
          <w:rFonts w:asciiTheme="majorHAnsi" w:hAnsiTheme="majorHAnsi" w:cstheme="majorHAnsi"/>
          <w:bCs/>
        </w:rPr>
      </w:pPr>
      <w:r w:rsidRPr="00424B98">
        <w:rPr>
          <w:rFonts w:asciiTheme="majorHAnsi" w:hAnsiTheme="majorHAnsi" w:cstheme="majorHAnsi"/>
          <w:bCs/>
        </w:rPr>
        <w:t xml:space="preserve">For the per-well correlation shown in Figure 2D, linear regression across the four per-well means of LysoTracker intensity and SA-β-Gal positive area yielded R² = 0.964 (p = 1.81 × 10⁻²; slope = 0.039 ± 0.005). This reflects strong concordance between the two markers at the well level within </w:t>
      </w:r>
      <w:r w:rsidRPr="00424B98">
        <w:rPr>
          <w:rFonts w:asciiTheme="majorHAnsi" w:hAnsiTheme="majorHAnsi" w:cstheme="majorHAnsi"/>
          <w:bCs/>
        </w:rPr>
        <w:lastRenderedPageBreak/>
        <w:t>this experiment; broader generalization of the slope across experiments, passage cohorts, or cell types would require replicated datasets and is not claimed here. With n = 2 wells per condition, inferential testing at the well level is not reported because the test is underpowered at that sample size. For context, at the field level (88 fields per condition, not used as the primary unit of analysis but informative for describing the underlying distributions), Mann–Whitney medians were 44</w:t>
      </w:r>
      <w:r w:rsidRPr="004D476C">
        <w:rPr>
          <w:rFonts w:asciiTheme="majorHAnsi" w:hAnsiTheme="majorHAnsi" w:cstheme="majorHAnsi"/>
          <w:bCs/>
        </w:rPr>
        <w:t xml:space="preserve">.1 versus 60.5 a.u./pixel for </w:t>
      </w:r>
      <w:r w:rsidR="004D476C" w:rsidRPr="004D476C">
        <w:rPr>
          <w:rFonts w:asciiTheme="majorHAnsi" w:hAnsiTheme="majorHAnsi" w:cstheme="majorHAnsi"/>
          <w:bCs/>
        </w:rPr>
        <w:t xml:space="preserve">acidic organelle signal </w:t>
      </w:r>
      <w:r w:rsidRPr="00424B98">
        <w:rPr>
          <w:rFonts w:asciiTheme="majorHAnsi" w:hAnsiTheme="majorHAnsi" w:cstheme="majorHAnsi"/>
          <w:bCs/>
        </w:rPr>
        <w:t>intensity (P13 versus P23; p = 1.5 × 10⁻²⁸; Cliff's δ = +0.97) and 0.013% versus 0.600% for SA-β-Gal positive area (p = 3.6 × 10⁻²⁶; Cliff's δ = +0.92). Users scaling the assay for hypothesis-driven comparisons should include additional biological replicates and report parametric or non-parametric tests appropriate to the distributional properties of their data.</w:t>
      </w:r>
    </w:p>
    <w:p w14:paraId="3C31737F" w14:textId="77777777" w:rsidR="00424B98" w:rsidRPr="00424B98" w:rsidRDefault="00424B98" w:rsidP="00424B98">
      <w:pPr>
        <w:rPr>
          <w:rFonts w:asciiTheme="majorHAnsi" w:hAnsiTheme="majorHAnsi" w:cstheme="majorHAnsi"/>
          <w:bCs/>
        </w:rPr>
      </w:pPr>
    </w:p>
    <w:p w14:paraId="3D8FA44B" w14:textId="77777777" w:rsidR="00424B98" w:rsidRDefault="00000000" w:rsidP="00424B98">
      <w:pPr>
        <w:rPr>
          <w:rFonts w:asciiTheme="majorHAnsi" w:hAnsiTheme="majorHAnsi" w:cstheme="majorHAnsi"/>
          <w:bCs/>
        </w:rPr>
      </w:pPr>
      <w:r w:rsidRPr="00424B98">
        <w:rPr>
          <w:rFonts w:asciiTheme="majorHAnsi" w:hAnsiTheme="majorHAnsi" w:cstheme="majorHAnsi"/>
          <w:bCs/>
        </w:rPr>
        <w:t>The representative dataset uses 44 fields per well at 20× magnification, covering the full growth area of each well via a tiled scan. This level of sampling reflects the depth used during assay development and is not a minimum requirement for application. For routine well-level comparisons between clearly different conditions (e.g., early versus late-passage IMR-90, or vehicle versus senolytic), 5 to 10 randomly distributed fields per well typically produce stable well-level means for the intensity-based readouts recommended above. For applications in which within-condition heterogeneity is of interest, or for comparisons with modest effect sizes, at least 20 fields per well are recommended, along with per-field reporting alongside well-level summaries. The chosen sampling depth should be reported in the figure legend of every application.</w:t>
      </w:r>
    </w:p>
    <w:p w14:paraId="7220AB7E" w14:textId="77777777" w:rsidR="00424B98" w:rsidRPr="00424B98" w:rsidRDefault="00424B98" w:rsidP="00424B98">
      <w:pPr>
        <w:rPr>
          <w:rFonts w:asciiTheme="majorHAnsi" w:hAnsiTheme="majorHAnsi" w:cstheme="majorHAnsi"/>
          <w:bCs/>
        </w:rPr>
      </w:pPr>
    </w:p>
    <w:p w14:paraId="4A9EB127" w14:textId="78CC2B74" w:rsidR="00424B98" w:rsidRDefault="00000000" w:rsidP="00424B98">
      <w:pPr>
        <w:rPr>
          <w:rFonts w:asciiTheme="majorHAnsi" w:hAnsiTheme="majorHAnsi" w:cstheme="majorHAnsi"/>
          <w:bCs/>
        </w:rPr>
      </w:pPr>
      <w:r w:rsidRPr="00424B98">
        <w:rPr>
          <w:rFonts w:asciiTheme="majorHAnsi" w:hAnsiTheme="majorHAnsi" w:cstheme="majorHAnsi"/>
          <w:bCs/>
        </w:rPr>
        <w:t>A positive outcome is characterized by a visible and quantitative shift in lysosomal signal between senescence-low controls and senescence-high conditions. In the LysoTracker Deep Red channel, senescence-high cells typically show brighter and more spatially expanded perinuclear lysosome-enriched r</w:t>
      </w:r>
      <w:r w:rsidRPr="004D476C">
        <w:rPr>
          <w:rFonts w:asciiTheme="majorHAnsi" w:hAnsiTheme="majorHAnsi" w:cstheme="majorHAnsi"/>
          <w:bCs/>
        </w:rPr>
        <w:t xml:space="preserve">egions, whereas senescence-low controls show lower overall signal and more discrete punctate structures (Figure 3; Table 1). In field-level summaries, this appears as condition-dependent </w:t>
      </w:r>
      <w:r w:rsidR="004D476C" w:rsidRPr="004D476C">
        <w:rPr>
          <w:rFonts w:asciiTheme="majorHAnsi" w:hAnsiTheme="majorHAnsi" w:cstheme="majorHAnsi"/>
          <w:bCs/>
        </w:rPr>
        <w:t>changes in lyso-positive area fraction and in mean intensity within the lyso-positive mask</w:t>
      </w:r>
      <w:r w:rsidRPr="004D476C">
        <w:rPr>
          <w:rFonts w:asciiTheme="majorHAnsi" w:hAnsiTheme="majorHAnsi" w:cstheme="majorHAnsi"/>
          <w:bCs/>
        </w:rPr>
        <w:t>, together with differences in per-nucleus normalize</w:t>
      </w:r>
      <w:r w:rsidRPr="00424B98">
        <w:rPr>
          <w:rFonts w:asciiTheme="majorHAnsi" w:hAnsiTheme="majorHAnsi" w:cstheme="majorHAnsi"/>
          <w:bCs/>
        </w:rPr>
        <w:t>d values when LysoTracker-positive area and intensity are expressed relative to the number of nuclei detected in the corresponding nuclear image (Table S1).</w:t>
      </w:r>
    </w:p>
    <w:p w14:paraId="06580723" w14:textId="77777777" w:rsidR="00424B98" w:rsidRPr="00424B98" w:rsidRDefault="00424B98" w:rsidP="00424B98">
      <w:pPr>
        <w:rPr>
          <w:rFonts w:asciiTheme="majorHAnsi" w:hAnsiTheme="majorHAnsi" w:cstheme="majorHAnsi"/>
          <w:bCs/>
        </w:rPr>
      </w:pPr>
    </w:p>
    <w:p w14:paraId="44FF1230" w14:textId="77777777" w:rsidR="00424B98" w:rsidRDefault="00000000" w:rsidP="00424B98">
      <w:pPr>
        <w:rPr>
          <w:rFonts w:asciiTheme="majorHAnsi" w:hAnsiTheme="majorHAnsi" w:cstheme="majorHAnsi"/>
          <w:bCs/>
        </w:rPr>
      </w:pPr>
      <w:r w:rsidRPr="00424B98">
        <w:rPr>
          <w:rFonts w:asciiTheme="majorHAnsi" w:hAnsiTheme="majorHAnsi" w:cstheme="majorHAnsi"/>
          <w:bCs/>
        </w:rPr>
        <w:t>Field-level summaries are especially useful as a run-level check that staining quality, exposure settings, and plating density are within an interpretable range before scaling to larger collections of fields or downstream per-cell analysis. When SA-β-Gal staining is performed on parallel or matched wells, senescence-high conditions show a higher fraction of SA-β-Gal-positive cells than senescence-low controls. Agreement between elevated LysoTracker-based lysosomal remodeling and increased SA-β-Gal positivity provides a straightforward validation that the assay is capturing a senescence-associated phenotype. For experiments that include senescence induction strength or duration as variables, stronger or longer triggers yield higher lysosomal readouts and higher SA-β-Gal positivity, while milder conditions show intermediate responses.</w:t>
      </w:r>
    </w:p>
    <w:p w14:paraId="7993494A" w14:textId="77777777" w:rsidR="00424B98" w:rsidRPr="00424B98" w:rsidRDefault="00424B98" w:rsidP="00424B98">
      <w:pPr>
        <w:rPr>
          <w:rFonts w:asciiTheme="majorHAnsi" w:hAnsiTheme="majorHAnsi" w:cstheme="majorHAnsi"/>
          <w:bCs/>
        </w:rPr>
      </w:pPr>
    </w:p>
    <w:p w14:paraId="0869A04B" w14:textId="77777777" w:rsidR="00424B98" w:rsidRDefault="00000000" w:rsidP="00424B98">
      <w:pPr>
        <w:rPr>
          <w:rFonts w:asciiTheme="majorHAnsi" w:hAnsiTheme="majorHAnsi" w:cstheme="majorHAnsi"/>
          <w:bCs/>
        </w:rPr>
      </w:pPr>
      <w:r w:rsidRPr="00424B98">
        <w:rPr>
          <w:rFonts w:asciiTheme="majorHAnsi" w:hAnsiTheme="majorHAnsi" w:cstheme="majorHAnsi"/>
          <w:bCs/>
        </w:rPr>
        <w:t>Suboptimal experiments show characteristic signatures at the image and feature levels. Weak LysoTracker staining, overconfluent cultures, and focus drift reduce the clarity of lysosome-</w:t>
      </w:r>
      <w:r w:rsidRPr="00424B98">
        <w:rPr>
          <w:rFonts w:asciiTheme="majorHAnsi" w:hAnsiTheme="majorHAnsi" w:cstheme="majorHAnsi"/>
          <w:bCs/>
        </w:rPr>
        <w:lastRenderedPageBreak/>
        <w:t>enriched regions and compromise cell separation, resulting in noisier measurements and reduced separation between conditions. In these cases, per-cell feature distributions become broad and overlapping, and well-level summaries show compressed dynamic range. Plate-to-plate changes in imaging settings can also shift intensities and reduce comparability if acquisition parameters are not held constant.</w:t>
      </w:r>
    </w:p>
    <w:p w14:paraId="5D24675C" w14:textId="77777777" w:rsidR="00424B98" w:rsidRPr="00424B98" w:rsidRDefault="00424B98" w:rsidP="00424B98">
      <w:pPr>
        <w:rPr>
          <w:rFonts w:asciiTheme="majorHAnsi" w:hAnsiTheme="majorHAnsi" w:cstheme="majorHAnsi"/>
          <w:bCs/>
        </w:rPr>
      </w:pPr>
    </w:p>
    <w:p w14:paraId="079B5679" w14:textId="23218EA4" w:rsidR="006E4797" w:rsidRDefault="00000000" w:rsidP="00DA3C5C">
      <w:pPr>
        <w:rPr>
          <w:rFonts w:asciiTheme="majorHAnsi" w:hAnsiTheme="majorHAnsi" w:cstheme="majorHAnsi"/>
          <w:bCs/>
        </w:rPr>
      </w:pPr>
      <w:r w:rsidRPr="004E4679">
        <w:rPr>
          <w:rFonts w:asciiTheme="majorHAnsi" w:hAnsiTheme="majorHAnsi" w:cstheme="majorHAnsi"/>
          <w:bCs/>
        </w:rPr>
        <w:t>Overall, successful execution of the protocol yields LysoTracker and nuclear images with clear single-cell resolution, reproducible shifts in lysosomal remodeling features between senescence-low and senescence-high conditions, optional SA-β-Gal validation showing increased positivity in senescence-high wells, and well-level summaries that allow quantitative comparison of senescence induction and treatment effects.</w:t>
      </w:r>
    </w:p>
    <w:p w14:paraId="525BAC06" w14:textId="77777777" w:rsidR="004E4679" w:rsidRPr="0055174B" w:rsidRDefault="004E4679" w:rsidP="00DA3C5C">
      <w:pPr>
        <w:rPr>
          <w:rFonts w:asciiTheme="majorHAnsi" w:hAnsiTheme="majorHAnsi" w:cstheme="majorHAnsi"/>
        </w:rPr>
      </w:pPr>
    </w:p>
    <w:p w14:paraId="6D510784" w14:textId="3973CD4B" w:rsidR="006E4797" w:rsidRPr="0055174B" w:rsidRDefault="00000000" w:rsidP="00DA3C5C">
      <w:pPr>
        <w:rPr>
          <w:rFonts w:asciiTheme="majorHAnsi" w:hAnsiTheme="majorHAnsi" w:cstheme="majorHAnsi"/>
        </w:rPr>
      </w:pPr>
      <w:r w:rsidRPr="0055174B">
        <w:rPr>
          <w:rFonts w:asciiTheme="majorHAnsi" w:hAnsiTheme="majorHAnsi" w:cstheme="majorHAnsi"/>
          <w:b/>
        </w:rPr>
        <w:t>FIGURE AND TABLE LEGENDS:</w:t>
      </w:r>
    </w:p>
    <w:p w14:paraId="78A1CB3D" w14:textId="2CBDE93B" w:rsidR="00D840C2" w:rsidRDefault="00000000" w:rsidP="00D840C2">
      <w:pPr>
        <w:rPr>
          <w:rFonts w:asciiTheme="majorHAnsi" w:hAnsiTheme="majorHAnsi" w:cstheme="majorHAnsi"/>
        </w:rPr>
      </w:pPr>
      <w:r w:rsidRPr="00CB1E47">
        <w:rPr>
          <w:rFonts w:asciiTheme="majorHAnsi" w:hAnsiTheme="majorHAnsi" w:cstheme="majorHAnsi"/>
          <w:b/>
          <w:bCs/>
        </w:rPr>
        <w:t xml:space="preserve">Figure 1. </w:t>
      </w:r>
      <w:r w:rsidRPr="00D840C2">
        <w:rPr>
          <w:rFonts w:asciiTheme="majorHAnsi" w:hAnsiTheme="majorHAnsi" w:cstheme="majorHAnsi"/>
          <w:b/>
          <w:bCs/>
        </w:rPr>
        <w:t>Overview of the live-cell lysosomal senescence assay.</w:t>
      </w:r>
      <w:r>
        <w:rPr>
          <w:rFonts w:asciiTheme="majorHAnsi" w:hAnsiTheme="majorHAnsi" w:cstheme="majorHAnsi"/>
          <w:b/>
          <w:bCs/>
        </w:rPr>
        <w:t xml:space="preserve"> </w:t>
      </w:r>
      <w:r w:rsidRPr="00D840C2">
        <w:rPr>
          <w:rFonts w:asciiTheme="majorHAnsi" w:hAnsiTheme="majorHAnsi" w:cstheme="majorHAnsi"/>
        </w:rPr>
        <w:t>(</w:t>
      </w:r>
      <w:r w:rsidRPr="00D840C2">
        <w:rPr>
          <w:rFonts w:asciiTheme="majorHAnsi" w:hAnsiTheme="majorHAnsi" w:cstheme="majorHAnsi"/>
          <w:b/>
          <w:bCs/>
        </w:rPr>
        <w:t>A</w:t>
      </w:r>
      <w:r w:rsidRPr="00D840C2">
        <w:rPr>
          <w:rFonts w:asciiTheme="majorHAnsi" w:hAnsiTheme="majorHAnsi" w:cstheme="majorHAnsi"/>
        </w:rPr>
        <w:t>) Experimental workflow. Cells are stained live with LysoTracker Deep Red and a nuclear dye, imaged by standard fluorescence microscopy, and optionally processed in parallel for SA-β-Gal staining for validation.</w:t>
      </w:r>
      <w:r>
        <w:rPr>
          <w:rFonts w:asciiTheme="majorHAnsi" w:hAnsiTheme="majorHAnsi" w:cstheme="majorHAnsi"/>
        </w:rPr>
        <w:t xml:space="preserve"> </w:t>
      </w:r>
      <w:r w:rsidRPr="00D840C2">
        <w:rPr>
          <w:rFonts w:asciiTheme="majorHAnsi" w:hAnsiTheme="majorHAnsi" w:cstheme="majorHAnsi"/>
        </w:rPr>
        <w:t>(</w:t>
      </w:r>
      <w:r w:rsidRPr="00D840C2">
        <w:rPr>
          <w:rFonts w:asciiTheme="majorHAnsi" w:hAnsiTheme="majorHAnsi" w:cstheme="majorHAnsi"/>
          <w:b/>
          <w:bCs/>
        </w:rPr>
        <w:t>B</w:t>
      </w:r>
      <w:r w:rsidRPr="00D840C2">
        <w:rPr>
          <w:rFonts w:asciiTheme="majorHAnsi" w:hAnsiTheme="majorHAnsi" w:cstheme="majorHAnsi"/>
        </w:rPr>
        <w:t>) Image-derived per-cell measurements. The nuclear channel is used to identify individual cells, and nucleus-anchored expansion defines a per-cell region for extracting lysosome-associated measurements from the LysoTracker channel. Representative per-cell measurements include lysosomal area, mean LysoTracker intensity, and lysosome count. SA-β-Gal staining can be used as an optional validation label when generating or confirming reference datasets.</w:t>
      </w:r>
      <w:r>
        <w:rPr>
          <w:rFonts w:asciiTheme="majorHAnsi" w:hAnsiTheme="majorHAnsi" w:cstheme="majorHAnsi"/>
        </w:rPr>
        <w:t xml:space="preserve"> </w:t>
      </w:r>
      <w:r w:rsidRPr="00D840C2">
        <w:rPr>
          <w:rFonts w:asciiTheme="majorHAnsi" w:hAnsiTheme="majorHAnsi" w:cstheme="majorHAnsi"/>
        </w:rPr>
        <w:t>(</w:t>
      </w:r>
      <w:r w:rsidRPr="00D840C2">
        <w:rPr>
          <w:rFonts w:asciiTheme="majorHAnsi" w:hAnsiTheme="majorHAnsi" w:cstheme="majorHAnsi"/>
          <w:b/>
          <w:bCs/>
        </w:rPr>
        <w:t>C</w:t>
      </w:r>
      <w:r w:rsidRPr="00D840C2">
        <w:rPr>
          <w:rFonts w:asciiTheme="majorHAnsi" w:hAnsiTheme="majorHAnsi" w:cstheme="majorHAnsi"/>
        </w:rPr>
        <w:t>) Quantification and outputs. Per-cell lysosomal measurements are combined into a single per-cell senescence score or probability using a simple scoring approach. Outputs include per-cell values and well-level or condition-level summaries of senescence burden</w:t>
      </w:r>
      <w:r>
        <w:rPr>
          <w:rFonts w:asciiTheme="majorHAnsi" w:hAnsiTheme="majorHAnsi" w:cstheme="majorHAnsi"/>
        </w:rPr>
        <w:t>, which can be compared across senescence-induction or senolytic-treatment</w:t>
      </w:r>
      <w:r w:rsidRPr="00D840C2">
        <w:rPr>
          <w:rFonts w:asciiTheme="majorHAnsi" w:hAnsiTheme="majorHAnsi" w:cstheme="majorHAnsi"/>
        </w:rPr>
        <w:t xml:space="preserve"> conditions.</w:t>
      </w:r>
      <w:r>
        <w:rPr>
          <w:rFonts w:asciiTheme="majorHAnsi" w:hAnsiTheme="majorHAnsi" w:cstheme="majorHAnsi"/>
        </w:rPr>
        <w:t xml:space="preserve"> </w:t>
      </w:r>
      <w:r w:rsidRPr="00D840C2">
        <w:rPr>
          <w:rFonts w:asciiTheme="majorHAnsi" w:hAnsiTheme="majorHAnsi" w:cstheme="majorHAnsi"/>
        </w:rPr>
        <w:t>Created with BioRender.com</w:t>
      </w:r>
      <w:r w:rsidRPr="00D840C2">
        <w:rPr>
          <w:rFonts w:asciiTheme="majorHAnsi" w:hAnsiTheme="majorHAnsi" w:cstheme="majorHAnsi"/>
        </w:rPr>
        <w:br/>
      </w:r>
    </w:p>
    <w:p w14:paraId="2A81ED47" w14:textId="0089C0FD" w:rsidR="009711C1" w:rsidRPr="00D840C2" w:rsidRDefault="00000000" w:rsidP="0095779B">
      <w:pPr>
        <w:rPr>
          <w:rFonts w:asciiTheme="majorHAnsi" w:hAnsiTheme="majorHAnsi" w:cstheme="majorHAnsi"/>
          <w:b/>
          <w:bCs/>
        </w:rPr>
      </w:pPr>
      <w:r w:rsidRPr="00A0621C">
        <w:rPr>
          <w:rFonts w:asciiTheme="majorHAnsi" w:hAnsiTheme="majorHAnsi" w:cstheme="majorHAnsi"/>
          <w:b/>
          <w:bCs/>
        </w:rPr>
        <w:t xml:space="preserve">Figure </w:t>
      </w:r>
      <w:r>
        <w:rPr>
          <w:rFonts w:asciiTheme="majorHAnsi" w:hAnsiTheme="majorHAnsi" w:cstheme="majorHAnsi"/>
          <w:b/>
          <w:bCs/>
        </w:rPr>
        <w:t>2</w:t>
      </w:r>
      <w:r w:rsidRPr="00A0621C">
        <w:rPr>
          <w:rFonts w:asciiTheme="majorHAnsi" w:hAnsiTheme="majorHAnsi" w:cstheme="majorHAnsi"/>
          <w:b/>
          <w:bCs/>
        </w:rPr>
        <w:t>. Linking live-cell LysoTracker signal to post-fixation SA-β-Gal staining across matched fields and replicate wells.</w:t>
      </w:r>
      <w:r w:rsidR="00D840C2">
        <w:rPr>
          <w:rFonts w:asciiTheme="majorHAnsi" w:hAnsiTheme="majorHAnsi" w:cstheme="majorHAnsi"/>
          <w:b/>
          <w:bCs/>
        </w:rPr>
        <w:t xml:space="preserve"> </w:t>
      </w:r>
      <w:r w:rsidR="00D840C2" w:rsidRPr="00D840C2">
        <w:rPr>
          <w:rFonts w:asciiTheme="majorHAnsi" w:hAnsiTheme="majorHAnsi" w:cstheme="majorHAnsi"/>
        </w:rPr>
        <w:t>Representative images show the same assay field before fixation (live staining) and after fixation and SA-β-Gal development, comparing senescence-low (pre-senescent) and senescence-high (senescent) IMR-90 cultures.</w:t>
      </w:r>
      <w:r w:rsidR="00D840C2">
        <w:rPr>
          <w:rFonts w:asciiTheme="majorHAnsi" w:hAnsiTheme="majorHAnsi" w:cstheme="majorHAnsi"/>
        </w:rPr>
        <w:t xml:space="preserve"> </w:t>
      </w:r>
      <w:r w:rsidR="00D840C2" w:rsidRPr="00D840C2">
        <w:rPr>
          <w:rFonts w:asciiTheme="majorHAnsi" w:hAnsiTheme="majorHAnsi" w:cstheme="majorHAnsi"/>
        </w:rPr>
        <w:t>(</w:t>
      </w:r>
      <w:r w:rsidR="00D840C2" w:rsidRPr="00D840C2">
        <w:rPr>
          <w:rFonts w:asciiTheme="majorHAnsi" w:hAnsiTheme="majorHAnsi" w:cstheme="majorHAnsi"/>
          <w:b/>
          <w:bCs/>
        </w:rPr>
        <w:t>A</w:t>
      </w:r>
      <w:r w:rsidR="00D840C2" w:rsidRPr="00D840C2">
        <w:rPr>
          <w:rFonts w:asciiTheme="majorHAnsi" w:hAnsiTheme="majorHAnsi" w:cstheme="majorHAnsi"/>
        </w:rPr>
        <w:t>) Live-cell overlay of the nuclear dye (Hoechst 33342, blue) and LysoTracker Deep Red (red) prior to fixation, comparing senescence-low (top row) and senescence-high (bottom row) IMR-90 cultures.</w:t>
      </w:r>
      <w:r w:rsidR="00D840C2">
        <w:rPr>
          <w:rFonts w:asciiTheme="majorHAnsi" w:hAnsiTheme="majorHAnsi" w:cstheme="majorHAnsi"/>
        </w:rPr>
        <w:t xml:space="preserve"> </w:t>
      </w:r>
      <w:r w:rsidR="00D840C2" w:rsidRPr="00D840C2">
        <w:rPr>
          <w:rFonts w:asciiTheme="majorHAnsi" w:hAnsiTheme="majorHAnsi" w:cstheme="majorHAnsi"/>
        </w:rPr>
        <w:t>(</w:t>
      </w:r>
      <w:r w:rsidR="00D840C2" w:rsidRPr="00D840C2">
        <w:rPr>
          <w:rFonts w:asciiTheme="majorHAnsi" w:hAnsiTheme="majorHAnsi" w:cstheme="majorHAnsi"/>
          <w:b/>
          <w:bCs/>
        </w:rPr>
        <w:t>B</w:t>
      </w:r>
      <w:r w:rsidR="00D840C2" w:rsidRPr="00D840C2">
        <w:rPr>
          <w:rFonts w:asciiTheme="majorHAnsi" w:hAnsiTheme="majorHAnsi" w:cstheme="majorHAnsi"/>
        </w:rPr>
        <w:t>) Zoomed view of the boxed region in (</w:t>
      </w:r>
      <w:r w:rsidR="00D840C2" w:rsidRPr="00D840C2">
        <w:rPr>
          <w:rFonts w:asciiTheme="majorHAnsi" w:hAnsiTheme="majorHAnsi" w:cstheme="majorHAnsi"/>
          <w:b/>
          <w:bCs/>
        </w:rPr>
        <w:t>A</w:t>
      </w:r>
      <w:r w:rsidR="00D840C2" w:rsidRPr="00D840C2">
        <w:rPr>
          <w:rFonts w:asciiTheme="majorHAnsi" w:hAnsiTheme="majorHAnsi" w:cstheme="majorHAnsi"/>
        </w:rPr>
        <w:t>), highlighting a representative cell-level LysoTracker pattern under live imaging conditions.</w:t>
      </w:r>
      <w:r w:rsidR="00D840C2">
        <w:rPr>
          <w:rFonts w:asciiTheme="majorHAnsi" w:hAnsiTheme="majorHAnsi" w:cstheme="majorHAnsi"/>
        </w:rPr>
        <w:t xml:space="preserve"> </w:t>
      </w:r>
      <w:r w:rsidR="00D840C2" w:rsidRPr="00D840C2">
        <w:rPr>
          <w:rFonts w:asciiTheme="majorHAnsi" w:hAnsiTheme="majorHAnsi" w:cstheme="majorHAnsi"/>
        </w:rPr>
        <w:t>(</w:t>
      </w:r>
      <w:r w:rsidR="00D840C2" w:rsidRPr="00D840C2">
        <w:rPr>
          <w:rFonts w:asciiTheme="majorHAnsi" w:hAnsiTheme="majorHAnsi" w:cstheme="majorHAnsi"/>
          <w:b/>
          <w:bCs/>
        </w:rPr>
        <w:t>C</w:t>
      </w:r>
      <w:r w:rsidR="00D840C2" w:rsidRPr="00D840C2">
        <w:rPr>
          <w:rFonts w:asciiTheme="majorHAnsi" w:hAnsiTheme="majorHAnsi" w:cstheme="majorHAnsi"/>
        </w:rPr>
        <w:t>) Brightfield image after SA-β-Gal staining, illustrating the endpoint β-galactosidase signal in the matched field.</w:t>
      </w:r>
      <w:r w:rsidR="00D840C2" w:rsidRPr="00D840C2">
        <w:rPr>
          <w:rFonts w:asciiTheme="majorHAnsi" w:hAnsiTheme="majorHAnsi" w:cstheme="majorHAnsi"/>
        </w:rPr>
        <w:br/>
        <w:t>Images in (</w:t>
      </w:r>
      <w:r w:rsidR="00D840C2" w:rsidRPr="00D840C2">
        <w:rPr>
          <w:rFonts w:asciiTheme="majorHAnsi" w:hAnsiTheme="majorHAnsi" w:cstheme="majorHAnsi"/>
          <w:b/>
          <w:bCs/>
        </w:rPr>
        <w:t>A–C</w:t>
      </w:r>
      <w:r w:rsidR="00D840C2" w:rsidRPr="00D840C2">
        <w:rPr>
          <w:rFonts w:asciiTheme="majorHAnsi" w:hAnsiTheme="majorHAnsi" w:cstheme="majorHAnsi"/>
        </w:rPr>
        <w:t>) were acquired at 20× magnification. Scale bars: 75 µm in (A); 30 µm in (</w:t>
      </w:r>
      <w:r w:rsidR="00D840C2" w:rsidRPr="00D840C2">
        <w:rPr>
          <w:rFonts w:asciiTheme="majorHAnsi" w:hAnsiTheme="majorHAnsi" w:cstheme="majorHAnsi"/>
          <w:b/>
          <w:bCs/>
        </w:rPr>
        <w:t>B–C</w:t>
      </w:r>
      <w:r w:rsidR="00D840C2" w:rsidRPr="00D840C2">
        <w:rPr>
          <w:rFonts w:asciiTheme="majorHAnsi" w:hAnsiTheme="majorHAnsi" w:cstheme="majorHAnsi"/>
        </w:rPr>
        <w:t>).</w:t>
      </w:r>
      <w:r w:rsidR="00D840C2">
        <w:rPr>
          <w:rFonts w:asciiTheme="majorHAnsi" w:hAnsiTheme="majorHAnsi" w:cstheme="majorHAnsi"/>
        </w:rPr>
        <w:t xml:space="preserve"> </w:t>
      </w:r>
      <w:r w:rsidR="00D840C2" w:rsidRPr="00D840C2">
        <w:rPr>
          <w:rFonts w:asciiTheme="majorHAnsi" w:hAnsiTheme="majorHAnsi" w:cstheme="majorHAnsi"/>
        </w:rPr>
        <w:t>(</w:t>
      </w:r>
      <w:r w:rsidR="00D840C2" w:rsidRPr="00D840C2">
        <w:rPr>
          <w:rFonts w:asciiTheme="majorHAnsi" w:hAnsiTheme="majorHAnsi" w:cstheme="majorHAnsi"/>
          <w:b/>
          <w:bCs/>
        </w:rPr>
        <w:t>D</w:t>
      </w:r>
      <w:r w:rsidR="00D840C2" w:rsidRPr="00D840C2">
        <w:rPr>
          <w:rFonts w:asciiTheme="majorHAnsi" w:hAnsiTheme="majorHAnsi" w:cstheme="majorHAnsi"/>
        </w:rPr>
        <w:t>) Per-well correlation between LysoTracker intensity and SA-β-Gal-positive area across matched wells from P13 (passage 13, senescence-low; red, n = 2 wells: A01, B01) and P23 (passage 23, senescence-high; blue, n = 2 wells: C01, D01) IMR-90 cultures from one biological experiment. Each point is the mean of 44 fields for that well; error bars show SEM across the 44 fields per well. Dashed line: linear regression across all four wells (R² = 0.964, p = 1.81 × 10⁻²; slope = 0.039 ± 0.005). The strong fit reflects between-condition separation on both axes within this experiment; cross-experiment validation remains to be established and is discussed as a limitation. Quantification in (</w:t>
      </w:r>
      <w:r w:rsidR="00D840C2" w:rsidRPr="00D840C2">
        <w:rPr>
          <w:rFonts w:asciiTheme="majorHAnsi" w:hAnsiTheme="majorHAnsi" w:cstheme="majorHAnsi"/>
          <w:b/>
          <w:bCs/>
        </w:rPr>
        <w:t>D</w:t>
      </w:r>
      <w:r w:rsidR="00D840C2" w:rsidRPr="00D840C2">
        <w:rPr>
          <w:rFonts w:asciiTheme="majorHAnsi" w:hAnsiTheme="majorHAnsi" w:cstheme="majorHAnsi"/>
        </w:rPr>
        <w:t xml:space="preserve">) was performed with SenTrackLite v0.5.0 (Supplemental File </w:t>
      </w:r>
      <w:r w:rsidR="00D840C2" w:rsidRPr="00D840C2">
        <w:rPr>
          <w:rFonts w:asciiTheme="majorHAnsi" w:hAnsiTheme="majorHAnsi" w:cstheme="majorHAnsi"/>
        </w:rPr>
        <w:lastRenderedPageBreak/>
        <w:t>1).</w:t>
      </w:r>
      <w:r w:rsidR="000C3FA5" w:rsidRPr="003508EB">
        <w:rPr>
          <w:rFonts w:asciiTheme="majorHAnsi" w:hAnsiTheme="majorHAnsi" w:cstheme="majorHAnsi"/>
        </w:rPr>
        <w:t xml:space="preserve">Created in BioRender. </w:t>
      </w:r>
      <w:r w:rsidR="000C3FA5" w:rsidRPr="00A0621C">
        <w:rPr>
          <w:rFonts w:asciiTheme="majorHAnsi" w:hAnsiTheme="majorHAnsi" w:cstheme="majorHAnsi"/>
        </w:rPr>
        <w:t xml:space="preserve"> </w:t>
      </w:r>
    </w:p>
    <w:p w14:paraId="6E73932F" w14:textId="77777777" w:rsidR="00974183" w:rsidRPr="0055174B" w:rsidRDefault="00974183" w:rsidP="0073675B">
      <w:pPr>
        <w:rPr>
          <w:rFonts w:asciiTheme="majorHAnsi" w:hAnsiTheme="majorHAnsi" w:cstheme="majorHAnsi"/>
        </w:rPr>
      </w:pPr>
    </w:p>
    <w:p w14:paraId="74FA168C" w14:textId="77777777" w:rsidR="00D840C2" w:rsidRDefault="00000000" w:rsidP="00FE383B">
      <w:pPr>
        <w:rPr>
          <w:rFonts w:asciiTheme="majorHAnsi" w:hAnsiTheme="majorHAnsi" w:cstheme="majorHAnsi"/>
        </w:rPr>
      </w:pPr>
      <w:r w:rsidRPr="003A3856">
        <w:rPr>
          <w:rFonts w:asciiTheme="majorHAnsi" w:hAnsiTheme="majorHAnsi" w:cstheme="majorHAnsi"/>
          <w:b/>
          <w:bCs/>
        </w:rPr>
        <w:t xml:space="preserve">Figure </w:t>
      </w:r>
      <w:r w:rsidR="0095779B">
        <w:rPr>
          <w:rFonts w:asciiTheme="majorHAnsi" w:hAnsiTheme="majorHAnsi" w:cstheme="majorHAnsi"/>
          <w:b/>
          <w:bCs/>
        </w:rPr>
        <w:t>3</w:t>
      </w:r>
      <w:r w:rsidRPr="003A3856">
        <w:rPr>
          <w:rFonts w:asciiTheme="majorHAnsi" w:hAnsiTheme="majorHAnsi" w:cstheme="majorHAnsi"/>
          <w:b/>
          <w:bCs/>
        </w:rPr>
        <w:t xml:space="preserve">. Representative live-cell fluorescence channels and post-fixation SA-β-Gal endpoint images in senescence-low and senescence-high IMR-90 cultures. </w:t>
      </w:r>
      <w:r w:rsidRPr="003A3856">
        <w:rPr>
          <w:rFonts w:asciiTheme="majorHAnsi" w:hAnsiTheme="majorHAnsi" w:cstheme="majorHAnsi"/>
        </w:rPr>
        <w:t>Representative fields from pre-senescent (senescence-low) and senescent (senescence-high) IMR-90 cultures illustrate the appearance of the raw channels used for lysosomal profiling. Cells were stained live with LysoTracker Deep Red (lysosomal/acidic organelle signal) and Hoechst 33342 (live nuclear dye) and imaged by fluorescence microscopy using consistent acquisition settings within an experiment. Senescence-high cultures show brighter and more spatially expanded LysoTracker-enriched regions compared to senescence-low controls. Where shown, SA-β-Gal images are acquired after fixation and staining and are included as an orthogonal endpoint reference rather than a live-cell readout. Scale bars are shown in each panel</w:t>
      </w:r>
      <w:r w:rsidR="00A0621C" w:rsidRPr="00A0621C">
        <w:rPr>
          <w:rFonts w:asciiTheme="majorHAnsi" w:hAnsiTheme="majorHAnsi" w:cstheme="majorHAnsi"/>
        </w:rPr>
        <w:t>; acquisition settings were kept constant within an experiment for comparability.</w:t>
      </w:r>
      <w:r w:rsidR="00A23E08" w:rsidRPr="00A23E08">
        <w:t xml:space="preserve"> </w:t>
      </w:r>
      <w:r w:rsidR="00A23E08" w:rsidRPr="00A23E08">
        <w:rPr>
          <w:rFonts w:asciiTheme="majorHAnsi" w:hAnsiTheme="majorHAnsi" w:cstheme="majorHAnsi"/>
        </w:rPr>
        <w:t>Images were acquired at 20x magnification. Scale bars: 35 µm in all panels.</w:t>
      </w:r>
      <w:r w:rsidR="00A0621C">
        <w:rPr>
          <w:rFonts w:asciiTheme="majorHAnsi" w:hAnsiTheme="majorHAnsi" w:cstheme="majorHAnsi"/>
        </w:rPr>
        <w:t xml:space="preserve"> </w:t>
      </w:r>
      <w:r w:rsidR="00A0621C" w:rsidRPr="00A0621C">
        <w:rPr>
          <w:rFonts w:asciiTheme="majorHAnsi" w:hAnsiTheme="majorHAnsi" w:cstheme="majorHAnsi"/>
        </w:rPr>
        <w:t xml:space="preserve">Created in BioRender. </w:t>
      </w:r>
    </w:p>
    <w:p w14:paraId="0D7D2E08" w14:textId="77777777" w:rsidR="00D840C2" w:rsidRDefault="00D840C2" w:rsidP="00FE383B">
      <w:pPr>
        <w:rPr>
          <w:rFonts w:asciiTheme="majorHAnsi" w:hAnsiTheme="majorHAnsi" w:cstheme="majorHAnsi"/>
        </w:rPr>
      </w:pPr>
    </w:p>
    <w:p w14:paraId="09799B9D" w14:textId="476B5682" w:rsidR="002B7079" w:rsidRDefault="00000000" w:rsidP="0073675B">
      <w:pPr>
        <w:rPr>
          <w:rFonts w:asciiTheme="majorHAnsi" w:hAnsiTheme="majorHAnsi" w:cstheme="majorHAnsi"/>
          <w:b/>
          <w:bCs/>
        </w:rPr>
      </w:pPr>
      <w:r w:rsidRPr="00FE383B">
        <w:rPr>
          <w:rFonts w:asciiTheme="majorHAnsi" w:hAnsiTheme="majorHAnsi" w:cstheme="majorHAnsi"/>
          <w:b/>
          <w:bCs/>
        </w:rPr>
        <w:t xml:space="preserve">Table 1. </w:t>
      </w:r>
      <w:r w:rsidR="0010181C">
        <w:rPr>
          <w:rFonts w:asciiTheme="majorHAnsi" w:hAnsiTheme="majorHAnsi" w:cstheme="majorHAnsi"/>
          <w:b/>
          <w:bCs/>
        </w:rPr>
        <w:t>20</w:t>
      </w:r>
      <w:r w:rsidR="0010181C">
        <w:t>×</w:t>
      </w:r>
      <w:r w:rsidR="0010181C">
        <w:rPr>
          <w:rFonts w:asciiTheme="majorHAnsi" w:hAnsiTheme="majorHAnsi" w:cstheme="majorHAnsi"/>
          <w:b/>
          <w:bCs/>
        </w:rPr>
        <w:t xml:space="preserve"> </w:t>
      </w:r>
      <w:r w:rsidRPr="00FE383B">
        <w:rPr>
          <w:rFonts w:asciiTheme="majorHAnsi" w:hAnsiTheme="majorHAnsi" w:cstheme="majorHAnsi"/>
          <w:b/>
          <w:bCs/>
        </w:rPr>
        <w:t>field quantification of lysosomal signal in representative low-passage and high-passage IMR-90 cultures.</w:t>
      </w:r>
      <w:r w:rsidR="00D840C2">
        <w:rPr>
          <w:rFonts w:asciiTheme="majorHAnsi" w:hAnsiTheme="majorHAnsi" w:cstheme="majorHAnsi"/>
          <w:b/>
          <w:bCs/>
        </w:rPr>
        <w:t xml:space="preserve"> </w:t>
      </w:r>
      <w:r w:rsidRPr="00B37F6F">
        <w:rPr>
          <w:rFonts w:asciiTheme="majorHAnsi" w:hAnsiTheme="majorHAnsi" w:cstheme="majorHAnsi"/>
        </w:rPr>
        <w:t xml:space="preserve">Representative </w:t>
      </w:r>
      <w:r w:rsidR="0010181C">
        <w:rPr>
          <w:rFonts w:asciiTheme="majorHAnsi" w:hAnsiTheme="majorHAnsi" w:cstheme="majorHAnsi"/>
        </w:rPr>
        <w:t>20</w:t>
      </w:r>
      <w:r w:rsidR="0010181C">
        <w:t>×</w:t>
      </w:r>
      <w:r w:rsidR="0010181C">
        <w:rPr>
          <w:rFonts w:asciiTheme="majorHAnsi" w:hAnsiTheme="majorHAnsi" w:cstheme="majorHAnsi"/>
        </w:rPr>
        <w:t xml:space="preserve"> </w:t>
      </w:r>
      <w:r w:rsidRPr="00B37F6F">
        <w:rPr>
          <w:rFonts w:asciiTheme="majorHAnsi" w:hAnsiTheme="majorHAnsi" w:cstheme="majorHAnsi"/>
        </w:rPr>
        <w:t xml:space="preserve"> fields from low-passage (</w:t>
      </w:r>
      <w:r w:rsidR="00F66A93">
        <w:rPr>
          <w:rFonts w:asciiTheme="majorHAnsi" w:hAnsiTheme="majorHAnsi" w:cstheme="majorHAnsi"/>
        </w:rPr>
        <w:t>presenescent</w:t>
      </w:r>
      <w:r w:rsidRPr="00B37F6F">
        <w:rPr>
          <w:rFonts w:asciiTheme="majorHAnsi" w:hAnsiTheme="majorHAnsi" w:cstheme="majorHAnsi"/>
        </w:rPr>
        <w:t>) and high-passage (</w:t>
      </w:r>
      <w:r w:rsidR="00F66A93">
        <w:rPr>
          <w:rFonts w:asciiTheme="majorHAnsi" w:hAnsiTheme="majorHAnsi" w:cstheme="majorHAnsi"/>
        </w:rPr>
        <w:t>senescent</w:t>
      </w:r>
      <w:r w:rsidRPr="00B37F6F">
        <w:rPr>
          <w:rFonts w:asciiTheme="majorHAnsi" w:hAnsiTheme="majorHAnsi" w:cstheme="majorHAnsi"/>
        </w:rPr>
        <w:t xml:space="preserve">) IMR-90 cultures were analyzed using a threshold-based LysoTracker workflow. Reported variables include total image size (px), nuclei count (n), LysoTracker-positive area (Lyso+ area, px), LysoTracker-positive area as a percentage of the </w:t>
      </w:r>
      <w:r w:rsidR="00F66A93">
        <w:rPr>
          <w:rFonts w:asciiTheme="majorHAnsi" w:hAnsiTheme="majorHAnsi" w:cstheme="majorHAnsi"/>
        </w:rPr>
        <w:t>20</w:t>
      </w:r>
      <w:r w:rsidR="00F66A93">
        <w:t>×</w:t>
      </w:r>
      <w:r w:rsidRPr="00B37F6F">
        <w:rPr>
          <w:rFonts w:asciiTheme="majorHAnsi" w:hAnsiTheme="majorHAnsi" w:cstheme="majorHAnsi"/>
        </w:rPr>
        <w:t xml:space="preserve"> field (Lyso+ area, %), mean LysoTracker intensity within the positive mask (a.u.), Lyso+ area per nucleus (px/nucleus), integrated LysoTracker intensity within the positive mask (a.u.), and integrated LysoTracker intensity per nucleus (a.u./nucleus). Lyso+ area (%) was calculated as 100 × (Lyso+ area px / total image px).</w:t>
      </w:r>
    </w:p>
    <w:p w14:paraId="4B798521" w14:textId="77777777" w:rsidR="00D86B4F" w:rsidRDefault="00D86B4F" w:rsidP="0073675B">
      <w:pPr>
        <w:rPr>
          <w:rFonts w:asciiTheme="majorHAnsi" w:hAnsiTheme="majorHAnsi" w:cstheme="majorHAnsi"/>
        </w:rPr>
      </w:pPr>
    </w:p>
    <w:p w14:paraId="70CEE74C" w14:textId="1FFC90EA" w:rsidR="001A1275" w:rsidRDefault="00000000" w:rsidP="00FE383B">
      <w:pPr>
        <w:rPr>
          <w:rFonts w:asciiTheme="majorHAnsi" w:hAnsiTheme="majorHAnsi" w:cstheme="majorHAnsi"/>
          <w:b/>
          <w:bCs/>
        </w:rPr>
      </w:pPr>
      <w:r w:rsidRPr="00FE383B">
        <w:rPr>
          <w:rFonts w:asciiTheme="majorHAnsi" w:hAnsiTheme="majorHAnsi" w:cstheme="majorHAnsi"/>
          <w:b/>
          <w:bCs/>
        </w:rPr>
        <w:t xml:space="preserve">Table S1. </w:t>
      </w:r>
      <w:r w:rsidRPr="001A1275">
        <w:rPr>
          <w:rFonts w:asciiTheme="majorHAnsi" w:hAnsiTheme="majorHAnsi" w:cstheme="majorHAnsi"/>
          <w:b/>
          <w:bCs/>
        </w:rPr>
        <w:t xml:space="preserve">Additional </w:t>
      </w:r>
      <w:r w:rsidR="0010181C">
        <w:rPr>
          <w:rFonts w:asciiTheme="majorHAnsi" w:hAnsiTheme="majorHAnsi" w:cstheme="majorHAnsi"/>
          <w:b/>
          <w:bCs/>
        </w:rPr>
        <w:t>20</w:t>
      </w:r>
      <w:r w:rsidR="0010181C">
        <w:t>×</w:t>
      </w:r>
      <w:r w:rsidR="0010181C">
        <w:rPr>
          <w:rFonts w:asciiTheme="majorHAnsi" w:hAnsiTheme="majorHAnsi" w:cstheme="majorHAnsi"/>
          <w:b/>
          <w:bCs/>
        </w:rPr>
        <w:t xml:space="preserve"> </w:t>
      </w:r>
      <w:r w:rsidRPr="001A1275">
        <w:rPr>
          <w:rFonts w:asciiTheme="majorHAnsi" w:hAnsiTheme="majorHAnsi" w:cstheme="majorHAnsi"/>
          <w:b/>
          <w:bCs/>
        </w:rPr>
        <w:t>field quantification of lysosomal signal using the Table 1 workflow.</w:t>
      </w:r>
    </w:p>
    <w:p w14:paraId="615CE318" w14:textId="5E62CD3E" w:rsidR="002B7079" w:rsidRDefault="00000000" w:rsidP="00DA3C5C">
      <w:pPr>
        <w:rPr>
          <w:rFonts w:asciiTheme="majorHAnsi" w:hAnsiTheme="majorHAnsi" w:cstheme="majorHAnsi"/>
        </w:rPr>
      </w:pPr>
      <w:r w:rsidRPr="00B37F6F">
        <w:rPr>
          <w:rFonts w:asciiTheme="majorHAnsi" w:hAnsiTheme="majorHAnsi" w:cstheme="majorHAnsi"/>
        </w:rPr>
        <w:t xml:space="preserve">This supplementary table provides additional </w:t>
      </w:r>
      <w:r w:rsidR="0010181C" w:rsidRPr="0010181C">
        <w:rPr>
          <w:rFonts w:asciiTheme="majorHAnsi" w:hAnsiTheme="majorHAnsi" w:cstheme="majorHAnsi"/>
        </w:rPr>
        <w:t>20× field</w:t>
      </w:r>
      <w:r w:rsidRPr="00B37F6F">
        <w:rPr>
          <w:rFonts w:asciiTheme="majorHAnsi" w:hAnsiTheme="majorHAnsi" w:cstheme="majorHAnsi"/>
        </w:rPr>
        <w:t xml:space="preserve"> measurements generated with the same analysis pipeline used for Table 1, extending the comparison across extra representative low-passage and high-passage IMR-90 fields. Variables are reported in the same format as Table 1, including image size (px), nuclei count (n), LysoTracker-positive area (px and %), mean intensity within the positive mask (a.u.), and area- and intensity-based values normalized per nucleus.</w:t>
      </w:r>
    </w:p>
    <w:p w14:paraId="41FCB153" w14:textId="77777777" w:rsidR="00FE383B" w:rsidRPr="00FE383B" w:rsidRDefault="00FE383B" w:rsidP="00FE383B">
      <w:pPr>
        <w:rPr>
          <w:rFonts w:asciiTheme="majorHAnsi" w:hAnsiTheme="majorHAnsi" w:cstheme="majorHAnsi"/>
        </w:rPr>
      </w:pPr>
    </w:p>
    <w:p w14:paraId="1AAF7F17" w14:textId="30725A05" w:rsidR="002B7079" w:rsidRPr="00FE383B" w:rsidRDefault="00000000" w:rsidP="00600C70">
      <w:pPr>
        <w:rPr>
          <w:rFonts w:asciiTheme="majorHAnsi" w:hAnsiTheme="majorHAnsi" w:cstheme="majorHAnsi"/>
        </w:rPr>
      </w:pPr>
      <w:r>
        <w:rPr>
          <w:rStyle w:val="Strong"/>
        </w:rPr>
        <w:t>Figure S1. Per-cell lysosomal features identify mean LysoTracker intensity as the primary single-cell discriminator.</w:t>
      </w:r>
      <w:r>
        <w:t xml:space="preserve"> Individual cells were segmented from the Hoechst 33342 channel using the per-cell pipeline in SenTrackLite v0.5.0 (Supplemental File 1); nucleus-anchored cell masks were generated by watershed-style dilation (30-pixel expansion radius at 20× magnification); and per-cell lysosomal features were extracted from the LysoTracker channel within each cell mask. Data are from the same four wells shown in Figure 2 (P13: wells A01 and B01, n = 4,065 cells; P23: wells C01 and D01, n = 568 cells) from one biological experiment. </w:t>
      </w:r>
      <w:r>
        <w:rPr>
          <w:rStyle w:val="Strong"/>
        </w:rPr>
        <w:t>(A)</w:t>
      </w:r>
      <w:r>
        <w:t xml:space="preserve"> Per-cell mean LysoTracker intensity within the lyso-positive mask. Median intensity was 49.7 a.u. in P13 and 61.7 a.u. in P23 (1.24-fold; Mann–Whitney p = 2.7 × 10⁻⁹⁶; Cliff's δ = +0.54, large effect). </w:t>
      </w:r>
      <w:r>
        <w:rPr>
          <w:rStyle w:val="Strong"/>
        </w:rPr>
        <w:t>(B)</w:t>
      </w:r>
      <w:r>
        <w:t xml:space="preserve"> Per-cell lyso-positive area. Median area was 2,657 px in P13 and 3,384 px in P23 (1.27-fold; Mann–Whitney p = 9.5 × 10⁻⁹; Cliff's δ = +0.15, small effect). Violin plots show the full per-cell distribution; individual cells are shown as translucent points (subsampled to 600 per group for display; all cells contribute to </w:t>
      </w:r>
      <w:r>
        <w:lastRenderedPageBreak/>
        <w:t>summary statistics). Per-well means are shown as large outlined markers. Horizontal bars indicate median with interquartile range. A fraction of cells approached the 8-bit detector ceiling (P13: 20.2%; P23: 62.9% of cells with at least one saturated pixel in the LysoTracker channel), which compresses the upper tail of the intensity distribution; the reported effect sizes are therefore conservative lower bounds. The larger effect size for intensity than for area at the single-cell level supports the recommendation to use mean LysoTracker intensity in the lyso-positive mask as the primary single-cell discriminator for senescence burden.</w:t>
      </w:r>
    </w:p>
    <w:p w14:paraId="32EAFD7D" w14:textId="77777777" w:rsidR="006E4797" w:rsidRPr="00FE383B" w:rsidRDefault="006E4797" w:rsidP="00DA3C5C">
      <w:pPr>
        <w:rPr>
          <w:rFonts w:asciiTheme="majorHAnsi" w:hAnsiTheme="majorHAnsi" w:cstheme="majorHAnsi"/>
        </w:rPr>
      </w:pPr>
    </w:p>
    <w:p w14:paraId="7C0B6465" w14:textId="35C71A80" w:rsidR="006E4797" w:rsidRPr="0055174B" w:rsidRDefault="00000000" w:rsidP="00DA3C5C">
      <w:pPr>
        <w:rPr>
          <w:rFonts w:asciiTheme="majorHAnsi" w:hAnsiTheme="majorHAnsi" w:cstheme="majorHAnsi"/>
          <w:b/>
        </w:rPr>
      </w:pPr>
      <w:r w:rsidRPr="0055174B">
        <w:rPr>
          <w:rFonts w:asciiTheme="majorHAnsi" w:hAnsiTheme="majorHAnsi" w:cstheme="majorHAnsi"/>
          <w:b/>
        </w:rPr>
        <w:t xml:space="preserve">DISCUSSION: </w:t>
      </w:r>
    </w:p>
    <w:p w14:paraId="67FDC738" w14:textId="5A35240C" w:rsidR="00683DBE" w:rsidRPr="0055174B" w:rsidRDefault="00000000" w:rsidP="00683DBE">
      <w:pPr>
        <w:rPr>
          <w:rFonts w:asciiTheme="majorHAnsi" w:hAnsiTheme="majorHAnsi" w:cstheme="majorHAnsi"/>
        </w:rPr>
      </w:pPr>
      <w:r w:rsidRPr="0055174B">
        <w:rPr>
          <w:rFonts w:asciiTheme="majorHAnsi" w:hAnsiTheme="majorHAnsi" w:cstheme="majorHAnsi"/>
        </w:rPr>
        <w:t>This protocol describes a live</w:t>
      </w:r>
      <w:r w:rsidR="003A3856">
        <w:rPr>
          <w:rFonts w:asciiTheme="majorHAnsi" w:hAnsiTheme="majorHAnsi" w:cstheme="majorHAnsi"/>
        </w:rPr>
        <w:t>-</w:t>
      </w:r>
      <w:r w:rsidRPr="0055174B">
        <w:rPr>
          <w:rFonts w:asciiTheme="majorHAnsi" w:hAnsiTheme="majorHAnsi" w:cstheme="majorHAnsi"/>
        </w:rPr>
        <w:t xml:space="preserve">cell imaging workflow that reads out senescence from lysosomal remodeling </w:t>
      </w:r>
      <w:r w:rsidR="00C56A1D" w:rsidRPr="00C56A1D">
        <w:rPr>
          <w:rFonts w:asciiTheme="majorHAnsi" w:hAnsiTheme="majorHAnsi" w:cstheme="majorHAnsi"/>
        </w:rPr>
        <w:t>and yields per-cell and per-well quantitative readouts of senescence burden</w:t>
      </w:r>
      <w:r w:rsidR="00A874AB">
        <w:rPr>
          <w:rFonts w:asciiTheme="majorHAnsi" w:hAnsiTheme="majorHAnsi" w:cstheme="majorHAnsi"/>
        </w:rPr>
        <w:t xml:space="preserve">. </w:t>
      </w:r>
      <w:r w:rsidRPr="0055174B">
        <w:rPr>
          <w:rFonts w:asciiTheme="majorHAnsi" w:hAnsiTheme="majorHAnsi" w:cstheme="majorHAnsi"/>
        </w:rPr>
        <w:t xml:space="preserve">Several steps are particularly critical for obtaining a reliable assay. First, the biological model itself must be well controlled. Induction of replicative senescence in IMR-90 fibroblasts requires careful tracking of population doublings and parallel maintenance of early passage cultures as the </w:t>
      </w:r>
      <w:r w:rsidR="00D4641D" w:rsidRPr="0055174B">
        <w:rPr>
          <w:rFonts w:asciiTheme="majorHAnsi" w:hAnsiTheme="majorHAnsi" w:cstheme="majorHAnsi"/>
        </w:rPr>
        <w:t>non-senescent</w:t>
      </w:r>
      <w:r w:rsidRPr="0055174B">
        <w:rPr>
          <w:rFonts w:asciiTheme="majorHAnsi" w:hAnsiTheme="majorHAnsi" w:cstheme="majorHAnsi"/>
        </w:rPr>
        <w:t xml:space="preserve"> reference</w:t>
      </w:r>
      <w:r w:rsidR="00D86B4F" w:rsidRPr="00B37F6F">
        <w:rPr>
          <w:rFonts w:asciiTheme="majorHAnsi" w:hAnsiTheme="majorHAnsi" w:cstheme="majorHAnsi"/>
          <w:vertAlign w:val="superscript"/>
        </w:rPr>
        <w:fldChar w:fldCharType="begin"/>
      </w:r>
      <w:r w:rsidR="007B2A6A">
        <w:rPr>
          <w:rFonts w:asciiTheme="majorHAnsi" w:hAnsiTheme="majorHAnsi" w:cstheme="majorHAnsi"/>
          <w:vertAlign w:val="superscript"/>
        </w:rPr>
        <w:instrText xml:space="preserve"> ADDIN ZOTERO_ITEM CSL_CITATION {"citationID":"xRtmpJmD","properties":{"formattedCitation":"\\super 2,3,18\\nosupersub{}","plainCitation":"2,3,18","noteIndex":0},"citationItems":[{"id":62,"uris":["http://zotero.org/users/local/mcUgpCQu/items/27FPHZ8Z"],"itemData":{"id":62,"type":"article-journal","abstract":"For most species, aging promotes a host of degenerative pathologies that are characterized by debilitating losses of tissue or cellular function. However, especially among vertebrates, aging also promotes hyperplastic pathologies, the most deadly of which is cancer. In contrast to the loss of function that characterizes degenerating cells and tissues, malignant (cancerous) cells must acquire new (albeit aberrant) functions that allow them to develop into a lethal tumor. This review discusses the idea that, despite seemingly opposite characteristics, the degenerative and hyperplastic pathologies of aging are at least partly linked by a common biological phenomenon: a cellular stress response known as cellular senescence. The senescence response is widely recognized as a potent tumor suppressive mechanism. However, recent evidence strengthens the idea that it also drives both degenerative and hyperplastic pathologies, most likely by promoting chronic inflammation. Thus, the senescence response may be the result of antagonistically pleiotropic gene action.","container-title":"Annual Review of Physiology","DOI":"10.1146/annurev-physiol-030212-183653","ISSN":"0066-4278, 1545-1585","issue":"1","journalAbbreviation":"Annu Rev Physiol","language":"en","page":"685-705","source":"DOI.org (Crossref)","title":"Aging, Cellular Senescence, and Cancer","volume":"75","author":[{"family":"Campisi","given":"Judith"}],"issued":{"date-parts":[["2013",2,10]]}}},{"id":64,"uris":["http://zotero.org/users/local/mcUgpCQu/items/DGAGVFVJ"],"itemData":{"id":64,"type":"article-journal","container-title":"Trends in Cell Biology","DOI":"10.1016/j.tcb.2018.02.001","ISSN":"09628924","issue":"6","journalAbbreviation":"Trends Cell Biol","language":"en","page":"436-453","source":"DOI.org (Crossref)","title":"Hallmarks of Cellular Senescence","volume":"28","author":[{"family":"Hernandez-Segura","given":"Alejandra"},{"family":"Nehme","given":"Jamil"},{"family":"Demaria","given":"Marco"}],"issued":{"date-parts":[["2018",6]]}}},{"id":86,"uris":["http://zotero.org/users/local/mcUgpCQu/items/XRASYVL7"],"itemData":{"id":86,"type":"article-journal","container-title":"Experimental Cell Research","DOI":"10.1016/0014-4827(61)90192-6","ISSN":"00144827","issue":"3","journalAbbreviation":"Exp Cell Res","language":"en","license":"https://www.elsevier.com/tdm/userlicense/1.0/","page":"585-621","source":"DOI.org (Crossref)","title":"The serial cultivation of human diploid cell strains","volume":"25","author":[{"family":"Hayflick","given":"L."},{"family":"Moorhead","given":"P.S."}],"issued":{"date-parts":[["1961",12]]}}}],"schema":"https://github.com/citation-style-language/schema/raw/master/csl-citation.json"} </w:instrText>
      </w:r>
      <w:r w:rsidR="00D86B4F" w:rsidRPr="00B37F6F">
        <w:rPr>
          <w:rFonts w:asciiTheme="majorHAnsi" w:hAnsiTheme="majorHAnsi" w:cstheme="majorHAnsi"/>
          <w:vertAlign w:val="superscript"/>
        </w:rPr>
        <w:fldChar w:fldCharType="separate"/>
      </w:r>
      <w:r w:rsidR="007B2A6A" w:rsidRPr="007B2A6A">
        <w:rPr>
          <w:rFonts w:hAnsiTheme="majorHAnsi"/>
          <w:vertAlign w:val="superscript"/>
        </w:rPr>
        <w:t>2,3,18</w:t>
      </w:r>
      <w:r w:rsidR="00D86B4F" w:rsidRPr="00B37F6F">
        <w:rPr>
          <w:rFonts w:asciiTheme="majorHAnsi" w:hAnsiTheme="majorHAnsi" w:cstheme="majorHAnsi"/>
          <w:vertAlign w:val="superscript"/>
        </w:rPr>
        <w:fldChar w:fldCharType="end"/>
      </w:r>
      <w:r w:rsidR="00896DC4">
        <w:rPr>
          <w:rFonts w:asciiTheme="majorHAnsi" w:hAnsiTheme="majorHAnsi" w:cstheme="majorHAnsi"/>
        </w:rPr>
        <w:t>.</w:t>
      </w:r>
      <w:r w:rsidRPr="0055174B">
        <w:rPr>
          <w:rFonts w:asciiTheme="majorHAnsi" w:hAnsiTheme="majorHAnsi" w:cstheme="majorHAnsi"/>
        </w:rPr>
        <w:t xml:space="preserve"> Small deviations in passage history or confluence can shift the fraction of senescent cells and therefore change the dynamic range of the assay. Second, lysosomal and nuclear staining conditions must be tightly standardized. LysoTracker concentration, incubation time, and temperature, together with </w:t>
      </w:r>
      <w:r w:rsidR="003508EB">
        <w:rPr>
          <w:rFonts w:asciiTheme="majorHAnsi" w:hAnsiTheme="majorHAnsi" w:cstheme="majorHAnsi"/>
        </w:rPr>
        <w:t>nuclear stain</w:t>
      </w:r>
      <w:r w:rsidRPr="0055174B">
        <w:rPr>
          <w:rFonts w:asciiTheme="majorHAnsi" w:hAnsiTheme="majorHAnsi" w:cstheme="majorHAnsi"/>
        </w:rPr>
        <w:t xml:space="preserve"> exposure, all affect signal intensity and segmentation quality. </w:t>
      </w:r>
      <w:r w:rsidR="00EF6742" w:rsidRPr="00EF6742">
        <w:rPr>
          <w:rFonts w:asciiTheme="majorHAnsi" w:hAnsiTheme="majorHAnsi" w:cstheme="majorHAnsi"/>
        </w:rPr>
        <w:t xml:space="preserve">Finally, imaging settings and plate handling should be kept stable across runs so that differences in fluorescence reflect biology rather than focus drift or inconsistent acquisition. When these steps are consistent, lysosomal measurements separate senescence-low and senescence-high conditions in a way that aligns with conventional senescence markers such as </w:t>
      </w:r>
      <w:r w:rsidR="003A3856">
        <w:rPr>
          <w:rFonts w:asciiTheme="majorHAnsi" w:hAnsiTheme="majorHAnsi" w:cstheme="majorHAnsi"/>
        </w:rPr>
        <w:t>SA-β-Gal</w:t>
      </w:r>
      <w:r w:rsidR="00EF6742" w:rsidRPr="00EF6742">
        <w:rPr>
          <w:rFonts w:asciiTheme="majorHAnsi" w:hAnsiTheme="majorHAnsi" w:cstheme="majorHAnsi"/>
        </w:rPr>
        <w:t>, which reflects increased lysosomal mass during replicative aging</w:t>
      </w:r>
      <w:r w:rsidR="00D86B4F" w:rsidRPr="00B37F6F">
        <w:rPr>
          <w:rFonts w:asciiTheme="majorHAnsi" w:hAnsiTheme="majorHAnsi" w:cstheme="majorHAnsi"/>
          <w:vertAlign w:val="superscript"/>
        </w:rPr>
        <w:fldChar w:fldCharType="begin"/>
      </w:r>
      <w:r w:rsidR="007B2A6A">
        <w:rPr>
          <w:rFonts w:asciiTheme="majorHAnsi" w:hAnsiTheme="majorHAnsi" w:cstheme="majorHAnsi"/>
          <w:vertAlign w:val="superscript"/>
        </w:rPr>
        <w:instrText xml:space="preserve"> ADDIN ZOTERO_ITEM CSL_CITATION {"citationID":"1c5t7H4F","properties":{"formattedCitation":"\\super 10\\uc0\\u8211{}13\\nosupersub{}","plainCitation":"10–13","noteIndex":0},"citationItems":[{"id":68,"uris":["http://zotero.org/users/local/mcUgpCQu/items/G9IFHVBC"],"itemData":{"id":68,"type":"article-journal","abstract":"ABSTRACT\n            Senescence-associated β-galactosidase is widely used as a biomarker of replicative senescence. However, it remains unknown whether this is a distinct enzyme active at pH 6, and differentially expressed in senescence, or a manifestation of an increase in the classic acid lysosomal β-galactosidase. Here we have investigated the origin of senescence-associated-β-galactosidase activity by modifying the intracellular and lysosomal pH of young and senescent human umbilical vein endothelial cells and examining the effect of these manipulations on the levels of activity, using a flow cytometric assay. Lysosomal alkalinisation with chloroquine or bafilomycin A1, as well as equilibration of the intracellular milieu to pH 6 with nigericin, caused a profound (92-99%) inhibition of the total intracellular β-galactosidase activity. However, independent of pH alterations, senescent cells showed levels of β-galactosidase activity three-to sixfold higher than young cells. This increase in activity occurred in parallel to an increase in β-galactosidase protein levels. Acridine Orange staining revealed an increase in lysosomal content with replicative age, which correlated with the increase in β-galactosidase. These findings demonstrate that senescence-associated β-galactosidase is a manifestation of residual lysosomal activity at a suboptimal pH, which becomes detectable due to the increased lysosomal content in senescent cells.","container-title":"Journal of Cell Science","DOI":"10.1242/jcs.113.20.3613","ISSN":"0021-9533, 1477-9137","issue":"20","journalAbbreviation":"J Cell Sci","language":"en","license":"http://www.biologists.com/user-licence-1-1/","page":"3613-3622","source":"DOI.org (Crossref)","title":"Senescence-associated β-galactosidase reflects an increase in lysosomal mass during replicative ageing of human endothelial cells","volume":"113","author":[{"family":"Kurz","given":"David J."},{"family":"Decary","given":"Stephanie"},{"family":"Hong","given":"Ying"},{"family":"Erusalimsky","given":"Jorge D."}],"issued":{"date-parts":[["2000",10,15]]}}},{"id":70,"uris":["http://zotero.org/users/local/mcUgpCQu/items/UMC452NT"],"itemData":{"id":70,"type":"article-journal","abstract":"Summary\n            \n              Replicative senescence limits the proliferation of somatic cells passaged in culture and may reflect cellular aging\n              in vivo\n              . The most widely used biomarker for senescent and aging cells is senescence‐associated β‐galactosidase (SA‐β‐gal), which is defined as β‐galactosidase activity detectable at pH 6.0 in senescent cells, but the origin of SA‐β‐gal and its cellular roles in senescence are not known. We demonstrate here that SA‐β‐gal activity is expressed from\n              GLB1\n              , the gene encoding lysosomal β‐D‐galactosidase, the activity of which is typically measured at acidic pH 4.5. Fibroblasts from patients with autosomal recessive G\n              M1\n              ‐gangliosidosis, which have defective lysosomal β‐galactosidase, did not express SA‐β‐gal at late passages even though they underwent replicative senescence. In addition, late passage normal fibroblasts expressing small‐hairpin interfering RNA that depleted\n              GLB1\n              mRNA underwent senescence but failed to express SA‐β‐gal.\n              GLB1\n              mRNA depletion also prevented expression of SA‐β‐gal activity in HeLa cervical carcinoma cells induced to enter a senescent state by repression of their endogenous human papillomavirus E7 oncogene. SA‐β‐gal induction during senescence was due at least in part to increased expression of the lysosomal β‐galactosidase protein. These results also indicate that SA‐β‐gal is not required for senescence.","container-title":"Aging Cell","DOI":"10.1111/j.1474-9726.2006.00199.x","ISSN":"1474-9718, 1474-9726","issue":"2","journalAbbreviation":"Aging Cell","language":"en","license":"http://onlinelibrary.wiley.com/termsAndConditions#vor","page":"187-195","source":"DOI.org (Crossref)","title":"Senescence‐associated β‐galactosidase is lysosomal β‐galactosidase","volume":"5","author":[{"family":"Lee","given":"Bo Yun"},{"family":"Han","given":"Jung A."},{"family":"Im","given":"Jun Sub"},{"family":"Morrone","given":"Amelia"},{"family":"Johung","given":"Kimberly"},{"family":"Goodwin","given":"Edward C."},{"family":"Kleijer","given":"Wim J."},{"family":"DiMaio","given":"Daniel"},{"family":"Hwang","given":"Eun Seong"}],"issued":{"date-parts":[["2006",4]]}}},{"id":72,"uris":["http://zotero.org/users/local/mcUgpCQu/items/MKELJN92"],"itemData":{"id":72,"type":"article-journal","abstract":"Normal somatic cells invariably enter a state of irreversibly arrested growth and altered function after a finite number of divisions. This process, termed replicative senescence, is thought to be a tumor-suppressive mechanism and an underlying cause of aging. There is ample evidence that escape from senescence, or immortality, is important for malignant transformation. By contrast, the role of replicative senescence in organismic aging is controversial. Studies on cells cultured from donors of different ages, genetic backgrounds, or species suggest that senescence occurs in vivo and that organismic lifespan and cell replicative lifespan are under common genetic control. However, senescent cells cannot be distinguished from quiescent or terminally differentiated cells in tissues. Thus, evidence that senescent cells exist and accumulate with age in vivo is lacking. We show that several human cells express a beta-galactosidase, histochemically detectable at pH 6, upon senescence in culture. This marker was expressed by senescent, but not presenescent, fibroblasts and keratinocytes but was absent from quiescent fibroblasts and terminally differentiated keratinocytes. It was also absent from immortal cells but was induced by genetic manipulations that reversed immortality. In skin samples from human donors of different age, there was an age-dependent increase in this marker in dermal fibroblasts and epidermal keratinocytes. This marker provides in situ evidence that senescent cells may exist and accumulate with age in vivo.","container-title":"Proceedings of the National Academy of Sciences","DOI":"10.1073/pnas.92.20.9363","ISSN":"0027-8424, 1091-6490","issue":"20","journalAbbreviation":"Proc. Natl. Acad. Sci. U.S.A.","language":"en","page":"9363-9367","source":"DOI.org (Crossref)","title":"A biomarker that identifies senescent human cells in culture and in aging skin in vivo.","volume":"92","author":[{"family":"Dimri","given":"G P"},{"family":"Lee","given":"X"},{"family":"Basile","given":"G"},{"family":"Acosta","given":"M"},{"family":"Scott","given":"G"},{"family":"Roskelley","given":"C"},{"family":"Medrano","given":"E E"},{"family":"Linskens","given":"M"},{"family":"Rubelj","given":"I"},{"family":"Pereira-Smith","given":"O"}],"issued":{"date-parts":[["1995",9,26]]}}},{"id":87,"uris":["http://zotero.org/users/local/mcUgpCQu/items/UDI5JQTE"],"itemData":{"id":87,"type":"article-journal","container-title":"Nature Protocols","DOI":"10.1038/nprot.2009.191","ISSN":"1754-2189, 1750-2799","issue":"12","journalAbbreviation":"Nat Protoc","language":"en","license":"http://www.springer.com/tdm","page":"1798-1806","source":"DOI.org (Crossref)","title":"Protocols to detect senescence-associated beta-galactosidase (SA-βgal) activity, a biomarker of senescent cells in culture and in vivo","volume":"4","author":[{"family":"Debacq-Chainiaux","given":"Florence"},{"family":"Erusalimsky","given":"Jorge D"},{"family":"Campisi","given":"Judith"},{"family":"Toussaint","given":"Olivier"}],"issued":{"date-parts":[["2009",12]]}}}],"schema":"https://github.com/citation-style-language/schema/raw/master/csl-citation.json"} </w:instrText>
      </w:r>
      <w:r w:rsidR="00D86B4F" w:rsidRPr="00B37F6F">
        <w:rPr>
          <w:rFonts w:asciiTheme="majorHAnsi" w:hAnsiTheme="majorHAnsi" w:cstheme="majorHAnsi"/>
          <w:vertAlign w:val="superscript"/>
        </w:rPr>
        <w:fldChar w:fldCharType="separate"/>
      </w:r>
      <w:r w:rsidR="007B2A6A" w:rsidRPr="007B2A6A">
        <w:rPr>
          <w:rFonts w:hAnsiTheme="majorHAnsi"/>
          <w:vertAlign w:val="superscript"/>
        </w:rPr>
        <w:t>10–13</w:t>
      </w:r>
      <w:r w:rsidR="00D86B4F" w:rsidRPr="00B37F6F">
        <w:rPr>
          <w:rFonts w:asciiTheme="majorHAnsi" w:hAnsiTheme="majorHAnsi" w:cstheme="majorHAnsi"/>
          <w:vertAlign w:val="superscript"/>
        </w:rPr>
        <w:fldChar w:fldCharType="end"/>
      </w:r>
      <w:r w:rsidR="00896DC4">
        <w:rPr>
          <w:rFonts w:asciiTheme="majorHAnsi" w:hAnsiTheme="majorHAnsi" w:cstheme="majorHAnsi"/>
        </w:rPr>
        <w:t>.</w:t>
      </w:r>
    </w:p>
    <w:p w14:paraId="0DD0A8E1" w14:textId="77777777" w:rsidR="00683DBE" w:rsidRPr="0055174B" w:rsidRDefault="00683DBE" w:rsidP="00683DBE">
      <w:pPr>
        <w:rPr>
          <w:rFonts w:asciiTheme="majorHAnsi" w:hAnsiTheme="majorHAnsi" w:cstheme="majorHAnsi"/>
        </w:rPr>
      </w:pPr>
    </w:p>
    <w:p w14:paraId="18EB8B0B" w14:textId="398206CD" w:rsidR="00683DBE" w:rsidRPr="0055174B" w:rsidRDefault="00000000" w:rsidP="00683DBE">
      <w:pPr>
        <w:rPr>
          <w:rFonts w:asciiTheme="majorHAnsi" w:hAnsiTheme="majorHAnsi" w:cstheme="majorHAnsi"/>
        </w:rPr>
      </w:pPr>
      <w:r w:rsidRPr="00EF6742">
        <w:rPr>
          <w:rFonts w:asciiTheme="majorHAnsi" w:hAnsiTheme="majorHAnsi" w:cstheme="majorHAnsi"/>
        </w:rPr>
        <w:t xml:space="preserve">The protocol includes an optional branch that links live-cell lysosomal remodeling to </w:t>
      </w:r>
      <w:r w:rsidR="003A3856">
        <w:rPr>
          <w:rFonts w:asciiTheme="majorHAnsi" w:hAnsiTheme="majorHAnsi" w:cstheme="majorHAnsi"/>
        </w:rPr>
        <w:t>SA-β-Gal</w:t>
      </w:r>
      <w:r w:rsidRPr="00EF6742">
        <w:rPr>
          <w:rFonts w:asciiTheme="majorHAnsi" w:hAnsiTheme="majorHAnsi" w:cstheme="majorHAnsi"/>
        </w:rPr>
        <w:t xml:space="preserve"> validation. This branch introduces additional experimental sensitivities that are primarily practical rather than computational. The key requirement is that the same fields are imaged before and after </w:t>
      </w:r>
      <w:r w:rsidR="003A3856">
        <w:rPr>
          <w:rFonts w:asciiTheme="majorHAnsi" w:hAnsiTheme="majorHAnsi" w:cstheme="majorHAnsi"/>
        </w:rPr>
        <w:t>SA-β-Gal</w:t>
      </w:r>
      <w:r w:rsidRPr="00EF6742">
        <w:rPr>
          <w:rFonts w:asciiTheme="majorHAnsi" w:hAnsiTheme="majorHAnsi" w:cstheme="majorHAnsi"/>
        </w:rPr>
        <w:t xml:space="preserve"> staining so that lysosomal phenotypes are compared against the corresponding validation signal. Any mismatch between live and post-fixation fields can mix measurements across different cells and weaken the agreement between lysosomal remodeling and </w:t>
      </w:r>
      <w:r w:rsidR="003A3856">
        <w:rPr>
          <w:rFonts w:asciiTheme="majorHAnsi" w:hAnsiTheme="majorHAnsi" w:cstheme="majorHAnsi"/>
        </w:rPr>
        <w:t>SA-β-Gal</w:t>
      </w:r>
      <w:r w:rsidRPr="00EF6742">
        <w:rPr>
          <w:rFonts w:asciiTheme="majorHAnsi" w:hAnsiTheme="majorHAnsi" w:cstheme="majorHAnsi"/>
        </w:rPr>
        <w:t xml:space="preserve">. In practice, this is addressed by careful plate handling and consistent imaging of matched fields, with spot checks to confirm that representative fields remain comparable throughout the workflow. Ground truth quality is equally important. </w:t>
      </w:r>
      <w:r w:rsidR="003A3856">
        <w:rPr>
          <w:rFonts w:asciiTheme="majorHAnsi" w:hAnsiTheme="majorHAnsi" w:cstheme="majorHAnsi"/>
        </w:rPr>
        <w:t>SA-β-Gal</w:t>
      </w:r>
      <w:r w:rsidRPr="00EF6742">
        <w:rPr>
          <w:rFonts w:asciiTheme="majorHAnsi" w:hAnsiTheme="majorHAnsi" w:cstheme="majorHAnsi"/>
        </w:rPr>
        <w:t xml:space="preserve"> staining must be tuned so that senescent cells develop a clear blue signal without excessive background in senescence-low cultures, which is sensitive to incubation time and the pH 6 staining conditions</w:t>
      </w:r>
      <w:r w:rsidR="00D86B4F" w:rsidRPr="00B37F6F">
        <w:rPr>
          <w:rFonts w:asciiTheme="majorHAnsi" w:hAnsiTheme="majorHAnsi" w:cstheme="majorHAnsi"/>
          <w:vertAlign w:val="superscript"/>
        </w:rPr>
        <w:fldChar w:fldCharType="begin"/>
      </w:r>
      <w:r w:rsidR="007B2A6A">
        <w:rPr>
          <w:rFonts w:asciiTheme="majorHAnsi" w:hAnsiTheme="majorHAnsi" w:cstheme="majorHAnsi"/>
          <w:vertAlign w:val="superscript"/>
        </w:rPr>
        <w:instrText xml:space="preserve"> ADDIN ZOTERO_ITEM CSL_CITATION {"citationID":"DaMOD7U9","properties":{"formattedCitation":"\\super 12,13\\nosupersub{}","plainCitation":"12,13","noteIndex":0},"citationItems":[{"id":72,"uris":["http://zotero.org/users/local/mcUgpCQu/items/MKELJN92"],"itemData":{"id":72,"type":"article-journal","abstract":"Normal somatic cells invariably enter a state of irreversibly arrested growth and altered function after a finite number of divisions. This process, termed replicative senescence, is thought to be a tumor-suppressive mechanism and an underlying cause of aging. There is ample evidence that escape from senescence, or immortality, is important for malignant transformation. By contrast, the role of replicative senescence in organismic aging is controversial. Studies on cells cultured from donors of different ages, genetic backgrounds, or species suggest that senescence occurs in vivo and that organismic lifespan and cell replicative lifespan are under common genetic control. However, senescent cells cannot be distinguished from quiescent or terminally differentiated cells in tissues. Thus, evidence that senescent cells exist and accumulate with age in vivo is lacking. We show that several human cells express a beta-galactosidase, histochemically detectable at pH 6, upon senescence in culture. This marker was expressed by senescent, but not presenescent, fibroblasts and keratinocytes but was absent from quiescent fibroblasts and terminally differentiated keratinocytes. It was also absent from immortal cells but was induced by genetic manipulations that reversed immortality. In skin samples from human donors of different age, there was an age-dependent increase in this marker in dermal fibroblasts and epidermal keratinocytes. This marker provides in situ evidence that senescent cells may exist and accumulate with age in vivo.","container-title":"Proceedings of the National Academy of Sciences","DOI":"10.1073/pnas.92.20.9363","ISSN":"0027-8424, 1091-6490","issue":"20","journalAbbreviation":"Proc. Natl. Acad. Sci. U.S.A.","language":"en","page":"9363-9367","source":"DOI.org (Crossref)","title":"A biomarker that identifies senescent human cells in culture and in aging skin in vivo.","volume":"92","author":[{"family":"Dimri","given":"G P"},{"family":"Lee","given":"X"},{"family":"Basile","given":"G"},{"family":"Acosta","given":"M"},{"family":"Scott","given":"G"},{"family":"Roskelley","given":"C"},{"family":"Medrano","given":"E E"},{"family":"Linskens","given":"M"},{"family":"Rubelj","given":"I"},{"family":"Pereira-Smith","given":"O"}],"issued":{"date-parts":[["1995",9,26]]}}},{"id":87,"uris":["http://zotero.org/users/local/mcUgpCQu/items/UDI5JQTE"],"itemData":{"id":87,"type":"article-journal","container-title":"Nature Protocols","DOI":"10.1038/nprot.2009.191","ISSN":"1754-2189, 1750-2799","issue":"12","journalAbbreviation":"Nat Protoc","language":"en","license":"http://www.springer.com/tdm","page":"1798-1806","source":"DOI.org (Crossref)","title":"Protocols to detect senescence-associated beta-galactosidase (SA-βgal) activity, a biomarker of senescent cells in culture and in vivo","volume":"4","author":[{"family":"Debacq-Chainiaux","given":"Florence"},{"family":"Erusalimsky","given":"Jorge D"},{"family":"Campisi","given":"Judith"},{"family":"Toussaint","given":"Olivier"}],"issued":{"date-parts":[["2009",12]]}}}],"schema":"https://github.com/citation-style-language/schema/raw/master/csl-citation.json"} </w:instrText>
      </w:r>
      <w:r w:rsidR="00D86B4F" w:rsidRPr="00B37F6F">
        <w:rPr>
          <w:rFonts w:asciiTheme="majorHAnsi" w:hAnsiTheme="majorHAnsi" w:cstheme="majorHAnsi"/>
          <w:vertAlign w:val="superscript"/>
        </w:rPr>
        <w:fldChar w:fldCharType="separate"/>
      </w:r>
      <w:r w:rsidR="007B2A6A" w:rsidRPr="007B2A6A">
        <w:rPr>
          <w:rFonts w:hAnsiTheme="majorHAnsi"/>
          <w:vertAlign w:val="superscript"/>
        </w:rPr>
        <w:t>12,13</w:t>
      </w:r>
      <w:r w:rsidR="00D86B4F" w:rsidRPr="00B37F6F">
        <w:rPr>
          <w:rFonts w:asciiTheme="majorHAnsi" w:hAnsiTheme="majorHAnsi" w:cstheme="majorHAnsi"/>
          <w:vertAlign w:val="superscript"/>
        </w:rPr>
        <w:fldChar w:fldCharType="end"/>
      </w:r>
      <w:r w:rsidR="00896DC4">
        <w:rPr>
          <w:rFonts w:asciiTheme="majorHAnsi" w:hAnsiTheme="majorHAnsi" w:cstheme="majorHAnsi"/>
        </w:rPr>
        <w:t>.</w:t>
      </w:r>
      <w:r w:rsidRPr="0055174B">
        <w:rPr>
          <w:rFonts w:asciiTheme="majorHAnsi" w:hAnsiTheme="majorHAnsi" w:cstheme="majorHAnsi"/>
        </w:rPr>
        <w:t xml:space="preserve"> </w:t>
      </w:r>
      <w:r w:rsidRPr="00EF6742">
        <w:rPr>
          <w:rFonts w:asciiTheme="majorHAnsi" w:hAnsiTheme="majorHAnsi" w:cstheme="majorHAnsi"/>
        </w:rPr>
        <w:t xml:space="preserve">For this reason, users should confirm that </w:t>
      </w:r>
      <w:r w:rsidR="003A3856">
        <w:rPr>
          <w:rFonts w:asciiTheme="majorHAnsi" w:hAnsiTheme="majorHAnsi" w:cstheme="majorHAnsi"/>
        </w:rPr>
        <w:t>SA-β-Gal</w:t>
      </w:r>
      <w:r w:rsidRPr="00EF6742">
        <w:rPr>
          <w:rFonts w:asciiTheme="majorHAnsi" w:hAnsiTheme="majorHAnsi" w:cstheme="majorHAnsi"/>
        </w:rPr>
        <w:t xml:space="preserve"> conditions reproduce the expected differences in their hands before scaling up data collection</w:t>
      </w:r>
      <w:r w:rsidR="00D86B4F" w:rsidRPr="00B37F6F">
        <w:rPr>
          <w:rFonts w:asciiTheme="majorHAnsi" w:hAnsiTheme="majorHAnsi" w:cstheme="majorHAnsi"/>
          <w:vertAlign w:val="superscript"/>
        </w:rPr>
        <w:fldChar w:fldCharType="begin"/>
      </w:r>
      <w:r w:rsidR="007B2A6A">
        <w:rPr>
          <w:rFonts w:asciiTheme="majorHAnsi" w:hAnsiTheme="majorHAnsi" w:cstheme="majorHAnsi"/>
          <w:vertAlign w:val="superscript"/>
        </w:rPr>
        <w:instrText xml:space="preserve"> ADDIN ZOTERO_ITEM CSL_CITATION {"citationID":"PnGbT9Ll","properties":{"formattedCitation":"\\super 10,12,13\\nosupersub{}","plainCitation":"10,12,13","noteIndex":0},"citationItems":[{"id":68,"uris":["http://zotero.org/users/local/mcUgpCQu/items/G9IFHVBC"],"itemData":{"id":68,"type":"article-journal","abstract":"ABSTRACT\n            Senescence-associated β-galactosidase is widely used as a biomarker of replicative senescence. However, it remains unknown whether this is a distinct enzyme active at pH 6, and differentially expressed in senescence, or a manifestation of an increase in the classic acid lysosomal β-galactosidase. Here we have investigated the origin of senescence-associated-β-galactosidase activity by modifying the intracellular and lysosomal pH of young and senescent human umbilical vein endothelial cells and examining the effect of these manipulations on the levels of activity, using a flow cytometric assay. Lysosomal alkalinisation with chloroquine or bafilomycin A1, as well as equilibration of the intracellular milieu to pH 6 with nigericin, caused a profound (92-99%) inhibition of the total intracellular β-galactosidase activity. However, independent of pH alterations, senescent cells showed levels of β-galactosidase activity three-to sixfold higher than young cells. This increase in activity occurred in parallel to an increase in β-galactosidase protein levels. Acridine Orange staining revealed an increase in lysosomal content with replicative age, which correlated with the increase in β-galactosidase. These findings demonstrate that senescence-associated β-galactosidase is a manifestation of residual lysosomal activity at a suboptimal pH, which becomes detectable due to the increased lysosomal content in senescent cells.","container-title":"Journal of Cell Science","DOI":"10.1242/jcs.113.20.3613","ISSN":"0021-9533, 1477-9137","issue":"20","journalAbbreviation":"J Cell Sci","language":"en","license":"http://www.biologists.com/user-licence-1-1/","page":"3613-3622","source":"DOI.org (Crossref)","title":"Senescence-associated β-galactosidase reflects an increase in lysosomal mass during replicative ageing of human endothelial cells","volume":"113","author":[{"family":"Kurz","given":"David J."},{"family":"Decary","given":"Stephanie"},{"family":"Hong","given":"Ying"},{"family":"Erusalimsky","given":"Jorge D."}],"issued":{"date-parts":[["2000",10,15]]}}},{"id":72,"uris":["http://zotero.org/users/local/mcUgpCQu/items/MKELJN92"],"itemData":{"id":72,"type":"article-journal","abstract":"Normal somatic cells invariably enter a state of irreversibly arrested growth and altered function after a finite number of divisions. This process, termed replicative senescence, is thought to be a tumor-suppressive mechanism and an underlying cause of aging. There is ample evidence that escape from senescence, or immortality, is important for malignant transformation. By contrast, the role of replicative senescence in organismic aging is controversial. Studies on cells cultured from donors of different ages, genetic backgrounds, or species suggest that senescence occurs in vivo and that organismic lifespan and cell replicative lifespan are under common genetic control. However, senescent cells cannot be distinguished from quiescent or terminally differentiated cells in tissues. Thus, evidence that senescent cells exist and accumulate with age in vivo is lacking. We show that several human cells express a beta-galactosidase, histochemically detectable at pH 6, upon senescence in culture. This marker was expressed by senescent, but not presenescent, fibroblasts and keratinocytes but was absent from quiescent fibroblasts and terminally differentiated keratinocytes. It was also absent from immortal cells but was induced by genetic manipulations that reversed immortality. In skin samples from human donors of different age, there was an age-dependent increase in this marker in dermal fibroblasts and epidermal keratinocytes. This marker provides in situ evidence that senescent cells may exist and accumulate with age in vivo.","container-title":"Proceedings of the National Academy of Sciences","DOI":"10.1073/pnas.92.20.9363","ISSN":"0027-8424, 1091-6490","issue":"20","journalAbbreviation":"Proc. Natl. Acad. Sci. U.S.A.","language":"en","page":"9363-9367","source":"DOI.org (Crossref)","title":"A biomarker that identifies senescent human cells in culture and in aging skin in vivo.","volume":"92","author":[{"family":"Dimri","given":"G P"},{"family":"Lee","given":"X"},{"family":"Basile","given":"G"},{"family":"Acosta","given":"M"},{"family":"Scott","given":"G"},{"family":"Roskelley","given":"C"},{"family":"Medrano","given":"E E"},{"family":"Linskens","given":"M"},{"family":"Rubelj","given":"I"},{"family":"Pereira-Smith","given":"O"}],"issued":{"date-parts":[["1995",9,26]]}}},{"id":87,"uris":["http://zotero.org/users/local/mcUgpCQu/items/UDI5JQTE"],"itemData":{"id":87,"type":"article-journal","container-title":"Nature Protocols","DOI":"10.1038/nprot.2009.191","ISSN":"1754-2189, 1750-2799","issue":"12","journalAbbreviation":"Nat Protoc","language":"en","license":"http://www.springer.com/tdm","page":"1798-1806","source":"DOI.org (Crossref)","title":"Protocols to detect senescence-associated beta-galactosidase (SA-βgal) activity, a biomarker of senescent cells in culture and in vivo","volume":"4","author":[{"family":"Debacq-Chainiaux","given":"Florence"},{"family":"Erusalimsky","given":"Jorge D"},{"family":"Campisi","given":"Judith"},{"family":"Toussaint","given":"Olivier"}],"issued":{"date-parts":[["2009",12]]}}}],"schema":"https://github.com/citation-style-language/schema/raw/master/csl-citation.json"} </w:instrText>
      </w:r>
      <w:r w:rsidR="00D86B4F" w:rsidRPr="00B37F6F">
        <w:rPr>
          <w:rFonts w:asciiTheme="majorHAnsi" w:hAnsiTheme="majorHAnsi" w:cstheme="majorHAnsi"/>
          <w:vertAlign w:val="superscript"/>
        </w:rPr>
        <w:fldChar w:fldCharType="separate"/>
      </w:r>
      <w:r w:rsidR="007B2A6A" w:rsidRPr="007B2A6A">
        <w:rPr>
          <w:rFonts w:hAnsiTheme="majorHAnsi"/>
          <w:vertAlign w:val="superscript"/>
        </w:rPr>
        <w:t>10,12,13</w:t>
      </w:r>
      <w:r w:rsidR="00D86B4F" w:rsidRPr="00B37F6F">
        <w:rPr>
          <w:rFonts w:asciiTheme="majorHAnsi" w:hAnsiTheme="majorHAnsi" w:cstheme="majorHAnsi"/>
          <w:vertAlign w:val="superscript"/>
        </w:rPr>
        <w:fldChar w:fldCharType="end"/>
      </w:r>
      <w:r w:rsidR="00896DC4">
        <w:rPr>
          <w:rFonts w:asciiTheme="majorHAnsi" w:hAnsiTheme="majorHAnsi" w:cstheme="majorHAnsi"/>
        </w:rPr>
        <w:t>.</w:t>
      </w:r>
      <w:r w:rsidRPr="0055174B">
        <w:rPr>
          <w:rFonts w:asciiTheme="majorHAnsi" w:hAnsiTheme="majorHAnsi" w:cstheme="majorHAnsi"/>
        </w:rPr>
        <w:t xml:space="preserve"> </w:t>
      </w:r>
      <w:r w:rsidRPr="00EF6742">
        <w:rPr>
          <w:rFonts w:asciiTheme="majorHAnsi" w:hAnsiTheme="majorHAnsi" w:cstheme="majorHAnsi"/>
        </w:rPr>
        <w:t>In parallel, visual inspection of raw images and overlays remains an essential quality step, because senescent fibroblasts often spread and overlap, and errors in separating adjacent cells or capturing the relevant cytoplasmic region can bias lysosomal measurements.</w:t>
      </w:r>
    </w:p>
    <w:p w14:paraId="1F41ED87" w14:textId="77777777" w:rsidR="00683DBE" w:rsidRPr="0055174B" w:rsidRDefault="00683DBE" w:rsidP="00683DBE">
      <w:pPr>
        <w:rPr>
          <w:rFonts w:asciiTheme="majorHAnsi" w:hAnsiTheme="majorHAnsi" w:cstheme="majorHAnsi"/>
        </w:rPr>
      </w:pPr>
    </w:p>
    <w:p w14:paraId="170D5C05" w14:textId="106842BF" w:rsidR="00CB1E47" w:rsidRPr="00CB1E47" w:rsidRDefault="00000000" w:rsidP="00CB1E47">
      <w:pPr>
        <w:rPr>
          <w:rFonts w:asciiTheme="majorHAnsi" w:hAnsiTheme="majorHAnsi" w:cstheme="majorHAnsi"/>
        </w:rPr>
      </w:pPr>
      <w:r w:rsidRPr="00EF6742">
        <w:rPr>
          <w:rFonts w:asciiTheme="majorHAnsi" w:hAnsiTheme="majorHAnsi" w:cstheme="majorHAnsi"/>
        </w:rPr>
        <w:t xml:space="preserve">A major strength of the workflow is its flexibility for different experimental questions, including senescence induction and senolytic testing. Users are not restricted to replicative aging as the only source of senescence. The same structure can be applied to senescence induced by </w:t>
      </w:r>
      <w:r w:rsidRPr="00EF6742">
        <w:rPr>
          <w:rFonts w:asciiTheme="majorHAnsi" w:hAnsiTheme="majorHAnsi" w:cstheme="majorHAnsi"/>
        </w:rPr>
        <w:lastRenderedPageBreak/>
        <w:t>irradiation, genotoxic stress, or oxidative stress, provided that appropriate controls and a measurable senescent fraction are included</w:t>
      </w:r>
      <w:r w:rsidR="00D86B4F" w:rsidRPr="00B37F6F">
        <w:rPr>
          <w:rFonts w:asciiTheme="majorHAnsi" w:hAnsiTheme="majorHAnsi" w:cstheme="majorHAnsi"/>
          <w:vertAlign w:val="superscript"/>
        </w:rPr>
        <w:fldChar w:fldCharType="begin"/>
      </w:r>
      <w:r w:rsidR="008E3702">
        <w:rPr>
          <w:rFonts w:asciiTheme="majorHAnsi" w:hAnsiTheme="majorHAnsi" w:cstheme="majorHAnsi"/>
          <w:vertAlign w:val="superscript"/>
        </w:rPr>
        <w:instrText xml:space="preserve"> ADDIN ZOTERO_ITEM CSL_CITATION {"citationID":"sOGa7sIv","properties":{"formattedCitation":"\\super 2\\uc0\\u8211{}4,20\\nosupersub{}","plainCitation":"2–4,20","noteIndex":0},"citationItems":[{"id":62,"uris":["http://zotero.org/users/local/mcUgpCQu/items/27FPHZ8Z"],"itemData":{"id":62,"type":"article-journal","abstract":"For most species, aging promotes a host of degenerative pathologies that are characterized by debilitating losses of tissue or cellular function. However, especially among vertebrates, aging also promotes hyperplastic pathologies, the most deadly of which is cancer. In contrast to the loss of function that characterizes degenerating cells and tissues, malignant (cancerous) cells must acquire new (albeit aberrant) functions that allow them to develop into a lethal tumor. This review discusses the idea that, despite seemingly opposite characteristics, the degenerative and hyperplastic pathologies of aging are at least partly linked by a common biological phenomenon: a cellular stress response known as cellular senescence. The senescence response is widely recognized as a potent tumor suppressive mechanism. However, recent evidence strengthens the idea that it also drives both degenerative and hyperplastic pathologies, most likely by promoting chronic inflammation. Thus, the senescence response may be the result of antagonistically pleiotropic gene action.","container-title":"Annual Review of Physiology","DOI":"10.1146/annurev-physiol-030212-183653","ISSN":"0066-4278, 1545-1585","issue":"1","journalAbbreviation":"Annu Rev Physiol","language":"en","page":"685-705","source":"DOI.org (Crossref)","title":"Aging, Cellular Senescence, and Cancer","volume":"75","author":[{"family":"Campisi","given":"Judith"}],"issued":{"date-parts":[["2013",2,10]]}}},{"id":64,"uris":["http://zotero.org/users/local/mcUgpCQu/items/DGAGVFVJ"],"itemData":{"id":64,"type":"article-journal","container-title":"Trends in Cell Biology","DOI":"10.1016/j.tcb.2018.02.001","ISSN":"09628924","issue":"6","journalAbbreviation":"Trends Cell Biol","language":"en","page":"436-453","source":"DOI.org (Crossref)","title":"Hallmarks of Cellular Senescence","volume":"28","author":[{"family":"Hernandez-Segura","given":"Alejandra"},{"family":"Nehme","given":"Jamil"},{"family":"Demaria","given":"Marco"}],"issued":{"date-parts":[["2018",6]]}}},{"id":76,"uris":["http://zotero.org/users/local/mcUgpCQu/items/YVXGCNWW"],"itemData":{"id":76,"type":"article-journal","container-title":"Cell","DOI":"10.1016/j.cell.2019.10.005","ISSN":"00928674","issue":"4","journalAbbreviation":"Cell","language":"en","page":"813-827","source":"DOI.org (Crossref)","title":"Cellular Senescence: Defining a Path Forward","title-short":"Cellular Senescence","volume":"179","author":[{"family":"Gorgoulis","given":"Vassilis"},{"family":"Adams","given":"Peter D."},{"family":"Alimonti","given":"Andrea"},{"family":"Bennett","given":"Dorothy C."},{"family":"Bischof","given":"Oliver"},{"family":"Bishop","given":"Cleo"},{"family":"Campisi","given":"Judith"},{"family":"Collado","given":"Manuel"},{"family":"Evangelou","given":"Konstantinos"},{"family":"Ferbeyre","given":"Gerardo"},{"family":"Gil","given":"Jesús"},{"family":"Hara","given":"Eiji"},{"family":"Krizhanovsky","given":"Valery"},{"family":"Jurk","given":"Diana"},{"family":"Maier","given":"Andrea B."},{"family":"Narita","given":"Masashi"},{"family":"Niedernhofer","given":"Laura"},{"family":"Passos","given":"João F."},{"family":"Robbins","given":"Paul D."},{"family":"Schmitt","given":"Clemens A."},{"family":"Sedivy","given":"John"},{"family":"Vougas","given":"Konstantinos"},{"family":"Von Zglinicki","given":"Thomas"},{"family":"Zhou","given":"Daohong"},{"family":"Serrano","given":"Manuel"},{"family":"Demaria","given":"Marco"}],"issued":{"date-parts":[["2019",10]]}}},{"id":89,"uris":["http://zotero.org/users/local/mcUgpCQu/items/Z33EQR8H"],"itemData":{"id":89,"type":"article-journal","abstract":"Abstract\n            \n              The lifetime exposure of organisms to oxidative stress influences many aging processes which involve the turnover of the extracellular matrix. In this study, we identify the redox‐responsive molecular signals that drive senescence‐associated (SA) matrix metalloproteinase‐1 (MMP‐1) expression. Precise biochemical monitoring revealed that senescent fibroblasts increase steady‐state (H\n              2\n              O\n              2\n              ) 3.5‐fold (13.7–48.6 pM) relative to young cells. Restricting H\n              2\n              O\n              2\n              production through low O\n              2\n              exposure or by antioxidant treatments prevented SA increases in MMP‐1 expression. The H\n              2\n              O\n              2\n              ‐dependent control of SA MMP‐1 is attributed to sustained JNK activation and c‐jun recruitment to the MMP‐1 promoter. SA JNK activation corresponds to increases and decreases in the levels of its activating kinase (MKK‐4) and inhibitory phosphatase (MKP‐1), respectively. Enforced MKP‐1 expression negates SA increases in JNK phosphorylation and MMP‐1 production. Overall, these studies define redox‐sensitive signaling networks regulating SA MMP‐1 expression and link the free radical theory of aging to initiation of aberrant matrix turnover. J. Cell. Physiol. 225: 52–62, 2010. © 2010 Wiley‐Liss, Inc.","container-title":"Journal of Cellular Physiology","DOI":"10.1002/jcp.22193","ISSN":"0021-9541, 1097-4652","issue":"1","journalAbbreviation":"J Cell Physiol","language":"en","license":"http://onlinelibrary.wiley.com/termsAndConditions#vor","page":"52-62","source":"DOI.org (Crossref)","title":"Reactive oxygen species control senescence‐associated matrix metalloproteinase‐1 through c‐Jun‐N‐terminal kinase","volume":"225","author":[{"family":"Dasgupta","given":"Jaya"},{"family":"Kar","given":"Supriya"},{"family":"Liu","given":"Rong"},{"family":"Joseph","given":"Joy"},{"family":"Kalyanaraman","given":"Balaraman"},{"family":"Remington","given":"S. James"},{"family":"Chen","given":"Ceshi"},{"family":"Melendez","given":"J. Andres"}],"issued":{"date-parts":[["2010",10]]}}}],"schema":"https://github.com/citation-style-language/schema/raw/master/csl-citation.json"} </w:instrText>
      </w:r>
      <w:r w:rsidR="00D86B4F" w:rsidRPr="00B37F6F">
        <w:rPr>
          <w:rFonts w:asciiTheme="majorHAnsi" w:hAnsiTheme="majorHAnsi" w:cstheme="majorHAnsi"/>
          <w:vertAlign w:val="superscript"/>
        </w:rPr>
        <w:fldChar w:fldCharType="separate"/>
      </w:r>
      <w:r w:rsidR="008E3702" w:rsidRPr="008E3702">
        <w:rPr>
          <w:rFonts w:hAnsiTheme="majorHAnsi"/>
          <w:vertAlign w:val="superscript"/>
        </w:rPr>
        <w:t>2–4,20</w:t>
      </w:r>
      <w:r w:rsidR="00D86B4F" w:rsidRPr="00B37F6F">
        <w:rPr>
          <w:rFonts w:asciiTheme="majorHAnsi" w:hAnsiTheme="majorHAnsi" w:cstheme="majorHAnsi"/>
          <w:vertAlign w:val="superscript"/>
        </w:rPr>
        <w:fldChar w:fldCharType="end"/>
      </w:r>
      <w:r w:rsidR="00896DC4">
        <w:rPr>
          <w:rFonts w:asciiTheme="majorHAnsi" w:hAnsiTheme="majorHAnsi" w:cstheme="majorHAnsi"/>
        </w:rPr>
        <w:t>.</w:t>
      </w:r>
      <w:r w:rsidR="00683DBE" w:rsidRPr="0055174B">
        <w:rPr>
          <w:rFonts w:asciiTheme="majorHAnsi" w:hAnsiTheme="majorHAnsi" w:cstheme="majorHAnsi"/>
        </w:rPr>
        <w:t xml:space="preserve"> </w:t>
      </w:r>
      <w:r w:rsidRPr="00EF6742">
        <w:rPr>
          <w:rFonts w:asciiTheme="majorHAnsi" w:hAnsiTheme="majorHAnsi" w:cstheme="majorHAnsi"/>
        </w:rPr>
        <w:t>Replicative senescence can still serve as a baseline reference because it is a well-established, biologically grounded model that captures the progressive nature of senescence acquisition and its links to lysosomal expansion</w:t>
      </w:r>
      <w:r w:rsidR="00D86B4F" w:rsidRPr="00B37F6F">
        <w:rPr>
          <w:rFonts w:asciiTheme="majorHAnsi" w:hAnsiTheme="majorHAnsi" w:cstheme="majorHAnsi"/>
          <w:vertAlign w:val="superscript"/>
        </w:rPr>
        <w:fldChar w:fldCharType="begin"/>
      </w:r>
      <w:r w:rsidR="007B2A6A">
        <w:rPr>
          <w:rFonts w:asciiTheme="majorHAnsi" w:hAnsiTheme="majorHAnsi" w:cstheme="majorHAnsi"/>
          <w:vertAlign w:val="superscript"/>
        </w:rPr>
        <w:instrText xml:space="preserve"> ADDIN ZOTERO_ITEM CSL_CITATION {"citationID":"9ww3uoh6","properties":{"formattedCitation":"\\super 6,16\\nosupersub{}","plainCitation":"6,16","noteIndex":0},"citationItems":[{"id":66,"uris":["http://zotero.org/users/local/mcUgpCQu/items/JZXQ2TUL"],"itemData":{"id":66,"type":"article-journal","abstract":"Abstract\n            Dysfunction of lysosomes, the primary hydrolytic organelles in animal cells, is frequently associated with aging and age‐related diseases. At the cellular level, lysosomal dysfunction is strongly linked to cellular senescence or the induction of cell death pathways. However, the precise mechanisms by which lysosomal dysfunction participates in these various cellular or organismal phenotypes have remained elusive. The ability of lysosomes to degrade diverse macromolecules including damaged proteins and organelles puts lysosomes at the center of multiple cellular stress responses. Lysosomal activity is tightly regulated by many coordinated cellular processes including pathways that function inside and outside of the organelle. Here, we collectively classify these coordinated pathways as the lysosomal processing and adaptation system (LYPAS). We review evidence that the LYPAS is upregulated by diverse cellular stresses, its adaptability regulates senescence and cell death decisions, and it can form the basis for therapeutic manipulation for a wide range of age‐related diseases and potentially for aging itself.","container-title":"EMBO reports","DOI":"10.15252/embr.202357265","ISSN":"1469-221X, 1469-3178","issue":"11","journalAbbreviation":"EMBO Rep","language":"en","page":"e57265","source":"DOI.org (Crossref)","title":"Lysosomes in senescence and aging","volume":"24","author":[{"family":"Tan","given":"Jay Xiaojun"},{"family":"Finkel","given":"Toren"}],"issued":{"date-parts":[["2023",11,6]]}}},{"id":84,"uris":["http://zotero.org/users/local/mcUgpCQu/items/9RIMZQBS"],"itemData":{"id":84,"type":"article-journal","abstract":"Abstract\n            Since the discovery of lysosomes more than 70 years ago, much has been learned about the functions of these organelles. Lysosomes were regarded as exclusively degradative organelles, but more recent research has shown that they play essential roles in several other cellular functions, such as nutrient sensing, intracellular signalling and metabolism. Methodological advances played a key part in generating our current knowledge about the biology of this multifaceted organelle. In this review, we cover current methods used to analyze lysosome morphology, positioning, motility and function. We highlight the principles behind these methods, the methodological strategies and their advantages and limitations. To extract accurate information and avoid misinterpretations, we discuss the best strategies to identify lysosomes and assess their characteristics and functions. With this review, we aim to stimulate an increase in the quantity and quality of research on lysosomes and further ground‐breaking discoveries on an organelle that continues to surprise and excite cell biologists.","container-title":"Traffic","DOI":"10.1111/tra.12839","ISSN":"1398-9219, 1600-0854","issue":"5","journalAbbreviation":"Traffic","language":"en","page":"238-269","source":"DOI.org (Crossref)","title":"Current methods to analyze lysosome morphology, positioning, motility and function","volume":"23","author":[{"family":"Barral","given":"Duarte C."},{"family":"Staiano","given":"Leopoldo"},{"family":"Guimas Almeida","given":"Cláudia"},{"family":"Cutler","given":"Dan F."},{"family":"Eden","given":"Emily R."},{"family":"Futter","given":"Clare E."},{"family":"Galione","given":"Antony"},{"family":"Marques","given":"André R. A."},{"family":"Medina","given":"Diego Luis"},{"family":"Napolitano","given":"Gennaro"},{"family":"Settembre","given":"Carmine"},{"family":"Vieira","given":"Otília V."},{"family":"Aerts","given":"Johannes M. F. G."},{"family":"Atakpa‐Adaji","given":"Peace"},{"family":"Bruno","given":"Gemma"},{"family":"Capuozzo","given":"Antonella"},{"family":"De Leonibus","given":"Elvira"},{"family":"Di Malta","given":"Chiara"},{"family":"Escrevente","given":"Cristina"},{"family":"Esposito","given":"Alessandra"},{"family":"Grumati","given":"Paolo"},{"family":"Hall","given":"Michael J."},{"family":"Teodoro","given":"Rita O."},{"family":"Lopes","given":"Susana S."},{"family":"Luzio","given":"J. Paul"},{"family":"Monfregola","given":"Jlenia"},{"family":"Montefusco","given":"Sandro"},{"family":"Platt","given":"Frances M."},{"family":"Polishchuck","given":"Roman"},{"family":"De Risi","given":"Maria"},{"family":"Sambri","given":"Irene"},{"family":"Soldati","given":"Chiara"},{"family":"Seabra","given":"Miguel C."}],"issued":{"date-parts":[["2022",5]]}}}],"schema":"https://github.com/citation-style-language/schema/raw/master/csl-citation.json"} </w:instrText>
      </w:r>
      <w:r w:rsidR="00D86B4F" w:rsidRPr="00B37F6F">
        <w:rPr>
          <w:rFonts w:asciiTheme="majorHAnsi" w:hAnsiTheme="majorHAnsi" w:cstheme="majorHAnsi"/>
          <w:vertAlign w:val="superscript"/>
        </w:rPr>
        <w:fldChar w:fldCharType="separate"/>
      </w:r>
      <w:r w:rsidR="007B2A6A" w:rsidRPr="007B2A6A">
        <w:rPr>
          <w:rFonts w:hAnsiTheme="majorHAnsi"/>
          <w:vertAlign w:val="superscript"/>
        </w:rPr>
        <w:t>6,16</w:t>
      </w:r>
      <w:r w:rsidR="00D86B4F" w:rsidRPr="00B37F6F">
        <w:rPr>
          <w:rFonts w:asciiTheme="majorHAnsi" w:hAnsiTheme="majorHAnsi" w:cstheme="majorHAnsi"/>
          <w:vertAlign w:val="superscript"/>
        </w:rPr>
        <w:fldChar w:fldCharType="end"/>
      </w:r>
      <w:r w:rsidR="00896DC4">
        <w:rPr>
          <w:rFonts w:asciiTheme="majorHAnsi" w:hAnsiTheme="majorHAnsi" w:cstheme="majorHAnsi"/>
        </w:rPr>
        <w:t xml:space="preserve">. </w:t>
      </w:r>
      <w:r w:rsidRPr="00CB1E47">
        <w:rPr>
          <w:rFonts w:asciiTheme="majorHAnsi" w:hAnsiTheme="majorHAnsi" w:cstheme="majorHAnsi"/>
        </w:rPr>
        <w:t>For treatment studies, senescence-low controls can be paired with induced senescence conditions, and candidate senolytics or senescence-modulating compounds can be evaluated by shifts in lysosomal remodeling and the resulting senescence burden. Additional channels may also be integrated in a bench-forward way, for example a cytoplasmic stain to improve cell boundary definition or a mitochondrial probe to capture complementary organelle changes, consistent with established approaches for assessing lysosome morphology and function</w:t>
      </w:r>
      <w:r w:rsidR="00A65C0A" w:rsidRPr="00B37F6F">
        <w:rPr>
          <w:rFonts w:asciiTheme="majorHAnsi" w:hAnsiTheme="majorHAnsi" w:cstheme="majorHAnsi"/>
          <w:vertAlign w:val="superscript"/>
        </w:rPr>
        <w:fldChar w:fldCharType="begin"/>
      </w:r>
      <w:r w:rsidR="007B2A6A">
        <w:rPr>
          <w:rFonts w:asciiTheme="majorHAnsi" w:hAnsiTheme="majorHAnsi" w:cstheme="majorHAnsi"/>
          <w:vertAlign w:val="superscript"/>
        </w:rPr>
        <w:instrText xml:space="preserve"> ADDIN ZOTERO_ITEM CSL_CITATION {"citationID":"iaICWN00","properties":{"formattedCitation":"\\super 6,16\\nosupersub{}","plainCitation":"6,16","noteIndex":0},"citationItems":[{"id":66,"uris":["http://zotero.org/users/local/mcUgpCQu/items/JZXQ2TUL"],"itemData":{"id":66,"type":"article-journal","abstract":"Abstract\n            Dysfunction of lysosomes, the primary hydrolytic organelles in animal cells, is frequently associated with aging and age‐related diseases. At the cellular level, lysosomal dysfunction is strongly linked to cellular senescence or the induction of cell death pathways. However, the precise mechanisms by which lysosomal dysfunction participates in these various cellular or organismal phenotypes have remained elusive. The ability of lysosomes to degrade diverse macromolecules including damaged proteins and organelles puts lysosomes at the center of multiple cellular stress responses. Lysosomal activity is tightly regulated by many coordinated cellular processes including pathways that function inside and outside of the organelle. Here, we collectively classify these coordinated pathways as the lysosomal processing and adaptation system (LYPAS). We review evidence that the LYPAS is upregulated by diverse cellular stresses, its adaptability regulates senescence and cell death decisions, and it can form the basis for therapeutic manipulation for a wide range of age‐related diseases and potentially for aging itself.","container-title":"EMBO reports","DOI":"10.15252/embr.202357265","ISSN":"1469-221X, 1469-3178","issue":"11","journalAbbreviation":"EMBO Rep","language":"en","page":"e57265","source":"DOI.org (Crossref)","title":"Lysosomes in senescence and aging","volume":"24","author":[{"family":"Tan","given":"Jay Xiaojun"},{"family":"Finkel","given":"Toren"}],"issued":{"date-parts":[["2023",11,6]]}}},{"id":84,"uris":["http://zotero.org/users/local/mcUgpCQu/items/9RIMZQBS"],"itemData":{"id":84,"type":"article-journal","abstract":"Abstract\n            Since the discovery of lysosomes more than 70 years ago, much has been learned about the functions of these organelles. Lysosomes were regarded as exclusively degradative organelles, but more recent research has shown that they play essential roles in several other cellular functions, such as nutrient sensing, intracellular signalling and metabolism. Methodological advances played a key part in generating our current knowledge about the biology of this multifaceted organelle. In this review, we cover current methods used to analyze lysosome morphology, positioning, motility and function. We highlight the principles behind these methods, the methodological strategies and their advantages and limitations. To extract accurate information and avoid misinterpretations, we discuss the best strategies to identify lysosomes and assess their characteristics and functions. With this review, we aim to stimulate an increase in the quantity and quality of research on lysosomes and further ground‐breaking discoveries on an organelle that continues to surprise and excite cell biologists.","container-title":"Traffic","DOI":"10.1111/tra.12839","ISSN":"1398-9219, 1600-0854","issue":"5","journalAbbreviation":"Traffic","language":"en","page":"238-269","source":"DOI.org (Crossref)","title":"Current methods to analyze lysosome morphology, positioning, motility and function","volume":"23","author":[{"family":"Barral","given":"Duarte C."},{"family":"Staiano","given":"Leopoldo"},{"family":"Guimas Almeida","given":"Cláudia"},{"family":"Cutler","given":"Dan F."},{"family":"Eden","given":"Emily R."},{"family":"Futter","given":"Clare E."},{"family":"Galione","given":"Antony"},{"family":"Marques","given":"André R. A."},{"family":"Medina","given":"Diego Luis"},{"family":"Napolitano","given":"Gennaro"},{"family":"Settembre","given":"Carmine"},{"family":"Vieira","given":"Otília V."},{"family":"Aerts","given":"Johannes M. F. G."},{"family":"Atakpa‐Adaji","given":"Peace"},{"family":"Bruno","given":"Gemma"},{"family":"Capuozzo","given":"Antonella"},{"family":"De Leonibus","given":"Elvira"},{"family":"Di Malta","given":"Chiara"},{"family":"Escrevente","given":"Cristina"},{"family":"Esposito","given":"Alessandra"},{"family":"Grumati","given":"Paolo"},{"family":"Hall","given":"Michael J."},{"family":"Teodoro","given":"Rita O."},{"family":"Lopes","given":"Susana S."},{"family":"Luzio","given":"J. Paul"},{"family":"Monfregola","given":"Jlenia"},{"family":"Montefusco","given":"Sandro"},{"family":"Platt","given":"Frances M."},{"family":"Polishchuck","given":"Roman"},{"family":"De Risi","given":"Maria"},{"family":"Sambri","given":"Irene"},{"family":"Soldati","given":"Chiara"},{"family":"Seabra","given":"Miguel C."}],"issued":{"date-parts":[["2022",5]]}}}],"schema":"https://github.com/citation-style-language/schema/raw/master/csl-citation.json"} </w:instrText>
      </w:r>
      <w:r w:rsidR="00A65C0A" w:rsidRPr="00B37F6F">
        <w:rPr>
          <w:rFonts w:asciiTheme="majorHAnsi" w:hAnsiTheme="majorHAnsi" w:cstheme="majorHAnsi"/>
          <w:vertAlign w:val="superscript"/>
        </w:rPr>
        <w:fldChar w:fldCharType="separate"/>
      </w:r>
      <w:r w:rsidR="007B2A6A" w:rsidRPr="007B2A6A">
        <w:rPr>
          <w:rFonts w:hAnsiTheme="majorHAnsi"/>
          <w:vertAlign w:val="superscript"/>
        </w:rPr>
        <w:t>6,16</w:t>
      </w:r>
      <w:r w:rsidR="00A65C0A" w:rsidRPr="00B37F6F">
        <w:rPr>
          <w:rFonts w:asciiTheme="majorHAnsi" w:hAnsiTheme="majorHAnsi" w:cstheme="majorHAnsi"/>
          <w:vertAlign w:val="superscript"/>
        </w:rPr>
        <w:fldChar w:fldCharType="end"/>
      </w:r>
      <w:r w:rsidR="00896DC4">
        <w:rPr>
          <w:rFonts w:asciiTheme="majorHAnsi" w:hAnsiTheme="majorHAnsi" w:cstheme="majorHAnsi"/>
        </w:rPr>
        <w:t>.</w:t>
      </w:r>
      <w:r w:rsidRPr="00CB1E47">
        <w:rPr>
          <w:rFonts w:asciiTheme="majorHAnsi" w:hAnsiTheme="majorHAnsi" w:cstheme="majorHAnsi"/>
        </w:rPr>
        <w:t xml:space="preserve"> From a measurement perspective, the protocol is modular: users can begin with a minimal set of interpretable lysosomal features (area, intensity, and puncta-related measurements when resolvable) and expand only if needed</w:t>
      </w:r>
      <w:r w:rsidR="00A65C0A" w:rsidRPr="00B37F6F">
        <w:rPr>
          <w:rFonts w:asciiTheme="majorHAnsi" w:hAnsiTheme="majorHAnsi" w:cstheme="majorHAnsi"/>
          <w:vertAlign w:val="superscript"/>
        </w:rPr>
        <w:fldChar w:fldCharType="begin"/>
      </w:r>
      <w:r w:rsidR="00DF26BA">
        <w:rPr>
          <w:rFonts w:asciiTheme="majorHAnsi" w:hAnsiTheme="majorHAnsi" w:cstheme="majorHAnsi"/>
          <w:vertAlign w:val="superscript"/>
        </w:rPr>
        <w:instrText xml:space="preserve"> ADDIN ZOTERO_ITEM CSL_CITATION {"citationID":"a7he4ajM","properties":{"formattedCitation":"\\super 16\\nosupersub{}","plainCitation":"16","noteIndex":0},"citationItems":[{"id":84,"uris":["http://zotero.org/users/local/mcUgpCQu/items/9RIMZQBS"],"itemData":{"id":84,"type":"article-journal","abstract":"Abstract\n            Since the discovery of lysosomes more than 70 years ago, much has been learned about the functions of these organelles. Lysosomes were regarded as exclusively degradative organelles, but more recent research has shown that they play essential roles in several other cellular functions, such as nutrient sensing, intracellular signalling and metabolism. Methodological advances played a key part in generating our current knowledge about the biology of this multifaceted organelle. In this review, we cover current methods used to analyze lysosome morphology, positioning, motility and function. We highlight the principles behind these methods, the methodological strategies and their advantages and limitations. To extract accurate information and avoid misinterpretations, we discuss the best strategies to identify lysosomes and assess their characteristics and functions. With this review, we aim to stimulate an increase in the quantity and quality of research on lysosomes and further ground‐breaking discoveries on an organelle that continues to surprise and excite cell biologists.","container-title":"Traffic","DOI":"10.1111/tra.12839","ISSN":"1398-9219, 1600-0854","issue":"5","journalAbbreviation":"Traffic","language":"en","page":"238-269","source":"DOI.org (Crossref)","title":"Current methods to analyze lysosome morphology, positioning, motility and function","volume":"23","author":[{"family":"Barral","given":"Duarte C."},{"family":"Staiano","given":"Leopoldo"},{"family":"Guimas Almeida","given":"Cláudia"},{"family":"Cutler","given":"Dan F."},{"family":"Eden","given":"Emily R."},{"family":"Futter","given":"Clare E."},{"family":"Galione","given":"Antony"},{"family":"Marques","given":"André R. A."},{"family":"Medina","given":"Diego Luis"},{"family":"Napolitano","given":"Gennaro"},{"family":"Settembre","given":"Carmine"},{"family":"Vieira","given":"Otília V."},{"family":"Aerts","given":"Johannes M. F. G."},{"family":"Atakpa‐Adaji","given":"Peace"},{"family":"Bruno","given":"Gemma"},{"family":"Capuozzo","given":"Antonella"},{"family":"De Leonibus","given":"Elvira"},{"family":"Di Malta","given":"Chiara"},{"family":"Escrevente","given":"Cristina"},{"family":"Esposito","given":"Alessandra"},{"family":"Grumati","given":"Paolo"},{"family":"Hall","given":"Michael J."},{"family":"Teodoro","given":"Rita O."},{"family":"Lopes","given":"Susana S."},{"family":"Luzio","given":"J. Paul"},{"family":"Monfregola","given":"Jlenia"},{"family":"Montefusco","given":"Sandro"},{"family":"Platt","given":"Frances M."},{"family":"Polishchuck","given":"Roman"},{"family":"De Risi","given":"Maria"},{"family":"Sambri","given":"Irene"},{"family":"Soldati","given":"Chiara"},{"family":"Seabra","given":"Miguel C."}],"issued":{"date-parts":[["2022",5]]}}}],"schema":"https://github.com/citation-style-language/schema/raw/master/csl-citation.json"} </w:instrText>
      </w:r>
      <w:r w:rsidR="00A65C0A" w:rsidRPr="00B37F6F">
        <w:rPr>
          <w:rFonts w:asciiTheme="majorHAnsi" w:hAnsiTheme="majorHAnsi" w:cstheme="majorHAnsi"/>
          <w:vertAlign w:val="superscript"/>
        </w:rPr>
        <w:fldChar w:fldCharType="separate"/>
      </w:r>
      <w:r w:rsidR="007B2A6A" w:rsidRPr="007B2A6A">
        <w:rPr>
          <w:rFonts w:hAnsiTheme="majorHAnsi"/>
          <w:vertAlign w:val="superscript"/>
        </w:rPr>
        <w:t>16</w:t>
      </w:r>
      <w:r w:rsidR="00A65C0A" w:rsidRPr="00B37F6F">
        <w:rPr>
          <w:rFonts w:asciiTheme="majorHAnsi" w:hAnsiTheme="majorHAnsi" w:cstheme="majorHAnsi"/>
          <w:vertAlign w:val="superscript"/>
        </w:rPr>
        <w:fldChar w:fldCharType="end"/>
      </w:r>
      <w:r w:rsidR="00896DC4">
        <w:rPr>
          <w:rFonts w:asciiTheme="majorHAnsi" w:hAnsiTheme="majorHAnsi" w:cstheme="majorHAnsi"/>
        </w:rPr>
        <w:t>.</w:t>
      </w:r>
    </w:p>
    <w:p w14:paraId="67EA1427" w14:textId="768FD7F2" w:rsidR="00683DBE" w:rsidRPr="0055174B" w:rsidRDefault="00683DBE" w:rsidP="00683DBE">
      <w:pPr>
        <w:rPr>
          <w:rFonts w:asciiTheme="majorHAnsi" w:hAnsiTheme="majorHAnsi" w:cstheme="majorHAnsi"/>
        </w:rPr>
      </w:pPr>
    </w:p>
    <w:p w14:paraId="34EFE40D" w14:textId="666B2EE8" w:rsidR="00CB1E47" w:rsidRPr="00CB1E47" w:rsidRDefault="00000000" w:rsidP="00CB1E47">
      <w:pPr>
        <w:rPr>
          <w:rFonts w:asciiTheme="majorHAnsi" w:hAnsiTheme="majorHAnsi" w:cstheme="majorHAnsi"/>
        </w:rPr>
      </w:pPr>
      <w:r w:rsidRPr="00CB1E47">
        <w:rPr>
          <w:rFonts w:asciiTheme="majorHAnsi" w:hAnsiTheme="majorHAnsi" w:cstheme="majorHAnsi"/>
        </w:rPr>
        <w:t xml:space="preserve">Several limitations should be acknowledged. The method centers on lysosomal remodeling and therefore assumes that increased lysosomal signal and lysosome-rich cellular morphology track with senescence. This is consistent with classic observations that </w:t>
      </w:r>
      <w:r w:rsidR="003A3856">
        <w:rPr>
          <w:rFonts w:asciiTheme="majorHAnsi" w:hAnsiTheme="majorHAnsi" w:cstheme="majorHAnsi"/>
        </w:rPr>
        <w:t>SA-β-Gal</w:t>
      </w:r>
      <w:r w:rsidRPr="00CB1E47">
        <w:rPr>
          <w:rFonts w:asciiTheme="majorHAnsi" w:hAnsiTheme="majorHAnsi" w:cstheme="majorHAnsi"/>
        </w:rPr>
        <w:t xml:space="preserve"> reflects increased lysosomal mass during replicative aging and with newer work highlighting lysosome-centered mechanisms in senescence</w:t>
      </w:r>
      <w:r w:rsidR="00A65C0A" w:rsidRPr="00B37F6F">
        <w:rPr>
          <w:rFonts w:asciiTheme="majorHAnsi" w:hAnsiTheme="majorHAnsi" w:cstheme="majorHAnsi"/>
          <w:vertAlign w:val="superscript"/>
        </w:rPr>
        <w:fldChar w:fldCharType="begin"/>
      </w:r>
      <w:r w:rsidR="007B2A6A">
        <w:rPr>
          <w:rFonts w:asciiTheme="majorHAnsi" w:hAnsiTheme="majorHAnsi" w:cstheme="majorHAnsi"/>
          <w:vertAlign w:val="superscript"/>
        </w:rPr>
        <w:instrText xml:space="preserve"> ADDIN ZOTERO_ITEM CSL_CITATION {"citationID":"vlQAZUS2","properties":{"formattedCitation":"\\super 6,13\\nosupersub{}","plainCitation":"6,13","noteIndex":0},"citationItems":[{"id":66,"uris":["http://zotero.org/users/local/mcUgpCQu/items/JZXQ2TUL"],"itemData":{"id":66,"type":"article-journal","abstract":"Abstract\n            Dysfunction of lysosomes, the primary hydrolytic organelles in animal cells, is frequently associated with aging and age‐related diseases. At the cellular level, lysosomal dysfunction is strongly linked to cellular senescence or the induction of cell death pathways. However, the precise mechanisms by which lysosomal dysfunction participates in these various cellular or organismal phenotypes have remained elusive. The ability of lysosomes to degrade diverse macromolecules including damaged proteins and organelles puts lysosomes at the center of multiple cellular stress responses. Lysosomal activity is tightly regulated by many coordinated cellular processes including pathways that function inside and outside of the organelle. Here, we collectively classify these coordinated pathways as the lysosomal processing and adaptation system (LYPAS). We review evidence that the LYPAS is upregulated by diverse cellular stresses, its adaptability regulates senescence and cell death decisions, and it can form the basis for therapeutic manipulation for a wide range of age‐related diseases and potentially for aging itself.","container-title":"EMBO reports","DOI":"10.15252/embr.202357265","ISSN":"1469-221X, 1469-3178","issue":"11","journalAbbreviation":"EMBO Rep","language":"en","page":"e57265","source":"DOI.org (Crossref)","title":"Lysosomes in senescence and aging","volume":"24","author":[{"family":"Tan","given":"Jay Xiaojun"},{"family":"Finkel","given":"Toren"}],"issued":{"date-parts":[["2023",11,6]]}}},{"id":87,"uris":["http://zotero.org/users/local/mcUgpCQu/items/UDI5JQTE"],"itemData":{"id":87,"type":"article-journal","container-title":"Nature Protocols","DOI":"10.1038/nprot.2009.191","ISSN":"1754-2189, 1750-2799","issue":"12","journalAbbreviation":"Nat Protoc","language":"en","license":"http://www.springer.com/tdm","page":"1798-1806","source":"DOI.org (Crossref)","title":"Protocols to detect senescence-associated beta-galactosidase (SA-βgal) activity, a biomarker of senescent cells in culture and in vivo","volume":"4","author":[{"family":"Debacq-Chainiaux","given":"Florence"},{"family":"Erusalimsky","given":"Jorge D"},{"family":"Campisi","given":"Judith"},{"family":"Toussaint","given":"Olivier"}],"issued":{"date-parts":[["2009",12]]}}}],"schema":"https://github.com/citation-style-language/schema/raw/master/csl-citation.json"} </w:instrText>
      </w:r>
      <w:r w:rsidR="00A65C0A" w:rsidRPr="00B37F6F">
        <w:rPr>
          <w:rFonts w:asciiTheme="majorHAnsi" w:hAnsiTheme="majorHAnsi" w:cstheme="majorHAnsi"/>
          <w:vertAlign w:val="superscript"/>
        </w:rPr>
        <w:fldChar w:fldCharType="separate"/>
      </w:r>
      <w:r w:rsidR="007B2A6A" w:rsidRPr="007B2A6A">
        <w:rPr>
          <w:rFonts w:hAnsiTheme="majorHAnsi"/>
          <w:vertAlign w:val="superscript"/>
        </w:rPr>
        <w:t>6,13</w:t>
      </w:r>
      <w:r w:rsidR="00A65C0A" w:rsidRPr="00B37F6F">
        <w:rPr>
          <w:rFonts w:asciiTheme="majorHAnsi" w:hAnsiTheme="majorHAnsi" w:cstheme="majorHAnsi"/>
          <w:vertAlign w:val="superscript"/>
        </w:rPr>
        <w:fldChar w:fldCharType="end"/>
      </w:r>
      <w:r w:rsidR="00896DC4">
        <w:rPr>
          <w:rFonts w:asciiTheme="majorHAnsi" w:hAnsiTheme="majorHAnsi" w:cstheme="majorHAnsi"/>
        </w:rPr>
        <w:t>.</w:t>
      </w:r>
      <w:r w:rsidRPr="00CB1E47">
        <w:rPr>
          <w:rFonts w:asciiTheme="majorHAnsi" w:hAnsiTheme="majorHAnsi" w:cstheme="majorHAnsi"/>
        </w:rPr>
        <w:t xml:space="preserve"> However, lysosomal content varies across cell types and contexts, and lysosome-rich states may occur in cell types with high baseline lysosomal activity. In such settings, lysosomal remodeling may be less specific and may need to be interpreted alongside additional senescence markers. The validation labels themselves rely on </w:t>
      </w:r>
      <w:r w:rsidR="003A3856">
        <w:rPr>
          <w:rFonts w:asciiTheme="majorHAnsi" w:hAnsiTheme="majorHAnsi" w:cstheme="majorHAnsi"/>
        </w:rPr>
        <w:t>SA-β-Gal</w:t>
      </w:r>
      <w:r w:rsidRPr="00CB1E47">
        <w:rPr>
          <w:rFonts w:asciiTheme="majorHAnsi" w:hAnsiTheme="majorHAnsi" w:cstheme="majorHAnsi"/>
        </w:rPr>
        <w:t>, which is widely accepted but not infallible and can produce false positives under some conditions</w:t>
      </w:r>
      <w:r w:rsidR="00A65C0A" w:rsidRPr="00B37F6F">
        <w:rPr>
          <w:rFonts w:asciiTheme="majorHAnsi" w:hAnsiTheme="majorHAnsi" w:cstheme="majorHAnsi"/>
          <w:vertAlign w:val="superscript"/>
        </w:rPr>
        <w:fldChar w:fldCharType="begin"/>
      </w:r>
      <w:r w:rsidR="007B2A6A">
        <w:rPr>
          <w:rFonts w:asciiTheme="majorHAnsi" w:hAnsiTheme="majorHAnsi" w:cstheme="majorHAnsi"/>
          <w:vertAlign w:val="superscript"/>
        </w:rPr>
        <w:instrText xml:space="preserve"> ADDIN ZOTERO_ITEM CSL_CITATION {"citationID":"oHzIsf63","properties":{"formattedCitation":"\\super 5,12,13\\nosupersub{}","plainCitation":"5,12,13","noteIndex":0},"citationItems":[{"id":88,"uris":["http://zotero.org/users/local/mcUgpCQu/items/B3HW7IUP"],"itemData":{"id":88,"type":"article-journal","container-title":"Nature Reviews Cancer","DOI":"10.1038/nrc3960","ISSN":"1474-175X, 1474-1768","issue":"7","journalAbbreviation":"Nat Rev Cancer","language":"en","page":"397-408","source":"DOI.org (Crossref)","title":"Forging a signature of in vivo senescence","volume":"15","author":[{"family":"Sharpless","given":"Norman E."},{"family":"Sherr","given":"Charles J."}],"issued":{"date-parts":[["2015",7]]}}},{"id":72,"uris":["http://zotero.org/users/local/mcUgpCQu/items/MKELJN92"],"itemData":{"id":72,"type":"article-journal","abstract":"Normal somatic cells invariably enter a state of irreversibly arrested growth and altered function after a finite number of divisions. This process, termed replicative senescence, is thought to be a tumor-suppressive mechanism and an underlying cause of aging. There is ample evidence that escape from senescence, or immortality, is important for malignant transformation. By contrast, the role of replicative senescence in organismic aging is controversial. Studies on cells cultured from donors of different ages, genetic backgrounds, or species suggest that senescence occurs in vivo and that organismic lifespan and cell replicative lifespan are under common genetic control. However, senescent cells cannot be distinguished from quiescent or terminally differentiated cells in tissues. Thus, evidence that senescent cells exist and accumulate with age in vivo is lacking. We show that several human cells express a beta-galactosidase, histochemically detectable at pH 6, upon senescence in culture. This marker was expressed by senescent, but not presenescent, fibroblasts and keratinocytes but was absent from quiescent fibroblasts and terminally differentiated keratinocytes. It was also absent from immortal cells but was induced by genetic manipulations that reversed immortality. In skin samples from human donors of different age, there was an age-dependent increase in this marker in dermal fibroblasts and epidermal keratinocytes. This marker provides in situ evidence that senescent cells may exist and accumulate with age in vivo.","container-title":"Proceedings of the National Academy of Sciences","DOI":"10.1073/pnas.92.20.9363","ISSN":"0027-8424, 1091-6490","issue":"20","journalAbbreviation":"Proc. Natl. Acad. Sci. U.S.A.","language":"en","page":"9363-9367","source":"DOI.org (Crossref)","title":"A biomarker that identifies senescent human cells in culture and in aging skin in vivo.","volume":"92","author":[{"family":"Dimri","given":"G P"},{"family":"Lee","given":"X"},{"family":"Basile","given":"G"},{"family":"Acosta","given":"M"},{"family":"Scott","given":"G"},{"family":"Roskelley","given":"C"},{"family":"Medrano","given":"E E"},{"family":"Linskens","given":"M"},{"family":"Rubelj","given":"I"},{"family":"Pereira-Smith","given":"O"}],"issued":{"date-parts":[["1995",9,26]]}}},{"id":87,"uris":["http://zotero.org/users/local/mcUgpCQu/items/UDI5JQTE"],"itemData":{"id":87,"type":"article-journal","container-title":"Nature Protocols","DOI":"10.1038/nprot.2009.191","ISSN":"1754-2189, 1750-2799","issue":"12","journalAbbreviation":"Nat Protoc","language":"en","license":"http://www.springer.com/tdm","page":"1798-1806","source":"DOI.org (Crossref)","title":"Protocols to detect senescence-associated beta-galactosidase (SA-βgal) activity, a biomarker of senescent cells in culture and in vivo","volume":"4","author":[{"family":"Debacq-Chainiaux","given":"Florence"},{"family":"Erusalimsky","given":"Jorge D"},{"family":"Campisi","given":"Judith"},{"family":"Toussaint","given":"Olivier"}],"issued":{"date-parts":[["2009",12]]}}}],"schema":"https://github.com/citation-style-language/schema/raw/master/csl-citation.json"} </w:instrText>
      </w:r>
      <w:r w:rsidR="00A65C0A" w:rsidRPr="00B37F6F">
        <w:rPr>
          <w:rFonts w:asciiTheme="majorHAnsi" w:hAnsiTheme="majorHAnsi" w:cstheme="majorHAnsi"/>
          <w:vertAlign w:val="superscript"/>
        </w:rPr>
        <w:fldChar w:fldCharType="separate"/>
      </w:r>
      <w:r w:rsidR="007B2A6A" w:rsidRPr="007B2A6A">
        <w:rPr>
          <w:rFonts w:hAnsiTheme="majorHAnsi"/>
          <w:vertAlign w:val="superscript"/>
        </w:rPr>
        <w:t>5,12,13</w:t>
      </w:r>
      <w:r w:rsidR="00A65C0A" w:rsidRPr="00B37F6F">
        <w:rPr>
          <w:rFonts w:asciiTheme="majorHAnsi" w:hAnsiTheme="majorHAnsi" w:cstheme="majorHAnsi"/>
          <w:vertAlign w:val="superscript"/>
        </w:rPr>
        <w:fldChar w:fldCharType="end"/>
      </w:r>
      <w:r w:rsidR="00896DC4">
        <w:rPr>
          <w:rFonts w:asciiTheme="majorHAnsi" w:hAnsiTheme="majorHAnsi" w:cstheme="majorHAnsi"/>
        </w:rPr>
        <w:t>.</w:t>
      </w:r>
      <w:r w:rsidRPr="00CB1E47">
        <w:rPr>
          <w:rFonts w:asciiTheme="majorHAnsi" w:hAnsiTheme="majorHAnsi" w:cstheme="majorHAnsi"/>
        </w:rPr>
        <w:t xml:space="preserve"> In addition, like most imaging-based assays, the quantitative readout depends on consistent staining and acquisition conditions. When microscopes, magnifications, or exposure settings differ substantially, users should treat results as relative within a run and consider including local controls and validation rather than assuming direct transferability across platforms. Finally, the current implementation focuses on two-dimensional monolayers and does not capture the full complexity of tissue context or three-dimensional microenvironments</w:t>
      </w:r>
      <w:r w:rsidR="0068082F" w:rsidRPr="00B37F6F">
        <w:rPr>
          <w:rFonts w:asciiTheme="majorHAnsi" w:hAnsiTheme="majorHAnsi" w:cstheme="majorHAnsi"/>
          <w:vertAlign w:val="superscript"/>
        </w:rPr>
        <w:fldChar w:fldCharType="begin"/>
      </w:r>
      <w:r w:rsidR="008E3702">
        <w:rPr>
          <w:rFonts w:asciiTheme="majorHAnsi" w:hAnsiTheme="majorHAnsi" w:cstheme="majorHAnsi"/>
          <w:vertAlign w:val="superscript"/>
        </w:rPr>
        <w:instrText xml:space="preserve"> ADDIN ZOTERO_ITEM CSL_CITATION {"citationID":"XJGl75E6","properties":{"formattedCitation":"\\super 22\\nosupersub{}","plainCitation":"22","noteIndex":0},"citationItems":[{"id":102,"uris":["http://zotero.org/users/local/mcUgpCQu/items/SIDUWM8Z"],"itemData":{"id":102,"type":"article-journal","container-title":"Nature Reviews Clinical Oncology","DOI":"10.1038/s41571-022-00668-4","ISSN":"1759-4774, 1759-4782","issue":"10","journalAbbreviation":"Nat Rev Clin Oncol","language":"en","page":"619-636","source":"DOI.org (Crossref)","title":"Senescence and cancer — role and therapeutic opportunities","volume":"19","author":[{"family":"Schmitt","given":"Clemens A."},{"family":"Wang","given":"Boshi"},{"family":"Demaria","given":"Marco"}],"issued":{"date-parts":[["2022",10]]}}}],"schema":"https://github.com/citation-style-language/schema/raw/master/csl-citation.json"} </w:instrText>
      </w:r>
      <w:r w:rsidR="0068082F" w:rsidRPr="00B37F6F">
        <w:rPr>
          <w:rFonts w:asciiTheme="majorHAnsi" w:hAnsiTheme="majorHAnsi" w:cstheme="majorHAnsi"/>
          <w:vertAlign w:val="superscript"/>
        </w:rPr>
        <w:fldChar w:fldCharType="separate"/>
      </w:r>
      <w:r w:rsidR="008E3702" w:rsidRPr="008E3702">
        <w:rPr>
          <w:rFonts w:hAnsiTheme="majorHAnsi"/>
          <w:vertAlign w:val="superscript"/>
        </w:rPr>
        <w:t>22</w:t>
      </w:r>
      <w:r w:rsidR="0068082F" w:rsidRPr="00B37F6F">
        <w:rPr>
          <w:rFonts w:asciiTheme="majorHAnsi" w:hAnsiTheme="majorHAnsi" w:cstheme="majorHAnsi"/>
          <w:vertAlign w:val="superscript"/>
        </w:rPr>
        <w:fldChar w:fldCharType="end"/>
      </w:r>
      <w:r w:rsidR="00896DC4">
        <w:rPr>
          <w:rFonts w:asciiTheme="majorHAnsi" w:hAnsiTheme="majorHAnsi" w:cstheme="majorHAnsi"/>
        </w:rPr>
        <w:t>.</w:t>
      </w:r>
    </w:p>
    <w:p w14:paraId="720C9CF6" w14:textId="77777777" w:rsidR="00CB1E47" w:rsidRDefault="00CB1E47" w:rsidP="00CB1E47">
      <w:pPr>
        <w:rPr>
          <w:rFonts w:asciiTheme="majorHAnsi" w:hAnsiTheme="majorHAnsi" w:cstheme="majorHAnsi"/>
        </w:rPr>
      </w:pPr>
    </w:p>
    <w:p w14:paraId="7CAC9FA9" w14:textId="77777777" w:rsidR="000C3FA5" w:rsidRDefault="00000000" w:rsidP="00CB1E47">
      <w:pPr>
        <w:rPr>
          <w:rFonts w:asciiTheme="majorHAnsi" w:hAnsiTheme="majorHAnsi" w:cstheme="majorHAnsi"/>
        </w:rPr>
      </w:pPr>
      <w:r w:rsidRPr="00FE0B9D">
        <w:rPr>
          <w:rFonts w:asciiTheme="majorHAnsi" w:hAnsiTheme="majorHAnsi" w:cstheme="majorHAnsi"/>
        </w:rPr>
        <w:t xml:space="preserve">Several additional limitations warrant explicit statement. LysoTracker accumulates in all acidic compartments, including late endosomes as well as lysosomes, and its fluorescence intensity depends on both compartment volume and luminal pH; the readout is therefore best interpreted as an indirect, pH-dependent proxy for the acidic endo-lysosomal compartment rather than as a direct measure of lysosomal number, volume, or biogenesis. Senescent cells exhibit lipofuscin-associated autofluorescence that overlaps with far-red detection channels; unstained matched controls imaged under identical acquisition settings should be used to subtract this contribution. Absolute fluorescence intensities are not comparable across imaging sessions or instruments, so all intensity-based comparisons in this protocol are restricted to wells imaged within a single session under identical acquisition settings, and cross-session comparisons require a shared reference well. Nucleus-anchored whole-cell approximation by fixed-radius expansion is less reliable in dense or morphologically heterogeneous regions, and adjunct cytoplasmic staining may be required for robust per-cell analysis in such cases. </w:t>
      </w:r>
    </w:p>
    <w:p w14:paraId="2DC13DD1" w14:textId="77777777" w:rsidR="000C3FA5" w:rsidRDefault="000C3FA5" w:rsidP="00CB1E47">
      <w:pPr>
        <w:rPr>
          <w:rFonts w:asciiTheme="majorHAnsi" w:hAnsiTheme="majorHAnsi" w:cstheme="majorHAnsi"/>
        </w:rPr>
      </w:pPr>
    </w:p>
    <w:p w14:paraId="6B89A1EF" w14:textId="3F3A90C7" w:rsidR="00FE0B9D" w:rsidRDefault="004D476C" w:rsidP="00CB1E47">
      <w:pPr>
        <w:rPr>
          <w:rFonts w:asciiTheme="majorHAnsi" w:hAnsiTheme="majorHAnsi" w:cstheme="majorHAnsi"/>
        </w:rPr>
      </w:pPr>
      <w:r>
        <w:lastRenderedPageBreak/>
        <w:t xml:space="preserve">In the representative dataset, per-cell lysosomal fluorescence signal approached the 8-bit detector ceiling in a fraction of cells (20% of P13 cells and 63% of P23 cells had at least one saturated pixel). This compresses the upper tail of the senescent intensity distribution; users performing absolute intensity comparisons should calibrate exposure settings to keep the brightest lysosomes comfortably below the detector maximum. </w:t>
      </w:r>
      <w:r w:rsidRPr="00FE0B9D">
        <w:rPr>
          <w:rFonts w:asciiTheme="majorHAnsi" w:hAnsiTheme="majorHAnsi" w:cstheme="majorHAnsi"/>
        </w:rPr>
        <w:t>Finally, the representative data derive from a single cell model (IMR-90 replicative senescence) in a single laboratory, and cross-model and cross-platform validation remain to be performed.</w:t>
      </w:r>
    </w:p>
    <w:p w14:paraId="522AD577" w14:textId="77777777" w:rsidR="00FE0B9D" w:rsidRPr="00CB1E47" w:rsidRDefault="00FE0B9D" w:rsidP="00CB1E47">
      <w:pPr>
        <w:rPr>
          <w:rFonts w:asciiTheme="majorHAnsi" w:hAnsiTheme="majorHAnsi" w:cstheme="majorHAnsi"/>
        </w:rPr>
      </w:pPr>
    </w:p>
    <w:p w14:paraId="0BEB38EC" w14:textId="137AA266" w:rsidR="006E4797" w:rsidRDefault="00000000" w:rsidP="00DA3C5C">
      <w:pPr>
        <w:rPr>
          <w:rFonts w:asciiTheme="majorHAnsi" w:hAnsiTheme="majorHAnsi" w:cstheme="majorHAnsi"/>
        </w:rPr>
      </w:pPr>
      <w:r w:rsidRPr="00CB1E47">
        <w:rPr>
          <w:rFonts w:asciiTheme="majorHAnsi" w:hAnsiTheme="majorHAnsi" w:cstheme="majorHAnsi"/>
        </w:rPr>
        <w:t xml:space="preserve">Despite these constraints, the protocol fills a practical gap between conventional senescence assays and more complex imaging workflows. Traditional readouts such as </w:t>
      </w:r>
      <w:r w:rsidR="003A3856">
        <w:rPr>
          <w:rFonts w:asciiTheme="majorHAnsi" w:hAnsiTheme="majorHAnsi" w:cstheme="majorHAnsi"/>
        </w:rPr>
        <w:t>SA-β-Gal</w:t>
      </w:r>
      <w:r w:rsidRPr="00CB1E47">
        <w:rPr>
          <w:rFonts w:asciiTheme="majorHAnsi" w:hAnsiTheme="majorHAnsi" w:cstheme="majorHAnsi"/>
        </w:rPr>
        <w:t xml:space="preserve"> histochemistry, p16 or p21 immunostaining, EdU incorporation, and SASP measurements provide valuable information, but they are often endpoint, labor-intensive, and challenging to standardize across experiments</w:t>
      </w:r>
      <w:r w:rsidR="0068082F" w:rsidRPr="00B37F6F">
        <w:rPr>
          <w:rFonts w:asciiTheme="majorHAnsi" w:hAnsiTheme="majorHAnsi" w:cstheme="majorHAnsi"/>
          <w:vertAlign w:val="superscript"/>
        </w:rPr>
        <w:fldChar w:fldCharType="begin"/>
      </w:r>
      <w:r w:rsidR="007B2A6A">
        <w:rPr>
          <w:rFonts w:asciiTheme="majorHAnsi" w:hAnsiTheme="majorHAnsi" w:cstheme="majorHAnsi"/>
          <w:vertAlign w:val="superscript"/>
        </w:rPr>
        <w:instrText xml:space="preserve"> ADDIN ZOTERO_ITEM CSL_CITATION {"citationID":"r9ZBDmdP","properties":{"formattedCitation":"\\super 3\\uc0\\u8211{}5,13\\nosupersub{}","plainCitation":"3–5,13","noteIndex":0},"citationItems":[{"id":64,"uris":["http://zotero.org/users/local/mcUgpCQu/items/DGAGVFVJ"],"itemData":{"id":64,"type":"article-journal","container-title":"Trends in Cell Biology","DOI":"10.1016/j.tcb.2018.02.001","ISSN":"09628924","issue":"6","journalAbbreviation":"Trends Cell Biol","language":"en","page":"436-453","source":"DOI.org (Crossref)","title":"Hallmarks of Cellular Senescence","volume":"28","author":[{"family":"Hernandez-Segura","given":"Alejandra"},{"family":"Nehme","given":"Jamil"},{"family":"Demaria","given":"Marco"}],"issued":{"date-parts":[["2018",6]]}}},{"id":76,"uris":["http://zotero.org/users/local/mcUgpCQu/items/YVXGCNWW"],"itemData":{"id":76,"type":"article-journal","container-title":"Cell","DOI":"10.1016/j.cell.2019.10.005","ISSN":"00928674","issue":"4","journalAbbreviation":"Cell","language":"en","page":"813-827","source":"DOI.org (Crossref)","title":"Cellular Senescence: Defining a Path Forward","title-short":"Cellular Senescence","volume":"179","author":[{"family":"Gorgoulis","given":"Vassilis"},{"family":"Adams","given":"Peter D."},{"family":"Alimonti","given":"Andrea"},{"family":"Bennett","given":"Dorothy C."},{"family":"Bischof","given":"Oliver"},{"family":"Bishop","given":"Cleo"},{"family":"Campisi","given":"Judith"},{"family":"Collado","given":"Manuel"},{"family":"Evangelou","given":"Konstantinos"},{"family":"Ferbeyre","given":"Gerardo"},{"family":"Gil","given":"Jesús"},{"family":"Hara","given":"Eiji"},{"family":"Krizhanovsky","given":"Valery"},{"family":"Jurk","given":"Diana"},{"family":"Maier","given":"Andrea B."},{"family":"Narita","given":"Masashi"},{"family":"Niedernhofer","given":"Laura"},{"family":"Passos","given":"João F."},{"family":"Robbins","given":"Paul D."},{"family":"Schmitt","given":"Clemens A."},{"family":"Sedivy","given":"John"},{"family":"Vougas","given":"Konstantinos"},{"family":"Von Zglinicki","given":"Thomas"},{"family":"Zhou","given":"Daohong"},{"family":"Serrano","given":"Manuel"},{"family":"Demaria","given":"Marco"}],"issued":{"date-parts":[["2019",10]]}}},{"id":88,"uris":["http://zotero.org/users/local/mcUgpCQu/items/B3HW7IUP"],"itemData":{"id":88,"type":"article-journal","container-title":"Nature Reviews Cancer","DOI":"10.1038/nrc3960","ISSN":"1474-175X, 1474-1768","issue":"7","journalAbbreviation":"Nat Rev Cancer","language":"en","page":"397-408","source":"DOI.org (Crossref)","title":"Forging a signature of in vivo senescence","volume":"15","author":[{"family":"Sharpless","given":"Norman E."},{"family":"Sherr","given":"Charles J."}],"issued":{"date-parts":[["2015",7]]}}},{"id":87,"uris":["http://zotero.org/users/local/mcUgpCQu/items/UDI5JQTE"],"itemData":{"id":87,"type":"article-journal","container-title":"Nature Protocols","DOI":"10.1038/nprot.2009.191","ISSN":"1754-2189, 1750-2799","issue":"12","journalAbbreviation":"Nat Protoc","language":"en","license":"http://www.springer.com/tdm","page":"1798-1806","source":"DOI.org (Crossref)","title":"Protocols to detect senescence-associated beta-galactosidase (SA-βgal) activity, a biomarker of senescent cells in culture and in vivo","volume":"4","author":[{"family":"Debacq-Chainiaux","given":"Florence"},{"family":"Erusalimsky","given":"Jorge D"},{"family":"Campisi","given":"Judith"},{"family":"Toussaint","given":"Olivier"}],"issued":{"date-parts":[["2009",12]]}}}],"schema":"https://github.com/citation-style-language/schema/raw/master/csl-citation.json"} </w:instrText>
      </w:r>
      <w:r w:rsidR="0068082F" w:rsidRPr="00B37F6F">
        <w:rPr>
          <w:rFonts w:asciiTheme="majorHAnsi" w:hAnsiTheme="majorHAnsi" w:cstheme="majorHAnsi"/>
          <w:vertAlign w:val="superscript"/>
        </w:rPr>
        <w:fldChar w:fldCharType="separate"/>
      </w:r>
      <w:r w:rsidR="007B2A6A" w:rsidRPr="007B2A6A">
        <w:rPr>
          <w:rFonts w:hAnsiTheme="majorHAnsi"/>
          <w:vertAlign w:val="superscript"/>
        </w:rPr>
        <w:t>3–5,13</w:t>
      </w:r>
      <w:r w:rsidR="0068082F" w:rsidRPr="00B37F6F">
        <w:rPr>
          <w:rFonts w:asciiTheme="majorHAnsi" w:hAnsiTheme="majorHAnsi" w:cstheme="majorHAnsi"/>
          <w:vertAlign w:val="superscript"/>
        </w:rPr>
        <w:fldChar w:fldCharType="end"/>
      </w:r>
      <w:r w:rsidR="00896DC4">
        <w:rPr>
          <w:rFonts w:asciiTheme="majorHAnsi" w:hAnsiTheme="majorHAnsi" w:cstheme="majorHAnsi"/>
        </w:rPr>
        <w:t>.</w:t>
      </w:r>
      <w:r w:rsidRPr="00CB1E47">
        <w:rPr>
          <w:rFonts w:asciiTheme="majorHAnsi" w:hAnsiTheme="majorHAnsi" w:cstheme="majorHAnsi"/>
        </w:rPr>
        <w:t xml:space="preserve"> Recent work has shown that senescence can be recognized from nuclear morphology and other imaging features using machine learning, supporting the idea that image-derived measurements can provide robust senescence biomarkers</w:t>
      </w:r>
      <w:r w:rsidR="0068082F" w:rsidRPr="00B37F6F">
        <w:rPr>
          <w:rFonts w:asciiTheme="majorHAnsi" w:hAnsiTheme="majorHAnsi" w:cstheme="majorHAnsi"/>
          <w:vertAlign w:val="superscript"/>
        </w:rPr>
        <w:fldChar w:fldCharType="begin"/>
      </w:r>
      <w:r w:rsidR="008E3702">
        <w:rPr>
          <w:rFonts w:asciiTheme="majorHAnsi" w:hAnsiTheme="majorHAnsi" w:cstheme="majorHAnsi"/>
          <w:vertAlign w:val="superscript"/>
        </w:rPr>
        <w:instrText xml:space="preserve"> ADDIN ZOTERO_ITEM CSL_CITATION {"citationID":"clzMADEM","properties":{"formattedCitation":"\\super 23\\nosupersub{}","plainCitation":"23","noteIndex":0},"citationItems":[{"id":96,"uris":["http://zotero.org/users/local/mcUgpCQu/items/2FESL5ZX"],"itemData":{"id":96,"type":"article-journal","abstract":"Abstract\n            Cellular senescence is a stress response with broad pathophysiological implications. Senotherapies can induce senescence to treat cancer or eliminate senescent cells to ameliorate ageing and age-related pathologies. However, the success of senotherapies is limited by the lack of reliable ways to identify senescence. Here, we use nuclear morphology features of senescent cells to devise machine-learning classifiers that accurately predict senescence induced by diverse stressors in different cell types and tissues. As a proof-of-principle, we use these senescence classifiers to characterise senolytics and to screen for drugs that selectively induce senescence in cancer cells but not normal cells. Moreover, a tissue senescence score served to assess the efficacy of senolytic drugs and identified senescence in mouse models of liver cancer initiation, ageing, and fibrosis, and in patients with fatty liver disease. Thus, senescence classifiers can help to detect pathophysiological senescence and to discover and validate potential senotherapies.","container-title":"Nature Communications","DOI":"10.1038/s41467-024-45421-w","ISSN":"2041-1723","issue":"1","journalAbbreviation":"Nat Commun","language":"en","page":"1041","source":"DOI.org (Crossref)","title":"Detection of senescence using machine learning algorithms based on nuclear features","volume":"15","author":[{"family":"Duran","given":"Imanol"},{"family":"Pombo","given":"Joaquim"},{"family":"Sun","given":"Bin"},{"family":"Gallage","given":"Suchira"},{"family":"Kudo","given":"Hiromi"},{"family":"McHugh","given":"Domhnall"},{"family":"Bousset","given":"Laura"},{"family":"Barragan Avila","given":"Jose Efren"},{"family":"Forlano","given":"Roberta"},{"family":"Manousou","given":"Pinelopi"},{"family":"Heikenwalder","given":"Mathias"},{"family":"Withers","given":"Dominic J."},{"family":"Vernia","given":"Santiago"},{"family":"Goldin","given":"Robert D."},{"family":"Gil","given":"Jesús"}],"issued":{"date-parts":[["2024",2,3]]}}}],"schema":"https://github.com/citation-style-language/schema/raw/master/csl-citation.json"} </w:instrText>
      </w:r>
      <w:r w:rsidR="0068082F" w:rsidRPr="00B37F6F">
        <w:rPr>
          <w:rFonts w:asciiTheme="majorHAnsi" w:hAnsiTheme="majorHAnsi" w:cstheme="majorHAnsi"/>
          <w:vertAlign w:val="superscript"/>
        </w:rPr>
        <w:fldChar w:fldCharType="separate"/>
      </w:r>
      <w:r w:rsidR="008E3702" w:rsidRPr="008E3702">
        <w:rPr>
          <w:rFonts w:hAnsiTheme="majorHAnsi"/>
          <w:vertAlign w:val="superscript"/>
        </w:rPr>
        <w:t>23</w:t>
      </w:r>
      <w:r w:rsidR="0068082F" w:rsidRPr="00B37F6F">
        <w:rPr>
          <w:rFonts w:asciiTheme="majorHAnsi" w:hAnsiTheme="majorHAnsi" w:cstheme="majorHAnsi"/>
          <w:vertAlign w:val="superscript"/>
        </w:rPr>
        <w:fldChar w:fldCharType="end"/>
      </w:r>
      <w:r w:rsidR="00896DC4">
        <w:rPr>
          <w:rFonts w:asciiTheme="majorHAnsi" w:hAnsiTheme="majorHAnsi" w:cstheme="majorHAnsi"/>
        </w:rPr>
        <w:t>.</w:t>
      </w:r>
      <w:r w:rsidRPr="00CB1E47">
        <w:rPr>
          <w:rFonts w:asciiTheme="majorHAnsi" w:hAnsiTheme="majorHAnsi" w:cstheme="majorHAnsi"/>
          <w:vertAlign w:val="superscript"/>
        </w:rPr>
        <w:t xml:space="preserve"> </w:t>
      </w:r>
      <w:r w:rsidRPr="00CB1E47">
        <w:rPr>
          <w:rFonts w:asciiTheme="majorHAnsi" w:hAnsiTheme="majorHAnsi" w:cstheme="majorHAnsi"/>
        </w:rPr>
        <w:t>In this protocol, the emphasis remains on accessible vital dyes and direct, interpretable lysosomal measurements anchored to an established validation marker. Once an assay baseline is established and validated under consistent conditions, new plates require only a short LysoTracker plus nuclear staining step followed by routine imaging, after which senescence burden can be summarized at the cell or well level. This makes the workflow suitable for monitoring culture health over time, comparing senescence load under different oxygen tensions or stress conditions, and evaluating candidate senolytics or senescence-modulating compounds in modest-scale screening formats. In this way, the protocol provides an experimentally accessible route to more objective and reproducible senescence quantification while staying grounded in standard cell culture and imaging practices.</w:t>
      </w:r>
    </w:p>
    <w:p w14:paraId="1F809CC1" w14:textId="77777777" w:rsidR="00CB1E47" w:rsidRPr="0055174B" w:rsidRDefault="00CB1E47" w:rsidP="00DA3C5C">
      <w:pPr>
        <w:rPr>
          <w:rFonts w:asciiTheme="majorHAnsi" w:hAnsiTheme="majorHAnsi" w:cstheme="majorHAnsi"/>
        </w:rPr>
      </w:pPr>
    </w:p>
    <w:p w14:paraId="59F37CC4" w14:textId="2B07462B" w:rsidR="006E4797" w:rsidRPr="0055174B" w:rsidRDefault="00000000" w:rsidP="00DA3C5C">
      <w:pPr>
        <w:pBdr>
          <w:top w:val="nil"/>
          <w:left w:val="nil"/>
          <w:bottom w:val="nil"/>
          <w:right w:val="nil"/>
          <w:between w:val="nil"/>
        </w:pBdr>
        <w:rPr>
          <w:rFonts w:asciiTheme="majorHAnsi" w:hAnsiTheme="majorHAnsi" w:cstheme="majorHAnsi"/>
        </w:rPr>
      </w:pPr>
      <w:r w:rsidRPr="0055174B">
        <w:rPr>
          <w:rFonts w:asciiTheme="majorHAnsi" w:hAnsiTheme="majorHAnsi" w:cstheme="majorHAnsi"/>
          <w:b/>
        </w:rPr>
        <w:t xml:space="preserve">ACKNOWLEDGMENTS: </w:t>
      </w:r>
    </w:p>
    <w:p w14:paraId="7F81CC6B" w14:textId="4CB650C1" w:rsidR="00D86B4F" w:rsidRPr="0055174B" w:rsidRDefault="00000000" w:rsidP="00D86B4F">
      <w:pPr>
        <w:rPr>
          <w:rFonts w:asciiTheme="majorHAnsi" w:eastAsiaTheme="majorEastAsia" w:hAnsiTheme="majorHAnsi" w:cstheme="majorBidi"/>
        </w:rPr>
      </w:pPr>
      <w:r w:rsidRPr="0055174B">
        <w:rPr>
          <w:rFonts w:asciiTheme="majorHAnsi" w:eastAsiaTheme="majorEastAsia" w:hAnsiTheme="majorHAnsi" w:cstheme="majorBidi"/>
        </w:rPr>
        <w:t>The research was funded by NIH grants R15CA274603 to JAM and TJB, R56DE033253 to ML, ST and JAM, and R01GM125870, 1R41AG081123 to ST and JAM.</w:t>
      </w:r>
      <w:r w:rsidR="00690A51">
        <w:rPr>
          <w:rFonts w:asciiTheme="majorHAnsi" w:eastAsiaTheme="majorEastAsia" w:hAnsiTheme="majorHAnsi" w:cstheme="majorBidi"/>
        </w:rPr>
        <w:t xml:space="preserve"> </w:t>
      </w:r>
      <w:r w:rsidR="00690A51" w:rsidRPr="00690A51">
        <w:rPr>
          <w:rFonts w:asciiTheme="majorHAnsi" w:eastAsiaTheme="majorEastAsia" w:hAnsiTheme="majorHAnsi" w:cstheme="majorBidi"/>
        </w:rPr>
        <w:t>Schematic figures were created with BioRender.com.</w:t>
      </w:r>
    </w:p>
    <w:p w14:paraId="25B2FBBD" w14:textId="77777777" w:rsidR="006E4797" w:rsidRPr="0055174B" w:rsidRDefault="006E4797" w:rsidP="00DA3C5C">
      <w:pPr>
        <w:rPr>
          <w:rFonts w:asciiTheme="majorHAnsi" w:hAnsiTheme="majorHAnsi" w:cstheme="majorHAnsi"/>
          <w:b/>
        </w:rPr>
      </w:pPr>
    </w:p>
    <w:p w14:paraId="5E703EBA" w14:textId="320C5AD0" w:rsidR="006E4797" w:rsidRPr="0055174B" w:rsidRDefault="00000000" w:rsidP="00DA3C5C">
      <w:pPr>
        <w:pBdr>
          <w:top w:val="nil"/>
          <w:left w:val="nil"/>
          <w:bottom w:val="nil"/>
          <w:right w:val="nil"/>
          <w:between w:val="nil"/>
        </w:pBdr>
        <w:rPr>
          <w:rFonts w:asciiTheme="majorHAnsi" w:hAnsiTheme="majorHAnsi" w:cstheme="majorHAnsi"/>
        </w:rPr>
      </w:pPr>
      <w:r w:rsidRPr="0055174B">
        <w:rPr>
          <w:rFonts w:asciiTheme="majorHAnsi" w:hAnsiTheme="majorHAnsi" w:cstheme="majorHAnsi"/>
          <w:b/>
        </w:rPr>
        <w:t xml:space="preserve">DISCLOSURES: </w:t>
      </w:r>
    </w:p>
    <w:p w14:paraId="1458A39E" w14:textId="77777777" w:rsidR="00D86B4F" w:rsidRPr="0055174B" w:rsidRDefault="00000000" w:rsidP="00D86B4F">
      <w:pPr>
        <w:spacing w:line="259" w:lineRule="auto"/>
      </w:pPr>
      <w:r w:rsidRPr="0055174B">
        <w:rPr>
          <w:rFonts w:asciiTheme="majorHAnsi" w:hAnsiTheme="majorHAnsi" w:cstheme="majorBidi"/>
        </w:rPr>
        <w:t>No disclosures to report</w:t>
      </w:r>
    </w:p>
    <w:p w14:paraId="4A7B0E5C" w14:textId="77777777" w:rsidR="006E4797" w:rsidRPr="0055174B" w:rsidRDefault="006E4797" w:rsidP="00DA3C5C">
      <w:pPr>
        <w:rPr>
          <w:rFonts w:asciiTheme="majorHAnsi" w:hAnsiTheme="majorHAnsi" w:cstheme="majorHAnsi"/>
        </w:rPr>
      </w:pPr>
    </w:p>
    <w:p w14:paraId="6DE2B73C" w14:textId="55E36426" w:rsidR="006E4797" w:rsidRPr="0055174B" w:rsidRDefault="00000000" w:rsidP="00DA3C5C">
      <w:pPr>
        <w:rPr>
          <w:rFonts w:asciiTheme="majorHAnsi" w:hAnsiTheme="majorHAnsi" w:cstheme="majorHAnsi"/>
          <w:b/>
        </w:rPr>
      </w:pPr>
      <w:bookmarkStart w:id="2" w:name="_Hlk227777503"/>
      <w:r w:rsidRPr="0055174B">
        <w:rPr>
          <w:rFonts w:asciiTheme="majorHAnsi" w:hAnsiTheme="majorHAnsi" w:cstheme="majorHAnsi"/>
          <w:b/>
        </w:rPr>
        <w:t>REFERENCES:</w:t>
      </w:r>
      <w:r w:rsidRPr="0055174B">
        <w:rPr>
          <w:rFonts w:asciiTheme="majorHAnsi" w:hAnsiTheme="majorHAnsi" w:cstheme="majorHAnsi"/>
        </w:rPr>
        <w:t xml:space="preserve"> </w:t>
      </w:r>
    </w:p>
    <w:p w14:paraId="75209E27" w14:textId="77777777" w:rsidR="008E3702" w:rsidRPr="008E3702" w:rsidRDefault="00000000" w:rsidP="008E3702">
      <w:pPr>
        <w:pStyle w:val="Bibliography"/>
        <w:rPr>
          <w:rFonts w:hAnsiTheme="majorHAnsi"/>
        </w:rPr>
      </w:pPr>
      <w:r w:rsidRPr="0055174B">
        <w:fldChar w:fldCharType="begin"/>
      </w:r>
      <w:r w:rsidRPr="004D476C">
        <w:rPr>
          <w:lang w:val="es-US"/>
        </w:rPr>
        <w:instrText xml:space="preserve"> ADDIN ZOTERO_BIBL {"uncited":[],"omitted":[],"custom":[]} CSL_BIBLIOGRAPHY </w:instrText>
      </w:r>
      <w:r w:rsidRPr="0055174B">
        <w:fldChar w:fldCharType="separate"/>
      </w:r>
      <w:r w:rsidRPr="004D476C">
        <w:rPr>
          <w:rFonts w:hAnsiTheme="majorHAnsi"/>
          <w:lang w:val="es-US"/>
        </w:rPr>
        <w:t xml:space="preserve">1. </w:t>
      </w:r>
      <w:r w:rsidRPr="004D476C">
        <w:rPr>
          <w:rFonts w:hAnsiTheme="majorHAnsi"/>
          <w:lang w:val="es-US"/>
        </w:rPr>
        <w:tab/>
        <w:t xml:space="preserve">López-Otín C et al. </w:t>
      </w:r>
      <w:r w:rsidRPr="008E3702">
        <w:rPr>
          <w:rFonts w:hAnsiTheme="majorHAnsi"/>
        </w:rPr>
        <w:t>The Hallmarks of Aging. Cell. 2013;153(6):1194–1217. doi:10.1016/j.cell.2013.05.039.</w:t>
      </w:r>
    </w:p>
    <w:p w14:paraId="7F6047A8" w14:textId="77777777" w:rsidR="008E3702" w:rsidRPr="008E3702" w:rsidRDefault="00000000" w:rsidP="008E3702">
      <w:pPr>
        <w:pStyle w:val="Bibliography"/>
        <w:rPr>
          <w:rFonts w:hAnsiTheme="majorHAnsi"/>
        </w:rPr>
      </w:pPr>
      <w:r w:rsidRPr="008E3702">
        <w:rPr>
          <w:rFonts w:hAnsiTheme="majorHAnsi"/>
        </w:rPr>
        <w:t xml:space="preserve">2. </w:t>
      </w:r>
      <w:r w:rsidRPr="008E3702">
        <w:rPr>
          <w:rFonts w:hAnsiTheme="majorHAnsi"/>
        </w:rPr>
        <w:tab/>
        <w:t>Campisi J. Aging, Cellular Senescence, and Cancer. Annu Rev Physiol. 2013;75(1):685–705. doi:10.1146/annurev-physiol-030212-183653.</w:t>
      </w:r>
    </w:p>
    <w:p w14:paraId="2BAA0439" w14:textId="77777777" w:rsidR="008E3702" w:rsidRPr="008E3702" w:rsidRDefault="00000000" w:rsidP="008E3702">
      <w:pPr>
        <w:pStyle w:val="Bibliography"/>
        <w:rPr>
          <w:rFonts w:hAnsiTheme="majorHAnsi"/>
        </w:rPr>
      </w:pPr>
      <w:r w:rsidRPr="008E3702">
        <w:rPr>
          <w:rFonts w:hAnsiTheme="majorHAnsi"/>
        </w:rPr>
        <w:t xml:space="preserve">3. </w:t>
      </w:r>
      <w:r w:rsidRPr="008E3702">
        <w:rPr>
          <w:rFonts w:hAnsiTheme="majorHAnsi"/>
        </w:rPr>
        <w:tab/>
        <w:t>Hernandez-Segura A, Nehme J, Demaria M. Hallmarks of Cellular Senescence. Trends Cell Biol. 2018;28(6):436–453. doi:10.1016/j.tcb.2018.02.001.</w:t>
      </w:r>
    </w:p>
    <w:p w14:paraId="3470D2DA" w14:textId="77777777" w:rsidR="008E3702" w:rsidRPr="008E3702" w:rsidRDefault="00000000" w:rsidP="008E3702">
      <w:pPr>
        <w:pStyle w:val="Bibliography"/>
        <w:rPr>
          <w:rFonts w:hAnsiTheme="majorHAnsi"/>
        </w:rPr>
      </w:pPr>
      <w:r w:rsidRPr="008E3702">
        <w:rPr>
          <w:rFonts w:hAnsiTheme="majorHAnsi"/>
        </w:rPr>
        <w:lastRenderedPageBreak/>
        <w:t xml:space="preserve">4. </w:t>
      </w:r>
      <w:r w:rsidRPr="008E3702">
        <w:rPr>
          <w:rFonts w:hAnsiTheme="majorHAnsi"/>
        </w:rPr>
        <w:tab/>
        <w:t>Gorgoulis V et al. Cellular Senescence: Defining a Path Forward. Cell. 2019;179(4):813–827. doi:10.1016/j.cell.2019.10.005.</w:t>
      </w:r>
    </w:p>
    <w:p w14:paraId="6755CE5C" w14:textId="77777777" w:rsidR="008E3702" w:rsidRPr="008E3702" w:rsidRDefault="00000000" w:rsidP="008E3702">
      <w:pPr>
        <w:pStyle w:val="Bibliography"/>
        <w:rPr>
          <w:rFonts w:hAnsiTheme="majorHAnsi"/>
        </w:rPr>
      </w:pPr>
      <w:r w:rsidRPr="008E3702">
        <w:rPr>
          <w:rFonts w:hAnsiTheme="majorHAnsi"/>
        </w:rPr>
        <w:t xml:space="preserve">5. </w:t>
      </w:r>
      <w:r w:rsidRPr="008E3702">
        <w:rPr>
          <w:rFonts w:hAnsiTheme="majorHAnsi"/>
        </w:rPr>
        <w:tab/>
        <w:t>Sharpless NE, Sherr CJ. Forging a signature of in vivo senescence. Nat Rev Cancer. 2015;15(7):397–408. doi:10.1038/nrc3960.</w:t>
      </w:r>
    </w:p>
    <w:p w14:paraId="61DA7F1B" w14:textId="77777777" w:rsidR="008E3702" w:rsidRPr="008E3702" w:rsidRDefault="00000000" w:rsidP="008E3702">
      <w:pPr>
        <w:pStyle w:val="Bibliography"/>
        <w:rPr>
          <w:rFonts w:hAnsiTheme="majorHAnsi"/>
        </w:rPr>
      </w:pPr>
      <w:r w:rsidRPr="008E3702">
        <w:rPr>
          <w:rFonts w:hAnsiTheme="majorHAnsi"/>
        </w:rPr>
        <w:t xml:space="preserve">6. </w:t>
      </w:r>
      <w:r w:rsidRPr="008E3702">
        <w:rPr>
          <w:rFonts w:hAnsiTheme="majorHAnsi"/>
        </w:rPr>
        <w:tab/>
        <w:t>Tan JX, Finkel T. Lysosomes in senescence and aging. EMBO Rep. 2023;24(11):e57265. doi:10.15252/embr.202357265.</w:t>
      </w:r>
    </w:p>
    <w:p w14:paraId="164B06ED" w14:textId="77777777" w:rsidR="008E3702" w:rsidRPr="008E3702" w:rsidRDefault="00000000" w:rsidP="008E3702">
      <w:pPr>
        <w:pStyle w:val="Bibliography"/>
        <w:rPr>
          <w:rFonts w:hAnsiTheme="majorHAnsi"/>
        </w:rPr>
      </w:pPr>
      <w:r w:rsidRPr="008E3702">
        <w:rPr>
          <w:rFonts w:hAnsiTheme="majorHAnsi"/>
        </w:rPr>
        <w:t xml:space="preserve">7. </w:t>
      </w:r>
      <w:r w:rsidRPr="008E3702">
        <w:rPr>
          <w:rFonts w:hAnsiTheme="majorHAnsi"/>
        </w:rPr>
        <w:tab/>
        <w:t xml:space="preserve">Curnock R et al. </w:t>
      </w:r>
      <w:r w:rsidRPr="008E3702">
        <w:rPr>
          <w:rFonts w:hAnsiTheme="majorHAnsi"/>
          <w:smallCaps/>
        </w:rPr>
        <w:t>TFEB</w:t>
      </w:r>
      <w:r w:rsidRPr="008E3702">
        <w:rPr>
          <w:rFonts w:hAnsiTheme="majorHAnsi"/>
        </w:rPr>
        <w:t>‐dependent lysosome biogenesis is required for senescence. EMBO J. 2023;42(9):e111241. doi:10.15252/embj.2022111241.</w:t>
      </w:r>
    </w:p>
    <w:p w14:paraId="57557CF3" w14:textId="77777777" w:rsidR="008E3702" w:rsidRPr="008E3702" w:rsidRDefault="00000000" w:rsidP="008E3702">
      <w:pPr>
        <w:pStyle w:val="Bibliography"/>
        <w:rPr>
          <w:rFonts w:hAnsiTheme="majorHAnsi"/>
        </w:rPr>
      </w:pPr>
      <w:r w:rsidRPr="008E3702">
        <w:rPr>
          <w:rFonts w:hAnsiTheme="majorHAnsi"/>
        </w:rPr>
        <w:t xml:space="preserve">8. </w:t>
      </w:r>
      <w:r w:rsidRPr="008E3702">
        <w:rPr>
          <w:rFonts w:hAnsiTheme="majorHAnsi"/>
        </w:rPr>
        <w:tab/>
        <w:t>Loo TM et al. Senescence-associated lysosomal dysfunction impairs cystine deprivation-induced lipid peroxidation and ferroptosis. Nat Commun. 2025;16(1):6617. doi:10.1038/s41467-025-61894-9.</w:t>
      </w:r>
    </w:p>
    <w:p w14:paraId="05A761BA" w14:textId="77777777" w:rsidR="008E3702" w:rsidRPr="008E3702" w:rsidRDefault="00000000" w:rsidP="008E3702">
      <w:pPr>
        <w:pStyle w:val="Bibliography"/>
        <w:rPr>
          <w:rFonts w:hAnsiTheme="majorHAnsi"/>
        </w:rPr>
      </w:pPr>
      <w:r w:rsidRPr="008E3702">
        <w:rPr>
          <w:rFonts w:hAnsiTheme="majorHAnsi"/>
        </w:rPr>
        <w:t xml:space="preserve">9. </w:t>
      </w:r>
      <w:r w:rsidRPr="008E3702">
        <w:rPr>
          <w:rFonts w:hAnsiTheme="majorHAnsi"/>
        </w:rPr>
        <w:tab/>
        <w:t>Ivanov A et al. Lysosome-mediated processing of chromatin in senescence. J Cell Biol. 2013;202(1):129–143. doi:10.1083/jcb.201212110.</w:t>
      </w:r>
    </w:p>
    <w:p w14:paraId="015CE22F" w14:textId="77777777" w:rsidR="008E3702" w:rsidRPr="008E3702" w:rsidRDefault="00000000" w:rsidP="008E3702">
      <w:pPr>
        <w:pStyle w:val="Bibliography"/>
        <w:rPr>
          <w:rFonts w:hAnsiTheme="majorHAnsi"/>
        </w:rPr>
      </w:pPr>
      <w:r w:rsidRPr="008E3702">
        <w:rPr>
          <w:rFonts w:hAnsiTheme="majorHAnsi"/>
        </w:rPr>
        <w:t xml:space="preserve">10. </w:t>
      </w:r>
      <w:r w:rsidRPr="008E3702">
        <w:rPr>
          <w:rFonts w:hAnsiTheme="majorHAnsi"/>
        </w:rPr>
        <w:tab/>
        <w:t>Kurz DJ, Decary S, Hong Y, Erusalimsky JD. Senescence-associated β-galactosidase reflects an increase in lysosomal mass during replicative ageing of human endothelial cells. J Cell Sci. 2000;113(20):3613–3622. doi:10.1242/jcs.113.20.3613.</w:t>
      </w:r>
    </w:p>
    <w:p w14:paraId="635DCEBC" w14:textId="77777777" w:rsidR="008E3702" w:rsidRPr="008E3702" w:rsidRDefault="00000000" w:rsidP="008E3702">
      <w:pPr>
        <w:pStyle w:val="Bibliography"/>
        <w:rPr>
          <w:rFonts w:hAnsiTheme="majorHAnsi"/>
        </w:rPr>
      </w:pPr>
      <w:r w:rsidRPr="008E3702">
        <w:rPr>
          <w:rFonts w:hAnsiTheme="majorHAnsi"/>
        </w:rPr>
        <w:t xml:space="preserve">11. </w:t>
      </w:r>
      <w:r w:rsidRPr="008E3702">
        <w:rPr>
          <w:rFonts w:hAnsiTheme="majorHAnsi"/>
        </w:rPr>
        <w:tab/>
        <w:t>Lee BY et al. Senescence‐associated β‐galactosidase is lysosomal β‐galactosidase. Aging Cell. 2006;5(2):187–195. doi:10.1111/j.1474-9726.2006.00199.x.</w:t>
      </w:r>
    </w:p>
    <w:p w14:paraId="20D0DBD7" w14:textId="77777777" w:rsidR="008E3702" w:rsidRPr="008E3702" w:rsidRDefault="00000000" w:rsidP="008E3702">
      <w:pPr>
        <w:pStyle w:val="Bibliography"/>
        <w:rPr>
          <w:rFonts w:hAnsiTheme="majorHAnsi"/>
        </w:rPr>
      </w:pPr>
      <w:r w:rsidRPr="008E3702">
        <w:rPr>
          <w:rFonts w:hAnsiTheme="majorHAnsi"/>
        </w:rPr>
        <w:t xml:space="preserve">12. </w:t>
      </w:r>
      <w:r w:rsidRPr="008E3702">
        <w:rPr>
          <w:rFonts w:hAnsiTheme="majorHAnsi"/>
        </w:rPr>
        <w:tab/>
        <w:t>Dimri GP et al. A biomarker that identifies senescent human cells in culture and in aging skin in vivo. Proc. Natl. Acad. Sci. U.S.A. 1995;92(20):9363–9367. doi:10.1073/pnas.92.20.9363.</w:t>
      </w:r>
    </w:p>
    <w:p w14:paraId="078E885F" w14:textId="77777777" w:rsidR="008E3702" w:rsidRPr="008E3702" w:rsidRDefault="00000000" w:rsidP="008E3702">
      <w:pPr>
        <w:pStyle w:val="Bibliography"/>
        <w:rPr>
          <w:rFonts w:hAnsiTheme="majorHAnsi"/>
        </w:rPr>
      </w:pPr>
      <w:r w:rsidRPr="008E3702">
        <w:rPr>
          <w:rFonts w:hAnsiTheme="majorHAnsi"/>
        </w:rPr>
        <w:t xml:space="preserve">13. </w:t>
      </w:r>
      <w:r w:rsidRPr="008E3702">
        <w:rPr>
          <w:rFonts w:hAnsiTheme="majorHAnsi"/>
        </w:rPr>
        <w:tab/>
        <w:t>Debacq-Chainiaux F, Erusalimsky JD, Campisi J, Toussaint O. Protocols to detect senescence-associated beta-galactosidase (SA-βgal) activity, a biomarker of senescent cells in culture and in vivo. Nat Protoc. 2009;4(12):1798–1806. doi:10.1038/nprot.2009.191.</w:t>
      </w:r>
    </w:p>
    <w:p w14:paraId="02126002" w14:textId="77777777" w:rsidR="008E3702" w:rsidRPr="008E3702" w:rsidRDefault="00000000" w:rsidP="008E3702">
      <w:pPr>
        <w:pStyle w:val="Bibliography"/>
        <w:rPr>
          <w:rFonts w:hAnsiTheme="majorHAnsi"/>
        </w:rPr>
      </w:pPr>
      <w:r w:rsidRPr="008E3702">
        <w:rPr>
          <w:rFonts w:hAnsiTheme="majorHAnsi"/>
        </w:rPr>
        <w:t xml:space="preserve">14. </w:t>
      </w:r>
      <w:r w:rsidRPr="008E3702">
        <w:rPr>
          <w:rFonts w:hAnsiTheme="majorHAnsi"/>
        </w:rPr>
        <w:tab/>
        <w:t>Höhn A, Grune T. Lipofuscin: formation, effects and role of macroautophagy. Redox Biol. 2013;1(1):140–144. doi:10.1016/j.redox.2013.01.006.</w:t>
      </w:r>
    </w:p>
    <w:p w14:paraId="15F9E8BF" w14:textId="77777777" w:rsidR="008E3702" w:rsidRPr="008E3702" w:rsidRDefault="00000000" w:rsidP="008E3702">
      <w:pPr>
        <w:pStyle w:val="Bibliography"/>
        <w:rPr>
          <w:rFonts w:hAnsiTheme="majorHAnsi"/>
        </w:rPr>
      </w:pPr>
      <w:r w:rsidRPr="008E3702">
        <w:rPr>
          <w:rFonts w:hAnsiTheme="majorHAnsi"/>
        </w:rPr>
        <w:t xml:space="preserve">15. </w:t>
      </w:r>
      <w:r w:rsidRPr="008E3702">
        <w:rPr>
          <w:rFonts w:hAnsiTheme="majorHAnsi"/>
        </w:rPr>
        <w:tab/>
        <w:t>Palmieri M et al. Characterization of the CLEAR network reveals an integrated control of cellular clearance pathways. Hum Mol Genet. 2011;20(19):3852–3866. doi:10.1093/hmg/ddr306.</w:t>
      </w:r>
    </w:p>
    <w:p w14:paraId="2F62ADD3" w14:textId="77777777" w:rsidR="008E3702" w:rsidRPr="008E3702" w:rsidRDefault="00000000" w:rsidP="008E3702">
      <w:pPr>
        <w:pStyle w:val="Bibliography"/>
        <w:rPr>
          <w:rFonts w:hAnsiTheme="majorHAnsi"/>
        </w:rPr>
      </w:pPr>
      <w:r w:rsidRPr="008E3702">
        <w:rPr>
          <w:rFonts w:hAnsiTheme="majorHAnsi"/>
        </w:rPr>
        <w:t xml:space="preserve">16. </w:t>
      </w:r>
      <w:r w:rsidRPr="008E3702">
        <w:rPr>
          <w:rFonts w:hAnsiTheme="majorHAnsi"/>
        </w:rPr>
        <w:tab/>
        <w:t>Barral DC et al. Current methods to analyze lysosome morphology, positioning, motility and function. Traffic. 2022;23(5):238–269. doi:10.1111/tra.12839.</w:t>
      </w:r>
    </w:p>
    <w:p w14:paraId="77B3383D" w14:textId="77777777" w:rsidR="008E3702" w:rsidRPr="008E3702" w:rsidRDefault="00000000" w:rsidP="008E3702">
      <w:pPr>
        <w:pStyle w:val="Bibliography"/>
        <w:rPr>
          <w:rFonts w:hAnsiTheme="majorHAnsi"/>
        </w:rPr>
      </w:pPr>
      <w:r w:rsidRPr="008E3702">
        <w:rPr>
          <w:rFonts w:hAnsiTheme="majorHAnsi"/>
        </w:rPr>
        <w:t xml:space="preserve">17. </w:t>
      </w:r>
      <w:r w:rsidRPr="008E3702">
        <w:rPr>
          <w:rFonts w:hAnsiTheme="majorHAnsi"/>
        </w:rPr>
        <w:tab/>
        <w:t>Chazotte B. Labeling Lysosomes in Live Cells with LysoTracker. Cold Spring Harb Protoc. 2011;2011(2):pdb.prot5571. doi:10.1101/pdb.prot5571.</w:t>
      </w:r>
    </w:p>
    <w:p w14:paraId="31816C08" w14:textId="77777777" w:rsidR="008E3702" w:rsidRPr="008E3702" w:rsidRDefault="00000000" w:rsidP="008E3702">
      <w:pPr>
        <w:pStyle w:val="Bibliography"/>
        <w:rPr>
          <w:rFonts w:hAnsiTheme="majorHAnsi"/>
        </w:rPr>
      </w:pPr>
      <w:r w:rsidRPr="008E3702">
        <w:rPr>
          <w:rFonts w:hAnsiTheme="majorHAnsi"/>
        </w:rPr>
        <w:lastRenderedPageBreak/>
        <w:t xml:space="preserve">18. </w:t>
      </w:r>
      <w:r w:rsidRPr="008E3702">
        <w:rPr>
          <w:rFonts w:hAnsiTheme="majorHAnsi"/>
        </w:rPr>
        <w:tab/>
        <w:t>Hayflick L, Moorhead PS. The serial cultivation of human diploid cell strains. Exp Cell Res. 1961;25(3):585–621. doi:10.1016/0014-4827(61)90192-6.</w:t>
      </w:r>
    </w:p>
    <w:p w14:paraId="4D1A29B9" w14:textId="77777777" w:rsidR="008E3702" w:rsidRPr="008E3702" w:rsidRDefault="00000000" w:rsidP="008E3702">
      <w:pPr>
        <w:pStyle w:val="Bibliography"/>
        <w:rPr>
          <w:rFonts w:hAnsiTheme="majorHAnsi"/>
        </w:rPr>
      </w:pPr>
      <w:r w:rsidRPr="008E3702">
        <w:rPr>
          <w:rFonts w:hAnsiTheme="majorHAnsi"/>
        </w:rPr>
        <w:t xml:space="preserve">19. </w:t>
      </w:r>
      <w:r w:rsidRPr="008E3702">
        <w:rPr>
          <w:rFonts w:hAnsiTheme="majorHAnsi"/>
        </w:rPr>
        <w:tab/>
        <w:t>Toussaint O et al. From the Hayflick mosaic to the mosaics of ageing. Int J Biochem Cell Biol. 2002;34(11):1415–1429. doi:10.1016/S1357-2725(02)00034-1.</w:t>
      </w:r>
    </w:p>
    <w:p w14:paraId="7FBF8E99" w14:textId="77777777" w:rsidR="008E3702" w:rsidRPr="008E3702" w:rsidRDefault="00000000" w:rsidP="008E3702">
      <w:pPr>
        <w:pStyle w:val="Bibliography"/>
        <w:rPr>
          <w:rFonts w:hAnsiTheme="majorHAnsi"/>
        </w:rPr>
      </w:pPr>
      <w:r w:rsidRPr="008E3702">
        <w:rPr>
          <w:rFonts w:hAnsiTheme="majorHAnsi"/>
        </w:rPr>
        <w:t xml:space="preserve">20. </w:t>
      </w:r>
      <w:r w:rsidRPr="008E3702">
        <w:rPr>
          <w:rFonts w:hAnsiTheme="majorHAnsi"/>
        </w:rPr>
        <w:tab/>
        <w:t>Dasgupta J et al. Reactive oxygen species control senescence‐associated matrix metalloproteinase‐1 through c‐Jun‐N‐terminal kinase. J Cell Physiol. 2010;225(1):52–62. doi:10.1002/jcp.22193.</w:t>
      </w:r>
    </w:p>
    <w:p w14:paraId="72CE6F1A" w14:textId="77777777" w:rsidR="008E3702" w:rsidRPr="008E3702" w:rsidRDefault="00000000" w:rsidP="008E3702">
      <w:pPr>
        <w:pStyle w:val="Bibliography"/>
        <w:rPr>
          <w:rFonts w:hAnsiTheme="majorHAnsi"/>
        </w:rPr>
      </w:pPr>
      <w:r w:rsidRPr="008E3702">
        <w:rPr>
          <w:rFonts w:hAnsiTheme="majorHAnsi"/>
        </w:rPr>
        <w:t xml:space="preserve">21. </w:t>
      </w:r>
      <w:r w:rsidRPr="008E3702">
        <w:rPr>
          <w:rFonts w:hAnsiTheme="majorHAnsi"/>
        </w:rPr>
        <w:tab/>
        <w:t>Estrada Toro J. goldbader-hub/Sentrack: SenTrackLite v0.5.0. 2026. doi:10.5281/ZENODO.19701255.</w:t>
      </w:r>
    </w:p>
    <w:p w14:paraId="74892B75" w14:textId="77777777" w:rsidR="008E3702" w:rsidRPr="008E3702" w:rsidRDefault="00000000" w:rsidP="008E3702">
      <w:pPr>
        <w:pStyle w:val="Bibliography"/>
        <w:rPr>
          <w:rFonts w:hAnsiTheme="majorHAnsi"/>
        </w:rPr>
      </w:pPr>
      <w:r w:rsidRPr="008E3702">
        <w:rPr>
          <w:rFonts w:hAnsiTheme="majorHAnsi"/>
        </w:rPr>
        <w:t xml:space="preserve">22. </w:t>
      </w:r>
      <w:r w:rsidRPr="008E3702">
        <w:rPr>
          <w:rFonts w:hAnsiTheme="majorHAnsi"/>
        </w:rPr>
        <w:tab/>
        <w:t>Schmitt CA, Wang B, Demaria M. Senescence and cancer — role and therapeutic opportunities. Nat Rev Clin Oncol. 2022;19(10):619–636. doi:10.1038/s41571-022-00668-4.</w:t>
      </w:r>
    </w:p>
    <w:p w14:paraId="4D5520D0" w14:textId="77777777" w:rsidR="008E3702" w:rsidRPr="008E3702" w:rsidRDefault="00000000" w:rsidP="008E3702">
      <w:pPr>
        <w:pStyle w:val="Bibliography"/>
        <w:rPr>
          <w:rFonts w:hAnsiTheme="majorHAnsi"/>
        </w:rPr>
      </w:pPr>
      <w:r w:rsidRPr="008E3702">
        <w:rPr>
          <w:rFonts w:hAnsiTheme="majorHAnsi"/>
        </w:rPr>
        <w:t xml:space="preserve">23. </w:t>
      </w:r>
      <w:r w:rsidRPr="008E3702">
        <w:rPr>
          <w:rFonts w:hAnsiTheme="majorHAnsi"/>
        </w:rPr>
        <w:tab/>
        <w:t>Duran I et al. Detection of senescence using machine learning algorithms based on nuclear features. Nat Commun. 2024;15(1):1041. doi:10.1038/s41467-024-45421-w.</w:t>
      </w:r>
    </w:p>
    <w:p w14:paraId="039C561C" w14:textId="55D8A866" w:rsidR="00516914" w:rsidRDefault="00000000" w:rsidP="008E3702">
      <w:pPr>
        <w:pStyle w:val="Bibliography"/>
        <w:rPr>
          <w:rFonts w:asciiTheme="majorHAnsi" w:hAnsiTheme="majorHAnsi" w:cstheme="majorHAnsi"/>
          <w:b/>
        </w:rPr>
      </w:pPr>
      <w:r w:rsidRPr="0055174B">
        <w:rPr>
          <w:rFonts w:asciiTheme="majorHAnsi" w:hAnsiTheme="majorHAnsi" w:cstheme="majorHAnsi"/>
          <w:b/>
        </w:rPr>
        <w:fldChar w:fldCharType="end"/>
      </w:r>
      <w:bookmarkEnd w:id="2"/>
      <w:r w:rsidR="002B7079" w:rsidRPr="002B7079">
        <w:rPr>
          <w:rFonts w:asciiTheme="majorHAnsi" w:hAnsiTheme="majorHAnsi" w:cstheme="majorHAnsi"/>
          <w:b/>
        </w:rPr>
        <w:t>SUPPLEMENTAL FILES:</w:t>
      </w:r>
    </w:p>
    <w:p w14:paraId="43BA7FBF" w14:textId="1017A789" w:rsidR="002B7079" w:rsidRPr="00B37F6F" w:rsidRDefault="00000000" w:rsidP="00B37F6F">
      <w:r w:rsidRPr="00B37F6F">
        <w:rPr>
          <w:b/>
          <w:bCs/>
        </w:rPr>
        <w:t>Supplemental File 1.</w:t>
      </w:r>
      <w:r w:rsidRPr="002B7079">
        <w:t xml:space="preserve"> SenTrackLite v0.5.0 — open-source single-file Python/Tkinter application implementing the complete image-analysis workflow (nuclei segmentation, cell-mask expansion, per-cell and per-well lysosomal feature extraction, β-Gal vs. LysoTracker correlation analysis, per-cell violin plots with statistics). Archived with persistent DOI at Zenodo (doi:10.5281/zenodo.19701255) and developed at https://github.com/goldbader-hub/Sentrack (MIT license). Dependencies: numpy, scipy, scikit-image, tifffile, Pillow, matplotlib. Usage: python SenTrackLite.py.</w:t>
      </w:r>
    </w:p>
    <w:sectPr w:rsidR="002B7079" w:rsidRPr="00B37F6F" w:rsidSect="00147CBA">
      <w:headerReference w:type="even" r:id="rId11"/>
      <w:headerReference w:type="default" r:id="rId12"/>
      <w:footerReference w:type="even" r:id="rId13"/>
      <w:head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4-25T16:43:00Z" w:initials="A">
    <w:p w14:paraId="59156571" w14:textId="77777777" w:rsidR="00165D83" w:rsidRDefault="00000000" w:rsidP="00165D83">
      <w:pPr>
        <w:pStyle w:val="CommentText"/>
        <w:jc w:val="left"/>
      </w:pPr>
      <w:r>
        <w:rPr>
          <w:rStyle w:val="CommentReference"/>
        </w:rPr>
        <w:annotationRef/>
      </w:r>
      <w:r>
        <w:t xml:space="preserve">The term “LysoTracker” is used frequently throughout the manuscript, particularly in the Results and Discussion sections. For readability and stylistic balance, please consider reducing repetition by introducing appropriate generic descriptors after the first mention (e.g., “lysosomal dye signal,” “acidic organelle signal,” or “lysosomal fluorescence signal”), while retaining “LysoTracker” where reagent specificity is required (e.g., Methods, figure legends, and initial definitions). </w:t>
      </w:r>
    </w:p>
  </w:comment>
  <w:comment w:id="1" w:author="Author" w:date="2026-04-25T16:49:00Z" w:initials="A">
    <w:p w14:paraId="0165BEDB" w14:textId="77777777" w:rsidR="00E51218" w:rsidRDefault="00000000" w:rsidP="00E51218">
      <w:pPr>
        <w:pStyle w:val="CommentText"/>
        <w:jc w:val="left"/>
      </w:pPr>
      <w:r>
        <w:rPr>
          <w:rStyle w:val="CommentReference"/>
        </w:rPr>
        <w:annotationRef/>
      </w:r>
      <w:r>
        <w:t xml:space="preserve">Kindly confirm if this was followed. </w:t>
      </w:r>
    </w:p>
    <w:p w14:paraId="37578617" w14:textId="77777777" w:rsidR="00E51218" w:rsidRDefault="00E51218" w:rsidP="00E51218">
      <w:pPr>
        <w:pStyle w:val="CommentText"/>
        <w:jc w:val="left"/>
      </w:pPr>
    </w:p>
    <w:p w14:paraId="1DF65EBF" w14:textId="77777777" w:rsidR="00E51218" w:rsidRDefault="00000000" w:rsidP="00E51218">
      <w:pPr>
        <w:pStyle w:val="CommentText"/>
        <w:jc w:val="left"/>
      </w:pPr>
      <w:r>
        <w:rPr>
          <w:color w:val="000000"/>
        </w:rPr>
        <w:t>Please include an ethics statement before the numbered protocol steps, indicating that the protocol follows the guidelines of your institution’s human research ethics committee.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156571" w15:done="0"/>
  <w15:commentEx w15:paraId="1DF65E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01609B" w16cex:dateUtc="2026-04-25T11:13:00Z"/>
  <w16cex:commentExtensible w16cex:durableId="6E00C70F" w16cex:dateUtc="2026-04-25T11: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156571" w16cid:durableId="2E01609B"/>
  <w16cid:commentId w16cid:paraId="1DF65EBF" w16cid:durableId="6E00C7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99B8F" w14:textId="77777777" w:rsidR="00E2238B" w:rsidRDefault="00E2238B">
      <w:r>
        <w:separator/>
      </w:r>
    </w:p>
  </w:endnote>
  <w:endnote w:type="continuationSeparator" w:id="0">
    <w:p w14:paraId="3D74EE25" w14:textId="77777777" w:rsidR="00E2238B" w:rsidRDefault="00E22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4C32E" w14:textId="77777777" w:rsidR="00E2238B" w:rsidRDefault="00E2238B">
      <w:r>
        <w:separator/>
      </w:r>
    </w:p>
  </w:footnote>
  <w:footnote w:type="continuationSeparator" w:id="0">
    <w:p w14:paraId="52B8B7B3" w14:textId="77777777" w:rsidR="00E2238B" w:rsidRDefault="00E22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66F0AE32"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4750"/>
    <w:multiLevelType w:val="multilevel"/>
    <w:tmpl w:val="FF504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25ECD"/>
    <w:multiLevelType w:val="multilevel"/>
    <w:tmpl w:val="5E242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E15FCA"/>
    <w:multiLevelType w:val="hybridMultilevel"/>
    <w:tmpl w:val="4AAABC5E"/>
    <w:lvl w:ilvl="0" w:tplc="5A8C2448">
      <w:start w:val="1"/>
      <w:numFmt w:val="bullet"/>
      <w:lvlText w:val=""/>
      <w:lvlJc w:val="left"/>
      <w:pPr>
        <w:ind w:left="360" w:hanging="360"/>
      </w:pPr>
      <w:rPr>
        <w:rFonts w:ascii="Symbol" w:hAnsi="Symbol" w:hint="default"/>
        <w:sz w:val="28"/>
        <w:szCs w:val="28"/>
      </w:rPr>
    </w:lvl>
    <w:lvl w:ilvl="1" w:tplc="5B4E5C72" w:tentative="1">
      <w:start w:val="1"/>
      <w:numFmt w:val="bullet"/>
      <w:lvlText w:val="o"/>
      <w:lvlJc w:val="left"/>
      <w:pPr>
        <w:ind w:left="1440" w:hanging="360"/>
      </w:pPr>
      <w:rPr>
        <w:rFonts w:ascii="Courier New" w:hAnsi="Courier New" w:cs="Courier New" w:hint="default"/>
      </w:rPr>
    </w:lvl>
    <w:lvl w:ilvl="2" w:tplc="E5187026" w:tentative="1">
      <w:start w:val="1"/>
      <w:numFmt w:val="bullet"/>
      <w:lvlText w:val=""/>
      <w:lvlJc w:val="left"/>
      <w:pPr>
        <w:ind w:left="2160" w:hanging="360"/>
      </w:pPr>
      <w:rPr>
        <w:rFonts w:ascii="Wingdings" w:hAnsi="Wingdings" w:hint="default"/>
      </w:rPr>
    </w:lvl>
    <w:lvl w:ilvl="3" w:tplc="DB5ABD4C" w:tentative="1">
      <w:start w:val="1"/>
      <w:numFmt w:val="bullet"/>
      <w:lvlText w:val=""/>
      <w:lvlJc w:val="left"/>
      <w:pPr>
        <w:ind w:left="2880" w:hanging="360"/>
      </w:pPr>
      <w:rPr>
        <w:rFonts w:ascii="Symbol" w:hAnsi="Symbol" w:hint="default"/>
      </w:rPr>
    </w:lvl>
    <w:lvl w:ilvl="4" w:tplc="A7BEC7E8" w:tentative="1">
      <w:start w:val="1"/>
      <w:numFmt w:val="bullet"/>
      <w:lvlText w:val="o"/>
      <w:lvlJc w:val="left"/>
      <w:pPr>
        <w:ind w:left="3600" w:hanging="360"/>
      </w:pPr>
      <w:rPr>
        <w:rFonts w:ascii="Courier New" w:hAnsi="Courier New" w:cs="Courier New" w:hint="default"/>
      </w:rPr>
    </w:lvl>
    <w:lvl w:ilvl="5" w:tplc="AAC83F0E" w:tentative="1">
      <w:start w:val="1"/>
      <w:numFmt w:val="bullet"/>
      <w:lvlText w:val=""/>
      <w:lvlJc w:val="left"/>
      <w:pPr>
        <w:ind w:left="4320" w:hanging="360"/>
      </w:pPr>
      <w:rPr>
        <w:rFonts w:ascii="Wingdings" w:hAnsi="Wingdings" w:hint="default"/>
      </w:rPr>
    </w:lvl>
    <w:lvl w:ilvl="6" w:tplc="64B01DF4" w:tentative="1">
      <w:start w:val="1"/>
      <w:numFmt w:val="bullet"/>
      <w:lvlText w:val=""/>
      <w:lvlJc w:val="left"/>
      <w:pPr>
        <w:ind w:left="5040" w:hanging="360"/>
      </w:pPr>
      <w:rPr>
        <w:rFonts w:ascii="Symbol" w:hAnsi="Symbol" w:hint="default"/>
      </w:rPr>
    </w:lvl>
    <w:lvl w:ilvl="7" w:tplc="91D0492C" w:tentative="1">
      <w:start w:val="1"/>
      <w:numFmt w:val="bullet"/>
      <w:lvlText w:val="o"/>
      <w:lvlJc w:val="left"/>
      <w:pPr>
        <w:ind w:left="5760" w:hanging="360"/>
      </w:pPr>
      <w:rPr>
        <w:rFonts w:ascii="Courier New" w:hAnsi="Courier New" w:cs="Courier New" w:hint="default"/>
      </w:rPr>
    </w:lvl>
    <w:lvl w:ilvl="8" w:tplc="7D9A16F8"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49DCE27A">
      <w:start w:val="1"/>
      <w:numFmt w:val="decimal"/>
      <w:lvlText w:val="%1."/>
      <w:lvlJc w:val="left"/>
      <w:pPr>
        <w:ind w:left="720" w:hanging="360"/>
      </w:pPr>
    </w:lvl>
    <w:lvl w:ilvl="1" w:tplc="26DE62AC" w:tentative="1">
      <w:start w:val="1"/>
      <w:numFmt w:val="lowerLetter"/>
      <w:lvlText w:val="%2."/>
      <w:lvlJc w:val="left"/>
      <w:pPr>
        <w:ind w:left="1440" w:hanging="360"/>
      </w:pPr>
    </w:lvl>
    <w:lvl w:ilvl="2" w:tplc="CCD839E0" w:tentative="1">
      <w:start w:val="1"/>
      <w:numFmt w:val="lowerRoman"/>
      <w:lvlText w:val="%3."/>
      <w:lvlJc w:val="right"/>
      <w:pPr>
        <w:ind w:left="2160" w:hanging="180"/>
      </w:pPr>
    </w:lvl>
    <w:lvl w:ilvl="3" w:tplc="98380218" w:tentative="1">
      <w:start w:val="1"/>
      <w:numFmt w:val="decimal"/>
      <w:lvlText w:val="%4."/>
      <w:lvlJc w:val="left"/>
      <w:pPr>
        <w:ind w:left="2880" w:hanging="360"/>
      </w:pPr>
    </w:lvl>
    <w:lvl w:ilvl="4" w:tplc="94D41ECC" w:tentative="1">
      <w:start w:val="1"/>
      <w:numFmt w:val="lowerLetter"/>
      <w:lvlText w:val="%5."/>
      <w:lvlJc w:val="left"/>
      <w:pPr>
        <w:ind w:left="3600" w:hanging="360"/>
      </w:pPr>
    </w:lvl>
    <w:lvl w:ilvl="5" w:tplc="F970CFE6" w:tentative="1">
      <w:start w:val="1"/>
      <w:numFmt w:val="lowerRoman"/>
      <w:lvlText w:val="%6."/>
      <w:lvlJc w:val="right"/>
      <w:pPr>
        <w:ind w:left="4320" w:hanging="180"/>
      </w:pPr>
    </w:lvl>
    <w:lvl w:ilvl="6" w:tplc="28247B04" w:tentative="1">
      <w:start w:val="1"/>
      <w:numFmt w:val="decimal"/>
      <w:lvlText w:val="%7."/>
      <w:lvlJc w:val="left"/>
      <w:pPr>
        <w:ind w:left="5040" w:hanging="360"/>
      </w:pPr>
    </w:lvl>
    <w:lvl w:ilvl="7" w:tplc="A7329598" w:tentative="1">
      <w:start w:val="1"/>
      <w:numFmt w:val="lowerLetter"/>
      <w:lvlText w:val="%8."/>
      <w:lvlJc w:val="left"/>
      <w:pPr>
        <w:ind w:left="5760" w:hanging="360"/>
      </w:pPr>
    </w:lvl>
    <w:lvl w:ilvl="8" w:tplc="7F36BC6A" w:tentative="1">
      <w:start w:val="1"/>
      <w:numFmt w:val="lowerRoman"/>
      <w:lvlText w:val="%9."/>
      <w:lvlJc w:val="right"/>
      <w:pPr>
        <w:ind w:left="6480" w:hanging="180"/>
      </w:pPr>
    </w:lvl>
  </w:abstractNum>
  <w:abstractNum w:abstractNumId="4" w15:restartNumberingAfterBreak="0">
    <w:nsid w:val="142F02C5"/>
    <w:multiLevelType w:val="multilevel"/>
    <w:tmpl w:val="E218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6F494B"/>
    <w:multiLevelType w:val="multilevel"/>
    <w:tmpl w:val="09C63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BA043A"/>
    <w:multiLevelType w:val="hybridMultilevel"/>
    <w:tmpl w:val="97EA5562"/>
    <w:lvl w:ilvl="0" w:tplc="7174E0CA">
      <w:start w:val="1"/>
      <w:numFmt w:val="decimal"/>
      <w:lvlText w:val="%1."/>
      <w:lvlJc w:val="left"/>
      <w:pPr>
        <w:ind w:left="720" w:hanging="360"/>
      </w:pPr>
    </w:lvl>
    <w:lvl w:ilvl="1" w:tplc="3194452E" w:tentative="1">
      <w:start w:val="1"/>
      <w:numFmt w:val="lowerLetter"/>
      <w:lvlText w:val="%2."/>
      <w:lvlJc w:val="left"/>
      <w:pPr>
        <w:ind w:left="1440" w:hanging="360"/>
      </w:pPr>
    </w:lvl>
    <w:lvl w:ilvl="2" w:tplc="73C01B96" w:tentative="1">
      <w:start w:val="1"/>
      <w:numFmt w:val="lowerRoman"/>
      <w:lvlText w:val="%3."/>
      <w:lvlJc w:val="right"/>
      <w:pPr>
        <w:ind w:left="2160" w:hanging="180"/>
      </w:pPr>
    </w:lvl>
    <w:lvl w:ilvl="3" w:tplc="CE5C4788" w:tentative="1">
      <w:start w:val="1"/>
      <w:numFmt w:val="decimal"/>
      <w:lvlText w:val="%4."/>
      <w:lvlJc w:val="left"/>
      <w:pPr>
        <w:ind w:left="2880" w:hanging="360"/>
      </w:pPr>
    </w:lvl>
    <w:lvl w:ilvl="4" w:tplc="97506C28" w:tentative="1">
      <w:start w:val="1"/>
      <w:numFmt w:val="lowerLetter"/>
      <w:lvlText w:val="%5."/>
      <w:lvlJc w:val="left"/>
      <w:pPr>
        <w:ind w:left="3600" w:hanging="360"/>
      </w:pPr>
    </w:lvl>
    <w:lvl w:ilvl="5" w:tplc="D9CE73D0" w:tentative="1">
      <w:start w:val="1"/>
      <w:numFmt w:val="lowerRoman"/>
      <w:lvlText w:val="%6."/>
      <w:lvlJc w:val="right"/>
      <w:pPr>
        <w:ind w:left="4320" w:hanging="180"/>
      </w:pPr>
    </w:lvl>
    <w:lvl w:ilvl="6" w:tplc="65107DF0" w:tentative="1">
      <w:start w:val="1"/>
      <w:numFmt w:val="decimal"/>
      <w:lvlText w:val="%7."/>
      <w:lvlJc w:val="left"/>
      <w:pPr>
        <w:ind w:left="5040" w:hanging="360"/>
      </w:pPr>
    </w:lvl>
    <w:lvl w:ilvl="7" w:tplc="E9EC8476" w:tentative="1">
      <w:start w:val="1"/>
      <w:numFmt w:val="lowerLetter"/>
      <w:lvlText w:val="%8."/>
      <w:lvlJc w:val="left"/>
      <w:pPr>
        <w:ind w:left="5760" w:hanging="360"/>
      </w:pPr>
    </w:lvl>
    <w:lvl w:ilvl="8" w:tplc="2FCAC05A" w:tentative="1">
      <w:start w:val="1"/>
      <w:numFmt w:val="lowerRoman"/>
      <w:lvlText w:val="%9."/>
      <w:lvlJc w:val="right"/>
      <w:pPr>
        <w:ind w:left="6480" w:hanging="180"/>
      </w:pPr>
    </w:lvl>
  </w:abstractNum>
  <w:abstractNum w:abstractNumId="7" w15:restartNumberingAfterBreak="0">
    <w:nsid w:val="240A5F44"/>
    <w:multiLevelType w:val="hybridMultilevel"/>
    <w:tmpl w:val="87FAFC60"/>
    <w:lvl w:ilvl="0" w:tplc="4BC05EC2">
      <w:start w:val="1"/>
      <w:numFmt w:val="decimal"/>
      <w:lvlText w:val="%1."/>
      <w:lvlJc w:val="left"/>
      <w:pPr>
        <w:ind w:left="720" w:hanging="360"/>
      </w:pPr>
    </w:lvl>
    <w:lvl w:ilvl="1" w:tplc="9898A7DE" w:tentative="1">
      <w:start w:val="1"/>
      <w:numFmt w:val="lowerLetter"/>
      <w:lvlText w:val="%2."/>
      <w:lvlJc w:val="left"/>
      <w:pPr>
        <w:ind w:left="1440" w:hanging="360"/>
      </w:pPr>
    </w:lvl>
    <w:lvl w:ilvl="2" w:tplc="5FEA17AC" w:tentative="1">
      <w:start w:val="1"/>
      <w:numFmt w:val="lowerRoman"/>
      <w:lvlText w:val="%3."/>
      <w:lvlJc w:val="right"/>
      <w:pPr>
        <w:ind w:left="2160" w:hanging="180"/>
      </w:pPr>
    </w:lvl>
    <w:lvl w:ilvl="3" w:tplc="8DE4D05E" w:tentative="1">
      <w:start w:val="1"/>
      <w:numFmt w:val="decimal"/>
      <w:lvlText w:val="%4."/>
      <w:lvlJc w:val="left"/>
      <w:pPr>
        <w:ind w:left="2880" w:hanging="360"/>
      </w:pPr>
    </w:lvl>
    <w:lvl w:ilvl="4" w:tplc="5882E92A" w:tentative="1">
      <w:start w:val="1"/>
      <w:numFmt w:val="lowerLetter"/>
      <w:lvlText w:val="%5."/>
      <w:lvlJc w:val="left"/>
      <w:pPr>
        <w:ind w:left="3600" w:hanging="360"/>
      </w:pPr>
    </w:lvl>
    <w:lvl w:ilvl="5" w:tplc="A0D0E196" w:tentative="1">
      <w:start w:val="1"/>
      <w:numFmt w:val="lowerRoman"/>
      <w:lvlText w:val="%6."/>
      <w:lvlJc w:val="right"/>
      <w:pPr>
        <w:ind w:left="4320" w:hanging="180"/>
      </w:pPr>
    </w:lvl>
    <w:lvl w:ilvl="6" w:tplc="D3924818" w:tentative="1">
      <w:start w:val="1"/>
      <w:numFmt w:val="decimal"/>
      <w:lvlText w:val="%7."/>
      <w:lvlJc w:val="left"/>
      <w:pPr>
        <w:ind w:left="5040" w:hanging="360"/>
      </w:pPr>
    </w:lvl>
    <w:lvl w:ilvl="7" w:tplc="410E048E" w:tentative="1">
      <w:start w:val="1"/>
      <w:numFmt w:val="lowerLetter"/>
      <w:lvlText w:val="%8."/>
      <w:lvlJc w:val="left"/>
      <w:pPr>
        <w:ind w:left="5760" w:hanging="360"/>
      </w:pPr>
    </w:lvl>
    <w:lvl w:ilvl="8" w:tplc="0756CA6C"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61F2746"/>
    <w:multiLevelType w:val="multilevel"/>
    <w:tmpl w:val="DA187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AF79A3"/>
    <w:multiLevelType w:val="multilevel"/>
    <w:tmpl w:val="64ACB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10B69916">
      <w:start w:val="1"/>
      <w:numFmt w:val="bullet"/>
      <w:lvlText w:val=""/>
      <w:lvlJc w:val="left"/>
      <w:pPr>
        <w:ind w:left="720" w:hanging="360"/>
      </w:pPr>
      <w:rPr>
        <w:rFonts w:ascii="Symbol" w:hAnsi="Symbol" w:hint="default"/>
      </w:rPr>
    </w:lvl>
    <w:lvl w:ilvl="1" w:tplc="71FE79BC" w:tentative="1">
      <w:start w:val="1"/>
      <w:numFmt w:val="bullet"/>
      <w:lvlText w:val="o"/>
      <w:lvlJc w:val="left"/>
      <w:pPr>
        <w:ind w:left="1440" w:hanging="360"/>
      </w:pPr>
      <w:rPr>
        <w:rFonts w:ascii="Courier New" w:hAnsi="Courier New" w:cs="Courier New" w:hint="default"/>
      </w:rPr>
    </w:lvl>
    <w:lvl w:ilvl="2" w:tplc="C448962E" w:tentative="1">
      <w:start w:val="1"/>
      <w:numFmt w:val="bullet"/>
      <w:lvlText w:val=""/>
      <w:lvlJc w:val="left"/>
      <w:pPr>
        <w:ind w:left="2160" w:hanging="360"/>
      </w:pPr>
      <w:rPr>
        <w:rFonts w:ascii="Wingdings" w:hAnsi="Wingdings" w:hint="default"/>
      </w:rPr>
    </w:lvl>
    <w:lvl w:ilvl="3" w:tplc="C5F02F3E" w:tentative="1">
      <w:start w:val="1"/>
      <w:numFmt w:val="bullet"/>
      <w:lvlText w:val=""/>
      <w:lvlJc w:val="left"/>
      <w:pPr>
        <w:ind w:left="2880" w:hanging="360"/>
      </w:pPr>
      <w:rPr>
        <w:rFonts w:ascii="Symbol" w:hAnsi="Symbol" w:hint="default"/>
      </w:rPr>
    </w:lvl>
    <w:lvl w:ilvl="4" w:tplc="D4AC4A2C" w:tentative="1">
      <w:start w:val="1"/>
      <w:numFmt w:val="bullet"/>
      <w:lvlText w:val="o"/>
      <w:lvlJc w:val="left"/>
      <w:pPr>
        <w:ind w:left="3600" w:hanging="360"/>
      </w:pPr>
      <w:rPr>
        <w:rFonts w:ascii="Courier New" w:hAnsi="Courier New" w:cs="Courier New" w:hint="default"/>
      </w:rPr>
    </w:lvl>
    <w:lvl w:ilvl="5" w:tplc="0BCCE5E2" w:tentative="1">
      <w:start w:val="1"/>
      <w:numFmt w:val="bullet"/>
      <w:lvlText w:val=""/>
      <w:lvlJc w:val="left"/>
      <w:pPr>
        <w:ind w:left="4320" w:hanging="360"/>
      </w:pPr>
      <w:rPr>
        <w:rFonts w:ascii="Wingdings" w:hAnsi="Wingdings" w:hint="default"/>
      </w:rPr>
    </w:lvl>
    <w:lvl w:ilvl="6" w:tplc="98BAABBE" w:tentative="1">
      <w:start w:val="1"/>
      <w:numFmt w:val="bullet"/>
      <w:lvlText w:val=""/>
      <w:lvlJc w:val="left"/>
      <w:pPr>
        <w:ind w:left="5040" w:hanging="360"/>
      </w:pPr>
      <w:rPr>
        <w:rFonts w:ascii="Symbol" w:hAnsi="Symbol" w:hint="default"/>
      </w:rPr>
    </w:lvl>
    <w:lvl w:ilvl="7" w:tplc="2E76AD14" w:tentative="1">
      <w:start w:val="1"/>
      <w:numFmt w:val="bullet"/>
      <w:lvlText w:val="o"/>
      <w:lvlJc w:val="left"/>
      <w:pPr>
        <w:ind w:left="5760" w:hanging="360"/>
      </w:pPr>
      <w:rPr>
        <w:rFonts w:ascii="Courier New" w:hAnsi="Courier New" w:cs="Courier New" w:hint="default"/>
      </w:rPr>
    </w:lvl>
    <w:lvl w:ilvl="8" w:tplc="61627A04"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9A75A4"/>
    <w:multiLevelType w:val="multilevel"/>
    <w:tmpl w:val="C3FAD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E07ABC"/>
    <w:multiLevelType w:val="hybridMultilevel"/>
    <w:tmpl w:val="DF8229D0"/>
    <w:lvl w:ilvl="0" w:tplc="02AE4962">
      <w:start w:val="1"/>
      <w:numFmt w:val="decimal"/>
      <w:lvlText w:val="%1."/>
      <w:lvlJc w:val="left"/>
      <w:pPr>
        <w:ind w:left="720" w:hanging="360"/>
      </w:pPr>
    </w:lvl>
    <w:lvl w:ilvl="1" w:tplc="985A4B60" w:tentative="1">
      <w:start w:val="1"/>
      <w:numFmt w:val="lowerLetter"/>
      <w:lvlText w:val="%2."/>
      <w:lvlJc w:val="left"/>
      <w:pPr>
        <w:ind w:left="1440" w:hanging="360"/>
      </w:pPr>
    </w:lvl>
    <w:lvl w:ilvl="2" w:tplc="1118363C" w:tentative="1">
      <w:start w:val="1"/>
      <w:numFmt w:val="lowerRoman"/>
      <w:lvlText w:val="%3."/>
      <w:lvlJc w:val="right"/>
      <w:pPr>
        <w:ind w:left="2160" w:hanging="180"/>
      </w:pPr>
    </w:lvl>
    <w:lvl w:ilvl="3" w:tplc="22382762" w:tentative="1">
      <w:start w:val="1"/>
      <w:numFmt w:val="decimal"/>
      <w:lvlText w:val="%4."/>
      <w:lvlJc w:val="left"/>
      <w:pPr>
        <w:ind w:left="2880" w:hanging="360"/>
      </w:pPr>
    </w:lvl>
    <w:lvl w:ilvl="4" w:tplc="4AF04418" w:tentative="1">
      <w:start w:val="1"/>
      <w:numFmt w:val="lowerLetter"/>
      <w:lvlText w:val="%5."/>
      <w:lvlJc w:val="left"/>
      <w:pPr>
        <w:ind w:left="3600" w:hanging="360"/>
      </w:pPr>
    </w:lvl>
    <w:lvl w:ilvl="5" w:tplc="C478EC9A" w:tentative="1">
      <w:start w:val="1"/>
      <w:numFmt w:val="lowerRoman"/>
      <w:lvlText w:val="%6."/>
      <w:lvlJc w:val="right"/>
      <w:pPr>
        <w:ind w:left="4320" w:hanging="180"/>
      </w:pPr>
    </w:lvl>
    <w:lvl w:ilvl="6" w:tplc="8F50928C" w:tentative="1">
      <w:start w:val="1"/>
      <w:numFmt w:val="decimal"/>
      <w:lvlText w:val="%7."/>
      <w:lvlJc w:val="left"/>
      <w:pPr>
        <w:ind w:left="5040" w:hanging="360"/>
      </w:pPr>
    </w:lvl>
    <w:lvl w:ilvl="7" w:tplc="82DCC8DC" w:tentative="1">
      <w:start w:val="1"/>
      <w:numFmt w:val="lowerLetter"/>
      <w:lvlText w:val="%8."/>
      <w:lvlJc w:val="left"/>
      <w:pPr>
        <w:ind w:left="5760" w:hanging="360"/>
      </w:pPr>
    </w:lvl>
    <w:lvl w:ilvl="8" w:tplc="5A5265A8"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8F0293"/>
    <w:multiLevelType w:val="hybridMultilevel"/>
    <w:tmpl w:val="FA6EDFA4"/>
    <w:lvl w:ilvl="0" w:tplc="943E7F6C">
      <w:start w:val="1"/>
      <w:numFmt w:val="bullet"/>
      <w:lvlText w:val=""/>
      <w:lvlJc w:val="left"/>
      <w:pPr>
        <w:ind w:left="720" w:hanging="360"/>
      </w:pPr>
      <w:rPr>
        <w:rFonts w:ascii="Symbol" w:hAnsi="Symbol" w:hint="default"/>
      </w:rPr>
    </w:lvl>
    <w:lvl w:ilvl="1" w:tplc="F1084F86" w:tentative="1">
      <w:start w:val="1"/>
      <w:numFmt w:val="bullet"/>
      <w:lvlText w:val="o"/>
      <w:lvlJc w:val="left"/>
      <w:pPr>
        <w:ind w:left="1440" w:hanging="360"/>
      </w:pPr>
      <w:rPr>
        <w:rFonts w:ascii="Courier New" w:hAnsi="Courier New" w:cs="Courier New" w:hint="default"/>
      </w:rPr>
    </w:lvl>
    <w:lvl w:ilvl="2" w:tplc="43A80D84" w:tentative="1">
      <w:start w:val="1"/>
      <w:numFmt w:val="bullet"/>
      <w:lvlText w:val=""/>
      <w:lvlJc w:val="left"/>
      <w:pPr>
        <w:ind w:left="2160" w:hanging="360"/>
      </w:pPr>
      <w:rPr>
        <w:rFonts w:ascii="Wingdings" w:hAnsi="Wingdings" w:hint="default"/>
      </w:rPr>
    </w:lvl>
    <w:lvl w:ilvl="3" w:tplc="D86C2562" w:tentative="1">
      <w:start w:val="1"/>
      <w:numFmt w:val="bullet"/>
      <w:lvlText w:val=""/>
      <w:lvlJc w:val="left"/>
      <w:pPr>
        <w:ind w:left="2880" w:hanging="360"/>
      </w:pPr>
      <w:rPr>
        <w:rFonts w:ascii="Symbol" w:hAnsi="Symbol" w:hint="default"/>
      </w:rPr>
    </w:lvl>
    <w:lvl w:ilvl="4" w:tplc="A4A6FF36" w:tentative="1">
      <w:start w:val="1"/>
      <w:numFmt w:val="bullet"/>
      <w:lvlText w:val="o"/>
      <w:lvlJc w:val="left"/>
      <w:pPr>
        <w:ind w:left="3600" w:hanging="360"/>
      </w:pPr>
      <w:rPr>
        <w:rFonts w:ascii="Courier New" w:hAnsi="Courier New" w:cs="Courier New" w:hint="default"/>
      </w:rPr>
    </w:lvl>
    <w:lvl w:ilvl="5" w:tplc="864C7CF0" w:tentative="1">
      <w:start w:val="1"/>
      <w:numFmt w:val="bullet"/>
      <w:lvlText w:val=""/>
      <w:lvlJc w:val="left"/>
      <w:pPr>
        <w:ind w:left="4320" w:hanging="360"/>
      </w:pPr>
      <w:rPr>
        <w:rFonts w:ascii="Wingdings" w:hAnsi="Wingdings" w:hint="default"/>
      </w:rPr>
    </w:lvl>
    <w:lvl w:ilvl="6" w:tplc="738C38E0" w:tentative="1">
      <w:start w:val="1"/>
      <w:numFmt w:val="bullet"/>
      <w:lvlText w:val=""/>
      <w:lvlJc w:val="left"/>
      <w:pPr>
        <w:ind w:left="5040" w:hanging="360"/>
      </w:pPr>
      <w:rPr>
        <w:rFonts w:ascii="Symbol" w:hAnsi="Symbol" w:hint="default"/>
      </w:rPr>
    </w:lvl>
    <w:lvl w:ilvl="7" w:tplc="5B5AE5E8" w:tentative="1">
      <w:start w:val="1"/>
      <w:numFmt w:val="bullet"/>
      <w:lvlText w:val="o"/>
      <w:lvlJc w:val="left"/>
      <w:pPr>
        <w:ind w:left="5760" w:hanging="360"/>
      </w:pPr>
      <w:rPr>
        <w:rFonts w:ascii="Courier New" w:hAnsi="Courier New" w:cs="Courier New" w:hint="default"/>
      </w:rPr>
    </w:lvl>
    <w:lvl w:ilvl="8" w:tplc="BCF0C8EC" w:tentative="1">
      <w:start w:val="1"/>
      <w:numFmt w:val="bullet"/>
      <w:lvlText w:val=""/>
      <w:lvlJc w:val="left"/>
      <w:pPr>
        <w:ind w:left="6480" w:hanging="360"/>
      </w:pPr>
      <w:rPr>
        <w:rFonts w:ascii="Wingdings" w:hAnsi="Wingdings" w:hint="default"/>
      </w:rPr>
    </w:lvl>
  </w:abstractNum>
  <w:abstractNum w:abstractNumId="21" w15:restartNumberingAfterBreak="0">
    <w:nsid w:val="40D03D1A"/>
    <w:multiLevelType w:val="multilevel"/>
    <w:tmpl w:val="8C647A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E8F1080"/>
    <w:multiLevelType w:val="multilevel"/>
    <w:tmpl w:val="3D401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0550C72"/>
    <w:multiLevelType w:val="multilevel"/>
    <w:tmpl w:val="30221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FC11D4"/>
    <w:multiLevelType w:val="hybridMultilevel"/>
    <w:tmpl w:val="84D43CAC"/>
    <w:lvl w:ilvl="0" w:tplc="A5506000">
      <w:start w:val="1"/>
      <w:numFmt w:val="bullet"/>
      <w:lvlText w:val=""/>
      <w:lvlJc w:val="left"/>
      <w:pPr>
        <w:ind w:left="360" w:hanging="360"/>
      </w:pPr>
      <w:rPr>
        <w:rFonts w:ascii="Symbol" w:hAnsi="Symbol" w:hint="default"/>
        <w:sz w:val="28"/>
        <w:szCs w:val="28"/>
      </w:rPr>
    </w:lvl>
    <w:lvl w:ilvl="1" w:tplc="47ACFF2A" w:tentative="1">
      <w:start w:val="1"/>
      <w:numFmt w:val="bullet"/>
      <w:lvlText w:val="o"/>
      <w:lvlJc w:val="left"/>
      <w:pPr>
        <w:ind w:left="1080" w:hanging="360"/>
      </w:pPr>
      <w:rPr>
        <w:rFonts w:ascii="Courier New" w:hAnsi="Courier New" w:cs="Courier New" w:hint="default"/>
      </w:rPr>
    </w:lvl>
    <w:lvl w:ilvl="2" w:tplc="A4A4C6E2" w:tentative="1">
      <w:start w:val="1"/>
      <w:numFmt w:val="bullet"/>
      <w:lvlText w:val=""/>
      <w:lvlJc w:val="left"/>
      <w:pPr>
        <w:ind w:left="1800" w:hanging="360"/>
      </w:pPr>
      <w:rPr>
        <w:rFonts w:ascii="Wingdings" w:hAnsi="Wingdings" w:hint="default"/>
      </w:rPr>
    </w:lvl>
    <w:lvl w:ilvl="3" w:tplc="4782B9C2" w:tentative="1">
      <w:start w:val="1"/>
      <w:numFmt w:val="bullet"/>
      <w:lvlText w:val=""/>
      <w:lvlJc w:val="left"/>
      <w:pPr>
        <w:ind w:left="2520" w:hanging="360"/>
      </w:pPr>
      <w:rPr>
        <w:rFonts w:ascii="Symbol" w:hAnsi="Symbol" w:hint="default"/>
      </w:rPr>
    </w:lvl>
    <w:lvl w:ilvl="4" w:tplc="F498FC2C" w:tentative="1">
      <w:start w:val="1"/>
      <w:numFmt w:val="bullet"/>
      <w:lvlText w:val="o"/>
      <w:lvlJc w:val="left"/>
      <w:pPr>
        <w:ind w:left="3240" w:hanging="360"/>
      </w:pPr>
      <w:rPr>
        <w:rFonts w:ascii="Courier New" w:hAnsi="Courier New" w:cs="Courier New" w:hint="default"/>
      </w:rPr>
    </w:lvl>
    <w:lvl w:ilvl="5" w:tplc="B0E02F3E" w:tentative="1">
      <w:start w:val="1"/>
      <w:numFmt w:val="bullet"/>
      <w:lvlText w:val=""/>
      <w:lvlJc w:val="left"/>
      <w:pPr>
        <w:ind w:left="3960" w:hanging="360"/>
      </w:pPr>
      <w:rPr>
        <w:rFonts w:ascii="Wingdings" w:hAnsi="Wingdings" w:hint="default"/>
      </w:rPr>
    </w:lvl>
    <w:lvl w:ilvl="6" w:tplc="D3D4FB20" w:tentative="1">
      <w:start w:val="1"/>
      <w:numFmt w:val="bullet"/>
      <w:lvlText w:val=""/>
      <w:lvlJc w:val="left"/>
      <w:pPr>
        <w:ind w:left="4680" w:hanging="360"/>
      </w:pPr>
      <w:rPr>
        <w:rFonts w:ascii="Symbol" w:hAnsi="Symbol" w:hint="default"/>
      </w:rPr>
    </w:lvl>
    <w:lvl w:ilvl="7" w:tplc="A442FABA" w:tentative="1">
      <w:start w:val="1"/>
      <w:numFmt w:val="bullet"/>
      <w:lvlText w:val="o"/>
      <w:lvlJc w:val="left"/>
      <w:pPr>
        <w:ind w:left="5400" w:hanging="360"/>
      </w:pPr>
      <w:rPr>
        <w:rFonts w:ascii="Courier New" w:hAnsi="Courier New" w:cs="Courier New" w:hint="default"/>
      </w:rPr>
    </w:lvl>
    <w:lvl w:ilvl="8" w:tplc="6D8625E4" w:tentative="1">
      <w:start w:val="1"/>
      <w:numFmt w:val="bullet"/>
      <w:lvlText w:val=""/>
      <w:lvlJc w:val="left"/>
      <w:pPr>
        <w:ind w:left="6120" w:hanging="360"/>
      </w:pPr>
      <w:rPr>
        <w:rFonts w:ascii="Wingdings" w:hAnsi="Wingdings" w:hint="default"/>
      </w:rPr>
    </w:lvl>
  </w:abstractNum>
  <w:abstractNum w:abstractNumId="28" w15:restartNumberingAfterBreak="0">
    <w:nsid w:val="53F7694B"/>
    <w:multiLevelType w:val="multilevel"/>
    <w:tmpl w:val="6CFA5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937793"/>
    <w:multiLevelType w:val="multilevel"/>
    <w:tmpl w:val="1604D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3B56AC"/>
    <w:multiLevelType w:val="multilevel"/>
    <w:tmpl w:val="92BEF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D17460"/>
    <w:multiLevelType w:val="multilevel"/>
    <w:tmpl w:val="B3E4D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CB3F73"/>
    <w:multiLevelType w:val="multilevel"/>
    <w:tmpl w:val="CE902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EF6225"/>
    <w:multiLevelType w:val="multilevel"/>
    <w:tmpl w:val="E6583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DA35F0"/>
    <w:multiLevelType w:val="multilevel"/>
    <w:tmpl w:val="C784B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7E68C7"/>
    <w:multiLevelType w:val="multilevel"/>
    <w:tmpl w:val="CE4601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F9441FF"/>
    <w:multiLevelType w:val="multilevel"/>
    <w:tmpl w:val="4814B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02C227D"/>
    <w:multiLevelType w:val="multilevel"/>
    <w:tmpl w:val="94DAD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7B6BC2"/>
    <w:multiLevelType w:val="hybridMultilevel"/>
    <w:tmpl w:val="36F6EDBE"/>
    <w:lvl w:ilvl="0" w:tplc="916ED630">
      <w:start w:val="1"/>
      <w:numFmt w:val="bullet"/>
      <w:lvlText w:val=""/>
      <w:lvlJc w:val="left"/>
      <w:pPr>
        <w:ind w:left="720" w:hanging="360"/>
      </w:pPr>
      <w:rPr>
        <w:rFonts w:ascii="Symbol" w:hAnsi="Symbol" w:hint="default"/>
      </w:rPr>
    </w:lvl>
    <w:lvl w:ilvl="1" w:tplc="7ECA84E0" w:tentative="1">
      <w:start w:val="1"/>
      <w:numFmt w:val="bullet"/>
      <w:lvlText w:val="o"/>
      <w:lvlJc w:val="left"/>
      <w:pPr>
        <w:ind w:left="1440" w:hanging="360"/>
      </w:pPr>
      <w:rPr>
        <w:rFonts w:ascii="Courier New" w:hAnsi="Courier New" w:cs="Courier New" w:hint="default"/>
      </w:rPr>
    </w:lvl>
    <w:lvl w:ilvl="2" w:tplc="17A42CA8" w:tentative="1">
      <w:start w:val="1"/>
      <w:numFmt w:val="bullet"/>
      <w:lvlText w:val=""/>
      <w:lvlJc w:val="left"/>
      <w:pPr>
        <w:ind w:left="2160" w:hanging="360"/>
      </w:pPr>
      <w:rPr>
        <w:rFonts w:ascii="Wingdings" w:hAnsi="Wingdings" w:hint="default"/>
      </w:rPr>
    </w:lvl>
    <w:lvl w:ilvl="3" w:tplc="84D8EA3E" w:tentative="1">
      <w:start w:val="1"/>
      <w:numFmt w:val="bullet"/>
      <w:lvlText w:val=""/>
      <w:lvlJc w:val="left"/>
      <w:pPr>
        <w:ind w:left="2880" w:hanging="360"/>
      </w:pPr>
      <w:rPr>
        <w:rFonts w:ascii="Symbol" w:hAnsi="Symbol" w:hint="default"/>
      </w:rPr>
    </w:lvl>
    <w:lvl w:ilvl="4" w:tplc="EEE2ECB4" w:tentative="1">
      <w:start w:val="1"/>
      <w:numFmt w:val="bullet"/>
      <w:lvlText w:val="o"/>
      <w:lvlJc w:val="left"/>
      <w:pPr>
        <w:ind w:left="3600" w:hanging="360"/>
      </w:pPr>
      <w:rPr>
        <w:rFonts w:ascii="Courier New" w:hAnsi="Courier New" w:cs="Courier New" w:hint="default"/>
      </w:rPr>
    </w:lvl>
    <w:lvl w:ilvl="5" w:tplc="57445568" w:tentative="1">
      <w:start w:val="1"/>
      <w:numFmt w:val="bullet"/>
      <w:lvlText w:val=""/>
      <w:lvlJc w:val="left"/>
      <w:pPr>
        <w:ind w:left="4320" w:hanging="360"/>
      </w:pPr>
      <w:rPr>
        <w:rFonts w:ascii="Wingdings" w:hAnsi="Wingdings" w:hint="default"/>
      </w:rPr>
    </w:lvl>
    <w:lvl w:ilvl="6" w:tplc="C9CE8074" w:tentative="1">
      <w:start w:val="1"/>
      <w:numFmt w:val="bullet"/>
      <w:lvlText w:val=""/>
      <w:lvlJc w:val="left"/>
      <w:pPr>
        <w:ind w:left="5040" w:hanging="360"/>
      </w:pPr>
      <w:rPr>
        <w:rFonts w:ascii="Symbol" w:hAnsi="Symbol" w:hint="default"/>
      </w:rPr>
    </w:lvl>
    <w:lvl w:ilvl="7" w:tplc="423453DA" w:tentative="1">
      <w:start w:val="1"/>
      <w:numFmt w:val="bullet"/>
      <w:lvlText w:val="o"/>
      <w:lvlJc w:val="left"/>
      <w:pPr>
        <w:ind w:left="5760" w:hanging="360"/>
      </w:pPr>
      <w:rPr>
        <w:rFonts w:ascii="Courier New" w:hAnsi="Courier New" w:cs="Courier New" w:hint="default"/>
      </w:rPr>
    </w:lvl>
    <w:lvl w:ilvl="8" w:tplc="4EBA8348" w:tentative="1">
      <w:start w:val="1"/>
      <w:numFmt w:val="bullet"/>
      <w:lvlText w:val=""/>
      <w:lvlJc w:val="left"/>
      <w:pPr>
        <w:ind w:left="6480" w:hanging="360"/>
      </w:pPr>
      <w:rPr>
        <w:rFonts w:ascii="Wingdings" w:hAnsi="Wingdings" w:hint="default"/>
      </w:rPr>
    </w:lvl>
  </w:abstractNum>
  <w:abstractNum w:abstractNumId="41" w15:restartNumberingAfterBreak="0">
    <w:nsid w:val="78511E66"/>
    <w:multiLevelType w:val="multilevel"/>
    <w:tmpl w:val="BA5600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80701F"/>
    <w:multiLevelType w:val="hybridMultilevel"/>
    <w:tmpl w:val="EDCE8ABC"/>
    <w:lvl w:ilvl="0" w:tplc="770C87FE">
      <w:start w:val="1"/>
      <w:numFmt w:val="decimal"/>
      <w:lvlText w:val="%1."/>
      <w:lvlJc w:val="left"/>
      <w:pPr>
        <w:ind w:left="720" w:hanging="360"/>
      </w:pPr>
    </w:lvl>
    <w:lvl w:ilvl="1" w:tplc="ACF49D72" w:tentative="1">
      <w:start w:val="1"/>
      <w:numFmt w:val="lowerLetter"/>
      <w:lvlText w:val="%2."/>
      <w:lvlJc w:val="left"/>
      <w:pPr>
        <w:ind w:left="1440" w:hanging="360"/>
      </w:pPr>
    </w:lvl>
    <w:lvl w:ilvl="2" w:tplc="B0FAF17A" w:tentative="1">
      <w:start w:val="1"/>
      <w:numFmt w:val="lowerRoman"/>
      <w:lvlText w:val="%3."/>
      <w:lvlJc w:val="right"/>
      <w:pPr>
        <w:ind w:left="2160" w:hanging="180"/>
      </w:pPr>
    </w:lvl>
    <w:lvl w:ilvl="3" w:tplc="5C72DB66" w:tentative="1">
      <w:start w:val="1"/>
      <w:numFmt w:val="decimal"/>
      <w:lvlText w:val="%4."/>
      <w:lvlJc w:val="left"/>
      <w:pPr>
        <w:ind w:left="2880" w:hanging="360"/>
      </w:pPr>
    </w:lvl>
    <w:lvl w:ilvl="4" w:tplc="950EAFFE" w:tentative="1">
      <w:start w:val="1"/>
      <w:numFmt w:val="lowerLetter"/>
      <w:lvlText w:val="%5."/>
      <w:lvlJc w:val="left"/>
      <w:pPr>
        <w:ind w:left="3600" w:hanging="360"/>
      </w:pPr>
    </w:lvl>
    <w:lvl w:ilvl="5" w:tplc="1616A9C6" w:tentative="1">
      <w:start w:val="1"/>
      <w:numFmt w:val="lowerRoman"/>
      <w:lvlText w:val="%6."/>
      <w:lvlJc w:val="right"/>
      <w:pPr>
        <w:ind w:left="4320" w:hanging="180"/>
      </w:pPr>
    </w:lvl>
    <w:lvl w:ilvl="6" w:tplc="9AB211D0" w:tentative="1">
      <w:start w:val="1"/>
      <w:numFmt w:val="decimal"/>
      <w:lvlText w:val="%7."/>
      <w:lvlJc w:val="left"/>
      <w:pPr>
        <w:ind w:left="5040" w:hanging="360"/>
      </w:pPr>
    </w:lvl>
    <w:lvl w:ilvl="7" w:tplc="AFB40AC6" w:tentative="1">
      <w:start w:val="1"/>
      <w:numFmt w:val="lowerLetter"/>
      <w:lvlText w:val="%8."/>
      <w:lvlJc w:val="left"/>
      <w:pPr>
        <w:ind w:left="5760" w:hanging="360"/>
      </w:pPr>
    </w:lvl>
    <w:lvl w:ilvl="8" w:tplc="A100F0A8" w:tentative="1">
      <w:start w:val="1"/>
      <w:numFmt w:val="lowerRoman"/>
      <w:lvlText w:val="%9."/>
      <w:lvlJc w:val="right"/>
      <w:pPr>
        <w:ind w:left="6480" w:hanging="180"/>
      </w:pPr>
    </w:lvl>
  </w:abstractNum>
  <w:abstractNum w:abstractNumId="43" w15:restartNumberingAfterBreak="0">
    <w:nsid w:val="7B084719"/>
    <w:multiLevelType w:val="multilevel"/>
    <w:tmpl w:val="B38A2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BC71B2"/>
    <w:multiLevelType w:val="multilevel"/>
    <w:tmpl w:val="FC68D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986D27"/>
    <w:multiLevelType w:val="multilevel"/>
    <w:tmpl w:val="82D6BC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A125AE"/>
    <w:multiLevelType w:val="multilevel"/>
    <w:tmpl w:val="6B24C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FAA7D7C"/>
    <w:multiLevelType w:val="multilevel"/>
    <w:tmpl w:val="9A54FD46"/>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52123839">
    <w:abstractNumId w:val="16"/>
  </w:num>
  <w:num w:numId="2" w16cid:durableId="1984042491">
    <w:abstractNumId w:val="22"/>
  </w:num>
  <w:num w:numId="3" w16cid:durableId="118914537">
    <w:abstractNumId w:val="38"/>
  </w:num>
  <w:num w:numId="4" w16cid:durableId="1932934919">
    <w:abstractNumId w:val="8"/>
  </w:num>
  <w:num w:numId="5" w16cid:durableId="584412448">
    <w:abstractNumId w:val="25"/>
  </w:num>
  <w:num w:numId="6" w16cid:durableId="1692337555">
    <w:abstractNumId w:val="36"/>
  </w:num>
  <w:num w:numId="7" w16cid:durableId="1668751632">
    <w:abstractNumId w:val="17"/>
  </w:num>
  <w:num w:numId="8" w16cid:durableId="1699504584">
    <w:abstractNumId w:val="19"/>
  </w:num>
  <w:num w:numId="9" w16cid:durableId="1471939920">
    <w:abstractNumId w:val="11"/>
  </w:num>
  <w:num w:numId="10" w16cid:durableId="1456294289">
    <w:abstractNumId w:val="18"/>
  </w:num>
  <w:num w:numId="11" w16cid:durableId="1090856223">
    <w:abstractNumId w:val="23"/>
  </w:num>
  <w:num w:numId="12" w16cid:durableId="347753210">
    <w:abstractNumId w:val="13"/>
  </w:num>
  <w:num w:numId="13" w16cid:durableId="62803357">
    <w:abstractNumId w:val="42"/>
  </w:num>
  <w:num w:numId="14" w16cid:durableId="571625102">
    <w:abstractNumId w:val="40"/>
  </w:num>
  <w:num w:numId="15" w16cid:durableId="1783526964">
    <w:abstractNumId w:val="15"/>
  </w:num>
  <w:num w:numId="16" w16cid:durableId="985014971">
    <w:abstractNumId w:val="7"/>
  </w:num>
  <w:num w:numId="17" w16cid:durableId="1511211528">
    <w:abstractNumId w:val="6"/>
  </w:num>
  <w:num w:numId="18" w16cid:durableId="1311205117">
    <w:abstractNumId w:val="20"/>
  </w:num>
  <w:num w:numId="19" w16cid:durableId="81266712">
    <w:abstractNumId w:val="12"/>
  </w:num>
  <w:num w:numId="20" w16cid:durableId="1802188761">
    <w:abstractNumId w:val="27"/>
  </w:num>
  <w:num w:numId="21" w16cid:durableId="225191431">
    <w:abstractNumId w:val="2"/>
  </w:num>
  <w:num w:numId="22" w16cid:durableId="475996718">
    <w:abstractNumId w:val="3"/>
  </w:num>
  <w:num w:numId="23" w16cid:durableId="728959485">
    <w:abstractNumId w:val="33"/>
  </w:num>
  <w:num w:numId="24" w16cid:durableId="1425346208">
    <w:abstractNumId w:val="28"/>
  </w:num>
  <w:num w:numId="25" w16cid:durableId="769082270">
    <w:abstractNumId w:val="26"/>
  </w:num>
  <w:num w:numId="26" w16cid:durableId="942111384">
    <w:abstractNumId w:val="24"/>
  </w:num>
  <w:num w:numId="27" w16cid:durableId="1340430751">
    <w:abstractNumId w:val="43"/>
  </w:num>
  <w:num w:numId="28" w16cid:durableId="1971666156">
    <w:abstractNumId w:val="0"/>
  </w:num>
  <w:num w:numId="29" w16cid:durableId="29114311">
    <w:abstractNumId w:val="41"/>
  </w:num>
  <w:num w:numId="30" w16cid:durableId="341200967">
    <w:abstractNumId w:val="34"/>
  </w:num>
  <w:num w:numId="31" w16cid:durableId="2023320355">
    <w:abstractNumId w:val="46"/>
  </w:num>
  <w:num w:numId="32" w16cid:durableId="1490831094">
    <w:abstractNumId w:val="31"/>
  </w:num>
  <w:num w:numId="33" w16cid:durableId="2020959577">
    <w:abstractNumId w:val="44"/>
  </w:num>
  <w:num w:numId="34" w16cid:durableId="1158958264">
    <w:abstractNumId w:val="30"/>
  </w:num>
  <w:num w:numId="35" w16cid:durableId="1081875606">
    <w:abstractNumId w:val="32"/>
  </w:num>
  <w:num w:numId="36" w16cid:durableId="112486768">
    <w:abstractNumId w:val="39"/>
  </w:num>
  <w:num w:numId="37" w16cid:durableId="1163010025">
    <w:abstractNumId w:val="45"/>
  </w:num>
  <w:num w:numId="38" w16cid:durableId="1858739453">
    <w:abstractNumId w:val="45"/>
    <w:lvlOverride w:ilvl="1">
      <w:lvl w:ilvl="1">
        <w:numFmt w:val="bullet"/>
        <w:lvlText w:val="o"/>
        <w:lvlJc w:val="left"/>
        <w:pPr>
          <w:tabs>
            <w:tab w:val="num" w:pos="1440"/>
          </w:tabs>
          <w:ind w:left="1440" w:hanging="360"/>
        </w:pPr>
        <w:rPr>
          <w:rFonts w:ascii="Courier New" w:hAnsi="Courier New" w:hint="default"/>
          <w:sz w:val="20"/>
        </w:rPr>
      </w:lvl>
    </w:lvlOverride>
  </w:num>
  <w:num w:numId="39" w16cid:durableId="1229613225">
    <w:abstractNumId w:val="45"/>
    <w:lvlOverride w:ilvl="1">
      <w:lvl w:ilvl="1">
        <w:numFmt w:val="bullet"/>
        <w:lvlText w:val="o"/>
        <w:lvlJc w:val="left"/>
        <w:pPr>
          <w:tabs>
            <w:tab w:val="num" w:pos="1440"/>
          </w:tabs>
          <w:ind w:left="1440" w:hanging="360"/>
        </w:pPr>
        <w:rPr>
          <w:rFonts w:ascii="Courier New" w:hAnsi="Courier New" w:hint="default"/>
          <w:sz w:val="20"/>
        </w:rPr>
      </w:lvl>
    </w:lvlOverride>
  </w:num>
  <w:num w:numId="40" w16cid:durableId="1531989629">
    <w:abstractNumId w:val="9"/>
  </w:num>
  <w:num w:numId="41" w16cid:durableId="340203414">
    <w:abstractNumId w:val="29"/>
  </w:num>
  <w:num w:numId="42" w16cid:durableId="1408839684">
    <w:abstractNumId w:val="1"/>
  </w:num>
  <w:num w:numId="43" w16cid:durableId="590159118">
    <w:abstractNumId w:val="21"/>
  </w:num>
  <w:num w:numId="44" w16cid:durableId="1334071760">
    <w:abstractNumId w:val="35"/>
  </w:num>
  <w:num w:numId="45" w16cid:durableId="303001084">
    <w:abstractNumId w:val="37"/>
  </w:num>
  <w:num w:numId="46" w16cid:durableId="1736049691">
    <w:abstractNumId w:val="5"/>
  </w:num>
  <w:num w:numId="47" w16cid:durableId="1443917578">
    <w:abstractNumId w:val="4"/>
  </w:num>
  <w:num w:numId="48" w16cid:durableId="1906717980">
    <w:abstractNumId w:val="10"/>
  </w:num>
  <w:num w:numId="49" w16cid:durableId="235172180">
    <w:abstractNumId w:val="47"/>
  </w:num>
  <w:num w:numId="50" w16cid:durableId="17440643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removePersonalInformatio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069D6"/>
    <w:rsid w:val="00011457"/>
    <w:rsid w:val="00013652"/>
    <w:rsid w:val="00034DD1"/>
    <w:rsid w:val="0004355D"/>
    <w:rsid w:val="00047573"/>
    <w:rsid w:val="00057B67"/>
    <w:rsid w:val="00060A9A"/>
    <w:rsid w:val="00061E0E"/>
    <w:rsid w:val="0007506F"/>
    <w:rsid w:val="00076815"/>
    <w:rsid w:val="00081F44"/>
    <w:rsid w:val="00082A5F"/>
    <w:rsid w:val="000967ED"/>
    <w:rsid w:val="000A20D7"/>
    <w:rsid w:val="000B41B6"/>
    <w:rsid w:val="000C3FA5"/>
    <w:rsid w:val="000E2ABF"/>
    <w:rsid w:val="000E3F21"/>
    <w:rsid w:val="000E4C51"/>
    <w:rsid w:val="000E5081"/>
    <w:rsid w:val="0010181C"/>
    <w:rsid w:val="00116923"/>
    <w:rsid w:val="00121042"/>
    <w:rsid w:val="00124AE1"/>
    <w:rsid w:val="00147CBA"/>
    <w:rsid w:val="00150909"/>
    <w:rsid w:val="0015327B"/>
    <w:rsid w:val="00155CAD"/>
    <w:rsid w:val="001624E4"/>
    <w:rsid w:val="00165D83"/>
    <w:rsid w:val="00170114"/>
    <w:rsid w:val="001777FA"/>
    <w:rsid w:val="00181A81"/>
    <w:rsid w:val="00194C04"/>
    <w:rsid w:val="00194CE8"/>
    <w:rsid w:val="001959A2"/>
    <w:rsid w:val="001A1275"/>
    <w:rsid w:val="001A1CA1"/>
    <w:rsid w:val="001A7CF7"/>
    <w:rsid w:val="001B5EE2"/>
    <w:rsid w:val="001D6B11"/>
    <w:rsid w:val="001F3109"/>
    <w:rsid w:val="00203D5B"/>
    <w:rsid w:val="00210DD6"/>
    <w:rsid w:val="00211C31"/>
    <w:rsid w:val="00214319"/>
    <w:rsid w:val="0023296D"/>
    <w:rsid w:val="00232DDC"/>
    <w:rsid w:val="00245771"/>
    <w:rsid w:val="00252077"/>
    <w:rsid w:val="00264637"/>
    <w:rsid w:val="00270891"/>
    <w:rsid w:val="00273441"/>
    <w:rsid w:val="00273EDD"/>
    <w:rsid w:val="002B0D8E"/>
    <w:rsid w:val="002B7079"/>
    <w:rsid w:val="002E2291"/>
    <w:rsid w:val="00301923"/>
    <w:rsid w:val="00306EF0"/>
    <w:rsid w:val="0031658E"/>
    <w:rsid w:val="00326D6B"/>
    <w:rsid w:val="00331AFC"/>
    <w:rsid w:val="003508EB"/>
    <w:rsid w:val="00351087"/>
    <w:rsid w:val="003548DA"/>
    <w:rsid w:val="003601B2"/>
    <w:rsid w:val="00362BF1"/>
    <w:rsid w:val="00387CDA"/>
    <w:rsid w:val="003A3856"/>
    <w:rsid w:val="003A5297"/>
    <w:rsid w:val="003B222B"/>
    <w:rsid w:val="003B534C"/>
    <w:rsid w:val="003D0337"/>
    <w:rsid w:val="003D5987"/>
    <w:rsid w:val="003D67E2"/>
    <w:rsid w:val="003D7B40"/>
    <w:rsid w:val="0040579A"/>
    <w:rsid w:val="0040687D"/>
    <w:rsid w:val="00411C60"/>
    <w:rsid w:val="00414ADE"/>
    <w:rsid w:val="00424B98"/>
    <w:rsid w:val="004361C8"/>
    <w:rsid w:val="00436F4D"/>
    <w:rsid w:val="00453C0F"/>
    <w:rsid w:val="004620C9"/>
    <w:rsid w:val="00471BC9"/>
    <w:rsid w:val="0047640E"/>
    <w:rsid w:val="004939EE"/>
    <w:rsid w:val="004969D3"/>
    <w:rsid w:val="004A29FE"/>
    <w:rsid w:val="004B3EA6"/>
    <w:rsid w:val="004C0985"/>
    <w:rsid w:val="004C2AB2"/>
    <w:rsid w:val="004D362E"/>
    <w:rsid w:val="004D476C"/>
    <w:rsid w:val="004E4679"/>
    <w:rsid w:val="004F6AD9"/>
    <w:rsid w:val="00513CCF"/>
    <w:rsid w:val="00516914"/>
    <w:rsid w:val="0055174B"/>
    <w:rsid w:val="00551D82"/>
    <w:rsid w:val="005520FB"/>
    <w:rsid w:val="0055493E"/>
    <w:rsid w:val="00567C55"/>
    <w:rsid w:val="005734D7"/>
    <w:rsid w:val="00574E09"/>
    <w:rsid w:val="00575E55"/>
    <w:rsid w:val="00575EA0"/>
    <w:rsid w:val="00585BF5"/>
    <w:rsid w:val="00593924"/>
    <w:rsid w:val="00593C84"/>
    <w:rsid w:val="005A637B"/>
    <w:rsid w:val="005C4711"/>
    <w:rsid w:val="005D199A"/>
    <w:rsid w:val="005E1EE7"/>
    <w:rsid w:val="005E3C6E"/>
    <w:rsid w:val="005E5457"/>
    <w:rsid w:val="00600C70"/>
    <w:rsid w:val="0060274C"/>
    <w:rsid w:val="00604100"/>
    <w:rsid w:val="00615035"/>
    <w:rsid w:val="00622578"/>
    <w:rsid w:val="006239A1"/>
    <w:rsid w:val="00634672"/>
    <w:rsid w:val="006643C0"/>
    <w:rsid w:val="006755EE"/>
    <w:rsid w:val="0067795F"/>
    <w:rsid w:val="0068082F"/>
    <w:rsid w:val="006824BF"/>
    <w:rsid w:val="00683DBE"/>
    <w:rsid w:val="006867A1"/>
    <w:rsid w:val="00690A51"/>
    <w:rsid w:val="006B72AC"/>
    <w:rsid w:val="006B7BC5"/>
    <w:rsid w:val="006E4797"/>
    <w:rsid w:val="006E7C64"/>
    <w:rsid w:val="00702ADE"/>
    <w:rsid w:val="0070444F"/>
    <w:rsid w:val="00714BE0"/>
    <w:rsid w:val="00731891"/>
    <w:rsid w:val="00736371"/>
    <w:rsid w:val="0073675B"/>
    <w:rsid w:val="00751D3D"/>
    <w:rsid w:val="0075499A"/>
    <w:rsid w:val="0078189C"/>
    <w:rsid w:val="007A20D3"/>
    <w:rsid w:val="007A4BBA"/>
    <w:rsid w:val="007A718A"/>
    <w:rsid w:val="007B2A6A"/>
    <w:rsid w:val="007B488F"/>
    <w:rsid w:val="007B72A4"/>
    <w:rsid w:val="007C5E65"/>
    <w:rsid w:val="007D6BE0"/>
    <w:rsid w:val="007F015A"/>
    <w:rsid w:val="007F13E9"/>
    <w:rsid w:val="007F2030"/>
    <w:rsid w:val="00801B16"/>
    <w:rsid w:val="00833B96"/>
    <w:rsid w:val="00836449"/>
    <w:rsid w:val="008425A4"/>
    <w:rsid w:val="008461C6"/>
    <w:rsid w:val="00853F50"/>
    <w:rsid w:val="0085421A"/>
    <w:rsid w:val="008550CA"/>
    <w:rsid w:val="0085548D"/>
    <w:rsid w:val="00871159"/>
    <w:rsid w:val="00887E49"/>
    <w:rsid w:val="00896DC4"/>
    <w:rsid w:val="008A19A4"/>
    <w:rsid w:val="008A4859"/>
    <w:rsid w:val="008B2D50"/>
    <w:rsid w:val="008B35D2"/>
    <w:rsid w:val="008D293E"/>
    <w:rsid w:val="008E19AC"/>
    <w:rsid w:val="008E3702"/>
    <w:rsid w:val="008E6A24"/>
    <w:rsid w:val="00916812"/>
    <w:rsid w:val="0092068A"/>
    <w:rsid w:val="00922187"/>
    <w:rsid w:val="009409EA"/>
    <w:rsid w:val="0095779B"/>
    <w:rsid w:val="00967BCD"/>
    <w:rsid w:val="009711C1"/>
    <w:rsid w:val="00974183"/>
    <w:rsid w:val="009800E6"/>
    <w:rsid w:val="009920D0"/>
    <w:rsid w:val="00994F50"/>
    <w:rsid w:val="009A0FA3"/>
    <w:rsid w:val="009D76B7"/>
    <w:rsid w:val="00A03E1B"/>
    <w:rsid w:val="00A0621C"/>
    <w:rsid w:val="00A1684A"/>
    <w:rsid w:val="00A23E08"/>
    <w:rsid w:val="00A3395E"/>
    <w:rsid w:val="00A418D1"/>
    <w:rsid w:val="00A462A2"/>
    <w:rsid w:val="00A61636"/>
    <w:rsid w:val="00A624BE"/>
    <w:rsid w:val="00A65C0A"/>
    <w:rsid w:val="00A874AB"/>
    <w:rsid w:val="00A944EB"/>
    <w:rsid w:val="00AB4038"/>
    <w:rsid w:val="00B14E3D"/>
    <w:rsid w:val="00B37F6F"/>
    <w:rsid w:val="00B402B0"/>
    <w:rsid w:val="00B52FAE"/>
    <w:rsid w:val="00B66177"/>
    <w:rsid w:val="00B70274"/>
    <w:rsid w:val="00B81064"/>
    <w:rsid w:val="00B87681"/>
    <w:rsid w:val="00BA2A8E"/>
    <w:rsid w:val="00BC0B63"/>
    <w:rsid w:val="00BC7C9F"/>
    <w:rsid w:val="00BD1BA3"/>
    <w:rsid w:val="00BD3767"/>
    <w:rsid w:val="00BE22A2"/>
    <w:rsid w:val="00BE2769"/>
    <w:rsid w:val="00BF3DFE"/>
    <w:rsid w:val="00BF42F2"/>
    <w:rsid w:val="00C022F6"/>
    <w:rsid w:val="00C02D77"/>
    <w:rsid w:val="00C11D93"/>
    <w:rsid w:val="00C27C71"/>
    <w:rsid w:val="00C366E0"/>
    <w:rsid w:val="00C54D02"/>
    <w:rsid w:val="00C550F3"/>
    <w:rsid w:val="00C56A1D"/>
    <w:rsid w:val="00C652D8"/>
    <w:rsid w:val="00C736BF"/>
    <w:rsid w:val="00C8569A"/>
    <w:rsid w:val="00C875D1"/>
    <w:rsid w:val="00CB1713"/>
    <w:rsid w:val="00CB1783"/>
    <w:rsid w:val="00CB1E47"/>
    <w:rsid w:val="00CC772D"/>
    <w:rsid w:val="00D05915"/>
    <w:rsid w:val="00D07A90"/>
    <w:rsid w:val="00D172DB"/>
    <w:rsid w:val="00D2510B"/>
    <w:rsid w:val="00D462FF"/>
    <w:rsid w:val="00D4641D"/>
    <w:rsid w:val="00D471FD"/>
    <w:rsid w:val="00D57F1F"/>
    <w:rsid w:val="00D649FB"/>
    <w:rsid w:val="00D661BB"/>
    <w:rsid w:val="00D80552"/>
    <w:rsid w:val="00D840C2"/>
    <w:rsid w:val="00D86B4F"/>
    <w:rsid w:val="00D86D57"/>
    <w:rsid w:val="00D959E7"/>
    <w:rsid w:val="00DA154A"/>
    <w:rsid w:val="00DA3C5C"/>
    <w:rsid w:val="00DB63AB"/>
    <w:rsid w:val="00DC0E61"/>
    <w:rsid w:val="00DC18A7"/>
    <w:rsid w:val="00DC291C"/>
    <w:rsid w:val="00DC3D8F"/>
    <w:rsid w:val="00DC5132"/>
    <w:rsid w:val="00DD0D2A"/>
    <w:rsid w:val="00DD341C"/>
    <w:rsid w:val="00DF26BA"/>
    <w:rsid w:val="00DF591F"/>
    <w:rsid w:val="00E03054"/>
    <w:rsid w:val="00E04662"/>
    <w:rsid w:val="00E216EE"/>
    <w:rsid w:val="00E2238B"/>
    <w:rsid w:val="00E401D5"/>
    <w:rsid w:val="00E51218"/>
    <w:rsid w:val="00E6379C"/>
    <w:rsid w:val="00E67311"/>
    <w:rsid w:val="00E82C06"/>
    <w:rsid w:val="00EA1FE8"/>
    <w:rsid w:val="00EB1E68"/>
    <w:rsid w:val="00EC0649"/>
    <w:rsid w:val="00EC57F0"/>
    <w:rsid w:val="00EE0FEB"/>
    <w:rsid w:val="00EE73D2"/>
    <w:rsid w:val="00EE7D37"/>
    <w:rsid w:val="00EF6742"/>
    <w:rsid w:val="00F100A8"/>
    <w:rsid w:val="00F22FB1"/>
    <w:rsid w:val="00F322A2"/>
    <w:rsid w:val="00F36869"/>
    <w:rsid w:val="00F41DE1"/>
    <w:rsid w:val="00F50744"/>
    <w:rsid w:val="00F66A93"/>
    <w:rsid w:val="00F72213"/>
    <w:rsid w:val="00F80998"/>
    <w:rsid w:val="00FA3B53"/>
    <w:rsid w:val="00FA6C9C"/>
    <w:rsid w:val="00FB0615"/>
    <w:rsid w:val="00FC2E91"/>
    <w:rsid w:val="00FD7052"/>
    <w:rsid w:val="00FE0B9D"/>
    <w:rsid w:val="00FE3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132"/>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unhideWhenUsed/>
    <w:rsid w:val="006643C0"/>
    <w:pPr>
      <w:tabs>
        <w:tab w:val="left" w:pos="380"/>
        <w:tab w:val="left" w:pos="500"/>
      </w:tabs>
      <w:spacing w:after="240"/>
      <w:ind w:left="504" w:hanging="504"/>
    </w:pPr>
  </w:style>
  <w:style w:type="character" w:styleId="PlaceholderText">
    <w:name w:val="Placeholder Text"/>
    <w:basedOn w:val="DefaultParagraphFont"/>
    <w:uiPriority w:val="99"/>
    <w:semiHidden/>
    <w:rsid w:val="00D86B4F"/>
    <w:rPr>
      <w:color w:val="666666"/>
    </w:rPr>
  </w:style>
  <w:style w:type="paragraph" w:customStyle="1" w:styleId="p1">
    <w:name w:val="p1"/>
    <w:basedOn w:val="Normal"/>
    <w:rsid w:val="00FD7052"/>
    <w:pPr>
      <w:widowControl/>
      <w:spacing w:before="100" w:beforeAutospacing="1" w:after="100" w:afterAutospacing="1"/>
      <w:jc w:val="left"/>
    </w:pPr>
    <w:rPr>
      <w:rFonts w:ascii="Times New Roman" w:eastAsia="Times New Roman" w:hAnsi="Times New Roman" w:cs="Times New Roman"/>
    </w:rPr>
  </w:style>
  <w:style w:type="paragraph" w:customStyle="1" w:styleId="p2">
    <w:name w:val="p2"/>
    <w:basedOn w:val="Normal"/>
    <w:rsid w:val="00FD7052"/>
    <w:pPr>
      <w:widowControl/>
      <w:spacing w:before="100" w:beforeAutospacing="1" w:after="100" w:afterAutospacing="1"/>
      <w:jc w:val="left"/>
    </w:pPr>
    <w:rPr>
      <w:rFonts w:ascii="Times New Roman" w:eastAsia="Times New Roman" w:hAnsi="Times New Roman" w:cs="Times New Roman"/>
    </w:rPr>
  </w:style>
  <w:style w:type="character" w:customStyle="1" w:styleId="s1">
    <w:name w:val="s1"/>
    <w:basedOn w:val="DefaultParagraphFont"/>
    <w:rsid w:val="00FD7052"/>
  </w:style>
  <w:style w:type="character" w:styleId="Strong">
    <w:name w:val="Strong"/>
    <w:basedOn w:val="DefaultParagraphFont"/>
    <w:uiPriority w:val="22"/>
    <w:qFormat/>
    <w:rsid w:val="000C3FA5"/>
    <w:rPr>
      <w:b/>
      <w:bCs/>
    </w:rPr>
  </w:style>
  <w:style w:type="paragraph" w:styleId="NormalWeb">
    <w:name w:val="Normal (Web)"/>
    <w:basedOn w:val="Normal"/>
    <w:uiPriority w:val="99"/>
    <w:semiHidden/>
    <w:unhideWhenUsed/>
    <w:rsid w:val="00060A9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17254</Words>
  <Characters>98353</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2026-05-20T00:27:00Z</dcterms:created>
  <dcterms:modified xsi:type="dcterms:W3CDTF">2026-05-20T00:27:00Z</dcterms:modified>
</cp:coreProperties>
</file>