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25808" w14:textId="77777777" w:rsidR="009F2AB9" w:rsidRPr="003A2729" w:rsidRDefault="00551D82" w:rsidP="00862571">
      <w:pPr>
        <w:pBdr>
          <w:top w:val="nil"/>
          <w:left w:val="nil"/>
          <w:bottom w:val="nil"/>
          <w:right w:val="nil"/>
          <w:between w:val="nil"/>
        </w:pBdr>
        <w:contextualSpacing/>
        <w:rPr>
          <w:color w:val="000000"/>
        </w:rPr>
      </w:pPr>
      <w:r w:rsidRPr="003A2729">
        <w:rPr>
          <w:b/>
          <w:color w:val="000000"/>
        </w:rPr>
        <w:t>TITLE:</w:t>
      </w:r>
      <w:r w:rsidRPr="003A2729">
        <w:rPr>
          <w:color w:val="000000"/>
        </w:rPr>
        <w:t xml:space="preserve"> </w:t>
      </w:r>
    </w:p>
    <w:p w14:paraId="0B5F6451" w14:textId="2D56EF98" w:rsidR="009C7776" w:rsidRPr="003A2729" w:rsidRDefault="009C7776" w:rsidP="00862571">
      <w:pPr>
        <w:pBdr>
          <w:top w:val="nil"/>
          <w:left w:val="nil"/>
          <w:bottom w:val="nil"/>
          <w:right w:val="nil"/>
          <w:between w:val="nil"/>
        </w:pBdr>
        <w:contextualSpacing/>
        <w:rPr>
          <w:color w:val="000000"/>
        </w:rPr>
      </w:pPr>
      <w:r w:rsidRPr="003A2729">
        <w:rPr>
          <w:b/>
          <w:lang w:val="en-GB"/>
        </w:rPr>
        <w:t xml:space="preserve">Multi-locus Sequencing for Strain Typing of </w:t>
      </w:r>
      <w:r w:rsidRPr="003A2729">
        <w:rPr>
          <w:b/>
          <w:i/>
          <w:iCs/>
          <w:lang w:val="en-GB"/>
        </w:rPr>
        <w:t>Toxoplasma gondii</w:t>
      </w:r>
    </w:p>
    <w:p w14:paraId="20872C64" w14:textId="77777777" w:rsidR="00B17C73" w:rsidRPr="003A2729" w:rsidRDefault="00B17C73" w:rsidP="00862571">
      <w:pPr>
        <w:pBdr>
          <w:top w:val="nil"/>
          <w:left w:val="nil"/>
          <w:bottom w:val="nil"/>
          <w:right w:val="nil"/>
          <w:between w:val="nil"/>
        </w:pBdr>
        <w:contextualSpacing/>
        <w:rPr>
          <w:b/>
        </w:rPr>
      </w:pPr>
    </w:p>
    <w:p w14:paraId="581FC814" w14:textId="61F9A9A0" w:rsidR="00F259AE" w:rsidRPr="003A2729" w:rsidRDefault="00551D82" w:rsidP="00862571">
      <w:pPr>
        <w:pBdr>
          <w:top w:val="nil"/>
          <w:left w:val="nil"/>
          <w:bottom w:val="nil"/>
          <w:right w:val="nil"/>
          <w:between w:val="nil"/>
        </w:pBdr>
        <w:contextualSpacing/>
        <w:rPr>
          <w:color w:val="808080"/>
        </w:rPr>
      </w:pPr>
      <w:r w:rsidRPr="003A2729">
        <w:rPr>
          <w:b/>
        </w:rPr>
        <w:t xml:space="preserve">AUTHORS </w:t>
      </w:r>
      <w:r w:rsidR="00B17C73" w:rsidRPr="003A2729">
        <w:rPr>
          <w:b/>
        </w:rPr>
        <w:t>&amp;</w:t>
      </w:r>
      <w:r w:rsidRPr="003A2729">
        <w:rPr>
          <w:b/>
        </w:rPr>
        <w:t xml:space="preserve"> AFFILIATIONS:</w:t>
      </w:r>
    </w:p>
    <w:p w14:paraId="023C5E11" w14:textId="6FDE10A3" w:rsidR="00F259AE" w:rsidRPr="003A2729" w:rsidRDefault="00F259AE" w:rsidP="00862571">
      <w:pPr>
        <w:pBdr>
          <w:top w:val="nil"/>
          <w:left w:val="nil"/>
          <w:bottom w:val="nil"/>
          <w:right w:val="nil"/>
          <w:between w:val="nil"/>
        </w:pBdr>
        <w:contextualSpacing/>
        <w:rPr>
          <w:color w:val="000000"/>
          <w:lang w:val="en-GB"/>
        </w:rPr>
      </w:pPr>
      <w:r w:rsidRPr="003A2729">
        <w:rPr>
          <w:color w:val="000000"/>
          <w:lang w:val="en-GB"/>
        </w:rPr>
        <w:t>Abeer A. Khedr</w:t>
      </w:r>
      <w:r w:rsidRPr="003A2729">
        <w:rPr>
          <w:color w:val="000000"/>
          <w:vertAlign w:val="superscript"/>
          <w:lang w:val="en-GB"/>
        </w:rPr>
        <w:t>1,2</w:t>
      </w:r>
      <w:r w:rsidR="00475A69" w:rsidRPr="003A2729">
        <w:rPr>
          <w:color w:val="000000"/>
          <w:vertAlign w:val="superscript"/>
          <w:lang w:val="en-GB"/>
        </w:rPr>
        <w:t>*</w:t>
      </w:r>
      <w:r w:rsidR="009F2AB9" w:rsidRPr="003A2729">
        <w:rPr>
          <w:color w:val="000000"/>
          <w:lang w:val="en-GB"/>
        </w:rPr>
        <w:t xml:space="preserve">, </w:t>
      </w:r>
      <w:r w:rsidRPr="003A2729">
        <w:rPr>
          <w:color w:val="000000"/>
          <w:lang w:val="en-GB"/>
        </w:rPr>
        <w:t>Paul W. Denny</w:t>
      </w:r>
      <w:r w:rsidRPr="003A2729">
        <w:rPr>
          <w:color w:val="000000"/>
          <w:vertAlign w:val="superscript"/>
          <w:lang w:val="en-GB"/>
        </w:rPr>
        <w:t>1</w:t>
      </w:r>
      <w:r w:rsidR="00475A69" w:rsidRPr="003A2729">
        <w:rPr>
          <w:color w:val="000000"/>
          <w:vertAlign w:val="superscript"/>
          <w:lang w:val="en-GB"/>
        </w:rPr>
        <w:t>*</w:t>
      </w:r>
    </w:p>
    <w:p w14:paraId="03BC6AAF" w14:textId="77777777" w:rsidR="00B17C73" w:rsidRPr="003A2729" w:rsidRDefault="00B17C73" w:rsidP="00862571">
      <w:pPr>
        <w:pBdr>
          <w:top w:val="nil"/>
          <w:left w:val="nil"/>
          <w:bottom w:val="nil"/>
          <w:right w:val="nil"/>
          <w:between w:val="nil"/>
        </w:pBdr>
        <w:contextualSpacing/>
        <w:rPr>
          <w:b/>
          <w:bCs/>
          <w:color w:val="000000"/>
          <w:lang w:val="en-GB"/>
        </w:rPr>
      </w:pPr>
    </w:p>
    <w:p w14:paraId="27B8CAA3" w14:textId="1941934B" w:rsidR="00F259AE" w:rsidRPr="003A2729" w:rsidRDefault="00F259AE" w:rsidP="00862571">
      <w:pPr>
        <w:pBdr>
          <w:top w:val="nil"/>
          <w:left w:val="nil"/>
          <w:bottom w:val="nil"/>
          <w:right w:val="nil"/>
          <w:between w:val="nil"/>
        </w:pBdr>
        <w:contextualSpacing/>
        <w:rPr>
          <w:color w:val="000000"/>
          <w:lang w:val="en-GB"/>
        </w:rPr>
      </w:pPr>
      <w:r w:rsidRPr="003A2729">
        <w:rPr>
          <w:color w:val="000000"/>
          <w:vertAlign w:val="superscript"/>
          <w:lang w:val="en-GB"/>
        </w:rPr>
        <w:t>1</w:t>
      </w:r>
      <w:r w:rsidRPr="003A2729">
        <w:rPr>
          <w:color w:val="000000"/>
          <w:lang w:val="en-GB"/>
        </w:rPr>
        <w:t>Department of Biosciences, Durham University, Durham, DH1 3LE, United Kingdom</w:t>
      </w:r>
    </w:p>
    <w:p w14:paraId="77429C17" w14:textId="1681608B" w:rsidR="00F259AE" w:rsidRPr="003A2729" w:rsidRDefault="00F259AE" w:rsidP="00862571">
      <w:pPr>
        <w:pBdr>
          <w:top w:val="nil"/>
          <w:left w:val="nil"/>
          <w:bottom w:val="nil"/>
          <w:right w:val="nil"/>
          <w:between w:val="nil"/>
        </w:pBdr>
        <w:contextualSpacing/>
        <w:rPr>
          <w:color w:val="000000"/>
          <w:lang w:val="en-GB"/>
        </w:rPr>
      </w:pPr>
      <w:r w:rsidRPr="003A2729">
        <w:rPr>
          <w:color w:val="000000"/>
          <w:vertAlign w:val="superscript"/>
          <w:lang w:val="en-GB"/>
        </w:rPr>
        <w:t>2</w:t>
      </w:r>
      <w:r w:rsidRPr="003A2729">
        <w:rPr>
          <w:color w:val="000000"/>
          <w:lang w:val="en-GB"/>
        </w:rPr>
        <w:t>Department of Parasitology, Faculty of Veterinary Medicine, New Valley University, El-</w:t>
      </w:r>
      <w:proofErr w:type="spellStart"/>
      <w:r w:rsidRPr="003A2729">
        <w:rPr>
          <w:color w:val="000000"/>
          <w:lang w:val="en-GB"/>
        </w:rPr>
        <w:t>Kharga</w:t>
      </w:r>
      <w:proofErr w:type="spellEnd"/>
      <w:r w:rsidRPr="003A2729">
        <w:rPr>
          <w:color w:val="000000"/>
          <w:lang w:val="en-GB"/>
        </w:rPr>
        <w:t xml:space="preserve"> 72511, Egypt</w:t>
      </w:r>
    </w:p>
    <w:p w14:paraId="58ADF271" w14:textId="77777777" w:rsidR="009F2AB9" w:rsidRPr="003A2729" w:rsidRDefault="009F2AB9" w:rsidP="00862571">
      <w:pPr>
        <w:pBdr>
          <w:top w:val="nil"/>
          <w:left w:val="nil"/>
          <w:bottom w:val="nil"/>
          <w:right w:val="nil"/>
          <w:between w:val="nil"/>
        </w:pBdr>
        <w:contextualSpacing/>
      </w:pPr>
    </w:p>
    <w:p w14:paraId="27718364" w14:textId="0AC7510B" w:rsidR="009F2AB9" w:rsidRPr="003A2729" w:rsidRDefault="00475A69" w:rsidP="00862571">
      <w:pPr>
        <w:pBdr>
          <w:top w:val="nil"/>
          <w:left w:val="nil"/>
          <w:bottom w:val="nil"/>
          <w:right w:val="nil"/>
          <w:between w:val="nil"/>
        </w:pBdr>
        <w:contextualSpacing/>
        <w:rPr>
          <w:b/>
          <w:bCs/>
        </w:rPr>
      </w:pPr>
      <w:r w:rsidRPr="003A2729">
        <w:rPr>
          <w:color w:val="000000"/>
          <w:vertAlign w:val="superscript"/>
          <w:lang w:val="en-GB"/>
        </w:rPr>
        <w:t>*</w:t>
      </w:r>
      <w:r w:rsidR="009F2AB9" w:rsidRPr="003A2729">
        <w:rPr>
          <w:b/>
          <w:bCs/>
        </w:rPr>
        <w:t>Corresponding author</w:t>
      </w:r>
      <w:r w:rsidR="009146FA" w:rsidRPr="003A2729">
        <w:rPr>
          <w:b/>
          <w:bCs/>
        </w:rPr>
        <w:t>s</w:t>
      </w:r>
      <w:r w:rsidR="009F2AB9" w:rsidRPr="003A2729">
        <w:rPr>
          <w:b/>
          <w:bCs/>
        </w:rPr>
        <w:t>:</w:t>
      </w:r>
    </w:p>
    <w:p w14:paraId="22F259C1" w14:textId="0888E017" w:rsidR="009146FA" w:rsidRPr="003A2729" w:rsidRDefault="009146FA" w:rsidP="009146FA">
      <w:pPr>
        <w:pBdr>
          <w:top w:val="nil"/>
          <w:left w:val="nil"/>
          <w:bottom w:val="nil"/>
          <w:right w:val="nil"/>
          <w:between w:val="nil"/>
        </w:pBdr>
        <w:contextualSpacing/>
        <w:rPr>
          <w:color w:val="000000"/>
        </w:rPr>
      </w:pPr>
      <w:r w:rsidRPr="003A2729">
        <w:rPr>
          <w:color w:val="000000"/>
          <w:lang w:val="en-GB"/>
        </w:rPr>
        <w:t>Abeer A. Khedr</w:t>
      </w:r>
      <w:r w:rsidRPr="003A2729">
        <w:rPr>
          <w:color w:val="000000"/>
        </w:rPr>
        <w:t xml:space="preserve"> </w:t>
      </w:r>
      <w:r w:rsidR="00A73C40" w:rsidRPr="003A2729">
        <w:rPr>
          <w:color w:val="000000"/>
        </w:rPr>
        <w:tab/>
      </w:r>
      <w:r w:rsidRPr="003A2729">
        <w:rPr>
          <w:color w:val="000000"/>
        </w:rPr>
        <w:t>(</w:t>
      </w:r>
      <w:r w:rsidR="00A73C40" w:rsidRPr="003A2729">
        <w:rPr>
          <w:lang w:val="en-GB"/>
        </w:rPr>
        <w:t>abeer.a.mohamed@durham.ac.uk</w:t>
      </w:r>
      <w:r w:rsidRPr="003A2729">
        <w:rPr>
          <w:color w:val="000000"/>
          <w:lang w:val="en-GB"/>
        </w:rPr>
        <w:t>)</w:t>
      </w:r>
    </w:p>
    <w:p w14:paraId="6155770C" w14:textId="40AED1A6" w:rsidR="009F2AB9" w:rsidRPr="003A2729" w:rsidRDefault="009F2AB9" w:rsidP="00862571">
      <w:pPr>
        <w:pBdr>
          <w:top w:val="nil"/>
          <w:left w:val="nil"/>
          <w:bottom w:val="nil"/>
          <w:right w:val="nil"/>
          <w:between w:val="nil"/>
        </w:pBdr>
        <w:contextualSpacing/>
        <w:rPr>
          <w:b/>
          <w:bCs/>
          <w:color w:val="000000"/>
        </w:rPr>
      </w:pPr>
      <w:r w:rsidRPr="003A2729">
        <w:rPr>
          <w:color w:val="000000"/>
          <w:lang w:val="en-GB"/>
        </w:rPr>
        <w:t>Paul W. Denny</w:t>
      </w:r>
      <w:r w:rsidR="009146FA" w:rsidRPr="003A2729">
        <w:rPr>
          <w:color w:val="000000"/>
          <w:vertAlign w:val="superscript"/>
          <w:lang w:val="en-GB"/>
        </w:rPr>
        <w:t xml:space="preserve"> </w:t>
      </w:r>
      <w:r w:rsidR="00A73C40" w:rsidRPr="003A2729">
        <w:rPr>
          <w:color w:val="000000"/>
          <w:vertAlign w:val="superscript"/>
          <w:lang w:val="en-GB"/>
        </w:rPr>
        <w:tab/>
      </w:r>
      <w:r w:rsidRPr="003A2729">
        <w:rPr>
          <w:color w:val="000000"/>
        </w:rPr>
        <w:t>(</w:t>
      </w:r>
      <w:r w:rsidRPr="003A2729">
        <w:t>p.w.denny@durham.ac.uk)</w:t>
      </w:r>
    </w:p>
    <w:p w14:paraId="3D9B6484" w14:textId="77777777" w:rsidR="00F259AE" w:rsidRPr="003A2729" w:rsidRDefault="00F259AE" w:rsidP="00862571">
      <w:pPr>
        <w:pBdr>
          <w:top w:val="nil"/>
          <w:left w:val="nil"/>
          <w:bottom w:val="nil"/>
          <w:right w:val="nil"/>
          <w:between w:val="nil"/>
        </w:pBdr>
        <w:contextualSpacing/>
        <w:rPr>
          <w:b/>
          <w:bCs/>
          <w:color w:val="000000"/>
          <w:lang w:val="en-GB"/>
        </w:rPr>
      </w:pPr>
    </w:p>
    <w:p w14:paraId="15A884C1" w14:textId="77777777" w:rsidR="00B17C73" w:rsidRPr="003A2729" w:rsidRDefault="00F259AE" w:rsidP="00862571">
      <w:pPr>
        <w:pBdr>
          <w:top w:val="nil"/>
          <w:left w:val="nil"/>
          <w:bottom w:val="nil"/>
          <w:right w:val="nil"/>
          <w:between w:val="nil"/>
        </w:pBdr>
        <w:contextualSpacing/>
        <w:rPr>
          <w:b/>
          <w:bCs/>
          <w:color w:val="000000"/>
          <w:lang w:val="en-GB"/>
        </w:rPr>
      </w:pPr>
      <w:r w:rsidRPr="003A2729">
        <w:rPr>
          <w:b/>
          <w:bCs/>
          <w:color w:val="000000"/>
          <w:lang w:val="en-GB"/>
        </w:rPr>
        <w:t xml:space="preserve">KEYWORDS: </w:t>
      </w:r>
    </w:p>
    <w:p w14:paraId="45EDD85B" w14:textId="2D9903CB" w:rsidR="00F259AE" w:rsidRPr="003A2729" w:rsidRDefault="00F259AE" w:rsidP="00862571">
      <w:pPr>
        <w:pBdr>
          <w:top w:val="nil"/>
          <w:left w:val="nil"/>
          <w:bottom w:val="nil"/>
          <w:right w:val="nil"/>
          <w:between w:val="nil"/>
        </w:pBdr>
        <w:contextualSpacing/>
        <w:rPr>
          <w:b/>
          <w:bCs/>
          <w:color w:val="000000"/>
          <w:lang w:val="en-GB"/>
        </w:rPr>
      </w:pPr>
      <w:r w:rsidRPr="003A2729">
        <w:rPr>
          <w:i/>
          <w:iCs/>
          <w:color w:val="000000"/>
          <w:lang w:val="en-GB"/>
        </w:rPr>
        <w:t>Toxoplasma gondii</w:t>
      </w:r>
      <w:r w:rsidR="00B17C73" w:rsidRPr="003A2729">
        <w:rPr>
          <w:color w:val="000000"/>
          <w:lang w:val="en-GB"/>
        </w:rPr>
        <w:t>,</w:t>
      </w:r>
      <w:r w:rsidRPr="003A2729">
        <w:rPr>
          <w:color w:val="000000"/>
          <w:lang w:val="en-GB"/>
        </w:rPr>
        <w:t xml:space="preserve"> multi-locus sequence typing</w:t>
      </w:r>
      <w:r w:rsidR="00B00443" w:rsidRPr="003A2729">
        <w:rPr>
          <w:color w:val="000000"/>
          <w:lang w:val="en-GB"/>
        </w:rPr>
        <w:t xml:space="preserve">, </w:t>
      </w:r>
      <w:r w:rsidRPr="003A2729">
        <w:rPr>
          <w:color w:val="000000"/>
          <w:lang w:val="en-GB"/>
        </w:rPr>
        <w:t>MLST</w:t>
      </w:r>
      <w:r w:rsidR="00B17C73" w:rsidRPr="003A2729">
        <w:rPr>
          <w:color w:val="000000"/>
          <w:lang w:val="en-GB"/>
        </w:rPr>
        <w:t>,</w:t>
      </w:r>
      <w:r w:rsidRPr="003A2729">
        <w:rPr>
          <w:color w:val="000000"/>
          <w:lang w:val="en-GB"/>
        </w:rPr>
        <w:t xml:space="preserve"> </w:t>
      </w:r>
      <w:r w:rsidR="009F2AB9" w:rsidRPr="003A2729">
        <w:rPr>
          <w:color w:val="000000"/>
          <w:lang w:val="en-GB"/>
        </w:rPr>
        <w:t>l</w:t>
      </w:r>
      <w:r w:rsidR="00F44480" w:rsidRPr="003A2729">
        <w:rPr>
          <w:color w:val="000000"/>
          <w:lang w:val="en-GB"/>
        </w:rPr>
        <w:t>ong-read</w:t>
      </w:r>
      <w:r w:rsidRPr="003A2729">
        <w:rPr>
          <w:color w:val="000000"/>
          <w:lang w:val="en-GB"/>
        </w:rPr>
        <w:t xml:space="preserve"> sequencing</w:t>
      </w:r>
      <w:r w:rsidR="0083065B" w:rsidRPr="003A2729">
        <w:rPr>
          <w:color w:val="000000"/>
          <w:lang w:val="en-GB"/>
        </w:rPr>
        <w:t xml:space="preserve">, </w:t>
      </w:r>
      <w:r w:rsidR="00B17C73" w:rsidRPr="003A2729">
        <w:rPr>
          <w:color w:val="000000"/>
          <w:lang w:val="en-GB"/>
        </w:rPr>
        <w:t>s</w:t>
      </w:r>
      <w:r w:rsidRPr="003A2729">
        <w:rPr>
          <w:color w:val="000000"/>
          <w:lang w:val="en-GB"/>
        </w:rPr>
        <w:t>train typing</w:t>
      </w:r>
      <w:r w:rsidR="00B17C73" w:rsidRPr="003A2729">
        <w:rPr>
          <w:color w:val="000000"/>
          <w:lang w:val="en-GB"/>
        </w:rPr>
        <w:t>,</w:t>
      </w:r>
      <w:r w:rsidRPr="003A2729">
        <w:rPr>
          <w:color w:val="000000"/>
          <w:lang w:val="en-GB"/>
        </w:rPr>
        <w:t xml:space="preserve"> variant detection</w:t>
      </w:r>
      <w:r w:rsidR="00B17C73" w:rsidRPr="003A2729">
        <w:rPr>
          <w:color w:val="000000"/>
          <w:lang w:val="en-GB"/>
        </w:rPr>
        <w:t>,</w:t>
      </w:r>
      <w:r w:rsidRPr="003A2729">
        <w:rPr>
          <w:color w:val="000000"/>
          <w:lang w:val="en-GB"/>
        </w:rPr>
        <w:t xml:space="preserve"> </w:t>
      </w:r>
      <w:r w:rsidR="00D63146" w:rsidRPr="00D50561">
        <w:rPr>
          <w:color w:val="000000"/>
          <w:lang w:val="en-GB"/>
        </w:rPr>
        <w:t>single nucleotide polymorphisms</w:t>
      </w:r>
      <w:r w:rsidR="00B00443" w:rsidRPr="006C3C04">
        <w:rPr>
          <w:color w:val="000000"/>
          <w:lang w:val="en-GB"/>
        </w:rPr>
        <w:t xml:space="preserve">, </w:t>
      </w:r>
      <w:r w:rsidR="00D63146" w:rsidRPr="00D50561">
        <w:rPr>
          <w:color w:val="000000"/>
          <w:lang w:val="en-GB"/>
        </w:rPr>
        <w:t>SNPs</w:t>
      </w:r>
      <w:r w:rsidR="00B00443" w:rsidRPr="006C3C04">
        <w:rPr>
          <w:color w:val="000000"/>
          <w:lang w:val="en-GB"/>
        </w:rPr>
        <w:t>,</w:t>
      </w:r>
      <w:r w:rsidRPr="003A2729">
        <w:rPr>
          <w:color w:val="000000"/>
          <w:lang w:val="en-GB"/>
        </w:rPr>
        <w:t xml:space="preserve"> </w:t>
      </w:r>
      <w:r w:rsidR="00D63146" w:rsidRPr="003A2729">
        <w:rPr>
          <w:color w:val="000000"/>
          <w:lang w:val="en-GB"/>
        </w:rPr>
        <w:t>insertion</w:t>
      </w:r>
      <w:r w:rsidRPr="003A2729">
        <w:rPr>
          <w:color w:val="000000"/>
          <w:lang w:val="en-GB"/>
        </w:rPr>
        <w:t>s</w:t>
      </w:r>
      <w:r w:rsidR="00D63146" w:rsidRPr="003A2729">
        <w:rPr>
          <w:color w:val="000000"/>
          <w:lang w:val="en-GB"/>
        </w:rPr>
        <w:t>/deletions</w:t>
      </w:r>
      <w:r w:rsidR="00B00443" w:rsidRPr="003A2729">
        <w:rPr>
          <w:color w:val="000000"/>
          <w:lang w:val="en-GB"/>
        </w:rPr>
        <w:t xml:space="preserve">, </w:t>
      </w:r>
      <w:r w:rsidR="00D63146" w:rsidRPr="003A2729">
        <w:rPr>
          <w:color w:val="000000"/>
          <w:lang w:val="en-GB"/>
        </w:rPr>
        <w:t>INDELs</w:t>
      </w:r>
      <w:r w:rsidRPr="003A2729">
        <w:rPr>
          <w:color w:val="000000"/>
          <w:lang w:val="en-GB"/>
        </w:rPr>
        <w:t>.</w:t>
      </w:r>
    </w:p>
    <w:p w14:paraId="141ABDE5" w14:textId="77777777" w:rsidR="006E4797" w:rsidRPr="003A2729" w:rsidRDefault="006E4797" w:rsidP="00862571">
      <w:pPr>
        <w:pBdr>
          <w:top w:val="nil"/>
          <w:left w:val="nil"/>
          <w:bottom w:val="nil"/>
          <w:right w:val="nil"/>
          <w:between w:val="nil"/>
        </w:pBdr>
        <w:contextualSpacing/>
        <w:rPr>
          <w:color w:val="000000"/>
          <w:lang w:val="en-GB"/>
        </w:rPr>
      </w:pPr>
    </w:p>
    <w:p w14:paraId="60F3B8D4" w14:textId="3413B7AF" w:rsidR="006E4797" w:rsidRPr="003A2729" w:rsidRDefault="00551D82" w:rsidP="00862571">
      <w:pPr>
        <w:contextualSpacing/>
      </w:pPr>
      <w:r w:rsidRPr="003A2729">
        <w:rPr>
          <w:b/>
        </w:rPr>
        <w:t>SUMMARY:</w:t>
      </w:r>
    </w:p>
    <w:p w14:paraId="74EFC8D7" w14:textId="3D7EAC2D" w:rsidR="006E4797" w:rsidRPr="003A2729" w:rsidRDefault="00AB0D42" w:rsidP="00862571">
      <w:pPr>
        <w:contextualSpacing/>
      </w:pPr>
      <w:r w:rsidRPr="003A2729">
        <w:t xml:space="preserve">Here, we present a protocol to rapidly identify and genotype </w:t>
      </w:r>
      <w:r w:rsidRPr="003A2729">
        <w:rPr>
          <w:rStyle w:val="Emphasis"/>
        </w:rPr>
        <w:t>Toxoplasma gondii</w:t>
      </w:r>
      <w:r w:rsidRPr="003A2729">
        <w:t xml:space="preserve"> strains using portable </w:t>
      </w:r>
      <w:r w:rsidR="000B1A76" w:rsidRPr="003A2729">
        <w:t>n</w:t>
      </w:r>
      <w:r w:rsidRPr="003A2729">
        <w:t xml:space="preserve">anopore sequencing of selected genetic markers, </w:t>
      </w:r>
      <w:r w:rsidR="008E483E" w:rsidRPr="003A2729">
        <w:t>enabling scalable, targeted strain identification in laboratory-maintained isolates with potential future application to surveillance settings</w:t>
      </w:r>
      <w:r w:rsidRPr="003A2729">
        <w:t>.</w:t>
      </w:r>
    </w:p>
    <w:p w14:paraId="587A9260" w14:textId="77777777" w:rsidR="00AB0D42" w:rsidRPr="003A2729" w:rsidRDefault="00AB0D42" w:rsidP="00862571">
      <w:pPr>
        <w:contextualSpacing/>
        <w:rPr>
          <w:lang w:val="en-GB"/>
        </w:rPr>
      </w:pPr>
    </w:p>
    <w:p w14:paraId="1A69F61A" w14:textId="4CBC6E4E" w:rsidR="00424437" w:rsidRPr="003A2729" w:rsidRDefault="00551D82" w:rsidP="00862571">
      <w:pPr>
        <w:contextualSpacing/>
        <w:rPr>
          <w:color w:val="808080"/>
        </w:rPr>
      </w:pPr>
      <w:r w:rsidRPr="003A2729">
        <w:rPr>
          <w:b/>
        </w:rPr>
        <w:t>ABSTRACT:</w:t>
      </w:r>
    </w:p>
    <w:p w14:paraId="33E52284" w14:textId="6EE55689" w:rsidR="009066A0" w:rsidRPr="003A2729" w:rsidRDefault="00D20B14" w:rsidP="00862571">
      <w:pPr>
        <w:contextualSpacing/>
      </w:pPr>
      <w:r w:rsidRPr="003A2729">
        <w:rPr>
          <w:i/>
          <w:iCs/>
        </w:rPr>
        <w:t xml:space="preserve">Toxoplasma gondii </w:t>
      </w:r>
      <w:r w:rsidRPr="003A2729">
        <w:t xml:space="preserve">is a globally distributed apicomplexan parasite characterized by substantial genetic diversity, necessitating accurate molecular approaches for strain discrimination. The goal of this protocol is to establish a reproducible workflow for targeted multi-locus genotyping of cultured </w:t>
      </w:r>
      <w:r w:rsidRPr="003A2729">
        <w:rPr>
          <w:i/>
          <w:iCs/>
        </w:rPr>
        <w:t>T. gondii</w:t>
      </w:r>
      <w:r w:rsidRPr="003A2729">
        <w:t xml:space="preserve"> isolates. The procedure involves</w:t>
      </w:r>
      <w:r w:rsidRPr="003A2729">
        <w:rPr>
          <w:i/>
          <w:iCs/>
        </w:rPr>
        <w:t xml:space="preserve"> in vitro </w:t>
      </w:r>
      <w:r w:rsidRPr="003A2729">
        <w:t xml:space="preserve">propagation of representative Type I (RH) and Type II (ME49) strains, extraction of genomic DNA, locus-specific amplification of the </w:t>
      </w:r>
      <w:r w:rsidRPr="003A2729">
        <w:rPr>
          <w:i/>
          <w:iCs/>
        </w:rPr>
        <w:t>SAG2</w:t>
      </w:r>
      <w:r w:rsidRPr="003A2729">
        <w:t xml:space="preserve"> and </w:t>
      </w:r>
      <w:r w:rsidRPr="003A2729">
        <w:rPr>
          <w:i/>
          <w:iCs/>
        </w:rPr>
        <w:t>SAG3</w:t>
      </w:r>
      <w:r w:rsidRPr="003A2729">
        <w:t xml:space="preserve"> genes, and sequencing-based analys</w:t>
      </w:r>
      <w:r w:rsidR="00377A0B" w:rsidRPr="003A2729">
        <w:t>e</w:t>
      </w:r>
      <w:r w:rsidRPr="003A2729">
        <w:t xml:space="preserve">s to detect </w:t>
      </w:r>
      <w:r w:rsidR="00B00443" w:rsidRPr="003A2729">
        <w:t>single-nucleotide</w:t>
      </w:r>
      <w:r w:rsidRPr="003A2729">
        <w:t xml:space="preserve"> polymorphisms (SNPs) and insertion/deletion (INDEL) events. Sequencing data are processed to generate high-confidence consensus sequences and to perform comparative alignment for </w:t>
      </w:r>
      <w:r w:rsidR="00B00443" w:rsidRPr="003A2729">
        <w:t xml:space="preserve">the </w:t>
      </w:r>
      <w:r w:rsidRPr="003A2729">
        <w:t xml:space="preserve">identification of strain-specific polymorphisms. Application of this workflow to archetypal strains demonstrated high mapping efficiency, consistent read depth across target loci, and accurate recovery of expected amplicon sizes, confirming reliable detection of locus-level genetic variation. Although comprehensive genotype assignment requires inclusion of additional standardized markers, this protocol provides a scalable and reproducible framework for targeted genetic characterization of laboratory-maintained </w:t>
      </w:r>
      <w:r w:rsidRPr="003A2729">
        <w:rPr>
          <w:i/>
          <w:iCs/>
        </w:rPr>
        <w:t xml:space="preserve">T. gondii </w:t>
      </w:r>
      <w:r w:rsidRPr="003A2729">
        <w:t>isolates and supports consistent multi-locus sequence analysis.</w:t>
      </w:r>
    </w:p>
    <w:p w14:paraId="1AA893D9" w14:textId="77777777" w:rsidR="00D34A56" w:rsidRPr="003A2729" w:rsidRDefault="00D34A56" w:rsidP="00862571">
      <w:pPr>
        <w:contextualSpacing/>
      </w:pPr>
    </w:p>
    <w:p w14:paraId="0646E204" w14:textId="1805BF6A" w:rsidR="006E4797" w:rsidRPr="003A2729" w:rsidRDefault="00551D82" w:rsidP="00862571">
      <w:pPr>
        <w:rPr>
          <w:color w:val="808080"/>
        </w:rPr>
      </w:pPr>
      <w:r w:rsidRPr="003A2729">
        <w:rPr>
          <w:b/>
        </w:rPr>
        <w:t>INTRODUCTION:</w:t>
      </w:r>
      <w:r w:rsidRPr="003A2729">
        <w:rPr>
          <w:color w:val="808080"/>
        </w:rPr>
        <w:t xml:space="preserve"> </w:t>
      </w:r>
    </w:p>
    <w:p w14:paraId="50F8A7F2" w14:textId="0601ED48" w:rsidR="00447160" w:rsidRPr="003A2729" w:rsidRDefault="00447160" w:rsidP="00862571">
      <w:pPr>
        <w:contextualSpacing/>
        <w:rPr>
          <w:lang w:val="en-GB"/>
        </w:rPr>
      </w:pPr>
      <w:r w:rsidRPr="003A2729">
        <w:rPr>
          <w:i/>
          <w:iCs/>
          <w:lang w:val="en-GB"/>
        </w:rPr>
        <w:t>Toxoplasma gondii</w:t>
      </w:r>
      <w:r w:rsidRPr="003A2729">
        <w:rPr>
          <w:lang w:val="en-GB"/>
        </w:rPr>
        <w:t xml:space="preserve"> is a globally distributed apicomplexan parasite and a major food- and waterborne zoonotic threat, capable of infecting virtually all warm-blooded animals, with felids </w:t>
      </w:r>
      <w:r w:rsidRPr="003A2729">
        <w:rPr>
          <w:lang w:val="en-GB"/>
        </w:rPr>
        <w:lastRenderedPageBreak/>
        <w:t>serving as the definitive hosts</w:t>
      </w:r>
      <w:r w:rsidR="001D6EAC" w:rsidRPr="003A2729">
        <w:rPr>
          <w:lang w:val="en-GB"/>
        </w:rPr>
        <w:fldChar w:fldCharType="begin"/>
      </w:r>
      <w:r w:rsidR="001C17D0" w:rsidRPr="003A2729">
        <w:rPr>
          <w:lang w:val="en-GB"/>
        </w:rPr>
        <w:instrText xml:space="preserve"> ADDIN EN.CITE &lt;EndNote&gt;&lt;Cite&gt;&lt;Author&gt;Uzelac&lt;/Author&gt;&lt;Year&gt;2025&lt;/Year&gt;&lt;RecNum&gt;1245&lt;/RecNum&gt;&lt;DisplayText&gt;&lt;style face="superscript"&gt;1&lt;/style&gt;&lt;/DisplayText&gt;&lt;record&gt;&lt;rec-number&gt;1245&lt;/rec-number&gt;&lt;foreign-keys&gt;&lt;key app="EN" db-id="0e2tx2spretx0jew9af5rr0a5rxd9swe0pdp" timestamp="1771834975"&gt;1245&lt;/key&gt;&lt;/foreign-keys&gt;&lt;ref-type name="Journal Article"&gt;17&lt;/ref-type&gt;&lt;contributors&gt;&lt;authors&gt;&lt;author&gt;Uzelac, A.&lt;/author&gt;&lt;author&gt;Djurkovic-Djakovic, O.&lt;/author&gt;&lt;/authors&gt;&lt;/contributors&gt;&lt;auth-address&gt;Institute for Medical Research, University of Belgrade, Belgrade, Serbia.&lt;/auth-address&gt;&lt;titles&gt;&lt;title&gt;Isolation, genotyping and phenotyping Toxoplasma gondii in Europe - A critical perspective&lt;/title&gt;&lt;secondary-title&gt;Food Waterborne Parasitol&lt;/secondary-title&gt;&lt;/titles&gt;&lt;periodical&gt;&lt;full-title&gt;Food Waterborne Parasitol&lt;/full-title&gt;&lt;/periodical&gt;&lt;pages&gt;e00279&lt;/pages&gt;&lt;volume&gt;40&lt;/volume&gt;&lt;edition&gt;2025/08/08&lt;/edition&gt;&lt;keywords&gt;&lt;keyword&gt;Environment&lt;/keyword&gt;&lt;keyword&gt;Genotypes&lt;/keyword&gt;&lt;keyword&gt;Toxoplasma gondii&lt;/keyword&gt;&lt;keyword&gt;Virulence&lt;/keyword&gt;&lt;keyword&gt;Wildlife&lt;/keyword&gt;&lt;keyword&gt;personal relationships that could have appeared to influence the work reported in&lt;/keyword&gt;&lt;keyword&gt;this paper.&lt;/keyword&gt;&lt;/keywords&gt;&lt;dates&gt;&lt;year&gt;2025&lt;/year&gt;&lt;pub-dates&gt;&lt;date&gt;Sep&lt;/date&gt;&lt;/pub-dates&gt;&lt;/dates&gt;&lt;isbn&gt;2405-6766 (Electronic)&amp;#xD;2405-6766 (Linking)&lt;/isbn&gt;&lt;accession-num&gt;40778404&lt;/accession-num&gt;&lt;urls&gt;&lt;related-urls&gt;&lt;url&gt;https://www.ncbi.nlm.nih.gov/pubmed/40778404&lt;/url&gt;&lt;/related-urls&gt;&lt;/urls&gt;&lt;custom2&gt;PMC12329080&lt;/custom2&gt;&lt;electronic-resource-num&gt;10.1016/j.fawpar.2025.e00279&lt;/electronic-resource-num&gt;&lt;/record&gt;&lt;/Cite&gt;&lt;/EndNote&gt;</w:instrText>
      </w:r>
      <w:r w:rsidR="001D6EAC" w:rsidRPr="003A2729">
        <w:rPr>
          <w:lang w:val="en-GB"/>
        </w:rPr>
        <w:fldChar w:fldCharType="separate"/>
      </w:r>
      <w:r w:rsidR="00231559" w:rsidRPr="003A2729">
        <w:rPr>
          <w:noProof/>
          <w:vertAlign w:val="superscript"/>
          <w:lang w:val="en-GB"/>
        </w:rPr>
        <w:t>1</w:t>
      </w:r>
      <w:r w:rsidR="001D6EAC" w:rsidRPr="003A2729">
        <w:fldChar w:fldCharType="end"/>
      </w:r>
      <w:r w:rsidRPr="003A2729">
        <w:rPr>
          <w:lang w:val="en-GB"/>
        </w:rPr>
        <w:t>. Infection in humans and animals commonly occurs through ingestion of tissue cysts or sporulated oocysts, and the parasite’s ability to alternate between tachyzoite and bradyzoite stages enables long-term persistence in neural and muscular tissues, contributing to both meat-borne and environmental transmission</w:t>
      </w:r>
      <w:r w:rsidRPr="003A2729">
        <w:rPr>
          <w:lang w:val="en-GB"/>
        </w:rPr>
        <w:fldChar w:fldCharType="begin">
          <w:fldData xml:space="preserve">PEVuZE5vdGU+PENpdGU+PEF1dGhvcj5ZYW1hbjwvQXV0aG9yPjxZZWFyPjIwMjU8L1llYXI+PFJl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</w:fldData>
        </w:fldChar>
      </w:r>
      <w:r w:rsidR="002F168C" w:rsidRPr="003A2729">
        <w:rPr>
          <w:lang w:val="en-GB"/>
        </w:rPr>
        <w:instrText xml:space="preserve"> ADDIN EN.CITE </w:instrText>
      </w:r>
      <w:r w:rsidR="002F168C" w:rsidRPr="003A2729">
        <w:rPr>
          <w:lang w:val="en-GB"/>
        </w:rPr>
        <w:fldChar w:fldCharType="begin">
          <w:fldData xml:space="preserve">PEVuZE5vdGU+PENpdGU+PEF1dGhvcj5ZYW1hbjwvQXV0aG9yPjxZZWFyPjIwMjU8L1llYXI+PFJl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</w:fldData>
        </w:fldChar>
      </w:r>
      <w:r w:rsidR="002F168C" w:rsidRPr="003A2729">
        <w:rPr>
          <w:lang w:val="en-GB"/>
        </w:rPr>
        <w:instrText xml:space="preserve"> ADDIN EN.CITE.DATA </w:instrText>
      </w:r>
      <w:r w:rsidR="002F168C" w:rsidRPr="003A2729">
        <w:rPr>
          <w:lang w:val="en-GB"/>
        </w:rPr>
      </w:r>
      <w:r w:rsidR="002F168C" w:rsidRPr="003A2729">
        <w:rPr>
          <w:lang w:val="en-GB"/>
        </w:rPr>
        <w:fldChar w:fldCharType="end"/>
      </w:r>
      <w:r w:rsidRPr="003A2729">
        <w:rPr>
          <w:lang w:val="en-GB"/>
        </w:rPr>
      </w:r>
      <w:r w:rsidRPr="003A2729">
        <w:rPr>
          <w:lang w:val="en-GB"/>
        </w:rPr>
        <w:fldChar w:fldCharType="separate"/>
      </w:r>
      <w:r w:rsidR="00231559" w:rsidRPr="003A2729">
        <w:rPr>
          <w:noProof/>
          <w:vertAlign w:val="superscript"/>
          <w:lang w:val="en-GB"/>
        </w:rPr>
        <w:t>2,3</w:t>
      </w:r>
      <w:r w:rsidRPr="003A2729">
        <w:fldChar w:fldCharType="end"/>
      </w:r>
      <w:r w:rsidRPr="003A2729">
        <w:rPr>
          <w:lang w:val="en-GB"/>
        </w:rPr>
        <w:t>.</w:t>
      </w:r>
    </w:p>
    <w:p w14:paraId="05A93690" w14:textId="77777777" w:rsidR="00B17C73" w:rsidRPr="003A2729" w:rsidRDefault="00B17C73" w:rsidP="00862571">
      <w:pPr>
        <w:contextualSpacing/>
        <w:rPr>
          <w:lang w:val="en-GB"/>
        </w:rPr>
      </w:pPr>
    </w:p>
    <w:p w14:paraId="52898289" w14:textId="3F05E937" w:rsidR="00B17C73" w:rsidRPr="003A2729" w:rsidRDefault="00205B31" w:rsidP="00862571">
      <w:pPr>
        <w:contextualSpacing/>
      </w:pPr>
      <w:r w:rsidRPr="003A2729">
        <w:rPr>
          <w:lang w:val="en-GB"/>
        </w:rPr>
        <w:t>Although three clonal lineages (Types I, II, and III) dominate in Europe and North America, extensive genetic diversity, including atypical and recombinant strains</w:t>
      </w:r>
      <w:r w:rsidR="00F87E7E" w:rsidRPr="003A2729">
        <w:rPr>
          <w:lang w:val="en-GB"/>
        </w:rPr>
        <w:t>,</w:t>
      </w:r>
      <w:r w:rsidRPr="003A2729">
        <w:rPr>
          <w:lang w:val="en-GB"/>
        </w:rPr>
        <w:t xml:space="preserve"> has been documented globally, especially in regions with rich wildlife reservoirs</w:t>
      </w:r>
      <w:r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 </w:instrText>
      </w:r>
      <w:r w:rsidR="00231559"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EN.CITE.DATA </w:instrText>
      </w:r>
      <w:r w:rsidR="00231559" w:rsidRPr="003A2729">
        <w:rPr>
          <w:lang w:val="en-GB"/>
        </w:rPr>
      </w:r>
      <w:r w:rsidR="00231559" w:rsidRPr="003A2729">
        <w:rPr>
          <w:lang w:val="en-GB"/>
        </w:rPr>
        <w:fldChar w:fldCharType="end"/>
      </w:r>
      <w:r w:rsidRPr="003A2729">
        <w:rPr>
          <w:lang w:val="en-GB"/>
        </w:rPr>
      </w:r>
      <w:r w:rsidRPr="003A2729">
        <w:rPr>
          <w:lang w:val="en-GB"/>
        </w:rPr>
        <w:fldChar w:fldCharType="separate"/>
      </w:r>
      <w:r w:rsidR="00231559" w:rsidRPr="003A2729">
        <w:rPr>
          <w:noProof/>
          <w:vertAlign w:val="superscript"/>
          <w:lang w:val="en-GB"/>
        </w:rPr>
        <w:t>4</w:t>
      </w:r>
      <w:r w:rsidRPr="003A2729">
        <w:fldChar w:fldCharType="end"/>
      </w:r>
      <w:r w:rsidRPr="003A2729">
        <w:rPr>
          <w:lang w:val="en-GB"/>
        </w:rPr>
        <w:t xml:space="preserve">. </w:t>
      </w:r>
      <w:r w:rsidRPr="003A2729">
        <w:t xml:space="preserve">Accurate strain discrimination is therefore essential for </w:t>
      </w:r>
      <w:r w:rsidR="00086F39" w:rsidRPr="003A2729">
        <w:t xml:space="preserve">elucidating transmission dynamics, investigating outbreaks, and understanding regional </w:t>
      </w:r>
      <w:r w:rsidRPr="003A2729">
        <w:t>epidemiology.</w:t>
      </w:r>
      <w:r w:rsidR="00086F39" w:rsidRPr="003A2729">
        <w:t xml:space="preserve"> </w:t>
      </w:r>
      <w:r w:rsidRPr="003A2729">
        <w:rPr>
          <w:lang w:val="en-GB"/>
        </w:rPr>
        <w:t xml:space="preserve">Traditional genotyping approaches such as PCR-RFLP, Sanger-based multi-locus sequence typing (MLST), and microsatellite analysis have contributed substantially to our understanding of </w:t>
      </w:r>
      <w:r w:rsidRPr="003A2729">
        <w:rPr>
          <w:i/>
          <w:iCs/>
          <w:lang w:val="en-GB"/>
        </w:rPr>
        <w:t>T. gondii</w:t>
      </w:r>
      <w:r w:rsidRPr="003A2729">
        <w:rPr>
          <w:lang w:val="en-GB"/>
        </w:rPr>
        <w:t xml:space="preserve"> population structure but are limited in resolution, throughput</w:t>
      </w:r>
      <w:r w:rsidR="00475A69" w:rsidRPr="003A2729">
        <w:rPr>
          <w:lang w:val="en-GB"/>
        </w:rPr>
        <w:t>,</w:t>
      </w:r>
      <w:r w:rsidRPr="003A2729">
        <w:rPr>
          <w:lang w:val="en-GB"/>
        </w:rPr>
        <w:t xml:space="preserve"> and </w:t>
      </w:r>
      <w:r w:rsidR="000B1A76" w:rsidRPr="003A2729">
        <w:rPr>
          <w:lang w:val="en-GB"/>
        </w:rPr>
        <w:t xml:space="preserve">their </w:t>
      </w:r>
      <w:r w:rsidRPr="003A2729">
        <w:rPr>
          <w:lang w:val="en-GB"/>
        </w:rPr>
        <w:t xml:space="preserve">ability to detect intra-genotype variation. </w:t>
      </w:r>
      <w:r w:rsidRPr="003A2729">
        <w:t>These approaches often require multiple separate reactions and may fail to detect insertions, deletions</w:t>
      </w:r>
      <w:r w:rsidR="00475A69" w:rsidRPr="003A2729">
        <w:t>,</w:t>
      </w:r>
      <w:r w:rsidRPr="003A2729">
        <w:t xml:space="preserve"> or complex haplotypes within polymorphic loci</w:t>
      </w:r>
      <w:r w:rsidR="001D6EAC" w:rsidRPr="003A2729">
        <w:fldChar w:fldCharType="begin"/>
      </w:r>
      <w:r w:rsidR="001C17D0" w:rsidRPr="003A2729">
        <w:instrText xml:space="preserve"> ADDIN EN.CITE &lt;EndNote&gt;&lt;Cite&gt;&lt;Author&gt;Uzelac&lt;/Author&gt;&lt;Year&gt;2025&lt;/Year&gt;&lt;RecNum&gt;1245&lt;/RecNum&gt;&lt;DisplayText&gt;&lt;style face="superscript"&gt;1&lt;/style&gt;&lt;/DisplayText&gt;&lt;record&gt;&lt;rec-number&gt;1245&lt;/rec-number&gt;&lt;foreign-keys&gt;&lt;key app="EN" db-id="0e2tx2spretx0jew9af5rr0a5rxd9swe0pdp" timestamp="1771834975"&gt;1245&lt;/key&gt;&lt;/foreign-keys&gt;&lt;ref-type name="Journal Article"&gt;17&lt;/ref-type&gt;&lt;contributors&gt;&lt;authors&gt;&lt;author&gt;Uzelac, A.&lt;/author&gt;&lt;author&gt;Djurkovic-Djakovic, O.&lt;/author&gt;&lt;/authors&gt;&lt;/contributors&gt;&lt;auth-address&gt;Institute for Medical Research, University of Belgrade, Belgrade, Serbia.&lt;/auth-address&gt;&lt;titles&gt;&lt;title&gt;Isolation, genotyping and phenotyping Toxoplasma gondii in Europe - A critical perspective&lt;/title&gt;&lt;secondary-title&gt;Food Waterborne Parasitol&lt;/secondary-title&gt;&lt;/titles&gt;&lt;periodical&gt;&lt;full-title&gt;Food Waterborne Parasitol&lt;/full-title&gt;&lt;/periodical&gt;&lt;pages&gt;e00279&lt;/pages&gt;&lt;volume&gt;40&lt;/volume&gt;&lt;edition&gt;2025/08/08&lt;/edition&gt;&lt;keywords&gt;&lt;keyword&gt;Environment&lt;/keyword&gt;&lt;keyword&gt;Genotypes&lt;/keyword&gt;&lt;keyword&gt;Toxoplasma gondii&lt;/keyword&gt;&lt;keyword&gt;Virulence&lt;/keyword&gt;&lt;keyword&gt;Wildlife&lt;/keyword&gt;&lt;keyword&gt;personal relationships that could have appeared to influence the work reported in&lt;/keyword&gt;&lt;keyword&gt;this paper.&lt;/keyword&gt;&lt;/keywords&gt;&lt;dates&gt;&lt;year&gt;2025&lt;/year&gt;&lt;pub-dates&gt;&lt;date&gt;Sep&lt;/date&gt;&lt;/pub-dates&gt;&lt;/dates&gt;&lt;isbn&gt;2405-6766 (Electronic)&amp;#xD;2405-6766 (Linking)&lt;/isbn&gt;&lt;accession-num&gt;40778404&lt;/accession-num&gt;&lt;urls&gt;&lt;related-urls&gt;&lt;url&gt;https://www.ncbi.nlm.nih.gov/pubmed/40778404&lt;/url&gt;&lt;/related-urls&gt;&lt;/urls&gt;&lt;custom2&gt;PMC12329080&lt;/custom2&gt;&lt;electronic-resource-num&gt;10.1016/j.fawpar.2025.e00279&lt;/electronic-resource-num&gt;&lt;/record&gt;&lt;/Cite&gt;&lt;/EndNote&gt;</w:instrText>
      </w:r>
      <w:r w:rsidR="001D6EAC" w:rsidRPr="003A2729">
        <w:fldChar w:fldCharType="separate"/>
      </w:r>
      <w:r w:rsidR="00231559" w:rsidRPr="003A2729">
        <w:rPr>
          <w:noProof/>
          <w:vertAlign w:val="superscript"/>
        </w:rPr>
        <w:t>1</w:t>
      </w:r>
      <w:r w:rsidR="001D6EAC" w:rsidRPr="003A2729">
        <w:fldChar w:fldCharType="end"/>
      </w:r>
      <w:r w:rsidRPr="003A2729">
        <w:t xml:space="preserve">. </w:t>
      </w:r>
      <w:r w:rsidRPr="003A2729">
        <w:rPr>
          <w:lang w:val="en-GB"/>
        </w:rPr>
        <w:t xml:space="preserve">Short-read next-generation sequencing (NGS) has improved </w:t>
      </w:r>
      <w:r w:rsidR="00F87E7E" w:rsidRPr="003A2729">
        <w:rPr>
          <w:lang w:val="en-GB"/>
        </w:rPr>
        <w:t xml:space="preserve">the </w:t>
      </w:r>
      <w:r w:rsidRPr="003A2729">
        <w:rPr>
          <w:lang w:val="en-GB"/>
        </w:rPr>
        <w:t xml:space="preserve">detection of rare </w:t>
      </w:r>
      <w:r w:rsidR="00CD33C8" w:rsidRPr="003A2729">
        <w:rPr>
          <w:lang w:val="en-GB"/>
        </w:rPr>
        <w:t>variants yet</w:t>
      </w:r>
      <w:r w:rsidRPr="003A2729">
        <w:rPr>
          <w:lang w:val="en-GB"/>
        </w:rPr>
        <w:t xml:space="preserve"> remains constrained in identifying complex structural changes</w:t>
      </w:r>
      <w:r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 </w:instrText>
      </w:r>
      <w:r w:rsidR="00231559" w:rsidRPr="003A2729">
        <w:rPr>
          <w:lang w:val="en-GB"/>
        </w:rPr>
        <w:fldChar w:fldCharType="begin">
          <w:fldData xml:space="preserve">PEVuZE5vdGU+PENpdGU+PEF1dGhvcj5Kb2VyZXM8L0F1dGhvcj48WWVhcj4yMDI0PC9ZZWFyPjxS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</w:fldData>
        </w:fldChar>
      </w:r>
      <w:r w:rsidR="00231559" w:rsidRPr="003A2729">
        <w:rPr>
          <w:lang w:val="en-GB"/>
        </w:rPr>
        <w:instrText xml:space="preserve"> ADDIN EN.CITE.DATA </w:instrText>
      </w:r>
      <w:r w:rsidR="00231559" w:rsidRPr="003A2729">
        <w:rPr>
          <w:lang w:val="en-GB"/>
        </w:rPr>
      </w:r>
      <w:r w:rsidR="00231559" w:rsidRPr="003A2729">
        <w:rPr>
          <w:lang w:val="en-GB"/>
        </w:rPr>
        <w:fldChar w:fldCharType="end"/>
      </w:r>
      <w:r w:rsidRPr="003A2729">
        <w:rPr>
          <w:lang w:val="en-GB"/>
        </w:rPr>
      </w:r>
      <w:r w:rsidRPr="003A2729">
        <w:rPr>
          <w:lang w:val="en-GB"/>
        </w:rPr>
        <w:fldChar w:fldCharType="separate"/>
      </w:r>
      <w:r w:rsidR="00231559" w:rsidRPr="003A2729">
        <w:rPr>
          <w:noProof/>
          <w:vertAlign w:val="superscript"/>
          <w:lang w:val="en-GB"/>
        </w:rPr>
        <w:t>4</w:t>
      </w:r>
      <w:r w:rsidRPr="003A2729">
        <w:fldChar w:fldCharType="end"/>
      </w:r>
      <w:r w:rsidRPr="003A2729">
        <w:rPr>
          <w:lang w:val="en-GB"/>
        </w:rPr>
        <w:t>.</w:t>
      </w:r>
    </w:p>
    <w:p w14:paraId="6D0BDD8D" w14:textId="77777777" w:rsidR="00E81710" w:rsidRPr="003A2729" w:rsidRDefault="00E81710" w:rsidP="00862571">
      <w:pPr>
        <w:contextualSpacing/>
        <w:rPr>
          <w:lang w:val="en-GB"/>
        </w:rPr>
      </w:pPr>
    </w:p>
    <w:p w14:paraId="1113D3C0" w14:textId="240478A9" w:rsidR="009E25B6" w:rsidRPr="003A2729" w:rsidRDefault="00E81710" w:rsidP="00862571">
      <w:pPr>
        <w:contextualSpacing/>
      </w:pPr>
      <w:r w:rsidRPr="003A2729">
        <w:rPr>
          <w:lang w:val="en-GB"/>
        </w:rPr>
        <w:t>Long-read sequencing platforms, particularly Oxford Nanopore Technologies, now offer the ability to generate continuous high-accuracy reads suitable for resolving structural variants and highly polymorphic loci</w:t>
      </w:r>
      <w:r w:rsidR="002F168C" w:rsidRPr="003A2729">
        <w:rPr>
          <w:lang w:val="en-GB"/>
        </w:rPr>
        <w:fldChar w:fldCharType="begin">
          <w:fldData xml:space="preserve">PEVuZE5vdGU+PENpdGU+PEF1dGhvcj5Hb2hhcjwvQXV0aG9yPjxZZWFyPjIwMjU8L1llYXI+PFJl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</w:fldData>
        </w:fldChar>
      </w:r>
      <w:r w:rsidR="002F168C" w:rsidRPr="003A2729">
        <w:rPr>
          <w:lang w:val="en-GB"/>
        </w:rPr>
        <w:instrText xml:space="preserve"> ADDIN EN.CITE </w:instrText>
      </w:r>
      <w:r w:rsidR="002F168C" w:rsidRPr="003A2729">
        <w:rPr>
          <w:lang w:val="en-GB"/>
        </w:rPr>
        <w:fldChar w:fldCharType="begin">
          <w:fldData xml:space="preserve">PEVuZE5vdGU+PENpdGU+PEF1dGhvcj5Hb2hhcjwvQXV0aG9yPjxZZWFyPjIwMjU8L1llYXI+PFJl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</w:fldData>
        </w:fldChar>
      </w:r>
      <w:r w:rsidR="002F168C" w:rsidRPr="003A2729">
        <w:rPr>
          <w:lang w:val="en-GB"/>
        </w:rPr>
        <w:instrText xml:space="preserve"> ADDIN EN.CITE.DATA </w:instrText>
      </w:r>
      <w:r w:rsidR="002F168C" w:rsidRPr="003A2729">
        <w:rPr>
          <w:lang w:val="en-GB"/>
        </w:rPr>
      </w:r>
      <w:r w:rsidR="002F168C" w:rsidRPr="003A2729">
        <w:rPr>
          <w:lang w:val="en-GB"/>
        </w:rPr>
        <w:fldChar w:fldCharType="end"/>
      </w:r>
      <w:r w:rsidR="002F168C" w:rsidRPr="003A2729">
        <w:rPr>
          <w:lang w:val="en-GB"/>
        </w:rPr>
      </w:r>
      <w:r w:rsidR="002F168C" w:rsidRPr="003A2729">
        <w:rPr>
          <w:lang w:val="en-GB"/>
        </w:rPr>
        <w:fldChar w:fldCharType="separate"/>
      </w:r>
      <w:r w:rsidR="002F168C" w:rsidRPr="003A2729">
        <w:rPr>
          <w:noProof/>
          <w:vertAlign w:val="superscript"/>
          <w:lang w:val="en-GB"/>
        </w:rPr>
        <w:t>5</w:t>
      </w:r>
      <w:r w:rsidR="002F168C" w:rsidRPr="003A2729">
        <w:rPr>
          <w:lang w:val="en-GB"/>
        </w:rPr>
        <w:fldChar w:fldCharType="end"/>
      </w:r>
      <w:r w:rsidR="002F168C" w:rsidRPr="003A2729">
        <w:rPr>
          <w:lang w:val="en-GB"/>
        </w:rPr>
        <w:t>.</w:t>
      </w:r>
      <w:r w:rsidRPr="003A2729">
        <w:rPr>
          <w:lang w:val="en-GB"/>
        </w:rPr>
        <w:t xml:space="preserve"> Their portability, real-time analysis capability</w:t>
      </w:r>
      <w:r w:rsidR="00475A69" w:rsidRPr="003A2729">
        <w:rPr>
          <w:lang w:val="en-GB"/>
        </w:rPr>
        <w:t>,</w:t>
      </w:r>
      <w:r w:rsidRPr="003A2729">
        <w:rPr>
          <w:lang w:val="en-GB"/>
        </w:rPr>
        <w:t xml:space="preserve"> and compatibility with amplicon-based workflows make them promising tools for field applications and outbreak investigations</w:t>
      </w:r>
      <w:r w:rsidRPr="003A2729">
        <w:rPr>
          <w:lang w:val="en-GB"/>
        </w:rPr>
        <w:fldChar w:fldCharType="begin"/>
      </w:r>
      <w:r w:rsidR="002F168C" w:rsidRPr="003A2729">
        <w:rPr>
          <w:lang w:val="en-GB"/>
        </w:rPr>
        <w:instrText xml:space="preserve"> ADDIN EN.CITE &lt;EndNote&gt;&lt;Cite&gt;&lt;Author&gt;Koutsogiannis&lt;/Author&gt;&lt;Year&gt;2024&lt;/Year&gt;&lt;RecNum&gt;3&lt;/RecNum&gt;&lt;DisplayText&gt;&lt;style face="superscript"&gt;6&lt;/style&gt;&lt;/DisplayText&gt;&lt;record&gt;&lt;rec-number&gt;3&lt;/rec-number&gt;&lt;foreign-keys&gt;&lt;key app="EN" db-id="r9dvzva04daarve50fbvv0vcapap2eteffez" timestamp="1764290725"&gt;3&lt;/key&gt;&lt;/foreign-keys&gt;&lt;ref-type name="Journal Article"&gt;17&lt;/ref-type&gt;&lt;contributors&gt;&lt;authors&gt;&lt;author&gt;Koutsogiannis, Zisis&lt;/author&gt;&lt;author&gt;Denny, Paul W.&lt;/author&gt;&lt;/authors&gt;&lt;/contributors&gt;&lt;titles&gt;&lt;title&gt;Rapid genotyping of Toxoplasma gondii isolates via Nanopore-based multi-locus sequencing&lt;/title&gt;&lt;secondary-title&gt;AMB Express&lt;/secondary-title&gt;&lt;/titles&gt;&lt;periodical&gt;&lt;full-title&gt;AMB Express&lt;/full-title&gt;&lt;/periodical&gt;&lt;pages&gt;68&lt;/pages&gt;&lt;volume&gt;14&lt;/volume&gt;&lt;number&gt;1&lt;/number&gt;&lt;dates&gt;&lt;year&gt;2024&lt;/year&gt;&lt;pub-dates&gt;&lt;date&gt;2024/06/06&lt;/date&gt;&lt;/pub-dates&gt;&lt;/dates&gt;&lt;isbn&gt;2191-0855&lt;/isbn&gt;&lt;urls&gt;&lt;related-urls&gt;&lt;url&gt;https://doi.org/10.1186/s13568-024-01728-x&lt;/url&gt;&lt;/related-urls&gt;&lt;/urls&gt;&lt;electronic-resource-num&gt;10.1186/s13568-024-01728-x&lt;/electronic-resource-num&gt;&lt;/record&gt;&lt;/Cite&gt;&lt;/EndNote&gt;</w:instrText>
      </w:r>
      <w:r w:rsidRPr="003A2729">
        <w:rPr>
          <w:lang w:val="en-GB"/>
        </w:rPr>
        <w:fldChar w:fldCharType="separate"/>
      </w:r>
      <w:r w:rsidR="002F168C" w:rsidRPr="003A2729">
        <w:rPr>
          <w:noProof/>
          <w:vertAlign w:val="superscript"/>
          <w:lang w:val="en-GB"/>
        </w:rPr>
        <w:t>6</w:t>
      </w:r>
      <w:r w:rsidRPr="003A2729">
        <w:fldChar w:fldCharType="end"/>
      </w:r>
      <w:r w:rsidRPr="003A2729">
        <w:rPr>
          <w:lang w:val="en-GB"/>
        </w:rPr>
        <w:t xml:space="preserve">. </w:t>
      </w:r>
      <w:r w:rsidR="009E25B6" w:rsidRPr="003A2729">
        <w:t xml:space="preserve">Despite these advantages, standardized multi-locus long-read workflows for routine </w:t>
      </w:r>
      <w:r w:rsidR="009E25B6" w:rsidRPr="003A2729">
        <w:rPr>
          <w:rStyle w:val="Emphasis"/>
        </w:rPr>
        <w:t>T. gondii</w:t>
      </w:r>
      <w:r w:rsidR="009E25B6" w:rsidRPr="003A2729">
        <w:t xml:space="preserve"> genotyping remain limited.</w:t>
      </w:r>
    </w:p>
    <w:p w14:paraId="39275CF5" w14:textId="77777777" w:rsidR="009E25B6" w:rsidRPr="003A2729" w:rsidRDefault="009E25B6" w:rsidP="00862571">
      <w:pPr>
        <w:contextualSpacing/>
        <w:rPr>
          <w:b/>
        </w:rPr>
      </w:pPr>
    </w:p>
    <w:p w14:paraId="7C010501" w14:textId="79EEDD9C" w:rsidR="009E25B6" w:rsidRPr="003A2729" w:rsidRDefault="00AF7830" w:rsidP="00862571">
      <w:pPr>
        <w:contextualSpacing/>
        <w:rPr>
          <w:bCs/>
        </w:rPr>
      </w:pPr>
      <w:r w:rsidRPr="003A2729">
        <w:rPr>
          <w:bCs/>
        </w:rPr>
        <w:t>To address this gap, we established a scalable long-read amplicon sequencing workflow targeting two polymorphic loci (</w:t>
      </w:r>
      <w:r w:rsidRPr="003A2729">
        <w:rPr>
          <w:b/>
        </w:rPr>
        <w:t>Figure 1</w:t>
      </w:r>
      <w:r w:rsidRPr="003A2729">
        <w:rPr>
          <w:bCs/>
        </w:rPr>
        <w:t>). Combined with a consensus polishing and variant-calling pipeline, this approach enables accurate detection of SNPs and INDELs, supporting strain-level discrimination. The protocol is suitable for laboratories equipped for PCR amplification and long-read sequencing and has been validated using cultured isolates. While adaptation to primary clinical or environmental samples may be feasible, such applications require additional optimization and validation</w:t>
      </w:r>
      <w:r w:rsidR="00280123" w:rsidRPr="003A2729">
        <w:rPr>
          <w:bCs/>
        </w:rPr>
        <w:t>. Overall, this workflow provides a structured framework for targeted molecular characterization and may support epidemiological investigations.</w:t>
      </w:r>
    </w:p>
    <w:p w14:paraId="311D85CE" w14:textId="77777777" w:rsidR="0028035C" w:rsidRPr="003A2729" w:rsidRDefault="0028035C" w:rsidP="00862571">
      <w:pPr>
        <w:contextualSpacing/>
        <w:rPr>
          <w:b/>
          <w:lang w:val="en-GB"/>
        </w:rPr>
      </w:pPr>
    </w:p>
    <w:p w14:paraId="3C1A009B" w14:textId="49F91BF8" w:rsidR="00AD42E8" w:rsidRPr="003A2729" w:rsidRDefault="00AD42E8" w:rsidP="00862571">
      <w:pPr>
        <w:contextualSpacing/>
        <w:rPr>
          <w:b/>
        </w:rPr>
      </w:pPr>
      <w:r w:rsidRPr="003A2729">
        <w:rPr>
          <w:b/>
        </w:rPr>
        <w:t>PROTOCOL</w:t>
      </w:r>
    </w:p>
    <w:p w14:paraId="629A5B90" w14:textId="77777777" w:rsidR="00F87E7E" w:rsidRPr="003A2729" w:rsidRDefault="00F87E7E" w:rsidP="00862571">
      <w:pPr>
        <w:contextualSpacing/>
        <w:rPr>
          <w:bCs/>
        </w:rPr>
      </w:pPr>
      <w:r w:rsidRPr="003A2729">
        <w:rPr>
          <w:bCs/>
        </w:rPr>
        <w:t>This study used established laboratory parasite strains and commercially obtained human fibroblast cell lines. No human or animal subjects were directly involved.</w:t>
      </w:r>
    </w:p>
    <w:p w14:paraId="27E677FC" w14:textId="77777777" w:rsidR="007D2772" w:rsidRPr="003A2729" w:rsidRDefault="007D2772" w:rsidP="00862571">
      <w:pPr>
        <w:contextualSpacing/>
        <w:rPr>
          <w:bCs/>
        </w:rPr>
      </w:pPr>
    </w:p>
    <w:p w14:paraId="1E57696C" w14:textId="489FF78A" w:rsidR="007D2772" w:rsidRPr="003A2729" w:rsidRDefault="007D2772" w:rsidP="00862571">
      <w:pPr>
        <w:contextualSpacing/>
        <w:rPr>
          <w:b/>
        </w:rPr>
      </w:pPr>
      <w:r w:rsidRPr="003A2729">
        <w:rPr>
          <w:bCs/>
        </w:rPr>
        <w:t xml:space="preserve">NOTE: Unless otherwise specified, buffers and reagents used in this protocol are supplied within the commercial kits listed in the </w:t>
      </w:r>
      <w:r w:rsidRPr="003A2729">
        <w:rPr>
          <w:b/>
        </w:rPr>
        <w:t>Table of Materials</w:t>
      </w:r>
      <w:r w:rsidRPr="003A2729">
        <w:rPr>
          <w:bCs/>
        </w:rPr>
        <w:t>.</w:t>
      </w:r>
    </w:p>
    <w:p w14:paraId="51092A82" w14:textId="77777777" w:rsidR="00B17C73" w:rsidRPr="003A2729" w:rsidRDefault="00B17C73" w:rsidP="00862571">
      <w:pPr>
        <w:contextualSpacing/>
      </w:pPr>
    </w:p>
    <w:p w14:paraId="37496616" w14:textId="77777777" w:rsidR="00F87E7E"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Biomarker </w:t>
      </w:r>
      <w:r w:rsidR="00F87E7E" w:rsidRPr="003A2729">
        <w:rPr>
          <w:rFonts w:ascii="Calibri" w:hAnsi="Calibri" w:cs="Calibri"/>
          <w:b/>
          <w:sz w:val="24"/>
          <w:szCs w:val="24"/>
        </w:rPr>
        <w:t>s</w:t>
      </w:r>
      <w:r w:rsidRPr="003A2729">
        <w:rPr>
          <w:rFonts w:ascii="Calibri" w:hAnsi="Calibri" w:cs="Calibri"/>
          <w:b/>
          <w:sz w:val="24"/>
          <w:szCs w:val="24"/>
        </w:rPr>
        <w:t>election</w:t>
      </w:r>
    </w:p>
    <w:p w14:paraId="39411CF6" w14:textId="77777777" w:rsidR="00F87E7E" w:rsidRPr="003A2729" w:rsidRDefault="00F87E7E" w:rsidP="00862571">
      <w:pPr>
        <w:pStyle w:val="ListParagraph"/>
        <w:spacing w:after="0" w:line="240" w:lineRule="auto"/>
        <w:ind w:left="0"/>
        <w:rPr>
          <w:rFonts w:ascii="Calibri" w:hAnsi="Calibri" w:cs="Calibri"/>
          <w:b/>
          <w:sz w:val="24"/>
          <w:szCs w:val="24"/>
        </w:rPr>
      </w:pPr>
    </w:p>
    <w:p w14:paraId="524A249C" w14:textId="3B7D64D5" w:rsidR="00F87E7E"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 xml:space="preserve">Download genomic sequences of </w:t>
      </w:r>
      <w:r w:rsidRPr="003A2729">
        <w:rPr>
          <w:rFonts w:ascii="Calibri" w:hAnsi="Calibri" w:cs="Calibri"/>
          <w:bCs/>
          <w:i/>
          <w:iCs/>
          <w:sz w:val="24"/>
          <w:szCs w:val="24"/>
        </w:rPr>
        <w:t>SAG2</w:t>
      </w:r>
      <w:r w:rsidRPr="003A2729">
        <w:rPr>
          <w:rFonts w:ascii="Calibri" w:hAnsi="Calibri" w:cs="Calibri"/>
          <w:bCs/>
          <w:sz w:val="24"/>
          <w:szCs w:val="24"/>
        </w:rPr>
        <w:t xml:space="preserve"> and </w:t>
      </w:r>
      <w:r w:rsidRPr="003A2729">
        <w:rPr>
          <w:rFonts w:ascii="Calibri" w:hAnsi="Calibri" w:cs="Calibri"/>
          <w:bCs/>
          <w:i/>
          <w:iCs/>
          <w:sz w:val="24"/>
          <w:szCs w:val="24"/>
        </w:rPr>
        <w:t>SAG3</w:t>
      </w:r>
      <w:r w:rsidRPr="003A2729">
        <w:rPr>
          <w:rFonts w:ascii="Calibri" w:hAnsi="Calibri" w:cs="Calibri"/>
          <w:bCs/>
          <w:sz w:val="24"/>
          <w:szCs w:val="24"/>
        </w:rPr>
        <w:t xml:space="preserve"> in FASTA format from </w:t>
      </w:r>
      <w:proofErr w:type="spellStart"/>
      <w:r w:rsidR="00B07F18" w:rsidRPr="003A2729">
        <w:rPr>
          <w:rFonts w:ascii="Calibri" w:hAnsi="Calibri" w:cs="Calibri"/>
          <w:bCs/>
          <w:sz w:val="24"/>
          <w:szCs w:val="24"/>
        </w:rPr>
        <w:t>ToxoDB</w:t>
      </w:r>
      <w:proofErr w:type="spellEnd"/>
      <w:r w:rsidR="00B07F18" w:rsidRPr="003A2729">
        <w:rPr>
          <w:rFonts w:ascii="Calibri" w:hAnsi="Calibri" w:cs="Calibri"/>
          <w:bCs/>
          <w:sz w:val="24"/>
          <w:szCs w:val="24"/>
        </w:rPr>
        <w:t xml:space="preserve"> (https://toxodb.org/toxo/app) genome database.</w:t>
      </w:r>
    </w:p>
    <w:p w14:paraId="14532C00" w14:textId="77777777" w:rsidR="00862571" w:rsidRPr="003A2729" w:rsidRDefault="00862571" w:rsidP="00862571">
      <w:pPr>
        <w:pStyle w:val="ListParagraph"/>
        <w:spacing w:after="0" w:line="240" w:lineRule="auto"/>
        <w:ind w:left="0"/>
        <w:rPr>
          <w:rFonts w:ascii="Calibri" w:hAnsi="Calibri" w:cs="Calibri"/>
          <w:b/>
          <w:sz w:val="24"/>
          <w:szCs w:val="24"/>
        </w:rPr>
      </w:pPr>
    </w:p>
    <w:p w14:paraId="4DBE5220" w14:textId="78C182CE" w:rsidR="00F87E7E" w:rsidRPr="003A2729" w:rsidRDefault="00B07F1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Perform pairwise sequence alignments using </w:t>
      </w:r>
      <w:r w:rsidRPr="003A2729">
        <w:rPr>
          <w:rFonts w:ascii="Calibri" w:hAnsi="Calibri" w:cs="Calibri"/>
          <w:sz w:val="24"/>
          <w:szCs w:val="24"/>
        </w:rPr>
        <w:t>EMBOSS Water</w:t>
      </w:r>
      <w:r w:rsidRPr="003A2729">
        <w:rPr>
          <w:rFonts w:ascii="Calibri" w:hAnsi="Calibri" w:cs="Calibri"/>
          <w:bCs/>
          <w:sz w:val="24"/>
          <w:szCs w:val="24"/>
        </w:rPr>
        <w:t xml:space="preserve"> (</w:t>
      </w:r>
      <w:r w:rsidRPr="003A2729">
        <w:rPr>
          <w:rFonts w:ascii="Calibri" w:hAnsi="Calibri" w:cs="Calibri"/>
          <w:bCs/>
          <w:color w:val="0000FF"/>
          <w:sz w:val="24"/>
          <w:szCs w:val="24"/>
          <w:u w:val="single"/>
        </w:rPr>
        <w:t>https://www.ebi.ac.uk/jdispatcher/psa/emboss_water</w:t>
      </w:r>
      <w:r w:rsidRPr="003A2729">
        <w:rPr>
          <w:rFonts w:ascii="Calibri" w:hAnsi="Calibri" w:cs="Calibri"/>
          <w:bCs/>
          <w:sz w:val="24"/>
          <w:szCs w:val="24"/>
        </w:rPr>
        <w:t>).</w:t>
      </w:r>
    </w:p>
    <w:p w14:paraId="2B6E6F58" w14:textId="77777777" w:rsidR="00F87E7E" w:rsidRPr="003A2729" w:rsidRDefault="00F87E7E" w:rsidP="00862571">
      <w:pPr>
        <w:pStyle w:val="ListParagraph"/>
        <w:spacing w:after="0" w:line="240" w:lineRule="auto"/>
        <w:ind w:left="0"/>
        <w:rPr>
          <w:rFonts w:ascii="Calibri" w:hAnsi="Calibri" w:cs="Calibri"/>
          <w:bCs/>
          <w:sz w:val="24"/>
          <w:szCs w:val="24"/>
        </w:rPr>
      </w:pPr>
    </w:p>
    <w:p w14:paraId="0665275A" w14:textId="77777777" w:rsidR="00F87E7E"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Select amplicon regions </w:t>
      </w:r>
      <w:r w:rsidRPr="00D50561">
        <w:rPr>
          <w:rFonts w:ascii="Calibri" w:hAnsi="Calibri" w:cs="Calibri"/>
          <w:bCs/>
          <w:sz w:val="24"/>
          <w:szCs w:val="24"/>
        </w:rPr>
        <w:t>≤1,600 b</w:t>
      </w:r>
      <w:r w:rsidR="00D63146" w:rsidRPr="00D50561">
        <w:rPr>
          <w:rFonts w:ascii="Calibri" w:hAnsi="Calibri" w:cs="Calibri"/>
          <w:bCs/>
          <w:sz w:val="24"/>
          <w:szCs w:val="24"/>
        </w:rPr>
        <w:t>ase-</w:t>
      </w:r>
      <w:r w:rsidRPr="00D50561">
        <w:rPr>
          <w:rFonts w:ascii="Calibri" w:hAnsi="Calibri" w:cs="Calibri"/>
          <w:bCs/>
          <w:sz w:val="24"/>
          <w:szCs w:val="24"/>
        </w:rPr>
        <w:t>p</w:t>
      </w:r>
      <w:r w:rsidR="00D63146" w:rsidRPr="00D50561">
        <w:rPr>
          <w:rFonts w:ascii="Calibri" w:hAnsi="Calibri" w:cs="Calibri"/>
          <w:bCs/>
          <w:sz w:val="24"/>
          <w:szCs w:val="24"/>
        </w:rPr>
        <w:t>airs</w:t>
      </w:r>
      <w:r w:rsidR="00D63146" w:rsidRPr="003A2729">
        <w:rPr>
          <w:rFonts w:ascii="Calibri" w:hAnsi="Calibri" w:cs="Calibri"/>
          <w:bCs/>
          <w:sz w:val="24"/>
          <w:szCs w:val="24"/>
        </w:rPr>
        <w:t xml:space="preserve"> (bp)</w:t>
      </w:r>
      <w:r w:rsidRPr="003A2729">
        <w:rPr>
          <w:rFonts w:ascii="Calibri" w:hAnsi="Calibri" w:cs="Calibri"/>
          <w:bCs/>
          <w:sz w:val="24"/>
          <w:szCs w:val="24"/>
        </w:rPr>
        <w:t xml:space="preserve"> to minimize sequencing time and ensure efficient PCR amplification.</w:t>
      </w:r>
    </w:p>
    <w:p w14:paraId="79F85E47" w14:textId="77777777" w:rsidR="00F87E7E" w:rsidRPr="003A2729" w:rsidRDefault="00F87E7E" w:rsidP="00862571">
      <w:pPr>
        <w:pStyle w:val="ListParagraph"/>
        <w:spacing w:after="0" w:line="240" w:lineRule="auto"/>
        <w:rPr>
          <w:rFonts w:ascii="Calibri" w:hAnsi="Calibri" w:cs="Calibri"/>
          <w:bCs/>
          <w:sz w:val="24"/>
          <w:szCs w:val="24"/>
        </w:rPr>
      </w:pPr>
    </w:p>
    <w:p w14:paraId="73FAF4D6" w14:textId="6E351B4C"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Ensure each region contains informative SNPs or </w:t>
      </w:r>
      <w:r w:rsidR="00990DBF" w:rsidRPr="003A2729">
        <w:rPr>
          <w:rFonts w:ascii="Calibri" w:hAnsi="Calibri" w:cs="Calibri"/>
          <w:bCs/>
          <w:sz w:val="24"/>
          <w:szCs w:val="24"/>
        </w:rPr>
        <w:t>INDEL</w:t>
      </w:r>
      <w:r w:rsidRPr="003A2729">
        <w:rPr>
          <w:rFonts w:ascii="Calibri" w:hAnsi="Calibri" w:cs="Calibri"/>
          <w:bCs/>
          <w:sz w:val="24"/>
          <w:szCs w:val="24"/>
        </w:rPr>
        <w:t xml:space="preserve"> polymorphisms for strain differentiation.</w:t>
      </w:r>
    </w:p>
    <w:p w14:paraId="19E18CC9" w14:textId="77777777" w:rsidR="00FD0F6D" w:rsidRPr="003A2729" w:rsidRDefault="00FD0F6D" w:rsidP="00862571">
      <w:pPr>
        <w:contextualSpacing/>
        <w:rPr>
          <w:b/>
        </w:rPr>
      </w:pPr>
    </w:p>
    <w:p w14:paraId="7D8F9B44" w14:textId="5F458D2C" w:rsidR="00AD42E8"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Culture and </w:t>
      </w:r>
      <w:r w:rsidR="00F87E7E" w:rsidRPr="003A2729">
        <w:rPr>
          <w:rFonts w:ascii="Calibri" w:hAnsi="Calibri" w:cs="Calibri"/>
          <w:b/>
          <w:sz w:val="24"/>
          <w:szCs w:val="24"/>
        </w:rPr>
        <w:t>h</w:t>
      </w:r>
      <w:r w:rsidRPr="003A2729">
        <w:rPr>
          <w:rFonts w:ascii="Calibri" w:hAnsi="Calibri" w:cs="Calibri"/>
          <w:b/>
          <w:sz w:val="24"/>
          <w:szCs w:val="24"/>
        </w:rPr>
        <w:t xml:space="preserve">arvesting of </w:t>
      </w:r>
      <w:r w:rsidRPr="003A2729">
        <w:rPr>
          <w:rFonts w:ascii="Calibri" w:hAnsi="Calibri" w:cs="Calibri"/>
          <w:b/>
          <w:i/>
          <w:iCs/>
          <w:sz w:val="24"/>
          <w:szCs w:val="24"/>
        </w:rPr>
        <w:t>Toxoplasma gondii</w:t>
      </w:r>
      <w:r w:rsidRPr="003A2729">
        <w:rPr>
          <w:rFonts w:ascii="Calibri" w:hAnsi="Calibri" w:cs="Calibri"/>
          <w:b/>
          <w:sz w:val="24"/>
          <w:szCs w:val="24"/>
        </w:rPr>
        <w:t xml:space="preserve"> </w:t>
      </w:r>
      <w:r w:rsidR="00F87E7E" w:rsidRPr="003A2729">
        <w:rPr>
          <w:rFonts w:ascii="Calibri" w:hAnsi="Calibri" w:cs="Calibri"/>
          <w:b/>
          <w:sz w:val="24"/>
          <w:szCs w:val="24"/>
        </w:rPr>
        <w:t>t</w:t>
      </w:r>
      <w:r w:rsidRPr="003A2729">
        <w:rPr>
          <w:rFonts w:ascii="Calibri" w:hAnsi="Calibri" w:cs="Calibri"/>
          <w:b/>
          <w:sz w:val="24"/>
          <w:szCs w:val="24"/>
        </w:rPr>
        <w:t>achyzoites</w:t>
      </w:r>
    </w:p>
    <w:p w14:paraId="116A4871" w14:textId="77777777" w:rsidR="00862571" w:rsidRPr="003A2729" w:rsidRDefault="00862571" w:rsidP="00862571">
      <w:pPr>
        <w:pStyle w:val="ListParagraph"/>
        <w:spacing w:after="0" w:line="240" w:lineRule="auto"/>
        <w:ind w:left="0"/>
        <w:rPr>
          <w:rFonts w:ascii="Calibri" w:hAnsi="Calibri" w:cs="Calibri"/>
          <w:b/>
          <w:sz w:val="24"/>
          <w:szCs w:val="24"/>
        </w:rPr>
      </w:pPr>
    </w:p>
    <w:p w14:paraId="76E020C3" w14:textId="6A12B432" w:rsidR="00862571"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Maintenance of </w:t>
      </w:r>
      <w:r w:rsidR="00862571" w:rsidRPr="003A2729">
        <w:rPr>
          <w:rFonts w:ascii="Calibri" w:hAnsi="Calibri" w:cs="Calibri"/>
          <w:bCs/>
          <w:sz w:val="24"/>
          <w:szCs w:val="24"/>
        </w:rPr>
        <w:t>h</w:t>
      </w:r>
      <w:r w:rsidRPr="003A2729">
        <w:rPr>
          <w:rFonts w:ascii="Calibri" w:hAnsi="Calibri" w:cs="Calibri"/>
          <w:bCs/>
          <w:sz w:val="24"/>
          <w:szCs w:val="24"/>
        </w:rPr>
        <w:t xml:space="preserve">ost </w:t>
      </w:r>
      <w:r w:rsidR="00862571" w:rsidRPr="003A2729">
        <w:rPr>
          <w:rFonts w:ascii="Calibri" w:hAnsi="Calibri" w:cs="Calibri"/>
          <w:bCs/>
          <w:sz w:val="24"/>
          <w:szCs w:val="24"/>
        </w:rPr>
        <w:t>c</w:t>
      </w:r>
      <w:r w:rsidRPr="003A2729">
        <w:rPr>
          <w:rFonts w:ascii="Calibri" w:hAnsi="Calibri" w:cs="Calibri"/>
          <w:bCs/>
          <w:sz w:val="24"/>
          <w:szCs w:val="24"/>
        </w:rPr>
        <w:t xml:space="preserve">ell </w:t>
      </w:r>
      <w:r w:rsidR="00862571" w:rsidRPr="003A2729">
        <w:rPr>
          <w:rFonts w:ascii="Calibri" w:hAnsi="Calibri" w:cs="Calibri"/>
          <w:bCs/>
          <w:sz w:val="24"/>
          <w:szCs w:val="24"/>
        </w:rPr>
        <w:t>c</w:t>
      </w:r>
      <w:r w:rsidRPr="003A2729">
        <w:rPr>
          <w:rFonts w:ascii="Calibri" w:hAnsi="Calibri" w:cs="Calibri"/>
          <w:bCs/>
          <w:sz w:val="24"/>
          <w:szCs w:val="24"/>
        </w:rPr>
        <w:t>ultures</w:t>
      </w:r>
    </w:p>
    <w:p w14:paraId="639259EE" w14:textId="77777777" w:rsidR="00862571" w:rsidRPr="003A2729" w:rsidRDefault="00862571" w:rsidP="00862571">
      <w:pPr>
        <w:pStyle w:val="ListParagraph"/>
        <w:spacing w:after="0" w:line="240" w:lineRule="auto"/>
        <w:ind w:left="0"/>
        <w:rPr>
          <w:rFonts w:ascii="Calibri" w:hAnsi="Calibri" w:cs="Calibri"/>
          <w:b/>
          <w:sz w:val="24"/>
          <w:szCs w:val="24"/>
        </w:rPr>
      </w:pPr>
    </w:p>
    <w:p w14:paraId="58FD1E32" w14:textId="77777777" w:rsidR="00862571" w:rsidRPr="003A2729" w:rsidRDefault="00653172" w:rsidP="00862571">
      <w:pPr>
        <w:pStyle w:val="ListParagraph"/>
        <w:numPr>
          <w:ilvl w:val="2"/>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Obtain human foreskin fibroblasts (HFFs) from a certified commercial source and culture them in complete growth medium composed of Dulbecco’s Modified Eagle Medium supplemented with 10% fetal bovine serum and 1% penicillin-streptomycin.</w:t>
      </w:r>
    </w:p>
    <w:p w14:paraId="6A9F2163" w14:textId="77777777" w:rsidR="00862571" w:rsidRPr="003A2729" w:rsidRDefault="00862571" w:rsidP="00862571">
      <w:pPr>
        <w:pStyle w:val="ListParagraph"/>
        <w:spacing w:after="0" w:line="240" w:lineRule="auto"/>
        <w:ind w:left="0"/>
        <w:rPr>
          <w:rFonts w:ascii="Calibri" w:hAnsi="Calibri" w:cs="Calibri"/>
          <w:b/>
          <w:sz w:val="24"/>
          <w:szCs w:val="24"/>
        </w:rPr>
      </w:pPr>
    </w:p>
    <w:p w14:paraId="36C09AE7" w14:textId="3F779BC1" w:rsidR="00AD42E8" w:rsidRPr="00EE0581" w:rsidRDefault="00AD42E8" w:rsidP="00862571">
      <w:pPr>
        <w:pStyle w:val="ListParagraph"/>
        <w:numPr>
          <w:ilvl w:val="2"/>
          <w:numId w:val="45"/>
        </w:numPr>
        <w:spacing w:after="0" w:line="240" w:lineRule="auto"/>
        <w:ind w:left="0" w:firstLine="0"/>
        <w:rPr>
          <w:rFonts w:ascii="Calibri" w:hAnsi="Calibri" w:cs="Calibri"/>
          <w:b/>
          <w:sz w:val="24"/>
          <w:szCs w:val="24"/>
        </w:rPr>
      </w:pPr>
      <w:r w:rsidRPr="00EE0581">
        <w:rPr>
          <w:rFonts w:ascii="Calibri" w:hAnsi="Calibri" w:cs="Calibri"/>
          <w:bCs/>
          <w:sz w:val="24"/>
          <w:szCs w:val="24"/>
        </w:rPr>
        <w:t>Incubate cultures at 37 °C with 5% CO₂ in a humidified incubator.</w:t>
      </w:r>
    </w:p>
    <w:p w14:paraId="0C8435B9" w14:textId="77777777" w:rsidR="00FD0F6D" w:rsidRPr="00EE0581" w:rsidRDefault="00FD0F6D" w:rsidP="00862571">
      <w:pPr>
        <w:contextualSpacing/>
        <w:rPr>
          <w:b/>
        </w:rPr>
      </w:pPr>
    </w:p>
    <w:p w14:paraId="16037201" w14:textId="06EB7658" w:rsidR="00AD42E8" w:rsidRPr="00EE0581" w:rsidRDefault="00AD42E8" w:rsidP="00862571">
      <w:pPr>
        <w:pStyle w:val="ListParagraph"/>
        <w:numPr>
          <w:ilvl w:val="1"/>
          <w:numId w:val="45"/>
        </w:numPr>
        <w:spacing w:after="0" w:line="240" w:lineRule="auto"/>
        <w:ind w:left="0" w:firstLine="0"/>
        <w:rPr>
          <w:rFonts w:ascii="Calibri" w:hAnsi="Calibri" w:cs="Calibri"/>
          <w:bCs/>
          <w:sz w:val="24"/>
          <w:szCs w:val="24"/>
        </w:rPr>
      </w:pPr>
      <w:r w:rsidRPr="00EE0581">
        <w:rPr>
          <w:rFonts w:ascii="Calibri" w:hAnsi="Calibri" w:cs="Calibri"/>
          <w:bCs/>
          <w:sz w:val="24"/>
          <w:szCs w:val="24"/>
        </w:rPr>
        <w:t xml:space="preserve">Maintenance and </w:t>
      </w:r>
      <w:r w:rsidR="00862571" w:rsidRPr="00EE0581">
        <w:rPr>
          <w:rFonts w:ascii="Calibri" w:hAnsi="Calibri" w:cs="Calibri"/>
          <w:bCs/>
          <w:sz w:val="24"/>
          <w:szCs w:val="24"/>
        </w:rPr>
        <w:t>e</w:t>
      </w:r>
      <w:r w:rsidRPr="00EE0581">
        <w:rPr>
          <w:rFonts w:ascii="Calibri" w:hAnsi="Calibri" w:cs="Calibri"/>
          <w:bCs/>
          <w:sz w:val="24"/>
          <w:szCs w:val="24"/>
        </w:rPr>
        <w:t xml:space="preserve">xpansion of </w:t>
      </w:r>
      <w:r w:rsidR="00862571" w:rsidRPr="00EE0581">
        <w:rPr>
          <w:rFonts w:ascii="Calibri" w:hAnsi="Calibri" w:cs="Calibri"/>
          <w:bCs/>
          <w:sz w:val="24"/>
          <w:szCs w:val="24"/>
        </w:rPr>
        <w:t>p</w:t>
      </w:r>
      <w:r w:rsidRPr="00EE0581">
        <w:rPr>
          <w:rFonts w:ascii="Calibri" w:hAnsi="Calibri" w:cs="Calibri"/>
          <w:bCs/>
          <w:sz w:val="24"/>
          <w:szCs w:val="24"/>
        </w:rPr>
        <w:t xml:space="preserve">arasite </w:t>
      </w:r>
      <w:r w:rsidR="00862571" w:rsidRPr="00EE0581">
        <w:rPr>
          <w:rFonts w:ascii="Calibri" w:hAnsi="Calibri" w:cs="Calibri"/>
          <w:bCs/>
          <w:sz w:val="24"/>
          <w:szCs w:val="24"/>
        </w:rPr>
        <w:t>l</w:t>
      </w:r>
      <w:r w:rsidRPr="00EE0581">
        <w:rPr>
          <w:rFonts w:ascii="Calibri" w:hAnsi="Calibri" w:cs="Calibri"/>
          <w:bCs/>
          <w:sz w:val="24"/>
          <w:szCs w:val="24"/>
        </w:rPr>
        <w:t>ines</w:t>
      </w:r>
      <w:r w:rsidR="00C52E34" w:rsidRPr="00EE0581">
        <w:rPr>
          <w:rFonts w:ascii="Calibri" w:hAnsi="Calibri" w:cs="Calibri"/>
          <w:bCs/>
          <w:sz w:val="24"/>
          <w:szCs w:val="24"/>
        </w:rPr>
        <w:t>.</w:t>
      </w:r>
    </w:p>
    <w:p w14:paraId="72C7F5C3" w14:textId="77777777" w:rsidR="00FD0F6D" w:rsidRPr="003A2729" w:rsidRDefault="00FD0F6D" w:rsidP="00862571">
      <w:pPr>
        <w:contextualSpacing/>
        <w:rPr>
          <w:bCs/>
        </w:rPr>
      </w:pPr>
    </w:p>
    <w:p w14:paraId="1D393AED" w14:textId="171BDBC1" w:rsidR="00AD42E8" w:rsidRPr="003A2729" w:rsidRDefault="001A09B7"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Infect fibroblast monolayers at 80–90% confluence using tachyzoites at a multiplicity of infection of 1–3 parasites per host cell. For a T25 flask containing approximately 1 × 10⁶ fibroblasts, add 1–3 × 10⁶ tachyzoites. </w:t>
      </w:r>
    </w:p>
    <w:p w14:paraId="5B9C6234" w14:textId="77777777" w:rsidR="00FD0F6D" w:rsidRPr="003A2729" w:rsidRDefault="00FD0F6D" w:rsidP="00862571">
      <w:pPr>
        <w:contextualSpacing/>
        <w:rPr>
          <w:bCs/>
        </w:rPr>
      </w:pPr>
    </w:p>
    <w:p w14:paraId="55397996" w14:textId="75963603" w:rsidR="00990DBF" w:rsidRPr="003A2729" w:rsidRDefault="009414ED" w:rsidP="00862571">
      <w:pPr>
        <w:pStyle w:val="ListParagraph"/>
        <w:numPr>
          <w:ilvl w:val="2"/>
          <w:numId w:val="45"/>
        </w:numPr>
        <w:spacing w:after="0" w:line="240" w:lineRule="auto"/>
        <w:ind w:left="0" w:firstLine="0"/>
        <w:rPr>
          <w:rFonts w:ascii="Calibri" w:hAnsi="Calibri" w:cs="Calibri"/>
          <w:sz w:val="24"/>
          <w:szCs w:val="24"/>
        </w:rPr>
      </w:pPr>
      <w:r w:rsidRPr="003A2729">
        <w:rPr>
          <w:rFonts w:ascii="Calibri" w:hAnsi="Calibri" w:cs="Calibri"/>
          <w:sz w:val="24"/>
          <w:szCs w:val="24"/>
        </w:rPr>
        <w:t xml:space="preserve">Examine cultures daily using an inverted light microscope at </w:t>
      </w:r>
      <w:r w:rsidR="00F1106B" w:rsidRPr="003A2729">
        <w:rPr>
          <w:rFonts w:ascii="Calibri" w:hAnsi="Calibri" w:cs="Calibri"/>
          <w:sz w:val="24"/>
          <w:szCs w:val="24"/>
        </w:rPr>
        <w:t>2</w:t>
      </w:r>
      <w:r w:rsidRPr="003A2729">
        <w:rPr>
          <w:rFonts w:ascii="Calibri" w:hAnsi="Calibri" w:cs="Calibri"/>
          <w:sz w:val="24"/>
          <w:szCs w:val="24"/>
        </w:rPr>
        <w:t>0×</w:t>
      </w:r>
      <w:r w:rsidR="00096D73" w:rsidRPr="003A2729">
        <w:rPr>
          <w:rFonts w:ascii="Calibri" w:hAnsi="Calibri" w:cs="Calibri"/>
          <w:sz w:val="24"/>
          <w:szCs w:val="24"/>
        </w:rPr>
        <w:t xml:space="preserve"> or </w:t>
      </w:r>
      <w:r w:rsidR="00F1106B" w:rsidRPr="003A2729">
        <w:rPr>
          <w:rFonts w:ascii="Calibri" w:hAnsi="Calibri" w:cs="Calibri"/>
          <w:sz w:val="24"/>
          <w:szCs w:val="24"/>
        </w:rPr>
        <w:t>4</w:t>
      </w:r>
      <w:r w:rsidRPr="003A2729">
        <w:rPr>
          <w:rFonts w:ascii="Calibri" w:hAnsi="Calibri" w:cs="Calibri"/>
          <w:sz w:val="24"/>
          <w:szCs w:val="24"/>
        </w:rPr>
        <w:t xml:space="preserve">0× magnification. Identify host cell lysis by observing widespread monolayer disruption. </w:t>
      </w:r>
    </w:p>
    <w:p w14:paraId="0E2E9867" w14:textId="77777777" w:rsidR="00862571" w:rsidRPr="003A2729" w:rsidRDefault="00862571" w:rsidP="00862571">
      <w:pPr>
        <w:contextualSpacing/>
      </w:pPr>
    </w:p>
    <w:p w14:paraId="1C8E52B2" w14:textId="65E85D24" w:rsidR="00AD42E8" w:rsidRPr="003A2729" w:rsidRDefault="00990DBF" w:rsidP="00862571">
      <w:pPr>
        <w:contextualSpacing/>
        <w:rPr>
          <w:bCs/>
        </w:rPr>
      </w:pPr>
      <w:r w:rsidRPr="003A2729">
        <w:rPr>
          <w:bCs/>
        </w:rPr>
        <w:t xml:space="preserve">NOTE: </w:t>
      </w:r>
      <w:r w:rsidR="00AD42E8" w:rsidRPr="003A2729">
        <w:rPr>
          <w:bCs/>
        </w:rPr>
        <w:t>Do not use fibroblast cultures beyond passage 20 to avoid culture-related artifacts.</w:t>
      </w:r>
    </w:p>
    <w:p w14:paraId="33EBA90A" w14:textId="77777777" w:rsidR="00FD0F6D" w:rsidRPr="003A2729" w:rsidRDefault="00FD0F6D" w:rsidP="00862571">
      <w:pPr>
        <w:contextualSpacing/>
        <w:rPr>
          <w:b/>
        </w:rPr>
      </w:pPr>
    </w:p>
    <w:p w14:paraId="1B073EAC" w14:textId="14E65488"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Harvesting of </w:t>
      </w:r>
      <w:r w:rsidR="00862571" w:rsidRPr="00EE0581">
        <w:rPr>
          <w:rFonts w:ascii="Calibri" w:hAnsi="Calibri" w:cs="Calibri"/>
          <w:bCs/>
          <w:sz w:val="24"/>
          <w:szCs w:val="24"/>
        </w:rPr>
        <w:t>t</w:t>
      </w:r>
      <w:r w:rsidRPr="00EE0581">
        <w:rPr>
          <w:rFonts w:ascii="Calibri" w:hAnsi="Calibri" w:cs="Calibri"/>
          <w:bCs/>
          <w:sz w:val="24"/>
          <w:szCs w:val="24"/>
        </w:rPr>
        <w:t>achyzoites</w:t>
      </w:r>
      <w:r w:rsidR="00C52E34" w:rsidRPr="00EE0581">
        <w:rPr>
          <w:rFonts w:ascii="Calibri" w:hAnsi="Calibri" w:cs="Calibri"/>
          <w:bCs/>
          <w:sz w:val="24"/>
          <w:szCs w:val="24"/>
        </w:rPr>
        <w:t>.</w:t>
      </w:r>
    </w:p>
    <w:p w14:paraId="3BDC9EBA" w14:textId="77777777" w:rsidR="00FD0F6D" w:rsidRPr="003A2729" w:rsidRDefault="00FD0F6D" w:rsidP="00862571">
      <w:pPr>
        <w:contextualSpacing/>
        <w:rPr>
          <w:bCs/>
        </w:rPr>
      </w:pPr>
    </w:p>
    <w:p w14:paraId="7FFC1550" w14:textId="2565719C"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Collect cultures when ≥90% host cell lysis is visible.</w:t>
      </w:r>
    </w:p>
    <w:p w14:paraId="17D4D3AC" w14:textId="77777777" w:rsidR="00FD0F6D" w:rsidRPr="003A2729" w:rsidRDefault="00FD0F6D" w:rsidP="00862571">
      <w:pPr>
        <w:contextualSpacing/>
        <w:rPr>
          <w:bCs/>
        </w:rPr>
      </w:pPr>
    </w:p>
    <w:p w14:paraId="04CA8D2F" w14:textId="1065E388"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Centrifuge at 1,300 × g for 10 min</w:t>
      </w:r>
      <w:r w:rsidR="005B7527" w:rsidRPr="003A2729">
        <w:rPr>
          <w:rFonts w:ascii="Calibri" w:hAnsi="Calibri" w:cs="Calibri"/>
          <w:bCs/>
          <w:sz w:val="24"/>
          <w:szCs w:val="24"/>
        </w:rPr>
        <w:t xml:space="preserve"> </w:t>
      </w:r>
      <w:r w:rsidR="00A5099E" w:rsidRPr="003A2729">
        <w:rPr>
          <w:rFonts w:ascii="Calibri" w:hAnsi="Calibri" w:cs="Calibri"/>
          <w:sz w:val="24"/>
          <w:szCs w:val="24"/>
        </w:rPr>
        <w:t>at 4 °C.</w:t>
      </w:r>
    </w:p>
    <w:p w14:paraId="5AE0675D" w14:textId="77777777" w:rsidR="00FD0F6D" w:rsidRPr="003A2729" w:rsidRDefault="00FD0F6D" w:rsidP="00862571">
      <w:pPr>
        <w:contextualSpacing/>
        <w:rPr>
          <w:bCs/>
        </w:rPr>
      </w:pPr>
    </w:p>
    <w:p w14:paraId="2864FCF9" w14:textId="26687542" w:rsidR="00FD0F6D" w:rsidRPr="003A2729" w:rsidRDefault="000B3111" w:rsidP="00862571">
      <w:pPr>
        <w:pStyle w:val="ListParagraph"/>
        <w:numPr>
          <w:ilvl w:val="2"/>
          <w:numId w:val="45"/>
        </w:numPr>
        <w:spacing w:after="0" w:line="240" w:lineRule="auto"/>
        <w:ind w:left="0" w:firstLine="0"/>
        <w:rPr>
          <w:rFonts w:ascii="Calibri" w:hAnsi="Calibri" w:cs="Calibri"/>
          <w:sz w:val="24"/>
          <w:szCs w:val="24"/>
        </w:rPr>
      </w:pPr>
      <w:r w:rsidRPr="003A2729">
        <w:rPr>
          <w:rFonts w:ascii="Calibri" w:hAnsi="Calibri" w:cs="Calibri"/>
          <w:sz w:val="24"/>
          <w:szCs w:val="24"/>
        </w:rPr>
        <w:t>Resuspend the pellet in 10 mL sterile phosphate-buffered saline by gentle pipetting</w:t>
      </w:r>
      <w:r w:rsidR="00005B29" w:rsidRPr="003A2729">
        <w:rPr>
          <w:rFonts w:ascii="Calibri" w:hAnsi="Calibri" w:cs="Calibri"/>
          <w:sz w:val="24"/>
          <w:szCs w:val="24"/>
        </w:rPr>
        <w:t>, and c</w:t>
      </w:r>
      <w:r w:rsidRPr="003A2729">
        <w:rPr>
          <w:rFonts w:ascii="Calibri" w:hAnsi="Calibri" w:cs="Calibri"/>
          <w:sz w:val="24"/>
          <w:szCs w:val="24"/>
        </w:rPr>
        <w:t>entrifuge again at 1,300 × g for 10 min at 4 °C. Repeat once more.</w:t>
      </w:r>
    </w:p>
    <w:p w14:paraId="5E300D57" w14:textId="77777777" w:rsidR="00862571" w:rsidRPr="003A2729" w:rsidRDefault="00862571" w:rsidP="00862571">
      <w:pPr>
        <w:contextualSpacing/>
      </w:pPr>
    </w:p>
    <w:p w14:paraId="2D7FF5F8" w14:textId="77777777" w:rsidR="00862571"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Extraction of </w:t>
      </w:r>
      <w:r w:rsidR="00862571" w:rsidRPr="003A2729">
        <w:rPr>
          <w:rFonts w:ascii="Calibri" w:hAnsi="Calibri" w:cs="Calibri"/>
          <w:b/>
          <w:sz w:val="24"/>
          <w:szCs w:val="24"/>
        </w:rPr>
        <w:t>g</w:t>
      </w:r>
      <w:r w:rsidRPr="003A2729">
        <w:rPr>
          <w:rFonts w:ascii="Calibri" w:hAnsi="Calibri" w:cs="Calibri"/>
          <w:b/>
          <w:sz w:val="24"/>
          <w:szCs w:val="24"/>
        </w:rPr>
        <w:t xml:space="preserve">enomic DNA and </w:t>
      </w:r>
      <w:r w:rsidR="00862571" w:rsidRPr="003A2729">
        <w:rPr>
          <w:rFonts w:ascii="Calibri" w:hAnsi="Calibri" w:cs="Calibri"/>
          <w:b/>
          <w:sz w:val="24"/>
          <w:szCs w:val="24"/>
        </w:rPr>
        <w:t>a</w:t>
      </w:r>
      <w:r w:rsidRPr="003A2729">
        <w:rPr>
          <w:rFonts w:ascii="Calibri" w:hAnsi="Calibri" w:cs="Calibri"/>
          <w:b/>
          <w:sz w:val="24"/>
          <w:szCs w:val="24"/>
        </w:rPr>
        <w:t xml:space="preserve">mplicon </w:t>
      </w:r>
      <w:r w:rsidR="00862571" w:rsidRPr="003A2729">
        <w:rPr>
          <w:rFonts w:ascii="Calibri" w:hAnsi="Calibri" w:cs="Calibri"/>
          <w:b/>
          <w:sz w:val="24"/>
          <w:szCs w:val="24"/>
        </w:rPr>
        <w:t>g</w:t>
      </w:r>
      <w:r w:rsidRPr="003A2729">
        <w:rPr>
          <w:rFonts w:ascii="Calibri" w:hAnsi="Calibri" w:cs="Calibri"/>
          <w:b/>
          <w:sz w:val="24"/>
          <w:szCs w:val="24"/>
        </w:rPr>
        <w:t>eneration</w:t>
      </w:r>
    </w:p>
    <w:p w14:paraId="39278EFB" w14:textId="77777777" w:rsidR="00ED65A9" w:rsidRPr="003A2729" w:rsidRDefault="00ED65A9" w:rsidP="00ED65A9">
      <w:pPr>
        <w:pStyle w:val="ListParagraph"/>
        <w:spacing w:after="0" w:line="240" w:lineRule="auto"/>
        <w:ind w:left="0"/>
        <w:rPr>
          <w:rFonts w:ascii="Calibri" w:hAnsi="Calibri" w:cs="Calibri"/>
          <w:b/>
          <w:sz w:val="24"/>
          <w:szCs w:val="24"/>
        </w:rPr>
      </w:pPr>
    </w:p>
    <w:p w14:paraId="1998502E" w14:textId="77777777" w:rsidR="00862571" w:rsidRPr="003A2729" w:rsidRDefault="00BC7239"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sz w:val="24"/>
          <w:szCs w:val="24"/>
        </w:rPr>
        <w:t>Extract genomic DNA using a silica column-based genomic DNA purification kit</w:t>
      </w:r>
      <w:r w:rsidR="00AA0C6E" w:rsidRPr="003A2729">
        <w:rPr>
          <w:rFonts w:ascii="Calibri" w:hAnsi="Calibri" w:cs="Calibri"/>
          <w:sz w:val="24"/>
          <w:szCs w:val="24"/>
        </w:rPr>
        <w:fldChar w:fldCharType="begin"/>
      </w:r>
      <w:r w:rsidR="007E6935" w:rsidRPr="003A2729">
        <w:rPr>
          <w:rFonts w:ascii="Calibri" w:hAnsi="Calibri" w:cs="Calibri"/>
          <w:sz w:val="24"/>
          <w:szCs w:val="24"/>
        </w:rPr>
        <w:instrText xml:space="preserve"> ADDIN EN.CITE &lt;EndNote&gt;&lt;Cite&gt;&lt;Year&gt;2023&lt;/Year&gt;&lt;RecNum&gt;1250&lt;/RecNum&gt;&lt;DisplayText&gt;&lt;style face="superscript"&gt;7&lt;/style&gt;&lt;/DisplayText&gt;&lt;record&gt;&lt;rec-number&gt;1250&lt;/rec-number&gt;&lt;foreign-keys&gt;&lt;key app="EN" db-id="0e2tx2spretx0jew9af5rr0a5rxd9swe0pdp" timestamp="1771845307"&gt;1250&lt;/key&gt;&lt;/foreign-keys&gt;&lt;ref-type name="Journal Article"&gt;17&lt;/ref-type&gt;&lt;contributors&gt;&lt;/contributors&gt;&lt;titles&gt;&lt;title&gt;DNeasy Blood &amp;amp; Tissue Kit Handbook. &lt;/title&gt;&lt;/titles&gt;&lt;dates&gt;&lt;year&gt;2023&lt;/year&gt;&lt;/dates&gt;&lt;pub-location&gt;QIAGEN &lt;/pub-location&gt;&lt;urls&gt;&lt;/urls&gt;&lt;/record&gt;&lt;/Cite&gt;&lt;/EndNote&gt;</w:instrText>
      </w:r>
      <w:r w:rsidR="00AA0C6E" w:rsidRPr="003A2729">
        <w:rPr>
          <w:rFonts w:ascii="Calibri" w:hAnsi="Calibri" w:cs="Calibri"/>
          <w:sz w:val="24"/>
          <w:szCs w:val="24"/>
        </w:rPr>
        <w:fldChar w:fldCharType="separate"/>
      </w:r>
      <w:r w:rsidR="00AA0C6E" w:rsidRPr="003A2729">
        <w:rPr>
          <w:rFonts w:ascii="Calibri" w:hAnsi="Calibri" w:cs="Calibri"/>
          <w:noProof/>
          <w:sz w:val="24"/>
          <w:szCs w:val="24"/>
          <w:vertAlign w:val="superscript"/>
        </w:rPr>
        <w:t>7</w:t>
      </w:r>
      <w:r w:rsidR="00AA0C6E" w:rsidRPr="003A2729">
        <w:rPr>
          <w:rFonts w:ascii="Calibri" w:hAnsi="Calibri" w:cs="Calibri"/>
          <w:sz w:val="24"/>
          <w:szCs w:val="24"/>
        </w:rPr>
        <w:fldChar w:fldCharType="end"/>
      </w:r>
      <w:r w:rsidRPr="003A2729">
        <w:rPr>
          <w:rFonts w:ascii="Calibri" w:hAnsi="Calibri" w:cs="Calibri"/>
          <w:sz w:val="24"/>
          <w:szCs w:val="24"/>
        </w:rPr>
        <w:t>. Elute DNA in 50 µL elution buffer.</w:t>
      </w:r>
    </w:p>
    <w:p w14:paraId="6E529B37" w14:textId="77777777" w:rsidR="00862571" w:rsidRPr="003A2729" w:rsidRDefault="00862571" w:rsidP="00862571">
      <w:pPr>
        <w:pStyle w:val="ListParagraph"/>
        <w:spacing w:after="0" w:line="240" w:lineRule="auto"/>
        <w:ind w:left="0"/>
        <w:rPr>
          <w:rFonts w:ascii="Calibri" w:hAnsi="Calibri" w:cs="Calibri"/>
          <w:b/>
          <w:sz w:val="24"/>
          <w:szCs w:val="24"/>
        </w:rPr>
      </w:pPr>
    </w:p>
    <w:p w14:paraId="311D8083" w14:textId="77777777" w:rsidR="00862571" w:rsidRPr="003A2729" w:rsidRDefault="00451F9E"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sz w:val="24"/>
          <w:szCs w:val="24"/>
        </w:rPr>
        <w:t>Measure DNA concentration using a microvolume spectrophotometer.</w:t>
      </w:r>
    </w:p>
    <w:p w14:paraId="2D9887AD" w14:textId="77777777" w:rsidR="00862571" w:rsidRPr="003A2729" w:rsidRDefault="00862571" w:rsidP="00862571">
      <w:pPr>
        <w:pStyle w:val="ListParagraph"/>
        <w:rPr>
          <w:rFonts w:ascii="Calibri" w:hAnsi="Calibri" w:cs="Calibri"/>
          <w:bCs/>
          <w:sz w:val="24"/>
          <w:szCs w:val="24"/>
        </w:rPr>
      </w:pPr>
    </w:p>
    <w:p w14:paraId="7979003B" w14:textId="77777777" w:rsidR="00862571"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Store DNA at 4 °C for short-term or −20 °C for long-term storage.</w:t>
      </w:r>
    </w:p>
    <w:p w14:paraId="17507522" w14:textId="77777777" w:rsidR="00862571" w:rsidRPr="003A2729" w:rsidRDefault="00862571" w:rsidP="00862571">
      <w:pPr>
        <w:pStyle w:val="ListParagraph"/>
        <w:rPr>
          <w:rFonts w:ascii="Calibri" w:hAnsi="Calibri" w:cs="Calibri"/>
          <w:bCs/>
          <w:sz w:val="24"/>
          <w:szCs w:val="24"/>
        </w:rPr>
      </w:pPr>
    </w:p>
    <w:p w14:paraId="1113CB30" w14:textId="518A7C3A" w:rsidR="00862571"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 xml:space="preserve">Prepare PCR reactions using </w:t>
      </w:r>
      <w:r w:rsidR="00E55492" w:rsidRPr="003A2729">
        <w:rPr>
          <w:rFonts w:ascii="Calibri" w:hAnsi="Calibri" w:cs="Calibri"/>
          <w:bCs/>
          <w:sz w:val="24"/>
          <w:szCs w:val="24"/>
        </w:rPr>
        <w:t xml:space="preserve">a high-fidelity DNA polymerase master </w:t>
      </w:r>
      <w:proofErr w:type="gramStart"/>
      <w:r w:rsidR="00E55492" w:rsidRPr="003A2729">
        <w:rPr>
          <w:rFonts w:ascii="Calibri" w:hAnsi="Calibri" w:cs="Calibri"/>
          <w:bCs/>
          <w:sz w:val="24"/>
          <w:szCs w:val="24"/>
        </w:rPr>
        <w:t>mix</w:t>
      </w:r>
      <w:r w:rsidRPr="003A2729">
        <w:rPr>
          <w:rFonts w:ascii="Calibri" w:hAnsi="Calibri" w:cs="Calibri"/>
          <w:bCs/>
          <w:sz w:val="24"/>
          <w:szCs w:val="24"/>
        </w:rPr>
        <w:t xml:space="preserve"> ,</w:t>
      </w:r>
      <w:proofErr w:type="gramEnd"/>
      <w:r w:rsidRPr="003A2729">
        <w:rPr>
          <w:rFonts w:ascii="Calibri" w:hAnsi="Calibri" w:cs="Calibri"/>
          <w:bCs/>
          <w:sz w:val="24"/>
          <w:szCs w:val="24"/>
        </w:rPr>
        <w:t xml:space="preserve"> locus-specific primers (</w:t>
      </w:r>
      <w:r w:rsidRPr="003A2729">
        <w:rPr>
          <w:rFonts w:ascii="Calibri" w:hAnsi="Calibri" w:cs="Calibri"/>
          <w:b/>
          <w:sz w:val="24"/>
          <w:szCs w:val="24"/>
        </w:rPr>
        <w:t>Supplementary Table 1</w:t>
      </w:r>
      <w:r w:rsidRPr="003A2729">
        <w:rPr>
          <w:rFonts w:ascii="Calibri" w:hAnsi="Calibri" w:cs="Calibri"/>
          <w:bCs/>
          <w:sz w:val="24"/>
          <w:szCs w:val="24"/>
        </w:rPr>
        <w:t>), and nuclease-free water.</w:t>
      </w:r>
    </w:p>
    <w:p w14:paraId="5145526B" w14:textId="77777777" w:rsidR="00862571" w:rsidRPr="003A2729" w:rsidRDefault="00862571" w:rsidP="00862571">
      <w:pPr>
        <w:pStyle w:val="ListParagraph"/>
        <w:rPr>
          <w:rFonts w:ascii="Calibri" w:hAnsi="Calibri" w:cs="Calibri"/>
          <w:sz w:val="24"/>
          <w:szCs w:val="24"/>
        </w:rPr>
      </w:pPr>
    </w:p>
    <w:p w14:paraId="64CD3431" w14:textId="7AECCE2C" w:rsidR="00AD42E8" w:rsidRPr="003A2729" w:rsidRDefault="00FA447E"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sz w:val="24"/>
          <w:szCs w:val="24"/>
        </w:rPr>
        <w:t>Perform PCR amplification using a calibrated thermal cycler under the following cycling conditions:</w:t>
      </w:r>
      <w:r w:rsidR="00862571" w:rsidRPr="003A2729">
        <w:rPr>
          <w:rFonts w:ascii="Calibri" w:hAnsi="Calibri" w:cs="Calibri"/>
          <w:sz w:val="24"/>
          <w:szCs w:val="24"/>
        </w:rPr>
        <w:t xml:space="preserve"> </w:t>
      </w:r>
      <w:r w:rsidR="003C574E" w:rsidRPr="003A2729">
        <w:rPr>
          <w:rFonts w:ascii="Calibri" w:hAnsi="Calibri" w:cs="Calibri"/>
          <w:sz w:val="24"/>
          <w:szCs w:val="24"/>
        </w:rPr>
        <w:t>(</w:t>
      </w:r>
      <w:r w:rsidR="00862571" w:rsidRPr="003A2729">
        <w:rPr>
          <w:rFonts w:ascii="Calibri" w:hAnsi="Calibri" w:cs="Calibri"/>
          <w:sz w:val="24"/>
          <w:szCs w:val="24"/>
        </w:rPr>
        <w:t>a) i</w:t>
      </w:r>
      <w:r w:rsidR="00AD42E8" w:rsidRPr="003A2729">
        <w:rPr>
          <w:rFonts w:ascii="Calibri" w:hAnsi="Calibri" w:cs="Calibri"/>
          <w:bCs/>
          <w:sz w:val="24"/>
          <w:szCs w:val="24"/>
        </w:rPr>
        <w:t>nitial denaturation</w:t>
      </w:r>
      <w:r w:rsidR="00862571" w:rsidRPr="003A2729">
        <w:rPr>
          <w:rFonts w:ascii="Calibri" w:hAnsi="Calibri" w:cs="Calibri"/>
          <w:bCs/>
          <w:sz w:val="24"/>
          <w:szCs w:val="24"/>
        </w:rPr>
        <w:t xml:space="preserve"> at</w:t>
      </w:r>
      <w:r w:rsidR="00AD42E8" w:rsidRPr="003A2729">
        <w:rPr>
          <w:rFonts w:ascii="Calibri" w:hAnsi="Calibri" w:cs="Calibri"/>
          <w:bCs/>
          <w:sz w:val="24"/>
          <w:szCs w:val="24"/>
        </w:rPr>
        <w:t xml:space="preserve"> 98 °C for 30 s</w:t>
      </w:r>
      <w:r w:rsidR="00862571" w:rsidRPr="003A2729">
        <w:rPr>
          <w:rFonts w:ascii="Calibri" w:hAnsi="Calibri" w:cs="Calibri"/>
          <w:bCs/>
          <w:sz w:val="24"/>
          <w:szCs w:val="24"/>
        </w:rPr>
        <w:t xml:space="preserve">, </w:t>
      </w:r>
      <w:r w:rsidR="003C574E" w:rsidRPr="003A2729">
        <w:rPr>
          <w:rFonts w:ascii="Calibri" w:hAnsi="Calibri" w:cs="Calibri"/>
          <w:bCs/>
          <w:sz w:val="24"/>
          <w:szCs w:val="24"/>
        </w:rPr>
        <w:t>(</w:t>
      </w:r>
      <w:r w:rsidR="00862571" w:rsidRPr="003A2729">
        <w:rPr>
          <w:rFonts w:ascii="Calibri" w:hAnsi="Calibri" w:cs="Calibri"/>
          <w:bCs/>
          <w:sz w:val="24"/>
          <w:szCs w:val="24"/>
        </w:rPr>
        <w:t xml:space="preserve">b) </w:t>
      </w:r>
      <w:r w:rsidR="00AD42E8" w:rsidRPr="003A2729">
        <w:rPr>
          <w:rFonts w:ascii="Calibri" w:hAnsi="Calibri" w:cs="Calibri"/>
          <w:bCs/>
          <w:sz w:val="24"/>
          <w:szCs w:val="24"/>
        </w:rPr>
        <w:t>35 cycles of</w:t>
      </w:r>
      <w:r w:rsidR="00862571" w:rsidRPr="003A2729">
        <w:rPr>
          <w:rFonts w:ascii="Calibri" w:hAnsi="Calibri" w:cs="Calibri"/>
          <w:bCs/>
          <w:sz w:val="24"/>
          <w:szCs w:val="24"/>
        </w:rPr>
        <w:t xml:space="preserve"> </w:t>
      </w:r>
      <w:r w:rsidR="00AD42E8" w:rsidRPr="003A2729">
        <w:rPr>
          <w:rFonts w:ascii="Calibri" w:hAnsi="Calibri" w:cs="Calibri"/>
          <w:bCs/>
          <w:sz w:val="24"/>
          <w:szCs w:val="24"/>
        </w:rPr>
        <w:t xml:space="preserve">98 °C for 10 </w:t>
      </w:r>
      <w:r w:rsidR="00E84776" w:rsidRPr="003A2729">
        <w:rPr>
          <w:rFonts w:ascii="Calibri" w:hAnsi="Calibri" w:cs="Calibri"/>
          <w:bCs/>
          <w:sz w:val="24"/>
          <w:szCs w:val="24"/>
        </w:rPr>
        <w:t>s</w:t>
      </w:r>
      <w:r w:rsidR="00862571" w:rsidRPr="003A2729">
        <w:rPr>
          <w:rFonts w:ascii="Calibri" w:hAnsi="Calibri" w:cs="Calibri"/>
          <w:bCs/>
          <w:sz w:val="24"/>
          <w:szCs w:val="24"/>
        </w:rPr>
        <w:t xml:space="preserve">; </w:t>
      </w:r>
      <w:r w:rsidR="002E02F5" w:rsidRPr="003A2729">
        <w:rPr>
          <w:rFonts w:ascii="Calibri" w:hAnsi="Calibri" w:cs="Calibri"/>
          <w:bCs/>
          <w:sz w:val="24"/>
          <w:szCs w:val="24"/>
        </w:rPr>
        <w:t>l</w:t>
      </w:r>
      <w:r w:rsidR="00B07F18" w:rsidRPr="003A2729">
        <w:rPr>
          <w:rFonts w:ascii="Calibri" w:hAnsi="Calibri" w:cs="Calibri"/>
          <w:bCs/>
          <w:sz w:val="24"/>
          <w:szCs w:val="24"/>
        </w:rPr>
        <w:t xml:space="preserve">ocus-specific annealing: 60 °C for </w:t>
      </w:r>
      <w:r w:rsidR="00B07F18" w:rsidRPr="003A2729">
        <w:rPr>
          <w:rFonts w:ascii="Calibri" w:hAnsi="Calibri" w:cs="Calibri"/>
          <w:bCs/>
          <w:i/>
          <w:iCs/>
          <w:sz w:val="24"/>
          <w:szCs w:val="24"/>
        </w:rPr>
        <w:t>SAG2</w:t>
      </w:r>
      <w:r w:rsidR="00B07F18" w:rsidRPr="003A2729">
        <w:rPr>
          <w:rFonts w:ascii="Calibri" w:hAnsi="Calibri" w:cs="Calibri"/>
          <w:bCs/>
          <w:sz w:val="24"/>
          <w:szCs w:val="24"/>
        </w:rPr>
        <w:t xml:space="preserve">, 68 °C for </w:t>
      </w:r>
      <w:r w:rsidR="00B07F18" w:rsidRPr="003A2729">
        <w:rPr>
          <w:rFonts w:ascii="Calibri" w:hAnsi="Calibri" w:cs="Calibri"/>
          <w:bCs/>
          <w:i/>
          <w:iCs/>
          <w:sz w:val="24"/>
          <w:szCs w:val="24"/>
        </w:rPr>
        <w:t>SAG3</w:t>
      </w:r>
      <w:r w:rsidR="00B07F18" w:rsidRPr="003A2729">
        <w:rPr>
          <w:rFonts w:ascii="Calibri" w:hAnsi="Calibri" w:cs="Calibri"/>
          <w:bCs/>
          <w:sz w:val="24"/>
          <w:szCs w:val="24"/>
        </w:rPr>
        <w:t>, 30 s</w:t>
      </w:r>
      <w:r w:rsidR="00862571" w:rsidRPr="003A2729">
        <w:rPr>
          <w:rFonts w:ascii="Calibri" w:hAnsi="Calibri" w:cs="Calibri"/>
          <w:bCs/>
          <w:sz w:val="24"/>
          <w:szCs w:val="24"/>
        </w:rPr>
        <w:t xml:space="preserve">; </w:t>
      </w:r>
      <w:r w:rsidR="00AD42E8" w:rsidRPr="003A2729">
        <w:rPr>
          <w:rFonts w:ascii="Calibri" w:hAnsi="Calibri" w:cs="Calibri"/>
          <w:bCs/>
          <w:sz w:val="24"/>
          <w:szCs w:val="24"/>
        </w:rPr>
        <w:t xml:space="preserve">72 °C for </w:t>
      </w:r>
      <w:r w:rsidR="00B47703">
        <w:rPr>
          <w:rFonts w:ascii="Calibri" w:hAnsi="Calibri" w:cs="Calibri"/>
          <w:bCs/>
          <w:sz w:val="24"/>
          <w:szCs w:val="24"/>
        </w:rPr>
        <w:t>20</w:t>
      </w:r>
      <w:r w:rsidR="00AD42E8" w:rsidRPr="003A2729">
        <w:rPr>
          <w:rFonts w:ascii="Calibri" w:hAnsi="Calibri" w:cs="Calibri"/>
          <w:bCs/>
          <w:sz w:val="24"/>
          <w:szCs w:val="24"/>
        </w:rPr>
        <w:t xml:space="preserve"> </w:t>
      </w:r>
      <w:r w:rsidR="00E84776" w:rsidRPr="003A2729">
        <w:rPr>
          <w:rFonts w:ascii="Calibri" w:hAnsi="Calibri" w:cs="Calibri"/>
          <w:bCs/>
          <w:sz w:val="24"/>
          <w:szCs w:val="24"/>
        </w:rPr>
        <w:t>s</w:t>
      </w:r>
      <w:r w:rsidR="00862571" w:rsidRPr="003A2729">
        <w:rPr>
          <w:rFonts w:ascii="Calibri" w:hAnsi="Calibri" w:cs="Calibri"/>
          <w:bCs/>
          <w:sz w:val="24"/>
          <w:szCs w:val="24"/>
        </w:rPr>
        <w:t xml:space="preserve">, </w:t>
      </w:r>
      <w:r w:rsidR="003C574E" w:rsidRPr="003A2729">
        <w:rPr>
          <w:rFonts w:ascii="Calibri" w:hAnsi="Calibri" w:cs="Calibri"/>
          <w:bCs/>
          <w:sz w:val="24"/>
          <w:szCs w:val="24"/>
        </w:rPr>
        <w:t>(</w:t>
      </w:r>
      <w:r w:rsidR="00862571" w:rsidRPr="003A2729">
        <w:rPr>
          <w:rFonts w:ascii="Calibri" w:hAnsi="Calibri" w:cs="Calibri"/>
          <w:bCs/>
          <w:sz w:val="24"/>
          <w:szCs w:val="24"/>
        </w:rPr>
        <w:t xml:space="preserve">c) </w:t>
      </w:r>
      <w:r w:rsidR="00AD42E8" w:rsidRPr="003A2729">
        <w:rPr>
          <w:rFonts w:ascii="Calibri" w:hAnsi="Calibri" w:cs="Calibri"/>
          <w:bCs/>
          <w:sz w:val="24"/>
          <w:szCs w:val="24"/>
        </w:rPr>
        <w:t>Final extension: 72 °C for</w:t>
      </w:r>
      <w:r w:rsidR="00B47703">
        <w:rPr>
          <w:rFonts w:ascii="Calibri" w:hAnsi="Calibri" w:cs="Calibri"/>
          <w:bCs/>
          <w:sz w:val="24"/>
          <w:szCs w:val="24"/>
        </w:rPr>
        <w:t xml:space="preserve"> 2</w:t>
      </w:r>
      <w:r w:rsidR="00AD42E8" w:rsidRPr="003A2729">
        <w:rPr>
          <w:rFonts w:ascii="Calibri" w:hAnsi="Calibri" w:cs="Calibri"/>
          <w:bCs/>
          <w:sz w:val="24"/>
          <w:szCs w:val="24"/>
        </w:rPr>
        <w:t xml:space="preserve"> min</w:t>
      </w:r>
      <w:r w:rsidR="003C574E" w:rsidRPr="003A2729">
        <w:rPr>
          <w:rFonts w:ascii="Calibri" w:hAnsi="Calibri" w:cs="Calibri"/>
          <w:bCs/>
          <w:sz w:val="24"/>
          <w:szCs w:val="24"/>
        </w:rPr>
        <w:t>.</w:t>
      </w:r>
    </w:p>
    <w:p w14:paraId="1D9202A5" w14:textId="77777777" w:rsidR="00FD0F6D" w:rsidRPr="003A2729" w:rsidRDefault="00FD0F6D" w:rsidP="00862571">
      <w:pPr>
        <w:contextualSpacing/>
        <w:rPr>
          <w:bCs/>
        </w:rPr>
      </w:pPr>
    </w:p>
    <w:p w14:paraId="2F58284C" w14:textId="78495EDF"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Verify PCR products by electrophoresis on a 1.5% agarose gel.</w:t>
      </w:r>
    </w:p>
    <w:p w14:paraId="53527899" w14:textId="77777777" w:rsidR="00FD0F6D" w:rsidRPr="003A2729" w:rsidRDefault="00FD0F6D" w:rsidP="00862571">
      <w:pPr>
        <w:contextualSpacing/>
        <w:rPr>
          <w:bCs/>
        </w:rPr>
      </w:pPr>
    </w:p>
    <w:p w14:paraId="451548F2" w14:textId="01171FBC" w:rsidR="00FD0F6D" w:rsidRPr="003A2729" w:rsidRDefault="00736C7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Purify PCR products using a column-based PCR and gel extraction purification system according to the manufacturer’s instructions</w:t>
      </w:r>
      <w:r w:rsidR="00AA0C6E" w:rsidRPr="003A2729">
        <w:rPr>
          <w:rFonts w:ascii="Calibri" w:hAnsi="Calibri" w:cs="Calibri"/>
          <w:bCs/>
          <w:sz w:val="24"/>
          <w:szCs w:val="24"/>
        </w:rPr>
        <w:fldChar w:fldCharType="begin"/>
      </w:r>
      <w:r w:rsidR="00AA0C6E" w:rsidRPr="003A2729">
        <w:rPr>
          <w:rFonts w:ascii="Calibri" w:hAnsi="Calibri" w:cs="Calibri"/>
          <w:bCs/>
          <w:sz w:val="24"/>
          <w:szCs w:val="24"/>
        </w:rPr>
        <w:instrText xml:space="preserve"> ADDIN EN.CITE &lt;EndNote&gt;&lt;Cite&gt;&lt;Author&gt;MACHEREY-NAGEL&lt;/Author&gt;&lt;RecNum&gt;1251&lt;/RecNum&gt;&lt;DisplayText&gt;&lt;style face="superscript"&gt;8&lt;/style&gt;&lt;/DisplayText&gt;&lt;record&gt;&lt;rec-number&gt;1251&lt;/rec-number&gt;&lt;foreign-keys&gt;&lt;key app="EN" db-id="0e2tx2spretx0jew9af5rr0a5rxd9swe0pdp" timestamp="1771845830"&gt;1251&lt;/key&gt;&lt;/foreign-keys&gt;&lt;ref-type name="Journal Article"&gt;17&lt;/ref-type&gt;&lt;contributors&gt;&lt;authors&gt;&lt;author&gt;MACHEREY-NAGEL&lt;/author&gt;&lt;/authors&gt;&lt;/contributors&gt;&lt;titles&gt;&lt;title&gt;User manual PCR clean-up and Gel extraction (2024)&lt;/title&gt;&lt;/titles&gt;&lt;dates&gt;&lt;/dates&gt;&lt;urls&gt;&lt;/urls&gt;&lt;/record&gt;&lt;/Cite&gt;&lt;/EndNote&gt;</w:instrText>
      </w:r>
      <w:r w:rsidR="00AA0C6E" w:rsidRPr="003A2729">
        <w:rPr>
          <w:rFonts w:ascii="Calibri" w:hAnsi="Calibri" w:cs="Calibri"/>
          <w:bCs/>
          <w:sz w:val="24"/>
          <w:szCs w:val="24"/>
        </w:rPr>
        <w:fldChar w:fldCharType="separate"/>
      </w:r>
      <w:r w:rsidR="00AA0C6E" w:rsidRPr="003A2729">
        <w:rPr>
          <w:rFonts w:ascii="Calibri" w:hAnsi="Calibri" w:cs="Calibri"/>
          <w:bCs/>
          <w:noProof/>
          <w:sz w:val="24"/>
          <w:szCs w:val="24"/>
          <w:vertAlign w:val="superscript"/>
        </w:rPr>
        <w:t>8</w:t>
      </w:r>
      <w:r w:rsidR="00AA0C6E" w:rsidRPr="003A2729">
        <w:rPr>
          <w:rFonts w:ascii="Calibri" w:hAnsi="Calibri" w:cs="Calibri"/>
          <w:bCs/>
          <w:sz w:val="24"/>
          <w:szCs w:val="24"/>
        </w:rPr>
        <w:fldChar w:fldCharType="end"/>
      </w:r>
      <w:r w:rsidRPr="003A2729">
        <w:rPr>
          <w:rFonts w:ascii="Calibri" w:hAnsi="Calibri" w:cs="Calibri"/>
          <w:bCs/>
          <w:sz w:val="24"/>
          <w:szCs w:val="24"/>
        </w:rPr>
        <w:t>. Elute DNA in 15</w:t>
      </w:r>
      <w:r w:rsidR="00862571" w:rsidRPr="003A2729">
        <w:rPr>
          <w:rFonts w:ascii="Calibri" w:hAnsi="Calibri" w:cs="Calibri"/>
          <w:bCs/>
          <w:sz w:val="24"/>
          <w:szCs w:val="24"/>
        </w:rPr>
        <w:t>–</w:t>
      </w:r>
      <w:r w:rsidRPr="003A2729">
        <w:rPr>
          <w:rFonts w:ascii="Calibri" w:hAnsi="Calibri" w:cs="Calibri"/>
          <w:bCs/>
          <w:sz w:val="24"/>
          <w:szCs w:val="24"/>
        </w:rPr>
        <w:t>20 µL of elution buffer.</w:t>
      </w:r>
    </w:p>
    <w:p w14:paraId="1FACBC83" w14:textId="77777777" w:rsidR="00F66B42" w:rsidRPr="003A2729" w:rsidRDefault="00F66B42" w:rsidP="00E47E06">
      <w:pPr>
        <w:pStyle w:val="ListParagraph"/>
        <w:rPr>
          <w:rFonts w:ascii="Calibri" w:hAnsi="Calibri" w:cs="Calibri"/>
          <w:bCs/>
          <w:sz w:val="24"/>
          <w:szCs w:val="24"/>
        </w:rPr>
      </w:pPr>
    </w:p>
    <w:p w14:paraId="09DA5847" w14:textId="43FF51CA" w:rsidR="00F66B42" w:rsidRPr="003A2729" w:rsidRDefault="00F66B42" w:rsidP="00E47E06">
      <w:pPr>
        <w:pStyle w:val="ListParagraph"/>
        <w:spacing w:after="0" w:line="240" w:lineRule="auto"/>
        <w:ind w:left="0"/>
        <w:rPr>
          <w:rFonts w:ascii="Calibri" w:hAnsi="Calibri" w:cs="Calibri"/>
          <w:sz w:val="24"/>
          <w:szCs w:val="24"/>
        </w:rPr>
      </w:pPr>
      <w:r w:rsidRPr="003A2729">
        <w:rPr>
          <w:rFonts w:ascii="Calibri" w:hAnsi="Calibri" w:cs="Calibri"/>
          <w:bCs/>
          <w:sz w:val="24"/>
          <w:szCs w:val="24"/>
        </w:rPr>
        <w:t xml:space="preserve">NOTE: </w:t>
      </w:r>
      <w:r w:rsidRPr="003A2729">
        <w:rPr>
          <w:rFonts w:ascii="Calibri" w:hAnsi="Calibri" w:cs="Calibri"/>
          <w:sz w:val="24"/>
          <w:szCs w:val="24"/>
        </w:rPr>
        <w:t>PCR efficiency and yield may be reduced by low DNA template quality, concentration</w:t>
      </w:r>
      <w:r w:rsidR="00E47E06" w:rsidRPr="003A2729">
        <w:rPr>
          <w:rFonts w:ascii="Calibri" w:hAnsi="Calibri" w:cs="Calibri"/>
          <w:sz w:val="24"/>
          <w:szCs w:val="24"/>
        </w:rPr>
        <w:t>,</w:t>
      </w:r>
      <w:r w:rsidRPr="003A2729">
        <w:rPr>
          <w:rFonts w:ascii="Calibri" w:hAnsi="Calibri" w:cs="Calibri"/>
          <w:sz w:val="24"/>
          <w:szCs w:val="24"/>
        </w:rPr>
        <w:t xml:space="preserve"> or suboptimal reaction conditions. If </w:t>
      </w:r>
      <w:r w:rsidR="00E47E06" w:rsidRPr="003A2729">
        <w:rPr>
          <w:rFonts w:ascii="Calibri" w:hAnsi="Calibri" w:cs="Calibri"/>
          <w:sz w:val="24"/>
          <w:szCs w:val="24"/>
        </w:rPr>
        <w:t>the amplicon yield is low, verify the DNA template integrity using agarose gel electrophoresis</w:t>
      </w:r>
      <w:r w:rsidRPr="003A2729">
        <w:rPr>
          <w:rFonts w:ascii="Calibri" w:hAnsi="Calibri" w:cs="Calibri"/>
          <w:sz w:val="24"/>
          <w:szCs w:val="24"/>
        </w:rPr>
        <w:t xml:space="preserve"> and concentration</w:t>
      </w:r>
      <w:r w:rsidR="00FA1F9F" w:rsidRPr="003A2729">
        <w:rPr>
          <w:rFonts w:ascii="Calibri" w:hAnsi="Calibri" w:cs="Calibri"/>
          <w:sz w:val="24"/>
          <w:szCs w:val="24"/>
        </w:rPr>
        <w:t xml:space="preserve"> and purity</w:t>
      </w:r>
      <w:r w:rsidRPr="003A2729">
        <w:rPr>
          <w:rFonts w:ascii="Calibri" w:hAnsi="Calibri" w:cs="Calibri"/>
          <w:sz w:val="24"/>
          <w:szCs w:val="24"/>
        </w:rPr>
        <w:t xml:space="preserve"> using a spectropho</w:t>
      </w:r>
      <w:r w:rsidR="00FA1F9F" w:rsidRPr="003A2729">
        <w:rPr>
          <w:rFonts w:ascii="Calibri" w:hAnsi="Calibri" w:cs="Calibri"/>
          <w:sz w:val="24"/>
          <w:szCs w:val="24"/>
        </w:rPr>
        <w:t>to</w:t>
      </w:r>
      <w:r w:rsidRPr="003A2729">
        <w:rPr>
          <w:rFonts w:ascii="Calibri" w:hAnsi="Calibri" w:cs="Calibri"/>
          <w:sz w:val="24"/>
          <w:szCs w:val="24"/>
        </w:rPr>
        <w:t>met</w:t>
      </w:r>
      <w:r w:rsidR="00FA1F9F" w:rsidRPr="003A2729">
        <w:rPr>
          <w:rFonts w:ascii="Calibri" w:hAnsi="Calibri" w:cs="Calibri"/>
          <w:sz w:val="24"/>
          <w:szCs w:val="24"/>
        </w:rPr>
        <w:t>er</w:t>
      </w:r>
      <w:r w:rsidRPr="003A2729">
        <w:rPr>
          <w:rFonts w:ascii="Calibri" w:hAnsi="Calibri" w:cs="Calibri"/>
          <w:sz w:val="24"/>
          <w:szCs w:val="24"/>
        </w:rPr>
        <w:t>.</w:t>
      </w:r>
      <w:r w:rsidR="00FA1F9F" w:rsidRPr="003A2729">
        <w:rPr>
          <w:rFonts w:ascii="Calibri" w:hAnsi="Calibri" w:cs="Calibri"/>
          <w:sz w:val="24"/>
          <w:szCs w:val="24"/>
        </w:rPr>
        <w:t xml:space="preserve"> PCR a</w:t>
      </w:r>
      <w:r w:rsidRPr="003A2729">
        <w:rPr>
          <w:rFonts w:ascii="Calibri" w:hAnsi="Calibri" w:cs="Calibri"/>
          <w:sz w:val="24"/>
          <w:szCs w:val="24"/>
        </w:rPr>
        <w:t>nnealing temperature</w:t>
      </w:r>
      <w:r w:rsidR="00FA1F9F" w:rsidRPr="003A2729">
        <w:rPr>
          <w:rFonts w:ascii="Calibri" w:hAnsi="Calibri" w:cs="Calibri"/>
          <w:sz w:val="24"/>
          <w:szCs w:val="24"/>
        </w:rPr>
        <w:t>s</w:t>
      </w:r>
      <w:r w:rsidRPr="003A2729">
        <w:rPr>
          <w:rFonts w:ascii="Calibri" w:hAnsi="Calibri" w:cs="Calibri"/>
          <w:sz w:val="24"/>
          <w:szCs w:val="24"/>
        </w:rPr>
        <w:t xml:space="preserve"> </w:t>
      </w:r>
      <w:r w:rsidR="00FA1F9F" w:rsidRPr="003A2729">
        <w:rPr>
          <w:rFonts w:ascii="Calibri" w:hAnsi="Calibri" w:cs="Calibri"/>
          <w:sz w:val="24"/>
          <w:szCs w:val="24"/>
        </w:rPr>
        <w:t>and</w:t>
      </w:r>
      <w:r w:rsidRPr="003A2729">
        <w:rPr>
          <w:rFonts w:ascii="Calibri" w:hAnsi="Calibri" w:cs="Calibri"/>
          <w:sz w:val="24"/>
          <w:szCs w:val="24"/>
        </w:rPr>
        <w:t xml:space="preserve"> primer concentration</w:t>
      </w:r>
      <w:r w:rsidR="00FA1F9F" w:rsidRPr="003A2729">
        <w:rPr>
          <w:rFonts w:ascii="Calibri" w:hAnsi="Calibri" w:cs="Calibri"/>
          <w:sz w:val="24"/>
          <w:szCs w:val="24"/>
        </w:rPr>
        <w:t>s should also be</w:t>
      </w:r>
      <w:r w:rsidRPr="003A2729">
        <w:rPr>
          <w:rFonts w:ascii="Calibri" w:hAnsi="Calibri" w:cs="Calibri"/>
          <w:sz w:val="24"/>
          <w:szCs w:val="24"/>
        </w:rPr>
        <w:t xml:space="preserve"> optimized</w:t>
      </w:r>
      <w:r w:rsidR="00FA1F9F" w:rsidRPr="003A2729">
        <w:rPr>
          <w:rFonts w:ascii="Calibri" w:hAnsi="Calibri" w:cs="Calibri"/>
          <w:sz w:val="24"/>
          <w:szCs w:val="24"/>
        </w:rPr>
        <w:t xml:space="preserve"> for </w:t>
      </w:r>
      <w:r w:rsidR="003919E1" w:rsidRPr="003A2729">
        <w:rPr>
          <w:rFonts w:ascii="Calibri" w:hAnsi="Calibri" w:cs="Calibri"/>
          <w:sz w:val="24"/>
          <w:szCs w:val="24"/>
        </w:rPr>
        <w:t xml:space="preserve">the </w:t>
      </w:r>
      <w:r w:rsidR="00FA1F9F" w:rsidRPr="003A2729">
        <w:rPr>
          <w:rFonts w:ascii="Calibri" w:hAnsi="Calibri" w:cs="Calibri"/>
          <w:sz w:val="24"/>
          <w:szCs w:val="24"/>
        </w:rPr>
        <w:t>primer pairs</w:t>
      </w:r>
      <w:r w:rsidR="003919E1" w:rsidRPr="003A2729">
        <w:rPr>
          <w:rFonts w:ascii="Calibri" w:hAnsi="Calibri" w:cs="Calibri"/>
          <w:sz w:val="24"/>
          <w:szCs w:val="24"/>
        </w:rPr>
        <w:t xml:space="preserve"> used</w:t>
      </w:r>
      <w:r w:rsidR="00FA1F9F" w:rsidRPr="003A2729">
        <w:rPr>
          <w:rFonts w:ascii="Calibri" w:hAnsi="Calibri" w:cs="Calibri"/>
          <w:sz w:val="24"/>
          <w:szCs w:val="24"/>
        </w:rPr>
        <w:t xml:space="preserve">, and </w:t>
      </w:r>
      <w:r w:rsidR="00E47E06" w:rsidRPr="003A2729">
        <w:rPr>
          <w:rFonts w:ascii="Calibri" w:hAnsi="Calibri" w:cs="Calibri"/>
          <w:sz w:val="24"/>
          <w:szCs w:val="24"/>
        </w:rPr>
        <w:t xml:space="preserve">the PCR cycle number should be </w:t>
      </w:r>
      <w:r w:rsidRPr="003A2729">
        <w:rPr>
          <w:rFonts w:ascii="Calibri" w:hAnsi="Calibri" w:cs="Calibri"/>
          <w:sz w:val="24"/>
          <w:szCs w:val="24"/>
        </w:rPr>
        <w:t>increased</w:t>
      </w:r>
      <w:r w:rsidR="00FA1F9F" w:rsidRPr="003A2729">
        <w:rPr>
          <w:rFonts w:ascii="Calibri" w:hAnsi="Calibri" w:cs="Calibri"/>
          <w:sz w:val="24"/>
          <w:szCs w:val="24"/>
        </w:rPr>
        <w:t xml:space="preserve"> as necessary.</w:t>
      </w:r>
    </w:p>
    <w:p w14:paraId="18EB6487" w14:textId="77777777" w:rsidR="00D6735C" w:rsidRPr="003A2729" w:rsidRDefault="00D6735C" w:rsidP="00862571">
      <w:pPr>
        <w:contextualSpacing/>
        <w:rPr>
          <w:b/>
        </w:rPr>
      </w:pPr>
    </w:p>
    <w:p w14:paraId="26BB818A" w14:textId="7764A9A3" w:rsidR="00AD42E8"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Library </w:t>
      </w:r>
      <w:r w:rsidR="00862571" w:rsidRPr="003A2729">
        <w:rPr>
          <w:rFonts w:ascii="Calibri" w:hAnsi="Calibri" w:cs="Calibri"/>
          <w:b/>
          <w:sz w:val="24"/>
          <w:szCs w:val="24"/>
        </w:rPr>
        <w:t>p</w:t>
      </w:r>
      <w:r w:rsidRPr="003A2729">
        <w:rPr>
          <w:rFonts w:ascii="Calibri" w:hAnsi="Calibri" w:cs="Calibri"/>
          <w:b/>
          <w:sz w:val="24"/>
          <w:szCs w:val="24"/>
        </w:rPr>
        <w:t xml:space="preserve">reparation for </w:t>
      </w:r>
      <w:r w:rsidR="00862571" w:rsidRPr="003A2729">
        <w:rPr>
          <w:rFonts w:ascii="Calibri" w:hAnsi="Calibri" w:cs="Calibri"/>
          <w:b/>
          <w:sz w:val="24"/>
          <w:szCs w:val="24"/>
        </w:rPr>
        <w:t>l</w:t>
      </w:r>
      <w:r w:rsidRPr="003A2729">
        <w:rPr>
          <w:rFonts w:ascii="Calibri" w:hAnsi="Calibri" w:cs="Calibri"/>
          <w:b/>
          <w:sz w:val="24"/>
          <w:szCs w:val="24"/>
        </w:rPr>
        <w:t>ong-</w:t>
      </w:r>
      <w:r w:rsidR="00862571" w:rsidRPr="003A2729">
        <w:rPr>
          <w:rFonts w:ascii="Calibri" w:hAnsi="Calibri" w:cs="Calibri"/>
          <w:b/>
          <w:sz w:val="24"/>
          <w:szCs w:val="24"/>
        </w:rPr>
        <w:t>r</w:t>
      </w:r>
      <w:r w:rsidRPr="003A2729">
        <w:rPr>
          <w:rFonts w:ascii="Calibri" w:hAnsi="Calibri" w:cs="Calibri"/>
          <w:b/>
          <w:sz w:val="24"/>
          <w:szCs w:val="24"/>
        </w:rPr>
        <w:t xml:space="preserve">ead </w:t>
      </w:r>
      <w:r w:rsidR="00862571" w:rsidRPr="003A2729">
        <w:rPr>
          <w:rFonts w:ascii="Calibri" w:hAnsi="Calibri" w:cs="Calibri"/>
          <w:b/>
          <w:sz w:val="24"/>
          <w:szCs w:val="24"/>
        </w:rPr>
        <w:t>s</w:t>
      </w:r>
      <w:r w:rsidRPr="003A2729">
        <w:rPr>
          <w:rFonts w:ascii="Calibri" w:hAnsi="Calibri" w:cs="Calibri"/>
          <w:b/>
          <w:sz w:val="24"/>
          <w:szCs w:val="24"/>
        </w:rPr>
        <w:t>equencing</w:t>
      </w:r>
      <w:r w:rsidR="000173CE" w:rsidRPr="003A2729">
        <w:rPr>
          <w:rFonts w:ascii="Calibri" w:hAnsi="Calibri" w:cs="Calibri"/>
          <w:b/>
          <w:sz w:val="24"/>
          <w:szCs w:val="24"/>
        </w:rPr>
        <w:t xml:space="preserve"> </w:t>
      </w:r>
    </w:p>
    <w:p w14:paraId="16C0554C" w14:textId="77777777" w:rsidR="00FD0F6D" w:rsidRPr="003A2729" w:rsidRDefault="00FD0F6D" w:rsidP="00862571">
      <w:pPr>
        <w:contextualSpacing/>
        <w:rPr>
          <w:b/>
        </w:rPr>
      </w:pPr>
    </w:p>
    <w:p w14:paraId="02654BBA" w14:textId="053933B9"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End-</w:t>
      </w:r>
      <w:r w:rsidR="00862571" w:rsidRPr="003A2729">
        <w:rPr>
          <w:rFonts w:ascii="Calibri" w:hAnsi="Calibri" w:cs="Calibri"/>
          <w:bCs/>
          <w:sz w:val="24"/>
          <w:szCs w:val="24"/>
        </w:rPr>
        <w:t>r</w:t>
      </w:r>
      <w:r w:rsidRPr="003A2729">
        <w:rPr>
          <w:rFonts w:ascii="Calibri" w:hAnsi="Calibri" w:cs="Calibri"/>
          <w:bCs/>
          <w:sz w:val="24"/>
          <w:szCs w:val="24"/>
        </w:rPr>
        <w:t xml:space="preserve">epair and </w:t>
      </w:r>
      <w:proofErr w:type="spellStart"/>
      <w:r w:rsidRPr="003A2729">
        <w:rPr>
          <w:rFonts w:ascii="Calibri" w:hAnsi="Calibri" w:cs="Calibri"/>
          <w:bCs/>
          <w:sz w:val="24"/>
          <w:szCs w:val="24"/>
        </w:rPr>
        <w:t>dA</w:t>
      </w:r>
      <w:proofErr w:type="spellEnd"/>
      <w:r w:rsidRPr="003A2729">
        <w:rPr>
          <w:rFonts w:ascii="Calibri" w:hAnsi="Calibri" w:cs="Calibri"/>
          <w:bCs/>
          <w:sz w:val="24"/>
          <w:szCs w:val="24"/>
        </w:rPr>
        <w:t>-</w:t>
      </w:r>
      <w:r w:rsidR="00862571" w:rsidRPr="003A2729">
        <w:rPr>
          <w:rFonts w:ascii="Calibri" w:hAnsi="Calibri" w:cs="Calibri"/>
          <w:bCs/>
          <w:sz w:val="24"/>
          <w:szCs w:val="24"/>
        </w:rPr>
        <w:t>t</w:t>
      </w:r>
      <w:r w:rsidRPr="003A2729">
        <w:rPr>
          <w:rFonts w:ascii="Calibri" w:hAnsi="Calibri" w:cs="Calibri"/>
          <w:bCs/>
          <w:sz w:val="24"/>
          <w:szCs w:val="24"/>
        </w:rPr>
        <w:t>ailing</w:t>
      </w:r>
    </w:p>
    <w:p w14:paraId="1BC5A11F" w14:textId="77777777" w:rsidR="00FD0F6D" w:rsidRPr="003A2729" w:rsidRDefault="00FD0F6D" w:rsidP="00862571">
      <w:pPr>
        <w:contextualSpacing/>
        <w:rPr>
          <w:bCs/>
        </w:rPr>
      </w:pPr>
    </w:p>
    <w:p w14:paraId="0316C1B7" w14:textId="4AB904F6"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Thaw all reagents and mix thoroughly by vortex. Dilute the DNA control sample with 10</w:t>
      </w:r>
      <w:r w:rsidR="00E84776" w:rsidRPr="003A2729">
        <w:rPr>
          <w:rFonts w:ascii="Calibri" w:hAnsi="Calibri" w:cs="Calibri"/>
          <w:bCs/>
          <w:sz w:val="24"/>
          <w:szCs w:val="24"/>
        </w:rPr>
        <w:t>.5</w:t>
      </w:r>
      <w:r w:rsidRPr="003A2729">
        <w:rPr>
          <w:rFonts w:ascii="Calibri" w:hAnsi="Calibri" w:cs="Calibri"/>
          <w:bCs/>
          <w:sz w:val="24"/>
          <w:szCs w:val="24"/>
        </w:rPr>
        <w:t xml:space="preserve"> µL of elution buffer during </w:t>
      </w:r>
      <w:r w:rsidR="003C574E" w:rsidRPr="003A2729">
        <w:rPr>
          <w:rFonts w:ascii="Calibri" w:hAnsi="Calibri" w:cs="Calibri"/>
          <w:bCs/>
          <w:sz w:val="24"/>
          <w:szCs w:val="24"/>
        </w:rPr>
        <w:t xml:space="preserve">the </w:t>
      </w:r>
      <w:r w:rsidRPr="003A2729">
        <w:rPr>
          <w:rFonts w:ascii="Calibri" w:hAnsi="Calibri" w:cs="Calibri"/>
          <w:bCs/>
          <w:sz w:val="24"/>
          <w:szCs w:val="24"/>
        </w:rPr>
        <w:t xml:space="preserve">first use only and keep </w:t>
      </w:r>
      <w:r w:rsidR="003C574E" w:rsidRPr="003A2729">
        <w:rPr>
          <w:rFonts w:ascii="Calibri" w:hAnsi="Calibri" w:cs="Calibri"/>
          <w:bCs/>
          <w:sz w:val="24"/>
          <w:szCs w:val="24"/>
        </w:rPr>
        <w:t xml:space="preserve">it </w:t>
      </w:r>
      <w:r w:rsidRPr="003A2729">
        <w:rPr>
          <w:rFonts w:ascii="Calibri" w:hAnsi="Calibri" w:cs="Calibri"/>
          <w:bCs/>
          <w:sz w:val="24"/>
          <w:szCs w:val="24"/>
        </w:rPr>
        <w:t>on ice.</w:t>
      </w:r>
    </w:p>
    <w:p w14:paraId="5272D050" w14:textId="77777777" w:rsidR="00FD0F6D" w:rsidRPr="003A2729" w:rsidRDefault="00FD0F6D" w:rsidP="00862571">
      <w:pPr>
        <w:contextualSpacing/>
        <w:jc w:val="left"/>
        <w:rPr>
          <w:b/>
          <w:bCs/>
        </w:rPr>
      </w:pPr>
    </w:p>
    <w:p w14:paraId="58191C8B" w14:textId="7989A618" w:rsidR="00FD0F6D" w:rsidRPr="003A2729" w:rsidRDefault="00FD0F6D" w:rsidP="00862571">
      <w:pPr>
        <w:contextualSpacing/>
        <w:jc w:val="left"/>
        <w:rPr>
          <w:b/>
          <w:bCs/>
        </w:rPr>
      </w:pPr>
      <w:r w:rsidRPr="003A2729">
        <w:t xml:space="preserve">NOTE: </w:t>
      </w:r>
      <w:r w:rsidR="00AD42E8" w:rsidRPr="003A2729">
        <w:t xml:space="preserve">Always vortex </w:t>
      </w:r>
      <w:r w:rsidR="00B075A7" w:rsidRPr="003A2729">
        <w:t>magnetic</w:t>
      </w:r>
      <w:r w:rsidR="00AD42E8" w:rsidRPr="003A2729">
        <w:t xml:space="preserve"> beads thoroughly</w:t>
      </w:r>
      <w:r w:rsidR="0079715B">
        <w:t xml:space="preserve"> </w:t>
      </w:r>
      <w:r w:rsidR="0079715B" w:rsidRPr="00D50561">
        <w:t>before</w:t>
      </w:r>
      <w:r w:rsidR="00BF6466" w:rsidRPr="00D50561">
        <w:t xml:space="preserve"> each</w:t>
      </w:r>
      <w:r w:rsidR="0079715B" w:rsidRPr="00D50561">
        <w:t xml:space="preserve"> use.</w:t>
      </w:r>
      <w:r w:rsidR="0079715B" w:rsidRPr="005C57BC">
        <w:t xml:space="preserve"> </w:t>
      </w:r>
      <w:r w:rsidR="00AD42E8" w:rsidRPr="005C57BC">
        <w:br/>
      </w:r>
    </w:p>
    <w:p w14:paraId="1B12443B" w14:textId="22682BBC" w:rsidR="00AD42E8" w:rsidRPr="003A2729" w:rsidRDefault="00FD0F6D" w:rsidP="00862571">
      <w:pPr>
        <w:contextualSpacing/>
        <w:jc w:val="left"/>
      </w:pPr>
      <w:r w:rsidRPr="003A2729">
        <w:t xml:space="preserve">CAUTION: </w:t>
      </w:r>
      <w:r w:rsidR="00AD42E8" w:rsidRPr="003A2729">
        <w:t xml:space="preserve">Do not vortex the End-Prep </w:t>
      </w:r>
      <w:r w:rsidR="003C574E" w:rsidRPr="003A2729">
        <w:t>E</w:t>
      </w:r>
      <w:r w:rsidR="00AD42E8" w:rsidRPr="003A2729">
        <w:t xml:space="preserve">nzyme </w:t>
      </w:r>
      <w:r w:rsidR="003C574E" w:rsidRPr="003A2729">
        <w:t>M</w:t>
      </w:r>
      <w:r w:rsidR="00AD42E8" w:rsidRPr="003A2729">
        <w:t>ix; mix gently by pipetting.</w:t>
      </w:r>
    </w:p>
    <w:p w14:paraId="2025DB8C" w14:textId="77777777" w:rsidR="00FD0F6D" w:rsidRPr="003A2729" w:rsidRDefault="00FD0F6D" w:rsidP="00862571">
      <w:pPr>
        <w:contextualSpacing/>
        <w:rPr>
          <w:bCs/>
        </w:rPr>
      </w:pPr>
    </w:p>
    <w:p w14:paraId="26D03F22" w14:textId="1178A444"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Pipette 200 </w:t>
      </w:r>
      <w:proofErr w:type="spellStart"/>
      <w:r w:rsidRPr="003A2729">
        <w:rPr>
          <w:rFonts w:ascii="Calibri" w:hAnsi="Calibri" w:cs="Calibri"/>
          <w:bCs/>
          <w:sz w:val="24"/>
          <w:szCs w:val="24"/>
        </w:rPr>
        <w:t>fmol</w:t>
      </w:r>
      <w:proofErr w:type="spellEnd"/>
      <w:r w:rsidRPr="003A2729">
        <w:rPr>
          <w:rFonts w:ascii="Calibri" w:hAnsi="Calibri" w:cs="Calibri"/>
          <w:bCs/>
          <w:sz w:val="24"/>
          <w:szCs w:val="24"/>
        </w:rPr>
        <w:t xml:space="preserve"> (~130 ng for a 1 kb fragment) of each DNA sample into 0.2 mL PCR tubes and adjust volume to 11.5 µL with nuclease-free water.</w:t>
      </w:r>
    </w:p>
    <w:p w14:paraId="6F302581" w14:textId="77777777" w:rsidR="00FD0F6D" w:rsidRPr="003A2729" w:rsidRDefault="00FD0F6D" w:rsidP="00862571">
      <w:pPr>
        <w:contextualSpacing/>
        <w:rPr>
          <w:bCs/>
        </w:rPr>
      </w:pPr>
    </w:p>
    <w:p w14:paraId="1E12B3ED" w14:textId="39698466"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Add 1 µL of diluted DNA control sample per tube and mix by pipetting 10–20 times.</w:t>
      </w:r>
    </w:p>
    <w:p w14:paraId="12A3BDCF" w14:textId="77777777" w:rsidR="00FD0F6D" w:rsidRPr="003A2729" w:rsidRDefault="00FD0F6D" w:rsidP="00862571">
      <w:pPr>
        <w:contextualSpacing/>
        <w:rPr>
          <w:bCs/>
        </w:rPr>
      </w:pPr>
    </w:p>
    <w:p w14:paraId="4E8D43E5" w14:textId="21AA04F6"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Prepare an end-prep master mix per sample containing 1.75 µL Reaction Buffer and 0.75 µL Enzyme Mix (including 5% excess).</w:t>
      </w:r>
    </w:p>
    <w:p w14:paraId="1306B1D2" w14:textId="77777777" w:rsidR="00FD0F6D" w:rsidRPr="003A2729" w:rsidRDefault="00FD0F6D" w:rsidP="00862571">
      <w:pPr>
        <w:contextualSpacing/>
        <w:rPr>
          <w:bCs/>
        </w:rPr>
      </w:pPr>
    </w:p>
    <w:p w14:paraId="1C7275E5" w14:textId="7740F60C"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lastRenderedPageBreak/>
        <w:t>Add 2.5 µL of master mix to each sample, mix gently and spin down briefly.</w:t>
      </w:r>
    </w:p>
    <w:p w14:paraId="2915BE5B" w14:textId="77777777" w:rsidR="00FD0F6D" w:rsidRPr="003A2729" w:rsidRDefault="00FD0F6D" w:rsidP="00862571">
      <w:pPr>
        <w:contextualSpacing/>
        <w:rPr>
          <w:bCs/>
        </w:rPr>
      </w:pPr>
    </w:p>
    <w:p w14:paraId="19258ADF" w14:textId="26B77DC6"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Incubate in a thermal cycler at 20 °C for 5 min followed by 65 °C for 5 min.</w:t>
      </w:r>
    </w:p>
    <w:p w14:paraId="0A9A033F" w14:textId="77777777" w:rsidR="00FD0F6D" w:rsidRPr="003A2729" w:rsidRDefault="00FD0F6D" w:rsidP="00862571">
      <w:pPr>
        <w:contextualSpacing/>
        <w:rPr>
          <w:b/>
        </w:rPr>
      </w:pPr>
    </w:p>
    <w:p w14:paraId="504D44FC" w14:textId="77432BF7"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Purification of </w:t>
      </w:r>
      <w:r w:rsidR="00862571" w:rsidRPr="003A2729">
        <w:rPr>
          <w:rFonts w:ascii="Calibri" w:hAnsi="Calibri" w:cs="Calibri"/>
          <w:bCs/>
          <w:sz w:val="24"/>
          <w:szCs w:val="24"/>
        </w:rPr>
        <w:t>e</w:t>
      </w:r>
      <w:r w:rsidRPr="003A2729">
        <w:rPr>
          <w:rFonts w:ascii="Calibri" w:hAnsi="Calibri" w:cs="Calibri"/>
          <w:bCs/>
          <w:sz w:val="24"/>
          <w:szCs w:val="24"/>
        </w:rPr>
        <w:t>nd-</w:t>
      </w:r>
      <w:r w:rsidR="00862571" w:rsidRPr="003A2729">
        <w:rPr>
          <w:rFonts w:ascii="Calibri" w:hAnsi="Calibri" w:cs="Calibri"/>
          <w:bCs/>
          <w:sz w:val="24"/>
          <w:szCs w:val="24"/>
        </w:rPr>
        <w:t>p</w:t>
      </w:r>
      <w:r w:rsidRPr="003A2729">
        <w:rPr>
          <w:rFonts w:ascii="Calibri" w:hAnsi="Calibri" w:cs="Calibri"/>
          <w:bCs/>
          <w:sz w:val="24"/>
          <w:szCs w:val="24"/>
        </w:rPr>
        <w:t>repared DNA</w:t>
      </w:r>
    </w:p>
    <w:p w14:paraId="48ACC616" w14:textId="77777777" w:rsidR="00FD0F6D" w:rsidRPr="003A2729" w:rsidRDefault="00FD0F6D" w:rsidP="00862571">
      <w:pPr>
        <w:contextualSpacing/>
        <w:rPr>
          <w:bCs/>
        </w:rPr>
      </w:pPr>
    </w:p>
    <w:p w14:paraId="3F5C4553" w14:textId="5547CA87"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Transfer the 15 µL reaction into a 1.5 mL </w:t>
      </w:r>
      <w:r w:rsidR="001E5006" w:rsidRPr="003A2729">
        <w:rPr>
          <w:rFonts w:ascii="Calibri" w:hAnsi="Calibri" w:cs="Calibri"/>
          <w:bCs/>
          <w:sz w:val="24"/>
          <w:szCs w:val="24"/>
          <w:lang w:val="en-GB"/>
        </w:rPr>
        <w:t>low DNA-binding microcentrifuge tube.</w:t>
      </w:r>
    </w:p>
    <w:p w14:paraId="355A134C" w14:textId="77777777" w:rsidR="00FD0F6D" w:rsidRPr="003A2729" w:rsidRDefault="00FD0F6D" w:rsidP="00862571">
      <w:pPr>
        <w:contextualSpacing/>
        <w:rPr>
          <w:bCs/>
        </w:rPr>
      </w:pPr>
    </w:p>
    <w:p w14:paraId="51DC4975" w14:textId="122C107D"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Add 15 µL resuspended </w:t>
      </w:r>
      <w:r w:rsidR="00B075A7" w:rsidRPr="003A2729">
        <w:rPr>
          <w:rFonts w:ascii="Calibri" w:hAnsi="Calibri" w:cs="Calibri"/>
          <w:sz w:val="24"/>
          <w:szCs w:val="24"/>
        </w:rPr>
        <w:t xml:space="preserve">magnetic </w:t>
      </w:r>
      <w:r w:rsidRPr="003A2729">
        <w:rPr>
          <w:rFonts w:ascii="Calibri" w:hAnsi="Calibri" w:cs="Calibri"/>
          <w:bCs/>
          <w:sz w:val="24"/>
          <w:szCs w:val="24"/>
        </w:rPr>
        <w:t>beads, mix gently and spin briefly.</w:t>
      </w:r>
    </w:p>
    <w:p w14:paraId="5E9D7B85" w14:textId="77777777" w:rsidR="00FD0F6D" w:rsidRPr="003A2729" w:rsidRDefault="00FD0F6D" w:rsidP="00862571">
      <w:pPr>
        <w:contextualSpacing/>
        <w:rPr>
          <w:bCs/>
        </w:rPr>
      </w:pPr>
    </w:p>
    <w:p w14:paraId="0AFAF236" w14:textId="535CC48B"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Incubate sa</w:t>
      </w:r>
      <w:r w:rsidR="002F4D48" w:rsidRPr="003A2729">
        <w:rPr>
          <w:rFonts w:ascii="Calibri" w:hAnsi="Calibri" w:cs="Calibri"/>
          <w:bCs/>
          <w:sz w:val="24"/>
          <w:szCs w:val="24"/>
        </w:rPr>
        <w:t xml:space="preserve">mples on </w:t>
      </w:r>
      <w:r w:rsidR="00090FE1" w:rsidRPr="003A2729">
        <w:rPr>
          <w:rFonts w:ascii="Calibri" w:hAnsi="Calibri" w:cs="Calibri"/>
          <w:sz w:val="24"/>
          <w:szCs w:val="24"/>
          <w:lang w:val="en-GB"/>
        </w:rPr>
        <w:t xml:space="preserve">a rotator mixer </w:t>
      </w:r>
      <w:r w:rsidRPr="003A2729">
        <w:rPr>
          <w:rFonts w:ascii="Calibri" w:hAnsi="Calibri" w:cs="Calibri"/>
          <w:bCs/>
          <w:sz w:val="24"/>
          <w:szCs w:val="24"/>
        </w:rPr>
        <w:t>for 5 min at room temperature.</w:t>
      </w:r>
    </w:p>
    <w:p w14:paraId="72938AFA" w14:textId="77777777" w:rsidR="008C72E4" w:rsidRPr="003A2729" w:rsidRDefault="008C72E4" w:rsidP="00862571">
      <w:pPr>
        <w:contextualSpacing/>
        <w:rPr>
          <w:bCs/>
        </w:rPr>
      </w:pPr>
    </w:p>
    <w:p w14:paraId="582AB9E3" w14:textId="3F39B251"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Prepare fresh 80% ethanol for washing.</w:t>
      </w:r>
    </w:p>
    <w:p w14:paraId="52E73275" w14:textId="77777777" w:rsidR="00FD0F6D" w:rsidRPr="003A2729" w:rsidRDefault="00FD0F6D" w:rsidP="00862571">
      <w:pPr>
        <w:contextualSpacing/>
        <w:rPr>
          <w:bCs/>
        </w:rPr>
      </w:pPr>
    </w:p>
    <w:p w14:paraId="7A2A231C" w14:textId="28D56F27"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Place tubes on a magnetic rack until </w:t>
      </w:r>
      <w:r w:rsidR="003C574E" w:rsidRPr="003A2729">
        <w:rPr>
          <w:rFonts w:ascii="Calibri" w:hAnsi="Calibri" w:cs="Calibri"/>
          <w:bCs/>
          <w:sz w:val="24"/>
          <w:szCs w:val="24"/>
        </w:rPr>
        <w:t xml:space="preserve">the beads pellet and remove the </w:t>
      </w:r>
      <w:r w:rsidRPr="003A2729">
        <w:rPr>
          <w:rFonts w:ascii="Calibri" w:hAnsi="Calibri" w:cs="Calibri"/>
          <w:bCs/>
          <w:sz w:val="24"/>
          <w:szCs w:val="24"/>
        </w:rPr>
        <w:t>supernatant carefully.</w:t>
      </w:r>
    </w:p>
    <w:p w14:paraId="0DB9A116" w14:textId="77777777" w:rsidR="00FD0F6D" w:rsidRPr="003A2729" w:rsidRDefault="00FD0F6D" w:rsidP="00862571">
      <w:pPr>
        <w:contextualSpacing/>
        <w:rPr>
          <w:bCs/>
        </w:rPr>
      </w:pPr>
    </w:p>
    <w:p w14:paraId="3D91EDB8" w14:textId="0048A013"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Wash beads twice with 200 µL of 80% ethanol.</w:t>
      </w:r>
    </w:p>
    <w:p w14:paraId="28DC6619" w14:textId="77777777" w:rsidR="0033351F" w:rsidRPr="003A2729" w:rsidRDefault="0033351F" w:rsidP="00862571">
      <w:pPr>
        <w:contextualSpacing/>
        <w:rPr>
          <w:bCs/>
        </w:rPr>
      </w:pPr>
    </w:p>
    <w:p w14:paraId="63B8CDC7" w14:textId="66E2CD4B" w:rsidR="0033351F" w:rsidRPr="003A2729" w:rsidRDefault="0033351F" w:rsidP="00862571">
      <w:pPr>
        <w:contextualSpacing/>
      </w:pPr>
      <w:r w:rsidRPr="003A2729">
        <w:t>N</w:t>
      </w:r>
      <w:r w:rsidR="00DC2F5F" w:rsidRPr="003A2729">
        <w:t>OTE</w:t>
      </w:r>
      <w:r w:rsidRPr="003A2729">
        <w:t xml:space="preserve">: Allow </w:t>
      </w:r>
      <w:r w:rsidR="003C574E" w:rsidRPr="003A2729">
        <w:t xml:space="preserve">the beads to fully pellet, then carefully remove the </w:t>
      </w:r>
      <w:r w:rsidRPr="003A2729">
        <w:t xml:space="preserve">ethanol. </w:t>
      </w:r>
    </w:p>
    <w:p w14:paraId="06F520C2" w14:textId="77777777" w:rsidR="00FD0F6D" w:rsidRPr="003A2729" w:rsidRDefault="00FD0F6D" w:rsidP="00862571">
      <w:pPr>
        <w:contextualSpacing/>
        <w:rPr>
          <w:bCs/>
        </w:rPr>
      </w:pPr>
    </w:p>
    <w:p w14:paraId="6285E6B2" w14:textId="6B29837F" w:rsidR="0033351F"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Air-dry beads for ~30 s</w:t>
      </w:r>
      <w:r w:rsidR="0033351F" w:rsidRPr="003A2729">
        <w:rPr>
          <w:rFonts w:ascii="Calibri" w:hAnsi="Calibri" w:cs="Calibri"/>
          <w:bCs/>
          <w:sz w:val="24"/>
          <w:szCs w:val="24"/>
        </w:rPr>
        <w:t>; avoid over-drying to prevent cracking.</w:t>
      </w:r>
    </w:p>
    <w:p w14:paraId="29A570F7" w14:textId="77777777" w:rsidR="00FD0F6D" w:rsidRPr="003A2729" w:rsidRDefault="00FD0F6D" w:rsidP="00862571">
      <w:pPr>
        <w:contextualSpacing/>
        <w:rPr>
          <w:bCs/>
        </w:rPr>
      </w:pPr>
    </w:p>
    <w:p w14:paraId="614786C7" w14:textId="63155CD1"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Resuspend beads in 10 µL nuclease-free water and incubate for 2 min at room temperature.</w:t>
      </w:r>
    </w:p>
    <w:p w14:paraId="1267A4EB" w14:textId="77777777" w:rsidR="00FD0F6D" w:rsidRPr="003A2729" w:rsidRDefault="00FD0F6D" w:rsidP="00862571">
      <w:pPr>
        <w:contextualSpacing/>
        <w:rPr>
          <w:bCs/>
        </w:rPr>
      </w:pPr>
    </w:p>
    <w:p w14:paraId="100A6021" w14:textId="4C82F871"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Place tubes on a magnetic rack and transfer 10 µL eluate to a clean </w:t>
      </w:r>
      <w:r w:rsidR="001E5006" w:rsidRPr="003A2729">
        <w:rPr>
          <w:rFonts w:ascii="Calibri" w:hAnsi="Calibri" w:cs="Calibri"/>
          <w:bCs/>
          <w:sz w:val="24"/>
          <w:szCs w:val="24"/>
          <w:lang w:val="en-GB"/>
        </w:rPr>
        <w:t>low DNA-binding microcentrifuge tube</w:t>
      </w:r>
      <w:r w:rsidRPr="003A2729">
        <w:rPr>
          <w:rFonts w:ascii="Calibri" w:hAnsi="Calibri" w:cs="Calibri"/>
          <w:bCs/>
          <w:sz w:val="24"/>
          <w:szCs w:val="24"/>
        </w:rPr>
        <w:t>.</w:t>
      </w:r>
    </w:p>
    <w:p w14:paraId="63344696" w14:textId="77777777" w:rsidR="00FD0F6D" w:rsidRPr="003A2729" w:rsidRDefault="00FD0F6D" w:rsidP="00862571">
      <w:pPr>
        <w:contextualSpacing/>
        <w:rPr>
          <w:bCs/>
        </w:rPr>
      </w:pPr>
    </w:p>
    <w:p w14:paraId="71DF82D2" w14:textId="556B8FB9"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Measure DNA concentration using 1 µL on </w:t>
      </w:r>
      <w:r w:rsidR="009B419B" w:rsidRPr="003A2729">
        <w:rPr>
          <w:rFonts w:ascii="Calibri" w:hAnsi="Calibri" w:cs="Calibri"/>
          <w:bCs/>
          <w:sz w:val="24"/>
          <w:szCs w:val="24"/>
        </w:rPr>
        <w:t xml:space="preserve">a </w:t>
      </w:r>
      <w:r w:rsidRPr="003A2729">
        <w:rPr>
          <w:rFonts w:ascii="Calibri" w:hAnsi="Calibri" w:cs="Calibri"/>
          <w:bCs/>
          <w:sz w:val="24"/>
          <w:szCs w:val="24"/>
        </w:rPr>
        <w:t>spectrophotometer.</w:t>
      </w:r>
    </w:p>
    <w:p w14:paraId="51E9223E" w14:textId="77777777" w:rsidR="00FD0F6D" w:rsidRPr="003A2729" w:rsidRDefault="00FD0F6D" w:rsidP="00862571">
      <w:pPr>
        <w:contextualSpacing/>
        <w:rPr>
          <w:b/>
        </w:rPr>
      </w:pPr>
    </w:p>
    <w:p w14:paraId="26AA9E90" w14:textId="252AE34A" w:rsidR="00AD42E8" w:rsidRPr="003A2729" w:rsidRDefault="00AD42E8" w:rsidP="00862571">
      <w:pPr>
        <w:pStyle w:val="ListParagraph"/>
        <w:numPr>
          <w:ilvl w:val="1"/>
          <w:numId w:val="45"/>
        </w:numPr>
        <w:spacing w:after="0" w:line="240" w:lineRule="auto"/>
        <w:ind w:left="0" w:firstLine="0"/>
        <w:rPr>
          <w:rFonts w:ascii="Calibri" w:hAnsi="Calibri" w:cs="Calibri"/>
          <w:b/>
          <w:sz w:val="24"/>
          <w:szCs w:val="24"/>
        </w:rPr>
      </w:pPr>
      <w:r w:rsidRPr="003A2729">
        <w:rPr>
          <w:rFonts w:ascii="Calibri" w:hAnsi="Calibri" w:cs="Calibri"/>
          <w:bCs/>
          <w:sz w:val="24"/>
          <w:szCs w:val="24"/>
        </w:rPr>
        <w:t xml:space="preserve">Native </w:t>
      </w:r>
      <w:r w:rsidR="00862571" w:rsidRPr="003A2729">
        <w:rPr>
          <w:rFonts w:ascii="Calibri" w:hAnsi="Calibri" w:cs="Calibri"/>
          <w:bCs/>
          <w:sz w:val="24"/>
          <w:szCs w:val="24"/>
        </w:rPr>
        <w:t>b</w:t>
      </w:r>
      <w:r w:rsidRPr="003A2729">
        <w:rPr>
          <w:rFonts w:ascii="Calibri" w:hAnsi="Calibri" w:cs="Calibri"/>
          <w:bCs/>
          <w:sz w:val="24"/>
          <w:szCs w:val="24"/>
        </w:rPr>
        <w:t>arcoding</w:t>
      </w:r>
      <w:r w:rsidR="00B6715E">
        <w:rPr>
          <w:rFonts w:ascii="Calibri" w:hAnsi="Calibri" w:cs="Calibri"/>
          <w:bCs/>
          <w:sz w:val="24"/>
          <w:szCs w:val="24"/>
        </w:rPr>
        <w:t xml:space="preserve"> </w:t>
      </w:r>
    </w:p>
    <w:p w14:paraId="0123A396" w14:textId="77777777" w:rsidR="000173CE" w:rsidRPr="003A2729" w:rsidRDefault="000173CE" w:rsidP="00862571">
      <w:pPr>
        <w:contextualSpacing/>
        <w:rPr>
          <w:bCs/>
        </w:rPr>
      </w:pPr>
    </w:p>
    <w:p w14:paraId="7A91BFEB" w14:textId="5B05AD6C"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Thaw Blunt/TA Ligase Master Mix, EDTA, Short Fragment Buffer (SFB)</w:t>
      </w:r>
      <w:r w:rsidR="003C574E" w:rsidRPr="003A2729">
        <w:rPr>
          <w:rFonts w:ascii="Calibri" w:hAnsi="Calibri" w:cs="Calibri"/>
          <w:bCs/>
          <w:sz w:val="24"/>
          <w:szCs w:val="24"/>
        </w:rPr>
        <w:t>,</w:t>
      </w:r>
      <w:r w:rsidRPr="003A2729">
        <w:rPr>
          <w:rFonts w:ascii="Calibri" w:hAnsi="Calibri" w:cs="Calibri"/>
          <w:bCs/>
          <w:sz w:val="24"/>
          <w:szCs w:val="24"/>
        </w:rPr>
        <w:t xml:space="preserve"> and Native Barcodes (NB01–NB24).</w:t>
      </w:r>
    </w:p>
    <w:p w14:paraId="0F7325B2" w14:textId="77777777" w:rsidR="000173CE" w:rsidRPr="003A2729" w:rsidRDefault="000173CE" w:rsidP="00862571">
      <w:pPr>
        <w:contextualSpacing/>
        <w:rPr>
          <w:bCs/>
        </w:rPr>
      </w:pPr>
    </w:p>
    <w:p w14:paraId="447C90C2" w14:textId="27EDD56C"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Assign individual barcodes to samples 1–24.</w:t>
      </w:r>
    </w:p>
    <w:p w14:paraId="20D3E747" w14:textId="77777777" w:rsidR="000173CE" w:rsidRPr="003A2729" w:rsidRDefault="000173CE" w:rsidP="00862571">
      <w:pPr>
        <w:contextualSpacing/>
        <w:rPr>
          <w:bCs/>
        </w:rPr>
      </w:pPr>
    </w:p>
    <w:p w14:paraId="2BD1705F" w14:textId="0BB84D4D" w:rsidR="00AD42E8" w:rsidRPr="003A2729" w:rsidRDefault="00AD42E8" w:rsidP="003C574E">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Assemble the barcoding reaction</w:t>
      </w:r>
      <w:r w:rsidR="003C574E" w:rsidRPr="003A2729">
        <w:rPr>
          <w:rFonts w:ascii="Calibri" w:hAnsi="Calibri" w:cs="Calibri"/>
          <w:bCs/>
          <w:sz w:val="24"/>
          <w:szCs w:val="24"/>
        </w:rPr>
        <w:t xml:space="preserve"> with </w:t>
      </w:r>
      <w:r w:rsidRPr="003A2729">
        <w:rPr>
          <w:rFonts w:ascii="Calibri" w:hAnsi="Calibri" w:cs="Calibri"/>
          <w:bCs/>
          <w:sz w:val="24"/>
          <w:szCs w:val="24"/>
        </w:rPr>
        <w:t>7.5 µL end-prepped DNA</w:t>
      </w:r>
      <w:r w:rsidR="003C574E" w:rsidRPr="003A2729">
        <w:rPr>
          <w:rFonts w:ascii="Calibri" w:hAnsi="Calibri" w:cs="Calibri"/>
          <w:bCs/>
          <w:sz w:val="24"/>
          <w:szCs w:val="24"/>
        </w:rPr>
        <w:t xml:space="preserve">, </w:t>
      </w:r>
      <w:r w:rsidRPr="003A2729">
        <w:rPr>
          <w:rFonts w:ascii="Calibri" w:hAnsi="Calibri" w:cs="Calibri"/>
          <w:bCs/>
          <w:sz w:val="24"/>
          <w:szCs w:val="24"/>
        </w:rPr>
        <w:t>2.5 µL Native Barcode</w:t>
      </w:r>
      <w:r w:rsidR="003A2729">
        <w:rPr>
          <w:rFonts w:ascii="Calibri" w:hAnsi="Calibri" w:cs="Calibri"/>
          <w:bCs/>
          <w:sz w:val="24"/>
          <w:szCs w:val="24"/>
        </w:rPr>
        <w:t>,</w:t>
      </w:r>
      <w:r w:rsidR="003C574E" w:rsidRPr="003A2729">
        <w:rPr>
          <w:rFonts w:ascii="Calibri" w:hAnsi="Calibri" w:cs="Calibri"/>
          <w:bCs/>
          <w:sz w:val="24"/>
          <w:szCs w:val="24"/>
        </w:rPr>
        <w:t xml:space="preserve"> and </w:t>
      </w:r>
      <w:r w:rsidRPr="003A2729">
        <w:rPr>
          <w:rFonts w:ascii="Calibri" w:hAnsi="Calibri" w:cs="Calibri"/>
          <w:bCs/>
          <w:sz w:val="24"/>
          <w:szCs w:val="24"/>
        </w:rPr>
        <w:t>10 µL Blunt/TA Ligase Master Mix</w:t>
      </w:r>
    </w:p>
    <w:p w14:paraId="3C3A0B72" w14:textId="77777777" w:rsidR="000173CE" w:rsidRPr="003A2729" w:rsidRDefault="000173CE" w:rsidP="00862571">
      <w:pPr>
        <w:contextualSpacing/>
        <w:rPr>
          <w:bCs/>
        </w:rPr>
      </w:pPr>
    </w:p>
    <w:p w14:paraId="1CD0C65A" w14:textId="66D319EE"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Mix thoroughly by pipetting 10–20 times.</w:t>
      </w:r>
    </w:p>
    <w:p w14:paraId="7BFD8018" w14:textId="77777777" w:rsidR="000173CE" w:rsidRPr="003A2729" w:rsidRDefault="000173CE" w:rsidP="00862571">
      <w:pPr>
        <w:contextualSpacing/>
        <w:rPr>
          <w:bCs/>
        </w:rPr>
      </w:pPr>
    </w:p>
    <w:p w14:paraId="394028CD" w14:textId="6EE71C2E" w:rsidR="007A50DC" w:rsidRPr="003A2729" w:rsidRDefault="00AD42E8" w:rsidP="00862571">
      <w:pPr>
        <w:pStyle w:val="ListParagraph"/>
        <w:numPr>
          <w:ilvl w:val="2"/>
          <w:numId w:val="45"/>
        </w:numPr>
        <w:spacing w:after="0" w:line="240" w:lineRule="auto"/>
        <w:ind w:left="0" w:firstLine="0"/>
        <w:rPr>
          <w:rFonts w:ascii="Calibri" w:hAnsi="Calibri" w:cs="Calibri"/>
          <w:b/>
          <w:bCs/>
          <w:sz w:val="24"/>
          <w:szCs w:val="24"/>
          <w:u w:val="single"/>
          <w:lang w:val="en-GB"/>
        </w:rPr>
      </w:pPr>
      <w:r w:rsidRPr="003A2729">
        <w:rPr>
          <w:rFonts w:ascii="Calibri" w:hAnsi="Calibri" w:cs="Calibri"/>
          <w:bCs/>
          <w:sz w:val="24"/>
          <w:szCs w:val="24"/>
        </w:rPr>
        <w:lastRenderedPageBreak/>
        <w:t>Incubate for 20 min at room temperature and terminate the reaction with 4 µL EDTA</w:t>
      </w:r>
      <w:r w:rsidR="00A62A60" w:rsidRPr="003A2729">
        <w:rPr>
          <w:rFonts w:ascii="Calibri" w:hAnsi="Calibri" w:cs="Calibri"/>
          <w:bCs/>
          <w:sz w:val="24"/>
          <w:szCs w:val="24"/>
        </w:rPr>
        <w:t>,</w:t>
      </w:r>
      <w:r w:rsidR="007A50DC" w:rsidRPr="003A2729">
        <w:rPr>
          <w:rFonts w:ascii="Calibri" w:hAnsi="Calibri" w:cs="Calibri"/>
          <w:bCs/>
          <w:sz w:val="24"/>
          <w:szCs w:val="24"/>
        </w:rPr>
        <w:t xml:space="preserve"> </w:t>
      </w:r>
      <w:r w:rsidR="007A50DC" w:rsidRPr="003A2729">
        <w:rPr>
          <w:rFonts w:ascii="Calibri" w:hAnsi="Calibri" w:cs="Calibri"/>
          <w:bCs/>
          <w:sz w:val="24"/>
          <w:szCs w:val="24"/>
          <w:lang w:val="en-GB"/>
        </w:rPr>
        <w:t>mix thoroughly by pipetting</w:t>
      </w:r>
      <w:r w:rsidR="003A2729">
        <w:rPr>
          <w:rFonts w:ascii="Calibri" w:hAnsi="Calibri" w:cs="Calibri"/>
          <w:bCs/>
          <w:sz w:val="24"/>
          <w:szCs w:val="24"/>
          <w:lang w:val="en-GB"/>
        </w:rPr>
        <w:t>,</w:t>
      </w:r>
      <w:r w:rsidR="007A50DC" w:rsidRPr="003A2729">
        <w:rPr>
          <w:rFonts w:ascii="Calibri" w:hAnsi="Calibri" w:cs="Calibri"/>
          <w:bCs/>
          <w:sz w:val="24"/>
          <w:szCs w:val="24"/>
          <w:lang w:val="en-GB"/>
        </w:rPr>
        <w:t xml:space="preserve"> and spin down briefly.</w:t>
      </w:r>
    </w:p>
    <w:p w14:paraId="1FA2A556" w14:textId="77777777" w:rsidR="000173CE" w:rsidRPr="003A2729" w:rsidRDefault="000173CE" w:rsidP="00862571">
      <w:pPr>
        <w:contextualSpacing/>
        <w:rPr>
          <w:bCs/>
        </w:rPr>
      </w:pPr>
    </w:p>
    <w:p w14:paraId="5E9E1797" w14:textId="5B0C263F" w:rsidR="000173CE" w:rsidRPr="003A2729" w:rsidRDefault="005D26C3" w:rsidP="00862571">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bCs/>
          <w:sz w:val="24"/>
          <w:szCs w:val="24"/>
        </w:rPr>
        <w:t xml:space="preserve">Pool barcoded samples into </w:t>
      </w:r>
      <w:r w:rsidR="00060599" w:rsidRPr="003A2729">
        <w:rPr>
          <w:rFonts w:ascii="Calibri" w:hAnsi="Calibri" w:cs="Calibri"/>
          <w:bCs/>
          <w:sz w:val="24"/>
          <w:szCs w:val="24"/>
        </w:rPr>
        <w:t>a</w:t>
      </w:r>
      <w:r w:rsidR="00060599" w:rsidRPr="003A2729">
        <w:rPr>
          <w:rFonts w:ascii="Calibri" w:hAnsi="Calibri" w:cs="Calibri"/>
          <w:bCs/>
          <w:sz w:val="24"/>
          <w:szCs w:val="24"/>
          <w:lang w:val="en-GB"/>
        </w:rPr>
        <w:t xml:space="preserve"> 1.5 m</w:t>
      </w:r>
      <w:r w:rsidR="00DC2F5F" w:rsidRPr="003A2729">
        <w:rPr>
          <w:rFonts w:ascii="Calibri" w:hAnsi="Calibri" w:cs="Calibri"/>
          <w:bCs/>
          <w:sz w:val="24"/>
          <w:szCs w:val="24"/>
          <w:lang w:val="en-GB"/>
        </w:rPr>
        <w:t>L</w:t>
      </w:r>
      <w:r w:rsidR="00060599" w:rsidRPr="003A2729">
        <w:rPr>
          <w:rFonts w:ascii="Calibri" w:hAnsi="Calibri" w:cs="Calibri"/>
          <w:bCs/>
          <w:sz w:val="24"/>
          <w:szCs w:val="24"/>
          <w:lang w:val="en-GB"/>
        </w:rPr>
        <w:t xml:space="preserve"> </w:t>
      </w:r>
      <w:r w:rsidR="00B45A7C" w:rsidRPr="003A2729">
        <w:rPr>
          <w:rFonts w:ascii="Calibri" w:hAnsi="Calibri" w:cs="Calibri"/>
          <w:bCs/>
          <w:sz w:val="24"/>
          <w:szCs w:val="24"/>
          <w:lang w:val="en-GB"/>
        </w:rPr>
        <w:t xml:space="preserve">low DNA-binding microcentrifuge tube. </w:t>
      </w:r>
      <w:r w:rsidRPr="003A2729">
        <w:rPr>
          <w:rFonts w:ascii="Calibri" w:hAnsi="Calibri" w:cs="Calibri"/>
          <w:bCs/>
          <w:sz w:val="24"/>
          <w:szCs w:val="24"/>
        </w:rPr>
        <w:t>Add magnetic beads at 0.4× the total pooled sample volume (e.g., add 230 µL beads to 575 µL pooled DNA). Mix thoroughly by pipetting</w:t>
      </w:r>
      <w:r w:rsidR="003C574E" w:rsidRPr="003A2729">
        <w:rPr>
          <w:rFonts w:ascii="Calibri" w:hAnsi="Calibri" w:cs="Calibri"/>
          <w:bCs/>
          <w:sz w:val="24"/>
          <w:szCs w:val="24"/>
        </w:rPr>
        <w:t>, then incubate</w:t>
      </w:r>
      <w:r w:rsidR="009E49EF" w:rsidRPr="003A2729">
        <w:rPr>
          <w:rFonts w:ascii="Calibri" w:hAnsi="Calibri" w:cs="Calibri"/>
          <w:sz w:val="24"/>
          <w:szCs w:val="24"/>
          <w:lang w:val="en-GB"/>
        </w:rPr>
        <w:t xml:space="preserve"> on </w:t>
      </w:r>
      <w:r w:rsidR="00090FE1" w:rsidRPr="003A2729">
        <w:rPr>
          <w:rFonts w:ascii="Calibri" w:hAnsi="Calibri" w:cs="Calibri"/>
          <w:sz w:val="24"/>
          <w:szCs w:val="24"/>
          <w:lang w:val="en-GB"/>
        </w:rPr>
        <w:t>a rotator</w:t>
      </w:r>
      <w:r w:rsidR="009E49EF" w:rsidRPr="003A2729">
        <w:rPr>
          <w:rFonts w:ascii="Calibri" w:hAnsi="Calibri" w:cs="Calibri"/>
          <w:sz w:val="24"/>
          <w:szCs w:val="24"/>
          <w:lang w:val="en-GB"/>
        </w:rPr>
        <w:t xml:space="preserve"> mixer</w:t>
      </w:r>
      <w:r w:rsidR="00E7460D" w:rsidRPr="003A2729">
        <w:rPr>
          <w:rFonts w:ascii="Calibri" w:hAnsi="Calibri" w:cs="Calibri"/>
          <w:sz w:val="24"/>
          <w:szCs w:val="24"/>
          <w:lang w:val="en-GB"/>
        </w:rPr>
        <w:t xml:space="preserve"> </w:t>
      </w:r>
      <w:r w:rsidR="007C0CCA" w:rsidRPr="003A2729">
        <w:rPr>
          <w:rFonts w:ascii="Calibri" w:hAnsi="Calibri" w:cs="Calibri"/>
          <w:sz w:val="24"/>
          <w:szCs w:val="24"/>
          <w:lang w:val="en-GB"/>
        </w:rPr>
        <w:t>at room temperature for 10 min</w:t>
      </w:r>
      <w:r w:rsidR="009E49EF" w:rsidRPr="003A2729">
        <w:rPr>
          <w:rFonts w:ascii="Calibri" w:hAnsi="Calibri" w:cs="Calibri"/>
          <w:sz w:val="24"/>
          <w:szCs w:val="24"/>
          <w:lang w:val="en-GB"/>
        </w:rPr>
        <w:t>.</w:t>
      </w:r>
    </w:p>
    <w:p w14:paraId="75D45DC9" w14:textId="77777777" w:rsidR="005D26C3" w:rsidRPr="003A2729" w:rsidRDefault="005D26C3" w:rsidP="00862571">
      <w:pPr>
        <w:contextualSpacing/>
        <w:rPr>
          <w:bCs/>
        </w:rPr>
      </w:pPr>
    </w:p>
    <w:p w14:paraId="50D39EA5" w14:textId="2445B400" w:rsidR="002C5D10" w:rsidRPr="003A2729" w:rsidRDefault="002C5D10" w:rsidP="00862571">
      <w:pPr>
        <w:pStyle w:val="ListParagraph"/>
        <w:numPr>
          <w:ilvl w:val="2"/>
          <w:numId w:val="45"/>
        </w:numPr>
        <w:spacing w:after="0" w:line="240" w:lineRule="auto"/>
        <w:ind w:left="0" w:firstLine="0"/>
        <w:rPr>
          <w:rFonts w:ascii="Calibri" w:hAnsi="Calibri" w:cs="Calibri"/>
          <w:bCs/>
          <w:sz w:val="24"/>
          <w:szCs w:val="24"/>
          <w:lang w:val="en-GB"/>
        </w:rPr>
      </w:pPr>
      <w:r w:rsidRPr="003A2729">
        <w:rPr>
          <w:rFonts w:ascii="Calibri" w:hAnsi="Calibri" w:cs="Calibri"/>
          <w:bCs/>
          <w:sz w:val="24"/>
          <w:szCs w:val="24"/>
          <w:lang w:val="en-GB"/>
        </w:rPr>
        <w:t>Wash the beads with 700 µ</w:t>
      </w:r>
      <w:r w:rsidR="00DC2F5F" w:rsidRPr="003A2729">
        <w:rPr>
          <w:rFonts w:ascii="Calibri" w:hAnsi="Calibri" w:cs="Calibri"/>
          <w:bCs/>
          <w:sz w:val="24"/>
          <w:szCs w:val="24"/>
          <w:lang w:val="en-GB"/>
        </w:rPr>
        <w:t>L</w:t>
      </w:r>
      <w:r w:rsidRPr="003A2729">
        <w:rPr>
          <w:rFonts w:ascii="Calibri" w:hAnsi="Calibri" w:cs="Calibri"/>
          <w:bCs/>
          <w:sz w:val="24"/>
          <w:szCs w:val="24"/>
          <w:lang w:val="en-GB"/>
        </w:rPr>
        <w:t xml:space="preserve"> of Short Fragment Buffer (SFB). Flick the beads to resuspend, spin down</w:t>
      </w:r>
      <w:r w:rsidR="003C574E" w:rsidRPr="003A2729">
        <w:rPr>
          <w:rFonts w:ascii="Calibri" w:hAnsi="Calibri" w:cs="Calibri"/>
          <w:bCs/>
          <w:sz w:val="24"/>
          <w:szCs w:val="24"/>
          <w:lang w:val="en-GB"/>
        </w:rPr>
        <w:t>,</w:t>
      </w:r>
      <w:r w:rsidRPr="003A2729">
        <w:rPr>
          <w:rFonts w:ascii="Calibri" w:hAnsi="Calibri" w:cs="Calibri"/>
          <w:bCs/>
          <w:sz w:val="24"/>
          <w:szCs w:val="24"/>
          <w:lang w:val="en-GB"/>
        </w:rPr>
        <w:t xml:space="preserve"> then return the sample to the magnetic rack and allow the beads to pellet. Remove the buffer using a pipette</w:t>
      </w:r>
      <w:r w:rsidR="003C574E" w:rsidRPr="003A2729">
        <w:rPr>
          <w:rFonts w:ascii="Calibri" w:hAnsi="Calibri" w:cs="Calibri"/>
          <w:bCs/>
          <w:sz w:val="24"/>
          <w:szCs w:val="24"/>
          <w:lang w:val="en-GB"/>
        </w:rPr>
        <w:t>, then discard it</w:t>
      </w:r>
      <w:r w:rsidRPr="003A2729">
        <w:rPr>
          <w:rFonts w:ascii="Calibri" w:hAnsi="Calibri" w:cs="Calibri"/>
          <w:bCs/>
          <w:sz w:val="24"/>
          <w:szCs w:val="24"/>
          <w:lang w:val="en-GB"/>
        </w:rPr>
        <w:t>.</w:t>
      </w:r>
    </w:p>
    <w:p w14:paraId="28D95D9C" w14:textId="77777777" w:rsidR="002C5D10" w:rsidRPr="003A2729" w:rsidRDefault="002C5D10" w:rsidP="00862571">
      <w:pPr>
        <w:contextualSpacing/>
        <w:rPr>
          <w:bCs/>
          <w:lang w:val="en-GB"/>
        </w:rPr>
      </w:pPr>
    </w:p>
    <w:p w14:paraId="6179FF8C" w14:textId="6F806173" w:rsidR="002C5D10" w:rsidRPr="003A2729" w:rsidRDefault="002C5D10" w:rsidP="00862571">
      <w:pPr>
        <w:pStyle w:val="ListParagraph"/>
        <w:numPr>
          <w:ilvl w:val="2"/>
          <w:numId w:val="45"/>
        </w:numPr>
        <w:spacing w:after="0" w:line="240" w:lineRule="auto"/>
        <w:ind w:left="0" w:firstLine="0"/>
        <w:rPr>
          <w:rFonts w:ascii="Calibri" w:hAnsi="Calibri" w:cs="Calibri"/>
          <w:bCs/>
          <w:sz w:val="24"/>
          <w:szCs w:val="24"/>
          <w:lang w:val="en-GB"/>
        </w:rPr>
      </w:pPr>
      <w:r w:rsidRPr="003A2729">
        <w:rPr>
          <w:rFonts w:ascii="Calibri" w:hAnsi="Calibri" w:cs="Calibri"/>
          <w:bCs/>
          <w:sz w:val="24"/>
          <w:szCs w:val="24"/>
          <w:lang w:val="en-GB"/>
        </w:rPr>
        <w:t>Repeat the previous step.</w:t>
      </w:r>
    </w:p>
    <w:p w14:paraId="11EAC001" w14:textId="77777777" w:rsidR="002C5D10" w:rsidRPr="003A2729" w:rsidRDefault="002C5D10" w:rsidP="00862571">
      <w:pPr>
        <w:contextualSpacing/>
        <w:rPr>
          <w:bCs/>
          <w:lang w:val="en-GB"/>
        </w:rPr>
      </w:pPr>
    </w:p>
    <w:p w14:paraId="5B682C7C" w14:textId="3A335499" w:rsidR="002C5D10" w:rsidRPr="003A2729" w:rsidRDefault="002C5D10" w:rsidP="00862571">
      <w:pPr>
        <w:pStyle w:val="ListParagraph"/>
        <w:numPr>
          <w:ilvl w:val="2"/>
          <w:numId w:val="45"/>
        </w:numPr>
        <w:spacing w:after="0" w:line="240" w:lineRule="auto"/>
        <w:ind w:left="0" w:firstLine="0"/>
        <w:rPr>
          <w:rFonts w:ascii="Calibri" w:hAnsi="Calibri" w:cs="Calibri"/>
          <w:bCs/>
          <w:sz w:val="24"/>
          <w:szCs w:val="24"/>
          <w:lang w:val="en-GB"/>
        </w:rPr>
      </w:pPr>
      <w:r w:rsidRPr="003A2729">
        <w:rPr>
          <w:rFonts w:ascii="Calibri" w:hAnsi="Calibri" w:cs="Calibri"/>
          <w:bCs/>
          <w:sz w:val="24"/>
          <w:szCs w:val="24"/>
        </w:rPr>
        <w:t>Spin</w:t>
      </w:r>
      <w:r w:rsidRPr="003A2729">
        <w:rPr>
          <w:rFonts w:ascii="Calibri" w:hAnsi="Calibri" w:cs="Calibri"/>
          <w:bCs/>
          <w:sz w:val="24"/>
          <w:szCs w:val="24"/>
          <w:lang w:val="en-GB"/>
        </w:rPr>
        <w:t xml:space="preserve"> down and place the tube back on the magnetic rack. Pipette off any residual buffer.</w:t>
      </w:r>
    </w:p>
    <w:p w14:paraId="2D20E544" w14:textId="77777777" w:rsidR="00BF0B8F" w:rsidRPr="003A2729" w:rsidRDefault="00BF0B8F" w:rsidP="00862571">
      <w:pPr>
        <w:contextualSpacing/>
        <w:rPr>
          <w:bCs/>
          <w:lang w:val="en-GB"/>
        </w:rPr>
      </w:pPr>
    </w:p>
    <w:p w14:paraId="01FF5E6D" w14:textId="19DF79D8" w:rsidR="000173CE" w:rsidRPr="003A2729" w:rsidRDefault="002C5D10" w:rsidP="00862571">
      <w:pPr>
        <w:pStyle w:val="ListParagraph"/>
        <w:numPr>
          <w:ilvl w:val="2"/>
          <w:numId w:val="45"/>
        </w:numPr>
        <w:spacing w:after="0" w:line="240" w:lineRule="auto"/>
        <w:ind w:left="0" w:firstLine="0"/>
        <w:rPr>
          <w:rFonts w:ascii="Calibri" w:hAnsi="Calibri" w:cs="Calibri"/>
          <w:bCs/>
          <w:sz w:val="24"/>
          <w:szCs w:val="24"/>
          <w:lang w:val="en-GB"/>
        </w:rPr>
      </w:pPr>
      <w:r w:rsidRPr="003A2729">
        <w:rPr>
          <w:rFonts w:ascii="Calibri" w:hAnsi="Calibri" w:cs="Calibri"/>
          <w:bCs/>
          <w:sz w:val="24"/>
          <w:szCs w:val="24"/>
          <w:lang w:val="en-GB"/>
        </w:rPr>
        <w:t>Remove the tube from the magnetic rack and resuspend the pellet in 35 µ</w:t>
      </w:r>
      <w:r w:rsidR="00DC2F5F" w:rsidRPr="003A2729">
        <w:rPr>
          <w:rFonts w:ascii="Calibri" w:hAnsi="Calibri" w:cs="Calibri"/>
          <w:bCs/>
          <w:sz w:val="24"/>
          <w:szCs w:val="24"/>
          <w:lang w:val="en-GB"/>
        </w:rPr>
        <w:t>L</w:t>
      </w:r>
      <w:r w:rsidRPr="003A2729">
        <w:rPr>
          <w:rFonts w:ascii="Calibri" w:hAnsi="Calibri" w:cs="Calibri"/>
          <w:bCs/>
          <w:sz w:val="24"/>
          <w:szCs w:val="24"/>
          <w:lang w:val="en-GB"/>
        </w:rPr>
        <w:t xml:space="preserve"> nuclease-free water by gently flicking.</w:t>
      </w:r>
    </w:p>
    <w:p w14:paraId="39090774" w14:textId="77777777" w:rsidR="002C5D10" w:rsidRPr="003A2729" w:rsidRDefault="002C5D10" w:rsidP="00862571">
      <w:pPr>
        <w:contextualSpacing/>
        <w:rPr>
          <w:b/>
          <w:bCs/>
          <w:lang w:val="en-GB"/>
        </w:rPr>
      </w:pPr>
    </w:p>
    <w:p w14:paraId="0ED4742D" w14:textId="50821DA1" w:rsidR="00AD42E8" w:rsidRPr="003A2729" w:rsidRDefault="00AD42E8" w:rsidP="00862571">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Incubate at 37 °C for 10 min with intermittent mixing</w:t>
      </w:r>
      <w:r w:rsidR="003C574E" w:rsidRPr="003A2729">
        <w:rPr>
          <w:rFonts w:ascii="Calibri" w:hAnsi="Calibri" w:cs="Calibri"/>
          <w:bCs/>
          <w:sz w:val="24"/>
          <w:szCs w:val="24"/>
        </w:rPr>
        <w:t>, then transfer the eluate to a clean low-DNA-binding</w:t>
      </w:r>
      <w:r w:rsidR="001E5006" w:rsidRPr="003A2729">
        <w:rPr>
          <w:rFonts w:ascii="Calibri" w:hAnsi="Calibri" w:cs="Calibri"/>
          <w:bCs/>
          <w:sz w:val="24"/>
          <w:szCs w:val="24"/>
          <w:lang w:val="en-GB"/>
        </w:rPr>
        <w:t xml:space="preserve"> microcentrifuge tube.</w:t>
      </w:r>
    </w:p>
    <w:p w14:paraId="160C15C0" w14:textId="77777777" w:rsidR="000173CE" w:rsidRPr="003A2729" w:rsidRDefault="000173CE" w:rsidP="00862571">
      <w:pPr>
        <w:contextualSpacing/>
        <w:rPr>
          <w:b/>
        </w:rPr>
      </w:pPr>
    </w:p>
    <w:p w14:paraId="62218708" w14:textId="1D57955D"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Adapter </w:t>
      </w:r>
      <w:r w:rsidR="00862571" w:rsidRPr="003A2729">
        <w:rPr>
          <w:rFonts w:ascii="Calibri" w:hAnsi="Calibri" w:cs="Calibri"/>
          <w:bCs/>
          <w:sz w:val="24"/>
          <w:szCs w:val="24"/>
        </w:rPr>
        <w:t>l</w:t>
      </w:r>
      <w:r w:rsidRPr="003A2729">
        <w:rPr>
          <w:rFonts w:ascii="Calibri" w:hAnsi="Calibri" w:cs="Calibri"/>
          <w:bCs/>
          <w:sz w:val="24"/>
          <w:szCs w:val="24"/>
        </w:rPr>
        <w:t xml:space="preserve">igation and </w:t>
      </w:r>
      <w:r w:rsidR="00862571" w:rsidRPr="003A2729">
        <w:rPr>
          <w:rFonts w:ascii="Calibri" w:hAnsi="Calibri" w:cs="Calibri"/>
          <w:bCs/>
          <w:sz w:val="24"/>
          <w:szCs w:val="24"/>
        </w:rPr>
        <w:t>l</w:t>
      </w:r>
      <w:r w:rsidRPr="003A2729">
        <w:rPr>
          <w:rFonts w:ascii="Calibri" w:hAnsi="Calibri" w:cs="Calibri"/>
          <w:bCs/>
          <w:sz w:val="24"/>
          <w:szCs w:val="24"/>
        </w:rPr>
        <w:t xml:space="preserve">ibrary </w:t>
      </w:r>
      <w:r w:rsidR="00862571" w:rsidRPr="003A2729">
        <w:rPr>
          <w:rFonts w:ascii="Calibri" w:hAnsi="Calibri" w:cs="Calibri"/>
          <w:bCs/>
          <w:sz w:val="24"/>
          <w:szCs w:val="24"/>
        </w:rPr>
        <w:t>c</w:t>
      </w:r>
      <w:r w:rsidRPr="003A2729">
        <w:rPr>
          <w:rFonts w:ascii="Calibri" w:hAnsi="Calibri" w:cs="Calibri"/>
          <w:bCs/>
          <w:sz w:val="24"/>
          <w:szCs w:val="24"/>
        </w:rPr>
        <w:t>lean-</w:t>
      </w:r>
      <w:r w:rsidR="00862571" w:rsidRPr="003A2729">
        <w:rPr>
          <w:rFonts w:ascii="Calibri" w:hAnsi="Calibri" w:cs="Calibri"/>
          <w:bCs/>
          <w:sz w:val="24"/>
          <w:szCs w:val="24"/>
        </w:rPr>
        <w:t>u</w:t>
      </w:r>
      <w:r w:rsidRPr="003A2729">
        <w:rPr>
          <w:rFonts w:ascii="Calibri" w:hAnsi="Calibri" w:cs="Calibri"/>
          <w:bCs/>
          <w:sz w:val="24"/>
          <w:szCs w:val="24"/>
        </w:rPr>
        <w:t>p</w:t>
      </w:r>
    </w:p>
    <w:p w14:paraId="7707CD4E" w14:textId="77777777" w:rsidR="000173CE" w:rsidRPr="003A2729" w:rsidRDefault="000173CE" w:rsidP="00862571">
      <w:pPr>
        <w:contextualSpacing/>
        <w:rPr>
          <w:bCs/>
        </w:rPr>
      </w:pPr>
    </w:p>
    <w:p w14:paraId="628E8C5B" w14:textId="7C3C9F97" w:rsidR="00AD42E8" w:rsidRPr="003A2729" w:rsidRDefault="00AD42E8" w:rsidP="003C574E">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Assemble ligation reaction</w:t>
      </w:r>
      <w:r w:rsidR="003C574E" w:rsidRPr="003A2729">
        <w:rPr>
          <w:rFonts w:ascii="Calibri" w:hAnsi="Calibri" w:cs="Calibri"/>
          <w:bCs/>
          <w:sz w:val="24"/>
          <w:szCs w:val="24"/>
        </w:rPr>
        <w:t xml:space="preserve"> with </w:t>
      </w:r>
      <w:r w:rsidRPr="003A2729">
        <w:rPr>
          <w:rFonts w:ascii="Calibri" w:hAnsi="Calibri" w:cs="Calibri"/>
          <w:bCs/>
          <w:sz w:val="24"/>
          <w:szCs w:val="24"/>
        </w:rPr>
        <w:t>30 µL pooled barcoded DNA</w:t>
      </w:r>
      <w:r w:rsidR="003C574E" w:rsidRPr="003A2729">
        <w:rPr>
          <w:rFonts w:ascii="Calibri" w:hAnsi="Calibri" w:cs="Calibri"/>
          <w:bCs/>
          <w:sz w:val="24"/>
          <w:szCs w:val="24"/>
        </w:rPr>
        <w:t xml:space="preserve">, </w:t>
      </w:r>
      <w:r w:rsidRPr="003A2729">
        <w:rPr>
          <w:rFonts w:ascii="Calibri" w:hAnsi="Calibri" w:cs="Calibri"/>
          <w:bCs/>
          <w:sz w:val="24"/>
          <w:szCs w:val="24"/>
        </w:rPr>
        <w:t>5 µL Native Adapter</w:t>
      </w:r>
      <w:r w:rsidR="003C574E" w:rsidRPr="003A2729">
        <w:rPr>
          <w:rFonts w:ascii="Calibri" w:hAnsi="Calibri" w:cs="Calibri"/>
          <w:bCs/>
          <w:sz w:val="24"/>
          <w:szCs w:val="24"/>
        </w:rPr>
        <w:t xml:space="preserve">, </w:t>
      </w:r>
      <w:r w:rsidRPr="003A2729">
        <w:rPr>
          <w:rFonts w:ascii="Calibri" w:hAnsi="Calibri" w:cs="Calibri"/>
          <w:bCs/>
          <w:sz w:val="24"/>
          <w:szCs w:val="24"/>
        </w:rPr>
        <w:t>10 µL Ligation Buffer (5×)</w:t>
      </w:r>
      <w:r w:rsidR="00A0756C" w:rsidRPr="003A2729">
        <w:rPr>
          <w:rFonts w:ascii="Calibri" w:hAnsi="Calibri" w:cs="Calibri"/>
          <w:bCs/>
          <w:sz w:val="24"/>
          <w:szCs w:val="24"/>
        </w:rPr>
        <w:t>, and</w:t>
      </w:r>
      <w:r w:rsidR="003C574E" w:rsidRPr="003A2729">
        <w:rPr>
          <w:rFonts w:ascii="Calibri" w:hAnsi="Calibri" w:cs="Calibri"/>
          <w:bCs/>
          <w:sz w:val="24"/>
          <w:szCs w:val="24"/>
        </w:rPr>
        <w:t xml:space="preserve"> </w:t>
      </w:r>
      <w:r w:rsidRPr="003A2729">
        <w:rPr>
          <w:rFonts w:ascii="Calibri" w:hAnsi="Calibri" w:cs="Calibri"/>
          <w:bCs/>
          <w:sz w:val="24"/>
          <w:szCs w:val="24"/>
        </w:rPr>
        <w:t>5 µL T4 DNA Ligase</w:t>
      </w:r>
      <w:r w:rsidR="002E02F5" w:rsidRPr="003A2729">
        <w:rPr>
          <w:rFonts w:ascii="Calibri" w:hAnsi="Calibri" w:cs="Calibri"/>
          <w:bCs/>
          <w:sz w:val="24"/>
          <w:szCs w:val="24"/>
        </w:rPr>
        <w:t>.</w:t>
      </w:r>
    </w:p>
    <w:p w14:paraId="60FFFA4F" w14:textId="77777777" w:rsidR="000173CE" w:rsidRPr="003A2729" w:rsidRDefault="000173CE" w:rsidP="00862571">
      <w:pPr>
        <w:contextualSpacing/>
        <w:rPr>
          <w:bCs/>
        </w:rPr>
      </w:pPr>
    </w:p>
    <w:p w14:paraId="48CB419A" w14:textId="62634FA8" w:rsidR="0054374E" w:rsidRPr="003A2729" w:rsidRDefault="000440D5" w:rsidP="00862571">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sz w:val="24"/>
          <w:szCs w:val="24"/>
          <w:lang w:val="en-GB"/>
        </w:rPr>
        <w:t>Thoroughly mix the reaction by gently pipetting and briefly spinning down. Incubate the reaction for 20 min at room temperature.</w:t>
      </w:r>
    </w:p>
    <w:p w14:paraId="1BA536AA" w14:textId="77777777" w:rsidR="00F67F92" w:rsidRPr="003A2729" w:rsidRDefault="00F67F92" w:rsidP="00862571">
      <w:pPr>
        <w:contextualSpacing/>
        <w:rPr>
          <w:b/>
          <w:bCs/>
          <w:lang w:val="en-GB"/>
        </w:rPr>
      </w:pPr>
    </w:p>
    <w:p w14:paraId="6D018FE7" w14:textId="2332BB8F" w:rsidR="000440D5" w:rsidRPr="003A2729" w:rsidRDefault="000440D5" w:rsidP="00862571">
      <w:pPr>
        <w:pStyle w:val="ListParagraph"/>
        <w:numPr>
          <w:ilvl w:val="2"/>
          <w:numId w:val="45"/>
        </w:numPr>
        <w:spacing w:after="0" w:line="240" w:lineRule="auto"/>
        <w:ind w:left="0" w:firstLine="0"/>
        <w:rPr>
          <w:rFonts w:ascii="Calibri" w:hAnsi="Calibri" w:cs="Calibri"/>
          <w:b/>
          <w:bCs/>
          <w:sz w:val="24"/>
          <w:szCs w:val="24"/>
          <w:lang w:val="en-GB"/>
        </w:rPr>
      </w:pPr>
      <w:r w:rsidRPr="003A2729">
        <w:rPr>
          <w:rFonts w:ascii="Calibri" w:hAnsi="Calibri" w:cs="Calibri"/>
          <w:sz w:val="24"/>
          <w:szCs w:val="24"/>
          <w:lang w:val="en-GB"/>
        </w:rPr>
        <w:t>Add 20 µ</w:t>
      </w:r>
      <w:r w:rsidR="00DC2F5F" w:rsidRPr="003A2729">
        <w:rPr>
          <w:rFonts w:ascii="Calibri" w:hAnsi="Calibri" w:cs="Calibri"/>
          <w:sz w:val="24"/>
          <w:szCs w:val="24"/>
          <w:lang w:val="en-GB"/>
        </w:rPr>
        <w:t>L</w:t>
      </w:r>
      <w:r w:rsidRPr="003A2729">
        <w:rPr>
          <w:rFonts w:ascii="Calibri" w:hAnsi="Calibri" w:cs="Calibri"/>
          <w:sz w:val="24"/>
          <w:szCs w:val="24"/>
          <w:lang w:val="en-GB"/>
        </w:rPr>
        <w:t xml:space="preserve"> of resuspended magnetic </w:t>
      </w:r>
      <w:r w:rsidR="003C574E" w:rsidRPr="003A2729">
        <w:rPr>
          <w:rFonts w:ascii="Calibri" w:hAnsi="Calibri" w:cs="Calibri"/>
          <w:sz w:val="24"/>
          <w:szCs w:val="24"/>
          <w:lang w:val="en-GB"/>
        </w:rPr>
        <w:t>b</w:t>
      </w:r>
      <w:r w:rsidRPr="003A2729">
        <w:rPr>
          <w:rFonts w:ascii="Calibri" w:hAnsi="Calibri" w:cs="Calibri"/>
          <w:sz w:val="24"/>
          <w:szCs w:val="24"/>
          <w:lang w:val="en-GB"/>
        </w:rPr>
        <w:t>eads to the reaction and mix by pipetting.</w:t>
      </w:r>
    </w:p>
    <w:p w14:paraId="6FFA7060" w14:textId="61A517E8" w:rsidR="000440D5" w:rsidRPr="003A2729" w:rsidRDefault="000440D5" w:rsidP="00862571">
      <w:pPr>
        <w:contextualSpacing/>
        <w:rPr>
          <w:lang w:val="en-GB"/>
        </w:rPr>
      </w:pPr>
      <w:r w:rsidRPr="003A2729">
        <w:rPr>
          <w:lang w:val="en-GB"/>
        </w:rPr>
        <w:t>Incubate on a rotator mixer for 10 min at room temperature.</w:t>
      </w:r>
    </w:p>
    <w:p w14:paraId="32C236E8" w14:textId="77777777" w:rsidR="00E1107B" w:rsidRPr="003A2729" w:rsidRDefault="00E1107B" w:rsidP="00862571">
      <w:pPr>
        <w:contextualSpacing/>
        <w:rPr>
          <w:lang w:val="en-GB"/>
        </w:rPr>
      </w:pPr>
    </w:p>
    <w:p w14:paraId="53987661" w14:textId="578734DA" w:rsidR="00E1107B" w:rsidRPr="003A2729" w:rsidRDefault="00E1107B" w:rsidP="00112A96">
      <w:pPr>
        <w:pStyle w:val="ListParagraph"/>
        <w:numPr>
          <w:ilvl w:val="2"/>
          <w:numId w:val="45"/>
        </w:numPr>
        <w:spacing w:after="0" w:line="240" w:lineRule="auto"/>
        <w:ind w:left="0" w:firstLine="0"/>
        <w:rPr>
          <w:rFonts w:ascii="Calibri" w:hAnsi="Calibri" w:cs="Calibri"/>
          <w:b/>
          <w:bCs/>
          <w:sz w:val="24"/>
          <w:szCs w:val="24"/>
          <w:u w:val="single"/>
          <w:lang w:val="en-GB"/>
        </w:rPr>
      </w:pPr>
      <w:r w:rsidRPr="003A2729">
        <w:rPr>
          <w:rFonts w:ascii="Calibri" w:hAnsi="Calibri" w:cs="Calibri"/>
          <w:sz w:val="24"/>
          <w:szCs w:val="24"/>
          <w:lang w:val="en-GB"/>
        </w:rPr>
        <w:t>Spin down the sample and pellet on the magnetic rack. Keep the tube on the magnet and pipette off the supernatant.</w:t>
      </w:r>
    </w:p>
    <w:p w14:paraId="77ACAEF7" w14:textId="77777777" w:rsidR="000173CE" w:rsidRPr="003A2729" w:rsidRDefault="000173CE" w:rsidP="00862571">
      <w:pPr>
        <w:contextualSpacing/>
        <w:rPr>
          <w:bCs/>
        </w:rPr>
      </w:pPr>
    </w:p>
    <w:p w14:paraId="1C84F42A" w14:textId="041F44E8" w:rsidR="00AD42E8" w:rsidRPr="003A2729" w:rsidRDefault="00E1107B"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sz w:val="24"/>
          <w:szCs w:val="24"/>
          <w:lang w:val="en-GB"/>
        </w:rPr>
        <w:t xml:space="preserve">Wash the beads by adding 125 </w:t>
      </w:r>
      <w:proofErr w:type="spellStart"/>
      <w:r w:rsidRPr="003A2729">
        <w:rPr>
          <w:rFonts w:ascii="Calibri" w:hAnsi="Calibri" w:cs="Calibri"/>
          <w:sz w:val="24"/>
          <w:szCs w:val="24"/>
          <w:lang w:val="en-GB"/>
        </w:rPr>
        <w:t>μ</w:t>
      </w:r>
      <w:r w:rsidR="00ED65A9" w:rsidRPr="003A2729">
        <w:rPr>
          <w:rFonts w:ascii="Calibri" w:hAnsi="Calibri" w:cs="Calibri"/>
          <w:sz w:val="24"/>
          <w:szCs w:val="24"/>
          <w:lang w:val="en-GB"/>
        </w:rPr>
        <w:t>L</w:t>
      </w:r>
      <w:proofErr w:type="spellEnd"/>
      <w:r w:rsidRPr="003A2729">
        <w:rPr>
          <w:rFonts w:ascii="Calibri" w:hAnsi="Calibri" w:cs="Calibri"/>
          <w:sz w:val="24"/>
          <w:szCs w:val="24"/>
          <w:lang w:val="en-GB"/>
        </w:rPr>
        <w:t xml:space="preserve"> Short Fragment Buffer (SFB). Flick the beads to resuspend, spin down, then return the tube to the magnetic rack and allow the beads to pellet. Remove the supernatant using a pipette</w:t>
      </w:r>
      <w:r w:rsidR="00DC2F5F" w:rsidRPr="003A2729">
        <w:rPr>
          <w:rFonts w:ascii="Calibri" w:hAnsi="Calibri" w:cs="Calibri"/>
          <w:sz w:val="24"/>
          <w:szCs w:val="24"/>
          <w:lang w:val="en-GB"/>
        </w:rPr>
        <w:t>, then discard it</w:t>
      </w:r>
      <w:r w:rsidRPr="003A2729">
        <w:rPr>
          <w:rFonts w:ascii="Calibri" w:hAnsi="Calibri" w:cs="Calibri"/>
          <w:sz w:val="24"/>
          <w:szCs w:val="24"/>
          <w:lang w:val="en-GB"/>
        </w:rPr>
        <w:t>.</w:t>
      </w:r>
    </w:p>
    <w:p w14:paraId="711254A5" w14:textId="77777777" w:rsidR="000173CE" w:rsidRPr="003A2729" w:rsidRDefault="000173CE" w:rsidP="00862571">
      <w:pPr>
        <w:contextualSpacing/>
        <w:rPr>
          <w:bCs/>
        </w:rPr>
      </w:pPr>
    </w:p>
    <w:p w14:paraId="0192A886" w14:textId="73C63D3C" w:rsidR="00E1107B" w:rsidRPr="003A2729" w:rsidRDefault="00E1107B"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bCs/>
          <w:sz w:val="24"/>
          <w:szCs w:val="24"/>
        </w:rPr>
        <w:t>Repeat</w:t>
      </w:r>
      <w:r w:rsidRPr="003A2729">
        <w:rPr>
          <w:rFonts w:ascii="Calibri" w:hAnsi="Calibri" w:cs="Calibri"/>
          <w:sz w:val="24"/>
          <w:szCs w:val="24"/>
          <w:lang w:val="en-GB"/>
        </w:rPr>
        <w:t xml:space="preserve"> the previous step.</w:t>
      </w:r>
    </w:p>
    <w:p w14:paraId="5E8C7276" w14:textId="48CCB003" w:rsidR="00AD42E8" w:rsidRPr="003A2729" w:rsidRDefault="00AD42E8" w:rsidP="00D50561">
      <w:pPr>
        <w:pStyle w:val="ListParagraph"/>
        <w:spacing w:after="0" w:line="240" w:lineRule="auto"/>
        <w:ind w:left="0"/>
        <w:rPr>
          <w:rFonts w:ascii="Calibri" w:hAnsi="Calibri" w:cs="Calibri"/>
          <w:bCs/>
          <w:sz w:val="24"/>
          <w:szCs w:val="24"/>
        </w:rPr>
      </w:pPr>
    </w:p>
    <w:p w14:paraId="2F5BBD8F" w14:textId="77777777" w:rsidR="000173CE" w:rsidRPr="003A2729" w:rsidRDefault="000173CE" w:rsidP="00862571">
      <w:pPr>
        <w:contextualSpacing/>
      </w:pPr>
    </w:p>
    <w:p w14:paraId="41558BF3" w14:textId="1B8B107E" w:rsidR="000440D5" w:rsidRPr="003A2729" w:rsidRDefault="000440D5"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sz w:val="24"/>
          <w:szCs w:val="24"/>
          <w:lang w:val="en-GB"/>
        </w:rPr>
        <w:t>Spin down</w:t>
      </w:r>
      <w:r w:rsidR="00E1107B" w:rsidRPr="003A2729">
        <w:rPr>
          <w:rFonts w:ascii="Calibri" w:hAnsi="Calibri" w:cs="Calibri"/>
          <w:sz w:val="24"/>
          <w:szCs w:val="24"/>
          <w:lang w:val="en-GB"/>
        </w:rPr>
        <w:t xml:space="preserve"> </w:t>
      </w:r>
      <w:r w:rsidRPr="003A2729">
        <w:rPr>
          <w:rFonts w:ascii="Calibri" w:hAnsi="Calibri" w:cs="Calibri"/>
          <w:sz w:val="24"/>
          <w:szCs w:val="24"/>
          <w:lang w:val="en-GB"/>
        </w:rPr>
        <w:t>and place the tube back on the magnet. Pipette off any residual supernatant.</w:t>
      </w:r>
    </w:p>
    <w:p w14:paraId="09E6B495" w14:textId="3BD60287" w:rsidR="000440D5" w:rsidRPr="003A2729" w:rsidRDefault="000440D5" w:rsidP="00862571">
      <w:pPr>
        <w:contextualSpacing/>
        <w:rPr>
          <w:lang w:val="en-GB"/>
        </w:rPr>
      </w:pPr>
      <w:r w:rsidRPr="003A2729">
        <w:rPr>
          <w:lang w:val="en-GB"/>
        </w:rPr>
        <w:lastRenderedPageBreak/>
        <w:t xml:space="preserve">Remove the tube from the magnetic rack and resuspend </w:t>
      </w:r>
      <w:r w:rsidR="00DC2F5F" w:rsidRPr="003A2729">
        <w:rPr>
          <w:lang w:val="en-GB"/>
        </w:rPr>
        <w:t xml:space="preserve">the </w:t>
      </w:r>
      <w:r w:rsidRPr="003A2729">
        <w:rPr>
          <w:lang w:val="en-GB"/>
        </w:rPr>
        <w:t>pellet in 15 µ</w:t>
      </w:r>
      <w:r w:rsidR="00DC2F5F" w:rsidRPr="003A2729">
        <w:rPr>
          <w:lang w:val="en-GB"/>
        </w:rPr>
        <w:t>L</w:t>
      </w:r>
      <w:r w:rsidRPr="003A2729">
        <w:rPr>
          <w:lang w:val="en-GB"/>
        </w:rPr>
        <w:t xml:space="preserve"> Elution Buffer (EB).</w:t>
      </w:r>
    </w:p>
    <w:p w14:paraId="483D5D38" w14:textId="77777777" w:rsidR="00E1107B" w:rsidRPr="003A2729" w:rsidRDefault="00E1107B" w:rsidP="00862571">
      <w:pPr>
        <w:contextualSpacing/>
        <w:rPr>
          <w:lang w:val="en-GB"/>
        </w:rPr>
      </w:pPr>
    </w:p>
    <w:p w14:paraId="1216A6A5" w14:textId="4D4BD0CC" w:rsidR="000440D5" w:rsidRPr="003A2729" w:rsidRDefault="000440D5"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sz w:val="24"/>
          <w:szCs w:val="24"/>
          <w:lang w:val="en-GB"/>
        </w:rPr>
        <w:t xml:space="preserve">Spin down and incubate for 10 min at 37°C. </w:t>
      </w:r>
      <w:r w:rsidR="00DC2F5F" w:rsidRPr="003A2729">
        <w:rPr>
          <w:rFonts w:ascii="Calibri" w:hAnsi="Calibri" w:cs="Calibri"/>
          <w:sz w:val="24"/>
          <w:szCs w:val="24"/>
          <w:lang w:val="en-GB"/>
        </w:rPr>
        <w:t>A</w:t>
      </w:r>
      <w:r w:rsidRPr="003A2729">
        <w:rPr>
          <w:rFonts w:ascii="Calibri" w:hAnsi="Calibri" w:cs="Calibri"/>
          <w:sz w:val="24"/>
          <w:szCs w:val="24"/>
          <w:lang w:val="en-GB"/>
        </w:rPr>
        <w:t>gitate the sample</w:t>
      </w:r>
      <w:r w:rsidR="00DC2F5F" w:rsidRPr="003A2729">
        <w:rPr>
          <w:rFonts w:ascii="Calibri" w:hAnsi="Calibri" w:cs="Calibri"/>
          <w:sz w:val="24"/>
          <w:szCs w:val="24"/>
          <w:lang w:val="en-GB"/>
        </w:rPr>
        <w:t xml:space="preserve"> every 2 min</w:t>
      </w:r>
      <w:r w:rsidRPr="003A2729">
        <w:rPr>
          <w:rFonts w:ascii="Calibri" w:hAnsi="Calibri" w:cs="Calibri"/>
          <w:sz w:val="24"/>
          <w:szCs w:val="24"/>
          <w:lang w:val="en-GB"/>
        </w:rPr>
        <w:t xml:space="preserve"> by gently flicking for 10 s to encourage DNA elution.</w:t>
      </w:r>
    </w:p>
    <w:p w14:paraId="4FFC8AF2" w14:textId="77777777" w:rsidR="00E1107B" w:rsidRPr="003A2729" w:rsidRDefault="00E1107B" w:rsidP="00862571">
      <w:pPr>
        <w:contextualSpacing/>
        <w:rPr>
          <w:lang w:val="en-GB"/>
        </w:rPr>
      </w:pPr>
    </w:p>
    <w:p w14:paraId="4B1A567A" w14:textId="495B0718" w:rsidR="000440D5" w:rsidRPr="003A2729" w:rsidRDefault="000440D5"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sz w:val="24"/>
          <w:szCs w:val="24"/>
          <w:lang w:val="en-GB"/>
        </w:rPr>
        <w:t>Pellet the beads</w:t>
      </w:r>
      <w:r w:rsidR="00E1107B" w:rsidRPr="003A2729">
        <w:rPr>
          <w:rFonts w:ascii="Calibri" w:hAnsi="Calibri" w:cs="Calibri"/>
          <w:sz w:val="24"/>
          <w:szCs w:val="24"/>
          <w:lang w:val="en-GB"/>
        </w:rPr>
        <w:t xml:space="preserve"> </w:t>
      </w:r>
      <w:r w:rsidRPr="003A2729">
        <w:rPr>
          <w:rFonts w:ascii="Calibri" w:hAnsi="Calibri" w:cs="Calibri"/>
          <w:sz w:val="24"/>
          <w:szCs w:val="24"/>
          <w:lang w:val="en-GB"/>
        </w:rPr>
        <w:t xml:space="preserve">on a magnet until the eluate is clear and </w:t>
      </w:r>
      <w:r w:rsidR="005717F1" w:rsidRPr="003A2729">
        <w:rPr>
          <w:rFonts w:ascii="Calibri" w:hAnsi="Calibri" w:cs="Calibri"/>
          <w:sz w:val="24"/>
          <w:szCs w:val="24"/>
          <w:lang w:val="en-GB"/>
        </w:rPr>
        <w:t>colourless</w:t>
      </w:r>
      <w:r w:rsidRPr="003A2729">
        <w:rPr>
          <w:rFonts w:ascii="Calibri" w:hAnsi="Calibri" w:cs="Calibri"/>
          <w:sz w:val="24"/>
          <w:szCs w:val="24"/>
          <w:lang w:val="en-GB"/>
        </w:rPr>
        <w:t>, for at least 1 min.</w:t>
      </w:r>
    </w:p>
    <w:p w14:paraId="77FD15AF" w14:textId="77777777" w:rsidR="00E1107B" w:rsidRPr="003A2729" w:rsidRDefault="00E1107B" w:rsidP="00862571">
      <w:pPr>
        <w:contextualSpacing/>
        <w:rPr>
          <w:lang w:val="en-GB"/>
        </w:rPr>
      </w:pPr>
    </w:p>
    <w:p w14:paraId="4C7455D2" w14:textId="20730018" w:rsidR="000440D5" w:rsidRPr="00B6715E" w:rsidRDefault="000440D5"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sz w:val="24"/>
          <w:szCs w:val="24"/>
          <w:lang w:val="en-GB"/>
        </w:rPr>
        <w:t xml:space="preserve">Remove and retain 15 </w:t>
      </w:r>
      <w:r w:rsidR="00DC2F5F" w:rsidRPr="003A2729">
        <w:rPr>
          <w:rFonts w:ascii="Calibri" w:hAnsi="Calibri" w:cs="Calibri"/>
          <w:sz w:val="24"/>
          <w:szCs w:val="24"/>
          <w:lang w:val="en-GB"/>
        </w:rPr>
        <w:t>µL of eluate containing the DNA library into a clean 1.5 mL low-DNA-binding</w:t>
      </w:r>
      <w:r w:rsidR="00B45A7C" w:rsidRPr="003A2729">
        <w:rPr>
          <w:rFonts w:ascii="Calibri" w:hAnsi="Calibri" w:cs="Calibri"/>
          <w:bCs/>
          <w:sz w:val="24"/>
          <w:szCs w:val="24"/>
          <w:lang w:val="en-GB"/>
        </w:rPr>
        <w:t xml:space="preserve"> microcentrifuge tube.</w:t>
      </w:r>
    </w:p>
    <w:p w14:paraId="79A7AD90" w14:textId="77777777" w:rsidR="00B6715E" w:rsidRPr="00B6715E" w:rsidRDefault="00B6715E" w:rsidP="00D50561">
      <w:pPr>
        <w:pStyle w:val="ListParagraph"/>
        <w:spacing w:after="0" w:line="240" w:lineRule="auto"/>
        <w:ind w:left="0"/>
        <w:rPr>
          <w:rFonts w:ascii="Calibri" w:hAnsi="Calibri" w:cs="Calibri"/>
          <w:sz w:val="24"/>
          <w:szCs w:val="24"/>
          <w:lang w:val="en-GB"/>
        </w:rPr>
      </w:pPr>
    </w:p>
    <w:p w14:paraId="4C5A3A1A" w14:textId="02579A69" w:rsidR="00B6715E" w:rsidRPr="003A2729" w:rsidRDefault="00B6715E" w:rsidP="00112A96">
      <w:pPr>
        <w:pStyle w:val="ListParagraph"/>
        <w:numPr>
          <w:ilvl w:val="2"/>
          <w:numId w:val="45"/>
        </w:numPr>
        <w:spacing w:after="0" w:line="240" w:lineRule="auto"/>
        <w:ind w:left="0" w:firstLine="0"/>
        <w:rPr>
          <w:rFonts w:ascii="Calibri" w:hAnsi="Calibri" w:cs="Calibri"/>
          <w:sz w:val="24"/>
          <w:szCs w:val="24"/>
          <w:lang w:val="en-GB"/>
        </w:rPr>
      </w:pPr>
      <w:r w:rsidRPr="003A2729">
        <w:rPr>
          <w:rFonts w:ascii="Calibri" w:hAnsi="Calibri" w:cs="Calibri"/>
          <w:bCs/>
          <w:sz w:val="24"/>
          <w:szCs w:val="24"/>
        </w:rPr>
        <w:t>Quantify the final library using a spectrophotometer.</w:t>
      </w:r>
    </w:p>
    <w:p w14:paraId="0007E877" w14:textId="77777777" w:rsidR="000440D5" w:rsidRPr="003A2729" w:rsidRDefault="000440D5" w:rsidP="00862571">
      <w:pPr>
        <w:contextualSpacing/>
        <w:rPr>
          <w:b/>
        </w:rPr>
      </w:pPr>
    </w:p>
    <w:p w14:paraId="4D1012C6" w14:textId="57260D17" w:rsidR="00AD42E8" w:rsidRPr="003A2729" w:rsidRDefault="00AD42E8" w:rsidP="00862571">
      <w:pPr>
        <w:pStyle w:val="ListParagraph"/>
        <w:numPr>
          <w:ilvl w:val="0"/>
          <w:numId w:val="45"/>
        </w:numPr>
        <w:spacing w:after="0" w:line="240" w:lineRule="auto"/>
        <w:ind w:left="0" w:firstLine="0"/>
        <w:rPr>
          <w:rFonts w:ascii="Calibri" w:hAnsi="Calibri" w:cs="Calibri"/>
          <w:b/>
          <w:sz w:val="24"/>
          <w:szCs w:val="24"/>
        </w:rPr>
      </w:pPr>
      <w:r w:rsidRPr="003A2729">
        <w:rPr>
          <w:rFonts w:ascii="Calibri" w:hAnsi="Calibri" w:cs="Calibri"/>
          <w:b/>
          <w:sz w:val="24"/>
          <w:szCs w:val="24"/>
        </w:rPr>
        <w:t xml:space="preserve">Flow </w:t>
      </w:r>
      <w:r w:rsidR="00862571" w:rsidRPr="003A2729">
        <w:rPr>
          <w:rFonts w:ascii="Calibri" w:hAnsi="Calibri" w:cs="Calibri"/>
          <w:b/>
          <w:sz w:val="24"/>
          <w:szCs w:val="24"/>
        </w:rPr>
        <w:t>c</w:t>
      </w:r>
      <w:r w:rsidRPr="003A2729">
        <w:rPr>
          <w:rFonts w:ascii="Calibri" w:hAnsi="Calibri" w:cs="Calibri"/>
          <w:b/>
          <w:sz w:val="24"/>
          <w:szCs w:val="24"/>
        </w:rPr>
        <w:t xml:space="preserve">ell </w:t>
      </w:r>
      <w:r w:rsidR="00862571" w:rsidRPr="003A2729">
        <w:rPr>
          <w:rFonts w:ascii="Calibri" w:hAnsi="Calibri" w:cs="Calibri"/>
          <w:b/>
          <w:sz w:val="24"/>
          <w:szCs w:val="24"/>
        </w:rPr>
        <w:t>p</w:t>
      </w:r>
      <w:r w:rsidRPr="003A2729">
        <w:rPr>
          <w:rFonts w:ascii="Calibri" w:hAnsi="Calibri" w:cs="Calibri"/>
          <w:b/>
          <w:sz w:val="24"/>
          <w:szCs w:val="24"/>
        </w:rPr>
        <w:t xml:space="preserve">reparation and </w:t>
      </w:r>
      <w:r w:rsidR="00862571" w:rsidRPr="003A2729">
        <w:rPr>
          <w:rFonts w:ascii="Calibri" w:hAnsi="Calibri" w:cs="Calibri"/>
          <w:b/>
          <w:sz w:val="24"/>
          <w:szCs w:val="24"/>
        </w:rPr>
        <w:t>n</w:t>
      </w:r>
      <w:r w:rsidRPr="003A2729">
        <w:rPr>
          <w:rFonts w:ascii="Calibri" w:hAnsi="Calibri" w:cs="Calibri"/>
          <w:b/>
          <w:sz w:val="24"/>
          <w:szCs w:val="24"/>
        </w:rPr>
        <w:t xml:space="preserve">anopore </w:t>
      </w:r>
      <w:r w:rsidR="00862571" w:rsidRPr="003A2729">
        <w:rPr>
          <w:rFonts w:ascii="Calibri" w:hAnsi="Calibri" w:cs="Calibri"/>
          <w:b/>
          <w:sz w:val="24"/>
          <w:szCs w:val="24"/>
        </w:rPr>
        <w:t>s</w:t>
      </w:r>
      <w:r w:rsidRPr="003A2729">
        <w:rPr>
          <w:rFonts w:ascii="Calibri" w:hAnsi="Calibri" w:cs="Calibri"/>
          <w:b/>
          <w:sz w:val="24"/>
          <w:szCs w:val="24"/>
        </w:rPr>
        <w:t>equencing</w:t>
      </w:r>
    </w:p>
    <w:p w14:paraId="1272AE16" w14:textId="77777777" w:rsidR="000173CE" w:rsidRPr="003A2729" w:rsidRDefault="000173CE" w:rsidP="00862571">
      <w:pPr>
        <w:contextualSpacing/>
        <w:rPr>
          <w:b/>
        </w:rPr>
      </w:pPr>
    </w:p>
    <w:p w14:paraId="7CAD2412" w14:textId="03272559" w:rsidR="00AD42E8" w:rsidRPr="003A2729" w:rsidRDefault="00AD42E8" w:rsidP="00862571">
      <w:pPr>
        <w:pStyle w:val="ListParagraph"/>
        <w:numPr>
          <w:ilvl w:val="1"/>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 xml:space="preserve">Flow </w:t>
      </w:r>
      <w:r w:rsidR="00862571" w:rsidRPr="003A2729">
        <w:rPr>
          <w:rFonts w:ascii="Calibri" w:hAnsi="Calibri" w:cs="Calibri"/>
          <w:bCs/>
          <w:sz w:val="24"/>
          <w:szCs w:val="24"/>
        </w:rPr>
        <w:t>c</w:t>
      </w:r>
      <w:r w:rsidRPr="003A2729">
        <w:rPr>
          <w:rFonts w:ascii="Calibri" w:hAnsi="Calibri" w:cs="Calibri"/>
          <w:bCs/>
          <w:sz w:val="24"/>
          <w:szCs w:val="24"/>
        </w:rPr>
        <w:t xml:space="preserve">ell </w:t>
      </w:r>
      <w:r w:rsidR="00862571" w:rsidRPr="003A2729">
        <w:rPr>
          <w:rFonts w:ascii="Calibri" w:hAnsi="Calibri" w:cs="Calibri"/>
          <w:bCs/>
          <w:sz w:val="24"/>
          <w:szCs w:val="24"/>
        </w:rPr>
        <w:t>p</w:t>
      </w:r>
      <w:r w:rsidRPr="003A2729">
        <w:rPr>
          <w:rFonts w:ascii="Calibri" w:hAnsi="Calibri" w:cs="Calibri"/>
          <w:bCs/>
          <w:sz w:val="24"/>
          <w:szCs w:val="24"/>
        </w:rPr>
        <w:t>reparation</w:t>
      </w:r>
    </w:p>
    <w:p w14:paraId="77846467" w14:textId="77777777" w:rsidR="000173CE" w:rsidRPr="003A2729" w:rsidRDefault="000173CE" w:rsidP="00862571">
      <w:pPr>
        <w:contextualSpacing/>
        <w:rPr>
          <w:bCs/>
        </w:rPr>
      </w:pPr>
    </w:p>
    <w:p w14:paraId="194DC732" w14:textId="6485671A" w:rsidR="00AD42E8" w:rsidRPr="003A2729" w:rsidRDefault="00AD42E8" w:rsidP="00112A96">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Inspect the flow cell and confirm ≥80 active pores.</w:t>
      </w:r>
    </w:p>
    <w:p w14:paraId="0216B5EB" w14:textId="77777777" w:rsidR="000173CE" w:rsidRPr="003A2729" w:rsidRDefault="000173CE" w:rsidP="00862571">
      <w:pPr>
        <w:contextualSpacing/>
        <w:rPr>
          <w:bCs/>
        </w:rPr>
      </w:pPr>
    </w:p>
    <w:p w14:paraId="57DF77FE" w14:textId="3F718C78" w:rsidR="00AD42E8" w:rsidRPr="003A2729" w:rsidRDefault="009C6307" w:rsidP="00112A96">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Prepare the priming mixture by combining 117 µL of flush solution with 3 µL of tether</w:t>
      </w:r>
      <w:r w:rsidR="004629AD" w:rsidRPr="003A2729">
        <w:rPr>
          <w:rFonts w:ascii="Calibri" w:hAnsi="Calibri" w:cs="Calibri"/>
          <w:bCs/>
          <w:sz w:val="24"/>
          <w:szCs w:val="24"/>
        </w:rPr>
        <w:t xml:space="preserve"> </w:t>
      </w:r>
      <w:r w:rsidRPr="003A2729">
        <w:rPr>
          <w:rFonts w:ascii="Calibri" w:hAnsi="Calibri" w:cs="Calibri"/>
          <w:bCs/>
          <w:sz w:val="24"/>
          <w:szCs w:val="24"/>
        </w:rPr>
        <w:t>solution in a microcentrifuge tube for a total volume of 120 µL. Mix gently by pipetting to avoid introducing air bubbles. Slowly load the entire 120 µL priming mixture into the flow cell priming port, ensuring that no air bubbles are introduced during loading.</w:t>
      </w:r>
    </w:p>
    <w:p w14:paraId="458398DA" w14:textId="77777777" w:rsidR="000173CE" w:rsidRPr="003A2729" w:rsidRDefault="000173CE" w:rsidP="00862571">
      <w:pPr>
        <w:contextualSpacing/>
        <w:rPr>
          <w:b/>
        </w:rPr>
      </w:pPr>
    </w:p>
    <w:p w14:paraId="330B3945" w14:textId="38FF1D0B" w:rsidR="00AD42E8" w:rsidRPr="0018236D" w:rsidRDefault="00AD42E8" w:rsidP="00862571">
      <w:pPr>
        <w:pStyle w:val="ListParagraph"/>
        <w:numPr>
          <w:ilvl w:val="1"/>
          <w:numId w:val="45"/>
        </w:numPr>
        <w:spacing w:after="0" w:line="240" w:lineRule="auto"/>
        <w:ind w:left="0" w:firstLine="0"/>
        <w:rPr>
          <w:rFonts w:ascii="Calibri" w:hAnsi="Calibri" w:cs="Calibri"/>
          <w:bCs/>
          <w:sz w:val="24"/>
          <w:szCs w:val="24"/>
        </w:rPr>
      </w:pPr>
      <w:r w:rsidRPr="0018236D">
        <w:rPr>
          <w:rFonts w:ascii="Calibri" w:hAnsi="Calibri" w:cs="Calibri"/>
          <w:bCs/>
          <w:sz w:val="24"/>
          <w:szCs w:val="24"/>
        </w:rPr>
        <w:t xml:space="preserve">Library </w:t>
      </w:r>
      <w:r w:rsidR="00862571" w:rsidRPr="0018236D">
        <w:rPr>
          <w:rFonts w:ascii="Calibri" w:hAnsi="Calibri" w:cs="Calibri"/>
          <w:bCs/>
          <w:sz w:val="24"/>
          <w:szCs w:val="24"/>
        </w:rPr>
        <w:t>l</w:t>
      </w:r>
      <w:r w:rsidRPr="0018236D">
        <w:rPr>
          <w:rFonts w:ascii="Calibri" w:hAnsi="Calibri" w:cs="Calibri"/>
          <w:bCs/>
          <w:sz w:val="24"/>
          <w:szCs w:val="24"/>
        </w:rPr>
        <w:t xml:space="preserve">oading and </w:t>
      </w:r>
      <w:r w:rsidR="00862571" w:rsidRPr="0018236D">
        <w:rPr>
          <w:rFonts w:ascii="Calibri" w:hAnsi="Calibri" w:cs="Calibri"/>
          <w:bCs/>
          <w:sz w:val="24"/>
          <w:szCs w:val="24"/>
        </w:rPr>
        <w:t>s</w:t>
      </w:r>
      <w:r w:rsidRPr="0018236D">
        <w:rPr>
          <w:rFonts w:ascii="Calibri" w:hAnsi="Calibri" w:cs="Calibri"/>
          <w:bCs/>
          <w:sz w:val="24"/>
          <w:szCs w:val="24"/>
        </w:rPr>
        <w:t>equencing</w:t>
      </w:r>
    </w:p>
    <w:p w14:paraId="33EB6CDC" w14:textId="77777777" w:rsidR="000173CE" w:rsidRPr="003A2729" w:rsidRDefault="000173CE" w:rsidP="00862571">
      <w:pPr>
        <w:contextualSpacing/>
        <w:rPr>
          <w:bCs/>
        </w:rPr>
      </w:pPr>
    </w:p>
    <w:p w14:paraId="50A0D86B" w14:textId="7CDCA02F" w:rsidR="00AD42E8" w:rsidRPr="003A2729" w:rsidRDefault="007A0D41" w:rsidP="00112A96">
      <w:pPr>
        <w:pStyle w:val="ListParagraph"/>
        <w:numPr>
          <w:ilvl w:val="2"/>
          <w:numId w:val="45"/>
        </w:numPr>
        <w:spacing w:after="0" w:line="240" w:lineRule="auto"/>
        <w:ind w:left="0" w:firstLine="0"/>
        <w:rPr>
          <w:rFonts w:ascii="Calibri" w:hAnsi="Calibri" w:cs="Calibri"/>
          <w:bCs/>
          <w:sz w:val="24"/>
          <w:szCs w:val="24"/>
        </w:rPr>
      </w:pPr>
      <w:r w:rsidRPr="007A0D41">
        <w:rPr>
          <w:rFonts w:ascii="Calibri" w:hAnsi="Calibri" w:cs="Calibri"/>
          <w:bCs/>
          <w:sz w:val="24"/>
          <w:szCs w:val="24"/>
        </w:rPr>
        <w:t>Prepare the sequencing mix by combining 15 µL of Sequencing Buffer (SB), 10 µL of Library Beads (LIB), and 5 µL of DNA library. Mix gently by pipetting up and down 3–5 times to avoid introducing bubbles. The resulting 30 µL sequencing mix is ready to load or can be adjusted to 45 µL if needed.</w:t>
      </w:r>
      <w:r>
        <w:rPr>
          <w:rFonts w:ascii="Calibri" w:hAnsi="Calibri" w:cs="Calibri"/>
          <w:bCs/>
          <w:sz w:val="24"/>
          <w:szCs w:val="24"/>
        </w:rPr>
        <w:t xml:space="preserve"> </w:t>
      </w:r>
    </w:p>
    <w:p w14:paraId="2A97AFE7" w14:textId="77777777" w:rsidR="000173CE" w:rsidRPr="003A2729" w:rsidRDefault="000173CE" w:rsidP="00862571">
      <w:pPr>
        <w:contextualSpacing/>
        <w:rPr>
          <w:bCs/>
        </w:rPr>
      </w:pPr>
    </w:p>
    <w:p w14:paraId="459B5E3B" w14:textId="36231BFC" w:rsidR="00AD42E8" w:rsidRPr="003A2729" w:rsidRDefault="008D0B9D" w:rsidP="00112A96">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Slowly load 30–45 µL of the sequencing mix into the flow cell sample port by dispensing the solution dropwise. Avoid introducing air bubbles and do not allow the pipette tip to touch the membrane. Close the loading port securely after dispensing.</w:t>
      </w:r>
    </w:p>
    <w:p w14:paraId="571E77A9" w14:textId="77777777" w:rsidR="000173CE" w:rsidRPr="003A2729" w:rsidRDefault="000173CE" w:rsidP="00862571">
      <w:pPr>
        <w:contextualSpacing/>
        <w:rPr>
          <w:bCs/>
        </w:rPr>
      </w:pPr>
    </w:p>
    <w:p w14:paraId="747AE3B5" w14:textId="4CCDCF3D" w:rsidR="00AD42E8" w:rsidRPr="003A2729" w:rsidRDefault="00AD42E8" w:rsidP="00112A96">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Start sequencing with real-time base</w:t>
      </w:r>
      <w:r w:rsidR="00B57CBC" w:rsidRPr="003A2729">
        <w:rPr>
          <w:rFonts w:ascii="Calibri" w:hAnsi="Calibri" w:cs="Calibri"/>
          <w:bCs/>
          <w:sz w:val="24"/>
          <w:szCs w:val="24"/>
        </w:rPr>
        <w:t xml:space="preserve"> </w:t>
      </w:r>
      <w:r w:rsidRPr="003A2729">
        <w:rPr>
          <w:rFonts w:ascii="Calibri" w:hAnsi="Calibri" w:cs="Calibri"/>
          <w:bCs/>
          <w:sz w:val="24"/>
          <w:szCs w:val="24"/>
        </w:rPr>
        <w:t>calling enabled and monitor pore activity.</w:t>
      </w:r>
    </w:p>
    <w:p w14:paraId="3053538B" w14:textId="77777777" w:rsidR="001D3B8F" w:rsidRPr="003A2729" w:rsidRDefault="001D3B8F" w:rsidP="00862571">
      <w:pPr>
        <w:contextualSpacing/>
        <w:rPr>
          <w:bCs/>
        </w:rPr>
      </w:pPr>
    </w:p>
    <w:p w14:paraId="7818EAAF" w14:textId="1F798B60" w:rsidR="00AD42E8" w:rsidRPr="003A2729" w:rsidRDefault="00AD42E8" w:rsidP="00112A96">
      <w:pPr>
        <w:pStyle w:val="ListParagraph"/>
        <w:numPr>
          <w:ilvl w:val="2"/>
          <w:numId w:val="45"/>
        </w:numPr>
        <w:spacing w:after="0" w:line="240" w:lineRule="auto"/>
        <w:ind w:left="0" w:firstLine="0"/>
        <w:rPr>
          <w:rFonts w:ascii="Calibri" w:hAnsi="Calibri" w:cs="Calibri"/>
          <w:bCs/>
          <w:sz w:val="24"/>
          <w:szCs w:val="24"/>
        </w:rPr>
      </w:pPr>
      <w:r w:rsidRPr="003A2729">
        <w:rPr>
          <w:rFonts w:ascii="Calibri" w:hAnsi="Calibri" w:cs="Calibri"/>
          <w:bCs/>
          <w:sz w:val="24"/>
          <w:szCs w:val="24"/>
        </w:rPr>
        <w:t>Continue sequencing until ≥</w:t>
      </w:r>
      <w:r w:rsidR="007A793F" w:rsidRPr="003A2729">
        <w:rPr>
          <w:rFonts w:ascii="Calibri" w:hAnsi="Calibri" w:cs="Calibri"/>
          <w:bCs/>
          <w:sz w:val="24"/>
          <w:szCs w:val="24"/>
        </w:rPr>
        <w:t>500</w:t>
      </w:r>
      <w:r w:rsidRPr="003A2729">
        <w:rPr>
          <w:rFonts w:ascii="Calibri" w:hAnsi="Calibri" w:cs="Calibri"/>
          <w:bCs/>
          <w:sz w:val="24"/>
          <w:szCs w:val="24"/>
        </w:rPr>
        <w:t>× coverage per amplicon is achieved (recommended ≥1000×)</w:t>
      </w:r>
      <w:r w:rsidR="0056021E" w:rsidRPr="003A2729">
        <w:rPr>
          <w:rFonts w:ascii="Calibri" w:hAnsi="Calibri" w:cs="Calibri"/>
          <w:bCs/>
          <w:sz w:val="24"/>
          <w:szCs w:val="24"/>
        </w:rPr>
        <w:t>, to ensure sufficient read depth for accurate base calling, reliable consensus sequence generation</w:t>
      </w:r>
      <w:r w:rsidR="003A2729">
        <w:rPr>
          <w:rFonts w:ascii="Calibri" w:hAnsi="Calibri" w:cs="Calibri"/>
          <w:bCs/>
          <w:sz w:val="24"/>
          <w:szCs w:val="24"/>
        </w:rPr>
        <w:t>,</w:t>
      </w:r>
      <w:r w:rsidR="0056021E" w:rsidRPr="003A2729">
        <w:rPr>
          <w:rFonts w:ascii="Calibri" w:hAnsi="Calibri" w:cs="Calibri"/>
          <w:bCs/>
          <w:sz w:val="24"/>
          <w:szCs w:val="24"/>
        </w:rPr>
        <w:t xml:space="preserve"> and confident detection of low-frequency variants.</w:t>
      </w:r>
    </w:p>
    <w:p w14:paraId="5A2208C1" w14:textId="77777777" w:rsidR="00697EEA" w:rsidRPr="003A2729" w:rsidRDefault="00697EEA" w:rsidP="00697EEA">
      <w:pPr>
        <w:pStyle w:val="ListParagraph"/>
        <w:spacing w:after="0"/>
        <w:rPr>
          <w:rFonts w:ascii="Calibri" w:hAnsi="Calibri" w:cs="Calibri"/>
          <w:bCs/>
          <w:sz w:val="24"/>
          <w:szCs w:val="24"/>
        </w:rPr>
      </w:pPr>
    </w:p>
    <w:p w14:paraId="5BC3CF50" w14:textId="1EE7B9C8" w:rsidR="00662515" w:rsidRPr="003A2729" w:rsidRDefault="00662515" w:rsidP="006625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3A2729">
        <w:rPr>
          <w:bCs/>
        </w:rPr>
        <w:t>N</w:t>
      </w:r>
      <w:r w:rsidR="00697EEA" w:rsidRPr="003A2729">
        <w:rPr>
          <w:bCs/>
        </w:rPr>
        <w:t>OTE</w:t>
      </w:r>
      <w:r w:rsidRPr="003A2729">
        <w:rPr>
          <w:bCs/>
        </w:rPr>
        <w:t xml:space="preserve">: </w:t>
      </w:r>
      <w:r w:rsidRPr="003A2729">
        <w:t>If low sequencing coverage is apparent</w:t>
      </w:r>
      <w:r w:rsidR="00697EEA" w:rsidRPr="003A2729">
        <w:t xml:space="preserve">, ensure high-quality amplicon input at the required concentration, sufficient active flow cell pores, and extend the sequencing to achieve the </w:t>
      </w:r>
      <w:r w:rsidRPr="003A2729">
        <w:t>recommended coverage.</w:t>
      </w:r>
    </w:p>
    <w:p w14:paraId="6F573AEB" w14:textId="77777777" w:rsidR="000173CE" w:rsidRPr="003A2729" w:rsidRDefault="000173CE" w:rsidP="005F0976">
      <w:pPr>
        <w:contextualSpacing/>
        <w:rPr>
          <w:b/>
        </w:rPr>
      </w:pPr>
    </w:p>
    <w:p w14:paraId="3D5BC59E" w14:textId="3E6D3848" w:rsidR="00994925" w:rsidRPr="003A2729" w:rsidRDefault="00994925" w:rsidP="00C111D7">
      <w:pPr>
        <w:pStyle w:val="ListParagraph"/>
        <w:numPr>
          <w:ilvl w:val="0"/>
          <w:numId w:val="45"/>
        </w:numPr>
        <w:spacing w:after="0" w:line="240" w:lineRule="auto"/>
        <w:ind w:left="0" w:firstLine="0"/>
        <w:jc w:val="both"/>
        <w:rPr>
          <w:rFonts w:ascii="Calibri" w:hAnsi="Calibri" w:cs="Calibri"/>
          <w:b/>
          <w:bCs/>
          <w:sz w:val="24"/>
          <w:szCs w:val="24"/>
          <w:lang w:val="en-GB"/>
        </w:rPr>
      </w:pPr>
      <w:r w:rsidRPr="003A2729">
        <w:rPr>
          <w:rFonts w:ascii="Calibri" w:hAnsi="Calibri" w:cs="Calibri"/>
          <w:b/>
          <w:bCs/>
          <w:sz w:val="24"/>
          <w:szCs w:val="24"/>
          <w:lang w:val="en-GB"/>
        </w:rPr>
        <w:lastRenderedPageBreak/>
        <w:t xml:space="preserve">Data </w:t>
      </w:r>
      <w:r w:rsidR="00862571" w:rsidRPr="003A2729">
        <w:rPr>
          <w:rFonts w:ascii="Calibri" w:hAnsi="Calibri" w:cs="Calibri"/>
          <w:b/>
          <w:bCs/>
          <w:sz w:val="24"/>
          <w:szCs w:val="24"/>
          <w:lang w:val="en-GB"/>
        </w:rPr>
        <w:t>p</w:t>
      </w:r>
      <w:r w:rsidRPr="003A2729">
        <w:rPr>
          <w:rFonts w:ascii="Calibri" w:hAnsi="Calibri" w:cs="Calibri"/>
          <w:b/>
          <w:bCs/>
          <w:sz w:val="24"/>
          <w:szCs w:val="24"/>
          <w:lang w:val="en-GB"/>
        </w:rPr>
        <w:t xml:space="preserve">rocessing and </w:t>
      </w:r>
      <w:r w:rsidR="00862571" w:rsidRPr="003A2729">
        <w:rPr>
          <w:rFonts w:ascii="Calibri" w:hAnsi="Calibri" w:cs="Calibri"/>
          <w:b/>
          <w:bCs/>
          <w:sz w:val="24"/>
          <w:szCs w:val="24"/>
          <w:lang w:val="en-GB"/>
        </w:rPr>
        <w:t>v</w:t>
      </w:r>
      <w:r w:rsidRPr="003A2729">
        <w:rPr>
          <w:rFonts w:ascii="Calibri" w:hAnsi="Calibri" w:cs="Calibri"/>
          <w:b/>
          <w:bCs/>
          <w:sz w:val="24"/>
          <w:szCs w:val="24"/>
          <w:lang w:val="en-GB"/>
        </w:rPr>
        <w:t xml:space="preserve">ariant </w:t>
      </w:r>
      <w:r w:rsidR="00862571" w:rsidRPr="003A2729">
        <w:rPr>
          <w:rFonts w:ascii="Calibri" w:hAnsi="Calibri" w:cs="Calibri"/>
          <w:b/>
          <w:bCs/>
          <w:sz w:val="24"/>
          <w:szCs w:val="24"/>
          <w:lang w:val="en-GB"/>
        </w:rPr>
        <w:t>a</w:t>
      </w:r>
      <w:r w:rsidRPr="003A2729">
        <w:rPr>
          <w:rFonts w:ascii="Calibri" w:hAnsi="Calibri" w:cs="Calibri"/>
          <w:b/>
          <w:bCs/>
          <w:sz w:val="24"/>
          <w:szCs w:val="24"/>
          <w:lang w:val="en-GB"/>
        </w:rPr>
        <w:t>nalysis</w:t>
      </w:r>
    </w:p>
    <w:p w14:paraId="2D2BD773" w14:textId="77777777" w:rsidR="008F1B99" w:rsidRPr="003A2729" w:rsidRDefault="008F1B99" w:rsidP="005F0976">
      <w:pPr>
        <w:contextualSpacing/>
        <w:rPr>
          <w:b/>
          <w:bCs/>
          <w:lang w:val="en-GB"/>
        </w:rPr>
      </w:pPr>
    </w:p>
    <w:p w14:paraId="04B91FBC" w14:textId="3B51AB2A"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Base-calling and </w:t>
      </w:r>
      <w:r w:rsidR="00862571" w:rsidRPr="003A2729">
        <w:rPr>
          <w:rFonts w:ascii="Calibri" w:hAnsi="Calibri" w:cs="Calibri"/>
          <w:sz w:val="24"/>
          <w:szCs w:val="24"/>
          <w:lang w:val="en-GB"/>
        </w:rPr>
        <w:t>d</w:t>
      </w:r>
      <w:r w:rsidRPr="003A2729">
        <w:rPr>
          <w:rFonts w:ascii="Calibri" w:hAnsi="Calibri" w:cs="Calibri"/>
          <w:sz w:val="24"/>
          <w:szCs w:val="24"/>
          <w:lang w:val="en-GB"/>
        </w:rPr>
        <w:t>emultiplexing</w:t>
      </w:r>
    </w:p>
    <w:p w14:paraId="13257A00" w14:textId="77777777" w:rsidR="00994925" w:rsidRPr="003A2729" w:rsidRDefault="00994925" w:rsidP="005F0976">
      <w:pPr>
        <w:contextualSpacing/>
        <w:rPr>
          <w:lang w:val="en-GB"/>
        </w:rPr>
      </w:pPr>
    </w:p>
    <w:p w14:paraId="4D0320E6" w14:textId="3059E09D"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Perform high-accuracy base-calling using platform-associated base-calling software with default high-accuracy settings to generate per-sample FASTQ files. Demultiplex reads by barcode and retain only reads passing quality control filters.</w:t>
      </w:r>
    </w:p>
    <w:p w14:paraId="0C11FAD7" w14:textId="3834EF69" w:rsidR="00994925" w:rsidRPr="003A2729" w:rsidRDefault="00994925" w:rsidP="005F0976">
      <w:pPr>
        <w:contextualSpacing/>
        <w:rPr>
          <w:lang w:val="en-GB"/>
        </w:rPr>
      </w:pPr>
    </w:p>
    <w:p w14:paraId="28D0B112" w14:textId="47706041"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Read </w:t>
      </w:r>
      <w:r w:rsidR="00862571" w:rsidRPr="003A2729">
        <w:rPr>
          <w:rFonts w:ascii="Calibri" w:hAnsi="Calibri" w:cs="Calibri"/>
          <w:sz w:val="24"/>
          <w:szCs w:val="24"/>
          <w:lang w:val="en-GB"/>
        </w:rPr>
        <w:t>m</w:t>
      </w:r>
      <w:r w:rsidRPr="003A2729">
        <w:rPr>
          <w:rFonts w:ascii="Calibri" w:hAnsi="Calibri" w:cs="Calibri"/>
          <w:sz w:val="24"/>
          <w:szCs w:val="24"/>
          <w:lang w:val="en-GB"/>
        </w:rPr>
        <w:t xml:space="preserve">apping and BAM </w:t>
      </w:r>
      <w:r w:rsidR="00862571" w:rsidRPr="003A2729">
        <w:rPr>
          <w:rFonts w:ascii="Calibri" w:hAnsi="Calibri" w:cs="Calibri"/>
          <w:sz w:val="24"/>
          <w:szCs w:val="24"/>
          <w:lang w:val="en-GB"/>
        </w:rPr>
        <w:t>p</w:t>
      </w:r>
      <w:r w:rsidRPr="003A2729">
        <w:rPr>
          <w:rFonts w:ascii="Calibri" w:hAnsi="Calibri" w:cs="Calibri"/>
          <w:sz w:val="24"/>
          <w:szCs w:val="24"/>
          <w:lang w:val="en-GB"/>
        </w:rPr>
        <w:t>rocessing</w:t>
      </w:r>
    </w:p>
    <w:p w14:paraId="0B02D585" w14:textId="77777777" w:rsidR="00DC2F5F" w:rsidRPr="003A2729" w:rsidRDefault="00DC2F5F" w:rsidP="00C111D7">
      <w:pPr>
        <w:pStyle w:val="ListParagraph"/>
        <w:spacing w:after="0" w:line="240" w:lineRule="auto"/>
        <w:ind w:left="0"/>
        <w:jc w:val="both"/>
        <w:rPr>
          <w:rFonts w:ascii="Calibri" w:hAnsi="Calibri" w:cs="Calibri"/>
          <w:sz w:val="24"/>
          <w:szCs w:val="24"/>
          <w:lang w:val="en-GB"/>
        </w:rPr>
      </w:pPr>
    </w:p>
    <w:p w14:paraId="6925C465" w14:textId="61CA75DF"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Download the </w:t>
      </w:r>
      <w:r w:rsidRPr="003A2729">
        <w:rPr>
          <w:rFonts w:ascii="Calibri" w:hAnsi="Calibri" w:cs="Calibri"/>
          <w:i/>
          <w:iCs/>
          <w:sz w:val="24"/>
          <w:szCs w:val="24"/>
          <w:lang w:val="en-GB"/>
        </w:rPr>
        <w:t>Toxoplasma gondii</w:t>
      </w:r>
      <w:r w:rsidRPr="003A2729">
        <w:rPr>
          <w:rFonts w:ascii="Calibri" w:hAnsi="Calibri" w:cs="Calibri"/>
          <w:sz w:val="24"/>
          <w:szCs w:val="24"/>
          <w:lang w:val="en-GB"/>
        </w:rPr>
        <w:t xml:space="preserve"> reference genome assembly GCF_000006565.2 (TGA4) from the National </w:t>
      </w:r>
      <w:proofErr w:type="spellStart"/>
      <w:r w:rsidRPr="003A2729">
        <w:rPr>
          <w:rFonts w:ascii="Calibri" w:hAnsi="Calibri" w:cs="Calibri"/>
          <w:sz w:val="24"/>
          <w:szCs w:val="24"/>
          <w:lang w:val="en-GB"/>
        </w:rPr>
        <w:t>Center</w:t>
      </w:r>
      <w:proofErr w:type="spellEnd"/>
      <w:r w:rsidRPr="003A2729">
        <w:rPr>
          <w:rFonts w:ascii="Calibri" w:hAnsi="Calibri" w:cs="Calibri"/>
          <w:sz w:val="24"/>
          <w:szCs w:val="24"/>
          <w:lang w:val="en-GB"/>
        </w:rPr>
        <w:t xml:space="preserve"> for Biotechnology Information (NCBI) genome database. Extract chromosome VIII (NC_031476.1) for </w:t>
      </w:r>
      <w:r w:rsidRPr="003A2729">
        <w:rPr>
          <w:rFonts w:ascii="Calibri" w:hAnsi="Calibri" w:cs="Calibri"/>
          <w:i/>
          <w:iCs/>
          <w:sz w:val="24"/>
          <w:szCs w:val="24"/>
          <w:lang w:val="en-GB"/>
        </w:rPr>
        <w:t>SAG2</w:t>
      </w:r>
      <w:r w:rsidRPr="003A2729">
        <w:rPr>
          <w:rFonts w:ascii="Calibri" w:hAnsi="Calibri" w:cs="Calibri"/>
          <w:sz w:val="24"/>
          <w:szCs w:val="24"/>
          <w:lang w:val="en-GB"/>
        </w:rPr>
        <w:t xml:space="preserve"> analysis and chromosome XII (NC_031480.1) for </w:t>
      </w:r>
      <w:r w:rsidRPr="003A2729">
        <w:rPr>
          <w:rFonts w:ascii="Calibri" w:hAnsi="Calibri" w:cs="Calibri"/>
          <w:i/>
          <w:iCs/>
          <w:sz w:val="24"/>
          <w:szCs w:val="24"/>
          <w:lang w:val="en-GB"/>
        </w:rPr>
        <w:t>SAG3</w:t>
      </w:r>
      <w:r w:rsidRPr="003A2729">
        <w:rPr>
          <w:rFonts w:ascii="Calibri" w:hAnsi="Calibri" w:cs="Calibri"/>
          <w:sz w:val="24"/>
          <w:szCs w:val="24"/>
          <w:lang w:val="en-GB"/>
        </w:rPr>
        <w:t xml:space="preserve"> analysis. Index the reference sequences using </w:t>
      </w:r>
      <w:proofErr w:type="spellStart"/>
      <w:r w:rsidRPr="003A2729">
        <w:rPr>
          <w:rFonts w:ascii="Calibri" w:hAnsi="Calibri" w:cs="Calibri"/>
          <w:sz w:val="24"/>
          <w:szCs w:val="24"/>
          <w:lang w:val="en-GB"/>
        </w:rPr>
        <w:t>SAMtools</w:t>
      </w:r>
      <w:proofErr w:type="spellEnd"/>
      <w:r w:rsidRPr="003A2729">
        <w:rPr>
          <w:rFonts w:ascii="Calibri" w:hAnsi="Calibri" w:cs="Calibri"/>
          <w:sz w:val="24"/>
          <w:szCs w:val="24"/>
          <w:lang w:val="en-GB"/>
        </w:rPr>
        <w:t xml:space="preserve"> and generate an alignment index using a long-read alignment index builder.</w:t>
      </w:r>
    </w:p>
    <w:p w14:paraId="04183698" w14:textId="77777777" w:rsidR="00994925" w:rsidRPr="003A2729" w:rsidRDefault="00994925" w:rsidP="005F0976">
      <w:pPr>
        <w:contextualSpacing/>
        <w:rPr>
          <w:lang w:val="en-GB"/>
        </w:rPr>
      </w:pPr>
    </w:p>
    <w:p w14:paraId="68EC541F" w14:textId="36FA2A14"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Map reads to the indexed reference genome using a long-read alignment algorithm optimized for nanopore sequencing data (e.g., preset for long-read mapping; -</w:t>
      </w:r>
      <w:proofErr w:type="spellStart"/>
      <w:r w:rsidRPr="003A2729">
        <w:rPr>
          <w:rFonts w:ascii="Calibri" w:hAnsi="Calibri" w:cs="Calibri"/>
          <w:sz w:val="24"/>
          <w:szCs w:val="24"/>
          <w:lang w:val="en-GB"/>
        </w:rPr>
        <w:t>ax</w:t>
      </w:r>
      <w:proofErr w:type="spellEnd"/>
      <w:r w:rsidRPr="003A2729">
        <w:rPr>
          <w:rFonts w:ascii="Calibri" w:hAnsi="Calibri" w:cs="Calibri"/>
          <w:sz w:val="24"/>
          <w:szCs w:val="24"/>
          <w:lang w:val="en-GB"/>
        </w:rPr>
        <w:t xml:space="preserve"> map-</w:t>
      </w:r>
      <w:proofErr w:type="spellStart"/>
      <w:r w:rsidRPr="003A2729">
        <w:rPr>
          <w:rFonts w:ascii="Calibri" w:hAnsi="Calibri" w:cs="Calibri"/>
          <w:sz w:val="24"/>
          <w:szCs w:val="24"/>
          <w:lang w:val="en-GB"/>
        </w:rPr>
        <w:t>ont</w:t>
      </w:r>
      <w:proofErr w:type="spellEnd"/>
      <w:r w:rsidRPr="003A2729">
        <w:rPr>
          <w:rFonts w:ascii="Calibri" w:hAnsi="Calibri" w:cs="Calibri"/>
          <w:sz w:val="24"/>
          <w:szCs w:val="24"/>
          <w:lang w:val="en-GB"/>
        </w:rPr>
        <w:t>)</w:t>
      </w:r>
      <w:r w:rsidR="0030665D">
        <w:rPr>
          <w:rFonts w:ascii="Calibri" w:hAnsi="Calibri" w:cs="Calibri"/>
          <w:sz w:val="24"/>
          <w:szCs w:val="24"/>
          <w:lang w:val="en-GB"/>
        </w:rPr>
        <w:t>.</w:t>
      </w:r>
    </w:p>
    <w:p w14:paraId="0F0E55AD" w14:textId="77777777" w:rsidR="00994925" w:rsidRPr="003A2729" w:rsidRDefault="00994925" w:rsidP="005F0976">
      <w:pPr>
        <w:contextualSpacing/>
        <w:rPr>
          <w:lang w:val="en-GB"/>
        </w:rPr>
      </w:pPr>
    </w:p>
    <w:p w14:paraId="4D6405A6" w14:textId="2F6097CA"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Convert alignment output to BAM format, sort, and index BAM files using </w:t>
      </w:r>
      <w:proofErr w:type="spellStart"/>
      <w:r w:rsidRPr="003A2729">
        <w:rPr>
          <w:rFonts w:ascii="Calibri" w:hAnsi="Calibri" w:cs="Calibri"/>
          <w:sz w:val="24"/>
          <w:szCs w:val="24"/>
          <w:lang w:val="en-GB"/>
        </w:rPr>
        <w:t>SAMtools</w:t>
      </w:r>
      <w:proofErr w:type="spellEnd"/>
      <w:r w:rsidRPr="003A2729">
        <w:rPr>
          <w:rFonts w:ascii="Calibri" w:hAnsi="Calibri" w:cs="Calibri"/>
          <w:sz w:val="24"/>
          <w:szCs w:val="24"/>
          <w:lang w:val="en-GB"/>
        </w:rPr>
        <w:t xml:space="preserve">. Add read group information to each BAM file using Picard tools. Calculate average coverage per locus using depth statistics and generate mapping statistics using </w:t>
      </w:r>
      <w:proofErr w:type="spellStart"/>
      <w:r w:rsidRPr="003A2729">
        <w:rPr>
          <w:rFonts w:ascii="Calibri" w:hAnsi="Calibri" w:cs="Calibri"/>
          <w:sz w:val="24"/>
          <w:szCs w:val="24"/>
          <w:lang w:val="en-GB"/>
        </w:rPr>
        <w:t>flagstat</w:t>
      </w:r>
      <w:proofErr w:type="spellEnd"/>
      <w:r w:rsidRPr="003A2729">
        <w:rPr>
          <w:rFonts w:ascii="Calibri" w:hAnsi="Calibri" w:cs="Calibri"/>
          <w:sz w:val="24"/>
          <w:szCs w:val="24"/>
          <w:lang w:val="en-GB"/>
        </w:rPr>
        <w:t xml:space="preserve"> metrics.</w:t>
      </w:r>
    </w:p>
    <w:p w14:paraId="113989B9" w14:textId="244B75BC" w:rsidR="00994925" w:rsidRPr="003A2729" w:rsidRDefault="00994925" w:rsidP="005F0976">
      <w:pPr>
        <w:contextualSpacing/>
        <w:rPr>
          <w:lang w:val="en-GB"/>
        </w:rPr>
      </w:pPr>
    </w:p>
    <w:p w14:paraId="3686ECE3" w14:textId="470C32CE"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rPr>
        <w:t>Consensus</w:t>
      </w:r>
      <w:r w:rsidRPr="003A2729">
        <w:rPr>
          <w:rFonts w:ascii="Calibri" w:hAnsi="Calibri" w:cs="Calibri"/>
          <w:sz w:val="24"/>
          <w:szCs w:val="24"/>
          <w:lang w:val="en-GB"/>
        </w:rPr>
        <w:t xml:space="preserve"> </w:t>
      </w:r>
      <w:r w:rsidR="00862571" w:rsidRPr="003A2729">
        <w:rPr>
          <w:rFonts w:ascii="Calibri" w:hAnsi="Calibri" w:cs="Calibri"/>
          <w:sz w:val="24"/>
          <w:szCs w:val="24"/>
          <w:lang w:val="en-GB"/>
        </w:rPr>
        <w:t>s</w:t>
      </w:r>
      <w:r w:rsidRPr="003A2729">
        <w:rPr>
          <w:rFonts w:ascii="Calibri" w:hAnsi="Calibri" w:cs="Calibri"/>
          <w:sz w:val="24"/>
          <w:szCs w:val="24"/>
          <w:lang w:val="en-GB"/>
        </w:rPr>
        <w:t xml:space="preserve">equence </w:t>
      </w:r>
      <w:r w:rsidR="00862571" w:rsidRPr="003A2729">
        <w:rPr>
          <w:rFonts w:ascii="Calibri" w:hAnsi="Calibri" w:cs="Calibri"/>
          <w:sz w:val="24"/>
          <w:szCs w:val="24"/>
          <w:lang w:val="en-GB"/>
        </w:rPr>
        <w:t>g</w:t>
      </w:r>
      <w:r w:rsidRPr="003A2729">
        <w:rPr>
          <w:rFonts w:ascii="Calibri" w:hAnsi="Calibri" w:cs="Calibri"/>
          <w:sz w:val="24"/>
          <w:szCs w:val="24"/>
          <w:lang w:val="en-GB"/>
        </w:rPr>
        <w:t>eneration</w:t>
      </w:r>
    </w:p>
    <w:p w14:paraId="5A6D9745" w14:textId="77777777" w:rsidR="00112A96" w:rsidRPr="003A2729" w:rsidRDefault="00112A96" w:rsidP="00C111D7">
      <w:pPr>
        <w:pStyle w:val="ListParagraph"/>
        <w:spacing w:after="0" w:line="240" w:lineRule="auto"/>
        <w:ind w:left="0"/>
        <w:jc w:val="both"/>
        <w:rPr>
          <w:rFonts w:ascii="Calibri" w:hAnsi="Calibri" w:cs="Calibri"/>
          <w:sz w:val="24"/>
          <w:szCs w:val="24"/>
          <w:lang w:val="en-GB"/>
        </w:rPr>
      </w:pPr>
    </w:p>
    <w:p w14:paraId="321E4201" w14:textId="362D169C"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Generate per-amplicon consensus sequences using a neural network–based consensus polishing algorithm with default </w:t>
      </w:r>
      <w:proofErr w:type="spellStart"/>
      <w:r w:rsidRPr="003A2729">
        <w:rPr>
          <w:rFonts w:ascii="Calibri" w:hAnsi="Calibri" w:cs="Calibri"/>
          <w:sz w:val="24"/>
          <w:szCs w:val="24"/>
          <w:lang w:val="en-GB"/>
        </w:rPr>
        <w:t>parameters</w:t>
      </w:r>
      <w:r w:rsidR="0030665D">
        <w:rPr>
          <w:rFonts w:ascii="Calibri" w:hAnsi="Calibri" w:cs="Calibri"/>
          <w:sz w:val="24"/>
          <w:szCs w:val="24"/>
          <w:lang w:val="en-GB"/>
        </w:rPr>
        <w:t>.</w:t>
      </w:r>
      <w:r w:rsidRPr="003A2729">
        <w:rPr>
          <w:rFonts w:ascii="Calibri" w:hAnsi="Calibri" w:cs="Calibri"/>
          <w:sz w:val="24"/>
          <w:szCs w:val="24"/>
          <w:lang w:val="en-GB"/>
        </w:rPr>
        <w:t>Export</w:t>
      </w:r>
      <w:proofErr w:type="spellEnd"/>
      <w:r w:rsidRPr="003A2729">
        <w:rPr>
          <w:rFonts w:ascii="Calibri" w:hAnsi="Calibri" w:cs="Calibri"/>
          <w:sz w:val="24"/>
          <w:szCs w:val="24"/>
          <w:lang w:val="en-GB"/>
        </w:rPr>
        <w:t xml:space="preserve"> consensus sequences in FASTA format for downstream analysis.</w:t>
      </w:r>
    </w:p>
    <w:p w14:paraId="18BE53B1" w14:textId="77777777" w:rsidR="00994925" w:rsidRPr="003A2729" w:rsidRDefault="00994925" w:rsidP="005F0976">
      <w:pPr>
        <w:contextualSpacing/>
        <w:rPr>
          <w:lang w:val="en-GB"/>
        </w:rPr>
      </w:pPr>
    </w:p>
    <w:p w14:paraId="4DD6E778" w14:textId="4D0A53E5"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Perform reference-based alignment and comparative sequence analysis using publicly available genomic databases. Visualize read alignments and polymorphic positions using genome visualization software.</w:t>
      </w:r>
    </w:p>
    <w:p w14:paraId="487ACEE5" w14:textId="7A730DB5" w:rsidR="00994925" w:rsidRPr="003A2729" w:rsidRDefault="00994925" w:rsidP="005F0976">
      <w:pPr>
        <w:contextualSpacing/>
        <w:rPr>
          <w:lang w:val="en-GB"/>
        </w:rPr>
      </w:pPr>
    </w:p>
    <w:p w14:paraId="2A5FFB0A" w14:textId="33FF5375"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Variant </w:t>
      </w:r>
      <w:r w:rsidR="00862571" w:rsidRPr="003A2729">
        <w:rPr>
          <w:rFonts w:ascii="Calibri" w:hAnsi="Calibri" w:cs="Calibri"/>
          <w:sz w:val="24"/>
          <w:szCs w:val="24"/>
          <w:lang w:val="en-GB"/>
        </w:rPr>
        <w:t>c</w:t>
      </w:r>
      <w:r w:rsidRPr="003A2729">
        <w:rPr>
          <w:rFonts w:ascii="Calibri" w:hAnsi="Calibri" w:cs="Calibri"/>
          <w:sz w:val="24"/>
          <w:szCs w:val="24"/>
          <w:lang w:val="en-GB"/>
        </w:rPr>
        <w:t>alling</w:t>
      </w:r>
    </w:p>
    <w:p w14:paraId="1CDE6683" w14:textId="77777777" w:rsidR="00112A96" w:rsidRPr="003A2729" w:rsidRDefault="00112A96" w:rsidP="00C111D7">
      <w:pPr>
        <w:pStyle w:val="ListParagraph"/>
        <w:spacing w:after="0" w:line="240" w:lineRule="auto"/>
        <w:ind w:left="0"/>
        <w:jc w:val="both"/>
        <w:rPr>
          <w:rFonts w:ascii="Calibri" w:hAnsi="Calibri" w:cs="Calibri"/>
          <w:sz w:val="24"/>
          <w:szCs w:val="24"/>
          <w:lang w:val="en-GB"/>
        </w:rPr>
      </w:pPr>
    </w:p>
    <w:p w14:paraId="3E070ABB" w14:textId="0777DFC3" w:rsidR="00DC2F5F"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Perform variant detection using a consensus-based variant-calling algorithm. Separate </w:t>
      </w:r>
      <w:r w:rsidR="0094629E" w:rsidRPr="003A2729">
        <w:rPr>
          <w:rFonts w:ascii="Calibri" w:hAnsi="Calibri" w:cs="Calibri"/>
          <w:sz w:val="24"/>
          <w:szCs w:val="24"/>
          <w:lang w:val="en-GB"/>
        </w:rPr>
        <w:t>single-nucleotide</w:t>
      </w:r>
      <w:r w:rsidRPr="003A2729">
        <w:rPr>
          <w:rFonts w:ascii="Calibri" w:hAnsi="Calibri" w:cs="Calibri"/>
          <w:sz w:val="24"/>
          <w:szCs w:val="24"/>
          <w:lang w:val="en-GB"/>
        </w:rPr>
        <w:t xml:space="preserve"> polymorphisms (SNPs) and insertion/deletion events (INDELs) using variant selection tools</w:t>
      </w:r>
      <w:r w:rsidR="00226E2F" w:rsidRPr="003A2729">
        <w:rPr>
          <w:rFonts w:ascii="Calibri" w:hAnsi="Calibri" w:cs="Calibri"/>
          <w:sz w:val="24"/>
          <w:szCs w:val="24"/>
          <w:lang w:val="en-GB"/>
        </w:rPr>
        <w:t xml:space="preserve"> </w:t>
      </w:r>
      <w:r w:rsidR="0094629E" w:rsidRPr="003A2729">
        <w:rPr>
          <w:rFonts w:ascii="Calibri" w:hAnsi="Calibri" w:cs="Calibri"/>
          <w:sz w:val="24"/>
          <w:szCs w:val="24"/>
          <w:lang w:val="en-GB"/>
        </w:rPr>
        <w:t>(</w:t>
      </w:r>
      <w:r w:rsidR="00226E2F" w:rsidRPr="003A2729">
        <w:rPr>
          <w:rFonts w:ascii="Calibri" w:hAnsi="Calibri" w:cs="Calibri"/>
          <w:b/>
          <w:bCs/>
          <w:sz w:val="24"/>
          <w:szCs w:val="24"/>
          <w:lang w:val="en-GB"/>
        </w:rPr>
        <w:t>Supplementary File 1</w:t>
      </w:r>
      <w:r w:rsidR="00226E2F" w:rsidRPr="003A2729">
        <w:rPr>
          <w:rFonts w:ascii="Calibri" w:hAnsi="Calibri" w:cs="Calibri"/>
          <w:sz w:val="24"/>
          <w:szCs w:val="24"/>
          <w:lang w:val="en-GB"/>
        </w:rPr>
        <w:t>)</w:t>
      </w:r>
      <w:r w:rsidR="00AE6379" w:rsidRPr="003A2729">
        <w:rPr>
          <w:rFonts w:ascii="Calibri" w:hAnsi="Calibri" w:cs="Calibri"/>
          <w:sz w:val="24"/>
          <w:szCs w:val="24"/>
          <w:lang w:val="en-GB"/>
        </w:rPr>
        <w:t>.</w:t>
      </w:r>
    </w:p>
    <w:p w14:paraId="02CE79B9" w14:textId="77777777" w:rsidR="00DC2F5F" w:rsidRPr="003A2729" w:rsidRDefault="00DC2F5F" w:rsidP="00C111D7">
      <w:pPr>
        <w:pStyle w:val="ListParagraph"/>
        <w:spacing w:after="0" w:line="240" w:lineRule="auto"/>
        <w:ind w:left="0"/>
        <w:jc w:val="both"/>
        <w:rPr>
          <w:rFonts w:ascii="Calibri" w:hAnsi="Calibri" w:cs="Calibri"/>
          <w:sz w:val="24"/>
          <w:szCs w:val="24"/>
          <w:lang w:val="en-GB"/>
        </w:rPr>
      </w:pPr>
    </w:p>
    <w:p w14:paraId="2BDC10B6" w14:textId="51C4B7DD"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Apply quality filtering thresholds</w:t>
      </w:r>
      <w:r w:rsidR="00DC2F5F" w:rsidRPr="003A2729">
        <w:rPr>
          <w:rFonts w:ascii="Calibri" w:hAnsi="Calibri" w:cs="Calibri"/>
          <w:sz w:val="24"/>
          <w:szCs w:val="24"/>
          <w:lang w:val="en-GB"/>
        </w:rPr>
        <w:t xml:space="preserve">. </w:t>
      </w:r>
      <w:r w:rsidRPr="003A2729">
        <w:rPr>
          <w:rFonts w:ascii="Calibri" w:hAnsi="Calibri" w:cs="Calibri"/>
          <w:sz w:val="24"/>
          <w:szCs w:val="24"/>
          <w:lang w:val="en-GB"/>
        </w:rPr>
        <w:t>For SNPs</w:t>
      </w:r>
      <w:r w:rsidR="00DC2F5F" w:rsidRPr="003A2729">
        <w:rPr>
          <w:rFonts w:ascii="Calibri" w:hAnsi="Calibri" w:cs="Calibri"/>
          <w:sz w:val="24"/>
          <w:szCs w:val="24"/>
          <w:lang w:val="en-GB"/>
        </w:rPr>
        <w:t>,</w:t>
      </w:r>
      <w:r w:rsidRPr="003A2729">
        <w:rPr>
          <w:rFonts w:ascii="Calibri" w:hAnsi="Calibri" w:cs="Calibri"/>
          <w:sz w:val="24"/>
          <w:szCs w:val="24"/>
          <w:lang w:val="en-GB"/>
        </w:rPr>
        <w:t xml:space="preserve"> filter variants with QD &lt; 2.0, FS &gt; 60.0, or MQ &lt; 40.0.</w:t>
      </w:r>
      <w:r w:rsidR="00DC2F5F" w:rsidRPr="003A2729">
        <w:rPr>
          <w:rFonts w:ascii="Calibri" w:hAnsi="Calibri" w:cs="Calibri"/>
          <w:sz w:val="24"/>
          <w:szCs w:val="24"/>
          <w:lang w:val="en-GB"/>
        </w:rPr>
        <w:t xml:space="preserve"> </w:t>
      </w:r>
      <w:r w:rsidRPr="003A2729">
        <w:rPr>
          <w:rFonts w:ascii="Calibri" w:hAnsi="Calibri" w:cs="Calibri"/>
          <w:sz w:val="24"/>
          <w:szCs w:val="24"/>
          <w:lang w:val="en-GB"/>
        </w:rPr>
        <w:t>For INDELs</w:t>
      </w:r>
      <w:r w:rsidR="00DC2F5F" w:rsidRPr="003A2729">
        <w:rPr>
          <w:rFonts w:ascii="Calibri" w:hAnsi="Calibri" w:cs="Calibri"/>
          <w:sz w:val="24"/>
          <w:szCs w:val="24"/>
          <w:lang w:val="en-GB"/>
        </w:rPr>
        <w:t>,</w:t>
      </w:r>
      <w:r w:rsidRPr="003A2729">
        <w:rPr>
          <w:rFonts w:ascii="Calibri" w:hAnsi="Calibri" w:cs="Calibri"/>
          <w:sz w:val="24"/>
          <w:szCs w:val="24"/>
          <w:lang w:val="en-GB"/>
        </w:rPr>
        <w:t xml:space="preserve"> filter variants with QD &lt; 2.0 or FS &gt; 200.0.</w:t>
      </w:r>
    </w:p>
    <w:p w14:paraId="67C37933" w14:textId="77777777" w:rsidR="00112A96" w:rsidRPr="003A2729" w:rsidRDefault="00112A96" w:rsidP="005F0976">
      <w:pPr>
        <w:ind w:left="720"/>
        <w:contextualSpacing/>
        <w:rPr>
          <w:lang w:val="en-GB"/>
        </w:rPr>
      </w:pPr>
    </w:p>
    <w:p w14:paraId="3479E0E6" w14:textId="3AF65FD6" w:rsidR="00994925" w:rsidRPr="003A2729" w:rsidRDefault="00994925" w:rsidP="0094629E">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Compress and index filtered VCF files using standard VCF processing tools. Generate variant statistics using VCF summary utilities.</w:t>
      </w:r>
    </w:p>
    <w:p w14:paraId="42B595AC" w14:textId="3E17EC37" w:rsidR="00994925" w:rsidRPr="003A2729" w:rsidRDefault="00994925" w:rsidP="005F0976">
      <w:pPr>
        <w:contextualSpacing/>
        <w:rPr>
          <w:lang w:val="en-GB"/>
        </w:rPr>
      </w:pPr>
    </w:p>
    <w:p w14:paraId="4B3BB137" w14:textId="3B344562" w:rsidR="00994925" w:rsidRPr="003A2729" w:rsidRDefault="00994925" w:rsidP="00C111D7">
      <w:pPr>
        <w:pStyle w:val="ListParagraph"/>
        <w:numPr>
          <w:ilvl w:val="1"/>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Genotype </w:t>
      </w:r>
      <w:r w:rsidR="00862571" w:rsidRPr="003A2729">
        <w:rPr>
          <w:rFonts w:ascii="Calibri" w:hAnsi="Calibri" w:cs="Calibri"/>
          <w:sz w:val="24"/>
          <w:szCs w:val="24"/>
          <w:lang w:val="en-GB"/>
        </w:rPr>
        <w:t>a</w:t>
      </w:r>
      <w:r w:rsidRPr="003A2729">
        <w:rPr>
          <w:rFonts w:ascii="Calibri" w:hAnsi="Calibri" w:cs="Calibri"/>
          <w:sz w:val="24"/>
          <w:szCs w:val="24"/>
          <w:lang w:val="en-GB"/>
        </w:rPr>
        <w:t>ssignment</w:t>
      </w:r>
    </w:p>
    <w:p w14:paraId="00D18837" w14:textId="77777777" w:rsidR="00DC2F5F" w:rsidRPr="003A2729" w:rsidRDefault="00DC2F5F" w:rsidP="00C111D7">
      <w:pPr>
        <w:pStyle w:val="ListParagraph"/>
        <w:spacing w:after="0" w:line="240" w:lineRule="auto"/>
        <w:ind w:left="0"/>
        <w:jc w:val="both"/>
        <w:rPr>
          <w:rFonts w:ascii="Calibri" w:hAnsi="Calibri" w:cs="Calibri"/>
          <w:sz w:val="24"/>
          <w:szCs w:val="24"/>
          <w:lang w:val="en-GB"/>
        </w:rPr>
      </w:pPr>
    </w:p>
    <w:p w14:paraId="4C0A5AA1" w14:textId="3F247422" w:rsidR="00994925" w:rsidRPr="003A2729" w:rsidRDefault="00994925" w:rsidP="00C111D7">
      <w:pPr>
        <w:pStyle w:val="ListParagraph"/>
        <w:numPr>
          <w:ilvl w:val="2"/>
          <w:numId w:val="45"/>
        </w:numPr>
        <w:spacing w:after="0" w:line="240" w:lineRule="auto"/>
        <w:ind w:left="0" w:firstLine="0"/>
        <w:jc w:val="both"/>
        <w:rPr>
          <w:rFonts w:ascii="Calibri" w:hAnsi="Calibri" w:cs="Calibri"/>
          <w:sz w:val="24"/>
          <w:szCs w:val="24"/>
          <w:lang w:val="en-GB"/>
        </w:rPr>
      </w:pPr>
      <w:r w:rsidRPr="003A2729">
        <w:rPr>
          <w:rFonts w:ascii="Calibri" w:hAnsi="Calibri" w:cs="Calibri"/>
          <w:sz w:val="24"/>
          <w:szCs w:val="24"/>
          <w:lang w:val="en-GB"/>
        </w:rPr>
        <w:t xml:space="preserve">Extract locus-specific variants from the </w:t>
      </w:r>
      <w:r w:rsidRPr="003A2729">
        <w:rPr>
          <w:rFonts w:ascii="Calibri" w:hAnsi="Calibri" w:cs="Calibri"/>
          <w:i/>
          <w:iCs/>
          <w:sz w:val="24"/>
          <w:szCs w:val="24"/>
          <w:lang w:val="en-GB"/>
        </w:rPr>
        <w:t>SAG2</w:t>
      </w:r>
      <w:r w:rsidRPr="003A2729">
        <w:rPr>
          <w:rFonts w:ascii="Calibri" w:hAnsi="Calibri" w:cs="Calibri"/>
          <w:sz w:val="24"/>
          <w:szCs w:val="24"/>
          <w:lang w:val="en-GB"/>
        </w:rPr>
        <w:t xml:space="preserve"> and </w:t>
      </w:r>
      <w:r w:rsidRPr="003A2729">
        <w:rPr>
          <w:rFonts w:ascii="Calibri" w:hAnsi="Calibri" w:cs="Calibri"/>
          <w:i/>
          <w:iCs/>
          <w:sz w:val="24"/>
          <w:szCs w:val="24"/>
          <w:lang w:val="en-GB"/>
        </w:rPr>
        <w:t>SAG3</w:t>
      </w:r>
      <w:r w:rsidRPr="003A2729">
        <w:rPr>
          <w:rFonts w:ascii="Calibri" w:hAnsi="Calibri" w:cs="Calibri"/>
          <w:sz w:val="24"/>
          <w:szCs w:val="24"/>
          <w:lang w:val="en-GB"/>
        </w:rPr>
        <w:t xml:space="preserve"> regions and compare polymorphic profiles to reference strain sequences to assign </w:t>
      </w:r>
      <w:r w:rsidRPr="003A2729">
        <w:rPr>
          <w:rFonts w:ascii="Calibri" w:hAnsi="Calibri" w:cs="Calibri"/>
          <w:i/>
          <w:iCs/>
          <w:sz w:val="24"/>
          <w:szCs w:val="24"/>
          <w:lang w:val="en-GB"/>
        </w:rPr>
        <w:t>T. gondii</w:t>
      </w:r>
      <w:r w:rsidRPr="003A2729">
        <w:rPr>
          <w:rFonts w:ascii="Calibri" w:hAnsi="Calibri" w:cs="Calibri"/>
          <w:sz w:val="24"/>
          <w:szCs w:val="24"/>
          <w:lang w:val="en-GB"/>
        </w:rPr>
        <w:t xml:space="preserve"> genotypes.</w:t>
      </w:r>
    </w:p>
    <w:p w14:paraId="29C666BF" w14:textId="77777777" w:rsidR="00B019A9" w:rsidRPr="003A2729" w:rsidRDefault="00B019A9" w:rsidP="00B019A9">
      <w:pPr>
        <w:pStyle w:val="ListParagraph"/>
        <w:spacing w:after="0" w:line="240" w:lineRule="auto"/>
        <w:ind w:left="0"/>
        <w:jc w:val="both"/>
        <w:rPr>
          <w:rFonts w:ascii="Calibri" w:hAnsi="Calibri" w:cs="Calibri"/>
          <w:sz w:val="24"/>
          <w:szCs w:val="24"/>
          <w:lang w:val="en-GB"/>
        </w:rPr>
      </w:pPr>
    </w:p>
    <w:p w14:paraId="08AF3300" w14:textId="39D7B06E" w:rsidR="006E4797" w:rsidRPr="003A2729" w:rsidRDefault="004E68C2" w:rsidP="00C111D7">
      <w:pPr>
        <w:rPr>
          <w:color w:val="808080"/>
        </w:rPr>
      </w:pPr>
      <w:r>
        <w:rPr>
          <w:b/>
          <w:color w:val="000000"/>
        </w:rPr>
        <w:t xml:space="preserve">REPRESENTATIVE </w:t>
      </w:r>
      <w:r w:rsidR="00551D82" w:rsidRPr="003A2729">
        <w:rPr>
          <w:b/>
          <w:color w:val="000000"/>
        </w:rPr>
        <w:t>RESULTS:</w:t>
      </w:r>
      <w:r w:rsidR="00E72D32" w:rsidRPr="003A2729">
        <w:rPr>
          <w:b/>
          <w:color w:val="000000"/>
        </w:rPr>
        <w:t xml:space="preserve"> </w:t>
      </w:r>
    </w:p>
    <w:p w14:paraId="59C1A79A" w14:textId="13C553B1" w:rsidR="00425541" w:rsidRPr="003A2729" w:rsidRDefault="003F7E4C" w:rsidP="00862571">
      <w:pPr>
        <w:contextualSpacing/>
        <w:rPr>
          <w:lang w:val="en-GB"/>
        </w:rPr>
      </w:pPr>
      <w:r w:rsidRPr="003A2729">
        <w:rPr>
          <w:lang w:val="en-GB"/>
        </w:rPr>
        <w:t xml:space="preserve">Genomic DNA of </w:t>
      </w:r>
      <w:r w:rsidRPr="003A2729">
        <w:rPr>
          <w:i/>
          <w:iCs/>
          <w:lang w:val="en-GB"/>
        </w:rPr>
        <w:t>Toxoplasma gondii</w:t>
      </w:r>
      <w:r w:rsidRPr="003A2729">
        <w:rPr>
          <w:lang w:val="en-GB"/>
        </w:rPr>
        <w:t xml:space="preserve"> was successfully amplified by polymerase chain reaction (PCR) targeting two genetic markers: </w:t>
      </w:r>
      <w:r w:rsidRPr="003A2729">
        <w:rPr>
          <w:i/>
          <w:iCs/>
          <w:lang w:val="en-GB"/>
        </w:rPr>
        <w:t>SAG2</w:t>
      </w:r>
      <w:r w:rsidRPr="003A2729">
        <w:rPr>
          <w:lang w:val="en-GB"/>
        </w:rPr>
        <w:t xml:space="preserve"> and </w:t>
      </w:r>
      <w:r w:rsidRPr="003A2729">
        <w:rPr>
          <w:i/>
          <w:iCs/>
          <w:lang w:val="en-GB"/>
        </w:rPr>
        <w:t>SAG3</w:t>
      </w:r>
      <w:r w:rsidRPr="003A2729">
        <w:rPr>
          <w:lang w:val="en-GB"/>
        </w:rPr>
        <w:t xml:space="preserve"> (</w:t>
      </w:r>
      <w:r w:rsidRPr="003A2729">
        <w:rPr>
          <w:b/>
          <w:bCs/>
          <w:lang w:val="en-GB"/>
        </w:rPr>
        <w:t>Figure 2</w:t>
      </w:r>
      <w:r w:rsidRPr="003A2729">
        <w:rPr>
          <w:lang w:val="en-GB"/>
        </w:rPr>
        <w:t>). Following purification, the PCR products yielded distinct bands of the expected sizes on agarose gel electrophoresis, corresponding to 639 bp (</w:t>
      </w:r>
      <w:r w:rsidRPr="003A2729">
        <w:rPr>
          <w:i/>
          <w:iCs/>
          <w:lang w:val="en-GB"/>
        </w:rPr>
        <w:t>SAG2</w:t>
      </w:r>
      <w:r w:rsidRPr="003A2729">
        <w:rPr>
          <w:lang w:val="en-GB"/>
        </w:rPr>
        <w:t>) and 1158 bp (</w:t>
      </w:r>
      <w:r w:rsidRPr="003A2729">
        <w:rPr>
          <w:i/>
          <w:iCs/>
          <w:lang w:val="en-GB"/>
        </w:rPr>
        <w:t>SAG3</w:t>
      </w:r>
      <w:r w:rsidRPr="003A2729">
        <w:rPr>
          <w:lang w:val="en-GB"/>
        </w:rPr>
        <w:t>). The clarity and consistency of these bands confirmed successful amplification and integrity of the target gene fragments for subsequent sequence analyses.</w:t>
      </w:r>
      <w:r w:rsidR="009A1224" w:rsidRPr="003A2729">
        <w:rPr>
          <w:lang w:val="en-GB"/>
        </w:rPr>
        <w:t xml:space="preserve"> </w:t>
      </w:r>
    </w:p>
    <w:p w14:paraId="3016E327" w14:textId="77777777" w:rsidR="009443E5" w:rsidRPr="003A2729" w:rsidRDefault="009443E5" w:rsidP="00862571">
      <w:pPr>
        <w:contextualSpacing/>
        <w:rPr>
          <w:lang w:val="en-GB"/>
        </w:rPr>
      </w:pPr>
    </w:p>
    <w:p w14:paraId="397DDC08" w14:textId="1C2E5B49" w:rsidR="003F7E4C" w:rsidRPr="003A2729" w:rsidRDefault="003F7E4C" w:rsidP="00862571">
      <w:pPr>
        <w:contextualSpacing/>
        <w:rPr>
          <w:lang w:val="en-GB"/>
        </w:rPr>
      </w:pPr>
      <w:proofErr w:type="gramStart"/>
      <w:r w:rsidRPr="003A2729">
        <w:rPr>
          <w:lang w:val="en-GB"/>
        </w:rPr>
        <w:t>High-throughput</w:t>
      </w:r>
      <w:proofErr w:type="gramEnd"/>
      <w:r w:rsidRPr="003A2729">
        <w:rPr>
          <w:lang w:val="en-GB"/>
        </w:rPr>
        <w:t xml:space="preserve"> </w:t>
      </w:r>
      <w:r w:rsidR="0008143B" w:rsidRPr="003A2729">
        <w:rPr>
          <w:lang w:val="en-GB"/>
        </w:rPr>
        <w:t>n</w:t>
      </w:r>
      <w:r w:rsidRPr="003A2729">
        <w:rPr>
          <w:lang w:val="en-GB"/>
        </w:rPr>
        <w:t>anopore sequencing</w:t>
      </w:r>
      <w:r w:rsidR="00F45E02" w:rsidRPr="003A2729">
        <w:rPr>
          <w:lang w:val="en-GB"/>
        </w:rPr>
        <w:t xml:space="preserve"> </w:t>
      </w:r>
      <w:r w:rsidRPr="003A2729">
        <w:rPr>
          <w:lang w:val="en-GB"/>
        </w:rPr>
        <w:t xml:space="preserve">generated high-quality datasets across </w:t>
      </w:r>
      <w:r w:rsidR="00835937" w:rsidRPr="003A2729">
        <w:rPr>
          <w:lang w:val="en-GB"/>
        </w:rPr>
        <w:t>the</w:t>
      </w:r>
      <w:r w:rsidRPr="003A2729">
        <w:rPr>
          <w:lang w:val="en-GB"/>
        </w:rPr>
        <w:t xml:space="preserve"> examined loci in both the RH and ME49 strains of </w:t>
      </w:r>
      <w:r w:rsidRPr="003A2729">
        <w:rPr>
          <w:i/>
          <w:iCs/>
          <w:lang w:val="en-GB"/>
        </w:rPr>
        <w:t>Toxoplasma gondii</w:t>
      </w:r>
      <w:r w:rsidRPr="003A2729">
        <w:rPr>
          <w:lang w:val="en-GB"/>
        </w:rPr>
        <w:t xml:space="preserve"> (</w:t>
      </w:r>
      <w:r w:rsidRPr="003A2729">
        <w:rPr>
          <w:b/>
          <w:bCs/>
          <w:lang w:val="en-GB"/>
        </w:rPr>
        <w:t>Table 1</w:t>
      </w:r>
      <w:r w:rsidRPr="003A2729">
        <w:rPr>
          <w:lang w:val="en-GB"/>
        </w:rPr>
        <w:t xml:space="preserve">). For the </w:t>
      </w:r>
      <w:r w:rsidRPr="003A2729">
        <w:rPr>
          <w:i/>
          <w:iCs/>
          <w:lang w:val="en-GB"/>
        </w:rPr>
        <w:t>SAG2</w:t>
      </w:r>
      <w:r w:rsidRPr="003A2729">
        <w:rPr>
          <w:lang w:val="en-GB"/>
        </w:rPr>
        <w:t xml:space="preserve"> locus, sequencing of the ME49 strain yielded 1,499 reads, totalling </w:t>
      </w:r>
      <w:r w:rsidR="00862198" w:rsidRPr="003A2729">
        <w:t>849</w:t>
      </w:r>
      <w:r w:rsidR="00A80FC7" w:rsidRPr="003A2729">
        <w:rPr>
          <w:rFonts w:eastAsia="Times New Roman"/>
          <w:lang w:val="en-GB" w:eastAsia="en-GB"/>
        </w:rPr>
        <w:t>,</w:t>
      </w:r>
      <w:r w:rsidR="00862198" w:rsidRPr="003A2729">
        <w:t>707 bases</w:t>
      </w:r>
      <w:r w:rsidRPr="003A2729">
        <w:rPr>
          <w:lang w:val="en-GB"/>
        </w:rPr>
        <w:t>, with an average read length of 553.8 bp and a mean quality score of Q13.6 (95.6% base accuracy). Only eight reads remained unmapped, and the resulting consensus sequence was 635 bp, closely matching the expected gene size. Similarly, the RH strain produced 1,005 reads (</w:t>
      </w:r>
      <w:r w:rsidR="00862198" w:rsidRPr="003A2729">
        <w:rPr>
          <w:lang w:val="en-GB"/>
        </w:rPr>
        <w:t>556</w:t>
      </w:r>
      <w:r w:rsidR="00A80FC7" w:rsidRPr="003A2729">
        <w:rPr>
          <w:rFonts w:eastAsia="Times New Roman"/>
          <w:lang w:val="en-GB" w:eastAsia="en-GB"/>
        </w:rPr>
        <w:t>,</w:t>
      </w:r>
      <w:r w:rsidR="00862198" w:rsidRPr="003A2729">
        <w:rPr>
          <w:lang w:val="en-GB"/>
        </w:rPr>
        <w:t>553 bases</w:t>
      </w:r>
      <w:r w:rsidRPr="003A2729">
        <w:rPr>
          <w:lang w:val="en-GB"/>
        </w:rPr>
        <w:t xml:space="preserve">) with comparable read length and quality metrics (mean length 553.8 bp; Q13.4, 95.4% base accuracy). Only two reads were unmapped, resulting in a 632-bp consensus sequence. These results indicate consistent, near full-length coverage of </w:t>
      </w:r>
      <w:r w:rsidRPr="003A2729">
        <w:rPr>
          <w:i/>
          <w:iCs/>
          <w:lang w:val="en-GB"/>
        </w:rPr>
        <w:t>SAG2</w:t>
      </w:r>
      <w:r w:rsidRPr="003A2729">
        <w:rPr>
          <w:lang w:val="en-GB"/>
        </w:rPr>
        <w:t xml:space="preserve"> in both strains.</w:t>
      </w:r>
    </w:p>
    <w:p w14:paraId="6BEFB9B1" w14:textId="77777777" w:rsidR="001A43EF" w:rsidRPr="003A2729" w:rsidRDefault="001A43EF" w:rsidP="00862571">
      <w:pPr>
        <w:contextualSpacing/>
        <w:rPr>
          <w:lang w:val="en-GB"/>
        </w:rPr>
      </w:pPr>
    </w:p>
    <w:p w14:paraId="2C6F03C3" w14:textId="6EDA12F9" w:rsidR="003F7E4C" w:rsidRPr="003A2729" w:rsidRDefault="003F7E4C" w:rsidP="00862571">
      <w:pPr>
        <w:contextualSpacing/>
        <w:rPr>
          <w:rFonts w:eastAsia="Times New Roman"/>
          <w:color w:val="000000"/>
          <w:lang w:val="en-GB" w:eastAsia="en-GB"/>
        </w:rPr>
      </w:pPr>
      <w:r w:rsidRPr="003A2729">
        <w:rPr>
          <w:lang w:val="en-GB"/>
        </w:rPr>
        <w:t xml:space="preserve">Sequencing of the </w:t>
      </w:r>
      <w:r w:rsidRPr="003A2729">
        <w:rPr>
          <w:i/>
          <w:iCs/>
          <w:lang w:val="en-GB"/>
        </w:rPr>
        <w:t>SAG3</w:t>
      </w:r>
      <w:r w:rsidRPr="003A2729">
        <w:rPr>
          <w:lang w:val="en-GB"/>
        </w:rPr>
        <w:t xml:space="preserve"> locus revealed greater variability in read depth between strains. The ME49 strain generated 326 reads totalling </w:t>
      </w:r>
      <w:r w:rsidR="00862198" w:rsidRPr="003A2729">
        <w:t>304</w:t>
      </w:r>
      <w:r w:rsidR="00A80FC7" w:rsidRPr="003A2729">
        <w:rPr>
          <w:rFonts w:eastAsia="Times New Roman"/>
          <w:lang w:val="en-GB" w:eastAsia="en-GB"/>
        </w:rPr>
        <w:t>,</w:t>
      </w:r>
      <w:r w:rsidR="00862198" w:rsidRPr="003A2729">
        <w:t>627 bases</w:t>
      </w:r>
      <w:r w:rsidRPr="003A2729">
        <w:rPr>
          <w:lang w:val="en-GB"/>
        </w:rPr>
        <w:t xml:space="preserve">, with an average read length of 934.4 bp and a mean quality score of Q13.0 (95% base accuracy), producing a consensus sequence of 1,154 bp. In contrast, the RH strain yielded 1,500 reads </w:t>
      </w:r>
      <w:r w:rsidR="00A7007F" w:rsidRPr="003A2729">
        <w:rPr>
          <w:lang w:val="en-GB"/>
        </w:rPr>
        <w:t>(</w:t>
      </w:r>
      <w:r w:rsidR="00A7007F" w:rsidRPr="003A2729">
        <w:rPr>
          <w:rFonts w:eastAsia="Times New Roman"/>
          <w:lang w:val="en-GB" w:eastAsia="en-GB"/>
        </w:rPr>
        <w:t xml:space="preserve">1,695,110 bases) </w:t>
      </w:r>
      <w:r w:rsidRPr="003A2729">
        <w:rPr>
          <w:lang w:val="en-GB"/>
        </w:rPr>
        <w:t>with longer average read lengths (1,124.9 bp) and higher mean quality scores (Q14.2; 96.2% base accuracy). The resulting RH consensus sequence measured 1,170 bp, closely approximating the expected length of 1,158 bp. Overall, sequencing across both loci demonstrated robust performance, characterized by high mapping efficiency, strong base accuracy, and consensus sequences that closely matched anticipated gene sizes.</w:t>
      </w:r>
    </w:p>
    <w:p w14:paraId="029708EE" w14:textId="77777777" w:rsidR="000173CE" w:rsidRPr="003A2729" w:rsidRDefault="000173CE" w:rsidP="00862571">
      <w:pPr>
        <w:contextualSpacing/>
        <w:rPr>
          <w:b/>
          <w:bCs/>
          <w:lang w:val="en-GB"/>
        </w:rPr>
      </w:pPr>
    </w:p>
    <w:p w14:paraId="4A8AABC4" w14:textId="43F949F1" w:rsidR="003F7E4C" w:rsidRPr="003A2729" w:rsidRDefault="003F7E4C" w:rsidP="00862571">
      <w:pPr>
        <w:contextualSpacing/>
        <w:rPr>
          <w:lang w:val="en-GB"/>
        </w:rPr>
      </w:pPr>
      <w:r w:rsidRPr="003A2729">
        <w:rPr>
          <w:lang w:val="en-GB"/>
        </w:rPr>
        <w:t xml:space="preserve">BLAST alignments against the </w:t>
      </w:r>
      <w:proofErr w:type="spellStart"/>
      <w:r w:rsidRPr="003A2729">
        <w:rPr>
          <w:lang w:val="en-GB"/>
        </w:rPr>
        <w:t>ToxoDB</w:t>
      </w:r>
      <w:proofErr w:type="spellEnd"/>
      <w:r w:rsidRPr="003A2729">
        <w:rPr>
          <w:lang w:val="en-GB"/>
        </w:rPr>
        <w:t xml:space="preserve"> database confirmed the accuracy and strain specificity of the sequenced loci. For the </w:t>
      </w:r>
      <w:r w:rsidRPr="003A2729">
        <w:rPr>
          <w:i/>
          <w:iCs/>
          <w:lang w:val="en-GB"/>
        </w:rPr>
        <w:t>SAG2</w:t>
      </w:r>
      <w:r w:rsidRPr="003A2729">
        <w:rPr>
          <w:lang w:val="en-GB"/>
        </w:rPr>
        <w:t xml:space="preserve"> locus, the ME49 strain sequence showed a highly significant alignment to TGME49_271050-t26_1, with a bit score of 1,146 and an E-value of 0.0. For the RH strain, </w:t>
      </w:r>
      <w:r w:rsidRPr="003A2729">
        <w:rPr>
          <w:i/>
          <w:iCs/>
          <w:lang w:val="en-GB"/>
        </w:rPr>
        <w:t>SAG2</w:t>
      </w:r>
      <w:r w:rsidRPr="003A2729">
        <w:rPr>
          <w:lang w:val="en-GB"/>
        </w:rPr>
        <w:t xml:space="preserve"> sequence aligned strongly to the same reference (TGME49_271050-t26_1, bit score 1,108) and additionally to TGRH88_080370_t1 (bit score 1,012). Regarding the </w:t>
      </w:r>
      <w:r w:rsidRPr="003A2729">
        <w:rPr>
          <w:i/>
          <w:iCs/>
          <w:lang w:val="en-GB"/>
        </w:rPr>
        <w:t>SAG3</w:t>
      </w:r>
      <w:r w:rsidRPr="003A2729">
        <w:rPr>
          <w:lang w:val="en-GB"/>
        </w:rPr>
        <w:t xml:space="preserve"> locus, ME49 aligned to TGME49_308020-t26_1 with a bit score of 2,082, while RH aligned to its corresponding reference, TGRH88_057630_t1, also with a bit score of 2,082. All alignments exhibited E-values of 0.0, demonstrating the high accuracy of the </w:t>
      </w:r>
      <w:r w:rsidR="0008143B" w:rsidRPr="003A2729">
        <w:rPr>
          <w:lang w:val="en-GB"/>
        </w:rPr>
        <w:t>n</w:t>
      </w:r>
      <w:r w:rsidRPr="003A2729">
        <w:rPr>
          <w:lang w:val="en-GB"/>
        </w:rPr>
        <w:t>anopore-derived consensus sequences and confirming clear differentiation between strains.</w:t>
      </w:r>
    </w:p>
    <w:p w14:paraId="63DF1CCA" w14:textId="77777777" w:rsidR="000173CE" w:rsidRPr="003A2729" w:rsidRDefault="000173CE" w:rsidP="00862571">
      <w:pPr>
        <w:contextualSpacing/>
        <w:rPr>
          <w:lang w:val="en-GB"/>
        </w:rPr>
      </w:pPr>
    </w:p>
    <w:p w14:paraId="3ABDE6E0" w14:textId="0B39F337" w:rsidR="003F7E4C" w:rsidRPr="003A2729" w:rsidRDefault="003F7E4C" w:rsidP="00862571">
      <w:pPr>
        <w:contextualSpacing/>
        <w:rPr>
          <w:lang w:val="en-GB"/>
        </w:rPr>
      </w:pPr>
      <w:r w:rsidRPr="003A2729">
        <w:rPr>
          <w:lang w:val="en-GB"/>
        </w:rPr>
        <w:lastRenderedPageBreak/>
        <w:t xml:space="preserve">Visual inspection of read alignments in </w:t>
      </w:r>
      <w:r w:rsidR="00121A97" w:rsidRPr="003A2729">
        <w:t>the Integrative Genomics Viewer (IGV) provided additional confirmation of the</w:t>
      </w:r>
      <w:r w:rsidRPr="003A2729">
        <w:rPr>
          <w:lang w:val="en-GB"/>
        </w:rPr>
        <w:t xml:space="preserve"> observed variation patterns across </w:t>
      </w:r>
      <w:r w:rsidRPr="003A2729">
        <w:rPr>
          <w:i/>
          <w:iCs/>
          <w:lang w:val="en-GB"/>
        </w:rPr>
        <w:t>SAG2</w:t>
      </w:r>
      <w:r w:rsidRPr="003A2729">
        <w:rPr>
          <w:lang w:val="en-GB"/>
        </w:rPr>
        <w:t xml:space="preserve"> and </w:t>
      </w:r>
      <w:r w:rsidRPr="003A2729">
        <w:rPr>
          <w:i/>
          <w:iCs/>
          <w:lang w:val="en-GB"/>
        </w:rPr>
        <w:t>SAG3</w:t>
      </w:r>
      <w:r w:rsidRPr="003A2729">
        <w:rPr>
          <w:lang w:val="en-GB"/>
        </w:rPr>
        <w:t xml:space="preserve">.  At the </w:t>
      </w:r>
      <w:r w:rsidRPr="003A2729">
        <w:rPr>
          <w:i/>
          <w:iCs/>
          <w:lang w:val="en-GB"/>
        </w:rPr>
        <w:t>SAG2</w:t>
      </w:r>
      <w:r w:rsidRPr="003A2729">
        <w:rPr>
          <w:lang w:val="en-GB"/>
        </w:rPr>
        <w:t xml:space="preserve"> locus, both strains </w:t>
      </w:r>
      <w:r w:rsidR="00732360" w:rsidRPr="003A2729">
        <w:rPr>
          <w:lang w:val="en-GB"/>
        </w:rPr>
        <w:t>showed good, relatively uniform sequencing coverage</w:t>
      </w:r>
      <w:r w:rsidRPr="003A2729">
        <w:t>, indicating reliable read mapping</w:t>
      </w:r>
      <w:r w:rsidRPr="003A2729">
        <w:rPr>
          <w:lang w:val="en-GB"/>
        </w:rPr>
        <w:t xml:space="preserve"> (</w:t>
      </w:r>
      <w:r w:rsidRPr="003A2729">
        <w:rPr>
          <w:b/>
          <w:bCs/>
          <w:lang w:val="en-GB"/>
        </w:rPr>
        <w:t>Figure 3</w:t>
      </w:r>
      <w:r w:rsidRPr="003A2729">
        <w:rPr>
          <w:lang w:val="en-GB"/>
        </w:rPr>
        <w:t>)</w:t>
      </w:r>
      <w:r w:rsidRPr="003A2729">
        <w:t>. In ME4</w:t>
      </w:r>
      <w:r w:rsidR="008455B9" w:rsidRPr="003A2729">
        <w:t>9</w:t>
      </w:r>
      <w:r w:rsidRPr="003A2729">
        <w:t>, alignments closely match the reference sequence, with</w:t>
      </w:r>
      <w:r w:rsidRPr="003A2729">
        <w:rPr>
          <w:lang w:val="en-GB"/>
        </w:rPr>
        <w:t xml:space="preserve"> only rare, isolated mismatches. </w:t>
      </w:r>
      <w:r w:rsidRPr="003A2729">
        <w:t xml:space="preserve">In contrast, RH </w:t>
      </w:r>
      <w:r w:rsidR="00732360" w:rsidRPr="003A2729">
        <w:t xml:space="preserve">shows multiple well-supported nucleotide substitutions </w:t>
      </w:r>
      <w:r w:rsidRPr="003A2729">
        <w:t>at the same genomic positions across many reads and on both strands, demonstrating true genetic variation. No major insertions, deletions or coverage disruptions are observed in either s</w:t>
      </w:r>
      <w:r w:rsidRPr="003A2729">
        <w:rPr>
          <w:lang w:val="en-GB"/>
        </w:rPr>
        <w:t>train.</w:t>
      </w:r>
    </w:p>
    <w:p w14:paraId="1C88DD64" w14:textId="77777777" w:rsidR="000173CE" w:rsidRPr="003A2729" w:rsidRDefault="000173CE" w:rsidP="00862571">
      <w:pPr>
        <w:contextualSpacing/>
      </w:pPr>
    </w:p>
    <w:p w14:paraId="224EED14" w14:textId="5F748A83" w:rsidR="003F7E4C" w:rsidRPr="003A2729" w:rsidRDefault="003F7E4C" w:rsidP="00862571">
      <w:pPr>
        <w:contextualSpacing/>
        <w:rPr>
          <w:lang w:val="en-GB"/>
        </w:rPr>
      </w:pPr>
      <w:r w:rsidRPr="003A2729">
        <w:t xml:space="preserve">IGV analysis of the </w:t>
      </w:r>
      <w:r w:rsidRPr="003A2729">
        <w:rPr>
          <w:i/>
          <w:iCs/>
        </w:rPr>
        <w:t>SAG3</w:t>
      </w:r>
      <w:r w:rsidRPr="003A2729">
        <w:t xml:space="preserve"> locus reveals clear strain-specific genetic differences between </w:t>
      </w:r>
      <w:r w:rsidRPr="003A2729">
        <w:rPr>
          <w:i/>
          <w:iCs/>
        </w:rPr>
        <w:t>Toxoplasma gondii</w:t>
      </w:r>
      <w:r w:rsidRPr="003A2729">
        <w:t xml:space="preserve"> ME49 (type II) and RH (type I). Both strains show high, even sequencing depth, supporting reliable variant detection</w:t>
      </w:r>
      <w:r w:rsidRPr="003A2729">
        <w:rPr>
          <w:lang w:val="en-GB"/>
        </w:rPr>
        <w:t xml:space="preserve"> (</w:t>
      </w:r>
      <w:r w:rsidRPr="003A2729">
        <w:rPr>
          <w:b/>
          <w:bCs/>
          <w:lang w:val="en-GB"/>
        </w:rPr>
        <w:t>Figure 4</w:t>
      </w:r>
      <w:r w:rsidRPr="003A2729">
        <w:rPr>
          <w:lang w:val="en-GB"/>
        </w:rPr>
        <w:t>)</w:t>
      </w:r>
      <w:r w:rsidRPr="003A2729">
        <w:t xml:space="preserve">. </w:t>
      </w:r>
      <w:r w:rsidRPr="003A2729">
        <w:rPr>
          <w:lang w:val="en-GB"/>
        </w:rPr>
        <w:t xml:space="preserve">In the ME49 alignment, the </w:t>
      </w:r>
      <w:r w:rsidRPr="003A2729">
        <w:rPr>
          <w:i/>
          <w:iCs/>
          <w:lang w:val="en-GB"/>
        </w:rPr>
        <w:t>SAG3</w:t>
      </w:r>
      <w:r w:rsidRPr="003A2729">
        <w:rPr>
          <w:lang w:val="en-GB"/>
        </w:rPr>
        <w:t xml:space="preserve"> region displays relatively limited nucleotide polymorphism, with scattered single-nucleotide </w:t>
      </w:r>
      <w:r w:rsidR="00B22700" w:rsidRPr="003A2729">
        <w:rPr>
          <w:lang w:val="en-GB"/>
        </w:rPr>
        <w:t xml:space="preserve">polymorphisms </w:t>
      </w:r>
      <w:r w:rsidRPr="003A2729">
        <w:rPr>
          <w:lang w:val="en-GB"/>
        </w:rPr>
        <w:t>(SN</w:t>
      </w:r>
      <w:r w:rsidR="00B22700" w:rsidRPr="003A2729">
        <w:rPr>
          <w:lang w:val="en-GB"/>
        </w:rPr>
        <w:t>P</w:t>
      </w:r>
      <w:r w:rsidRPr="003A2729">
        <w:rPr>
          <w:lang w:val="en-GB"/>
        </w:rPr>
        <w:t xml:space="preserve">s) and few </w:t>
      </w:r>
      <w:r w:rsidR="003817DE" w:rsidRPr="003A2729">
        <w:rPr>
          <w:lang w:val="en-GB"/>
        </w:rPr>
        <w:t>INDEL</w:t>
      </w:r>
      <w:r w:rsidRPr="003A2729">
        <w:rPr>
          <w:lang w:val="en-GB"/>
        </w:rPr>
        <w:t xml:space="preserve">s, with most reads aligning concordantly to the reference sequence. In contrast, the RH alignment exhibits a markedly higher density of mismatches, visible as numerous </w:t>
      </w:r>
      <w:r w:rsidR="00B22700" w:rsidRPr="003A2729">
        <w:rPr>
          <w:lang w:val="en-GB"/>
        </w:rPr>
        <w:t>coloured</w:t>
      </w:r>
      <w:r w:rsidRPr="003A2729">
        <w:rPr>
          <w:lang w:val="en-GB"/>
        </w:rPr>
        <w:t xml:space="preserve"> vertical bars across the read stack. These included frequent SN</w:t>
      </w:r>
      <w:r w:rsidR="00B22700" w:rsidRPr="003A2729">
        <w:rPr>
          <w:lang w:val="en-GB"/>
        </w:rPr>
        <w:t>P</w:t>
      </w:r>
      <w:r w:rsidRPr="003A2729">
        <w:rPr>
          <w:lang w:val="en-GB"/>
        </w:rPr>
        <w:t xml:space="preserve">s and occasional clustered variants, with several positions showing consistent alternative alleles across multiple reads, supporting the presence of true strain-specific polymorphisms at the </w:t>
      </w:r>
      <w:r w:rsidRPr="003A2729">
        <w:rPr>
          <w:i/>
          <w:iCs/>
          <w:lang w:val="en-GB"/>
        </w:rPr>
        <w:t>SAG3</w:t>
      </w:r>
      <w:r w:rsidRPr="003A2729">
        <w:rPr>
          <w:lang w:val="en-GB"/>
        </w:rPr>
        <w:t xml:space="preserve"> locus. </w:t>
      </w:r>
    </w:p>
    <w:p w14:paraId="275A5A78" w14:textId="77777777" w:rsidR="000173CE" w:rsidRPr="003A2729" w:rsidRDefault="000173CE" w:rsidP="00862571">
      <w:pPr>
        <w:contextualSpacing/>
        <w:rPr>
          <w:lang w:val="en-GB"/>
        </w:rPr>
      </w:pPr>
    </w:p>
    <w:p w14:paraId="4E4DD1C5" w14:textId="779A0F09" w:rsidR="003F7E4C" w:rsidRPr="003A2729" w:rsidRDefault="003F7E4C" w:rsidP="00862571">
      <w:pPr>
        <w:contextualSpacing/>
        <w:rPr>
          <w:lang w:val="en-GB"/>
        </w:rPr>
      </w:pPr>
      <w:r w:rsidRPr="003A2729">
        <w:rPr>
          <w:lang w:val="en-GB"/>
        </w:rPr>
        <w:t>Comprehensive variant analysis across both loci in the ME49 and RH strains further supported the IGV observations (</w:t>
      </w:r>
      <w:r w:rsidR="001A43EF" w:rsidRPr="003A2729">
        <w:rPr>
          <w:b/>
          <w:bCs/>
          <w:lang w:val="en-GB"/>
        </w:rPr>
        <w:t xml:space="preserve">Supplementary </w:t>
      </w:r>
      <w:r w:rsidRPr="003A2729">
        <w:rPr>
          <w:b/>
          <w:bCs/>
          <w:lang w:val="en-GB"/>
        </w:rPr>
        <w:t>Tables 2–5</w:t>
      </w:r>
      <w:r w:rsidRPr="003A2729">
        <w:rPr>
          <w:lang w:val="en-GB"/>
        </w:rPr>
        <w:t xml:space="preserve">). SNPs constituted the predominant variant type in both strains, while multi-nucleotide polymorphisms were not detected. The </w:t>
      </w:r>
      <w:r w:rsidRPr="003A2729">
        <w:rPr>
          <w:i/>
          <w:iCs/>
          <w:lang w:val="en-GB"/>
        </w:rPr>
        <w:t>SAG2</w:t>
      </w:r>
      <w:r w:rsidRPr="003A2729">
        <w:rPr>
          <w:lang w:val="en-GB"/>
        </w:rPr>
        <w:t xml:space="preserve"> locus remained highly conserved, containing only a single SNP in ME49 and six SNPs in RH, with no significant insertions or deletions observed. In contrast, the </w:t>
      </w:r>
      <w:r w:rsidRPr="003A2729">
        <w:rPr>
          <w:i/>
          <w:iCs/>
          <w:lang w:val="en-GB"/>
        </w:rPr>
        <w:t>SAG3</w:t>
      </w:r>
      <w:r w:rsidRPr="003A2729">
        <w:rPr>
          <w:lang w:val="en-GB"/>
        </w:rPr>
        <w:t xml:space="preserve"> locus exhibited substantial genetic diversity, particularly in the RH strain, which harboured 61 SNPs and 14 deletions. The ME49 strain showed </w:t>
      </w:r>
      <w:r w:rsidR="001A43EF" w:rsidRPr="003A2729">
        <w:rPr>
          <w:lang w:val="en-GB"/>
        </w:rPr>
        <w:t xml:space="preserve">moderate variation at </w:t>
      </w:r>
      <w:r w:rsidR="001A43EF" w:rsidRPr="003A2729">
        <w:rPr>
          <w:i/>
          <w:iCs/>
          <w:lang w:val="en-GB"/>
        </w:rPr>
        <w:t>SAG3</w:t>
      </w:r>
      <w:r w:rsidR="001A43EF" w:rsidRPr="003A2729">
        <w:rPr>
          <w:lang w:val="en-GB"/>
        </w:rPr>
        <w:t>, with 34 SNPs, six</w:t>
      </w:r>
      <w:r w:rsidRPr="003A2729">
        <w:rPr>
          <w:lang w:val="en-GB"/>
        </w:rPr>
        <w:t xml:space="preserve"> insertions</w:t>
      </w:r>
      <w:r w:rsidR="00CB57BA" w:rsidRPr="003A2729">
        <w:rPr>
          <w:lang w:val="en-GB"/>
        </w:rPr>
        <w:t>,</w:t>
      </w:r>
      <w:r w:rsidRPr="003A2729">
        <w:rPr>
          <w:lang w:val="en-GB"/>
        </w:rPr>
        <w:t xml:space="preserve"> and 13 deletions. Elevated transition-to-transversion (Ts/Tv) ratios at the </w:t>
      </w:r>
      <w:r w:rsidRPr="003A2729">
        <w:rPr>
          <w:i/>
          <w:iCs/>
          <w:lang w:val="en-GB"/>
        </w:rPr>
        <w:t>SAG3</w:t>
      </w:r>
      <w:r w:rsidRPr="003A2729">
        <w:rPr>
          <w:lang w:val="en-GB"/>
        </w:rPr>
        <w:t xml:space="preserve"> locus indicated a predominance of transition mutations, while insertion-to-deletion ratios revealed a slight excess of deletions over insertions in both strains (</w:t>
      </w:r>
      <w:r w:rsidRPr="003A2729">
        <w:rPr>
          <w:b/>
          <w:bCs/>
          <w:lang w:val="en-GB"/>
        </w:rPr>
        <w:t>Table 2</w:t>
      </w:r>
      <w:r w:rsidRPr="003A2729">
        <w:rPr>
          <w:lang w:val="en-GB"/>
        </w:rPr>
        <w:t>).</w:t>
      </w:r>
    </w:p>
    <w:p w14:paraId="079B5679" w14:textId="77777777" w:rsidR="006E4797" w:rsidRPr="003A2729" w:rsidRDefault="006E4797" w:rsidP="00862571">
      <w:pPr>
        <w:contextualSpacing/>
        <w:rPr>
          <w:lang w:val="en-GB"/>
        </w:rPr>
      </w:pPr>
    </w:p>
    <w:p w14:paraId="6D510784" w14:textId="0521D827" w:rsidR="006E4797" w:rsidRPr="003A2729" w:rsidRDefault="00551D82" w:rsidP="00862571">
      <w:pPr>
        <w:contextualSpacing/>
        <w:rPr>
          <w:color w:val="808080"/>
        </w:rPr>
      </w:pPr>
      <w:r w:rsidRPr="003A2729">
        <w:rPr>
          <w:b/>
        </w:rPr>
        <w:t>FIGURE AND TABLE LEGENDS:</w:t>
      </w:r>
    </w:p>
    <w:p w14:paraId="7F3EC1F5" w14:textId="2DB8351B" w:rsidR="000A2863" w:rsidRPr="003A2729" w:rsidRDefault="000A2863" w:rsidP="00BC72C1">
      <w:pPr>
        <w:contextualSpacing/>
        <w:rPr>
          <w:b/>
          <w:bCs/>
          <w:lang w:val="en-GB"/>
        </w:rPr>
      </w:pPr>
      <w:r w:rsidRPr="003A2729">
        <w:rPr>
          <w:b/>
          <w:bCs/>
          <w:lang w:val="en-GB"/>
        </w:rPr>
        <w:t xml:space="preserve">Figure 1. Workflow for culturing and genotyping </w:t>
      </w:r>
      <w:r w:rsidRPr="003A2729">
        <w:rPr>
          <w:b/>
          <w:bCs/>
          <w:i/>
          <w:iCs/>
          <w:lang w:val="en-GB"/>
        </w:rPr>
        <w:t>Toxoplasma gondii</w:t>
      </w:r>
      <w:r w:rsidRPr="003A2729">
        <w:rPr>
          <w:b/>
          <w:bCs/>
          <w:lang w:val="en-GB"/>
        </w:rPr>
        <w:t xml:space="preserve"> using </w:t>
      </w:r>
      <w:r w:rsidR="0008143B" w:rsidRPr="003A2729">
        <w:rPr>
          <w:b/>
          <w:bCs/>
          <w:lang w:val="en-GB"/>
        </w:rPr>
        <w:t>n</w:t>
      </w:r>
      <w:r w:rsidRPr="003A2729">
        <w:rPr>
          <w:b/>
          <w:bCs/>
          <w:lang w:val="en-GB"/>
        </w:rPr>
        <w:t>anopore sequencing</w:t>
      </w:r>
      <w:r w:rsidR="004D5031" w:rsidRPr="003A2729">
        <w:rPr>
          <w:b/>
          <w:bCs/>
          <w:lang w:val="en-GB"/>
        </w:rPr>
        <w:t xml:space="preserve">. </w:t>
      </w:r>
      <w:r w:rsidRPr="003A2729">
        <w:rPr>
          <w:b/>
          <w:bCs/>
          <w:lang w:val="en-GB"/>
        </w:rPr>
        <w:t xml:space="preserve"> </w:t>
      </w:r>
    </w:p>
    <w:p w14:paraId="0F617533" w14:textId="77777777" w:rsidR="000173CE" w:rsidRPr="003A2729" w:rsidRDefault="000173CE" w:rsidP="00862571">
      <w:pPr>
        <w:contextualSpacing/>
        <w:rPr>
          <w:b/>
          <w:bCs/>
          <w:lang w:val="en-GB"/>
        </w:rPr>
      </w:pPr>
    </w:p>
    <w:p w14:paraId="25A3DA04" w14:textId="4EBC7BBB" w:rsidR="000A2863" w:rsidRPr="003A2729" w:rsidRDefault="000A2863" w:rsidP="00862571">
      <w:pPr>
        <w:contextualSpacing/>
        <w:rPr>
          <w:b/>
          <w:bCs/>
          <w:lang w:val="en-GB"/>
        </w:rPr>
      </w:pPr>
      <w:r w:rsidRPr="003A2729">
        <w:rPr>
          <w:b/>
          <w:bCs/>
          <w:lang w:val="en-GB"/>
        </w:rPr>
        <w:t xml:space="preserve">Figure 2. Agarose (1.5%) gel electrophoresis of PCR-amplified gene fragments of </w:t>
      </w:r>
      <w:r w:rsidRPr="003A2729">
        <w:rPr>
          <w:b/>
          <w:bCs/>
          <w:i/>
          <w:iCs/>
          <w:lang w:val="en-GB"/>
        </w:rPr>
        <w:t>Toxoplasma gondii</w:t>
      </w:r>
      <w:r w:rsidRPr="003A2729">
        <w:rPr>
          <w:b/>
          <w:bCs/>
          <w:lang w:val="en-GB"/>
        </w:rPr>
        <w:t xml:space="preserve"> RH and ME49 strains.</w:t>
      </w:r>
      <w:r w:rsidRPr="003A2729">
        <w:rPr>
          <w:lang w:val="en-GB"/>
        </w:rPr>
        <w:t xml:space="preserve"> Lane L: DNA ladder (100</w:t>
      </w:r>
      <w:r w:rsidR="004D5031" w:rsidRPr="003A2729">
        <w:rPr>
          <w:lang w:val="en-GB"/>
        </w:rPr>
        <w:t xml:space="preserve"> bp </w:t>
      </w:r>
      <w:r w:rsidRPr="003A2729">
        <w:rPr>
          <w:lang w:val="en-GB"/>
        </w:rPr>
        <w:t>–</w:t>
      </w:r>
      <w:r w:rsidR="004D5031" w:rsidRPr="003A2729">
        <w:rPr>
          <w:lang w:val="en-GB"/>
        </w:rPr>
        <w:t xml:space="preserve"> </w:t>
      </w:r>
      <w:r w:rsidRPr="003A2729">
        <w:rPr>
          <w:lang w:val="en-GB"/>
        </w:rPr>
        <w:t>10</w:t>
      </w:r>
      <w:r w:rsidR="004D5031" w:rsidRPr="003A2729">
        <w:rPr>
          <w:lang w:val="en-GB"/>
        </w:rPr>
        <w:t xml:space="preserve"> </w:t>
      </w:r>
      <w:r w:rsidRPr="003A2729">
        <w:rPr>
          <w:lang w:val="en-GB"/>
        </w:rPr>
        <w:t xml:space="preserve">kb). Lane 1: </w:t>
      </w:r>
      <w:r w:rsidRPr="003A2729">
        <w:rPr>
          <w:i/>
          <w:iCs/>
          <w:lang w:val="en-GB"/>
        </w:rPr>
        <w:t>SAG2</w:t>
      </w:r>
      <w:r w:rsidRPr="003A2729">
        <w:rPr>
          <w:lang w:val="en-GB"/>
        </w:rPr>
        <w:t xml:space="preserve"> (639 bp, RH). Lane 2: </w:t>
      </w:r>
      <w:r w:rsidRPr="003A2729">
        <w:rPr>
          <w:i/>
          <w:iCs/>
          <w:lang w:val="en-GB"/>
        </w:rPr>
        <w:t>SAG2</w:t>
      </w:r>
      <w:r w:rsidRPr="003A2729">
        <w:rPr>
          <w:lang w:val="en-GB"/>
        </w:rPr>
        <w:t xml:space="preserve"> (639 bp, ME49). Lane 3: </w:t>
      </w:r>
      <w:r w:rsidRPr="003A2729">
        <w:rPr>
          <w:i/>
          <w:iCs/>
          <w:lang w:val="en-GB"/>
        </w:rPr>
        <w:t>SAG3</w:t>
      </w:r>
      <w:r w:rsidRPr="003A2729">
        <w:rPr>
          <w:lang w:val="en-GB"/>
        </w:rPr>
        <w:t xml:space="preserve"> (1158 bp, RH). Lane 4: </w:t>
      </w:r>
      <w:r w:rsidRPr="003A2729">
        <w:rPr>
          <w:i/>
          <w:iCs/>
          <w:lang w:val="en-GB"/>
        </w:rPr>
        <w:t>SAG3</w:t>
      </w:r>
      <w:r w:rsidRPr="003A2729">
        <w:rPr>
          <w:lang w:val="en-GB"/>
        </w:rPr>
        <w:t xml:space="preserve"> (1158 bp, ME49).  </w:t>
      </w:r>
    </w:p>
    <w:p w14:paraId="50E2EBAE" w14:textId="77777777" w:rsidR="00990DBF" w:rsidRPr="003A2729" w:rsidRDefault="00990DBF" w:rsidP="00862571">
      <w:pPr>
        <w:contextualSpacing/>
        <w:rPr>
          <w:b/>
          <w:bCs/>
          <w:lang w:val="en-GB"/>
        </w:rPr>
      </w:pPr>
    </w:p>
    <w:p w14:paraId="4127087E" w14:textId="0EDA1831" w:rsidR="005376DB" w:rsidRPr="003A2729" w:rsidRDefault="000A2863" w:rsidP="00862571">
      <w:pPr>
        <w:contextualSpacing/>
        <w:rPr>
          <w:lang w:val="en-GB"/>
        </w:rPr>
      </w:pPr>
      <w:r w:rsidRPr="003A2729">
        <w:rPr>
          <w:b/>
          <w:bCs/>
          <w:lang w:val="en-GB"/>
        </w:rPr>
        <w:t xml:space="preserve">Figure 3. </w:t>
      </w:r>
      <w:r w:rsidR="005376DB" w:rsidRPr="003A2729">
        <w:rPr>
          <w:b/>
          <w:bCs/>
          <w:lang w:val="en-GB"/>
        </w:rPr>
        <w:t xml:space="preserve">Genomic visualization of sequence variation at the </w:t>
      </w:r>
      <w:r w:rsidR="005376DB" w:rsidRPr="003A2729">
        <w:rPr>
          <w:b/>
          <w:bCs/>
          <w:i/>
          <w:iCs/>
          <w:lang w:val="en-GB"/>
        </w:rPr>
        <w:t>SAG2</w:t>
      </w:r>
      <w:r w:rsidR="005376DB" w:rsidRPr="003A2729">
        <w:rPr>
          <w:b/>
          <w:bCs/>
          <w:lang w:val="en-GB"/>
        </w:rPr>
        <w:t xml:space="preserve"> locus in the ME49 and RH strains.</w:t>
      </w:r>
      <w:r w:rsidR="005376DB" w:rsidRPr="003A2729">
        <w:rPr>
          <w:lang w:val="en-GB"/>
        </w:rPr>
        <w:t xml:space="preserve"> Reads are colo</w:t>
      </w:r>
      <w:r w:rsidR="004D5031" w:rsidRPr="003A2729">
        <w:rPr>
          <w:lang w:val="en-GB"/>
        </w:rPr>
        <w:t>u</w:t>
      </w:r>
      <w:r w:rsidR="005376DB" w:rsidRPr="003A2729">
        <w:rPr>
          <w:lang w:val="en-GB"/>
        </w:rPr>
        <w:t xml:space="preserve">r-coded by strand orientation (forward: purple; reverse: orange). In the ME49 strain (left panel), read alignments display uniform coverage across the </w:t>
      </w:r>
      <w:r w:rsidR="005376DB" w:rsidRPr="003A2729">
        <w:rPr>
          <w:i/>
          <w:iCs/>
          <w:lang w:val="en-GB"/>
        </w:rPr>
        <w:t>SAG2</w:t>
      </w:r>
      <w:r w:rsidR="005376DB" w:rsidRPr="003A2729">
        <w:rPr>
          <w:lang w:val="en-GB"/>
        </w:rPr>
        <w:t xml:space="preserve"> locus with very few mismatches. The RH strain (right panel) shows an increased density of single-nucleotide polymorphisms (SNPs) distributed across the locus. SNPs are visualized as vertical </w:t>
      </w:r>
      <w:r w:rsidR="004D5031" w:rsidRPr="003A2729">
        <w:rPr>
          <w:lang w:val="en-GB"/>
        </w:rPr>
        <w:t>coloured</w:t>
      </w:r>
      <w:r w:rsidR="005376DB" w:rsidRPr="003A2729">
        <w:rPr>
          <w:lang w:val="en-GB"/>
        </w:rPr>
        <w:t xml:space="preserve"> bars on the sense strand, with strong read support for each variant base, including T (orange changed to red; 1,909 reads), C (green changed to blue; 1,513 reads), C (orange to blue; 1,300 reads), G </w:t>
      </w:r>
      <w:r w:rsidR="005376DB" w:rsidRPr="003A2729">
        <w:rPr>
          <w:lang w:val="en-GB"/>
        </w:rPr>
        <w:lastRenderedPageBreak/>
        <w:t>(blue to orange; 1,437 reads), a deletion (DEL; 1,319 reads), and A (orange changed to green; 1,471 reads).</w:t>
      </w:r>
    </w:p>
    <w:p w14:paraId="2792B844" w14:textId="117D941B" w:rsidR="000173CE" w:rsidRPr="003A2729" w:rsidRDefault="000173CE" w:rsidP="00862571">
      <w:pPr>
        <w:contextualSpacing/>
        <w:rPr>
          <w:b/>
          <w:bCs/>
          <w:lang w:val="en-GB"/>
        </w:rPr>
      </w:pPr>
    </w:p>
    <w:p w14:paraId="15FBEA15" w14:textId="43F1E645" w:rsidR="000A2863" w:rsidRPr="003A2729" w:rsidRDefault="000A2863" w:rsidP="00862571">
      <w:pPr>
        <w:contextualSpacing/>
        <w:rPr>
          <w:b/>
          <w:bCs/>
          <w:lang w:val="en-GB"/>
        </w:rPr>
      </w:pPr>
      <w:r w:rsidRPr="003A2729">
        <w:rPr>
          <w:b/>
          <w:bCs/>
          <w:lang w:val="en-GB"/>
        </w:rPr>
        <w:t xml:space="preserve">Figure 4. </w:t>
      </w:r>
      <w:r w:rsidR="000A68C1" w:rsidRPr="003A2729">
        <w:rPr>
          <w:b/>
          <w:bCs/>
          <w:lang w:val="en-GB"/>
        </w:rPr>
        <w:t>Genomic</w:t>
      </w:r>
      <w:r w:rsidRPr="003A2729">
        <w:rPr>
          <w:b/>
          <w:bCs/>
          <w:lang w:val="en-GB"/>
        </w:rPr>
        <w:t xml:space="preserve"> visualization of sequence variation at the </w:t>
      </w:r>
      <w:r w:rsidRPr="003A2729">
        <w:rPr>
          <w:b/>
          <w:bCs/>
          <w:i/>
          <w:iCs/>
          <w:lang w:val="en-GB"/>
        </w:rPr>
        <w:t>SAG3</w:t>
      </w:r>
      <w:r w:rsidRPr="003A2729">
        <w:rPr>
          <w:b/>
          <w:bCs/>
          <w:lang w:val="en-GB"/>
        </w:rPr>
        <w:t xml:space="preserve"> locus in the ME49 and RH strains.</w:t>
      </w:r>
      <w:r w:rsidRPr="003A2729">
        <w:rPr>
          <w:lang w:val="en-GB"/>
        </w:rPr>
        <w:t xml:space="preserve"> In the ME49 strain (left panel), reads align cleanly to the reference sequence with only rare, isolated mismatches, reflecting minimal genetic variation at the </w:t>
      </w:r>
      <w:r w:rsidRPr="003A2729">
        <w:rPr>
          <w:i/>
          <w:iCs/>
          <w:lang w:val="en-GB"/>
        </w:rPr>
        <w:t>SAG3</w:t>
      </w:r>
      <w:r w:rsidRPr="003A2729">
        <w:rPr>
          <w:lang w:val="en-GB"/>
        </w:rPr>
        <w:t xml:space="preserve"> locus. The RH strain (right panel) exhibits multiple SNPs and small insertions/deletions (indels), visible as clusters of </w:t>
      </w:r>
      <w:r w:rsidR="00D3345F" w:rsidRPr="003A2729">
        <w:rPr>
          <w:lang w:val="en-GB"/>
        </w:rPr>
        <w:t>vertical-</w:t>
      </w:r>
      <w:r w:rsidR="005717F1" w:rsidRPr="003A2729">
        <w:rPr>
          <w:lang w:val="en-GB"/>
        </w:rPr>
        <w:t>coloured</w:t>
      </w:r>
      <w:r w:rsidRPr="003A2729">
        <w:rPr>
          <w:lang w:val="en-GB"/>
        </w:rPr>
        <w:t xml:space="preserve"> bars within the aligned reads. Several positions show consistent base substitutions (T→C, C→T, G→A, and A→G), each supported by high read depth ranging from 1,848</w:t>
      </w:r>
      <w:r w:rsidR="001A43EF" w:rsidRPr="003A2729">
        <w:rPr>
          <w:lang w:val="en-GB"/>
        </w:rPr>
        <w:t>–</w:t>
      </w:r>
      <w:r w:rsidRPr="003A2729">
        <w:rPr>
          <w:lang w:val="en-GB"/>
        </w:rPr>
        <w:t xml:space="preserve">2,707 reads. </w:t>
      </w:r>
    </w:p>
    <w:p w14:paraId="576C2E03" w14:textId="77777777" w:rsidR="000173CE" w:rsidRPr="003A2729" w:rsidRDefault="000173CE" w:rsidP="00862571">
      <w:pPr>
        <w:contextualSpacing/>
        <w:rPr>
          <w:b/>
          <w:bCs/>
          <w:lang w:val="en-GB"/>
        </w:rPr>
      </w:pPr>
    </w:p>
    <w:p w14:paraId="7C4FDB67" w14:textId="6AE11193" w:rsidR="000A2863" w:rsidRPr="003A2729" w:rsidRDefault="000A2863" w:rsidP="00862571">
      <w:pPr>
        <w:contextualSpacing/>
        <w:rPr>
          <w:lang w:val="en-GB"/>
        </w:rPr>
      </w:pPr>
      <w:r w:rsidRPr="003A2729">
        <w:rPr>
          <w:b/>
          <w:bCs/>
          <w:lang w:val="en-GB"/>
        </w:rPr>
        <w:t>Table 1.</w:t>
      </w:r>
      <w:r w:rsidRPr="003A2729">
        <w:rPr>
          <w:lang w:val="en-GB"/>
        </w:rPr>
        <w:t xml:space="preserve"> Nanopore sequencing metrics for RH and ME49 strains across selected </w:t>
      </w:r>
      <w:r w:rsidRPr="003A2729">
        <w:rPr>
          <w:i/>
          <w:iCs/>
          <w:lang w:val="en-GB"/>
        </w:rPr>
        <w:t>Toxoplasma gondii</w:t>
      </w:r>
      <w:r w:rsidRPr="003A2729">
        <w:rPr>
          <w:lang w:val="en-GB"/>
        </w:rPr>
        <w:t xml:space="preserve"> loci</w:t>
      </w:r>
    </w:p>
    <w:p w14:paraId="20755048" w14:textId="77777777" w:rsidR="000173CE" w:rsidRPr="003A2729" w:rsidRDefault="000173CE" w:rsidP="00862571">
      <w:pPr>
        <w:contextualSpacing/>
        <w:rPr>
          <w:b/>
          <w:bCs/>
          <w:lang w:val="en-GB"/>
        </w:rPr>
      </w:pPr>
    </w:p>
    <w:p w14:paraId="1EA0EBF7" w14:textId="6E041E66" w:rsidR="000A2863" w:rsidRPr="003A2729" w:rsidRDefault="000A2863" w:rsidP="00862571">
      <w:pPr>
        <w:contextualSpacing/>
        <w:rPr>
          <w:lang w:val="en-GB"/>
        </w:rPr>
      </w:pPr>
      <w:r w:rsidRPr="003A2729">
        <w:rPr>
          <w:b/>
          <w:bCs/>
          <w:lang w:val="en-GB"/>
        </w:rPr>
        <w:t>Table 2.</w:t>
      </w:r>
      <w:r w:rsidRPr="003A2729">
        <w:rPr>
          <w:lang w:val="en-GB"/>
        </w:rPr>
        <w:t xml:space="preserve"> 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D3345F" w:rsidRPr="003A2729">
        <w:rPr>
          <w:lang w:val="en-GB"/>
        </w:rPr>
        <w:t>I</w:t>
      </w:r>
      <w:r w:rsidR="004D5031" w:rsidRPr="003A2729">
        <w:rPr>
          <w:lang w:val="en-GB"/>
        </w:rPr>
        <w:t>N</w:t>
      </w:r>
      <w:r w:rsidR="00D3345F" w:rsidRPr="003A2729">
        <w:rPr>
          <w:lang w:val="en-GB"/>
        </w:rPr>
        <w:t>D</w:t>
      </w:r>
      <w:r w:rsidR="004D5031" w:rsidRPr="003A2729">
        <w:rPr>
          <w:lang w:val="en-GB"/>
        </w:rPr>
        <w:t>EL</w:t>
      </w:r>
      <w:r w:rsidR="00D3345F" w:rsidRPr="003A2729">
        <w:rPr>
          <w:lang w:val="en-GB"/>
        </w:rPr>
        <w:t>s</w:t>
      </w:r>
      <w:r w:rsidRPr="003A2729">
        <w:rPr>
          <w:lang w:val="en-GB"/>
        </w:rPr>
        <w:t xml:space="preserve"> in </w:t>
      </w:r>
      <w:r w:rsidRPr="003A2729">
        <w:rPr>
          <w:i/>
          <w:iCs/>
          <w:lang w:val="en-GB"/>
        </w:rPr>
        <w:t>Toxoplasma gondii</w:t>
      </w:r>
      <w:r w:rsidRPr="003A2729">
        <w:rPr>
          <w:lang w:val="en-GB"/>
        </w:rPr>
        <w:t xml:space="preserve"> </w:t>
      </w:r>
      <w:r w:rsidR="00D3345F" w:rsidRPr="003A2729">
        <w:rPr>
          <w:lang w:val="en-GB"/>
        </w:rPr>
        <w:t>t</w:t>
      </w:r>
      <w:r w:rsidRPr="003A2729">
        <w:rPr>
          <w:lang w:val="en-GB"/>
        </w:rPr>
        <w:t xml:space="preserve">ype I (RH) and </w:t>
      </w:r>
      <w:r w:rsidR="00D3345F" w:rsidRPr="003A2729">
        <w:rPr>
          <w:lang w:val="en-GB"/>
        </w:rPr>
        <w:t>t</w:t>
      </w:r>
      <w:r w:rsidRPr="003A2729">
        <w:rPr>
          <w:lang w:val="en-GB"/>
        </w:rPr>
        <w:t xml:space="preserve">ype II (ME49) across different </w:t>
      </w:r>
      <w:r w:rsidR="005F0ABC" w:rsidRPr="003A2729">
        <w:rPr>
          <w:lang w:val="en-GB"/>
        </w:rPr>
        <w:t>l</w:t>
      </w:r>
      <w:r w:rsidRPr="003A2729">
        <w:rPr>
          <w:lang w:val="en-GB"/>
        </w:rPr>
        <w:t>oci.</w:t>
      </w:r>
    </w:p>
    <w:p w14:paraId="59E63F69" w14:textId="77777777" w:rsidR="000173CE" w:rsidRPr="003A2729" w:rsidRDefault="000173CE" w:rsidP="00862571">
      <w:pPr>
        <w:contextualSpacing/>
        <w:rPr>
          <w:b/>
          <w:bCs/>
          <w:lang w:val="en-GB"/>
        </w:rPr>
      </w:pPr>
    </w:p>
    <w:p w14:paraId="1E892BA3" w14:textId="28A6C464" w:rsidR="000A2863" w:rsidRPr="003A2729" w:rsidRDefault="000A2863" w:rsidP="00862571">
      <w:pPr>
        <w:contextualSpacing/>
        <w:rPr>
          <w:lang w:val="en-GB"/>
        </w:rPr>
      </w:pPr>
      <w:r w:rsidRPr="003A2729">
        <w:rPr>
          <w:b/>
          <w:bCs/>
          <w:lang w:val="en-GB"/>
        </w:rPr>
        <w:t xml:space="preserve">Supplementary Table 1: </w:t>
      </w:r>
      <w:r w:rsidRPr="003A2729">
        <w:rPr>
          <w:lang w:val="en-GB"/>
        </w:rPr>
        <w:t xml:space="preserve">Primer sequences for amplification of </w:t>
      </w:r>
      <w:r w:rsidRPr="003A2729">
        <w:rPr>
          <w:i/>
          <w:iCs/>
          <w:lang w:val="en-GB"/>
        </w:rPr>
        <w:t>Toxoplasma gondii</w:t>
      </w:r>
      <w:r w:rsidRPr="003A2729">
        <w:rPr>
          <w:lang w:val="en-GB"/>
        </w:rPr>
        <w:t xml:space="preserve"> genes.</w:t>
      </w:r>
    </w:p>
    <w:p w14:paraId="3EB7045C" w14:textId="77777777" w:rsidR="000173CE" w:rsidRPr="003A2729" w:rsidRDefault="000173CE" w:rsidP="00862571">
      <w:pPr>
        <w:contextualSpacing/>
        <w:rPr>
          <w:b/>
          <w:bCs/>
          <w:lang w:val="en-GB"/>
        </w:rPr>
      </w:pPr>
    </w:p>
    <w:p w14:paraId="0F5BDBF1" w14:textId="2F0F1AA8" w:rsidR="000A2863" w:rsidRPr="003A2729" w:rsidRDefault="000A2863" w:rsidP="00862571">
      <w:pPr>
        <w:contextualSpacing/>
        <w:rPr>
          <w:lang w:val="en-GB"/>
        </w:rPr>
      </w:pPr>
      <w:r w:rsidRPr="003A2729">
        <w:rPr>
          <w:b/>
          <w:bCs/>
          <w:lang w:val="en-GB"/>
        </w:rPr>
        <w:t xml:space="preserve">Supplementary Table 2: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ME49 </w:t>
      </w:r>
      <w:r w:rsidRPr="003A2729">
        <w:rPr>
          <w:i/>
          <w:iCs/>
          <w:lang w:val="en-GB"/>
        </w:rPr>
        <w:t>SAG2</w:t>
      </w:r>
    </w:p>
    <w:p w14:paraId="008C201A" w14:textId="77777777" w:rsidR="00760FAA" w:rsidRPr="003A2729" w:rsidRDefault="00760FAA" w:rsidP="00862571">
      <w:pPr>
        <w:contextualSpacing/>
        <w:rPr>
          <w:b/>
          <w:bCs/>
          <w:lang w:val="en-GB"/>
        </w:rPr>
      </w:pPr>
    </w:p>
    <w:p w14:paraId="52116A37" w14:textId="717E634A" w:rsidR="000A2863" w:rsidRPr="003A2729" w:rsidRDefault="000A2863" w:rsidP="00862571">
      <w:pPr>
        <w:contextualSpacing/>
        <w:rPr>
          <w:b/>
          <w:bCs/>
          <w:lang w:val="en-GB"/>
        </w:rPr>
      </w:pPr>
      <w:r w:rsidRPr="003A2729">
        <w:rPr>
          <w:b/>
          <w:bCs/>
          <w:lang w:val="en-GB"/>
        </w:rPr>
        <w:t xml:space="preserve">Supplementary Table 3: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RH </w:t>
      </w:r>
      <w:r w:rsidRPr="003A2729">
        <w:rPr>
          <w:i/>
          <w:iCs/>
          <w:lang w:val="en-GB"/>
        </w:rPr>
        <w:t>SAG2</w:t>
      </w:r>
    </w:p>
    <w:p w14:paraId="14CC26A1" w14:textId="77777777" w:rsidR="00760FAA" w:rsidRPr="003A2729" w:rsidRDefault="00760FAA" w:rsidP="00862571">
      <w:pPr>
        <w:contextualSpacing/>
        <w:rPr>
          <w:b/>
          <w:bCs/>
          <w:lang w:val="en-GB"/>
        </w:rPr>
      </w:pPr>
    </w:p>
    <w:p w14:paraId="0124ACA1" w14:textId="18B3F9EF" w:rsidR="000A2863" w:rsidRPr="003A2729" w:rsidRDefault="000A2863" w:rsidP="00862571">
      <w:pPr>
        <w:contextualSpacing/>
        <w:rPr>
          <w:b/>
          <w:bCs/>
          <w:lang w:val="en-GB"/>
        </w:rPr>
      </w:pPr>
      <w:r w:rsidRPr="003A2729">
        <w:rPr>
          <w:b/>
          <w:bCs/>
          <w:lang w:val="en-GB"/>
        </w:rPr>
        <w:t xml:space="preserve">Supplementary Table 4: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ME49 </w:t>
      </w:r>
      <w:r w:rsidRPr="003A2729">
        <w:rPr>
          <w:i/>
          <w:iCs/>
          <w:lang w:val="en-GB"/>
        </w:rPr>
        <w:t>SAG3</w:t>
      </w:r>
    </w:p>
    <w:p w14:paraId="4DD498AB" w14:textId="77777777" w:rsidR="00760FAA" w:rsidRPr="003A2729" w:rsidRDefault="00760FAA" w:rsidP="00862571">
      <w:pPr>
        <w:contextualSpacing/>
        <w:rPr>
          <w:b/>
          <w:bCs/>
          <w:lang w:val="en-GB"/>
        </w:rPr>
      </w:pPr>
    </w:p>
    <w:p w14:paraId="4DFC205D" w14:textId="4B87F69A" w:rsidR="004D00AF" w:rsidRPr="003A2729" w:rsidRDefault="000A2863" w:rsidP="00862571">
      <w:pPr>
        <w:contextualSpacing/>
        <w:rPr>
          <w:lang w:val="en-GB"/>
        </w:rPr>
      </w:pPr>
      <w:r w:rsidRPr="003A2729">
        <w:rPr>
          <w:b/>
          <w:bCs/>
          <w:lang w:val="en-GB"/>
        </w:rPr>
        <w:t xml:space="preserve">Supplementary Table 5: </w:t>
      </w:r>
      <w:r w:rsidRPr="003A2729">
        <w:rPr>
          <w:lang w:val="en-GB"/>
        </w:rPr>
        <w:t xml:space="preserve">Genomic </w:t>
      </w:r>
      <w:r w:rsidR="00D3345F" w:rsidRPr="003A2729">
        <w:rPr>
          <w:lang w:val="en-GB"/>
        </w:rPr>
        <w:t>p</w:t>
      </w:r>
      <w:r w:rsidRPr="003A2729">
        <w:rPr>
          <w:lang w:val="en-GB"/>
        </w:rPr>
        <w:t xml:space="preserve">rofiling of SNPs and </w:t>
      </w:r>
      <w:r w:rsidR="00D3345F" w:rsidRPr="003A2729">
        <w:rPr>
          <w:lang w:val="en-GB"/>
        </w:rPr>
        <w:t>s</w:t>
      </w:r>
      <w:r w:rsidRPr="003A2729">
        <w:rPr>
          <w:lang w:val="en-GB"/>
        </w:rPr>
        <w:t xml:space="preserve">mall </w:t>
      </w:r>
      <w:r w:rsidR="004D5031" w:rsidRPr="003A2729">
        <w:rPr>
          <w:lang w:val="en-GB"/>
        </w:rPr>
        <w:t>INDELs</w:t>
      </w:r>
      <w:r w:rsidRPr="003A2729">
        <w:rPr>
          <w:lang w:val="en-GB"/>
        </w:rPr>
        <w:t xml:space="preserve"> in </w:t>
      </w:r>
      <w:r w:rsidRPr="003A2729">
        <w:rPr>
          <w:i/>
          <w:iCs/>
          <w:lang w:val="en-GB"/>
        </w:rPr>
        <w:t>Toxoplasma gondii</w:t>
      </w:r>
      <w:r w:rsidRPr="003A2729">
        <w:rPr>
          <w:lang w:val="en-GB"/>
        </w:rPr>
        <w:t xml:space="preserve"> RH </w:t>
      </w:r>
      <w:r w:rsidRPr="003A2729">
        <w:rPr>
          <w:i/>
          <w:iCs/>
          <w:lang w:val="en-GB"/>
        </w:rPr>
        <w:t>SAG3</w:t>
      </w:r>
      <w:r w:rsidRPr="003A2729">
        <w:rPr>
          <w:lang w:val="en-GB"/>
        </w:rPr>
        <w:t xml:space="preserve"> </w:t>
      </w:r>
    </w:p>
    <w:p w14:paraId="1C460D62" w14:textId="77777777" w:rsidR="00DD5BF5" w:rsidRPr="003A2729" w:rsidRDefault="00DD5BF5" w:rsidP="00862571">
      <w:pPr>
        <w:contextualSpacing/>
        <w:rPr>
          <w:lang w:val="en-GB"/>
        </w:rPr>
      </w:pPr>
    </w:p>
    <w:p w14:paraId="3306E038" w14:textId="19268848" w:rsidR="00DD5BF5" w:rsidRPr="003A2729" w:rsidRDefault="00DD5BF5" w:rsidP="00862571">
      <w:pPr>
        <w:contextualSpacing/>
        <w:rPr>
          <w:lang w:val="en-GB"/>
        </w:rPr>
      </w:pPr>
      <w:r w:rsidRPr="003A2729">
        <w:rPr>
          <w:b/>
          <w:bCs/>
          <w:lang w:val="en-GB"/>
        </w:rPr>
        <w:t>Supplementary File 1:</w:t>
      </w:r>
      <w:r w:rsidR="005F0976" w:rsidRPr="003A2729">
        <w:rPr>
          <w:b/>
          <w:bCs/>
          <w:lang w:val="en-GB"/>
        </w:rPr>
        <w:t xml:space="preserve"> </w:t>
      </w:r>
      <w:r w:rsidR="000F1FF2" w:rsidRPr="003A2729">
        <w:rPr>
          <w:b/>
          <w:bCs/>
          <w:lang w:val="en-GB"/>
        </w:rPr>
        <w:t xml:space="preserve"> </w:t>
      </w:r>
      <w:r w:rsidR="00BC72C1" w:rsidRPr="003A2729">
        <w:rPr>
          <w:i/>
          <w:iCs/>
        </w:rPr>
        <w:t>Toxoplasma gondii</w:t>
      </w:r>
      <w:r w:rsidR="00BC72C1" w:rsidRPr="003A2729">
        <w:t xml:space="preserve"> nanopore multi</w:t>
      </w:r>
      <w:r w:rsidR="002A63A6" w:rsidRPr="003A2729">
        <w:t>-</w:t>
      </w:r>
      <w:r w:rsidR="00BC72C1" w:rsidRPr="003A2729">
        <w:t>locus s</w:t>
      </w:r>
      <w:r w:rsidR="002A63A6" w:rsidRPr="003A2729">
        <w:t>equence</w:t>
      </w:r>
      <w:r w:rsidR="00EB08CE" w:rsidRPr="003A2729">
        <w:t xml:space="preserve"> </w:t>
      </w:r>
      <w:r w:rsidR="00BC72C1" w:rsidRPr="003A2729">
        <w:t>t</w:t>
      </w:r>
      <w:r w:rsidR="00EB08CE" w:rsidRPr="003A2729">
        <w:t xml:space="preserve">yping </w:t>
      </w:r>
      <w:r w:rsidR="00BC72C1" w:rsidRPr="003A2729">
        <w:t>p</w:t>
      </w:r>
      <w:r w:rsidR="00EB08CE" w:rsidRPr="003A2729">
        <w:t>ipeline</w:t>
      </w:r>
    </w:p>
    <w:p w14:paraId="2E4B19A0" w14:textId="77777777" w:rsidR="009B419B" w:rsidRPr="003A2729" w:rsidRDefault="009B419B" w:rsidP="00862571">
      <w:pPr>
        <w:contextualSpacing/>
        <w:rPr>
          <w:b/>
        </w:rPr>
      </w:pPr>
    </w:p>
    <w:p w14:paraId="7C0B6465" w14:textId="4D2ED8FD" w:rsidR="006E4797" w:rsidRPr="003A2729" w:rsidRDefault="00551D82" w:rsidP="00862571">
      <w:pPr>
        <w:contextualSpacing/>
        <w:rPr>
          <w:b/>
        </w:rPr>
      </w:pPr>
      <w:r w:rsidRPr="003A2729">
        <w:rPr>
          <w:b/>
        </w:rPr>
        <w:t xml:space="preserve">DISCUSSION: </w:t>
      </w:r>
    </w:p>
    <w:p w14:paraId="6EA497DA" w14:textId="347FC5DB" w:rsidR="00B57CBC" w:rsidRPr="003A2729" w:rsidRDefault="008565BB" w:rsidP="00862571">
      <w:pPr>
        <w:contextualSpacing/>
      </w:pPr>
      <w:r w:rsidRPr="003A2729">
        <w:rPr>
          <w:lang w:val="en-GB"/>
        </w:rPr>
        <w:t xml:space="preserve">This study demonstrates the utility of Oxford Nanopore long-read sequencing combined with a targeted multi-locus approach for rapid and reliable genotyping of </w:t>
      </w:r>
      <w:r w:rsidRPr="003A2729">
        <w:rPr>
          <w:i/>
          <w:iCs/>
          <w:lang w:val="en-GB"/>
        </w:rPr>
        <w:t>Toxoplasma gondii</w:t>
      </w:r>
      <w:r w:rsidRPr="003A2729">
        <w:rPr>
          <w:lang w:val="en-GB"/>
        </w:rPr>
        <w:t xml:space="preserve">. </w:t>
      </w:r>
      <w:r w:rsidR="00B57CBC" w:rsidRPr="003A2729">
        <w:t xml:space="preserve">By focusing on two well-characterized surface antigen loci, </w:t>
      </w:r>
      <w:r w:rsidR="00B57CBC" w:rsidRPr="003A2729">
        <w:rPr>
          <w:i/>
          <w:iCs/>
        </w:rPr>
        <w:t>SAG2</w:t>
      </w:r>
      <w:r w:rsidR="00B57CBC" w:rsidRPr="003A2729">
        <w:t xml:space="preserve"> and </w:t>
      </w:r>
      <w:r w:rsidR="00B57CBC" w:rsidRPr="003A2729">
        <w:rPr>
          <w:i/>
          <w:iCs/>
        </w:rPr>
        <w:t>SAG3</w:t>
      </w:r>
      <w:r w:rsidR="00B57CBC" w:rsidRPr="003A2729">
        <w:t xml:space="preserve">, we establish </w:t>
      </w:r>
      <w:r w:rsidR="00D3345F" w:rsidRPr="003A2729">
        <w:t>proof</w:t>
      </w:r>
      <w:r w:rsidR="00ED65A9" w:rsidRPr="003A2729">
        <w:t>-</w:t>
      </w:r>
      <w:r w:rsidR="00D3345F" w:rsidRPr="003A2729">
        <w:t>of</w:t>
      </w:r>
      <w:r w:rsidR="00ED65A9" w:rsidRPr="003A2729">
        <w:t>-</w:t>
      </w:r>
      <w:r w:rsidR="00D3345F" w:rsidRPr="003A2729">
        <w:t>concept</w:t>
      </w:r>
      <w:r w:rsidR="00B57CBC" w:rsidRPr="003A2729">
        <w:t xml:space="preserve"> for Oxford </w:t>
      </w:r>
      <w:r w:rsidR="00D3345F" w:rsidRPr="003A2729">
        <w:t>Nanopore-based</w:t>
      </w:r>
      <w:r w:rsidR="00B57CBC" w:rsidRPr="003A2729">
        <w:t xml:space="preserve"> multi-locus sequencing through comparative analys</w:t>
      </w:r>
      <w:r w:rsidR="00871CBC" w:rsidRPr="003A2729">
        <w:t>e</w:t>
      </w:r>
      <w:r w:rsidR="00B57CBC" w:rsidRPr="003A2729">
        <w:t>s of the RH (Type I) and ME49 (Type II) strains, demonstrating the platform’s capacity to resolve strain-specific genetic variation.</w:t>
      </w:r>
    </w:p>
    <w:p w14:paraId="5F050A7D" w14:textId="77777777" w:rsidR="006942DC" w:rsidRPr="003A2729" w:rsidRDefault="006942DC" w:rsidP="00862571">
      <w:pPr>
        <w:contextualSpacing/>
        <w:rPr>
          <w:lang w:val="en-GB"/>
        </w:rPr>
      </w:pPr>
    </w:p>
    <w:p w14:paraId="2293A9E4" w14:textId="1F2069D7" w:rsidR="008565BB" w:rsidRPr="003A2729" w:rsidRDefault="008565BB" w:rsidP="00862571">
      <w:pPr>
        <w:contextualSpacing/>
        <w:rPr>
          <w:lang w:val="en-GB"/>
        </w:rPr>
      </w:pPr>
      <w:r w:rsidRPr="003A2729">
        <w:rPr>
          <w:lang w:val="en-GB"/>
        </w:rPr>
        <w:t>PCR amplification of both loci produced clear, well-defined bands of the expected sizes</w:t>
      </w:r>
      <w:r w:rsidR="00D3345F" w:rsidRPr="003A2729">
        <w:rPr>
          <w:lang w:val="en-GB"/>
        </w:rPr>
        <w:t>,</w:t>
      </w:r>
      <w:r w:rsidRPr="003A2729">
        <w:rPr>
          <w:lang w:val="en-GB"/>
        </w:rPr>
        <w:t xml:space="preserve"> confirming the successful generation of high-quality template DNA suitable for downstream genomic analyses. Subsequent </w:t>
      </w:r>
      <w:r w:rsidR="0008143B" w:rsidRPr="003A2729">
        <w:rPr>
          <w:lang w:val="en-GB"/>
        </w:rPr>
        <w:t>n</w:t>
      </w:r>
      <w:r w:rsidRPr="003A2729">
        <w:rPr>
          <w:lang w:val="en-GB"/>
        </w:rPr>
        <w:t xml:space="preserve">anopore sequencing generated high read depths, strong </w:t>
      </w:r>
      <w:r w:rsidRPr="003A2729">
        <w:rPr>
          <w:lang w:val="en-GB"/>
        </w:rPr>
        <w:lastRenderedPageBreak/>
        <w:t>mapping efficiencies, and consensus sequences closely matching expected amplicon lengths</w:t>
      </w:r>
      <w:r w:rsidRPr="003A2729">
        <w:rPr>
          <w:lang w:val="en-GB"/>
        </w:rPr>
        <w:fldChar w:fldCharType="begin"/>
      </w:r>
      <w:r w:rsidR="002F168C" w:rsidRPr="003A2729">
        <w:rPr>
          <w:lang w:val="en-GB"/>
        </w:rPr>
        <w:instrText xml:space="preserve"> ADDIN EN.CITE &lt;EndNote&gt;&lt;Cite&gt;&lt;Author&gt;Koutsogiannis&lt;/Author&gt;&lt;Year&gt;2024&lt;/Year&gt;&lt;RecNum&gt;3&lt;/RecNum&gt;&lt;DisplayText&gt;&lt;style face="superscript"&gt;6&lt;/style&gt;&lt;/DisplayText&gt;&lt;record&gt;&lt;rec-number&gt;3&lt;/rec-number&gt;&lt;foreign-keys&gt;&lt;key app="EN" db-id="r9dvzva04daarve50fbvv0vcapap2eteffez" timestamp="1764290725"&gt;3&lt;/key&gt;&lt;/foreign-keys&gt;&lt;ref-type name="Journal Article"&gt;17&lt;/ref-type&gt;&lt;contributors&gt;&lt;authors&gt;&lt;author&gt;Koutsogiannis, Zisis&lt;/author&gt;&lt;author&gt;Denny, Paul W.&lt;/author&gt;&lt;/authors&gt;&lt;/contributors&gt;&lt;titles&gt;&lt;title&gt;Rapid genotyping of Toxoplasma gondii isolates via Nanopore-based multi-locus sequencing&lt;/title&gt;&lt;secondary-title&gt;AMB Express&lt;/secondary-title&gt;&lt;/titles&gt;&lt;periodical&gt;&lt;full-title&gt;AMB Express&lt;/full-title&gt;&lt;/periodical&gt;&lt;pages&gt;68&lt;/pages&gt;&lt;volume&gt;14&lt;/volume&gt;&lt;number&gt;1&lt;/number&gt;&lt;dates&gt;&lt;year&gt;2024&lt;/year&gt;&lt;pub-dates&gt;&lt;date&gt;2024/06/06&lt;/date&gt;&lt;/pub-dates&gt;&lt;/dates&gt;&lt;isbn&gt;2191-0855&lt;/isbn&gt;&lt;urls&gt;&lt;related-urls&gt;&lt;url&gt;https://doi.org/10.1186/s13568-024-01728-x&lt;/url&gt;&lt;/related-urls&gt;&lt;/urls&gt;&lt;electronic-resource-num&gt;10.1186/s13568-024-01728-x&lt;/electronic-resource-num&gt;&lt;/record&gt;&lt;/Cite&gt;&lt;/EndNote&gt;</w:instrText>
      </w:r>
      <w:r w:rsidRPr="003A2729">
        <w:rPr>
          <w:lang w:val="en-GB"/>
        </w:rPr>
        <w:fldChar w:fldCharType="separate"/>
      </w:r>
      <w:r w:rsidR="002F168C" w:rsidRPr="003A2729">
        <w:rPr>
          <w:noProof/>
          <w:vertAlign w:val="superscript"/>
          <w:lang w:val="en-GB"/>
        </w:rPr>
        <w:t>6</w:t>
      </w:r>
      <w:r w:rsidRPr="003A2729">
        <w:fldChar w:fldCharType="end"/>
      </w:r>
      <w:r w:rsidRPr="003A2729">
        <w:rPr>
          <w:lang w:val="en-GB"/>
        </w:rPr>
        <w:t xml:space="preserve">. These results highlight the reliability of </w:t>
      </w:r>
      <w:r w:rsidR="0008143B" w:rsidRPr="003A2729">
        <w:rPr>
          <w:lang w:val="en-GB"/>
        </w:rPr>
        <w:t>n</w:t>
      </w:r>
      <w:r w:rsidRPr="003A2729">
        <w:rPr>
          <w:lang w:val="en-GB"/>
        </w:rPr>
        <w:t>anopore sequencing for amplicon-based applications, consistent with previous reports</w:t>
      </w:r>
      <w:r w:rsidRPr="003A2729">
        <w:rPr>
          <w:lang w:val="en-GB"/>
        </w:rPr>
        <w:fldChar w:fldCharType="begin">
          <w:fldData xml:space="preserve">PEVuZE5vdGU+PENpdGU+PEF1dGhvcj5LYXJzdDwvQXV0aG9yPjxZZWFyPjIwMjE8L1llYXI+PFJl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</w:fldData>
        </w:fldChar>
      </w:r>
      <w:r w:rsidR="00AA0C6E" w:rsidRPr="003A2729">
        <w:rPr>
          <w:lang w:val="en-GB"/>
        </w:rPr>
        <w:instrText xml:space="preserve"> ADDIN EN.CITE </w:instrText>
      </w:r>
      <w:r w:rsidR="00AA0C6E" w:rsidRPr="003A2729">
        <w:rPr>
          <w:lang w:val="en-GB"/>
        </w:rPr>
        <w:fldChar w:fldCharType="begin">
          <w:fldData xml:space="preserve">PEVuZE5vdGU+PENpdGU+PEF1dGhvcj5LYXJzdDwvQXV0aG9yPjxZZWFyPjIwMjE8L1llYXI+PFJl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</w:fldData>
        </w:fldChar>
      </w:r>
      <w:r w:rsidR="00AA0C6E" w:rsidRPr="003A2729">
        <w:rPr>
          <w:lang w:val="en-GB"/>
        </w:rPr>
        <w:instrText xml:space="preserve"> ADDIN EN.CITE.DATA </w:instrText>
      </w:r>
      <w:r w:rsidR="00AA0C6E" w:rsidRPr="003A2729">
        <w:rPr>
          <w:lang w:val="en-GB"/>
        </w:rPr>
      </w:r>
      <w:r w:rsidR="00AA0C6E" w:rsidRPr="003A2729">
        <w:rPr>
          <w:lang w:val="en-GB"/>
        </w:rPr>
        <w:fldChar w:fldCharType="end"/>
      </w:r>
      <w:r w:rsidRPr="003A2729">
        <w:rPr>
          <w:lang w:val="en-GB"/>
        </w:rPr>
      </w:r>
      <w:r w:rsidRPr="003A2729">
        <w:rPr>
          <w:lang w:val="en-GB"/>
        </w:rPr>
        <w:fldChar w:fldCharType="separate"/>
      </w:r>
      <w:r w:rsidR="00AA0C6E" w:rsidRPr="003A2729">
        <w:rPr>
          <w:noProof/>
          <w:vertAlign w:val="superscript"/>
          <w:lang w:val="en-GB"/>
        </w:rPr>
        <w:t>9,10</w:t>
      </w:r>
      <w:r w:rsidRPr="003A2729">
        <w:fldChar w:fldCharType="end"/>
      </w:r>
      <w:r w:rsidRPr="003A2729">
        <w:rPr>
          <w:lang w:val="en-GB"/>
        </w:rPr>
        <w:t>, demonstrating its accuracy for targeted MLST and pathogen genotyping workflows</w:t>
      </w:r>
      <w:r w:rsidRPr="003A2729">
        <w:rPr>
          <w:lang w:val="en-GB"/>
        </w:rPr>
        <w:fldChar w:fldCharType="begin"/>
      </w:r>
      <w:r w:rsidR="00AA0C6E" w:rsidRPr="003A2729">
        <w:rPr>
          <w:lang w:val="en-GB"/>
        </w:rPr>
        <w:instrText xml:space="preserve"> ADDIN EN.CITE &lt;EndNote&gt;&lt;Cite&gt;&lt;Author&gt;Vilares&lt;/Author&gt;&lt;Year&gt;2020&lt;/Year&gt;&lt;RecNum&gt;7&lt;/RecNum&gt;&lt;DisplayText&gt;&lt;style face="superscript"&gt;11&lt;/style&gt;&lt;/DisplayText&gt;&lt;record&gt;&lt;rec-number&gt;7&lt;/rec-number&gt;&lt;foreign-keys&gt;&lt;key app="EN" db-id="r9dvzva04daarve50fbvv0vcapap2eteffez" timestamp="1765631019"&gt;7&lt;/key&gt;&lt;/foreign-keys&gt;&lt;ref-type name="Journal Article"&gt;17&lt;/ref-type&gt;&lt;contributors&gt;&lt;authors&gt;&lt;author&gt;Vilares, Anabela&lt;/author&gt;&lt;author&gt;Borges, Vítor&lt;/author&gt;&lt;author&gt;Sampaio, Daniel&lt;/author&gt;&lt;author&gt;Ferreira, Idalina&lt;/author&gt;&lt;author&gt;Martins, Susana&lt;/author&gt;&lt;author&gt;Vieira, Luis&lt;/author&gt;&lt;author&gt;Gargaté, Maria João&lt;/author&gt;&lt;author&gt;Gomes, João Paulo&lt;/author&gt;&lt;/authors&gt;&lt;/contributors&gt;&lt;titles&gt;&lt;title&gt;Towards a rapid sequencing-based molecular surveillance and mosaicism investigation of Toxoplasma gondii&lt;/title&gt;&lt;secondary-title&gt;Parasitology Research&lt;/secondary-title&gt;&lt;/titles&gt;&lt;periodical&gt;&lt;full-title&gt;Parasitology Research&lt;/full-title&gt;&lt;/periodical&gt;&lt;pages&gt;587-599&lt;/pages&gt;&lt;volume&gt;119&lt;/volume&gt;&lt;number&gt;2&lt;/number&gt;&lt;dates&gt;&lt;year&gt;2020&lt;/year&gt;&lt;pub-dates&gt;&lt;date&gt;2020/02/01&lt;/date&gt;&lt;/pub-dates&gt;&lt;/dates&gt;&lt;isbn&gt;1432-1955&lt;/isbn&gt;&lt;urls&gt;&lt;related-urls&gt;&lt;url&gt;https://doi.org/10.1007/s00436-019-06523-3&lt;/url&gt;&lt;/related-urls&gt;&lt;/urls&gt;&lt;electronic-resource-num&gt;10.1007/s00436-019-06523-3&lt;/electronic-resource-num&gt;&lt;/record&gt;&lt;/Cite&gt;&lt;/EndNote&gt;</w:instrText>
      </w:r>
      <w:r w:rsidRPr="003A2729">
        <w:rPr>
          <w:lang w:val="en-GB"/>
        </w:rPr>
        <w:fldChar w:fldCharType="separate"/>
      </w:r>
      <w:r w:rsidR="00AA0C6E" w:rsidRPr="003A2729">
        <w:rPr>
          <w:noProof/>
          <w:vertAlign w:val="superscript"/>
          <w:lang w:val="en-GB"/>
        </w:rPr>
        <w:t>11</w:t>
      </w:r>
      <w:r w:rsidRPr="003A2729">
        <w:fldChar w:fldCharType="end"/>
      </w:r>
      <w:r w:rsidRPr="003A2729">
        <w:rPr>
          <w:lang w:val="en-GB"/>
        </w:rPr>
        <w:t xml:space="preserve">. </w:t>
      </w:r>
    </w:p>
    <w:p w14:paraId="78BCDE95" w14:textId="77777777" w:rsidR="006942DC" w:rsidRPr="003A2729" w:rsidRDefault="006942DC" w:rsidP="00862571">
      <w:pPr>
        <w:contextualSpacing/>
        <w:rPr>
          <w:lang w:val="en-GB"/>
        </w:rPr>
      </w:pPr>
    </w:p>
    <w:p w14:paraId="3203ACEA" w14:textId="1ADFC85F" w:rsidR="00574E6D" w:rsidRPr="003A2729" w:rsidRDefault="00DF0BF5" w:rsidP="00862571">
      <w:pPr>
        <w:contextualSpacing/>
      </w:pPr>
      <w:r w:rsidRPr="003A2729">
        <w:rPr>
          <w:lang w:val="en-GB"/>
        </w:rPr>
        <w:t xml:space="preserve">BLAST analysis of the generated consensus sequences revealed perfect or near-perfect matches to the corresponding reference genes, confirming both the technical accuracy of the sequencing approach and the biological conservation of these loci. This provided independent validation of the sequencing output and reinforced the robustness of the analytical pipeline. </w:t>
      </w:r>
      <w:r w:rsidR="00574E6D" w:rsidRPr="003A2729">
        <w:t xml:space="preserve">However, in the comparison of two representative canonical clonal strains, the </w:t>
      </w:r>
      <w:r w:rsidR="00574E6D" w:rsidRPr="003A2729">
        <w:rPr>
          <w:i/>
          <w:iCs/>
        </w:rPr>
        <w:t>SAG2</w:t>
      </w:r>
      <w:r w:rsidR="00574E6D" w:rsidRPr="003A2729">
        <w:t xml:space="preserve"> locus exhibited limited sequence polymorphism</w:t>
      </w:r>
      <w:r w:rsidR="006E12A6" w:rsidRPr="003A2729">
        <w:fldChar w:fldCharType="begin">
          <w:fldData xml:space="preserve">PEVuZE5vdGU+PENpdGU+PEF1dGhvcj5GYXphZWxpPC9BdXRob3I+PFllYXI+MjAwNzwvWWVhcj48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</w:fldData>
        </w:fldChar>
      </w:r>
      <w:r w:rsidR="00860B52" w:rsidRPr="003A2729">
        <w:instrText xml:space="preserve"> ADDIN EN.CITE </w:instrText>
      </w:r>
      <w:r w:rsidR="00860B52" w:rsidRPr="003A2729">
        <w:fldChar w:fldCharType="begin">
          <w:fldData xml:space="preserve">PEVuZE5vdGU+PENpdGU+PEF1dGhvcj5GYXphZWxpPC9BdXRob3I+PFllYXI+MjAwNzwvWWVhcj48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</w:fldData>
        </w:fldChar>
      </w:r>
      <w:r w:rsidR="00860B52" w:rsidRPr="003A2729">
        <w:instrText xml:space="preserve"> ADDIN EN.CITE.DATA </w:instrText>
      </w:r>
      <w:r w:rsidR="00860B52" w:rsidRPr="003A2729">
        <w:fldChar w:fldCharType="end"/>
      </w:r>
      <w:r w:rsidR="006E12A6" w:rsidRPr="003A2729">
        <w:fldChar w:fldCharType="separate"/>
      </w:r>
      <w:r w:rsidR="00860B52" w:rsidRPr="003A2729">
        <w:rPr>
          <w:noProof/>
          <w:vertAlign w:val="superscript"/>
        </w:rPr>
        <w:t>12,13</w:t>
      </w:r>
      <w:r w:rsidR="006E12A6" w:rsidRPr="003A2729">
        <w:fldChar w:fldCharType="end"/>
      </w:r>
      <w:r w:rsidR="00574E6D" w:rsidRPr="003A2729">
        <w:t xml:space="preserve">, restricting its discriminatory power within this dataset. To enhance strain resolution, we employed a multi-locus sequence typing (MLST) approach by including an additional locus, </w:t>
      </w:r>
      <w:r w:rsidR="00574E6D" w:rsidRPr="003A2729">
        <w:rPr>
          <w:i/>
          <w:iCs/>
        </w:rPr>
        <w:t>SAG3</w:t>
      </w:r>
      <w:r w:rsidR="00574E6D" w:rsidRPr="003A2729">
        <w:t>. These two loci were informative and successfully differentiated the canonical strains; however, comprehe</w:t>
      </w:r>
      <w:r w:rsidR="001D6EAC" w:rsidRPr="003A2729">
        <w:t xml:space="preserve">nsive genotype characterization, </w:t>
      </w:r>
      <w:r w:rsidR="00574E6D" w:rsidRPr="003A2729">
        <w:t xml:space="preserve">particularly for </w:t>
      </w:r>
      <w:r w:rsidR="001D6EAC" w:rsidRPr="003A2729">
        <w:t>atypical or recombinant strains</w:t>
      </w:r>
      <w:r w:rsidR="00D3345F" w:rsidRPr="003A2729">
        <w:t>,</w:t>
      </w:r>
      <w:r w:rsidR="001D6EAC" w:rsidRPr="003A2729">
        <w:t xml:space="preserve"> </w:t>
      </w:r>
      <w:r w:rsidR="00574E6D" w:rsidRPr="003A2729">
        <w:t>requires the inclusion of additional standardized MLST markers.</w:t>
      </w:r>
    </w:p>
    <w:p w14:paraId="5A1E79AA" w14:textId="77777777" w:rsidR="006942DC" w:rsidRPr="003A2729" w:rsidRDefault="006942DC" w:rsidP="00862571">
      <w:pPr>
        <w:contextualSpacing/>
      </w:pPr>
    </w:p>
    <w:p w14:paraId="34B02C01" w14:textId="38FF003F" w:rsidR="008565BB" w:rsidRPr="003A2729" w:rsidRDefault="008565BB" w:rsidP="00862571">
      <w:pPr>
        <w:contextualSpacing/>
        <w:rPr>
          <w:lang w:val="en-GB"/>
        </w:rPr>
      </w:pPr>
      <w:r w:rsidRPr="003A2729">
        <w:rPr>
          <w:lang w:val="en-GB"/>
        </w:rPr>
        <w:t xml:space="preserve">Visualization of read alignments demonstrated that, at the </w:t>
      </w:r>
      <w:r w:rsidRPr="003A2729">
        <w:rPr>
          <w:i/>
          <w:iCs/>
          <w:lang w:val="en-GB"/>
        </w:rPr>
        <w:t>SAG2</w:t>
      </w:r>
      <w:r w:rsidRPr="003A2729">
        <w:rPr>
          <w:lang w:val="en-GB"/>
        </w:rPr>
        <w:t xml:space="preserve"> locus, uniform sequencing coverage and near-complete concordance with the reference sequence in the ME49 strain confirm the highly conserved nature of this marker. Although the RH strain exhibited several nucleotide substitutions, these variants were consistently supported by multiple reads and detected on both strands, indicating true biological variation. The absence of insertions, deletions, or coverage disruptions in either strain further supports the structural stability of the </w:t>
      </w:r>
      <w:r w:rsidRPr="003A2729">
        <w:rPr>
          <w:i/>
          <w:iCs/>
          <w:lang w:val="en-GB"/>
        </w:rPr>
        <w:t>SAG2</w:t>
      </w:r>
      <w:r w:rsidRPr="003A2729">
        <w:rPr>
          <w:lang w:val="en-GB"/>
        </w:rPr>
        <w:t xml:space="preserve"> locus and reinforces its utility as a reliable phylogenetic reference, albeit with limited discriminatory power for fine-scale strain differentiation. In contrast, </w:t>
      </w:r>
      <w:r w:rsidR="00D3345F" w:rsidRPr="003A2729">
        <w:rPr>
          <w:lang w:val="en-GB"/>
        </w:rPr>
        <w:t xml:space="preserve">the </w:t>
      </w:r>
      <w:r w:rsidRPr="003A2729">
        <w:rPr>
          <w:i/>
          <w:iCs/>
          <w:lang w:val="en-GB"/>
        </w:rPr>
        <w:t>SAG3</w:t>
      </w:r>
      <w:r w:rsidRPr="003A2729">
        <w:rPr>
          <w:lang w:val="en-GB"/>
        </w:rPr>
        <w:t xml:space="preserve"> locus revealed pronounced strain-specific genetic divergence</w:t>
      </w:r>
      <w:r w:rsidRPr="003A2729">
        <w:rPr>
          <w:lang w:val="en-GB"/>
        </w:rPr>
        <w:fldChar w:fldCharType="begin">
          <w:fldData xml:space="preserve">PEVuZE5vdGU+PENpdGU+PEF1dGhvcj5UYXJnYTwvQXV0aG9yPjxZZWFyPjIwMjM8L1llYXI+PFJl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</w:fldData>
        </w:fldChar>
      </w:r>
      <w:r w:rsidR="006E12A6" w:rsidRPr="003A2729">
        <w:rPr>
          <w:lang w:val="en-GB"/>
        </w:rPr>
        <w:instrText xml:space="preserve"> ADDIN EN.CITE </w:instrText>
      </w:r>
      <w:r w:rsidR="006E12A6" w:rsidRPr="003A2729">
        <w:rPr>
          <w:lang w:val="en-GB"/>
        </w:rPr>
        <w:fldChar w:fldCharType="begin">
          <w:fldData xml:space="preserve">PEVuZE5vdGU+PENpdGU+PEF1dGhvcj5UYXJnYTwvQXV0aG9yPjxZZWFyPjIwMjM8L1llYXI+PFJl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</w:fldData>
        </w:fldChar>
      </w:r>
      <w:r w:rsidR="006E12A6" w:rsidRPr="003A2729">
        <w:rPr>
          <w:lang w:val="en-GB"/>
        </w:rPr>
        <w:instrText xml:space="preserve"> ADDIN EN.CITE.DATA </w:instrText>
      </w:r>
      <w:r w:rsidR="006E12A6" w:rsidRPr="003A2729">
        <w:rPr>
          <w:lang w:val="en-GB"/>
        </w:rPr>
      </w:r>
      <w:r w:rsidR="006E12A6" w:rsidRPr="003A2729">
        <w:rPr>
          <w:lang w:val="en-GB"/>
        </w:rPr>
        <w:fldChar w:fldCharType="end"/>
      </w:r>
      <w:r w:rsidRPr="003A2729">
        <w:rPr>
          <w:lang w:val="en-GB"/>
        </w:rPr>
      </w:r>
      <w:r w:rsidRPr="003A2729">
        <w:rPr>
          <w:lang w:val="en-GB"/>
        </w:rPr>
        <w:fldChar w:fldCharType="separate"/>
      </w:r>
      <w:r w:rsidR="006E12A6" w:rsidRPr="003A2729">
        <w:rPr>
          <w:noProof/>
          <w:vertAlign w:val="superscript"/>
          <w:lang w:val="en-GB"/>
        </w:rPr>
        <w:t>13</w:t>
      </w:r>
      <w:r w:rsidRPr="003A2729">
        <w:fldChar w:fldCharType="end"/>
      </w:r>
      <w:r w:rsidRPr="003A2729">
        <w:rPr>
          <w:lang w:val="en-GB"/>
        </w:rPr>
        <w:t xml:space="preserve">, highlighting its value as a high-resolution genotyping marker. While ME49 showed relatively sparse polymorphism with predominantly concordant read alignments, the RH strain exhibited a dense accumulation of single-nucleotide variants and localized clusters of mismatches across the locus. The consistent presence of alternative alleles at the same genomic positions across numerous reads provides strong evidence that these polymorphisms reflect genuine genetic differences rather than </w:t>
      </w:r>
      <w:r w:rsidR="0008143B" w:rsidRPr="003A2729">
        <w:rPr>
          <w:lang w:val="en-GB"/>
        </w:rPr>
        <w:t>n</w:t>
      </w:r>
      <w:r w:rsidRPr="003A2729">
        <w:rPr>
          <w:lang w:val="en-GB"/>
        </w:rPr>
        <w:t xml:space="preserve">anopore sequencing errors. High and even coverage across </w:t>
      </w:r>
      <w:r w:rsidRPr="003A2729">
        <w:rPr>
          <w:i/>
          <w:iCs/>
          <w:lang w:val="en-GB"/>
        </w:rPr>
        <w:t>SAG3</w:t>
      </w:r>
      <w:r w:rsidRPr="003A2729">
        <w:rPr>
          <w:lang w:val="en-GB"/>
        </w:rPr>
        <w:t xml:space="preserve"> in both strains further strengthens confidence in variant detection and supports the robustness of long-read sequencing for resolving polymorphic loci.</w:t>
      </w:r>
    </w:p>
    <w:p w14:paraId="57C844DD" w14:textId="77777777" w:rsidR="006942DC" w:rsidRPr="003A2729" w:rsidRDefault="006942DC" w:rsidP="00862571">
      <w:pPr>
        <w:contextualSpacing/>
        <w:rPr>
          <w:lang w:val="en-GB"/>
        </w:rPr>
      </w:pPr>
    </w:p>
    <w:p w14:paraId="6594ED11" w14:textId="52C591CF" w:rsidR="008565BB" w:rsidRPr="003A2729" w:rsidRDefault="008565BB" w:rsidP="00862571">
      <w:pPr>
        <w:contextualSpacing/>
        <w:rPr>
          <w:lang w:val="en-GB"/>
        </w:rPr>
      </w:pPr>
      <w:r w:rsidRPr="003A2729">
        <w:rPr>
          <w:lang w:val="en-GB"/>
        </w:rPr>
        <w:t xml:space="preserve">Variant analysis quantitatively supported the patterns observed in read-alignment visualizations, revealing pronounced strain-specific differences at the </w:t>
      </w:r>
      <w:r w:rsidRPr="003A2729">
        <w:rPr>
          <w:i/>
          <w:iCs/>
          <w:lang w:val="en-GB"/>
        </w:rPr>
        <w:t>SAG3</w:t>
      </w:r>
      <w:r w:rsidRPr="003A2729">
        <w:rPr>
          <w:lang w:val="en-GB"/>
        </w:rPr>
        <w:t xml:space="preserve"> locus. The RH strain exhibited substantially higher sequence diversity, with 61 SNPs and 14 deletions, </w:t>
      </w:r>
      <w:r w:rsidR="00D3345F" w:rsidRPr="003A2729">
        <w:rPr>
          <w:lang w:val="en-GB"/>
        </w:rPr>
        <w:t xml:space="preserve">nearly twice the number </w:t>
      </w:r>
      <w:r w:rsidRPr="003A2729">
        <w:rPr>
          <w:lang w:val="en-GB"/>
        </w:rPr>
        <w:t>detected in ME49. In comparison, the ME49 strain displayed more moderate variation, comprising 34 SNPs, six insertions</w:t>
      </w:r>
      <w:r w:rsidR="00D3345F" w:rsidRPr="003A2729">
        <w:rPr>
          <w:lang w:val="en-GB"/>
        </w:rPr>
        <w:t>,</w:t>
      </w:r>
      <w:r w:rsidRPr="003A2729">
        <w:rPr>
          <w:lang w:val="en-GB"/>
        </w:rPr>
        <w:t xml:space="preserve"> and 13 deletions. This clear disparity reinforces </w:t>
      </w:r>
      <w:r w:rsidRPr="003A2729">
        <w:rPr>
          <w:i/>
          <w:iCs/>
          <w:lang w:val="en-GB"/>
        </w:rPr>
        <w:t>SAG3</w:t>
      </w:r>
      <w:r w:rsidRPr="003A2729">
        <w:rPr>
          <w:lang w:val="en-GB"/>
        </w:rPr>
        <w:t xml:space="preserve"> as a highly dynamic and polymorphic locus, in contrast to the conserved nature of </w:t>
      </w:r>
      <w:r w:rsidRPr="003A2729">
        <w:rPr>
          <w:i/>
          <w:iCs/>
          <w:lang w:val="en-GB"/>
        </w:rPr>
        <w:t>SAG2</w:t>
      </w:r>
      <w:r w:rsidRPr="003A2729">
        <w:rPr>
          <w:lang w:val="en-GB"/>
        </w:rPr>
        <w:t>, and is consistent with previous studies demonstrating extensive allelic diversity, mixed infections</w:t>
      </w:r>
      <w:r w:rsidR="00D3345F" w:rsidRPr="003A2729">
        <w:rPr>
          <w:lang w:val="en-GB"/>
        </w:rPr>
        <w:t>,</w:t>
      </w:r>
      <w:r w:rsidRPr="003A2729">
        <w:rPr>
          <w:lang w:val="en-GB"/>
        </w:rPr>
        <w:t xml:space="preserve"> and multiple haplotypes at </w:t>
      </w:r>
      <w:r w:rsidRPr="003A2729">
        <w:rPr>
          <w:i/>
          <w:iCs/>
          <w:lang w:val="en-GB"/>
        </w:rPr>
        <w:t>SAG3</w:t>
      </w:r>
      <w:r w:rsidR="00231559" w:rsidRPr="003A2729">
        <w:rPr>
          <w:lang w:val="en-GB"/>
        </w:rPr>
        <w:fldChar w:fldCharType="begin">
          <w:fldData xml:space="preserve">PEVuZE5vdGU+PENpdGU+PEF1dGhvcj5SaWNvLVRvcnJlczwvQXV0aG9yPjxZZWFyPjIwMjI8L1ll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</w:fldData>
        </w:fldChar>
      </w:r>
      <w:r w:rsidR="006E12A6" w:rsidRPr="003A2729">
        <w:rPr>
          <w:lang w:val="en-GB"/>
        </w:rPr>
        <w:instrText xml:space="preserve"> ADDIN EN.CITE </w:instrText>
      </w:r>
      <w:r w:rsidR="006E12A6" w:rsidRPr="003A2729">
        <w:rPr>
          <w:lang w:val="en-GB"/>
        </w:rPr>
        <w:fldChar w:fldCharType="begin">
          <w:fldData xml:space="preserve">PEVuZE5vdGU+PENpdGU+PEF1dGhvcj5SaWNvLVRvcnJlczwvQXV0aG9yPjxZZWFyPjIwMjI8L1ll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</w:fldData>
        </w:fldChar>
      </w:r>
      <w:r w:rsidR="006E12A6" w:rsidRPr="003A2729">
        <w:rPr>
          <w:lang w:val="en-GB"/>
        </w:rPr>
        <w:instrText xml:space="preserve"> ADDIN EN.CITE.DATA </w:instrText>
      </w:r>
      <w:r w:rsidR="006E12A6" w:rsidRPr="003A2729">
        <w:rPr>
          <w:lang w:val="en-GB"/>
        </w:rPr>
      </w:r>
      <w:r w:rsidR="006E12A6" w:rsidRPr="003A2729">
        <w:rPr>
          <w:lang w:val="en-GB"/>
        </w:rPr>
        <w:fldChar w:fldCharType="end"/>
      </w:r>
      <w:r w:rsidR="00231559" w:rsidRPr="003A2729">
        <w:rPr>
          <w:lang w:val="en-GB"/>
        </w:rPr>
      </w:r>
      <w:r w:rsidR="00231559" w:rsidRPr="003A2729">
        <w:rPr>
          <w:lang w:val="en-GB"/>
        </w:rPr>
        <w:fldChar w:fldCharType="separate"/>
      </w:r>
      <w:r w:rsidR="006E12A6" w:rsidRPr="003A2729">
        <w:rPr>
          <w:noProof/>
          <w:vertAlign w:val="superscript"/>
          <w:lang w:val="en-GB"/>
        </w:rPr>
        <w:t>14</w:t>
      </w:r>
      <w:r w:rsidR="00231559" w:rsidRPr="003A2729">
        <w:rPr>
          <w:lang w:val="en-GB"/>
        </w:rPr>
        <w:fldChar w:fldCharType="end"/>
      </w:r>
      <w:r w:rsidR="00231559" w:rsidRPr="003A2729">
        <w:rPr>
          <w:lang w:val="en-GB"/>
        </w:rPr>
        <w:t>.</w:t>
      </w:r>
      <w:r w:rsidRPr="003A2729">
        <w:rPr>
          <w:lang w:val="en-GB"/>
        </w:rPr>
        <w:t xml:space="preserve"> Further differentiation between strains was evident in the mutational profiles of </w:t>
      </w:r>
      <w:r w:rsidRPr="003A2729">
        <w:rPr>
          <w:i/>
          <w:iCs/>
          <w:lang w:val="en-GB"/>
        </w:rPr>
        <w:t>SAG3</w:t>
      </w:r>
      <w:r w:rsidRPr="003A2729">
        <w:rPr>
          <w:lang w:val="en-GB"/>
        </w:rPr>
        <w:t xml:space="preserve">. The RH strain showed dense clusters of SNPs and strain-specific INDELs, indicating localized regions of elevated sequence divergence. Conversely, ME49 </w:t>
      </w:r>
      <w:r w:rsidRPr="003A2729">
        <w:rPr>
          <w:lang w:val="en-GB"/>
        </w:rPr>
        <w:lastRenderedPageBreak/>
        <w:t>exhibited fewer polymorphisms</w:t>
      </w:r>
      <w:r w:rsidR="00D3345F" w:rsidRPr="003A2729">
        <w:rPr>
          <w:lang w:val="en-GB"/>
        </w:rPr>
        <w:t>,</w:t>
      </w:r>
      <w:r w:rsidRPr="003A2729">
        <w:rPr>
          <w:lang w:val="en-GB"/>
        </w:rPr>
        <w:t xml:space="preserve"> more evenly distributed across the locus, suggesting comparatively constrained variation. The elevated transition-to-transversion ratios observed in </w:t>
      </w:r>
      <w:r w:rsidRPr="003A2729">
        <w:rPr>
          <w:i/>
          <w:iCs/>
          <w:lang w:val="en-GB"/>
        </w:rPr>
        <w:t>SAG3</w:t>
      </w:r>
      <w:r w:rsidRPr="003A2729">
        <w:rPr>
          <w:lang w:val="en-GB"/>
        </w:rPr>
        <w:t xml:space="preserve"> for both strains imply that mutations at this locus are driven primarily by regular, functionally tolerated substitution processes rather than random genomic instability.</w:t>
      </w:r>
    </w:p>
    <w:p w14:paraId="2600817B" w14:textId="77777777" w:rsidR="006942DC" w:rsidRPr="003A2729" w:rsidRDefault="006942DC" w:rsidP="00862571">
      <w:pPr>
        <w:contextualSpacing/>
        <w:rPr>
          <w:lang w:val="en-GB"/>
        </w:rPr>
      </w:pPr>
    </w:p>
    <w:p w14:paraId="34FE2A40" w14:textId="4277CA22" w:rsidR="00310337" w:rsidRPr="003A2729" w:rsidRDefault="001D6EAC" w:rsidP="00862571">
      <w:pPr>
        <w:contextualSpacing/>
      </w:pPr>
      <w:r w:rsidRPr="003A2729">
        <w:t xml:space="preserve">From an epidemiological perspective, the rapid discrimination of </w:t>
      </w:r>
      <w:r w:rsidRPr="003A2729">
        <w:rPr>
          <w:rStyle w:val="Emphasis"/>
        </w:rPr>
        <w:t>T</w:t>
      </w:r>
      <w:r w:rsidR="00845E89" w:rsidRPr="003A2729">
        <w:rPr>
          <w:rStyle w:val="Emphasis"/>
        </w:rPr>
        <w:t>.</w:t>
      </w:r>
      <w:r w:rsidRPr="003A2729">
        <w:rPr>
          <w:rStyle w:val="Emphasis"/>
        </w:rPr>
        <w:t xml:space="preserve"> gondii</w:t>
      </w:r>
      <w:r w:rsidRPr="003A2729">
        <w:t xml:space="preserve"> strains is critical, as different lineages have been associated with varying levels of experimental virulence</w:t>
      </w:r>
      <w:r w:rsidRPr="003A2729">
        <w:fldChar w:fldCharType="begin"/>
      </w:r>
      <w:r w:rsidR="006E12A6" w:rsidRPr="003A2729">
        <w:instrText xml:space="preserve"> ADDIN EN.CITE &lt;EndNote&gt;&lt;Cite&gt;&lt;Author&gt;Sanchez&lt;/Author&gt;&lt;Year&gt;2021&lt;/Year&gt;&lt;RecNum&gt;1246&lt;/RecNum&gt;&lt;DisplayText&gt;&lt;style face="superscript"&gt;15&lt;/style&gt;&lt;/DisplayText&gt;&lt;record&gt;&lt;rec-number&gt;1246&lt;/rec-number&gt;&lt;foreign-keys&gt;&lt;key app="EN" db-id="0e2tx2spretx0jew9af5rr0a5rxd9swe0pdp" timestamp="1771835422"&gt;1246&lt;/key&gt;&lt;/foreign-keys&gt;&lt;ref-type name="Journal Article"&gt;17&lt;/ref-type&gt;&lt;contributors&gt;&lt;authors&gt;&lt;author&gt;Sanchez, S. G.&lt;/author&gt;&lt;author&gt;Besteiro, S.&lt;/author&gt;&lt;/authors&gt;&lt;/contributors&gt;&lt;auth-address&gt;Lphi, UMR5235, Univ Montpellier, CNRS, Montpellier, France.&lt;/auth-address&gt;&lt;titles&gt;&lt;title&gt;The pathogenicity and virulence of Toxoplasma gondii&lt;/title&gt;&lt;secondary-title&gt;Virulence&lt;/secondary-title&gt;&lt;alt-title&gt;Virulence&lt;/alt-title&gt;&lt;/titles&gt;&lt;periodical&gt;&lt;full-title&gt;Virulence&lt;/full-title&gt;&lt;abbr-1&gt;Virulence&lt;/abbr-1&gt;&lt;/periodical&gt;&lt;alt-periodical&gt;&lt;full-title&gt;Virulence&lt;/full-title&gt;&lt;abbr-1&gt;Virulence&lt;/abbr-1&gt;&lt;/alt-periodical&gt;&lt;pages&gt;3095-3114&lt;/pages&gt;&lt;volume&gt;12&lt;/volume&gt;&lt;number&gt;1&lt;/number&gt;&lt;edition&gt;2021/12/14&lt;/edition&gt;&lt;keywords&gt;&lt;keyword&gt;Animals&lt;/keyword&gt;&lt;keyword&gt;Host-Parasite Interactions&lt;/keyword&gt;&lt;keyword&gt;*Toxoplasma&lt;/keyword&gt;&lt;keyword&gt;*Toxoplasmosis&lt;/keyword&gt;&lt;keyword&gt;Virulence&lt;/keyword&gt;&lt;keyword&gt;Virulence Factors&lt;/keyword&gt;&lt;keyword&gt;Toxoplasma gondii&lt;/keyword&gt;&lt;keyword&gt;acute toxoplasmosis&lt;/keyword&gt;&lt;keyword&gt;chronic toxoplasmosis&lt;/keyword&gt;&lt;keyword&gt;immune evasion&lt;/keyword&gt;&lt;keyword&gt;parasite transmission&lt;/keyword&gt;&lt;keyword&gt;secreted virulence factors&lt;/keyword&gt;&lt;/keywords&gt;&lt;dates&gt;&lt;year&gt;2021&lt;/year&gt;&lt;pub-dates&gt;&lt;date&gt;Dec&lt;/date&gt;&lt;/pub-dates&gt;&lt;/dates&gt;&lt;isbn&gt;2150-5594 (Print)&amp;#xD;2150-5594&lt;/isbn&gt;&lt;accession-num&gt;34895084&lt;/accession-num&gt;&lt;urls&gt;&lt;/urls&gt;&lt;custom2&gt;PMC8667916&lt;/custom2&gt;&lt;electronic-resource-num&gt;10.1080/21505594.2021.2012346&lt;/electronic-resource-num&gt;&lt;remote-database-provider&gt;NLM&lt;/remote-database-provider&gt;&lt;language&gt;eng&lt;/language&gt;&lt;/record&gt;&lt;/Cite&gt;&lt;/EndNote&gt;</w:instrText>
      </w:r>
      <w:r w:rsidRPr="003A2729">
        <w:fldChar w:fldCharType="separate"/>
      </w:r>
      <w:r w:rsidR="006E12A6" w:rsidRPr="003A2729">
        <w:rPr>
          <w:noProof/>
          <w:vertAlign w:val="superscript"/>
        </w:rPr>
        <w:t>15</w:t>
      </w:r>
      <w:r w:rsidRPr="003A2729">
        <w:fldChar w:fldCharType="end"/>
      </w:r>
      <w:r w:rsidRPr="003A2729">
        <w:t xml:space="preserve">  </w:t>
      </w:r>
      <w:r w:rsidR="00310337" w:rsidRPr="003A2729">
        <w:rPr>
          <w:lang w:val="en-GB"/>
        </w:rPr>
        <w:t>and may therefore inform outbreak investigations, food safety monitoring</w:t>
      </w:r>
      <w:r w:rsidR="00D3345F" w:rsidRPr="003A2729">
        <w:rPr>
          <w:lang w:val="en-GB"/>
        </w:rPr>
        <w:t>,</w:t>
      </w:r>
      <w:r w:rsidR="00310337" w:rsidRPr="003A2729">
        <w:rPr>
          <w:lang w:val="en-GB"/>
        </w:rPr>
        <w:t xml:space="preserve"> and One Health surveillance strategies. The portability of the Oxford Nanopore sequencing platform offers potential for deployment in low-resource settings; </w:t>
      </w:r>
      <w:r w:rsidR="00034165" w:rsidRPr="003A2729">
        <w:t>with further validation and optimization using primary clinical or environmental samples, this approach may become suitable</w:t>
      </w:r>
      <w:r w:rsidR="00034165" w:rsidRPr="003A2729">
        <w:rPr>
          <w:lang w:val="en-GB"/>
        </w:rPr>
        <w:t xml:space="preserve"> </w:t>
      </w:r>
      <w:r w:rsidR="00310337" w:rsidRPr="003A2729">
        <w:rPr>
          <w:lang w:val="en-GB"/>
        </w:rPr>
        <w:t>for routine field implementation</w:t>
      </w:r>
      <w:r w:rsidR="009443E5" w:rsidRPr="003A2729">
        <w:rPr>
          <w:rFonts w:eastAsia="Times New Roman"/>
          <w:bCs/>
          <w:lang w:val="en-GB"/>
        </w:rPr>
        <w:t xml:space="preserve">. </w:t>
      </w:r>
      <w:r w:rsidR="009443E5" w:rsidRPr="003A2729">
        <w:rPr>
          <w:bCs/>
        </w:rPr>
        <w:t xml:space="preserve">This is consistent with previous studies showing that </w:t>
      </w:r>
      <w:proofErr w:type="spellStart"/>
      <w:r w:rsidR="009443E5" w:rsidRPr="003A2729">
        <w:rPr>
          <w:bCs/>
        </w:rPr>
        <w:t>MinION</w:t>
      </w:r>
      <w:proofErr w:type="spellEnd"/>
      <w:r w:rsidR="009443E5" w:rsidRPr="003A2729">
        <w:rPr>
          <w:bCs/>
        </w:rPr>
        <w:t xml:space="preserve">-based MLST targeting </w:t>
      </w:r>
      <w:r w:rsidR="009443E5" w:rsidRPr="003A2729">
        <w:rPr>
          <w:bCs/>
          <w:i/>
          <w:iCs/>
        </w:rPr>
        <w:t>SAG2</w:t>
      </w:r>
      <w:r w:rsidR="009443E5" w:rsidRPr="003A2729">
        <w:rPr>
          <w:bCs/>
        </w:rPr>
        <w:t xml:space="preserve">, </w:t>
      </w:r>
      <w:r w:rsidR="009443E5" w:rsidRPr="003A2729">
        <w:rPr>
          <w:bCs/>
          <w:i/>
          <w:iCs/>
        </w:rPr>
        <w:t>SAG3</w:t>
      </w:r>
      <w:r w:rsidR="009443E5" w:rsidRPr="003A2729">
        <w:rPr>
          <w:bCs/>
        </w:rPr>
        <w:t xml:space="preserve">, </w:t>
      </w:r>
      <w:r w:rsidR="009443E5" w:rsidRPr="003A2729">
        <w:rPr>
          <w:bCs/>
          <w:i/>
          <w:iCs/>
        </w:rPr>
        <w:t>ROP17</w:t>
      </w:r>
      <w:r w:rsidR="009443E5" w:rsidRPr="003A2729">
        <w:rPr>
          <w:bCs/>
        </w:rPr>
        <w:t xml:space="preserve">, and </w:t>
      </w:r>
      <w:r w:rsidR="009443E5" w:rsidRPr="003A2729">
        <w:rPr>
          <w:bCs/>
          <w:i/>
          <w:iCs/>
        </w:rPr>
        <w:t>ROP21</w:t>
      </w:r>
      <w:r w:rsidR="009443E5" w:rsidRPr="003A2729">
        <w:rPr>
          <w:bCs/>
        </w:rPr>
        <w:t xml:space="preserve"> achieves high sequencing accuracy, and that combining conserved and polymorphic loci provides robust strain-level resolution, enabling reliable differentiation of </w:t>
      </w:r>
      <w:r w:rsidR="009443E5" w:rsidRPr="003A2729">
        <w:rPr>
          <w:bCs/>
          <w:i/>
          <w:iCs/>
        </w:rPr>
        <w:t>T</w:t>
      </w:r>
      <w:r w:rsidR="00845E89" w:rsidRPr="003A2729">
        <w:rPr>
          <w:bCs/>
          <w:i/>
          <w:iCs/>
        </w:rPr>
        <w:t>.</w:t>
      </w:r>
      <w:r w:rsidR="009443E5" w:rsidRPr="003A2729">
        <w:rPr>
          <w:bCs/>
          <w:i/>
          <w:iCs/>
        </w:rPr>
        <w:t xml:space="preserve"> gondii</w:t>
      </w:r>
      <w:r w:rsidR="00B00596" w:rsidRPr="003A2729">
        <w:rPr>
          <w:bCs/>
        </w:rPr>
        <w:t xml:space="preserve"> lineages</w:t>
      </w:r>
      <w:r w:rsidR="00D3345F" w:rsidRPr="003A2729">
        <w:rPr>
          <w:bCs/>
        </w:rPr>
        <w:t>,</w:t>
      </w:r>
      <w:r w:rsidR="00845E89" w:rsidRPr="003A2729">
        <w:rPr>
          <w:bCs/>
        </w:rPr>
        <w:t xml:space="preserve"> including from field samples</w:t>
      </w:r>
      <w:r w:rsidR="009443E5" w:rsidRPr="003A2729">
        <w:rPr>
          <w:lang w:val="en-GB"/>
        </w:rPr>
        <w:fldChar w:fldCharType="begin"/>
      </w:r>
      <w:r w:rsidR="002F168C" w:rsidRPr="003A2729">
        <w:rPr>
          <w:lang w:val="en-GB"/>
        </w:rPr>
        <w:instrText xml:space="preserve"> ADDIN EN.CITE &lt;EndNote&gt;&lt;Cite&gt;&lt;Author&gt;Koutsogiannis&lt;/Author&gt;&lt;Year&gt;2024&lt;/Year&gt;&lt;RecNum&gt;3&lt;/RecNum&gt;&lt;DisplayText&gt;&lt;style face="superscript"&gt;6&lt;/style&gt;&lt;/DisplayText&gt;&lt;record&gt;&lt;rec-number&gt;3&lt;/rec-number&gt;&lt;foreign-keys&gt;&lt;key app="EN" db-id="r9dvzva04daarve50fbvv0vcapap2eteffez" timestamp="1764290725"&gt;3&lt;/key&gt;&lt;/foreign-keys&gt;&lt;ref-type name="Journal Article"&gt;17&lt;/ref-type&gt;&lt;contributors&gt;&lt;authors&gt;&lt;author&gt;Koutsogiannis, Zisis&lt;/author&gt;&lt;author&gt;Denny, Paul W.&lt;/author&gt;&lt;/authors&gt;&lt;/contributors&gt;&lt;titles&gt;&lt;title&gt;Rapid genotyping of Toxoplasma gondii isolates via Nanopore-based multi-locus sequencing&lt;/title&gt;&lt;secondary-title&gt;AMB Express&lt;/secondary-title&gt;&lt;/titles&gt;&lt;periodical&gt;&lt;full-title&gt;AMB Express&lt;/full-title&gt;&lt;/periodical&gt;&lt;pages&gt;68&lt;/pages&gt;&lt;volume&gt;14&lt;/volume&gt;&lt;number&gt;1&lt;/number&gt;&lt;dates&gt;&lt;year&gt;2024&lt;/year&gt;&lt;pub-dates&gt;&lt;date&gt;2024/06/06&lt;/date&gt;&lt;/pub-dates&gt;&lt;/dates&gt;&lt;isbn&gt;2191-0855&lt;/isbn&gt;&lt;urls&gt;&lt;related-urls&gt;&lt;url&gt;https://doi.org/10.1186/s13568-024-01728-x&lt;/url&gt;&lt;/related-urls&gt;&lt;/urls&gt;&lt;electronic-resource-num&gt;10.1186/s13568-024-01728-x&lt;/electronic-resource-num&gt;&lt;/record&gt;&lt;/Cite&gt;&lt;/EndNote&gt;</w:instrText>
      </w:r>
      <w:r w:rsidR="009443E5" w:rsidRPr="003A2729">
        <w:rPr>
          <w:lang w:val="en-GB"/>
        </w:rPr>
        <w:fldChar w:fldCharType="separate"/>
      </w:r>
      <w:r w:rsidR="002F168C" w:rsidRPr="003A2729">
        <w:rPr>
          <w:noProof/>
          <w:vertAlign w:val="superscript"/>
          <w:lang w:val="en-GB"/>
        </w:rPr>
        <w:t>6</w:t>
      </w:r>
      <w:r w:rsidR="009443E5" w:rsidRPr="003A2729">
        <w:fldChar w:fldCharType="end"/>
      </w:r>
      <w:r w:rsidR="009443E5" w:rsidRPr="003A2729">
        <w:rPr>
          <w:bCs/>
        </w:rPr>
        <w:t>.</w:t>
      </w:r>
      <w:r w:rsidR="009443E5" w:rsidRPr="003A2729">
        <w:t xml:space="preserve"> </w:t>
      </w:r>
      <w:r w:rsidR="00310337" w:rsidRPr="003A2729">
        <w:rPr>
          <w:lang w:val="en-GB"/>
        </w:rPr>
        <w:t xml:space="preserve">Compared with short-read sequencing technologies, </w:t>
      </w:r>
      <w:r w:rsidR="0008143B" w:rsidRPr="003A2729">
        <w:rPr>
          <w:lang w:val="en-GB"/>
        </w:rPr>
        <w:t>n</w:t>
      </w:r>
      <w:r w:rsidR="00310337" w:rsidRPr="003A2729">
        <w:rPr>
          <w:lang w:val="en-GB"/>
        </w:rPr>
        <w:t xml:space="preserve">anopore sequencing enables continuous data acquisition and on-site analysis, thereby reducing the interval from sample processing to genetic characterization. </w:t>
      </w:r>
      <w:r w:rsidR="0087321F" w:rsidRPr="003A2729">
        <w:t xml:space="preserve">Moreover, the modular design of this workflow permits </w:t>
      </w:r>
      <w:r w:rsidR="00D3345F" w:rsidRPr="003A2729">
        <w:t>the incorporation of additional polymorphic loci, thereby increasing discriminatory capacity and enhancing the resolution of atypical or recombinant genotypes prevalent in regions such as South America, Asia</w:t>
      </w:r>
      <w:r w:rsidR="0087321F" w:rsidRPr="003A2729">
        <w:t xml:space="preserve"> and parts of Africa</w:t>
      </w:r>
      <w:r w:rsidR="00D3345F" w:rsidRPr="003A2729">
        <w:t>. It</w:t>
      </w:r>
      <w:r w:rsidR="0087321F" w:rsidRPr="003A2729">
        <w:t xml:space="preserve"> can also be adapted for broader genotyping of other apicomplexan pathogens.</w:t>
      </w:r>
    </w:p>
    <w:p w14:paraId="0BEB38EC" w14:textId="77777777" w:rsidR="006E4797" w:rsidRPr="003A2729" w:rsidRDefault="006E4797" w:rsidP="00862571">
      <w:pPr>
        <w:contextualSpacing/>
        <w:rPr>
          <w:color w:val="000000"/>
          <w:lang w:val="en-GB"/>
        </w:rPr>
      </w:pPr>
    </w:p>
    <w:p w14:paraId="59F37CC4" w14:textId="5B450849" w:rsidR="006E4797" w:rsidRPr="003A2729" w:rsidRDefault="00551D82" w:rsidP="00862571">
      <w:pPr>
        <w:pBdr>
          <w:top w:val="nil"/>
          <w:left w:val="nil"/>
          <w:bottom w:val="nil"/>
          <w:right w:val="nil"/>
          <w:between w:val="nil"/>
        </w:pBdr>
        <w:contextualSpacing/>
        <w:rPr>
          <w:color w:val="808080"/>
        </w:rPr>
      </w:pPr>
      <w:r w:rsidRPr="003A2729">
        <w:rPr>
          <w:b/>
          <w:color w:val="000000"/>
        </w:rPr>
        <w:t>ACKNOWLEDGMENTS:</w:t>
      </w:r>
    </w:p>
    <w:p w14:paraId="4D1CA1FB" w14:textId="1D9F1C61" w:rsidR="008565BB" w:rsidRPr="003A2729" w:rsidRDefault="008565BB" w:rsidP="00862571">
      <w:pPr>
        <w:pBdr>
          <w:top w:val="nil"/>
          <w:left w:val="nil"/>
          <w:bottom w:val="nil"/>
          <w:right w:val="nil"/>
          <w:between w:val="nil"/>
        </w:pBdr>
        <w:contextualSpacing/>
        <w:rPr>
          <w:lang w:val="en-GB"/>
        </w:rPr>
      </w:pPr>
      <w:r w:rsidRPr="003A2729">
        <w:rPr>
          <w:lang w:val="en-GB"/>
        </w:rPr>
        <w:t xml:space="preserve">This work was funded by </w:t>
      </w:r>
      <w:r w:rsidR="00B019A9" w:rsidRPr="003A2729">
        <w:rPr>
          <w:lang w:val="en-GB"/>
        </w:rPr>
        <w:t>the Egyptian Ministry of Higher Education &amp; Scientific Research, represented by the</w:t>
      </w:r>
      <w:r w:rsidR="00326F4E" w:rsidRPr="003A2729">
        <w:rPr>
          <w:lang w:val="en-GB"/>
        </w:rPr>
        <w:t xml:space="preserve"> Egyptian Bureau for Cultural &amp; Educational Affairs</w:t>
      </w:r>
      <w:r w:rsidR="00F67C6B" w:rsidRPr="003A2729">
        <w:rPr>
          <w:lang w:val="en-GB"/>
        </w:rPr>
        <w:t xml:space="preserve"> </w:t>
      </w:r>
      <w:r w:rsidR="00326F4E" w:rsidRPr="003A2729">
        <w:rPr>
          <w:lang w:val="en-GB"/>
        </w:rPr>
        <w:t>in London</w:t>
      </w:r>
      <w:r w:rsidRPr="003A2729">
        <w:rPr>
          <w:lang w:val="en-GB"/>
        </w:rPr>
        <w:t>, and UKRI MRC (MR/X502947/1)</w:t>
      </w:r>
      <w:r w:rsidR="004D5031" w:rsidRPr="003A2729">
        <w:rPr>
          <w:lang w:val="en-GB"/>
        </w:rPr>
        <w:t xml:space="preserve">. </w:t>
      </w:r>
      <w:r w:rsidR="00873776" w:rsidRPr="003A2729">
        <w:t>Figure 1 was created with BioRender.com</w:t>
      </w:r>
    </w:p>
    <w:p w14:paraId="0F8A5C41" w14:textId="77777777" w:rsidR="009B419B" w:rsidRPr="003A2729" w:rsidRDefault="009B419B" w:rsidP="00862571">
      <w:pPr>
        <w:pBdr>
          <w:top w:val="nil"/>
          <w:left w:val="nil"/>
          <w:bottom w:val="nil"/>
          <w:right w:val="nil"/>
          <w:between w:val="nil"/>
        </w:pBdr>
        <w:contextualSpacing/>
        <w:rPr>
          <w:b/>
          <w:color w:val="000000"/>
        </w:rPr>
      </w:pPr>
    </w:p>
    <w:p w14:paraId="5E703EBA" w14:textId="1ECEE0B6" w:rsidR="006E4797" w:rsidRPr="003A2729" w:rsidRDefault="00551D82" w:rsidP="00862571">
      <w:pPr>
        <w:pBdr>
          <w:top w:val="nil"/>
          <w:left w:val="nil"/>
          <w:bottom w:val="nil"/>
          <w:right w:val="nil"/>
          <w:between w:val="nil"/>
        </w:pBdr>
        <w:contextualSpacing/>
        <w:rPr>
          <w:color w:val="808080"/>
        </w:rPr>
      </w:pPr>
      <w:r w:rsidRPr="003A2729">
        <w:rPr>
          <w:b/>
          <w:color w:val="000000"/>
        </w:rPr>
        <w:t xml:space="preserve">DISCLOSURES: </w:t>
      </w:r>
    </w:p>
    <w:p w14:paraId="4A7B0E5C" w14:textId="2ADDA286" w:rsidR="006E4797" w:rsidRPr="003A2729" w:rsidRDefault="008565BB" w:rsidP="00862571">
      <w:pPr>
        <w:contextualSpacing/>
        <w:rPr>
          <w:lang w:val="en-GB"/>
        </w:rPr>
      </w:pPr>
      <w:r w:rsidRPr="003A2729">
        <w:rPr>
          <w:lang w:val="en-GB"/>
        </w:rPr>
        <w:t xml:space="preserve">The authors </w:t>
      </w:r>
      <w:r w:rsidR="00D3345F" w:rsidRPr="003A2729">
        <w:rPr>
          <w:lang w:val="en-GB"/>
        </w:rPr>
        <w:t xml:space="preserve">have no conflicts of interest to </w:t>
      </w:r>
      <w:r w:rsidRPr="003A2729">
        <w:rPr>
          <w:lang w:val="en-GB"/>
        </w:rPr>
        <w:t>declare</w:t>
      </w:r>
      <w:r w:rsidR="00D3345F" w:rsidRPr="003A2729">
        <w:rPr>
          <w:lang w:val="en-GB"/>
        </w:rPr>
        <w:t>.</w:t>
      </w:r>
      <w:r w:rsidRPr="003A2729">
        <w:rPr>
          <w:lang w:val="en-GB"/>
        </w:rPr>
        <w:t xml:space="preserve"> </w:t>
      </w:r>
    </w:p>
    <w:p w14:paraId="24CA3CA8" w14:textId="77777777" w:rsidR="00D3345F" w:rsidRPr="003A2729" w:rsidRDefault="00D3345F" w:rsidP="00862571">
      <w:pPr>
        <w:contextualSpacing/>
        <w:rPr>
          <w:color w:val="000000"/>
          <w:lang w:val="en-GB"/>
        </w:rPr>
      </w:pPr>
    </w:p>
    <w:p w14:paraId="6DE2B73C" w14:textId="449A3D00" w:rsidR="006E4797" w:rsidRPr="003A2729" w:rsidRDefault="00551D82" w:rsidP="00862571">
      <w:pPr>
        <w:contextualSpacing/>
        <w:rPr>
          <w:b/>
          <w:color w:val="000000"/>
        </w:rPr>
      </w:pPr>
      <w:r w:rsidRPr="003A2729">
        <w:rPr>
          <w:b/>
        </w:rPr>
        <w:t>REFERENCES:</w:t>
      </w:r>
    </w:p>
    <w:p w14:paraId="44CCD25A" w14:textId="0B3E69DD" w:rsidR="00860B52" w:rsidRPr="003A2729" w:rsidRDefault="008565BB" w:rsidP="00862571">
      <w:pPr>
        <w:pStyle w:val="EndNoteBibliography"/>
        <w:ind w:left="720" w:hanging="720"/>
        <w:contextualSpacing/>
      </w:pPr>
      <w:r w:rsidRPr="003A2729">
        <w:rPr>
          <w:b/>
          <w:bCs/>
        </w:rPr>
        <w:fldChar w:fldCharType="begin"/>
      </w:r>
      <w:r w:rsidR="00AD0387" w:rsidRPr="003A2729">
        <w:rPr>
          <w:b/>
          <w:bCs/>
        </w:rPr>
        <w:instrText xml:space="preserve"> ADDIN EN.REFLIST </w:instrText>
      </w:r>
      <w:r w:rsidRPr="003A2729">
        <w:rPr>
          <w:b/>
          <w:bCs/>
        </w:rPr>
        <w:fldChar w:fldCharType="separate"/>
      </w:r>
      <w:r w:rsidR="00860B52" w:rsidRPr="003A2729">
        <w:t>1</w:t>
      </w:r>
      <w:r w:rsidR="00860B52" w:rsidRPr="003A2729">
        <w:tab/>
        <w:t>Uzelac, A.</w:t>
      </w:r>
      <w:r w:rsidR="00D81858" w:rsidRPr="003A2729">
        <w:t xml:space="preserve">, </w:t>
      </w:r>
      <w:r w:rsidR="00860B52" w:rsidRPr="003A2729">
        <w:t xml:space="preserve">Djurkovic-Djakovic, O. Isolation, genotyping and phenotyping </w:t>
      </w:r>
      <w:r w:rsidR="00860B52" w:rsidRPr="00D50561">
        <w:rPr>
          <w:i/>
          <w:iCs/>
        </w:rPr>
        <w:t>Toxoplasma gondii</w:t>
      </w:r>
      <w:r w:rsidR="00860B52" w:rsidRPr="003A2729">
        <w:t xml:space="preserve"> in Europe - A critical perspective. </w:t>
      </w:r>
      <w:r w:rsidR="00860B52" w:rsidRPr="003A2729">
        <w:rPr>
          <w:i/>
        </w:rPr>
        <w:t>Food Waterborne Parasitol.</w:t>
      </w:r>
      <w:r w:rsidR="00860B52" w:rsidRPr="003A2729">
        <w:t xml:space="preserve"> </w:t>
      </w:r>
      <w:r w:rsidR="00860B52" w:rsidRPr="003A2729">
        <w:rPr>
          <w:b/>
        </w:rPr>
        <w:t>40</w:t>
      </w:r>
      <w:r w:rsidR="00860B52" w:rsidRPr="003A2729">
        <w:t xml:space="preserve"> e00279, doi:10.1016/j.fawpar.2025.e00279, (2025).</w:t>
      </w:r>
    </w:p>
    <w:p w14:paraId="59E8C7DE" w14:textId="79081D3A" w:rsidR="00860B52" w:rsidRPr="003A2729" w:rsidRDefault="00860B52" w:rsidP="00862571">
      <w:pPr>
        <w:pStyle w:val="EndNoteBibliography"/>
        <w:ind w:left="720" w:hanging="720"/>
        <w:contextualSpacing/>
      </w:pPr>
      <w:r w:rsidRPr="003A2729">
        <w:t>2</w:t>
      </w:r>
      <w:r w:rsidRPr="003A2729">
        <w:tab/>
        <w:t>Yaman, Y., Bay, V.</w:t>
      </w:r>
      <w:r w:rsidR="00D81858" w:rsidRPr="003A2729">
        <w:t>,</w:t>
      </w:r>
      <w:r w:rsidRPr="003A2729">
        <w:t xml:space="preserve"> Kişi, Y. E. Discovery of host genetic factors through multi-locus GWAS against toxoplasmosis in sheep: addressing one health perspectives. </w:t>
      </w:r>
      <w:r w:rsidRPr="003A2729">
        <w:rPr>
          <w:i/>
        </w:rPr>
        <w:t>BMC Veterinary Research.</w:t>
      </w:r>
      <w:r w:rsidRPr="003A2729">
        <w:t xml:space="preserve"> </w:t>
      </w:r>
      <w:r w:rsidRPr="003A2729">
        <w:rPr>
          <w:b/>
        </w:rPr>
        <w:t>21</w:t>
      </w:r>
      <w:r w:rsidRPr="003A2729">
        <w:t xml:space="preserve"> (1), 263, doi:10.1186/s12917-025-04719-7, (2025).</w:t>
      </w:r>
    </w:p>
    <w:p w14:paraId="2A9F415D" w14:textId="3EC85B79" w:rsidR="00860B52" w:rsidRPr="003A2729" w:rsidRDefault="00860B52" w:rsidP="00862571">
      <w:pPr>
        <w:pStyle w:val="EndNoteBibliography"/>
        <w:ind w:left="720" w:hanging="720"/>
        <w:contextualSpacing/>
      </w:pPr>
      <w:r w:rsidRPr="003A2729">
        <w:t>3</w:t>
      </w:r>
      <w:r w:rsidRPr="003A2729">
        <w:tab/>
        <w:t>Khedr, A. A.</w:t>
      </w:r>
      <w:r w:rsidRPr="003A2729">
        <w:rPr>
          <w:i/>
        </w:rPr>
        <w:t xml:space="preserve"> et al.</w:t>
      </w:r>
      <w:r w:rsidRPr="003A2729">
        <w:t xml:space="preserve"> Exploring the role of chitosan and curcumin-loaded chitosan nanoparticles against chronic </w:t>
      </w:r>
      <w:r w:rsidR="00D3345F" w:rsidRPr="00D50561">
        <w:rPr>
          <w:i/>
          <w:iCs/>
        </w:rPr>
        <w:t>Toxoplasma</w:t>
      </w:r>
      <w:r w:rsidRPr="00D50561">
        <w:rPr>
          <w:i/>
          <w:iCs/>
        </w:rPr>
        <w:t xml:space="preserve"> </w:t>
      </w:r>
      <w:r w:rsidRPr="003A2729">
        <w:t xml:space="preserve">infection in experimental mice. </w:t>
      </w:r>
      <w:r w:rsidRPr="003A2729">
        <w:rPr>
          <w:i/>
        </w:rPr>
        <w:t>Scientific Reports.</w:t>
      </w:r>
      <w:r w:rsidRPr="003A2729">
        <w:t xml:space="preserve"> </w:t>
      </w:r>
      <w:r w:rsidRPr="003A2729">
        <w:rPr>
          <w:b/>
        </w:rPr>
        <w:t>15</w:t>
      </w:r>
      <w:r w:rsidRPr="003A2729">
        <w:t xml:space="preserve"> (1), 41765, doi:10.1038/s41598-025-25252-5, (2025).</w:t>
      </w:r>
    </w:p>
    <w:p w14:paraId="6804FD14" w14:textId="53240FF0" w:rsidR="00860B52" w:rsidRPr="003A2729" w:rsidRDefault="00860B52" w:rsidP="00862571">
      <w:pPr>
        <w:pStyle w:val="EndNoteBibliography"/>
        <w:ind w:left="720" w:hanging="720"/>
        <w:contextualSpacing/>
      </w:pPr>
      <w:r w:rsidRPr="003A2729">
        <w:t>4</w:t>
      </w:r>
      <w:r w:rsidRPr="003A2729">
        <w:tab/>
        <w:t>Joeres, M.</w:t>
      </w:r>
      <w:r w:rsidRPr="003A2729">
        <w:rPr>
          <w:i/>
        </w:rPr>
        <w:t xml:space="preserve"> et al.</w:t>
      </w:r>
      <w:r w:rsidRPr="003A2729">
        <w:t xml:space="preserve"> Genotyping of European </w:t>
      </w:r>
      <w:r w:rsidRPr="003A2729">
        <w:rPr>
          <w:i/>
          <w:iCs/>
        </w:rPr>
        <w:t>Toxoplasma gondii</w:t>
      </w:r>
      <w:r w:rsidRPr="003A2729">
        <w:t xml:space="preserve"> strains by a new high-resolution next-generation sequencing-based method. </w:t>
      </w:r>
      <w:r w:rsidRPr="003A2729">
        <w:rPr>
          <w:i/>
        </w:rPr>
        <w:t>Eur J Clin Microbiol Infect Dis.</w:t>
      </w:r>
      <w:r w:rsidRPr="003A2729">
        <w:t xml:space="preserve"> </w:t>
      </w:r>
      <w:r w:rsidRPr="003A2729">
        <w:rPr>
          <w:b/>
        </w:rPr>
        <w:t>43</w:t>
      </w:r>
      <w:r w:rsidRPr="003A2729">
        <w:t xml:space="preserve"> (2), 355-371 (2024).</w:t>
      </w:r>
    </w:p>
    <w:p w14:paraId="4693FEE7" w14:textId="5ADEE7E7" w:rsidR="00860B52" w:rsidRPr="003A2729" w:rsidRDefault="00860B52" w:rsidP="00862571">
      <w:pPr>
        <w:pStyle w:val="EndNoteBibliography"/>
        <w:ind w:left="720" w:hanging="720"/>
        <w:contextualSpacing/>
      </w:pPr>
      <w:r w:rsidRPr="003A2729">
        <w:t>5</w:t>
      </w:r>
      <w:r w:rsidRPr="003A2729">
        <w:tab/>
        <w:t>Gohar, Y.</w:t>
      </w:r>
      <w:r w:rsidRPr="003A2729">
        <w:rPr>
          <w:i/>
        </w:rPr>
        <w:t xml:space="preserve"> et al.</w:t>
      </w:r>
      <w:r w:rsidRPr="003A2729">
        <w:t xml:space="preserve"> Intra-strain genetic heterogeneity in</w:t>
      </w:r>
      <w:r w:rsidRPr="00D50561">
        <w:rPr>
          <w:i/>
          <w:iCs/>
        </w:rPr>
        <w:t xml:space="preserve"> Toxoplasma gondii</w:t>
      </w:r>
      <w:r w:rsidRPr="003A2729">
        <w:t xml:space="preserve"> ME49: Oxford </w:t>
      </w:r>
      <w:r w:rsidRPr="003A2729">
        <w:lastRenderedPageBreak/>
        <w:t xml:space="preserve">Nanopore long-read sequencing reveals copy number variation in the ROP8-ROP2A locus. </w:t>
      </w:r>
      <w:r w:rsidRPr="003A2729">
        <w:rPr>
          <w:i/>
        </w:rPr>
        <w:t>BMC Genomics.</w:t>
      </w:r>
      <w:r w:rsidRPr="003A2729">
        <w:t xml:space="preserve"> </w:t>
      </w:r>
      <w:r w:rsidRPr="003A2729">
        <w:rPr>
          <w:b/>
        </w:rPr>
        <w:t>26</w:t>
      </w:r>
      <w:r w:rsidRPr="003A2729">
        <w:t xml:space="preserve"> (1), 1094, doi:10.1186/s12864-025-12372-5</w:t>
      </w:r>
      <w:r w:rsidR="00D81858" w:rsidRPr="003A2729">
        <w:t xml:space="preserve">, </w:t>
      </w:r>
      <w:r w:rsidRPr="003A2729">
        <w:t>(2025).</w:t>
      </w:r>
    </w:p>
    <w:p w14:paraId="50867C18" w14:textId="4BCD235C" w:rsidR="00860B52" w:rsidRPr="003A2729" w:rsidRDefault="00860B52" w:rsidP="00862571">
      <w:pPr>
        <w:pStyle w:val="EndNoteBibliography"/>
        <w:ind w:left="720" w:hanging="720"/>
        <w:contextualSpacing/>
      </w:pPr>
      <w:r w:rsidRPr="003A2729">
        <w:t>6</w:t>
      </w:r>
      <w:r w:rsidRPr="003A2729">
        <w:tab/>
        <w:t>Koutsogiannis, Z.</w:t>
      </w:r>
      <w:r w:rsidR="00D81858" w:rsidRPr="003A2729">
        <w:t>,</w:t>
      </w:r>
      <w:r w:rsidRPr="003A2729">
        <w:t xml:space="preserve"> Denny, P. W. Rapid genotyping of </w:t>
      </w:r>
      <w:r w:rsidRPr="003A2729">
        <w:rPr>
          <w:i/>
          <w:iCs/>
        </w:rPr>
        <w:t xml:space="preserve">Toxoplasma gondii </w:t>
      </w:r>
      <w:r w:rsidRPr="003A2729">
        <w:t xml:space="preserve">isolates via Nanopore-based multi-locus sequencing. </w:t>
      </w:r>
      <w:r w:rsidRPr="003A2729">
        <w:rPr>
          <w:i/>
        </w:rPr>
        <w:t>AMB Express.</w:t>
      </w:r>
      <w:r w:rsidRPr="003A2729">
        <w:t xml:space="preserve"> </w:t>
      </w:r>
      <w:r w:rsidRPr="003A2729">
        <w:rPr>
          <w:b/>
        </w:rPr>
        <w:t>14</w:t>
      </w:r>
      <w:r w:rsidRPr="003A2729">
        <w:t xml:space="preserve"> (1), 68, doi:10.1186/s13568-024-01728-x</w:t>
      </w:r>
      <w:r w:rsidR="00AD0FA9" w:rsidRPr="003A2729">
        <w:t xml:space="preserve">, </w:t>
      </w:r>
      <w:r w:rsidRPr="003A2729">
        <w:t>(2024).</w:t>
      </w:r>
    </w:p>
    <w:p w14:paraId="67B52AEC" w14:textId="730BA1DB" w:rsidR="00860B52" w:rsidRPr="003A2729" w:rsidRDefault="00860B52" w:rsidP="00862571">
      <w:pPr>
        <w:pStyle w:val="EndNoteBibliography"/>
        <w:ind w:left="720" w:hanging="720"/>
        <w:contextualSpacing/>
      </w:pPr>
      <w:r w:rsidRPr="003A2729">
        <w:t>7</w:t>
      </w:r>
      <w:r w:rsidRPr="003A2729">
        <w:tab/>
        <w:t>DNeasy Blood &amp; Tissue Kit Handbook</w:t>
      </w:r>
      <w:r w:rsidR="00B152CD" w:rsidRPr="003A2729">
        <w:t xml:space="preserve"> </w:t>
      </w:r>
      <w:r w:rsidRPr="003A2729">
        <w:t>(2023).</w:t>
      </w:r>
    </w:p>
    <w:p w14:paraId="29529415" w14:textId="77777777" w:rsidR="00860B52" w:rsidRPr="003A2729" w:rsidRDefault="00860B52" w:rsidP="00862571">
      <w:pPr>
        <w:pStyle w:val="EndNoteBibliography"/>
        <w:ind w:left="720" w:hanging="720"/>
        <w:contextualSpacing/>
      </w:pPr>
      <w:r w:rsidRPr="003A2729">
        <w:t>8</w:t>
      </w:r>
      <w:r w:rsidRPr="003A2729">
        <w:tab/>
        <w:t>MACHEREY-NAGEL. User manual PCR clean-up and Gel extraction (2024).</w:t>
      </w:r>
    </w:p>
    <w:p w14:paraId="0AC6CDE2" w14:textId="457C3979" w:rsidR="00860B52" w:rsidRPr="003A2729" w:rsidRDefault="00860B52" w:rsidP="00862571">
      <w:pPr>
        <w:pStyle w:val="EndNoteBibliography"/>
        <w:ind w:left="720" w:hanging="720"/>
        <w:contextualSpacing/>
      </w:pPr>
      <w:r w:rsidRPr="003A2729">
        <w:t>9</w:t>
      </w:r>
      <w:r w:rsidRPr="003A2729">
        <w:tab/>
        <w:t>Karst, S. M.</w:t>
      </w:r>
      <w:r w:rsidRPr="003A2729">
        <w:rPr>
          <w:i/>
        </w:rPr>
        <w:t xml:space="preserve"> et al.</w:t>
      </w:r>
      <w:r w:rsidRPr="003A2729">
        <w:t xml:space="preserve"> High-accuracy long-read amplicon sequences using unique molecular identifiers with Nanopore or PacBio sequencing. </w:t>
      </w:r>
      <w:r w:rsidRPr="003A2729">
        <w:rPr>
          <w:i/>
        </w:rPr>
        <w:t>Nature Methods.</w:t>
      </w:r>
      <w:r w:rsidRPr="003A2729">
        <w:t xml:space="preserve"> </w:t>
      </w:r>
      <w:r w:rsidRPr="003A2729">
        <w:rPr>
          <w:b/>
        </w:rPr>
        <w:t>18</w:t>
      </w:r>
      <w:r w:rsidRPr="003A2729">
        <w:t xml:space="preserve"> (2), 165-169</w:t>
      </w:r>
      <w:r w:rsidR="00D81858" w:rsidRPr="003A2729">
        <w:t xml:space="preserve"> </w:t>
      </w:r>
      <w:r w:rsidRPr="003A2729">
        <w:t>(2021).</w:t>
      </w:r>
    </w:p>
    <w:p w14:paraId="68394902" w14:textId="27FC9328" w:rsidR="00860B52" w:rsidRPr="003A2729" w:rsidRDefault="00860B52" w:rsidP="00862571">
      <w:pPr>
        <w:pStyle w:val="EndNoteBibliography"/>
        <w:ind w:left="720" w:hanging="720"/>
        <w:contextualSpacing/>
      </w:pPr>
      <w:r w:rsidRPr="003A2729">
        <w:t>10</w:t>
      </w:r>
      <w:r w:rsidRPr="003A2729">
        <w:tab/>
        <w:t>Yu, P.-L.</w:t>
      </w:r>
      <w:r w:rsidR="00D81858" w:rsidRPr="003A2729">
        <w:rPr>
          <w:i/>
        </w:rPr>
        <w:t xml:space="preserve"> et al.</w:t>
      </w:r>
      <w:r w:rsidR="00D81858" w:rsidRPr="003A2729">
        <w:t xml:space="preserve"> </w:t>
      </w:r>
      <w:r w:rsidRPr="003A2729">
        <w:t xml:space="preserve">Next-generation fungal identification using target enrichment and Nanopore sequencing. </w:t>
      </w:r>
      <w:r w:rsidRPr="003A2729">
        <w:rPr>
          <w:i/>
        </w:rPr>
        <w:t>BMC Genomics.</w:t>
      </w:r>
      <w:r w:rsidRPr="003A2729">
        <w:t xml:space="preserve"> </w:t>
      </w:r>
      <w:r w:rsidRPr="003A2729">
        <w:rPr>
          <w:b/>
        </w:rPr>
        <w:t>24</w:t>
      </w:r>
      <w:r w:rsidRPr="003A2729">
        <w:t xml:space="preserve"> (1), 581, doi:10.1186/s12864-023-09691-w, (2023).</w:t>
      </w:r>
    </w:p>
    <w:p w14:paraId="74709370" w14:textId="75420EA3" w:rsidR="00860B52" w:rsidRPr="003A2729" w:rsidRDefault="00860B52" w:rsidP="00862571">
      <w:pPr>
        <w:pStyle w:val="EndNoteBibliography"/>
        <w:ind w:left="720" w:hanging="720"/>
        <w:contextualSpacing/>
      </w:pPr>
      <w:r w:rsidRPr="003A2729">
        <w:t>11</w:t>
      </w:r>
      <w:r w:rsidRPr="003A2729">
        <w:tab/>
        <w:t>Vilares, A.</w:t>
      </w:r>
      <w:r w:rsidRPr="003A2729">
        <w:rPr>
          <w:i/>
        </w:rPr>
        <w:t xml:space="preserve"> et al.</w:t>
      </w:r>
      <w:r w:rsidRPr="003A2729">
        <w:t xml:space="preserve"> Towards a rapid sequencing-based molecular surveillance and mosaicism investigation of T</w:t>
      </w:r>
      <w:r w:rsidRPr="003A2729">
        <w:rPr>
          <w:i/>
          <w:iCs/>
        </w:rPr>
        <w:t>oxoplasma gondii</w:t>
      </w:r>
      <w:r w:rsidRPr="003A2729">
        <w:t xml:space="preserve">. </w:t>
      </w:r>
      <w:r w:rsidRPr="003A2729">
        <w:rPr>
          <w:i/>
        </w:rPr>
        <w:t>Parasitology Research.</w:t>
      </w:r>
      <w:r w:rsidRPr="003A2729">
        <w:t xml:space="preserve"> </w:t>
      </w:r>
      <w:r w:rsidRPr="003A2729">
        <w:rPr>
          <w:b/>
        </w:rPr>
        <w:t>119</w:t>
      </w:r>
      <w:r w:rsidRPr="003A2729">
        <w:t xml:space="preserve"> (2), 587-599 (2020).</w:t>
      </w:r>
    </w:p>
    <w:p w14:paraId="0B79AEA0" w14:textId="2013FBF3" w:rsidR="00860B52" w:rsidRPr="003A2729" w:rsidRDefault="00860B52" w:rsidP="00862571">
      <w:pPr>
        <w:pStyle w:val="EndNoteBibliography"/>
        <w:ind w:left="720" w:hanging="720"/>
        <w:contextualSpacing/>
      </w:pPr>
      <w:r w:rsidRPr="003A2729">
        <w:t>12</w:t>
      </w:r>
      <w:r w:rsidRPr="003A2729">
        <w:tab/>
        <w:t>Fazaeli, A.</w:t>
      </w:r>
      <w:r w:rsidR="00EF13CF" w:rsidRPr="003A2729">
        <w:t>,</w:t>
      </w:r>
      <w:r w:rsidRPr="003A2729">
        <w:t xml:space="preserve"> Ebrahimzadeh, A. A new perspective on and re-assessment of </w:t>
      </w:r>
      <w:r w:rsidRPr="003A2729">
        <w:rPr>
          <w:i/>
          <w:iCs/>
        </w:rPr>
        <w:t>SAG2</w:t>
      </w:r>
      <w:r w:rsidRPr="003A2729">
        <w:t xml:space="preserve"> locus as the tool for genetic analysis of Toxoplasma gondii isolates. </w:t>
      </w:r>
      <w:r w:rsidRPr="003A2729">
        <w:rPr>
          <w:i/>
        </w:rPr>
        <w:t>Parasitology Research.</w:t>
      </w:r>
      <w:r w:rsidRPr="003A2729">
        <w:t xml:space="preserve"> </w:t>
      </w:r>
      <w:r w:rsidRPr="003A2729">
        <w:rPr>
          <w:b/>
        </w:rPr>
        <w:t>101</w:t>
      </w:r>
      <w:r w:rsidRPr="003A2729">
        <w:t xml:space="preserve"> (1), 99-104</w:t>
      </w:r>
      <w:r w:rsidR="00967427" w:rsidRPr="003A2729">
        <w:t xml:space="preserve"> </w:t>
      </w:r>
      <w:r w:rsidRPr="003A2729">
        <w:t>(2007).</w:t>
      </w:r>
    </w:p>
    <w:p w14:paraId="3F77D924" w14:textId="77777777" w:rsidR="00860B52" w:rsidRPr="003A2729" w:rsidRDefault="00860B52" w:rsidP="00862571">
      <w:pPr>
        <w:pStyle w:val="EndNoteBibliography"/>
        <w:ind w:left="720" w:hanging="720"/>
        <w:contextualSpacing/>
      </w:pPr>
      <w:r w:rsidRPr="003A2729">
        <w:t>13</w:t>
      </w:r>
      <w:r w:rsidRPr="003A2729">
        <w:tab/>
        <w:t>Targa, L. S.</w:t>
      </w:r>
      <w:r w:rsidRPr="003A2729">
        <w:rPr>
          <w:i/>
        </w:rPr>
        <w:t xml:space="preserve"> et al.</w:t>
      </w:r>
      <w:r w:rsidRPr="003A2729">
        <w:t xml:space="preserve"> </w:t>
      </w:r>
      <w:r w:rsidRPr="003A2729">
        <w:rPr>
          <w:i/>
          <w:iCs/>
        </w:rPr>
        <w:t>Toxoplasma gondii</w:t>
      </w:r>
      <w:r w:rsidRPr="003A2729">
        <w:t xml:space="preserve"> </w:t>
      </w:r>
      <w:r w:rsidRPr="003A2729">
        <w:rPr>
          <w:i/>
          <w:iCs/>
        </w:rPr>
        <w:t>SAG2</w:t>
      </w:r>
      <w:r w:rsidRPr="003A2729">
        <w:t xml:space="preserve">, </w:t>
      </w:r>
      <w:r w:rsidRPr="003A2729">
        <w:rPr>
          <w:i/>
          <w:iCs/>
        </w:rPr>
        <w:t>SAG3</w:t>
      </w:r>
      <w:r w:rsidRPr="003A2729">
        <w:t xml:space="preserve"> and </w:t>
      </w:r>
      <w:r w:rsidRPr="003A2729">
        <w:rPr>
          <w:i/>
          <w:iCs/>
        </w:rPr>
        <w:t>GRA6</w:t>
      </w:r>
      <w:r w:rsidRPr="003A2729">
        <w:t xml:space="preserve"> alleles and single nucleotide polymorphism in congenital infections with known parasite load and clinical outcome. </w:t>
      </w:r>
      <w:r w:rsidRPr="003A2729">
        <w:rPr>
          <w:i/>
        </w:rPr>
        <w:t>Rev Inst Med Trop Sao Paulo.</w:t>
      </w:r>
      <w:r w:rsidRPr="003A2729">
        <w:t xml:space="preserve"> </w:t>
      </w:r>
      <w:r w:rsidRPr="003A2729">
        <w:rPr>
          <w:b/>
        </w:rPr>
        <w:t>65</w:t>
      </w:r>
      <w:r w:rsidRPr="003A2729">
        <w:t xml:space="preserve"> e8, doi:10.1590/s1678-9946202365008, (2023).</w:t>
      </w:r>
    </w:p>
    <w:p w14:paraId="67D3821F" w14:textId="68C509C2" w:rsidR="00860B52" w:rsidRPr="003A2729" w:rsidRDefault="00860B52" w:rsidP="00862571">
      <w:pPr>
        <w:pStyle w:val="EndNoteBibliography"/>
        <w:ind w:left="720" w:hanging="720"/>
        <w:contextualSpacing/>
      </w:pPr>
      <w:r w:rsidRPr="003A2729">
        <w:t>14</w:t>
      </w:r>
      <w:r w:rsidRPr="003A2729">
        <w:tab/>
        <w:t xml:space="preserve">Rico-Torres, C. P. </w:t>
      </w:r>
      <w:r w:rsidR="00EF13CF" w:rsidRPr="003A2729">
        <w:rPr>
          <w:i/>
        </w:rPr>
        <w:t>et al.</w:t>
      </w:r>
      <w:r w:rsidR="00EF13CF" w:rsidRPr="003A2729">
        <w:t xml:space="preserve"> </w:t>
      </w:r>
      <w:r w:rsidRPr="003A2729">
        <w:t xml:space="preserve">Can cloning and sequencing help to genotype positive </w:t>
      </w:r>
      <w:r w:rsidRPr="003A2729">
        <w:rPr>
          <w:i/>
          <w:iCs/>
        </w:rPr>
        <w:t>Toxoplasma gondii</w:t>
      </w:r>
      <w:r w:rsidRPr="003A2729">
        <w:t xml:space="preserve"> clinical samples? Results and validation using </w:t>
      </w:r>
      <w:r w:rsidRPr="003A2729">
        <w:rPr>
          <w:i/>
          <w:iCs/>
        </w:rPr>
        <w:t>SAG3</w:t>
      </w:r>
      <w:r w:rsidRPr="003A2729">
        <w:t xml:space="preserve"> as a model. </w:t>
      </w:r>
      <w:r w:rsidRPr="003A2729">
        <w:rPr>
          <w:i/>
        </w:rPr>
        <w:t>Infect Genet Evol.</w:t>
      </w:r>
      <w:r w:rsidRPr="003A2729">
        <w:t xml:space="preserve"> </w:t>
      </w:r>
      <w:r w:rsidRPr="003A2729">
        <w:rPr>
          <w:b/>
        </w:rPr>
        <w:t>101</w:t>
      </w:r>
      <w:r w:rsidR="00E56B0D" w:rsidRPr="003A2729">
        <w:rPr>
          <w:b/>
        </w:rPr>
        <w:t>,</w:t>
      </w:r>
      <w:r w:rsidRPr="003A2729">
        <w:t xml:space="preserve"> 105283, doi:10.1016/j.meegid.2022.105283, (2022).</w:t>
      </w:r>
    </w:p>
    <w:p w14:paraId="21FFE473" w14:textId="239D0B52" w:rsidR="00860B52" w:rsidRPr="003A2729" w:rsidRDefault="00860B52" w:rsidP="00862571">
      <w:pPr>
        <w:pStyle w:val="EndNoteBibliography"/>
        <w:ind w:left="720" w:hanging="720"/>
        <w:contextualSpacing/>
      </w:pPr>
      <w:r w:rsidRPr="003A2729">
        <w:t>15</w:t>
      </w:r>
      <w:r w:rsidRPr="003A2729">
        <w:tab/>
        <w:t>Sanchez, S. G.</w:t>
      </w:r>
      <w:r w:rsidR="00AD0FA9" w:rsidRPr="003A2729">
        <w:t xml:space="preserve">, </w:t>
      </w:r>
      <w:r w:rsidRPr="003A2729">
        <w:t xml:space="preserve">Besteiro, S. The pathogenicity and virulence of </w:t>
      </w:r>
      <w:r w:rsidRPr="003A2729">
        <w:rPr>
          <w:i/>
          <w:iCs/>
        </w:rPr>
        <w:t>Toxoplasma gondii</w:t>
      </w:r>
      <w:r w:rsidRPr="003A2729">
        <w:t xml:space="preserve">. </w:t>
      </w:r>
      <w:r w:rsidRPr="003A2729">
        <w:rPr>
          <w:i/>
        </w:rPr>
        <w:t>Virulence.</w:t>
      </w:r>
      <w:r w:rsidRPr="003A2729">
        <w:t xml:space="preserve"> </w:t>
      </w:r>
      <w:r w:rsidRPr="003A2729">
        <w:rPr>
          <w:b/>
        </w:rPr>
        <w:t>12</w:t>
      </w:r>
      <w:r w:rsidRPr="003A2729">
        <w:t xml:space="preserve"> (1), 3095-3114 (2021).</w:t>
      </w:r>
    </w:p>
    <w:p w14:paraId="0344BD2B" w14:textId="394187B4" w:rsidR="008565BB" w:rsidRPr="003A2729" w:rsidRDefault="008565BB" w:rsidP="00862571">
      <w:pPr>
        <w:contextualSpacing/>
        <w:rPr>
          <w:b/>
          <w:bCs/>
          <w:color w:val="808080"/>
          <w:lang w:val="en-GB"/>
        </w:rPr>
      </w:pPr>
      <w:r w:rsidRPr="003A2729">
        <w:fldChar w:fldCharType="end"/>
      </w:r>
    </w:p>
    <w:sectPr w:rsidR="008565BB" w:rsidRPr="003A2729"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92DB8" w14:textId="77777777" w:rsidR="00125403" w:rsidRDefault="00125403">
      <w:r>
        <w:separator/>
      </w:r>
    </w:p>
  </w:endnote>
  <w:endnote w:type="continuationSeparator" w:id="0">
    <w:p w14:paraId="3A575DF2" w14:textId="77777777" w:rsidR="00125403" w:rsidRDefault="0012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7E6935" w:rsidRDefault="007E693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A2B94" w14:textId="77777777" w:rsidR="00125403" w:rsidRDefault="00125403">
      <w:r>
        <w:separator/>
      </w:r>
    </w:p>
  </w:footnote>
  <w:footnote w:type="continuationSeparator" w:id="0">
    <w:p w14:paraId="662D8898" w14:textId="77777777" w:rsidR="00125403" w:rsidRDefault="0012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7E6935" w:rsidRDefault="007E693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7E6935" w:rsidRDefault="007E6935">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1302CAA" w:rsidR="007E6935" w:rsidRDefault="007E6935">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5B02"/>
    <w:multiLevelType w:val="multilevel"/>
    <w:tmpl w:val="396E9E30"/>
    <w:lvl w:ilvl="0">
      <w:start w:val="2"/>
      <w:numFmt w:val="decimal"/>
      <w:lvlText w:val="%1."/>
      <w:lvlJc w:val="left"/>
      <w:pPr>
        <w:ind w:left="540" w:hanging="540"/>
      </w:pPr>
      <w:rPr>
        <w:rFonts w:hint="default"/>
        <w:b w:val="0"/>
      </w:rPr>
    </w:lvl>
    <w:lvl w:ilvl="1">
      <w:start w:val="1"/>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5763F60"/>
    <w:multiLevelType w:val="multilevel"/>
    <w:tmpl w:val="F2B256D4"/>
    <w:lvl w:ilvl="0">
      <w:start w:val="5"/>
      <w:numFmt w:val="decimal"/>
      <w:lvlText w:val="%1."/>
      <w:lvlJc w:val="left"/>
      <w:pPr>
        <w:ind w:left="540" w:hanging="540"/>
      </w:pPr>
      <w:rPr>
        <w:rFonts w:hint="default"/>
      </w:rPr>
    </w:lvl>
    <w:lvl w:ilvl="1">
      <w:start w:val="1"/>
      <w:numFmt w:val="decimal"/>
      <w:lvlText w:val="%1.%2."/>
      <w:lvlJc w:val="left"/>
      <w:pPr>
        <w:ind w:left="951" w:hanging="540"/>
      </w:pPr>
      <w:rPr>
        <w:rFonts w:hint="default"/>
      </w:rPr>
    </w:lvl>
    <w:lvl w:ilvl="2">
      <w:start w:val="1"/>
      <w:numFmt w:val="decimal"/>
      <w:lvlText w:val="%1.%2.%3."/>
      <w:lvlJc w:val="left"/>
      <w:pPr>
        <w:ind w:left="1542" w:hanging="720"/>
      </w:pPr>
      <w:rPr>
        <w:rFonts w:hint="default"/>
      </w:rPr>
    </w:lvl>
    <w:lvl w:ilvl="3">
      <w:start w:val="1"/>
      <w:numFmt w:val="decimal"/>
      <w:lvlText w:val="%1.%2.%3.%4."/>
      <w:lvlJc w:val="left"/>
      <w:pPr>
        <w:ind w:left="1953" w:hanging="720"/>
      </w:pPr>
      <w:rPr>
        <w:rFonts w:hint="default"/>
      </w:rPr>
    </w:lvl>
    <w:lvl w:ilvl="4">
      <w:start w:val="1"/>
      <w:numFmt w:val="decimal"/>
      <w:lvlText w:val="%1.%2.%3.%4.%5."/>
      <w:lvlJc w:val="left"/>
      <w:pPr>
        <w:ind w:left="2724" w:hanging="1080"/>
      </w:pPr>
      <w:rPr>
        <w:rFonts w:hint="default"/>
      </w:rPr>
    </w:lvl>
    <w:lvl w:ilvl="5">
      <w:start w:val="1"/>
      <w:numFmt w:val="decimal"/>
      <w:lvlText w:val="%1.%2.%3.%4.%5.%6."/>
      <w:lvlJc w:val="left"/>
      <w:pPr>
        <w:ind w:left="3135" w:hanging="1080"/>
      </w:pPr>
      <w:rPr>
        <w:rFonts w:hint="default"/>
      </w:rPr>
    </w:lvl>
    <w:lvl w:ilvl="6">
      <w:start w:val="1"/>
      <w:numFmt w:val="decimal"/>
      <w:lvlText w:val="%1.%2.%3.%4.%5.%6.%7."/>
      <w:lvlJc w:val="left"/>
      <w:pPr>
        <w:ind w:left="3906" w:hanging="1440"/>
      </w:pPr>
      <w:rPr>
        <w:rFonts w:hint="default"/>
      </w:rPr>
    </w:lvl>
    <w:lvl w:ilvl="7">
      <w:start w:val="1"/>
      <w:numFmt w:val="decimal"/>
      <w:lvlText w:val="%1.%2.%3.%4.%5.%6.%7.%8."/>
      <w:lvlJc w:val="left"/>
      <w:pPr>
        <w:ind w:left="4317" w:hanging="1440"/>
      </w:pPr>
      <w:rPr>
        <w:rFonts w:hint="default"/>
      </w:rPr>
    </w:lvl>
    <w:lvl w:ilvl="8">
      <w:start w:val="1"/>
      <w:numFmt w:val="decimal"/>
      <w:lvlText w:val="%1.%2.%3.%4.%5.%6.%7.%8.%9."/>
      <w:lvlJc w:val="left"/>
      <w:pPr>
        <w:ind w:left="5088" w:hanging="1800"/>
      </w:pPr>
      <w:rPr>
        <w:rFonts w:hint="default"/>
      </w:rPr>
    </w:lvl>
  </w:abstractNum>
  <w:abstractNum w:abstractNumId="2" w15:restartNumberingAfterBreak="0">
    <w:nsid w:val="06157572"/>
    <w:multiLevelType w:val="multilevel"/>
    <w:tmpl w:val="A356A43A"/>
    <w:lvl w:ilvl="0">
      <w:start w:val="3"/>
      <w:numFmt w:val="decimal"/>
      <w:lvlText w:val="%1."/>
      <w:lvlJc w:val="left"/>
      <w:pPr>
        <w:ind w:left="823" w:hanging="540"/>
      </w:pPr>
      <w:rPr>
        <w:rFonts w:hint="default"/>
        <w:b/>
        <w:bCs w:val="0"/>
      </w:rPr>
    </w:lvl>
    <w:lvl w:ilvl="1">
      <w:start w:val="1"/>
      <w:numFmt w:val="bullet"/>
      <w:lvlText w:val="o"/>
      <w:lvlJc w:val="left"/>
      <w:pPr>
        <w:ind w:left="1635" w:hanging="360"/>
      </w:pPr>
      <w:rPr>
        <w:rFonts w:ascii="Courier New" w:hAnsi="Courier New" w:cs="Courier New"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 w15:restartNumberingAfterBreak="0">
    <w:nsid w:val="08BA7B4C"/>
    <w:multiLevelType w:val="multilevel"/>
    <w:tmpl w:val="B8BC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D570A"/>
    <w:multiLevelType w:val="multilevel"/>
    <w:tmpl w:val="A03C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B4787"/>
    <w:multiLevelType w:val="multilevel"/>
    <w:tmpl w:val="0E4CC266"/>
    <w:lvl w:ilvl="0">
      <w:start w:val="1"/>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1712"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E8D4C03"/>
    <w:multiLevelType w:val="multilevel"/>
    <w:tmpl w:val="AD44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54E4DBD"/>
    <w:multiLevelType w:val="multilevel"/>
    <w:tmpl w:val="06EE2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C7822A3"/>
    <w:multiLevelType w:val="multilevel"/>
    <w:tmpl w:val="0A1295C8"/>
    <w:lvl w:ilvl="0">
      <w:start w:val="3"/>
      <w:numFmt w:val="decimal"/>
      <w:lvlText w:val="%1."/>
      <w:lvlJc w:val="left"/>
      <w:pPr>
        <w:ind w:left="823" w:hanging="540"/>
      </w:pPr>
      <w:rPr>
        <w:rFonts w:hint="default"/>
        <w:b/>
        <w:bCs w:val="0"/>
      </w:rPr>
    </w:lvl>
    <w:lvl w:ilvl="1">
      <w:start w:val="2"/>
      <w:numFmt w:val="decimal"/>
      <w:lvlText w:val="%1.%2."/>
      <w:lvlJc w:val="left"/>
      <w:pPr>
        <w:ind w:left="900" w:hanging="54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0817E40"/>
    <w:multiLevelType w:val="multilevel"/>
    <w:tmpl w:val="7022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450010E"/>
    <w:multiLevelType w:val="multilevel"/>
    <w:tmpl w:val="3D6CC500"/>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3189" w:hanging="720"/>
      </w:pPr>
      <w:rPr>
        <w:rFonts w:hint="default"/>
      </w:rPr>
    </w:lvl>
    <w:lvl w:ilvl="4">
      <w:start w:val="1"/>
      <w:numFmt w:val="decimal"/>
      <w:lvlText w:val="%1.%2.%3.%4.%5"/>
      <w:lvlJc w:val="left"/>
      <w:pPr>
        <w:ind w:left="4372" w:hanging="1080"/>
      </w:pPr>
      <w:rPr>
        <w:rFonts w:hint="default"/>
      </w:rPr>
    </w:lvl>
    <w:lvl w:ilvl="5">
      <w:start w:val="1"/>
      <w:numFmt w:val="decimal"/>
      <w:lvlText w:val="%1.%2.%3.%4.%5.%6"/>
      <w:lvlJc w:val="left"/>
      <w:pPr>
        <w:ind w:left="5195" w:hanging="1080"/>
      </w:pPr>
      <w:rPr>
        <w:rFonts w:hint="default"/>
      </w:rPr>
    </w:lvl>
    <w:lvl w:ilvl="6">
      <w:start w:val="1"/>
      <w:numFmt w:val="decimal"/>
      <w:lvlText w:val="%1.%2.%3.%4.%5.%6.%7"/>
      <w:lvlJc w:val="left"/>
      <w:pPr>
        <w:ind w:left="6378" w:hanging="1440"/>
      </w:pPr>
      <w:rPr>
        <w:rFonts w:hint="default"/>
      </w:rPr>
    </w:lvl>
    <w:lvl w:ilvl="7">
      <w:start w:val="1"/>
      <w:numFmt w:val="decimal"/>
      <w:lvlText w:val="%1.%2.%3.%4.%5.%6.%7.%8"/>
      <w:lvlJc w:val="left"/>
      <w:pPr>
        <w:ind w:left="7201" w:hanging="1440"/>
      </w:pPr>
      <w:rPr>
        <w:rFonts w:hint="default"/>
      </w:rPr>
    </w:lvl>
    <w:lvl w:ilvl="8">
      <w:start w:val="1"/>
      <w:numFmt w:val="decimal"/>
      <w:lvlText w:val="%1.%2.%3.%4.%5.%6.%7.%8.%9"/>
      <w:lvlJc w:val="left"/>
      <w:pPr>
        <w:ind w:left="8384" w:hanging="1800"/>
      </w:pPr>
      <w:rPr>
        <w:rFonts w:hint="default"/>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C93FC0"/>
    <w:multiLevelType w:val="multilevel"/>
    <w:tmpl w:val="CFC2C020"/>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F8709C0"/>
    <w:multiLevelType w:val="multilevel"/>
    <w:tmpl w:val="51D0F322"/>
    <w:lvl w:ilvl="0">
      <w:start w:val="3"/>
      <w:numFmt w:val="decimal"/>
      <w:lvlText w:val="%1"/>
      <w:lvlJc w:val="left"/>
      <w:pPr>
        <w:ind w:left="763"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0795927"/>
    <w:multiLevelType w:val="multilevel"/>
    <w:tmpl w:val="0BE81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71198"/>
    <w:multiLevelType w:val="multilevel"/>
    <w:tmpl w:val="6756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BC36627"/>
    <w:multiLevelType w:val="multilevel"/>
    <w:tmpl w:val="765C22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1414FD"/>
    <w:multiLevelType w:val="multilevel"/>
    <w:tmpl w:val="B8262A1A"/>
    <w:lvl w:ilvl="0">
      <w:start w:val="6"/>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08C79BD"/>
    <w:multiLevelType w:val="hybridMultilevel"/>
    <w:tmpl w:val="8D48796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1F081C"/>
    <w:multiLevelType w:val="multilevel"/>
    <w:tmpl w:val="562ADC94"/>
    <w:lvl w:ilvl="0">
      <w:start w:val="1"/>
      <w:numFmt w:val="decimal"/>
      <w:suff w:val="space"/>
      <w:lvlText w:val="%1."/>
      <w:lvlJc w:val="left"/>
      <w:pPr>
        <w:ind w:left="360" w:hanging="360"/>
      </w:pPr>
      <w:rPr>
        <w:rFonts w:hint="default"/>
      </w:rPr>
    </w:lvl>
    <w:lvl w:ilvl="1">
      <w:start w:val="1"/>
      <w:numFmt w:val="decimal"/>
      <w:suff w:val="space"/>
      <w:lvlText w:val="%1.%2."/>
      <w:lvlJc w:val="left"/>
      <w:pPr>
        <w:ind w:left="1283" w:hanging="432"/>
      </w:pPr>
      <w:rPr>
        <w:rFonts w:hint="default"/>
        <w:b w:val="0"/>
        <w:bCs/>
        <w:sz w:val="24"/>
        <w:szCs w:val="24"/>
      </w:rPr>
    </w:lvl>
    <w:lvl w:ilvl="2">
      <w:start w:val="1"/>
      <w:numFmt w:val="decimal"/>
      <w:suff w:val="space"/>
      <w:lvlText w:val="%1.%2.%3."/>
      <w:lvlJc w:val="left"/>
      <w:pPr>
        <w:ind w:left="121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F5DDF"/>
    <w:multiLevelType w:val="multilevel"/>
    <w:tmpl w:val="05305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770D2E"/>
    <w:multiLevelType w:val="multilevel"/>
    <w:tmpl w:val="990A8416"/>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6E877C7"/>
    <w:multiLevelType w:val="multilevel"/>
    <w:tmpl w:val="61A8F5D4"/>
    <w:lvl w:ilvl="0">
      <w:start w:val="3"/>
      <w:numFmt w:val="decimal"/>
      <w:lvlText w:val="%1."/>
      <w:lvlJc w:val="left"/>
      <w:pPr>
        <w:ind w:left="823" w:hanging="540"/>
      </w:pPr>
      <w:rPr>
        <w:rFonts w:hint="default"/>
        <w:b/>
        <w:bCs w:val="0"/>
      </w:rPr>
    </w:lvl>
    <w:lvl w:ilvl="1">
      <w:start w:val="2"/>
      <w:numFmt w:val="decimal"/>
      <w:lvlText w:val="%1.%2."/>
      <w:lvlJc w:val="left"/>
      <w:pPr>
        <w:ind w:left="900" w:hanging="540"/>
      </w:pPr>
      <w:rPr>
        <w:rFonts w:hint="default"/>
        <w:b/>
        <w:bCs w:val="0"/>
      </w:rPr>
    </w:lvl>
    <w:lvl w:ilvl="2">
      <w:start w:val="1"/>
      <w:numFmt w:val="bullet"/>
      <w:lvlText w:val="o"/>
      <w:lvlJc w:val="left"/>
      <w:pPr>
        <w:ind w:left="1494" w:hanging="360"/>
      </w:pPr>
      <w:rPr>
        <w:rFonts w:ascii="Courier New" w:hAnsi="Courier New" w:cs="Courier New" w:hint="default"/>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3" w15:restartNumberingAfterBreak="0">
    <w:nsid w:val="782F7476"/>
    <w:multiLevelType w:val="multilevel"/>
    <w:tmpl w:val="5F9A1DEA"/>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7477112">
    <w:abstractNumId w:val="19"/>
  </w:num>
  <w:num w:numId="2" w16cid:durableId="49768132">
    <w:abstractNumId w:val="24"/>
  </w:num>
  <w:num w:numId="3" w16cid:durableId="1485850055">
    <w:abstractNumId w:val="36"/>
  </w:num>
  <w:num w:numId="4" w16cid:durableId="143667201">
    <w:abstractNumId w:val="11"/>
  </w:num>
  <w:num w:numId="5" w16cid:durableId="249430611">
    <w:abstractNumId w:val="27"/>
  </w:num>
  <w:num w:numId="6" w16cid:durableId="1022513774">
    <w:abstractNumId w:val="33"/>
  </w:num>
  <w:num w:numId="7" w16cid:durableId="725378839">
    <w:abstractNumId w:val="20"/>
  </w:num>
  <w:num w:numId="8" w16cid:durableId="1750421677">
    <w:abstractNumId w:val="22"/>
  </w:num>
  <w:num w:numId="9" w16cid:durableId="1617174156">
    <w:abstractNumId w:val="13"/>
  </w:num>
  <w:num w:numId="10" w16cid:durableId="1702631466">
    <w:abstractNumId w:val="21"/>
  </w:num>
  <w:num w:numId="11" w16cid:durableId="2057654439">
    <w:abstractNumId w:val="26"/>
  </w:num>
  <w:num w:numId="12" w16cid:durableId="1363049050">
    <w:abstractNumId w:val="16"/>
  </w:num>
  <w:num w:numId="13" w16cid:durableId="833648155">
    <w:abstractNumId w:val="44"/>
  </w:num>
  <w:num w:numId="14" w16cid:durableId="952131163">
    <w:abstractNumId w:val="40"/>
  </w:num>
  <w:num w:numId="15" w16cid:durableId="944655857">
    <w:abstractNumId w:val="18"/>
  </w:num>
  <w:num w:numId="16" w16cid:durableId="99448065">
    <w:abstractNumId w:val="10"/>
  </w:num>
  <w:num w:numId="17" w16cid:durableId="131139859">
    <w:abstractNumId w:val="9"/>
  </w:num>
  <w:num w:numId="18" w16cid:durableId="1622607634">
    <w:abstractNumId w:val="23"/>
  </w:num>
  <w:num w:numId="19" w16cid:durableId="1840149502">
    <w:abstractNumId w:val="15"/>
  </w:num>
  <w:num w:numId="20" w16cid:durableId="560555378">
    <w:abstractNumId w:val="28"/>
  </w:num>
  <w:num w:numId="21" w16cid:durableId="1055004911">
    <w:abstractNumId w:val="5"/>
  </w:num>
  <w:num w:numId="22" w16cid:durableId="1964649968">
    <w:abstractNumId w:val="6"/>
  </w:num>
  <w:num w:numId="23" w16cid:durableId="1121418762">
    <w:abstractNumId w:val="34"/>
  </w:num>
  <w:num w:numId="24" w16cid:durableId="1497920319">
    <w:abstractNumId w:val="41"/>
  </w:num>
  <w:num w:numId="25" w16cid:durableId="1347637772">
    <w:abstractNumId w:val="0"/>
  </w:num>
  <w:num w:numId="26" w16cid:durableId="265385422">
    <w:abstractNumId w:val="43"/>
  </w:num>
  <w:num w:numId="27" w16cid:durableId="95830067">
    <w:abstractNumId w:val="29"/>
  </w:num>
  <w:num w:numId="28" w16cid:durableId="366107690">
    <w:abstractNumId w:val="37"/>
  </w:num>
  <w:num w:numId="29" w16cid:durableId="350104367">
    <w:abstractNumId w:val="14"/>
  </w:num>
  <w:num w:numId="30" w16cid:durableId="1048914298">
    <w:abstractNumId w:val="30"/>
  </w:num>
  <w:num w:numId="31" w16cid:durableId="1601914633">
    <w:abstractNumId w:val="25"/>
  </w:num>
  <w:num w:numId="32" w16cid:durableId="1696274051">
    <w:abstractNumId w:val="2"/>
  </w:num>
  <w:num w:numId="33" w16cid:durableId="19741538">
    <w:abstractNumId w:val="42"/>
  </w:num>
  <w:num w:numId="34" w16cid:durableId="521020635">
    <w:abstractNumId w:val="35"/>
  </w:num>
  <w:num w:numId="35" w16cid:durableId="771705268">
    <w:abstractNumId w:val="1"/>
  </w:num>
  <w:num w:numId="36" w16cid:durableId="138812982">
    <w:abstractNumId w:val="7"/>
  </w:num>
  <w:num w:numId="37" w16cid:durableId="1161118600">
    <w:abstractNumId w:val="39"/>
  </w:num>
  <w:num w:numId="38" w16cid:durableId="1814642320">
    <w:abstractNumId w:val="3"/>
  </w:num>
  <w:num w:numId="39" w16cid:durableId="919755698">
    <w:abstractNumId w:val="32"/>
  </w:num>
  <w:num w:numId="40" w16cid:durableId="666902841">
    <w:abstractNumId w:val="31"/>
  </w:num>
  <w:num w:numId="41" w16cid:durableId="2033260098">
    <w:abstractNumId w:val="8"/>
  </w:num>
  <w:num w:numId="42" w16cid:durableId="1525435799">
    <w:abstractNumId w:val="17"/>
  </w:num>
  <w:num w:numId="43" w16cid:durableId="1550146328">
    <w:abstractNumId w:val="12"/>
  </w:num>
  <w:num w:numId="44" w16cid:durableId="22286536">
    <w:abstractNumId w:val="4"/>
  </w:num>
  <w:num w:numId="45" w16cid:durableId="68315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1&lt;/Suspended&gt;&lt;/ENInstantFormat&gt;"/>
    <w:docVar w:name="EN.Layout" w:val="&lt;ENLayout&gt;&lt;Style&gt;JoVE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2tx2spretx0jew9af5rr0a5rxd9swe0pdp&quot;&gt;My EndNote Library&lt;record-ids&gt;&lt;item&gt;1244&lt;/item&gt;&lt;item&gt;1245&lt;/item&gt;&lt;item&gt;1246&lt;/item&gt;&lt;item&gt;1247&lt;/item&gt;&lt;item&gt;1248&lt;/item&gt;&lt;item&gt;1249&lt;/item&gt;&lt;item&gt;1250&lt;/item&gt;&lt;item&gt;1251&lt;/item&gt;&lt;item&gt;1252&lt;/item&gt;&lt;item&gt;1253&lt;/item&gt;&lt;/record-ids&gt;&lt;/item&gt;&lt;/Libraries&gt;"/>
  </w:docVars>
  <w:rsids>
    <w:rsidRoot w:val="006E4797"/>
    <w:rsid w:val="0000515B"/>
    <w:rsid w:val="00005B29"/>
    <w:rsid w:val="00011348"/>
    <w:rsid w:val="00011457"/>
    <w:rsid w:val="00013652"/>
    <w:rsid w:val="00016BDA"/>
    <w:rsid w:val="000173CE"/>
    <w:rsid w:val="00023DD2"/>
    <w:rsid w:val="00034165"/>
    <w:rsid w:val="00034DD1"/>
    <w:rsid w:val="0004355D"/>
    <w:rsid w:val="000440D5"/>
    <w:rsid w:val="00046381"/>
    <w:rsid w:val="00057B67"/>
    <w:rsid w:val="00060599"/>
    <w:rsid w:val="00061E0E"/>
    <w:rsid w:val="00066DD9"/>
    <w:rsid w:val="00072C4B"/>
    <w:rsid w:val="0007506F"/>
    <w:rsid w:val="00076815"/>
    <w:rsid w:val="0008143B"/>
    <w:rsid w:val="00081F44"/>
    <w:rsid w:val="00082A5F"/>
    <w:rsid w:val="00086F39"/>
    <w:rsid w:val="00090FE1"/>
    <w:rsid w:val="000932FE"/>
    <w:rsid w:val="00096D73"/>
    <w:rsid w:val="00097051"/>
    <w:rsid w:val="000A2863"/>
    <w:rsid w:val="000A68C1"/>
    <w:rsid w:val="000B1A76"/>
    <w:rsid w:val="000B3111"/>
    <w:rsid w:val="000B41B6"/>
    <w:rsid w:val="000B511E"/>
    <w:rsid w:val="000C0BAD"/>
    <w:rsid w:val="000C4EFE"/>
    <w:rsid w:val="000C783D"/>
    <w:rsid w:val="000D4BA6"/>
    <w:rsid w:val="000E2ABF"/>
    <w:rsid w:val="000E3F21"/>
    <w:rsid w:val="000E454F"/>
    <w:rsid w:val="000E4C51"/>
    <w:rsid w:val="000F1FF2"/>
    <w:rsid w:val="00112A96"/>
    <w:rsid w:val="00121A97"/>
    <w:rsid w:val="00123120"/>
    <w:rsid w:val="00125403"/>
    <w:rsid w:val="00130ED8"/>
    <w:rsid w:val="00133037"/>
    <w:rsid w:val="00140593"/>
    <w:rsid w:val="00145F21"/>
    <w:rsid w:val="00147CBA"/>
    <w:rsid w:val="0015327B"/>
    <w:rsid w:val="001624E4"/>
    <w:rsid w:val="0016565F"/>
    <w:rsid w:val="001771DE"/>
    <w:rsid w:val="00177BC9"/>
    <w:rsid w:val="00180749"/>
    <w:rsid w:val="00181267"/>
    <w:rsid w:val="00181A81"/>
    <w:rsid w:val="0018236D"/>
    <w:rsid w:val="0018412F"/>
    <w:rsid w:val="00184CC0"/>
    <w:rsid w:val="00186BCF"/>
    <w:rsid w:val="00194C04"/>
    <w:rsid w:val="00194CE8"/>
    <w:rsid w:val="001959A2"/>
    <w:rsid w:val="001A09B7"/>
    <w:rsid w:val="001A1CA1"/>
    <w:rsid w:val="001A3D0F"/>
    <w:rsid w:val="001A43EF"/>
    <w:rsid w:val="001B30E4"/>
    <w:rsid w:val="001C17D0"/>
    <w:rsid w:val="001D1090"/>
    <w:rsid w:val="001D1578"/>
    <w:rsid w:val="001D1E01"/>
    <w:rsid w:val="001D3B8F"/>
    <w:rsid w:val="001D53A2"/>
    <w:rsid w:val="001D6EAC"/>
    <w:rsid w:val="001E047F"/>
    <w:rsid w:val="001E4E1F"/>
    <w:rsid w:val="001E5006"/>
    <w:rsid w:val="001E6A98"/>
    <w:rsid w:val="001F3109"/>
    <w:rsid w:val="001F5F04"/>
    <w:rsid w:val="00205B31"/>
    <w:rsid w:val="002069B2"/>
    <w:rsid w:val="00210DD6"/>
    <w:rsid w:val="00211AEA"/>
    <w:rsid w:val="00214319"/>
    <w:rsid w:val="00216774"/>
    <w:rsid w:val="00226E2F"/>
    <w:rsid w:val="00231559"/>
    <w:rsid w:val="0023296D"/>
    <w:rsid w:val="00232DDC"/>
    <w:rsid w:val="00252077"/>
    <w:rsid w:val="00270918"/>
    <w:rsid w:val="00273EDD"/>
    <w:rsid w:val="00280123"/>
    <w:rsid w:val="0028035C"/>
    <w:rsid w:val="00282385"/>
    <w:rsid w:val="0028658E"/>
    <w:rsid w:val="002A5A4C"/>
    <w:rsid w:val="002A63A6"/>
    <w:rsid w:val="002B1762"/>
    <w:rsid w:val="002C588F"/>
    <w:rsid w:val="002C595D"/>
    <w:rsid w:val="002C5D10"/>
    <w:rsid w:val="002E02F5"/>
    <w:rsid w:val="002E3E49"/>
    <w:rsid w:val="002E4785"/>
    <w:rsid w:val="002F168C"/>
    <w:rsid w:val="002F2402"/>
    <w:rsid w:val="002F4D48"/>
    <w:rsid w:val="00304218"/>
    <w:rsid w:val="0030665D"/>
    <w:rsid w:val="00306CB1"/>
    <w:rsid w:val="00310337"/>
    <w:rsid w:val="0031658E"/>
    <w:rsid w:val="003211A5"/>
    <w:rsid w:val="00321853"/>
    <w:rsid w:val="00326F4E"/>
    <w:rsid w:val="0033351F"/>
    <w:rsid w:val="0033489C"/>
    <w:rsid w:val="00345A90"/>
    <w:rsid w:val="00351087"/>
    <w:rsid w:val="003548DA"/>
    <w:rsid w:val="00356228"/>
    <w:rsid w:val="00356880"/>
    <w:rsid w:val="003773FF"/>
    <w:rsid w:val="0037751E"/>
    <w:rsid w:val="00377A0B"/>
    <w:rsid w:val="003817DE"/>
    <w:rsid w:val="00384529"/>
    <w:rsid w:val="00387CDA"/>
    <w:rsid w:val="003919E1"/>
    <w:rsid w:val="00395B9D"/>
    <w:rsid w:val="003979BA"/>
    <w:rsid w:val="003A2729"/>
    <w:rsid w:val="003A5160"/>
    <w:rsid w:val="003A5297"/>
    <w:rsid w:val="003B4943"/>
    <w:rsid w:val="003B714A"/>
    <w:rsid w:val="003C4167"/>
    <w:rsid w:val="003C5572"/>
    <w:rsid w:val="003C574E"/>
    <w:rsid w:val="003D01F8"/>
    <w:rsid w:val="003D13BE"/>
    <w:rsid w:val="003D2754"/>
    <w:rsid w:val="003D67E2"/>
    <w:rsid w:val="003F7E4C"/>
    <w:rsid w:val="00400C71"/>
    <w:rsid w:val="00403AE6"/>
    <w:rsid w:val="00404B61"/>
    <w:rsid w:val="0040579A"/>
    <w:rsid w:val="00406091"/>
    <w:rsid w:val="00414ADE"/>
    <w:rsid w:val="00424437"/>
    <w:rsid w:val="00425541"/>
    <w:rsid w:val="00433EBF"/>
    <w:rsid w:val="004361C8"/>
    <w:rsid w:val="00436F4D"/>
    <w:rsid w:val="00437A66"/>
    <w:rsid w:val="00447160"/>
    <w:rsid w:val="00451F9E"/>
    <w:rsid w:val="004606CA"/>
    <w:rsid w:val="004620C9"/>
    <w:rsid w:val="004629AD"/>
    <w:rsid w:val="004673BF"/>
    <w:rsid w:val="004732B2"/>
    <w:rsid w:val="00475A69"/>
    <w:rsid w:val="00480834"/>
    <w:rsid w:val="004939EE"/>
    <w:rsid w:val="004969D3"/>
    <w:rsid w:val="004B319C"/>
    <w:rsid w:val="004B361A"/>
    <w:rsid w:val="004C0985"/>
    <w:rsid w:val="004C27B0"/>
    <w:rsid w:val="004D00AF"/>
    <w:rsid w:val="004D1FDD"/>
    <w:rsid w:val="004D362E"/>
    <w:rsid w:val="004D5031"/>
    <w:rsid w:val="004E4E4E"/>
    <w:rsid w:val="004E68C2"/>
    <w:rsid w:val="004F5A0C"/>
    <w:rsid w:val="004F6AD9"/>
    <w:rsid w:val="00510373"/>
    <w:rsid w:val="00513CCF"/>
    <w:rsid w:val="00516914"/>
    <w:rsid w:val="00531D4F"/>
    <w:rsid w:val="00536CE4"/>
    <w:rsid w:val="005376DB"/>
    <w:rsid w:val="0054374E"/>
    <w:rsid w:val="00551D82"/>
    <w:rsid w:val="0055344F"/>
    <w:rsid w:val="0056021E"/>
    <w:rsid w:val="00564B9D"/>
    <w:rsid w:val="005717F1"/>
    <w:rsid w:val="005734D7"/>
    <w:rsid w:val="00574E6D"/>
    <w:rsid w:val="00575E55"/>
    <w:rsid w:val="0057690A"/>
    <w:rsid w:val="00585BF5"/>
    <w:rsid w:val="005929BB"/>
    <w:rsid w:val="005A637B"/>
    <w:rsid w:val="005A6B00"/>
    <w:rsid w:val="005A79DE"/>
    <w:rsid w:val="005B6A05"/>
    <w:rsid w:val="005B7527"/>
    <w:rsid w:val="005C57BC"/>
    <w:rsid w:val="005D09F2"/>
    <w:rsid w:val="005D1340"/>
    <w:rsid w:val="005D26C3"/>
    <w:rsid w:val="005E1EE7"/>
    <w:rsid w:val="005F0976"/>
    <w:rsid w:val="005F0ABC"/>
    <w:rsid w:val="005F0FB0"/>
    <w:rsid w:val="005F2103"/>
    <w:rsid w:val="005F476C"/>
    <w:rsid w:val="005F6DE2"/>
    <w:rsid w:val="005F6F5E"/>
    <w:rsid w:val="006010D1"/>
    <w:rsid w:val="00604100"/>
    <w:rsid w:val="00604F51"/>
    <w:rsid w:val="00606F7E"/>
    <w:rsid w:val="00612570"/>
    <w:rsid w:val="00615035"/>
    <w:rsid w:val="00620842"/>
    <w:rsid w:val="00622578"/>
    <w:rsid w:val="006239A1"/>
    <w:rsid w:val="00634672"/>
    <w:rsid w:val="00647209"/>
    <w:rsid w:val="00653172"/>
    <w:rsid w:val="00653460"/>
    <w:rsid w:val="00656A11"/>
    <w:rsid w:val="00661141"/>
    <w:rsid w:val="00662515"/>
    <w:rsid w:val="00663CFB"/>
    <w:rsid w:val="00665A1E"/>
    <w:rsid w:val="00665C1C"/>
    <w:rsid w:val="00667C26"/>
    <w:rsid w:val="00670498"/>
    <w:rsid w:val="00670CA4"/>
    <w:rsid w:val="006755EE"/>
    <w:rsid w:val="006824BF"/>
    <w:rsid w:val="006942DC"/>
    <w:rsid w:val="00696476"/>
    <w:rsid w:val="00697EEA"/>
    <w:rsid w:val="006A2B23"/>
    <w:rsid w:val="006A6821"/>
    <w:rsid w:val="006A69FB"/>
    <w:rsid w:val="006A6CE1"/>
    <w:rsid w:val="006C3C04"/>
    <w:rsid w:val="006E12A6"/>
    <w:rsid w:val="006E19C7"/>
    <w:rsid w:val="006E267C"/>
    <w:rsid w:val="006E4797"/>
    <w:rsid w:val="006E7C64"/>
    <w:rsid w:val="006F3CD7"/>
    <w:rsid w:val="00702ADE"/>
    <w:rsid w:val="0070444F"/>
    <w:rsid w:val="00706774"/>
    <w:rsid w:val="00714BE0"/>
    <w:rsid w:val="00724325"/>
    <w:rsid w:val="00731829"/>
    <w:rsid w:val="00732360"/>
    <w:rsid w:val="00736371"/>
    <w:rsid w:val="00736C78"/>
    <w:rsid w:val="007448A5"/>
    <w:rsid w:val="00751D3D"/>
    <w:rsid w:val="00760FAA"/>
    <w:rsid w:val="00764754"/>
    <w:rsid w:val="00792659"/>
    <w:rsid w:val="0079715B"/>
    <w:rsid w:val="00797554"/>
    <w:rsid w:val="007A0D41"/>
    <w:rsid w:val="007A1B23"/>
    <w:rsid w:val="007A4BBA"/>
    <w:rsid w:val="007A50DC"/>
    <w:rsid w:val="007A793F"/>
    <w:rsid w:val="007B488F"/>
    <w:rsid w:val="007B565C"/>
    <w:rsid w:val="007B72A4"/>
    <w:rsid w:val="007B7CCA"/>
    <w:rsid w:val="007C0CCA"/>
    <w:rsid w:val="007C43B9"/>
    <w:rsid w:val="007D1618"/>
    <w:rsid w:val="007D2772"/>
    <w:rsid w:val="007D6BE0"/>
    <w:rsid w:val="007E6935"/>
    <w:rsid w:val="007F074F"/>
    <w:rsid w:val="007F13E9"/>
    <w:rsid w:val="007F2030"/>
    <w:rsid w:val="007F49ED"/>
    <w:rsid w:val="007F5EB0"/>
    <w:rsid w:val="008050BB"/>
    <w:rsid w:val="008118B0"/>
    <w:rsid w:val="008164C6"/>
    <w:rsid w:val="00817730"/>
    <w:rsid w:val="0083065B"/>
    <w:rsid w:val="0083343F"/>
    <w:rsid w:val="00833B96"/>
    <w:rsid w:val="00834151"/>
    <w:rsid w:val="00834E9B"/>
    <w:rsid w:val="00835937"/>
    <w:rsid w:val="008425A4"/>
    <w:rsid w:val="00842F78"/>
    <w:rsid w:val="008455B9"/>
    <w:rsid w:val="00845E89"/>
    <w:rsid w:val="008461C6"/>
    <w:rsid w:val="00853331"/>
    <w:rsid w:val="0085421A"/>
    <w:rsid w:val="00854881"/>
    <w:rsid w:val="0085548D"/>
    <w:rsid w:val="008565BB"/>
    <w:rsid w:val="00860B52"/>
    <w:rsid w:val="00862198"/>
    <w:rsid w:val="00862571"/>
    <w:rsid w:val="00871CBC"/>
    <w:rsid w:val="0087321F"/>
    <w:rsid w:val="00873776"/>
    <w:rsid w:val="008A4859"/>
    <w:rsid w:val="008A6408"/>
    <w:rsid w:val="008A7A39"/>
    <w:rsid w:val="008B2D50"/>
    <w:rsid w:val="008B35D2"/>
    <w:rsid w:val="008C72E4"/>
    <w:rsid w:val="008D0B9D"/>
    <w:rsid w:val="008D293E"/>
    <w:rsid w:val="008E19AC"/>
    <w:rsid w:val="008E483E"/>
    <w:rsid w:val="008F00EC"/>
    <w:rsid w:val="008F1B99"/>
    <w:rsid w:val="00901C81"/>
    <w:rsid w:val="009066A0"/>
    <w:rsid w:val="00911EF7"/>
    <w:rsid w:val="009146FA"/>
    <w:rsid w:val="009172CE"/>
    <w:rsid w:val="00917F1D"/>
    <w:rsid w:val="009206D9"/>
    <w:rsid w:val="00920E15"/>
    <w:rsid w:val="00926B32"/>
    <w:rsid w:val="00930FEB"/>
    <w:rsid w:val="00936E08"/>
    <w:rsid w:val="009409EA"/>
    <w:rsid w:val="009414ED"/>
    <w:rsid w:val="009443E5"/>
    <w:rsid w:val="0094629E"/>
    <w:rsid w:val="009464BF"/>
    <w:rsid w:val="00952047"/>
    <w:rsid w:val="00954A7C"/>
    <w:rsid w:val="00967427"/>
    <w:rsid w:val="009716CF"/>
    <w:rsid w:val="00985F99"/>
    <w:rsid w:val="00990DBF"/>
    <w:rsid w:val="00994925"/>
    <w:rsid w:val="00994F50"/>
    <w:rsid w:val="009A1224"/>
    <w:rsid w:val="009B419B"/>
    <w:rsid w:val="009C6307"/>
    <w:rsid w:val="009C7776"/>
    <w:rsid w:val="009D5EAC"/>
    <w:rsid w:val="009D6440"/>
    <w:rsid w:val="009E0897"/>
    <w:rsid w:val="009E25B6"/>
    <w:rsid w:val="009E49EF"/>
    <w:rsid w:val="009F2AB9"/>
    <w:rsid w:val="00A00B13"/>
    <w:rsid w:val="00A07562"/>
    <w:rsid w:val="00A0756C"/>
    <w:rsid w:val="00A118B9"/>
    <w:rsid w:val="00A12A41"/>
    <w:rsid w:val="00A1684A"/>
    <w:rsid w:val="00A219C5"/>
    <w:rsid w:val="00A23F63"/>
    <w:rsid w:val="00A3429D"/>
    <w:rsid w:val="00A35133"/>
    <w:rsid w:val="00A35853"/>
    <w:rsid w:val="00A440A3"/>
    <w:rsid w:val="00A5099E"/>
    <w:rsid w:val="00A61636"/>
    <w:rsid w:val="00A624BE"/>
    <w:rsid w:val="00A62A60"/>
    <w:rsid w:val="00A66FCB"/>
    <w:rsid w:val="00A7007F"/>
    <w:rsid w:val="00A73C40"/>
    <w:rsid w:val="00A80FC7"/>
    <w:rsid w:val="00A857D2"/>
    <w:rsid w:val="00A86920"/>
    <w:rsid w:val="00AA0C6E"/>
    <w:rsid w:val="00AA67D0"/>
    <w:rsid w:val="00AB0486"/>
    <w:rsid w:val="00AB0D42"/>
    <w:rsid w:val="00AB4038"/>
    <w:rsid w:val="00AB5D0C"/>
    <w:rsid w:val="00AC2121"/>
    <w:rsid w:val="00AD0387"/>
    <w:rsid w:val="00AD0FA9"/>
    <w:rsid w:val="00AD42E8"/>
    <w:rsid w:val="00AE5A72"/>
    <w:rsid w:val="00AE6379"/>
    <w:rsid w:val="00AE7569"/>
    <w:rsid w:val="00AF31CF"/>
    <w:rsid w:val="00AF3E54"/>
    <w:rsid w:val="00AF7830"/>
    <w:rsid w:val="00B00443"/>
    <w:rsid w:val="00B00596"/>
    <w:rsid w:val="00B019A9"/>
    <w:rsid w:val="00B02727"/>
    <w:rsid w:val="00B075A7"/>
    <w:rsid w:val="00B07F18"/>
    <w:rsid w:val="00B152CD"/>
    <w:rsid w:val="00B17C73"/>
    <w:rsid w:val="00B22700"/>
    <w:rsid w:val="00B45A7C"/>
    <w:rsid w:val="00B47703"/>
    <w:rsid w:val="00B574FF"/>
    <w:rsid w:val="00B57CBC"/>
    <w:rsid w:val="00B64467"/>
    <w:rsid w:val="00B66177"/>
    <w:rsid w:val="00B67055"/>
    <w:rsid w:val="00B6715E"/>
    <w:rsid w:val="00B747AE"/>
    <w:rsid w:val="00B76089"/>
    <w:rsid w:val="00B80D15"/>
    <w:rsid w:val="00B81064"/>
    <w:rsid w:val="00B87681"/>
    <w:rsid w:val="00BA64BD"/>
    <w:rsid w:val="00BA7160"/>
    <w:rsid w:val="00BC7239"/>
    <w:rsid w:val="00BC72C1"/>
    <w:rsid w:val="00BD0130"/>
    <w:rsid w:val="00BD3767"/>
    <w:rsid w:val="00BE22A2"/>
    <w:rsid w:val="00BE2769"/>
    <w:rsid w:val="00BF0B8F"/>
    <w:rsid w:val="00BF6466"/>
    <w:rsid w:val="00C10BFB"/>
    <w:rsid w:val="00C111D7"/>
    <w:rsid w:val="00C11D93"/>
    <w:rsid w:val="00C15D86"/>
    <w:rsid w:val="00C22BA8"/>
    <w:rsid w:val="00C27C71"/>
    <w:rsid w:val="00C366E0"/>
    <w:rsid w:val="00C43940"/>
    <w:rsid w:val="00C52E34"/>
    <w:rsid w:val="00C550F3"/>
    <w:rsid w:val="00C55967"/>
    <w:rsid w:val="00C652D8"/>
    <w:rsid w:val="00C7324B"/>
    <w:rsid w:val="00C845FC"/>
    <w:rsid w:val="00C875D1"/>
    <w:rsid w:val="00C900F8"/>
    <w:rsid w:val="00CA2ACC"/>
    <w:rsid w:val="00CA350D"/>
    <w:rsid w:val="00CB1713"/>
    <w:rsid w:val="00CB1783"/>
    <w:rsid w:val="00CB2A6F"/>
    <w:rsid w:val="00CB2CF8"/>
    <w:rsid w:val="00CB57BA"/>
    <w:rsid w:val="00CC220C"/>
    <w:rsid w:val="00CD32B3"/>
    <w:rsid w:val="00CD33C8"/>
    <w:rsid w:val="00CE1A6A"/>
    <w:rsid w:val="00D00662"/>
    <w:rsid w:val="00D07A90"/>
    <w:rsid w:val="00D1785C"/>
    <w:rsid w:val="00D20B14"/>
    <w:rsid w:val="00D2510B"/>
    <w:rsid w:val="00D32BBB"/>
    <w:rsid w:val="00D3345F"/>
    <w:rsid w:val="00D3362E"/>
    <w:rsid w:val="00D34A56"/>
    <w:rsid w:val="00D479F3"/>
    <w:rsid w:val="00D50561"/>
    <w:rsid w:val="00D574BB"/>
    <w:rsid w:val="00D57F1F"/>
    <w:rsid w:val="00D62884"/>
    <w:rsid w:val="00D63146"/>
    <w:rsid w:val="00D642B6"/>
    <w:rsid w:val="00D661BB"/>
    <w:rsid w:val="00D6735C"/>
    <w:rsid w:val="00D71979"/>
    <w:rsid w:val="00D74C80"/>
    <w:rsid w:val="00D81858"/>
    <w:rsid w:val="00D84BAC"/>
    <w:rsid w:val="00D85688"/>
    <w:rsid w:val="00D85BA0"/>
    <w:rsid w:val="00D86D57"/>
    <w:rsid w:val="00D959E7"/>
    <w:rsid w:val="00D97BF0"/>
    <w:rsid w:val="00DA10C7"/>
    <w:rsid w:val="00DA154A"/>
    <w:rsid w:val="00DA3C5C"/>
    <w:rsid w:val="00DA5060"/>
    <w:rsid w:val="00DA51B7"/>
    <w:rsid w:val="00DA70A8"/>
    <w:rsid w:val="00DC0E61"/>
    <w:rsid w:val="00DC18A7"/>
    <w:rsid w:val="00DC2F5F"/>
    <w:rsid w:val="00DC340B"/>
    <w:rsid w:val="00DC39B1"/>
    <w:rsid w:val="00DC7313"/>
    <w:rsid w:val="00DD0D2A"/>
    <w:rsid w:val="00DD4A6D"/>
    <w:rsid w:val="00DD5BF5"/>
    <w:rsid w:val="00DE0491"/>
    <w:rsid w:val="00DF0BF5"/>
    <w:rsid w:val="00E03054"/>
    <w:rsid w:val="00E1107B"/>
    <w:rsid w:val="00E1319B"/>
    <w:rsid w:val="00E2289F"/>
    <w:rsid w:val="00E25791"/>
    <w:rsid w:val="00E30E6C"/>
    <w:rsid w:val="00E34CB6"/>
    <w:rsid w:val="00E401D5"/>
    <w:rsid w:val="00E47E06"/>
    <w:rsid w:val="00E52AF5"/>
    <w:rsid w:val="00E55492"/>
    <w:rsid w:val="00E562EA"/>
    <w:rsid w:val="00E56B0D"/>
    <w:rsid w:val="00E703BC"/>
    <w:rsid w:val="00E718A1"/>
    <w:rsid w:val="00E72D32"/>
    <w:rsid w:val="00E7460D"/>
    <w:rsid w:val="00E76086"/>
    <w:rsid w:val="00E76BDF"/>
    <w:rsid w:val="00E81710"/>
    <w:rsid w:val="00E83DD3"/>
    <w:rsid w:val="00E84776"/>
    <w:rsid w:val="00E87147"/>
    <w:rsid w:val="00EA1F6B"/>
    <w:rsid w:val="00EB08CE"/>
    <w:rsid w:val="00EB1E68"/>
    <w:rsid w:val="00EC0649"/>
    <w:rsid w:val="00EC57F0"/>
    <w:rsid w:val="00ED1073"/>
    <w:rsid w:val="00ED4C0C"/>
    <w:rsid w:val="00ED65A9"/>
    <w:rsid w:val="00ED701B"/>
    <w:rsid w:val="00EE0581"/>
    <w:rsid w:val="00EF13CF"/>
    <w:rsid w:val="00F04474"/>
    <w:rsid w:val="00F1106B"/>
    <w:rsid w:val="00F112FC"/>
    <w:rsid w:val="00F22FB1"/>
    <w:rsid w:val="00F259AE"/>
    <w:rsid w:val="00F30468"/>
    <w:rsid w:val="00F36869"/>
    <w:rsid w:val="00F41DE1"/>
    <w:rsid w:val="00F44480"/>
    <w:rsid w:val="00F45E02"/>
    <w:rsid w:val="00F46E7A"/>
    <w:rsid w:val="00F511BF"/>
    <w:rsid w:val="00F57258"/>
    <w:rsid w:val="00F6160D"/>
    <w:rsid w:val="00F66B42"/>
    <w:rsid w:val="00F67C6B"/>
    <w:rsid w:val="00F67F92"/>
    <w:rsid w:val="00F72213"/>
    <w:rsid w:val="00F759EE"/>
    <w:rsid w:val="00F8206E"/>
    <w:rsid w:val="00F8412A"/>
    <w:rsid w:val="00F86082"/>
    <w:rsid w:val="00F875DD"/>
    <w:rsid w:val="00F87E7E"/>
    <w:rsid w:val="00F91413"/>
    <w:rsid w:val="00FA185F"/>
    <w:rsid w:val="00FA1F9F"/>
    <w:rsid w:val="00FA3B53"/>
    <w:rsid w:val="00FA447E"/>
    <w:rsid w:val="00FA6C9C"/>
    <w:rsid w:val="00FB3100"/>
    <w:rsid w:val="00FC40B3"/>
    <w:rsid w:val="00FC4F54"/>
    <w:rsid w:val="00FD0F6D"/>
    <w:rsid w:val="00FE1073"/>
    <w:rsid w:val="00FF4595"/>
    <w:rsid w:val="00FF59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AD42E8"/>
    <w:rPr>
      <w:b/>
      <w:bCs/>
    </w:rPr>
  </w:style>
  <w:style w:type="paragraph" w:styleId="NormalWeb">
    <w:name w:val="Normal (Web)"/>
    <w:basedOn w:val="Normal"/>
    <w:uiPriority w:val="99"/>
    <w:unhideWhenUsed/>
    <w:rsid w:val="00AD42E8"/>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AD42E8"/>
    <w:rPr>
      <w:i/>
      <w:iCs/>
    </w:rPr>
  </w:style>
  <w:style w:type="paragraph" w:customStyle="1" w:styleId="p1">
    <w:name w:val="p1"/>
    <w:basedOn w:val="Normal"/>
    <w:rsid w:val="00B17C73"/>
    <w:pPr>
      <w:widowControl/>
      <w:jc w:val="left"/>
    </w:pPr>
    <w:rPr>
      <w:rFonts w:ascii="Helvetica" w:eastAsia="Times New Roman" w:hAnsi="Helvetica" w:cs="Times New Roman"/>
      <w:color w:val="000000"/>
      <w:sz w:val="18"/>
      <w:szCs w:val="18"/>
      <w:lang w:val="en-GB" w:eastAsia="en-GB"/>
    </w:rPr>
  </w:style>
  <w:style w:type="character" w:customStyle="1" w:styleId="UnresolvedMention2">
    <w:name w:val="Unresolved Mention2"/>
    <w:basedOn w:val="DefaultParagraphFont"/>
    <w:uiPriority w:val="99"/>
    <w:semiHidden/>
    <w:unhideWhenUsed/>
    <w:rsid w:val="0033351F"/>
    <w:rPr>
      <w:color w:val="605E5C"/>
      <w:shd w:val="clear" w:color="auto" w:fill="E1DFDD"/>
    </w:rPr>
  </w:style>
  <w:style w:type="paragraph" w:customStyle="1" w:styleId="EndNoteBibliographyTitle">
    <w:name w:val="EndNote Bibliography Title"/>
    <w:basedOn w:val="Normal"/>
    <w:link w:val="EndNoteBibliographyTitleChar"/>
    <w:rsid w:val="001D6EAC"/>
    <w:pPr>
      <w:jc w:val="center"/>
    </w:pPr>
    <w:rPr>
      <w:noProof/>
    </w:rPr>
  </w:style>
  <w:style w:type="character" w:customStyle="1" w:styleId="EndNoteBibliographyTitleChar">
    <w:name w:val="EndNote Bibliography Title Char"/>
    <w:basedOn w:val="DefaultParagraphFont"/>
    <w:link w:val="EndNoteBibliographyTitle"/>
    <w:rsid w:val="001D6EAC"/>
    <w:rPr>
      <w:noProof/>
    </w:rPr>
  </w:style>
  <w:style w:type="paragraph" w:customStyle="1" w:styleId="EndNoteBibliography">
    <w:name w:val="EndNote Bibliography"/>
    <w:basedOn w:val="Normal"/>
    <w:link w:val="EndNoteBibliographyChar"/>
    <w:rsid w:val="001D6EAC"/>
    <w:rPr>
      <w:noProof/>
    </w:rPr>
  </w:style>
  <w:style w:type="character" w:customStyle="1" w:styleId="EndNoteBibliographyChar">
    <w:name w:val="EndNote Bibliography Char"/>
    <w:basedOn w:val="DefaultParagraphFont"/>
    <w:link w:val="EndNoteBibliography"/>
    <w:rsid w:val="001D6EAC"/>
    <w:rPr>
      <w:noProof/>
    </w:rPr>
  </w:style>
  <w:style w:type="character" w:customStyle="1" w:styleId="UnresolvedMention3">
    <w:name w:val="Unresolved Mention3"/>
    <w:basedOn w:val="DefaultParagraphFont"/>
    <w:uiPriority w:val="99"/>
    <w:semiHidden/>
    <w:unhideWhenUsed/>
    <w:rsid w:val="00AC2121"/>
    <w:rPr>
      <w:color w:val="605E5C"/>
      <w:shd w:val="clear" w:color="auto" w:fill="E1DFDD"/>
    </w:rPr>
  </w:style>
  <w:style w:type="paragraph" w:styleId="BalloonText">
    <w:name w:val="Balloon Text"/>
    <w:basedOn w:val="Normal"/>
    <w:link w:val="BalloonTextChar"/>
    <w:uiPriority w:val="99"/>
    <w:semiHidden/>
    <w:unhideWhenUsed/>
    <w:rsid w:val="001D10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090"/>
    <w:rPr>
      <w:rFonts w:ascii="Segoe UI" w:hAnsi="Segoe UI" w:cs="Segoe UI"/>
      <w:sz w:val="18"/>
      <w:szCs w:val="18"/>
    </w:rPr>
  </w:style>
  <w:style w:type="character" w:customStyle="1" w:styleId="UnresolvedMention4">
    <w:name w:val="Unresolved Mention4"/>
    <w:basedOn w:val="DefaultParagraphFont"/>
    <w:uiPriority w:val="99"/>
    <w:semiHidden/>
    <w:unhideWhenUsed/>
    <w:rsid w:val="00914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5824">
      <w:bodyDiv w:val="1"/>
      <w:marLeft w:val="0"/>
      <w:marRight w:val="0"/>
      <w:marTop w:val="0"/>
      <w:marBottom w:val="0"/>
      <w:divBdr>
        <w:top w:val="none" w:sz="0" w:space="0" w:color="auto"/>
        <w:left w:val="none" w:sz="0" w:space="0" w:color="auto"/>
        <w:bottom w:val="none" w:sz="0" w:space="0" w:color="auto"/>
        <w:right w:val="none" w:sz="0" w:space="0" w:color="auto"/>
      </w:divBdr>
    </w:div>
    <w:div w:id="97680196">
      <w:bodyDiv w:val="1"/>
      <w:marLeft w:val="0"/>
      <w:marRight w:val="0"/>
      <w:marTop w:val="0"/>
      <w:marBottom w:val="0"/>
      <w:divBdr>
        <w:top w:val="none" w:sz="0" w:space="0" w:color="auto"/>
        <w:left w:val="none" w:sz="0" w:space="0" w:color="auto"/>
        <w:bottom w:val="none" w:sz="0" w:space="0" w:color="auto"/>
        <w:right w:val="none" w:sz="0" w:space="0" w:color="auto"/>
      </w:divBdr>
    </w:div>
    <w:div w:id="218710943">
      <w:bodyDiv w:val="1"/>
      <w:marLeft w:val="0"/>
      <w:marRight w:val="0"/>
      <w:marTop w:val="0"/>
      <w:marBottom w:val="0"/>
      <w:divBdr>
        <w:top w:val="none" w:sz="0" w:space="0" w:color="auto"/>
        <w:left w:val="none" w:sz="0" w:space="0" w:color="auto"/>
        <w:bottom w:val="none" w:sz="0" w:space="0" w:color="auto"/>
        <w:right w:val="none" w:sz="0" w:space="0" w:color="auto"/>
      </w:divBdr>
    </w:div>
    <w:div w:id="693729449">
      <w:bodyDiv w:val="1"/>
      <w:marLeft w:val="0"/>
      <w:marRight w:val="0"/>
      <w:marTop w:val="0"/>
      <w:marBottom w:val="0"/>
      <w:divBdr>
        <w:top w:val="none" w:sz="0" w:space="0" w:color="auto"/>
        <w:left w:val="none" w:sz="0" w:space="0" w:color="auto"/>
        <w:bottom w:val="none" w:sz="0" w:space="0" w:color="auto"/>
        <w:right w:val="none" w:sz="0" w:space="0" w:color="auto"/>
      </w:divBdr>
    </w:div>
    <w:div w:id="730275878">
      <w:bodyDiv w:val="1"/>
      <w:marLeft w:val="0"/>
      <w:marRight w:val="0"/>
      <w:marTop w:val="0"/>
      <w:marBottom w:val="0"/>
      <w:divBdr>
        <w:top w:val="none" w:sz="0" w:space="0" w:color="auto"/>
        <w:left w:val="none" w:sz="0" w:space="0" w:color="auto"/>
        <w:bottom w:val="none" w:sz="0" w:space="0" w:color="auto"/>
        <w:right w:val="none" w:sz="0" w:space="0" w:color="auto"/>
      </w:divBdr>
    </w:div>
    <w:div w:id="971255567">
      <w:bodyDiv w:val="1"/>
      <w:marLeft w:val="0"/>
      <w:marRight w:val="0"/>
      <w:marTop w:val="0"/>
      <w:marBottom w:val="0"/>
      <w:divBdr>
        <w:top w:val="none" w:sz="0" w:space="0" w:color="auto"/>
        <w:left w:val="none" w:sz="0" w:space="0" w:color="auto"/>
        <w:bottom w:val="none" w:sz="0" w:space="0" w:color="auto"/>
        <w:right w:val="none" w:sz="0" w:space="0" w:color="auto"/>
      </w:divBdr>
    </w:div>
    <w:div w:id="1145199464">
      <w:bodyDiv w:val="1"/>
      <w:marLeft w:val="0"/>
      <w:marRight w:val="0"/>
      <w:marTop w:val="0"/>
      <w:marBottom w:val="0"/>
      <w:divBdr>
        <w:top w:val="none" w:sz="0" w:space="0" w:color="auto"/>
        <w:left w:val="none" w:sz="0" w:space="0" w:color="auto"/>
        <w:bottom w:val="none" w:sz="0" w:space="0" w:color="auto"/>
        <w:right w:val="none" w:sz="0" w:space="0" w:color="auto"/>
      </w:divBdr>
    </w:div>
    <w:div w:id="1713338442">
      <w:bodyDiv w:val="1"/>
      <w:marLeft w:val="0"/>
      <w:marRight w:val="0"/>
      <w:marTop w:val="0"/>
      <w:marBottom w:val="0"/>
      <w:divBdr>
        <w:top w:val="none" w:sz="0" w:space="0" w:color="auto"/>
        <w:left w:val="none" w:sz="0" w:space="0" w:color="auto"/>
        <w:bottom w:val="none" w:sz="0" w:space="0" w:color="auto"/>
        <w:right w:val="none" w:sz="0" w:space="0" w:color="auto"/>
      </w:divBdr>
    </w:div>
    <w:div w:id="1748457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3FC49-49F7-41A0-8027-AD39C369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6391</Words>
  <Characters>38538</Characters>
  <Application>Microsoft Office Word</Application>
  <DocSecurity>0</DocSecurity>
  <Lines>786</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2026-03-13T05:59:00Z</dcterms:created>
  <dcterms:modified xsi:type="dcterms:W3CDTF">2026-03-13T12:30:00Z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