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531B9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D96">
        <w:rPr>
          <w:rFonts w:eastAsia="Times New Roman" w:cstheme="minorHAnsi"/>
          <w:b/>
        </w:rPr>
        <w:t>70626</w:t>
      </w:r>
    </w:p>
    <w:p w14:paraId="2F6924E5" w14:textId="395352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D96">
        <w:rPr>
          <w:rFonts w:eastAsia="Times New Roman" w:cstheme="minorHAnsi"/>
          <w:b/>
        </w:rPr>
        <w:t>Poornima G</w:t>
      </w:r>
    </w:p>
    <w:p w14:paraId="6FB9233B" w14:textId="052E0C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4D96" w:rsidRPr="00843B65">
          <w:rPr>
            <w:rStyle w:val="Hyperlink"/>
            <w:rFonts w:eastAsia="Times New Roman" w:cstheme="minorHAnsi"/>
            <w:b/>
          </w:rPr>
          <w:t>https://review.jove.com/account/file-uploader?src=21540978</w:t>
        </w:r>
      </w:hyperlink>
      <w:r w:rsidR="00254D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E8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4D96" w:rsidRPr="00254D96">
        <w:rPr>
          <w:rStyle w:val="ArticleTitle"/>
          <w:rFonts w:cstheme="minorHAnsi"/>
        </w:rPr>
        <w:t>Generation of Polyacrylamide and Silicone Extracellular Matrix Substrates with Defined Stiffness for Cell Biology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451867" w14:textId="4C95AD79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54D96">
        <w:rPr>
          <w:rFonts w:eastAsia="Times New Roman" w:cstheme="minorHAnsi"/>
          <w:b/>
          <w:sz w:val="28"/>
          <w:szCs w:val="28"/>
        </w:rPr>
        <w:t>Aisha Almsoud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Upama Nyaupane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Kashish Jain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Ghmkin Hassan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Johnathan N. Lakins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Valerie M. Weaver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4,5,6</w:t>
      </w:r>
      <w:r w:rsidRPr="00254D96">
        <w:rPr>
          <w:rFonts w:eastAsia="Times New Roman" w:cstheme="minorHAnsi"/>
          <w:b/>
          <w:sz w:val="28"/>
          <w:szCs w:val="28"/>
        </w:rPr>
        <w:t>, FuiBoon Kai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36C5F3EC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32B69AB" w14:textId="0266E8C7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54D96">
        <w:rPr>
          <w:rFonts w:eastAsia="Times New Roman" w:cstheme="minorHAnsi"/>
          <w:bCs/>
          <w:sz w:val="28"/>
          <w:szCs w:val="28"/>
        </w:rPr>
        <w:t>Snyder Institute for Chronic Diseases, Cumming School of Medicine, University of Calgary</w:t>
      </w:r>
    </w:p>
    <w:p w14:paraId="1381A329" w14:textId="40FCC5D4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54D96">
        <w:rPr>
          <w:rFonts w:eastAsia="Times New Roman" w:cstheme="minorHAnsi"/>
          <w:bCs/>
          <w:sz w:val="28"/>
          <w:szCs w:val="28"/>
        </w:rPr>
        <w:t>Department of Physiology and Pharmacology, Cumming School of Medicine, University of Calgary</w:t>
      </w:r>
    </w:p>
    <w:p w14:paraId="6F5D0DCB" w14:textId="3C3E1DF3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Cs/>
          <w:sz w:val="28"/>
          <w:szCs w:val="28"/>
        </w:rPr>
        <w:t>Department of Surgery, University of California, San Francisco</w:t>
      </w:r>
    </w:p>
    <w:p w14:paraId="5FE723E6" w14:textId="360FCC25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54D96">
        <w:rPr>
          <w:rFonts w:eastAsia="Times New Roman" w:cstheme="minorHAnsi"/>
          <w:bCs/>
          <w:sz w:val="28"/>
          <w:szCs w:val="28"/>
        </w:rPr>
        <w:t>Center for Bioengineering and Tissue Regeneration, University of California, San Francisco</w:t>
      </w:r>
    </w:p>
    <w:p w14:paraId="415911D6" w14:textId="17176B41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254D96">
        <w:rPr>
          <w:rFonts w:eastAsia="Times New Roman" w:cstheme="minorHAnsi"/>
          <w:bCs/>
          <w:sz w:val="28"/>
          <w:szCs w:val="28"/>
        </w:rPr>
        <w:t>UCSF Helen Diller Comprehensive Cancer Center, University of California, San Francisco</w:t>
      </w:r>
    </w:p>
    <w:p w14:paraId="110E0C12" w14:textId="787A5ED9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 xml:space="preserve">6 </w:t>
      </w:r>
      <w:r w:rsidRPr="00254D96">
        <w:rPr>
          <w:rFonts w:eastAsia="Times New Roman" w:cstheme="minorHAnsi"/>
          <w:bCs/>
          <w:sz w:val="28"/>
          <w:szCs w:val="28"/>
        </w:rPr>
        <w:t>Department of Bioengineering and Therapeutic Sciences, Eli and Edythe Broad Center for Regeneration Medicine and Stem Cell Research, University of California, San Francisco</w:t>
      </w:r>
    </w:p>
    <w:p w14:paraId="62F1D365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159D2A4" w:rsidR="004E0C5A" w:rsidRDefault="00254D96" w:rsidP="004E0C5A">
      <w:pPr>
        <w:outlineLvl w:val="0"/>
        <w:rPr>
          <w:rFonts w:eastAsia="Times New Roman" w:cstheme="minorHAnsi"/>
        </w:rPr>
      </w:pPr>
      <w:bookmarkStart w:id="0" w:name="_Hlk25233958"/>
      <w:r w:rsidRPr="00254D96">
        <w:rPr>
          <w:rFonts w:eastAsia="Times New Roman" w:cstheme="minorHAnsi"/>
        </w:rPr>
        <w:t>FuiBoon.Kai@ucalgary.ca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2120D78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Aisha.Almsoud@ucalgary.ca</w:t>
      </w:r>
    </w:p>
    <w:p w14:paraId="399B9E9E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Upama.Nyaupane1@ucalgary.ca</w:t>
      </w:r>
    </w:p>
    <w:p w14:paraId="2220EE24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lastRenderedPageBreak/>
        <w:t>Kashish.Jain@ucsf.edu</w:t>
      </w:r>
    </w:p>
    <w:p w14:paraId="645C8D47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Jon.Lakins@ucsf.edu</w:t>
      </w:r>
    </w:p>
    <w:p w14:paraId="12916965" w14:textId="4DA4D175" w:rsidR="003B5E26" w:rsidRPr="004F6CCB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Valerie.Weaver@ucsf.edu</w:t>
      </w:r>
    </w:p>
    <w:p w14:paraId="0FAC8D26" w14:textId="77777777" w:rsidR="00254D96" w:rsidRDefault="00254D96" w:rsidP="00254D96">
      <w:pPr>
        <w:outlineLvl w:val="0"/>
        <w:rPr>
          <w:rFonts w:eastAsia="Times New Roman" w:cstheme="minorHAnsi"/>
        </w:rPr>
      </w:pPr>
      <w:r w:rsidRPr="00254D96">
        <w:rPr>
          <w:rFonts w:eastAsia="Times New Roman" w:cstheme="minorHAnsi"/>
        </w:rPr>
        <w:t>FuiBoon.Kai@ucalgary.ca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4F6CCB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4F6CCB" w:rsidRDefault="00C70C90">
      <w:pPr>
        <w:rPr>
          <w:rFonts w:cstheme="minorHAnsi"/>
          <w:bCs/>
        </w:rPr>
      </w:pPr>
      <w:r w:rsidRPr="004F6CCB">
        <w:rPr>
          <w:rFonts w:cstheme="minorHAnsi"/>
          <w:bCs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F5E68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254D96">
        <w:rPr>
          <w:rFonts w:cstheme="minorHAnsi"/>
          <w:bCs/>
          <w:sz w:val="22"/>
          <w:szCs w:val="22"/>
        </w:rPr>
        <w:t>22</w:t>
      </w:r>
    </w:p>
    <w:p w14:paraId="5AAC9C6C" w14:textId="045F282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54D96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9E4A77D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commentRangeStart w:id="2"/>
      <w:commentRangeStart w:id="3"/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commentRangeEnd w:id="2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2"/>
      </w:r>
      <w:commentRangeEnd w:id="3"/>
      <w:r w:rsidR="004F6CCB" w:rsidRPr="004C4FAE">
        <w:rPr>
          <w:rStyle w:val="CommentReference"/>
          <w:rFonts w:eastAsia="Times New Roman" w:cstheme="minorHAnsi"/>
          <w:b/>
          <w:bCs/>
          <w:sz w:val="24"/>
          <w:szCs w:val="24"/>
        </w:rPr>
        <w:commentReference w:id="3"/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7362D99" w:rsidR="00CE10F2" w:rsidRDefault="00254D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Polyacrylamide Hydrogel Preparation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10A162" w14:textId="05C30669" w:rsidR="00254D96" w:rsidRPr="000D17DC" w:rsidRDefault="00254D96" w:rsidP="00254D9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To begin, mix the polyacrylamide hydrogel components in a 1.7 milliliter microcentrifuge tube, excluding ammonium persulfate and </w:t>
      </w:r>
      <w:r>
        <w:rPr>
          <w:lang w:eastAsia="en-IN"/>
        </w:rPr>
        <w:t>TEMED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0D17DC">
        <w:rPr>
          <w:b/>
          <w:bCs/>
          <w:lang w:eastAsia="en-IN"/>
        </w:rPr>
        <w:t>]</w:t>
      </w:r>
      <w:r w:rsidRPr="000D17DC">
        <w:rPr>
          <w:lang w:eastAsia="en-IN"/>
        </w:rPr>
        <w:t>.</w:t>
      </w:r>
    </w:p>
    <w:p w14:paraId="3E9B3849" w14:textId="77777777" w:rsidR="00254D96" w:rsidRPr="00254D96" w:rsidRDefault="00254D9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17DC">
        <w:rPr>
          <w:lang w:val="en-IN" w:eastAsia="en-IN"/>
        </w:rPr>
        <w:t>WIDE: Talent mixing the polyacrylamide hydrogel components in a 1.7 milliliter microcentrifuge tube.</w:t>
      </w:r>
      <w:r>
        <w:rPr>
          <w:lang w:val="en-IN" w:eastAsia="en-IN"/>
        </w:rPr>
        <w:t xml:space="preserve"> </w:t>
      </w:r>
      <w:r w:rsidRPr="00254D96">
        <w:rPr>
          <w:b/>
          <w:bCs/>
          <w:lang w:val="en-IN" w:eastAsia="en-IN"/>
        </w:rPr>
        <w:t>TXT: TEMED:</w:t>
      </w:r>
      <w:r>
        <w:rPr>
          <w:b/>
          <w:bCs/>
          <w:lang w:val="en-IN" w:eastAsia="en-IN"/>
        </w:rPr>
        <w:t xml:space="preserve"> </w:t>
      </w:r>
      <w:r w:rsidRPr="00254D96">
        <w:rPr>
          <w:b/>
          <w:bCs/>
          <w:lang w:eastAsia="en-IN"/>
        </w:rPr>
        <w:t>Tetramethylethylenediamine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605F9E4" w14:textId="562AAF7D" w:rsidR="00C34F4C" w:rsidRPr="00B07A3B" w:rsidRDefault="00CC056B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0795CB1" w14:textId="27783A55" w:rsidR="004D4E06" w:rsidRPr="000D17DC" w:rsidRDefault="004D4E06" w:rsidP="00254D96">
      <w:pPr>
        <w:pStyle w:val="ShotDescription"/>
        <w:ind w:firstLine="0"/>
        <w:rPr>
          <w:lang w:val="en-IN" w:eastAsia="en-IN"/>
        </w:rPr>
      </w:pPr>
    </w:p>
    <w:p w14:paraId="1AE5A76D" w14:textId="48084E65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Degas the polyacrylamide gel mixture, the ammonium persulfate tube, and the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tube in a vacuum chamber at 25 millimeters of mercury for 30 minutes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7754D21E" w14:textId="5E6244F8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placing the polyacrylamide gel mixture, the ammonium persulfate tube, and the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tube into a vacuum chamber.</w:t>
      </w:r>
    </w:p>
    <w:p w14:paraId="0C0DBAB8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Prepare the hydrophobic top coverslips by applying a water-repellent coating to clean coverslips with a cotton swab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Ensure the coverslips are free of smudges to maintain consistent gel polymerization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05C0D50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applying a water-repellent coating to a clean coverslip with a cotton swab.</w:t>
      </w:r>
    </w:p>
    <w:p w14:paraId="51B9192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smudge-free coverslips.</w:t>
      </w:r>
    </w:p>
    <w:p w14:paraId="4506BC11" w14:textId="1C3C827D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ammonium persulfate and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to the degassed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Gently pipette the mixture onto the activated coverslips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2E69BC48" w14:textId="13F66FC8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adding ammonium persulfate and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to the degassed solution.</w:t>
      </w:r>
    </w:p>
    <w:p w14:paraId="2968E369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>Talent gently pipetting the mixture onto the activated coverslips.</w:t>
      </w:r>
    </w:p>
    <w:p w14:paraId="37E8F109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hydrophobic coverslips on top of the solution to create a uniform thin hydrogel layer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Allow the gels to polymerize for 35 minutes at room temperature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 xml:space="preserve">. Ensure that no bubbles are trapped between the coverslips and that the solution does not spill over the edges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7E73C174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hydrophobic coverslips on top of the solution.</w:t>
      </w:r>
    </w:p>
    <w:p w14:paraId="39D18184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gels for polymerization at room temperature.</w:t>
      </w:r>
    </w:p>
    <w:p w14:paraId="356280E4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hydrogel layer between the coverslips with no trapped bubbles or spilled solution.</w:t>
      </w:r>
    </w:p>
    <w:p w14:paraId="1EF77FCD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Submerge the hydrogel sandwich in phosphate-buffered saline to separate the layers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Ensure that the hydrogel remains attached to the activated bottom coverslip and that the hydrophobic top coverslip detaches easily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17EE8E34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submerging the hydrogel sandwich in phosphate-buffered saline.</w:t>
      </w:r>
    </w:p>
    <w:p w14:paraId="35D2133E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hydrogel attached to the activated bottom coverslip as the hydrophobic top coverslip detaches.</w:t>
      </w:r>
    </w:p>
    <w:p w14:paraId="57390DC2" w14:textId="702B17C8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62CF0EAC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85079C0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F5FEEE4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5C6DA1" w14:textId="29E40EF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Hydrogel Functionalization and Sterilization</w:t>
      </w:r>
    </w:p>
    <w:p w14:paraId="1AE69A4C" w14:textId="77777777" w:rsidR="00254D96" w:rsidRDefault="00254D96" w:rsidP="00254D9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149406443"/>
          <w:placeholder>
            <w:docPart w:val="D1A655C5ED0043A9970D67765DB3DFA5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68475CC0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5BA3FC72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71FD7E99" w14:textId="77777777" w:rsidR="00254D96" w:rsidRPr="000D17DC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42D1BC52" w14:textId="344A596B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0D17DC">
        <w:rPr>
          <w:lang w:eastAsia="en-IN"/>
        </w:rPr>
        <w:t xml:space="preserve">terilize </w:t>
      </w:r>
      <w:r w:rsidR="004D4E06" w:rsidRPr="000D17DC">
        <w:rPr>
          <w:lang w:eastAsia="en-IN"/>
        </w:rPr>
        <w:t xml:space="preserve">the hydrogels by immersing them in 70 percent ethanol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Then, transfer them to tissue culture plasticware with sterile phosphate-buffered saline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03325E66" w14:textId="6AB69942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immersing the hydrogels in 70 percent ethanol.</w:t>
      </w:r>
    </w:p>
    <w:p w14:paraId="3E5C22E8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transferring the hydrogels to tissue culture plasticware with sterile phosphate-buffered saline.</w:t>
      </w:r>
    </w:p>
    <w:p w14:paraId="6FB3EC6E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Prepare a master mix functionalization solution composed of water, ethanol, 4-2-hydroxyethyl-1-piperazineethanesulfonic acid, and bisacrylamide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64823A1C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a master mix functionalization solution.</w:t>
      </w:r>
    </w:p>
    <w:p w14:paraId="72FC31A4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Prepare diluted solutions of ultraviolet photoinitiator and tetraacrylate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Dissolve both reagents in ethanol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500948E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the diluted solutions of ultraviolet photoinitiator and tetraacrylate.</w:t>
      </w:r>
    </w:p>
    <w:p w14:paraId="0F3DB39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>Talent dissolving both reagents in ethanol.</w:t>
      </w:r>
    </w:p>
    <w:p w14:paraId="4D1F3EC8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Weigh the required amount of N-hydroxysuccinimide-acrylate using an analytic balance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Immediately before use, resuspend the N-hydroxysuccinimide-acrylate in 50 percent ethanol and 50 percent water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42B86ED3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weighing the N-hydroxysuccinimide-acrylate on an analytic balance.</w:t>
      </w:r>
    </w:p>
    <w:p w14:paraId="38806B45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resuspending the N-hydroxysuccinimide-acrylate in 50 percent ethanol and 50 percent water.</w:t>
      </w:r>
    </w:p>
    <w:p w14:paraId="31A00F02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the ultraviolet photoinitiator, tetraacrylate, and N-hydroxysuccinimide-acrylate solutions to the prepared master mix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Aspirate the phosphate-buffered saline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 xml:space="preserve">. Add the master mix to the gels, ensuring that they are fully covered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646C8A8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the ultraviolet photoinitiator, tetraacrylate, and N-hydroxysuccinimide-acrylate solutions to the prepared master mix.</w:t>
      </w:r>
    </w:p>
    <w:p w14:paraId="330A5B58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aspirating the phosphate-buffered saline from the gels.</w:t>
      </w:r>
    </w:p>
    <w:p w14:paraId="2F5F08B3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the master mix to fully cover the gels.</w:t>
      </w:r>
    </w:p>
    <w:p w14:paraId="6BDD8AAC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Expose the hydrogels without the tissue culture dish lids to ultraviolet light for 400 seconds using an ultraviolet light source with a wavelength less than 365 nanometers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2D1DEBE9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uncovered hydrogels under the ultraviolet light source.</w:t>
      </w:r>
    </w:p>
    <w:p w14:paraId="6FF01432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Remove the gels and place them on ice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Aspirate the functionalization solution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 xml:space="preserve">. Then, wash the gels 3 times with prechilled sterile 25 millimolar 4-2-hydroxyethyl-1-piperazineethanesulfonic acid at pH 6.0, followed by 3 washes with prechilled sterile 0.9 percent sodium chloride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6843B819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gels on ice.</w:t>
      </w:r>
    </w:p>
    <w:p w14:paraId="08FA93B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aspirating the functionalization solution from the gels.</w:t>
      </w:r>
    </w:p>
    <w:p w14:paraId="1000A36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washing the gels with the prechilled sterile solutions.</w:t>
      </w:r>
    </w:p>
    <w:p w14:paraId="03895F71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Incubate the hydrogels with the extracellular matrix ligand of choice in prechilled sterile 100 millimolar 4-2-hydroxyethyl-1-piperazineethanesulfonic acid at pH 8.0 with 100 millimolar sodium chloride overnight at 4 degrees Celsius on an orbital shaker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481F2E4B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hydrogels with the extracellular matrix ligand solution on an orbital shaker.</w:t>
      </w:r>
    </w:p>
    <w:p w14:paraId="6F3FCE95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Carefully aspirate the extracellular matrix ligand solution 16 hours later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Wash the hydrogels 3 times with phosphate-buffered saline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 xml:space="preserve">. Add serum-free base media or phosphate-buffered saline to keep the hydrogels hydrated, then incubate the gels overnight in a tissue culture incubator to verify sterility before cell seeding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7DE51413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aspirating the extracellular matrix ligand solution from the hydrogels.</w:t>
      </w:r>
    </w:p>
    <w:p w14:paraId="5840171C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>Talent washing the hydrogels with phosphate-buffered saline.</w:t>
      </w:r>
    </w:p>
    <w:p w14:paraId="2DC370E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serum-free base media or phosphate-buffered saline to the hydrogels before placing them in a tissue culture incubator.</w:t>
      </w:r>
    </w:p>
    <w:p w14:paraId="3DCF1EB1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Use the gels immediately for cell seeding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Alternatively, store them at 4 degrees Celsius in base medium for no more than 3 weeks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4DD93ECC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the gels for immediate cell seeding.</w:t>
      </w:r>
    </w:p>
    <w:p w14:paraId="224AF16D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gels in base medium for storage at 4 degrees Celsius.</w:t>
      </w:r>
    </w:p>
    <w:p w14:paraId="301CA9DB" w14:textId="7A22792E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121205E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24C55765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38CDD57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70BDB3A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E60B72" w14:textId="1B51033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RNA or Protein Lysate Collection</w:t>
      </w:r>
    </w:p>
    <w:p w14:paraId="00520A48" w14:textId="77777777" w:rsidR="00254D96" w:rsidRDefault="00254D96" w:rsidP="00254D9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1F0F4D26E814DFAA9F557314DA7E809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71FB46F3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973DEB7" w14:textId="77777777" w:rsidR="00254D96" w:rsidRPr="000D17DC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56AD066E" w14:textId="7E65B368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Pr="000D17DC">
        <w:rPr>
          <w:lang w:eastAsia="en-IN"/>
        </w:rPr>
        <w:t xml:space="preserve">sing </w:t>
      </w:r>
      <w:r w:rsidR="004D4E06" w:rsidRPr="000D17DC">
        <w:rPr>
          <w:lang w:eastAsia="en-IN"/>
        </w:rPr>
        <w:t xml:space="preserve">forceps, carefully remove the gels from the culture dish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Submerge the gels in sterile phosphate-buffered saline to rinse away the residual culture media and serum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46DC9BED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WIDE: Talent carefully removing the gels from the culture dish with forceps.</w:t>
      </w:r>
    </w:p>
    <w:p w14:paraId="1856B78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submerging the gels in sterile phosphate-buffered saline.</w:t>
      </w:r>
    </w:p>
    <w:p w14:paraId="51CA92A0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Gently dab the edge of the hydrogel on low-lint wipes to remove excess phosphate-buffered saline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6367D7E5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dabbing the edge of the hydrogel on low-lint wipes.</w:t>
      </w:r>
    </w:p>
    <w:p w14:paraId="21D248E1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an appropriate volume of RNA extraction buffer to the lid of a tissue culture dish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1B42ADAB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an appropriate volume of RNA extraction buffer to the lid of a tissue culture dish.</w:t>
      </w:r>
    </w:p>
    <w:p w14:paraId="680D2900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coverslip gel side down onto the lysis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Carefully lift and lower the hydrogel several times to ensure uniform lysis of all cells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5BEAC17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coverslip gel side down onto the lysis solution.</w:t>
      </w:r>
    </w:p>
    <w:p w14:paraId="580CAB40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lifting and lowering the hydrogel several times.</w:t>
      </w:r>
    </w:p>
    <w:p w14:paraId="791298DA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Gently scrape the gel surface to release the lysate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597EE4E5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scraping the gel surface to release the lysate.</w:t>
      </w:r>
    </w:p>
    <w:p w14:paraId="74200F36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Store the RNA or protein lysates at -80 degrees Celsius until further processing using </w:t>
      </w:r>
      <w:r w:rsidRPr="000D17DC">
        <w:rPr>
          <w:lang w:eastAsia="en-IN"/>
        </w:rPr>
        <w:lastRenderedPageBreak/>
        <w:t xml:space="preserve">conventional biochemical methods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Alternatively, use the lysates immediately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0CF48BA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RNA or protein lysates into storage at -80 degrees Celsius.</w:t>
      </w:r>
    </w:p>
    <w:p w14:paraId="1C9E0AB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the RNA or protein lysates for immediate use.</w:t>
      </w:r>
    </w:p>
    <w:p w14:paraId="760CE24B" w14:textId="77777777" w:rsidR="004D4E06" w:rsidRDefault="004D4E06" w:rsidP="004D4E06"/>
    <w:p w14:paraId="675247B6" w14:textId="77777777" w:rsidR="004D4E06" w:rsidRDefault="004D4E06" w:rsidP="004D4E06"/>
    <w:p w14:paraId="5A9603AE" w14:textId="77777777" w:rsidR="004D4E06" w:rsidRDefault="004D4E06" w:rsidP="004D4E06"/>
    <w:p w14:paraId="48181FFF" w14:textId="77777777" w:rsidR="004D4E06" w:rsidRDefault="004D4E06" w:rsidP="004D4E06"/>
    <w:p w14:paraId="60906827" w14:textId="77777777" w:rsidR="004D4E06" w:rsidRDefault="004D4E06" w:rsidP="004D4E06"/>
    <w:p w14:paraId="1EF89D4D" w14:textId="77777777" w:rsidR="004D4E06" w:rsidRDefault="004D4E06" w:rsidP="004D4E06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DAEB03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commentRangeStart w:id="4"/>
      <w:r w:rsidRPr="00B07A3B">
        <w:rPr>
          <w:rFonts w:eastAsia="Times New Roman" w:cstheme="minorHAnsi"/>
          <w:b/>
        </w:rPr>
        <w:t xml:space="preserve">Please review this section </w:t>
      </w:r>
      <w:commentRangeEnd w:id="4"/>
      <w:r w:rsidR="004F6CCB" w:rsidRPr="00B07A3B">
        <w:rPr>
          <w:rStyle w:val="CommentReference"/>
          <w:rFonts w:eastAsia="Times New Roman" w:cstheme="minorHAnsi"/>
          <w:b/>
          <w:sz w:val="24"/>
          <w:szCs w:val="24"/>
        </w:rPr>
        <w:commentReference w:id="4"/>
      </w:r>
      <w:r w:rsidRPr="00B07A3B">
        <w:rPr>
          <w:rFonts w:eastAsia="Times New Roman" w:cstheme="minorHAnsi"/>
          <w:b/>
        </w:rPr>
        <w:t>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C9A27F1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>below 200 words. Current word count: XXX.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ABEAD9" w14:textId="5A56EBE1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PA gels with nominal stiffness values of 0.4 kilopascals, 6 kilopascals, and 60 kilopascals had measured stiffness values of about 363 pascals </w:t>
      </w:r>
      <w:r w:rsidRPr="000D17DC">
        <w:rPr>
          <w:b/>
        </w:rPr>
        <w:t>[1]</w:t>
      </w:r>
      <w:r>
        <w:t xml:space="preserve">, about 6.41 kilopascals </w:t>
      </w:r>
      <w:r w:rsidRPr="000D17DC">
        <w:rPr>
          <w:b/>
        </w:rPr>
        <w:t>[2]</w:t>
      </w:r>
      <w:r>
        <w:t xml:space="preserve">, and about 36 kilopascals </w:t>
      </w:r>
      <w:r w:rsidRPr="000D17DC">
        <w:rPr>
          <w:b/>
        </w:rPr>
        <w:t>[3]</w:t>
      </w:r>
      <w:r>
        <w:t>.</w:t>
      </w:r>
    </w:p>
    <w:p w14:paraId="6B5D8D1A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4A. Video editor: Highlight the data points labelled '400 Pa'.</w:t>
      </w:r>
    </w:p>
    <w:p w14:paraId="7EFB0B76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4A. Video editor: Highlight the data points labelled '6 kPa'.</w:t>
      </w:r>
    </w:p>
    <w:p w14:paraId="7FF3B928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4A. Video editor: Highlight the data points labelled '60 kPa'.</w:t>
      </w:r>
    </w:p>
    <w:p w14:paraId="44132725" w14:textId="77777777" w:rsidR="00254D96" w:rsidRDefault="00254D96" w:rsidP="00254D96"/>
    <w:p w14:paraId="2DD19AC6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fluorescently labeled fibronectin-coated 0.4 kilopascal </w:t>
      </w:r>
      <w:r w:rsidRPr="000D17DC">
        <w:rPr>
          <w:b/>
        </w:rPr>
        <w:t>[1]</w:t>
      </w:r>
      <w:r>
        <w:t xml:space="preserve"> and 6 kilopascal gels </w:t>
      </w:r>
      <w:r w:rsidRPr="000D17DC">
        <w:rPr>
          <w:b/>
        </w:rPr>
        <w:t>[2]</w:t>
      </w:r>
      <w:r>
        <w:t xml:space="preserve"> exhibited increased fluorescence intensity compared to gels coated with unlabeled fibronectin.</w:t>
      </w:r>
    </w:p>
    <w:p w14:paraId="5D2B59B9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4B. Video editor: Highlight the column labelled '0.4 kPa'.</w:t>
      </w:r>
    </w:p>
    <w:p w14:paraId="631DE619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4B. Video editor: Highlight the column labelled '6 kPa'.</w:t>
      </w:r>
    </w:p>
    <w:p w14:paraId="0D112966" w14:textId="77777777" w:rsidR="00254D96" w:rsidRDefault="00254D96" w:rsidP="00254D96"/>
    <w:p w14:paraId="666DD923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cells cultured on 0.4 kilopascal </w:t>
      </w:r>
      <w:r w:rsidRPr="000D17DC">
        <w:rPr>
          <w:b/>
        </w:rPr>
        <w:t>[1]</w:t>
      </w:r>
      <w:r>
        <w:t xml:space="preserve"> and 6 kilopascal substrates </w:t>
      </w:r>
      <w:r w:rsidRPr="000D17DC">
        <w:rPr>
          <w:b/>
        </w:rPr>
        <w:t>[2]</w:t>
      </w:r>
      <w:r>
        <w:t xml:space="preserve"> exhibited distinct morphologies, with significantly increased cell spreading observed on the stiffer substrates </w:t>
      </w:r>
      <w:r w:rsidRPr="000D17DC">
        <w:rPr>
          <w:b/>
        </w:rPr>
        <w:t>[3]</w:t>
      </w:r>
      <w:r>
        <w:t>.</w:t>
      </w:r>
    </w:p>
    <w:p w14:paraId="1F2FFE91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4C. Video editor: Highlight the image labelled '0.4 kPa'.</w:t>
      </w:r>
    </w:p>
    <w:p w14:paraId="0F45B4E7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4C. Video editor: Highlight the image labelled '6 kPa'.</w:t>
      </w:r>
    </w:p>
    <w:p w14:paraId="0039CC8D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4C. Video editor: Highlight the visibly wider red cell shapes in the image labelled '6 kPa'.</w:t>
      </w:r>
    </w:p>
    <w:p w14:paraId="4468ED67" w14:textId="77777777" w:rsidR="00254D96" w:rsidRDefault="00254D96" w:rsidP="00254D96"/>
    <w:p w14:paraId="08685A65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quantitative analysis confirmed a stiffness-dependent increase in cell spread area </w:t>
      </w:r>
      <w:r w:rsidRPr="000D17DC">
        <w:rPr>
          <w:b/>
        </w:rPr>
        <w:t>[1]</w:t>
      </w:r>
      <w:r>
        <w:t>.</w:t>
      </w:r>
    </w:p>
    <w:p w14:paraId="26608B9E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4D. Video editor: Highlight the bars labelled '0.4', '1', '6.0', </w:t>
      </w:r>
      <w:r>
        <w:lastRenderedPageBreak/>
        <w:t>and '13.8' along the bottom axis.</w:t>
      </w:r>
    </w:p>
    <w:p w14:paraId="60D8E558" w14:textId="77777777" w:rsidR="00254D96" w:rsidRDefault="00254D96" w:rsidP="00254D96"/>
    <w:p w14:paraId="7BE33C9A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phosphorylation of focal adhesion kinase at Tyr397 increased in A549 cells cultured on the 6 kilopascal PA-based ECM substrates </w:t>
      </w:r>
      <w:r w:rsidRPr="000D17DC">
        <w:rPr>
          <w:b/>
        </w:rPr>
        <w:t>[1]</w:t>
      </w:r>
      <w:r>
        <w:t>.</w:t>
      </w:r>
    </w:p>
    <w:p w14:paraId="5798E5C4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6B. Video editor: Highlight the lane labelled '6 kPa'.</w:t>
      </w:r>
    </w:p>
    <w:p w14:paraId="1FB379EE" w14:textId="77777777" w:rsidR="00254D96" w:rsidRDefault="00254D96" w:rsidP="00254D96"/>
    <w:p w14:paraId="43595E40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ANKRD1 expression was elevated in cells cultured on the 6 kilopascal PA gels </w:t>
      </w:r>
      <w:r w:rsidRPr="000D17DC">
        <w:rPr>
          <w:b/>
        </w:rPr>
        <w:t>[1]</w:t>
      </w:r>
      <w:r>
        <w:t>.</w:t>
      </w:r>
    </w:p>
    <w:p w14:paraId="56819F55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6C. Video editor: Highlight the bar labelled '6 kPa'.</w:t>
      </w:r>
    </w:p>
    <w:p w14:paraId="45CA50CD" w14:textId="77777777" w:rsidR="00254D96" w:rsidRDefault="00254D96" w:rsidP="00254D96"/>
    <w:p w14:paraId="7D8AA8E7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large spheroid structures formed within a similar focal plane after 5 days </w:t>
      </w:r>
      <w:r w:rsidRPr="000D17DC">
        <w:rPr>
          <w:b/>
        </w:rPr>
        <w:t>[1]</w:t>
      </w:r>
      <w:r>
        <w:t>.</w:t>
      </w:r>
    </w:p>
    <w:p w14:paraId="4B7E9D5A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6D. Video editor: Highlight the round cell clusters in the micrograph.</w:t>
      </w:r>
    </w:p>
    <w:p w14:paraId="53677437" w14:textId="77777777" w:rsidR="00254D96" w:rsidRDefault="00254D96" w:rsidP="00254D96"/>
    <w:p w14:paraId="42E238BF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TIRF imaging captured the membrane-proximal signals, with pFAK localization at focal adhesions </w:t>
      </w:r>
      <w:r w:rsidRPr="000D17DC">
        <w:rPr>
          <w:b/>
        </w:rPr>
        <w:t>[1]</w:t>
      </w:r>
      <w:r>
        <w:t xml:space="preserve"> and reduced out-of-focus background compared to the widefield imaging </w:t>
      </w:r>
      <w:r w:rsidRPr="000D17DC">
        <w:rPr>
          <w:b/>
        </w:rPr>
        <w:t>[2]</w:t>
      </w:r>
      <w:r>
        <w:t>.</w:t>
      </w:r>
    </w:p>
    <w:p w14:paraId="7BA7DE43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6E. Video editor: Highlight the bright dots in the image labelled 'TIRF'.</w:t>
      </w:r>
    </w:p>
    <w:p w14:paraId="7206993D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>LAB MEDIA: Figure 6E. Video editor: Highlight the image labelled 'Widefield'.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495959" w:rsidRPr="00B07A3B" w:rsidSect="005F050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oornima  G" w:date="2026-04-30T14:51:00Z" w:initials="PG">
    <w:p w14:paraId="1BA120F7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review the protocol section titles, narration in purple text and the shot descriptions entirely.</w:t>
      </w:r>
    </w:p>
  </w:comment>
  <w:comment w:id="3" w:author="Poornima  G" w:date="2026-04-30T14:52:00Z" w:initials="PG">
    <w:p w14:paraId="1BF50602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 xml:space="preserve">Authors: </w:t>
      </w:r>
      <w:r>
        <w:rPr>
          <w:color w:val="000000"/>
          <w:highlight w:val="yellow"/>
          <w:lang w:val="en-IN"/>
        </w:rPr>
        <w:t xml:space="preserve">Please check all the pronunciation guides written in </w:t>
      </w:r>
      <w:r>
        <w:rPr>
          <w:b/>
          <w:bCs/>
          <w:i/>
          <w:iCs/>
          <w:color w:val="FF0000"/>
          <w:highlight w:val="yellow"/>
          <w:lang w:val="en-IN"/>
        </w:rPr>
        <w:t>red italics</w:t>
      </w:r>
      <w:r>
        <w:rPr>
          <w:color w:val="000000"/>
          <w:highlight w:val="yellow"/>
          <w:lang w:val="en-IN"/>
        </w:rPr>
        <w:t xml:space="preserve"> below and post a comment at the respective guide if any changes are required</w:t>
      </w:r>
    </w:p>
  </w:comment>
  <w:comment w:id="4" w:author="Poornima  G" w:date="2026-04-30T14:52:00Z" w:initials="PG">
    <w:p w14:paraId="705E173F" w14:textId="77777777" w:rsidR="004F6CCB" w:rsidRDefault="004F6CCB" w:rsidP="004F6CCB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color w:val="000000"/>
          <w:highlight w:val="yellow"/>
          <w:lang w:val="en-IN"/>
        </w:rPr>
        <w:t>Authors</w:t>
      </w:r>
      <w:r>
        <w:rPr>
          <w:color w:val="000000"/>
          <w:highlight w:val="yellow"/>
          <w:lang w:val="en-IN"/>
        </w:rPr>
        <w:t>: Please check if the narration is correct and if the figures and areas being highlighted match with the narration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1BA120F7" w15:done="0"/>
  <w15:commentEx w15:paraId="1BF50602" w15:paraIdParent="1BA120F7" w15:done="0"/>
  <w15:commentEx w15:paraId="705E173F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2179C4B" w16cex:dateUtc="2026-04-30T09:21:00Z"/>
  <w16cex:commentExtensible w16cex:durableId="3BD94529" w16cex:dateUtc="2026-04-30T09:22:00Z"/>
  <w16cex:commentExtensible w16cex:durableId="062E7539" w16cex:dateUtc="2026-04-30T09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1BA120F7" w16cid:durableId="12179C4B"/>
  <w16cid:commentId w16cid:paraId="1BF50602" w16cid:durableId="3BD94529"/>
  <w16cid:commentId w16cid:paraId="705E173F" w16cid:durableId="062E753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01D34" w14:textId="77777777" w:rsidR="00F6633F" w:rsidRDefault="00F6633F">
      <w:r>
        <w:separator/>
      </w:r>
    </w:p>
    <w:p w14:paraId="495D2B7B" w14:textId="77777777" w:rsidR="00F6633F" w:rsidRDefault="00F6633F"/>
  </w:endnote>
  <w:endnote w:type="continuationSeparator" w:id="0">
    <w:p w14:paraId="14051AFB" w14:textId="77777777" w:rsidR="00F6633F" w:rsidRDefault="00F6633F">
      <w:r>
        <w:continuationSeparator/>
      </w:r>
    </w:p>
    <w:p w14:paraId="22E8D22C" w14:textId="77777777" w:rsidR="00F6633F" w:rsidRDefault="00F663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D08D67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D4E0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44EC6D" w14:textId="77777777" w:rsidR="00F6633F" w:rsidRDefault="00F6633F">
      <w:r>
        <w:separator/>
      </w:r>
    </w:p>
    <w:p w14:paraId="482EE238" w14:textId="77777777" w:rsidR="00F6633F" w:rsidRDefault="00F6633F"/>
  </w:footnote>
  <w:footnote w:type="continuationSeparator" w:id="0">
    <w:p w14:paraId="03383744" w14:textId="77777777" w:rsidR="00F6633F" w:rsidRDefault="00F6633F">
      <w:r>
        <w:continuationSeparator/>
      </w:r>
    </w:p>
    <w:p w14:paraId="1EACCBDA" w14:textId="77777777" w:rsidR="00F6633F" w:rsidRDefault="00F663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4D96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1FD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E06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33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4E0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4E0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D4E0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4E0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D4E0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4E0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microsoft.com/office/2018/08/relationships/commentsExtensible" Target="commentsExtensible.xm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hyperlink" Target="https://review.jove.com/account/file-uploader?src=21540978" TargetMode="External"/><Relationship Id="rId12" Type="http://schemas.microsoft.com/office/2016/09/relationships/commentsIds" Target="commentsIds.xm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comments" Target="comments.xm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1.xm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1F0F4D26E814DFAA9F557314DA7E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9187D-D057-4A21-827B-8BC8384918D8}"/>
      </w:docPartPr>
      <w:docPartBody>
        <w:p w:rsidR="00000000" w:rsidRDefault="009B541A" w:rsidP="009B541A">
          <w:pPr>
            <w:pStyle w:val="71F0F4D26E814DFAA9F557314DA7E80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1A655C5ED0043A9970D67765DB3DF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16467-0188-4EEA-9258-2E503F8A6805}"/>
      </w:docPartPr>
      <w:docPartBody>
        <w:p w:rsidR="00000000" w:rsidRDefault="009B541A" w:rsidP="009B541A">
          <w:pPr>
            <w:pStyle w:val="D1A655C5ED0043A9970D67765DB3DFA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1FD1"/>
    <w:rsid w:val="004232DB"/>
    <w:rsid w:val="0045037E"/>
    <w:rsid w:val="004A526F"/>
    <w:rsid w:val="004B2246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76622"/>
    <w:rsid w:val="009B541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67F1A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6DC7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1F0F4D26E814DFAA9F557314DA7E809">
    <w:name w:val="71F0F4D26E814DFAA9F557314DA7E809"/>
    <w:rsid w:val="009B541A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1A655C5ED0043A9970D67765DB3DFA5">
    <w:name w:val="D1A655C5ED0043A9970D67765DB3DFA5"/>
    <w:rsid w:val="009B541A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13</Pages>
  <Words>2640</Words>
  <Characters>15052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17657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65</cp:revision>
  <dcterms:created xsi:type="dcterms:W3CDTF">2025-01-20T00:16:00Z</dcterms:created>
  <dcterms:modified xsi:type="dcterms:W3CDTF">2026-06-14T20:44:00Z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