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9D4A" w14:textId="313EC5FD" w:rsidR="002A3430" w:rsidRPr="009A2F35" w:rsidRDefault="00CE4AFA" w:rsidP="009A2F35">
      <w:pPr>
        <w:pBdr>
          <w:top w:val="nil"/>
          <w:left w:val="nil"/>
          <w:bottom w:val="nil"/>
          <w:right w:val="nil"/>
          <w:between w:val="nil"/>
        </w:pBdr>
      </w:pPr>
      <w:r w:rsidRPr="009A2F35">
        <w:rPr>
          <w:b/>
          <w:bCs/>
        </w:rPr>
        <w:t>TITLE:</w:t>
      </w:r>
    </w:p>
    <w:p w14:paraId="14E6FA0C" w14:textId="77777777" w:rsidR="00307C5C" w:rsidRPr="00307C5C" w:rsidRDefault="00307C5C" w:rsidP="00307C5C">
      <w:pPr>
        <w:pBdr>
          <w:top w:val="nil"/>
          <w:left w:val="nil"/>
          <w:bottom w:val="nil"/>
          <w:right w:val="nil"/>
          <w:between w:val="nil"/>
        </w:pBdr>
        <w:rPr>
          <w:lang w:val="en-AT"/>
        </w:rPr>
      </w:pPr>
      <w:r w:rsidRPr="003F2970">
        <w:rPr>
          <w:lang w:val="en-AT"/>
        </w:rPr>
        <w:t>A Standardized Protocol for Inducing Stress-Induced Premature Senescence in Primary Human Melanocytes Using tBHP</w:t>
      </w:r>
    </w:p>
    <w:p w14:paraId="6EBD8ACC" w14:textId="77777777" w:rsidR="002A3430" w:rsidRPr="009A2F35" w:rsidRDefault="002A3430" w:rsidP="009A2F35">
      <w:pPr>
        <w:rPr>
          <w:b/>
          <w:bCs/>
        </w:rPr>
      </w:pPr>
    </w:p>
    <w:p w14:paraId="7882A04D" w14:textId="50E77A40" w:rsidR="002A3430" w:rsidRPr="009A2F35" w:rsidRDefault="00CE4AFA" w:rsidP="009A2F35">
      <w:r w:rsidRPr="009A2F35">
        <w:rPr>
          <w:b/>
          <w:bCs/>
        </w:rPr>
        <w:t xml:space="preserve">AUTHORS AND AFFILIATIONS: </w:t>
      </w:r>
    </w:p>
    <w:p w14:paraId="464CB544" w14:textId="73BC4091" w:rsidR="002A3430" w:rsidRPr="009A2F35" w:rsidRDefault="00CE4AFA" w:rsidP="009A2F35">
      <w:pPr>
        <w:rPr>
          <w:vertAlign w:val="superscript"/>
          <w:lang w:val="pt-BR"/>
        </w:rPr>
      </w:pPr>
      <w:r w:rsidRPr="009A2F35">
        <w:rPr>
          <w:lang w:val="pt-BR"/>
        </w:rPr>
        <w:t>Amina Hassan</w:t>
      </w:r>
      <w:r w:rsidRPr="009A2F35">
        <w:rPr>
          <w:vertAlign w:val="superscript"/>
          <w:lang w:val="pt-BR"/>
        </w:rPr>
        <w:t>1,2</w:t>
      </w:r>
      <w:r w:rsidRPr="009A2F35">
        <w:rPr>
          <w:lang w:val="pt-BR"/>
        </w:rPr>
        <w:t>, Lena Guerrero-Navarro</w:t>
      </w:r>
      <w:r w:rsidRPr="009A2F35">
        <w:rPr>
          <w:vertAlign w:val="superscript"/>
          <w:lang w:val="pt-BR"/>
        </w:rPr>
        <w:t>1,2</w:t>
      </w:r>
      <w:r w:rsidRPr="009A2F35">
        <w:rPr>
          <w:lang w:val="pt-BR"/>
        </w:rPr>
        <w:t xml:space="preserve">, </w:t>
      </w:r>
      <w:proofErr w:type="spellStart"/>
      <w:r w:rsidRPr="009A2F35">
        <w:rPr>
          <w:lang w:val="pt-BR"/>
        </w:rPr>
        <w:t>Ines</w:t>
      </w:r>
      <w:proofErr w:type="spellEnd"/>
      <w:r w:rsidRPr="009A2F35">
        <w:rPr>
          <w:lang w:val="pt-BR"/>
        </w:rPr>
        <w:t xml:space="preserve"> Martic</w:t>
      </w:r>
      <w:r w:rsidRPr="009A2F35">
        <w:rPr>
          <w:vertAlign w:val="superscript"/>
          <w:lang w:val="pt-BR"/>
        </w:rPr>
        <w:t>1,2</w:t>
      </w:r>
      <w:r w:rsidRPr="009A2F35">
        <w:rPr>
          <w:lang w:val="pt-BR"/>
        </w:rPr>
        <w:t xml:space="preserve">, Lieve </w:t>
      </w:r>
      <w:r w:rsidR="00376BCE" w:rsidRPr="009A2F35">
        <w:rPr>
          <w:lang w:val="pt-BR"/>
        </w:rPr>
        <w:t>Declercq</w:t>
      </w:r>
      <w:r w:rsidR="00376BCE" w:rsidRPr="009A2F35">
        <w:rPr>
          <w:vertAlign w:val="superscript"/>
          <w:lang w:val="pt-BR"/>
        </w:rPr>
        <w:t>3</w:t>
      </w:r>
      <w:r w:rsidRPr="009A2F35">
        <w:rPr>
          <w:lang w:val="pt-BR"/>
        </w:rPr>
        <w:t>, Maria Cavinato</w:t>
      </w:r>
      <w:r w:rsidRPr="009A2F35">
        <w:rPr>
          <w:vertAlign w:val="superscript"/>
          <w:lang w:val="pt-BR"/>
        </w:rPr>
        <w:t>1,</w:t>
      </w:r>
      <w:proofErr w:type="gramStart"/>
      <w:r w:rsidRPr="009A2F35">
        <w:rPr>
          <w:vertAlign w:val="superscript"/>
          <w:lang w:val="pt-BR"/>
        </w:rPr>
        <w:t>2,*</w:t>
      </w:r>
      <w:proofErr w:type="gramEnd"/>
    </w:p>
    <w:p w14:paraId="7536F1E4" w14:textId="77777777" w:rsidR="002C31F1" w:rsidRPr="009A2F35" w:rsidRDefault="002C31F1" w:rsidP="009A2F35">
      <w:pPr>
        <w:rPr>
          <w:lang w:val="pt-BR"/>
        </w:rPr>
      </w:pPr>
    </w:p>
    <w:p w14:paraId="07D2BEF5" w14:textId="77777777" w:rsidR="002A3430" w:rsidRPr="009A2F35" w:rsidRDefault="00CE4AFA" w:rsidP="009A2F35">
      <w:r w:rsidRPr="009A2F35">
        <w:rPr>
          <w:vertAlign w:val="superscript"/>
        </w:rPr>
        <w:t>1</w:t>
      </w:r>
      <w:r w:rsidRPr="009A2F35">
        <w:t>Institute for Biomedical Aging Research, Universität Innsbruck, Austria</w:t>
      </w:r>
    </w:p>
    <w:p w14:paraId="3AF47AE5" w14:textId="77777777" w:rsidR="002A3430" w:rsidRPr="009A2F35" w:rsidRDefault="00CE4AFA" w:rsidP="009A2F35">
      <w:r w:rsidRPr="009A2F35">
        <w:rPr>
          <w:vertAlign w:val="superscript"/>
        </w:rPr>
        <w:t>2</w:t>
      </w:r>
      <w:r w:rsidRPr="009A2F35">
        <w:t>Center for Molecular Biosciences Innsbruck (CMBI), Innsbruck, Austria</w:t>
      </w:r>
    </w:p>
    <w:p w14:paraId="501B7E61" w14:textId="42350AB3" w:rsidR="002A3430" w:rsidRDefault="00CE4AFA" w:rsidP="009A2F35">
      <w:pPr>
        <w:rPr>
          <w:lang w:val="fr-FR"/>
        </w:rPr>
      </w:pPr>
      <w:r w:rsidRPr="009A2F35">
        <w:rPr>
          <w:vertAlign w:val="superscript"/>
          <w:lang w:val="fr-FR"/>
        </w:rPr>
        <w:t>3</w:t>
      </w:r>
      <w:r w:rsidRPr="009A2F35">
        <w:rPr>
          <w:lang w:val="fr-FR"/>
        </w:rPr>
        <w:t xml:space="preserve">European Innovation Center, Proya Europe, Paris, </w:t>
      </w:r>
      <w:r w:rsidR="008F6ACA">
        <w:rPr>
          <w:lang w:val="fr-FR"/>
        </w:rPr>
        <w:t>France</w:t>
      </w:r>
    </w:p>
    <w:p w14:paraId="380F9843" w14:textId="77777777" w:rsidR="008F6ACA" w:rsidRDefault="008F6ACA" w:rsidP="009A2F35">
      <w:pPr>
        <w:rPr>
          <w:lang w:val="fr-FR"/>
        </w:rPr>
      </w:pPr>
    </w:p>
    <w:p w14:paraId="2E30FF23" w14:textId="514CF123" w:rsidR="008F6ACA" w:rsidRDefault="008F6ACA" w:rsidP="009A2F35">
      <w:pPr>
        <w:rPr>
          <w:lang w:val="fr-FR"/>
        </w:rPr>
      </w:pPr>
      <w:r>
        <w:rPr>
          <w:lang w:val="fr-FR"/>
        </w:rPr>
        <w:t xml:space="preserve">Email </w:t>
      </w:r>
      <w:proofErr w:type="spellStart"/>
      <w:r>
        <w:rPr>
          <w:lang w:val="fr-FR"/>
        </w:rPr>
        <w:t>addresses</w:t>
      </w:r>
      <w:proofErr w:type="spellEnd"/>
      <w:r>
        <w:rPr>
          <w:lang w:val="fr-FR"/>
        </w:rPr>
        <w:t xml:space="preserve"> of </w:t>
      </w:r>
      <w:proofErr w:type="spellStart"/>
      <w:r>
        <w:rPr>
          <w:lang w:val="fr-FR"/>
        </w:rPr>
        <w:t>co-</w:t>
      </w:r>
      <w:proofErr w:type="gramStart"/>
      <w:r>
        <w:rPr>
          <w:lang w:val="fr-FR"/>
        </w:rPr>
        <w:t>authors</w:t>
      </w:r>
      <w:proofErr w:type="spellEnd"/>
      <w:r>
        <w:rPr>
          <w:lang w:val="fr-FR"/>
        </w:rPr>
        <w:t>:</w:t>
      </w:r>
      <w:proofErr w:type="gramEnd"/>
    </w:p>
    <w:p w14:paraId="39C4FFBC" w14:textId="44A724CD" w:rsidR="008F6ACA" w:rsidRDefault="008F6ACA" w:rsidP="009A2F35">
      <w:pPr>
        <w:rPr>
          <w:lang w:val="fr-FR"/>
        </w:rPr>
      </w:pPr>
      <w:r>
        <w:rPr>
          <w:lang w:val="fr-FR"/>
        </w:rPr>
        <w:t>Amina Hassan</w:t>
      </w:r>
      <w:r w:rsidR="0059533D">
        <w:rPr>
          <w:lang w:val="fr-FR"/>
        </w:rPr>
        <w:t xml:space="preserve"> </w:t>
      </w:r>
      <w:r w:rsidR="003C766F">
        <w:rPr>
          <w:lang w:val="fr-FR"/>
        </w:rPr>
        <w:t>(amina-gharib.hassan@uibk.ac.at)</w:t>
      </w:r>
    </w:p>
    <w:p w14:paraId="0211A69E" w14:textId="472918BC" w:rsidR="008F6ACA" w:rsidRDefault="008F6ACA" w:rsidP="009A2F35">
      <w:pPr>
        <w:rPr>
          <w:lang w:val="fr-FR"/>
        </w:rPr>
      </w:pPr>
      <w:r>
        <w:rPr>
          <w:lang w:val="fr-FR"/>
        </w:rPr>
        <w:t>Lena Guerrero-Navarro</w:t>
      </w:r>
      <w:r w:rsidR="003C766F">
        <w:rPr>
          <w:lang w:val="fr-FR"/>
        </w:rPr>
        <w:t xml:space="preserve"> (</w:t>
      </w:r>
      <w:r w:rsidR="00AE282E">
        <w:rPr>
          <w:lang w:val="fr-FR"/>
        </w:rPr>
        <w:t>lena.guerrero-navarro@uibk.ac.at</w:t>
      </w:r>
      <w:r w:rsidR="003C766F">
        <w:rPr>
          <w:lang w:val="fr-FR"/>
        </w:rPr>
        <w:t>)</w:t>
      </w:r>
    </w:p>
    <w:p w14:paraId="7E7B326B" w14:textId="29E67C45" w:rsidR="008F6ACA" w:rsidRPr="00AE282E" w:rsidRDefault="008F6ACA" w:rsidP="009A2F35">
      <w:pPr>
        <w:rPr>
          <w:lang w:val="fr-FR"/>
        </w:rPr>
      </w:pPr>
      <w:r>
        <w:rPr>
          <w:lang w:val="fr-FR"/>
        </w:rPr>
        <w:t xml:space="preserve">Ines </w:t>
      </w:r>
      <w:proofErr w:type="spellStart"/>
      <w:r>
        <w:rPr>
          <w:lang w:val="fr-FR"/>
        </w:rPr>
        <w:t>Martic</w:t>
      </w:r>
      <w:proofErr w:type="spellEnd"/>
      <w:r w:rsidR="00AE282E">
        <w:rPr>
          <w:lang w:val="fr-FR"/>
        </w:rPr>
        <w:t xml:space="preserve"> </w:t>
      </w:r>
      <w:r w:rsidR="006A659E">
        <w:rPr>
          <w:lang w:val="fr-FR"/>
        </w:rPr>
        <w:t>(ines.martic@uibk.ac.at)</w:t>
      </w:r>
    </w:p>
    <w:p w14:paraId="10A65439" w14:textId="607D45C0" w:rsidR="008F6ACA" w:rsidRDefault="008F6ACA" w:rsidP="006A659E">
      <w:pPr>
        <w:rPr>
          <w:lang w:val="fr-FR"/>
        </w:rPr>
      </w:pPr>
      <w:r>
        <w:rPr>
          <w:lang w:val="fr-FR"/>
        </w:rPr>
        <w:t>Lieve Declercq</w:t>
      </w:r>
      <w:r w:rsidR="006A659E">
        <w:rPr>
          <w:lang w:val="fr-FR"/>
        </w:rPr>
        <w:t xml:space="preserve"> (</w:t>
      </w:r>
      <w:r w:rsidR="006A659E" w:rsidRPr="006A659E">
        <w:t>lievedeclercq@proya.com</w:t>
      </w:r>
      <w:r w:rsidR="006A659E">
        <w:rPr>
          <w:lang w:val="fr-FR"/>
        </w:rPr>
        <w:t>)</w:t>
      </w:r>
    </w:p>
    <w:p w14:paraId="4BD4FEBA" w14:textId="77777777" w:rsidR="008F6ACA" w:rsidRPr="009A2F35" w:rsidRDefault="008F6ACA" w:rsidP="009A2F35">
      <w:pPr>
        <w:rPr>
          <w:lang w:val="fr-FR"/>
        </w:rPr>
      </w:pPr>
    </w:p>
    <w:p w14:paraId="04FDF65E" w14:textId="77777777" w:rsidR="008F6ACA" w:rsidRDefault="00CE4AFA" w:rsidP="009A2F35">
      <w:r w:rsidRPr="009A2F35">
        <w:t xml:space="preserve">*Corresponding author: </w:t>
      </w:r>
    </w:p>
    <w:p w14:paraId="49CC2B40" w14:textId="51914B05" w:rsidR="002A3430" w:rsidRPr="008F6ACA" w:rsidRDefault="008F6ACA" w:rsidP="009A2F35">
      <w:pPr>
        <w:rPr>
          <w:lang w:val="pt-BR"/>
        </w:rPr>
      </w:pPr>
      <w:r w:rsidRPr="008F6ACA">
        <w:rPr>
          <w:lang w:val="pt-BR"/>
        </w:rPr>
        <w:t>Mari</w:t>
      </w:r>
      <w:r w:rsidR="009A1AA6">
        <w:rPr>
          <w:lang w:val="pt-BR"/>
        </w:rPr>
        <w:t>a</w:t>
      </w:r>
      <w:r w:rsidRPr="008F6ACA">
        <w:rPr>
          <w:lang w:val="pt-BR"/>
        </w:rPr>
        <w:t xml:space="preserve"> Cavinato </w:t>
      </w:r>
      <w:r w:rsidRPr="008F6ACA">
        <w:rPr>
          <w:lang w:val="pt-BR"/>
        </w:rPr>
        <w:tab/>
      </w:r>
      <w:r>
        <w:rPr>
          <w:lang w:val="pt-BR"/>
        </w:rPr>
        <w:tab/>
      </w:r>
      <w:r w:rsidRPr="008F6ACA">
        <w:rPr>
          <w:lang w:val="pt-BR"/>
        </w:rPr>
        <w:t>(</w:t>
      </w:r>
      <w:r w:rsidR="00CE4AFA" w:rsidRPr="008F6ACA">
        <w:rPr>
          <w:lang w:val="pt-BR"/>
        </w:rPr>
        <w:t>maria.cavinato-nascimento@uibk.ac.at</w:t>
      </w:r>
      <w:r w:rsidRPr="008F6ACA">
        <w:rPr>
          <w:lang w:val="pt-BR"/>
        </w:rPr>
        <w:t>)</w:t>
      </w:r>
    </w:p>
    <w:p w14:paraId="38A41230" w14:textId="77777777" w:rsidR="002A3430" w:rsidRPr="008F6ACA" w:rsidRDefault="002A3430" w:rsidP="009A2F35">
      <w:pPr>
        <w:rPr>
          <w:b/>
          <w:bCs/>
          <w:lang w:val="pt-BR"/>
        </w:rPr>
      </w:pPr>
    </w:p>
    <w:p w14:paraId="095A9069" w14:textId="4A262EF7" w:rsidR="002A3430" w:rsidRPr="009A2F35" w:rsidRDefault="00CE4AFA" w:rsidP="009A2F35">
      <w:r w:rsidRPr="009A2F35">
        <w:rPr>
          <w:b/>
          <w:bCs/>
        </w:rPr>
        <w:t>SUMMARY:</w:t>
      </w:r>
      <w:r w:rsidRPr="009A2F35">
        <w:t xml:space="preserve"> </w:t>
      </w:r>
    </w:p>
    <w:p w14:paraId="7262BEDE" w14:textId="77777777" w:rsidR="002A3430" w:rsidRPr="009A2F35" w:rsidRDefault="00CE4AFA" w:rsidP="009A2F35">
      <w:r w:rsidRPr="009A2F35">
        <w:t>A standardized protocol for inducing premature senescence in HNM using tBHP, standardized protocols for analyzing key senescence markers, including growth arrest, SA-β-galactosidase activity, and SASP factors.</w:t>
      </w:r>
    </w:p>
    <w:p w14:paraId="514149BA" w14:textId="77777777" w:rsidR="002A3430" w:rsidRPr="009A2F35" w:rsidRDefault="002A3430" w:rsidP="009A2F35">
      <w:pPr>
        <w:rPr>
          <w:b/>
          <w:bCs/>
        </w:rPr>
      </w:pPr>
    </w:p>
    <w:p w14:paraId="50B640CE" w14:textId="07E77F4D" w:rsidR="002A3430" w:rsidRPr="009A2F35" w:rsidRDefault="00CE4AFA" w:rsidP="009A2F35">
      <w:r w:rsidRPr="009A2F35">
        <w:rPr>
          <w:b/>
          <w:bCs/>
        </w:rPr>
        <w:t>ABSTRACT:</w:t>
      </w:r>
    </w:p>
    <w:p w14:paraId="10938238" w14:textId="6E26D8B0" w:rsidR="002A3430" w:rsidRPr="009A2F35" w:rsidRDefault="00CE4AFA" w:rsidP="009A2F35">
      <w:r w:rsidRPr="009A2F35">
        <w:t xml:space="preserve">Environmental stressors, including UV radiation, air pollution, or cigarette smoke, drive extrinsic skin aging. Exposure to these extrinsic aging factors promotes the accumulation of senescent cells, which contribute to the formation of wrinkles and pigmentation disorders. Melanocytes, which provide primary UV protection, exhibit </w:t>
      </w:r>
      <w:r w:rsidR="002C31F1" w:rsidRPr="009A2F35">
        <w:t>reduced activity with age</w:t>
      </w:r>
      <w:r w:rsidR="00B51577" w:rsidRPr="009A2F35">
        <w:t>. Senescent melanocytes accumulate in aged skin and contribute to its aging appearance</w:t>
      </w:r>
      <w:r w:rsidRPr="009A2F35">
        <w:t>; However, there are few models to study melanocyte senescence, and this work aims to develop a reproducible model for further research. In this study, we present a senescence model of human neonatal melanocytes (HNM) using tert-butyl hydroperoxide (tBHP), a well-characterized oxidative stress inducer. tBHP disrupts redox homeostasis by depleting cellular antioxidant defenses and promoting radical overproduction, resulting in DNA and protein damage. We characterize the senescence phenotype of tBHP-treated melanocytes through the analysis of established senescence markers, including restricted growth potential, morphological changes, and SA-β-Galactosidase activity. This model provides a valuable tool for investigating stress-induced premature senescence in melanocytes, offering insight into their role in extrinsic skin aging and pigmentation disorders</w:t>
      </w:r>
      <w:r w:rsidR="002C31F1" w:rsidRPr="009A2F35">
        <w:t>.</w:t>
      </w:r>
    </w:p>
    <w:p w14:paraId="1DE571D6" w14:textId="77777777" w:rsidR="002C31F1" w:rsidRPr="009A2F35" w:rsidRDefault="002C31F1" w:rsidP="009A2F35"/>
    <w:p w14:paraId="05F74D1A" w14:textId="2191C7B4" w:rsidR="002A3430" w:rsidRPr="009A2F35" w:rsidRDefault="00CE4AFA" w:rsidP="009A2F35">
      <w:r w:rsidRPr="009A2F35">
        <w:rPr>
          <w:b/>
          <w:bCs/>
        </w:rPr>
        <w:t>INTRODUCTION:</w:t>
      </w:r>
      <w:r w:rsidRPr="009A2F35">
        <w:t xml:space="preserve"> </w:t>
      </w:r>
    </w:p>
    <w:p w14:paraId="7B559F1B" w14:textId="77C1713E" w:rsidR="002A3430" w:rsidRDefault="00CE4AFA" w:rsidP="009A2F35">
      <w:r w:rsidRPr="009A2F35">
        <w:t>Skin aging is composed of two distinct factors: intrinsic and extrinsic aging</w:t>
      </w:r>
      <w:r w:rsidRPr="009A2F35">
        <w:rPr>
          <w:vertAlign w:val="superscript"/>
        </w:rPr>
        <w:t>1,2</w:t>
      </w:r>
      <w:r w:rsidRPr="009A2F35">
        <w:t xml:space="preserve">. Intrinsic aging is caused by natural chronological processes and genetic factors, while extrinsic aging results from </w:t>
      </w:r>
      <w:r w:rsidRPr="009A2F35">
        <w:lastRenderedPageBreak/>
        <w:t>cumulative exposure to environmental stressors, primarily ultraviolet radiation, but also air pollution, cigarette smoke, and chemical agents, which accelerate the aging process beyond normal chronological rates</w:t>
      </w:r>
      <w:r w:rsidRPr="009A2F35">
        <w:rPr>
          <w:vertAlign w:val="superscript"/>
        </w:rPr>
        <w:t>3,4</w:t>
      </w:r>
      <w:r w:rsidRPr="009A2F35">
        <w:t>. Environmental exposures generate oxidative stress that overwhelms cellular antioxidant defenses, resulting in DNA damage, protein oxidation, and lipid peroxidation. These molecular alterations trigger persistent DNA damage responses and cellular dysfunction, ultimately promoting premature senescence</w:t>
      </w:r>
      <w:r w:rsidRPr="009A2F35">
        <w:rPr>
          <w:vertAlign w:val="superscript"/>
        </w:rPr>
        <w:t>5,6</w:t>
      </w:r>
      <w:r w:rsidRPr="009A2F35">
        <w:t>. This stress-induced senescence contributes to the clinical features of aged skin, including wrinkles, uneven pigmentation, reduced elasticity, and impaired barrier function</w:t>
      </w:r>
      <w:r w:rsidRPr="009A2F35">
        <w:rPr>
          <w:vertAlign w:val="superscript"/>
        </w:rPr>
        <w:t>7</w:t>
      </w:r>
      <w:r w:rsidRPr="009A2F35">
        <w:t>.</w:t>
      </w:r>
    </w:p>
    <w:p w14:paraId="20475113" w14:textId="77777777" w:rsidR="00B90B06" w:rsidRPr="009A2F35" w:rsidRDefault="00B90B06" w:rsidP="009A2F35"/>
    <w:p w14:paraId="1EC5C5A6" w14:textId="3D9CBD9C" w:rsidR="002A3430" w:rsidRDefault="00CE4AFA" w:rsidP="009A2F35">
      <w:r w:rsidRPr="009A2F35">
        <w:t xml:space="preserve">Melanocytes </w:t>
      </w:r>
      <w:r w:rsidR="00AF2E5D" w:rsidRPr="009A2F35">
        <w:t xml:space="preserve">reside within the basal epidermis and </w:t>
      </w:r>
      <w:r w:rsidRPr="009A2F35">
        <w:t>serve as the skin’s primary defense against UV-induced damage by synthesizing melanin and transferring it to surrounding keratinocytes. Paradoxically, this protective role makes them particularly vulnerable to oxidative stress and premature senescence during extrinsic aging</w:t>
      </w:r>
      <w:r w:rsidRPr="009A2F35">
        <w:rPr>
          <w:vertAlign w:val="superscript"/>
        </w:rPr>
        <w:t>8,9</w:t>
      </w:r>
      <w:r w:rsidRPr="009A2F35">
        <w:t>. The melanogenesis process itself generates substantial reactive oxygen species as by-products of tyrosinase-</w:t>
      </w:r>
      <w:proofErr w:type="spellStart"/>
      <w:r w:rsidRPr="009A2F35">
        <w:t>catalized</w:t>
      </w:r>
      <w:proofErr w:type="spellEnd"/>
      <w:r w:rsidRPr="009A2F35">
        <w:t xml:space="preserve"> reactions, creating an inherent oxidative burden that is further amplified by environmental exposures such as UV radiation and pollution</w:t>
      </w:r>
      <w:r w:rsidRPr="009A2F35">
        <w:rPr>
          <w:vertAlign w:val="superscript"/>
        </w:rPr>
        <w:t>10,11</w:t>
      </w:r>
      <w:r w:rsidRPr="009A2F35">
        <w:t>. As a result, chronic environmental stress can induce oxidative damage, mitochondrial dysfunction, and ultimately cellular senescence</w:t>
      </w:r>
      <w:r w:rsidRPr="009A2F35">
        <w:rPr>
          <w:vertAlign w:val="superscript"/>
        </w:rPr>
        <w:t>12</w:t>
      </w:r>
      <w:r w:rsidRPr="009A2F35">
        <w:t>. Despite their importance, key questions remain about the molecular pathways governing melanocyte senescence and how oxidative stress initiates this process. Moreover, the influence of senescent melanocytes on the surrounding skin microenvironment</w:t>
      </w:r>
      <w:r w:rsidR="00464FEF" w:rsidRPr="009A2F35">
        <w:t xml:space="preserve"> as a driver of age-related skin changes</w:t>
      </w:r>
      <w:r w:rsidRPr="009A2F35">
        <w:t xml:space="preserve">—particularly through </w:t>
      </w:r>
      <w:r w:rsidR="00EB1FD5" w:rsidRPr="009A2F35">
        <w:t xml:space="preserve">the release of </w:t>
      </w:r>
      <w:r w:rsidRPr="009A2F35">
        <w:t>SASP factors—remains insufficiently understood</w:t>
      </w:r>
      <w:r w:rsidRPr="009A2F35">
        <w:rPr>
          <w:vertAlign w:val="superscript"/>
        </w:rPr>
        <w:t>13,14</w:t>
      </w:r>
      <w:r w:rsidRPr="009A2F35">
        <w:t>.</w:t>
      </w:r>
    </w:p>
    <w:p w14:paraId="4B5EFC59" w14:textId="77777777" w:rsidR="00B90B06" w:rsidRPr="009A2F35" w:rsidRDefault="00B90B06" w:rsidP="009A2F35"/>
    <w:p w14:paraId="53FACDF0" w14:textId="77777777" w:rsidR="00AA38FD" w:rsidRDefault="00CE4AFA" w:rsidP="009A2F35">
      <w:r w:rsidRPr="009A2F35">
        <w:t>Although melanocytes are particularly susceptible to oxidative stress–induced senescence, experimental models to study this process remain limited</w:t>
      </w:r>
      <w:r w:rsidRPr="009A2F35">
        <w:rPr>
          <w:vertAlign w:val="superscript"/>
        </w:rPr>
        <w:t>15,16</w:t>
      </w:r>
      <w:r w:rsidRPr="009A2F35">
        <w:t xml:space="preserve">. Most senescence research continues to rely on replicative or stress-induced senescence models in fibroblasts, but these approaches do not capture the distinct biology of melanocytes or their potential to influence skin aging through </w:t>
      </w:r>
      <w:proofErr w:type="gramStart"/>
      <w:r w:rsidRPr="009A2F35">
        <w:t>cross-talk</w:t>
      </w:r>
      <w:proofErr w:type="gramEnd"/>
      <w:r w:rsidRPr="009A2F35">
        <w:t xml:space="preserve"> with neighboring cells and their own SASP profile</w:t>
      </w:r>
      <w:r w:rsidRPr="009A2F35">
        <w:rPr>
          <w:vertAlign w:val="superscript"/>
        </w:rPr>
        <w:t>17</w:t>
      </w:r>
      <w:r w:rsidRPr="009A2F35">
        <w:t>. This gap highlights the need for melanocyte-specific senescence models that more accurately reflect their physiological responses to environmental stressors</w:t>
      </w:r>
      <w:r w:rsidRPr="009A2F35">
        <w:rPr>
          <w:vertAlign w:val="superscript"/>
        </w:rPr>
        <w:t>18,19</w:t>
      </w:r>
      <w:r w:rsidR="00EB1FD5" w:rsidRPr="009A2F35">
        <w:t xml:space="preserve"> and their contribution to human skin aging. </w:t>
      </w:r>
    </w:p>
    <w:p w14:paraId="45A83603" w14:textId="77777777" w:rsidR="00AA38FD" w:rsidRDefault="00AA38FD" w:rsidP="009A2F35"/>
    <w:p w14:paraId="243C27EE" w14:textId="6B687C9B" w:rsidR="002A3430" w:rsidRDefault="00AA38FD" w:rsidP="009A2F35">
      <w:r w:rsidRPr="00AA38FD">
        <w:t>Despite the availability of stress-induced senescence approaches, their implementation in primary human melanocytes remains technically challenging and is often associated with substantial variability. Melanocytes are particularly sensitive to oxidative stress, resulting in a narrow experimental window between effective senescence induction and excessive cytotoxicity. In addition, donor-dependent differences in primary cell preparations further contribute to inconsistent outcomes across studies. These challenges are frequently underreported</w:t>
      </w:r>
      <w:r w:rsidR="00136FFF">
        <w:t>,</w:t>
      </w:r>
      <w:r w:rsidRPr="00AA38FD">
        <w:t xml:space="preserve"> and protocols are often insufficiently standardized, limiting reproducibility. The present protocol addresses this gap by providing an optimized and reproducible treatment regimen, defined dosing schedule, and standardized readouts for reliable induction and assessment of senescence in primary human melanocytes.</w:t>
      </w:r>
    </w:p>
    <w:p w14:paraId="331DBC36" w14:textId="77777777" w:rsidR="00B90B06" w:rsidRPr="009A2F35" w:rsidRDefault="00B90B06" w:rsidP="009A2F35"/>
    <w:p w14:paraId="37C4EFF7" w14:textId="77777777" w:rsidR="00883D77" w:rsidRPr="00883D77" w:rsidRDefault="00CE4AFA" w:rsidP="00883D77">
      <w:pPr>
        <w:rPr>
          <w:lang w:val="en-AT"/>
        </w:rPr>
      </w:pPr>
      <w:r w:rsidRPr="009A2F35">
        <w:t xml:space="preserve">Tert-butyl hydroperoxide (tBHP) is a well-characterized inducer of oxidative stress that promotes senescence by generating reactive oxygen species and depleting cellular antioxidant defenses. It </w:t>
      </w:r>
      <w:r w:rsidRPr="009A2F35">
        <w:lastRenderedPageBreak/>
        <w:t>has been widely used to induce senescence in dermal fibroblasts, where it triggers hallmark senescence markers while maintaining cell viability</w:t>
      </w:r>
      <w:r w:rsidRPr="009A2F35">
        <w:rPr>
          <w:vertAlign w:val="superscript"/>
        </w:rPr>
        <w:t>20,21</w:t>
      </w:r>
      <w:r w:rsidRPr="009A2F35">
        <w:t>. Because tBHP produces sustained oxidative stress through defined biochemical pathways, it offers a reproducible and accessible system for studying oxidative stress–induced senescence and investigating the molecular mechanisms linking oxidative damage to aging processes</w:t>
      </w:r>
      <w:r w:rsidRPr="009A2F35">
        <w:rPr>
          <w:vertAlign w:val="superscript"/>
        </w:rPr>
        <w:t>22,23</w:t>
      </w:r>
      <w:r w:rsidRPr="009A2F35">
        <w:t>.</w:t>
      </w:r>
      <w:r w:rsidR="00883D77">
        <w:t xml:space="preserve"> </w:t>
      </w:r>
      <w:r w:rsidR="00883D77" w:rsidRPr="00883D77">
        <w:rPr>
          <w:lang w:val="en-AT"/>
        </w:rPr>
        <w:t>In contrast to UV-based models, tBHP is particularly advantageous when a controlled, reproducible induction of oxidative stress is required, independent of irradiation parameters and without the need for specialized equipment.</w:t>
      </w:r>
    </w:p>
    <w:p w14:paraId="32D498E6" w14:textId="19369CDE" w:rsidR="002A3430" w:rsidRDefault="002A3430" w:rsidP="009A2F35"/>
    <w:p w14:paraId="43CD90D4" w14:textId="77777777" w:rsidR="00B90B06" w:rsidRPr="009A2F35" w:rsidRDefault="00B90B06" w:rsidP="009A2F35"/>
    <w:p w14:paraId="20FA7551" w14:textId="50E23A07" w:rsidR="002A3430" w:rsidRDefault="00CE4AFA" w:rsidP="009A2F35">
      <w:r w:rsidRPr="009A2F35">
        <w:t xml:space="preserve">HNM </w:t>
      </w:r>
      <w:r w:rsidR="006E2C84" w:rsidRPr="009A2F35">
        <w:t>provides</w:t>
      </w:r>
      <w:r w:rsidRPr="009A2F35">
        <w:t xml:space="preserve"> a relevant model for studying extrinsic aging mechanisms</w:t>
      </w:r>
      <w:r w:rsidRPr="009A2F35">
        <w:rPr>
          <w:vertAlign w:val="superscript"/>
        </w:rPr>
        <w:t>24</w:t>
      </w:r>
      <w:r w:rsidRPr="009A2F35">
        <w:t>. As primary cells derived from foreskin, they retain intact stress-response pathways and avoid artifacts associated with genetic modification or immortalization</w:t>
      </w:r>
      <w:r w:rsidRPr="009A2F35">
        <w:rPr>
          <w:vertAlign w:val="superscript"/>
        </w:rPr>
        <w:t>25</w:t>
      </w:r>
      <w:r w:rsidRPr="009A2F35">
        <w:t>. Neonatal melanocytes provide an optimal experimental model as they exhibit minimal baseline damage, enabling clear assessment of environmental stressor-induced senescence pathways</w:t>
      </w:r>
      <w:r w:rsidRPr="009A2F35">
        <w:rPr>
          <w:vertAlign w:val="superscript"/>
        </w:rPr>
        <w:t>26,27</w:t>
      </w:r>
      <w:r w:rsidRPr="009A2F35">
        <w:t>.</w:t>
      </w:r>
    </w:p>
    <w:p w14:paraId="15A79E69" w14:textId="77777777" w:rsidR="00B90B06" w:rsidRPr="009A2F35" w:rsidRDefault="00B90B06" w:rsidP="009A2F35"/>
    <w:p w14:paraId="43735C06" w14:textId="77777777" w:rsidR="002A3430" w:rsidRPr="009A2F35" w:rsidRDefault="00CE4AFA" w:rsidP="009A2F35">
      <w:r w:rsidRPr="009A2F35">
        <w:t>This study employs tBHP-induced oxidative stress in primary human neonatal melanocytes, overcoming limitations of non-melanocytic and immortalized cell models commonly used in senescence research. It provides a standardized platform for examining melanocyte-specific senescence mechanisms and characterizing the senescent phenotype with established markers. Overall, this protocol provides a reproducible, physiologically relevant model for studying oxidative stress–induced senescence in melanocytes.</w:t>
      </w:r>
    </w:p>
    <w:p w14:paraId="3B9E237A" w14:textId="77777777" w:rsidR="002A3430" w:rsidRPr="009A2F35" w:rsidRDefault="002A3430" w:rsidP="009A2F35">
      <w:pPr>
        <w:rPr>
          <w:b/>
          <w:bCs/>
        </w:rPr>
      </w:pPr>
    </w:p>
    <w:p w14:paraId="3CC3DC3B" w14:textId="5A4AA4F9" w:rsidR="002A3430" w:rsidRPr="009A2F35" w:rsidRDefault="00CE4AFA" w:rsidP="009A2F35">
      <w:pPr>
        <w:rPr>
          <w:b/>
          <w:bCs/>
        </w:rPr>
      </w:pPr>
      <w:r w:rsidRPr="009A2F35">
        <w:rPr>
          <w:b/>
          <w:bCs/>
        </w:rPr>
        <w:t>PROTOCOL:</w:t>
      </w:r>
      <w:r w:rsidRPr="009A2F35">
        <w:t xml:space="preserve"> </w:t>
      </w:r>
    </w:p>
    <w:p w14:paraId="40E4A644" w14:textId="5C3F4A38" w:rsidR="002A3430" w:rsidRPr="003F2970" w:rsidRDefault="00CE4AFA" w:rsidP="009A2F35">
      <w:pPr>
        <w:rPr>
          <w:lang w:val="en-AT"/>
        </w:rPr>
      </w:pPr>
      <w:r w:rsidRPr="009A2F35">
        <w:t>This protocol was optimized for research on</w:t>
      </w:r>
      <w:r w:rsidR="006D7AC9">
        <w:t xml:space="preserve"> primary human neonatal melanocytes</w:t>
      </w:r>
      <w:r w:rsidRPr="009A2F35">
        <w:t xml:space="preserve"> </w:t>
      </w:r>
      <w:r w:rsidR="006D7AC9">
        <w:t>(=</w:t>
      </w:r>
      <w:r w:rsidRPr="009A2F35">
        <w:t>HNM</w:t>
      </w:r>
      <w:r w:rsidR="006D7AC9">
        <w:t>)</w:t>
      </w:r>
      <w:r w:rsidRPr="009A2F35">
        <w:t xml:space="preserve"> to study the mechanisms of stress-induced premature senescence induced by tBHP</w:t>
      </w:r>
      <w:r w:rsidR="006E2C84" w:rsidRPr="009A2F35">
        <w:t xml:space="preserve"> </w:t>
      </w:r>
      <w:r w:rsidRPr="009A2F35">
        <w:t>(</w:t>
      </w:r>
      <w:r w:rsidRPr="009A2F35">
        <w:rPr>
          <w:b/>
          <w:bCs/>
        </w:rPr>
        <w:t>Figure 1</w:t>
      </w:r>
      <w:r w:rsidRPr="009A2F35">
        <w:t>).</w:t>
      </w:r>
      <w:r w:rsidR="00CE7851">
        <w:t xml:space="preserve"> The melanocytes were derived from neonatal Caucasian </w:t>
      </w:r>
      <w:r w:rsidR="009F3465">
        <w:t>foresk</w:t>
      </w:r>
      <w:r w:rsidR="00CE7851">
        <w:t>in (light pigmentation phototype)</w:t>
      </w:r>
      <w:r w:rsidR="00DA3BEB">
        <w:t xml:space="preserve"> and obtained from a commercial </w:t>
      </w:r>
      <w:r w:rsidR="009F3465">
        <w:t>source.</w:t>
      </w:r>
      <w:r w:rsidR="004174AB">
        <w:t xml:space="preserve"> </w:t>
      </w:r>
      <w:r w:rsidR="009F3465" w:rsidRPr="009F3465">
        <w:rPr>
          <w:lang w:val="en-AT"/>
        </w:rPr>
        <w:t xml:space="preserve">According to the supplier’s documentation, human tissues are collected from fully informed and consented donors and in compliance with established ethical and legal frameworks, including the </w:t>
      </w:r>
      <w:r w:rsidR="009F3465" w:rsidRPr="009F3465">
        <w:rPr>
          <w:lang w:val="en-AT"/>
        </w:rPr>
        <w:fldChar w:fldCharType="begin"/>
      </w:r>
      <w:r w:rsidR="009F3465" w:rsidRPr="009F3465">
        <w:rPr>
          <w:lang w:val="en-AT"/>
        </w:rPr>
        <w:instrText>HYPERLINK "chatgpt://generic-entity?number=0"</w:instrText>
      </w:r>
      <w:r w:rsidR="009F3465" w:rsidRPr="009F3465">
        <w:rPr>
          <w:lang w:val="en-AT"/>
        </w:rPr>
      </w:r>
      <w:r w:rsidR="009F3465" w:rsidRPr="009F3465">
        <w:rPr>
          <w:lang w:val="en-AT"/>
        </w:rPr>
        <w:fldChar w:fldCharType="separate"/>
      </w:r>
      <w:r w:rsidR="009F3465" w:rsidRPr="009F3465">
        <w:rPr>
          <w:rStyle w:val="Hyperlink"/>
          <w:lang w:val="en-AT"/>
        </w:rPr>
        <w:t>Declaration of Helsinki</w:t>
      </w:r>
      <w:r w:rsidR="009F3465" w:rsidRPr="009F3465">
        <w:fldChar w:fldCharType="end"/>
      </w:r>
      <w:r w:rsidR="009F3465" w:rsidRPr="009F3465">
        <w:rPr>
          <w:lang w:val="en-AT"/>
        </w:rPr>
        <w:t xml:space="preserve"> and applicable data protection regulations. The cells were provided in a de-identified form. No additional ethical approval was required for their use in this study.</w:t>
      </w:r>
      <w:r w:rsidR="009F3465">
        <w:rPr>
          <w:lang w:val="en-AT"/>
        </w:rPr>
        <w:t xml:space="preserve"> </w:t>
      </w:r>
      <w:r w:rsidR="004174AB">
        <w:t>All experiments were</w:t>
      </w:r>
      <w:r w:rsidR="009735F8">
        <w:t xml:space="preserve"> performed using the same melanocyte line to ensure consistency.</w:t>
      </w:r>
      <w:r w:rsidRPr="009A2F35">
        <w:t xml:space="preserve"> Note that when using different primary cell lines, the culture conditions, as well as concentrations and handling procedures, may need to be further adjusted.</w:t>
      </w:r>
    </w:p>
    <w:p w14:paraId="7AB7B8E1" w14:textId="77777777" w:rsidR="006E2C84" w:rsidRPr="009A2F35" w:rsidRDefault="006E2C84" w:rsidP="009A2F35">
      <w:pPr>
        <w:rPr>
          <w:sz w:val="28"/>
          <w:szCs w:val="28"/>
        </w:rPr>
      </w:pPr>
    </w:p>
    <w:p w14:paraId="29FA964D" w14:textId="6F16D20E" w:rsidR="002A3430" w:rsidRPr="009A2F35" w:rsidRDefault="00CE4AFA" w:rsidP="009A2F35">
      <w:pPr>
        <w:pStyle w:val="ListParagraph"/>
        <w:numPr>
          <w:ilvl w:val="0"/>
          <w:numId w:val="22"/>
        </w:numPr>
        <w:spacing w:after="0" w:line="240" w:lineRule="auto"/>
        <w:ind w:left="0" w:firstLine="0"/>
        <w:rPr>
          <w:rFonts w:ascii="Calibri" w:hAnsi="Calibri" w:cs="Calibri"/>
          <w:sz w:val="24"/>
          <w:szCs w:val="24"/>
        </w:rPr>
      </w:pPr>
      <w:r w:rsidRPr="009A2F35">
        <w:rPr>
          <w:rFonts w:ascii="Calibri" w:hAnsi="Calibri" w:cs="Calibri"/>
          <w:b/>
          <w:bCs/>
          <w:sz w:val="24"/>
          <w:szCs w:val="24"/>
        </w:rPr>
        <w:t>Preparations</w:t>
      </w:r>
    </w:p>
    <w:p w14:paraId="0D64D321" w14:textId="030F1F96" w:rsidR="002A3430" w:rsidRDefault="00CE4AFA" w:rsidP="009A2F35">
      <w:pPr>
        <w:numPr>
          <w:ilvl w:val="0"/>
          <w:numId w:val="21"/>
        </w:numPr>
        <w:ind w:left="0" w:firstLine="0"/>
      </w:pPr>
      <w:r w:rsidRPr="009A2F35">
        <w:t xml:space="preserve">To initiate tBHP treatment, melanocytes must be </w:t>
      </w:r>
      <w:r w:rsidR="006C7ACE">
        <w:t>thawed</w:t>
      </w:r>
      <w:r w:rsidR="006C7ACE" w:rsidRPr="009A2F35">
        <w:t xml:space="preserve"> </w:t>
      </w:r>
      <w:r w:rsidRPr="009A2F35">
        <w:t>at least three days in advance to allow sufficient recovery and confluency. The treatment phase lasts four days, with the day of seeding designated as Day 0.</w:t>
      </w:r>
    </w:p>
    <w:p w14:paraId="0C082764" w14:textId="77777777" w:rsidR="009A2F35" w:rsidRPr="009A2F35" w:rsidRDefault="009A2F35" w:rsidP="009A2F35"/>
    <w:p w14:paraId="70045394" w14:textId="096C3B6B" w:rsidR="002A3430" w:rsidRDefault="00CE4AFA" w:rsidP="009A2F35">
      <w:pPr>
        <w:numPr>
          <w:ilvl w:val="0"/>
          <w:numId w:val="21"/>
        </w:numPr>
        <w:ind w:left="0" w:firstLine="0"/>
      </w:pPr>
      <w:r w:rsidRPr="009A2F35">
        <w:t>To prepare the culture medium, combine</w:t>
      </w:r>
      <w:r w:rsidR="007914AE">
        <w:t xml:space="preserve"> melanocyte basal m</w:t>
      </w:r>
      <w:r w:rsidRPr="009A2F35">
        <w:t xml:space="preserve">edium with the </w:t>
      </w:r>
      <w:r w:rsidR="007914AE">
        <w:t xml:space="preserve">corresponding </w:t>
      </w:r>
      <w:r w:rsidRPr="009A2F35">
        <w:t>growth factors</w:t>
      </w:r>
      <w:r w:rsidR="007914AE">
        <w:t xml:space="preserve">. </w:t>
      </w:r>
      <w:r w:rsidRPr="009A2F35">
        <w:t xml:space="preserve">Flame the lid of each vial before adding its contents to the medium to minimize contamination. Add 1% (v/v) </w:t>
      </w:r>
      <w:proofErr w:type="spellStart"/>
      <w:r w:rsidRPr="009A2F35">
        <w:t>PenStrep</w:t>
      </w:r>
      <w:proofErr w:type="spellEnd"/>
      <w:r w:rsidRPr="009A2F35">
        <w:t xml:space="preserve"> to the prepared medium and store it at 4 °C until use.</w:t>
      </w:r>
    </w:p>
    <w:p w14:paraId="048282A3" w14:textId="77777777" w:rsidR="009A2F35" w:rsidRPr="009A2F35" w:rsidRDefault="009A2F35" w:rsidP="009A2F35"/>
    <w:p w14:paraId="7107569D" w14:textId="69E81B24" w:rsidR="002A3430" w:rsidRPr="009A2F35" w:rsidRDefault="00CE4AFA" w:rsidP="009A2F35">
      <w:pPr>
        <w:numPr>
          <w:ilvl w:val="0"/>
          <w:numId w:val="21"/>
        </w:numPr>
        <w:ind w:left="0" w:firstLine="0"/>
      </w:pPr>
      <w:r w:rsidRPr="009A2F35">
        <w:t>Before seeding, prepare the trypsin inhibitor solution by diluting soybean trypsin inhibitor in DPBS. Filter the solution through a 0.22 µm membrane, aliquot, and store at −20 °C.</w:t>
      </w:r>
      <w:r w:rsidR="005A61AD">
        <w:t xml:space="preserve"> Once thawed</w:t>
      </w:r>
      <w:r w:rsidR="00E90C22">
        <w:t>,</w:t>
      </w:r>
      <w:r w:rsidR="005A61AD">
        <w:t xml:space="preserve"> it can be used for up to 10 days.</w:t>
      </w:r>
    </w:p>
    <w:p w14:paraId="4192BCFF" w14:textId="77777777" w:rsidR="002A3430" w:rsidRPr="009A2F35" w:rsidRDefault="002A3430" w:rsidP="009A2F35"/>
    <w:p w14:paraId="35695522" w14:textId="6F8A7FE3" w:rsidR="002A3430" w:rsidRPr="009A2F35" w:rsidRDefault="00CE4AFA" w:rsidP="009A2F35">
      <w:pPr>
        <w:pStyle w:val="ListParagraph"/>
        <w:numPr>
          <w:ilvl w:val="0"/>
          <w:numId w:val="22"/>
        </w:numPr>
        <w:spacing w:after="0" w:line="240" w:lineRule="auto"/>
        <w:ind w:left="0" w:firstLine="0"/>
        <w:rPr>
          <w:rFonts w:ascii="Calibri" w:hAnsi="Calibri" w:cs="Calibri"/>
          <w:b/>
          <w:bCs/>
          <w:sz w:val="24"/>
          <w:szCs w:val="24"/>
        </w:rPr>
      </w:pPr>
      <w:r w:rsidRPr="009A2F35">
        <w:rPr>
          <w:rFonts w:ascii="Calibri" w:hAnsi="Calibri" w:cs="Calibri"/>
          <w:b/>
          <w:bCs/>
          <w:sz w:val="24"/>
          <w:szCs w:val="24"/>
        </w:rPr>
        <w:t>Cell Thawing (Day-3)</w:t>
      </w:r>
    </w:p>
    <w:p w14:paraId="24F3D2AB" w14:textId="77777777" w:rsidR="002A3430" w:rsidRPr="009A2F35" w:rsidRDefault="00CE4AFA" w:rsidP="009A2F35">
      <w:r w:rsidRPr="009A2F35">
        <w:t xml:space="preserve">At least 3 days before tBHP treatment. Thaw melanocytes as follows: </w:t>
      </w:r>
    </w:p>
    <w:p w14:paraId="38E5B161" w14:textId="77777777" w:rsidR="002A3430" w:rsidRDefault="00CE4AFA" w:rsidP="009A2F35">
      <w:pPr>
        <w:numPr>
          <w:ilvl w:val="0"/>
          <w:numId w:val="19"/>
        </w:numPr>
        <w:ind w:left="0" w:firstLine="0"/>
      </w:pPr>
      <w:r w:rsidRPr="009A2F35">
        <w:t xml:space="preserve">Pipette 20 mL of Dulbecco's Phosphate Buffer Saline (cell culture grade) into a 50 mL conical tube at room temperature. Maintain the vial containing cells on ice until thawing. </w:t>
      </w:r>
    </w:p>
    <w:p w14:paraId="77B2BF12" w14:textId="77777777" w:rsidR="009A2F35" w:rsidRPr="009A2F35" w:rsidRDefault="009A2F35" w:rsidP="009A2F35"/>
    <w:p w14:paraId="5ED2A61C" w14:textId="77777777" w:rsidR="002A3430" w:rsidRDefault="00CE4AFA" w:rsidP="009A2F35">
      <w:pPr>
        <w:numPr>
          <w:ilvl w:val="0"/>
          <w:numId w:val="19"/>
        </w:numPr>
        <w:ind w:left="0" w:firstLine="0"/>
      </w:pPr>
      <w:r w:rsidRPr="009A2F35">
        <w:t xml:space="preserve">Flame the lid before opening the vial containing the cells, unscrew, and flame the sides again to prevent potential contamination. </w:t>
      </w:r>
    </w:p>
    <w:p w14:paraId="2777D6A7" w14:textId="77777777" w:rsidR="009A2F35" w:rsidRPr="009A2F35" w:rsidRDefault="009A2F35" w:rsidP="009A2F35"/>
    <w:p w14:paraId="523B7223" w14:textId="77777777" w:rsidR="002A3430" w:rsidRDefault="00CE4AFA" w:rsidP="009A2F35">
      <w:pPr>
        <w:numPr>
          <w:ilvl w:val="0"/>
          <w:numId w:val="19"/>
        </w:numPr>
        <w:ind w:left="0" w:firstLine="0"/>
      </w:pPr>
      <w:r w:rsidRPr="009A2F35">
        <w:t xml:space="preserve">Transfer 500 µL of DPBS into the vial containing the cells. Gently thaw cells by pipetting up and down, then transfer the entire contents to the Falcon tube. </w:t>
      </w:r>
    </w:p>
    <w:p w14:paraId="55C3243C" w14:textId="77777777" w:rsidR="009A2F35" w:rsidRPr="009A2F35" w:rsidRDefault="009A2F35" w:rsidP="009A2F35"/>
    <w:p w14:paraId="4D968D1E" w14:textId="268BD57D" w:rsidR="002A3430" w:rsidRDefault="00CE4AFA" w:rsidP="009A2F35">
      <w:pPr>
        <w:numPr>
          <w:ilvl w:val="0"/>
          <w:numId w:val="19"/>
        </w:numPr>
        <w:ind w:left="0" w:firstLine="0"/>
      </w:pPr>
      <w:r w:rsidRPr="009A2F35">
        <w:t xml:space="preserve">Centrifuge at 100 × </w:t>
      </w:r>
      <w:r w:rsidRPr="009A2F35">
        <w:rPr>
          <w:i/>
          <w:iCs/>
        </w:rPr>
        <w:t>g</w:t>
      </w:r>
      <w:r w:rsidRPr="009A2F35">
        <w:t xml:space="preserve"> for 5 min at room temperature. The resulting pellet should appear beige to brownish (or darker, depending on the donor's ethnicity). </w:t>
      </w:r>
    </w:p>
    <w:p w14:paraId="654DA0C2" w14:textId="77777777" w:rsidR="009A2F35" w:rsidRPr="009A2F35" w:rsidRDefault="009A2F35" w:rsidP="009A2F35"/>
    <w:p w14:paraId="23B0A106" w14:textId="7C265396" w:rsidR="002A3430" w:rsidRDefault="00CE4AFA" w:rsidP="009A2F35">
      <w:pPr>
        <w:numPr>
          <w:ilvl w:val="0"/>
          <w:numId w:val="19"/>
        </w:numPr>
        <w:ind w:left="0" w:firstLine="0"/>
      </w:pPr>
      <w:r w:rsidRPr="009A2F35">
        <w:t xml:space="preserve">Prepare a T75 flask with 14 mL of </w:t>
      </w:r>
      <w:r w:rsidR="009A2F35" w:rsidRPr="009A2F35">
        <w:t>melanocyte medium</w:t>
      </w:r>
      <w:r w:rsidRPr="009A2F35">
        <w:t xml:space="preserve">. </w:t>
      </w:r>
    </w:p>
    <w:p w14:paraId="57753406" w14:textId="77777777" w:rsidR="009A2F35" w:rsidRPr="009A2F35" w:rsidRDefault="009A2F35" w:rsidP="009A2F35"/>
    <w:p w14:paraId="4A1E36F3" w14:textId="77777777" w:rsidR="002A3430" w:rsidRDefault="00CE4AFA" w:rsidP="009A2F35">
      <w:pPr>
        <w:numPr>
          <w:ilvl w:val="0"/>
          <w:numId w:val="19"/>
        </w:numPr>
        <w:ind w:left="0" w:firstLine="0"/>
      </w:pPr>
      <w:r w:rsidRPr="009A2F35">
        <w:t>Flame a glass Pasteur pipette (flame each time when handling melanocytes), carefully aspirate the DPBS, and resuspend the pellet in 1 mL of medium.</w:t>
      </w:r>
    </w:p>
    <w:p w14:paraId="138261EB" w14:textId="77777777" w:rsidR="009A2F35" w:rsidRPr="009A2F35" w:rsidRDefault="009A2F35" w:rsidP="009A2F35"/>
    <w:p w14:paraId="042EE4F8" w14:textId="77777777" w:rsidR="002A3430" w:rsidRDefault="00CE4AFA" w:rsidP="009A2F35">
      <w:pPr>
        <w:numPr>
          <w:ilvl w:val="0"/>
          <w:numId w:val="19"/>
        </w:numPr>
        <w:ind w:left="0" w:firstLine="0"/>
      </w:pPr>
      <w:r w:rsidRPr="009A2F35">
        <w:t xml:space="preserve">Transfer to the previously prepared flask. </w:t>
      </w:r>
    </w:p>
    <w:p w14:paraId="48404AF2" w14:textId="77777777" w:rsidR="009A2F35" w:rsidRPr="009A2F35" w:rsidRDefault="009A2F35" w:rsidP="009A2F35"/>
    <w:p w14:paraId="1612A5A9" w14:textId="0ABC89DA" w:rsidR="002A3430" w:rsidRDefault="00CE4AFA" w:rsidP="009A2F35">
      <w:pPr>
        <w:numPr>
          <w:ilvl w:val="0"/>
          <w:numId w:val="19"/>
        </w:numPr>
        <w:ind w:left="0" w:firstLine="0"/>
      </w:pPr>
      <w:r w:rsidRPr="009A2F35">
        <w:t xml:space="preserve">Incubate at 37 °C, 5 % CO₂, and observe daily under the microscope. Change medium at least every 48 </w:t>
      </w:r>
      <w:r w:rsidR="009D5D7E">
        <w:t>h</w:t>
      </w:r>
      <w:r w:rsidRPr="009A2F35">
        <w:t>.</w:t>
      </w:r>
    </w:p>
    <w:p w14:paraId="5FB60ECD" w14:textId="77777777" w:rsidR="00BD2B72" w:rsidRDefault="00BD2B72" w:rsidP="003F2970">
      <w:pPr>
        <w:pStyle w:val="ListParagraph"/>
      </w:pPr>
    </w:p>
    <w:p w14:paraId="21964F47" w14:textId="77777777" w:rsidR="00BD2B72" w:rsidRPr="00BD2B72" w:rsidRDefault="00BD2B72" w:rsidP="00BD2B72">
      <w:pPr>
        <w:rPr>
          <w:lang w:val="en-AT"/>
        </w:rPr>
      </w:pPr>
      <w:r>
        <w:t xml:space="preserve">NOTE: </w:t>
      </w:r>
      <w:r w:rsidRPr="00BD2B72">
        <w:rPr>
          <w:lang w:val="en-AT"/>
        </w:rPr>
        <w:t>Each cryopreserved vial contains approximately 1 × 10⁶ primary human melanocytes. All experiments were performed using cells at passage 9.</w:t>
      </w:r>
    </w:p>
    <w:p w14:paraId="721602C9" w14:textId="1E6C2492" w:rsidR="00BD2B72" w:rsidRDefault="00BD2B72" w:rsidP="003F2970"/>
    <w:p w14:paraId="2D0B8D06" w14:textId="77777777" w:rsidR="009A2F35" w:rsidRPr="009A2F35" w:rsidRDefault="009A2F35" w:rsidP="009A2F35"/>
    <w:p w14:paraId="6469F446" w14:textId="5C4260FB" w:rsidR="002A3430" w:rsidRPr="003F2970" w:rsidRDefault="002954A0" w:rsidP="009A2F35">
      <w:pPr>
        <w:rPr>
          <w:b/>
          <w:bCs/>
          <w:highlight w:val="yellow"/>
        </w:rPr>
      </w:pPr>
      <w:r>
        <w:rPr>
          <w:b/>
          <w:bCs/>
        </w:rPr>
        <w:t xml:space="preserve">3. </w:t>
      </w:r>
      <w:r>
        <w:rPr>
          <w:b/>
          <w:bCs/>
        </w:rPr>
        <w:tab/>
      </w:r>
      <w:r w:rsidR="00CE4AFA" w:rsidRPr="003F2970">
        <w:rPr>
          <w:b/>
          <w:bCs/>
          <w:highlight w:val="yellow"/>
        </w:rPr>
        <w:t>Cell Seeding (Day 0)</w:t>
      </w:r>
    </w:p>
    <w:p w14:paraId="4FCCFDE4" w14:textId="7E013128" w:rsidR="002A3430" w:rsidRPr="003F2970" w:rsidRDefault="002954A0" w:rsidP="002954A0">
      <w:pPr>
        <w:rPr>
          <w:highlight w:val="yellow"/>
        </w:rPr>
      </w:pPr>
      <w:r w:rsidRPr="003F2970">
        <w:rPr>
          <w:highlight w:val="yellow"/>
        </w:rPr>
        <w:t>3.1.</w:t>
      </w:r>
      <w:r w:rsidRPr="003F2970">
        <w:rPr>
          <w:highlight w:val="yellow"/>
        </w:rPr>
        <w:tab/>
      </w:r>
      <w:r w:rsidR="00CE4AFA" w:rsidRPr="003F2970">
        <w:rPr>
          <w:highlight w:val="yellow"/>
        </w:rPr>
        <w:t>Ensure confluency of 80</w:t>
      </w:r>
      <w:r w:rsidR="00CA5D57" w:rsidRPr="003F2970">
        <w:rPr>
          <w:i/>
          <w:iCs/>
          <w:highlight w:val="yellow"/>
        </w:rPr>
        <w:t>–</w:t>
      </w:r>
      <w:r w:rsidR="00CE4AFA" w:rsidRPr="003F2970">
        <w:rPr>
          <w:highlight w:val="yellow"/>
        </w:rPr>
        <w:t>90 % of the cells on the seeding day.</w:t>
      </w:r>
    </w:p>
    <w:p w14:paraId="6225719F" w14:textId="77777777" w:rsidR="008B461D" w:rsidRPr="003F2970" w:rsidRDefault="008B461D" w:rsidP="003F2970">
      <w:pPr>
        <w:rPr>
          <w:highlight w:val="yellow"/>
        </w:rPr>
      </w:pPr>
    </w:p>
    <w:p w14:paraId="0634F337" w14:textId="69543379" w:rsidR="002A3430" w:rsidRPr="003F2970" w:rsidRDefault="002954A0" w:rsidP="002954A0">
      <w:pPr>
        <w:rPr>
          <w:highlight w:val="yellow"/>
        </w:rPr>
      </w:pPr>
      <w:r w:rsidRPr="003F2970">
        <w:rPr>
          <w:highlight w:val="yellow"/>
        </w:rPr>
        <w:t>3.2</w:t>
      </w:r>
      <w:r w:rsidR="009018B5" w:rsidRPr="003F2970">
        <w:rPr>
          <w:highlight w:val="yellow"/>
        </w:rPr>
        <w:t>.</w:t>
      </w:r>
      <w:r w:rsidRPr="003F2970">
        <w:rPr>
          <w:highlight w:val="yellow"/>
        </w:rPr>
        <w:tab/>
      </w:r>
      <w:r w:rsidR="00CE4AFA" w:rsidRPr="003F2970">
        <w:rPr>
          <w:highlight w:val="yellow"/>
        </w:rPr>
        <w:t xml:space="preserve">Aspirate the medium from the flask and wash twice with DPBS. </w:t>
      </w:r>
    </w:p>
    <w:p w14:paraId="5764BCD7" w14:textId="77777777" w:rsidR="008B461D" w:rsidRPr="003F2970" w:rsidRDefault="008B461D" w:rsidP="003F2970">
      <w:pPr>
        <w:rPr>
          <w:highlight w:val="yellow"/>
        </w:rPr>
      </w:pPr>
    </w:p>
    <w:p w14:paraId="38634139" w14:textId="0EC7B7E2" w:rsidR="002A3430" w:rsidRPr="003F2970" w:rsidRDefault="009018B5" w:rsidP="009B1F6F">
      <w:pPr>
        <w:rPr>
          <w:highlight w:val="yellow"/>
        </w:rPr>
      </w:pPr>
      <w:r w:rsidRPr="003F2970">
        <w:rPr>
          <w:highlight w:val="yellow"/>
        </w:rPr>
        <w:t xml:space="preserve">3.3. </w:t>
      </w:r>
      <w:r w:rsidR="00CE4AFA" w:rsidRPr="003F2970">
        <w:rPr>
          <w:highlight w:val="yellow"/>
        </w:rPr>
        <w:t xml:space="preserve">Detach cells by adding 2 mL of Trypsin-EDTA solution and incubating for 5 </w:t>
      </w:r>
      <w:r w:rsidR="009D5D7E" w:rsidRPr="003F2970">
        <w:rPr>
          <w:highlight w:val="yellow"/>
        </w:rPr>
        <w:t xml:space="preserve">min </w:t>
      </w:r>
      <w:r w:rsidR="00CE4AFA" w:rsidRPr="003F2970">
        <w:rPr>
          <w:highlight w:val="yellow"/>
        </w:rPr>
        <w:t>at 37</w:t>
      </w:r>
      <w:r w:rsidR="009A2F35" w:rsidRPr="003F2970">
        <w:rPr>
          <w:highlight w:val="yellow"/>
        </w:rPr>
        <w:t xml:space="preserve"> </w:t>
      </w:r>
      <w:r w:rsidR="00CE4AFA" w:rsidRPr="003F2970">
        <w:rPr>
          <w:highlight w:val="yellow"/>
        </w:rPr>
        <w:t xml:space="preserve">°C, 5 % CO₂. </w:t>
      </w:r>
    </w:p>
    <w:p w14:paraId="6AA29F05" w14:textId="77777777" w:rsidR="008B461D" w:rsidRPr="003F2970" w:rsidRDefault="008B461D" w:rsidP="003F2970">
      <w:pPr>
        <w:rPr>
          <w:highlight w:val="yellow"/>
        </w:rPr>
      </w:pPr>
    </w:p>
    <w:p w14:paraId="52CA030B" w14:textId="08EF0CF2" w:rsidR="002A3430" w:rsidRPr="003F2970" w:rsidRDefault="009018B5" w:rsidP="009018B5">
      <w:pPr>
        <w:rPr>
          <w:highlight w:val="yellow"/>
        </w:rPr>
      </w:pPr>
      <w:r w:rsidRPr="003F2970">
        <w:rPr>
          <w:highlight w:val="yellow"/>
        </w:rPr>
        <w:t>3.4.</w:t>
      </w:r>
      <w:r w:rsidRPr="003F2970">
        <w:rPr>
          <w:highlight w:val="yellow"/>
        </w:rPr>
        <w:tab/>
      </w:r>
      <w:r w:rsidR="00CE4AFA" w:rsidRPr="003F2970">
        <w:rPr>
          <w:highlight w:val="yellow"/>
        </w:rPr>
        <w:t xml:space="preserve">Gently tap the flask and observe under the microscope to confirm complete cell detachment (incubate longer if necessary). </w:t>
      </w:r>
    </w:p>
    <w:p w14:paraId="54B1B511" w14:textId="77777777" w:rsidR="008B461D" w:rsidRPr="003F2970" w:rsidRDefault="008B461D" w:rsidP="003F2970">
      <w:pPr>
        <w:rPr>
          <w:highlight w:val="yellow"/>
        </w:rPr>
      </w:pPr>
    </w:p>
    <w:p w14:paraId="2AE3A6F2" w14:textId="28399451" w:rsidR="002A3430" w:rsidRPr="003F2970" w:rsidRDefault="00633F87" w:rsidP="009018B5">
      <w:pPr>
        <w:rPr>
          <w:highlight w:val="yellow"/>
        </w:rPr>
      </w:pPr>
      <w:r w:rsidRPr="003F2970">
        <w:rPr>
          <w:highlight w:val="yellow"/>
        </w:rPr>
        <w:t>3.5.</w:t>
      </w:r>
      <w:r w:rsidRPr="003F2970">
        <w:rPr>
          <w:highlight w:val="yellow"/>
        </w:rPr>
        <w:tab/>
      </w:r>
      <w:r w:rsidR="00CE4AFA" w:rsidRPr="003F2970">
        <w:rPr>
          <w:highlight w:val="yellow"/>
        </w:rPr>
        <w:t xml:space="preserve">Stop the reaction by adding 1.5 times the volume of trypsin inhibitor. </w:t>
      </w:r>
    </w:p>
    <w:p w14:paraId="4FD25204" w14:textId="77777777" w:rsidR="008B461D" w:rsidRPr="003F2970" w:rsidRDefault="008B461D" w:rsidP="003F2970">
      <w:pPr>
        <w:rPr>
          <w:highlight w:val="yellow"/>
        </w:rPr>
      </w:pPr>
    </w:p>
    <w:p w14:paraId="7A88659B" w14:textId="286D3595" w:rsidR="002A3430" w:rsidRPr="003F2970" w:rsidRDefault="00633F87" w:rsidP="00633F87">
      <w:pPr>
        <w:rPr>
          <w:highlight w:val="yellow"/>
        </w:rPr>
      </w:pPr>
      <w:r w:rsidRPr="003F2970">
        <w:rPr>
          <w:highlight w:val="yellow"/>
        </w:rPr>
        <w:t>3.6.</w:t>
      </w:r>
      <w:r w:rsidRPr="003F2970">
        <w:rPr>
          <w:highlight w:val="yellow"/>
        </w:rPr>
        <w:tab/>
      </w:r>
      <w:r w:rsidR="00CE4AFA" w:rsidRPr="003F2970">
        <w:rPr>
          <w:highlight w:val="yellow"/>
        </w:rPr>
        <w:t xml:space="preserve">Transfer the cell suspension to a 15 mL conical tube and dilute with DPBS to a final volume of 10 </w:t>
      </w:r>
      <w:proofErr w:type="spellStart"/>
      <w:r w:rsidR="00CE4AFA" w:rsidRPr="003F2970">
        <w:rPr>
          <w:highlight w:val="yellow"/>
        </w:rPr>
        <w:t>mL.</w:t>
      </w:r>
      <w:proofErr w:type="spellEnd"/>
    </w:p>
    <w:p w14:paraId="78842C83" w14:textId="77777777" w:rsidR="008B461D" w:rsidRPr="003F2970" w:rsidRDefault="008B461D" w:rsidP="003F2970">
      <w:pPr>
        <w:rPr>
          <w:highlight w:val="yellow"/>
        </w:rPr>
      </w:pPr>
    </w:p>
    <w:p w14:paraId="5DAEE763" w14:textId="1EE5FF3E" w:rsidR="002A3430" w:rsidRPr="003F2970" w:rsidRDefault="00633F87" w:rsidP="00633F87">
      <w:pPr>
        <w:rPr>
          <w:highlight w:val="yellow"/>
        </w:rPr>
      </w:pPr>
      <w:r w:rsidRPr="003F2970">
        <w:rPr>
          <w:highlight w:val="yellow"/>
        </w:rPr>
        <w:t>3.7.</w:t>
      </w:r>
      <w:r w:rsidRPr="003F2970">
        <w:rPr>
          <w:highlight w:val="yellow"/>
        </w:rPr>
        <w:tab/>
      </w:r>
      <w:r w:rsidR="00CE4AFA" w:rsidRPr="003F2970">
        <w:rPr>
          <w:highlight w:val="yellow"/>
        </w:rPr>
        <w:t xml:space="preserve">Centrifuge the cell suspension at 100 × </w:t>
      </w:r>
      <w:r w:rsidR="00CE4AFA" w:rsidRPr="003F2970">
        <w:rPr>
          <w:i/>
          <w:iCs/>
          <w:highlight w:val="yellow"/>
        </w:rPr>
        <w:t>g</w:t>
      </w:r>
      <w:r w:rsidR="00CE4AFA" w:rsidRPr="003F2970">
        <w:rPr>
          <w:highlight w:val="yellow"/>
        </w:rPr>
        <w:t xml:space="preserve"> for 5 </w:t>
      </w:r>
      <w:r w:rsidR="00DE6724" w:rsidRPr="003F2970">
        <w:rPr>
          <w:highlight w:val="yellow"/>
        </w:rPr>
        <w:t>min</w:t>
      </w:r>
      <w:r w:rsidR="00CE4AFA" w:rsidRPr="003F2970">
        <w:rPr>
          <w:highlight w:val="yellow"/>
        </w:rPr>
        <w:t xml:space="preserve">. </w:t>
      </w:r>
    </w:p>
    <w:p w14:paraId="5BE0E5FE" w14:textId="77777777" w:rsidR="005646E9" w:rsidRPr="003F2970" w:rsidRDefault="005646E9" w:rsidP="003F2970">
      <w:pPr>
        <w:rPr>
          <w:highlight w:val="yellow"/>
        </w:rPr>
      </w:pPr>
    </w:p>
    <w:p w14:paraId="19EFB961" w14:textId="69ABE250" w:rsidR="002A3430" w:rsidRPr="003F2970" w:rsidRDefault="00633F87" w:rsidP="00633F87">
      <w:pPr>
        <w:rPr>
          <w:highlight w:val="yellow"/>
        </w:rPr>
      </w:pPr>
      <w:r w:rsidRPr="003F2970">
        <w:rPr>
          <w:highlight w:val="yellow"/>
        </w:rPr>
        <w:t>3.8.</w:t>
      </w:r>
      <w:r w:rsidRPr="003F2970">
        <w:rPr>
          <w:highlight w:val="yellow"/>
        </w:rPr>
        <w:tab/>
      </w:r>
      <w:r w:rsidR="00CE4AFA" w:rsidRPr="003F2970">
        <w:rPr>
          <w:highlight w:val="yellow"/>
        </w:rPr>
        <w:t>Aspirate the supernatant and resuspend to the desired volume in medium.</w:t>
      </w:r>
    </w:p>
    <w:p w14:paraId="36BF342C" w14:textId="77777777" w:rsidR="005646E9" w:rsidRPr="003F2970" w:rsidRDefault="005646E9" w:rsidP="003F2970">
      <w:pPr>
        <w:rPr>
          <w:highlight w:val="yellow"/>
        </w:rPr>
      </w:pPr>
    </w:p>
    <w:p w14:paraId="1CA76DBF" w14:textId="787DB274" w:rsidR="002A3430" w:rsidRDefault="00633F87" w:rsidP="00633F87">
      <w:r w:rsidRPr="003F2970">
        <w:rPr>
          <w:highlight w:val="yellow"/>
        </w:rPr>
        <w:t>3.9.</w:t>
      </w:r>
      <w:r w:rsidRPr="003F2970">
        <w:rPr>
          <w:highlight w:val="yellow"/>
        </w:rPr>
        <w:tab/>
      </w:r>
      <w:r w:rsidR="00CE4AFA" w:rsidRPr="003F2970">
        <w:rPr>
          <w:highlight w:val="yellow"/>
        </w:rPr>
        <w:t>For tBHP-treated plates, seed 6 × 10⁵ cells per 10 cm dish. For control plates, seed 4 × 10⁵ cells per plate.</w:t>
      </w:r>
    </w:p>
    <w:p w14:paraId="1383FFFC" w14:textId="77777777" w:rsidR="005646E9" w:rsidRPr="009A2F35" w:rsidRDefault="005646E9" w:rsidP="003F2970"/>
    <w:p w14:paraId="5E29F201" w14:textId="77777777" w:rsidR="002A3430" w:rsidRDefault="00CE4AFA" w:rsidP="009A2F35">
      <w:r w:rsidRPr="009A2F35">
        <w:t>NOTE: For tBHP-treated plates, seed a higher number of cells to ensure enough cells are available for the experiments, as their growth rate will progressively decrease during treatment.</w:t>
      </w:r>
    </w:p>
    <w:p w14:paraId="482F1541" w14:textId="77777777" w:rsidR="005646E9" w:rsidRPr="009A2F35" w:rsidRDefault="005646E9" w:rsidP="009A2F35"/>
    <w:p w14:paraId="0A36045B" w14:textId="2D6B567A" w:rsidR="002A3430" w:rsidRPr="009A2F35" w:rsidRDefault="00633F87" w:rsidP="003F2970">
      <w:r>
        <w:t>3.10.</w:t>
      </w:r>
      <w:r>
        <w:tab/>
      </w:r>
      <w:r w:rsidR="00CE4AFA" w:rsidRPr="009A2F35">
        <w:t xml:space="preserve">Incubate overnight at 37 °C with 5 % CO₂. Change medium every 48 </w:t>
      </w:r>
      <w:r w:rsidR="00DE6724">
        <w:t>h</w:t>
      </w:r>
      <w:r w:rsidR="00DE6724" w:rsidRPr="009A2F35">
        <w:t xml:space="preserve"> </w:t>
      </w:r>
      <w:r w:rsidR="00CE4AFA" w:rsidRPr="009A2F35">
        <w:t>for control plates.</w:t>
      </w:r>
    </w:p>
    <w:p w14:paraId="5551D16D" w14:textId="77777777" w:rsidR="002A3430" w:rsidRDefault="00CE4AFA" w:rsidP="009A2F35">
      <w:r w:rsidRPr="009A2F35">
        <w:t>NOTE: If seeding cells on coverslips for microscopy experiments, coverslips must be coated with 0.1 mg/mL Poly-D-Lysine and completely dried prior to cell seeding.</w:t>
      </w:r>
    </w:p>
    <w:p w14:paraId="0C53AFBD" w14:textId="77777777" w:rsidR="009A2F35" w:rsidRPr="009A2F35" w:rsidRDefault="009A2F35" w:rsidP="009A2F35"/>
    <w:p w14:paraId="3EDC2F8B" w14:textId="1FB51524" w:rsidR="002A3430" w:rsidRPr="003F2970" w:rsidRDefault="00B5497A" w:rsidP="009A2F35">
      <w:pPr>
        <w:rPr>
          <w:b/>
          <w:bCs/>
          <w:highlight w:val="yellow"/>
        </w:rPr>
      </w:pPr>
      <w:r w:rsidRPr="003F2970">
        <w:rPr>
          <w:b/>
          <w:bCs/>
          <w:highlight w:val="yellow"/>
        </w:rPr>
        <w:t xml:space="preserve">4 </w:t>
      </w:r>
      <w:r w:rsidRPr="003F2970">
        <w:rPr>
          <w:b/>
          <w:bCs/>
          <w:highlight w:val="yellow"/>
        </w:rPr>
        <w:tab/>
      </w:r>
      <w:r w:rsidR="00CE4AFA" w:rsidRPr="003F2970">
        <w:rPr>
          <w:b/>
          <w:bCs/>
          <w:highlight w:val="yellow"/>
        </w:rPr>
        <w:t>tBHP Treatment (Day 1- Day 4)</w:t>
      </w:r>
    </w:p>
    <w:p w14:paraId="4E21901D" w14:textId="77777777" w:rsidR="005646E9" w:rsidRPr="003F2970" w:rsidRDefault="005646E9" w:rsidP="009A2F35">
      <w:pPr>
        <w:rPr>
          <w:b/>
          <w:bCs/>
          <w:highlight w:val="yellow"/>
        </w:rPr>
      </w:pPr>
    </w:p>
    <w:p w14:paraId="2018C562" w14:textId="5FD2D9A0" w:rsidR="002A3430" w:rsidRPr="009A2F35" w:rsidRDefault="00B5497A" w:rsidP="003F2970">
      <w:r w:rsidRPr="003F2970">
        <w:rPr>
          <w:highlight w:val="yellow"/>
        </w:rPr>
        <w:t>4.1.</w:t>
      </w:r>
      <w:r w:rsidRPr="003F2970">
        <w:rPr>
          <w:highlight w:val="yellow"/>
        </w:rPr>
        <w:tab/>
      </w:r>
      <w:r w:rsidR="00CE4AFA" w:rsidRPr="003F2970">
        <w:rPr>
          <w:highlight w:val="yellow"/>
        </w:rPr>
        <w:t>Prepare a 10 mM working solution from tBHP stock (diluted in DPBS or media).</w:t>
      </w:r>
    </w:p>
    <w:p w14:paraId="71590AEE" w14:textId="0245376A" w:rsidR="002A3430" w:rsidRPr="009A2F35" w:rsidRDefault="00CE4AFA" w:rsidP="009A2F35">
      <w:r w:rsidRPr="009A2F35">
        <w:t>NOTE</w:t>
      </w:r>
      <w:r w:rsidR="00A406A0">
        <w:t>:</w:t>
      </w:r>
      <w:r w:rsidRPr="009A2F35">
        <w:t xml:space="preserve"> tBHP is light-sensitive: cover the container when working with it. The working solution can be used for up to one week when stored properly at 4 °C.</w:t>
      </w:r>
    </w:p>
    <w:p w14:paraId="00052D7F" w14:textId="5587037A" w:rsidR="002A3430" w:rsidRDefault="00CE4AFA" w:rsidP="009A2F35">
      <w:r w:rsidRPr="009A2F35">
        <w:t>NOTE: Treatment schedule: Day 1 (the day after seeding) marks the start of tBHP exposure. Melanocytes are treated twice daily with at least a</w:t>
      </w:r>
      <w:r w:rsidR="00D6667C">
        <w:t xml:space="preserve"> 4 </w:t>
      </w:r>
      <w:r w:rsidR="008F6E2B">
        <w:t>h</w:t>
      </w:r>
      <w:r w:rsidR="008F6E2B" w:rsidRPr="009A2F35">
        <w:t xml:space="preserve"> </w:t>
      </w:r>
      <w:r w:rsidRPr="009A2F35">
        <w:t>interval between applications. This regimen is repeated from Day 1 to Day 4, for a total of 4 days of treatment.</w:t>
      </w:r>
    </w:p>
    <w:p w14:paraId="7CB99454" w14:textId="77777777" w:rsidR="00E1458E" w:rsidRPr="00E1458E" w:rsidRDefault="00E1458E" w:rsidP="00E1458E">
      <w:pPr>
        <w:rPr>
          <w:lang w:val="en-AT"/>
        </w:rPr>
      </w:pPr>
      <w:r>
        <w:t xml:space="preserve">NOTE: </w:t>
      </w:r>
      <w:r w:rsidRPr="00E1458E">
        <w:rPr>
          <w:lang w:val="en-AT"/>
        </w:rPr>
        <w:t>The selected tBHP concentration and treatment schedule were adapted from previous work in dermal fibroblasts, where lower concentrations were sufficient to induce senescence. In primary melanocytes, however, higher concentrations were required to achieve robust senescence induction, and 100 μM tBHP was identified as optimal based on titration experiments balancing senescence induction and cell viability</w:t>
      </w:r>
    </w:p>
    <w:p w14:paraId="07DCEBB2" w14:textId="767C4CA1" w:rsidR="00E1458E" w:rsidRDefault="00E1458E" w:rsidP="009A2F35"/>
    <w:p w14:paraId="7894B45B" w14:textId="77777777" w:rsidR="00AC6DA8" w:rsidRPr="009A2F35" w:rsidRDefault="00AC6DA8" w:rsidP="009A2F35"/>
    <w:p w14:paraId="61AF1D4D" w14:textId="379D31AB" w:rsidR="002A3430" w:rsidRPr="003F2970" w:rsidRDefault="00F0649B" w:rsidP="00B5497A">
      <w:pPr>
        <w:rPr>
          <w:highlight w:val="yellow"/>
        </w:rPr>
      </w:pPr>
      <w:r w:rsidRPr="003F2970">
        <w:rPr>
          <w:highlight w:val="yellow"/>
        </w:rPr>
        <w:t>4.2.</w:t>
      </w:r>
      <w:r w:rsidRPr="003F2970">
        <w:rPr>
          <w:highlight w:val="yellow"/>
        </w:rPr>
        <w:tab/>
      </w:r>
      <w:r w:rsidR="00CE4AFA" w:rsidRPr="003F2970">
        <w:rPr>
          <w:highlight w:val="yellow"/>
        </w:rPr>
        <w:t xml:space="preserve">Add 100 µM tBHP to cells for 1 </w:t>
      </w:r>
      <w:r w:rsidR="008F6E2B" w:rsidRPr="003F2970">
        <w:rPr>
          <w:highlight w:val="yellow"/>
        </w:rPr>
        <w:t xml:space="preserve">h </w:t>
      </w:r>
      <w:r w:rsidR="00CE4AFA" w:rsidRPr="003F2970">
        <w:rPr>
          <w:highlight w:val="yellow"/>
        </w:rPr>
        <w:t>per treatment (To initiate, add the appropriate volume of working solution, ensuring to pipette into the liquid medium.)</w:t>
      </w:r>
    </w:p>
    <w:p w14:paraId="26B9F33B" w14:textId="77777777" w:rsidR="00AC6DA8" w:rsidRPr="003F2970" w:rsidRDefault="00AC6DA8" w:rsidP="003F2970">
      <w:pPr>
        <w:rPr>
          <w:highlight w:val="yellow"/>
        </w:rPr>
      </w:pPr>
    </w:p>
    <w:p w14:paraId="009E252D" w14:textId="565A68C0" w:rsidR="00AC6DA8" w:rsidRPr="003F2970" w:rsidRDefault="00F0649B" w:rsidP="003F2970">
      <w:pPr>
        <w:rPr>
          <w:highlight w:val="yellow"/>
        </w:rPr>
      </w:pPr>
      <w:r w:rsidRPr="003F2970">
        <w:rPr>
          <w:highlight w:val="yellow"/>
        </w:rPr>
        <w:t>4.3.</w:t>
      </w:r>
      <w:r w:rsidRPr="003F2970">
        <w:rPr>
          <w:highlight w:val="yellow"/>
        </w:rPr>
        <w:tab/>
      </w:r>
      <w:r w:rsidR="00CE4AFA" w:rsidRPr="003F2970">
        <w:rPr>
          <w:highlight w:val="yellow"/>
        </w:rPr>
        <w:t xml:space="preserve">Move the plate back and forth and side to side to distribute tBHP evenly throughout the medium. </w:t>
      </w:r>
    </w:p>
    <w:p w14:paraId="348EAE53" w14:textId="77777777" w:rsidR="002A3430" w:rsidRPr="003F2970" w:rsidRDefault="00CE4AFA" w:rsidP="009A2F35">
      <w:pPr>
        <w:rPr>
          <w:highlight w:val="yellow"/>
        </w:rPr>
      </w:pPr>
      <w:r w:rsidRPr="003F2970">
        <w:rPr>
          <w:highlight w:val="yellow"/>
        </w:rPr>
        <w:t>NOTE: Avoid circular motions as this may cause uneven distribution of tBHP through the medium.</w:t>
      </w:r>
    </w:p>
    <w:p w14:paraId="314876DE" w14:textId="77777777" w:rsidR="00AC6DA8" w:rsidRPr="003F2970" w:rsidRDefault="00AC6DA8" w:rsidP="009A2F35">
      <w:pPr>
        <w:rPr>
          <w:highlight w:val="yellow"/>
        </w:rPr>
      </w:pPr>
    </w:p>
    <w:p w14:paraId="60C26A43" w14:textId="24873880" w:rsidR="002A3430" w:rsidRPr="003F2970" w:rsidRDefault="00F0649B" w:rsidP="00F0649B">
      <w:pPr>
        <w:rPr>
          <w:highlight w:val="yellow"/>
        </w:rPr>
      </w:pPr>
      <w:r w:rsidRPr="003F2970">
        <w:rPr>
          <w:highlight w:val="yellow"/>
        </w:rPr>
        <w:t>4.4.</w:t>
      </w:r>
      <w:r w:rsidRPr="003F2970">
        <w:rPr>
          <w:highlight w:val="yellow"/>
        </w:rPr>
        <w:tab/>
      </w:r>
      <w:r w:rsidR="00CE4AFA" w:rsidRPr="003F2970">
        <w:rPr>
          <w:highlight w:val="yellow"/>
        </w:rPr>
        <w:t xml:space="preserve">Incubate for precisely 1 </w:t>
      </w:r>
      <w:r w:rsidR="008F6E2B" w:rsidRPr="003F2970">
        <w:rPr>
          <w:highlight w:val="yellow"/>
        </w:rPr>
        <w:t xml:space="preserve">h </w:t>
      </w:r>
      <w:r w:rsidR="00CE4AFA" w:rsidRPr="003F2970">
        <w:rPr>
          <w:highlight w:val="yellow"/>
        </w:rPr>
        <w:t xml:space="preserve">at 37 °C with 5% CO₂. </w:t>
      </w:r>
    </w:p>
    <w:p w14:paraId="7C9DDF85" w14:textId="77777777" w:rsidR="00AC6DA8" w:rsidRPr="003F2970" w:rsidRDefault="00AC6DA8" w:rsidP="003F2970">
      <w:pPr>
        <w:rPr>
          <w:highlight w:val="yellow"/>
        </w:rPr>
      </w:pPr>
    </w:p>
    <w:p w14:paraId="1D736A74" w14:textId="6A6B3F93" w:rsidR="002A3430" w:rsidRPr="003F2970" w:rsidRDefault="00F0649B" w:rsidP="00F0649B">
      <w:pPr>
        <w:rPr>
          <w:highlight w:val="yellow"/>
        </w:rPr>
      </w:pPr>
      <w:r w:rsidRPr="003F2970">
        <w:rPr>
          <w:highlight w:val="yellow"/>
        </w:rPr>
        <w:lastRenderedPageBreak/>
        <w:t>4.5.</w:t>
      </w:r>
      <w:r w:rsidRPr="003F2970">
        <w:rPr>
          <w:highlight w:val="yellow"/>
        </w:rPr>
        <w:tab/>
      </w:r>
      <w:r w:rsidR="00CE4AFA" w:rsidRPr="003F2970">
        <w:rPr>
          <w:highlight w:val="yellow"/>
        </w:rPr>
        <w:t>To terminate tBHP treatment, aspirate the medium.</w:t>
      </w:r>
    </w:p>
    <w:p w14:paraId="0C5995BB" w14:textId="77777777" w:rsidR="00AC6DA8" w:rsidRPr="003F2970" w:rsidRDefault="00AC6DA8" w:rsidP="003F2970">
      <w:pPr>
        <w:rPr>
          <w:highlight w:val="yellow"/>
        </w:rPr>
      </w:pPr>
    </w:p>
    <w:p w14:paraId="6FC79D02" w14:textId="5C793F25" w:rsidR="002A3430" w:rsidRPr="003F2970" w:rsidRDefault="00F0649B" w:rsidP="00F0649B">
      <w:pPr>
        <w:rPr>
          <w:highlight w:val="yellow"/>
        </w:rPr>
      </w:pPr>
      <w:r w:rsidRPr="003F2970">
        <w:rPr>
          <w:highlight w:val="yellow"/>
        </w:rPr>
        <w:t>4.6.</w:t>
      </w:r>
      <w:r w:rsidRPr="003F2970">
        <w:rPr>
          <w:highlight w:val="yellow"/>
        </w:rPr>
        <w:tab/>
      </w:r>
      <w:r w:rsidR="00CE4AFA" w:rsidRPr="003F2970">
        <w:rPr>
          <w:highlight w:val="yellow"/>
        </w:rPr>
        <w:t xml:space="preserve">Wash plates twice with </w:t>
      </w:r>
      <w:r w:rsidR="00DA19F2" w:rsidRPr="003F2970">
        <w:rPr>
          <w:highlight w:val="yellow"/>
        </w:rPr>
        <w:t>pre-heated D</w:t>
      </w:r>
      <w:r w:rsidR="00CE4AFA" w:rsidRPr="003F2970">
        <w:rPr>
          <w:highlight w:val="yellow"/>
        </w:rPr>
        <w:t>PBS</w:t>
      </w:r>
      <w:r w:rsidR="00DA19F2" w:rsidRPr="003F2970">
        <w:rPr>
          <w:highlight w:val="yellow"/>
        </w:rPr>
        <w:t xml:space="preserve"> (37 °C)</w:t>
      </w:r>
      <w:r w:rsidR="00CE4AFA" w:rsidRPr="003F2970">
        <w:rPr>
          <w:highlight w:val="yellow"/>
        </w:rPr>
        <w:t xml:space="preserve">. </w:t>
      </w:r>
    </w:p>
    <w:p w14:paraId="6FA0D783" w14:textId="77777777" w:rsidR="00AC6DA8" w:rsidRPr="003F2970" w:rsidRDefault="00AC6DA8" w:rsidP="003F2970">
      <w:pPr>
        <w:rPr>
          <w:highlight w:val="yellow"/>
        </w:rPr>
      </w:pPr>
    </w:p>
    <w:p w14:paraId="57DF50C2" w14:textId="58233DBF" w:rsidR="002A3430" w:rsidRPr="003F2970" w:rsidRDefault="008F6E2B" w:rsidP="008F6E2B">
      <w:pPr>
        <w:rPr>
          <w:highlight w:val="yellow"/>
        </w:rPr>
      </w:pPr>
      <w:r w:rsidRPr="003F2970">
        <w:rPr>
          <w:highlight w:val="yellow"/>
        </w:rPr>
        <w:t>4.7.</w:t>
      </w:r>
      <w:r w:rsidRPr="003F2970">
        <w:rPr>
          <w:highlight w:val="yellow"/>
        </w:rPr>
        <w:tab/>
      </w:r>
      <w:r w:rsidR="00CE4AFA" w:rsidRPr="003F2970">
        <w:rPr>
          <w:highlight w:val="yellow"/>
        </w:rPr>
        <w:t>Add the appropriate volume of fresh medium to the plates.</w:t>
      </w:r>
    </w:p>
    <w:p w14:paraId="3223971E" w14:textId="77777777" w:rsidR="00AC6DA8" w:rsidRPr="003F2970" w:rsidRDefault="00AC6DA8" w:rsidP="003F2970">
      <w:pPr>
        <w:rPr>
          <w:highlight w:val="yellow"/>
        </w:rPr>
      </w:pPr>
    </w:p>
    <w:p w14:paraId="2D2A060F" w14:textId="728F55FF" w:rsidR="002A3430" w:rsidRPr="003F2970" w:rsidRDefault="008F6E2B" w:rsidP="008F6E2B">
      <w:pPr>
        <w:jc w:val="left"/>
        <w:rPr>
          <w:highlight w:val="yellow"/>
        </w:rPr>
      </w:pPr>
      <w:r w:rsidRPr="003F2970">
        <w:rPr>
          <w:highlight w:val="yellow"/>
        </w:rPr>
        <w:t>4.8.</w:t>
      </w:r>
      <w:r w:rsidRPr="003F2970">
        <w:rPr>
          <w:highlight w:val="yellow"/>
        </w:rPr>
        <w:tab/>
      </w:r>
      <w:r w:rsidR="00CE4AFA" w:rsidRPr="003F2970">
        <w:rPr>
          <w:highlight w:val="yellow"/>
        </w:rPr>
        <w:t xml:space="preserve">Allow cells to recover in the incubator for at least 4 </w:t>
      </w:r>
      <w:r w:rsidRPr="003F2970">
        <w:rPr>
          <w:highlight w:val="yellow"/>
        </w:rPr>
        <w:t xml:space="preserve">h </w:t>
      </w:r>
      <w:r w:rsidR="00CE4AFA" w:rsidRPr="003F2970">
        <w:rPr>
          <w:highlight w:val="yellow"/>
        </w:rPr>
        <w:t xml:space="preserve">before initiating the subsequent treatment. </w:t>
      </w:r>
    </w:p>
    <w:p w14:paraId="1D6E42FD" w14:textId="77777777" w:rsidR="00AC6DA8" w:rsidRPr="003F2970" w:rsidRDefault="00AC6DA8" w:rsidP="003F2970">
      <w:pPr>
        <w:jc w:val="left"/>
        <w:rPr>
          <w:highlight w:val="yellow"/>
        </w:rPr>
      </w:pPr>
    </w:p>
    <w:p w14:paraId="40373049" w14:textId="2956B9DA" w:rsidR="002A3430" w:rsidRDefault="00EF75D8" w:rsidP="00981433">
      <w:pPr>
        <w:jc w:val="left"/>
      </w:pPr>
      <w:r w:rsidRPr="003F2970">
        <w:rPr>
          <w:highlight w:val="yellow"/>
        </w:rPr>
        <w:t>4.9.</w:t>
      </w:r>
      <w:r w:rsidRPr="003F2970">
        <w:rPr>
          <w:highlight w:val="yellow"/>
        </w:rPr>
        <w:tab/>
      </w:r>
      <w:r w:rsidR="00CE4AFA" w:rsidRPr="003F2970">
        <w:rPr>
          <w:highlight w:val="yellow"/>
        </w:rPr>
        <w:t xml:space="preserve">Repeat this procedure on the same day for the second </w:t>
      </w:r>
      <w:r w:rsidR="00DA19F2" w:rsidRPr="003F2970">
        <w:rPr>
          <w:highlight w:val="yellow"/>
        </w:rPr>
        <w:t>treatment and</w:t>
      </w:r>
      <w:r w:rsidR="00CE4AFA" w:rsidRPr="003F2970">
        <w:rPr>
          <w:highlight w:val="yellow"/>
        </w:rPr>
        <w:t xml:space="preserve"> continue for the</w:t>
      </w:r>
      <w:r w:rsidR="00B90B06" w:rsidRPr="003F2970">
        <w:rPr>
          <w:highlight w:val="yellow"/>
        </w:rPr>
        <w:t xml:space="preserve"> </w:t>
      </w:r>
      <w:r w:rsidR="00CE4AFA" w:rsidRPr="003F2970">
        <w:rPr>
          <w:highlight w:val="yellow"/>
        </w:rPr>
        <w:t>remaining</w:t>
      </w:r>
      <w:r w:rsidR="00B90B06" w:rsidRPr="003F2970">
        <w:rPr>
          <w:highlight w:val="yellow"/>
        </w:rPr>
        <w:t xml:space="preserve"> </w:t>
      </w:r>
      <w:r w:rsidR="00CE4AFA" w:rsidRPr="003F2970">
        <w:rPr>
          <w:highlight w:val="yellow"/>
        </w:rPr>
        <w:t>days.</w:t>
      </w:r>
      <w:r w:rsidR="00B90B06" w:rsidRPr="003F2970">
        <w:rPr>
          <w:highlight w:val="yellow"/>
        </w:rPr>
        <w:t xml:space="preserve"> </w:t>
      </w:r>
      <w:r w:rsidR="00CE4AFA" w:rsidRPr="003F2970">
        <w:rPr>
          <w:highlight w:val="yellow"/>
        </w:rPr>
        <w:t>Maintain the cells in culture after finishing the treatment until Day 9 to assess senescence markers.</w:t>
      </w:r>
      <w:r w:rsidR="00CE4AFA" w:rsidRPr="009A2F35">
        <w:t xml:space="preserve"> </w:t>
      </w:r>
    </w:p>
    <w:p w14:paraId="52185523" w14:textId="77777777" w:rsidR="008E64AB" w:rsidRPr="009A2F35" w:rsidRDefault="008E64AB" w:rsidP="003F2970">
      <w:pPr>
        <w:jc w:val="left"/>
      </w:pPr>
    </w:p>
    <w:p w14:paraId="20443B43" w14:textId="37DE9352" w:rsidR="002A3430" w:rsidRDefault="00EF75D8" w:rsidP="00EF75D8">
      <w:r>
        <w:t>4.10.</w:t>
      </w:r>
      <w:r>
        <w:tab/>
      </w:r>
      <w:r w:rsidR="00CE4AFA" w:rsidRPr="009A2F35">
        <w:t xml:space="preserve">Monitor control plates and passage if confluent. </w:t>
      </w:r>
    </w:p>
    <w:p w14:paraId="6CA5E8E4" w14:textId="4ACFD964" w:rsidR="00DA4F9B" w:rsidRPr="009A2F35" w:rsidRDefault="00DA4F9B" w:rsidP="003F2970">
      <w:r>
        <w:t xml:space="preserve">NOTE: </w:t>
      </w:r>
      <w:r w:rsidR="00954FF0">
        <w:t xml:space="preserve">All materials in contact with human cells should be considered biologically contaminated and disposed of </w:t>
      </w:r>
      <w:r w:rsidR="00E90C22">
        <w:t>in</w:t>
      </w:r>
      <w:r w:rsidR="00954FF0">
        <w:t xml:space="preserve"> </w:t>
      </w:r>
      <w:r w:rsidR="00E90C22">
        <w:t>accordance with</w:t>
      </w:r>
      <w:r w:rsidR="00954FF0">
        <w:t xml:space="preserve"> institutional biosafety guidelines.</w:t>
      </w:r>
    </w:p>
    <w:p w14:paraId="10C08B7A" w14:textId="77777777" w:rsidR="00EF75D8" w:rsidRDefault="00EF75D8" w:rsidP="009A2F35"/>
    <w:p w14:paraId="74A22B8A" w14:textId="3673BA58" w:rsidR="002A3430" w:rsidRDefault="00CE4AFA" w:rsidP="009A2F35">
      <w:r w:rsidRPr="009A2F35">
        <w:t xml:space="preserve">To assess senescence, we use complementary assays that evaluate growth arrest, SA-β-gal activity, and additional molecular markers. Here, we present the protocols for these assays and the expected outcomes when working with these senescence indicators. </w:t>
      </w:r>
    </w:p>
    <w:p w14:paraId="64B51B48" w14:textId="77777777" w:rsidR="009A2F35" w:rsidRPr="009A2F35" w:rsidRDefault="009A2F35" w:rsidP="009A2F35"/>
    <w:p w14:paraId="0C6D41CD" w14:textId="5CD5D78D" w:rsidR="002A3430" w:rsidRPr="003F2970" w:rsidRDefault="000F42C8" w:rsidP="009A2F35">
      <w:pPr>
        <w:rPr>
          <w:b/>
          <w:bCs/>
          <w:highlight w:val="yellow"/>
        </w:rPr>
      </w:pPr>
      <w:r w:rsidRPr="003F2970">
        <w:rPr>
          <w:b/>
          <w:bCs/>
          <w:highlight w:val="yellow"/>
        </w:rPr>
        <w:t>5.</w:t>
      </w:r>
      <w:r w:rsidRPr="003F2970">
        <w:rPr>
          <w:b/>
          <w:bCs/>
          <w:highlight w:val="yellow"/>
        </w:rPr>
        <w:tab/>
      </w:r>
      <w:r w:rsidR="00CE4AFA" w:rsidRPr="003F2970">
        <w:rPr>
          <w:b/>
          <w:bCs/>
          <w:highlight w:val="yellow"/>
        </w:rPr>
        <w:t xml:space="preserve">Growth </w:t>
      </w:r>
      <w:r w:rsidR="009A2F35" w:rsidRPr="003F2970">
        <w:rPr>
          <w:b/>
          <w:bCs/>
          <w:highlight w:val="yellow"/>
        </w:rPr>
        <w:t>curve analysis</w:t>
      </w:r>
    </w:p>
    <w:p w14:paraId="10E003C9" w14:textId="77777777" w:rsidR="008E64AB" w:rsidRPr="003F2970" w:rsidRDefault="008E64AB" w:rsidP="009A2F35">
      <w:pPr>
        <w:rPr>
          <w:highlight w:val="yellow"/>
        </w:rPr>
      </w:pPr>
    </w:p>
    <w:p w14:paraId="568201E7" w14:textId="4D507064" w:rsidR="002A3430" w:rsidRPr="003F2970" w:rsidRDefault="000F42C8" w:rsidP="000F42C8">
      <w:pPr>
        <w:rPr>
          <w:highlight w:val="yellow"/>
        </w:rPr>
      </w:pPr>
      <w:r w:rsidRPr="003F2970">
        <w:rPr>
          <w:highlight w:val="yellow"/>
        </w:rPr>
        <w:t>5.1.</w:t>
      </w:r>
      <w:r w:rsidRPr="003F2970">
        <w:rPr>
          <w:highlight w:val="yellow"/>
        </w:rPr>
        <w:tab/>
      </w:r>
      <w:r w:rsidR="00CE4AFA" w:rsidRPr="003F2970">
        <w:rPr>
          <w:highlight w:val="yellow"/>
        </w:rPr>
        <w:t>Count tBHP-treated cells and controls following the seeding protocol.</w:t>
      </w:r>
    </w:p>
    <w:p w14:paraId="5DDEBD31" w14:textId="77777777" w:rsidR="008E64AB" w:rsidRPr="003F2970" w:rsidRDefault="008E64AB" w:rsidP="003F2970">
      <w:pPr>
        <w:rPr>
          <w:highlight w:val="yellow"/>
        </w:rPr>
      </w:pPr>
    </w:p>
    <w:p w14:paraId="548FF01B" w14:textId="7706D3FD" w:rsidR="002A3430" w:rsidRPr="003F2970" w:rsidRDefault="00527A0D" w:rsidP="000F42C8">
      <w:pPr>
        <w:rPr>
          <w:highlight w:val="yellow"/>
        </w:rPr>
      </w:pPr>
      <w:r w:rsidRPr="003F2970">
        <w:rPr>
          <w:highlight w:val="yellow"/>
        </w:rPr>
        <w:t>5.2.</w:t>
      </w:r>
      <w:r w:rsidRPr="003F2970">
        <w:rPr>
          <w:highlight w:val="yellow"/>
        </w:rPr>
        <w:tab/>
      </w:r>
      <w:r w:rsidR="00CE4AFA" w:rsidRPr="003F2970">
        <w:rPr>
          <w:highlight w:val="yellow"/>
        </w:rPr>
        <w:t>Reseed the same initial density or all the cells in case you count fewer than the 6 × 10⁵ cells for tBHP plates.</w:t>
      </w:r>
    </w:p>
    <w:p w14:paraId="17844BC1" w14:textId="77777777" w:rsidR="003C62D4" w:rsidRPr="003F2970" w:rsidRDefault="003C62D4" w:rsidP="003F2970">
      <w:pPr>
        <w:rPr>
          <w:highlight w:val="yellow"/>
        </w:rPr>
      </w:pPr>
    </w:p>
    <w:p w14:paraId="30FB18F2" w14:textId="2F333B11" w:rsidR="002A3430" w:rsidRDefault="00527A0D" w:rsidP="00527A0D">
      <w:r w:rsidRPr="003F2970">
        <w:rPr>
          <w:highlight w:val="yellow"/>
        </w:rPr>
        <w:t>5.3.</w:t>
      </w:r>
      <w:r w:rsidRPr="003F2970">
        <w:rPr>
          <w:highlight w:val="yellow"/>
        </w:rPr>
        <w:tab/>
      </w:r>
      <w:r w:rsidR="00CE4AFA" w:rsidRPr="003F2970">
        <w:rPr>
          <w:highlight w:val="yellow"/>
        </w:rPr>
        <w:t>Perform cell counts on days 4, 9, and 15 of culture.</w:t>
      </w:r>
      <w:r w:rsidR="00CE4AFA" w:rsidRPr="009A2F35">
        <w:t xml:space="preserve"> </w:t>
      </w:r>
    </w:p>
    <w:p w14:paraId="20E21929" w14:textId="77777777" w:rsidR="003C62D4" w:rsidRPr="009A2F35" w:rsidRDefault="003C62D4" w:rsidP="003F2970"/>
    <w:p w14:paraId="2BF8CD4A" w14:textId="10648C61" w:rsidR="002A3430" w:rsidRPr="009A2F35" w:rsidRDefault="00527A0D" w:rsidP="003F2970">
      <w:r>
        <w:t>5.4.</w:t>
      </w:r>
      <w:r>
        <w:tab/>
      </w:r>
      <w:r w:rsidR="00CE4AFA" w:rsidRPr="009A2F35">
        <w:t xml:space="preserve">Calculate the growth curve using the following formula: </w:t>
      </w:r>
      <w:r w:rsidR="00CE4AFA" w:rsidRPr="009A2F35">
        <w:rPr>
          <w:i/>
          <w:iCs/>
        </w:rPr>
        <w:t>log (</w:t>
      </w:r>
      <w:r w:rsidR="00CE4AFA" w:rsidRPr="009A2F35">
        <w:rPr>
          <w:b/>
          <w:bCs/>
          <w:i/>
          <w:iCs/>
        </w:rPr>
        <w:t>count</w:t>
      </w:r>
      <w:r w:rsidR="00CE4AFA" w:rsidRPr="009A2F35">
        <w:rPr>
          <w:i/>
          <w:iCs/>
        </w:rPr>
        <w:t>) – log (</w:t>
      </w:r>
      <w:r w:rsidR="00CE4AFA" w:rsidRPr="009A2F35">
        <w:rPr>
          <w:b/>
          <w:bCs/>
          <w:i/>
          <w:iCs/>
        </w:rPr>
        <w:t>seed</w:t>
      </w:r>
      <w:r w:rsidR="00CE4AFA" w:rsidRPr="009A2F35">
        <w:rPr>
          <w:i/>
          <w:iCs/>
        </w:rPr>
        <w:t xml:space="preserve">)/0.301 + </w:t>
      </w:r>
      <w:proofErr w:type="spellStart"/>
      <w:r w:rsidR="00CE4AFA" w:rsidRPr="009A2F35">
        <w:rPr>
          <w:b/>
          <w:bCs/>
          <w:i/>
          <w:iCs/>
        </w:rPr>
        <w:t>cPDL</w:t>
      </w:r>
      <w:proofErr w:type="spellEnd"/>
      <w:r w:rsidR="00CE4AFA" w:rsidRPr="009A2F35">
        <w:t xml:space="preserve">. </w:t>
      </w:r>
    </w:p>
    <w:p w14:paraId="02E84D67" w14:textId="77777777" w:rsidR="002A3430" w:rsidRPr="009A2F35" w:rsidRDefault="00CE4AFA" w:rsidP="009A2F35">
      <w:r w:rsidRPr="009A2F35">
        <w:rPr>
          <w:b/>
          <w:bCs/>
        </w:rPr>
        <w:t>count</w:t>
      </w:r>
      <w:r w:rsidRPr="009A2F35">
        <w:t>: number of cells obtained at the end of the passage</w:t>
      </w:r>
    </w:p>
    <w:p w14:paraId="24EE20C4" w14:textId="77777777" w:rsidR="002A3430" w:rsidRPr="009A2F35" w:rsidRDefault="00CE4AFA" w:rsidP="009A2F35">
      <w:r w:rsidRPr="009A2F35">
        <w:rPr>
          <w:b/>
          <w:bCs/>
        </w:rPr>
        <w:t>seed:</w:t>
      </w:r>
      <w:r w:rsidRPr="009A2F35">
        <w:t xml:space="preserve"> number of cells initially plated at the start of the passage</w:t>
      </w:r>
    </w:p>
    <w:p w14:paraId="5E6BC975" w14:textId="22D3BDAD" w:rsidR="002A3430" w:rsidRPr="009A2F35" w:rsidRDefault="00CE4AFA" w:rsidP="009A2F35">
      <w:proofErr w:type="spellStart"/>
      <w:r w:rsidRPr="009A2F35">
        <w:rPr>
          <w:b/>
          <w:bCs/>
        </w:rPr>
        <w:t>cPDL</w:t>
      </w:r>
      <w:proofErr w:type="spellEnd"/>
      <w:r w:rsidRPr="009A2F35">
        <w:t>: cumulative population doubling level carried over from previous passages</w:t>
      </w:r>
    </w:p>
    <w:p w14:paraId="171A01A1" w14:textId="77777777" w:rsidR="00DA4F9B" w:rsidRPr="009A2F35" w:rsidRDefault="00DA4F9B" w:rsidP="009A2F35"/>
    <w:p w14:paraId="2830848D" w14:textId="235A5B9A" w:rsidR="002A3430" w:rsidRPr="003F2970" w:rsidRDefault="0028733F" w:rsidP="009A2F35">
      <w:pPr>
        <w:rPr>
          <w:b/>
          <w:bCs/>
          <w:highlight w:val="yellow"/>
        </w:rPr>
      </w:pPr>
      <w:r w:rsidRPr="003F2970">
        <w:rPr>
          <w:b/>
          <w:bCs/>
          <w:highlight w:val="yellow"/>
        </w:rPr>
        <w:t>6.</w:t>
      </w:r>
      <w:r w:rsidRPr="003F2970">
        <w:rPr>
          <w:b/>
          <w:bCs/>
          <w:highlight w:val="yellow"/>
        </w:rPr>
        <w:tab/>
      </w:r>
      <w:r w:rsidR="00CE4AFA" w:rsidRPr="003F2970">
        <w:rPr>
          <w:b/>
          <w:bCs/>
          <w:highlight w:val="yellow"/>
        </w:rPr>
        <w:t>SA-β-galactosidase Activity</w:t>
      </w:r>
    </w:p>
    <w:p w14:paraId="6DB794C3" w14:textId="77777777" w:rsidR="003C62D4" w:rsidRPr="003F2970" w:rsidRDefault="003C62D4" w:rsidP="009A2F35">
      <w:pPr>
        <w:rPr>
          <w:b/>
          <w:bCs/>
          <w:highlight w:val="yellow"/>
        </w:rPr>
      </w:pPr>
    </w:p>
    <w:p w14:paraId="6859E312" w14:textId="176ABE67" w:rsidR="002A3430" w:rsidRPr="003F2970" w:rsidRDefault="0028733F" w:rsidP="0028733F">
      <w:pPr>
        <w:rPr>
          <w:highlight w:val="yellow"/>
        </w:rPr>
      </w:pPr>
      <w:r w:rsidRPr="003F2970">
        <w:rPr>
          <w:highlight w:val="yellow"/>
        </w:rPr>
        <w:t>6.1.</w:t>
      </w:r>
      <w:r w:rsidR="00785F52" w:rsidRPr="003F2970">
        <w:rPr>
          <w:highlight w:val="yellow"/>
        </w:rPr>
        <w:tab/>
      </w:r>
      <w:r w:rsidR="00CE4AFA" w:rsidRPr="003F2970">
        <w:rPr>
          <w:highlight w:val="yellow"/>
        </w:rPr>
        <w:t xml:space="preserve">On day 9, wash cells twice in PBS before fixing with 2% formaldehyde and 0.4% glutaraldehyde. </w:t>
      </w:r>
    </w:p>
    <w:p w14:paraId="62EC50F4" w14:textId="77777777" w:rsidR="003C62D4" w:rsidRPr="003F2970" w:rsidRDefault="003C62D4" w:rsidP="003F2970">
      <w:pPr>
        <w:rPr>
          <w:highlight w:val="yellow"/>
        </w:rPr>
      </w:pPr>
    </w:p>
    <w:p w14:paraId="5B691F2D" w14:textId="1FC93610" w:rsidR="002A3430" w:rsidRPr="003F2970" w:rsidRDefault="00785F52" w:rsidP="00785F52">
      <w:pPr>
        <w:rPr>
          <w:highlight w:val="yellow"/>
        </w:rPr>
      </w:pPr>
      <w:r w:rsidRPr="003F2970">
        <w:rPr>
          <w:highlight w:val="yellow"/>
        </w:rPr>
        <w:t>6.2.</w:t>
      </w:r>
      <w:r w:rsidRPr="003F2970">
        <w:rPr>
          <w:highlight w:val="yellow"/>
        </w:rPr>
        <w:tab/>
      </w:r>
      <w:r w:rsidR="00CE4AFA" w:rsidRPr="003F2970">
        <w:rPr>
          <w:highlight w:val="yellow"/>
        </w:rPr>
        <w:t>Wash cells twice with PBS.</w:t>
      </w:r>
    </w:p>
    <w:p w14:paraId="15C80811" w14:textId="77777777" w:rsidR="003C62D4" w:rsidRPr="003F2970" w:rsidRDefault="003C62D4" w:rsidP="003F2970">
      <w:pPr>
        <w:rPr>
          <w:highlight w:val="yellow"/>
        </w:rPr>
      </w:pPr>
    </w:p>
    <w:p w14:paraId="6ADDE1EE" w14:textId="38058DCF" w:rsidR="002A3430" w:rsidRPr="003F2970" w:rsidRDefault="00785F52" w:rsidP="00785F52">
      <w:pPr>
        <w:rPr>
          <w:highlight w:val="yellow"/>
        </w:rPr>
      </w:pPr>
      <w:r w:rsidRPr="003F2970">
        <w:rPr>
          <w:highlight w:val="yellow"/>
        </w:rPr>
        <w:t>6.3.</w:t>
      </w:r>
      <w:r w:rsidRPr="003F2970">
        <w:rPr>
          <w:highlight w:val="yellow"/>
        </w:rPr>
        <w:tab/>
      </w:r>
      <w:r w:rsidR="00CE4AFA" w:rsidRPr="003F2970">
        <w:rPr>
          <w:highlight w:val="yellow"/>
        </w:rPr>
        <w:t xml:space="preserve">Incubate fixed cells with staining solution with a pH of 6.0 (150 mM NaCl, 2 mM </w:t>
      </w:r>
      <w:proofErr w:type="spellStart"/>
      <w:r w:rsidR="00CE4AFA" w:rsidRPr="003F2970">
        <w:rPr>
          <w:highlight w:val="yellow"/>
        </w:rPr>
        <w:t>MgCl</w:t>
      </w:r>
      <w:proofErr w:type="spellEnd"/>
      <w:r w:rsidR="00CE4AFA" w:rsidRPr="003F2970">
        <w:rPr>
          <w:highlight w:val="yellow"/>
        </w:rPr>
        <w:t xml:space="preserve">, 5 </w:t>
      </w:r>
      <w:r w:rsidR="00CE4AFA" w:rsidRPr="003F2970">
        <w:rPr>
          <w:highlight w:val="yellow"/>
        </w:rPr>
        <w:lastRenderedPageBreak/>
        <w:t>mM potassium ferricyanide, 5 mM potassium ferrocyanide, 40 mM citric acid, 12 mM sodium phosphate, and 1 mg/mL 5-bromo-4-chloro-3-indolyl-β-D-</w:t>
      </w:r>
      <w:proofErr w:type="spellStart"/>
      <w:r w:rsidR="00CE4AFA" w:rsidRPr="003F2970">
        <w:rPr>
          <w:highlight w:val="yellow"/>
        </w:rPr>
        <w:t>galactoside</w:t>
      </w:r>
      <w:proofErr w:type="spellEnd"/>
      <w:r w:rsidR="00CE4AFA" w:rsidRPr="003F2970">
        <w:rPr>
          <w:highlight w:val="yellow"/>
        </w:rPr>
        <w:t xml:space="preserve"> (X-gal).</w:t>
      </w:r>
    </w:p>
    <w:p w14:paraId="4DF06E0F" w14:textId="77777777" w:rsidR="003C62D4" w:rsidRPr="003F2970" w:rsidRDefault="003C62D4" w:rsidP="003F2970">
      <w:pPr>
        <w:rPr>
          <w:highlight w:val="yellow"/>
        </w:rPr>
      </w:pPr>
    </w:p>
    <w:p w14:paraId="5D314678" w14:textId="6569DBA1" w:rsidR="002A3430" w:rsidRPr="003F2970" w:rsidRDefault="00785F52" w:rsidP="00785F52">
      <w:pPr>
        <w:rPr>
          <w:highlight w:val="yellow"/>
        </w:rPr>
      </w:pPr>
      <w:r w:rsidRPr="003F2970">
        <w:rPr>
          <w:highlight w:val="yellow"/>
        </w:rPr>
        <w:t>6.4.</w:t>
      </w:r>
      <w:r w:rsidRPr="003F2970">
        <w:rPr>
          <w:highlight w:val="yellow"/>
        </w:rPr>
        <w:tab/>
      </w:r>
      <w:r w:rsidR="00CE4AFA" w:rsidRPr="003F2970">
        <w:rPr>
          <w:highlight w:val="yellow"/>
        </w:rPr>
        <w:t xml:space="preserve">After 18 </w:t>
      </w:r>
      <w:r w:rsidR="007D1BB2" w:rsidRPr="003F2970">
        <w:rPr>
          <w:highlight w:val="yellow"/>
        </w:rPr>
        <w:t xml:space="preserve">h </w:t>
      </w:r>
      <w:r w:rsidR="00CE4AFA" w:rsidRPr="003F2970">
        <w:rPr>
          <w:highlight w:val="yellow"/>
        </w:rPr>
        <w:t xml:space="preserve">of incubation at 37 °C </w:t>
      </w:r>
      <w:r w:rsidR="00DA19F2" w:rsidRPr="003F2970">
        <w:rPr>
          <w:highlight w:val="yellow"/>
        </w:rPr>
        <w:t>in the absence of</w:t>
      </w:r>
      <w:r w:rsidR="00CE4AFA" w:rsidRPr="003F2970">
        <w:rPr>
          <w:highlight w:val="yellow"/>
        </w:rPr>
        <w:t xml:space="preserve"> CO₂, wash cells twice with PBS. </w:t>
      </w:r>
    </w:p>
    <w:p w14:paraId="5CB85DC0" w14:textId="77777777" w:rsidR="003C62D4" w:rsidRPr="003F2970" w:rsidRDefault="003C62D4" w:rsidP="003F2970">
      <w:pPr>
        <w:rPr>
          <w:highlight w:val="yellow"/>
        </w:rPr>
      </w:pPr>
    </w:p>
    <w:p w14:paraId="46694FB9" w14:textId="150F9FBE" w:rsidR="002A3430" w:rsidRPr="003F2970" w:rsidRDefault="00785F52" w:rsidP="00785F52">
      <w:pPr>
        <w:rPr>
          <w:highlight w:val="yellow"/>
        </w:rPr>
      </w:pPr>
      <w:r w:rsidRPr="003F2970">
        <w:rPr>
          <w:highlight w:val="yellow"/>
        </w:rPr>
        <w:t>6.5.</w:t>
      </w:r>
      <w:r w:rsidRPr="003F2970">
        <w:rPr>
          <w:highlight w:val="yellow"/>
        </w:rPr>
        <w:tab/>
      </w:r>
      <w:r w:rsidR="00CE4AFA" w:rsidRPr="003F2970">
        <w:rPr>
          <w:highlight w:val="yellow"/>
        </w:rPr>
        <w:t xml:space="preserve">Image using light microscopy. </w:t>
      </w:r>
    </w:p>
    <w:p w14:paraId="1D25BC66" w14:textId="77777777" w:rsidR="003C62D4" w:rsidRPr="003F2970" w:rsidRDefault="003C62D4" w:rsidP="003F2970">
      <w:pPr>
        <w:rPr>
          <w:highlight w:val="yellow"/>
        </w:rPr>
      </w:pPr>
    </w:p>
    <w:p w14:paraId="512435C9" w14:textId="1072ACCC" w:rsidR="002A3430" w:rsidRDefault="00785F52" w:rsidP="003F2970">
      <w:r w:rsidRPr="003F2970">
        <w:rPr>
          <w:highlight w:val="yellow"/>
        </w:rPr>
        <w:t>6.6.</w:t>
      </w:r>
      <w:r w:rsidRPr="003F2970">
        <w:rPr>
          <w:highlight w:val="yellow"/>
        </w:rPr>
        <w:tab/>
      </w:r>
      <w:r w:rsidR="00CE4AFA" w:rsidRPr="003F2970">
        <w:rPr>
          <w:highlight w:val="yellow"/>
        </w:rPr>
        <w:t>Quantify the number of blue-stained cells under the microscope</w:t>
      </w:r>
      <w:r w:rsidR="00DA19F2" w:rsidRPr="003F2970">
        <w:rPr>
          <w:highlight w:val="yellow"/>
        </w:rPr>
        <w:t xml:space="preserve"> by counting the number of blue cells and dividing by the total number of cells in a field. Express the results as a percentage of positive cells</w:t>
      </w:r>
      <w:r w:rsidR="00CE4AFA" w:rsidRPr="003F2970">
        <w:rPr>
          <w:highlight w:val="yellow"/>
        </w:rPr>
        <w:t>.</w:t>
      </w:r>
    </w:p>
    <w:p w14:paraId="7B860292" w14:textId="77777777" w:rsidR="009A2F35" w:rsidRPr="009A2F35" w:rsidRDefault="009A2F35" w:rsidP="009A2F35"/>
    <w:p w14:paraId="75304818" w14:textId="6A24A677" w:rsidR="002A3430" w:rsidRDefault="00785F52" w:rsidP="009A2F35">
      <w:pPr>
        <w:rPr>
          <w:b/>
          <w:bCs/>
        </w:rPr>
      </w:pPr>
      <w:r>
        <w:rPr>
          <w:b/>
          <w:bCs/>
        </w:rPr>
        <w:t>7.</w:t>
      </w:r>
      <w:r>
        <w:rPr>
          <w:b/>
          <w:bCs/>
        </w:rPr>
        <w:tab/>
      </w:r>
      <w:r w:rsidR="00CE4AFA" w:rsidRPr="009A2F35">
        <w:rPr>
          <w:b/>
          <w:bCs/>
        </w:rPr>
        <w:t>Immunofluorescence Staining</w:t>
      </w:r>
    </w:p>
    <w:p w14:paraId="54922091" w14:textId="77777777" w:rsidR="003C62D4" w:rsidRPr="009A2F35" w:rsidRDefault="003C62D4" w:rsidP="009A2F35">
      <w:pPr>
        <w:rPr>
          <w:b/>
          <w:bCs/>
        </w:rPr>
      </w:pPr>
    </w:p>
    <w:p w14:paraId="584AA605" w14:textId="3C6AE179" w:rsidR="002A3430" w:rsidRDefault="00785F52" w:rsidP="003C62D4">
      <w:r>
        <w:t>7.1.</w:t>
      </w:r>
      <w:r>
        <w:tab/>
      </w:r>
      <w:r w:rsidR="00CE4AFA" w:rsidRPr="009A2F35">
        <w:t>Use cells cultured on coverslips pre-coated with 0.1 mg/mL Poly-D-Lysine.</w:t>
      </w:r>
    </w:p>
    <w:p w14:paraId="76DB1C72" w14:textId="77777777" w:rsidR="003C62D4" w:rsidRPr="009A2F35" w:rsidRDefault="003C62D4" w:rsidP="003F2970"/>
    <w:p w14:paraId="42CFFDD6" w14:textId="291B8D86" w:rsidR="002A3430" w:rsidRDefault="00785F52" w:rsidP="00785F52">
      <w:r>
        <w:t>7.2.</w:t>
      </w:r>
      <w:r>
        <w:tab/>
      </w:r>
      <w:r w:rsidR="00CE4AFA" w:rsidRPr="009A2F35">
        <w:t xml:space="preserve">On day 9, wash cells twice, then fix with 4 % paraformaldehyde for 15 </w:t>
      </w:r>
      <w:r w:rsidR="00D6667C">
        <w:t>min</w:t>
      </w:r>
      <w:r w:rsidR="00CE4AFA" w:rsidRPr="009A2F35">
        <w:t>.</w:t>
      </w:r>
    </w:p>
    <w:p w14:paraId="3AE6636E" w14:textId="77777777" w:rsidR="00887994" w:rsidRPr="009A2F35" w:rsidRDefault="00887994" w:rsidP="003F2970"/>
    <w:p w14:paraId="4049C36C" w14:textId="211125F3" w:rsidR="002A3430" w:rsidRDefault="00785F52" w:rsidP="00785F52">
      <w:r>
        <w:t>7.3.</w:t>
      </w:r>
      <w:r>
        <w:tab/>
      </w:r>
      <w:r w:rsidR="00CE4AFA" w:rsidRPr="009A2F35">
        <w:t xml:space="preserve">Wash cells twice with PBS. </w:t>
      </w:r>
    </w:p>
    <w:p w14:paraId="5A2E9361" w14:textId="77777777" w:rsidR="00887994" w:rsidRPr="009A2F35" w:rsidRDefault="00887994" w:rsidP="003F2970"/>
    <w:p w14:paraId="68DAE76A" w14:textId="724B043D" w:rsidR="002A3430" w:rsidRDefault="00785F52" w:rsidP="00785F52">
      <w:r>
        <w:t>7.4.</w:t>
      </w:r>
      <w:r>
        <w:tab/>
      </w:r>
      <w:r w:rsidR="00CE4AFA" w:rsidRPr="009A2F35">
        <w:t xml:space="preserve">Permeabilize using 0.3 % Triton-X and 0.1 % sodium citrate in PBS. </w:t>
      </w:r>
    </w:p>
    <w:p w14:paraId="5BDD9E9E" w14:textId="77777777" w:rsidR="00887994" w:rsidRPr="009A2F35" w:rsidRDefault="00887994" w:rsidP="003F2970"/>
    <w:p w14:paraId="30ECBDE7" w14:textId="29E98DB5" w:rsidR="002A3430" w:rsidRDefault="00785F52" w:rsidP="00785F52">
      <w:r>
        <w:t>7.5.</w:t>
      </w:r>
      <w:r>
        <w:tab/>
      </w:r>
      <w:r w:rsidR="00CE4AFA" w:rsidRPr="009A2F35">
        <w:t xml:space="preserve">Block with 1 % BSA in PBS-T for 30 </w:t>
      </w:r>
      <w:r w:rsidR="00375CD4">
        <w:t>min</w:t>
      </w:r>
      <w:r w:rsidR="00375CD4" w:rsidRPr="009A2F35">
        <w:t xml:space="preserve"> </w:t>
      </w:r>
      <w:r w:rsidR="00CE4AFA" w:rsidRPr="009A2F35">
        <w:t xml:space="preserve">at room temperature. </w:t>
      </w:r>
    </w:p>
    <w:p w14:paraId="481942F5" w14:textId="77777777" w:rsidR="00887994" w:rsidRPr="009A2F35" w:rsidRDefault="00887994" w:rsidP="003F2970"/>
    <w:p w14:paraId="053E0C15" w14:textId="7FEE1598" w:rsidR="002A3430" w:rsidRDefault="00785F52" w:rsidP="00887994">
      <w:r>
        <w:t>7.6.</w:t>
      </w:r>
      <w:r>
        <w:tab/>
      </w:r>
      <w:r w:rsidR="00CE4AFA" w:rsidRPr="009A2F35">
        <w:t>Incubate cells with primary antibody γH2AX to detect permanent DNA damage response overnight at 4</w:t>
      </w:r>
      <w:r w:rsidR="009A2F35">
        <w:t xml:space="preserve"> </w:t>
      </w:r>
      <w:r w:rsidR="00CE4AFA" w:rsidRPr="009A2F35">
        <w:t xml:space="preserve">°C in a humidified chamber. </w:t>
      </w:r>
    </w:p>
    <w:p w14:paraId="3CC58D21" w14:textId="77777777" w:rsidR="00887994" w:rsidRPr="009A2F35" w:rsidRDefault="00887994" w:rsidP="003F2970"/>
    <w:p w14:paraId="386227D8" w14:textId="2BEC663E" w:rsidR="002A3430" w:rsidRDefault="00785F52" w:rsidP="00785F52">
      <w:r>
        <w:t>7.7.</w:t>
      </w:r>
      <w:r>
        <w:tab/>
      </w:r>
      <w:r w:rsidR="00CE4AFA" w:rsidRPr="009A2F35">
        <w:t>The following day, wash twice with PBS.</w:t>
      </w:r>
    </w:p>
    <w:p w14:paraId="7D446248" w14:textId="77777777" w:rsidR="00887994" w:rsidRPr="009A2F35" w:rsidRDefault="00887994" w:rsidP="003F2970"/>
    <w:p w14:paraId="289F555F" w14:textId="6BBF54F0" w:rsidR="002A3430" w:rsidRDefault="00785F52" w:rsidP="00785F52">
      <w:r>
        <w:t>7.8.</w:t>
      </w:r>
      <w:r>
        <w:tab/>
      </w:r>
      <w:r w:rsidR="00CE4AFA" w:rsidRPr="009A2F35">
        <w:t xml:space="preserve">Apply a secondary antibody for 1 </w:t>
      </w:r>
      <w:r w:rsidR="009C0295">
        <w:t>h</w:t>
      </w:r>
      <w:r w:rsidR="009C0295" w:rsidRPr="009A2F35">
        <w:t xml:space="preserve"> </w:t>
      </w:r>
      <w:r w:rsidR="00CE4AFA" w:rsidRPr="009A2F35">
        <w:t>at room temperature.</w:t>
      </w:r>
    </w:p>
    <w:p w14:paraId="22AF1F8D" w14:textId="77777777" w:rsidR="00887994" w:rsidRPr="009A2F35" w:rsidRDefault="00887994" w:rsidP="003F2970"/>
    <w:p w14:paraId="039AF76E" w14:textId="71B1FC2E" w:rsidR="002A3430" w:rsidRDefault="008215DE" w:rsidP="008215DE">
      <w:r>
        <w:t>7.9.</w:t>
      </w:r>
      <w:r>
        <w:tab/>
      </w:r>
      <w:r w:rsidR="00CE4AFA" w:rsidRPr="009A2F35">
        <w:t xml:space="preserve">Stain nuclei with DAPI if desired. </w:t>
      </w:r>
    </w:p>
    <w:p w14:paraId="2289C280" w14:textId="77777777" w:rsidR="00887994" w:rsidRPr="009A2F35" w:rsidRDefault="00887994" w:rsidP="003F2970"/>
    <w:p w14:paraId="6B12E93C" w14:textId="262A6A9C" w:rsidR="002A3430" w:rsidRDefault="008215DE" w:rsidP="008215DE">
      <w:r>
        <w:t>7.10.</w:t>
      </w:r>
      <w:r>
        <w:tab/>
      </w:r>
      <w:r w:rsidR="00C657E5">
        <w:t>W</w:t>
      </w:r>
      <w:r w:rsidR="00CE4AFA" w:rsidRPr="009A2F35">
        <w:t xml:space="preserve">ash twice with PBS-T, followed by two washes with PBS and twice with </w:t>
      </w:r>
      <w:r w:rsidR="00DA19F2" w:rsidRPr="009A2F35">
        <w:t>ddH</w:t>
      </w:r>
      <w:r w:rsidR="00DA19F2" w:rsidRPr="009A2F35">
        <w:rPr>
          <w:vertAlign w:val="subscript"/>
        </w:rPr>
        <w:t>2</w:t>
      </w:r>
      <w:r w:rsidR="00DA19F2" w:rsidRPr="009A2F35">
        <w:t>O</w:t>
      </w:r>
      <w:r w:rsidR="00CE4AFA" w:rsidRPr="009A2F35">
        <w:t xml:space="preserve">. </w:t>
      </w:r>
    </w:p>
    <w:p w14:paraId="03AD42A4" w14:textId="77777777" w:rsidR="00887994" w:rsidRPr="009A2F35" w:rsidRDefault="00887994" w:rsidP="003F2970"/>
    <w:p w14:paraId="4F8A9E6E" w14:textId="40086EF8" w:rsidR="002A3430" w:rsidRDefault="008215DE" w:rsidP="008215DE">
      <w:r>
        <w:t>7.11.</w:t>
      </w:r>
      <w:r>
        <w:tab/>
      </w:r>
      <w:r w:rsidR="00CE4AFA" w:rsidRPr="009A2F35">
        <w:t>Mount coverslips and let them dry completely before imaging.</w:t>
      </w:r>
    </w:p>
    <w:p w14:paraId="18C56E99" w14:textId="77777777" w:rsidR="00887994" w:rsidRPr="009A2F35" w:rsidRDefault="00887994" w:rsidP="003F2970"/>
    <w:p w14:paraId="13ECB090" w14:textId="44489A0B" w:rsidR="002A3430" w:rsidRPr="009A2F35" w:rsidRDefault="008215DE" w:rsidP="003F2970">
      <w:r>
        <w:t>7.12</w:t>
      </w:r>
      <w:r>
        <w:tab/>
      </w:r>
      <w:r w:rsidR="00CE4AFA" w:rsidRPr="009A2F35">
        <w:t>Analyze mean fluorescence intensity and/or γH2AX foci</w:t>
      </w:r>
      <w:r w:rsidR="00B44F6E">
        <w:t xml:space="preserve"> using ImageJ software.</w:t>
      </w:r>
      <w:r w:rsidR="00CE4AFA" w:rsidRPr="009A2F35">
        <w:t xml:space="preserve"> </w:t>
      </w:r>
    </w:p>
    <w:p w14:paraId="7B8812CB" w14:textId="7CC63AC7" w:rsidR="008215DE" w:rsidRPr="003F2970" w:rsidRDefault="00042CB8" w:rsidP="009A2F35">
      <w:pPr>
        <w:rPr>
          <w:lang w:val="en-GB"/>
        </w:rPr>
      </w:pPr>
      <w:r w:rsidRPr="003F2970">
        <w:rPr>
          <w:lang w:val="en-GB"/>
        </w:rPr>
        <w:t>NOTE: Formaldehyde-</w:t>
      </w:r>
      <w:r w:rsidR="00C32204" w:rsidRPr="003F2970">
        <w:rPr>
          <w:lang w:val="en-GB"/>
        </w:rPr>
        <w:t>, glutaraldehyde-, and paraformaldehyde-containing waste must be ha</w:t>
      </w:r>
      <w:r w:rsidR="00C32204">
        <w:rPr>
          <w:lang w:val="en-GB"/>
        </w:rPr>
        <w:t xml:space="preserve">ndled as hazardous chemical waste and disposed of </w:t>
      </w:r>
      <w:r w:rsidR="00EC794D">
        <w:rPr>
          <w:lang w:val="en-GB"/>
        </w:rPr>
        <w:t xml:space="preserve">according to institutional safety regulations. </w:t>
      </w:r>
    </w:p>
    <w:p w14:paraId="58254D1A" w14:textId="77777777" w:rsidR="00042CB8" w:rsidRPr="003F2970" w:rsidRDefault="00042CB8" w:rsidP="009A2F35">
      <w:pPr>
        <w:rPr>
          <w:b/>
          <w:bCs/>
          <w:lang w:val="en-GB"/>
        </w:rPr>
      </w:pPr>
    </w:p>
    <w:p w14:paraId="7A3E4C8A" w14:textId="546F79AE" w:rsidR="002A3430" w:rsidRDefault="00AC535F" w:rsidP="009A2F35">
      <w:pPr>
        <w:rPr>
          <w:b/>
          <w:bCs/>
        </w:rPr>
      </w:pPr>
      <w:r>
        <w:rPr>
          <w:b/>
          <w:bCs/>
        </w:rPr>
        <w:t>8.</w:t>
      </w:r>
      <w:r w:rsidR="003D1BA5">
        <w:rPr>
          <w:b/>
          <w:bCs/>
        </w:rPr>
        <w:tab/>
      </w:r>
      <w:r w:rsidR="00CE4AFA" w:rsidRPr="009A2F35">
        <w:rPr>
          <w:b/>
          <w:bCs/>
        </w:rPr>
        <w:t>RNA Isolation and RT-qPCR</w:t>
      </w:r>
    </w:p>
    <w:p w14:paraId="059AD769" w14:textId="77777777" w:rsidR="00887994" w:rsidRPr="009A2F35" w:rsidRDefault="00887994" w:rsidP="009A2F35">
      <w:pPr>
        <w:rPr>
          <w:b/>
          <w:bCs/>
        </w:rPr>
      </w:pPr>
    </w:p>
    <w:p w14:paraId="430B4E3B" w14:textId="627048DA" w:rsidR="002A3430" w:rsidRDefault="00755A11" w:rsidP="00755A11">
      <w:r>
        <w:t>8.1.</w:t>
      </w:r>
      <w:r>
        <w:tab/>
      </w:r>
      <w:r w:rsidR="00CE4AFA" w:rsidRPr="009A2F35">
        <w:t xml:space="preserve">On day 9, trypsinize cells using 2 mL of Trypsin-EDTA. </w:t>
      </w:r>
    </w:p>
    <w:p w14:paraId="2ED14E52" w14:textId="77777777" w:rsidR="00D72F83" w:rsidRPr="009A2F35" w:rsidRDefault="00D72F83" w:rsidP="003F2970"/>
    <w:p w14:paraId="23C51044" w14:textId="0DA7C9D7" w:rsidR="002A3430" w:rsidRDefault="00755A11" w:rsidP="00755A11">
      <w:r>
        <w:t>8.2.</w:t>
      </w:r>
      <w:r w:rsidR="005B0D08">
        <w:tab/>
      </w:r>
      <w:r w:rsidR="00CE4AFA" w:rsidRPr="009A2F35">
        <w:t xml:space="preserve">Stop the reaction by applying 1.5x the amount of Trypsin-Inhibitor. </w:t>
      </w:r>
    </w:p>
    <w:p w14:paraId="409A9E89" w14:textId="77777777" w:rsidR="00D72F83" w:rsidRPr="009A2F35" w:rsidRDefault="00D72F83" w:rsidP="003F2970"/>
    <w:p w14:paraId="5A0DCA95" w14:textId="5F41D9F6" w:rsidR="002A3430" w:rsidRDefault="005B0D08" w:rsidP="005B0D08">
      <w:r>
        <w:t>8.3.</w:t>
      </w:r>
      <w:r>
        <w:tab/>
      </w:r>
      <w:r w:rsidR="00CE4AFA" w:rsidRPr="009A2F35">
        <w:t>Transfer the cell suspension to a 15 mL conical tube and centrifuge at 100 x</w:t>
      </w:r>
      <w:r w:rsidR="009A2F35" w:rsidRPr="003F2970">
        <w:rPr>
          <w:i/>
          <w:iCs/>
        </w:rPr>
        <w:t xml:space="preserve"> </w:t>
      </w:r>
      <w:r w:rsidR="00CE4AFA" w:rsidRPr="003F2970">
        <w:rPr>
          <w:i/>
          <w:iCs/>
        </w:rPr>
        <w:t xml:space="preserve">g </w:t>
      </w:r>
      <w:r w:rsidR="00CE4AFA" w:rsidRPr="009A2F35">
        <w:t xml:space="preserve">for 5 min. </w:t>
      </w:r>
    </w:p>
    <w:p w14:paraId="056BF277" w14:textId="77777777" w:rsidR="00D72F83" w:rsidRPr="009A2F35" w:rsidRDefault="00D72F83" w:rsidP="003F2970"/>
    <w:p w14:paraId="5E2193B6" w14:textId="6298EEAF" w:rsidR="002A3430" w:rsidRDefault="005B0D08" w:rsidP="005B0D08">
      <w:r>
        <w:t>8.4.</w:t>
      </w:r>
      <w:r>
        <w:tab/>
      </w:r>
      <w:r w:rsidR="00CE4AFA" w:rsidRPr="009A2F35">
        <w:t>Carefully aspirate the supernatant.</w:t>
      </w:r>
    </w:p>
    <w:p w14:paraId="4C65E6E9" w14:textId="77777777" w:rsidR="00D72F83" w:rsidRPr="009A2F35" w:rsidRDefault="00D72F83" w:rsidP="003F2970"/>
    <w:p w14:paraId="733FA549" w14:textId="5FB49BF7" w:rsidR="00D72F83" w:rsidRDefault="005B0D08" w:rsidP="00D72F83">
      <w:r>
        <w:t>8.5.</w:t>
      </w:r>
      <w:r>
        <w:tab/>
      </w:r>
      <w:r w:rsidR="00CE4AFA" w:rsidRPr="009A2F35">
        <w:t>Lyse cell pellets by resuspending in 350 µL RLT buffer containing 1 % β-</w:t>
      </w:r>
      <w:proofErr w:type="spellStart"/>
      <w:r w:rsidR="00CE4AFA" w:rsidRPr="009A2F35">
        <w:t>mercaptoethanol</w:t>
      </w:r>
      <w:proofErr w:type="spellEnd"/>
      <w:r w:rsidR="00CE4AFA" w:rsidRPr="009A2F35">
        <w:t>.</w:t>
      </w:r>
    </w:p>
    <w:p w14:paraId="0562F65B" w14:textId="543FADAD" w:rsidR="00EC794D" w:rsidRDefault="00EC794D" w:rsidP="005B0D08">
      <w:r>
        <w:t xml:space="preserve">NOTE: </w:t>
      </w:r>
      <w:r w:rsidRPr="009A2F35">
        <w:t>β-</w:t>
      </w:r>
      <w:proofErr w:type="spellStart"/>
      <w:r w:rsidRPr="009A2F35">
        <w:t>mercaptoethanol</w:t>
      </w:r>
      <w:proofErr w:type="spellEnd"/>
      <w:r w:rsidR="006A0AE4">
        <w:t xml:space="preserve"> is highly toxic and must be handled in a fume hood. Waste containing </w:t>
      </w:r>
      <w:r w:rsidR="006A0AE4" w:rsidRPr="009A2F35">
        <w:t>β-</w:t>
      </w:r>
      <w:proofErr w:type="spellStart"/>
      <w:r w:rsidR="006A0AE4" w:rsidRPr="009A2F35">
        <w:t>mercaptoethanol</w:t>
      </w:r>
      <w:proofErr w:type="spellEnd"/>
      <w:r w:rsidR="006A0AE4">
        <w:t xml:space="preserve"> should be disposed of as hazardous chemical waste.</w:t>
      </w:r>
    </w:p>
    <w:p w14:paraId="6CEF1679" w14:textId="77777777" w:rsidR="00D72F83" w:rsidRPr="009A2F35" w:rsidRDefault="00D72F83" w:rsidP="003F2970"/>
    <w:p w14:paraId="51415D20" w14:textId="79D549A0" w:rsidR="002A3430" w:rsidRDefault="005B0D08" w:rsidP="005B0D08">
      <w:r>
        <w:t>8.6.</w:t>
      </w:r>
      <w:r>
        <w:tab/>
      </w:r>
      <w:r w:rsidR="00CE4AFA" w:rsidRPr="009A2F35">
        <w:t xml:space="preserve">Isolate RNA using a column-based RNA purification kit (RNeasy </w:t>
      </w:r>
      <w:proofErr w:type="spellStart"/>
      <w:r w:rsidR="00CE4AFA" w:rsidRPr="009A2F35">
        <w:t>MiniKit</w:t>
      </w:r>
      <w:proofErr w:type="spellEnd"/>
      <w:r w:rsidR="00CE4AFA" w:rsidRPr="009A2F35">
        <w:t xml:space="preserve">). </w:t>
      </w:r>
    </w:p>
    <w:p w14:paraId="684ACFD7" w14:textId="77777777" w:rsidR="00D72F83" w:rsidRPr="009A2F35" w:rsidRDefault="00D72F83" w:rsidP="003F2970"/>
    <w:p w14:paraId="539E7595" w14:textId="3728D41E" w:rsidR="002A3430" w:rsidRDefault="005B0D08" w:rsidP="005B0D08">
      <w:r>
        <w:t>8.7.</w:t>
      </w:r>
      <w:r>
        <w:tab/>
      </w:r>
      <w:r w:rsidR="00CE4AFA" w:rsidRPr="009A2F35">
        <w:t>Determine RNA concentration using a spectrophotometer (260nm).</w:t>
      </w:r>
    </w:p>
    <w:p w14:paraId="072795C6" w14:textId="77777777" w:rsidR="00D72F83" w:rsidRPr="009A2F35" w:rsidRDefault="00D72F83" w:rsidP="003F2970"/>
    <w:p w14:paraId="0111B09F" w14:textId="34540106" w:rsidR="002A3430" w:rsidRDefault="005B0D08" w:rsidP="005B0D08">
      <w:r>
        <w:t>8.8.</w:t>
      </w:r>
      <w:r>
        <w:tab/>
      </w:r>
      <w:r w:rsidR="00CE4AFA" w:rsidRPr="009A2F35">
        <w:t xml:space="preserve">For cDNA synthesis, use </w:t>
      </w:r>
      <w:r w:rsidR="003F2AF7">
        <w:t>1</w:t>
      </w:r>
      <w:r w:rsidR="003F2AF7" w:rsidRPr="009A2F35">
        <w:t xml:space="preserve"> </w:t>
      </w:r>
      <w:r w:rsidR="00CE4AFA" w:rsidRPr="009A2F35">
        <w:t>µg of RNA for reverse transcription</w:t>
      </w:r>
      <w:r w:rsidR="008812B5">
        <w:t xml:space="preserve"> in a total reaction volume of 10 µL using a standard reverse transcription mix (including</w:t>
      </w:r>
      <w:r w:rsidR="00AA59E0">
        <w:t xml:space="preserve"> RT buffer, dNTPs, random primers; reverse transcriptase and R</w:t>
      </w:r>
      <w:r w:rsidR="00FE2D99">
        <w:t xml:space="preserve">Nase inhibitor) </w:t>
      </w:r>
      <w:r w:rsidR="00042D3D">
        <w:t>followed</w:t>
      </w:r>
      <w:r w:rsidR="001333F3">
        <w:t xml:space="preserve"> by thermal cycling conditions </w:t>
      </w:r>
      <w:r w:rsidR="00FE2D99">
        <w:t xml:space="preserve">according to the manufacturer’s instructions. </w:t>
      </w:r>
    </w:p>
    <w:p w14:paraId="3F4932DB" w14:textId="77777777" w:rsidR="00D72F83" w:rsidRPr="009A2F35" w:rsidRDefault="00D72F83" w:rsidP="003F2970"/>
    <w:p w14:paraId="682BA79D" w14:textId="77777777" w:rsidR="00655224" w:rsidRDefault="005B0D08" w:rsidP="00655224">
      <w:r>
        <w:t>8.9.</w:t>
      </w:r>
      <w:r>
        <w:tab/>
      </w:r>
      <w:r w:rsidR="00CE4AFA" w:rsidRPr="009A2F35">
        <w:t xml:space="preserve">Perform RT-qPCR </w:t>
      </w:r>
      <w:r w:rsidR="00DA19F2" w:rsidRPr="009A2F35">
        <w:t>for SASP</w:t>
      </w:r>
      <w:r w:rsidR="00CE4AFA" w:rsidRPr="009A2F35">
        <w:t xml:space="preserve"> factors</w:t>
      </w:r>
      <w:r w:rsidR="00655224">
        <w:t xml:space="preserve"> </w:t>
      </w:r>
    </w:p>
    <w:p w14:paraId="6CD0D2FC" w14:textId="7057F90B" w:rsidR="00655224" w:rsidRPr="00655224" w:rsidRDefault="00655224" w:rsidP="00655224">
      <w:pPr>
        <w:rPr>
          <w:lang w:val="en-AT"/>
        </w:rPr>
      </w:pPr>
      <w:r>
        <w:t xml:space="preserve">NOTE: </w:t>
      </w:r>
      <w:r w:rsidRPr="00655224">
        <w:rPr>
          <w:lang w:val="en-AT"/>
        </w:rPr>
        <w:t>The selected SASP factors (IL-8, IL-6, and MMP-1) represent well-established components of the senescence-associated secretory phenotype and were chosen based on their relevance to skin biology, including inflammatory signaling and extracellular matrix remodeling</w:t>
      </w:r>
    </w:p>
    <w:p w14:paraId="1EB16EEC" w14:textId="15B824E4" w:rsidR="002A3430" w:rsidRPr="009A2F35" w:rsidRDefault="002A3430" w:rsidP="003F2970"/>
    <w:p w14:paraId="17F91F31" w14:textId="77777777" w:rsidR="002A3430" w:rsidRPr="009A2F35" w:rsidRDefault="00CE4AFA" w:rsidP="009A2F35">
      <w:r w:rsidRPr="009A2F35">
        <w:rPr>
          <w:b/>
          <w:bCs/>
        </w:rPr>
        <w:t xml:space="preserve">IL-6 </w:t>
      </w:r>
      <w:r w:rsidRPr="009A2F35">
        <w:t>(</w:t>
      </w:r>
      <w:proofErr w:type="spellStart"/>
      <w:r w:rsidRPr="009A2F35">
        <w:t>Fwd</w:t>
      </w:r>
      <w:proofErr w:type="spellEnd"/>
      <w:r w:rsidRPr="009A2F35">
        <w:t>: AAGCCAGAGCTGTGCAGATGAGTA Rev: TGTCCTGCAGCCACTGGTTC)</w:t>
      </w:r>
    </w:p>
    <w:p w14:paraId="4B2E5668" w14:textId="77777777" w:rsidR="002A3430" w:rsidRPr="009A2F35" w:rsidRDefault="00CE4AFA" w:rsidP="009A2F35">
      <w:r w:rsidRPr="009A2F35">
        <w:rPr>
          <w:b/>
          <w:bCs/>
        </w:rPr>
        <w:t xml:space="preserve">IL-8 </w:t>
      </w:r>
      <w:r w:rsidRPr="009A2F35">
        <w:t>(</w:t>
      </w:r>
      <w:proofErr w:type="spellStart"/>
      <w:r w:rsidRPr="009A2F35">
        <w:t>Fwd</w:t>
      </w:r>
      <w:proofErr w:type="spellEnd"/>
      <w:r w:rsidRPr="009A2F35">
        <w:t>: ACCGGAAGGAACCATCTCAC Rev: AAACTGCACCTTCACACAGAG)</w:t>
      </w:r>
    </w:p>
    <w:p w14:paraId="4BB5AD6F" w14:textId="77777777" w:rsidR="002A3430" w:rsidRDefault="00CE4AFA" w:rsidP="009A2F35">
      <w:r w:rsidRPr="009A2F35">
        <w:rPr>
          <w:b/>
          <w:bCs/>
        </w:rPr>
        <w:t xml:space="preserve">MMP-1 </w:t>
      </w:r>
      <w:r w:rsidRPr="009A2F35">
        <w:t>(</w:t>
      </w:r>
      <w:proofErr w:type="spellStart"/>
      <w:r w:rsidRPr="009A2F35">
        <w:t>Fwd</w:t>
      </w:r>
      <w:proofErr w:type="spellEnd"/>
      <w:r w:rsidRPr="009A2F35">
        <w:t>: CATCGTGTTGCAGCTCATGA Rev: ATGGGCTGGACAGGATTTTG)</w:t>
      </w:r>
    </w:p>
    <w:p w14:paraId="29D8C978" w14:textId="1E9A14BF" w:rsidR="00680C84" w:rsidRDefault="00680C84" w:rsidP="009A2F35">
      <w:r>
        <w:t>GAPDH (</w:t>
      </w:r>
      <w:proofErr w:type="spellStart"/>
      <w:r>
        <w:t>Fwd</w:t>
      </w:r>
      <w:proofErr w:type="spellEnd"/>
      <w:r>
        <w:t xml:space="preserve">: </w:t>
      </w:r>
      <w:r w:rsidRPr="00680C84">
        <w:t>GAGTCAACGGATTTGGTCGT</w:t>
      </w:r>
      <w:r>
        <w:t xml:space="preserve"> Rev:</w:t>
      </w:r>
      <w:r w:rsidRPr="00680C84">
        <w:t xml:space="preserve"> GATCTCGCTCCTGGAAGATG</w:t>
      </w:r>
      <w:r>
        <w:t>)</w:t>
      </w:r>
    </w:p>
    <w:p w14:paraId="11001B8C" w14:textId="77777777" w:rsidR="00434A1E" w:rsidRPr="009A2F35" w:rsidRDefault="00434A1E" w:rsidP="009A2F35"/>
    <w:p w14:paraId="70A1F579" w14:textId="3292A25E" w:rsidR="00680C84" w:rsidRPr="00680C84" w:rsidRDefault="003D1BA5" w:rsidP="00680C84">
      <w:pPr>
        <w:rPr>
          <w:lang w:val="en-AT"/>
        </w:rPr>
      </w:pPr>
      <w:r>
        <w:t>8.10.</w:t>
      </w:r>
      <w:r>
        <w:tab/>
      </w:r>
      <w:r w:rsidR="00CE4AFA" w:rsidRPr="009A2F35">
        <w:t xml:space="preserve">Analyze relative mRNA expression using the </w:t>
      </w:r>
      <w:proofErr w:type="spellStart"/>
      <w:r w:rsidR="00CE4AFA" w:rsidRPr="009A2F35">
        <w:t>ΔΔCt</w:t>
      </w:r>
      <w:proofErr w:type="spellEnd"/>
      <w:r w:rsidR="00CE4AFA" w:rsidRPr="009A2F35">
        <w:t xml:space="preserve"> method with normalization </w:t>
      </w:r>
      <w:r w:rsidR="00680C84">
        <w:t xml:space="preserve">to the </w:t>
      </w:r>
      <w:r w:rsidR="00680C84" w:rsidRPr="00680C84">
        <w:rPr>
          <w:lang w:val="en-AT"/>
        </w:rPr>
        <w:t>housekeeping gene GAPDH</w:t>
      </w:r>
      <w:r w:rsidR="00680C84">
        <w:rPr>
          <w:lang w:val="en-AT"/>
        </w:rPr>
        <w:t>.</w:t>
      </w:r>
    </w:p>
    <w:p w14:paraId="13CB4ECC" w14:textId="546BECE8" w:rsidR="002A3430" w:rsidRDefault="002A3430" w:rsidP="003F2970"/>
    <w:p w14:paraId="460D3DA4" w14:textId="77777777" w:rsidR="009A2F35" w:rsidRPr="009A2F35" w:rsidRDefault="009A2F35" w:rsidP="003F2970"/>
    <w:p w14:paraId="799AA8EB" w14:textId="60C42FD5" w:rsidR="002A3430" w:rsidRDefault="003D1BA5" w:rsidP="009A2F35">
      <w:pPr>
        <w:rPr>
          <w:b/>
          <w:bCs/>
        </w:rPr>
      </w:pPr>
      <w:r>
        <w:rPr>
          <w:b/>
          <w:bCs/>
        </w:rPr>
        <w:t>9.</w:t>
      </w:r>
      <w:r>
        <w:rPr>
          <w:b/>
          <w:bCs/>
        </w:rPr>
        <w:tab/>
      </w:r>
      <w:r w:rsidR="00CE4AFA" w:rsidRPr="009A2F35">
        <w:rPr>
          <w:b/>
          <w:bCs/>
        </w:rPr>
        <w:t xml:space="preserve">Protein </w:t>
      </w:r>
      <w:r w:rsidR="009A2F35">
        <w:rPr>
          <w:b/>
          <w:bCs/>
        </w:rPr>
        <w:t>i</w:t>
      </w:r>
      <w:r w:rsidR="00CE4AFA" w:rsidRPr="009A2F35">
        <w:rPr>
          <w:b/>
          <w:bCs/>
        </w:rPr>
        <w:t xml:space="preserve">solation and Western </w:t>
      </w:r>
      <w:r w:rsidR="009A2F35">
        <w:rPr>
          <w:b/>
          <w:bCs/>
        </w:rPr>
        <w:t>b</w:t>
      </w:r>
      <w:r w:rsidR="00CE4AFA" w:rsidRPr="009A2F35">
        <w:rPr>
          <w:b/>
          <w:bCs/>
        </w:rPr>
        <w:t>lot</w:t>
      </w:r>
    </w:p>
    <w:p w14:paraId="424ADF53" w14:textId="77777777" w:rsidR="00434A1E" w:rsidRPr="009A2F35" w:rsidRDefault="00434A1E" w:rsidP="009A2F35">
      <w:pPr>
        <w:rPr>
          <w:b/>
          <w:bCs/>
        </w:rPr>
      </w:pPr>
    </w:p>
    <w:p w14:paraId="691FBE03" w14:textId="384BED53" w:rsidR="00CD77BA" w:rsidRDefault="003D1BA5" w:rsidP="00CD77BA">
      <w:r>
        <w:t>9.1.</w:t>
      </w:r>
      <w:r>
        <w:tab/>
      </w:r>
      <w:r w:rsidR="00CE4AFA" w:rsidRPr="009A2F35">
        <w:t xml:space="preserve">On day 9, collect protein lysates. </w:t>
      </w:r>
    </w:p>
    <w:p w14:paraId="730E2CD9" w14:textId="77777777" w:rsidR="00434A1E" w:rsidRPr="009A2F35" w:rsidRDefault="00434A1E" w:rsidP="003F2970"/>
    <w:p w14:paraId="2E428AA6" w14:textId="4B6C7552" w:rsidR="0014771D" w:rsidRDefault="00CD77BA" w:rsidP="0014771D">
      <w:r>
        <w:t>9.2.</w:t>
      </w:r>
      <w:r w:rsidR="00F07021">
        <w:tab/>
        <w:t>Aspirate medium and wash plates twice using cold DPBS</w:t>
      </w:r>
      <w:r w:rsidR="0014771D">
        <w:t>.</w:t>
      </w:r>
    </w:p>
    <w:p w14:paraId="65284549" w14:textId="77777777" w:rsidR="00434A1E" w:rsidRPr="009A2F35" w:rsidRDefault="00434A1E" w:rsidP="003F2970"/>
    <w:p w14:paraId="0F7139A0" w14:textId="5E75EFCF" w:rsidR="002A3430" w:rsidRDefault="003D1BA5" w:rsidP="0094689A">
      <w:r>
        <w:t>9.3.</w:t>
      </w:r>
      <w:r w:rsidR="000E52AE">
        <w:tab/>
      </w:r>
      <w:r w:rsidR="00CE4AFA" w:rsidRPr="009A2F35">
        <w:t xml:space="preserve">Lyse </w:t>
      </w:r>
      <w:r w:rsidR="00CF4331">
        <w:t>cells mechanically using a cell scraper after adding</w:t>
      </w:r>
      <w:r w:rsidR="00CE4AFA" w:rsidRPr="009A2F35">
        <w:t xml:space="preserve"> 150 µL RIPA buffer</w:t>
      </w:r>
      <w:r w:rsidR="0094689A">
        <w:t xml:space="preserve"> (</w:t>
      </w:r>
      <w:r w:rsidR="0094689A" w:rsidRPr="0094689A">
        <w:t>50 mM Tris-HCl, pH 7.4, 150 mM NaCl, 1% NP-40, 0.5% sodium deoxycholate, 0.1% SDS, and 2 mM EDTA)</w:t>
      </w:r>
      <w:r w:rsidR="00CE4AFA" w:rsidRPr="009A2F35">
        <w:t xml:space="preserve"> </w:t>
      </w:r>
      <w:r w:rsidR="0094689A">
        <w:t>supplemented with</w:t>
      </w:r>
      <w:r w:rsidR="0094689A" w:rsidRPr="009A2F35">
        <w:t xml:space="preserve"> </w:t>
      </w:r>
      <w:r w:rsidR="00CE4AFA" w:rsidRPr="009A2F35">
        <w:t>protease inhibitors</w:t>
      </w:r>
      <w:r w:rsidR="00E86E17">
        <w:t xml:space="preserve"> and transfer to a 1.5 mL </w:t>
      </w:r>
      <w:r w:rsidR="009E5E04">
        <w:t>tube.</w:t>
      </w:r>
    </w:p>
    <w:p w14:paraId="492E63B7" w14:textId="77777777" w:rsidR="00434A1E" w:rsidRPr="009A2F35" w:rsidRDefault="00434A1E" w:rsidP="003F2970"/>
    <w:p w14:paraId="05BC6DD8" w14:textId="0BED06BF" w:rsidR="002A3430" w:rsidRDefault="000E52AE" w:rsidP="000E52AE">
      <w:r>
        <w:lastRenderedPageBreak/>
        <w:t>9.4.</w:t>
      </w:r>
      <w:r>
        <w:tab/>
      </w:r>
      <w:r w:rsidR="00CE4AFA" w:rsidRPr="009A2F35">
        <w:t>Perform three cycles of freezing and thawing</w:t>
      </w:r>
      <w:r w:rsidR="00C643CF">
        <w:t xml:space="preserve"> followed by a 30 min incubation on ice.</w:t>
      </w:r>
    </w:p>
    <w:p w14:paraId="083B5FCC" w14:textId="77777777" w:rsidR="00434A1E" w:rsidRPr="009A2F35" w:rsidRDefault="00434A1E" w:rsidP="003F2970"/>
    <w:p w14:paraId="28CEAC38" w14:textId="5900DC6C" w:rsidR="002A3430" w:rsidRDefault="000E52AE" w:rsidP="000E52AE">
      <w:r>
        <w:t>9.5.</w:t>
      </w:r>
      <w:r>
        <w:tab/>
      </w:r>
      <w:r w:rsidR="00CE4AFA" w:rsidRPr="009A2F35">
        <w:t>Centrifuge at 9600 x</w:t>
      </w:r>
      <w:r w:rsidR="00CE4AFA" w:rsidRPr="003F2970">
        <w:rPr>
          <w:i/>
          <w:iCs/>
        </w:rPr>
        <w:t xml:space="preserve"> g </w:t>
      </w:r>
      <w:r w:rsidR="00CE4AFA" w:rsidRPr="009A2F35">
        <w:t xml:space="preserve">at 4 °C for 10 </w:t>
      </w:r>
      <w:r w:rsidR="00705D22">
        <w:t>min</w:t>
      </w:r>
      <w:r w:rsidR="00CE4AFA" w:rsidRPr="009A2F35">
        <w:t xml:space="preserve">. </w:t>
      </w:r>
    </w:p>
    <w:p w14:paraId="3B7C7B3F" w14:textId="77777777" w:rsidR="00434A1E" w:rsidRPr="009A2F35" w:rsidRDefault="00434A1E" w:rsidP="003F2970"/>
    <w:p w14:paraId="1BB1B564" w14:textId="1114FEAB" w:rsidR="002A3430" w:rsidRDefault="000E52AE" w:rsidP="000E52AE">
      <w:r>
        <w:t>9.6.</w:t>
      </w:r>
      <w:r>
        <w:tab/>
      </w:r>
      <w:r w:rsidR="00180427">
        <w:t>D</w:t>
      </w:r>
      <w:r w:rsidR="00CE4AFA" w:rsidRPr="009A2F35">
        <w:t>etermine protein concentration</w:t>
      </w:r>
      <w:r w:rsidR="00180427">
        <w:t xml:space="preserve"> of the supernatant</w:t>
      </w:r>
      <w:r w:rsidR="00CE4AFA" w:rsidRPr="009A2F35">
        <w:t xml:space="preserve"> using the BCA assay.</w:t>
      </w:r>
    </w:p>
    <w:p w14:paraId="4C4EAB56" w14:textId="77777777" w:rsidR="00434A1E" w:rsidRPr="009A2F35" w:rsidRDefault="00434A1E" w:rsidP="003F2970"/>
    <w:p w14:paraId="0B887707" w14:textId="06CD4D22" w:rsidR="002A3430" w:rsidRDefault="00FB3289" w:rsidP="00FB3289">
      <w:r>
        <w:t>9.7.</w:t>
      </w:r>
      <w:r>
        <w:tab/>
      </w:r>
      <w:r w:rsidR="00CE4AFA" w:rsidRPr="009A2F35">
        <w:t xml:space="preserve">Separate equal amounts (20 µg) of protein on polyacrylamide gels and transfer to activated PVDF membranes. </w:t>
      </w:r>
    </w:p>
    <w:p w14:paraId="796861E4" w14:textId="77777777" w:rsidR="004C5056" w:rsidRPr="009A2F35" w:rsidRDefault="004C5056" w:rsidP="003F2970"/>
    <w:p w14:paraId="0D4AF5C7" w14:textId="038FEEC9" w:rsidR="002A3430" w:rsidRDefault="00FB3289" w:rsidP="00FB3289">
      <w:r>
        <w:t>9.</w:t>
      </w:r>
      <w:r w:rsidR="00DE2C76">
        <w:t>8.</w:t>
      </w:r>
      <w:r w:rsidR="00586C9E">
        <w:tab/>
      </w:r>
      <w:r w:rsidR="00CE4AFA" w:rsidRPr="009A2F35">
        <w:t>Block membranes in 5 % skim milk in TBS-T.</w:t>
      </w:r>
    </w:p>
    <w:p w14:paraId="136A56D2" w14:textId="77777777" w:rsidR="004C5056" w:rsidRPr="009A2F35" w:rsidRDefault="004C5056" w:rsidP="003F2970"/>
    <w:p w14:paraId="0FC3898B" w14:textId="6D7A9B05" w:rsidR="002A3430" w:rsidRDefault="00586C9E" w:rsidP="00586C9E">
      <w:r>
        <w:t>9.9.</w:t>
      </w:r>
      <w:r>
        <w:tab/>
      </w:r>
      <w:r w:rsidR="00CE4AFA" w:rsidRPr="009A2F35">
        <w:t xml:space="preserve">Incubate with primary antibodies </w:t>
      </w:r>
      <w:proofErr w:type="spellStart"/>
      <w:r w:rsidR="00CE4AFA" w:rsidRPr="009A2F35">
        <w:t>pRB</w:t>
      </w:r>
      <w:proofErr w:type="spellEnd"/>
      <w:r w:rsidR="00CE4AFA" w:rsidRPr="009A2F35">
        <w:t xml:space="preserve"> (</w:t>
      </w:r>
      <w:proofErr w:type="spellStart"/>
      <w:r w:rsidR="00CE4AFA" w:rsidRPr="009A2F35">
        <w:t>CellSignalling</w:t>
      </w:r>
      <w:proofErr w:type="spellEnd"/>
      <w:r w:rsidR="00CE4AFA" w:rsidRPr="009A2F35">
        <w:t xml:space="preserve"> #9308S diluted 1:1000), LaminB1 (Abcam #ab16048 diluted 1:1000) overnight at 4 °C. </w:t>
      </w:r>
    </w:p>
    <w:p w14:paraId="6C340FAC" w14:textId="77777777" w:rsidR="00381D36" w:rsidRPr="009A2F35" w:rsidRDefault="00381D36" w:rsidP="003F2970"/>
    <w:p w14:paraId="5B806074" w14:textId="23D70D80" w:rsidR="002A3430" w:rsidRDefault="00586C9E" w:rsidP="00586C9E">
      <w:r>
        <w:t>9.10.</w:t>
      </w:r>
      <w:r>
        <w:tab/>
      </w:r>
      <w:r w:rsidR="00CE4AFA" w:rsidRPr="009A2F35">
        <w:t>The next day, wash the membranes 3x in TBS-T.</w:t>
      </w:r>
    </w:p>
    <w:p w14:paraId="3F1EAAF6" w14:textId="77777777" w:rsidR="00381D36" w:rsidRPr="009A2F35" w:rsidRDefault="00381D36" w:rsidP="003F2970"/>
    <w:p w14:paraId="67011C81" w14:textId="1399F1CD" w:rsidR="002A3430" w:rsidRDefault="00586C9E" w:rsidP="00586C9E">
      <w:r>
        <w:t>9.11.</w:t>
      </w:r>
      <w:r>
        <w:tab/>
      </w:r>
      <w:r w:rsidR="00CE4AFA" w:rsidRPr="009A2F35">
        <w:t xml:space="preserve">Incubate in HRP-conjugated appropriate secondary antibodies for 1 </w:t>
      </w:r>
      <w:r w:rsidR="00705D22">
        <w:t>h</w:t>
      </w:r>
      <w:r w:rsidR="00705D22" w:rsidRPr="009A2F35">
        <w:t xml:space="preserve"> </w:t>
      </w:r>
      <w:r w:rsidR="00CE4AFA" w:rsidRPr="009A2F35">
        <w:t xml:space="preserve">at room temperature. </w:t>
      </w:r>
    </w:p>
    <w:p w14:paraId="283619D5" w14:textId="77777777" w:rsidR="00381D36" w:rsidRPr="009A2F35" w:rsidRDefault="00381D36" w:rsidP="003F2970"/>
    <w:p w14:paraId="30AF5CF4" w14:textId="13DDF701" w:rsidR="002A3430" w:rsidRPr="009A2F35" w:rsidRDefault="00586C9E" w:rsidP="003F2970">
      <w:r>
        <w:t>9.12.</w:t>
      </w:r>
      <w:r>
        <w:tab/>
      </w:r>
      <w:r w:rsidR="00CE4AFA" w:rsidRPr="009A2F35">
        <w:t>Detect proteins by chemiluminescence and perform densitometric analysi</w:t>
      </w:r>
      <w:r w:rsidR="00DE29CD">
        <w:t>s using ImageJ software.</w:t>
      </w:r>
    </w:p>
    <w:p w14:paraId="220610ED" w14:textId="77777777" w:rsidR="002A3430" w:rsidRPr="009A2F35" w:rsidRDefault="002A3430" w:rsidP="009A2F35">
      <w:pPr>
        <w:pBdr>
          <w:top w:val="nil"/>
          <w:left w:val="nil"/>
          <w:bottom w:val="nil"/>
          <w:right w:val="nil"/>
          <w:between w:val="nil"/>
        </w:pBdr>
        <w:rPr>
          <w:b/>
          <w:bCs/>
        </w:rPr>
      </w:pPr>
    </w:p>
    <w:p w14:paraId="445504B9" w14:textId="6B60454A" w:rsidR="002A3430" w:rsidRPr="009A2F35" w:rsidRDefault="00CE4AFA" w:rsidP="009A2F35">
      <w:pPr>
        <w:pBdr>
          <w:top w:val="nil"/>
          <w:left w:val="nil"/>
          <w:bottom w:val="nil"/>
          <w:right w:val="nil"/>
          <w:between w:val="nil"/>
        </w:pBdr>
        <w:rPr>
          <w:b/>
          <w:bCs/>
        </w:rPr>
      </w:pPr>
      <w:r w:rsidRPr="009A2F35">
        <w:rPr>
          <w:b/>
          <w:bCs/>
        </w:rPr>
        <w:t>RESULTS:</w:t>
      </w:r>
    </w:p>
    <w:p w14:paraId="0CA2F4D8" w14:textId="77777777" w:rsidR="002A3430" w:rsidRPr="009A2F35" w:rsidRDefault="00CE4AFA" w:rsidP="009A2F35">
      <w:pPr>
        <w:rPr>
          <w:b/>
          <w:bCs/>
        </w:rPr>
      </w:pPr>
      <w:r w:rsidRPr="009A2F35">
        <w:rPr>
          <w:b/>
          <w:bCs/>
        </w:rPr>
        <w:t>tBHP treatment induces growth arrest in human neonatal melanocytes.</w:t>
      </w:r>
    </w:p>
    <w:p w14:paraId="6297A875" w14:textId="52751667" w:rsidR="002A3430" w:rsidRDefault="00CE4AFA" w:rsidP="009A2F35">
      <w:r w:rsidRPr="009A2F35">
        <w:t>tBHP treatment inhibits melanocyte proliferation compared to untreated controls</w:t>
      </w:r>
      <w:r w:rsidR="00981B7B">
        <w:t xml:space="preserve"> (n=3)</w:t>
      </w:r>
      <w:r w:rsidRPr="009A2F35">
        <w:t xml:space="preserve"> (</w:t>
      </w:r>
      <w:r w:rsidRPr="003F2970">
        <w:rPr>
          <w:b/>
          <w:bCs/>
        </w:rPr>
        <w:t>Figure 2A</w:t>
      </w:r>
      <w:r w:rsidRPr="009A2F35">
        <w:t xml:space="preserve">). By day 9, treated cells reach only </w:t>
      </w:r>
      <w:r w:rsidR="00B35579">
        <w:t>1.4</w:t>
      </w:r>
      <w:r w:rsidRPr="009A2F35">
        <w:t xml:space="preserve"> </w:t>
      </w:r>
      <w:proofErr w:type="spellStart"/>
      <w:r w:rsidRPr="009A2F35">
        <w:t>cPDL</w:t>
      </w:r>
      <w:proofErr w:type="spellEnd"/>
      <w:r w:rsidRPr="009A2F35">
        <w:t xml:space="preserve">, whereas controls </w:t>
      </w:r>
      <w:r w:rsidR="00B35579">
        <w:t>reach 3.1</w:t>
      </w:r>
      <w:r w:rsidRPr="009A2F35">
        <w:t xml:space="preserve"> </w:t>
      </w:r>
      <w:proofErr w:type="spellStart"/>
      <w:r w:rsidRPr="009A2F35">
        <w:t>cPDL</w:t>
      </w:r>
      <w:proofErr w:type="spellEnd"/>
      <w:r w:rsidRPr="009A2F35">
        <w:t xml:space="preserve">. This divergence increases over time, with treated melanocytes approaching a plateau of </w:t>
      </w:r>
      <w:r w:rsidR="00B35579">
        <w:t>1.9</w:t>
      </w:r>
      <w:r w:rsidRPr="009A2F35">
        <w:t xml:space="preserve"> </w:t>
      </w:r>
      <w:proofErr w:type="spellStart"/>
      <w:r w:rsidRPr="009A2F35">
        <w:t>cPDL</w:t>
      </w:r>
      <w:proofErr w:type="spellEnd"/>
      <w:r w:rsidRPr="009A2F35">
        <w:t xml:space="preserve"> by day 15, while controls continue to expand to nearly</w:t>
      </w:r>
      <w:r w:rsidR="006F0F07">
        <w:t xml:space="preserve"> 5.1</w:t>
      </w:r>
      <w:r w:rsidRPr="009A2F35">
        <w:t xml:space="preserve"> </w:t>
      </w:r>
      <w:proofErr w:type="spellStart"/>
      <w:r w:rsidRPr="009A2F35">
        <w:t>cPDL</w:t>
      </w:r>
      <w:proofErr w:type="spellEnd"/>
      <w:r w:rsidRPr="009A2F35">
        <w:t>. The sustained reduction in proliferative capacity is consistent with the stress-induced premature senescence phenotype.</w:t>
      </w:r>
    </w:p>
    <w:p w14:paraId="75F40DB1" w14:textId="77777777" w:rsidR="009A2F35" w:rsidRPr="009A2F35" w:rsidRDefault="009A2F35" w:rsidP="009A2F35"/>
    <w:p w14:paraId="6F266DDD" w14:textId="77777777" w:rsidR="002A3430" w:rsidRPr="009A2F35" w:rsidRDefault="00CE4AFA" w:rsidP="009A2F35">
      <w:r w:rsidRPr="009A2F35">
        <w:rPr>
          <w:b/>
          <w:bCs/>
        </w:rPr>
        <w:t>Increased cell size and altered morphology underline characteristics of cellular senescence.</w:t>
      </w:r>
    </w:p>
    <w:p w14:paraId="30519D90" w14:textId="13A16171" w:rsidR="002A3430" w:rsidRDefault="00CE4AFA" w:rsidP="009A2F35">
      <w:r w:rsidRPr="009A2F35">
        <w:t>Melanocytes treated with tBHP show increased cell surface area compared to controls at all measured time points</w:t>
      </w:r>
      <w:r w:rsidR="00954A0D">
        <w:t xml:space="preserve"> (n=3)</w:t>
      </w:r>
      <w:r w:rsidRPr="009A2F35">
        <w:t xml:space="preserve"> (</w:t>
      </w:r>
      <w:r w:rsidRPr="003F2970">
        <w:rPr>
          <w:b/>
          <w:bCs/>
        </w:rPr>
        <w:t>Figure 2B</w:t>
      </w:r>
      <w:r w:rsidR="009A6DB6" w:rsidRPr="003F2970">
        <w:rPr>
          <w:b/>
          <w:bCs/>
        </w:rPr>
        <w:t>-C</w:t>
      </w:r>
      <w:r w:rsidRPr="009A2F35">
        <w:t>). When comparing tBHP vs. controls, enlargement becomes apparent by day 4 and continues to progress until day 15 (2,000 µm² vs. 400 µm²). This sustained increase in size corresponds to the characteristic enlarged, flattened morphology of senescent cells.</w:t>
      </w:r>
    </w:p>
    <w:p w14:paraId="1AE46F74" w14:textId="77777777" w:rsidR="009A2F35" w:rsidRPr="009A2F35" w:rsidRDefault="009A2F35" w:rsidP="009A2F35"/>
    <w:p w14:paraId="461674E7" w14:textId="77777777" w:rsidR="002A3430" w:rsidRPr="009A2F35" w:rsidRDefault="00CE4AFA" w:rsidP="009A2F35">
      <w:r w:rsidRPr="009A2F35">
        <w:rPr>
          <w:b/>
          <w:bCs/>
        </w:rPr>
        <w:t>Oxidative stress increases SA-β-galactosidase activity in melanocytes</w:t>
      </w:r>
    </w:p>
    <w:p w14:paraId="668FA8B8" w14:textId="2A47EE80" w:rsidR="002A3430" w:rsidRDefault="00CE4AFA" w:rsidP="009A2F35">
      <w:r w:rsidRPr="009A2F35">
        <w:t>tBHP-treated melanocytes show an apparent increase in SA-β-galactosidase activity compared to controls</w:t>
      </w:r>
      <w:r w:rsidR="00954A0D">
        <w:t xml:space="preserve"> (n=3)</w:t>
      </w:r>
      <w:r w:rsidRPr="009A2F35">
        <w:t xml:space="preserve"> (</w:t>
      </w:r>
      <w:r w:rsidRPr="003F2970">
        <w:rPr>
          <w:b/>
          <w:bCs/>
        </w:rPr>
        <w:t>Figure 2D</w:t>
      </w:r>
      <w:r w:rsidR="006E09EF" w:rsidRPr="003F2970">
        <w:rPr>
          <w:b/>
          <w:bCs/>
        </w:rPr>
        <w:t>-E</w:t>
      </w:r>
      <w:r w:rsidRPr="009A2F35">
        <w:t>), with 32 % of cells staining positive versus 3 % in untreated cultures. This significant rise in SA-β-gal positivity is consistent with the acquisition of a senescent phenotype.</w:t>
      </w:r>
    </w:p>
    <w:p w14:paraId="4F948C43" w14:textId="77777777" w:rsidR="009A2F35" w:rsidRPr="009A2F35" w:rsidRDefault="009A2F35" w:rsidP="009A2F35"/>
    <w:p w14:paraId="30487CC7" w14:textId="77777777" w:rsidR="002A3430" w:rsidRPr="009A2F35" w:rsidRDefault="00CE4AFA" w:rsidP="009A2F35">
      <w:pPr>
        <w:rPr>
          <w:b/>
          <w:bCs/>
        </w:rPr>
      </w:pPr>
      <w:r w:rsidRPr="009A2F35">
        <w:rPr>
          <w:b/>
          <w:bCs/>
        </w:rPr>
        <w:t>Enhanced γH2AX fluorescence indicates DNA damage in treated melanocytes.</w:t>
      </w:r>
    </w:p>
    <w:p w14:paraId="67E7A147" w14:textId="70E943F5" w:rsidR="002A3430" w:rsidRDefault="00CE4AFA" w:rsidP="009A2F35">
      <w:r w:rsidRPr="009A2F35">
        <w:lastRenderedPageBreak/>
        <w:t>Immunofluorescence analysis shows a clear increase in γH2AX levels in tBHP-treated melanocytes compared with controls at day 9</w:t>
      </w:r>
      <w:r w:rsidR="00FC781B">
        <w:t xml:space="preserve"> (n=3)</w:t>
      </w:r>
      <w:r w:rsidRPr="009A2F35">
        <w:t xml:space="preserve"> (</w:t>
      </w:r>
      <w:r w:rsidRPr="003F2970">
        <w:rPr>
          <w:b/>
          <w:bCs/>
        </w:rPr>
        <w:t>Figure 2F</w:t>
      </w:r>
      <w:r w:rsidR="006E09EF" w:rsidRPr="003F2970">
        <w:rPr>
          <w:b/>
          <w:bCs/>
        </w:rPr>
        <w:t>-G</w:t>
      </w:r>
      <w:r w:rsidRPr="009A2F35">
        <w:t>)</w:t>
      </w:r>
      <w:r w:rsidR="00E57D29">
        <w:t xml:space="preserve">, as determined by </w:t>
      </w:r>
      <w:r w:rsidR="00EB11A9">
        <w:t>mean fluorescence intensity</w:t>
      </w:r>
      <w:r w:rsidRPr="009A2F35">
        <w:t>. γH2AX marks sites of DNA double-strand breaks, and its accumulation indicates the presence of persistent DNA damage. The stronger γH2AX signal in treated cells is consistent with a senescent phenotype, whereas control melanocytes retain only low baseline levels.</w:t>
      </w:r>
    </w:p>
    <w:p w14:paraId="373C3A74" w14:textId="77777777" w:rsidR="009A2F35" w:rsidRPr="009A2F35" w:rsidRDefault="009A2F35" w:rsidP="009A2F35"/>
    <w:p w14:paraId="3C230978" w14:textId="77777777" w:rsidR="002A3430" w:rsidRPr="009A2F35" w:rsidRDefault="00CE4AFA" w:rsidP="009A2F35">
      <w:pPr>
        <w:rPr>
          <w:b/>
          <w:bCs/>
        </w:rPr>
      </w:pPr>
      <w:r w:rsidRPr="009A2F35">
        <w:rPr>
          <w:b/>
          <w:bCs/>
        </w:rPr>
        <w:t>SASP factors are upregulated upon tBHP treatment.</w:t>
      </w:r>
    </w:p>
    <w:p w14:paraId="272F10EB" w14:textId="437F7ED3" w:rsidR="002A3430" w:rsidRDefault="00CE4AFA" w:rsidP="009A2F35">
      <w:r w:rsidRPr="009A2F35">
        <w:t>RT-qPCR analysis at day 9 demonstrates significant upregulation of SASP factors in tBHP-treated melanocytes</w:t>
      </w:r>
      <w:r w:rsidR="00396446">
        <w:t>(n=3)</w:t>
      </w:r>
      <w:r w:rsidRPr="009A2F35">
        <w:t xml:space="preserve"> (</w:t>
      </w:r>
      <w:r w:rsidRPr="003F2970">
        <w:rPr>
          <w:b/>
          <w:bCs/>
        </w:rPr>
        <w:t xml:space="preserve">Figure </w:t>
      </w:r>
      <w:r w:rsidR="006E09EF" w:rsidRPr="003F2970">
        <w:rPr>
          <w:b/>
          <w:bCs/>
        </w:rPr>
        <w:t>2H</w:t>
      </w:r>
      <w:r w:rsidRPr="005422E5">
        <w:t>).</w:t>
      </w:r>
      <w:r w:rsidRPr="003F2970">
        <w:rPr>
          <w:b/>
          <w:bCs/>
        </w:rPr>
        <w:t xml:space="preserve"> </w:t>
      </w:r>
      <w:r w:rsidRPr="009A2F35">
        <w:t>IL-8 shows the most significant increase in expression, with a 12-fold increase compared to controls. Both IL-6 and MMP-1 exhibit modest but significant increases. The elevated expression of IL-8, together with the moderate increases in IL-6 and MMP-1, indicates that tBHP-treated melanocytes acquire the inflammatory secretory profile characteristic of the SASP in stress-induced senescence.</w:t>
      </w:r>
    </w:p>
    <w:p w14:paraId="3FDCD80E" w14:textId="77777777" w:rsidR="009A2F35" w:rsidRPr="009A2F35" w:rsidRDefault="009A2F35" w:rsidP="009A2F35"/>
    <w:p w14:paraId="53A8D66B" w14:textId="77777777" w:rsidR="002A3430" w:rsidRPr="009A2F35" w:rsidRDefault="00CE4AFA" w:rsidP="009A2F35">
      <w:pPr>
        <w:rPr>
          <w:b/>
          <w:bCs/>
        </w:rPr>
      </w:pPr>
      <w:r w:rsidRPr="009A2F35">
        <w:rPr>
          <w:b/>
          <w:bCs/>
        </w:rPr>
        <w:t>Senescence markers are altered at the protein level following tBHP treatment.</w:t>
      </w:r>
    </w:p>
    <w:p w14:paraId="0F36B8EA" w14:textId="77FC450F" w:rsidR="002A3430" w:rsidRPr="009A2F35" w:rsidRDefault="00CE4AFA" w:rsidP="009A2F35">
      <w:r w:rsidRPr="009A2F35">
        <w:t>Western blot analysis confirms senescence induction through changes in key cellular proteins at day 9</w:t>
      </w:r>
      <w:r w:rsidR="00396446">
        <w:t xml:space="preserve"> (n=3)</w:t>
      </w:r>
      <w:r w:rsidRPr="009A2F35">
        <w:t xml:space="preserve"> (</w:t>
      </w:r>
      <w:r w:rsidRPr="003F2970">
        <w:rPr>
          <w:b/>
          <w:bCs/>
        </w:rPr>
        <w:t xml:space="preserve">Figure </w:t>
      </w:r>
      <w:r w:rsidR="006E09EF" w:rsidRPr="003F2970">
        <w:rPr>
          <w:b/>
          <w:bCs/>
        </w:rPr>
        <w:t>2I</w:t>
      </w:r>
      <w:r w:rsidRPr="009A2F35">
        <w:t>). LaminB1 shows a significant reduction in tBHP-treated melanocytes compared to controls (</w:t>
      </w:r>
      <w:r w:rsidRPr="003F2970">
        <w:rPr>
          <w:b/>
          <w:bCs/>
        </w:rPr>
        <w:t xml:space="preserve">Figure </w:t>
      </w:r>
      <w:r w:rsidR="006E09EF" w:rsidRPr="003F2970">
        <w:rPr>
          <w:b/>
          <w:bCs/>
        </w:rPr>
        <w:t>2J</w:t>
      </w:r>
      <w:r w:rsidRPr="009A2F35">
        <w:t>). Similarly, phosphorylated retinoblastoma protein (</w:t>
      </w:r>
      <w:proofErr w:type="spellStart"/>
      <w:r w:rsidRPr="009A2F35">
        <w:t>pRB</w:t>
      </w:r>
      <w:proofErr w:type="spellEnd"/>
      <w:r w:rsidRPr="009A2F35">
        <w:t>) is reduced in tBHP-treated melanocytes, consistent with decreased cell-cycle activity in senescent cells (</w:t>
      </w:r>
      <w:r w:rsidRPr="003F2970">
        <w:rPr>
          <w:b/>
          <w:bCs/>
        </w:rPr>
        <w:t xml:space="preserve">Figure </w:t>
      </w:r>
      <w:r w:rsidR="006E09EF" w:rsidRPr="003F2970">
        <w:rPr>
          <w:b/>
          <w:bCs/>
        </w:rPr>
        <w:t>2K</w:t>
      </w:r>
      <w:r w:rsidRPr="009A5FE7">
        <w:t xml:space="preserve">). </w:t>
      </w:r>
      <w:proofErr w:type="gramStart"/>
      <w:r w:rsidR="002F153F">
        <w:t>Additionally,  tBHP</w:t>
      </w:r>
      <w:proofErr w:type="gramEnd"/>
      <w:r w:rsidR="002F153F">
        <w:t xml:space="preserve"> induces the transcriptional regulation of p16 and p21 (</w:t>
      </w:r>
      <w:r w:rsidR="002F153F" w:rsidRPr="003F2970">
        <w:rPr>
          <w:b/>
          <w:bCs/>
        </w:rPr>
        <w:t>Figure 2L)</w:t>
      </w:r>
      <w:r w:rsidR="002F153F">
        <w:t xml:space="preserve">. </w:t>
      </w:r>
      <w:r w:rsidRPr="009A2F35">
        <w:t>Together with the morphological and functional markers described above, these protein-level changes provide molecular evidence of stress-induced premature senescence in melanocytes.</w:t>
      </w:r>
    </w:p>
    <w:p w14:paraId="3500B475" w14:textId="77777777" w:rsidR="002A3430" w:rsidRPr="009A2F35" w:rsidRDefault="002A3430" w:rsidP="009A2F35"/>
    <w:p w14:paraId="7717C0A5" w14:textId="10991A02" w:rsidR="002A3430" w:rsidRPr="009A2F35" w:rsidRDefault="00CE4AFA" w:rsidP="009A2F35">
      <w:r w:rsidRPr="009A2F35">
        <w:rPr>
          <w:b/>
          <w:bCs/>
        </w:rPr>
        <w:t>FIGURE AND TABLE LEGENDS:</w:t>
      </w:r>
    </w:p>
    <w:p w14:paraId="65467978" w14:textId="36BD0681" w:rsidR="002A3430" w:rsidRPr="009A2F35" w:rsidRDefault="00CE4AFA" w:rsidP="009A2F35">
      <w:r w:rsidRPr="009A2F35">
        <w:rPr>
          <w:b/>
          <w:bCs/>
        </w:rPr>
        <w:t>Figure 1. Schematic overview of the stress-induced premature senescence protocol in human neonatal melanocytes.</w:t>
      </w:r>
      <w:r w:rsidRPr="009A2F35">
        <w:t xml:space="preserve"> Melanocytes are treated with 100 </w:t>
      </w:r>
      <w:proofErr w:type="spellStart"/>
      <w:r w:rsidRPr="009A2F35">
        <w:t>μM</w:t>
      </w:r>
      <w:proofErr w:type="spellEnd"/>
      <w:r w:rsidRPr="009A2F35">
        <w:t xml:space="preserve"> tert-butyl hydroperoxide (tBHP) for four consecutive days (Day 1-4) and analyzed on Day 9 using multiple senescence detection methods, including SA-β-galactosidase staining, </w:t>
      </w:r>
      <w:proofErr w:type="spellStart"/>
      <w:r w:rsidRPr="009A2F35">
        <w:t>qRT</w:t>
      </w:r>
      <w:proofErr w:type="spellEnd"/>
      <w:r w:rsidRPr="009A2F35">
        <w:t>-PCR, Western blot analysis, and microscopy.</w:t>
      </w:r>
      <w:r w:rsidR="003065F7" w:rsidRPr="009A2F35">
        <w:t xml:space="preserve"> </w:t>
      </w:r>
      <w:r w:rsidR="00CC5680" w:rsidRPr="00CC5680">
        <w:t xml:space="preserve">Created in </w:t>
      </w:r>
      <w:proofErr w:type="spellStart"/>
      <w:r w:rsidR="00CC5680" w:rsidRPr="00CC5680">
        <w:t>BioRender</w:t>
      </w:r>
      <w:proofErr w:type="spellEnd"/>
      <w:r w:rsidR="00CC5680" w:rsidRPr="00CC5680">
        <w:t>. Cavinato, M. (2026) https://BioRender.com/ni7cs3e</w:t>
      </w:r>
    </w:p>
    <w:p w14:paraId="5BAED047" w14:textId="77777777" w:rsidR="002A3430" w:rsidRPr="009A2F35" w:rsidRDefault="002A3430" w:rsidP="009A2F35"/>
    <w:p w14:paraId="5C790BE8" w14:textId="58DDA5B2" w:rsidR="002A3430" w:rsidRPr="003F2970" w:rsidRDefault="00CE4AFA" w:rsidP="009A2F35">
      <w:pPr>
        <w:rPr>
          <w:lang w:val="en-AT"/>
        </w:rPr>
      </w:pPr>
      <w:r w:rsidRPr="009A2F35">
        <w:rPr>
          <w:b/>
          <w:bCs/>
        </w:rPr>
        <w:t>Figure 2. tBHP treatment induces cellular senescence in human neonatal melanocytes.</w:t>
      </w:r>
      <w:r w:rsidRPr="009A2F35">
        <w:t xml:space="preserve"> (</w:t>
      </w:r>
      <w:r w:rsidRPr="00B90B06">
        <w:rPr>
          <w:b/>
          <w:bCs/>
        </w:rPr>
        <w:t>A</w:t>
      </w:r>
      <w:r w:rsidRPr="009A2F35">
        <w:t>) Growth curve showing cumulative population doubling levels (</w:t>
      </w:r>
      <w:proofErr w:type="spellStart"/>
      <w:r w:rsidRPr="009A2F35">
        <w:t>cPDL</w:t>
      </w:r>
      <w:proofErr w:type="spellEnd"/>
      <w:r w:rsidRPr="009A2F35">
        <w:t>) in control and tBHP-treated melanocytes over 15 days of culture. (</w:t>
      </w:r>
      <w:r w:rsidRPr="00B90B06">
        <w:rPr>
          <w:b/>
          <w:bCs/>
        </w:rPr>
        <w:t>B</w:t>
      </w:r>
      <w:r w:rsidRPr="009A2F35">
        <w:t>) Cell surface area measurements comparing control and treated melanocytes at days 4, 9, and 15. (</w:t>
      </w:r>
      <w:r w:rsidRPr="00B90B06">
        <w:rPr>
          <w:b/>
          <w:bCs/>
        </w:rPr>
        <w:t>C</w:t>
      </w:r>
      <w:r w:rsidRPr="009A2F35">
        <w:t xml:space="preserve">) Representative phase-contrast images of control (top) and tBHP-treated (bottom) melanocytes at day 9 showing morphological differences. Scale bars = </w:t>
      </w:r>
      <w:r w:rsidR="0035337C">
        <w:t>10µm</w:t>
      </w:r>
      <w:r w:rsidRPr="009A2F35">
        <w:t>. (</w:t>
      </w:r>
      <w:r w:rsidRPr="00B90B06">
        <w:rPr>
          <w:b/>
          <w:bCs/>
        </w:rPr>
        <w:t>D</w:t>
      </w:r>
      <w:r w:rsidRPr="009A2F35">
        <w:t>) Percentage of SA-β-galactosidase positive cells in control and treated cultures. (</w:t>
      </w:r>
      <w:r w:rsidRPr="00B90B06">
        <w:rPr>
          <w:b/>
          <w:bCs/>
        </w:rPr>
        <w:t>E</w:t>
      </w:r>
      <w:r w:rsidRPr="009A2F35">
        <w:t xml:space="preserve">) Representative SA-β-galactosidase staining images showing control (top) and tBHP-treated (bottom) melanocytes. </w:t>
      </w:r>
      <w:r w:rsidR="0035337C">
        <w:t>Scale bars = 5µm</w:t>
      </w:r>
      <w:r w:rsidRPr="009A2F35">
        <w:t>(</w:t>
      </w:r>
      <w:r w:rsidRPr="00B90B06">
        <w:rPr>
          <w:b/>
          <w:bCs/>
        </w:rPr>
        <w:t>F</w:t>
      </w:r>
      <w:r w:rsidRPr="009A2F35">
        <w:t>) Representative immunofluorescence images showing γH2AX staining and nuclear DAPI in control and tBHP-treated cells. Scale bars = 20 µm. (</w:t>
      </w:r>
      <w:r w:rsidRPr="00B90B06">
        <w:rPr>
          <w:b/>
          <w:bCs/>
        </w:rPr>
        <w:t>G</w:t>
      </w:r>
      <w:r w:rsidRPr="009A2F35">
        <w:t>) Quantification of γH2AX mean fluorescence intensity in control and treated cells. (</w:t>
      </w:r>
      <w:r w:rsidRPr="00B90B06">
        <w:rPr>
          <w:b/>
          <w:bCs/>
        </w:rPr>
        <w:t>H</w:t>
      </w:r>
      <w:r w:rsidRPr="009A2F35">
        <w:t>) RT-qPCR analysis showing relative mRNA expression of SASP factors IL-8, IL-6, and MMP-1. (</w:t>
      </w:r>
      <w:r w:rsidRPr="00B90B06">
        <w:rPr>
          <w:b/>
          <w:bCs/>
        </w:rPr>
        <w:t>I</w:t>
      </w:r>
      <w:r w:rsidRPr="009A2F35">
        <w:t xml:space="preserve">) Representative Western blot images of LaminB1 and </w:t>
      </w:r>
      <w:proofErr w:type="spellStart"/>
      <w:r w:rsidRPr="009A2F35">
        <w:t>pRB</w:t>
      </w:r>
      <w:proofErr w:type="spellEnd"/>
      <w:r w:rsidRPr="009A2F35">
        <w:t xml:space="preserve"> with Vinculin and GAPDH as loading </w:t>
      </w:r>
      <w:r w:rsidRPr="009A2F35">
        <w:lastRenderedPageBreak/>
        <w:t>controls. (</w:t>
      </w:r>
      <w:r w:rsidRPr="00B90B06">
        <w:rPr>
          <w:b/>
          <w:bCs/>
        </w:rPr>
        <w:t>J</w:t>
      </w:r>
      <w:r w:rsidRPr="009A2F35">
        <w:t>) Quantification of LaminB1 protein expression normalized to Vinculin. (</w:t>
      </w:r>
      <w:r w:rsidRPr="00B90B06">
        <w:rPr>
          <w:b/>
          <w:bCs/>
        </w:rPr>
        <w:t>K</w:t>
      </w:r>
      <w:r w:rsidRPr="009A2F35">
        <w:t xml:space="preserve">) Quantification of </w:t>
      </w:r>
      <w:proofErr w:type="spellStart"/>
      <w:r w:rsidRPr="009A2F35">
        <w:t>pRB</w:t>
      </w:r>
      <w:proofErr w:type="spellEnd"/>
      <w:r w:rsidRPr="009A2F35">
        <w:t xml:space="preserve"> protein expression normalized to GAPDH. </w:t>
      </w:r>
      <w:r w:rsidR="002F153F" w:rsidRPr="003F2970">
        <w:rPr>
          <w:b/>
          <w:bCs/>
        </w:rPr>
        <w:t>(L)</w:t>
      </w:r>
      <w:r w:rsidR="002F153F">
        <w:t xml:space="preserve"> RT-qPCR analysis showing relative mRNA expression of senescence markers p16 and p21</w:t>
      </w:r>
      <w:r w:rsidR="00714FD4">
        <w:t xml:space="preserve">. </w:t>
      </w:r>
      <w:r w:rsidR="00714FD4" w:rsidRPr="00714FD4">
        <w:t xml:space="preserve"> </w:t>
      </w:r>
      <w:r w:rsidR="00714FD4" w:rsidRPr="00714FD4">
        <w:rPr>
          <w:lang w:val="en-AT"/>
        </w:rPr>
        <w:t>Data are presented as mean ± SD from n = 3 independent biological replicates. Technical replicates were performed but not treated as independent measurements. Statistical comparisons were performed using an unpaired two-tailed t-test.</w:t>
      </w:r>
      <w:r w:rsidR="00714FD4">
        <w:rPr>
          <w:lang w:val="en-AT"/>
        </w:rPr>
        <w:t xml:space="preserve"> </w:t>
      </w:r>
      <w:r w:rsidRPr="009A2F35">
        <w:t>*p &lt; 0.05, **p &lt; 0.01, ****p &lt; 0.0001.</w:t>
      </w:r>
    </w:p>
    <w:p w14:paraId="3FDBDB1A" w14:textId="77777777" w:rsidR="002A3430" w:rsidRPr="009A2F35" w:rsidRDefault="002A3430" w:rsidP="009A2F35"/>
    <w:p w14:paraId="70714477" w14:textId="6C4470E7" w:rsidR="002A3430" w:rsidRPr="009A2F35" w:rsidRDefault="00CE4AFA" w:rsidP="009A2F35">
      <w:pPr>
        <w:rPr>
          <w:b/>
          <w:bCs/>
        </w:rPr>
      </w:pPr>
      <w:r w:rsidRPr="009A2F35">
        <w:rPr>
          <w:b/>
          <w:bCs/>
        </w:rPr>
        <w:t xml:space="preserve">DISCUSSION: </w:t>
      </w:r>
    </w:p>
    <w:p w14:paraId="445C8922" w14:textId="77777777" w:rsidR="002A3430" w:rsidRDefault="00CE4AFA" w:rsidP="009A2F35">
      <w:r w:rsidRPr="009A2F35">
        <w:t>This protocol establishes a standardized approach for inducing stress-induced premature senescence (SIPS) in human neonatal melanocytes using tBHP, offering a robust model for studying senescence specifically in this cell type. Consistent changes in proliferation, morphology, SA-β-gal activity, DNA damage markers, and SASP components support the induced phenotype. By focusing on melanocytes—cells that remain understudied in senescence research despite their key roles in skin physiology and pigmentation disorders</w:t>
      </w:r>
      <w:r w:rsidRPr="009A2F35">
        <w:rPr>
          <w:vertAlign w:val="superscript"/>
        </w:rPr>
        <w:t xml:space="preserve">27,28 </w:t>
      </w:r>
      <w:r w:rsidRPr="009A2F35">
        <w:t>this model helps address a critical gap in the field. The controlled induction of oxidative stress in primary melanocytes provides a physiologically relevant system for investigating how these cells respond to stress and how senescence may influence broader skin aging processes.</w:t>
      </w:r>
    </w:p>
    <w:p w14:paraId="65B5D4B3" w14:textId="77777777" w:rsidR="009A2F35" w:rsidRPr="009A2F35" w:rsidRDefault="009A2F35" w:rsidP="009A2F35"/>
    <w:p w14:paraId="2D05B997" w14:textId="203E0169" w:rsidR="002A3430" w:rsidRDefault="00CE4AFA" w:rsidP="009A2F35">
      <w:r w:rsidRPr="009A2F35">
        <w:t>This methodology contributes to a clearer understanding of melanocyte senescence mechanisms. It offers a valuable tool for studying pathways that cannot be examined effectively in non-melanocytic or immortalized cell models</w:t>
      </w:r>
      <w:r w:rsidRPr="009A2F35">
        <w:rPr>
          <w:vertAlign w:val="superscript"/>
        </w:rPr>
        <w:t>19,29</w:t>
      </w:r>
      <w:r w:rsidRPr="009A2F35">
        <w:t>. By inducing oxidative stress in primary melanocytes, the protocol provides a controlled system for exploring how these cells respond to damage and how such responses may relate to broader skin physiology, including pigmentation changes reported in clinical contexts</w:t>
      </w:r>
      <w:r w:rsidRPr="009A2F35">
        <w:rPr>
          <w:vertAlign w:val="superscript"/>
        </w:rPr>
        <w:t>14,30</w:t>
      </w:r>
      <w:r w:rsidRPr="009A2F35">
        <w:t xml:space="preserve">. The SASP characterization is particularly useful for understanding how senescent melanocytes influence the surrounding skin microenvironment through paracrine </w:t>
      </w:r>
      <w:proofErr w:type="spellStart"/>
      <w:r w:rsidRPr="009A2F35">
        <w:t>signalling</w:t>
      </w:r>
      <w:proofErr w:type="spellEnd"/>
      <w:r w:rsidRPr="009A2F35">
        <w:t xml:space="preserve"> and may affect </w:t>
      </w:r>
      <w:proofErr w:type="spellStart"/>
      <w:r w:rsidRPr="009A2F35">
        <w:t>neighbouring</w:t>
      </w:r>
      <w:proofErr w:type="spellEnd"/>
      <w:r w:rsidRPr="009A2F35">
        <w:t xml:space="preserve"> cell types.</w:t>
      </w:r>
      <w:r w:rsidR="00655224" w:rsidRPr="00655224">
        <w:t xml:space="preserve"> While this study focuses on a limited set of robust SASP markers, future studies could expand this analysis using broader or unbiased approaches to capture the full complexity and heterogeneity of the melanocyte SASP.</w:t>
      </w:r>
    </w:p>
    <w:p w14:paraId="611DBB7E" w14:textId="77777777" w:rsidR="009A2F35" w:rsidRPr="009A2F35" w:rsidRDefault="009A2F35" w:rsidP="009A2F35"/>
    <w:p w14:paraId="4FADA055" w14:textId="77777777" w:rsidR="002A3430" w:rsidRDefault="00CE4AFA" w:rsidP="009A2F35">
      <w:r w:rsidRPr="009A2F35">
        <w:t>The use of neonatal melanocytes is particularly advantageous in this SIPS model, as their lack of prior environmental damage provides a clean baseline from which to evaluate senescence induced specifically by tBHP, without interference from pre-existing age-related alterations</w:t>
      </w:r>
      <w:r w:rsidRPr="009A2F35">
        <w:rPr>
          <w:vertAlign w:val="superscript"/>
        </w:rPr>
        <w:t>26</w:t>
      </w:r>
      <w:r w:rsidRPr="009A2F35">
        <w:t>. However, this model has inherent limitations: the tBHP-induced senescence model, although well-characterized, represents acute oxidative stress exposure that may differ from the chronic, low-level oxidative burden experienced during natural extrinsic aging processes</w:t>
      </w:r>
      <w:r w:rsidRPr="009A2F35">
        <w:rPr>
          <w:vertAlign w:val="superscript"/>
        </w:rPr>
        <w:t>31</w:t>
      </w:r>
      <w:r w:rsidRPr="009A2F35">
        <w:t xml:space="preserve">. Additionally, the in vitro culture conditions cannot fully replicate the complex three-dimensional skin architecture and cell-cell interactions that influence melanocyte </w:t>
      </w:r>
      <w:proofErr w:type="spellStart"/>
      <w:r w:rsidRPr="009A2F35">
        <w:t>behaviour</w:t>
      </w:r>
      <w:proofErr w:type="spellEnd"/>
      <w:r w:rsidRPr="009A2F35">
        <w:t xml:space="preserve"> in vivo</w:t>
      </w:r>
      <w:r w:rsidRPr="009A2F35">
        <w:rPr>
          <w:vertAlign w:val="superscript"/>
        </w:rPr>
        <w:t>32</w:t>
      </w:r>
      <w:r w:rsidRPr="009A2F35">
        <w:t>. Specific tBHP concentration and treatment duration may require optimization for different research questions.</w:t>
      </w:r>
    </w:p>
    <w:p w14:paraId="6740FCFC" w14:textId="77777777" w:rsidR="00EF1FF0" w:rsidRDefault="00EF1FF0" w:rsidP="009A2F35"/>
    <w:p w14:paraId="479A62E4" w14:textId="618E2A20" w:rsidR="00EF1FF0" w:rsidRDefault="00EF1FF0" w:rsidP="009A2F35">
      <w:r w:rsidRPr="00EF1FF0">
        <w:t>Because primary melanocyte cultures vary in their sensitivity to oxidative stress depending on donor-specific characteristics, including proliferation rate, pigmentation status, and basal redox state, optimiz</w:t>
      </w:r>
      <w:r>
        <w:t>ing</w:t>
      </w:r>
      <w:r w:rsidRPr="00EF1FF0">
        <w:t xml:space="preserve"> the tBHP treatment conditions may be required when applying this protocol to different cell lines. Key parameters that may need adjustment include seeding density, recovery </w:t>
      </w:r>
      <w:r w:rsidRPr="00EF1FF0">
        <w:lastRenderedPageBreak/>
        <w:t xml:space="preserve">time after thawing, tBHP concentration, exposure duration, treatment frequency, and the interval between treatments. Inconsistent senescence induction may arise from suboptimal cell density, insufficient recovery prior to treatment, or </w:t>
      </w:r>
      <w:r>
        <w:t xml:space="preserve">donor-to-donor </w:t>
      </w:r>
      <w:r w:rsidRPr="00EF1FF0">
        <w:t>variability in stress susceptibility. Conversely, excessive toxicity—manifested as pronounced cell detachment or loss of viability—may indicate overtreatment and can be mitigated by reducing tBHP concentration or exposure time, or by extending recovery intervals between treatments. Careful titration of these parameters is therefore essential to achieve robust senescence induction while maintaining sufficient cell viability for downstream analyses</w:t>
      </w:r>
      <w:r>
        <w:t>.</w:t>
      </w:r>
    </w:p>
    <w:p w14:paraId="60445EDE" w14:textId="77777777" w:rsidR="009A2F35" w:rsidRPr="009A2F35" w:rsidRDefault="009A2F35" w:rsidP="009A2F35"/>
    <w:p w14:paraId="52ECCBD9" w14:textId="78E78EDD" w:rsidR="002A3430" w:rsidRDefault="00CE4AFA" w:rsidP="009A2F35">
      <w:r w:rsidRPr="009A2F35">
        <w:t>Alternative approaches for inducing SIPS in melanocytes include UV-based models, which more directly mimic photo-induced oxidative stress but require specialized equipment and tightly controlled irradiation protocols</w:t>
      </w:r>
      <w:r w:rsidRPr="009A2F35">
        <w:rPr>
          <w:vertAlign w:val="superscript"/>
        </w:rPr>
        <w:t>27,33</w:t>
      </w:r>
      <w:r w:rsidRPr="009A2F35">
        <w:t>. Although both UV exposure and tBHP treatment generate stress-induced premature senescence, they activate distinct molecular pathways, making them complementary tools for studying melanocyte senescence from different mechanistic angles.</w:t>
      </w:r>
      <w:r w:rsidR="00136FFF">
        <w:t xml:space="preserve"> </w:t>
      </w:r>
      <w:r w:rsidR="00136FFF" w:rsidRPr="00136FFF">
        <w:t>Importantly, this model should be interpreted as a controlled oxidative stress–induced SIPS system and does not recapitulate the full complexity of melanocyte aging in vivo, where ultraviolet radiation (UVA/UVB) and additional environmental factors contribute through distinct and overlapping mechanisms.</w:t>
      </w:r>
    </w:p>
    <w:p w14:paraId="4D9D9660" w14:textId="77777777" w:rsidR="009A2F35" w:rsidRPr="009A2F35" w:rsidRDefault="009A2F35" w:rsidP="009A2F35"/>
    <w:p w14:paraId="61551E0B" w14:textId="77777777" w:rsidR="002A3430" w:rsidRDefault="00CE4AFA" w:rsidP="009A2F35">
      <w:r w:rsidRPr="009A2F35">
        <w:t>This methodology is broadly applicable for studying melanocyte responses to oxidative stress, providing a simplified, controlled system for examining senescence-related pathways across diverse research fields. In dermatology and aging research, the model supports investigations into the links between oxidative damage, cellular senescence, and changes in skin physiology</w:t>
      </w:r>
      <w:r w:rsidRPr="009A2F35">
        <w:rPr>
          <w:vertAlign w:val="superscript"/>
        </w:rPr>
        <w:t>34,35</w:t>
      </w:r>
      <w:r w:rsidRPr="009A2F35">
        <w:t>. It may also be applied in early-stage screening of compounds that modulate oxidative stress or senescence-associated pathways</w:t>
      </w:r>
      <w:r w:rsidRPr="009A2F35">
        <w:rPr>
          <w:vertAlign w:val="superscript"/>
        </w:rPr>
        <w:t>36</w:t>
      </w:r>
      <w:r w:rsidRPr="009A2F35">
        <w:t>. Although tBHP does not reproduce the full spectrum of responses triggered by complex environmental exposures, its ability to induce acute oxidative stress can partially mimic the ROS-driven component of pollutants or cigarette smoke</w:t>
      </w:r>
      <w:r w:rsidRPr="009A2F35">
        <w:rPr>
          <w:vertAlign w:val="superscript"/>
        </w:rPr>
        <w:t>21</w:t>
      </w:r>
      <w:r w:rsidRPr="009A2F35">
        <w:t>. This provides a valuable framework for exploring how melanocytes react to oxidative challenges in a controlled setting.</w:t>
      </w:r>
    </w:p>
    <w:p w14:paraId="02E7BFC2" w14:textId="77777777" w:rsidR="009A2F35" w:rsidRPr="009A2F35" w:rsidRDefault="009A2F35" w:rsidP="009A2F35"/>
    <w:p w14:paraId="196E8083" w14:textId="77777777" w:rsidR="002A3430" w:rsidRPr="009A2F35" w:rsidRDefault="00CE4AFA" w:rsidP="009A2F35">
      <w:r w:rsidRPr="009A2F35">
        <w:t>Future research using this SIPS model could examine how melanocytes respond to antioxidant interventions, providing insight into whether oxidative stress–induced senescence can be modulated or partially reversed</w:t>
      </w:r>
      <w:r w:rsidRPr="009A2F35">
        <w:rPr>
          <w:vertAlign w:val="superscript"/>
        </w:rPr>
        <w:t>37,38</w:t>
      </w:r>
      <w:r w:rsidRPr="009A2F35">
        <w:t xml:space="preserve">. Testing </w:t>
      </w:r>
      <w:proofErr w:type="spellStart"/>
      <w:r w:rsidRPr="009A2F35">
        <w:t>senolytic</w:t>
      </w:r>
      <w:proofErr w:type="spellEnd"/>
      <w:r w:rsidRPr="009A2F35">
        <w:t xml:space="preserve"> compounds within this system may also help identify agents capable of selectively targeting senescent melanocytes, although any therapeutic implications would require further validation. In addition, integrating this protocol with advanced techniques such as single-cell RNA sequencing could deepen the characterization of senescence heterogeneity within melanocyte populations</w:t>
      </w:r>
      <w:r w:rsidRPr="009A2F35">
        <w:rPr>
          <w:vertAlign w:val="superscript"/>
        </w:rPr>
        <w:t>39</w:t>
      </w:r>
      <w:r w:rsidRPr="009A2F35">
        <w:t>. Expanding these approaches would improve our understanding of how oxidative stress influences melanocyte biology and further refine the utility of this model for studying stress-driven senescence.</w:t>
      </w:r>
    </w:p>
    <w:p w14:paraId="5146C0F9" w14:textId="77777777" w:rsidR="002A3430" w:rsidRPr="009A2F35" w:rsidRDefault="002A3430" w:rsidP="009A2F35"/>
    <w:p w14:paraId="2265F0F8" w14:textId="0CE8FDAE" w:rsidR="002A3430" w:rsidRPr="009A2F35" w:rsidRDefault="00CE4AFA" w:rsidP="009A2F35">
      <w:pPr>
        <w:pBdr>
          <w:top w:val="nil"/>
          <w:left w:val="nil"/>
          <w:bottom w:val="nil"/>
          <w:right w:val="nil"/>
          <w:between w:val="nil"/>
        </w:pBdr>
      </w:pPr>
      <w:r w:rsidRPr="009A2F35">
        <w:rPr>
          <w:b/>
          <w:bCs/>
        </w:rPr>
        <w:t>ACKNOWLEDGMENTS:</w:t>
      </w:r>
    </w:p>
    <w:p w14:paraId="37026ED1" w14:textId="7D9E48AC" w:rsidR="002A3430" w:rsidRPr="009A2F35" w:rsidRDefault="00156F76" w:rsidP="009A2F35">
      <w:pPr>
        <w:rPr>
          <w:lang w:val="en-US"/>
        </w:rPr>
      </w:pPr>
      <w:r w:rsidRPr="009A2F35">
        <w:rPr>
          <w:lang w:val="en-US"/>
        </w:rPr>
        <w:t xml:space="preserve">This work was supported by funding from </w:t>
      </w:r>
      <w:proofErr w:type="spellStart"/>
      <w:r w:rsidRPr="009A2F35">
        <w:rPr>
          <w:lang w:val="en-US"/>
        </w:rPr>
        <w:t>Tiroler</w:t>
      </w:r>
      <w:proofErr w:type="spellEnd"/>
      <w:r w:rsidRPr="009A2F35">
        <w:rPr>
          <w:lang w:val="en-US"/>
        </w:rPr>
        <w:t xml:space="preserve"> </w:t>
      </w:r>
      <w:proofErr w:type="spellStart"/>
      <w:r w:rsidRPr="009A2F35">
        <w:rPr>
          <w:lang w:val="en-US"/>
        </w:rPr>
        <w:t>Wissenschaftsfonds</w:t>
      </w:r>
      <w:proofErr w:type="spellEnd"/>
      <w:r w:rsidRPr="009A2F35">
        <w:rPr>
          <w:lang w:val="en-US"/>
        </w:rPr>
        <w:t xml:space="preserve"> (ZAP746010, F.33287/10- 2021, F.50279/7-2024).</w:t>
      </w:r>
    </w:p>
    <w:p w14:paraId="6AAF5899" w14:textId="77777777" w:rsidR="00FD0FBA" w:rsidRPr="009A2F35" w:rsidRDefault="00FD0FBA" w:rsidP="009A2F35">
      <w:pPr>
        <w:rPr>
          <w:b/>
          <w:bCs/>
          <w:lang w:val="en-US"/>
        </w:rPr>
      </w:pPr>
    </w:p>
    <w:p w14:paraId="73621121" w14:textId="6354165F" w:rsidR="002A3430" w:rsidRPr="009A2F35" w:rsidRDefault="00CE4AFA" w:rsidP="009A2F35">
      <w:pPr>
        <w:pBdr>
          <w:top w:val="nil"/>
          <w:left w:val="nil"/>
          <w:bottom w:val="nil"/>
          <w:right w:val="nil"/>
          <w:between w:val="nil"/>
        </w:pBdr>
      </w:pPr>
      <w:r w:rsidRPr="009A2F35">
        <w:rPr>
          <w:b/>
          <w:bCs/>
        </w:rPr>
        <w:lastRenderedPageBreak/>
        <w:t>DISCLOSURES:</w:t>
      </w:r>
    </w:p>
    <w:p w14:paraId="153D5214" w14:textId="62CCA881" w:rsidR="00BC73AA" w:rsidRPr="00BC73AA" w:rsidRDefault="00BC73AA" w:rsidP="00BC73AA">
      <w:pPr>
        <w:pBdr>
          <w:top w:val="nil"/>
          <w:left w:val="nil"/>
          <w:bottom w:val="nil"/>
          <w:right w:val="nil"/>
          <w:between w:val="nil"/>
        </w:pBdr>
        <w:rPr>
          <w:lang w:val="en-AT"/>
        </w:rPr>
      </w:pPr>
      <w:r w:rsidRPr="00BC73AA">
        <w:rPr>
          <w:lang w:val="en-AT"/>
        </w:rPr>
        <w:t xml:space="preserve">The authors declare no competing financial interests. Lieve Declercq is affiliated with </w:t>
      </w:r>
      <w:r w:rsidRPr="00BC73AA">
        <w:rPr>
          <w:lang w:val="en-AT"/>
        </w:rPr>
        <w:fldChar w:fldCharType="begin"/>
      </w:r>
      <w:r w:rsidRPr="00BC73AA">
        <w:rPr>
          <w:lang w:val="en-AT"/>
        </w:rPr>
        <w:instrText>HYPERLINK "chatgpt://generic-entity?number=0"</w:instrText>
      </w:r>
      <w:r w:rsidRPr="00BC73AA">
        <w:rPr>
          <w:lang w:val="en-AT"/>
        </w:rPr>
      </w:r>
      <w:r w:rsidRPr="00BC73AA">
        <w:rPr>
          <w:lang w:val="en-AT"/>
        </w:rPr>
        <w:fldChar w:fldCharType="separate"/>
      </w:r>
      <w:r w:rsidRPr="00BC73AA">
        <w:rPr>
          <w:rStyle w:val="Hyperlink"/>
          <w:lang w:val="en-AT"/>
        </w:rPr>
        <w:t>Proya Europe</w:t>
      </w:r>
      <w:r w:rsidRPr="00BC73AA">
        <w:fldChar w:fldCharType="end"/>
      </w:r>
      <w:r w:rsidRPr="00BC73AA">
        <w:rPr>
          <w:lang w:val="en-AT"/>
        </w:rPr>
        <w:t>; however, the company had no influence on the study design, data collection, analysis, interpretation, or decision to publish.</w:t>
      </w:r>
    </w:p>
    <w:p w14:paraId="6C8288A7" w14:textId="77777777" w:rsidR="00BC73AA" w:rsidRPr="00BC73AA" w:rsidRDefault="00BC73AA" w:rsidP="00BC73AA">
      <w:pPr>
        <w:pBdr>
          <w:top w:val="nil"/>
          <w:left w:val="nil"/>
          <w:bottom w:val="nil"/>
          <w:right w:val="nil"/>
          <w:between w:val="nil"/>
        </w:pBdr>
        <w:rPr>
          <w:lang w:val="en-AT"/>
        </w:rPr>
      </w:pPr>
    </w:p>
    <w:p w14:paraId="66C16221" w14:textId="77777777" w:rsidR="00BC73AA" w:rsidRPr="00BC73AA" w:rsidRDefault="00BC73AA" w:rsidP="00BC73AA">
      <w:pPr>
        <w:pBdr>
          <w:top w:val="nil"/>
          <w:left w:val="nil"/>
          <w:bottom w:val="nil"/>
          <w:right w:val="nil"/>
          <w:between w:val="nil"/>
        </w:pBdr>
        <w:rPr>
          <w:lang w:val="en-AT"/>
        </w:rPr>
      </w:pPr>
      <w:r w:rsidRPr="00BC73AA">
        <w:rPr>
          <w:lang w:val="en-AT"/>
        </w:rPr>
        <w:t>The authors further declare that artificial intelligence (AI) tools were used solely to assist with language editing and text refinement. All scientific content, experimental design, and data interpretation were developed and validated by the authors.</w:t>
      </w:r>
    </w:p>
    <w:p w14:paraId="44FAF00A" w14:textId="77777777" w:rsidR="002A3430" w:rsidRPr="009A2F35" w:rsidRDefault="002A3430" w:rsidP="009A2F35">
      <w:pPr>
        <w:rPr>
          <w:b/>
          <w:bCs/>
        </w:rPr>
      </w:pPr>
    </w:p>
    <w:p w14:paraId="7188E79F" w14:textId="683926D3" w:rsidR="009A2F35" w:rsidRPr="009A2F35" w:rsidRDefault="00CE4AFA" w:rsidP="009A2F35">
      <w:r w:rsidRPr="009A2F35">
        <w:rPr>
          <w:b/>
          <w:bCs/>
        </w:rPr>
        <w:t>REFERENCES:</w:t>
      </w:r>
      <w:r w:rsidRPr="009A2F35">
        <w:t xml:space="preserve"> </w:t>
      </w:r>
    </w:p>
    <w:p w14:paraId="0A0CF7CD" w14:textId="60ADA54D" w:rsidR="002A3430" w:rsidRPr="009A2F35" w:rsidRDefault="00CE4AFA" w:rsidP="006061E5">
      <w:r w:rsidRPr="00E62A91">
        <w:rPr>
          <w:lang w:val="de-AT"/>
        </w:rPr>
        <w:t>1.</w:t>
      </w:r>
      <w:r w:rsidRPr="00E62A91">
        <w:rPr>
          <w:lang w:val="de-AT"/>
        </w:rPr>
        <w:tab/>
      </w:r>
      <w:r w:rsidR="006061E5" w:rsidRPr="003F2970">
        <w:rPr>
          <w:lang w:val="de-AT"/>
        </w:rPr>
        <w:t xml:space="preserve">Hussein RS, Bin </w:t>
      </w:r>
      <w:proofErr w:type="spellStart"/>
      <w:r w:rsidR="006061E5" w:rsidRPr="003F2970">
        <w:rPr>
          <w:lang w:val="de-AT"/>
        </w:rPr>
        <w:t>Dayel</w:t>
      </w:r>
      <w:proofErr w:type="spellEnd"/>
      <w:r w:rsidR="006061E5" w:rsidRPr="003F2970">
        <w:rPr>
          <w:lang w:val="de-AT"/>
        </w:rPr>
        <w:t xml:space="preserve"> S, </w:t>
      </w:r>
      <w:proofErr w:type="spellStart"/>
      <w:r w:rsidR="006061E5" w:rsidRPr="003F2970">
        <w:rPr>
          <w:lang w:val="de-AT"/>
        </w:rPr>
        <w:t>Abahussein</w:t>
      </w:r>
      <w:proofErr w:type="spellEnd"/>
      <w:r w:rsidR="006061E5" w:rsidRPr="003F2970">
        <w:rPr>
          <w:lang w:val="de-AT"/>
        </w:rPr>
        <w:t xml:space="preserve"> O, et al. </w:t>
      </w:r>
      <w:r w:rsidR="006061E5" w:rsidRPr="006061E5">
        <w:t xml:space="preserve">Influences on skin and intrinsic aging: biological, environmental, and therapeutic insights. J </w:t>
      </w:r>
      <w:proofErr w:type="spellStart"/>
      <w:r w:rsidR="006061E5" w:rsidRPr="006061E5">
        <w:t>Cosmet</w:t>
      </w:r>
      <w:proofErr w:type="spellEnd"/>
      <w:r w:rsidR="006061E5" w:rsidRPr="006061E5">
        <w:t xml:space="preserve"> Dermatol. 2025;</w:t>
      </w:r>
      <w:proofErr w:type="gramStart"/>
      <w:r w:rsidR="006061E5" w:rsidRPr="006061E5">
        <w:t>24:e</w:t>
      </w:r>
      <w:proofErr w:type="gramEnd"/>
      <w:r w:rsidR="006061E5" w:rsidRPr="006061E5">
        <w:t>16688.</w:t>
      </w:r>
    </w:p>
    <w:p w14:paraId="2E8B223B" w14:textId="67FD205D" w:rsidR="002A3430" w:rsidRPr="009A2F35" w:rsidRDefault="00CE4AFA" w:rsidP="00F20BC4">
      <w:pPr>
        <w:rPr>
          <w:lang w:val="fr-FR"/>
        </w:rPr>
      </w:pPr>
      <w:r w:rsidRPr="009A2F35">
        <w:t>2.</w:t>
      </w:r>
      <w:r w:rsidRPr="009A2F35">
        <w:tab/>
      </w:r>
      <w:r w:rsidR="00F20BC4" w:rsidRPr="00F20BC4">
        <w:t xml:space="preserve">Dorf N, </w:t>
      </w:r>
      <w:proofErr w:type="spellStart"/>
      <w:r w:rsidR="00F20BC4" w:rsidRPr="00F20BC4">
        <w:t>Maciejczyk</w:t>
      </w:r>
      <w:proofErr w:type="spellEnd"/>
      <w:r w:rsidR="00F20BC4" w:rsidRPr="00F20BC4">
        <w:t xml:space="preserve"> M. Skin senescence-from basic research to clinical practice. </w:t>
      </w:r>
      <w:r w:rsidR="00F20BC4" w:rsidRPr="003F2970">
        <w:rPr>
          <w:lang w:val="de-AT"/>
        </w:rPr>
        <w:t xml:space="preserve">Front </w:t>
      </w:r>
      <w:proofErr w:type="spellStart"/>
      <w:r w:rsidR="00F20BC4" w:rsidRPr="003F2970">
        <w:rPr>
          <w:lang w:val="de-AT"/>
        </w:rPr>
        <w:t>Med</w:t>
      </w:r>
      <w:proofErr w:type="spellEnd"/>
      <w:r w:rsidR="00F20BC4" w:rsidRPr="003F2970">
        <w:rPr>
          <w:lang w:val="de-AT"/>
        </w:rPr>
        <w:t xml:space="preserve"> (Lausanne). </w:t>
      </w:r>
      <w:proofErr w:type="gramStart"/>
      <w:r w:rsidR="00F20BC4" w:rsidRPr="003F2970">
        <w:rPr>
          <w:lang w:val="de-AT"/>
        </w:rPr>
        <w:t>2024;11:1484345</w:t>
      </w:r>
      <w:proofErr w:type="gramEnd"/>
      <w:r w:rsidR="00F20BC4" w:rsidRPr="003F2970">
        <w:rPr>
          <w:lang w:val="de-AT"/>
        </w:rPr>
        <w:t>.</w:t>
      </w:r>
    </w:p>
    <w:p w14:paraId="2AACF219" w14:textId="185C78A2" w:rsidR="002A3430" w:rsidRPr="009A2F35" w:rsidRDefault="00CE4AFA" w:rsidP="00F20BC4">
      <w:r w:rsidRPr="009A2F35">
        <w:rPr>
          <w:lang w:val="fr-FR"/>
        </w:rPr>
        <w:t>3.</w:t>
      </w:r>
      <w:r w:rsidRPr="009A2F35">
        <w:rPr>
          <w:lang w:val="fr-FR"/>
        </w:rPr>
        <w:tab/>
      </w:r>
      <w:r w:rsidR="00F20BC4" w:rsidRPr="003F2970">
        <w:rPr>
          <w:lang w:val="de-AT"/>
        </w:rPr>
        <w:t xml:space="preserve">Grenier A, Morissette MC, </w:t>
      </w:r>
      <w:proofErr w:type="spellStart"/>
      <w:r w:rsidR="00F20BC4" w:rsidRPr="003F2970">
        <w:rPr>
          <w:lang w:val="de-AT"/>
        </w:rPr>
        <w:t>Rochette</w:t>
      </w:r>
      <w:proofErr w:type="spellEnd"/>
      <w:r w:rsidR="00F20BC4" w:rsidRPr="003F2970">
        <w:rPr>
          <w:lang w:val="de-AT"/>
        </w:rPr>
        <w:t xml:space="preserve"> PJ, et al. </w:t>
      </w:r>
      <w:r w:rsidR="00F20BC4" w:rsidRPr="00F20BC4">
        <w:t xml:space="preserve">The combination of cigarette smoke and solar rays causes effects </w:t>
      </w:r>
      <w:proofErr w:type="gramStart"/>
      <w:r w:rsidR="00F20BC4" w:rsidRPr="00F20BC4">
        <w:t>similar to</w:t>
      </w:r>
      <w:proofErr w:type="gramEnd"/>
      <w:r w:rsidR="00F20BC4" w:rsidRPr="00F20BC4">
        <w:t xml:space="preserve"> skin aging in a bilayer skin model. Sci Rep. </w:t>
      </w:r>
      <w:proofErr w:type="gramStart"/>
      <w:r w:rsidR="00F20BC4" w:rsidRPr="00F20BC4">
        <w:t>2023;13:17969</w:t>
      </w:r>
      <w:proofErr w:type="gramEnd"/>
      <w:r w:rsidR="00F20BC4" w:rsidRPr="00F20BC4">
        <w:t>.</w:t>
      </w:r>
    </w:p>
    <w:p w14:paraId="47D0798E" w14:textId="380D1EBB" w:rsidR="002A3430" w:rsidRPr="009A2F35" w:rsidRDefault="00CE4AFA" w:rsidP="00111445">
      <w:r w:rsidRPr="009A2F35">
        <w:t>4.</w:t>
      </w:r>
      <w:r w:rsidRPr="009A2F35">
        <w:tab/>
      </w:r>
      <w:proofErr w:type="spellStart"/>
      <w:r w:rsidR="00111445" w:rsidRPr="00111445">
        <w:t>Varani</w:t>
      </w:r>
      <w:proofErr w:type="spellEnd"/>
      <w:r w:rsidR="00111445" w:rsidRPr="00111445">
        <w:t xml:space="preserve"> J, Dame MK, </w:t>
      </w:r>
      <w:proofErr w:type="spellStart"/>
      <w:r w:rsidR="00111445" w:rsidRPr="00111445">
        <w:t>Rittie</w:t>
      </w:r>
      <w:proofErr w:type="spellEnd"/>
      <w:r w:rsidR="00111445" w:rsidRPr="00111445">
        <w:t xml:space="preserve"> L, et al. Decreased collagen production in chronologically aged skin: roles of age-dependent alteration in fibroblast function and defective mechanical stimulation. Am J </w:t>
      </w:r>
      <w:proofErr w:type="spellStart"/>
      <w:r w:rsidR="00111445" w:rsidRPr="00111445">
        <w:t>Pathol</w:t>
      </w:r>
      <w:proofErr w:type="spellEnd"/>
      <w:r w:rsidR="00111445" w:rsidRPr="00111445">
        <w:t xml:space="preserve">. </w:t>
      </w:r>
      <w:proofErr w:type="gramStart"/>
      <w:r w:rsidR="00111445" w:rsidRPr="00111445">
        <w:t>2006;168:1861</w:t>
      </w:r>
      <w:proofErr w:type="gramEnd"/>
      <w:r w:rsidR="00111445" w:rsidRPr="00111445">
        <w:t>–1868.</w:t>
      </w:r>
    </w:p>
    <w:p w14:paraId="23D41993" w14:textId="347AFFD3" w:rsidR="002A3430" w:rsidRPr="009A2F35" w:rsidRDefault="00CE4AFA" w:rsidP="008E7E0D">
      <w:r w:rsidRPr="009A2F35">
        <w:t>5.</w:t>
      </w:r>
      <w:r w:rsidRPr="009A2F35">
        <w:tab/>
      </w:r>
      <w:r w:rsidR="008E7E0D" w:rsidRPr="008E7E0D">
        <w:t xml:space="preserve">Zhang S, Duan E. Fighting against skin aging: the way from bench to bedside. Cell Transplant. </w:t>
      </w:r>
      <w:proofErr w:type="gramStart"/>
      <w:r w:rsidR="008E7E0D" w:rsidRPr="008E7E0D">
        <w:t>2018;27:729</w:t>
      </w:r>
      <w:proofErr w:type="gramEnd"/>
      <w:r w:rsidR="008E7E0D" w:rsidRPr="008E7E0D">
        <w:t>–738.</w:t>
      </w:r>
    </w:p>
    <w:p w14:paraId="0390DE98" w14:textId="0BE28606" w:rsidR="008E7E0D" w:rsidRPr="009A2F35" w:rsidRDefault="00CE4AFA" w:rsidP="008E7E0D">
      <w:r w:rsidRPr="009A2F35">
        <w:t>6.</w:t>
      </w:r>
      <w:r w:rsidRPr="009A2F35">
        <w:tab/>
      </w:r>
      <w:r w:rsidR="008E7E0D" w:rsidRPr="008E7E0D">
        <w:t xml:space="preserve">Hussen </w:t>
      </w:r>
      <w:proofErr w:type="spellStart"/>
      <w:r w:rsidR="008E7E0D" w:rsidRPr="008E7E0D">
        <w:t>NHa</w:t>
      </w:r>
      <w:proofErr w:type="spellEnd"/>
      <w:r w:rsidR="008E7E0D" w:rsidRPr="008E7E0D">
        <w:t xml:space="preserve">, Abdulla SK, Ali NM, et al. Role of antioxidants in skin aging and the molecular mechanism of ROS: a comprehensive review. Aspects Mol Med. </w:t>
      </w:r>
      <w:proofErr w:type="gramStart"/>
      <w:r w:rsidR="008E7E0D" w:rsidRPr="008E7E0D">
        <w:t>2025;5:100063</w:t>
      </w:r>
      <w:proofErr w:type="gramEnd"/>
      <w:r w:rsidR="008E7E0D" w:rsidRPr="008E7E0D">
        <w:t>.</w:t>
      </w:r>
    </w:p>
    <w:p w14:paraId="7FC900DC" w14:textId="2E80F3B8" w:rsidR="002A3430" w:rsidRPr="009A2F35" w:rsidRDefault="00CE4AFA" w:rsidP="00E2061A">
      <w:r w:rsidRPr="009A2F35">
        <w:t>7.</w:t>
      </w:r>
      <w:r w:rsidRPr="009A2F35">
        <w:tab/>
      </w:r>
      <w:proofErr w:type="spellStart"/>
      <w:r w:rsidR="00E2061A" w:rsidRPr="00E2061A">
        <w:t>Addor</w:t>
      </w:r>
      <w:proofErr w:type="spellEnd"/>
      <w:r w:rsidR="00E2061A" w:rsidRPr="00E2061A">
        <w:t xml:space="preserve"> FAS. Beyond photoaging: additional factors involved in the process of skin aging. Clin </w:t>
      </w:r>
      <w:proofErr w:type="spellStart"/>
      <w:r w:rsidR="00E2061A" w:rsidRPr="00E2061A">
        <w:t>Cosmet</w:t>
      </w:r>
      <w:proofErr w:type="spellEnd"/>
      <w:r w:rsidR="00E2061A" w:rsidRPr="00E2061A">
        <w:t xml:space="preserve"> </w:t>
      </w:r>
      <w:proofErr w:type="spellStart"/>
      <w:r w:rsidR="00E2061A" w:rsidRPr="00E2061A">
        <w:t>Investig</w:t>
      </w:r>
      <w:proofErr w:type="spellEnd"/>
      <w:r w:rsidR="00E2061A" w:rsidRPr="00E2061A">
        <w:t xml:space="preserve"> Dermatol. </w:t>
      </w:r>
      <w:proofErr w:type="gramStart"/>
      <w:r w:rsidR="00E2061A" w:rsidRPr="00E2061A">
        <w:t>2018;11:437</w:t>
      </w:r>
      <w:proofErr w:type="gramEnd"/>
      <w:r w:rsidR="00E2061A" w:rsidRPr="00E2061A">
        <w:t>–443.</w:t>
      </w:r>
    </w:p>
    <w:p w14:paraId="5D32FC3E" w14:textId="11DEACCC" w:rsidR="002A3430" w:rsidRPr="009A2F35" w:rsidRDefault="00CE4AFA" w:rsidP="000D7018">
      <w:r w:rsidRPr="009A2F35">
        <w:t>8.</w:t>
      </w:r>
      <w:r w:rsidRPr="009A2F35">
        <w:tab/>
      </w:r>
      <w:r w:rsidR="000D7018" w:rsidRPr="000D7018">
        <w:t xml:space="preserve">Mucha M, </w:t>
      </w:r>
      <w:proofErr w:type="spellStart"/>
      <w:r w:rsidR="000D7018" w:rsidRPr="000D7018">
        <w:t>Skrzydlewska</w:t>
      </w:r>
      <w:proofErr w:type="spellEnd"/>
      <w:r w:rsidR="000D7018" w:rsidRPr="000D7018">
        <w:t xml:space="preserve"> E, </w:t>
      </w:r>
      <w:proofErr w:type="spellStart"/>
      <w:r w:rsidR="000D7018" w:rsidRPr="000D7018">
        <w:t>Gęgotek</w:t>
      </w:r>
      <w:proofErr w:type="spellEnd"/>
      <w:r w:rsidR="000D7018" w:rsidRPr="000D7018">
        <w:t xml:space="preserve"> A. Natural protection against oxidative stress in human skin melanocytes. Commun Biol. </w:t>
      </w:r>
      <w:proofErr w:type="gramStart"/>
      <w:r w:rsidR="000D7018" w:rsidRPr="000D7018">
        <w:t>2025;8:1283</w:t>
      </w:r>
      <w:proofErr w:type="gramEnd"/>
      <w:r w:rsidR="000D7018" w:rsidRPr="000D7018">
        <w:t>.</w:t>
      </w:r>
    </w:p>
    <w:p w14:paraId="0803CE30" w14:textId="076DF129" w:rsidR="002A3430" w:rsidRPr="009A2F35" w:rsidRDefault="00CE4AFA" w:rsidP="000D7018">
      <w:r w:rsidRPr="009A2F35">
        <w:t>9.</w:t>
      </w:r>
      <w:r w:rsidRPr="009A2F35">
        <w:tab/>
      </w:r>
      <w:r w:rsidR="000D7018" w:rsidRPr="000D7018">
        <w:t xml:space="preserve">Hughes BK, Bishop CL. Current understanding of the role of senescent melanocytes in skin ageing. Biomedicines. </w:t>
      </w:r>
      <w:proofErr w:type="gramStart"/>
      <w:r w:rsidR="000D7018" w:rsidRPr="000D7018">
        <w:t>2022;10:3111</w:t>
      </w:r>
      <w:proofErr w:type="gramEnd"/>
      <w:r w:rsidR="000D7018" w:rsidRPr="000D7018">
        <w:t>.</w:t>
      </w:r>
    </w:p>
    <w:p w14:paraId="1509BDFD" w14:textId="0D72DFEB" w:rsidR="002A3430" w:rsidRPr="009A2F35" w:rsidRDefault="00CE4AFA" w:rsidP="00B5255D">
      <w:pPr>
        <w:rPr>
          <w:lang w:val="fr-FR"/>
        </w:rPr>
      </w:pPr>
      <w:r w:rsidRPr="009A2F35">
        <w:t xml:space="preserve">10. </w:t>
      </w:r>
      <w:proofErr w:type="spellStart"/>
      <w:r w:rsidR="00B5255D" w:rsidRPr="00B5255D">
        <w:t>Kamiński</w:t>
      </w:r>
      <w:proofErr w:type="spellEnd"/>
      <w:r w:rsidR="00B5255D" w:rsidRPr="00B5255D">
        <w:t xml:space="preserve"> K, </w:t>
      </w:r>
      <w:proofErr w:type="spellStart"/>
      <w:r w:rsidR="00B5255D" w:rsidRPr="00B5255D">
        <w:t>Kazimierczak</w:t>
      </w:r>
      <w:proofErr w:type="spellEnd"/>
      <w:r w:rsidR="00B5255D" w:rsidRPr="00B5255D">
        <w:t xml:space="preserve"> U, Kolenda T. Oxidative stress in melanogenesis and melanoma development. </w:t>
      </w:r>
      <w:r w:rsidR="00B5255D" w:rsidRPr="003F2970">
        <w:rPr>
          <w:lang w:val="es-MX"/>
        </w:rPr>
        <w:t>Contemp Oncol (Pozn). 2022;26:1–7.</w:t>
      </w:r>
    </w:p>
    <w:p w14:paraId="31CA4F61" w14:textId="696DD568" w:rsidR="002A3430" w:rsidRPr="009A2F35" w:rsidRDefault="00CE4AFA" w:rsidP="00B5255D">
      <w:r w:rsidRPr="009A2F35">
        <w:rPr>
          <w:lang w:val="fr-FR"/>
        </w:rPr>
        <w:t xml:space="preserve">11. </w:t>
      </w:r>
      <w:r w:rsidR="00B5255D" w:rsidRPr="003F2970">
        <w:rPr>
          <w:lang w:val="es-MX"/>
        </w:rPr>
        <w:t xml:space="preserve">Jiménez-Cervantes C, Martínez-Esparza M, Pérez C, et al. </w:t>
      </w:r>
      <w:r w:rsidR="00B5255D" w:rsidRPr="00B5255D">
        <w:t xml:space="preserve">Inhibition of melanogenesis in response to oxidative stress: transient downregulation of melanocyte differentiation markers and possible involvement of microphthalmia transcription factor. J Cell Sci. </w:t>
      </w:r>
      <w:proofErr w:type="gramStart"/>
      <w:r w:rsidR="00B5255D" w:rsidRPr="00B5255D">
        <w:t>2001;114:2335</w:t>
      </w:r>
      <w:proofErr w:type="gramEnd"/>
      <w:r w:rsidR="00B5255D" w:rsidRPr="00B5255D">
        <w:t>–2344.</w:t>
      </w:r>
    </w:p>
    <w:p w14:paraId="3954061E" w14:textId="0D521C04" w:rsidR="002A3430" w:rsidRPr="009A2F35" w:rsidRDefault="00CE4AFA" w:rsidP="004A5356">
      <w:r w:rsidRPr="009A2F35">
        <w:t xml:space="preserve">12. </w:t>
      </w:r>
      <w:proofErr w:type="spellStart"/>
      <w:r w:rsidR="004A5356" w:rsidRPr="004A5356">
        <w:t>Dańczak-Pazdrowska</w:t>
      </w:r>
      <w:proofErr w:type="spellEnd"/>
      <w:r w:rsidR="004A5356" w:rsidRPr="004A5356">
        <w:t xml:space="preserve"> A, </w:t>
      </w:r>
      <w:proofErr w:type="spellStart"/>
      <w:r w:rsidR="004A5356" w:rsidRPr="004A5356">
        <w:t>Gornowicz-Porowska</w:t>
      </w:r>
      <w:proofErr w:type="spellEnd"/>
      <w:r w:rsidR="004A5356" w:rsidRPr="004A5356">
        <w:t xml:space="preserve"> J, </w:t>
      </w:r>
      <w:proofErr w:type="spellStart"/>
      <w:r w:rsidR="004A5356" w:rsidRPr="004A5356">
        <w:t>Polańska</w:t>
      </w:r>
      <w:proofErr w:type="spellEnd"/>
      <w:r w:rsidR="004A5356" w:rsidRPr="004A5356">
        <w:t xml:space="preserve"> A, et al. Cellular senescence in skin-related research: targeted signaling pathways and naturally occurring therapeutic agents. Aging Cell. 2023;</w:t>
      </w:r>
      <w:proofErr w:type="gramStart"/>
      <w:r w:rsidR="004A5356" w:rsidRPr="004A5356">
        <w:t>22:e</w:t>
      </w:r>
      <w:proofErr w:type="gramEnd"/>
      <w:r w:rsidR="004A5356" w:rsidRPr="004A5356">
        <w:t>13845.</w:t>
      </w:r>
    </w:p>
    <w:p w14:paraId="677B8A7B" w14:textId="06543F01" w:rsidR="002A3430" w:rsidRPr="009A2F35" w:rsidRDefault="00CE4AFA" w:rsidP="004A5356">
      <w:r w:rsidRPr="009A2F35">
        <w:t xml:space="preserve">13. </w:t>
      </w:r>
      <w:r w:rsidR="004A5356" w:rsidRPr="004A5356">
        <w:t xml:space="preserve">Green KJ, Pokorny J, Jarrell B. Dangerous liaisons: loss of keratinocyte control over melanocytes in </w:t>
      </w:r>
      <w:proofErr w:type="spellStart"/>
      <w:r w:rsidR="004A5356" w:rsidRPr="004A5356">
        <w:t>melanomagenesis</w:t>
      </w:r>
      <w:proofErr w:type="spellEnd"/>
      <w:r w:rsidR="004A5356" w:rsidRPr="004A5356">
        <w:t xml:space="preserve">. </w:t>
      </w:r>
      <w:proofErr w:type="spellStart"/>
      <w:r w:rsidR="004A5356" w:rsidRPr="004A5356">
        <w:t>Bioessays</w:t>
      </w:r>
      <w:proofErr w:type="spellEnd"/>
      <w:r w:rsidR="004A5356" w:rsidRPr="004A5356">
        <w:t>. 2024;</w:t>
      </w:r>
      <w:proofErr w:type="gramStart"/>
      <w:r w:rsidR="004A5356" w:rsidRPr="004A5356">
        <w:t>46:e</w:t>
      </w:r>
      <w:proofErr w:type="gramEnd"/>
      <w:r w:rsidR="004A5356" w:rsidRPr="004A5356">
        <w:t>2400135.</w:t>
      </w:r>
    </w:p>
    <w:p w14:paraId="519D11E7" w14:textId="2D83579E" w:rsidR="0071317B" w:rsidRPr="009A2F35" w:rsidRDefault="00CE4AFA" w:rsidP="0071317B">
      <w:r w:rsidRPr="009A2F35">
        <w:t xml:space="preserve">14. </w:t>
      </w:r>
      <w:r w:rsidR="0071317B" w:rsidRPr="0071317B">
        <w:t xml:space="preserve">Ali L, Al </w:t>
      </w:r>
      <w:proofErr w:type="spellStart"/>
      <w:r w:rsidR="0071317B" w:rsidRPr="0071317B">
        <w:t>Niaimi</w:t>
      </w:r>
      <w:proofErr w:type="spellEnd"/>
      <w:r w:rsidR="0071317B" w:rsidRPr="0071317B">
        <w:t xml:space="preserve"> F. Pathogenesis of melasma explained. Int J Dermatol. </w:t>
      </w:r>
      <w:proofErr w:type="gramStart"/>
      <w:r w:rsidR="0071317B" w:rsidRPr="0071317B">
        <w:t>2025;64:1201</w:t>
      </w:r>
      <w:proofErr w:type="gramEnd"/>
      <w:r w:rsidR="0071317B" w:rsidRPr="0071317B">
        <w:t>–1212.</w:t>
      </w:r>
    </w:p>
    <w:p w14:paraId="0A0E8ECE" w14:textId="59F11D0B" w:rsidR="002A3430" w:rsidRPr="009A2F35" w:rsidRDefault="00CE4AFA" w:rsidP="0071317B">
      <w:r w:rsidRPr="009A2F35">
        <w:t xml:space="preserve">15. </w:t>
      </w:r>
      <w:r w:rsidR="0071317B" w:rsidRPr="0071317B">
        <w:t xml:space="preserve">Low E, </w:t>
      </w:r>
      <w:proofErr w:type="spellStart"/>
      <w:r w:rsidR="0071317B" w:rsidRPr="0071317B">
        <w:t>Alimohammadiha</w:t>
      </w:r>
      <w:proofErr w:type="spellEnd"/>
      <w:r w:rsidR="0071317B" w:rsidRPr="0071317B">
        <w:t xml:space="preserve"> G, Smith LA, et al. How good is the evidence that cellular senescence causes skin ageing? Ageing Res Rev. </w:t>
      </w:r>
      <w:proofErr w:type="gramStart"/>
      <w:r w:rsidR="0071317B" w:rsidRPr="0071317B">
        <w:t>2021;71:101456</w:t>
      </w:r>
      <w:proofErr w:type="gramEnd"/>
      <w:r w:rsidR="0071317B" w:rsidRPr="0071317B">
        <w:t>.</w:t>
      </w:r>
    </w:p>
    <w:p w14:paraId="55ED46C4" w14:textId="2020ECEE" w:rsidR="00F178E6" w:rsidRPr="009A2F35" w:rsidRDefault="00CE4AFA" w:rsidP="00F178E6">
      <w:pPr>
        <w:rPr>
          <w:lang w:val="fr-FR"/>
        </w:rPr>
      </w:pPr>
      <w:r w:rsidRPr="003F2970">
        <w:rPr>
          <w:lang w:val="en-GB"/>
        </w:rPr>
        <w:t xml:space="preserve">16. </w:t>
      </w:r>
      <w:r w:rsidR="00F178E6" w:rsidRPr="00F178E6">
        <w:t xml:space="preserve">Chin T, Lee XE, Ng PY, et al. The role of cellular senescence in skin aging and age-related skin pathologies. Front Physiol. </w:t>
      </w:r>
      <w:proofErr w:type="gramStart"/>
      <w:r w:rsidR="00F178E6" w:rsidRPr="00F178E6">
        <w:t>2023;14:1297637</w:t>
      </w:r>
      <w:proofErr w:type="gramEnd"/>
      <w:r w:rsidR="00F178E6" w:rsidRPr="00F178E6">
        <w:t>.</w:t>
      </w:r>
    </w:p>
    <w:p w14:paraId="08ED6A74" w14:textId="3966B2D6" w:rsidR="002A3430" w:rsidRPr="009A2F35" w:rsidRDefault="00CE4AFA" w:rsidP="00B12A7D">
      <w:pPr>
        <w:rPr>
          <w:lang w:val="de-DE"/>
        </w:rPr>
      </w:pPr>
      <w:r w:rsidRPr="009A2F35">
        <w:rPr>
          <w:lang w:val="fr-FR"/>
        </w:rPr>
        <w:lastRenderedPageBreak/>
        <w:t xml:space="preserve">17. </w:t>
      </w:r>
      <w:r w:rsidR="00B12A7D" w:rsidRPr="003F2970">
        <w:rPr>
          <w:lang w:val="es-MX"/>
        </w:rPr>
        <w:t xml:space="preserve">Gerasymchuk M, Robinson GI, Kovalchuk O, et al. </w:t>
      </w:r>
      <w:r w:rsidR="00B12A7D" w:rsidRPr="00B12A7D">
        <w:t xml:space="preserve">Modeling of the senescence-associated phenotype in human skin fibroblasts. </w:t>
      </w:r>
      <w:proofErr w:type="spellStart"/>
      <w:r w:rsidR="00B12A7D" w:rsidRPr="003F2970">
        <w:rPr>
          <w:lang w:val="de-AT"/>
        </w:rPr>
        <w:t>Int</w:t>
      </w:r>
      <w:proofErr w:type="spellEnd"/>
      <w:r w:rsidR="00B12A7D" w:rsidRPr="003F2970">
        <w:rPr>
          <w:lang w:val="de-AT"/>
        </w:rPr>
        <w:t xml:space="preserve"> J Mol </w:t>
      </w:r>
      <w:proofErr w:type="spellStart"/>
      <w:r w:rsidR="00B12A7D" w:rsidRPr="003F2970">
        <w:rPr>
          <w:lang w:val="de-AT"/>
        </w:rPr>
        <w:t>Sci</w:t>
      </w:r>
      <w:proofErr w:type="spellEnd"/>
      <w:r w:rsidR="00B12A7D" w:rsidRPr="003F2970">
        <w:rPr>
          <w:lang w:val="de-AT"/>
        </w:rPr>
        <w:t xml:space="preserve">. </w:t>
      </w:r>
      <w:proofErr w:type="gramStart"/>
      <w:r w:rsidR="00B12A7D" w:rsidRPr="003F2970">
        <w:rPr>
          <w:lang w:val="de-AT"/>
        </w:rPr>
        <w:t>2022;23:7124</w:t>
      </w:r>
      <w:proofErr w:type="gramEnd"/>
      <w:r w:rsidR="00B12A7D" w:rsidRPr="003F2970">
        <w:rPr>
          <w:lang w:val="de-AT"/>
        </w:rPr>
        <w:t>.</w:t>
      </w:r>
    </w:p>
    <w:p w14:paraId="17198F61" w14:textId="03BA0EB9" w:rsidR="002A3430" w:rsidRPr="009A2F35" w:rsidRDefault="00CE4AFA" w:rsidP="00B12A7D">
      <w:r w:rsidRPr="009A2F35">
        <w:rPr>
          <w:lang w:val="de-DE"/>
        </w:rPr>
        <w:t xml:space="preserve">18. </w:t>
      </w:r>
      <w:r w:rsidR="00B12A7D" w:rsidRPr="003F2970">
        <w:rPr>
          <w:lang w:val="de-AT"/>
        </w:rPr>
        <w:t xml:space="preserve">Zimmermann T, Pommer M, Kluge V, et al. </w:t>
      </w:r>
      <w:r w:rsidR="00B12A7D" w:rsidRPr="00B12A7D">
        <w:t xml:space="preserve">Detection of cellular senescence in human primary melanocytes and malignant melanoma cells in vitro. Cells. </w:t>
      </w:r>
      <w:proofErr w:type="gramStart"/>
      <w:r w:rsidR="00B12A7D" w:rsidRPr="00B12A7D">
        <w:t>2022;11:1489</w:t>
      </w:r>
      <w:proofErr w:type="gramEnd"/>
      <w:r w:rsidR="00B12A7D" w:rsidRPr="00B12A7D">
        <w:t>.</w:t>
      </w:r>
    </w:p>
    <w:p w14:paraId="4A9E284C" w14:textId="6876FF61" w:rsidR="002A3430" w:rsidRPr="009A2F35" w:rsidRDefault="00CE4AFA" w:rsidP="00B12A7D">
      <w:r w:rsidRPr="009A2F35">
        <w:t xml:space="preserve">19. </w:t>
      </w:r>
      <w:r w:rsidR="00B12A7D" w:rsidRPr="00B12A7D">
        <w:t xml:space="preserve">Tang J, Li Q, Cheng B, et al. Primary culture of human face skin melanocytes for the study of hyperpigmentation. Cytotechnology. </w:t>
      </w:r>
      <w:proofErr w:type="gramStart"/>
      <w:r w:rsidR="00B12A7D" w:rsidRPr="00B12A7D">
        <w:t>2014;66:891</w:t>
      </w:r>
      <w:proofErr w:type="gramEnd"/>
      <w:r w:rsidR="00B12A7D" w:rsidRPr="00B12A7D">
        <w:t>–898.</w:t>
      </w:r>
    </w:p>
    <w:p w14:paraId="307CBDF5" w14:textId="528EBE16" w:rsidR="002A3430" w:rsidRPr="009A2F35" w:rsidRDefault="00CE4AFA" w:rsidP="00033AC6">
      <w:r w:rsidRPr="009A2F35">
        <w:t xml:space="preserve">20. </w:t>
      </w:r>
      <w:r w:rsidR="00033AC6" w:rsidRPr="00033AC6">
        <w:t xml:space="preserve">Kučera O, </w:t>
      </w:r>
      <w:proofErr w:type="spellStart"/>
      <w:r w:rsidR="00033AC6" w:rsidRPr="00033AC6">
        <w:t>Endlicher</w:t>
      </w:r>
      <w:proofErr w:type="spellEnd"/>
      <w:r w:rsidR="00033AC6" w:rsidRPr="00033AC6">
        <w:t xml:space="preserve"> R, </w:t>
      </w:r>
      <w:proofErr w:type="spellStart"/>
      <w:r w:rsidR="00033AC6" w:rsidRPr="00033AC6">
        <w:t>Roušar</w:t>
      </w:r>
      <w:proofErr w:type="spellEnd"/>
      <w:r w:rsidR="00033AC6" w:rsidRPr="00033AC6">
        <w:t xml:space="preserve"> T, et al. The effect of tert-butyl hydroperoxide-induced oxidative stress on lean and </w:t>
      </w:r>
      <w:proofErr w:type="spellStart"/>
      <w:r w:rsidR="00033AC6" w:rsidRPr="00033AC6">
        <w:t>steatotic</w:t>
      </w:r>
      <w:proofErr w:type="spellEnd"/>
      <w:r w:rsidR="00033AC6" w:rsidRPr="00033AC6">
        <w:t xml:space="preserve"> rat hepatocytes in vitro. Oxid Med Cell </w:t>
      </w:r>
      <w:proofErr w:type="spellStart"/>
      <w:r w:rsidR="00033AC6" w:rsidRPr="00033AC6">
        <w:t>Longev</w:t>
      </w:r>
      <w:proofErr w:type="spellEnd"/>
      <w:r w:rsidR="00033AC6" w:rsidRPr="00033AC6">
        <w:t xml:space="preserve">. </w:t>
      </w:r>
      <w:proofErr w:type="gramStart"/>
      <w:r w:rsidR="00033AC6" w:rsidRPr="00033AC6">
        <w:t>2014;2014:752506</w:t>
      </w:r>
      <w:proofErr w:type="gramEnd"/>
      <w:r w:rsidR="00033AC6" w:rsidRPr="00033AC6">
        <w:t>.</w:t>
      </w:r>
    </w:p>
    <w:p w14:paraId="3C902B62" w14:textId="355AD090" w:rsidR="002A3430" w:rsidRPr="009A2F35" w:rsidRDefault="00CE4AFA" w:rsidP="00033AC6">
      <w:pPr>
        <w:rPr>
          <w:lang w:val="de-DE"/>
        </w:rPr>
      </w:pPr>
      <w:r w:rsidRPr="009A2F35">
        <w:t xml:space="preserve">21. </w:t>
      </w:r>
      <w:r w:rsidR="00033AC6" w:rsidRPr="00033AC6">
        <w:t xml:space="preserve">Wedel S, Martic I, </w:t>
      </w:r>
      <w:proofErr w:type="spellStart"/>
      <w:r w:rsidR="00033AC6" w:rsidRPr="00033AC6">
        <w:t>Hrapovic</w:t>
      </w:r>
      <w:proofErr w:type="spellEnd"/>
      <w:r w:rsidR="00033AC6" w:rsidRPr="00033AC6">
        <w:t xml:space="preserve"> N, et al. tBHP treatment as a model for cellular senescence and pollution-induced skin aging. </w:t>
      </w:r>
      <w:r w:rsidR="00033AC6" w:rsidRPr="003F2970">
        <w:rPr>
          <w:lang w:val="de-AT"/>
        </w:rPr>
        <w:t xml:space="preserve">Mech </w:t>
      </w:r>
      <w:proofErr w:type="spellStart"/>
      <w:r w:rsidR="00033AC6" w:rsidRPr="003F2970">
        <w:rPr>
          <w:lang w:val="de-AT"/>
        </w:rPr>
        <w:t>Ageing</w:t>
      </w:r>
      <w:proofErr w:type="spellEnd"/>
      <w:r w:rsidR="00033AC6" w:rsidRPr="003F2970">
        <w:rPr>
          <w:lang w:val="de-AT"/>
        </w:rPr>
        <w:t xml:space="preserve"> </w:t>
      </w:r>
      <w:proofErr w:type="spellStart"/>
      <w:r w:rsidR="00033AC6" w:rsidRPr="003F2970">
        <w:rPr>
          <w:lang w:val="de-AT"/>
        </w:rPr>
        <w:t>Dev</w:t>
      </w:r>
      <w:proofErr w:type="spellEnd"/>
      <w:r w:rsidR="00033AC6" w:rsidRPr="003F2970">
        <w:rPr>
          <w:lang w:val="de-AT"/>
        </w:rPr>
        <w:t xml:space="preserve">. </w:t>
      </w:r>
      <w:proofErr w:type="gramStart"/>
      <w:r w:rsidR="00033AC6" w:rsidRPr="003F2970">
        <w:rPr>
          <w:lang w:val="de-AT"/>
        </w:rPr>
        <w:t>2020;190:111318</w:t>
      </w:r>
      <w:proofErr w:type="gramEnd"/>
      <w:r w:rsidR="00033AC6" w:rsidRPr="003F2970">
        <w:rPr>
          <w:lang w:val="de-AT"/>
        </w:rPr>
        <w:t>.</w:t>
      </w:r>
    </w:p>
    <w:p w14:paraId="01DD1E1B" w14:textId="475C16EF" w:rsidR="002A3430" w:rsidRPr="009A2F35" w:rsidRDefault="00CE4AFA" w:rsidP="004D7E0D">
      <w:r w:rsidRPr="009A2F35">
        <w:rPr>
          <w:lang w:val="de-DE"/>
        </w:rPr>
        <w:t xml:space="preserve">22. </w:t>
      </w:r>
      <w:r w:rsidR="004D7E0D" w:rsidRPr="003F2970">
        <w:rPr>
          <w:lang w:val="de-AT"/>
        </w:rPr>
        <w:t xml:space="preserve">Rabin DM, Rabin RL, </w:t>
      </w:r>
      <w:proofErr w:type="spellStart"/>
      <w:r w:rsidR="004D7E0D" w:rsidRPr="003F2970">
        <w:rPr>
          <w:lang w:val="de-AT"/>
        </w:rPr>
        <w:t>Blenkinsop</w:t>
      </w:r>
      <w:proofErr w:type="spellEnd"/>
      <w:r w:rsidR="004D7E0D" w:rsidRPr="003F2970">
        <w:rPr>
          <w:lang w:val="de-AT"/>
        </w:rPr>
        <w:t xml:space="preserve"> TA, et al. </w:t>
      </w:r>
      <w:r w:rsidR="004D7E0D" w:rsidRPr="004D7E0D">
        <w:t xml:space="preserve">Chronic oxidative stress upregulates drusen-related protein expression in adult human RPE stem cell-derived RPE cells: a novel culture model for dry AMD. Aging (Albany NY). </w:t>
      </w:r>
      <w:proofErr w:type="gramStart"/>
      <w:r w:rsidR="004D7E0D" w:rsidRPr="004D7E0D">
        <w:t>2013;5:51</w:t>
      </w:r>
      <w:proofErr w:type="gramEnd"/>
      <w:r w:rsidR="004D7E0D" w:rsidRPr="004D7E0D">
        <w:t>–66.</w:t>
      </w:r>
    </w:p>
    <w:p w14:paraId="1AD89A92" w14:textId="4F9C13A1" w:rsidR="002A3430" w:rsidRPr="009A2F35" w:rsidRDefault="00CE4AFA" w:rsidP="004D7E0D">
      <w:r w:rsidRPr="009A2F35">
        <w:t xml:space="preserve">23. </w:t>
      </w:r>
      <w:proofErr w:type="spellStart"/>
      <w:r w:rsidR="004D7E0D" w:rsidRPr="004D7E0D">
        <w:t>Shakel</w:t>
      </w:r>
      <w:proofErr w:type="spellEnd"/>
      <w:r w:rsidR="004D7E0D" w:rsidRPr="004D7E0D">
        <w:t xml:space="preserve"> Z, Costa Lima SA, Reis S. Strategies to make human skin models based on cellular senescence for ageing research. Ageing Res Rev. </w:t>
      </w:r>
      <w:proofErr w:type="gramStart"/>
      <w:r w:rsidR="004D7E0D" w:rsidRPr="004D7E0D">
        <w:t>2024;100:102430</w:t>
      </w:r>
      <w:proofErr w:type="gramEnd"/>
      <w:r w:rsidR="004D7E0D" w:rsidRPr="004D7E0D">
        <w:t>.</w:t>
      </w:r>
    </w:p>
    <w:p w14:paraId="02AEA5B1" w14:textId="2C2D1B32" w:rsidR="002A3430" w:rsidRPr="009A2F35" w:rsidRDefault="00CE4AFA" w:rsidP="00A55F0A">
      <w:r w:rsidRPr="009A2F35">
        <w:t xml:space="preserve">24. </w:t>
      </w:r>
      <w:r w:rsidR="00A55F0A" w:rsidRPr="00A55F0A">
        <w:t xml:space="preserve">Mort RL, Jackson IJ, Patton EE. The melanocyte lineage in development and disease. Development. </w:t>
      </w:r>
      <w:proofErr w:type="gramStart"/>
      <w:r w:rsidR="00A55F0A" w:rsidRPr="00A55F0A">
        <w:t>2015;142:620</w:t>
      </w:r>
      <w:proofErr w:type="gramEnd"/>
      <w:r w:rsidR="00A55F0A" w:rsidRPr="00A55F0A">
        <w:t>–632.</w:t>
      </w:r>
    </w:p>
    <w:p w14:paraId="011728D5" w14:textId="1EE35968" w:rsidR="002A3430" w:rsidRPr="009A2F35" w:rsidRDefault="00CE4AFA" w:rsidP="00925CAB">
      <w:r w:rsidRPr="009A2F35">
        <w:t xml:space="preserve">25. </w:t>
      </w:r>
      <w:r w:rsidR="00925CAB" w:rsidRPr="00925CAB">
        <w:t xml:space="preserve">Goff PS, Castle JT, Kohli JS, et al. Isolation, culture, and transfection of melanocytes. Curr </w:t>
      </w:r>
      <w:proofErr w:type="spellStart"/>
      <w:r w:rsidR="00925CAB" w:rsidRPr="00925CAB">
        <w:t>Protoc</w:t>
      </w:r>
      <w:proofErr w:type="spellEnd"/>
      <w:r w:rsidR="00925CAB" w:rsidRPr="00925CAB">
        <w:t>. 2023;</w:t>
      </w:r>
      <w:proofErr w:type="gramStart"/>
      <w:r w:rsidR="00925CAB" w:rsidRPr="00925CAB">
        <w:t>3:e</w:t>
      </w:r>
      <w:proofErr w:type="gramEnd"/>
      <w:r w:rsidR="00925CAB" w:rsidRPr="00925CAB">
        <w:t>774.</w:t>
      </w:r>
    </w:p>
    <w:p w14:paraId="70862954" w14:textId="35522A67" w:rsidR="002A3430" w:rsidRPr="009A2F35" w:rsidRDefault="00CE4AFA" w:rsidP="00925CAB">
      <w:r w:rsidRPr="009A2F35">
        <w:t xml:space="preserve">26. </w:t>
      </w:r>
      <w:r w:rsidR="00925CAB" w:rsidRPr="00925CAB">
        <w:t xml:space="preserve">Martic I, Wedel S, Jansen-Dürr P, et al. A new model to investigate UVB-induced cellular senescence and pigmentation in melanocytes. Mech Ageing Dev. </w:t>
      </w:r>
      <w:proofErr w:type="gramStart"/>
      <w:r w:rsidR="00925CAB" w:rsidRPr="00925CAB">
        <w:t>2020;190:111322</w:t>
      </w:r>
      <w:proofErr w:type="gramEnd"/>
      <w:r w:rsidR="00925CAB" w:rsidRPr="00925CAB">
        <w:t>.</w:t>
      </w:r>
    </w:p>
    <w:p w14:paraId="65EC63F5" w14:textId="663CE12A" w:rsidR="002A3430" w:rsidRPr="003F2970" w:rsidRDefault="00CE4AFA" w:rsidP="00413BE5">
      <w:pPr>
        <w:rPr>
          <w:lang w:val="en-GB"/>
        </w:rPr>
      </w:pPr>
      <w:r w:rsidRPr="009A2F35">
        <w:t xml:space="preserve">27. </w:t>
      </w:r>
      <w:proofErr w:type="spellStart"/>
      <w:r w:rsidR="00413BE5" w:rsidRPr="00413BE5">
        <w:t>Victorelli</w:t>
      </w:r>
      <w:proofErr w:type="spellEnd"/>
      <w:r w:rsidR="00413BE5" w:rsidRPr="00413BE5">
        <w:t xml:space="preserve"> S, </w:t>
      </w:r>
      <w:proofErr w:type="spellStart"/>
      <w:r w:rsidR="00413BE5" w:rsidRPr="00413BE5">
        <w:t>Lagnado</w:t>
      </w:r>
      <w:proofErr w:type="spellEnd"/>
      <w:r w:rsidR="00413BE5" w:rsidRPr="00413BE5">
        <w:t xml:space="preserve"> A, Halim J, et al. Senescent human melanocytes drive skin ageing via paracrine telomere dysfunction. EMBO J. 2019;</w:t>
      </w:r>
      <w:proofErr w:type="gramStart"/>
      <w:r w:rsidR="00413BE5" w:rsidRPr="00413BE5">
        <w:t>38:e</w:t>
      </w:r>
      <w:proofErr w:type="gramEnd"/>
      <w:r w:rsidR="00413BE5" w:rsidRPr="00413BE5">
        <w:t>101982.</w:t>
      </w:r>
    </w:p>
    <w:p w14:paraId="38C3A2F8" w14:textId="2F6BCDBD" w:rsidR="002A3430" w:rsidRPr="009A2F35" w:rsidRDefault="00CE4AFA" w:rsidP="00413BE5">
      <w:r w:rsidRPr="003F2970">
        <w:rPr>
          <w:lang w:val="en-GB"/>
        </w:rPr>
        <w:t xml:space="preserve">28. </w:t>
      </w:r>
      <w:r w:rsidR="00413BE5" w:rsidRPr="00413BE5">
        <w:t xml:space="preserve">Zhang H, Davies KJA, Forman HJ. Oxidative stress response and Nrf2 signaling in aging. Free </w:t>
      </w:r>
      <w:proofErr w:type="spellStart"/>
      <w:r w:rsidR="00413BE5" w:rsidRPr="00413BE5">
        <w:t>Radic</w:t>
      </w:r>
      <w:proofErr w:type="spellEnd"/>
      <w:r w:rsidR="00413BE5" w:rsidRPr="00413BE5">
        <w:t xml:space="preserve"> Biol Med. </w:t>
      </w:r>
      <w:proofErr w:type="gramStart"/>
      <w:r w:rsidR="00413BE5" w:rsidRPr="00413BE5">
        <w:t>2015;88:314</w:t>
      </w:r>
      <w:proofErr w:type="gramEnd"/>
      <w:r w:rsidR="00413BE5" w:rsidRPr="00413BE5">
        <w:t>–336.</w:t>
      </w:r>
    </w:p>
    <w:p w14:paraId="444FCC53" w14:textId="394CD0FC" w:rsidR="002A3430" w:rsidRPr="009A2F35" w:rsidRDefault="00CE4AFA" w:rsidP="00413BE5">
      <w:r w:rsidRPr="009A2F35">
        <w:t xml:space="preserve">29. </w:t>
      </w:r>
      <w:r w:rsidR="00413BE5" w:rsidRPr="00413BE5">
        <w:t xml:space="preserve">Birch J, Gil J. Senescence and the SASP: many therapeutic avenues. Genes Dev. </w:t>
      </w:r>
      <w:proofErr w:type="gramStart"/>
      <w:r w:rsidR="00413BE5" w:rsidRPr="00413BE5">
        <w:t>2020;34:1565</w:t>
      </w:r>
      <w:proofErr w:type="gramEnd"/>
      <w:r w:rsidR="00413BE5" w:rsidRPr="00413BE5">
        <w:t>–1576.</w:t>
      </w:r>
    </w:p>
    <w:p w14:paraId="445E69E3" w14:textId="7BA1469A" w:rsidR="002A3430" w:rsidRPr="009A2F35" w:rsidRDefault="00CE4AFA" w:rsidP="0070447F">
      <w:pPr>
        <w:rPr>
          <w:lang w:val="fr-FR"/>
        </w:rPr>
      </w:pPr>
      <w:r w:rsidRPr="009A2F35">
        <w:t xml:space="preserve">30. </w:t>
      </w:r>
      <w:r w:rsidR="0070447F" w:rsidRPr="0070447F">
        <w:t xml:space="preserve">Kang HY, </w:t>
      </w:r>
      <w:proofErr w:type="spellStart"/>
      <w:r w:rsidR="0070447F" w:rsidRPr="0070447F">
        <w:t>Ortonne</w:t>
      </w:r>
      <w:proofErr w:type="spellEnd"/>
      <w:r w:rsidR="0070447F" w:rsidRPr="0070447F">
        <w:t xml:space="preserve"> JP. What should be considered in treatment of melasma. Ann Dermatol. </w:t>
      </w:r>
      <w:proofErr w:type="gramStart"/>
      <w:r w:rsidR="0070447F" w:rsidRPr="0070447F">
        <w:t>2010;22:373</w:t>
      </w:r>
      <w:proofErr w:type="gramEnd"/>
      <w:r w:rsidR="0070447F" w:rsidRPr="0070447F">
        <w:t>–378.</w:t>
      </w:r>
    </w:p>
    <w:p w14:paraId="75110C38" w14:textId="0393C6CA" w:rsidR="002A3430" w:rsidRPr="009A2F35" w:rsidRDefault="00CE4AFA" w:rsidP="0070447F">
      <w:r w:rsidRPr="009A2F35">
        <w:rPr>
          <w:lang w:val="fr-FR"/>
        </w:rPr>
        <w:t xml:space="preserve">31. </w:t>
      </w:r>
      <w:proofErr w:type="spellStart"/>
      <w:r w:rsidR="0070447F" w:rsidRPr="0070447F">
        <w:t>Davalli</w:t>
      </w:r>
      <w:proofErr w:type="spellEnd"/>
      <w:r w:rsidR="0070447F" w:rsidRPr="0070447F">
        <w:t xml:space="preserve"> P, </w:t>
      </w:r>
      <w:proofErr w:type="spellStart"/>
      <w:r w:rsidR="0070447F" w:rsidRPr="0070447F">
        <w:t>Mitic</w:t>
      </w:r>
      <w:proofErr w:type="spellEnd"/>
      <w:r w:rsidR="0070447F" w:rsidRPr="0070447F">
        <w:t xml:space="preserve"> T, </w:t>
      </w:r>
      <w:proofErr w:type="spellStart"/>
      <w:r w:rsidR="0070447F" w:rsidRPr="0070447F">
        <w:t>Caporali</w:t>
      </w:r>
      <w:proofErr w:type="spellEnd"/>
      <w:r w:rsidR="0070447F" w:rsidRPr="0070447F">
        <w:t xml:space="preserve"> A, et al. ROS, cell senescence, and novel molecular mechanisms in aging and age-related diseases. Oxid Med Cell </w:t>
      </w:r>
      <w:proofErr w:type="spellStart"/>
      <w:r w:rsidR="0070447F" w:rsidRPr="0070447F">
        <w:t>Longev</w:t>
      </w:r>
      <w:proofErr w:type="spellEnd"/>
      <w:r w:rsidR="0070447F" w:rsidRPr="0070447F">
        <w:t xml:space="preserve">. </w:t>
      </w:r>
      <w:proofErr w:type="gramStart"/>
      <w:r w:rsidR="0070447F" w:rsidRPr="0070447F">
        <w:t>2016;2016:3565127</w:t>
      </w:r>
      <w:proofErr w:type="gramEnd"/>
      <w:r w:rsidR="0070447F" w:rsidRPr="0070447F">
        <w:t>.</w:t>
      </w:r>
    </w:p>
    <w:p w14:paraId="2A0EA99F" w14:textId="4C5B1D62" w:rsidR="002A3430" w:rsidRPr="009A2F35" w:rsidRDefault="00CE4AFA" w:rsidP="0070447F">
      <w:r w:rsidRPr="009A2F35">
        <w:t xml:space="preserve">32. </w:t>
      </w:r>
      <w:r w:rsidR="0070447F" w:rsidRPr="0070447F">
        <w:t xml:space="preserve">Almeida FV, Douglass SM, Fane ME, et al. Bad company: microenvironmentally mediated resistance to targeted therapy in melanoma. Pigment Cell Melanoma Res. </w:t>
      </w:r>
      <w:proofErr w:type="gramStart"/>
      <w:r w:rsidR="0070447F" w:rsidRPr="0070447F">
        <w:t>2019;32:237</w:t>
      </w:r>
      <w:proofErr w:type="gramEnd"/>
      <w:r w:rsidR="0070447F" w:rsidRPr="0070447F">
        <w:t>–247.</w:t>
      </w:r>
    </w:p>
    <w:p w14:paraId="0F8DF42F" w14:textId="28ADBA5B" w:rsidR="002A3430" w:rsidRPr="009A2F35" w:rsidRDefault="00CE4AFA" w:rsidP="005F26BA">
      <w:pPr>
        <w:rPr>
          <w:lang w:val="fr-FR"/>
        </w:rPr>
      </w:pPr>
      <w:r w:rsidRPr="009A2F35">
        <w:t xml:space="preserve">33. </w:t>
      </w:r>
      <w:r w:rsidR="005F26BA" w:rsidRPr="005F26BA">
        <w:t xml:space="preserve">Brenner M, Hearing VJ. The protective role of melanin against UV damage in human skin. </w:t>
      </w:r>
      <w:r w:rsidR="005F26BA" w:rsidRPr="003F2970">
        <w:rPr>
          <w:lang w:val="es-MX"/>
        </w:rPr>
        <w:t>Photochem Photobiol. 2008;84:539–549.</w:t>
      </w:r>
    </w:p>
    <w:p w14:paraId="5C0A6DA8" w14:textId="3D93AD38" w:rsidR="005F26BA" w:rsidRPr="009A2F35" w:rsidRDefault="00CE4AFA" w:rsidP="005F26BA">
      <w:r w:rsidRPr="009A2F35">
        <w:rPr>
          <w:lang w:val="fr-FR"/>
        </w:rPr>
        <w:t xml:space="preserve">34. </w:t>
      </w:r>
      <w:r w:rsidR="005F26BA" w:rsidRPr="003F2970">
        <w:rPr>
          <w:lang w:val="es-MX"/>
        </w:rPr>
        <w:t xml:space="preserve">López-Otín C, Blasco MA, Partridge L, et al. </w:t>
      </w:r>
      <w:r w:rsidR="005F26BA" w:rsidRPr="005F26BA">
        <w:t xml:space="preserve">The hallmarks of aging. Cell. </w:t>
      </w:r>
      <w:proofErr w:type="gramStart"/>
      <w:r w:rsidR="005F26BA" w:rsidRPr="005F26BA">
        <w:t>2013;153:1194</w:t>
      </w:r>
      <w:proofErr w:type="gramEnd"/>
      <w:r w:rsidR="005F26BA" w:rsidRPr="005F26BA">
        <w:t>–1217.</w:t>
      </w:r>
    </w:p>
    <w:p w14:paraId="6F56EA2D" w14:textId="05228FA9" w:rsidR="002A3430" w:rsidRPr="009A2F35" w:rsidRDefault="00CE4AFA" w:rsidP="00223F40">
      <w:r w:rsidRPr="009A2F35">
        <w:t xml:space="preserve">35. </w:t>
      </w:r>
      <w:proofErr w:type="spellStart"/>
      <w:r w:rsidR="00223F40" w:rsidRPr="00223F40">
        <w:t>Videira</w:t>
      </w:r>
      <w:proofErr w:type="spellEnd"/>
      <w:r w:rsidR="00223F40" w:rsidRPr="00223F40">
        <w:t xml:space="preserve"> IF, Moura DF, Magina S. Mechanisms regulating melanogenesis. </w:t>
      </w:r>
      <w:proofErr w:type="gramStart"/>
      <w:r w:rsidR="00223F40" w:rsidRPr="00223F40">
        <w:t>An</w:t>
      </w:r>
      <w:proofErr w:type="gramEnd"/>
      <w:r w:rsidR="00223F40" w:rsidRPr="00223F40">
        <w:t xml:space="preserve"> Bras Dermatol. </w:t>
      </w:r>
      <w:proofErr w:type="gramStart"/>
      <w:r w:rsidR="00223F40" w:rsidRPr="00223F40">
        <w:t>2013;88:76</w:t>
      </w:r>
      <w:proofErr w:type="gramEnd"/>
      <w:r w:rsidR="00223F40" w:rsidRPr="00223F40">
        <w:t>–83.</w:t>
      </w:r>
      <w:r w:rsidRPr="009A2F35">
        <w:t>.</w:t>
      </w:r>
    </w:p>
    <w:p w14:paraId="7462B648" w14:textId="271F064E" w:rsidR="002A3430" w:rsidRPr="009A2F35" w:rsidRDefault="00CE4AFA" w:rsidP="00223F40">
      <w:pPr>
        <w:rPr>
          <w:lang w:val="fr-FR"/>
        </w:rPr>
      </w:pPr>
      <w:r w:rsidRPr="009A2F35">
        <w:t xml:space="preserve">36. </w:t>
      </w:r>
      <w:r w:rsidR="00223F40" w:rsidRPr="00223F40">
        <w:t>Ratz-</w:t>
      </w:r>
      <w:proofErr w:type="spellStart"/>
      <w:r w:rsidR="00223F40" w:rsidRPr="00223F40">
        <w:t>Łyko</w:t>
      </w:r>
      <w:proofErr w:type="spellEnd"/>
      <w:r w:rsidR="00223F40" w:rsidRPr="00223F40">
        <w:t xml:space="preserve"> A, </w:t>
      </w:r>
      <w:proofErr w:type="spellStart"/>
      <w:r w:rsidR="00223F40" w:rsidRPr="00223F40">
        <w:t>Arct</w:t>
      </w:r>
      <w:proofErr w:type="spellEnd"/>
      <w:r w:rsidR="00223F40" w:rsidRPr="00223F40">
        <w:t xml:space="preserve"> J. Resveratrol as an active ingredient for cosmetic and dermatological applications: a review. J </w:t>
      </w:r>
      <w:proofErr w:type="spellStart"/>
      <w:r w:rsidR="00223F40" w:rsidRPr="00223F40">
        <w:t>Cosmet</w:t>
      </w:r>
      <w:proofErr w:type="spellEnd"/>
      <w:r w:rsidR="00223F40" w:rsidRPr="00223F40">
        <w:t xml:space="preserve"> Laser </w:t>
      </w:r>
      <w:proofErr w:type="spellStart"/>
      <w:r w:rsidR="00223F40" w:rsidRPr="00223F40">
        <w:t>Ther</w:t>
      </w:r>
      <w:proofErr w:type="spellEnd"/>
      <w:r w:rsidR="00223F40" w:rsidRPr="00223F40">
        <w:t xml:space="preserve">. </w:t>
      </w:r>
      <w:proofErr w:type="gramStart"/>
      <w:r w:rsidR="00223F40" w:rsidRPr="00223F40">
        <w:t>2019;21:84</w:t>
      </w:r>
      <w:proofErr w:type="gramEnd"/>
      <w:r w:rsidR="00223F40" w:rsidRPr="00223F40">
        <w:t>–90.</w:t>
      </w:r>
    </w:p>
    <w:p w14:paraId="09F7E49E" w14:textId="3772861A" w:rsidR="002A3430" w:rsidRPr="009A2F35" w:rsidRDefault="00CE4AFA" w:rsidP="00223F40">
      <w:pPr>
        <w:rPr>
          <w:lang w:val="de-DE"/>
        </w:rPr>
      </w:pPr>
      <w:r w:rsidRPr="009A2F35">
        <w:rPr>
          <w:lang w:val="fr-FR"/>
        </w:rPr>
        <w:t xml:space="preserve">37. </w:t>
      </w:r>
      <w:r w:rsidR="00223F40" w:rsidRPr="00223F40">
        <w:t xml:space="preserve">Xu M, </w:t>
      </w:r>
      <w:proofErr w:type="spellStart"/>
      <w:r w:rsidR="00223F40" w:rsidRPr="00223F40">
        <w:t>Pirtskhalava</w:t>
      </w:r>
      <w:proofErr w:type="spellEnd"/>
      <w:r w:rsidR="00223F40" w:rsidRPr="00223F40">
        <w:t xml:space="preserve"> T, Farr JN, et al. Senolytics improve physical function and increase lifespan in old age. </w:t>
      </w:r>
      <w:r w:rsidR="00223F40" w:rsidRPr="003F2970">
        <w:rPr>
          <w:lang w:val="de-AT"/>
        </w:rPr>
        <w:t xml:space="preserve">Nat Med. </w:t>
      </w:r>
      <w:proofErr w:type="gramStart"/>
      <w:r w:rsidR="00223F40" w:rsidRPr="003F2970">
        <w:rPr>
          <w:lang w:val="de-AT"/>
        </w:rPr>
        <w:t>2018;24:1246</w:t>
      </w:r>
      <w:proofErr w:type="gramEnd"/>
      <w:r w:rsidR="00223F40" w:rsidRPr="003F2970">
        <w:rPr>
          <w:lang w:val="de-AT"/>
        </w:rPr>
        <w:t>–1256.</w:t>
      </w:r>
    </w:p>
    <w:p w14:paraId="060A29A4" w14:textId="66946AEE" w:rsidR="002A3430" w:rsidRPr="009A2F35" w:rsidRDefault="00CE4AFA" w:rsidP="001A121D">
      <w:pPr>
        <w:rPr>
          <w:lang w:val="pt-BR"/>
        </w:rPr>
      </w:pPr>
      <w:r w:rsidRPr="009A2F35">
        <w:rPr>
          <w:lang w:val="de-DE"/>
        </w:rPr>
        <w:t xml:space="preserve">38. </w:t>
      </w:r>
      <w:proofErr w:type="spellStart"/>
      <w:r w:rsidR="001A121D" w:rsidRPr="003F2970">
        <w:rPr>
          <w:lang w:val="de-AT"/>
        </w:rPr>
        <w:t>Ogrodnik</w:t>
      </w:r>
      <w:proofErr w:type="spellEnd"/>
      <w:r w:rsidR="001A121D" w:rsidRPr="003F2970">
        <w:rPr>
          <w:lang w:val="de-AT"/>
        </w:rPr>
        <w:t xml:space="preserve"> M, Evans SA, </w:t>
      </w:r>
      <w:proofErr w:type="spellStart"/>
      <w:r w:rsidR="001A121D" w:rsidRPr="003F2970">
        <w:rPr>
          <w:lang w:val="de-AT"/>
        </w:rPr>
        <w:t>Fielder</w:t>
      </w:r>
      <w:proofErr w:type="spellEnd"/>
      <w:r w:rsidR="001A121D" w:rsidRPr="003F2970">
        <w:rPr>
          <w:lang w:val="de-AT"/>
        </w:rPr>
        <w:t xml:space="preserve"> E, et al. </w:t>
      </w:r>
      <w:r w:rsidR="001A121D" w:rsidRPr="001A121D">
        <w:t>Whole-body senescent cell clearance alleviates age-</w:t>
      </w:r>
      <w:r w:rsidR="001A121D" w:rsidRPr="001A121D">
        <w:lastRenderedPageBreak/>
        <w:t>related brain inflammation and cognitive impairment in mice. Aging Cell. 2021;</w:t>
      </w:r>
      <w:proofErr w:type="gramStart"/>
      <w:r w:rsidR="001A121D" w:rsidRPr="001A121D">
        <w:t>20:e</w:t>
      </w:r>
      <w:proofErr w:type="gramEnd"/>
      <w:r w:rsidR="001A121D" w:rsidRPr="001A121D">
        <w:t>13296.</w:t>
      </w:r>
    </w:p>
    <w:p w14:paraId="4EEC1A72" w14:textId="6559FF11" w:rsidR="002A3430" w:rsidRPr="00512FFA" w:rsidRDefault="00CE4AFA" w:rsidP="001A121D">
      <w:r w:rsidRPr="009A2F35">
        <w:rPr>
          <w:lang w:val="pt-BR"/>
        </w:rPr>
        <w:t xml:space="preserve">39. </w:t>
      </w:r>
      <w:r w:rsidR="001A121D" w:rsidRPr="001A121D">
        <w:t xml:space="preserve">Hernandez-Segura A, de Jong TV, </w:t>
      </w:r>
      <w:proofErr w:type="spellStart"/>
      <w:r w:rsidR="001A121D" w:rsidRPr="001A121D">
        <w:t>Melov</w:t>
      </w:r>
      <w:proofErr w:type="spellEnd"/>
      <w:r w:rsidR="001A121D" w:rsidRPr="001A121D">
        <w:t xml:space="preserve"> S, et al. Unmasking transcriptional heterogeneity in senescent cells. Curr Biol. </w:t>
      </w:r>
      <w:proofErr w:type="gramStart"/>
      <w:r w:rsidR="001A121D" w:rsidRPr="001A121D">
        <w:t>2017;27:2652</w:t>
      </w:r>
      <w:proofErr w:type="gramEnd"/>
      <w:r w:rsidR="001A121D" w:rsidRPr="001A121D">
        <w:t>–2660.e4.</w:t>
      </w:r>
    </w:p>
    <w:p w14:paraId="52BF6526" w14:textId="77777777" w:rsidR="002A3430" w:rsidRPr="00512FFA" w:rsidRDefault="002A3430" w:rsidP="009A2F35"/>
    <w:p w14:paraId="13984590" w14:textId="77777777" w:rsidR="002A3430" w:rsidRPr="00512FFA" w:rsidRDefault="002A3430" w:rsidP="009A2F35"/>
    <w:p w14:paraId="78E8FF4C" w14:textId="77777777" w:rsidR="002A3430" w:rsidRPr="00512FFA" w:rsidRDefault="002A3430" w:rsidP="009A2F35">
      <w:pPr>
        <w:pBdr>
          <w:top w:val="nil"/>
          <w:left w:val="nil"/>
          <w:bottom w:val="nil"/>
          <w:right w:val="nil"/>
          <w:between w:val="nil"/>
        </w:pBdr>
        <w:rPr>
          <w:b/>
          <w:bCs/>
        </w:rPr>
      </w:pPr>
    </w:p>
    <w:p w14:paraId="1D97035E" w14:textId="77777777" w:rsidR="002A3430" w:rsidRPr="00512FFA" w:rsidRDefault="002A3430" w:rsidP="009A2F35"/>
    <w:sectPr w:rsidR="002A3430" w:rsidRPr="00512FF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C1D23" w14:textId="77777777" w:rsidR="00135DEE" w:rsidRDefault="00135DEE">
      <w:r>
        <w:separator/>
      </w:r>
    </w:p>
  </w:endnote>
  <w:endnote w:type="continuationSeparator" w:id="0">
    <w:p w14:paraId="6A50E2DF" w14:textId="77777777" w:rsidR="00135DEE" w:rsidRDefault="00135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94FFAA9-F5F0-9D46-96AE-AAC329D9AADF}"/>
  </w:font>
  <w:font w:name="Times New Roman">
    <w:panose1 w:val="02020603050405020304"/>
    <w:charset w:val="00"/>
    <w:family w:val="roman"/>
    <w:pitch w:val="variable"/>
    <w:sig w:usb0="E0002EFF" w:usb1="C000785B" w:usb2="00000009" w:usb3="00000000" w:csb0="000001FF" w:csb1="00000000"/>
    <w:embedRegular r:id="rId3" w:fontKey="{3D125224-E552-074F-ABA6-C685EA801499}"/>
    <w:embedBold r:id="rId4" w:fontKey="{6FEA5B13-BA37-7C4D-8A3D-B38E08BFAAE4}"/>
  </w:font>
  <w:font w:name="Calibri">
    <w:panose1 w:val="020F0502020204030204"/>
    <w:charset w:val="00"/>
    <w:family w:val="swiss"/>
    <w:pitch w:val="variable"/>
    <w:sig w:usb0="E0002EFF" w:usb1="C000247B" w:usb2="00000009" w:usb3="00000000" w:csb0="000001FF" w:csb1="00000000"/>
    <w:embedRegular r:id="rId5" w:fontKey="{BAB728BB-390E-C348-A889-AE28A0F6C833}"/>
    <w:embedBold r:id="rId6" w:fontKey="{4F139CAD-38A8-E742-9E7F-90D88DEA97E4}"/>
    <w:embedItalic r:id="rId7" w:fontKey="{0F3EB207-E487-3F47-9AD3-F93A115092BA}"/>
    <w:embedBoldItalic r:id="rId8" w:fontKey="{118F63E8-DDEB-4E41-ACE9-DC135EFC7D48}"/>
  </w:font>
  <w:font w:name="Cambria">
    <w:panose1 w:val="02040503050406030204"/>
    <w:charset w:val="00"/>
    <w:family w:val="roman"/>
    <w:pitch w:val="variable"/>
    <w:sig w:usb0="E00002FF" w:usb1="400004FF" w:usb2="00000000" w:usb3="00000000" w:csb0="0000019F" w:csb1="00000000"/>
    <w:embedRegular r:id="rId9" w:fontKey="{9ADBF057-0EEF-9649-AD61-00BC716C2BA1}"/>
    <w:embedBold r:id="rId10" w:fontKey="{B8FDB88D-29E7-2340-B260-94545147E9E1}"/>
  </w:font>
  <w:font w:name="Arial">
    <w:panose1 w:val="020B0604020202020204"/>
    <w:charset w:val="00"/>
    <w:family w:val="swiss"/>
    <w:pitch w:val="variable"/>
    <w:sig w:usb0="E0002AFF" w:usb1="C0007843" w:usb2="00000009" w:usb3="00000000" w:csb0="000001FF" w:csb1="00000000"/>
    <w:embedRegular r:id="rId11" w:fontKey="{F5AD7AD2-D3A4-1E40-B2DA-EB2176F77E30}"/>
  </w:font>
  <w:font w:name="Segoe UI">
    <w:panose1 w:val="020B0502040204020203"/>
    <w:charset w:val="00"/>
    <w:family w:val="swiss"/>
    <w:pitch w:val="variable"/>
    <w:sig w:usb0="E4002EFF" w:usb1="C000E47F" w:usb2="00000009" w:usb3="00000000" w:csb0="000001FF" w:csb1="00000000"/>
    <w:embedRegular r:id="rId12" w:fontKey="{040E4402-2C07-9246-9649-81D6BD98B555}"/>
  </w:font>
  <w:font w:name="Georgia">
    <w:panose1 w:val="02040502050405020303"/>
    <w:charset w:val="00"/>
    <w:family w:val="roman"/>
    <w:pitch w:val="variable"/>
    <w:sig w:usb0="00000287" w:usb1="00000000" w:usb2="00000000" w:usb3="00000000" w:csb0="0000009F" w:csb1="00000000"/>
    <w:embedItalic r:id="rId13" w:fontKey="{58CD4776-9053-4243-B72E-A8121AB95C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5F5A" w14:textId="77777777" w:rsidR="002A3430" w:rsidRDefault="002A343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EA11" w14:textId="77777777" w:rsidR="00135DEE" w:rsidRDefault="00135DEE">
      <w:r>
        <w:separator/>
      </w:r>
    </w:p>
  </w:footnote>
  <w:footnote w:type="continuationSeparator" w:id="0">
    <w:p w14:paraId="7F2BF5E9" w14:textId="77777777" w:rsidR="00135DEE" w:rsidRDefault="00135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546B" w14:textId="77777777" w:rsidR="002A3430" w:rsidRDefault="002A343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98CD" w14:textId="77777777" w:rsidR="002A3430" w:rsidRDefault="00CE4AFA">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4840" w14:textId="50A43336" w:rsidR="002A3430" w:rsidRDefault="002A3430">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151A"/>
    <w:multiLevelType w:val="multilevel"/>
    <w:tmpl w:val="7FD82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BD75B6"/>
    <w:multiLevelType w:val="multilevel"/>
    <w:tmpl w:val="1F7C63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BE10AD"/>
    <w:multiLevelType w:val="multilevel"/>
    <w:tmpl w:val="C22814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A5355A"/>
    <w:multiLevelType w:val="multilevel"/>
    <w:tmpl w:val="F2124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026943"/>
    <w:multiLevelType w:val="hybridMultilevel"/>
    <w:tmpl w:val="E692F130"/>
    <w:lvl w:ilvl="0" w:tplc="4CA60BF6">
      <w:start w:val="1"/>
      <w:numFmt w:val="decimal"/>
      <w:lvlText w:val="%1."/>
      <w:lvlJc w:val="left"/>
      <w:pPr>
        <w:ind w:left="502" w:hanging="360"/>
      </w:pPr>
      <w:rPr>
        <w:rFonts w:ascii="Calibri" w:hAnsi="Calibri" w:cs="Calibri" w:hint="default"/>
        <w:b/>
        <w:bCs/>
        <w:sz w:val="24"/>
        <w:szCs w:val="24"/>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5" w15:restartNumberingAfterBreak="0">
    <w:nsid w:val="309A2F92"/>
    <w:multiLevelType w:val="multilevel"/>
    <w:tmpl w:val="7C2ACE98"/>
    <w:lvl w:ilvl="0">
      <w:start w:val="1"/>
      <w:numFmt w:val="bullet"/>
      <w:lvlText w:val="●"/>
      <w:lvlJc w:val="left"/>
      <w:pPr>
        <w:ind w:left="720" w:hanging="360"/>
      </w:pPr>
      <w:rPr>
        <w:rFonts w:ascii="Noto Sans Symbols" w:eastAsia="Noto Sans Symbols" w:hAnsi="Noto Sans Symbols" w:cs="Noto Sans Symbols"/>
        <w:shd w:val="clear" w:color="auto" w:fill="93C47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243BBA"/>
    <w:multiLevelType w:val="multilevel"/>
    <w:tmpl w:val="047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77C421C"/>
    <w:multiLevelType w:val="multilevel"/>
    <w:tmpl w:val="BB82F7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8722895"/>
    <w:multiLevelType w:val="multilevel"/>
    <w:tmpl w:val="279623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EE5182F"/>
    <w:multiLevelType w:val="multilevel"/>
    <w:tmpl w:val="DD72D972"/>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1D00E77"/>
    <w:multiLevelType w:val="multilevel"/>
    <w:tmpl w:val="49A25DA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4C6D35C4"/>
    <w:multiLevelType w:val="multilevel"/>
    <w:tmpl w:val="78F0ED78"/>
    <w:lvl w:ilvl="0">
      <w:start w:val="1"/>
      <w:numFmt w:val="decimal"/>
      <w:lvlText w:val="1.%1."/>
      <w:lvlJc w:val="left"/>
      <w:pPr>
        <w:ind w:left="720" w:hanging="360"/>
      </w:pPr>
      <w:rPr>
        <w:rFonts w:asciiTheme="majorHAnsi" w:hAnsiTheme="majorHAnsi" w:cstheme="majorHAnsi"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E1F452E"/>
    <w:multiLevelType w:val="multilevel"/>
    <w:tmpl w:val="5A365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C0718"/>
    <w:multiLevelType w:val="multilevel"/>
    <w:tmpl w:val="B7523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ED71DD2"/>
    <w:multiLevelType w:val="multilevel"/>
    <w:tmpl w:val="65168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FAB68FA"/>
    <w:multiLevelType w:val="multilevel"/>
    <w:tmpl w:val="089A7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06E1466"/>
    <w:multiLevelType w:val="multilevel"/>
    <w:tmpl w:val="6616B33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 w15:restartNumberingAfterBreak="0">
    <w:nsid w:val="60F31482"/>
    <w:multiLevelType w:val="multilevel"/>
    <w:tmpl w:val="F0463F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80F46EE"/>
    <w:multiLevelType w:val="multilevel"/>
    <w:tmpl w:val="D0A6FB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505BC5"/>
    <w:multiLevelType w:val="multilevel"/>
    <w:tmpl w:val="B8504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F6F487A"/>
    <w:multiLevelType w:val="multilevel"/>
    <w:tmpl w:val="567A1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055384D"/>
    <w:multiLevelType w:val="multilevel"/>
    <w:tmpl w:val="7404450E"/>
    <w:lvl w:ilvl="0">
      <w:start w:val="1"/>
      <w:numFmt w:val="decimal"/>
      <w:lvlText w:val="2.%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49322719">
    <w:abstractNumId w:val="1"/>
  </w:num>
  <w:num w:numId="2" w16cid:durableId="1542132505">
    <w:abstractNumId w:val="20"/>
  </w:num>
  <w:num w:numId="3" w16cid:durableId="624384812">
    <w:abstractNumId w:val="7"/>
  </w:num>
  <w:num w:numId="4" w16cid:durableId="1390769109">
    <w:abstractNumId w:val="18"/>
  </w:num>
  <w:num w:numId="5" w16cid:durableId="748624927">
    <w:abstractNumId w:val="8"/>
  </w:num>
  <w:num w:numId="6" w16cid:durableId="589392059">
    <w:abstractNumId w:val="19"/>
  </w:num>
  <w:num w:numId="7" w16cid:durableId="216867961">
    <w:abstractNumId w:val="9"/>
  </w:num>
  <w:num w:numId="8" w16cid:durableId="1042630290">
    <w:abstractNumId w:val="5"/>
  </w:num>
  <w:num w:numId="9" w16cid:durableId="1032069110">
    <w:abstractNumId w:val="3"/>
  </w:num>
  <w:num w:numId="10" w16cid:durableId="1386491285">
    <w:abstractNumId w:val="15"/>
  </w:num>
  <w:num w:numId="11" w16cid:durableId="1852260244">
    <w:abstractNumId w:val="6"/>
  </w:num>
  <w:num w:numId="12" w16cid:durableId="2004233157">
    <w:abstractNumId w:val="14"/>
  </w:num>
  <w:num w:numId="13" w16cid:durableId="2111007028">
    <w:abstractNumId w:val="16"/>
  </w:num>
  <w:num w:numId="14" w16cid:durableId="562913998">
    <w:abstractNumId w:val="0"/>
  </w:num>
  <w:num w:numId="15" w16cid:durableId="1498422692">
    <w:abstractNumId w:val="17"/>
  </w:num>
  <w:num w:numId="16" w16cid:durableId="1361971317">
    <w:abstractNumId w:val="10"/>
  </w:num>
  <w:num w:numId="17" w16cid:durableId="656301358">
    <w:abstractNumId w:val="12"/>
  </w:num>
  <w:num w:numId="18" w16cid:durableId="492188867">
    <w:abstractNumId w:val="2"/>
  </w:num>
  <w:num w:numId="19" w16cid:durableId="20058188">
    <w:abstractNumId w:val="21"/>
  </w:num>
  <w:num w:numId="20" w16cid:durableId="881211886">
    <w:abstractNumId w:val="13"/>
  </w:num>
  <w:num w:numId="21" w16cid:durableId="398527668">
    <w:abstractNumId w:val="11"/>
  </w:num>
  <w:num w:numId="22" w16cid:durableId="2126197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A2NzM3NDEyNTM1MjNR0lEKTi0uzszPAykwrAUAVBqV9ywAAAA="/>
  </w:docVars>
  <w:rsids>
    <w:rsidRoot w:val="002A3430"/>
    <w:rsid w:val="00033AC6"/>
    <w:rsid w:val="00042CB8"/>
    <w:rsid w:val="00042D3D"/>
    <w:rsid w:val="00066093"/>
    <w:rsid w:val="000A71F8"/>
    <w:rsid w:val="000C4A17"/>
    <w:rsid w:val="000D5D2E"/>
    <w:rsid w:val="000D7018"/>
    <w:rsid w:val="000E52AE"/>
    <w:rsid w:val="000E587B"/>
    <w:rsid w:val="000F42C8"/>
    <w:rsid w:val="00111445"/>
    <w:rsid w:val="001333F3"/>
    <w:rsid w:val="00135DEE"/>
    <w:rsid w:val="00136FFF"/>
    <w:rsid w:val="0014771D"/>
    <w:rsid w:val="00156F76"/>
    <w:rsid w:val="00180427"/>
    <w:rsid w:val="001A121D"/>
    <w:rsid w:val="001B64F0"/>
    <w:rsid w:val="001C68F4"/>
    <w:rsid w:val="00223F40"/>
    <w:rsid w:val="002274F6"/>
    <w:rsid w:val="00277EE5"/>
    <w:rsid w:val="0028733F"/>
    <w:rsid w:val="002954A0"/>
    <w:rsid w:val="002A3430"/>
    <w:rsid w:val="002C31F1"/>
    <w:rsid w:val="002E5699"/>
    <w:rsid w:val="002F153F"/>
    <w:rsid w:val="003065F7"/>
    <w:rsid w:val="00307C5C"/>
    <w:rsid w:val="0035337C"/>
    <w:rsid w:val="00375CD4"/>
    <w:rsid w:val="00376BCE"/>
    <w:rsid w:val="00381D36"/>
    <w:rsid w:val="00396446"/>
    <w:rsid w:val="003C62D4"/>
    <w:rsid w:val="003C766F"/>
    <w:rsid w:val="003D1BA5"/>
    <w:rsid w:val="003F2970"/>
    <w:rsid w:val="003F2AF7"/>
    <w:rsid w:val="00413BE5"/>
    <w:rsid w:val="004174AB"/>
    <w:rsid w:val="00423A35"/>
    <w:rsid w:val="0042705A"/>
    <w:rsid w:val="00434A1E"/>
    <w:rsid w:val="004375B2"/>
    <w:rsid w:val="00464FEF"/>
    <w:rsid w:val="00472873"/>
    <w:rsid w:val="004A5356"/>
    <w:rsid w:val="004C5056"/>
    <w:rsid w:val="004D7E0D"/>
    <w:rsid w:val="00512FFA"/>
    <w:rsid w:val="00527A0D"/>
    <w:rsid w:val="005378EB"/>
    <w:rsid w:val="005422E5"/>
    <w:rsid w:val="005646E9"/>
    <w:rsid w:val="00586C9E"/>
    <w:rsid w:val="0059533D"/>
    <w:rsid w:val="005A61AD"/>
    <w:rsid w:val="005B0D08"/>
    <w:rsid w:val="005C23E6"/>
    <w:rsid w:val="005F26BA"/>
    <w:rsid w:val="006061E5"/>
    <w:rsid w:val="006078D8"/>
    <w:rsid w:val="0061696D"/>
    <w:rsid w:val="006305CD"/>
    <w:rsid w:val="00633F87"/>
    <w:rsid w:val="00655224"/>
    <w:rsid w:val="006713CA"/>
    <w:rsid w:val="00680C84"/>
    <w:rsid w:val="00693995"/>
    <w:rsid w:val="006A0AE4"/>
    <w:rsid w:val="006A659E"/>
    <w:rsid w:val="006C7ACE"/>
    <w:rsid w:val="006D5C78"/>
    <w:rsid w:val="006D7AC9"/>
    <w:rsid w:val="006E09EF"/>
    <w:rsid w:val="006E2C84"/>
    <w:rsid w:val="006F0F07"/>
    <w:rsid w:val="0070447F"/>
    <w:rsid w:val="00704F93"/>
    <w:rsid w:val="00705D22"/>
    <w:rsid w:val="0071317B"/>
    <w:rsid w:val="00714FD4"/>
    <w:rsid w:val="00717678"/>
    <w:rsid w:val="00755A11"/>
    <w:rsid w:val="0076321E"/>
    <w:rsid w:val="00770F62"/>
    <w:rsid w:val="00785F52"/>
    <w:rsid w:val="007914AE"/>
    <w:rsid w:val="007C041A"/>
    <w:rsid w:val="007D1BB2"/>
    <w:rsid w:val="007D3ED0"/>
    <w:rsid w:val="008215DE"/>
    <w:rsid w:val="00846BD1"/>
    <w:rsid w:val="008812B5"/>
    <w:rsid w:val="00883D77"/>
    <w:rsid w:val="00887994"/>
    <w:rsid w:val="008B461D"/>
    <w:rsid w:val="008E64AB"/>
    <w:rsid w:val="008E7E0D"/>
    <w:rsid w:val="008F6ACA"/>
    <w:rsid w:val="008F6E2B"/>
    <w:rsid w:val="00900699"/>
    <w:rsid w:val="009012AD"/>
    <w:rsid w:val="009018B5"/>
    <w:rsid w:val="00925CAB"/>
    <w:rsid w:val="0094689A"/>
    <w:rsid w:val="00954A0D"/>
    <w:rsid w:val="00954FF0"/>
    <w:rsid w:val="009735F8"/>
    <w:rsid w:val="00981433"/>
    <w:rsid w:val="00981B7B"/>
    <w:rsid w:val="009932E9"/>
    <w:rsid w:val="00997DAB"/>
    <w:rsid w:val="009A1AA6"/>
    <w:rsid w:val="009A2F35"/>
    <w:rsid w:val="009A5FE7"/>
    <w:rsid w:val="009A6DB6"/>
    <w:rsid w:val="009B1F6F"/>
    <w:rsid w:val="009C0295"/>
    <w:rsid w:val="009D5D7E"/>
    <w:rsid w:val="009D7A25"/>
    <w:rsid w:val="009E5E04"/>
    <w:rsid w:val="009F3465"/>
    <w:rsid w:val="00A06283"/>
    <w:rsid w:val="00A406A0"/>
    <w:rsid w:val="00A50358"/>
    <w:rsid w:val="00A55F0A"/>
    <w:rsid w:val="00A86B3F"/>
    <w:rsid w:val="00AA38FD"/>
    <w:rsid w:val="00AA59E0"/>
    <w:rsid w:val="00AC535F"/>
    <w:rsid w:val="00AC6DA8"/>
    <w:rsid w:val="00AE282E"/>
    <w:rsid w:val="00AF2E5D"/>
    <w:rsid w:val="00B12A7D"/>
    <w:rsid w:val="00B12BA9"/>
    <w:rsid w:val="00B35579"/>
    <w:rsid w:val="00B370E2"/>
    <w:rsid w:val="00B44F6E"/>
    <w:rsid w:val="00B51577"/>
    <w:rsid w:val="00B5255D"/>
    <w:rsid w:val="00B5497A"/>
    <w:rsid w:val="00B90B06"/>
    <w:rsid w:val="00BC73AA"/>
    <w:rsid w:val="00BD2B72"/>
    <w:rsid w:val="00BD3ABB"/>
    <w:rsid w:val="00BD7A54"/>
    <w:rsid w:val="00C24D8C"/>
    <w:rsid w:val="00C32204"/>
    <w:rsid w:val="00C643CF"/>
    <w:rsid w:val="00C657E5"/>
    <w:rsid w:val="00CA5D57"/>
    <w:rsid w:val="00CC5680"/>
    <w:rsid w:val="00CC63E9"/>
    <w:rsid w:val="00CD77BA"/>
    <w:rsid w:val="00CE4AFA"/>
    <w:rsid w:val="00CE7851"/>
    <w:rsid w:val="00CF4331"/>
    <w:rsid w:val="00D6667C"/>
    <w:rsid w:val="00D72F83"/>
    <w:rsid w:val="00D82245"/>
    <w:rsid w:val="00DA19F2"/>
    <w:rsid w:val="00DA3BEB"/>
    <w:rsid w:val="00DA4F9B"/>
    <w:rsid w:val="00DA737B"/>
    <w:rsid w:val="00DC1F4F"/>
    <w:rsid w:val="00DE29CD"/>
    <w:rsid w:val="00DE2C76"/>
    <w:rsid w:val="00DE6724"/>
    <w:rsid w:val="00E1458E"/>
    <w:rsid w:val="00E2061A"/>
    <w:rsid w:val="00E52508"/>
    <w:rsid w:val="00E56213"/>
    <w:rsid w:val="00E569BA"/>
    <w:rsid w:val="00E57D29"/>
    <w:rsid w:val="00E62A91"/>
    <w:rsid w:val="00E73562"/>
    <w:rsid w:val="00E86E17"/>
    <w:rsid w:val="00E90C22"/>
    <w:rsid w:val="00EB11A9"/>
    <w:rsid w:val="00EB1FD5"/>
    <w:rsid w:val="00EC12D2"/>
    <w:rsid w:val="00EC794D"/>
    <w:rsid w:val="00ED655C"/>
    <w:rsid w:val="00EF1FF0"/>
    <w:rsid w:val="00EF75D8"/>
    <w:rsid w:val="00F0649B"/>
    <w:rsid w:val="00F07021"/>
    <w:rsid w:val="00F178E6"/>
    <w:rsid w:val="00F20BC4"/>
    <w:rsid w:val="00F75C42"/>
    <w:rsid w:val="00FA0778"/>
    <w:rsid w:val="00FA6EE7"/>
    <w:rsid w:val="00FB3289"/>
    <w:rsid w:val="00FC54EB"/>
    <w:rsid w:val="00FC781B"/>
    <w:rsid w:val="00FD0FBA"/>
    <w:rsid w:val="00FE2D99"/>
    <w:rsid w:val="00FF08C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30EA"/>
  <w15:docId w15:val="{71BB8CD6-3C05-42DC-9644-C56310DCE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GB"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EB1E68"/>
    <w:rPr>
      <w:color w:val="0000FF" w:themeColor="hyperlink"/>
      <w:u w:val="single"/>
    </w:rPr>
  </w:style>
  <w:style w:type="character" w:customStyle="1" w:styleId="NichtaufgelsteErwhnung1">
    <w:name w:val="Nicht aufgelöste Erwähnung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7176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678"/>
    <w:rPr>
      <w:rFonts w:ascii="Segoe UI" w:hAnsi="Segoe UI" w:cs="Segoe UI"/>
      <w:sz w:val="18"/>
      <w:szCs w:val="18"/>
    </w:rPr>
  </w:style>
  <w:style w:type="character" w:styleId="UnresolvedMention">
    <w:name w:val="Unresolved Mention"/>
    <w:basedOn w:val="DefaultParagraphFont"/>
    <w:uiPriority w:val="99"/>
    <w:semiHidden/>
    <w:unhideWhenUsed/>
    <w:rsid w:val="00BC7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3980">
      <w:bodyDiv w:val="1"/>
      <w:marLeft w:val="0"/>
      <w:marRight w:val="0"/>
      <w:marTop w:val="0"/>
      <w:marBottom w:val="0"/>
      <w:divBdr>
        <w:top w:val="none" w:sz="0" w:space="0" w:color="auto"/>
        <w:left w:val="none" w:sz="0" w:space="0" w:color="auto"/>
        <w:bottom w:val="none" w:sz="0" w:space="0" w:color="auto"/>
        <w:right w:val="none" w:sz="0" w:space="0" w:color="auto"/>
      </w:divBdr>
    </w:div>
    <w:div w:id="231544109">
      <w:bodyDiv w:val="1"/>
      <w:marLeft w:val="0"/>
      <w:marRight w:val="0"/>
      <w:marTop w:val="0"/>
      <w:marBottom w:val="0"/>
      <w:divBdr>
        <w:top w:val="none" w:sz="0" w:space="0" w:color="auto"/>
        <w:left w:val="none" w:sz="0" w:space="0" w:color="auto"/>
        <w:bottom w:val="none" w:sz="0" w:space="0" w:color="auto"/>
        <w:right w:val="none" w:sz="0" w:space="0" w:color="auto"/>
      </w:divBdr>
      <w:divsChild>
        <w:div w:id="210445307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68856791">
      <w:bodyDiv w:val="1"/>
      <w:marLeft w:val="0"/>
      <w:marRight w:val="0"/>
      <w:marTop w:val="0"/>
      <w:marBottom w:val="0"/>
      <w:divBdr>
        <w:top w:val="none" w:sz="0" w:space="0" w:color="auto"/>
        <w:left w:val="none" w:sz="0" w:space="0" w:color="auto"/>
        <w:bottom w:val="none" w:sz="0" w:space="0" w:color="auto"/>
        <w:right w:val="none" w:sz="0" w:space="0" w:color="auto"/>
      </w:divBdr>
      <w:divsChild>
        <w:div w:id="643075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18654861">
      <w:bodyDiv w:val="1"/>
      <w:marLeft w:val="0"/>
      <w:marRight w:val="0"/>
      <w:marTop w:val="0"/>
      <w:marBottom w:val="0"/>
      <w:divBdr>
        <w:top w:val="none" w:sz="0" w:space="0" w:color="auto"/>
        <w:left w:val="none" w:sz="0" w:space="0" w:color="auto"/>
        <w:bottom w:val="none" w:sz="0" w:space="0" w:color="auto"/>
        <w:right w:val="none" w:sz="0" w:space="0" w:color="auto"/>
      </w:divBdr>
      <w:divsChild>
        <w:div w:id="6901862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76903078">
      <w:bodyDiv w:val="1"/>
      <w:marLeft w:val="0"/>
      <w:marRight w:val="0"/>
      <w:marTop w:val="0"/>
      <w:marBottom w:val="0"/>
      <w:divBdr>
        <w:top w:val="none" w:sz="0" w:space="0" w:color="auto"/>
        <w:left w:val="none" w:sz="0" w:space="0" w:color="auto"/>
        <w:bottom w:val="none" w:sz="0" w:space="0" w:color="auto"/>
        <w:right w:val="none" w:sz="0" w:space="0" w:color="auto"/>
      </w:divBdr>
    </w:div>
    <w:div w:id="527109455">
      <w:bodyDiv w:val="1"/>
      <w:marLeft w:val="0"/>
      <w:marRight w:val="0"/>
      <w:marTop w:val="0"/>
      <w:marBottom w:val="0"/>
      <w:divBdr>
        <w:top w:val="none" w:sz="0" w:space="0" w:color="auto"/>
        <w:left w:val="none" w:sz="0" w:space="0" w:color="auto"/>
        <w:bottom w:val="none" w:sz="0" w:space="0" w:color="auto"/>
        <w:right w:val="none" w:sz="0" w:space="0" w:color="auto"/>
      </w:divBdr>
      <w:divsChild>
        <w:div w:id="85407954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577638645">
      <w:bodyDiv w:val="1"/>
      <w:marLeft w:val="0"/>
      <w:marRight w:val="0"/>
      <w:marTop w:val="0"/>
      <w:marBottom w:val="0"/>
      <w:divBdr>
        <w:top w:val="none" w:sz="0" w:space="0" w:color="auto"/>
        <w:left w:val="none" w:sz="0" w:space="0" w:color="auto"/>
        <w:bottom w:val="none" w:sz="0" w:space="0" w:color="auto"/>
        <w:right w:val="none" w:sz="0" w:space="0" w:color="auto"/>
      </w:divBdr>
    </w:div>
    <w:div w:id="673799540">
      <w:bodyDiv w:val="1"/>
      <w:marLeft w:val="0"/>
      <w:marRight w:val="0"/>
      <w:marTop w:val="0"/>
      <w:marBottom w:val="0"/>
      <w:divBdr>
        <w:top w:val="none" w:sz="0" w:space="0" w:color="auto"/>
        <w:left w:val="none" w:sz="0" w:space="0" w:color="auto"/>
        <w:bottom w:val="none" w:sz="0" w:space="0" w:color="auto"/>
        <w:right w:val="none" w:sz="0" w:space="0" w:color="auto"/>
      </w:divBdr>
      <w:divsChild>
        <w:div w:id="148912897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11163384">
      <w:bodyDiv w:val="1"/>
      <w:marLeft w:val="0"/>
      <w:marRight w:val="0"/>
      <w:marTop w:val="0"/>
      <w:marBottom w:val="0"/>
      <w:divBdr>
        <w:top w:val="none" w:sz="0" w:space="0" w:color="auto"/>
        <w:left w:val="none" w:sz="0" w:space="0" w:color="auto"/>
        <w:bottom w:val="none" w:sz="0" w:space="0" w:color="auto"/>
        <w:right w:val="none" w:sz="0" w:space="0" w:color="auto"/>
      </w:divBdr>
      <w:divsChild>
        <w:div w:id="163389984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80771323">
      <w:bodyDiv w:val="1"/>
      <w:marLeft w:val="0"/>
      <w:marRight w:val="0"/>
      <w:marTop w:val="0"/>
      <w:marBottom w:val="0"/>
      <w:divBdr>
        <w:top w:val="none" w:sz="0" w:space="0" w:color="auto"/>
        <w:left w:val="none" w:sz="0" w:space="0" w:color="auto"/>
        <w:bottom w:val="none" w:sz="0" w:space="0" w:color="auto"/>
        <w:right w:val="none" w:sz="0" w:space="0" w:color="auto"/>
      </w:divBdr>
      <w:divsChild>
        <w:div w:id="127312775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69634952">
      <w:bodyDiv w:val="1"/>
      <w:marLeft w:val="0"/>
      <w:marRight w:val="0"/>
      <w:marTop w:val="0"/>
      <w:marBottom w:val="0"/>
      <w:divBdr>
        <w:top w:val="none" w:sz="0" w:space="0" w:color="auto"/>
        <w:left w:val="none" w:sz="0" w:space="0" w:color="auto"/>
        <w:bottom w:val="none" w:sz="0" w:space="0" w:color="auto"/>
        <w:right w:val="none" w:sz="0" w:space="0" w:color="auto"/>
      </w:divBdr>
    </w:div>
    <w:div w:id="1228876525">
      <w:bodyDiv w:val="1"/>
      <w:marLeft w:val="0"/>
      <w:marRight w:val="0"/>
      <w:marTop w:val="0"/>
      <w:marBottom w:val="0"/>
      <w:divBdr>
        <w:top w:val="none" w:sz="0" w:space="0" w:color="auto"/>
        <w:left w:val="none" w:sz="0" w:space="0" w:color="auto"/>
        <w:bottom w:val="none" w:sz="0" w:space="0" w:color="auto"/>
        <w:right w:val="none" w:sz="0" w:space="0" w:color="auto"/>
      </w:divBdr>
      <w:divsChild>
        <w:div w:id="13109698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64205780">
      <w:bodyDiv w:val="1"/>
      <w:marLeft w:val="0"/>
      <w:marRight w:val="0"/>
      <w:marTop w:val="0"/>
      <w:marBottom w:val="0"/>
      <w:divBdr>
        <w:top w:val="none" w:sz="0" w:space="0" w:color="auto"/>
        <w:left w:val="none" w:sz="0" w:space="0" w:color="auto"/>
        <w:bottom w:val="none" w:sz="0" w:space="0" w:color="auto"/>
        <w:right w:val="none" w:sz="0" w:space="0" w:color="auto"/>
      </w:divBdr>
      <w:divsChild>
        <w:div w:id="29899307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50266723">
      <w:bodyDiv w:val="1"/>
      <w:marLeft w:val="0"/>
      <w:marRight w:val="0"/>
      <w:marTop w:val="0"/>
      <w:marBottom w:val="0"/>
      <w:divBdr>
        <w:top w:val="none" w:sz="0" w:space="0" w:color="auto"/>
        <w:left w:val="none" w:sz="0" w:space="0" w:color="auto"/>
        <w:bottom w:val="none" w:sz="0" w:space="0" w:color="auto"/>
        <w:right w:val="none" w:sz="0" w:space="0" w:color="auto"/>
      </w:divBdr>
      <w:divsChild>
        <w:div w:id="35593020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31591880">
      <w:bodyDiv w:val="1"/>
      <w:marLeft w:val="0"/>
      <w:marRight w:val="0"/>
      <w:marTop w:val="0"/>
      <w:marBottom w:val="0"/>
      <w:divBdr>
        <w:top w:val="none" w:sz="0" w:space="0" w:color="auto"/>
        <w:left w:val="none" w:sz="0" w:space="0" w:color="auto"/>
        <w:bottom w:val="none" w:sz="0" w:space="0" w:color="auto"/>
        <w:right w:val="none" w:sz="0" w:space="0" w:color="auto"/>
      </w:divBdr>
      <w:divsChild>
        <w:div w:id="207161611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71445288">
      <w:bodyDiv w:val="1"/>
      <w:marLeft w:val="0"/>
      <w:marRight w:val="0"/>
      <w:marTop w:val="0"/>
      <w:marBottom w:val="0"/>
      <w:divBdr>
        <w:top w:val="none" w:sz="0" w:space="0" w:color="auto"/>
        <w:left w:val="none" w:sz="0" w:space="0" w:color="auto"/>
        <w:bottom w:val="none" w:sz="0" w:space="0" w:color="auto"/>
        <w:right w:val="none" w:sz="0" w:space="0" w:color="auto"/>
      </w:divBdr>
      <w:divsChild>
        <w:div w:id="170501563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747192713">
      <w:bodyDiv w:val="1"/>
      <w:marLeft w:val="0"/>
      <w:marRight w:val="0"/>
      <w:marTop w:val="0"/>
      <w:marBottom w:val="0"/>
      <w:divBdr>
        <w:top w:val="none" w:sz="0" w:space="0" w:color="auto"/>
        <w:left w:val="none" w:sz="0" w:space="0" w:color="auto"/>
        <w:bottom w:val="none" w:sz="0" w:space="0" w:color="auto"/>
        <w:right w:val="none" w:sz="0" w:space="0" w:color="auto"/>
      </w:divBdr>
    </w:div>
    <w:div w:id="1769933965">
      <w:bodyDiv w:val="1"/>
      <w:marLeft w:val="0"/>
      <w:marRight w:val="0"/>
      <w:marTop w:val="0"/>
      <w:marBottom w:val="0"/>
      <w:divBdr>
        <w:top w:val="none" w:sz="0" w:space="0" w:color="auto"/>
        <w:left w:val="none" w:sz="0" w:space="0" w:color="auto"/>
        <w:bottom w:val="none" w:sz="0" w:space="0" w:color="auto"/>
        <w:right w:val="none" w:sz="0" w:space="0" w:color="auto"/>
      </w:divBdr>
      <w:divsChild>
        <w:div w:id="140845323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98746519">
      <w:bodyDiv w:val="1"/>
      <w:marLeft w:val="0"/>
      <w:marRight w:val="0"/>
      <w:marTop w:val="0"/>
      <w:marBottom w:val="0"/>
      <w:divBdr>
        <w:top w:val="none" w:sz="0" w:space="0" w:color="auto"/>
        <w:left w:val="none" w:sz="0" w:space="0" w:color="auto"/>
        <w:bottom w:val="none" w:sz="0" w:space="0" w:color="auto"/>
        <w:right w:val="none" w:sz="0" w:space="0" w:color="auto"/>
      </w:divBdr>
      <w:divsChild>
        <w:div w:id="66659484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01370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UZLUfUs5B6xhWLeetieCCAmZIw==">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ABAF9E-8B87-42A3-99AE-87E069E1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5608</Words>
  <Characters>31968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Amalia Cavinato Nascimento</dc:creator>
  <cp:lastModifiedBy>Maria Amalia Cavinato Nascimento</cp:lastModifiedBy>
  <cp:revision>2</cp:revision>
  <cp:lastPrinted>2026-03-30T13:12:00Z</cp:lastPrinted>
  <dcterms:created xsi:type="dcterms:W3CDTF">2026-04-15T07:43:00Z</dcterms:created>
  <dcterms:modified xsi:type="dcterms:W3CDTF">2026-04-15T07:43:00Z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