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3787D" w14:textId="77777777" w:rsidR="00E10982" w:rsidRPr="00101E86" w:rsidRDefault="00551D82" w:rsidP="00101E86">
      <w:pPr>
        <w:pBdr>
          <w:top w:val="nil"/>
          <w:left w:val="nil"/>
          <w:bottom w:val="nil"/>
          <w:right w:val="nil"/>
          <w:between w:val="nil"/>
        </w:pBdr>
        <w:rPr>
          <w:rFonts w:asciiTheme="majorHAnsi" w:hAnsiTheme="majorHAnsi" w:cstheme="majorHAnsi"/>
          <w:b/>
        </w:rPr>
      </w:pPr>
      <w:r w:rsidRPr="00101E86">
        <w:rPr>
          <w:rFonts w:asciiTheme="majorHAnsi" w:hAnsiTheme="majorHAnsi" w:cstheme="majorHAnsi"/>
          <w:b/>
        </w:rPr>
        <w:t>TITLE</w:t>
      </w:r>
      <w:r w:rsidR="00EA1980" w:rsidRPr="00101E86">
        <w:rPr>
          <w:rFonts w:asciiTheme="majorHAnsi" w:hAnsiTheme="majorHAnsi" w:cstheme="majorHAnsi"/>
          <w:b/>
        </w:rPr>
        <w:t xml:space="preserve">: </w:t>
      </w:r>
    </w:p>
    <w:p w14:paraId="59AAC127" w14:textId="08BC8966" w:rsidR="006E4797" w:rsidRPr="00101E86" w:rsidRDefault="00D465CD" w:rsidP="00101E86">
      <w:pPr>
        <w:pBdr>
          <w:top w:val="nil"/>
          <w:left w:val="nil"/>
          <w:bottom w:val="nil"/>
          <w:right w:val="nil"/>
          <w:between w:val="nil"/>
        </w:pBdr>
        <w:rPr>
          <w:rFonts w:asciiTheme="majorHAnsi" w:hAnsiTheme="majorHAnsi" w:cstheme="majorHAnsi"/>
        </w:rPr>
      </w:pPr>
      <w:r w:rsidRPr="00101E86">
        <w:rPr>
          <w:rFonts w:asciiTheme="majorHAnsi" w:hAnsiTheme="majorHAnsi" w:cstheme="majorHAnsi"/>
        </w:rPr>
        <w:t>A Digital Microfluidic Electroporation Platform for Low-</w:t>
      </w:r>
      <w:r w:rsidR="00E10982" w:rsidRPr="00101E86">
        <w:rPr>
          <w:rFonts w:asciiTheme="majorHAnsi" w:hAnsiTheme="majorHAnsi" w:cstheme="majorHAnsi"/>
        </w:rPr>
        <w:t>i</w:t>
      </w:r>
      <w:r w:rsidRPr="00101E86">
        <w:rPr>
          <w:rFonts w:asciiTheme="majorHAnsi" w:hAnsiTheme="majorHAnsi" w:cstheme="majorHAnsi"/>
        </w:rPr>
        <w:t>nput CRISPR Genome Editing and mRNA Transfection in Suspension T Cells and 3D Cell Models</w:t>
      </w:r>
    </w:p>
    <w:p w14:paraId="06C0C87E" w14:textId="77777777" w:rsidR="006E4797" w:rsidRPr="00101E86" w:rsidRDefault="006E4797" w:rsidP="00101E86">
      <w:pPr>
        <w:rPr>
          <w:rFonts w:asciiTheme="majorHAnsi" w:hAnsiTheme="majorHAnsi" w:cstheme="majorHAnsi"/>
          <w:b/>
        </w:rPr>
      </w:pPr>
    </w:p>
    <w:p w14:paraId="05CA3CD1" w14:textId="115DDDFE" w:rsidR="00FE76BF" w:rsidRPr="00101E86" w:rsidRDefault="00551D82" w:rsidP="00101E86">
      <w:pPr>
        <w:rPr>
          <w:rFonts w:asciiTheme="majorHAnsi" w:hAnsiTheme="majorHAnsi" w:cstheme="majorHAnsi"/>
          <w:b/>
        </w:rPr>
      </w:pPr>
      <w:r w:rsidRPr="00101E86">
        <w:rPr>
          <w:rFonts w:asciiTheme="majorHAnsi" w:hAnsiTheme="majorHAnsi" w:cstheme="majorHAnsi"/>
          <w:b/>
        </w:rPr>
        <w:t>AUTHORS AND AFFILIATIONS</w:t>
      </w:r>
    </w:p>
    <w:p w14:paraId="756AC13D" w14:textId="249E25AD" w:rsidR="00E10982" w:rsidRPr="00101E86" w:rsidRDefault="00E10982" w:rsidP="00101E86">
      <w:pPr>
        <w:rPr>
          <w:rFonts w:asciiTheme="majorHAnsi" w:eastAsia="Arial" w:hAnsiTheme="majorHAnsi" w:cstheme="majorHAnsi"/>
        </w:rPr>
      </w:pPr>
      <w:r w:rsidRPr="00101E86">
        <w:rPr>
          <w:rFonts w:asciiTheme="majorHAnsi" w:eastAsia="Arial" w:hAnsiTheme="majorHAnsi" w:cstheme="majorHAnsi"/>
        </w:rPr>
        <w:t>Miti A. Patel</w:t>
      </w:r>
      <w:r w:rsidRPr="00101E86">
        <w:rPr>
          <w:rFonts w:asciiTheme="majorHAnsi" w:eastAsia="Arial" w:hAnsiTheme="majorHAnsi" w:cstheme="majorHAnsi"/>
          <w:vertAlign w:val="superscript"/>
        </w:rPr>
        <w:t>1</w:t>
      </w:r>
      <w:r w:rsidRPr="00101E86">
        <w:rPr>
          <w:rFonts w:asciiTheme="majorHAnsi" w:eastAsia="Arial" w:hAnsiTheme="majorHAnsi" w:cstheme="majorHAnsi"/>
        </w:rPr>
        <w:t>, Michael Singh</w:t>
      </w:r>
      <w:r w:rsidRPr="00101E86">
        <w:rPr>
          <w:rFonts w:asciiTheme="majorHAnsi" w:eastAsia="Arial" w:hAnsiTheme="majorHAnsi" w:cstheme="majorHAnsi"/>
          <w:vertAlign w:val="superscript"/>
        </w:rPr>
        <w:t>2</w:t>
      </w:r>
      <w:r w:rsidRPr="00101E86">
        <w:rPr>
          <w:rFonts w:asciiTheme="majorHAnsi" w:eastAsia="Arial" w:hAnsiTheme="majorHAnsi" w:cstheme="majorHAnsi"/>
        </w:rPr>
        <w:t>, Hugo Sinha</w:t>
      </w:r>
      <w:r w:rsidRPr="00101E86">
        <w:rPr>
          <w:rFonts w:asciiTheme="majorHAnsi" w:eastAsia="Arial" w:hAnsiTheme="majorHAnsi" w:cstheme="majorHAnsi"/>
          <w:vertAlign w:val="superscript"/>
        </w:rPr>
        <w:t>1</w:t>
      </w:r>
      <w:r w:rsidRPr="00101E86">
        <w:rPr>
          <w:rFonts w:asciiTheme="majorHAnsi" w:eastAsia="Arial" w:hAnsiTheme="majorHAnsi" w:cstheme="majorHAnsi"/>
        </w:rPr>
        <w:t>, Philippe Q.N. Vo</w:t>
      </w:r>
      <w:r w:rsidRPr="00101E86">
        <w:rPr>
          <w:rFonts w:asciiTheme="majorHAnsi" w:eastAsia="Arial" w:hAnsiTheme="majorHAnsi" w:cstheme="majorHAnsi"/>
          <w:vertAlign w:val="superscript"/>
        </w:rPr>
        <w:t>1</w:t>
      </w:r>
      <w:r w:rsidRPr="00101E86">
        <w:rPr>
          <w:rFonts w:asciiTheme="majorHAnsi" w:eastAsia="Arial" w:hAnsiTheme="majorHAnsi" w:cstheme="majorHAnsi"/>
        </w:rPr>
        <w:t>, Andrew B. Chin</w:t>
      </w:r>
      <w:r w:rsidRPr="00101E86">
        <w:rPr>
          <w:rFonts w:asciiTheme="majorHAnsi" w:eastAsia="Arial" w:hAnsiTheme="majorHAnsi" w:cstheme="majorHAnsi"/>
          <w:vertAlign w:val="superscript"/>
        </w:rPr>
        <w:t>1</w:t>
      </w:r>
      <w:r w:rsidRPr="00101E86">
        <w:rPr>
          <w:rFonts w:asciiTheme="majorHAnsi" w:eastAsia="Arial" w:hAnsiTheme="majorHAnsi" w:cstheme="majorHAnsi"/>
        </w:rPr>
        <w:t>, Ayoub Ellouzi</w:t>
      </w:r>
      <w:r w:rsidRPr="00101E86">
        <w:rPr>
          <w:rFonts w:asciiTheme="majorHAnsi" w:eastAsia="Arial" w:hAnsiTheme="majorHAnsi" w:cstheme="majorHAnsi"/>
          <w:vertAlign w:val="superscript"/>
        </w:rPr>
        <w:t>1</w:t>
      </w:r>
      <w:r w:rsidRPr="00101E86">
        <w:rPr>
          <w:rFonts w:asciiTheme="majorHAnsi" w:eastAsia="Arial" w:hAnsiTheme="majorHAnsi" w:cstheme="majorHAnsi"/>
        </w:rPr>
        <w:t>, Mark West</w:t>
      </w:r>
      <w:r w:rsidRPr="00101E86">
        <w:rPr>
          <w:rFonts w:asciiTheme="majorHAnsi" w:eastAsia="Arial" w:hAnsiTheme="majorHAnsi" w:cstheme="majorHAnsi"/>
          <w:vertAlign w:val="superscript"/>
        </w:rPr>
        <w:t>1</w:t>
      </w:r>
      <w:r w:rsidRPr="00101E86">
        <w:rPr>
          <w:rFonts w:asciiTheme="majorHAnsi" w:eastAsia="Arial" w:hAnsiTheme="majorHAnsi" w:cstheme="majorHAnsi"/>
        </w:rPr>
        <w:t>, Alison Hirukawa</w:t>
      </w:r>
      <w:r w:rsidRPr="00101E86">
        <w:rPr>
          <w:rFonts w:asciiTheme="majorHAnsi" w:eastAsia="Arial" w:hAnsiTheme="majorHAnsi" w:cstheme="majorHAnsi"/>
          <w:vertAlign w:val="superscript"/>
        </w:rPr>
        <w:t>1*</w:t>
      </w:r>
    </w:p>
    <w:p w14:paraId="3C819490" w14:textId="77777777" w:rsidR="00E10982" w:rsidRPr="00101E86" w:rsidRDefault="00E10982" w:rsidP="00101E86">
      <w:pPr>
        <w:rPr>
          <w:rFonts w:asciiTheme="majorHAnsi" w:hAnsiTheme="majorHAnsi" w:cstheme="majorHAnsi"/>
          <w:b/>
        </w:rPr>
      </w:pPr>
    </w:p>
    <w:p w14:paraId="1B46CDF4" w14:textId="77777777" w:rsidR="00D27EDE" w:rsidRPr="00101E86" w:rsidRDefault="00D27EDE" w:rsidP="00101E86">
      <w:pPr>
        <w:rPr>
          <w:rFonts w:asciiTheme="majorHAnsi" w:eastAsia="Arial" w:hAnsiTheme="majorHAnsi" w:cstheme="majorHAnsi"/>
        </w:rPr>
      </w:pPr>
      <w:r w:rsidRPr="00101E86">
        <w:rPr>
          <w:rFonts w:asciiTheme="majorHAnsi" w:eastAsia="Arial" w:hAnsiTheme="majorHAnsi" w:cstheme="majorHAnsi"/>
          <w:vertAlign w:val="superscript"/>
        </w:rPr>
        <w:t>1</w:t>
      </w:r>
      <w:r w:rsidRPr="00101E86">
        <w:rPr>
          <w:rFonts w:asciiTheme="majorHAnsi" w:eastAsia="Arial" w:hAnsiTheme="majorHAnsi" w:cstheme="majorHAnsi"/>
        </w:rPr>
        <w:t>DropGenie, Cambridge, Massachusetts, USA</w:t>
      </w:r>
    </w:p>
    <w:p w14:paraId="0657D1E0" w14:textId="77777777" w:rsidR="00D27EDE" w:rsidRPr="00101E86" w:rsidRDefault="00D27EDE" w:rsidP="00101E86">
      <w:pPr>
        <w:rPr>
          <w:rFonts w:asciiTheme="majorHAnsi" w:eastAsia="Arial" w:hAnsiTheme="majorHAnsi" w:cstheme="majorHAnsi"/>
        </w:rPr>
      </w:pPr>
      <w:r w:rsidRPr="00101E86">
        <w:rPr>
          <w:rFonts w:asciiTheme="majorHAnsi" w:eastAsia="Arial" w:hAnsiTheme="majorHAnsi" w:cstheme="majorHAnsi"/>
          <w:vertAlign w:val="superscript"/>
        </w:rPr>
        <w:t>2</w:t>
      </w:r>
      <w:r w:rsidRPr="00101E86">
        <w:rPr>
          <w:rFonts w:asciiTheme="majorHAnsi" w:eastAsia="Arial" w:hAnsiTheme="majorHAnsi" w:cstheme="majorHAnsi"/>
        </w:rPr>
        <w:t>Fida Biosystems, Søborg, Denmark</w:t>
      </w:r>
    </w:p>
    <w:p w14:paraId="3F268473" w14:textId="77777777" w:rsidR="00E10982" w:rsidRPr="00101E86" w:rsidRDefault="00E10982" w:rsidP="00101E86">
      <w:pPr>
        <w:rPr>
          <w:rFonts w:asciiTheme="majorHAnsi" w:hAnsiTheme="majorHAnsi" w:cstheme="majorHAnsi"/>
          <w:b/>
        </w:rPr>
      </w:pPr>
    </w:p>
    <w:p w14:paraId="2A6D05FF" w14:textId="5317D5FA" w:rsidR="00E10982" w:rsidRPr="00101E86" w:rsidRDefault="00D27EDE" w:rsidP="00101E86">
      <w:pPr>
        <w:rPr>
          <w:rFonts w:asciiTheme="majorHAnsi" w:hAnsiTheme="majorHAnsi" w:cstheme="majorHAnsi"/>
          <w:b/>
          <w:bCs/>
        </w:rPr>
      </w:pPr>
      <w:r w:rsidRPr="00101E86">
        <w:rPr>
          <w:rFonts w:asciiTheme="majorHAnsi" w:hAnsiTheme="majorHAnsi" w:cstheme="majorHAnsi"/>
          <w:b/>
          <w:bCs/>
        </w:rPr>
        <w:t>Email addresses of the co-authors:</w:t>
      </w:r>
    </w:p>
    <w:p w14:paraId="4ACCA745" w14:textId="30ED2000" w:rsidR="00762C60" w:rsidRPr="00101E86" w:rsidRDefault="00FE76BF" w:rsidP="00101E86">
      <w:pPr>
        <w:rPr>
          <w:rFonts w:asciiTheme="majorHAnsi" w:eastAsia="Arial" w:hAnsiTheme="majorHAnsi" w:cstheme="majorHAnsi"/>
        </w:rPr>
      </w:pPr>
      <w:r w:rsidRPr="00101E86">
        <w:rPr>
          <w:rFonts w:asciiTheme="majorHAnsi" w:eastAsia="Arial" w:hAnsiTheme="majorHAnsi" w:cstheme="majorHAnsi"/>
        </w:rPr>
        <w:t>Miti A. Patel</w:t>
      </w:r>
      <w:r w:rsidR="00D27EDE" w:rsidRPr="00101E86">
        <w:rPr>
          <w:rFonts w:asciiTheme="majorHAnsi" w:eastAsia="Arial" w:hAnsiTheme="majorHAnsi" w:cstheme="majorHAnsi"/>
          <w:vertAlign w:val="superscript"/>
        </w:rPr>
        <w:tab/>
      </w:r>
      <w:r w:rsidR="00D27EDE" w:rsidRPr="00101E86">
        <w:rPr>
          <w:rFonts w:asciiTheme="majorHAnsi" w:eastAsia="Arial" w:hAnsiTheme="majorHAnsi" w:cstheme="majorHAnsi"/>
          <w:vertAlign w:val="superscript"/>
        </w:rPr>
        <w:tab/>
      </w:r>
      <w:hyperlink r:id="rId7" w:history="1">
        <w:r w:rsidR="00D27EDE" w:rsidRPr="00101E86">
          <w:rPr>
            <w:rStyle w:val="Hyperlink"/>
            <w:rFonts w:asciiTheme="majorHAnsi" w:hAnsiTheme="majorHAnsi" w:cstheme="majorHAnsi"/>
            <w:color w:val="auto"/>
          </w:rPr>
          <w:t>patel.miti@northeastern.edu</w:t>
        </w:r>
      </w:hyperlink>
    </w:p>
    <w:p w14:paraId="6EDF3830" w14:textId="41879BEA" w:rsidR="00762C60" w:rsidRPr="00101E86" w:rsidRDefault="00FE76BF" w:rsidP="00101E86">
      <w:pPr>
        <w:rPr>
          <w:rFonts w:asciiTheme="majorHAnsi" w:eastAsia="Arial" w:hAnsiTheme="majorHAnsi" w:cstheme="majorHAnsi"/>
        </w:rPr>
      </w:pPr>
      <w:r w:rsidRPr="00101E86">
        <w:rPr>
          <w:rFonts w:asciiTheme="majorHAnsi" w:eastAsia="Arial" w:hAnsiTheme="majorHAnsi" w:cstheme="majorHAnsi"/>
        </w:rPr>
        <w:t>Michael Singh</w:t>
      </w:r>
      <w:r w:rsidR="00D27EDE" w:rsidRPr="00101E86">
        <w:rPr>
          <w:rFonts w:asciiTheme="majorHAnsi" w:eastAsia="Arial" w:hAnsiTheme="majorHAnsi" w:cstheme="majorHAnsi"/>
          <w:vertAlign w:val="superscript"/>
        </w:rPr>
        <w:tab/>
      </w:r>
      <w:r w:rsidR="00D27EDE" w:rsidRPr="00101E86">
        <w:rPr>
          <w:rFonts w:asciiTheme="majorHAnsi" w:eastAsia="Arial" w:hAnsiTheme="majorHAnsi" w:cstheme="majorHAnsi"/>
          <w:vertAlign w:val="superscript"/>
        </w:rPr>
        <w:tab/>
      </w:r>
      <w:hyperlink r:id="rId8" w:history="1">
        <w:r w:rsidR="00D27EDE" w:rsidRPr="00101E86">
          <w:rPr>
            <w:rStyle w:val="Hyperlink"/>
            <w:rFonts w:asciiTheme="majorHAnsi" w:eastAsia="Arial" w:hAnsiTheme="majorHAnsi" w:cstheme="majorHAnsi"/>
            <w:color w:val="auto"/>
          </w:rPr>
          <w:t>michael@fidabio.com</w:t>
        </w:r>
      </w:hyperlink>
    </w:p>
    <w:p w14:paraId="30138DDB" w14:textId="0A7E28BD" w:rsidR="00762C60" w:rsidRPr="00101E86" w:rsidRDefault="00FE76BF" w:rsidP="00101E86">
      <w:pPr>
        <w:rPr>
          <w:rFonts w:asciiTheme="majorHAnsi" w:eastAsia="Arial" w:hAnsiTheme="majorHAnsi" w:cstheme="majorHAnsi"/>
        </w:rPr>
      </w:pPr>
      <w:r w:rsidRPr="00101E86">
        <w:rPr>
          <w:rFonts w:asciiTheme="majorHAnsi" w:eastAsia="Arial" w:hAnsiTheme="majorHAnsi" w:cstheme="majorHAnsi"/>
        </w:rPr>
        <w:t>Hugo Sinha</w:t>
      </w:r>
      <w:r w:rsidR="00D27EDE" w:rsidRPr="00101E86">
        <w:rPr>
          <w:rFonts w:asciiTheme="majorHAnsi" w:eastAsia="Arial" w:hAnsiTheme="majorHAnsi" w:cstheme="majorHAnsi"/>
          <w:vertAlign w:val="superscript"/>
        </w:rPr>
        <w:tab/>
      </w:r>
      <w:r w:rsidR="00D27EDE" w:rsidRPr="00101E86">
        <w:rPr>
          <w:rFonts w:asciiTheme="majorHAnsi" w:eastAsia="Arial" w:hAnsiTheme="majorHAnsi" w:cstheme="majorHAnsi"/>
          <w:vertAlign w:val="superscript"/>
        </w:rPr>
        <w:tab/>
      </w:r>
      <w:hyperlink r:id="rId9" w:history="1">
        <w:r w:rsidR="00D27EDE" w:rsidRPr="00101E86">
          <w:rPr>
            <w:rStyle w:val="Hyperlink"/>
            <w:rFonts w:asciiTheme="majorHAnsi" w:eastAsia="Arial" w:hAnsiTheme="majorHAnsi" w:cstheme="majorHAnsi"/>
            <w:color w:val="auto"/>
          </w:rPr>
          <w:t>hugo@drop-genie.com</w:t>
        </w:r>
      </w:hyperlink>
    </w:p>
    <w:p w14:paraId="3F55250B" w14:textId="7F2601CB" w:rsidR="00762C60" w:rsidRPr="00101E86" w:rsidRDefault="00FE76BF" w:rsidP="00101E86">
      <w:pPr>
        <w:rPr>
          <w:rFonts w:asciiTheme="majorHAnsi" w:eastAsia="Arial" w:hAnsiTheme="majorHAnsi" w:cstheme="majorHAnsi"/>
        </w:rPr>
      </w:pPr>
      <w:r w:rsidRPr="00101E86">
        <w:rPr>
          <w:rFonts w:asciiTheme="majorHAnsi" w:eastAsia="Arial" w:hAnsiTheme="majorHAnsi" w:cstheme="majorHAnsi"/>
        </w:rPr>
        <w:t>Philippe Q.</w:t>
      </w:r>
      <w:r w:rsidR="00D27EDE" w:rsidRPr="00101E86">
        <w:rPr>
          <w:rFonts w:asciiTheme="majorHAnsi" w:eastAsia="Arial" w:hAnsiTheme="majorHAnsi" w:cstheme="majorHAnsi"/>
        </w:rPr>
        <w:t xml:space="preserve"> </w:t>
      </w:r>
      <w:r w:rsidRPr="00101E86">
        <w:rPr>
          <w:rFonts w:asciiTheme="majorHAnsi" w:eastAsia="Arial" w:hAnsiTheme="majorHAnsi" w:cstheme="majorHAnsi"/>
        </w:rPr>
        <w:t>N. Vo</w:t>
      </w:r>
      <w:r w:rsidR="00D27EDE" w:rsidRPr="00101E86">
        <w:rPr>
          <w:rFonts w:asciiTheme="majorHAnsi" w:eastAsia="Arial" w:hAnsiTheme="majorHAnsi" w:cstheme="majorHAnsi"/>
          <w:vertAlign w:val="superscript"/>
        </w:rPr>
        <w:tab/>
      </w:r>
      <w:hyperlink r:id="rId10" w:history="1">
        <w:r w:rsidR="00D27EDE" w:rsidRPr="00101E86">
          <w:rPr>
            <w:rStyle w:val="Hyperlink"/>
            <w:rFonts w:asciiTheme="majorHAnsi" w:eastAsia="Arial" w:hAnsiTheme="majorHAnsi" w:cstheme="majorHAnsi"/>
            <w:color w:val="auto"/>
          </w:rPr>
          <w:t>philippe.vo@drop-genie.com</w:t>
        </w:r>
      </w:hyperlink>
    </w:p>
    <w:p w14:paraId="36E3E3CE" w14:textId="51D637C4" w:rsidR="00671792" w:rsidRPr="00101E86" w:rsidRDefault="00FE76BF" w:rsidP="00101E86">
      <w:pPr>
        <w:rPr>
          <w:rFonts w:asciiTheme="majorHAnsi" w:eastAsia="Arial" w:hAnsiTheme="majorHAnsi" w:cstheme="majorHAnsi"/>
        </w:rPr>
      </w:pPr>
      <w:r w:rsidRPr="00101E86">
        <w:rPr>
          <w:rFonts w:asciiTheme="majorHAnsi" w:eastAsia="Arial" w:hAnsiTheme="majorHAnsi" w:cstheme="majorHAnsi"/>
        </w:rPr>
        <w:t>Andrew B. Chin</w:t>
      </w:r>
      <w:r w:rsidR="00D27EDE" w:rsidRPr="00101E86">
        <w:rPr>
          <w:rFonts w:asciiTheme="majorHAnsi" w:eastAsia="Arial" w:hAnsiTheme="majorHAnsi" w:cstheme="majorHAnsi"/>
          <w:vertAlign w:val="superscript"/>
        </w:rPr>
        <w:tab/>
      </w:r>
      <w:hyperlink r:id="rId11" w:history="1">
        <w:r w:rsidR="00D27EDE" w:rsidRPr="00101E86">
          <w:rPr>
            <w:rStyle w:val="Hyperlink"/>
            <w:rFonts w:asciiTheme="majorHAnsi" w:eastAsia="Arial" w:hAnsiTheme="majorHAnsi" w:cstheme="majorHAnsi"/>
            <w:color w:val="auto"/>
          </w:rPr>
          <w:t>andrew.chin@drop-genie.com</w:t>
        </w:r>
      </w:hyperlink>
    </w:p>
    <w:p w14:paraId="3857947E" w14:textId="0DE3B978" w:rsidR="00762C60" w:rsidRPr="00101E86" w:rsidRDefault="00FE76BF" w:rsidP="00101E86">
      <w:pPr>
        <w:rPr>
          <w:rFonts w:asciiTheme="majorHAnsi" w:eastAsia="Arial" w:hAnsiTheme="majorHAnsi" w:cstheme="majorHAnsi"/>
        </w:rPr>
      </w:pPr>
      <w:r w:rsidRPr="00101E86">
        <w:rPr>
          <w:rFonts w:asciiTheme="majorHAnsi" w:eastAsia="Arial" w:hAnsiTheme="majorHAnsi" w:cstheme="majorHAnsi"/>
        </w:rPr>
        <w:t>Ayoub Ellouzi</w:t>
      </w:r>
      <w:r w:rsidR="00D27EDE" w:rsidRPr="00101E86">
        <w:rPr>
          <w:rFonts w:asciiTheme="majorHAnsi" w:eastAsia="Arial" w:hAnsiTheme="majorHAnsi" w:cstheme="majorHAnsi"/>
          <w:vertAlign w:val="superscript"/>
        </w:rPr>
        <w:tab/>
      </w:r>
      <w:r w:rsidR="00D27EDE" w:rsidRPr="00101E86">
        <w:rPr>
          <w:rFonts w:asciiTheme="majorHAnsi" w:eastAsia="Arial" w:hAnsiTheme="majorHAnsi" w:cstheme="majorHAnsi"/>
          <w:vertAlign w:val="superscript"/>
        </w:rPr>
        <w:tab/>
      </w:r>
      <w:hyperlink r:id="rId12" w:history="1">
        <w:r w:rsidR="00D27EDE" w:rsidRPr="00101E86">
          <w:rPr>
            <w:rStyle w:val="Hyperlink"/>
            <w:rFonts w:asciiTheme="majorHAnsi" w:eastAsia="Arial" w:hAnsiTheme="majorHAnsi" w:cstheme="majorHAnsi"/>
            <w:color w:val="auto"/>
          </w:rPr>
          <w:t>alison@drop-genie.com</w:t>
        </w:r>
      </w:hyperlink>
    </w:p>
    <w:p w14:paraId="54CBF698" w14:textId="0A1CD461" w:rsidR="11EA6B0B" w:rsidRPr="00101E86" w:rsidRDefault="000F63AF" w:rsidP="00101E86">
      <w:pPr>
        <w:rPr>
          <w:rFonts w:asciiTheme="majorHAnsi" w:eastAsia="Arial" w:hAnsiTheme="majorHAnsi" w:cstheme="majorHAnsi"/>
        </w:rPr>
      </w:pPr>
      <w:r w:rsidRPr="00101E86">
        <w:rPr>
          <w:rFonts w:asciiTheme="majorHAnsi" w:eastAsia="Arial" w:hAnsiTheme="majorHAnsi" w:cstheme="majorHAnsi"/>
        </w:rPr>
        <w:t>Mark West</w:t>
      </w:r>
      <w:r w:rsidR="00D27EDE" w:rsidRPr="00101E86">
        <w:rPr>
          <w:rFonts w:asciiTheme="majorHAnsi" w:eastAsia="Arial" w:hAnsiTheme="majorHAnsi" w:cstheme="majorHAnsi"/>
          <w:vertAlign w:val="superscript"/>
        </w:rPr>
        <w:tab/>
      </w:r>
      <w:r w:rsidR="00D27EDE" w:rsidRPr="00101E86">
        <w:rPr>
          <w:rFonts w:asciiTheme="majorHAnsi" w:eastAsia="Arial" w:hAnsiTheme="majorHAnsi" w:cstheme="majorHAnsi"/>
          <w:vertAlign w:val="superscript"/>
        </w:rPr>
        <w:tab/>
      </w:r>
      <w:hyperlink r:id="rId13" w:history="1">
        <w:r w:rsidR="00D27EDE" w:rsidRPr="00101E86">
          <w:rPr>
            <w:rStyle w:val="Hyperlink"/>
            <w:rFonts w:asciiTheme="majorHAnsi" w:eastAsia="Arial" w:hAnsiTheme="majorHAnsi" w:cstheme="majorHAnsi"/>
            <w:color w:val="auto"/>
          </w:rPr>
          <w:t>mark.west@drop-genie.com</w:t>
        </w:r>
      </w:hyperlink>
    </w:p>
    <w:p w14:paraId="65EFAAAA" w14:textId="77777777" w:rsidR="00D27EDE" w:rsidRPr="00101E86" w:rsidRDefault="00D27EDE" w:rsidP="00101E86">
      <w:pPr>
        <w:rPr>
          <w:rFonts w:asciiTheme="majorHAnsi" w:eastAsia="Arial" w:hAnsiTheme="majorHAnsi" w:cstheme="majorHAnsi"/>
        </w:rPr>
      </w:pPr>
    </w:p>
    <w:p w14:paraId="26886958" w14:textId="0A5AAC04" w:rsidR="00D27EDE" w:rsidRPr="00101E86" w:rsidRDefault="00D27EDE" w:rsidP="00101E86">
      <w:pPr>
        <w:rPr>
          <w:rFonts w:asciiTheme="majorHAnsi" w:eastAsia="Arial" w:hAnsiTheme="majorHAnsi" w:cstheme="majorHAnsi"/>
          <w:b/>
          <w:bCs/>
        </w:rPr>
      </w:pPr>
      <w:r w:rsidRPr="00101E86">
        <w:rPr>
          <w:rFonts w:asciiTheme="majorHAnsi" w:eastAsia="Arial" w:hAnsiTheme="majorHAnsi" w:cstheme="majorHAnsi"/>
          <w:b/>
          <w:bCs/>
        </w:rPr>
        <w:t>*Corresponding author</w:t>
      </w:r>
    </w:p>
    <w:p w14:paraId="140392F1" w14:textId="33157613" w:rsidR="00F4167A" w:rsidRPr="00101E86" w:rsidRDefault="00FE76BF" w:rsidP="00101E86">
      <w:pPr>
        <w:rPr>
          <w:rFonts w:asciiTheme="majorHAnsi" w:eastAsia="Arial" w:hAnsiTheme="majorHAnsi" w:cstheme="majorHAnsi"/>
          <w:vertAlign w:val="superscript"/>
        </w:rPr>
      </w:pPr>
      <w:r w:rsidRPr="00101E86">
        <w:rPr>
          <w:rFonts w:asciiTheme="majorHAnsi" w:eastAsia="Arial" w:hAnsiTheme="majorHAnsi" w:cstheme="majorHAnsi"/>
        </w:rPr>
        <w:t>Alison Hirukawa</w:t>
      </w:r>
      <w:r w:rsidR="00D27EDE" w:rsidRPr="00101E86">
        <w:rPr>
          <w:rFonts w:asciiTheme="majorHAnsi" w:eastAsia="Arial" w:hAnsiTheme="majorHAnsi" w:cstheme="majorHAnsi"/>
          <w:vertAlign w:val="superscript"/>
        </w:rPr>
        <w:tab/>
      </w:r>
      <w:hyperlink r:id="rId14" w:history="1">
        <w:r w:rsidR="00D27EDE" w:rsidRPr="00101E86">
          <w:rPr>
            <w:rStyle w:val="Hyperlink"/>
            <w:rFonts w:asciiTheme="majorHAnsi" w:eastAsia="Arial" w:hAnsiTheme="majorHAnsi" w:cstheme="majorHAnsi"/>
            <w:color w:val="auto"/>
          </w:rPr>
          <w:t>alison@drop-genie.com</w:t>
        </w:r>
      </w:hyperlink>
    </w:p>
    <w:p w14:paraId="141ABDE5" w14:textId="77777777" w:rsidR="006E4797" w:rsidRPr="00101E86" w:rsidRDefault="006E4797" w:rsidP="00101E86">
      <w:pPr>
        <w:pBdr>
          <w:top w:val="nil"/>
          <w:left w:val="nil"/>
          <w:bottom w:val="nil"/>
          <w:right w:val="nil"/>
          <w:between w:val="nil"/>
        </w:pBdr>
        <w:rPr>
          <w:rFonts w:asciiTheme="majorHAnsi" w:hAnsiTheme="majorHAnsi" w:cstheme="majorHAnsi"/>
        </w:rPr>
      </w:pPr>
    </w:p>
    <w:p w14:paraId="534B76C5" w14:textId="77777777" w:rsidR="00B747E1" w:rsidRPr="00101E86" w:rsidRDefault="00551D82" w:rsidP="00101E86">
      <w:pPr>
        <w:rPr>
          <w:rFonts w:asciiTheme="majorHAnsi" w:hAnsiTheme="majorHAnsi" w:cstheme="majorHAnsi"/>
        </w:rPr>
      </w:pPr>
      <w:r w:rsidRPr="00101E86">
        <w:rPr>
          <w:rFonts w:asciiTheme="majorHAnsi" w:hAnsiTheme="majorHAnsi" w:cstheme="majorHAnsi"/>
          <w:b/>
        </w:rPr>
        <w:t>SUMMARY:</w:t>
      </w:r>
      <w:r w:rsidR="00EA1980" w:rsidRPr="00101E86">
        <w:rPr>
          <w:rFonts w:asciiTheme="majorHAnsi" w:hAnsiTheme="majorHAnsi" w:cstheme="majorHAnsi"/>
        </w:rPr>
        <w:t xml:space="preserve"> </w:t>
      </w:r>
    </w:p>
    <w:p w14:paraId="38E03077" w14:textId="41862BCF" w:rsidR="00361717" w:rsidRPr="00101E86" w:rsidRDefault="00540E66" w:rsidP="00101E86">
      <w:pPr>
        <w:rPr>
          <w:rFonts w:asciiTheme="majorHAnsi" w:hAnsiTheme="majorHAnsi" w:cstheme="majorHAnsi"/>
        </w:rPr>
      </w:pPr>
      <w:r w:rsidRPr="00101E86">
        <w:rPr>
          <w:rFonts w:asciiTheme="majorHAnsi" w:hAnsiTheme="majorHAnsi" w:cstheme="majorHAnsi"/>
        </w:rPr>
        <w:t>This protocol describes miniaturized CRISPR–Cas9 genome editing of</w:t>
      </w:r>
      <w:r w:rsidR="00E11231" w:rsidRPr="00101E86">
        <w:rPr>
          <w:rFonts w:asciiTheme="majorHAnsi" w:hAnsiTheme="majorHAnsi" w:cstheme="majorHAnsi"/>
        </w:rPr>
        <w:t xml:space="preserve"> </w:t>
      </w:r>
      <w:r w:rsidR="00BA576E" w:rsidRPr="00101E86">
        <w:rPr>
          <w:rFonts w:asciiTheme="majorHAnsi" w:hAnsiTheme="majorHAnsi" w:cstheme="majorHAnsi"/>
        </w:rPr>
        <w:t>TCRα/β receptor</w:t>
      </w:r>
      <w:r w:rsidRPr="00101E86">
        <w:rPr>
          <w:rFonts w:asciiTheme="majorHAnsi" w:hAnsiTheme="majorHAnsi" w:cstheme="majorHAnsi"/>
        </w:rPr>
        <w:t xml:space="preserve"> in primary human T cells using </w:t>
      </w:r>
      <w:r w:rsidR="004A145F" w:rsidRPr="00101E86">
        <w:rPr>
          <w:rFonts w:asciiTheme="majorHAnsi" w:hAnsiTheme="majorHAnsi" w:cstheme="majorHAnsi"/>
        </w:rPr>
        <w:t xml:space="preserve">‘DMF-ection’, </w:t>
      </w:r>
      <w:r w:rsidRPr="00101E86">
        <w:rPr>
          <w:rFonts w:asciiTheme="majorHAnsi" w:hAnsiTheme="majorHAnsi" w:cstheme="majorHAnsi"/>
        </w:rPr>
        <w:t>a digital microfluidic</w:t>
      </w:r>
      <w:r w:rsidR="004A145F" w:rsidRPr="00101E86">
        <w:rPr>
          <w:rFonts w:asciiTheme="majorHAnsi" w:hAnsiTheme="majorHAnsi" w:cstheme="majorHAnsi"/>
        </w:rPr>
        <w:t xml:space="preserve"> (DMF)</w:t>
      </w:r>
      <w:r w:rsidRPr="00101E86">
        <w:rPr>
          <w:rFonts w:asciiTheme="majorHAnsi" w:hAnsiTheme="majorHAnsi" w:cstheme="majorHAnsi"/>
        </w:rPr>
        <w:t xml:space="preserve"> electroporation platform. The method enables parallel, low-input gene editing with high viability and is further adaptable for mRNA delivery into multicellular 3D spheroids.</w:t>
      </w:r>
    </w:p>
    <w:p w14:paraId="6BED80A4" w14:textId="77777777" w:rsidR="00540E66" w:rsidRPr="00101E86" w:rsidRDefault="00540E66" w:rsidP="00101E86">
      <w:pPr>
        <w:rPr>
          <w:rFonts w:asciiTheme="majorHAnsi" w:hAnsiTheme="majorHAnsi" w:cstheme="majorHAnsi"/>
        </w:rPr>
      </w:pPr>
    </w:p>
    <w:p w14:paraId="09A594B9" w14:textId="77777777" w:rsidR="00B747E1" w:rsidRPr="00101E86" w:rsidRDefault="00551D82" w:rsidP="00101E86">
      <w:pPr>
        <w:rPr>
          <w:rFonts w:asciiTheme="majorHAnsi" w:hAnsiTheme="majorHAnsi" w:cstheme="majorHAnsi"/>
        </w:rPr>
      </w:pPr>
      <w:r w:rsidRPr="00101E86">
        <w:rPr>
          <w:rFonts w:asciiTheme="majorHAnsi" w:hAnsiTheme="majorHAnsi" w:cstheme="majorHAnsi"/>
          <w:b/>
        </w:rPr>
        <w:t>ABSTRACT:</w:t>
      </w:r>
      <w:r w:rsidR="00EA1980" w:rsidRPr="00101E86">
        <w:rPr>
          <w:rFonts w:asciiTheme="majorHAnsi" w:hAnsiTheme="majorHAnsi" w:cstheme="majorHAnsi"/>
        </w:rPr>
        <w:t xml:space="preserve"> </w:t>
      </w:r>
    </w:p>
    <w:p w14:paraId="2CF9CD54" w14:textId="2797E7D5" w:rsidR="006E4797" w:rsidRPr="00101E86" w:rsidRDefault="00361717" w:rsidP="00101E86">
      <w:pPr>
        <w:rPr>
          <w:rFonts w:asciiTheme="majorHAnsi" w:hAnsiTheme="majorHAnsi" w:cstheme="majorHAnsi"/>
        </w:rPr>
      </w:pPr>
      <w:r w:rsidRPr="00101E86">
        <w:rPr>
          <w:rFonts w:asciiTheme="majorHAnsi" w:hAnsiTheme="majorHAnsi" w:cstheme="majorHAnsi"/>
        </w:rPr>
        <w:t xml:space="preserve">Digital microfluidic (DMF) electroporation enables precise, low-volume genetic manipulation of mammalian cells while minimizing cellular input </w:t>
      </w:r>
      <w:r w:rsidR="00053BCE" w:rsidRPr="00101E86">
        <w:rPr>
          <w:rFonts w:asciiTheme="majorHAnsi" w:hAnsiTheme="majorHAnsi" w:cstheme="majorHAnsi"/>
        </w:rPr>
        <w:t xml:space="preserve">by up to 100x </w:t>
      </w:r>
      <w:r w:rsidRPr="00101E86">
        <w:rPr>
          <w:rFonts w:asciiTheme="majorHAnsi" w:hAnsiTheme="majorHAnsi" w:cstheme="majorHAnsi"/>
        </w:rPr>
        <w:t xml:space="preserve">and preserving viability. </w:t>
      </w:r>
      <w:r w:rsidR="001B4770" w:rsidRPr="00101E86">
        <w:rPr>
          <w:rFonts w:asciiTheme="majorHAnsi" w:hAnsiTheme="majorHAnsi" w:cstheme="majorHAnsi"/>
        </w:rPr>
        <w:t>T</w:t>
      </w:r>
      <w:r w:rsidRPr="00101E86">
        <w:rPr>
          <w:rFonts w:asciiTheme="majorHAnsi" w:hAnsiTheme="majorHAnsi" w:cstheme="majorHAnsi"/>
        </w:rPr>
        <w:t>his</w:t>
      </w:r>
      <w:r w:rsidR="001B4770" w:rsidRPr="00101E86">
        <w:rPr>
          <w:rFonts w:asciiTheme="majorHAnsi" w:hAnsiTheme="majorHAnsi" w:cstheme="majorHAnsi"/>
        </w:rPr>
        <w:t xml:space="preserve"> study presents </w:t>
      </w:r>
      <w:r w:rsidRPr="00101E86">
        <w:rPr>
          <w:rFonts w:asciiTheme="majorHAnsi" w:hAnsiTheme="majorHAnsi" w:cstheme="majorHAnsi"/>
        </w:rPr>
        <w:t xml:space="preserve">a high-throughput DMF-based </w:t>
      </w:r>
      <w:r w:rsidR="003530E8" w:rsidRPr="00101E86">
        <w:rPr>
          <w:rFonts w:asciiTheme="majorHAnsi" w:hAnsiTheme="majorHAnsi" w:cstheme="majorHAnsi"/>
        </w:rPr>
        <w:t xml:space="preserve">transfection </w:t>
      </w:r>
      <w:r w:rsidRPr="00101E86">
        <w:rPr>
          <w:rFonts w:asciiTheme="majorHAnsi" w:hAnsiTheme="majorHAnsi" w:cstheme="majorHAnsi"/>
        </w:rPr>
        <w:t xml:space="preserve">workflow for CRISPR-mediated knockout of the TRAC locus in primary human suspension T cells and for mRNA transfection of three-dimensional HEK293T spheroids. Using spatially </w:t>
      </w:r>
      <w:r w:rsidR="00F17D32" w:rsidRPr="00101E86">
        <w:rPr>
          <w:rFonts w:asciiTheme="majorHAnsi" w:hAnsiTheme="majorHAnsi" w:cstheme="majorHAnsi"/>
        </w:rPr>
        <w:t>deposited</w:t>
      </w:r>
      <w:r w:rsidRPr="00101E86">
        <w:rPr>
          <w:rFonts w:asciiTheme="majorHAnsi" w:hAnsiTheme="majorHAnsi" w:cstheme="majorHAnsi"/>
        </w:rPr>
        <w:t xml:space="preserve"> CRISPR guide RNAs and on-</w:t>
      </w:r>
      <w:r w:rsidR="00C455EA" w:rsidRPr="00101E86">
        <w:rPr>
          <w:rFonts w:asciiTheme="majorHAnsi" w:hAnsiTheme="majorHAnsi" w:cstheme="majorHAnsi"/>
          <w:bCs/>
        </w:rPr>
        <w:t xml:space="preserve"> cartridge</w:t>
      </w:r>
      <w:r w:rsidR="00C455EA" w:rsidRPr="00101E86">
        <w:rPr>
          <w:rFonts w:asciiTheme="majorHAnsi" w:hAnsiTheme="majorHAnsi" w:cstheme="majorHAnsi"/>
        </w:rPr>
        <w:t xml:space="preserve"> </w:t>
      </w:r>
      <w:r w:rsidRPr="00101E86">
        <w:rPr>
          <w:rFonts w:asciiTheme="majorHAnsi" w:hAnsiTheme="majorHAnsi" w:cstheme="majorHAnsi"/>
        </w:rPr>
        <w:t xml:space="preserve">ribonucleoprotein (RNP) assembly, efficient </w:t>
      </w:r>
      <w:r w:rsidRPr="00101E86">
        <w:rPr>
          <w:rFonts w:asciiTheme="majorHAnsi" w:hAnsiTheme="majorHAnsi" w:cstheme="majorHAnsi"/>
          <w:i/>
          <w:iCs/>
        </w:rPr>
        <w:t>TRAC</w:t>
      </w:r>
      <w:r w:rsidR="00F17D32" w:rsidRPr="00101E86">
        <w:rPr>
          <w:rFonts w:asciiTheme="majorHAnsi" w:hAnsiTheme="majorHAnsi" w:cstheme="majorHAnsi"/>
        </w:rPr>
        <w:t xml:space="preserve"> locus</w:t>
      </w:r>
      <w:r w:rsidRPr="00101E86">
        <w:rPr>
          <w:rFonts w:asciiTheme="majorHAnsi" w:hAnsiTheme="majorHAnsi" w:cstheme="majorHAnsi"/>
        </w:rPr>
        <w:t xml:space="preserve"> disruption was achieved in both CD4⁺ and CD8⁺ T-cell populations using only 10,000 cells per condition, with post-editing viabilities exceeding </w:t>
      </w:r>
      <w:r w:rsidR="00FA40AB" w:rsidRPr="00101E86">
        <w:rPr>
          <w:rFonts w:asciiTheme="majorHAnsi" w:hAnsiTheme="majorHAnsi" w:cstheme="majorHAnsi"/>
        </w:rPr>
        <w:t>85</w:t>
      </w:r>
      <w:r w:rsidRPr="00101E86">
        <w:rPr>
          <w:rFonts w:asciiTheme="majorHAnsi" w:hAnsiTheme="majorHAnsi" w:cstheme="majorHAnsi"/>
        </w:rPr>
        <w:t xml:space="preserve">%. Biophysical characterization using flow-induced and Taylor dispersion analyses revealed that polymer additives stabilize Cas9–sgRNA complexes under electroporation buffer conditions, supporting reproducible editing at </w:t>
      </w:r>
      <w:r w:rsidR="00313BB4" w:rsidRPr="00101E86">
        <w:rPr>
          <w:rFonts w:asciiTheme="majorHAnsi" w:hAnsiTheme="majorHAnsi" w:cstheme="majorHAnsi"/>
        </w:rPr>
        <w:t>sub microliter</w:t>
      </w:r>
      <w:r w:rsidRPr="00101E86">
        <w:rPr>
          <w:rFonts w:asciiTheme="majorHAnsi" w:hAnsiTheme="majorHAnsi" w:cstheme="majorHAnsi"/>
        </w:rPr>
        <w:t xml:space="preserve"> volumes. The workflow was further adapted for 3D applications by delivering EGFP mRNA into intact HEK293T spheroids, resulting in robust and spatially uniform fluorescence without impairing spheroid growth or morphology. Together, these results demonstrate that DMF electroporation enables efficient genome editing and mRNA delivery across both suspension immune cells and multicellular spheroids. This </w:t>
      </w:r>
      <w:r w:rsidRPr="00101E86">
        <w:rPr>
          <w:rFonts w:asciiTheme="majorHAnsi" w:hAnsiTheme="majorHAnsi" w:cstheme="majorHAnsi"/>
        </w:rPr>
        <w:lastRenderedPageBreak/>
        <w:t>platform provides a scalable and low-input solution for applications in</w:t>
      </w:r>
      <w:r w:rsidRPr="00101E86">
        <w:rPr>
          <w:rStyle w:val="apple-converted-space"/>
          <w:rFonts w:asciiTheme="majorHAnsi" w:hAnsiTheme="majorHAnsi" w:cstheme="majorHAnsi"/>
        </w:rPr>
        <w:t> </w:t>
      </w:r>
      <w:r w:rsidRPr="00101E86">
        <w:rPr>
          <w:rStyle w:val="whitespace-normal"/>
          <w:rFonts w:asciiTheme="majorHAnsi" w:hAnsiTheme="majorHAnsi" w:cstheme="majorHAnsi"/>
        </w:rPr>
        <w:t>CAR-T cell therapy</w:t>
      </w:r>
      <w:r w:rsidRPr="00101E86">
        <w:rPr>
          <w:rFonts w:asciiTheme="majorHAnsi" w:hAnsiTheme="majorHAnsi" w:cstheme="majorHAnsi"/>
        </w:rPr>
        <w:t>, functional genomics, and advanced 3D cellular models.</w:t>
      </w:r>
    </w:p>
    <w:p w14:paraId="7AC32B3A" w14:textId="77777777" w:rsidR="00362FE5" w:rsidRPr="00101E86" w:rsidRDefault="00362FE5" w:rsidP="00101E86">
      <w:pPr>
        <w:rPr>
          <w:rFonts w:asciiTheme="majorHAnsi" w:hAnsiTheme="majorHAnsi" w:cstheme="majorHAnsi"/>
        </w:rPr>
      </w:pPr>
    </w:p>
    <w:p w14:paraId="0646E204" w14:textId="1E6B6BA9" w:rsidR="006E4797" w:rsidRPr="00101E86" w:rsidRDefault="00551D82" w:rsidP="00101E86">
      <w:pPr>
        <w:rPr>
          <w:rFonts w:asciiTheme="majorHAnsi" w:hAnsiTheme="majorHAnsi" w:cstheme="majorHAnsi"/>
        </w:rPr>
      </w:pPr>
      <w:r w:rsidRPr="00101E86">
        <w:rPr>
          <w:rFonts w:asciiTheme="majorHAnsi" w:hAnsiTheme="majorHAnsi" w:cstheme="majorHAnsi"/>
          <w:b/>
        </w:rPr>
        <w:t>INTRODUCTION</w:t>
      </w:r>
    </w:p>
    <w:p w14:paraId="6D2E923B" w14:textId="45727701" w:rsidR="00233AD6" w:rsidRPr="00101E86" w:rsidRDefault="00361717"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Gene editing in primary human cells is increasingly central to both therapeutic development and basic research, including applications in immuno-engineering, rare disease modeling, and functional genomics</w:t>
      </w:r>
      <w:r w:rsidR="006F68BB" w:rsidRPr="00101E86">
        <w:rPr>
          <w:rFonts w:asciiTheme="majorHAnsi" w:hAnsiTheme="majorHAnsi" w:cstheme="majorHAnsi"/>
          <w:vertAlign w:val="superscript"/>
        </w:rPr>
        <w:t>1</w:t>
      </w:r>
      <w:r w:rsidRPr="00101E86">
        <w:rPr>
          <w:rFonts w:asciiTheme="majorHAnsi" w:hAnsiTheme="majorHAnsi" w:cstheme="majorHAnsi"/>
        </w:rPr>
        <w:t>. Although electroporation enables highly efficient genome editing, conventional cuvette-based systems typically require</w:t>
      </w:r>
      <w:r w:rsidRPr="00101E86">
        <w:rPr>
          <w:rStyle w:val="apple-converted-space"/>
          <w:rFonts w:asciiTheme="majorHAnsi" w:hAnsiTheme="majorHAnsi" w:cstheme="majorHAnsi"/>
        </w:rPr>
        <w:t> </w:t>
      </w:r>
      <w:r w:rsidRPr="00101E86">
        <w:rPr>
          <w:rStyle w:val="Strong"/>
          <w:rFonts w:asciiTheme="majorHAnsi" w:hAnsiTheme="majorHAnsi" w:cstheme="majorHAnsi"/>
          <w:b w:val="0"/>
          <w:bCs w:val="0"/>
        </w:rPr>
        <w:t>up to millions of cells per condition</w:t>
      </w:r>
      <w:r w:rsidRPr="00101E86">
        <w:rPr>
          <w:rFonts w:asciiTheme="majorHAnsi" w:hAnsiTheme="majorHAnsi" w:cstheme="majorHAnsi"/>
        </w:rPr>
        <w:t>, restricting their use for patient-derived samples and rare immune populations</w:t>
      </w:r>
      <w:r w:rsidR="006F68BB" w:rsidRPr="00101E86">
        <w:rPr>
          <w:rFonts w:asciiTheme="majorHAnsi" w:hAnsiTheme="majorHAnsi" w:cstheme="majorHAnsi"/>
          <w:vertAlign w:val="superscript"/>
        </w:rPr>
        <w:t>2</w:t>
      </w:r>
      <w:r w:rsidR="006F68BB" w:rsidRPr="00101E86">
        <w:rPr>
          <w:rFonts w:asciiTheme="majorHAnsi" w:hAnsiTheme="majorHAnsi" w:cstheme="majorHAnsi"/>
        </w:rPr>
        <w:t>.</w:t>
      </w:r>
      <w:r w:rsidRPr="00101E86">
        <w:rPr>
          <w:rFonts w:asciiTheme="majorHAnsi" w:hAnsiTheme="majorHAnsi" w:cstheme="majorHAnsi"/>
        </w:rPr>
        <w:t xml:space="preserve"> In addition, these systems are poorly suited for large-scale screening due to limitations in throughput, automation, and reagent consumption</w:t>
      </w:r>
      <w:r w:rsidR="00233AD6" w:rsidRPr="00101E86">
        <w:rPr>
          <w:rFonts w:asciiTheme="majorHAnsi" w:hAnsiTheme="majorHAnsi" w:cstheme="majorHAnsi"/>
          <w:vertAlign w:val="superscript"/>
        </w:rPr>
        <w:t>3</w:t>
      </w:r>
      <w:r w:rsidR="00233AD6" w:rsidRPr="00101E86">
        <w:rPr>
          <w:rFonts w:asciiTheme="majorHAnsi" w:hAnsiTheme="majorHAnsi" w:cstheme="majorHAnsi"/>
        </w:rPr>
        <w:t>.</w:t>
      </w:r>
    </w:p>
    <w:p w14:paraId="270ADAF3" w14:textId="77777777" w:rsidR="006D4B6C" w:rsidRPr="00101E86" w:rsidRDefault="006D4B6C" w:rsidP="00101E86">
      <w:pPr>
        <w:pStyle w:val="NormalWeb"/>
        <w:spacing w:before="0" w:beforeAutospacing="0" w:after="0" w:afterAutospacing="0"/>
        <w:jc w:val="both"/>
        <w:rPr>
          <w:rFonts w:asciiTheme="majorHAnsi" w:hAnsiTheme="majorHAnsi" w:cstheme="majorHAnsi"/>
        </w:rPr>
      </w:pPr>
    </w:p>
    <w:p w14:paraId="44112CD2" w14:textId="31EA8778" w:rsidR="00361717" w:rsidRPr="00101E86" w:rsidRDefault="00361717"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Microfluidic electroporation has emerged as a promising approach for low-input genome editing</w:t>
      </w:r>
      <w:r w:rsidR="006A6618" w:rsidRPr="00101E86">
        <w:rPr>
          <w:rFonts w:asciiTheme="majorHAnsi" w:hAnsiTheme="majorHAnsi" w:cstheme="majorHAnsi"/>
          <w:vertAlign w:val="superscript"/>
        </w:rPr>
        <w:t>4</w:t>
      </w:r>
      <w:r w:rsidR="006A6618" w:rsidRPr="00101E86">
        <w:rPr>
          <w:rFonts w:asciiTheme="majorHAnsi" w:hAnsiTheme="majorHAnsi" w:cstheme="majorHAnsi"/>
        </w:rPr>
        <w:t>.</w:t>
      </w:r>
      <w:r w:rsidRPr="00101E86">
        <w:rPr>
          <w:rFonts w:asciiTheme="majorHAnsi" w:hAnsiTheme="majorHAnsi" w:cstheme="majorHAnsi"/>
        </w:rPr>
        <w:t xml:space="preserve"> However, most existing platforms rely on continuous flow architectures that involve complex fluid handling, limited flexibility in reagent mixing, and relatively high per-condition cell requirements. In contrast,</w:t>
      </w:r>
      <w:r w:rsidRPr="00101E86">
        <w:rPr>
          <w:rStyle w:val="apple-converted-space"/>
          <w:rFonts w:asciiTheme="majorHAnsi" w:hAnsiTheme="majorHAnsi" w:cstheme="majorHAnsi"/>
        </w:rPr>
        <w:t> </w:t>
      </w:r>
      <w:r w:rsidRPr="00101E86">
        <w:rPr>
          <w:rStyle w:val="whitespace-normal"/>
          <w:rFonts w:asciiTheme="majorHAnsi" w:hAnsiTheme="majorHAnsi" w:cstheme="majorHAnsi"/>
        </w:rPr>
        <w:t>digital microfluidics</w:t>
      </w:r>
      <w:r w:rsidRPr="00101E86">
        <w:rPr>
          <w:rStyle w:val="apple-converted-space"/>
          <w:rFonts w:asciiTheme="majorHAnsi" w:hAnsiTheme="majorHAnsi" w:cstheme="majorHAnsi"/>
        </w:rPr>
        <w:t> </w:t>
      </w:r>
      <w:r w:rsidRPr="00101E86">
        <w:rPr>
          <w:rStyle w:val="Strong"/>
          <w:rFonts w:asciiTheme="majorHAnsi" w:hAnsiTheme="majorHAnsi" w:cstheme="majorHAnsi"/>
          <w:b w:val="0"/>
          <w:bCs w:val="0"/>
        </w:rPr>
        <w:t>(DMF)</w:t>
      </w:r>
      <w:r w:rsidRPr="00101E86">
        <w:rPr>
          <w:rStyle w:val="apple-converted-space"/>
          <w:rFonts w:asciiTheme="majorHAnsi" w:hAnsiTheme="majorHAnsi" w:cstheme="majorHAnsi"/>
        </w:rPr>
        <w:t> </w:t>
      </w:r>
      <w:r w:rsidRPr="00101E86">
        <w:rPr>
          <w:rFonts w:asciiTheme="majorHAnsi" w:hAnsiTheme="majorHAnsi" w:cstheme="majorHAnsi"/>
        </w:rPr>
        <w:t xml:space="preserve">enables active manipulation of discrete nanoliter-scale droplets on a planar electrode array, allowing precise control over reaction composition, timing, and spatial localization. This plug-and-play droplet-based format is </w:t>
      </w:r>
      <w:r w:rsidR="006D4B6C" w:rsidRPr="00101E86">
        <w:rPr>
          <w:rFonts w:asciiTheme="majorHAnsi" w:hAnsiTheme="majorHAnsi" w:cstheme="majorHAnsi"/>
        </w:rPr>
        <w:t>well-suited</w:t>
      </w:r>
      <w:r w:rsidRPr="00101E86">
        <w:rPr>
          <w:rFonts w:asciiTheme="majorHAnsi" w:hAnsiTheme="majorHAnsi" w:cstheme="majorHAnsi"/>
        </w:rPr>
        <w:t xml:space="preserve"> for low-volume, high-throughput workflows where conservation of primary cells and reagents is essential</w:t>
      </w:r>
      <w:r w:rsidR="00171532" w:rsidRPr="00101E86">
        <w:rPr>
          <w:rFonts w:asciiTheme="majorHAnsi" w:hAnsiTheme="majorHAnsi" w:cstheme="majorHAnsi"/>
          <w:vertAlign w:val="superscript"/>
        </w:rPr>
        <w:t>5</w:t>
      </w:r>
      <w:r w:rsidR="00171532" w:rsidRPr="00101E86">
        <w:rPr>
          <w:rFonts w:asciiTheme="majorHAnsi" w:hAnsiTheme="majorHAnsi" w:cstheme="majorHAnsi"/>
        </w:rPr>
        <w:t>.</w:t>
      </w:r>
    </w:p>
    <w:p w14:paraId="05F78018" w14:textId="77777777" w:rsidR="006D4B6C" w:rsidRPr="00101E86" w:rsidRDefault="006D4B6C" w:rsidP="00101E86">
      <w:pPr>
        <w:pStyle w:val="NormalWeb"/>
        <w:spacing w:before="0" w:beforeAutospacing="0" w:after="0" w:afterAutospacing="0"/>
        <w:jc w:val="both"/>
        <w:rPr>
          <w:rFonts w:asciiTheme="majorHAnsi" w:hAnsiTheme="majorHAnsi" w:cstheme="majorHAnsi"/>
        </w:rPr>
      </w:pPr>
    </w:p>
    <w:p w14:paraId="3A1A9620" w14:textId="5A189182" w:rsidR="001711EB" w:rsidRPr="00101E86" w:rsidRDefault="00361717"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Recent work has demonstrated the feasibility of DMF-based intracellular delivery using tri-droplet electroporation architectures that generate localized, low-current electric fields for efficient RNP and mRNA delivery while minimizing thermal and electrochemical stress</w:t>
      </w:r>
      <w:r w:rsidR="00171532" w:rsidRPr="00101E86">
        <w:rPr>
          <w:rFonts w:asciiTheme="majorHAnsi" w:hAnsiTheme="majorHAnsi" w:cstheme="majorHAnsi"/>
          <w:vertAlign w:val="superscript"/>
        </w:rPr>
        <w:t>6</w:t>
      </w:r>
      <w:r w:rsidR="00915B28" w:rsidRPr="00101E86">
        <w:rPr>
          <w:rFonts w:asciiTheme="majorHAnsi" w:hAnsiTheme="majorHAnsi" w:cstheme="majorHAnsi"/>
          <w:vertAlign w:val="superscript"/>
        </w:rPr>
        <w:t>-8</w:t>
      </w:r>
      <w:r w:rsidR="00171532" w:rsidRPr="00101E86">
        <w:rPr>
          <w:rFonts w:asciiTheme="majorHAnsi" w:hAnsiTheme="majorHAnsi" w:cstheme="majorHAnsi"/>
        </w:rPr>
        <w:t>.</w:t>
      </w:r>
      <w:r w:rsidRPr="00101E86">
        <w:rPr>
          <w:rFonts w:asciiTheme="majorHAnsi" w:hAnsiTheme="majorHAnsi" w:cstheme="majorHAnsi"/>
        </w:rPr>
        <w:t xml:space="preserve"> Building on this foundation, a next-generation DMF electroporation platform</w:t>
      </w:r>
      <w:r w:rsidR="004A145F" w:rsidRPr="00101E86">
        <w:rPr>
          <w:rFonts w:asciiTheme="majorHAnsi" w:hAnsiTheme="majorHAnsi" w:cstheme="majorHAnsi"/>
        </w:rPr>
        <w:t>, termed ‘DMF-ection’</w:t>
      </w:r>
      <w:r w:rsidRPr="00101E86">
        <w:rPr>
          <w:rFonts w:asciiTheme="majorHAnsi" w:hAnsiTheme="majorHAnsi" w:cstheme="majorHAnsi"/>
        </w:rPr>
        <w:t xml:space="preserve"> featuring</w:t>
      </w:r>
      <w:r w:rsidRPr="00101E86">
        <w:rPr>
          <w:rStyle w:val="apple-converted-space"/>
          <w:rFonts w:asciiTheme="majorHAnsi" w:hAnsiTheme="majorHAnsi" w:cstheme="majorHAnsi"/>
        </w:rPr>
        <w:t> </w:t>
      </w:r>
      <w:r w:rsidRPr="00101E86">
        <w:rPr>
          <w:rStyle w:val="Strong"/>
          <w:rFonts w:asciiTheme="majorHAnsi" w:hAnsiTheme="majorHAnsi" w:cstheme="majorHAnsi"/>
          <w:b w:val="0"/>
          <w:bCs w:val="0"/>
        </w:rPr>
        <w:t>48 independently addressable reaction sites</w:t>
      </w:r>
      <w:r w:rsidRPr="00101E86">
        <w:rPr>
          <w:rFonts w:asciiTheme="majorHAnsi" w:hAnsiTheme="majorHAnsi" w:cstheme="majorHAnsi"/>
        </w:rPr>
        <w:t xml:space="preserve">, full automation compatibility, and scalable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 </w:t>
      </w:r>
      <w:r w:rsidRPr="00101E86">
        <w:rPr>
          <w:rFonts w:asciiTheme="majorHAnsi" w:hAnsiTheme="majorHAnsi" w:cstheme="majorHAnsi"/>
        </w:rPr>
        <w:t>manufacturing</w:t>
      </w:r>
      <w:r w:rsidR="00915B28" w:rsidRPr="00101E86">
        <w:rPr>
          <w:rFonts w:asciiTheme="majorHAnsi" w:hAnsiTheme="majorHAnsi" w:cstheme="majorHAnsi"/>
          <w:vertAlign w:val="superscript"/>
        </w:rPr>
        <w:t>9</w:t>
      </w:r>
      <w:r w:rsidR="34E6A98F" w:rsidRPr="00101E86">
        <w:rPr>
          <w:rFonts w:asciiTheme="majorHAnsi" w:hAnsiTheme="majorHAnsi" w:cstheme="majorHAnsi"/>
        </w:rPr>
        <w:t xml:space="preserve"> </w:t>
      </w:r>
      <w:r w:rsidR="007E0F40" w:rsidRPr="00101E86">
        <w:rPr>
          <w:rFonts w:asciiTheme="majorHAnsi" w:hAnsiTheme="majorHAnsi" w:cstheme="majorHAnsi"/>
        </w:rPr>
        <w:t>(</w:t>
      </w:r>
      <w:r w:rsidR="007E0F40" w:rsidRPr="00101E86">
        <w:rPr>
          <w:rFonts w:asciiTheme="majorHAnsi" w:hAnsiTheme="majorHAnsi" w:cstheme="majorHAnsi"/>
          <w:b/>
          <w:bCs/>
        </w:rPr>
        <w:t>Figure 1</w:t>
      </w:r>
      <w:r w:rsidR="007E0F40" w:rsidRPr="00101E86">
        <w:rPr>
          <w:rFonts w:asciiTheme="majorHAnsi" w:hAnsiTheme="majorHAnsi" w:cstheme="majorHAnsi"/>
        </w:rPr>
        <w:t>)</w:t>
      </w:r>
      <w:r w:rsidR="001B4770" w:rsidRPr="00101E86">
        <w:rPr>
          <w:rFonts w:asciiTheme="majorHAnsi" w:hAnsiTheme="majorHAnsi" w:cstheme="majorHAnsi"/>
        </w:rPr>
        <w:t xml:space="preserve"> was developed</w:t>
      </w:r>
      <w:r w:rsidR="007E0F40" w:rsidRPr="00101E86">
        <w:rPr>
          <w:rFonts w:asciiTheme="majorHAnsi" w:hAnsiTheme="majorHAnsi" w:cstheme="majorHAnsi"/>
        </w:rPr>
        <w:t>.</w:t>
      </w:r>
      <w:r w:rsidRPr="00101E86">
        <w:rPr>
          <w:rFonts w:asciiTheme="majorHAnsi" w:hAnsiTheme="majorHAnsi" w:cstheme="majorHAnsi"/>
        </w:rPr>
        <w:t xml:space="preserve"> </w:t>
      </w:r>
      <w:r w:rsidR="001711EB" w:rsidRPr="00101E86">
        <w:rPr>
          <w:rFonts w:asciiTheme="majorHAnsi" w:hAnsiTheme="majorHAnsi" w:cstheme="majorHAnsi"/>
        </w:rPr>
        <w:t>The DMF cartridge consists of a bottom PCB plate and a plastic top plate separated by a gasket, assembled via alignment snaps in a single correct orientation (</w:t>
      </w:r>
      <w:r w:rsidR="001711EB" w:rsidRPr="00101E86">
        <w:rPr>
          <w:rFonts w:asciiTheme="majorHAnsi" w:hAnsiTheme="majorHAnsi" w:cstheme="majorHAnsi"/>
          <w:b/>
          <w:bCs/>
        </w:rPr>
        <w:t>Figure 1A</w:t>
      </w:r>
      <w:r w:rsidR="001711EB" w:rsidRPr="00101E86">
        <w:rPr>
          <w:rFonts w:asciiTheme="majorHAnsi" w:hAnsiTheme="majorHAnsi" w:cstheme="majorHAnsi"/>
        </w:rPr>
        <w:t>). The 48-plex layout is organized into eight identical families (</w:t>
      </w:r>
      <w:r w:rsidR="00966BC8" w:rsidRPr="00101E86">
        <w:rPr>
          <w:rFonts w:asciiTheme="majorHAnsi" w:hAnsiTheme="majorHAnsi" w:cstheme="majorHAnsi"/>
          <w:b/>
          <w:bCs/>
        </w:rPr>
        <w:t>Figure</w:t>
      </w:r>
      <w:r w:rsidR="00966BC8" w:rsidRPr="00101E86">
        <w:rPr>
          <w:rFonts w:asciiTheme="majorHAnsi" w:hAnsiTheme="majorHAnsi" w:cstheme="majorHAnsi"/>
        </w:rPr>
        <w:t xml:space="preserve"> </w:t>
      </w:r>
      <w:r w:rsidR="00966BC8" w:rsidRPr="00101E86">
        <w:rPr>
          <w:rFonts w:asciiTheme="majorHAnsi" w:hAnsiTheme="majorHAnsi" w:cstheme="majorHAnsi"/>
          <w:b/>
          <w:bCs/>
        </w:rPr>
        <w:t>1</w:t>
      </w:r>
      <w:r w:rsidR="001711EB" w:rsidRPr="00101E86">
        <w:rPr>
          <w:rFonts w:asciiTheme="majorHAnsi" w:hAnsiTheme="majorHAnsi" w:cstheme="majorHAnsi"/>
          <w:b/>
          <w:bCs/>
        </w:rPr>
        <w:t>A–H</w:t>
      </w:r>
      <w:r w:rsidR="001711EB" w:rsidRPr="00101E86">
        <w:rPr>
          <w:rFonts w:asciiTheme="majorHAnsi" w:hAnsiTheme="majorHAnsi" w:cstheme="majorHAnsi"/>
        </w:rPr>
        <w:t>), each containing six independently addressable electroporation sites, supporting up to 48 parallel editing conditions per cartridge (</w:t>
      </w:r>
      <w:r w:rsidR="001711EB" w:rsidRPr="00101E86">
        <w:rPr>
          <w:rFonts w:asciiTheme="majorHAnsi" w:hAnsiTheme="majorHAnsi" w:cstheme="majorHAnsi"/>
          <w:b/>
          <w:bCs/>
        </w:rPr>
        <w:t>Figure 1B</w:t>
      </w:r>
      <w:r w:rsidR="001711EB" w:rsidRPr="00101E86">
        <w:rPr>
          <w:rFonts w:asciiTheme="majorHAnsi" w:hAnsiTheme="majorHAnsi" w:cstheme="majorHAnsi"/>
        </w:rPr>
        <w:t>). Guide RNA libraries are deposited onto the substrate surface using an acoustic dispenser prior to cartridge assembly. Positional accuracy of deposition was confirmed across all 48 sites, with drop positions clustering within sub-millimeter deviation from the electrode midpoint (</w:t>
      </w:r>
      <w:r w:rsidR="001711EB" w:rsidRPr="00101E86">
        <w:rPr>
          <w:rFonts w:asciiTheme="majorHAnsi" w:hAnsiTheme="majorHAnsi" w:cstheme="majorHAnsi"/>
          <w:b/>
          <w:bCs/>
        </w:rPr>
        <w:t>Figure 1C</w:t>
      </w:r>
      <w:r w:rsidR="001711EB" w:rsidRPr="00101E86">
        <w:rPr>
          <w:rFonts w:asciiTheme="majorHAnsi" w:hAnsiTheme="majorHAnsi" w:cstheme="majorHAnsi"/>
        </w:rPr>
        <w:t>), supporting reliable on-</w:t>
      </w:r>
      <w:r w:rsidR="00C32C3C" w:rsidRPr="00101E86">
        <w:rPr>
          <w:rFonts w:asciiTheme="majorHAnsi" w:hAnsiTheme="majorHAnsi" w:cstheme="majorHAnsi"/>
        </w:rPr>
        <w:t>cartridge</w:t>
      </w:r>
      <w:r w:rsidR="001711EB" w:rsidRPr="00101E86">
        <w:rPr>
          <w:rFonts w:asciiTheme="majorHAnsi" w:hAnsiTheme="majorHAnsi" w:cstheme="majorHAnsi"/>
        </w:rPr>
        <w:t xml:space="preserve"> RNP assembly. Following loading, cells and liquid electrode droplets are actuated on-</w:t>
      </w:r>
      <w:r w:rsidR="00C32C3C" w:rsidRPr="00101E86">
        <w:rPr>
          <w:rFonts w:asciiTheme="majorHAnsi" w:hAnsiTheme="majorHAnsi" w:cstheme="majorHAnsi"/>
        </w:rPr>
        <w:t xml:space="preserve">cartridge </w:t>
      </w:r>
      <w:r w:rsidR="001711EB" w:rsidRPr="00101E86">
        <w:rPr>
          <w:rFonts w:asciiTheme="majorHAnsi" w:hAnsiTheme="majorHAnsi" w:cstheme="majorHAnsi"/>
        </w:rPr>
        <w:t>to form the tri-droplet electroporation geometry (</w:t>
      </w:r>
      <w:r w:rsidR="001711EB" w:rsidRPr="00101E86">
        <w:rPr>
          <w:rFonts w:asciiTheme="majorHAnsi" w:hAnsiTheme="majorHAnsi" w:cstheme="majorHAnsi"/>
          <w:b/>
          <w:bCs/>
        </w:rPr>
        <w:t>Figure 1D</w:t>
      </w:r>
      <w:r w:rsidR="001711EB" w:rsidRPr="00101E86">
        <w:rPr>
          <w:rFonts w:asciiTheme="majorHAnsi" w:hAnsiTheme="majorHAnsi" w:cstheme="majorHAnsi"/>
        </w:rPr>
        <w:t>). After electroporation, cells are offloaded into culture plates for recovery and downstream analysis</w:t>
      </w:r>
      <w:r w:rsidR="006D4B6C" w:rsidRPr="00101E86">
        <w:rPr>
          <w:rFonts w:asciiTheme="majorHAnsi" w:hAnsiTheme="majorHAnsi" w:cstheme="majorHAnsi"/>
        </w:rPr>
        <w:t>,</w:t>
      </w:r>
      <w:r w:rsidR="001711EB" w:rsidRPr="00101E86">
        <w:rPr>
          <w:rFonts w:asciiTheme="majorHAnsi" w:hAnsiTheme="majorHAnsi" w:cstheme="majorHAnsi"/>
        </w:rPr>
        <w:t xml:space="preserve"> including flow cytometry, sequencing, and microscopy (</w:t>
      </w:r>
      <w:r w:rsidR="001711EB" w:rsidRPr="00101E86">
        <w:rPr>
          <w:rFonts w:asciiTheme="majorHAnsi" w:hAnsiTheme="majorHAnsi" w:cstheme="majorHAnsi"/>
          <w:b/>
          <w:bCs/>
        </w:rPr>
        <w:t>Figure 1E</w:t>
      </w:r>
      <w:r w:rsidR="001711EB" w:rsidRPr="00101E86">
        <w:rPr>
          <w:rFonts w:asciiTheme="majorHAnsi" w:hAnsiTheme="majorHAnsi" w:cstheme="majorHAnsi"/>
        </w:rPr>
        <w:t>).</w:t>
      </w:r>
      <w:r w:rsidR="00FD224B" w:rsidRPr="00101E86">
        <w:rPr>
          <w:rFonts w:asciiTheme="majorHAnsi" w:hAnsiTheme="majorHAnsi" w:cstheme="majorHAnsi"/>
        </w:rPr>
        <w:t xml:space="preserve"> This system enables</w:t>
      </w:r>
      <w:r w:rsidR="00FD224B" w:rsidRPr="00101E86">
        <w:rPr>
          <w:rStyle w:val="apple-converted-space"/>
          <w:rFonts w:asciiTheme="majorHAnsi" w:hAnsiTheme="majorHAnsi" w:cstheme="majorHAnsi"/>
        </w:rPr>
        <w:t> </w:t>
      </w:r>
      <w:r w:rsidR="00FD224B" w:rsidRPr="00101E86">
        <w:rPr>
          <w:rStyle w:val="Strong"/>
          <w:rFonts w:asciiTheme="majorHAnsi" w:hAnsiTheme="majorHAnsi" w:cstheme="majorHAnsi"/>
          <w:b w:val="0"/>
          <w:bCs w:val="0"/>
        </w:rPr>
        <w:t>high-efficiency genome editing using up to 100-fold fewer cells</w:t>
      </w:r>
      <w:r w:rsidR="00FD224B" w:rsidRPr="00101E86">
        <w:rPr>
          <w:rStyle w:val="apple-converted-space"/>
          <w:rFonts w:asciiTheme="majorHAnsi" w:hAnsiTheme="majorHAnsi" w:cstheme="majorHAnsi"/>
        </w:rPr>
        <w:t> </w:t>
      </w:r>
      <w:r w:rsidR="00FD224B" w:rsidRPr="00101E86">
        <w:rPr>
          <w:rFonts w:asciiTheme="majorHAnsi" w:hAnsiTheme="majorHAnsi" w:cstheme="majorHAnsi"/>
        </w:rPr>
        <w:t>than standard cuvette-based methods, significantly expanding access to genome engineering in low-input and high-throughput applications.</w:t>
      </w:r>
    </w:p>
    <w:p w14:paraId="73C1C389" w14:textId="77777777" w:rsidR="006D4B6C" w:rsidRPr="00101E86" w:rsidRDefault="006D4B6C" w:rsidP="00101E86">
      <w:pPr>
        <w:pStyle w:val="NormalWeb"/>
        <w:spacing w:before="0" w:beforeAutospacing="0" w:after="0" w:afterAutospacing="0"/>
        <w:jc w:val="both"/>
        <w:rPr>
          <w:rFonts w:asciiTheme="majorHAnsi" w:hAnsiTheme="majorHAnsi" w:cstheme="majorHAnsi"/>
        </w:rPr>
      </w:pPr>
    </w:p>
    <w:p w14:paraId="7C2577F7" w14:textId="0A8C6331" w:rsidR="006927F1" w:rsidRPr="00101E86" w:rsidRDefault="0098749C" w:rsidP="00101E86">
      <w:pPr>
        <w:rPr>
          <w:rFonts w:asciiTheme="majorHAnsi" w:hAnsiTheme="majorHAnsi" w:cstheme="majorHAnsi"/>
        </w:rPr>
      </w:pPr>
      <w:r w:rsidRPr="00101E86">
        <w:rPr>
          <w:rFonts w:asciiTheme="majorHAnsi" w:hAnsiTheme="majorHAnsi" w:cstheme="majorHAnsi"/>
        </w:rPr>
        <w:t xml:space="preserve">This study assesses the platform’s performance by delivering multiple biomolecular cargoes, including mRNA and CRISPR–Cas9 ribonucleoprotein (RNP) complexes, achieving efficient transfection and gene disruption. </w:t>
      </w:r>
      <w:r w:rsidR="00361717" w:rsidRPr="00101E86">
        <w:rPr>
          <w:rFonts w:asciiTheme="majorHAnsi" w:hAnsiTheme="majorHAnsi" w:cstheme="majorHAnsi"/>
        </w:rPr>
        <w:t>In addition to</w:t>
      </w:r>
      <w:r w:rsidR="00932166" w:rsidRPr="00101E86">
        <w:rPr>
          <w:rFonts w:asciiTheme="majorHAnsi" w:hAnsiTheme="majorHAnsi" w:cstheme="majorHAnsi"/>
        </w:rPr>
        <w:t xml:space="preserve"> primary T cells, </w:t>
      </w:r>
      <w:r w:rsidR="004A145F" w:rsidRPr="00101E86">
        <w:rPr>
          <w:rFonts w:asciiTheme="majorHAnsi" w:hAnsiTheme="majorHAnsi" w:cstheme="majorHAnsi"/>
        </w:rPr>
        <w:t>DMF-ection</w:t>
      </w:r>
      <w:r w:rsidR="00932166" w:rsidRPr="00101E86">
        <w:rPr>
          <w:rFonts w:asciiTheme="majorHAnsi" w:hAnsiTheme="majorHAnsi" w:cstheme="majorHAnsi"/>
        </w:rPr>
        <w:t xml:space="preserve"> provides a </w:t>
      </w:r>
      <w:r w:rsidR="00932166" w:rsidRPr="00101E86">
        <w:rPr>
          <w:rFonts w:asciiTheme="majorHAnsi" w:hAnsiTheme="majorHAnsi" w:cstheme="majorHAnsi"/>
        </w:rPr>
        <w:lastRenderedPageBreak/>
        <w:t>generalizable framework for delivering nucleic acids into complex multicellular structures. Three-dimensional (3D) spheroids and organoid-type models impose significant barriers to reagent penetration due to their architecture and fragility, and conventional electroporation approaches often disrupt morphology or generate heterogeneous delivery. To assess whether the same miniaturized electroporation principles used for T-cell editing extend to structured tissues, the DMF workflow</w:t>
      </w:r>
      <w:r w:rsidR="001B4770" w:rsidRPr="00101E86">
        <w:rPr>
          <w:rFonts w:asciiTheme="majorHAnsi" w:hAnsiTheme="majorHAnsi" w:cstheme="majorHAnsi"/>
        </w:rPr>
        <w:t xml:space="preserve"> was applied</w:t>
      </w:r>
      <w:r w:rsidR="00932166" w:rsidRPr="00101E86">
        <w:rPr>
          <w:rFonts w:asciiTheme="majorHAnsi" w:hAnsiTheme="majorHAnsi" w:cstheme="majorHAnsi"/>
        </w:rPr>
        <w:t xml:space="preserve"> to 3D HEK293T spheroids. These experiments demonstrated that DMF-based electrowetting can gently position intact spheroids within tri-droplet geometries and support uniform mRNA delivery while preserving structure and growth. Although these results are outside the primary T-cell protocol described here, they illustrate the broader applicability of programmable DMF electroporation for emerging 3D cellular systems relevant to drug discovery and disease modeling.</w:t>
      </w:r>
    </w:p>
    <w:p w14:paraId="49F85E3D" w14:textId="77777777" w:rsidR="004A145F" w:rsidRPr="00101E86" w:rsidRDefault="004A145F" w:rsidP="00101E86">
      <w:pPr>
        <w:rPr>
          <w:rFonts w:asciiTheme="majorHAnsi" w:hAnsiTheme="majorHAnsi" w:cstheme="majorHAnsi"/>
          <w:b/>
        </w:rPr>
      </w:pPr>
    </w:p>
    <w:p w14:paraId="32A92E82" w14:textId="308ED834" w:rsidR="006E4797" w:rsidRPr="00017845" w:rsidRDefault="00551D82" w:rsidP="00101E86">
      <w:pPr>
        <w:rPr>
          <w:rFonts w:asciiTheme="majorHAnsi" w:hAnsiTheme="majorHAnsi" w:cstheme="majorHAnsi"/>
          <w:b/>
          <w:highlight w:val="yellow"/>
        </w:rPr>
      </w:pPr>
      <w:r w:rsidRPr="00017845">
        <w:rPr>
          <w:rFonts w:asciiTheme="majorHAnsi" w:hAnsiTheme="majorHAnsi" w:cstheme="majorHAnsi"/>
          <w:b/>
          <w:highlight w:val="yellow"/>
        </w:rPr>
        <w:t>PROTOCOL</w:t>
      </w:r>
      <w:r w:rsidR="0012641A" w:rsidRPr="00017845">
        <w:rPr>
          <w:rFonts w:asciiTheme="majorHAnsi" w:hAnsiTheme="majorHAnsi" w:cstheme="majorHAnsi"/>
          <w:b/>
          <w:highlight w:val="yellow"/>
        </w:rPr>
        <w:t>:</w:t>
      </w:r>
    </w:p>
    <w:p w14:paraId="462677EA" w14:textId="33DF70B0" w:rsidR="00C46D00" w:rsidRPr="00017845" w:rsidRDefault="00C46D00" w:rsidP="00101E86">
      <w:pPr>
        <w:rPr>
          <w:rFonts w:asciiTheme="majorHAnsi" w:hAnsiTheme="majorHAnsi" w:cstheme="majorHAnsi"/>
          <w:b/>
          <w:bCs/>
          <w:highlight w:val="yellow"/>
        </w:rPr>
      </w:pPr>
    </w:p>
    <w:p w14:paraId="439C19DE" w14:textId="0B544E3F" w:rsidR="003F5D20" w:rsidRPr="00017845" w:rsidRDefault="003F5D20" w:rsidP="00101E86">
      <w:pPr>
        <w:rPr>
          <w:rFonts w:asciiTheme="majorHAnsi" w:hAnsiTheme="majorHAnsi" w:cstheme="majorHAnsi"/>
          <w:highlight w:val="yellow"/>
        </w:rPr>
      </w:pPr>
      <w:r w:rsidRPr="00017845">
        <w:rPr>
          <w:rFonts w:asciiTheme="majorHAnsi" w:hAnsiTheme="majorHAnsi" w:cstheme="majorHAnsi"/>
          <w:highlight w:val="yellow"/>
        </w:rPr>
        <w:t>Primary human T cells used in this protocol were obtained from commercial suppliers under informed donor consent and in compliance with applicable institutional, ethical, and regulatory guidelines. All handling of human-derived biological materials was conducted in accordance with institutional biosafety protocols. Researchers implementing this protocol are responsible for ensuring that their use of primary human cells complies with local institutional review board (IRB) or ethics committee requirements, applicable biosafety regulations, and any relevant national or regional legislation governing the use of human biological material. No patient-identifiable information was associated with the cell material used in this study.</w:t>
      </w:r>
    </w:p>
    <w:p w14:paraId="2ED9C6D7" w14:textId="742CA29F" w:rsidR="00FC70F1" w:rsidRPr="00017845" w:rsidRDefault="00FC70F1" w:rsidP="00101E86">
      <w:pPr>
        <w:rPr>
          <w:rFonts w:asciiTheme="majorHAnsi" w:hAnsiTheme="majorHAnsi" w:cstheme="majorHAnsi"/>
          <w:highlight w:val="yellow"/>
        </w:rPr>
      </w:pPr>
    </w:p>
    <w:p w14:paraId="6A8BFEE3" w14:textId="765A9772" w:rsidR="00D038F8" w:rsidRPr="00017845" w:rsidRDefault="00D038F8" w:rsidP="00101E86">
      <w:pPr>
        <w:pStyle w:val="font-claude-response-body"/>
        <w:numPr>
          <w:ilvl w:val="0"/>
          <w:numId w:val="31"/>
        </w:numPr>
        <w:spacing w:before="0" w:beforeAutospacing="0" w:after="0" w:afterAutospacing="0"/>
        <w:ind w:left="0" w:firstLine="0"/>
        <w:jc w:val="both"/>
        <w:rPr>
          <w:rFonts w:asciiTheme="majorHAnsi" w:hAnsiTheme="majorHAnsi" w:cstheme="majorHAnsi"/>
          <w:b/>
          <w:bCs/>
          <w:highlight w:val="yellow"/>
        </w:rPr>
      </w:pPr>
      <w:r w:rsidRPr="00017845">
        <w:rPr>
          <w:rFonts w:asciiTheme="majorHAnsi" w:hAnsiTheme="majorHAnsi" w:cstheme="majorHAnsi"/>
          <w:b/>
          <w:bCs/>
          <w:highlight w:val="yellow"/>
        </w:rPr>
        <w:t xml:space="preserve">Preparation and </w:t>
      </w:r>
      <w:r w:rsidR="00C042F4" w:rsidRPr="00017845">
        <w:rPr>
          <w:rFonts w:asciiTheme="majorHAnsi" w:hAnsiTheme="majorHAnsi" w:cstheme="majorHAnsi"/>
          <w:b/>
          <w:bCs/>
          <w:highlight w:val="yellow"/>
        </w:rPr>
        <w:t>a</w:t>
      </w:r>
      <w:r w:rsidRPr="00017845">
        <w:rPr>
          <w:rFonts w:asciiTheme="majorHAnsi" w:hAnsiTheme="majorHAnsi" w:cstheme="majorHAnsi"/>
          <w:b/>
          <w:bCs/>
          <w:highlight w:val="yellow"/>
        </w:rPr>
        <w:t xml:space="preserve">ctivation of </w:t>
      </w:r>
      <w:r w:rsidR="00C042F4" w:rsidRPr="00017845">
        <w:rPr>
          <w:rFonts w:asciiTheme="majorHAnsi" w:hAnsiTheme="majorHAnsi" w:cstheme="majorHAnsi"/>
          <w:b/>
          <w:bCs/>
          <w:highlight w:val="yellow"/>
        </w:rPr>
        <w:t>p</w:t>
      </w:r>
      <w:r w:rsidRPr="00017845">
        <w:rPr>
          <w:rFonts w:asciiTheme="majorHAnsi" w:hAnsiTheme="majorHAnsi" w:cstheme="majorHAnsi"/>
          <w:b/>
          <w:bCs/>
          <w:highlight w:val="yellow"/>
        </w:rPr>
        <w:t xml:space="preserve">rimary </w:t>
      </w:r>
      <w:r w:rsidR="00C042F4" w:rsidRPr="00017845">
        <w:rPr>
          <w:rFonts w:asciiTheme="majorHAnsi" w:hAnsiTheme="majorHAnsi" w:cstheme="majorHAnsi"/>
          <w:b/>
          <w:bCs/>
          <w:highlight w:val="yellow"/>
        </w:rPr>
        <w:t>h</w:t>
      </w:r>
      <w:r w:rsidRPr="00017845">
        <w:rPr>
          <w:rFonts w:asciiTheme="majorHAnsi" w:hAnsiTheme="majorHAnsi" w:cstheme="majorHAnsi"/>
          <w:b/>
          <w:bCs/>
          <w:highlight w:val="yellow"/>
        </w:rPr>
        <w:t xml:space="preserve">uman T </w:t>
      </w:r>
      <w:r w:rsidR="00C042F4" w:rsidRPr="00017845">
        <w:rPr>
          <w:rFonts w:asciiTheme="majorHAnsi" w:hAnsiTheme="majorHAnsi" w:cstheme="majorHAnsi"/>
          <w:b/>
          <w:bCs/>
          <w:highlight w:val="yellow"/>
        </w:rPr>
        <w:t>c</w:t>
      </w:r>
      <w:r w:rsidRPr="00017845">
        <w:rPr>
          <w:rFonts w:asciiTheme="majorHAnsi" w:hAnsiTheme="majorHAnsi" w:cstheme="majorHAnsi"/>
          <w:b/>
          <w:bCs/>
          <w:highlight w:val="yellow"/>
        </w:rPr>
        <w:t>ells</w:t>
      </w:r>
    </w:p>
    <w:p w14:paraId="5823A48D" w14:textId="77777777" w:rsidR="00C042F4" w:rsidRPr="00017845" w:rsidRDefault="00C042F4" w:rsidP="00101E86">
      <w:pPr>
        <w:pStyle w:val="font-claude-response-body"/>
        <w:spacing w:before="0" w:beforeAutospacing="0" w:after="0" w:afterAutospacing="0"/>
        <w:jc w:val="both"/>
        <w:rPr>
          <w:rFonts w:asciiTheme="majorHAnsi" w:hAnsiTheme="majorHAnsi" w:cstheme="majorHAnsi"/>
          <w:highlight w:val="yellow"/>
        </w:rPr>
      </w:pPr>
    </w:p>
    <w:p w14:paraId="17BE4760" w14:textId="2F0A53C5"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Thaw cryopreserved primary human CD3⁺ T cells rapidly in a 37 °C water bath. Transfer the cells to prewarmed basal T-cell medium and centrifuge at 180 × </w:t>
      </w:r>
      <w:r w:rsidRPr="00017845">
        <w:rPr>
          <w:rFonts w:asciiTheme="majorHAnsi" w:eastAsia="Times New Roman" w:hAnsiTheme="majorHAnsi" w:cstheme="majorHAnsi"/>
          <w:i/>
          <w:iCs/>
          <w:sz w:val="24"/>
          <w:szCs w:val="24"/>
          <w:highlight w:val="yellow"/>
        </w:rPr>
        <w:t>g</w:t>
      </w:r>
      <w:r w:rsidRPr="00017845">
        <w:rPr>
          <w:rFonts w:asciiTheme="majorHAnsi" w:eastAsia="Times New Roman" w:hAnsiTheme="majorHAnsi" w:cstheme="majorHAnsi"/>
          <w:sz w:val="24"/>
          <w:szCs w:val="24"/>
          <w:highlight w:val="yellow"/>
        </w:rPr>
        <w:t xml:space="preserve"> for 10 min. </w:t>
      </w:r>
      <w:r w:rsidR="4ABA66C5" w:rsidRPr="00017845">
        <w:rPr>
          <w:rFonts w:asciiTheme="majorHAnsi" w:eastAsia="Times New Roman" w:hAnsiTheme="majorHAnsi" w:cstheme="majorHAnsi"/>
          <w:sz w:val="24"/>
          <w:szCs w:val="24"/>
          <w:highlight w:val="yellow"/>
        </w:rPr>
        <w:t xml:space="preserve">Discard </w:t>
      </w:r>
      <w:r w:rsidR="08491433" w:rsidRPr="00017845">
        <w:rPr>
          <w:rFonts w:asciiTheme="majorHAnsi" w:eastAsia="Times New Roman" w:hAnsiTheme="majorHAnsi" w:cstheme="majorHAnsi"/>
          <w:sz w:val="24"/>
          <w:szCs w:val="24"/>
          <w:highlight w:val="yellow"/>
        </w:rPr>
        <w:t>the</w:t>
      </w:r>
      <w:r w:rsidRPr="00017845">
        <w:rPr>
          <w:rFonts w:asciiTheme="majorHAnsi" w:eastAsia="Times New Roman" w:hAnsiTheme="majorHAnsi" w:cstheme="majorHAnsi"/>
          <w:sz w:val="24"/>
          <w:szCs w:val="24"/>
          <w:highlight w:val="yellow"/>
        </w:rPr>
        <w:t xml:space="preserve"> supernatant and resuspend the pellet in fresh medium.</w:t>
      </w:r>
    </w:p>
    <w:p w14:paraId="0D9A1AFA" w14:textId="77777777" w:rsidR="00ED4DDA" w:rsidRPr="00017845" w:rsidRDefault="00ED4DDA"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79C4D97B" w14:textId="738B474D"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Determine cell concentration and viability using an automated cell counter. </w:t>
      </w:r>
    </w:p>
    <w:p w14:paraId="3C41E396" w14:textId="77777777" w:rsidR="00ED4DDA" w:rsidRPr="00017845" w:rsidRDefault="00ED4DDA" w:rsidP="00101E86">
      <w:pPr>
        <w:rPr>
          <w:rFonts w:asciiTheme="majorHAnsi" w:eastAsia="Times New Roman" w:hAnsiTheme="majorHAnsi" w:cstheme="majorHAnsi"/>
          <w:highlight w:val="yellow"/>
        </w:rPr>
      </w:pPr>
    </w:p>
    <w:p w14:paraId="4179491C" w14:textId="7E3AF134"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Resuspend cells at 1 × 10⁶ cells/mL in T-cell culture medium supplemented with a</w:t>
      </w:r>
      <w:r w:rsidR="50E1A53A" w:rsidRPr="00017845">
        <w:rPr>
          <w:rFonts w:asciiTheme="majorHAnsi" w:eastAsia="Times New Roman" w:hAnsiTheme="majorHAnsi" w:cstheme="majorHAnsi"/>
          <w:sz w:val="24"/>
          <w:szCs w:val="24"/>
          <w:highlight w:val="yellow"/>
        </w:rPr>
        <w:t xml:space="preserve"> </w:t>
      </w:r>
      <w:r w:rsidR="50E1A53A" w:rsidRPr="00017845">
        <w:rPr>
          <w:rFonts w:asciiTheme="majorHAnsi" w:hAnsiTheme="majorHAnsi" w:cstheme="majorHAnsi"/>
          <w:sz w:val="24"/>
          <w:szCs w:val="24"/>
          <w:highlight w:val="yellow"/>
        </w:rPr>
        <w:t xml:space="preserve">soluble tetrameric antibody </w:t>
      </w:r>
      <w:r w:rsidR="50E1A53A" w:rsidRPr="00017845">
        <w:rPr>
          <w:rFonts w:asciiTheme="majorHAnsi" w:eastAsia="Times New Roman" w:hAnsiTheme="majorHAnsi" w:cstheme="majorHAnsi"/>
          <w:sz w:val="24"/>
          <w:szCs w:val="24"/>
          <w:highlight w:val="yellow"/>
        </w:rPr>
        <w:t xml:space="preserve">CD3/CD28 T-cell activator stimulus (according to vendor instructions) </w:t>
      </w:r>
      <w:r w:rsidRPr="00017845">
        <w:rPr>
          <w:rFonts w:asciiTheme="majorHAnsi" w:eastAsia="Times New Roman" w:hAnsiTheme="majorHAnsi" w:cstheme="majorHAnsi"/>
          <w:sz w:val="24"/>
          <w:szCs w:val="24"/>
          <w:highlight w:val="yellow"/>
        </w:rPr>
        <w:t xml:space="preserve">and 200 IU/mL IL-2. Incubate cells for 72 h at 37 °C, 5% CO₂. </w:t>
      </w:r>
    </w:p>
    <w:p w14:paraId="11F043BB" w14:textId="77777777" w:rsidR="00ED4DDA" w:rsidRPr="00017845" w:rsidRDefault="00ED4DDA" w:rsidP="00101E86">
      <w:pPr>
        <w:rPr>
          <w:rFonts w:asciiTheme="majorHAnsi" w:eastAsia="Times New Roman" w:hAnsiTheme="majorHAnsi" w:cstheme="majorHAnsi"/>
          <w:highlight w:val="yellow"/>
        </w:rPr>
      </w:pPr>
    </w:p>
    <w:p w14:paraId="0FD838F3" w14:textId="3C5CFAF8" w:rsidR="00D038F8" w:rsidRPr="00017845" w:rsidRDefault="00D038F8" w:rsidP="00101E86">
      <w:pPr>
        <w:widowControl/>
        <w:rPr>
          <w:rFonts w:asciiTheme="majorHAnsi" w:eastAsia="Times New Roman" w:hAnsiTheme="majorHAnsi" w:cstheme="majorHAnsi"/>
          <w:highlight w:val="yellow"/>
        </w:rPr>
      </w:pPr>
      <w:r w:rsidRPr="00017845">
        <w:rPr>
          <w:rFonts w:asciiTheme="majorHAnsi" w:eastAsia="Times New Roman" w:hAnsiTheme="majorHAnsi" w:cstheme="majorHAnsi"/>
          <w:highlight w:val="yellow"/>
        </w:rPr>
        <w:t>NOTE: Maintain cell density between 0.5–2 × 10⁶ cells/mL during activation. Perform activation in U-bottom 96-well plates to optimize cell-to-</w:t>
      </w:r>
      <w:r w:rsidR="00A452C0" w:rsidRPr="00017845">
        <w:rPr>
          <w:rFonts w:asciiTheme="majorHAnsi" w:eastAsia="Times New Roman" w:hAnsiTheme="majorHAnsi" w:cstheme="majorHAnsi"/>
          <w:highlight w:val="yellow"/>
        </w:rPr>
        <w:t>activator</w:t>
      </w:r>
      <w:r w:rsidRPr="00017845">
        <w:rPr>
          <w:rFonts w:asciiTheme="majorHAnsi" w:eastAsia="Times New Roman" w:hAnsiTheme="majorHAnsi" w:cstheme="majorHAnsi"/>
          <w:highlight w:val="yellow"/>
        </w:rPr>
        <w:t xml:space="preserve"> contact and activation efficiency.</w:t>
      </w:r>
    </w:p>
    <w:p w14:paraId="750D8017" w14:textId="5A92CDAD" w:rsidR="00D038F8" w:rsidRPr="00017845" w:rsidRDefault="00D038F8" w:rsidP="00101E86">
      <w:pPr>
        <w:widowControl/>
        <w:rPr>
          <w:rFonts w:asciiTheme="majorHAnsi" w:eastAsia="Times New Roman" w:hAnsiTheme="majorHAnsi" w:cstheme="majorHAnsi"/>
          <w:highlight w:val="yellow"/>
        </w:rPr>
      </w:pPr>
    </w:p>
    <w:p w14:paraId="21F7ECF1" w14:textId="137FE4EB" w:rsidR="00D038F8" w:rsidRPr="00017845" w:rsidRDefault="00D038F8" w:rsidP="00101E86">
      <w:pPr>
        <w:pStyle w:val="ListParagraph"/>
        <w:numPr>
          <w:ilvl w:val="0"/>
          <w:numId w:val="31"/>
        </w:numPr>
        <w:spacing w:after="0" w:line="240" w:lineRule="auto"/>
        <w:ind w:left="0" w:firstLine="0"/>
        <w:jc w:val="both"/>
        <w:rPr>
          <w:rFonts w:asciiTheme="majorHAnsi" w:eastAsia="Times New Roman" w:hAnsiTheme="majorHAnsi" w:cstheme="majorHAnsi"/>
          <w:b/>
          <w:bCs/>
          <w:sz w:val="24"/>
          <w:szCs w:val="24"/>
          <w:highlight w:val="yellow"/>
        </w:rPr>
      </w:pPr>
      <w:r w:rsidRPr="00017845">
        <w:rPr>
          <w:rFonts w:asciiTheme="majorHAnsi" w:eastAsia="Times New Roman" w:hAnsiTheme="majorHAnsi" w:cstheme="majorHAnsi"/>
          <w:b/>
          <w:bCs/>
          <w:sz w:val="24"/>
          <w:szCs w:val="24"/>
          <w:highlight w:val="yellow"/>
        </w:rPr>
        <w:t xml:space="preserve">Preparation of </w:t>
      </w:r>
      <w:r w:rsidR="00ED4DDA" w:rsidRPr="00017845">
        <w:rPr>
          <w:rFonts w:asciiTheme="majorHAnsi" w:eastAsia="Times New Roman" w:hAnsiTheme="majorHAnsi" w:cstheme="majorHAnsi"/>
          <w:b/>
          <w:bCs/>
          <w:sz w:val="24"/>
          <w:szCs w:val="24"/>
          <w:highlight w:val="yellow"/>
        </w:rPr>
        <w:t>g</w:t>
      </w:r>
      <w:r w:rsidRPr="00017845">
        <w:rPr>
          <w:rFonts w:asciiTheme="majorHAnsi" w:eastAsia="Times New Roman" w:hAnsiTheme="majorHAnsi" w:cstheme="majorHAnsi"/>
          <w:b/>
          <w:bCs/>
          <w:sz w:val="24"/>
          <w:szCs w:val="24"/>
          <w:highlight w:val="yellow"/>
        </w:rPr>
        <w:t xml:space="preserve">uide RNA </w:t>
      </w:r>
      <w:r w:rsidR="00ED4DDA" w:rsidRPr="00017845">
        <w:rPr>
          <w:rFonts w:asciiTheme="majorHAnsi" w:eastAsia="Times New Roman" w:hAnsiTheme="majorHAnsi" w:cstheme="majorHAnsi"/>
          <w:b/>
          <w:bCs/>
          <w:sz w:val="24"/>
          <w:szCs w:val="24"/>
          <w:highlight w:val="yellow"/>
        </w:rPr>
        <w:t>s</w:t>
      </w:r>
      <w:r w:rsidRPr="00017845">
        <w:rPr>
          <w:rFonts w:asciiTheme="majorHAnsi" w:eastAsia="Times New Roman" w:hAnsiTheme="majorHAnsi" w:cstheme="majorHAnsi"/>
          <w:b/>
          <w:bCs/>
          <w:sz w:val="24"/>
          <w:szCs w:val="24"/>
          <w:highlight w:val="yellow"/>
        </w:rPr>
        <w:t xml:space="preserve">pots on the DMF </w:t>
      </w:r>
      <w:r w:rsidR="00ED4DDA" w:rsidRPr="00017845">
        <w:rPr>
          <w:rFonts w:asciiTheme="majorHAnsi" w:eastAsia="Times New Roman" w:hAnsiTheme="majorHAnsi" w:cstheme="majorHAnsi"/>
          <w:b/>
          <w:bCs/>
          <w:sz w:val="24"/>
          <w:szCs w:val="24"/>
          <w:highlight w:val="yellow"/>
        </w:rPr>
        <w:t>s</w:t>
      </w:r>
      <w:r w:rsidRPr="00017845">
        <w:rPr>
          <w:rFonts w:asciiTheme="majorHAnsi" w:eastAsia="Times New Roman" w:hAnsiTheme="majorHAnsi" w:cstheme="majorHAnsi"/>
          <w:b/>
          <w:bCs/>
          <w:sz w:val="24"/>
          <w:szCs w:val="24"/>
          <w:highlight w:val="yellow"/>
        </w:rPr>
        <w:t>ubstrate (</w:t>
      </w:r>
      <w:r w:rsidR="00ED4DDA" w:rsidRPr="00017845">
        <w:rPr>
          <w:rFonts w:asciiTheme="majorHAnsi" w:eastAsia="Times New Roman" w:hAnsiTheme="majorHAnsi" w:cstheme="majorHAnsi"/>
          <w:b/>
          <w:bCs/>
          <w:sz w:val="24"/>
          <w:szCs w:val="24"/>
          <w:highlight w:val="yellow"/>
        </w:rPr>
        <w:t>a</w:t>
      </w:r>
      <w:r w:rsidRPr="00017845">
        <w:rPr>
          <w:rFonts w:asciiTheme="majorHAnsi" w:eastAsia="Times New Roman" w:hAnsiTheme="majorHAnsi" w:cstheme="majorHAnsi"/>
          <w:b/>
          <w:bCs/>
          <w:sz w:val="24"/>
          <w:szCs w:val="24"/>
          <w:highlight w:val="yellow"/>
        </w:rPr>
        <w:t xml:space="preserve">coustic </w:t>
      </w:r>
      <w:r w:rsidR="00ED4DDA" w:rsidRPr="00017845">
        <w:rPr>
          <w:rFonts w:asciiTheme="majorHAnsi" w:eastAsia="Times New Roman" w:hAnsiTheme="majorHAnsi" w:cstheme="majorHAnsi"/>
          <w:b/>
          <w:bCs/>
          <w:sz w:val="24"/>
          <w:szCs w:val="24"/>
          <w:highlight w:val="yellow"/>
        </w:rPr>
        <w:t>d</w:t>
      </w:r>
      <w:r w:rsidRPr="00017845">
        <w:rPr>
          <w:rFonts w:asciiTheme="majorHAnsi" w:eastAsia="Times New Roman" w:hAnsiTheme="majorHAnsi" w:cstheme="majorHAnsi"/>
          <w:b/>
          <w:bCs/>
          <w:sz w:val="24"/>
          <w:szCs w:val="24"/>
          <w:highlight w:val="yellow"/>
        </w:rPr>
        <w:t xml:space="preserve">ispenser </w:t>
      </w:r>
      <w:r w:rsidR="00ED4DDA" w:rsidRPr="00017845">
        <w:rPr>
          <w:rFonts w:asciiTheme="majorHAnsi" w:eastAsia="Times New Roman" w:hAnsiTheme="majorHAnsi" w:cstheme="majorHAnsi"/>
          <w:b/>
          <w:bCs/>
          <w:sz w:val="24"/>
          <w:szCs w:val="24"/>
          <w:highlight w:val="yellow"/>
        </w:rPr>
        <w:t>s</w:t>
      </w:r>
      <w:r w:rsidRPr="00017845">
        <w:rPr>
          <w:rFonts w:asciiTheme="majorHAnsi" w:eastAsia="Times New Roman" w:hAnsiTheme="majorHAnsi" w:cstheme="majorHAnsi"/>
          <w:b/>
          <w:bCs/>
          <w:sz w:val="24"/>
          <w:szCs w:val="24"/>
          <w:highlight w:val="yellow"/>
        </w:rPr>
        <w:t>potting)</w:t>
      </w:r>
    </w:p>
    <w:p w14:paraId="1629AAFA" w14:textId="77777777" w:rsidR="00ED4DDA" w:rsidRPr="00017845" w:rsidRDefault="00ED4DDA"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61C1EB03" w14:textId="77777777" w:rsidR="0090429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Reconstitute lyophilized sgRNA in nuclease-free water to a stock concentration of 100 µM. In a separate tube, prepare a 100 mg/mL stock of poly-L-glutamic acid (PGA, sodium salt, MW 15,000–50,000 Da) in nuclease-free water. Combine sgRNA and PGA stock at a </w:t>
      </w:r>
      <w:r w:rsidR="00B2747F" w:rsidRPr="00017845">
        <w:rPr>
          <w:rFonts w:asciiTheme="majorHAnsi" w:eastAsia="Times New Roman" w:hAnsiTheme="majorHAnsi" w:cstheme="majorHAnsi"/>
          <w:sz w:val="24"/>
          <w:szCs w:val="24"/>
          <w:highlight w:val="yellow"/>
        </w:rPr>
        <w:t xml:space="preserve">5:4 volume </w:t>
      </w:r>
      <w:r w:rsidRPr="00017845">
        <w:rPr>
          <w:rFonts w:asciiTheme="majorHAnsi" w:eastAsia="Times New Roman" w:hAnsiTheme="majorHAnsi" w:cstheme="majorHAnsi"/>
          <w:sz w:val="24"/>
          <w:szCs w:val="24"/>
          <w:highlight w:val="yellow"/>
        </w:rPr>
        <w:t>ratio</w:t>
      </w:r>
      <w:r w:rsidR="00B2747F" w:rsidRPr="00017845">
        <w:rPr>
          <w:rFonts w:asciiTheme="majorHAnsi" w:eastAsia="Times New Roman" w:hAnsiTheme="majorHAnsi" w:cstheme="majorHAnsi"/>
          <w:sz w:val="24"/>
          <w:szCs w:val="24"/>
          <w:highlight w:val="yellow"/>
        </w:rPr>
        <w:t xml:space="preserve"> (sgRNA: PGA)</w:t>
      </w:r>
      <w:r w:rsidRPr="00017845">
        <w:rPr>
          <w:rFonts w:asciiTheme="majorHAnsi" w:eastAsia="Times New Roman" w:hAnsiTheme="majorHAnsi" w:cstheme="majorHAnsi"/>
          <w:sz w:val="24"/>
          <w:szCs w:val="24"/>
          <w:highlight w:val="yellow"/>
        </w:rPr>
        <w:t xml:space="preserve"> that yields a final sgRNA concentration of 55.6 pmol/µL and a final PGA </w:t>
      </w:r>
      <w:r w:rsidRPr="00017845">
        <w:rPr>
          <w:rFonts w:asciiTheme="majorHAnsi" w:eastAsia="Times New Roman" w:hAnsiTheme="majorHAnsi" w:cstheme="majorHAnsi"/>
          <w:sz w:val="24"/>
          <w:szCs w:val="24"/>
          <w:highlight w:val="yellow"/>
        </w:rPr>
        <w:lastRenderedPageBreak/>
        <w:t>concentration of</w:t>
      </w:r>
      <w:r w:rsidR="005E4378" w:rsidRPr="00017845">
        <w:rPr>
          <w:rFonts w:asciiTheme="majorHAnsi" w:eastAsia="Times New Roman" w:hAnsiTheme="majorHAnsi" w:cstheme="majorHAnsi"/>
          <w:sz w:val="24"/>
          <w:szCs w:val="24"/>
          <w:highlight w:val="yellow"/>
        </w:rPr>
        <w:t xml:space="preserve"> </w:t>
      </w:r>
      <w:r w:rsidR="003669CC" w:rsidRPr="00017845">
        <w:rPr>
          <w:rFonts w:asciiTheme="majorHAnsi" w:eastAsia="Times New Roman" w:hAnsiTheme="majorHAnsi" w:cstheme="majorHAnsi"/>
          <w:sz w:val="24"/>
          <w:szCs w:val="24"/>
          <w:highlight w:val="yellow"/>
        </w:rPr>
        <w:t>44</w:t>
      </w:r>
      <w:r w:rsidR="005E4378" w:rsidRPr="00017845">
        <w:rPr>
          <w:rFonts w:asciiTheme="majorHAnsi" w:eastAsia="Times New Roman" w:hAnsiTheme="majorHAnsi" w:cstheme="majorHAnsi"/>
          <w:sz w:val="24"/>
          <w:szCs w:val="24"/>
          <w:highlight w:val="yellow"/>
        </w:rPr>
        <w:t>.4</w:t>
      </w:r>
      <w:r w:rsidRPr="00017845">
        <w:rPr>
          <w:rFonts w:asciiTheme="majorHAnsi" w:eastAsia="Times New Roman" w:hAnsiTheme="majorHAnsi" w:cstheme="majorHAnsi"/>
          <w:sz w:val="24"/>
          <w:szCs w:val="24"/>
          <w:highlight w:val="yellow"/>
        </w:rPr>
        <w:t xml:space="preserve"> mg/mL in nuclease-free water. Vortex briefly and centrifuge at 1,000 × </w:t>
      </w:r>
      <w:r w:rsidRPr="00017845">
        <w:rPr>
          <w:rFonts w:asciiTheme="majorHAnsi" w:eastAsia="Times New Roman" w:hAnsiTheme="majorHAnsi" w:cstheme="majorHAnsi"/>
          <w:i/>
          <w:iCs/>
          <w:sz w:val="24"/>
          <w:szCs w:val="24"/>
          <w:highlight w:val="yellow"/>
        </w:rPr>
        <w:t>g</w:t>
      </w:r>
      <w:r w:rsidRPr="00017845">
        <w:rPr>
          <w:rFonts w:asciiTheme="majorHAnsi" w:eastAsia="Times New Roman" w:hAnsiTheme="majorHAnsi" w:cstheme="majorHAnsi"/>
          <w:sz w:val="24"/>
          <w:szCs w:val="24"/>
          <w:highlight w:val="yellow"/>
        </w:rPr>
        <w:t xml:space="preserve"> for 30 s</w:t>
      </w:r>
      <w:r w:rsidR="00904298" w:rsidRPr="00017845">
        <w:rPr>
          <w:rFonts w:asciiTheme="majorHAnsi" w:eastAsia="Times New Roman" w:hAnsiTheme="majorHAnsi" w:cstheme="majorHAnsi"/>
          <w:sz w:val="24"/>
          <w:szCs w:val="24"/>
          <w:highlight w:val="yellow"/>
        </w:rPr>
        <w:t xml:space="preserve"> and a</w:t>
      </w:r>
      <w:r w:rsidRPr="00017845">
        <w:rPr>
          <w:rFonts w:asciiTheme="majorHAnsi" w:eastAsia="Times New Roman" w:hAnsiTheme="majorHAnsi" w:cstheme="majorHAnsi"/>
          <w:sz w:val="24"/>
          <w:szCs w:val="24"/>
          <w:highlight w:val="yellow"/>
        </w:rPr>
        <w:t>liquot into single-use volumes and store unused aliquots at −80 °C for up to 6 months</w:t>
      </w:r>
      <w:r w:rsidR="00904298" w:rsidRPr="00017845">
        <w:rPr>
          <w:rFonts w:asciiTheme="majorHAnsi" w:eastAsia="Times New Roman" w:hAnsiTheme="majorHAnsi" w:cstheme="majorHAnsi"/>
          <w:sz w:val="24"/>
          <w:szCs w:val="24"/>
          <w:highlight w:val="yellow"/>
        </w:rPr>
        <w:t xml:space="preserve">. </w:t>
      </w:r>
    </w:p>
    <w:p w14:paraId="1CB1518E" w14:textId="77777777" w:rsidR="00904298" w:rsidRPr="00017845" w:rsidRDefault="00904298"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3F499352" w14:textId="00A4200E" w:rsidR="00D038F8" w:rsidRPr="00017845" w:rsidRDefault="00904298" w:rsidP="00101E86">
      <w:pPr>
        <w:pStyle w:val="ListParagraph"/>
        <w:spacing w:after="0" w:line="240" w:lineRule="auto"/>
        <w:ind w:left="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NOTE: A</w:t>
      </w:r>
      <w:r w:rsidR="00D038F8" w:rsidRPr="00017845">
        <w:rPr>
          <w:rFonts w:asciiTheme="majorHAnsi" w:eastAsia="Times New Roman" w:hAnsiTheme="majorHAnsi" w:cstheme="majorHAnsi"/>
          <w:sz w:val="24"/>
          <w:szCs w:val="24"/>
          <w:highlight w:val="yellow"/>
        </w:rPr>
        <w:t>void repeated freeze-thaw cycles.</w:t>
      </w:r>
    </w:p>
    <w:p w14:paraId="439A6065" w14:textId="77777777" w:rsidR="00EE5649" w:rsidRPr="00017845" w:rsidRDefault="00EE5649"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04A58C5B" w14:textId="1304292E"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Add the guide-PGA mixture to a low-dead-volume acoustic source plate in wells corresponding to the desired reaction site layout.</w:t>
      </w:r>
    </w:p>
    <w:p w14:paraId="31A4F531" w14:textId="77777777" w:rsidR="00904298" w:rsidRPr="00017845" w:rsidRDefault="00904298"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5E06312F" w14:textId="7D8C1192"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Transfer 40 nL (equivalent to 2.</w:t>
      </w:r>
      <w:r w:rsidR="008453D1" w:rsidRPr="00017845">
        <w:rPr>
          <w:rFonts w:asciiTheme="majorHAnsi" w:eastAsia="Times New Roman" w:hAnsiTheme="majorHAnsi" w:cstheme="majorHAnsi"/>
          <w:sz w:val="24"/>
          <w:szCs w:val="24"/>
          <w:highlight w:val="yellow"/>
        </w:rPr>
        <w:t>2</w:t>
      </w:r>
      <w:r w:rsidRPr="00017845">
        <w:rPr>
          <w:rFonts w:asciiTheme="majorHAnsi" w:eastAsia="Times New Roman" w:hAnsiTheme="majorHAnsi" w:cstheme="majorHAnsi"/>
          <w:sz w:val="24"/>
          <w:szCs w:val="24"/>
          <w:highlight w:val="yellow"/>
        </w:rPr>
        <w:t xml:space="preserve"> pmol sgRNA) of the guide-PGA mixture to each </w:t>
      </w:r>
      <w:r w:rsidR="5F9B98EE" w:rsidRPr="00017845">
        <w:rPr>
          <w:rFonts w:asciiTheme="majorHAnsi" w:eastAsia="Times New Roman" w:hAnsiTheme="majorHAnsi" w:cstheme="majorHAnsi"/>
          <w:sz w:val="24"/>
          <w:szCs w:val="24"/>
          <w:highlight w:val="yellow"/>
        </w:rPr>
        <w:t xml:space="preserve">target </w:t>
      </w:r>
      <w:r w:rsidR="08491433" w:rsidRPr="00017845">
        <w:rPr>
          <w:rFonts w:asciiTheme="majorHAnsi" w:eastAsia="Times New Roman" w:hAnsiTheme="majorHAnsi" w:cstheme="majorHAnsi"/>
          <w:sz w:val="24"/>
          <w:szCs w:val="24"/>
          <w:highlight w:val="yellow"/>
        </w:rPr>
        <w:t>spotting</w:t>
      </w:r>
      <w:r w:rsidRPr="00017845">
        <w:rPr>
          <w:rFonts w:asciiTheme="majorHAnsi" w:eastAsia="Times New Roman" w:hAnsiTheme="majorHAnsi" w:cstheme="majorHAnsi"/>
          <w:sz w:val="24"/>
          <w:szCs w:val="24"/>
          <w:highlight w:val="yellow"/>
        </w:rPr>
        <w:t xml:space="preserve"> region of the DMF substrate using a calibrated acoustic dispenser.</w:t>
      </w:r>
    </w:p>
    <w:p w14:paraId="6743BDC5" w14:textId="77777777" w:rsidR="00904298" w:rsidRPr="00017845" w:rsidRDefault="00904298" w:rsidP="00101E86">
      <w:pPr>
        <w:rPr>
          <w:rFonts w:asciiTheme="majorHAnsi" w:eastAsia="Times New Roman" w:hAnsiTheme="majorHAnsi" w:cstheme="majorHAnsi"/>
          <w:highlight w:val="yellow"/>
        </w:rPr>
      </w:pPr>
    </w:p>
    <w:p w14:paraId="118C2FF8" w14:textId="0CA21FE3" w:rsidR="701B13E6" w:rsidRPr="00017845" w:rsidRDefault="00F41319" w:rsidP="00101E86">
      <w:pPr>
        <w:rPr>
          <w:rFonts w:asciiTheme="majorHAnsi" w:hAnsiTheme="majorHAnsi" w:cstheme="majorHAnsi"/>
          <w:highlight w:val="yellow"/>
        </w:rPr>
      </w:pPr>
      <w:r w:rsidRPr="00017845">
        <w:rPr>
          <w:rFonts w:asciiTheme="majorHAnsi" w:hAnsiTheme="majorHAnsi" w:cstheme="majorHAnsi"/>
          <w:highlight w:val="yellow"/>
        </w:rPr>
        <w:t>N</w:t>
      </w:r>
      <w:r w:rsidR="00904298" w:rsidRPr="00017845">
        <w:rPr>
          <w:rFonts w:asciiTheme="majorHAnsi" w:hAnsiTheme="majorHAnsi" w:cstheme="majorHAnsi"/>
          <w:highlight w:val="yellow"/>
        </w:rPr>
        <w:t>OTE</w:t>
      </w:r>
      <w:r w:rsidR="701B13E6" w:rsidRPr="00017845">
        <w:rPr>
          <w:rFonts w:asciiTheme="majorHAnsi" w:hAnsiTheme="majorHAnsi" w:cstheme="majorHAnsi"/>
          <w:highlight w:val="yellow"/>
        </w:rPr>
        <w:t>: At 55.6 pmol/µL, 40 nL delivers 2.</w:t>
      </w:r>
      <w:r w:rsidR="008453D1" w:rsidRPr="00017845">
        <w:rPr>
          <w:rFonts w:asciiTheme="majorHAnsi" w:hAnsiTheme="majorHAnsi" w:cstheme="majorHAnsi"/>
          <w:highlight w:val="yellow"/>
        </w:rPr>
        <w:t>2</w:t>
      </w:r>
      <w:r w:rsidR="701B13E6" w:rsidRPr="00017845">
        <w:rPr>
          <w:rFonts w:asciiTheme="majorHAnsi" w:hAnsiTheme="majorHAnsi" w:cstheme="majorHAnsi"/>
          <w:highlight w:val="yellow"/>
        </w:rPr>
        <w:t xml:space="preserve"> pmol sgRNA per site (55.6 × 0.040 = 2.22 pmol). Dried guides are reconstituted during droplet merging on-</w:t>
      </w:r>
      <w:r w:rsidR="00C455EA" w:rsidRPr="00017845">
        <w:rPr>
          <w:rFonts w:asciiTheme="majorHAnsi" w:hAnsiTheme="majorHAnsi" w:cstheme="majorHAnsi"/>
          <w:bCs/>
          <w:highlight w:val="yellow"/>
        </w:rPr>
        <w:t>cartridge</w:t>
      </w:r>
      <w:r w:rsidR="701B13E6" w:rsidRPr="00017845">
        <w:rPr>
          <w:rFonts w:asciiTheme="majorHAnsi" w:hAnsiTheme="majorHAnsi" w:cstheme="majorHAnsi"/>
          <w:highlight w:val="yellow"/>
        </w:rPr>
        <w:t>; complete resuspension is confirmed by consistent editing efficiency across sites.</w:t>
      </w:r>
    </w:p>
    <w:p w14:paraId="697365E8" w14:textId="77777777" w:rsidR="00904298" w:rsidRPr="00017845" w:rsidRDefault="00904298" w:rsidP="00101E86">
      <w:pPr>
        <w:rPr>
          <w:rFonts w:asciiTheme="majorHAnsi" w:hAnsiTheme="majorHAnsi" w:cstheme="majorHAnsi"/>
          <w:highlight w:val="yellow"/>
        </w:rPr>
      </w:pPr>
    </w:p>
    <w:p w14:paraId="4FFCD2E1" w14:textId="5A95315B" w:rsidR="0090429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In a biological safety cabinet, allow the spotted droplets to air-dry completely at room temperature until no visible liquid remains (approximately 5 min). </w:t>
      </w:r>
    </w:p>
    <w:p w14:paraId="6A253F55" w14:textId="77777777" w:rsidR="00904298" w:rsidRPr="00017845" w:rsidRDefault="00904298"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2E99C5C5" w14:textId="531645A7" w:rsidR="00D038F8" w:rsidRPr="00017845" w:rsidRDefault="00904298" w:rsidP="00101E86">
      <w:pPr>
        <w:pStyle w:val="ListParagraph"/>
        <w:spacing w:after="0" w:line="240" w:lineRule="auto"/>
        <w:ind w:left="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NOTE: </w:t>
      </w:r>
      <w:r w:rsidR="00D038F8" w:rsidRPr="00017845">
        <w:rPr>
          <w:rFonts w:asciiTheme="majorHAnsi" w:eastAsia="Times New Roman" w:hAnsiTheme="majorHAnsi" w:cstheme="majorHAnsi"/>
          <w:sz w:val="24"/>
          <w:szCs w:val="24"/>
          <w:highlight w:val="yellow"/>
        </w:rPr>
        <w:t xml:space="preserve">Do not use forced airflow or heat, as this may </w:t>
      </w:r>
      <w:r w:rsidR="49CCAA52" w:rsidRPr="00017845">
        <w:rPr>
          <w:rFonts w:asciiTheme="majorHAnsi" w:eastAsia="Times New Roman" w:hAnsiTheme="majorHAnsi" w:cstheme="majorHAnsi"/>
          <w:sz w:val="24"/>
          <w:szCs w:val="24"/>
          <w:highlight w:val="yellow"/>
        </w:rPr>
        <w:t xml:space="preserve">dislodge or </w:t>
      </w:r>
      <w:r w:rsidR="08491433" w:rsidRPr="00017845">
        <w:rPr>
          <w:rFonts w:asciiTheme="majorHAnsi" w:eastAsia="Times New Roman" w:hAnsiTheme="majorHAnsi" w:cstheme="majorHAnsi"/>
          <w:sz w:val="24"/>
          <w:szCs w:val="24"/>
          <w:highlight w:val="yellow"/>
        </w:rPr>
        <w:t>degrade</w:t>
      </w:r>
      <w:r w:rsidR="00D038F8" w:rsidRPr="00017845">
        <w:rPr>
          <w:rFonts w:asciiTheme="majorHAnsi" w:eastAsia="Times New Roman" w:hAnsiTheme="majorHAnsi" w:cstheme="majorHAnsi"/>
          <w:sz w:val="24"/>
          <w:szCs w:val="24"/>
          <w:highlight w:val="yellow"/>
        </w:rPr>
        <w:t xml:space="preserve"> the guide RNA.</w:t>
      </w:r>
    </w:p>
    <w:p w14:paraId="3019E826" w14:textId="77777777" w:rsidR="00904298" w:rsidRPr="00017845" w:rsidRDefault="00904298" w:rsidP="00101E86">
      <w:pPr>
        <w:rPr>
          <w:rFonts w:asciiTheme="majorHAnsi" w:eastAsia="Times New Roman" w:hAnsiTheme="majorHAnsi" w:cstheme="majorHAnsi"/>
          <w:highlight w:val="yellow"/>
        </w:rPr>
      </w:pPr>
    </w:p>
    <w:p w14:paraId="21B7423B" w14:textId="25D32DC5" w:rsidR="00904298" w:rsidRPr="00017845" w:rsidRDefault="00D038F8" w:rsidP="00101E86">
      <w:pPr>
        <w:pStyle w:val="ListParagraph"/>
        <w:numPr>
          <w:ilvl w:val="1"/>
          <w:numId w:val="31"/>
        </w:numPr>
        <w:spacing w:after="0" w:line="240" w:lineRule="auto"/>
        <w:ind w:left="0" w:firstLine="0"/>
        <w:jc w:val="both"/>
        <w:rPr>
          <w:rFonts w:asciiTheme="majorHAnsi"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Assemble the DMF cartridge. </w:t>
      </w:r>
    </w:p>
    <w:p w14:paraId="4F5BE8D0" w14:textId="77777777" w:rsidR="00904298" w:rsidRPr="00017845" w:rsidRDefault="00904298" w:rsidP="00101E86">
      <w:pPr>
        <w:pStyle w:val="ListParagraph"/>
        <w:spacing w:after="0" w:line="240" w:lineRule="auto"/>
        <w:ind w:left="0"/>
        <w:jc w:val="both"/>
        <w:rPr>
          <w:rFonts w:asciiTheme="majorHAnsi" w:hAnsiTheme="majorHAnsi" w:cstheme="majorHAnsi"/>
          <w:sz w:val="24"/>
          <w:szCs w:val="24"/>
          <w:highlight w:val="yellow"/>
        </w:rPr>
      </w:pPr>
    </w:p>
    <w:p w14:paraId="1A69A0E3" w14:textId="77777777" w:rsidR="00800F38" w:rsidRPr="00017845" w:rsidRDefault="00BC1BA7" w:rsidP="00101E86">
      <w:pPr>
        <w:pStyle w:val="ListParagraph"/>
        <w:numPr>
          <w:ilvl w:val="2"/>
          <w:numId w:val="31"/>
        </w:numPr>
        <w:spacing w:after="0" w:line="240" w:lineRule="auto"/>
        <w:ind w:left="0" w:firstLine="0"/>
        <w:jc w:val="both"/>
        <w:rPr>
          <w:rFonts w:asciiTheme="majorHAnsi" w:hAnsiTheme="majorHAnsi" w:cstheme="majorHAnsi"/>
          <w:sz w:val="24"/>
          <w:szCs w:val="24"/>
          <w:highlight w:val="yellow"/>
        </w:rPr>
      </w:pPr>
      <w:r w:rsidRPr="00017845">
        <w:rPr>
          <w:rFonts w:asciiTheme="majorHAnsi" w:hAnsiTheme="majorHAnsi" w:cstheme="majorHAnsi"/>
          <w:sz w:val="24"/>
          <w:szCs w:val="24"/>
          <w:highlight w:val="yellow"/>
        </w:rPr>
        <w:t xml:space="preserve">In a biological safety cabinet, align the top plate over the spotted substrate </w:t>
      </w:r>
      <w:r w:rsidR="00B8751A" w:rsidRPr="00017845">
        <w:rPr>
          <w:rFonts w:asciiTheme="majorHAnsi" w:hAnsiTheme="majorHAnsi" w:cstheme="majorHAnsi"/>
          <w:sz w:val="24"/>
          <w:szCs w:val="24"/>
          <w:highlight w:val="yellow"/>
        </w:rPr>
        <w:t>by matching the asymmetrical plastic snapping features from the top plate with the notches on the bottom plate</w:t>
      </w:r>
      <w:r w:rsidR="4CDFEAF0" w:rsidRPr="00017845">
        <w:rPr>
          <w:rFonts w:asciiTheme="majorHAnsi" w:hAnsiTheme="majorHAnsi" w:cstheme="majorHAnsi"/>
          <w:sz w:val="24"/>
          <w:szCs w:val="24"/>
          <w:highlight w:val="yellow"/>
        </w:rPr>
        <w:t xml:space="preserve">. </w:t>
      </w:r>
      <w:r w:rsidRPr="00017845">
        <w:rPr>
          <w:rFonts w:asciiTheme="majorHAnsi" w:hAnsiTheme="majorHAnsi" w:cstheme="majorHAnsi"/>
          <w:sz w:val="24"/>
          <w:szCs w:val="24"/>
          <w:highlight w:val="yellow"/>
        </w:rPr>
        <w:t xml:space="preserve">Apply even, simultaneous pressure along the </w:t>
      </w:r>
      <w:r w:rsidR="488D3220" w:rsidRPr="00017845">
        <w:rPr>
          <w:rFonts w:asciiTheme="majorHAnsi" w:hAnsiTheme="majorHAnsi" w:cstheme="majorHAnsi"/>
          <w:sz w:val="24"/>
          <w:szCs w:val="24"/>
          <w:highlight w:val="yellow"/>
        </w:rPr>
        <w:t>short</w:t>
      </w:r>
      <w:r w:rsidR="0E08B5C6" w:rsidRPr="00017845">
        <w:rPr>
          <w:rFonts w:asciiTheme="majorHAnsi" w:hAnsiTheme="majorHAnsi" w:cstheme="majorHAnsi"/>
          <w:sz w:val="24"/>
          <w:szCs w:val="24"/>
          <w:highlight w:val="yellow"/>
        </w:rPr>
        <w:t xml:space="preserve"> </w:t>
      </w:r>
      <w:r w:rsidRPr="00017845">
        <w:rPr>
          <w:rFonts w:asciiTheme="majorHAnsi" w:hAnsiTheme="majorHAnsi" w:cstheme="majorHAnsi"/>
          <w:sz w:val="24"/>
          <w:szCs w:val="24"/>
          <w:highlight w:val="yellow"/>
        </w:rPr>
        <w:t xml:space="preserve">edges until a distinct mechanical snap is felt, confirming full engagement of the locking features. </w:t>
      </w:r>
    </w:p>
    <w:p w14:paraId="58DCB31C" w14:textId="77777777" w:rsidR="00800F38" w:rsidRPr="00017845" w:rsidRDefault="00800F38" w:rsidP="00101E86">
      <w:pPr>
        <w:pStyle w:val="ListParagraph"/>
        <w:spacing w:after="0" w:line="240" w:lineRule="auto"/>
        <w:ind w:left="0"/>
        <w:jc w:val="both"/>
        <w:rPr>
          <w:rFonts w:asciiTheme="majorHAnsi" w:hAnsiTheme="majorHAnsi" w:cstheme="majorHAnsi"/>
          <w:sz w:val="24"/>
          <w:szCs w:val="24"/>
          <w:highlight w:val="yellow"/>
        </w:rPr>
      </w:pPr>
    </w:p>
    <w:p w14:paraId="3A8B7038" w14:textId="709E6FB0" w:rsidR="00BC1BA7" w:rsidRPr="00017845" w:rsidRDefault="00800F38" w:rsidP="00101E86">
      <w:pPr>
        <w:pStyle w:val="ListParagraph"/>
        <w:spacing w:after="0" w:line="240" w:lineRule="auto"/>
        <w:ind w:left="0"/>
        <w:jc w:val="both"/>
        <w:rPr>
          <w:rFonts w:asciiTheme="majorHAnsi" w:hAnsiTheme="majorHAnsi" w:cstheme="majorHAnsi"/>
          <w:sz w:val="24"/>
          <w:szCs w:val="24"/>
          <w:highlight w:val="yellow"/>
        </w:rPr>
      </w:pPr>
      <w:r w:rsidRPr="00017845">
        <w:rPr>
          <w:rFonts w:asciiTheme="majorHAnsi" w:hAnsiTheme="majorHAnsi" w:cstheme="majorHAnsi"/>
          <w:sz w:val="24"/>
          <w:szCs w:val="24"/>
          <w:highlight w:val="yellow"/>
        </w:rPr>
        <w:t xml:space="preserve">NOTE: </w:t>
      </w:r>
      <w:r w:rsidR="00BC1BA7" w:rsidRPr="00017845">
        <w:rPr>
          <w:rFonts w:asciiTheme="majorHAnsi" w:hAnsiTheme="majorHAnsi" w:cstheme="majorHAnsi"/>
          <w:sz w:val="24"/>
          <w:szCs w:val="24"/>
          <w:highlight w:val="yellow"/>
        </w:rPr>
        <w:t xml:space="preserve">The cartridge is designed with a single correct orientation; incorrect assembly will not produce the snap. Hold substrates by the edges at all times to avoid contamination or damage to functional surfaces and avoid sliding the substrates against each other as this may scratch the surface coatings. </w:t>
      </w:r>
    </w:p>
    <w:p w14:paraId="0F8AFE8B" w14:textId="77777777" w:rsidR="00275D23" w:rsidRPr="00017845" w:rsidRDefault="00275D23" w:rsidP="00101E86">
      <w:pPr>
        <w:pStyle w:val="ListParagraph"/>
        <w:spacing w:after="0" w:line="240" w:lineRule="auto"/>
        <w:ind w:left="0"/>
        <w:jc w:val="both"/>
        <w:rPr>
          <w:rFonts w:asciiTheme="majorHAnsi" w:hAnsiTheme="majorHAnsi" w:cstheme="majorHAnsi"/>
          <w:sz w:val="24"/>
          <w:szCs w:val="24"/>
          <w:highlight w:val="yellow"/>
        </w:rPr>
      </w:pPr>
    </w:p>
    <w:p w14:paraId="12740768" w14:textId="77777777" w:rsidR="00275D23" w:rsidRPr="00017845" w:rsidRDefault="00F41319" w:rsidP="00101E86">
      <w:pPr>
        <w:pStyle w:val="ListParagraph"/>
        <w:numPr>
          <w:ilvl w:val="2"/>
          <w:numId w:val="31"/>
        </w:numPr>
        <w:spacing w:after="0" w:line="240" w:lineRule="auto"/>
        <w:ind w:left="0" w:firstLine="0"/>
        <w:jc w:val="both"/>
        <w:rPr>
          <w:rFonts w:asciiTheme="majorHAnsi" w:hAnsiTheme="majorHAnsi" w:cstheme="majorHAnsi"/>
          <w:sz w:val="24"/>
          <w:szCs w:val="24"/>
          <w:highlight w:val="yellow"/>
        </w:rPr>
      </w:pPr>
      <w:r w:rsidRPr="00017845">
        <w:rPr>
          <w:rFonts w:asciiTheme="majorHAnsi" w:hAnsiTheme="majorHAnsi" w:cstheme="majorHAnsi"/>
          <w:b/>
          <w:bCs/>
          <w:sz w:val="24"/>
          <w:szCs w:val="24"/>
          <w:highlight w:val="yellow"/>
        </w:rPr>
        <w:t>Checkpoint</w:t>
      </w:r>
      <w:r w:rsidR="00BC1BA7" w:rsidRPr="00017845">
        <w:rPr>
          <w:rFonts w:asciiTheme="majorHAnsi" w:hAnsiTheme="majorHAnsi" w:cstheme="majorHAnsi"/>
          <w:sz w:val="24"/>
          <w:szCs w:val="24"/>
          <w:highlight w:val="yellow"/>
        </w:rPr>
        <w:t>: C</w:t>
      </w:r>
      <w:r w:rsidR="00275D23" w:rsidRPr="00017845">
        <w:rPr>
          <w:rFonts w:asciiTheme="majorHAnsi" w:hAnsiTheme="majorHAnsi" w:cstheme="majorHAnsi"/>
          <w:sz w:val="24"/>
          <w:szCs w:val="24"/>
          <w:highlight w:val="yellow"/>
        </w:rPr>
        <w:t>onfirm c</w:t>
      </w:r>
      <w:r w:rsidR="00BC1BA7" w:rsidRPr="00017845">
        <w:rPr>
          <w:rFonts w:asciiTheme="majorHAnsi" w:hAnsiTheme="majorHAnsi" w:cstheme="majorHAnsi"/>
          <w:sz w:val="24"/>
          <w:szCs w:val="24"/>
          <w:highlight w:val="yellow"/>
        </w:rPr>
        <w:t>orrect assembl</w:t>
      </w:r>
      <w:r w:rsidR="00275D23" w:rsidRPr="00017845">
        <w:rPr>
          <w:rFonts w:asciiTheme="majorHAnsi" w:hAnsiTheme="majorHAnsi" w:cstheme="majorHAnsi"/>
          <w:sz w:val="24"/>
          <w:szCs w:val="24"/>
          <w:highlight w:val="yellow"/>
        </w:rPr>
        <w:t>y</w:t>
      </w:r>
      <w:r w:rsidR="00BC1BA7" w:rsidRPr="00017845">
        <w:rPr>
          <w:rFonts w:asciiTheme="majorHAnsi" w:hAnsiTheme="majorHAnsi" w:cstheme="majorHAnsi"/>
          <w:sz w:val="24"/>
          <w:szCs w:val="24"/>
          <w:highlight w:val="yellow"/>
        </w:rPr>
        <w:t xml:space="preserve"> by the mechanical snap. </w:t>
      </w:r>
    </w:p>
    <w:p w14:paraId="526852C7" w14:textId="77777777" w:rsidR="00275D23" w:rsidRPr="00017845" w:rsidRDefault="00275D23" w:rsidP="00101E86">
      <w:pPr>
        <w:pStyle w:val="ListParagraph"/>
        <w:spacing w:after="0" w:line="240" w:lineRule="auto"/>
        <w:ind w:left="0"/>
        <w:jc w:val="both"/>
        <w:rPr>
          <w:rFonts w:asciiTheme="majorHAnsi" w:hAnsiTheme="majorHAnsi" w:cstheme="majorHAnsi"/>
          <w:b/>
          <w:bCs/>
          <w:sz w:val="24"/>
          <w:szCs w:val="24"/>
          <w:highlight w:val="yellow"/>
        </w:rPr>
      </w:pPr>
    </w:p>
    <w:p w14:paraId="69E56320" w14:textId="5EA3C549" w:rsidR="00BC1BA7" w:rsidRPr="00017845" w:rsidRDefault="00275D23" w:rsidP="00101E86">
      <w:pPr>
        <w:pStyle w:val="ListParagraph"/>
        <w:spacing w:after="0" w:line="240" w:lineRule="auto"/>
        <w:ind w:left="0"/>
        <w:jc w:val="both"/>
        <w:rPr>
          <w:rFonts w:asciiTheme="majorHAnsi" w:hAnsiTheme="majorHAnsi" w:cstheme="majorHAnsi"/>
          <w:sz w:val="24"/>
          <w:szCs w:val="24"/>
          <w:highlight w:val="yellow"/>
        </w:rPr>
      </w:pPr>
      <w:r w:rsidRPr="00017845">
        <w:rPr>
          <w:rFonts w:asciiTheme="majorHAnsi" w:hAnsiTheme="majorHAnsi" w:cstheme="majorHAnsi"/>
          <w:sz w:val="24"/>
          <w:szCs w:val="24"/>
          <w:highlight w:val="yellow"/>
        </w:rPr>
        <w:t xml:space="preserve">NOTE: </w:t>
      </w:r>
      <w:r w:rsidR="00BC1BA7" w:rsidRPr="00017845">
        <w:rPr>
          <w:rFonts w:asciiTheme="majorHAnsi" w:hAnsiTheme="majorHAnsi" w:cstheme="majorHAnsi"/>
          <w:sz w:val="24"/>
          <w:szCs w:val="24"/>
          <w:highlight w:val="yellow"/>
        </w:rPr>
        <w:t xml:space="preserve">There is no prerun electrical indicator of coating integrity; any functional failures resulting from improper assembly are detected automatically and reported in the post-run QC report. </w:t>
      </w:r>
    </w:p>
    <w:p w14:paraId="327A35BB" w14:textId="77777777" w:rsidR="00275D23" w:rsidRPr="00017845" w:rsidRDefault="00275D23" w:rsidP="00101E86">
      <w:pPr>
        <w:rPr>
          <w:rFonts w:asciiTheme="majorHAnsi" w:hAnsiTheme="majorHAnsi" w:cstheme="majorHAnsi"/>
          <w:highlight w:val="yellow"/>
        </w:rPr>
      </w:pPr>
    </w:p>
    <w:p w14:paraId="5B549CA0" w14:textId="26963C53" w:rsidR="00D038F8" w:rsidRPr="00017845" w:rsidRDefault="00BC1BA7" w:rsidP="00101E86">
      <w:pPr>
        <w:widowControl/>
        <w:rPr>
          <w:rFonts w:asciiTheme="majorHAnsi" w:hAnsiTheme="majorHAnsi" w:cstheme="majorHAnsi"/>
          <w:highlight w:val="yellow"/>
        </w:rPr>
      </w:pPr>
      <w:r w:rsidRPr="00017845">
        <w:rPr>
          <w:rFonts w:asciiTheme="majorHAnsi" w:hAnsiTheme="majorHAnsi" w:cstheme="majorHAnsi"/>
          <w:b/>
          <w:bCs/>
          <w:highlight w:val="yellow"/>
        </w:rPr>
        <w:t>P</w:t>
      </w:r>
      <w:r w:rsidR="00F41319" w:rsidRPr="00017845">
        <w:rPr>
          <w:rFonts w:asciiTheme="majorHAnsi" w:hAnsiTheme="majorHAnsi" w:cstheme="majorHAnsi"/>
          <w:b/>
          <w:bCs/>
          <w:highlight w:val="yellow"/>
        </w:rPr>
        <w:t>ause point</w:t>
      </w:r>
      <w:r w:rsidRPr="00017845">
        <w:rPr>
          <w:rFonts w:asciiTheme="majorHAnsi" w:hAnsiTheme="majorHAnsi" w:cstheme="majorHAnsi"/>
          <w:highlight w:val="yellow"/>
        </w:rPr>
        <w:t>: Store unused assembled cartridges in a sealed package with desiccant</w:t>
      </w:r>
      <w:r w:rsidR="006645B3" w:rsidRPr="00017845">
        <w:rPr>
          <w:rFonts w:asciiTheme="majorHAnsi" w:hAnsiTheme="majorHAnsi" w:cstheme="majorHAnsi"/>
          <w:highlight w:val="yellow"/>
        </w:rPr>
        <w:t xml:space="preserve"> (silica gel packets)</w:t>
      </w:r>
      <w:r w:rsidRPr="00017845">
        <w:rPr>
          <w:rFonts w:asciiTheme="majorHAnsi" w:hAnsiTheme="majorHAnsi" w:cstheme="majorHAnsi"/>
          <w:highlight w:val="yellow"/>
        </w:rPr>
        <w:t xml:space="preserve"> at room temperature for up to 48 h.</w:t>
      </w:r>
    </w:p>
    <w:p w14:paraId="5FC52CA1" w14:textId="77777777" w:rsidR="00800F38" w:rsidRPr="00017845" w:rsidRDefault="00800F38" w:rsidP="00101E86">
      <w:pPr>
        <w:widowControl/>
        <w:rPr>
          <w:rFonts w:asciiTheme="majorHAnsi" w:eastAsia="Times New Roman" w:hAnsiTheme="majorHAnsi" w:cstheme="majorHAnsi"/>
          <w:highlight w:val="yellow"/>
        </w:rPr>
      </w:pPr>
    </w:p>
    <w:p w14:paraId="58098AE7" w14:textId="017B3877" w:rsidR="00D038F8" w:rsidRPr="00017845" w:rsidRDefault="00D038F8" w:rsidP="00101E86">
      <w:pPr>
        <w:pStyle w:val="ListParagraph"/>
        <w:numPr>
          <w:ilvl w:val="0"/>
          <w:numId w:val="31"/>
        </w:numPr>
        <w:spacing w:after="0" w:line="240" w:lineRule="auto"/>
        <w:ind w:left="0" w:firstLine="0"/>
        <w:jc w:val="both"/>
        <w:rPr>
          <w:rFonts w:asciiTheme="majorHAnsi" w:eastAsia="Times New Roman" w:hAnsiTheme="majorHAnsi" w:cstheme="majorHAnsi"/>
          <w:b/>
          <w:bCs/>
          <w:sz w:val="24"/>
          <w:szCs w:val="24"/>
          <w:highlight w:val="yellow"/>
        </w:rPr>
      </w:pPr>
      <w:r w:rsidRPr="00017845">
        <w:rPr>
          <w:rFonts w:asciiTheme="majorHAnsi" w:eastAsia="Times New Roman" w:hAnsiTheme="majorHAnsi" w:cstheme="majorHAnsi"/>
          <w:b/>
          <w:bCs/>
          <w:sz w:val="24"/>
          <w:szCs w:val="24"/>
          <w:highlight w:val="yellow"/>
        </w:rPr>
        <w:t xml:space="preserve">Cell </w:t>
      </w:r>
      <w:r w:rsidR="004E6042" w:rsidRPr="00017845">
        <w:rPr>
          <w:rFonts w:asciiTheme="majorHAnsi" w:eastAsia="Times New Roman" w:hAnsiTheme="majorHAnsi" w:cstheme="majorHAnsi"/>
          <w:b/>
          <w:bCs/>
          <w:sz w:val="24"/>
          <w:szCs w:val="24"/>
          <w:highlight w:val="yellow"/>
        </w:rPr>
        <w:t>p</w:t>
      </w:r>
      <w:r w:rsidRPr="00017845">
        <w:rPr>
          <w:rFonts w:asciiTheme="majorHAnsi" w:eastAsia="Times New Roman" w:hAnsiTheme="majorHAnsi" w:cstheme="majorHAnsi"/>
          <w:b/>
          <w:bCs/>
          <w:sz w:val="24"/>
          <w:szCs w:val="24"/>
          <w:highlight w:val="yellow"/>
        </w:rPr>
        <w:t>reparation</w:t>
      </w:r>
    </w:p>
    <w:p w14:paraId="24126DCE" w14:textId="77777777" w:rsidR="004E6042" w:rsidRPr="00017845" w:rsidRDefault="004E6042"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0122A586" w14:textId="567D34AE"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lastRenderedPageBreak/>
        <w:t xml:space="preserve">Prepare </w:t>
      </w:r>
      <w:r w:rsidR="006645B3" w:rsidRPr="00017845">
        <w:rPr>
          <w:rFonts w:asciiTheme="majorHAnsi" w:eastAsia="Times New Roman" w:hAnsiTheme="majorHAnsi" w:cstheme="majorHAnsi"/>
          <w:sz w:val="24"/>
          <w:szCs w:val="24"/>
          <w:highlight w:val="yellow"/>
        </w:rPr>
        <w:t>1</w:t>
      </w:r>
      <w:r w:rsidR="004E6042" w:rsidRPr="00017845">
        <w:rPr>
          <w:rFonts w:asciiTheme="majorHAnsi" w:eastAsia="Times New Roman" w:hAnsiTheme="majorHAnsi" w:cstheme="majorHAnsi"/>
          <w:sz w:val="24"/>
          <w:szCs w:val="24"/>
          <w:highlight w:val="yellow"/>
        </w:rPr>
        <w:t xml:space="preserve"> </w:t>
      </w:r>
      <w:r w:rsidR="006645B3" w:rsidRPr="00017845">
        <w:rPr>
          <w:rFonts w:asciiTheme="majorHAnsi" w:eastAsia="Times New Roman" w:hAnsiTheme="majorHAnsi" w:cstheme="majorHAnsi"/>
          <w:sz w:val="24"/>
          <w:szCs w:val="24"/>
          <w:highlight w:val="yellow"/>
        </w:rPr>
        <w:t>m</w:t>
      </w:r>
      <w:r w:rsidR="004E6042" w:rsidRPr="00017845">
        <w:rPr>
          <w:rFonts w:asciiTheme="majorHAnsi" w:eastAsia="Times New Roman" w:hAnsiTheme="majorHAnsi" w:cstheme="majorHAnsi"/>
          <w:sz w:val="24"/>
          <w:szCs w:val="24"/>
          <w:highlight w:val="yellow"/>
        </w:rPr>
        <w:t>L</w:t>
      </w:r>
      <w:r w:rsidR="006645B3" w:rsidRPr="00017845">
        <w:rPr>
          <w:rFonts w:asciiTheme="majorHAnsi" w:eastAsia="Times New Roman" w:hAnsiTheme="majorHAnsi" w:cstheme="majorHAnsi"/>
          <w:sz w:val="24"/>
          <w:szCs w:val="24"/>
          <w:highlight w:val="yellow"/>
        </w:rPr>
        <w:t xml:space="preserve"> of </w:t>
      </w:r>
      <w:r w:rsidR="00271C41" w:rsidRPr="00017845">
        <w:rPr>
          <w:rFonts w:asciiTheme="majorHAnsi" w:eastAsia="Times New Roman" w:hAnsiTheme="majorHAnsi" w:cstheme="majorHAnsi"/>
          <w:sz w:val="24"/>
          <w:szCs w:val="24"/>
          <w:highlight w:val="yellow"/>
        </w:rPr>
        <w:t>C</w:t>
      </w:r>
      <w:r w:rsidRPr="00017845">
        <w:rPr>
          <w:rFonts w:asciiTheme="majorHAnsi" w:eastAsia="Times New Roman" w:hAnsiTheme="majorHAnsi" w:cstheme="majorHAnsi"/>
          <w:sz w:val="24"/>
          <w:szCs w:val="24"/>
          <w:highlight w:val="yellow"/>
        </w:rPr>
        <w:t xml:space="preserve">omplete Transfection Buffer freshly before each use by combining DMF-compatible electroporation buffer with </w:t>
      </w:r>
      <w:r w:rsidR="0093453F" w:rsidRPr="00017845">
        <w:rPr>
          <w:rFonts w:asciiTheme="majorHAnsi" w:eastAsia="Times New Roman" w:hAnsiTheme="majorHAnsi" w:cstheme="majorHAnsi"/>
          <w:sz w:val="24"/>
          <w:szCs w:val="24"/>
          <w:highlight w:val="yellow"/>
        </w:rPr>
        <w:t>the provided</w:t>
      </w:r>
      <w:r w:rsidRPr="00017845">
        <w:rPr>
          <w:rFonts w:asciiTheme="majorHAnsi" w:eastAsia="Times New Roman" w:hAnsiTheme="majorHAnsi" w:cstheme="majorHAnsi"/>
          <w:sz w:val="24"/>
          <w:szCs w:val="24"/>
          <w:highlight w:val="yellow"/>
        </w:rPr>
        <w:t xml:space="preserve"> </w:t>
      </w:r>
      <w:r w:rsidR="002C034B" w:rsidRPr="00017845">
        <w:rPr>
          <w:rFonts w:asciiTheme="majorHAnsi" w:eastAsia="Times New Roman" w:hAnsiTheme="majorHAnsi" w:cstheme="majorHAnsi"/>
          <w:sz w:val="24"/>
          <w:szCs w:val="24"/>
          <w:highlight w:val="yellow"/>
        </w:rPr>
        <w:t xml:space="preserve">biocompatible </w:t>
      </w:r>
      <w:r w:rsidRPr="00017845">
        <w:rPr>
          <w:rFonts w:asciiTheme="majorHAnsi" w:eastAsia="Times New Roman" w:hAnsiTheme="majorHAnsi" w:cstheme="majorHAnsi"/>
          <w:sz w:val="24"/>
          <w:szCs w:val="24"/>
          <w:highlight w:val="yellow"/>
        </w:rPr>
        <w:t>non-ionic surfactant at a 20:1 (v/v) ratio (electroporation buffer:</w:t>
      </w:r>
      <w:r w:rsidR="006645B3" w:rsidRPr="00017845">
        <w:rPr>
          <w:rFonts w:asciiTheme="majorHAnsi" w:eastAsia="Times New Roman" w:hAnsiTheme="majorHAnsi" w:cstheme="majorHAnsi"/>
          <w:sz w:val="24"/>
          <w:szCs w:val="24"/>
          <w:highlight w:val="yellow"/>
        </w:rPr>
        <w:t xml:space="preserve"> </w:t>
      </w:r>
      <w:r w:rsidRPr="00017845">
        <w:rPr>
          <w:rFonts w:asciiTheme="majorHAnsi" w:eastAsia="Times New Roman" w:hAnsiTheme="majorHAnsi" w:cstheme="majorHAnsi"/>
          <w:sz w:val="24"/>
          <w:szCs w:val="24"/>
          <w:highlight w:val="yellow"/>
        </w:rPr>
        <w:t>surfactant), yielding a final surfactant concentration of 0.05% (v/v). Mix gently and keep on ice.</w:t>
      </w:r>
    </w:p>
    <w:p w14:paraId="18772479" w14:textId="77777777" w:rsidR="004E6042" w:rsidRPr="00017845" w:rsidRDefault="004E6042"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676C3224" w14:textId="5E2366F6" w:rsidR="20790A3A" w:rsidRPr="00017845" w:rsidRDefault="20790A3A" w:rsidP="00101E86">
      <w:pPr>
        <w:widowControl/>
        <w:rPr>
          <w:rFonts w:asciiTheme="majorHAnsi" w:hAnsiTheme="majorHAnsi" w:cstheme="majorHAnsi"/>
          <w:highlight w:val="yellow"/>
        </w:rPr>
      </w:pPr>
      <w:r w:rsidRPr="00017845">
        <w:rPr>
          <w:rFonts w:asciiTheme="majorHAnsi" w:eastAsia="Times New Roman" w:hAnsiTheme="majorHAnsi" w:cstheme="majorHAnsi"/>
          <w:highlight w:val="yellow"/>
        </w:rPr>
        <w:t>N</w:t>
      </w:r>
      <w:r w:rsidR="004E6042" w:rsidRPr="00017845">
        <w:rPr>
          <w:rFonts w:asciiTheme="majorHAnsi" w:eastAsia="Times New Roman" w:hAnsiTheme="majorHAnsi" w:cstheme="majorHAnsi"/>
          <w:highlight w:val="yellow"/>
        </w:rPr>
        <w:t>OTE</w:t>
      </w:r>
      <w:r w:rsidRPr="00017845">
        <w:rPr>
          <w:rFonts w:asciiTheme="majorHAnsi" w:eastAsia="Times New Roman" w:hAnsiTheme="majorHAnsi" w:cstheme="majorHAnsi"/>
          <w:highlight w:val="yellow"/>
        </w:rPr>
        <w:t>:</w:t>
      </w:r>
      <w:r w:rsidRPr="00017845">
        <w:rPr>
          <w:rFonts w:asciiTheme="majorHAnsi" w:eastAsia="Times New Roman" w:hAnsiTheme="majorHAnsi" w:cstheme="majorHAnsi"/>
          <w:b/>
          <w:bCs/>
          <w:highlight w:val="yellow"/>
        </w:rPr>
        <w:t xml:space="preserve"> </w:t>
      </w:r>
      <w:r w:rsidRPr="00017845">
        <w:rPr>
          <w:rFonts w:asciiTheme="majorHAnsi" w:hAnsiTheme="majorHAnsi" w:cstheme="majorHAnsi"/>
          <w:highlight w:val="yellow"/>
        </w:rPr>
        <w:t xml:space="preserve">The DMF-compatible </w:t>
      </w:r>
      <w:r w:rsidR="006F36D2" w:rsidRPr="00017845">
        <w:rPr>
          <w:rFonts w:asciiTheme="majorHAnsi" w:hAnsiTheme="majorHAnsi" w:cstheme="majorHAnsi"/>
          <w:highlight w:val="yellow"/>
        </w:rPr>
        <w:t>transfection</w:t>
      </w:r>
      <w:r w:rsidRPr="00017845">
        <w:rPr>
          <w:rFonts w:asciiTheme="majorHAnsi" w:hAnsiTheme="majorHAnsi" w:cstheme="majorHAnsi"/>
          <w:highlight w:val="yellow"/>
        </w:rPr>
        <w:t xml:space="preserve"> buffer used here is a low-conductivity, isotonic buffer (conductivity: 3.5 mS/cm, osmolality: 305 mOsm/L). Researchers using alternative buffers should verify compatibility with DMF actuation and cell viability. The </w:t>
      </w:r>
      <w:r w:rsidR="0093453F" w:rsidRPr="00017845">
        <w:rPr>
          <w:rFonts w:asciiTheme="majorHAnsi" w:hAnsiTheme="majorHAnsi" w:cstheme="majorHAnsi"/>
          <w:highlight w:val="yellow"/>
        </w:rPr>
        <w:t xml:space="preserve">biocompatible </w:t>
      </w:r>
      <w:r w:rsidRPr="00017845">
        <w:rPr>
          <w:rFonts w:asciiTheme="majorHAnsi" w:hAnsiTheme="majorHAnsi" w:cstheme="majorHAnsi"/>
          <w:highlight w:val="yellow"/>
        </w:rPr>
        <w:t xml:space="preserve">non-ionic surfactant serves to reduce droplet pinning; </w:t>
      </w:r>
      <w:r w:rsidR="0093453F" w:rsidRPr="00017845">
        <w:rPr>
          <w:rFonts w:asciiTheme="majorHAnsi" w:hAnsiTheme="majorHAnsi" w:cstheme="majorHAnsi"/>
          <w:highlight w:val="yellow"/>
        </w:rPr>
        <w:t xml:space="preserve">if the provided surfactant is not used, a </w:t>
      </w:r>
      <w:r w:rsidRPr="00017845">
        <w:rPr>
          <w:rFonts w:asciiTheme="majorHAnsi" w:hAnsiTheme="majorHAnsi" w:cstheme="majorHAnsi"/>
          <w:highlight w:val="yellow"/>
        </w:rPr>
        <w:t>suitable substitute.</w:t>
      </w:r>
    </w:p>
    <w:p w14:paraId="69EFAD58" w14:textId="77777777" w:rsidR="004E6042" w:rsidRPr="00017845" w:rsidRDefault="004E6042" w:rsidP="00101E86">
      <w:pPr>
        <w:widowControl/>
        <w:rPr>
          <w:rFonts w:asciiTheme="majorHAnsi" w:eastAsia="Times New Roman" w:hAnsiTheme="majorHAnsi" w:cstheme="majorHAnsi"/>
          <w:b/>
          <w:bCs/>
          <w:highlight w:val="yellow"/>
        </w:rPr>
      </w:pPr>
    </w:p>
    <w:p w14:paraId="2934C4D9" w14:textId="0C18115A"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Wash activated T cells once with </w:t>
      </w:r>
      <w:r w:rsidR="00024050" w:rsidRPr="00017845">
        <w:rPr>
          <w:rFonts w:asciiTheme="majorHAnsi" w:eastAsia="Times New Roman" w:hAnsiTheme="majorHAnsi" w:cstheme="majorHAnsi"/>
          <w:sz w:val="24"/>
          <w:szCs w:val="24"/>
          <w:highlight w:val="yellow"/>
        </w:rPr>
        <w:t>Transfection Buffer</w:t>
      </w:r>
      <w:r w:rsidR="0064101A" w:rsidRPr="00017845">
        <w:rPr>
          <w:rFonts w:asciiTheme="majorHAnsi" w:eastAsia="Times New Roman" w:hAnsiTheme="majorHAnsi" w:cstheme="majorHAnsi"/>
          <w:sz w:val="24"/>
          <w:szCs w:val="24"/>
          <w:highlight w:val="yellow"/>
        </w:rPr>
        <w:t xml:space="preserve"> (</w:t>
      </w:r>
      <w:r w:rsidR="00271C41" w:rsidRPr="00017845">
        <w:rPr>
          <w:rFonts w:asciiTheme="majorHAnsi" w:eastAsia="Times New Roman" w:hAnsiTheme="majorHAnsi" w:cstheme="majorHAnsi"/>
          <w:sz w:val="24"/>
          <w:szCs w:val="24"/>
          <w:highlight w:val="yellow"/>
        </w:rPr>
        <w:t xml:space="preserve">containing </w:t>
      </w:r>
      <w:r w:rsidR="0064101A" w:rsidRPr="00017845">
        <w:rPr>
          <w:rFonts w:asciiTheme="majorHAnsi" w:eastAsia="Times New Roman" w:hAnsiTheme="majorHAnsi" w:cstheme="majorHAnsi"/>
          <w:sz w:val="24"/>
          <w:szCs w:val="24"/>
          <w:highlight w:val="yellow"/>
        </w:rPr>
        <w:t>no surfactant)</w:t>
      </w:r>
      <w:r w:rsidRPr="00017845">
        <w:rPr>
          <w:rFonts w:asciiTheme="majorHAnsi" w:eastAsia="Times New Roman" w:hAnsiTheme="majorHAnsi" w:cstheme="majorHAnsi"/>
          <w:sz w:val="24"/>
          <w:szCs w:val="24"/>
          <w:highlight w:val="yellow"/>
        </w:rPr>
        <w:t xml:space="preserve">. Centrifuge at 180 × </w:t>
      </w:r>
      <w:r w:rsidRPr="00017845">
        <w:rPr>
          <w:rFonts w:asciiTheme="majorHAnsi" w:eastAsia="Times New Roman" w:hAnsiTheme="majorHAnsi" w:cstheme="majorHAnsi"/>
          <w:i/>
          <w:iCs/>
          <w:sz w:val="24"/>
          <w:szCs w:val="24"/>
          <w:highlight w:val="yellow"/>
        </w:rPr>
        <w:t>g</w:t>
      </w:r>
      <w:r w:rsidRPr="00017845">
        <w:rPr>
          <w:rFonts w:asciiTheme="majorHAnsi" w:eastAsia="Times New Roman" w:hAnsiTheme="majorHAnsi" w:cstheme="majorHAnsi"/>
          <w:sz w:val="24"/>
          <w:szCs w:val="24"/>
          <w:highlight w:val="yellow"/>
        </w:rPr>
        <w:t xml:space="preserve"> for 5 min, aspirate the supernatant</w:t>
      </w:r>
      <w:r w:rsidR="004E6042" w:rsidRPr="00017845">
        <w:rPr>
          <w:rFonts w:asciiTheme="majorHAnsi" w:eastAsia="Times New Roman" w:hAnsiTheme="majorHAnsi" w:cstheme="majorHAnsi"/>
          <w:sz w:val="24"/>
          <w:szCs w:val="24"/>
          <w:highlight w:val="yellow"/>
        </w:rPr>
        <w:t>,</w:t>
      </w:r>
      <w:r w:rsidRPr="00017845">
        <w:rPr>
          <w:rFonts w:asciiTheme="majorHAnsi" w:eastAsia="Times New Roman" w:hAnsiTheme="majorHAnsi" w:cstheme="majorHAnsi"/>
          <w:sz w:val="24"/>
          <w:szCs w:val="24"/>
          <w:highlight w:val="yellow"/>
        </w:rPr>
        <w:t xml:space="preserve"> and resuspend the cell pellet in </w:t>
      </w:r>
      <w:r w:rsidR="00271C41" w:rsidRPr="00017845">
        <w:rPr>
          <w:rFonts w:asciiTheme="majorHAnsi" w:eastAsia="Times New Roman" w:hAnsiTheme="majorHAnsi" w:cstheme="majorHAnsi"/>
          <w:sz w:val="24"/>
          <w:szCs w:val="24"/>
          <w:highlight w:val="yellow"/>
        </w:rPr>
        <w:t>C</w:t>
      </w:r>
      <w:r w:rsidRPr="00017845">
        <w:rPr>
          <w:rFonts w:asciiTheme="majorHAnsi" w:eastAsia="Times New Roman" w:hAnsiTheme="majorHAnsi" w:cstheme="majorHAnsi"/>
          <w:sz w:val="24"/>
          <w:szCs w:val="24"/>
          <w:highlight w:val="yellow"/>
        </w:rPr>
        <w:t>omplete Transfection Buffer</w:t>
      </w:r>
      <w:r w:rsidR="00271C41" w:rsidRPr="00017845">
        <w:rPr>
          <w:rFonts w:asciiTheme="majorHAnsi" w:eastAsia="Times New Roman" w:hAnsiTheme="majorHAnsi" w:cstheme="majorHAnsi"/>
          <w:sz w:val="24"/>
          <w:szCs w:val="24"/>
          <w:highlight w:val="yellow"/>
        </w:rPr>
        <w:t xml:space="preserve"> (containing surfactant)</w:t>
      </w:r>
      <w:r w:rsidRPr="00017845">
        <w:rPr>
          <w:rFonts w:asciiTheme="majorHAnsi" w:eastAsia="Times New Roman" w:hAnsiTheme="majorHAnsi" w:cstheme="majorHAnsi"/>
          <w:sz w:val="24"/>
          <w:szCs w:val="24"/>
          <w:highlight w:val="yellow"/>
        </w:rPr>
        <w:t xml:space="preserve"> at 1.0 × 10⁷ cells/mL in a total volume of 100 µL per cartridge. Keep on ice.</w:t>
      </w:r>
    </w:p>
    <w:p w14:paraId="6E52BDBD" w14:textId="77777777" w:rsidR="004E6042" w:rsidRPr="00017845" w:rsidRDefault="004E6042"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3365E9CB" w14:textId="154833F2" w:rsidR="004E6042"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Immediately before loading onto the </w:t>
      </w:r>
      <w:r w:rsidR="00C455EA" w:rsidRPr="00017845">
        <w:rPr>
          <w:rFonts w:asciiTheme="majorHAnsi" w:hAnsiTheme="majorHAnsi" w:cstheme="majorHAnsi"/>
          <w:bCs/>
          <w:sz w:val="24"/>
          <w:szCs w:val="24"/>
          <w:highlight w:val="yellow"/>
        </w:rPr>
        <w:t>cartridge</w:t>
      </w:r>
      <w:r w:rsidRPr="00017845">
        <w:rPr>
          <w:rFonts w:asciiTheme="majorHAnsi" w:eastAsia="Times New Roman" w:hAnsiTheme="majorHAnsi" w:cstheme="majorHAnsi"/>
          <w:sz w:val="24"/>
          <w:szCs w:val="24"/>
          <w:highlight w:val="yellow"/>
        </w:rPr>
        <w:t>, add Cas9 nuclease directly to the 100 µL</w:t>
      </w:r>
      <w:r w:rsidR="004E6042" w:rsidRPr="00017845">
        <w:rPr>
          <w:rFonts w:asciiTheme="majorHAnsi" w:eastAsia="Times New Roman" w:hAnsiTheme="majorHAnsi" w:cstheme="majorHAnsi"/>
          <w:sz w:val="24"/>
          <w:szCs w:val="24"/>
          <w:highlight w:val="yellow"/>
        </w:rPr>
        <w:t xml:space="preserve"> of</w:t>
      </w:r>
      <w:r w:rsidRPr="00017845">
        <w:rPr>
          <w:rFonts w:asciiTheme="majorHAnsi" w:eastAsia="Times New Roman" w:hAnsiTheme="majorHAnsi" w:cstheme="majorHAnsi"/>
          <w:sz w:val="24"/>
          <w:szCs w:val="24"/>
          <w:highlight w:val="yellow"/>
        </w:rPr>
        <w:t xml:space="preserve"> T-cell suspension and mix by gentle pipetting</w:t>
      </w:r>
      <w:r w:rsidR="004E6042" w:rsidRPr="00017845">
        <w:rPr>
          <w:rFonts w:asciiTheme="majorHAnsi" w:eastAsia="Times New Roman" w:hAnsiTheme="majorHAnsi" w:cstheme="majorHAnsi"/>
          <w:sz w:val="24"/>
          <w:szCs w:val="24"/>
          <w:highlight w:val="yellow"/>
        </w:rPr>
        <w:t>; k</w:t>
      </w:r>
      <w:r w:rsidRPr="00017845">
        <w:rPr>
          <w:rFonts w:asciiTheme="majorHAnsi" w:eastAsia="Times New Roman" w:hAnsiTheme="majorHAnsi" w:cstheme="majorHAnsi"/>
          <w:sz w:val="24"/>
          <w:szCs w:val="24"/>
          <w:highlight w:val="yellow"/>
        </w:rPr>
        <w:t xml:space="preserve">eep on ice. </w:t>
      </w:r>
    </w:p>
    <w:p w14:paraId="0C37EBF8" w14:textId="77777777" w:rsidR="004E6042" w:rsidRPr="00017845" w:rsidRDefault="004E6042"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68707107" w14:textId="057BAA1A" w:rsidR="00D038F8" w:rsidRPr="00017845" w:rsidRDefault="004E6042" w:rsidP="00101E86">
      <w:pPr>
        <w:pStyle w:val="ListParagraph"/>
        <w:spacing w:after="0" w:line="240" w:lineRule="auto"/>
        <w:ind w:left="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NOTE: </w:t>
      </w:r>
      <w:r w:rsidR="00D038F8" w:rsidRPr="00017845">
        <w:rPr>
          <w:rFonts w:asciiTheme="majorHAnsi" w:eastAsia="Times New Roman" w:hAnsiTheme="majorHAnsi" w:cstheme="majorHAnsi"/>
          <w:sz w:val="24"/>
          <w:szCs w:val="24"/>
          <w:highlight w:val="yellow"/>
        </w:rPr>
        <w:t xml:space="preserve">For primary T cells, </w:t>
      </w:r>
      <w:r w:rsidR="3AEF2A24" w:rsidRPr="00017845">
        <w:rPr>
          <w:rFonts w:asciiTheme="majorHAnsi" w:hAnsiTheme="majorHAnsi" w:cstheme="majorHAnsi"/>
          <w:sz w:val="24"/>
          <w:szCs w:val="24"/>
          <w:highlight w:val="yellow"/>
        </w:rPr>
        <w:t>Cas9 is loaded at 42 pmol per 100 µL cartridge volume (0.42 pmol/µL). Each electroporation site processes approximately 1 µL of cell suspension, delivering 0.42 pmol Cas9 per edit. O</w:t>
      </w:r>
      <w:r w:rsidR="00D038F8" w:rsidRPr="00017845">
        <w:rPr>
          <w:rFonts w:asciiTheme="majorHAnsi" w:eastAsia="Times New Roman" w:hAnsiTheme="majorHAnsi" w:cstheme="majorHAnsi"/>
          <w:sz w:val="24"/>
          <w:szCs w:val="24"/>
          <w:highlight w:val="yellow"/>
        </w:rPr>
        <w:t>ptimize this dosage when adapting to other immune cell types</w:t>
      </w:r>
      <w:r w:rsidR="009803A1" w:rsidRPr="00017845">
        <w:rPr>
          <w:rFonts w:asciiTheme="majorHAnsi" w:eastAsia="Times New Roman" w:hAnsiTheme="majorHAnsi" w:cstheme="majorHAnsi"/>
          <w:sz w:val="24"/>
          <w:szCs w:val="24"/>
          <w:highlight w:val="yellow"/>
        </w:rPr>
        <w:t xml:space="preserve"> (see </w:t>
      </w:r>
      <w:r w:rsidR="009803A1" w:rsidRPr="00017845">
        <w:rPr>
          <w:rFonts w:asciiTheme="majorHAnsi" w:eastAsia="Times New Roman" w:hAnsiTheme="majorHAnsi" w:cstheme="majorHAnsi"/>
          <w:b/>
          <w:bCs/>
          <w:sz w:val="24"/>
          <w:szCs w:val="24"/>
          <w:highlight w:val="yellow"/>
        </w:rPr>
        <w:t>Table 1</w:t>
      </w:r>
      <w:r w:rsidR="009803A1" w:rsidRPr="00017845">
        <w:rPr>
          <w:rFonts w:asciiTheme="majorHAnsi" w:eastAsia="Times New Roman" w:hAnsiTheme="majorHAnsi" w:cstheme="majorHAnsi"/>
          <w:sz w:val="24"/>
          <w:szCs w:val="24"/>
          <w:highlight w:val="yellow"/>
        </w:rPr>
        <w:t>)</w:t>
      </w:r>
      <w:r w:rsidR="00D038F8" w:rsidRPr="00017845">
        <w:rPr>
          <w:rFonts w:asciiTheme="majorHAnsi" w:eastAsia="Times New Roman" w:hAnsiTheme="majorHAnsi" w:cstheme="majorHAnsi"/>
          <w:sz w:val="24"/>
          <w:szCs w:val="24"/>
          <w:highlight w:val="yellow"/>
        </w:rPr>
        <w:t>.</w:t>
      </w:r>
    </w:p>
    <w:p w14:paraId="0C568B7E" w14:textId="7921F41D" w:rsidR="009803A1" w:rsidRPr="00017845" w:rsidRDefault="009803A1" w:rsidP="00101E86">
      <w:pPr>
        <w:pStyle w:val="ListParagraph"/>
        <w:spacing w:after="0" w:line="240" w:lineRule="auto"/>
        <w:ind w:left="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Place </w:t>
      </w:r>
      <w:r w:rsidRPr="00017845">
        <w:rPr>
          <w:rFonts w:asciiTheme="majorHAnsi" w:eastAsia="Times New Roman" w:hAnsiTheme="majorHAnsi" w:cstheme="majorHAnsi"/>
          <w:b/>
          <w:bCs/>
          <w:sz w:val="24"/>
          <w:szCs w:val="24"/>
          <w:highlight w:val="yellow"/>
        </w:rPr>
        <w:t>Table 1</w:t>
      </w:r>
      <w:r w:rsidRPr="00017845">
        <w:rPr>
          <w:rFonts w:asciiTheme="majorHAnsi" w:eastAsia="Times New Roman" w:hAnsiTheme="majorHAnsi" w:cstheme="majorHAnsi"/>
          <w:sz w:val="24"/>
          <w:szCs w:val="24"/>
          <w:highlight w:val="yellow"/>
        </w:rPr>
        <w:t xml:space="preserve"> here. </w:t>
      </w:r>
    </w:p>
    <w:p w14:paraId="3CAD07BA" w14:textId="7E64FFB1" w:rsidR="00D038F8" w:rsidRPr="00017845" w:rsidRDefault="00D038F8" w:rsidP="00101E86">
      <w:pPr>
        <w:widowControl/>
        <w:rPr>
          <w:rFonts w:asciiTheme="majorHAnsi" w:eastAsia="Times New Roman" w:hAnsiTheme="majorHAnsi" w:cstheme="majorHAnsi"/>
          <w:highlight w:val="yellow"/>
        </w:rPr>
      </w:pPr>
    </w:p>
    <w:p w14:paraId="550E3533" w14:textId="470EDE39" w:rsidR="00D038F8" w:rsidRPr="00017845" w:rsidRDefault="00D038F8" w:rsidP="00101E86">
      <w:pPr>
        <w:pStyle w:val="ListParagraph"/>
        <w:numPr>
          <w:ilvl w:val="0"/>
          <w:numId w:val="31"/>
        </w:numPr>
        <w:spacing w:after="0" w:line="240" w:lineRule="auto"/>
        <w:ind w:left="0" w:firstLine="0"/>
        <w:jc w:val="both"/>
        <w:rPr>
          <w:rFonts w:asciiTheme="majorHAnsi" w:eastAsia="Times New Roman" w:hAnsiTheme="majorHAnsi" w:cstheme="majorHAnsi"/>
          <w:b/>
          <w:bCs/>
          <w:sz w:val="24"/>
          <w:szCs w:val="24"/>
          <w:highlight w:val="yellow"/>
        </w:rPr>
      </w:pPr>
      <w:r w:rsidRPr="00017845">
        <w:rPr>
          <w:rFonts w:asciiTheme="majorHAnsi" w:eastAsia="Times New Roman" w:hAnsiTheme="majorHAnsi" w:cstheme="majorHAnsi"/>
          <w:b/>
          <w:bCs/>
          <w:sz w:val="24"/>
          <w:szCs w:val="24"/>
          <w:highlight w:val="yellow"/>
        </w:rPr>
        <w:t>Transfection on the DMF</w:t>
      </w:r>
      <w:r w:rsidR="006552BF" w:rsidRPr="00017845">
        <w:rPr>
          <w:rFonts w:asciiTheme="majorHAnsi" w:eastAsia="Times New Roman" w:hAnsiTheme="majorHAnsi" w:cstheme="majorHAnsi"/>
          <w:b/>
          <w:bCs/>
          <w:sz w:val="24"/>
          <w:szCs w:val="24"/>
          <w:highlight w:val="yellow"/>
        </w:rPr>
        <w:t xml:space="preserve">-ection </w:t>
      </w:r>
      <w:r w:rsidR="009803A1" w:rsidRPr="00017845">
        <w:rPr>
          <w:rFonts w:asciiTheme="majorHAnsi" w:eastAsia="Times New Roman" w:hAnsiTheme="majorHAnsi" w:cstheme="majorHAnsi"/>
          <w:b/>
          <w:bCs/>
          <w:sz w:val="24"/>
          <w:szCs w:val="24"/>
          <w:highlight w:val="yellow"/>
        </w:rPr>
        <w:t>p</w:t>
      </w:r>
      <w:r w:rsidRPr="00017845">
        <w:rPr>
          <w:rFonts w:asciiTheme="majorHAnsi" w:eastAsia="Times New Roman" w:hAnsiTheme="majorHAnsi" w:cstheme="majorHAnsi"/>
          <w:b/>
          <w:bCs/>
          <w:sz w:val="24"/>
          <w:szCs w:val="24"/>
          <w:highlight w:val="yellow"/>
        </w:rPr>
        <w:t>latform</w:t>
      </w:r>
    </w:p>
    <w:p w14:paraId="19F3BB05" w14:textId="77777777" w:rsidR="009803A1" w:rsidRPr="00017845" w:rsidRDefault="009803A1"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1D1BBC12" w14:textId="0FD71AE4"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Using a multichannel pipette, dispense 10 µL of the T-cell/Cas9 mixture into </w:t>
      </w:r>
      <w:r w:rsidR="00D85FAF" w:rsidRPr="00017845">
        <w:rPr>
          <w:rFonts w:asciiTheme="majorHAnsi" w:eastAsia="Times New Roman" w:hAnsiTheme="majorHAnsi" w:cstheme="majorHAnsi"/>
          <w:sz w:val="24"/>
          <w:szCs w:val="24"/>
          <w:highlight w:val="yellow"/>
        </w:rPr>
        <w:t>each of the 8</w:t>
      </w:r>
      <w:r w:rsidRPr="00017845">
        <w:rPr>
          <w:rFonts w:asciiTheme="majorHAnsi" w:eastAsia="Times New Roman" w:hAnsiTheme="majorHAnsi" w:cstheme="majorHAnsi"/>
          <w:sz w:val="24"/>
          <w:szCs w:val="24"/>
          <w:highlight w:val="yellow"/>
        </w:rPr>
        <w:t xml:space="preserve"> </w:t>
      </w:r>
      <w:r w:rsidR="003C48E6" w:rsidRPr="00017845">
        <w:rPr>
          <w:rFonts w:asciiTheme="majorHAnsi" w:eastAsia="Times New Roman" w:hAnsiTheme="majorHAnsi" w:cstheme="majorHAnsi"/>
          <w:sz w:val="24"/>
          <w:szCs w:val="24"/>
          <w:highlight w:val="yellow"/>
        </w:rPr>
        <w:t xml:space="preserve">cell </w:t>
      </w:r>
      <w:r w:rsidRPr="00017845">
        <w:rPr>
          <w:rFonts w:asciiTheme="majorHAnsi" w:eastAsia="Times New Roman" w:hAnsiTheme="majorHAnsi" w:cstheme="majorHAnsi"/>
          <w:sz w:val="24"/>
          <w:szCs w:val="24"/>
          <w:highlight w:val="yellow"/>
        </w:rPr>
        <w:t>loading port</w:t>
      </w:r>
      <w:r w:rsidR="00D85FAF" w:rsidRPr="00017845">
        <w:rPr>
          <w:rFonts w:asciiTheme="majorHAnsi" w:eastAsia="Times New Roman" w:hAnsiTheme="majorHAnsi" w:cstheme="majorHAnsi"/>
          <w:sz w:val="24"/>
          <w:szCs w:val="24"/>
          <w:highlight w:val="yellow"/>
        </w:rPr>
        <w:t>s</w:t>
      </w:r>
      <w:r w:rsidR="003C48E6" w:rsidRPr="00017845">
        <w:rPr>
          <w:rFonts w:asciiTheme="majorHAnsi" w:eastAsia="Times New Roman" w:hAnsiTheme="majorHAnsi" w:cstheme="majorHAnsi"/>
          <w:sz w:val="24"/>
          <w:szCs w:val="24"/>
          <w:highlight w:val="yellow"/>
        </w:rPr>
        <w:t>, and 10</w:t>
      </w:r>
      <w:r w:rsidR="009803A1" w:rsidRPr="00017845">
        <w:rPr>
          <w:rFonts w:asciiTheme="majorHAnsi" w:eastAsia="Times New Roman" w:hAnsiTheme="majorHAnsi" w:cstheme="majorHAnsi"/>
          <w:sz w:val="24"/>
          <w:szCs w:val="24"/>
          <w:highlight w:val="yellow"/>
        </w:rPr>
        <w:t xml:space="preserve"> </w:t>
      </w:r>
      <w:r w:rsidR="009803A1" w:rsidRPr="00017845">
        <w:rPr>
          <w:rFonts w:asciiTheme="majorHAnsi" w:hAnsiTheme="majorHAnsi" w:cstheme="majorHAnsi"/>
          <w:sz w:val="24"/>
          <w:szCs w:val="24"/>
          <w:highlight w:val="yellow"/>
        </w:rPr>
        <w:t>µL</w:t>
      </w:r>
      <w:r w:rsidR="003C48E6" w:rsidRPr="00017845">
        <w:rPr>
          <w:rFonts w:asciiTheme="majorHAnsi" w:eastAsia="Times New Roman" w:hAnsiTheme="majorHAnsi" w:cstheme="majorHAnsi"/>
          <w:sz w:val="24"/>
          <w:szCs w:val="24"/>
          <w:highlight w:val="yellow"/>
        </w:rPr>
        <w:t xml:space="preserve"> of complete Transfection Buffer into the 16 liquid electrode loading ports (as shown in </w:t>
      </w:r>
      <w:r w:rsidR="003C48E6" w:rsidRPr="00017845">
        <w:rPr>
          <w:rFonts w:asciiTheme="majorHAnsi" w:eastAsia="Times New Roman" w:hAnsiTheme="majorHAnsi" w:cstheme="majorHAnsi"/>
          <w:b/>
          <w:bCs/>
          <w:sz w:val="24"/>
          <w:szCs w:val="24"/>
          <w:highlight w:val="yellow"/>
        </w:rPr>
        <w:t xml:space="preserve">Figure </w:t>
      </w:r>
      <w:r w:rsidR="003C48E6" w:rsidRPr="00017845">
        <w:rPr>
          <w:rFonts w:asciiTheme="majorHAnsi" w:eastAsia="Times New Roman" w:hAnsiTheme="majorHAnsi" w:cstheme="majorHAnsi"/>
          <w:sz w:val="24"/>
          <w:szCs w:val="24"/>
          <w:highlight w:val="yellow"/>
        </w:rPr>
        <w:t>1)</w:t>
      </w:r>
      <w:r w:rsidRPr="00017845">
        <w:rPr>
          <w:rFonts w:asciiTheme="majorHAnsi" w:eastAsia="Times New Roman" w:hAnsiTheme="majorHAnsi" w:cstheme="majorHAnsi"/>
          <w:sz w:val="24"/>
          <w:szCs w:val="24"/>
          <w:highlight w:val="yellow"/>
        </w:rPr>
        <w:t xml:space="preserve">. </w:t>
      </w:r>
    </w:p>
    <w:p w14:paraId="7E3D1FA8" w14:textId="77777777" w:rsidR="009803A1" w:rsidRPr="00017845" w:rsidRDefault="009803A1"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55EE007D" w14:textId="1BA01EE7" w:rsidR="00D038F8" w:rsidRPr="00017845" w:rsidRDefault="00D038F8" w:rsidP="00101E86">
      <w:pPr>
        <w:widowControl/>
        <w:rPr>
          <w:rFonts w:asciiTheme="majorHAnsi" w:eastAsia="Times New Roman" w:hAnsiTheme="majorHAnsi" w:cstheme="majorHAnsi"/>
          <w:highlight w:val="yellow"/>
        </w:rPr>
      </w:pPr>
      <w:r w:rsidRPr="00017845">
        <w:rPr>
          <w:rFonts w:asciiTheme="majorHAnsi" w:eastAsia="Times New Roman" w:hAnsiTheme="majorHAnsi" w:cstheme="majorHAnsi"/>
          <w:b/>
          <w:bCs/>
          <w:highlight w:val="yellow"/>
        </w:rPr>
        <w:t>4.</w:t>
      </w:r>
      <w:r w:rsidR="69D4D21B" w:rsidRPr="00017845">
        <w:rPr>
          <w:rFonts w:asciiTheme="majorHAnsi" w:eastAsia="Times New Roman" w:hAnsiTheme="majorHAnsi" w:cstheme="majorHAnsi"/>
          <w:b/>
          <w:bCs/>
          <w:highlight w:val="yellow"/>
        </w:rPr>
        <w:t>2</w:t>
      </w:r>
      <w:r w:rsidRPr="00017845">
        <w:rPr>
          <w:rFonts w:asciiTheme="majorHAnsi" w:eastAsia="Times New Roman" w:hAnsiTheme="majorHAnsi" w:cstheme="majorHAnsi"/>
          <w:b/>
          <w:bCs/>
          <w:highlight w:val="yellow"/>
        </w:rPr>
        <w:t xml:space="preserve">. </w:t>
      </w:r>
      <w:r w:rsidRPr="00017845">
        <w:rPr>
          <w:rFonts w:asciiTheme="majorHAnsi" w:eastAsia="Times New Roman" w:hAnsiTheme="majorHAnsi" w:cstheme="majorHAnsi"/>
          <w:highlight w:val="yellow"/>
        </w:rPr>
        <w:t xml:space="preserve">Set the </w:t>
      </w:r>
      <w:r w:rsidRPr="00017845">
        <w:rPr>
          <w:rFonts w:asciiTheme="majorHAnsi" w:eastAsia="Times New Roman" w:hAnsiTheme="majorHAnsi" w:cstheme="majorHAnsi"/>
          <w:b/>
          <w:bCs/>
          <w:highlight w:val="yellow"/>
        </w:rPr>
        <w:t>voltage</w:t>
      </w:r>
      <w:r w:rsidRPr="00017845">
        <w:rPr>
          <w:rFonts w:asciiTheme="majorHAnsi" w:eastAsia="Times New Roman" w:hAnsiTheme="majorHAnsi" w:cstheme="majorHAnsi"/>
          <w:highlight w:val="yellow"/>
        </w:rPr>
        <w:t xml:space="preserve"> to </w:t>
      </w:r>
      <w:r w:rsidRPr="00017845">
        <w:rPr>
          <w:rFonts w:asciiTheme="majorHAnsi" w:eastAsia="Times New Roman" w:hAnsiTheme="majorHAnsi" w:cstheme="majorHAnsi"/>
          <w:b/>
          <w:bCs/>
          <w:highlight w:val="yellow"/>
        </w:rPr>
        <w:t>500 V</w:t>
      </w:r>
      <w:r w:rsidRPr="00017845">
        <w:rPr>
          <w:rFonts w:asciiTheme="majorHAnsi" w:eastAsia="Times New Roman" w:hAnsiTheme="majorHAnsi" w:cstheme="majorHAnsi"/>
          <w:highlight w:val="yellow"/>
        </w:rPr>
        <w:t xml:space="preserve">, pulse duration to 3 ms, and number of pulses to 2. Initiate the electroporation sequence according to </w:t>
      </w:r>
      <w:r w:rsidR="00275D23" w:rsidRPr="00017845">
        <w:rPr>
          <w:rFonts w:asciiTheme="majorHAnsi" w:eastAsia="Times New Roman" w:hAnsiTheme="majorHAnsi" w:cstheme="majorHAnsi"/>
          <w:highlight w:val="yellow"/>
        </w:rPr>
        <w:t xml:space="preserve">the </w:t>
      </w:r>
      <w:r w:rsidRPr="00017845">
        <w:rPr>
          <w:rFonts w:asciiTheme="majorHAnsi" w:eastAsia="Times New Roman" w:hAnsiTheme="majorHAnsi" w:cstheme="majorHAnsi"/>
          <w:highlight w:val="yellow"/>
        </w:rPr>
        <w:t>platform instructions.</w:t>
      </w:r>
    </w:p>
    <w:p w14:paraId="339FC932" w14:textId="77777777" w:rsidR="00275D23" w:rsidRPr="00017845" w:rsidRDefault="00275D23" w:rsidP="00101E86">
      <w:pPr>
        <w:widowControl/>
        <w:rPr>
          <w:rFonts w:asciiTheme="majorHAnsi" w:hAnsiTheme="majorHAnsi" w:cstheme="majorHAnsi"/>
          <w:b/>
          <w:bCs/>
          <w:highlight w:val="yellow"/>
        </w:rPr>
      </w:pPr>
    </w:p>
    <w:p w14:paraId="19DD5B6A" w14:textId="2C28D842" w:rsidR="00F043FA" w:rsidRPr="00017845" w:rsidRDefault="00D02FDD"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hAnsiTheme="majorHAnsi" w:cstheme="majorHAnsi"/>
          <w:b/>
          <w:bCs/>
          <w:sz w:val="24"/>
          <w:szCs w:val="24"/>
          <w:highlight w:val="yellow"/>
        </w:rPr>
        <w:t>Checkpoint</w:t>
      </w:r>
      <w:r w:rsidR="00F043FA" w:rsidRPr="00017845">
        <w:rPr>
          <w:rFonts w:asciiTheme="majorHAnsi" w:hAnsiTheme="majorHAnsi" w:cstheme="majorHAnsi"/>
          <w:sz w:val="24"/>
          <w:szCs w:val="24"/>
          <w:highlight w:val="yellow"/>
        </w:rPr>
        <w:t>: Review the postrun QC report immediately after the run. Sporadic failures (&lt;10% of sites) require no intervention. If failures are systematic, replace the cartridge with the provided QC board, run the System Health Check (~2 min), and contact technical support if issues persist.</w:t>
      </w:r>
    </w:p>
    <w:p w14:paraId="26959F84" w14:textId="7B4B27BB" w:rsidR="00D038F8" w:rsidRPr="00017845" w:rsidRDefault="00D038F8" w:rsidP="00101E86">
      <w:pPr>
        <w:widowControl/>
        <w:rPr>
          <w:rFonts w:asciiTheme="majorHAnsi" w:eastAsia="Times New Roman" w:hAnsiTheme="majorHAnsi" w:cstheme="majorHAnsi"/>
          <w:highlight w:val="yellow"/>
        </w:rPr>
      </w:pPr>
    </w:p>
    <w:p w14:paraId="55155834" w14:textId="7C60364F" w:rsidR="00D038F8" w:rsidRPr="00017845" w:rsidRDefault="00D038F8" w:rsidP="00101E86">
      <w:pPr>
        <w:pStyle w:val="ListParagraph"/>
        <w:numPr>
          <w:ilvl w:val="0"/>
          <w:numId w:val="31"/>
        </w:numPr>
        <w:spacing w:after="0" w:line="240" w:lineRule="auto"/>
        <w:ind w:left="0" w:firstLine="0"/>
        <w:jc w:val="both"/>
        <w:rPr>
          <w:rFonts w:asciiTheme="majorHAnsi" w:eastAsia="Times New Roman" w:hAnsiTheme="majorHAnsi" w:cstheme="majorHAnsi"/>
          <w:b/>
          <w:bCs/>
          <w:sz w:val="24"/>
          <w:szCs w:val="24"/>
          <w:highlight w:val="yellow"/>
        </w:rPr>
      </w:pPr>
      <w:r w:rsidRPr="00017845">
        <w:rPr>
          <w:rFonts w:asciiTheme="majorHAnsi" w:eastAsia="Times New Roman" w:hAnsiTheme="majorHAnsi" w:cstheme="majorHAnsi"/>
          <w:b/>
          <w:bCs/>
          <w:sz w:val="24"/>
          <w:szCs w:val="24"/>
          <w:highlight w:val="yellow"/>
        </w:rPr>
        <w:t xml:space="preserve">Offloading and </w:t>
      </w:r>
      <w:r w:rsidR="00F45633" w:rsidRPr="00017845">
        <w:rPr>
          <w:rFonts w:asciiTheme="majorHAnsi" w:eastAsia="Times New Roman" w:hAnsiTheme="majorHAnsi" w:cstheme="majorHAnsi"/>
          <w:b/>
          <w:bCs/>
          <w:sz w:val="24"/>
          <w:szCs w:val="24"/>
          <w:highlight w:val="yellow"/>
        </w:rPr>
        <w:t>r</w:t>
      </w:r>
      <w:r w:rsidRPr="00017845">
        <w:rPr>
          <w:rFonts w:asciiTheme="majorHAnsi" w:eastAsia="Times New Roman" w:hAnsiTheme="majorHAnsi" w:cstheme="majorHAnsi"/>
          <w:b/>
          <w:bCs/>
          <w:sz w:val="24"/>
          <w:szCs w:val="24"/>
          <w:highlight w:val="yellow"/>
        </w:rPr>
        <w:t xml:space="preserve">ecovery of </w:t>
      </w:r>
      <w:r w:rsidR="00F45633" w:rsidRPr="00017845">
        <w:rPr>
          <w:rFonts w:asciiTheme="majorHAnsi" w:eastAsia="Times New Roman" w:hAnsiTheme="majorHAnsi" w:cstheme="majorHAnsi"/>
          <w:b/>
          <w:bCs/>
          <w:sz w:val="24"/>
          <w:szCs w:val="24"/>
          <w:highlight w:val="yellow"/>
        </w:rPr>
        <w:t>e</w:t>
      </w:r>
      <w:r w:rsidRPr="00017845">
        <w:rPr>
          <w:rFonts w:asciiTheme="majorHAnsi" w:eastAsia="Times New Roman" w:hAnsiTheme="majorHAnsi" w:cstheme="majorHAnsi"/>
          <w:b/>
          <w:bCs/>
          <w:sz w:val="24"/>
          <w:szCs w:val="24"/>
          <w:highlight w:val="yellow"/>
        </w:rPr>
        <w:t xml:space="preserve">dited T </w:t>
      </w:r>
      <w:r w:rsidR="00F45633" w:rsidRPr="00017845">
        <w:rPr>
          <w:rFonts w:asciiTheme="majorHAnsi" w:eastAsia="Times New Roman" w:hAnsiTheme="majorHAnsi" w:cstheme="majorHAnsi"/>
          <w:b/>
          <w:bCs/>
          <w:sz w:val="24"/>
          <w:szCs w:val="24"/>
          <w:highlight w:val="yellow"/>
        </w:rPr>
        <w:t>c</w:t>
      </w:r>
      <w:r w:rsidRPr="00017845">
        <w:rPr>
          <w:rFonts w:asciiTheme="majorHAnsi" w:eastAsia="Times New Roman" w:hAnsiTheme="majorHAnsi" w:cstheme="majorHAnsi"/>
          <w:b/>
          <w:bCs/>
          <w:sz w:val="24"/>
          <w:szCs w:val="24"/>
          <w:highlight w:val="yellow"/>
        </w:rPr>
        <w:t>ells</w:t>
      </w:r>
    </w:p>
    <w:p w14:paraId="73430896" w14:textId="77777777" w:rsidR="00F45633" w:rsidRPr="00017845" w:rsidRDefault="00F45633"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2EE5A725" w14:textId="69FEC68D"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Using a liquid handler, transfer electroporated cells from each reaction site into a 96-well U-bottom plate containing 150 µL </w:t>
      </w:r>
      <w:r w:rsidR="0014284F" w:rsidRPr="00017845">
        <w:rPr>
          <w:rFonts w:asciiTheme="majorHAnsi" w:eastAsia="Times New Roman" w:hAnsiTheme="majorHAnsi" w:cstheme="majorHAnsi"/>
          <w:sz w:val="24"/>
          <w:szCs w:val="24"/>
          <w:highlight w:val="yellow"/>
        </w:rPr>
        <w:t xml:space="preserve">of </w:t>
      </w:r>
      <w:r w:rsidRPr="00017845">
        <w:rPr>
          <w:rFonts w:asciiTheme="majorHAnsi" w:eastAsia="Times New Roman" w:hAnsiTheme="majorHAnsi" w:cstheme="majorHAnsi"/>
          <w:sz w:val="24"/>
          <w:szCs w:val="24"/>
          <w:highlight w:val="yellow"/>
        </w:rPr>
        <w:t>prewarmed basal T-cell medium supplemented with 200 IU/mL IL-2.</w:t>
      </w:r>
    </w:p>
    <w:p w14:paraId="7606561E" w14:textId="77777777" w:rsidR="0014284F" w:rsidRPr="00017845" w:rsidRDefault="0014284F"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3B4A11A1" w14:textId="1F861CDF" w:rsidR="00D038F8" w:rsidRPr="00017845" w:rsidRDefault="00D038F8" w:rsidP="00101E86">
      <w:pPr>
        <w:widowControl/>
        <w:rPr>
          <w:rFonts w:asciiTheme="majorHAnsi" w:eastAsia="Times New Roman" w:hAnsiTheme="majorHAnsi" w:cstheme="majorHAnsi"/>
          <w:highlight w:val="yellow"/>
        </w:rPr>
      </w:pPr>
      <w:r w:rsidRPr="00017845">
        <w:rPr>
          <w:rFonts w:asciiTheme="majorHAnsi" w:eastAsia="Times New Roman" w:hAnsiTheme="majorHAnsi" w:cstheme="majorHAnsi"/>
          <w:b/>
          <w:bCs/>
          <w:highlight w:val="yellow"/>
        </w:rPr>
        <w:lastRenderedPageBreak/>
        <w:t xml:space="preserve">5.2. </w:t>
      </w:r>
      <w:r w:rsidRPr="00017845">
        <w:rPr>
          <w:rFonts w:asciiTheme="majorHAnsi" w:eastAsia="Times New Roman" w:hAnsiTheme="majorHAnsi" w:cstheme="majorHAnsi"/>
          <w:highlight w:val="yellow"/>
        </w:rPr>
        <w:t>Incubate cells for 72 h at 37 °C, 5% CO₂ to permit protein turnover and surface receptor expression changes.</w:t>
      </w:r>
    </w:p>
    <w:p w14:paraId="23932981" w14:textId="71AA5764" w:rsidR="00D038F8" w:rsidRPr="00017845" w:rsidRDefault="00D038F8" w:rsidP="00101E86">
      <w:pPr>
        <w:widowControl/>
        <w:rPr>
          <w:rFonts w:asciiTheme="majorHAnsi" w:eastAsia="Times New Roman" w:hAnsiTheme="majorHAnsi" w:cstheme="majorHAnsi"/>
          <w:highlight w:val="yellow"/>
        </w:rPr>
      </w:pPr>
    </w:p>
    <w:p w14:paraId="5FABEF6F" w14:textId="2CE3D611" w:rsidR="00D038F8" w:rsidRPr="00017845" w:rsidRDefault="00D038F8" w:rsidP="00101E86">
      <w:pPr>
        <w:pStyle w:val="ListParagraph"/>
        <w:numPr>
          <w:ilvl w:val="0"/>
          <w:numId w:val="31"/>
        </w:numPr>
        <w:spacing w:after="0" w:line="240" w:lineRule="auto"/>
        <w:ind w:left="0" w:firstLine="0"/>
        <w:jc w:val="both"/>
        <w:rPr>
          <w:rFonts w:asciiTheme="majorHAnsi" w:eastAsia="Times New Roman" w:hAnsiTheme="majorHAnsi" w:cstheme="majorHAnsi"/>
          <w:b/>
          <w:bCs/>
          <w:sz w:val="24"/>
          <w:szCs w:val="24"/>
          <w:highlight w:val="yellow"/>
        </w:rPr>
      </w:pPr>
      <w:r w:rsidRPr="00017845">
        <w:rPr>
          <w:rFonts w:asciiTheme="majorHAnsi" w:eastAsia="Times New Roman" w:hAnsiTheme="majorHAnsi" w:cstheme="majorHAnsi"/>
          <w:b/>
          <w:bCs/>
          <w:sz w:val="24"/>
          <w:szCs w:val="24"/>
          <w:highlight w:val="yellow"/>
        </w:rPr>
        <w:t xml:space="preserve">Flow </w:t>
      </w:r>
      <w:r w:rsidR="0014284F" w:rsidRPr="00017845">
        <w:rPr>
          <w:rFonts w:asciiTheme="majorHAnsi" w:eastAsia="Times New Roman" w:hAnsiTheme="majorHAnsi" w:cstheme="majorHAnsi"/>
          <w:b/>
          <w:bCs/>
          <w:sz w:val="24"/>
          <w:szCs w:val="24"/>
          <w:highlight w:val="yellow"/>
        </w:rPr>
        <w:t>c</w:t>
      </w:r>
      <w:r w:rsidRPr="00017845">
        <w:rPr>
          <w:rFonts w:asciiTheme="majorHAnsi" w:eastAsia="Times New Roman" w:hAnsiTheme="majorHAnsi" w:cstheme="majorHAnsi"/>
          <w:b/>
          <w:bCs/>
          <w:sz w:val="24"/>
          <w:szCs w:val="24"/>
          <w:highlight w:val="yellow"/>
        </w:rPr>
        <w:t xml:space="preserve">ytometry </w:t>
      </w:r>
      <w:r w:rsidR="0014284F" w:rsidRPr="00017845">
        <w:rPr>
          <w:rFonts w:asciiTheme="majorHAnsi" w:eastAsia="Times New Roman" w:hAnsiTheme="majorHAnsi" w:cstheme="majorHAnsi"/>
          <w:b/>
          <w:bCs/>
          <w:sz w:val="24"/>
          <w:szCs w:val="24"/>
          <w:highlight w:val="yellow"/>
        </w:rPr>
        <w:t>a</w:t>
      </w:r>
      <w:r w:rsidRPr="00017845">
        <w:rPr>
          <w:rFonts w:asciiTheme="majorHAnsi" w:eastAsia="Times New Roman" w:hAnsiTheme="majorHAnsi" w:cstheme="majorHAnsi"/>
          <w:b/>
          <w:bCs/>
          <w:sz w:val="24"/>
          <w:szCs w:val="24"/>
          <w:highlight w:val="yellow"/>
        </w:rPr>
        <w:t xml:space="preserve">nalysis of </w:t>
      </w:r>
      <w:r w:rsidRPr="00017845">
        <w:rPr>
          <w:rFonts w:asciiTheme="majorHAnsi" w:eastAsia="Times New Roman" w:hAnsiTheme="majorHAnsi" w:cstheme="majorHAnsi"/>
          <w:b/>
          <w:bCs/>
          <w:i/>
          <w:iCs/>
          <w:sz w:val="24"/>
          <w:szCs w:val="24"/>
          <w:highlight w:val="yellow"/>
        </w:rPr>
        <w:t>TRAC</w:t>
      </w:r>
      <w:r w:rsidRPr="00017845">
        <w:rPr>
          <w:rFonts w:asciiTheme="majorHAnsi" w:eastAsia="Times New Roman" w:hAnsiTheme="majorHAnsi" w:cstheme="majorHAnsi"/>
          <w:b/>
          <w:bCs/>
          <w:sz w:val="24"/>
          <w:szCs w:val="24"/>
          <w:highlight w:val="yellow"/>
        </w:rPr>
        <w:t xml:space="preserve"> </w:t>
      </w:r>
      <w:r w:rsidR="0014284F" w:rsidRPr="00017845">
        <w:rPr>
          <w:rFonts w:asciiTheme="majorHAnsi" w:eastAsia="Times New Roman" w:hAnsiTheme="majorHAnsi" w:cstheme="majorHAnsi"/>
          <w:b/>
          <w:bCs/>
          <w:sz w:val="24"/>
          <w:szCs w:val="24"/>
          <w:highlight w:val="yellow"/>
        </w:rPr>
        <w:t>k</w:t>
      </w:r>
      <w:r w:rsidRPr="00017845">
        <w:rPr>
          <w:rFonts w:asciiTheme="majorHAnsi" w:eastAsia="Times New Roman" w:hAnsiTheme="majorHAnsi" w:cstheme="majorHAnsi"/>
          <w:b/>
          <w:bCs/>
          <w:sz w:val="24"/>
          <w:szCs w:val="24"/>
          <w:highlight w:val="yellow"/>
        </w:rPr>
        <w:t>nockout</w:t>
      </w:r>
    </w:p>
    <w:p w14:paraId="16F65A3E" w14:textId="77777777" w:rsidR="0014284F" w:rsidRPr="00017845" w:rsidRDefault="0014284F"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31CF4189" w14:textId="1B5D4E49" w:rsidR="008F788B"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Transfer cells to a sterile 96-well conical bottom plate</w:t>
      </w:r>
      <w:r w:rsidR="28A39638" w:rsidRPr="00017845">
        <w:rPr>
          <w:rFonts w:asciiTheme="majorHAnsi" w:eastAsia="Times New Roman" w:hAnsiTheme="majorHAnsi" w:cstheme="majorHAnsi"/>
          <w:sz w:val="24"/>
          <w:szCs w:val="24"/>
          <w:highlight w:val="yellow"/>
        </w:rPr>
        <w:t xml:space="preserve"> to reduce cell loss between washes</w:t>
      </w:r>
      <w:r w:rsidRPr="00017845">
        <w:rPr>
          <w:rFonts w:asciiTheme="majorHAnsi" w:eastAsia="Times New Roman" w:hAnsiTheme="majorHAnsi" w:cstheme="majorHAnsi"/>
          <w:sz w:val="24"/>
          <w:szCs w:val="24"/>
          <w:highlight w:val="yellow"/>
        </w:rPr>
        <w:t xml:space="preserve">. Wash cells twice with Flow Cytometry Buffer (1× PBS, 2% FBS, 2 mM EDTA) by centrifuging at 400 × </w:t>
      </w:r>
      <w:r w:rsidRPr="00017845">
        <w:rPr>
          <w:rFonts w:asciiTheme="majorHAnsi" w:eastAsia="Times New Roman" w:hAnsiTheme="majorHAnsi" w:cstheme="majorHAnsi"/>
          <w:i/>
          <w:iCs/>
          <w:sz w:val="24"/>
          <w:szCs w:val="24"/>
          <w:highlight w:val="yellow"/>
        </w:rPr>
        <w:t>g</w:t>
      </w:r>
      <w:r w:rsidRPr="00017845">
        <w:rPr>
          <w:rFonts w:asciiTheme="majorHAnsi" w:eastAsia="Times New Roman" w:hAnsiTheme="majorHAnsi" w:cstheme="majorHAnsi"/>
          <w:sz w:val="24"/>
          <w:szCs w:val="24"/>
          <w:highlight w:val="yellow"/>
        </w:rPr>
        <w:t xml:space="preserve"> for 5 min and </w:t>
      </w:r>
      <w:r w:rsidR="5468BF20" w:rsidRPr="00017845">
        <w:rPr>
          <w:rFonts w:asciiTheme="majorHAnsi" w:eastAsia="Times New Roman" w:hAnsiTheme="majorHAnsi" w:cstheme="majorHAnsi"/>
          <w:sz w:val="24"/>
          <w:szCs w:val="24"/>
          <w:highlight w:val="yellow"/>
        </w:rPr>
        <w:t xml:space="preserve">removing </w:t>
      </w:r>
      <w:r w:rsidRPr="00017845">
        <w:rPr>
          <w:rFonts w:asciiTheme="majorHAnsi" w:eastAsia="Times New Roman" w:hAnsiTheme="majorHAnsi" w:cstheme="majorHAnsi"/>
          <w:sz w:val="24"/>
          <w:szCs w:val="24"/>
          <w:highlight w:val="yellow"/>
        </w:rPr>
        <w:t xml:space="preserve">the supernatant </w:t>
      </w:r>
      <w:r w:rsidR="00D60C16" w:rsidRPr="00017845">
        <w:rPr>
          <w:rFonts w:asciiTheme="majorHAnsi" w:eastAsia="Times New Roman" w:hAnsiTheme="majorHAnsi" w:cstheme="majorHAnsi"/>
          <w:sz w:val="24"/>
          <w:szCs w:val="24"/>
          <w:highlight w:val="yellow"/>
        </w:rPr>
        <w:t xml:space="preserve">by gently inverting the conical bottom plate. Cells will remain pelleted in the plate. </w:t>
      </w:r>
    </w:p>
    <w:p w14:paraId="620D70A8" w14:textId="32C10450" w:rsidR="00D038F8" w:rsidRPr="00017845" w:rsidRDefault="00D60C16" w:rsidP="00101E86">
      <w:pPr>
        <w:rPr>
          <w:rFonts w:asciiTheme="majorHAnsi" w:eastAsia="Times New Roman" w:hAnsiTheme="majorHAnsi" w:cstheme="majorHAnsi"/>
          <w:highlight w:val="yellow"/>
        </w:rPr>
      </w:pPr>
      <w:r w:rsidRPr="00017845">
        <w:rPr>
          <w:rFonts w:asciiTheme="majorHAnsi" w:eastAsia="Times New Roman" w:hAnsiTheme="majorHAnsi" w:cstheme="majorHAnsi"/>
          <w:highlight w:val="yellow"/>
        </w:rPr>
        <w:t xml:space="preserve"> </w:t>
      </w:r>
    </w:p>
    <w:p w14:paraId="38A7B61F" w14:textId="2382D8EB"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Prepare a surface staining master mix containing anti-CD4, anti-CD8, and anti-TCRα/β antibodies in Flow Cytometry Buffer at manufacturer-recommended concentrations. Add 25 µL of the master mix per well</w:t>
      </w:r>
      <w:r w:rsidR="008F788B" w:rsidRPr="00017845">
        <w:rPr>
          <w:rFonts w:asciiTheme="majorHAnsi" w:eastAsia="Times New Roman" w:hAnsiTheme="majorHAnsi" w:cstheme="majorHAnsi"/>
          <w:sz w:val="24"/>
          <w:szCs w:val="24"/>
          <w:highlight w:val="yellow"/>
        </w:rPr>
        <w:t xml:space="preserve"> and i</w:t>
      </w:r>
      <w:r w:rsidRPr="00017845">
        <w:rPr>
          <w:rFonts w:asciiTheme="majorHAnsi" w:eastAsia="Times New Roman" w:hAnsiTheme="majorHAnsi" w:cstheme="majorHAnsi"/>
          <w:sz w:val="24"/>
          <w:szCs w:val="24"/>
          <w:highlight w:val="yellow"/>
        </w:rPr>
        <w:t xml:space="preserve">ncubate for 20 min at 4 °C protected from light. Wash twice with 1× PBS (without FBS) by centrifuging at 400 × </w:t>
      </w:r>
      <w:r w:rsidRPr="00017845">
        <w:rPr>
          <w:rFonts w:asciiTheme="majorHAnsi" w:eastAsia="Times New Roman" w:hAnsiTheme="majorHAnsi" w:cstheme="majorHAnsi"/>
          <w:i/>
          <w:iCs/>
          <w:sz w:val="24"/>
          <w:szCs w:val="24"/>
          <w:highlight w:val="yellow"/>
        </w:rPr>
        <w:t>g</w:t>
      </w:r>
      <w:r w:rsidRPr="00017845">
        <w:rPr>
          <w:rFonts w:asciiTheme="majorHAnsi" w:eastAsia="Times New Roman" w:hAnsiTheme="majorHAnsi" w:cstheme="majorHAnsi"/>
          <w:sz w:val="24"/>
          <w:szCs w:val="24"/>
          <w:highlight w:val="yellow"/>
        </w:rPr>
        <w:t xml:space="preserve"> for 5 min. Resuspend cells in 100 µL of 1× PBS containing a viability dye at 1:1</w:t>
      </w:r>
      <w:r w:rsidR="00822B16" w:rsidRPr="00017845">
        <w:rPr>
          <w:rFonts w:asciiTheme="majorHAnsi" w:eastAsia="Times New Roman" w:hAnsiTheme="majorHAnsi" w:cstheme="majorHAnsi"/>
          <w:sz w:val="24"/>
          <w:szCs w:val="24"/>
          <w:highlight w:val="yellow"/>
        </w:rPr>
        <w:t>,</w:t>
      </w:r>
      <w:r w:rsidRPr="00017845">
        <w:rPr>
          <w:rFonts w:asciiTheme="majorHAnsi" w:eastAsia="Times New Roman" w:hAnsiTheme="majorHAnsi" w:cstheme="majorHAnsi"/>
          <w:sz w:val="24"/>
          <w:szCs w:val="24"/>
          <w:highlight w:val="yellow"/>
        </w:rPr>
        <w:t>000 (v/v) and incubate for 10 min at room temperature protected from light.</w:t>
      </w:r>
      <w:r w:rsidR="0AD2F36D" w:rsidRPr="00017845">
        <w:rPr>
          <w:rFonts w:asciiTheme="majorHAnsi" w:eastAsia="Times New Roman" w:hAnsiTheme="majorHAnsi" w:cstheme="majorHAnsi"/>
          <w:sz w:val="24"/>
          <w:szCs w:val="24"/>
          <w:highlight w:val="yellow"/>
        </w:rPr>
        <w:t xml:space="preserve"> </w:t>
      </w:r>
    </w:p>
    <w:p w14:paraId="725895C1" w14:textId="77777777" w:rsidR="00822B16" w:rsidRPr="00017845" w:rsidRDefault="00822B16" w:rsidP="00101E86">
      <w:pPr>
        <w:rPr>
          <w:rFonts w:asciiTheme="majorHAnsi" w:eastAsia="Times New Roman" w:hAnsiTheme="majorHAnsi" w:cstheme="majorHAnsi"/>
          <w:b/>
          <w:bCs/>
          <w:highlight w:val="yellow"/>
        </w:rPr>
      </w:pPr>
    </w:p>
    <w:p w14:paraId="799ED0E1" w14:textId="02BAC072" w:rsidR="0AD2F36D" w:rsidRPr="00017845" w:rsidRDefault="0AD2F36D" w:rsidP="00101E86">
      <w:pPr>
        <w:widowControl/>
        <w:rPr>
          <w:rFonts w:asciiTheme="majorHAnsi" w:eastAsia="Times New Roman" w:hAnsiTheme="majorHAnsi" w:cstheme="majorHAnsi"/>
          <w:highlight w:val="yellow"/>
        </w:rPr>
      </w:pPr>
      <w:r w:rsidRPr="00017845">
        <w:rPr>
          <w:rFonts w:asciiTheme="majorHAnsi" w:eastAsia="Times New Roman" w:hAnsiTheme="majorHAnsi" w:cstheme="majorHAnsi"/>
          <w:highlight w:val="yellow"/>
        </w:rPr>
        <w:t>N</w:t>
      </w:r>
      <w:r w:rsidR="00822B16" w:rsidRPr="00017845">
        <w:rPr>
          <w:rFonts w:asciiTheme="majorHAnsi" w:eastAsia="Times New Roman" w:hAnsiTheme="majorHAnsi" w:cstheme="majorHAnsi"/>
          <w:highlight w:val="yellow"/>
        </w:rPr>
        <w:t>OTE</w:t>
      </w:r>
      <w:r w:rsidRPr="00017845">
        <w:rPr>
          <w:rFonts w:asciiTheme="majorHAnsi" w:eastAsia="Times New Roman" w:hAnsiTheme="majorHAnsi" w:cstheme="majorHAnsi"/>
          <w:highlight w:val="yellow"/>
        </w:rPr>
        <w:t>: Conical bottom plates are effective at pelleting cells; check that cells are well resuspended in all steps.</w:t>
      </w:r>
    </w:p>
    <w:p w14:paraId="1FA77767" w14:textId="77777777" w:rsidR="005D1E29" w:rsidRPr="00017845" w:rsidRDefault="005D1E29" w:rsidP="00101E86">
      <w:pPr>
        <w:widowControl/>
        <w:rPr>
          <w:rFonts w:asciiTheme="majorHAnsi" w:eastAsia="Times New Roman" w:hAnsiTheme="majorHAnsi" w:cstheme="majorHAnsi"/>
          <w:highlight w:val="yellow"/>
        </w:rPr>
      </w:pPr>
    </w:p>
    <w:p w14:paraId="15029BFB" w14:textId="61CDB56D" w:rsidR="00D038F8"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Wash cells twice with Flow Cytometry Buffer and resuspend in 150–200 µL per sample for acquisition.</w:t>
      </w:r>
    </w:p>
    <w:p w14:paraId="29FF3EA7" w14:textId="77777777" w:rsidR="005D1E29" w:rsidRPr="00017845" w:rsidRDefault="005D1E29" w:rsidP="00101E86">
      <w:pPr>
        <w:pStyle w:val="ListParagraph"/>
        <w:spacing w:after="0" w:line="240" w:lineRule="auto"/>
        <w:ind w:left="0"/>
        <w:jc w:val="both"/>
        <w:rPr>
          <w:rFonts w:asciiTheme="majorHAnsi" w:eastAsia="Times New Roman" w:hAnsiTheme="majorHAnsi" w:cstheme="majorHAnsi"/>
          <w:sz w:val="24"/>
          <w:szCs w:val="24"/>
          <w:highlight w:val="yellow"/>
        </w:rPr>
      </w:pPr>
    </w:p>
    <w:p w14:paraId="1535E9F5" w14:textId="6A114A25" w:rsidR="007168B9"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Configure the cytometer with appropriate laser lines and filter sets for the fluorochromes used (e.g., 488 nm excitation for viability dye; 405 nm or 488 nm for surface markers as appropriate). Set voltages using single-stain compensation controls and an unstained sample. Collect a minimum of 5,000 live singlet events per sample.</w:t>
      </w:r>
      <w:r w:rsidR="17A995E3" w:rsidRPr="00017845">
        <w:rPr>
          <w:rFonts w:asciiTheme="majorHAnsi" w:eastAsia="Times New Roman" w:hAnsiTheme="majorHAnsi" w:cstheme="majorHAnsi"/>
          <w:sz w:val="24"/>
          <w:szCs w:val="24"/>
          <w:highlight w:val="yellow"/>
        </w:rPr>
        <w:t xml:space="preserve"> </w:t>
      </w:r>
      <w:r w:rsidR="007168B9" w:rsidRPr="00017845">
        <w:rPr>
          <w:rFonts w:asciiTheme="majorHAnsi" w:eastAsia="Times New Roman" w:hAnsiTheme="majorHAnsi" w:cstheme="majorHAnsi"/>
          <w:sz w:val="24"/>
          <w:szCs w:val="24"/>
          <w:highlight w:val="yellow"/>
        </w:rPr>
        <w:t>Gate sequentially on: scatter singlets → live cells (viability dye negative) → CD4⁺ or CD8⁺ → TCRα/β expression.</w:t>
      </w:r>
    </w:p>
    <w:p w14:paraId="0EE14111" w14:textId="77777777" w:rsidR="00A51FF5" w:rsidRPr="00017845" w:rsidRDefault="00A51FF5" w:rsidP="00101E86">
      <w:pPr>
        <w:rPr>
          <w:rFonts w:asciiTheme="majorHAnsi" w:eastAsia="Times New Roman" w:hAnsiTheme="majorHAnsi" w:cstheme="majorHAnsi"/>
          <w:highlight w:val="yellow"/>
        </w:rPr>
      </w:pPr>
    </w:p>
    <w:p w14:paraId="048C73A4" w14:textId="4F097F1A" w:rsidR="00F83A14" w:rsidRPr="00017845" w:rsidRDefault="00DF386D" w:rsidP="00101E86">
      <w:pPr>
        <w:widowControl/>
        <w:rPr>
          <w:rFonts w:asciiTheme="majorHAnsi" w:hAnsiTheme="majorHAnsi" w:cstheme="majorHAnsi"/>
          <w:highlight w:val="yellow"/>
        </w:rPr>
      </w:pPr>
      <w:r w:rsidRPr="00017845">
        <w:rPr>
          <w:rFonts w:asciiTheme="majorHAnsi" w:hAnsiTheme="majorHAnsi" w:cstheme="majorHAnsi"/>
          <w:highlight w:val="yellow"/>
        </w:rPr>
        <w:t>N</w:t>
      </w:r>
      <w:r w:rsidR="00A51FF5" w:rsidRPr="00017845">
        <w:rPr>
          <w:rFonts w:asciiTheme="majorHAnsi" w:hAnsiTheme="majorHAnsi" w:cstheme="majorHAnsi"/>
          <w:highlight w:val="yellow"/>
        </w:rPr>
        <w:t>OTE</w:t>
      </w:r>
      <w:r w:rsidR="007168B9" w:rsidRPr="00017845">
        <w:rPr>
          <w:rFonts w:asciiTheme="majorHAnsi" w:hAnsiTheme="majorHAnsi" w:cstheme="majorHAnsi"/>
          <w:highlight w:val="yellow"/>
        </w:rPr>
        <w:t xml:space="preserve">: </w:t>
      </w:r>
      <w:r w:rsidR="17A995E3" w:rsidRPr="00017845">
        <w:rPr>
          <w:rFonts w:asciiTheme="majorHAnsi" w:hAnsiTheme="majorHAnsi" w:cstheme="majorHAnsi"/>
          <w:highlight w:val="yellow"/>
        </w:rPr>
        <w:t xml:space="preserve">Under standard conditions, total live events acquired </w:t>
      </w:r>
      <w:r w:rsidR="007168B9" w:rsidRPr="00017845">
        <w:rPr>
          <w:rFonts w:asciiTheme="majorHAnsi" w:hAnsiTheme="majorHAnsi" w:cstheme="majorHAnsi"/>
          <w:highlight w:val="yellow"/>
        </w:rPr>
        <w:t>can range</w:t>
      </w:r>
      <w:r w:rsidR="17A995E3" w:rsidRPr="00017845">
        <w:rPr>
          <w:rFonts w:asciiTheme="majorHAnsi" w:hAnsiTheme="majorHAnsi" w:cstheme="majorHAnsi"/>
          <w:highlight w:val="yellow"/>
        </w:rPr>
        <w:t xml:space="preserve"> from 5</w:t>
      </w:r>
      <w:r w:rsidR="00A51FF5" w:rsidRPr="00017845">
        <w:rPr>
          <w:rFonts w:asciiTheme="majorHAnsi" w:hAnsiTheme="majorHAnsi" w:cstheme="majorHAnsi"/>
          <w:highlight w:val="yellow"/>
        </w:rPr>
        <w:t>,</w:t>
      </w:r>
      <w:r w:rsidR="17A995E3" w:rsidRPr="00017845">
        <w:rPr>
          <w:rFonts w:asciiTheme="majorHAnsi" w:hAnsiTheme="majorHAnsi" w:cstheme="majorHAnsi"/>
          <w:highlight w:val="yellow"/>
        </w:rPr>
        <w:t>000 to over 10,000 per sample following losses during washing and staining, given that the cells have had time to proliferate.</w:t>
      </w:r>
    </w:p>
    <w:p w14:paraId="41ADEF8E" w14:textId="77777777" w:rsidR="00A51FF5" w:rsidRPr="00017845" w:rsidRDefault="00A51FF5" w:rsidP="00101E86">
      <w:pPr>
        <w:widowControl/>
        <w:rPr>
          <w:rFonts w:asciiTheme="majorHAnsi" w:hAnsiTheme="majorHAnsi" w:cstheme="majorHAnsi"/>
          <w:highlight w:val="yellow"/>
        </w:rPr>
      </w:pPr>
    </w:p>
    <w:p w14:paraId="141FAC92" w14:textId="12148115" w:rsidR="00A51FF5" w:rsidRPr="00017845" w:rsidRDefault="00D038F8" w:rsidP="00101E86">
      <w:pPr>
        <w:pStyle w:val="ListParagraph"/>
        <w:numPr>
          <w:ilvl w:val="1"/>
          <w:numId w:val="31"/>
        </w:numPr>
        <w:spacing w:after="0" w:line="240" w:lineRule="auto"/>
        <w:ind w:left="0" w:firstLine="0"/>
        <w:jc w:val="both"/>
        <w:rPr>
          <w:rFonts w:asciiTheme="majorHAnsi" w:eastAsia="Times New Roman" w:hAnsiTheme="majorHAnsi" w:cstheme="majorHAnsi"/>
          <w:sz w:val="24"/>
          <w:szCs w:val="24"/>
          <w:highlight w:val="yellow"/>
        </w:rPr>
      </w:pPr>
      <w:r w:rsidRPr="00017845">
        <w:rPr>
          <w:rFonts w:asciiTheme="majorHAnsi" w:eastAsia="Times New Roman" w:hAnsiTheme="majorHAnsi" w:cstheme="majorHAnsi"/>
          <w:sz w:val="24"/>
          <w:szCs w:val="24"/>
          <w:highlight w:val="yellow"/>
        </w:rPr>
        <w:t xml:space="preserve">Determine </w:t>
      </w:r>
      <w:r w:rsidRPr="00017845">
        <w:rPr>
          <w:rFonts w:asciiTheme="majorHAnsi" w:eastAsia="Times New Roman" w:hAnsiTheme="majorHAnsi" w:cstheme="majorHAnsi"/>
          <w:i/>
          <w:iCs/>
          <w:sz w:val="24"/>
          <w:szCs w:val="24"/>
          <w:highlight w:val="yellow"/>
        </w:rPr>
        <w:t>TRAC</w:t>
      </w:r>
      <w:r w:rsidRPr="00017845">
        <w:rPr>
          <w:rFonts w:asciiTheme="majorHAnsi" w:eastAsia="Times New Roman" w:hAnsiTheme="majorHAnsi" w:cstheme="majorHAnsi"/>
          <w:sz w:val="24"/>
          <w:szCs w:val="24"/>
          <w:highlight w:val="yellow"/>
        </w:rPr>
        <w:t xml:space="preserve"> gene disruption by measuring the frequency of TCRα/β-negative cells within the CD4⁺ and CD8⁺ populations. Report knockout efficiency as the percentage of TCRα/β-negative cells relative to the live singlet gate for each subset.</w:t>
      </w:r>
    </w:p>
    <w:p w14:paraId="7E23E282" w14:textId="405B80E7" w:rsidR="00491AC2" w:rsidRPr="00101E86" w:rsidRDefault="00491AC2" w:rsidP="00101E86">
      <w:pPr>
        <w:pStyle w:val="font-claude-response-body"/>
        <w:spacing w:before="0" w:beforeAutospacing="0" w:after="0" w:afterAutospacing="0"/>
        <w:jc w:val="both"/>
        <w:rPr>
          <w:rFonts w:asciiTheme="majorHAnsi" w:hAnsiTheme="majorHAnsi" w:cstheme="majorHAnsi"/>
        </w:rPr>
      </w:pPr>
    </w:p>
    <w:p w14:paraId="1C543651" w14:textId="2FD60AE2" w:rsidR="006927F1" w:rsidRPr="00101E86" w:rsidRDefault="00551D82" w:rsidP="00101E86">
      <w:pPr>
        <w:widowControl/>
        <w:rPr>
          <w:rFonts w:asciiTheme="majorHAnsi" w:hAnsiTheme="majorHAnsi" w:cstheme="majorHAnsi"/>
          <w:b/>
          <w:bCs/>
        </w:rPr>
      </w:pPr>
      <w:r w:rsidRPr="00101E86">
        <w:rPr>
          <w:rFonts w:asciiTheme="majorHAnsi" w:hAnsiTheme="majorHAnsi" w:cstheme="majorHAnsi"/>
          <w:b/>
          <w:bCs/>
        </w:rPr>
        <w:t>RESULTS:</w:t>
      </w:r>
    </w:p>
    <w:p w14:paraId="707328BC" w14:textId="77777777" w:rsidR="00B80369" w:rsidRPr="00101E86" w:rsidRDefault="00055EC0" w:rsidP="00101E86">
      <w:pPr>
        <w:widowControl/>
        <w:rPr>
          <w:rFonts w:asciiTheme="majorHAnsi" w:eastAsia="Times New Roman" w:hAnsiTheme="majorHAnsi" w:cstheme="majorHAnsi"/>
        </w:rPr>
      </w:pPr>
      <w:r w:rsidRPr="00101E86">
        <w:rPr>
          <w:rFonts w:asciiTheme="majorHAnsi" w:eastAsia="Times New Roman" w:hAnsiTheme="majorHAnsi" w:cstheme="majorHAnsi"/>
          <w:b/>
          <w:bCs/>
        </w:rPr>
        <w:t xml:space="preserve">Expected </w:t>
      </w:r>
      <w:r w:rsidR="00B80369" w:rsidRPr="00101E86">
        <w:rPr>
          <w:rFonts w:asciiTheme="majorHAnsi" w:eastAsia="Times New Roman" w:hAnsiTheme="majorHAnsi" w:cstheme="majorHAnsi"/>
          <w:b/>
          <w:bCs/>
        </w:rPr>
        <w:t>o</w:t>
      </w:r>
      <w:r w:rsidRPr="00101E86">
        <w:rPr>
          <w:rFonts w:asciiTheme="majorHAnsi" w:eastAsia="Times New Roman" w:hAnsiTheme="majorHAnsi" w:cstheme="majorHAnsi"/>
          <w:b/>
          <w:bCs/>
        </w:rPr>
        <w:t>utcomes</w:t>
      </w:r>
      <w:r w:rsidRPr="00101E86">
        <w:rPr>
          <w:rFonts w:asciiTheme="majorHAnsi" w:eastAsia="Times New Roman" w:hAnsiTheme="majorHAnsi" w:cstheme="majorHAnsi"/>
        </w:rPr>
        <w:t xml:space="preserve"> </w:t>
      </w:r>
    </w:p>
    <w:p w14:paraId="4E0373FE" w14:textId="6B22A208" w:rsidR="00055EC0" w:rsidRPr="00101E86" w:rsidRDefault="00055EC0" w:rsidP="00101E86">
      <w:pPr>
        <w:widowControl/>
        <w:rPr>
          <w:rFonts w:asciiTheme="majorHAnsi" w:eastAsia="Times New Roman" w:hAnsiTheme="majorHAnsi" w:cstheme="majorHAnsi"/>
        </w:rPr>
      </w:pPr>
      <w:r w:rsidRPr="00101E86">
        <w:rPr>
          <w:rFonts w:asciiTheme="majorHAnsi" w:eastAsia="Times New Roman" w:hAnsiTheme="majorHAnsi" w:cstheme="majorHAnsi"/>
        </w:rPr>
        <w:t xml:space="preserve">Electroporation of 10,000 activated T cells per condition typically results in &gt;85% </w:t>
      </w:r>
      <w:r w:rsidRPr="00101E86">
        <w:rPr>
          <w:rFonts w:asciiTheme="majorHAnsi" w:eastAsia="Times New Roman" w:hAnsiTheme="majorHAnsi" w:cstheme="majorHAnsi"/>
          <w:i/>
          <w:iCs/>
        </w:rPr>
        <w:t>TRAC</w:t>
      </w:r>
      <w:r w:rsidRPr="00101E86">
        <w:rPr>
          <w:rFonts w:asciiTheme="majorHAnsi" w:eastAsia="Times New Roman" w:hAnsiTheme="majorHAnsi" w:cstheme="majorHAnsi"/>
        </w:rPr>
        <w:t xml:space="preserve"> knockout efficiency with &gt;95% viability 72 h post-transfection. Flow cytometry reveals a clear loss of TCRα/β staining in the TRAC-targeting condition relative to non-targeting sgRNA controls (NTC) and controls not exposed to any electric fields.</w:t>
      </w:r>
      <w:r w:rsidR="00B80369" w:rsidRPr="00101E86">
        <w:rPr>
          <w:rFonts w:asciiTheme="majorHAnsi" w:eastAsia="Times New Roman" w:hAnsiTheme="majorHAnsi" w:cstheme="majorHAnsi"/>
        </w:rPr>
        <w:t xml:space="preserve"> </w:t>
      </w:r>
      <w:r w:rsidRPr="00101E86">
        <w:rPr>
          <w:rFonts w:asciiTheme="majorHAnsi" w:hAnsiTheme="majorHAnsi" w:cstheme="majorHAnsi"/>
        </w:rPr>
        <w:t xml:space="preserve">Unless otherwise stated, n represents independent DMF-ection runs performed on separate days. Technical replicates from the same </w:t>
      </w:r>
      <w:r w:rsidRPr="00101E86">
        <w:rPr>
          <w:rFonts w:asciiTheme="majorHAnsi" w:hAnsiTheme="majorHAnsi" w:cstheme="majorHAnsi"/>
        </w:rPr>
        <w:lastRenderedPageBreak/>
        <w:t>cartridge run were averaged prior to statistical analysis and do not contribute independently to n. All T cell experiments reported here were conducted using cryopreserved cells sourced from a single healthy donor. Donor-to-donor variability using the same platform is characterized fu</w:t>
      </w:r>
      <w:r w:rsidR="003B0525" w:rsidRPr="00101E86">
        <w:rPr>
          <w:rFonts w:asciiTheme="majorHAnsi" w:hAnsiTheme="majorHAnsi" w:cstheme="majorHAnsi"/>
        </w:rPr>
        <w:t>r</w:t>
      </w:r>
      <w:r w:rsidRPr="00101E86">
        <w:rPr>
          <w:rFonts w:asciiTheme="majorHAnsi" w:hAnsiTheme="majorHAnsi" w:cstheme="majorHAnsi"/>
        </w:rPr>
        <w:t>ther</w:t>
      </w:r>
      <w:r w:rsidRPr="00101E86">
        <w:rPr>
          <w:rFonts w:asciiTheme="majorHAnsi" w:hAnsiTheme="majorHAnsi" w:cstheme="majorHAnsi"/>
          <w:vertAlign w:val="superscript"/>
        </w:rPr>
        <w:t>9</w:t>
      </w:r>
      <w:r w:rsidRPr="00101E86">
        <w:rPr>
          <w:rFonts w:asciiTheme="majorHAnsi" w:hAnsiTheme="majorHAnsi" w:cstheme="majorHAnsi"/>
        </w:rPr>
        <w:t xml:space="preserve">. </w:t>
      </w:r>
    </w:p>
    <w:p w14:paraId="77AA57C7" w14:textId="77777777" w:rsidR="00055EC0" w:rsidRPr="00101E86" w:rsidRDefault="00055EC0" w:rsidP="00101E86">
      <w:pPr>
        <w:widowControl/>
        <w:rPr>
          <w:rFonts w:asciiTheme="majorHAnsi" w:hAnsiTheme="majorHAnsi" w:cstheme="majorHAnsi"/>
          <w:b/>
          <w:bCs/>
        </w:rPr>
      </w:pPr>
    </w:p>
    <w:p w14:paraId="22EFE944" w14:textId="77777777" w:rsidR="00435D7C" w:rsidRPr="00101E86" w:rsidRDefault="00B40545" w:rsidP="00101E86">
      <w:pPr>
        <w:pStyle w:val="Heading2"/>
        <w:rPr>
          <w:rStyle w:val="Strong"/>
          <w:rFonts w:asciiTheme="majorHAnsi" w:hAnsiTheme="majorHAnsi" w:cstheme="majorHAnsi"/>
          <w:b/>
        </w:rPr>
      </w:pPr>
      <w:r w:rsidRPr="00101E86">
        <w:rPr>
          <w:rStyle w:val="Strong"/>
          <w:rFonts w:asciiTheme="majorHAnsi" w:hAnsiTheme="majorHAnsi" w:cstheme="majorHAnsi"/>
          <w:b/>
        </w:rPr>
        <w:t>Improve</w:t>
      </w:r>
      <w:r w:rsidR="00435D7C" w:rsidRPr="00101E86">
        <w:rPr>
          <w:rStyle w:val="Strong"/>
          <w:rFonts w:asciiTheme="majorHAnsi" w:hAnsiTheme="majorHAnsi" w:cstheme="majorHAnsi"/>
          <w:b/>
        </w:rPr>
        <w:t>d</w:t>
      </w:r>
      <w:r w:rsidRPr="00101E86">
        <w:rPr>
          <w:rStyle w:val="Strong"/>
          <w:rFonts w:asciiTheme="majorHAnsi" w:hAnsiTheme="majorHAnsi" w:cstheme="majorHAnsi"/>
          <w:b/>
        </w:rPr>
        <w:t xml:space="preserve"> Cas9–sgRNA </w:t>
      </w:r>
      <w:r w:rsidR="00435D7C" w:rsidRPr="00101E86">
        <w:rPr>
          <w:rStyle w:val="Strong"/>
          <w:rFonts w:asciiTheme="majorHAnsi" w:hAnsiTheme="majorHAnsi" w:cstheme="majorHAnsi"/>
          <w:b/>
        </w:rPr>
        <w:t>r</w:t>
      </w:r>
      <w:r w:rsidRPr="00101E86">
        <w:rPr>
          <w:rStyle w:val="Strong"/>
          <w:rFonts w:asciiTheme="majorHAnsi" w:hAnsiTheme="majorHAnsi" w:cstheme="majorHAnsi"/>
          <w:b/>
        </w:rPr>
        <w:t xml:space="preserve">ibonucleoprotein </w:t>
      </w:r>
      <w:r w:rsidR="00435D7C" w:rsidRPr="00101E86">
        <w:rPr>
          <w:rStyle w:val="Strong"/>
          <w:rFonts w:asciiTheme="majorHAnsi" w:hAnsiTheme="majorHAnsi" w:cstheme="majorHAnsi"/>
          <w:b/>
        </w:rPr>
        <w:t>s</w:t>
      </w:r>
      <w:r w:rsidRPr="00101E86">
        <w:rPr>
          <w:rStyle w:val="Strong"/>
          <w:rFonts w:asciiTheme="majorHAnsi" w:hAnsiTheme="majorHAnsi" w:cstheme="majorHAnsi"/>
          <w:b/>
        </w:rPr>
        <w:t xml:space="preserve">tability </w:t>
      </w:r>
      <w:r w:rsidR="00435D7C" w:rsidRPr="00101E86">
        <w:rPr>
          <w:rStyle w:val="Strong"/>
          <w:rFonts w:asciiTheme="majorHAnsi" w:hAnsiTheme="majorHAnsi" w:cstheme="majorHAnsi"/>
          <w:b/>
        </w:rPr>
        <w:t>u</w:t>
      </w:r>
      <w:r w:rsidRPr="00101E86">
        <w:rPr>
          <w:rStyle w:val="Strong"/>
          <w:rFonts w:asciiTheme="majorHAnsi" w:hAnsiTheme="majorHAnsi" w:cstheme="majorHAnsi"/>
          <w:b/>
        </w:rPr>
        <w:t xml:space="preserve">nder </w:t>
      </w:r>
      <w:r w:rsidR="00435D7C" w:rsidRPr="00101E86">
        <w:rPr>
          <w:rStyle w:val="Strong"/>
          <w:rFonts w:asciiTheme="majorHAnsi" w:hAnsiTheme="majorHAnsi" w:cstheme="majorHAnsi"/>
          <w:b/>
        </w:rPr>
        <w:t>e</w:t>
      </w:r>
      <w:r w:rsidRPr="00101E86">
        <w:rPr>
          <w:rStyle w:val="Strong"/>
          <w:rFonts w:asciiTheme="majorHAnsi" w:hAnsiTheme="majorHAnsi" w:cstheme="majorHAnsi"/>
          <w:b/>
        </w:rPr>
        <w:t xml:space="preserve">lectroporation </w:t>
      </w:r>
      <w:r w:rsidR="00435D7C" w:rsidRPr="00101E86">
        <w:rPr>
          <w:rStyle w:val="Strong"/>
          <w:rFonts w:asciiTheme="majorHAnsi" w:hAnsiTheme="majorHAnsi" w:cstheme="majorHAnsi"/>
          <w:b/>
        </w:rPr>
        <w:t>c</w:t>
      </w:r>
      <w:r w:rsidRPr="00101E86">
        <w:rPr>
          <w:rStyle w:val="Strong"/>
          <w:rFonts w:asciiTheme="majorHAnsi" w:hAnsiTheme="majorHAnsi" w:cstheme="majorHAnsi"/>
          <w:b/>
        </w:rPr>
        <w:t>onditions</w:t>
      </w:r>
      <w:r w:rsidR="00435D7C" w:rsidRPr="00101E86">
        <w:rPr>
          <w:rStyle w:val="Strong"/>
          <w:rFonts w:asciiTheme="majorHAnsi" w:hAnsiTheme="majorHAnsi" w:cstheme="majorHAnsi"/>
          <w:b/>
        </w:rPr>
        <w:t xml:space="preserve"> due to anionic polymer additives </w:t>
      </w:r>
      <w:r w:rsidR="00B410AC" w:rsidRPr="00101E86">
        <w:rPr>
          <w:rStyle w:val="Strong"/>
          <w:rFonts w:asciiTheme="majorHAnsi" w:hAnsiTheme="majorHAnsi" w:cstheme="majorHAnsi"/>
          <w:b/>
        </w:rPr>
        <w:t xml:space="preserve"> </w:t>
      </w:r>
    </w:p>
    <w:p w14:paraId="7BCA40AE" w14:textId="1123E84F" w:rsidR="00105362" w:rsidRPr="00101E86" w:rsidRDefault="006927F1" w:rsidP="00101E86">
      <w:pPr>
        <w:pStyle w:val="Heading2"/>
        <w:rPr>
          <w:rFonts w:asciiTheme="majorHAnsi" w:hAnsiTheme="majorHAnsi" w:cstheme="majorHAnsi"/>
          <w:b w:val="0"/>
        </w:rPr>
      </w:pPr>
      <w:r w:rsidRPr="00101E86">
        <w:rPr>
          <w:rFonts w:asciiTheme="majorHAnsi" w:hAnsiTheme="majorHAnsi" w:cstheme="majorHAnsi"/>
          <w:b w:val="0"/>
        </w:rPr>
        <w:t xml:space="preserve">A core design requirement of digital microfluidics is a highly hydrophobic surface, which allows droplets to glide freely during electrowetting. While this property is essential for droplet motion and precise actuation, it creates challenges for reagent loading. For arrayed screening applications, it is critical that user-defined </w:t>
      </w:r>
      <w:r w:rsidR="00BF2D6B" w:rsidRPr="00101E86">
        <w:rPr>
          <w:rFonts w:asciiTheme="majorHAnsi" w:hAnsiTheme="majorHAnsi" w:cstheme="majorHAnsi"/>
          <w:b w:val="0"/>
        </w:rPr>
        <w:t>payload libraries</w:t>
      </w:r>
      <w:r w:rsidRPr="00101E86">
        <w:rPr>
          <w:rFonts w:asciiTheme="majorHAnsi" w:hAnsiTheme="majorHAnsi" w:cstheme="majorHAnsi"/>
          <w:b w:val="0"/>
        </w:rPr>
        <w:t xml:space="preserve"> can be deposited directly onto the </w:t>
      </w:r>
      <w:r w:rsidR="00C455EA" w:rsidRPr="00101E86">
        <w:rPr>
          <w:rFonts w:asciiTheme="majorHAnsi" w:hAnsiTheme="majorHAnsi" w:cstheme="majorHAnsi"/>
          <w:b w:val="0"/>
        </w:rPr>
        <w:t>cartridge</w:t>
      </w:r>
      <w:r w:rsidRPr="00101E86">
        <w:rPr>
          <w:rFonts w:asciiTheme="majorHAnsi" w:hAnsiTheme="majorHAnsi" w:cstheme="majorHAnsi"/>
          <w:b w:val="0"/>
        </w:rPr>
        <w:t xml:space="preserve"> surface. This enables reagent layouts to mirror the user’s library design and ensures that the digital microfluidic workflow can seamlessly execute arrayed experiments without additional transfer or manual intervention. </w:t>
      </w:r>
      <w:r w:rsidR="00105362" w:rsidRPr="00101E86">
        <w:rPr>
          <w:rFonts w:asciiTheme="majorHAnsi" w:hAnsiTheme="majorHAnsi" w:cstheme="majorHAnsi"/>
          <w:b w:val="0"/>
        </w:rPr>
        <w:t>Nano</w:t>
      </w:r>
      <w:r w:rsidRPr="00101E86">
        <w:rPr>
          <w:rFonts w:asciiTheme="majorHAnsi" w:hAnsiTheme="majorHAnsi" w:cstheme="majorHAnsi"/>
          <w:b w:val="0"/>
        </w:rPr>
        <w:t xml:space="preserve"> dispensing with </w:t>
      </w:r>
      <w:r w:rsidR="00105362" w:rsidRPr="00101E86">
        <w:rPr>
          <w:rFonts w:asciiTheme="majorHAnsi" w:hAnsiTheme="majorHAnsi" w:cstheme="majorHAnsi"/>
          <w:b w:val="0"/>
        </w:rPr>
        <w:t>a</w:t>
      </w:r>
      <w:r w:rsidR="007426CC" w:rsidRPr="00101E86">
        <w:rPr>
          <w:rFonts w:asciiTheme="majorHAnsi" w:hAnsiTheme="majorHAnsi" w:cstheme="majorHAnsi"/>
          <w:b w:val="0"/>
        </w:rPr>
        <w:t>n</w:t>
      </w:r>
      <w:r w:rsidR="00105362" w:rsidRPr="00101E86">
        <w:rPr>
          <w:rFonts w:asciiTheme="majorHAnsi" w:hAnsiTheme="majorHAnsi" w:cstheme="majorHAnsi"/>
          <w:b w:val="0"/>
        </w:rPr>
        <w:t xml:space="preserve"> acoustic dispenser</w:t>
      </w:r>
      <w:r w:rsidRPr="00101E86">
        <w:rPr>
          <w:rFonts w:asciiTheme="majorHAnsi" w:hAnsiTheme="majorHAnsi" w:cstheme="majorHAnsi"/>
          <w:b w:val="0"/>
        </w:rPr>
        <w:t xml:space="preserve"> is well suited for this task, as it can deliver nanoliter volumes with high positional accuracy across large arrays onto various surfaces. However, when droplets strike a hydrophobic </w:t>
      </w:r>
      <w:r w:rsidR="00C455EA" w:rsidRPr="00101E86">
        <w:rPr>
          <w:rFonts w:asciiTheme="majorHAnsi" w:hAnsiTheme="majorHAnsi" w:cstheme="majorHAnsi"/>
          <w:b w:val="0"/>
        </w:rPr>
        <w:t xml:space="preserve">cartridge </w:t>
      </w:r>
      <w:r w:rsidRPr="00101E86">
        <w:rPr>
          <w:rFonts w:asciiTheme="majorHAnsi" w:hAnsiTheme="majorHAnsi" w:cstheme="majorHAnsi"/>
          <w:b w:val="0"/>
        </w:rPr>
        <w:t>surface, they often bounce, bead, or fail to spread uniformly, leading to inconsistent deposition and recovery. This variability is most evident at intermediate droplet volumes ranging from 40</w:t>
      </w:r>
      <w:r w:rsidR="00BF2D6B" w:rsidRPr="00101E86">
        <w:rPr>
          <w:rFonts w:asciiTheme="majorHAnsi" w:hAnsiTheme="majorHAnsi" w:cstheme="majorHAnsi"/>
          <w:b w:val="0"/>
        </w:rPr>
        <w:t xml:space="preserve"> nL to </w:t>
      </w:r>
      <w:r w:rsidRPr="00101E86">
        <w:rPr>
          <w:rFonts w:asciiTheme="majorHAnsi" w:hAnsiTheme="majorHAnsi" w:cstheme="majorHAnsi"/>
          <w:b w:val="0"/>
        </w:rPr>
        <w:t>120 nL (</w:t>
      </w:r>
      <w:r w:rsidRPr="00101E86">
        <w:rPr>
          <w:rFonts w:asciiTheme="majorHAnsi" w:hAnsiTheme="majorHAnsi" w:cstheme="majorHAnsi"/>
          <w:bCs/>
        </w:rPr>
        <w:t xml:space="preserve">Figure </w:t>
      </w:r>
      <w:r w:rsidR="00B40545" w:rsidRPr="00101E86">
        <w:rPr>
          <w:rFonts w:asciiTheme="majorHAnsi" w:hAnsiTheme="majorHAnsi" w:cstheme="majorHAnsi"/>
          <w:bCs/>
        </w:rPr>
        <w:t>2A</w:t>
      </w:r>
      <w:r w:rsidRPr="00101E86">
        <w:rPr>
          <w:rFonts w:asciiTheme="majorHAnsi" w:hAnsiTheme="majorHAnsi" w:cstheme="majorHAnsi"/>
          <w:b w:val="0"/>
        </w:rPr>
        <w:t xml:space="preserve">, </w:t>
      </w:r>
      <w:r w:rsidR="00B40545" w:rsidRPr="00101E86">
        <w:rPr>
          <w:rFonts w:asciiTheme="majorHAnsi" w:hAnsiTheme="majorHAnsi" w:cstheme="majorHAnsi"/>
          <w:b w:val="0"/>
        </w:rPr>
        <w:t>n</w:t>
      </w:r>
      <w:r w:rsidR="00BF2D6B" w:rsidRPr="00101E86">
        <w:rPr>
          <w:rFonts w:asciiTheme="majorHAnsi" w:hAnsiTheme="majorHAnsi" w:cstheme="majorHAnsi"/>
          <w:b w:val="0"/>
        </w:rPr>
        <w:t xml:space="preserve"> </w:t>
      </w:r>
      <w:r w:rsidR="00B40545" w:rsidRPr="00101E86">
        <w:rPr>
          <w:rFonts w:asciiTheme="majorHAnsi" w:hAnsiTheme="majorHAnsi" w:cstheme="majorHAnsi"/>
          <w:b w:val="0"/>
        </w:rPr>
        <w:t>=</w:t>
      </w:r>
      <w:r w:rsidR="00BF2D6B" w:rsidRPr="00101E86">
        <w:rPr>
          <w:rFonts w:asciiTheme="majorHAnsi" w:hAnsiTheme="majorHAnsi" w:cstheme="majorHAnsi"/>
          <w:b w:val="0"/>
        </w:rPr>
        <w:t xml:space="preserve"> </w:t>
      </w:r>
      <w:r w:rsidR="00B40545" w:rsidRPr="00101E86">
        <w:rPr>
          <w:rFonts w:asciiTheme="majorHAnsi" w:hAnsiTheme="majorHAnsi" w:cstheme="majorHAnsi"/>
          <w:b w:val="0"/>
        </w:rPr>
        <w:t>3 per condition, *** p value &lt; 0.01</w:t>
      </w:r>
      <w:r w:rsidRPr="00101E86">
        <w:rPr>
          <w:rFonts w:asciiTheme="majorHAnsi" w:hAnsiTheme="majorHAnsi" w:cstheme="majorHAnsi"/>
          <w:b w:val="0"/>
        </w:rPr>
        <w:t xml:space="preserve">), where </w:t>
      </w:r>
      <w:r w:rsidR="001B4770" w:rsidRPr="00101E86">
        <w:rPr>
          <w:rFonts w:asciiTheme="majorHAnsi" w:hAnsiTheme="majorHAnsi" w:cstheme="majorHAnsi"/>
          <w:b w:val="0"/>
        </w:rPr>
        <w:t>it</w:t>
      </w:r>
      <w:r w:rsidRPr="00101E86">
        <w:rPr>
          <w:rFonts w:asciiTheme="majorHAnsi" w:hAnsiTheme="majorHAnsi" w:cstheme="majorHAnsi"/>
          <w:b w:val="0"/>
        </w:rPr>
        <w:t xml:space="preserve"> </w:t>
      </w:r>
      <w:r w:rsidR="00BF2D6B" w:rsidRPr="00101E86">
        <w:rPr>
          <w:rFonts w:asciiTheme="majorHAnsi" w:hAnsiTheme="majorHAnsi" w:cstheme="majorHAnsi"/>
          <w:b w:val="0"/>
        </w:rPr>
        <w:t xml:space="preserve">is </w:t>
      </w:r>
      <w:r w:rsidRPr="00101E86">
        <w:rPr>
          <w:rFonts w:asciiTheme="majorHAnsi" w:hAnsiTheme="majorHAnsi" w:cstheme="majorHAnsi"/>
          <w:b w:val="0"/>
        </w:rPr>
        <w:t>hypothesize</w:t>
      </w:r>
      <w:r w:rsidR="001B4770" w:rsidRPr="00101E86">
        <w:rPr>
          <w:rFonts w:asciiTheme="majorHAnsi" w:hAnsiTheme="majorHAnsi" w:cstheme="majorHAnsi"/>
          <w:b w:val="0"/>
        </w:rPr>
        <w:t>d</w:t>
      </w:r>
      <w:r w:rsidRPr="00101E86">
        <w:rPr>
          <w:rFonts w:asciiTheme="majorHAnsi" w:hAnsiTheme="majorHAnsi" w:cstheme="majorHAnsi"/>
          <w:b w:val="0"/>
        </w:rPr>
        <w:t xml:space="preserve"> </w:t>
      </w:r>
      <w:r w:rsidR="001B4770" w:rsidRPr="00101E86">
        <w:rPr>
          <w:rFonts w:asciiTheme="majorHAnsi" w:hAnsiTheme="majorHAnsi" w:cstheme="majorHAnsi"/>
          <w:b w:val="0"/>
        </w:rPr>
        <w:t xml:space="preserve">that </w:t>
      </w:r>
      <w:r w:rsidRPr="00101E86">
        <w:rPr>
          <w:rFonts w:asciiTheme="majorHAnsi" w:hAnsiTheme="majorHAnsi" w:cstheme="majorHAnsi"/>
          <w:b w:val="0"/>
        </w:rPr>
        <w:t>the kinetic energy of the droplet is high enough to cause rebound, but surface adhesion is insufficient to anchor the liquid. As a result, direct on-</w:t>
      </w:r>
      <w:r w:rsidR="00C455EA" w:rsidRPr="00101E86">
        <w:rPr>
          <w:rFonts w:asciiTheme="majorHAnsi" w:hAnsiTheme="majorHAnsi" w:cstheme="majorHAnsi"/>
          <w:b w:val="0"/>
        </w:rPr>
        <w:t xml:space="preserve">cartridge </w:t>
      </w:r>
      <w:r w:rsidRPr="00101E86">
        <w:rPr>
          <w:rFonts w:asciiTheme="majorHAnsi" w:hAnsiTheme="majorHAnsi" w:cstheme="majorHAnsi"/>
          <w:b w:val="0"/>
        </w:rPr>
        <w:t>deposition at higher payload dosages can be unreliable without further modification.</w:t>
      </w:r>
      <w:r w:rsidR="00637962" w:rsidRPr="00101E86">
        <w:rPr>
          <w:rFonts w:asciiTheme="majorHAnsi" w:hAnsiTheme="majorHAnsi" w:cstheme="majorHAnsi"/>
        </w:rPr>
        <w:t xml:space="preserve"> </w:t>
      </w:r>
      <w:r w:rsidRPr="00101E86">
        <w:rPr>
          <w:rFonts w:asciiTheme="majorHAnsi" w:hAnsiTheme="majorHAnsi" w:cstheme="majorHAnsi"/>
          <w:b w:val="0"/>
        </w:rPr>
        <w:t xml:space="preserve">To mitigate this effect, reagents </w:t>
      </w:r>
      <w:r w:rsidR="001B4770" w:rsidRPr="00101E86">
        <w:rPr>
          <w:rFonts w:asciiTheme="majorHAnsi" w:hAnsiTheme="majorHAnsi" w:cstheme="majorHAnsi"/>
          <w:b w:val="0"/>
        </w:rPr>
        <w:t xml:space="preserve">were supplemented </w:t>
      </w:r>
      <w:r w:rsidRPr="00101E86">
        <w:rPr>
          <w:rFonts w:asciiTheme="majorHAnsi" w:hAnsiTheme="majorHAnsi" w:cstheme="majorHAnsi"/>
          <w:b w:val="0"/>
        </w:rPr>
        <w:t xml:space="preserve">with the biosafe polymer poly-L-glutamic acid (PGA). PGA is a biodegradable, negatively charged polypeptide widely used as a stabilizer in pharmaceutical </w:t>
      </w:r>
      <w:r w:rsidR="08C1D8EC" w:rsidRPr="00101E86">
        <w:rPr>
          <w:rFonts w:asciiTheme="majorHAnsi" w:hAnsiTheme="majorHAnsi" w:cstheme="majorHAnsi"/>
          <w:b w:val="0"/>
        </w:rPr>
        <w:t>formulations, with</w:t>
      </w:r>
      <w:r w:rsidRPr="00101E86">
        <w:rPr>
          <w:rFonts w:asciiTheme="majorHAnsi" w:hAnsiTheme="majorHAnsi" w:cstheme="majorHAnsi"/>
          <w:b w:val="0"/>
        </w:rPr>
        <w:t xml:space="preserve"> excellent compatibility for live-cell workflows. </w:t>
      </w:r>
      <w:r w:rsidR="001B4770" w:rsidRPr="00101E86">
        <w:rPr>
          <w:rFonts w:asciiTheme="majorHAnsi" w:hAnsiTheme="majorHAnsi" w:cstheme="majorHAnsi"/>
          <w:b w:val="0"/>
        </w:rPr>
        <w:t>The</w:t>
      </w:r>
      <w:r w:rsidRPr="00101E86">
        <w:rPr>
          <w:rFonts w:asciiTheme="majorHAnsi" w:hAnsiTheme="majorHAnsi" w:cstheme="majorHAnsi"/>
          <w:b w:val="0"/>
        </w:rPr>
        <w:t xml:space="preserve"> charged backbone </w:t>
      </w:r>
      <w:r w:rsidR="001B4770" w:rsidRPr="00101E86">
        <w:rPr>
          <w:rFonts w:asciiTheme="majorHAnsi" w:hAnsiTheme="majorHAnsi" w:cstheme="majorHAnsi"/>
          <w:b w:val="0"/>
        </w:rPr>
        <w:t>is hypothesized to</w:t>
      </w:r>
      <w:r w:rsidRPr="00101E86">
        <w:rPr>
          <w:rFonts w:asciiTheme="majorHAnsi" w:hAnsiTheme="majorHAnsi" w:cstheme="majorHAnsi"/>
          <w:b w:val="0"/>
        </w:rPr>
        <w:t xml:space="preserve"> lower the droplet contact angle and </w:t>
      </w:r>
      <w:r w:rsidR="638D4627" w:rsidRPr="00101E86">
        <w:rPr>
          <w:rFonts w:asciiTheme="majorHAnsi" w:hAnsiTheme="majorHAnsi" w:cstheme="majorHAnsi"/>
          <w:b w:val="0"/>
        </w:rPr>
        <w:t>promote</w:t>
      </w:r>
      <w:r w:rsidRPr="00101E86">
        <w:rPr>
          <w:rFonts w:asciiTheme="majorHAnsi" w:hAnsiTheme="majorHAnsi" w:cstheme="majorHAnsi"/>
          <w:b w:val="0"/>
        </w:rPr>
        <w:t xml:space="preserve"> more uniform spreading, reducing rebound and improving surface adhesion. With PGA present, deposited fluorescein volumes scaled linearly with </w:t>
      </w:r>
      <w:r w:rsidR="0CF1C198" w:rsidRPr="00101E86">
        <w:rPr>
          <w:rFonts w:asciiTheme="majorHAnsi" w:hAnsiTheme="majorHAnsi" w:cstheme="majorHAnsi"/>
          <w:b w:val="0"/>
        </w:rPr>
        <w:t>absorbance,</w:t>
      </w:r>
      <w:r w:rsidRPr="00101E86">
        <w:rPr>
          <w:rFonts w:asciiTheme="majorHAnsi" w:hAnsiTheme="majorHAnsi" w:cstheme="majorHAnsi"/>
          <w:b w:val="0"/>
        </w:rPr>
        <w:t xml:space="preserve"> and variance was markedly reduced across </w:t>
      </w:r>
      <w:r w:rsidR="00C455EA" w:rsidRPr="00101E86">
        <w:rPr>
          <w:rFonts w:asciiTheme="majorHAnsi" w:hAnsiTheme="majorHAnsi" w:cstheme="majorHAnsi"/>
          <w:b w:val="0"/>
        </w:rPr>
        <w:t>cartridges</w:t>
      </w:r>
      <w:r w:rsidRPr="00101E86">
        <w:rPr>
          <w:rFonts w:asciiTheme="majorHAnsi" w:hAnsiTheme="majorHAnsi" w:cstheme="majorHAnsi"/>
          <w:b w:val="0"/>
        </w:rPr>
        <w:t>. Statistical analysis confirmed that PGA significantly improved reproducibility at 40, 90, and 120 nL spotting volumes (***p &lt; 0.001, ****p &lt; 0.0001), while very small droplets (10–20 nL) showed little difference, as rebound is less pronounced at low kinetic energies</w:t>
      </w:r>
      <w:r w:rsidR="00105362" w:rsidRPr="00101E86">
        <w:rPr>
          <w:rFonts w:asciiTheme="majorHAnsi" w:hAnsiTheme="majorHAnsi" w:cstheme="majorHAnsi"/>
          <w:b w:val="0"/>
        </w:rPr>
        <w:t>.</w:t>
      </w:r>
    </w:p>
    <w:p w14:paraId="184A3479" w14:textId="77777777" w:rsidR="00E46DA7" w:rsidRPr="00101E86" w:rsidRDefault="00E46DA7" w:rsidP="00101E86">
      <w:pPr>
        <w:rPr>
          <w:rFonts w:asciiTheme="majorHAnsi" w:hAnsiTheme="majorHAnsi" w:cstheme="majorHAnsi"/>
        </w:rPr>
      </w:pPr>
    </w:p>
    <w:p w14:paraId="77C23EC2" w14:textId="572B647A" w:rsidR="00EB25A4" w:rsidRPr="00101E86" w:rsidRDefault="00B40545" w:rsidP="00101E86">
      <w:pPr>
        <w:pStyle w:val="Heading2"/>
        <w:rPr>
          <w:rFonts w:asciiTheme="majorHAnsi" w:hAnsiTheme="majorHAnsi" w:cstheme="majorHAnsi"/>
          <w:b w:val="0"/>
          <w:bCs/>
        </w:rPr>
      </w:pPr>
      <w:r w:rsidRPr="00101E86">
        <w:rPr>
          <w:rFonts w:asciiTheme="majorHAnsi" w:hAnsiTheme="majorHAnsi" w:cstheme="majorHAnsi"/>
          <w:b w:val="0"/>
          <w:bCs/>
        </w:rPr>
        <w:t>Next</w:t>
      </w:r>
      <w:r w:rsidR="00695751" w:rsidRPr="00101E86">
        <w:rPr>
          <w:rFonts w:asciiTheme="majorHAnsi" w:hAnsiTheme="majorHAnsi" w:cstheme="majorHAnsi"/>
          <w:b w:val="0"/>
          <w:bCs/>
        </w:rPr>
        <w:t>,</w:t>
      </w:r>
      <w:r w:rsidR="00EB25A4" w:rsidRPr="00101E86">
        <w:rPr>
          <w:rFonts w:asciiTheme="majorHAnsi" w:hAnsiTheme="majorHAnsi" w:cstheme="majorHAnsi"/>
          <w:b w:val="0"/>
          <w:bCs/>
        </w:rPr>
        <w:t xml:space="preserve"> </w:t>
      </w:r>
      <w:r w:rsidR="001B4770" w:rsidRPr="00101E86">
        <w:rPr>
          <w:rFonts w:asciiTheme="majorHAnsi" w:hAnsiTheme="majorHAnsi" w:cstheme="majorHAnsi"/>
          <w:b w:val="0"/>
          <w:bCs/>
        </w:rPr>
        <w:t>the addition of</w:t>
      </w:r>
      <w:r w:rsidR="00EB25A4" w:rsidRPr="00101E86">
        <w:rPr>
          <w:rFonts w:asciiTheme="majorHAnsi" w:hAnsiTheme="majorHAnsi" w:cstheme="majorHAnsi"/>
          <w:b w:val="0"/>
          <w:bCs/>
        </w:rPr>
        <w:t xml:space="preserve"> polymer additives used in the DMF workflow </w:t>
      </w:r>
      <w:r w:rsidR="001B4770" w:rsidRPr="00101E86">
        <w:rPr>
          <w:rFonts w:asciiTheme="majorHAnsi" w:hAnsiTheme="majorHAnsi" w:cstheme="majorHAnsi"/>
          <w:b w:val="0"/>
          <w:bCs/>
        </w:rPr>
        <w:t xml:space="preserve">were evaluated for their </w:t>
      </w:r>
      <w:r w:rsidR="00EB25A4" w:rsidRPr="00101E86">
        <w:rPr>
          <w:rFonts w:asciiTheme="majorHAnsi" w:hAnsiTheme="majorHAnsi" w:cstheme="majorHAnsi"/>
          <w:b w:val="0"/>
          <w:bCs/>
        </w:rPr>
        <w:t xml:space="preserve">influence </w:t>
      </w:r>
      <w:r w:rsidR="001B4770" w:rsidRPr="00101E86">
        <w:rPr>
          <w:rFonts w:asciiTheme="majorHAnsi" w:hAnsiTheme="majorHAnsi" w:cstheme="majorHAnsi"/>
          <w:b w:val="0"/>
          <w:bCs/>
        </w:rPr>
        <w:t xml:space="preserve">on </w:t>
      </w:r>
      <w:r w:rsidR="00EB25A4" w:rsidRPr="00101E86">
        <w:rPr>
          <w:rFonts w:asciiTheme="majorHAnsi" w:hAnsiTheme="majorHAnsi" w:cstheme="majorHAnsi"/>
          <w:b w:val="0"/>
          <w:bCs/>
        </w:rPr>
        <w:t>Cas9–sgRNA ribonucleoprotein (RNP) behavior under the low-volume buffer conditions used for electroporation.</w:t>
      </w:r>
      <w:r w:rsidR="0016330B" w:rsidRPr="00101E86">
        <w:rPr>
          <w:rFonts w:asciiTheme="majorHAnsi" w:hAnsiTheme="majorHAnsi" w:cstheme="majorHAnsi"/>
          <w:b w:val="0"/>
          <w:bCs/>
        </w:rPr>
        <w:t xml:space="preserve"> To this end, </w:t>
      </w:r>
      <w:r w:rsidR="00EB25A4" w:rsidRPr="00101E86">
        <w:rPr>
          <w:rFonts w:asciiTheme="majorHAnsi" w:hAnsiTheme="majorHAnsi" w:cstheme="majorHAnsi"/>
          <w:b w:val="0"/>
          <w:bCs/>
        </w:rPr>
        <w:t>Flow-induced dispersion analysis (FIDA)</w:t>
      </w:r>
      <w:r w:rsidR="0016330B" w:rsidRPr="00101E86">
        <w:rPr>
          <w:rFonts w:asciiTheme="majorHAnsi" w:hAnsiTheme="majorHAnsi" w:cstheme="majorHAnsi"/>
          <w:b w:val="0"/>
          <w:bCs/>
        </w:rPr>
        <w:t xml:space="preserve"> technology</w:t>
      </w:r>
      <w:r w:rsidR="001B4770" w:rsidRPr="00101E86">
        <w:rPr>
          <w:rFonts w:asciiTheme="majorHAnsi" w:hAnsiTheme="majorHAnsi" w:cstheme="majorHAnsi"/>
          <w:b w:val="0"/>
          <w:bCs/>
        </w:rPr>
        <w:t xml:space="preserve"> was used</w:t>
      </w:r>
      <w:r w:rsidR="0016330B" w:rsidRPr="00101E86">
        <w:rPr>
          <w:rFonts w:asciiTheme="majorHAnsi" w:hAnsiTheme="majorHAnsi" w:cstheme="majorHAnsi"/>
          <w:b w:val="0"/>
          <w:bCs/>
        </w:rPr>
        <w:t xml:space="preserve">. FIDA was selected as it provides an accurate, solution-phase measurement of hydrodynamic radius and binding affinity, allowing protein-nucleic acid interactions to be quantified under the same buffer conditions used in an experimental setting. FIDA </w:t>
      </w:r>
      <w:r w:rsidR="00EB25A4" w:rsidRPr="00101E86">
        <w:rPr>
          <w:rFonts w:asciiTheme="majorHAnsi" w:hAnsiTheme="majorHAnsi" w:cstheme="majorHAnsi"/>
          <w:b w:val="0"/>
          <w:bCs/>
        </w:rPr>
        <w:t>demonstrated that free sgRNA exhibited a hydrodynamic radius (R</w:t>
      </w:r>
      <w:r w:rsidR="00EB25A4" w:rsidRPr="00101E86">
        <w:rPr>
          <w:rFonts w:asciiTheme="majorHAnsi" w:hAnsiTheme="majorHAnsi" w:cstheme="majorHAnsi"/>
          <w:b w:val="0"/>
          <w:bCs/>
          <w:vertAlign w:val="subscript"/>
        </w:rPr>
        <w:t>h</w:t>
      </w:r>
      <w:r w:rsidR="00EB25A4" w:rsidRPr="00101E86">
        <w:rPr>
          <w:rFonts w:asciiTheme="majorHAnsi" w:hAnsiTheme="majorHAnsi" w:cstheme="majorHAnsi"/>
          <w:b w:val="0"/>
          <w:bCs/>
        </w:rPr>
        <w:t>) of 3.45 ± 0.26 nm, consistent with a small, single-stranded RNA species. Titration with Cas9 produced a stable RNP complex with an R</w:t>
      </w:r>
      <w:r w:rsidR="00EB25A4" w:rsidRPr="00101E86">
        <w:rPr>
          <w:rFonts w:asciiTheme="majorHAnsi" w:hAnsiTheme="majorHAnsi" w:cstheme="majorHAnsi"/>
          <w:b w:val="0"/>
          <w:bCs/>
          <w:vertAlign w:val="subscript"/>
        </w:rPr>
        <w:t>h</w:t>
      </w:r>
      <w:r w:rsidR="00EB25A4" w:rsidRPr="00101E86">
        <w:rPr>
          <w:rFonts w:asciiTheme="majorHAnsi" w:hAnsiTheme="majorHAnsi" w:cstheme="majorHAnsi"/>
          <w:b w:val="0"/>
          <w:bCs/>
        </w:rPr>
        <w:t xml:space="preserve"> of 15.32 ± 0.46 nm and a sub-nanomolar binding affinity (K</w:t>
      </w:r>
      <w:r w:rsidR="00EB25A4" w:rsidRPr="00101E86">
        <w:rPr>
          <w:rFonts w:asciiTheme="majorHAnsi" w:hAnsiTheme="majorHAnsi" w:cstheme="majorHAnsi"/>
          <w:b w:val="0"/>
          <w:bCs/>
          <w:vertAlign w:val="subscript"/>
        </w:rPr>
        <w:t>D</w:t>
      </w:r>
      <w:r w:rsidR="00EB25A4" w:rsidRPr="00101E86">
        <w:rPr>
          <w:rFonts w:asciiTheme="majorHAnsi" w:hAnsiTheme="majorHAnsi" w:cstheme="majorHAnsi"/>
          <w:b w:val="0"/>
          <w:bCs/>
        </w:rPr>
        <w:t xml:space="preserve"> = 0.70 ± 0.14 nM) (</w:t>
      </w:r>
      <w:r w:rsidRPr="00101E86">
        <w:rPr>
          <w:rFonts w:asciiTheme="majorHAnsi" w:hAnsiTheme="majorHAnsi" w:cstheme="majorHAnsi"/>
        </w:rPr>
        <w:t>Figure</w:t>
      </w:r>
      <w:r w:rsidR="00DE2BE2" w:rsidRPr="00101E86">
        <w:rPr>
          <w:rFonts w:asciiTheme="majorHAnsi" w:hAnsiTheme="majorHAnsi" w:cstheme="majorHAnsi"/>
        </w:rPr>
        <w:t xml:space="preserve"> 2</w:t>
      </w:r>
      <w:r w:rsidR="00EB25A4" w:rsidRPr="00101E86">
        <w:rPr>
          <w:rFonts w:asciiTheme="majorHAnsi" w:hAnsiTheme="majorHAnsi" w:cstheme="majorHAnsi"/>
          <w:b w:val="0"/>
          <w:bCs/>
        </w:rPr>
        <w:t>).</w:t>
      </w:r>
    </w:p>
    <w:p w14:paraId="21F0E6ED" w14:textId="77777777" w:rsidR="00695751" w:rsidRPr="00101E86" w:rsidRDefault="00695751" w:rsidP="00101E86">
      <w:pPr>
        <w:rPr>
          <w:rFonts w:asciiTheme="majorHAnsi" w:hAnsiTheme="majorHAnsi" w:cstheme="majorHAnsi"/>
        </w:rPr>
      </w:pPr>
    </w:p>
    <w:p w14:paraId="71EE8917" w14:textId="7505863A" w:rsidR="00EB25A4" w:rsidRPr="00101E86" w:rsidRDefault="00EB25A4"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To assess the effect of polymer stabilization, poly-L-glutamic acid (PGA) was added to the guide</w:t>
      </w:r>
      <w:r w:rsidR="5CE3242D" w:rsidRPr="00101E86">
        <w:rPr>
          <w:rFonts w:asciiTheme="majorHAnsi" w:hAnsiTheme="majorHAnsi" w:cstheme="majorHAnsi"/>
        </w:rPr>
        <w:t>-</w:t>
      </w:r>
      <w:r w:rsidRPr="00101E86">
        <w:rPr>
          <w:rFonts w:asciiTheme="majorHAnsi" w:hAnsiTheme="majorHAnsi" w:cstheme="majorHAnsi"/>
        </w:rPr>
        <w:t xml:space="preserve">RNA prior to RNP formation. The presence of PGA reduced the apparent affinity between Cas9 </w:t>
      </w:r>
      <w:r w:rsidRPr="00101E86">
        <w:rPr>
          <w:rFonts w:asciiTheme="majorHAnsi" w:hAnsiTheme="majorHAnsi" w:cstheme="majorHAnsi"/>
        </w:rPr>
        <w:lastRenderedPageBreak/>
        <w:t>and sgRNA (K</w:t>
      </w:r>
      <w:r w:rsidRPr="00101E86">
        <w:rPr>
          <w:rFonts w:asciiTheme="majorHAnsi" w:hAnsiTheme="majorHAnsi" w:cstheme="majorHAnsi"/>
          <w:vertAlign w:val="subscript"/>
        </w:rPr>
        <w:t>D</w:t>
      </w:r>
      <w:r w:rsidRPr="00101E86">
        <w:rPr>
          <w:rFonts w:asciiTheme="majorHAnsi" w:hAnsiTheme="majorHAnsi" w:cstheme="majorHAnsi"/>
        </w:rPr>
        <w:t xml:space="preserve"> = 67.7 ± 9.5 nM) and decreased complex size to approximately 10 nm (</w:t>
      </w:r>
      <w:r w:rsidRPr="00101E86">
        <w:rPr>
          <w:rFonts w:asciiTheme="majorHAnsi" w:hAnsiTheme="majorHAnsi" w:cstheme="majorHAnsi"/>
          <w:b/>
          <w:bCs/>
        </w:rPr>
        <w:t>Figure 2</w:t>
      </w:r>
      <w:r w:rsidR="000F45B4" w:rsidRPr="00101E86">
        <w:rPr>
          <w:rFonts w:asciiTheme="majorHAnsi" w:hAnsiTheme="majorHAnsi" w:cstheme="majorHAnsi"/>
          <w:b/>
          <w:bCs/>
        </w:rPr>
        <w:t>A</w:t>
      </w:r>
      <w:r w:rsidR="000F45B4" w:rsidRPr="00101E86">
        <w:rPr>
          <w:rFonts w:asciiTheme="majorHAnsi" w:hAnsiTheme="majorHAnsi" w:cstheme="majorHAnsi"/>
        </w:rPr>
        <w:t xml:space="preserve"> right panel</w:t>
      </w:r>
      <w:r w:rsidRPr="00101E86">
        <w:rPr>
          <w:rFonts w:asciiTheme="majorHAnsi" w:hAnsiTheme="majorHAnsi" w:cstheme="majorHAnsi"/>
        </w:rPr>
        <w:t>). Although the reduced affinity suggests less tightly associated complexes, the smaller and more uniform R</w:t>
      </w:r>
      <w:r w:rsidRPr="00101E86">
        <w:rPr>
          <w:rFonts w:asciiTheme="majorHAnsi" w:hAnsiTheme="majorHAnsi" w:cstheme="majorHAnsi"/>
          <w:vertAlign w:val="subscript"/>
        </w:rPr>
        <w:t>h</w:t>
      </w:r>
      <w:r w:rsidRPr="00101E86">
        <w:rPr>
          <w:rFonts w:asciiTheme="majorHAnsi" w:hAnsiTheme="majorHAnsi" w:cstheme="majorHAnsi"/>
        </w:rPr>
        <w:t xml:space="preserve"> indicated that PGA prevents the formation of oversized RNP assemblies</w:t>
      </w:r>
      <w:r w:rsidR="00B40545" w:rsidRPr="00101E86">
        <w:rPr>
          <w:rFonts w:asciiTheme="majorHAnsi" w:hAnsiTheme="majorHAnsi" w:cstheme="majorHAnsi"/>
        </w:rPr>
        <w:t xml:space="preserve"> (</w:t>
      </w:r>
      <w:r w:rsidR="00B40545" w:rsidRPr="00101E86">
        <w:rPr>
          <w:rFonts w:asciiTheme="majorHAnsi" w:hAnsiTheme="majorHAnsi" w:cstheme="majorHAnsi"/>
          <w:b/>
          <w:bCs/>
        </w:rPr>
        <w:t>Figure 2B</w:t>
      </w:r>
      <w:r w:rsidR="00B40545" w:rsidRPr="00101E86">
        <w:rPr>
          <w:rFonts w:asciiTheme="majorHAnsi" w:hAnsiTheme="majorHAnsi" w:cstheme="majorHAnsi"/>
        </w:rPr>
        <w:t>).</w:t>
      </w:r>
    </w:p>
    <w:p w14:paraId="078CFCCB" w14:textId="77777777" w:rsidR="00695751" w:rsidRPr="00101E86" w:rsidRDefault="00695751" w:rsidP="00101E86">
      <w:pPr>
        <w:pStyle w:val="NormalWeb"/>
        <w:spacing w:before="0" w:beforeAutospacing="0" w:after="0" w:afterAutospacing="0"/>
        <w:jc w:val="both"/>
        <w:rPr>
          <w:rFonts w:asciiTheme="majorHAnsi" w:hAnsiTheme="majorHAnsi" w:cstheme="majorHAnsi"/>
        </w:rPr>
      </w:pPr>
    </w:p>
    <w:p w14:paraId="2781BA2E" w14:textId="01B87233" w:rsidR="00EB25A4" w:rsidRPr="00101E86" w:rsidRDefault="001B4770"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N</w:t>
      </w:r>
      <w:r w:rsidR="00EB25A4" w:rsidRPr="00101E86">
        <w:rPr>
          <w:rFonts w:asciiTheme="majorHAnsi" w:hAnsiTheme="majorHAnsi" w:cstheme="majorHAnsi"/>
        </w:rPr>
        <w:t>ext</w:t>
      </w:r>
      <w:r w:rsidR="00695751" w:rsidRPr="00101E86">
        <w:rPr>
          <w:rFonts w:asciiTheme="majorHAnsi" w:hAnsiTheme="majorHAnsi" w:cstheme="majorHAnsi"/>
        </w:rPr>
        <w:t>,</w:t>
      </w:r>
      <w:r w:rsidR="00EB25A4" w:rsidRPr="00101E86">
        <w:rPr>
          <w:rFonts w:asciiTheme="majorHAnsi" w:hAnsiTheme="majorHAnsi" w:cstheme="majorHAnsi"/>
        </w:rPr>
        <w:t xml:space="preserve"> RNP stability </w:t>
      </w:r>
      <w:r w:rsidRPr="00101E86">
        <w:rPr>
          <w:rFonts w:asciiTheme="majorHAnsi" w:hAnsiTheme="majorHAnsi" w:cstheme="majorHAnsi"/>
        </w:rPr>
        <w:t xml:space="preserve">was assessed </w:t>
      </w:r>
      <w:r w:rsidR="00EB25A4" w:rsidRPr="00101E86">
        <w:rPr>
          <w:rFonts w:asciiTheme="majorHAnsi" w:hAnsiTheme="majorHAnsi" w:cstheme="majorHAnsi"/>
        </w:rPr>
        <w:t>under electroporation conditions using Taylor dispersion analysis</w:t>
      </w:r>
      <w:r w:rsidR="00B40545" w:rsidRPr="00101E86">
        <w:rPr>
          <w:rFonts w:asciiTheme="majorHAnsi" w:hAnsiTheme="majorHAnsi" w:cstheme="majorHAnsi"/>
        </w:rPr>
        <w:t xml:space="preserve"> (</w:t>
      </w:r>
      <w:r w:rsidR="00B40545" w:rsidRPr="00101E86">
        <w:rPr>
          <w:rFonts w:asciiTheme="majorHAnsi" w:hAnsiTheme="majorHAnsi" w:cstheme="majorHAnsi"/>
          <w:b/>
          <w:bCs/>
        </w:rPr>
        <w:t>Figure 2C</w:t>
      </w:r>
      <w:r w:rsidR="00B40545" w:rsidRPr="00101E86">
        <w:rPr>
          <w:rFonts w:asciiTheme="majorHAnsi" w:hAnsiTheme="majorHAnsi" w:cstheme="majorHAnsi"/>
        </w:rPr>
        <w:t xml:space="preserve">). </w:t>
      </w:r>
      <w:r w:rsidR="00EB25A4" w:rsidRPr="00101E86">
        <w:rPr>
          <w:rFonts w:asciiTheme="majorHAnsi" w:hAnsiTheme="majorHAnsi" w:cstheme="majorHAnsi"/>
        </w:rPr>
        <w:t>Without polymer, Cas9–sgRNA mixtures produced broad, poorly fitted Taylorgrams indicative of aggregation (</w:t>
      </w:r>
      <w:r w:rsidR="00EB25A4" w:rsidRPr="00101E86">
        <w:rPr>
          <w:rFonts w:asciiTheme="majorHAnsi" w:hAnsiTheme="majorHAnsi" w:cstheme="majorHAnsi"/>
          <w:b/>
          <w:bCs/>
        </w:rPr>
        <w:t>Figure 2</w:t>
      </w:r>
      <w:r w:rsidR="000F45B4" w:rsidRPr="00101E86">
        <w:rPr>
          <w:rFonts w:asciiTheme="majorHAnsi" w:hAnsiTheme="majorHAnsi" w:cstheme="majorHAnsi"/>
          <w:b/>
          <w:bCs/>
        </w:rPr>
        <w:t>B</w:t>
      </w:r>
      <w:r w:rsidR="00EB25A4" w:rsidRPr="00101E86">
        <w:rPr>
          <w:rFonts w:asciiTheme="majorHAnsi" w:hAnsiTheme="majorHAnsi" w:cstheme="majorHAnsi"/>
        </w:rPr>
        <w:t>). In contrast, addition of 0.0025 mg/mL PGA yielded well-defined, monodisperse dispersion profiles (R² = 0.999) with R</w:t>
      </w:r>
      <w:r w:rsidR="00EB25A4" w:rsidRPr="00101E86">
        <w:rPr>
          <w:rFonts w:asciiTheme="majorHAnsi" w:hAnsiTheme="majorHAnsi" w:cstheme="majorHAnsi"/>
          <w:vertAlign w:val="subscript"/>
        </w:rPr>
        <w:t>h</w:t>
      </w:r>
      <w:r w:rsidR="00EB25A4" w:rsidRPr="00101E86">
        <w:rPr>
          <w:rFonts w:asciiTheme="majorHAnsi" w:hAnsiTheme="majorHAnsi" w:cstheme="majorHAnsi"/>
        </w:rPr>
        <w:t xml:space="preserve"> ~</w:t>
      </w:r>
      <w:r w:rsidR="00695751" w:rsidRPr="00101E86">
        <w:rPr>
          <w:rFonts w:asciiTheme="majorHAnsi" w:hAnsiTheme="majorHAnsi" w:cstheme="majorHAnsi"/>
        </w:rPr>
        <w:t xml:space="preserve"> </w:t>
      </w:r>
      <w:r w:rsidR="00EB25A4" w:rsidRPr="00101E86">
        <w:rPr>
          <w:rFonts w:asciiTheme="majorHAnsi" w:hAnsiTheme="majorHAnsi" w:cstheme="majorHAnsi"/>
        </w:rPr>
        <w:t>9.6 nm. These results demonstrate that PGA prevents aggregation and improves RNP uniformity, thereby supporting reproducible nanoliter-scale electroporation. This stabilization provides a mechanistic rationale for the high editing efficiencies observed in downstream T-cell experiments</w:t>
      </w:r>
      <w:r w:rsidR="00B40545" w:rsidRPr="00101E86">
        <w:rPr>
          <w:rFonts w:asciiTheme="majorHAnsi" w:hAnsiTheme="majorHAnsi" w:cstheme="majorHAnsi"/>
        </w:rPr>
        <w:t xml:space="preserve">. </w:t>
      </w:r>
    </w:p>
    <w:p w14:paraId="61C3D810" w14:textId="77777777" w:rsidR="00695751" w:rsidRPr="00101E86" w:rsidRDefault="00695751" w:rsidP="00101E86">
      <w:pPr>
        <w:pStyle w:val="NormalWeb"/>
        <w:spacing w:before="0" w:beforeAutospacing="0" w:after="0" w:afterAutospacing="0"/>
        <w:jc w:val="both"/>
        <w:rPr>
          <w:rFonts w:asciiTheme="majorHAnsi" w:hAnsiTheme="majorHAnsi" w:cstheme="majorHAnsi"/>
        </w:rPr>
      </w:pPr>
    </w:p>
    <w:p w14:paraId="52E7A944" w14:textId="77777777" w:rsidR="00695751" w:rsidRPr="00101E86" w:rsidRDefault="00887026" w:rsidP="00101E86">
      <w:pPr>
        <w:pStyle w:val="NormalWeb"/>
        <w:spacing w:before="0" w:beforeAutospacing="0" w:after="0" w:afterAutospacing="0"/>
        <w:jc w:val="both"/>
        <w:rPr>
          <w:rFonts w:asciiTheme="majorHAnsi" w:eastAsia="MS Gothic" w:hAnsiTheme="majorHAnsi" w:cstheme="majorHAnsi"/>
        </w:rPr>
      </w:pPr>
      <w:r w:rsidRPr="00101E86">
        <w:rPr>
          <w:rFonts w:asciiTheme="majorHAnsi" w:hAnsiTheme="majorHAnsi" w:cstheme="majorHAnsi"/>
          <w:b/>
          <w:bCs/>
        </w:rPr>
        <w:t>Dose-dependent editing efficiency in primary T cells</w:t>
      </w:r>
      <w:r w:rsidRPr="00101E86">
        <w:rPr>
          <w:rFonts w:ascii="MS Gothic" w:eastAsia="MS Gothic" w:hAnsi="MS Gothic" w:cs="MS Gothic" w:hint="eastAsia"/>
        </w:rPr>
        <w:t> </w:t>
      </w:r>
    </w:p>
    <w:p w14:paraId="0748A568" w14:textId="41531A98" w:rsidR="00887026" w:rsidRPr="00101E86" w:rsidRDefault="00887026"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Although FIDA experiments indicated that PGA reduces the efficiency of RNP assembly, functional editing outcomes </w:t>
      </w:r>
      <w:r w:rsidR="001B4770" w:rsidRPr="00101E86">
        <w:rPr>
          <w:rFonts w:asciiTheme="majorHAnsi" w:hAnsiTheme="majorHAnsi" w:cstheme="majorHAnsi"/>
        </w:rPr>
        <w:t>were hypothesized to</w:t>
      </w:r>
      <w:r w:rsidRPr="00101E86">
        <w:rPr>
          <w:rFonts w:asciiTheme="majorHAnsi" w:hAnsiTheme="majorHAnsi" w:cstheme="majorHAnsi"/>
        </w:rPr>
        <w:t xml:space="preserve"> be less affected, since electroporation is typically performed with excess guide RNA relative to Cas9. </w:t>
      </w:r>
      <w:r w:rsidR="001B4770" w:rsidRPr="00101E86">
        <w:rPr>
          <w:rFonts w:asciiTheme="majorHAnsi" w:hAnsiTheme="majorHAnsi" w:cstheme="majorHAnsi"/>
        </w:rPr>
        <w:t>T</w:t>
      </w:r>
      <w:r w:rsidRPr="00101E86">
        <w:rPr>
          <w:rFonts w:asciiTheme="majorHAnsi" w:hAnsiTheme="majorHAnsi" w:cstheme="majorHAnsi"/>
        </w:rPr>
        <w:t xml:space="preserve">herefore PGA–RNP input volume </w:t>
      </w:r>
      <w:r w:rsidR="001B4770" w:rsidRPr="00101E86">
        <w:rPr>
          <w:rFonts w:asciiTheme="majorHAnsi" w:hAnsiTheme="majorHAnsi" w:cstheme="majorHAnsi"/>
        </w:rPr>
        <w:t xml:space="preserve">was evaluated for </w:t>
      </w:r>
      <w:r w:rsidRPr="00101E86">
        <w:rPr>
          <w:rFonts w:asciiTheme="majorHAnsi" w:hAnsiTheme="majorHAnsi" w:cstheme="majorHAnsi"/>
        </w:rPr>
        <w:t>impact</w:t>
      </w:r>
      <w:r w:rsidR="001B4770" w:rsidRPr="00101E86">
        <w:rPr>
          <w:rFonts w:asciiTheme="majorHAnsi" w:hAnsiTheme="majorHAnsi" w:cstheme="majorHAnsi"/>
        </w:rPr>
        <w:t xml:space="preserve"> on</w:t>
      </w:r>
      <w:r w:rsidRPr="00101E86">
        <w:rPr>
          <w:rFonts w:asciiTheme="majorHAnsi" w:hAnsiTheme="majorHAnsi" w:cstheme="majorHAnsi"/>
        </w:rPr>
        <w:t xml:space="preserve"> knockout efficiency in primary human T cells at the TRAC locus (</w:t>
      </w:r>
      <w:r w:rsidRPr="00101E86">
        <w:rPr>
          <w:rFonts w:asciiTheme="majorHAnsi" w:hAnsiTheme="majorHAnsi" w:cstheme="majorHAnsi"/>
          <w:b/>
          <w:bCs/>
        </w:rPr>
        <w:t>Figure 2D</w:t>
      </w:r>
      <w:r w:rsidRPr="00101E86">
        <w:rPr>
          <w:rFonts w:asciiTheme="majorHAnsi" w:hAnsiTheme="majorHAnsi" w:cstheme="majorHAnsi"/>
        </w:rPr>
        <w:t xml:space="preserve">). Across four </w:t>
      </w:r>
      <w:r w:rsidR="00C455EA" w:rsidRPr="00101E86">
        <w:rPr>
          <w:rFonts w:asciiTheme="majorHAnsi" w:hAnsiTheme="majorHAnsi" w:cstheme="majorHAnsi"/>
          <w:bCs/>
        </w:rPr>
        <w:t>cartridges</w:t>
      </w:r>
      <w:r w:rsidRPr="00101E86">
        <w:rPr>
          <w:rFonts w:asciiTheme="majorHAnsi" w:hAnsiTheme="majorHAnsi" w:cstheme="majorHAnsi"/>
        </w:rPr>
        <w:t>, editing efficiency was consistently high (&gt;75–80%) at RNP inputs of 40 nL (2.1 pmol), 20 nL (1.05 pmol), and 10 nL (0.53 pmol), with minimal variability between CD4</w:t>
      </w:r>
      <w:r w:rsidRPr="00101E86">
        <w:rPr>
          <w:rFonts w:asciiTheme="majorHAnsi" w:hAnsiTheme="majorHAnsi" w:cstheme="majorHAnsi"/>
          <w:vertAlign w:val="superscript"/>
        </w:rPr>
        <w:t>+</w:t>
      </w:r>
      <w:r w:rsidRPr="00101E86">
        <w:rPr>
          <w:rFonts w:asciiTheme="majorHAnsi" w:hAnsiTheme="majorHAnsi" w:cstheme="majorHAnsi"/>
        </w:rPr>
        <w:t xml:space="preserve"> and CD8</w:t>
      </w:r>
      <w:r w:rsidRPr="00101E86">
        <w:rPr>
          <w:rFonts w:asciiTheme="majorHAnsi" w:hAnsiTheme="majorHAnsi" w:cstheme="majorHAnsi"/>
          <w:vertAlign w:val="superscript"/>
        </w:rPr>
        <w:t>+</w:t>
      </w:r>
      <w:r w:rsidRPr="00101E86">
        <w:rPr>
          <w:rFonts w:asciiTheme="majorHAnsi" w:hAnsiTheme="majorHAnsi" w:cstheme="majorHAnsi"/>
        </w:rPr>
        <w:t xml:space="preserve"> subsets. Even at 5 nL (0.26 pmol), editing remained robust, though a modest reduction was observed compared to higher doses. At the lowest dose tested (2.5 nL, 0.13 pmol), editing efficiency decreased substantially, plateauing near ~60% TRAC KO. Controls confirmed the specificity of editing: no-electroporation wells (0V) and </w:t>
      </w:r>
      <w:r w:rsidR="66C23062" w:rsidRPr="00101E86">
        <w:rPr>
          <w:rFonts w:asciiTheme="majorHAnsi" w:hAnsiTheme="majorHAnsi" w:cstheme="majorHAnsi"/>
        </w:rPr>
        <w:t>off-</w:t>
      </w:r>
      <w:r w:rsidR="00C455EA" w:rsidRPr="00101E86">
        <w:rPr>
          <w:rFonts w:asciiTheme="majorHAnsi" w:hAnsiTheme="majorHAnsi" w:cstheme="majorHAnsi"/>
          <w:bCs/>
        </w:rPr>
        <w:t>cartridge</w:t>
      </w:r>
      <w:r w:rsidR="00C455EA" w:rsidRPr="00101E86">
        <w:rPr>
          <w:rFonts w:asciiTheme="majorHAnsi" w:hAnsiTheme="majorHAnsi" w:cstheme="majorHAnsi"/>
        </w:rPr>
        <w:t xml:space="preserve"> </w:t>
      </w:r>
      <w:r w:rsidRPr="00101E86">
        <w:rPr>
          <w:rFonts w:asciiTheme="majorHAnsi" w:hAnsiTheme="majorHAnsi" w:cstheme="majorHAnsi"/>
        </w:rPr>
        <w:t xml:space="preserve">controls (OCC) exhibited only background knockout. </w:t>
      </w:r>
      <w:r w:rsidR="00BD4476" w:rsidRPr="00101E86">
        <w:rPr>
          <w:rFonts w:asciiTheme="majorHAnsi" w:hAnsiTheme="majorHAnsi" w:cstheme="majorHAnsi"/>
        </w:rPr>
        <w:t>The elevated TCR-negative frequency observed in the off</w:t>
      </w:r>
      <w:r w:rsidR="00D64C9E" w:rsidRPr="00101E86">
        <w:rPr>
          <w:rFonts w:asciiTheme="majorHAnsi" w:hAnsiTheme="majorHAnsi" w:cstheme="majorHAnsi"/>
        </w:rPr>
        <w:t>-</w:t>
      </w:r>
      <w:r w:rsidR="008775DD" w:rsidRPr="00101E86">
        <w:rPr>
          <w:rFonts w:asciiTheme="majorHAnsi" w:hAnsiTheme="majorHAnsi" w:cstheme="majorHAnsi"/>
        </w:rPr>
        <w:t>cartridge</w:t>
      </w:r>
      <w:r w:rsidR="00BD4476" w:rsidRPr="00101E86">
        <w:rPr>
          <w:rFonts w:asciiTheme="majorHAnsi" w:hAnsiTheme="majorHAnsi" w:cstheme="majorHAnsi"/>
        </w:rPr>
        <w:t xml:space="preserve"> control (OCC) CD8⁺ population likely reflects donor-specific baseline TCR downmodulation following activation, independent of electroporation or gene editing as these cells were not exposed to the </w:t>
      </w:r>
      <w:r w:rsidR="00AF12E7" w:rsidRPr="00101E86">
        <w:rPr>
          <w:rFonts w:asciiTheme="majorHAnsi" w:hAnsiTheme="majorHAnsi" w:cstheme="majorHAnsi"/>
        </w:rPr>
        <w:t>cartridge</w:t>
      </w:r>
      <w:r w:rsidR="00BD4476" w:rsidRPr="00101E86">
        <w:rPr>
          <w:rFonts w:asciiTheme="majorHAnsi" w:eastAsia="MS Gothic" w:hAnsiTheme="majorHAnsi" w:cstheme="majorHAnsi"/>
        </w:rPr>
        <w:t xml:space="preserve">. </w:t>
      </w:r>
      <w:r w:rsidRPr="00101E86">
        <w:rPr>
          <w:rFonts w:asciiTheme="majorHAnsi" w:hAnsiTheme="majorHAnsi" w:cstheme="majorHAnsi"/>
        </w:rPr>
        <w:t xml:space="preserve">Together, these results demonstrate that </w:t>
      </w:r>
      <w:r w:rsidR="00C27048" w:rsidRPr="00101E86">
        <w:rPr>
          <w:rFonts w:asciiTheme="majorHAnsi" w:hAnsiTheme="majorHAnsi" w:cstheme="majorHAnsi"/>
        </w:rPr>
        <w:t xml:space="preserve">DMF-ection </w:t>
      </w:r>
      <w:r w:rsidRPr="00101E86">
        <w:rPr>
          <w:rFonts w:asciiTheme="majorHAnsi" w:hAnsiTheme="majorHAnsi" w:cstheme="majorHAnsi"/>
        </w:rPr>
        <w:t>enables efficient CRISPR-mediated editing at nanoliter-scale RNP inputs. Importantly, editing was comparable between CD4</w:t>
      </w:r>
      <w:r w:rsidRPr="00101E86">
        <w:rPr>
          <w:rFonts w:asciiTheme="majorHAnsi" w:hAnsiTheme="majorHAnsi" w:cstheme="majorHAnsi"/>
          <w:vertAlign w:val="superscript"/>
        </w:rPr>
        <w:t>+</w:t>
      </w:r>
      <w:r w:rsidRPr="00101E86">
        <w:rPr>
          <w:rFonts w:asciiTheme="majorHAnsi" w:hAnsiTheme="majorHAnsi" w:cstheme="majorHAnsi"/>
        </w:rPr>
        <w:t xml:space="preserve"> and CD8</w:t>
      </w:r>
      <w:r w:rsidRPr="00101E86">
        <w:rPr>
          <w:rFonts w:asciiTheme="majorHAnsi" w:hAnsiTheme="majorHAnsi" w:cstheme="majorHAnsi"/>
          <w:vertAlign w:val="superscript"/>
        </w:rPr>
        <w:t>+</w:t>
      </w:r>
      <w:r w:rsidRPr="00101E86">
        <w:rPr>
          <w:rFonts w:asciiTheme="majorHAnsi" w:hAnsiTheme="majorHAnsi" w:cstheme="majorHAnsi"/>
        </w:rPr>
        <w:t xml:space="preserve"> T cells, highlighting the platform’s applicability across T cell subsets and suggesting that RNP usage can be reduced by more than an order of magnitude without compromising knockout efficiency.</w:t>
      </w:r>
    </w:p>
    <w:p w14:paraId="0C0FB615" w14:textId="77777777" w:rsidR="00695751" w:rsidRPr="00101E86" w:rsidRDefault="00695751" w:rsidP="00101E86">
      <w:pPr>
        <w:pStyle w:val="NormalWeb"/>
        <w:spacing w:before="0" w:beforeAutospacing="0" w:after="0" w:afterAutospacing="0"/>
        <w:jc w:val="both"/>
        <w:rPr>
          <w:rFonts w:asciiTheme="majorHAnsi" w:eastAsia="MS Gothic" w:hAnsiTheme="majorHAnsi" w:cstheme="majorHAnsi"/>
        </w:rPr>
      </w:pPr>
    </w:p>
    <w:p w14:paraId="61BE21AE" w14:textId="77777777" w:rsidR="00D64C9E" w:rsidRPr="00101E86" w:rsidRDefault="00F21F0A" w:rsidP="00101E86">
      <w:pPr>
        <w:pStyle w:val="font-claude-response-body"/>
        <w:spacing w:before="0" w:beforeAutospacing="0" w:after="0" w:afterAutospacing="0"/>
        <w:jc w:val="both"/>
        <w:rPr>
          <w:rStyle w:val="Strong"/>
          <w:rFonts w:asciiTheme="majorHAnsi" w:hAnsiTheme="majorHAnsi" w:cstheme="majorHAnsi"/>
        </w:rPr>
      </w:pPr>
      <w:r w:rsidRPr="00101E86">
        <w:rPr>
          <w:rStyle w:val="Strong"/>
          <w:rFonts w:asciiTheme="majorHAnsi" w:hAnsiTheme="majorHAnsi" w:cstheme="majorHAnsi"/>
        </w:rPr>
        <w:t xml:space="preserve">Efficient </w:t>
      </w:r>
      <w:r w:rsidR="00D64C9E" w:rsidRPr="00101E86">
        <w:rPr>
          <w:rStyle w:val="Strong"/>
          <w:rFonts w:asciiTheme="majorHAnsi" w:hAnsiTheme="majorHAnsi" w:cstheme="majorHAnsi"/>
        </w:rPr>
        <w:t>g</w:t>
      </w:r>
      <w:r w:rsidRPr="00101E86">
        <w:rPr>
          <w:rStyle w:val="Strong"/>
          <w:rFonts w:asciiTheme="majorHAnsi" w:hAnsiTheme="majorHAnsi" w:cstheme="majorHAnsi"/>
        </w:rPr>
        <w:t xml:space="preserve">ene </w:t>
      </w:r>
      <w:r w:rsidR="00D64C9E" w:rsidRPr="00101E86">
        <w:rPr>
          <w:rStyle w:val="Strong"/>
          <w:rFonts w:asciiTheme="majorHAnsi" w:hAnsiTheme="majorHAnsi" w:cstheme="majorHAnsi"/>
        </w:rPr>
        <w:t>d</w:t>
      </w:r>
      <w:r w:rsidRPr="00101E86">
        <w:rPr>
          <w:rStyle w:val="Strong"/>
          <w:rFonts w:asciiTheme="majorHAnsi" w:hAnsiTheme="majorHAnsi" w:cstheme="majorHAnsi"/>
        </w:rPr>
        <w:t xml:space="preserve">isruption in </w:t>
      </w:r>
      <w:r w:rsidR="00D64C9E" w:rsidRPr="00101E86">
        <w:rPr>
          <w:rStyle w:val="Strong"/>
          <w:rFonts w:asciiTheme="majorHAnsi" w:hAnsiTheme="majorHAnsi" w:cstheme="majorHAnsi"/>
        </w:rPr>
        <w:t>p</w:t>
      </w:r>
      <w:r w:rsidRPr="00101E86">
        <w:rPr>
          <w:rStyle w:val="Strong"/>
          <w:rFonts w:asciiTheme="majorHAnsi" w:hAnsiTheme="majorHAnsi" w:cstheme="majorHAnsi"/>
        </w:rPr>
        <w:t xml:space="preserve">rimary CD4⁺ and CD8⁺ T </w:t>
      </w:r>
      <w:r w:rsidR="00D64C9E" w:rsidRPr="00101E86">
        <w:rPr>
          <w:rStyle w:val="Strong"/>
          <w:rFonts w:asciiTheme="majorHAnsi" w:hAnsiTheme="majorHAnsi" w:cstheme="majorHAnsi"/>
        </w:rPr>
        <w:t>c</w:t>
      </w:r>
      <w:r w:rsidRPr="00101E86">
        <w:rPr>
          <w:rStyle w:val="Strong"/>
          <w:rFonts w:asciiTheme="majorHAnsi" w:hAnsiTheme="majorHAnsi" w:cstheme="majorHAnsi"/>
        </w:rPr>
        <w:t xml:space="preserve">ells </w:t>
      </w:r>
      <w:r w:rsidR="00D64C9E" w:rsidRPr="00101E86">
        <w:rPr>
          <w:rStyle w:val="Strong"/>
          <w:rFonts w:asciiTheme="majorHAnsi" w:hAnsiTheme="majorHAnsi" w:cstheme="majorHAnsi"/>
        </w:rPr>
        <w:t>u</w:t>
      </w:r>
      <w:r w:rsidRPr="00101E86">
        <w:rPr>
          <w:rStyle w:val="Strong"/>
          <w:rFonts w:asciiTheme="majorHAnsi" w:hAnsiTheme="majorHAnsi" w:cstheme="majorHAnsi"/>
        </w:rPr>
        <w:t xml:space="preserve">sing </w:t>
      </w:r>
      <w:r w:rsidR="00D64C9E" w:rsidRPr="00101E86">
        <w:rPr>
          <w:rStyle w:val="Strong"/>
          <w:rFonts w:asciiTheme="majorHAnsi" w:hAnsiTheme="majorHAnsi" w:cstheme="majorHAnsi"/>
        </w:rPr>
        <w:t>m</w:t>
      </w:r>
      <w:r w:rsidRPr="00101E86">
        <w:rPr>
          <w:rStyle w:val="Strong"/>
          <w:rFonts w:asciiTheme="majorHAnsi" w:hAnsiTheme="majorHAnsi" w:cstheme="majorHAnsi"/>
        </w:rPr>
        <w:t>iniaturized DMF</w:t>
      </w:r>
      <w:r w:rsidR="00DE2BE2" w:rsidRPr="00101E86">
        <w:rPr>
          <w:rStyle w:val="Strong"/>
          <w:rFonts w:asciiTheme="majorHAnsi" w:hAnsiTheme="majorHAnsi" w:cstheme="majorHAnsi"/>
        </w:rPr>
        <w:t>-ection</w:t>
      </w:r>
      <w:r w:rsidR="00AF12E7" w:rsidRPr="00101E86">
        <w:rPr>
          <w:rStyle w:val="Strong"/>
          <w:rFonts w:asciiTheme="majorHAnsi" w:hAnsiTheme="majorHAnsi" w:cstheme="majorHAnsi"/>
        </w:rPr>
        <w:t xml:space="preserve"> </w:t>
      </w:r>
    </w:p>
    <w:p w14:paraId="0AE3B210" w14:textId="20E5D78B" w:rsidR="00D3256D" w:rsidRPr="00101E86" w:rsidRDefault="00D0124F"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To validate the performance of the DMF</w:t>
      </w:r>
      <w:r w:rsidR="00901AF0" w:rsidRPr="00101E86">
        <w:rPr>
          <w:rFonts w:asciiTheme="majorHAnsi" w:hAnsiTheme="majorHAnsi" w:cstheme="majorHAnsi"/>
        </w:rPr>
        <w:t xml:space="preserve">-ection </w:t>
      </w:r>
      <w:r w:rsidRPr="00101E86">
        <w:rPr>
          <w:rFonts w:asciiTheme="majorHAnsi" w:hAnsiTheme="majorHAnsi" w:cstheme="majorHAnsi"/>
        </w:rPr>
        <w:t>workflow</w:t>
      </w:r>
      <w:r w:rsidR="00BD4476" w:rsidRPr="00101E86">
        <w:rPr>
          <w:rFonts w:asciiTheme="majorHAnsi" w:hAnsiTheme="majorHAnsi" w:cstheme="majorHAnsi"/>
        </w:rPr>
        <w:t xml:space="preserve"> in more depth</w:t>
      </w:r>
      <w:r w:rsidRPr="00101E86">
        <w:rPr>
          <w:rFonts w:asciiTheme="majorHAnsi" w:hAnsiTheme="majorHAnsi" w:cstheme="majorHAnsi"/>
        </w:rPr>
        <w:t xml:space="preserve">, CRISPR–Cas9-mediated knockout of the TRAC locus was assessed in primary human CD4⁺ and CD8⁺ T cells using only 10,000 activated cells per condition. </w:t>
      </w:r>
      <w:r w:rsidR="003D1F0A" w:rsidRPr="00101E86">
        <w:rPr>
          <w:rFonts w:asciiTheme="majorHAnsi" w:hAnsiTheme="majorHAnsi" w:cstheme="majorHAnsi"/>
        </w:rPr>
        <w:t>Three experimental groups were included: the TRAC-targeting guide condition (TRAC KO), a non-targeting control (NTC) to account for non-specific effects of RNP delivery, and an off-</w:t>
      </w:r>
      <w:r w:rsidR="00C455EA" w:rsidRPr="00101E86">
        <w:rPr>
          <w:rFonts w:asciiTheme="majorHAnsi" w:hAnsiTheme="majorHAnsi" w:cstheme="majorHAnsi"/>
          <w:bCs/>
        </w:rPr>
        <w:t>cartridge</w:t>
      </w:r>
      <w:r w:rsidR="00C455EA" w:rsidRPr="00101E86">
        <w:rPr>
          <w:rFonts w:asciiTheme="majorHAnsi" w:hAnsiTheme="majorHAnsi" w:cstheme="majorHAnsi"/>
        </w:rPr>
        <w:t xml:space="preserve"> </w:t>
      </w:r>
      <w:r w:rsidR="003D1F0A" w:rsidRPr="00101E86">
        <w:rPr>
          <w:rFonts w:asciiTheme="majorHAnsi" w:hAnsiTheme="majorHAnsi" w:cstheme="majorHAnsi"/>
        </w:rPr>
        <w:t>control (OCC) to establish baseline TCRα/β expression in untreated, unmanipulated cells. A standard gating strategy was applied to identify live singlets, followed by CD4⁺ and CD8⁺ subsets and TCRα/β expression (</w:t>
      </w:r>
      <w:r w:rsidR="003D1F0A" w:rsidRPr="00101E86">
        <w:rPr>
          <w:rFonts w:asciiTheme="majorHAnsi" w:hAnsiTheme="majorHAnsi" w:cstheme="majorHAnsi"/>
          <w:b/>
          <w:bCs/>
        </w:rPr>
        <w:t xml:space="preserve">Figure </w:t>
      </w:r>
      <w:r w:rsidR="00B807B6" w:rsidRPr="00101E86">
        <w:rPr>
          <w:rFonts w:asciiTheme="majorHAnsi" w:hAnsiTheme="majorHAnsi" w:cstheme="majorHAnsi"/>
          <w:b/>
          <w:bCs/>
        </w:rPr>
        <w:t>3</w:t>
      </w:r>
      <w:r w:rsidR="003D1F0A" w:rsidRPr="00101E86">
        <w:rPr>
          <w:rFonts w:asciiTheme="majorHAnsi" w:hAnsiTheme="majorHAnsi" w:cstheme="majorHAnsi"/>
          <w:b/>
          <w:bCs/>
        </w:rPr>
        <w:t>A</w:t>
      </w:r>
      <w:r w:rsidR="003D1F0A" w:rsidRPr="00101E86">
        <w:rPr>
          <w:rFonts w:asciiTheme="majorHAnsi" w:hAnsiTheme="majorHAnsi" w:cstheme="majorHAnsi"/>
        </w:rPr>
        <w:t>).</w:t>
      </w:r>
      <w:r w:rsidR="00B807B6" w:rsidRPr="00101E86">
        <w:rPr>
          <w:rFonts w:asciiTheme="majorHAnsi" w:hAnsiTheme="majorHAnsi" w:cstheme="majorHAnsi"/>
        </w:rPr>
        <w:t xml:space="preserve"> </w:t>
      </w:r>
      <w:r w:rsidR="00F21F0A" w:rsidRPr="00101E86">
        <w:rPr>
          <w:rFonts w:asciiTheme="majorHAnsi" w:hAnsiTheme="majorHAnsi" w:cstheme="majorHAnsi"/>
        </w:rPr>
        <w:t xml:space="preserve">High-efficiency gene disruption of the </w:t>
      </w:r>
      <w:r w:rsidR="00F21F0A" w:rsidRPr="00101E86">
        <w:rPr>
          <w:rFonts w:asciiTheme="majorHAnsi" w:hAnsiTheme="majorHAnsi" w:cstheme="majorHAnsi"/>
          <w:i/>
          <w:iCs/>
        </w:rPr>
        <w:t>TRAC</w:t>
      </w:r>
      <w:r w:rsidR="00F21F0A" w:rsidRPr="00101E86">
        <w:rPr>
          <w:rFonts w:asciiTheme="majorHAnsi" w:hAnsiTheme="majorHAnsi" w:cstheme="majorHAnsi"/>
        </w:rPr>
        <w:t xml:space="preserve"> locus was achieved in both T-cell subsets across 40 independent electroporation runs. In CD4⁺ T cells, </w:t>
      </w:r>
      <w:r w:rsidR="00F21F0A" w:rsidRPr="00101E86">
        <w:rPr>
          <w:rFonts w:asciiTheme="majorHAnsi" w:hAnsiTheme="majorHAnsi" w:cstheme="majorHAnsi"/>
          <w:i/>
          <w:iCs/>
        </w:rPr>
        <w:t>TRAC</w:t>
      </w:r>
      <w:r w:rsidR="00F21F0A" w:rsidRPr="00101E86">
        <w:rPr>
          <w:rFonts w:asciiTheme="majorHAnsi" w:hAnsiTheme="majorHAnsi" w:cstheme="majorHAnsi"/>
        </w:rPr>
        <w:t xml:space="preserve"> knockout efficiency reached 88.4 ± 4.9%, compared to 3.2 ± 4.7% in NTC and 9.8 ± 5.1% in OCC conditions. A comparable result was </w:t>
      </w:r>
      <w:r w:rsidR="00F21F0A" w:rsidRPr="00101E86">
        <w:rPr>
          <w:rFonts w:asciiTheme="majorHAnsi" w:hAnsiTheme="majorHAnsi" w:cstheme="majorHAnsi"/>
        </w:rPr>
        <w:lastRenderedPageBreak/>
        <w:t>observed in CD8⁺ T cells, where TRAC KO reached 89.8 ± 4.2%, versus 4.2 ± 7.4% (NTC) and 20.2 ± 4.9% (OCC) (</w:t>
      </w:r>
      <w:r w:rsidR="00F21F0A" w:rsidRPr="00101E86">
        <w:rPr>
          <w:rFonts w:asciiTheme="majorHAnsi" w:hAnsiTheme="majorHAnsi" w:cstheme="majorHAnsi"/>
          <w:b/>
          <w:bCs/>
        </w:rPr>
        <w:t xml:space="preserve">Figure </w:t>
      </w:r>
      <w:r w:rsidR="00B807B6" w:rsidRPr="00101E86">
        <w:rPr>
          <w:rFonts w:asciiTheme="majorHAnsi" w:hAnsiTheme="majorHAnsi" w:cstheme="majorHAnsi"/>
          <w:b/>
          <w:bCs/>
        </w:rPr>
        <w:t>3</w:t>
      </w:r>
      <w:r w:rsidR="00F21F0A" w:rsidRPr="00101E86">
        <w:rPr>
          <w:rFonts w:asciiTheme="majorHAnsi" w:hAnsiTheme="majorHAnsi" w:cstheme="majorHAnsi"/>
          <w:b/>
          <w:bCs/>
        </w:rPr>
        <w:t>B</w:t>
      </w:r>
      <w:r w:rsidR="00F21F0A" w:rsidRPr="00101E86">
        <w:rPr>
          <w:rFonts w:asciiTheme="majorHAnsi" w:hAnsiTheme="majorHAnsi" w:cstheme="majorHAnsi"/>
        </w:rPr>
        <w:t>, left). Importantly, electroporation produced no substantial cytotoxicity across conditions. Viability exceeded 96% in all groups, with no significant difference between TRAC KO (97.1 ± 1%), NTC (96.8 ± 1%), and OCC (97 ± 1%) conditions (</w:t>
      </w:r>
      <w:r w:rsidR="00F21F0A" w:rsidRPr="00101E86">
        <w:rPr>
          <w:rFonts w:asciiTheme="majorHAnsi" w:hAnsiTheme="majorHAnsi" w:cstheme="majorHAnsi"/>
          <w:b/>
          <w:bCs/>
        </w:rPr>
        <w:t xml:space="preserve">Figure </w:t>
      </w:r>
      <w:r w:rsidR="00DE2BE2" w:rsidRPr="00101E86">
        <w:rPr>
          <w:rFonts w:asciiTheme="majorHAnsi" w:hAnsiTheme="majorHAnsi" w:cstheme="majorHAnsi"/>
          <w:b/>
          <w:bCs/>
        </w:rPr>
        <w:t>3</w:t>
      </w:r>
      <w:r w:rsidR="00F21F0A" w:rsidRPr="00101E86">
        <w:rPr>
          <w:rFonts w:asciiTheme="majorHAnsi" w:hAnsiTheme="majorHAnsi" w:cstheme="majorHAnsi"/>
          <w:b/>
          <w:bCs/>
        </w:rPr>
        <w:t>B</w:t>
      </w:r>
      <w:r w:rsidR="00F21F0A" w:rsidRPr="00101E86">
        <w:rPr>
          <w:rFonts w:asciiTheme="majorHAnsi" w:hAnsiTheme="majorHAnsi" w:cstheme="majorHAnsi"/>
        </w:rPr>
        <w:t xml:space="preserve">, right). Together, these data demonstrate that DMF electroporation enables robust, high-efficiency TRAC disruption while preserving cellular viability across </w:t>
      </w:r>
      <w:r w:rsidR="00D64C9E" w:rsidRPr="00101E86">
        <w:rPr>
          <w:rFonts w:asciiTheme="majorHAnsi" w:hAnsiTheme="majorHAnsi" w:cstheme="majorHAnsi"/>
        </w:rPr>
        <w:t>multiple</w:t>
      </w:r>
      <w:r w:rsidR="00F21F0A" w:rsidRPr="00101E86">
        <w:rPr>
          <w:rFonts w:asciiTheme="majorHAnsi" w:hAnsiTheme="majorHAnsi" w:cstheme="majorHAnsi"/>
        </w:rPr>
        <w:t xml:space="preserve"> independent runs.</w:t>
      </w:r>
      <w:r w:rsidR="0075765E" w:rsidRPr="00101E86">
        <w:rPr>
          <w:rFonts w:asciiTheme="majorHAnsi" w:hAnsiTheme="majorHAnsi" w:cstheme="majorHAnsi"/>
        </w:rPr>
        <w:t xml:space="preserve"> </w:t>
      </w:r>
      <w:r w:rsidR="00D3256D" w:rsidRPr="00101E86">
        <w:rPr>
          <w:rFonts w:asciiTheme="majorHAnsi" w:hAnsiTheme="majorHAnsi" w:cstheme="majorHAnsi"/>
        </w:rPr>
        <w:t>Primary human T cells were obtained from commercial sources with informed donor consent and in accordance with institutional and vendor ethical guidelines.</w:t>
      </w:r>
    </w:p>
    <w:p w14:paraId="17A2A8D6" w14:textId="77777777" w:rsidR="00695751" w:rsidRPr="00101E86" w:rsidRDefault="00695751" w:rsidP="00101E86">
      <w:pPr>
        <w:pStyle w:val="font-claude-response-body"/>
        <w:spacing w:before="0" w:beforeAutospacing="0" w:after="0" w:afterAutospacing="0"/>
        <w:jc w:val="both"/>
        <w:rPr>
          <w:rStyle w:val="Strong"/>
          <w:rFonts w:asciiTheme="majorHAnsi" w:hAnsiTheme="majorHAnsi" w:cstheme="majorHAnsi"/>
          <w:b w:val="0"/>
          <w:bCs w:val="0"/>
        </w:rPr>
      </w:pPr>
    </w:p>
    <w:p w14:paraId="1954F3EA" w14:textId="77777777" w:rsidR="00D64C9E" w:rsidRPr="00101E86" w:rsidRDefault="00453EFD" w:rsidP="00101E86">
      <w:pPr>
        <w:pStyle w:val="Heading2"/>
        <w:rPr>
          <w:rFonts w:asciiTheme="majorHAnsi" w:eastAsia="Arial" w:hAnsiTheme="majorHAnsi" w:cstheme="majorHAnsi"/>
          <w:bCs/>
        </w:rPr>
      </w:pPr>
      <w:r w:rsidRPr="00101E86">
        <w:rPr>
          <w:rFonts w:asciiTheme="majorHAnsi" w:eastAsia="Arial" w:hAnsiTheme="majorHAnsi" w:cstheme="majorHAnsi"/>
          <w:bCs/>
        </w:rPr>
        <w:t>Handling</w:t>
      </w:r>
      <w:r w:rsidR="00DA43B1" w:rsidRPr="00101E86">
        <w:rPr>
          <w:rFonts w:asciiTheme="majorHAnsi" w:eastAsia="Arial" w:hAnsiTheme="majorHAnsi" w:cstheme="majorHAnsi"/>
          <w:bCs/>
        </w:rPr>
        <w:t xml:space="preserve"> of HEK293T </w:t>
      </w:r>
      <w:r w:rsidR="00D64C9E" w:rsidRPr="00101E86">
        <w:rPr>
          <w:rFonts w:asciiTheme="majorHAnsi" w:eastAsia="Arial" w:hAnsiTheme="majorHAnsi" w:cstheme="majorHAnsi"/>
          <w:bCs/>
        </w:rPr>
        <w:t>s</w:t>
      </w:r>
      <w:r w:rsidR="00DA43B1" w:rsidRPr="00101E86">
        <w:rPr>
          <w:rFonts w:asciiTheme="majorHAnsi" w:eastAsia="Arial" w:hAnsiTheme="majorHAnsi" w:cstheme="majorHAnsi"/>
          <w:bCs/>
        </w:rPr>
        <w:t xml:space="preserve">pheroids </w:t>
      </w:r>
      <w:r w:rsidR="008E240D" w:rsidRPr="00101E86">
        <w:rPr>
          <w:rFonts w:asciiTheme="majorHAnsi" w:eastAsia="Arial" w:hAnsiTheme="majorHAnsi" w:cstheme="majorHAnsi"/>
          <w:bCs/>
        </w:rPr>
        <w:t>with digital microfluidics</w:t>
      </w:r>
      <w:r w:rsidR="009B1525" w:rsidRPr="00101E86">
        <w:rPr>
          <w:rFonts w:asciiTheme="majorHAnsi" w:eastAsia="Arial" w:hAnsiTheme="majorHAnsi" w:cstheme="majorHAnsi"/>
          <w:bCs/>
        </w:rPr>
        <w:t xml:space="preserve"> </w:t>
      </w:r>
    </w:p>
    <w:p w14:paraId="7CFB5343" w14:textId="74FC97B5" w:rsidR="0068580B" w:rsidRPr="00101E86" w:rsidRDefault="001B4770" w:rsidP="00101E86">
      <w:pPr>
        <w:pStyle w:val="Heading2"/>
        <w:rPr>
          <w:rFonts w:asciiTheme="majorHAnsi" w:hAnsiTheme="majorHAnsi" w:cstheme="majorHAnsi"/>
          <w:b w:val="0"/>
          <w:bCs/>
        </w:rPr>
      </w:pPr>
      <w:r w:rsidRPr="00101E86">
        <w:rPr>
          <w:rFonts w:asciiTheme="majorHAnsi" w:hAnsiTheme="majorHAnsi" w:cstheme="majorHAnsi"/>
          <w:b w:val="0"/>
          <w:bCs/>
        </w:rPr>
        <w:t xml:space="preserve">Next, </w:t>
      </w:r>
      <w:r w:rsidR="00DE321B" w:rsidRPr="00101E86">
        <w:rPr>
          <w:rFonts w:asciiTheme="majorHAnsi" w:hAnsiTheme="majorHAnsi" w:cstheme="majorHAnsi"/>
          <w:b w:val="0"/>
          <w:bCs/>
        </w:rPr>
        <w:t xml:space="preserve">the digital microfluidic electroporation workflow </w:t>
      </w:r>
      <w:r w:rsidRPr="00101E86">
        <w:rPr>
          <w:rFonts w:asciiTheme="majorHAnsi" w:hAnsiTheme="majorHAnsi" w:cstheme="majorHAnsi"/>
          <w:b w:val="0"/>
          <w:bCs/>
        </w:rPr>
        <w:t xml:space="preserve">was evaluated for applications with </w:t>
      </w:r>
      <w:r w:rsidR="00DE321B" w:rsidRPr="00101E86">
        <w:rPr>
          <w:rFonts w:asciiTheme="majorHAnsi" w:hAnsiTheme="majorHAnsi" w:cstheme="majorHAnsi"/>
          <w:b w:val="0"/>
          <w:bCs/>
        </w:rPr>
        <w:t>multicellular three-dimensional structures. Hollow HEK293T spheroids were formed by seeding approximately 100 cells per well in low-attachment microplates and culturing for 24 h to permit spheroid formation (</w:t>
      </w:r>
      <w:r w:rsidR="00DE321B" w:rsidRPr="00101E86">
        <w:rPr>
          <w:rFonts w:asciiTheme="majorHAnsi" w:hAnsiTheme="majorHAnsi" w:cstheme="majorHAnsi"/>
        </w:rPr>
        <w:t>Figure 4A</w:t>
      </w:r>
      <w:r w:rsidR="00DE321B" w:rsidRPr="00101E86">
        <w:rPr>
          <w:rFonts w:asciiTheme="majorHAnsi" w:hAnsiTheme="majorHAnsi" w:cstheme="majorHAnsi"/>
          <w:b w:val="0"/>
          <w:bCs/>
        </w:rPr>
        <w:t xml:space="preserve">). Formed spheroids were subsequently collected, resuspended, and loaded onto the digital microfluidic </w:t>
      </w:r>
      <w:r w:rsidR="00C455EA" w:rsidRPr="00101E86">
        <w:rPr>
          <w:rFonts w:asciiTheme="majorHAnsi" w:hAnsiTheme="majorHAnsi" w:cstheme="majorHAnsi"/>
          <w:b w:val="0"/>
        </w:rPr>
        <w:t xml:space="preserve">cartridge </w:t>
      </w:r>
      <w:r w:rsidR="00DE321B" w:rsidRPr="00101E86">
        <w:rPr>
          <w:rFonts w:asciiTheme="majorHAnsi" w:hAnsiTheme="majorHAnsi" w:cstheme="majorHAnsi"/>
          <w:b w:val="0"/>
          <w:bCs/>
        </w:rPr>
        <w:t>for electroporation. Following treatment, spheroids were offloaded into a 96-well plate for downstream imaging and growth analysis.</w:t>
      </w:r>
    </w:p>
    <w:p w14:paraId="4B8C3BFC" w14:textId="77777777" w:rsidR="00695751" w:rsidRPr="00101E86" w:rsidRDefault="00695751" w:rsidP="00101E86">
      <w:pPr>
        <w:rPr>
          <w:rFonts w:asciiTheme="majorHAnsi" w:hAnsiTheme="majorHAnsi" w:cstheme="majorHAnsi"/>
        </w:rPr>
      </w:pPr>
    </w:p>
    <w:p w14:paraId="7239487F" w14:textId="2DC5B5FA" w:rsidR="00DE321B" w:rsidRPr="00101E86" w:rsidRDefault="00DE321B"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To achieve an average recovery of one spheroid per well after electroporation, an excess number of spheroids was intentionally loaded onto the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 </w:t>
      </w:r>
      <w:r w:rsidRPr="00101E86">
        <w:rPr>
          <w:rFonts w:asciiTheme="majorHAnsi" w:hAnsiTheme="majorHAnsi" w:cstheme="majorHAnsi"/>
        </w:rPr>
        <w:t xml:space="preserve">to compensate for material loss during handling and transfer. Approximately 192 spheroids were resuspended in 100 µL of electroporation buffer and loaded onto the </w:t>
      </w:r>
      <w:r w:rsidR="00E0706F" w:rsidRPr="00101E86">
        <w:rPr>
          <w:rFonts w:asciiTheme="majorHAnsi" w:hAnsiTheme="majorHAnsi" w:cstheme="majorHAnsi"/>
          <w:bCs/>
        </w:rPr>
        <w:t>cartridge</w:t>
      </w:r>
      <w:r w:rsidRPr="00101E86">
        <w:rPr>
          <w:rFonts w:asciiTheme="majorHAnsi" w:hAnsiTheme="majorHAnsi" w:cstheme="majorHAnsi"/>
        </w:rPr>
        <w:t xml:space="preserve">. Each reaction family received ~9.3 µL of the suspension, corresponding to ~18 spheroids, with individual droplets containing ~1 µL (1–2 spheroids per droplet). Because approximately half of the spheroids remained in the loading port during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 </w:t>
      </w:r>
      <w:r w:rsidRPr="00101E86">
        <w:rPr>
          <w:rFonts w:asciiTheme="majorHAnsi" w:hAnsiTheme="majorHAnsi" w:cstheme="majorHAnsi"/>
        </w:rPr>
        <w:t>operation, this loading strategy resulted in an average of ~1 spheroid per tri-droplet electroporation site.</w:t>
      </w:r>
    </w:p>
    <w:p w14:paraId="694DCD53" w14:textId="77777777" w:rsidR="00695751" w:rsidRPr="00101E86" w:rsidRDefault="00695751" w:rsidP="00101E86">
      <w:pPr>
        <w:pStyle w:val="NormalWeb"/>
        <w:spacing w:before="0" w:beforeAutospacing="0" w:after="0" w:afterAutospacing="0"/>
        <w:jc w:val="both"/>
        <w:rPr>
          <w:rFonts w:asciiTheme="majorHAnsi" w:hAnsiTheme="majorHAnsi" w:cstheme="majorHAnsi"/>
        </w:rPr>
      </w:pPr>
    </w:p>
    <w:p w14:paraId="65148D8C" w14:textId="49E2A5FF" w:rsidR="00DE321B" w:rsidRPr="00101E86" w:rsidRDefault="00DE321B" w:rsidP="00101E86">
      <w:pPr>
        <w:pStyle w:val="NormalWeb"/>
        <w:spacing w:before="0" w:beforeAutospacing="0" w:after="0" w:afterAutospacing="0"/>
        <w:jc w:val="both"/>
        <w:rPr>
          <w:rFonts w:asciiTheme="majorHAnsi" w:hAnsiTheme="majorHAnsi" w:cstheme="majorHAnsi"/>
        </w:rPr>
      </w:pPr>
      <w:r w:rsidRPr="00101E86">
        <w:rPr>
          <w:rFonts w:asciiTheme="majorHAnsi" w:hAnsiTheme="majorHAnsi" w:cstheme="majorHAnsi"/>
        </w:rPr>
        <w:t>Analysis of spheroid recovery indicated that 0–1 spheroids were typically offloaded per well after electroporation, corresponding to approximately 4–6 spheroids recovered per reaction family (</w:t>
      </w:r>
      <w:r w:rsidRPr="00101E86">
        <w:rPr>
          <w:rFonts w:asciiTheme="majorHAnsi" w:hAnsiTheme="majorHAnsi" w:cstheme="majorHAnsi"/>
          <w:b/>
          <w:bCs/>
        </w:rPr>
        <w:t>Figure 4B</w:t>
      </w:r>
      <w:r w:rsidR="00EB3B3E" w:rsidRPr="00101E86">
        <w:rPr>
          <w:rFonts w:asciiTheme="majorHAnsi" w:hAnsiTheme="majorHAnsi" w:cstheme="majorHAnsi"/>
          <w:b/>
          <w:bCs/>
        </w:rPr>
        <w:t xml:space="preserve"> left panel</w:t>
      </w:r>
      <w:r w:rsidRPr="00101E86">
        <w:rPr>
          <w:rFonts w:asciiTheme="majorHAnsi" w:hAnsiTheme="majorHAnsi" w:cstheme="majorHAnsi"/>
        </w:rPr>
        <w:t xml:space="preserve">). This recovery is lower than the theoretical maximum and reflects losses occurring during washing, aspiration of supernatant, and retention of spheroids in the loading port. These losses are attributed to the small spheroid diameter (~100 µm) and the inherent difficulty of maintaining </w:t>
      </w:r>
      <w:r w:rsidR="0017571B" w:rsidRPr="00101E86">
        <w:rPr>
          <w:rFonts w:asciiTheme="majorHAnsi" w:hAnsiTheme="majorHAnsi" w:cstheme="majorHAnsi"/>
        </w:rPr>
        <w:t xml:space="preserve">the </w:t>
      </w:r>
      <w:r w:rsidRPr="00101E86">
        <w:rPr>
          <w:rFonts w:asciiTheme="majorHAnsi" w:hAnsiTheme="majorHAnsi" w:cstheme="majorHAnsi"/>
        </w:rPr>
        <w:t>uniform distribution of non-single-cell structures within suspension. As a result, some spheroids remain unevenly distributed or fail to enter the tri-droplet region. Loading an excess number of spheroids ensured that at least one spheroid was present in most electroporation sites, enabling consistent downstream analysis</w:t>
      </w:r>
      <w:r w:rsidR="00EB3B3E" w:rsidRPr="00101E86">
        <w:rPr>
          <w:rFonts w:asciiTheme="majorHAnsi" w:hAnsiTheme="majorHAnsi" w:cstheme="majorHAnsi"/>
        </w:rPr>
        <w:t xml:space="preserve"> as demonstrated by on</w:t>
      </w:r>
      <w:r w:rsidR="0017571B" w:rsidRPr="00101E86">
        <w:rPr>
          <w:rFonts w:asciiTheme="majorHAnsi" w:hAnsiTheme="majorHAnsi" w:cstheme="majorHAnsi"/>
        </w:rPr>
        <w:t>-</w:t>
      </w:r>
      <w:r w:rsidR="00EB3B3E" w:rsidRPr="00101E86">
        <w:rPr>
          <w:rFonts w:asciiTheme="majorHAnsi" w:hAnsiTheme="majorHAnsi" w:cstheme="majorHAnsi"/>
        </w:rPr>
        <w:t>microscope imaging of DAPI</w:t>
      </w:r>
      <w:r w:rsidR="003B5341" w:rsidRPr="00101E86">
        <w:rPr>
          <w:rFonts w:asciiTheme="majorHAnsi" w:hAnsiTheme="majorHAnsi" w:cstheme="majorHAnsi"/>
        </w:rPr>
        <w:t>-</w:t>
      </w:r>
      <w:r w:rsidR="00EB3B3E" w:rsidRPr="00101E86">
        <w:rPr>
          <w:rFonts w:asciiTheme="majorHAnsi" w:hAnsiTheme="majorHAnsi" w:cstheme="majorHAnsi"/>
        </w:rPr>
        <w:t>stained spheroid in the microfluidics cartridge</w:t>
      </w:r>
      <w:r w:rsidRPr="00101E86">
        <w:rPr>
          <w:rFonts w:asciiTheme="majorHAnsi" w:hAnsiTheme="majorHAnsi" w:cstheme="majorHAnsi"/>
        </w:rPr>
        <w:t xml:space="preserve"> (</w:t>
      </w:r>
      <w:r w:rsidRPr="00101E86">
        <w:rPr>
          <w:rFonts w:asciiTheme="majorHAnsi" w:hAnsiTheme="majorHAnsi" w:cstheme="majorHAnsi"/>
          <w:b/>
          <w:bCs/>
        </w:rPr>
        <w:t xml:space="preserve">Figure 4B, </w:t>
      </w:r>
      <w:r w:rsidR="00EB3B3E" w:rsidRPr="00101E86">
        <w:rPr>
          <w:rFonts w:asciiTheme="majorHAnsi" w:hAnsiTheme="majorHAnsi" w:cstheme="majorHAnsi"/>
          <w:b/>
          <w:bCs/>
        </w:rPr>
        <w:t>right panel</w:t>
      </w:r>
      <w:r w:rsidRPr="00101E86">
        <w:rPr>
          <w:rFonts w:asciiTheme="majorHAnsi" w:hAnsiTheme="majorHAnsi" w:cstheme="majorHAnsi"/>
        </w:rPr>
        <w:t>). Further process optimization may reduce the number of spheroids required to achieve equivalent recovery</w:t>
      </w:r>
      <w:r w:rsidR="00EB3B3E" w:rsidRPr="00101E86">
        <w:rPr>
          <w:rFonts w:asciiTheme="majorHAnsi" w:hAnsiTheme="majorHAnsi" w:cstheme="majorHAnsi"/>
        </w:rPr>
        <w:t xml:space="preserve">. </w:t>
      </w:r>
      <w:r w:rsidRPr="00101E86">
        <w:rPr>
          <w:rFonts w:asciiTheme="majorHAnsi" w:hAnsiTheme="majorHAnsi" w:cstheme="majorHAnsi"/>
        </w:rPr>
        <w:t>Despite these handling losses, the workflow enabled gentle positioning of intact spheroids within the tri-droplet electroporation geometry</w:t>
      </w:r>
      <w:r w:rsidR="00695751" w:rsidRPr="00101E86">
        <w:rPr>
          <w:rFonts w:asciiTheme="majorHAnsi" w:hAnsiTheme="majorHAnsi" w:cstheme="majorHAnsi"/>
        </w:rPr>
        <w:t>.</w:t>
      </w:r>
    </w:p>
    <w:p w14:paraId="182C37EB" w14:textId="77777777" w:rsidR="00695751" w:rsidRPr="00101E86" w:rsidRDefault="00695751" w:rsidP="00101E86">
      <w:pPr>
        <w:pStyle w:val="NormalWeb"/>
        <w:spacing w:before="0" w:beforeAutospacing="0" w:after="0" w:afterAutospacing="0"/>
        <w:jc w:val="both"/>
        <w:rPr>
          <w:rFonts w:asciiTheme="majorHAnsi" w:hAnsiTheme="majorHAnsi" w:cstheme="majorHAnsi"/>
        </w:rPr>
      </w:pPr>
    </w:p>
    <w:p w14:paraId="08B219E8" w14:textId="77777777" w:rsidR="003B5341" w:rsidRPr="00101E86" w:rsidRDefault="00DE321B" w:rsidP="00101E86">
      <w:pPr>
        <w:pStyle w:val="Heading2"/>
        <w:rPr>
          <w:rStyle w:val="Strong"/>
          <w:rFonts w:asciiTheme="majorHAnsi" w:hAnsiTheme="majorHAnsi" w:cstheme="majorHAnsi"/>
          <w:b/>
          <w:bCs w:val="0"/>
        </w:rPr>
      </w:pPr>
      <w:r w:rsidRPr="00101E86">
        <w:rPr>
          <w:rStyle w:val="Strong"/>
          <w:rFonts w:asciiTheme="majorHAnsi" w:hAnsiTheme="majorHAnsi" w:cstheme="majorHAnsi"/>
          <w:b/>
          <w:bCs w:val="0"/>
          <w:i/>
          <w:iCs/>
        </w:rPr>
        <w:t>EGFP</w:t>
      </w:r>
      <w:r w:rsidRPr="00101E86">
        <w:rPr>
          <w:rStyle w:val="Strong"/>
          <w:rFonts w:asciiTheme="majorHAnsi" w:hAnsiTheme="majorHAnsi" w:cstheme="majorHAnsi"/>
          <w:b/>
          <w:bCs w:val="0"/>
        </w:rPr>
        <w:t xml:space="preserve"> mRNA </w:t>
      </w:r>
      <w:r w:rsidR="003B5341" w:rsidRPr="00101E86">
        <w:rPr>
          <w:rStyle w:val="Strong"/>
          <w:rFonts w:asciiTheme="majorHAnsi" w:hAnsiTheme="majorHAnsi" w:cstheme="majorHAnsi"/>
          <w:b/>
          <w:bCs w:val="0"/>
        </w:rPr>
        <w:t>d</w:t>
      </w:r>
      <w:r w:rsidRPr="00101E86">
        <w:rPr>
          <w:rStyle w:val="Strong"/>
          <w:rFonts w:asciiTheme="majorHAnsi" w:hAnsiTheme="majorHAnsi" w:cstheme="majorHAnsi"/>
          <w:b/>
          <w:bCs w:val="0"/>
        </w:rPr>
        <w:t xml:space="preserve">elivery and </w:t>
      </w:r>
      <w:r w:rsidR="003B5341" w:rsidRPr="00101E86">
        <w:rPr>
          <w:rStyle w:val="Strong"/>
          <w:rFonts w:asciiTheme="majorHAnsi" w:hAnsiTheme="majorHAnsi" w:cstheme="majorHAnsi"/>
          <w:b/>
          <w:bCs w:val="0"/>
        </w:rPr>
        <w:t>v</w:t>
      </w:r>
      <w:r w:rsidRPr="00101E86">
        <w:rPr>
          <w:rStyle w:val="Strong"/>
          <w:rFonts w:asciiTheme="majorHAnsi" w:hAnsiTheme="majorHAnsi" w:cstheme="majorHAnsi"/>
          <w:b/>
          <w:bCs w:val="0"/>
        </w:rPr>
        <w:t xml:space="preserve">iability in HEK293T </w:t>
      </w:r>
      <w:r w:rsidR="003B5341" w:rsidRPr="00101E86">
        <w:rPr>
          <w:rStyle w:val="Strong"/>
          <w:rFonts w:asciiTheme="majorHAnsi" w:hAnsiTheme="majorHAnsi" w:cstheme="majorHAnsi"/>
          <w:b/>
          <w:bCs w:val="0"/>
        </w:rPr>
        <w:t>s</w:t>
      </w:r>
      <w:r w:rsidRPr="00101E86">
        <w:rPr>
          <w:rStyle w:val="Strong"/>
          <w:rFonts w:asciiTheme="majorHAnsi" w:hAnsiTheme="majorHAnsi" w:cstheme="majorHAnsi"/>
          <w:b/>
          <w:bCs w:val="0"/>
        </w:rPr>
        <w:t>pheroids</w:t>
      </w:r>
      <w:r w:rsidR="009B1525" w:rsidRPr="00101E86">
        <w:rPr>
          <w:rStyle w:val="Strong"/>
          <w:rFonts w:asciiTheme="majorHAnsi" w:hAnsiTheme="majorHAnsi" w:cstheme="majorHAnsi"/>
          <w:b/>
          <w:bCs w:val="0"/>
        </w:rPr>
        <w:t xml:space="preserve"> </w:t>
      </w:r>
    </w:p>
    <w:p w14:paraId="1CBC2398" w14:textId="3AE0F05E" w:rsidR="00DA43B1" w:rsidRPr="00101E86" w:rsidRDefault="00DE321B" w:rsidP="00101E86">
      <w:pPr>
        <w:pStyle w:val="Heading2"/>
        <w:rPr>
          <w:rFonts w:asciiTheme="majorHAnsi" w:hAnsiTheme="majorHAnsi" w:cstheme="majorHAnsi"/>
          <w:b w:val="0"/>
          <w:bCs/>
        </w:rPr>
      </w:pPr>
      <w:r w:rsidRPr="00101E86">
        <w:rPr>
          <w:rFonts w:asciiTheme="majorHAnsi" w:hAnsiTheme="majorHAnsi" w:cstheme="majorHAnsi"/>
          <w:b w:val="0"/>
          <w:bCs/>
        </w:rPr>
        <w:t xml:space="preserve">Efficient delivery of </w:t>
      </w:r>
      <w:r w:rsidRPr="00101E86">
        <w:rPr>
          <w:rFonts w:asciiTheme="majorHAnsi" w:hAnsiTheme="majorHAnsi" w:cstheme="majorHAnsi"/>
          <w:b w:val="0"/>
          <w:bCs/>
          <w:i/>
          <w:iCs/>
        </w:rPr>
        <w:t>EGFP</w:t>
      </w:r>
      <w:r w:rsidRPr="00101E86">
        <w:rPr>
          <w:rFonts w:asciiTheme="majorHAnsi" w:hAnsiTheme="majorHAnsi" w:cstheme="majorHAnsi"/>
          <w:b w:val="0"/>
          <w:bCs/>
        </w:rPr>
        <w:t xml:space="preserve"> mRNA into HEK293T spheroids was observed following electroporation</w:t>
      </w:r>
      <w:r w:rsidR="003C606D" w:rsidRPr="00101E86">
        <w:rPr>
          <w:rFonts w:asciiTheme="majorHAnsi" w:hAnsiTheme="majorHAnsi" w:cstheme="majorHAnsi"/>
          <w:b w:val="0"/>
          <w:bCs/>
        </w:rPr>
        <w:t xml:space="preserve"> (50</w:t>
      </w:r>
      <w:r w:rsidR="009D6B51" w:rsidRPr="00101E86">
        <w:rPr>
          <w:rFonts w:asciiTheme="majorHAnsi" w:hAnsiTheme="majorHAnsi" w:cstheme="majorHAnsi"/>
          <w:b w:val="0"/>
          <w:bCs/>
        </w:rPr>
        <w:t xml:space="preserve"> </w:t>
      </w:r>
      <w:r w:rsidR="003C606D" w:rsidRPr="00101E86">
        <w:rPr>
          <w:rFonts w:asciiTheme="majorHAnsi" w:hAnsiTheme="majorHAnsi" w:cstheme="majorHAnsi"/>
          <w:b w:val="0"/>
          <w:bCs/>
        </w:rPr>
        <w:t xml:space="preserve">ng </w:t>
      </w:r>
      <w:r w:rsidR="009D6B51" w:rsidRPr="00101E86">
        <w:rPr>
          <w:rFonts w:asciiTheme="majorHAnsi" w:hAnsiTheme="majorHAnsi" w:cstheme="majorHAnsi"/>
          <w:b w:val="0"/>
          <w:bCs/>
        </w:rPr>
        <w:t xml:space="preserve">of </w:t>
      </w:r>
      <w:r w:rsidR="003C606D" w:rsidRPr="00101E86">
        <w:rPr>
          <w:rFonts w:asciiTheme="majorHAnsi" w:hAnsiTheme="majorHAnsi" w:cstheme="majorHAnsi"/>
          <w:b w:val="0"/>
          <w:bCs/>
          <w:i/>
          <w:iCs/>
        </w:rPr>
        <w:t>GFP</w:t>
      </w:r>
      <w:r w:rsidR="009D6B51" w:rsidRPr="00101E86">
        <w:rPr>
          <w:rFonts w:asciiTheme="majorHAnsi" w:hAnsiTheme="majorHAnsi" w:cstheme="majorHAnsi"/>
          <w:b w:val="0"/>
          <w:bCs/>
        </w:rPr>
        <w:t xml:space="preserve"> </w:t>
      </w:r>
      <w:r w:rsidR="003C606D" w:rsidRPr="00101E86">
        <w:rPr>
          <w:rFonts w:asciiTheme="majorHAnsi" w:hAnsiTheme="majorHAnsi" w:cstheme="majorHAnsi"/>
          <w:b w:val="0"/>
          <w:bCs/>
        </w:rPr>
        <w:t>mRNA per spheroid)</w:t>
      </w:r>
      <w:r w:rsidRPr="00101E86">
        <w:rPr>
          <w:rFonts w:asciiTheme="majorHAnsi" w:hAnsiTheme="majorHAnsi" w:cstheme="majorHAnsi"/>
          <w:b w:val="0"/>
          <w:bCs/>
        </w:rPr>
        <w:t>. Fluorescence microscopy performed 24 h post</w:t>
      </w:r>
      <w:r w:rsidR="009D6B51" w:rsidRPr="00101E86">
        <w:rPr>
          <w:rFonts w:asciiTheme="majorHAnsi" w:hAnsiTheme="majorHAnsi" w:cstheme="majorHAnsi"/>
          <w:b w:val="0"/>
          <w:bCs/>
        </w:rPr>
        <w:t xml:space="preserve"> </w:t>
      </w:r>
      <w:r w:rsidRPr="00101E86">
        <w:rPr>
          <w:rFonts w:asciiTheme="majorHAnsi" w:hAnsiTheme="majorHAnsi" w:cstheme="majorHAnsi"/>
          <w:b w:val="0"/>
          <w:bCs/>
        </w:rPr>
        <w:t xml:space="preserve">electroporation revealed robust and spatially uniform GFP expression throughout electroporated </w:t>
      </w:r>
      <w:r w:rsidRPr="00101E86">
        <w:rPr>
          <w:rFonts w:asciiTheme="majorHAnsi" w:hAnsiTheme="majorHAnsi" w:cstheme="majorHAnsi"/>
          <w:b w:val="0"/>
          <w:bCs/>
        </w:rPr>
        <w:lastRenderedPageBreak/>
        <w:t>spheroids, whereas no detectable fluorescence was observed in 0 V or off-</w:t>
      </w:r>
      <w:r w:rsidR="00C455EA" w:rsidRPr="00101E86">
        <w:rPr>
          <w:rFonts w:asciiTheme="majorHAnsi" w:hAnsiTheme="majorHAnsi" w:cstheme="majorHAnsi"/>
          <w:b w:val="0"/>
        </w:rPr>
        <w:t xml:space="preserve">cartridge </w:t>
      </w:r>
      <w:r w:rsidRPr="00101E86">
        <w:rPr>
          <w:rFonts w:asciiTheme="majorHAnsi" w:hAnsiTheme="majorHAnsi" w:cstheme="majorHAnsi"/>
          <w:b w:val="0"/>
          <w:bCs/>
        </w:rPr>
        <w:t>control conditions (</w:t>
      </w:r>
      <w:r w:rsidRPr="00101E86">
        <w:rPr>
          <w:rFonts w:asciiTheme="majorHAnsi" w:hAnsiTheme="majorHAnsi" w:cstheme="majorHAnsi"/>
        </w:rPr>
        <w:t>Figure 4C</w:t>
      </w:r>
      <w:r w:rsidRPr="00101E86">
        <w:rPr>
          <w:rFonts w:asciiTheme="majorHAnsi" w:hAnsiTheme="majorHAnsi" w:cstheme="majorHAnsi"/>
          <w:b w:val="0"/>
          <w:bCs/>
        </w:rPr>
        <w:t>, left panel).</w:t>
      </w:r>
      <w:r w:rsidR="0068580B" w:rsidRPr="00101E86">
        <w:rPr>
          <w:rFonts w:asciiTheme="majorHAnsi" w:hAnsiTheme="majorHAnsi" w:cstheme="majorHAnsi"/>
          <w:b w:val="0"/>
          <w:bCs/>
        </w:rPr>
        <w:t xml:space="preserve"> </w:t>
      </w:r>
      <w:r w:rsidRPr="00101E86">
        <w:rPr>
          <w:rFonts w:asciiTheme="majorHAnsi" w:hAnsiTheme="majorHAnsi" w:cstheme="majorHAnsi"/>
          <w:b w:val="0"/>
          <w:bCs/>
        </w:rPr>
        <w:t>Quantitative analysis of normalized mean fluorescence intensity (MFI) per spheroid area confirmed successful transfection under both electroporation parameter sets tested (</w:t>
      </w:r>
      <w:r w:rsidRPr="00101E86">
        <w:rPr>
          <w:rFonts w:asciiTheme="majorHAnsi" w:hAnsiTheme="majorHAnsi" w:cstheme="majorHAnsi"/>
        </w:rPr>
        <w:t>Figure 4C</w:t>
      </w:r>
      <w:r w:rsidRPr="00101E86">
        <w:rPr>
          <w:rFonts w:asciiTheme="majorHAnsi" w:hAnsiTheme="majorHAnsi" w:cstheme="majorHAnsi"/>
          <w:b w:val="0"/>
          <w:bCs/>
        </w:rPr>
        <w:t>, middle panel). Specifically, spheroids electroporated at 500 V, 2 ms, 2 pulses exhibited an MFI of 6.96 × 10⁻⁵ ± 3.50 × 10⁻⁵, while those electroporated at 375 V, 6 ms, 1 pulse showed an MFI of 5.05 × 10⁻⁵ ± 3.29 × 10⁻⁵. No measurable fluorescence was detected in control conditions (0 ± 0). Both electroporation conditions produced significantly higher fluorescence compared to controls (p &lt; 0.05), with no statistically significant difference between pulse parameters.</w:t>
      </w:r>
      <w:r w:rsidR="0068580B" w:rsidRPr="00101E86">
        <w:rPr>
          <w:rFonts w:asciiTheme="majorHAnsi" w:hAnsiTheme="majorHAnsi" w:cstheme="majorHAnsi"/>
          <w:b w:val="0"/>
          <w:bCs/>
        </w:rPr>
        <w:t xml:space="preserve"> </w:t>
      </w:r>
      <w:r w:rsidRPr="00101E86">
        <w:rPr>
          <w:rFonts w:asciiTheme="majorHAnsi" w:hAnsiTheme="majorHAnsi" w:cstheme="majorHAnsi"/>
          <w:b w:val="0"/>
          <w:bCs/>
        </w:rPr>
        <w:t xml:space="preserve">To assess whether electroporation adversely affected spheroid growth or structural integrity, spheroid diameters were measured daily over </w:t>
      </w:r>
      <w:r w:rsidR="009D6B51" w:rsidRPr="00101E86">
        <w:rPr>
          <w:rFonts w:asciiTheme="majorHAnsi" w:hAnsiTheme="majorHAnsi" w:cstheme="majorHAnsi"/>
          <w:b w:val="0"/>
          <w:bCs/>
        </w:rPr>
        <w:t>5</w:t>
      </w:r>
      <w:r w:rsidRPr="00101E86">
        <w:rPr>
          <w:rFonts w:asciiTheme="majorHAnsi" w:hAnsiTheme="majorHAnsi" w:cstheme="majorHAnsi"/>
          <w:b w:val="0"/>
          <w:bCs/>
        </w:rPr>
        <w:t xml:space="preserve"> days following treatment. Electroporated spheroids exhibited growth kinetics comparable to untreated controls, indicating that mRNA transfection did not impair spheroid viability or proliferative capacity (</w:t>
      </w:r>
      <w:r w:rsidRPr="00101E86">
        <w:rPr>
          <w:rFonts w:asciiTheme="majorHAnsi" w:hAnsiTheme="majorHAnsi" w:cstheme="majorHAnsi"/>
        </w:rPr>
        <w:t>Figure 4C</w:t>
      </w:r>
      <w:r w:rsidRPr="00101E86">
        <w:rPr>
          <w:rFonts w:asciiTheme="majorHAnsi" w:hAnsiTheme="majorHAnsi" w:cstheme="majorHAnsi"/>
          <w:b w:val="0"/>
          <w:bCs/>
        </w:rPr>
        <w:t>, right panel).</w:t>
      </w:r>
      <w:r w:rsidR="0068580B" w:rsidRPr="00101E86">
        <w:rPr>
          <w:rFonts w:asciiTheme="majorHAnsi" w:hAnsiTheme="majorHAnsi" w:cstheme="majorHAnsi"/>
          <w:b w:val="0"/>
          <w:bCs/>
        </w:rPr>
        <w:t xml:space="preserve"> </w:t>
      </w:r>
      <w:r w:rsidRPr="00101E86">
        <w:rPr>
          <w:rFonts w:asciiTheme="majorHAnsi" w:hAnsiTheme="majorHAnsi" w:cstheme="majorHAnsi"/>
          <w:b w:val="0"/>
          <w:bCs/>
        </w:rPr>
        <w:t>Together, these results demonstrate that digital microfluidic electroporation enables efficient mRNA delivery into intact multicellular spheroids while preserving structural integrity and growth, supporting the feasibility of extending this platform to three-dimensional cellular models.</w:t>
      </w:r>
    </w:p>
    <w:p w14:paraId="0ED843D8" w14:textId="77777777" w:rsidR="00695751" w:rsidRPr="00101E86" w:rsidRDefault="00695751" w:rsidP="00101E86">
      <w:pPr>
        <w:rPr>
          <w:rFonts w:asciiTheme="majorHAnsi" w:hAnsiTheme="majorHAnsi" w:cstheme="majorHAnsi"/>
        </w:rPr>
      </w:pPr>
    </w:p>
    <w:p w14:paraId="638F6FC1" w14:textId="7EA84782" w:rsidR="00312897" w:rsidRPr="00101E86" w:rsidRDefault="00312897" w:rsidP="00101E86">
      <w:pPr>
        <w:pStyle w:val="font-claude-response-body"/>
        <w:spacing w:before="0" w:beforeAutospacing="0" w:after="0" w:afterAutospacing="0"/>
        <w:jc w:val="both"/>
        <w:rPr>
          <w:rFonts w:asciiTheme="majorHAnsi" w:hAnsiTheme="majorHAnsi" w:cstheme="majorHAnsi"/>
          <w:i/>
          <w:iCs/>
        </w:rPr>
      </w:pPr>
      <w:r w:rsidRPr="00101E86">
        <w:rPr>
          <w:rStyle w:val="Emphasis"/>
          <w:rFonts w:asciiTheme="majorHAnsi" w:hAnsiTheme="majorHAnsi" w:cstheme="majorHAnsi"/>
          <w:i w:val="0"/>
          <w:iCs w:val="0"/>
        </w:rPr>
        <w:t>Data are presented as mean ± standard deviation. Statistical significance was determined using one-way ANOVA with Tukey's post hoc correction for multiple comparisons, with a significance threshold of p &lt; 0.05. N values represent independent biological replicates (separate donors or independent cartridge runs) as specified</w:t>
      </w:r>
      <w:r w:rsidR="009D6B51" w:rsidRPr="00101E86">
        <w:rPr>
          <w:rStyle w:val="Emphasis"/>
          <w:rFonts w:asciiTheme="majorHAnsi" w:hAnsiTheme="majorHAnsi" w:cstheme="majorHAnsi"/>
          <w:i w:val="0"/>
          <w:iCs w:val="0"/>
        </w:rPr>
        <w:t xml:space="preserve"> in the</w:t>
      </w:r>
      <w:r w:rsidRPr="00101E86">
        <w:rPr>
          <w:rStyle w:val="Emphasis"/>
          <w:rFonts w:asciiTheme="majorHAnsi" w:hAnsiTheme="majorHAnsi" w:cstheme="majorHAnsi"/>
          <w:i w:val="0"/>
          <w:iCs w:val="0"/>
        </w:rPr>
        <w:t xml:space="preserve"> figure.</w:t>
      </w:r>
    </w:p>
    <w:p w14:paraId="7B53D143" w14:textId="77777777" w:rsidR="00DA43B1" w:rsidRPr="00101E86" w:rsidRDefault="00DA43B1" w:rsidP="00101E86">
      <w:pPr>
        <w:rPr>
          <w:rFonts w:asciiTheme="majorHAnsi" w:hAnsiTheme="majorHAnsi" w:cstheme="majorHAnsi"/>
        </w:rPr>
      </w:pPr>
    </w:p>
    <w:p w14:paraId="22A8A392" w14:textId="48444CE6" w:rsidR="008B5B59" w:rsidRPr="00101E86" w:rsidRDefault="00551D82" w:rsidP="00101E86">
      <w:pPr>
        <w:rPr>
          <w:rFonts w:asciiTheme="majorHAnsi" w:hAnsiTheme="majorHAnsi" w:cstheme="majorHAnsi"/>
        </w:rPr>
      </w:pPr>
      <w:r w:rsidRPr="00101E86">
        <w:rPr>
          <w:rFonts w:asciiTheme="majorHAnsi" w:hAnsiTheme="majorHAnsi" w:cstheme="majorHAnsi"/>
          <w:b/>
        </w:rPr>
        <w:t>FIGURE AND TABLE LEGENDS:</w:t>
      </w:r>
    </w:p>
    <w:p w14:paraId="1F19C93F" w14:textId="769294C5" w:rsidR="1CBB2E4C" w:rsidRPr="00101E86" w:rsidRDefault="6A26C5F4" w:rsidP="00101E86">
      <w:pPr>
        <w:pStyle w:val="font-claude-response-body"/>
        <w:spacing w:before="0" w:beforeAutospacing="0" w:after="0" w:afterAutospacing="0"/>
        <w:jc w:val="both"/>
        <w:rPr>
          <w:rFonts w:asciiTheme="majorHAnsi" w:eastAsia="Calibri" w:hAnsiTheme="majorHAnsi" w:cstheme="majorHAnsi"/>
        </w:rPr>
      </w:pPr>
      <w:r w:rsidRPr="00101E86">
        <w:rPr>
          <w:rStyle w:val="Strong"/>
          <w:rFonts w:asciiTheme="majorHAnsi" w:eastAsia="Calibri" w:hAnsiTheme="majorHAnsi" w:cstheme="majorHAnsi"/>
        </w:rPr>
        <w:t xml:space="preserve">Figure 1. DMF </w:t>
      </w:r>
      <w:r w:rsidR="00AC1073" w:rsidRPr="00101E86">
        <w:rPr>
          <w:rStyle w:val="Strong"/>
          <w:rFonts w:asciiTheme="majorHAnsi" w:eastAsia="Calibri" w:hAnsiTheme="majorHAnsi" w:cstheme="majorHAnsi"/>
        </w:rPr>
        <w:t>e</w:t>
      </w:r>
      <w:r w:rsidRPr="00101E86">
        <w:rPr>
          <w:rStyle w:val="Strong"/>
          <w:rFonts w:asciiTheme="majorHAnsi" w:eastAsia="Calibri" w:hAnsiTheme="majorHAnsi" w:cstheme="majorHAnsi"/>
        </w:rPr>
        <w:t xml:space="preserve">lectroporation </w:t>
      </w:r>
      <w:r w:rsidR="00AC1073" w:rsidRPr="00101E86">
        <w:rPr>
          <w:rStyle w:val="Strong"/>
          <w:rFonts w:asciiTheme="majorHAnsi" w:eastAsia="Calibri" w:hAnsiTheme="majorHAnsi" w:cstheme="majorHAnsi"/>
        </w:rPr>
        <w:t>p</w:t>
      </w:r>
      <w:r w:rsidRPr="00101E86">
        <w:rPr>
          <w:rStyle w:val="Strong"/>
          <w:rFonts w:asciiTheme="majorHAnsi" w:eastAsia="Calibri" w:hAnsiTheme="majorHAnsi" w:cstheme="majorHAnsi"/>
        </w:rPr>
        <w:t xml:space="preserve">latform </w:t>
      </w:r>
      <w:r w:rsidR="00AC1073" w:rsidRPr="00101E86">
        <w:rPr>
          <w:rStyle w:val="Strong"/>
          <w:rFonts w:asciiTheme="majorHAnsi" w:eastAsia="Calibri" w:hAnsiTheme="majorHAnsi" w:cstheme="majorHAnsi"/>
        </w:rPr>
        <w:t>a</w:t>
      </w:r>
      <w:r w:rsidRPr="00101E86">
        <w:rPr>
          <w:rStyle w:val="Strong"/>
          <w:rFonts w:asciiTheme="majorHAnsi" w:eastAsia="Calibri" w:hAnsiTheme="majorHAnsi" w:cstheme="majorHAnsi"/>
        </w:rPr>
        <w:t xml:space="preserve">rchitecture and </w:t>
      </w:r>
      <w:r w:rsidR="00AC1073" w:rsidRPr="00101E86">
        <w:rPr>
          <w:rStyle w:val="Strong"/>
          <w:rFonts w:asciiTheme="majorHAnsi" w:eastAsia="Calibri" w:hAnsiTheme="majorHAnsi" w:cstheme="majorHAnsi"/>
        </w:rPr>
        <w:t>w</w:t>
      </w:r>
      <w:r w:rsidRPr="00101E86">
        <w:rPr>
          <w:rStyle w:val="Strong"/>
          <w:rFonts w:asciiTheme="majorHAnsi" w:eastAsia="Calibri" w:hAnsiTheme="majorHAnsi" w:cstheme="majorHAnsi"/>
        </w:rPr>
        <w:t>orkflow</w:t>
      </w:r>
      <w:r w:rsidR="00AC1073" w:rsidRPr="00101E86">
        <w:rPr>
          <w:rStyle w:val="Strong"/>
          <w:rFonts w:asciiTheme="majorHAnsi" w:eastAsia="Calibri" w:hAnsiTheme="majorHAnsi" w:cstheme="majorHAnsi"/>
        </w:rPr>
        <w:t>.</w:t>
      </w:r>
      <w:r w:rsidRPr="00101E86">
        <w:rPr>
          <w:rFonts w:asciiTheme="majorHAnsi" w:eastAsia="Calibri" w:hAnsiTheme="majorHAnsi" w:cstheme="majorHAnsi"/>
        </w:rPr>
        <w:t xml:space="preserve"> </w:t>
      </w:r>
      <w:r w:rsidRPr="00101E86">
        <w:rPr>
          <w:rStyle w:val="Strong"/>
          <w:rFonts w:asciiTheme="majorHAnsi" w:eastAsia="Calibri" w:hAnsiTheme="majorHAnsi" w:cstheme="majorHAnsi"/>
        </w:rPr>
        <w:t>(A)</w:t>
      </w:r>
      <w:r w:rsidRPr="00101E86">
        <w:rPr>
          <w:rFonts w:asciiTheme="majorHAnsi" w:eastAsia="Calibri" w:hAnsiTheme="majorHAnsi" w:cstheme="majorHAnsi"/>
        </w:rPr>
        <w:t xml:space="preserve"> Photograph of the DMF cartridge</w:t>
      </w:r>
      <w:r w:rsidR="007D1899" w:rsidRPr="00101E86">
        <w:rPr>
          <w:rFonts w:asciiTheme="majorHAnsi" w:eastAsia="Calibri" w:hAnsiTheme="majorHAnsi" w:cstheme="majorHAnsi"/>
        </w:rPr>
        <w:t>.</w:t>
      </w:r>
      <w:r w:rsidRPr="00101E86">
        <w:rPr>
          <w:rFonts w:asciiTheme="majorHAnsi" w:eastAsia="Calibri" w:hAnsiTheme="majorHAnsi" w:cstheme="majorHAnsi"/>
        </w:rPr>
        <w:t xml:space="preserve"> </w:t>
      </w:r>
      <w:r w:rsidRPr="00101E86">
        <w:rPr>
          <w:rStyle w:val="Strong"/>
          <w:rFonts w:asciiTheme="majorHAnsi" w:eastAsia="Calibri" w:hAnsiTheme="majorHAnsi" w:cstheme="majorHAnsi"/>
        </w:rPr>
        <w:t>(B)</w:t>
      </w:r>
      <w:r w:rsidRPr="00101E86">
        <w:rPr>
          <w:rFonts w:asciiTheme="majorHAnsi" w:eastAsia="Calibri" w:hAnsiTheme="majorHAnsi" w:cstheme="majorHAnsi"/>
        </w:rPr>
        <w:t xml:space="preserve"> Annotated schematic of the assembled 48-plex cartridge layout (</w:t>
      </w:r>
      <w:r w:rsidRPr="00101E86">
        <w:rPr>
          <w:rStyle w:val="Strong"/>
          <w:rFonts w:asciiTheme="majorHAnsi" w:eastAsia="Calibri" w:hAnsiTheme="majorHAnsi" w:cstheme="majorHAnsi"/>
        </w:rPr>
        <w:t>center image</w:t>
      </w:r>
      <w:r w:rsidRPr="00101E86">
        <w:rPr>
          <w:rFonts w:asciiTheme="majorHAnsi" w:eastAsia="Calibri" w:hAnsiTheme="majorHAnsi" w:cstheme="majorHAnsi"/>
        </w:rPr>
        <w:t xml:space="preserve">), showing the </w:t>
      </w:r>
      <w:r w:rsidR="001A41FC" w:rsidRPr="00101E86">
        <w:rPr>
          <w:rFonts w:asciiTheme="majorHAnsi" w:eastAsia="Calibri" w:hAnsiTheme="majorHAnsi" w:cstheme="majorHAnsi"/>
        </w:rPr>
        <w:t>(</w:t>
      </w:r>
      <w:r w:rsidR="001A41FC" w:rsidRPr="00101E86">
        <w:rPr>
          <w:rFonts w:asciiTheme="majorHAnsi" w:eastAsia="Calibri" w:hAnsiTheme="majorHAnsi" w:cstheme="majorHAnsi"/>
          <w:b/>
          <w:bCs/>
        </w:rPr>
        <w:t>A–H</w:t>
      </w:r>
      <w:r w:rsidR="001A41FC" w:rsidRPr="00101E86">
        <w:rPr>
          <w:rFonts w:asciiTheme="majorHAnsi" w:eastAsia="Calibri" w:hAnsiTheme="majorHAnsi" w:cstheme="majorHAnsi"/>
        </w:rPr>
        <w:t xml:space="preserve">) </w:t>
      </w:r>
      <w:r w:rsidRPr="00101E86">
        <w:rPr>
          <w:rFonts w:asciiTheme="majorHAnsi" w:eastAsia="Calibri" w:hAnsiTheme="majorHAnsi" w:cstheme="majorHAnsi"/>
        </w:rPr>
        <w:t xml:space="preserve">organization of </w:t>
      </w:r>
      <w:r w:rsidR="001A41FC" w:rsidRPr="00101E86">
        <w:rPr>
          <w:rFonts w:asciiTheme="majorHAnsi" w:eastAsia="Calibri" w:hAnsiTheme="majorHAnsi" w:cstheme="majorHAnsi"/>
        </w:rPr>
        <w:t>eight</w:t>
      </w:r>
      <w:r w:rsidRPr="00101E86">
        <w:rPr>
          <w:rFonts w:asciiTheme="majorHAnsi" w:eastAsia="Calibri" w:hAnsiTheme="majorHAnsi" w:cstheme="majorHAnsi"/>
        </w:rPr>
        <w:t xml:space="preserve"> identical families, each containing </w:t>
      </w:r>
      <w:r w:rsidR="001A41FC" w:rsidRPr="00101E86">
        <w:rPr>
          <w:rFonts w:asciiTheme="majorHAnsi" w:eastAsia="Calibri" w:hAnsiTheme="majorHAnsi" w:cstheme="majorHAnsi"/>
        </w:rPr>
        <w:t>six</w:t>
      </w:r>
      <w:r w:rsidRPr="00101E86">
        <w:rPr>
          <w:rFonts w:asciiTheme="majorHAnsi" w:eastAsia="Calibri" w:hAnsiTheme="majorHAnsi" w:cstheme="majorHAnsi"/>
        </w:rPr>
        <w:t xml:space="preserve"> independently addressable electroporation sites, with liquid electrode loading ports, cell loading ports, anode, cathode, and nano spot regions labeled (left inset image).</w:t>
      </w:r>
      <w:r w:rsidR="001A41FC" w:rsidRPr="00101E86">
        <w:rPr>
          <w:rFonts w:asciiTheme="majorHAnsi" w:eastAsia="Calibri" w:hAnsiTheme="majorHAnsi" w:cstheme="majorHAnsi"/>
        </w:rPr>
        <w:t xml:space="preserve"> </w:t>
      </w:r>
      <w:r w:rsidR="007D1899" w:rsidRPr="00101E86">
        <w:rPr>
          <w:rFonts w:asciiTheme="majorHAnsi" w:eastAsia="Calibri" w:hAnsiTheme="majorHAnsi" w:cstheme="majorHAnsi"/>
        </w:rPr>
        <w:t>Key features</w:t>
      </w:r>
      <w:r w:rsidR="001A41FC" w:rsidRPr="00101E86">
        <w:rPr>
          <w:rFonts w:asciiTheme="majorHAnsi" w:eastAsia="Calibri" w:hAnsiTheme="majorHAnsi" w:cstheme="majorHAnsi"/>
        </w:rPr>
        <w:t>,</w:t>
      </w:r>
      <w:r w:rsidR="007D1899" w:rsidRPr="00101E86">
        <w:rPr>
          <w:rFonts w:asciiTheme="majorHAnsi" w:eastAsia="Calibri" w:hAnsiTheme="majorHAnsi" w:cstheme="majorHAnsi"/>
        </w:rPr>
        <w:t xml:space="preserve"> including loading ports, offloading ports, and assembly snaps</w:t>
      </w:r>
      <w:r w:rsidR="001A41FC" w:rsidRPr="00101E86">
        <w:rPr>
          <w:rFonts w:asciiTheme="majorHAnsi" w:eastAsia="Calibri" w:hAnsiTheme="majorHAnsi" w:cstheme="majorHAnsi"/>
        </w:rPr>
        <w:t>,</w:t>
      </w:r>
      <w:r w:rsidR="007D1899" w:rsidRPr="00101E86">
        <w:rPr>
          <w:rFonts w:asciiTheme="majorHAnsi" w:eastAsia="Calibri" w:hAnsiTheme="majorHAnsi" w:cstheme="majorHAnsi"/>
        </w:rPr>
        <w:t xml:space="preserve"> are labeled. The cartridge is assembled by snap-fitting the two plates in a single correct orientation until a distinct mechanical engagement is felt. </w:t>
      </w:r>
      <w:r w:rsidRPr="00101E86">
        <w:rPr>
          <w:rFonts w:asciiTheme="majorHAnsi" w:eastAsia="Calibri" w:hAnsiTheme="majorHAnsi" w:cstheme="majorHAnsi"/>
        </w:rPr>
        <w:t>Right image: liquid handler dispense map showing color-coded positions for loading ports (</w:t>
      </w:r>
      <w:r w:rsidRPr="00101E86">
        <w:rPr>
          <w:rStyle w:val="Strong"/>
          <w:rFonts w:asciiTheme="majorHAnsi" w:eastAsia="Calibri" w:hAnsiTheme="majorHAnsi" w:cstheme="majorHAnsi"/>
        </w:rPr>
        <w:t>red</w:t>
      </w:r>
      <w:r w:rsidRPr="00101E86">
        <w:rPr>
          <w:rFonts w:asciiTheme="majorHAnsi" w:eastAsia="Calibri" w:hAnsiTheme="majorHAnsi" w:cstheme="majorHAnsi"/>
        </w:rPr>
        <w:t>), offloading ports (pink), and spotting target regions (</w:t>
      </w:r>
      <w:r w:rsidRPr="00101E86">
        <w:rPr>
          <w:rStyle w:val="Strong"/>
          <w:rFonts w:asciiTheme="majorHAnsi" w:eastAsia="Calibri" w:hAnsiTheme="majorHAnsi" w:cstheme="majorHAnsi"/>
        </w:rPr>
        <w:t>blue</w:t>
      </w:r>
      <w:r w:rsidRPr="00101E86">
        <w:rPr>
          <w:rFonts w:asciiTheme="majorHAnsi" w:eastAsia="Calibri" w:hAnsiTheme="majorHAnsi" w:cstheme="majorHAnsi"/>
        </w:rPr>
        <w:t xml:space="preserve">). </w:t>
      </w:r>
      <w:r w:rsidRPr="00101E86">
        <w:rPr>
          <w:rStyle w:val="Strong"/>
          <w:rFonts w:asciiTheme="majorHAnsi" w:eastAsia="Calibri" w:hAnsiTheme="majorHAnsi" w:cstheme="majorHAnsi"/>
          <w:b w:val="0"/>
          <w:bCs w:val="0"/>
        </w:rPr>
        <w:t>(</w:t>
      </w:r>
      <w:r w:rsidRPr="00101E86">
        <w:rPr>
          <w:rStyle w:val="Strong"/>
          <w:rFonts w:asciiTheme="majorHAnsi" w:eastAsia="Calibri" w:hAnsiTheme="majorHAnsi" w:cstheme="majorHAnsi"/>
        </w:rPr>
        <w:t>C</w:t>
      </w:r>
      <w:r w:rsidRPr="00101E86">
        <w:rPr>
          <w:rStyle w:val="Strong"/>
          <w:rFonts w:asciiTheme="majorHAnsi" w:eastAsia="Calibri" w:hAnsiTheme="majorHAnsi" w:cstheme="majorHAnsi"/>
          <w:b w:val="0"/>
          <w:bCs w:val="0"/>
        </w:rPr>
        <w:t>)</w:t>
      </w:r>
      <w:r w:rsidRPr="00101E86">
        <w:rPr>
          <w:rFonts w:asciiTheme="majorHAnsi" w:eastAsia="Calibri" w:hAnsiTheme="majorHAnsi" w:cstheme="majorHAnsi"/>
        </w:rPr>
        <w:t xml:space="preserve"> Left: image showing the positional accuracy of acoustic dispensing across all 48 sites (n</w:t>
      </w:r>
      <w:r w:rsidR="001A41FC" w:rsidRPr="00101E86">
        <w:rPr>
          <w:rFonts w:asciiTheme="majorHAnsi" w:eastAsia="Calibri" w:hAnsiTheme="majorHAnsi" w:cstheme="majorHAnsi"/>
        </w:rPr>
        <w:t xml:space="preserve"> </w:t>
      </w:r>
      <w:r w:rsidRPr="00101E86">
        <w:rPr>
          <w:rFonts w:asciiTheme="majorHAnsi" w:eastAsia="Calibri" w:hAnsiTheme="majorHAnsi" w:cstheme="majorHAnsi"/>
        </w:rPr>
        <w:t>=</w:t>
      </w:r>
      <w:r w:rsidR="001A41FC" w:rsidRPr="00101E86">
        <w:rPr>
          <w:rFonts w:asciiTheme="majorHAnsi" w:eastAsia="Calibri" w:hAnsiTheme="majorHAnsi" w:cstheme="majorHAnsi"/>
        </w:rPr>
        <w:t xml:space="preserve"> </w:t>
      </w:r>
      <w:r w:rsidRPr="00101E86">
        <w:rPr>
          <w:rFonts w:asciiTheme="majorHAnsi" w:eastAsia="Calibri" w:hAnsiTheme="majorHAnsi" w:cstheme="majorHAnsi"/>
        </w:rPr>
        <w:t>48), with drop positions plotted relative to the electrode midpoint (mm). The tight clustering confirms sub-millimeter deposition accuracy. Right: representative pictures showing a correctly centered spot before rehydration by the cell droplet (top) and during the rehydration, where the droplet is shuttled back and forth where the guide is in order to resuspend (bottom, red arrow).</w:t>
      </w:r>
      <w:r w:rsidR="001A41FC" w:rsidRPr="00101E86">
        <w:rPr>
          <w:rFonts w:asciiTheme="majorHAnsi" w:eastAsia="Calibri" w:hAnsiTheme="majorHAnsi" w:cstheme="majorHAnsi"/>
        </w:rPr>
        <w:t xml:space="preserve"> </w:t>
      </w:r>
      <w:r w:rsidRPr="00101E86">
        <w:rPr>
          <w:rFonts w:asciiTheme="majorHAnsi" w:eastAsia="Calibri" w:hAnsiTheme="majorHAnsi" w:cstheme="majorHAnsi"/>
        </w:rPr>
        <w:t>(</w:t>
      </w:r>
      <w:r w:rsidRPr="00101E86">
        <w:rPr>
          <w:rFonts w:asciiTheme="majorHAnsi" w:eastAsia="Calibri" w:hAnsiTheme="majorHAnsi" w:cstheme="majorHAnsi"/>
          <w:b/>
          <w:bCs/>
        </w:rPr>
        <w:t>D</w:t>
      </w:r>
      <w:r w:rsidRPr="00101E86">
        <w:rPr>
          <w:rFonts w:asciiTheme="majorHAnsi" w:eastAsia="Calibri" w:hAnsiTheme="majorHAnsi" w:cstheme="majorHAnsi"/>
        </w:rPr>
        <w:t>) Top-view picture of discrete electroporation regions, showing the stepwise movement of droplets from (i) rehydration of the payload by shuttling the droplet back and forth over the deposited guide RNA, (ii) movement to the electroporation site, between the anode and cathode, where the cell droplet bridges with the two flanking liquid electrode droplets and gets pulsed, and (iii) the complete tri-drop moving to its offloading port prior to retrieval by the liquid handler. (</w:t>
      </w:r>
      <w:r w:rsidRPr="00101E86">
        <w:rPr>
          <w:rFonts w:asciiTheme="majorHAnsi" w:eastAsia="Calibri" w:hAnsiTheme="majorHAnsi" w:cstheme="majorHAnsi"/>
          <w:b/>
          <w:bCs/>
        </w:rPr>
        <w:t>E</w:t>
      </w:r>
      <w:r w:rsidRPr="00101E86">
        <w:rPr>
          <w:rFonts w:asciiTheme="majorHAnsi" w:eastAsia="Calibri" w:hAnsiTheme="majorHAnsi" w:cstheme="majorHAnsi"/>
        </w:rPr>
        <w:t xml:space="preserve">) End-to-end workflow schematic. Guide RNA is deposited onto the cartridge substrate using an acoustic dispenser. Cells and payload are prepared and loaded onto the cartridge using an automated liquid handler. </w:t>
      </w:r>
      <w:r w:rsidRPr="00101E86">
        <w:rPr>
          <w:rFonts w:asciiTheme="majorHAnsi" w:eastAsia="Calibri" w:hAnsiTheme="majorHAnsi" w:cstheme="majorHAnsi"/>
        </w:rPr>
        <w:lastRenderedPageBreak/>
        <w:t xml:space="preserve">Electroporation is performed on the DMF platform. Cells are offloaded into a 96-well plate and transferred to an incubator for recovery. Downstream analysis is performed using flow cytometry, microscopy, next-generation sequencing, or other appropriate readouts. </w:t>
      </w:r>
    </w:p>
    <w:p w14:paraId="21EB6F57" w14:textId="77777777" w:rsidR="0057342E" w:rsidRPr="00101E86" w:rsidRDefault="0057342E" w:rsidP="00101E86">
      <w:pPr>
        <w:rPr>
          <w:rFonts w:asciiTheme="majorHAnsi" w:hAnsiTheme="majorHAnsi" w:cstheme="majorHAnsi"/>
        </w:rPr>
      </w:pPr>
    </w:p>
    <w:p w14:paraId="381169BF" w14:textId="5404B8C7" w:rsidR="00BB34AF" w:rsidRPr="00101E86" w:rsidRDefault="005B6336" w:rsidP="00101E86">
      <w:pPr>
        <w:widowControl/>
        <w:autoSpaceDE w:val="0"/>
        <w:autoSpaceDN w:val="0"/>
        <w:adjustRightInd w:val="0"/>
        <w:rPr>
          <w:rFonts w:asciiTheme="majorHAnsi" w:hAnsiTheme="majorHAnsi" w:cstheme="majorHAnsi"/>
        </w:rPr>
      </w:pPr>
      <w:r w:rsidRPr="00101E86">
        <w:rPr>
          <w:rFonts w:asciiTheme="majorHAnsi" w:hAnsiTheme="majorHAnsi" w:cstheme="majorHAnsi"/>
          <w:b/>
          <w:bCs/>
        </w:rPr>
        <w:t>Figure 2. Impact of polymer supplementation on deposition and RNP assembly.</w:t>
      </w:r>
      <w:r w:rsidR="001A41FC" w:rsidRPr="00101E86">
        <w:rPr>
          <w:rFonts w:asciiTheme="majorHAnsi" w:hAnsiTheme="majorHAnsi" w:cstheme="majorHAnsi"/>
        </w:rPr>
        <w:t xml:space="preserve"> </w:t>
      </w:r>
      <w:r w:rsidRPr="00101E86">
        <w:rPr>
          <w:rFonts w:asciiTheme="majorHAnsi" w:hAnsiTheme="majorHAnsi" w:cstheme="majorHAnsi"/>
        </w:rPr>
        <w:t>(</w:t>
      </w:r>
      <w:r w:rsidRPr="00101E86">
        <w:rPr>
          <w:rFonts w:asciiTheme="majorHAnsi" w:hAnsiTheme="majorHAnsi" w:cstheme="majorHAnsi"/>
          <w:b/>
          <w:bCs/>
        </w:rPr>
        <w:t>A</w:t>
      </w:r>
      <w:r w:rsidRPr="00101E86">
        <w:rPr>
          <w:rFonts w:asciiTheme="majorHAnsi" w:hAnsiTheme="majorHAnsi" w:cstheme="majorHAnsi"/>
        </w:rPr>
        <w:t xml:space="preserve">) Polymer supplementation improves acoustic deposition fidelity. Fluorescein absorbance following deposition and reconstitution across four independent </w:t>
      </w:r>
      <w:r w:rsidR="00E0706F" w:rsidRPr="00101E86">
        <w:rPr>
          <w:rFonts w:asciiTheme="majorHAnsi" w:hAnsiTheme="majorHAnsi" w:cstheme="majorHAnsi"/>
          <w:bCs/>
        </w:rPr>
        <w:t>cartridges</w:t>
      </w:r>
      <w:r w:rsidRPr="00101E86">
        <w:rPr>
          <w:rFonts w:asciiTheme="majorHAnsi" w:hAnsiTheme="majorHAnsi" w:cstheme="majorHAnsi"/>
        </w:rPr>
        <w:t xml:space="preserve">, with or without poly-L-glutamic acid. Variance was reduced at intermediate volumes (40–120 nL) in the presence of PGA. </w:t>
      </w:r>
      <w:r w:rsidRPr="00101E86">
        <w:rPr>
          <w:rFonts w:ascii="MS Gothic" w:eastAsia="MS Gothic" w:hAnsi="MS Gothic" w:cs="MS Gothic" w:hint="eastAsia"/>
        </w:rPr>
        <w:t> </w:t>
      </w:r>
      <w:r w:rsidRPr="00101E86">
        <w:rPr>
          <w:rFonts w:asciiTheme="majorHAnsi" w:hAnsiTheme="majorHAnsi" w:cstheme="majorHAnsi"/>
        </w:rPr>
        <w:t>(</w:t>
      </w:r>
      <w:r w:rsidRPr="00101E86">
        <w:rPr>
          <w:rFonts w:asciiTheme="majorHAnsi" w:hAnsiTheme="majorHAnsi" w:cstheme="majorHAnsi"/>
          <w:b/>
          <w:bCs/>
        </w:rPr>
        <w:t>B</w:t>
      </w:r>
      <w:r w:rsidRPr="00101E86">
        <w:rPr>
          <w:rFonts w:asciiTheme="majorHAnsi" w:hAnsiTheme="majorHAnsi" w:cstheme="majorHAnsi"/>
        </w:rPr>
        <w:t>) Impact of PGA on Cas9–sgRNA assembly. FIDA affinity binding curves measuring hydrodynamic radius (Rh) in the absence (left panel) or presence (right panel) of PGA. Free sgRNA exhibited Rh of 3.45 ± 0.26 nm, while Cas9 titration yielded RNP complex size of 15.32 ± 0.46 nm (Kd = 0.70 ± 0.14 nM). Addition of PGA reduced complex size and weakened binding affinity in a concentration-dependent manner. With the addition of 0.005 mg/mL PGA, Free sgRNA exhibited Rh of 4.31 ± 0.07 nm, while Cas9 titration yielded RNP complex size of 10.21 ± 0.38 nm (K</w:t>
      </w:r>
      <w:r w:rsidRPr="00101E86">
        <w:rPr>
          <w:rFonts w:asciiTheme="majorHAnsi" w:hAnsiTheme="majorHAnsi" w:cstheme="majorHAnsi"/>
          <w:vertAlign w:val="subscript"/>
        </w:rPr>
        <w:t xml:space="preserve">d </w:t>
      </w:r>
      <w:r w:rsidRPr="00101E86">
        <w:rPr>
          <w:rFonts w:asciiTheme="majorHAnsi" w:hAnsiTheme="majorHAnsi" w:cstheme="majorHAnsi"/>
        </w:rPr>
        <w:t xml:space="preserve">= 67.7 ± 9.5 nM). </w:t>
      </w:r>
      <w:r w:rsidRPr="00101E86">
        <w:rPr>
          <w:rFonts w:asciiTheme="majorHAnsi" w:eastAsia="Arial" w:hAnsiTheme="majorHAnsi" w:cstheme="majorHAnsi"/>
        </w:rPr>
        <w:t xml:space="preserve">Experiments were performed in </w:t>
      </w:r>
      <w:r w:rsidR="0F5C1ACF" w:rsidRPr="00101E86">
        <w:rPr>
          <w:rFonts w:asciiTheme="majorHAnsi" w:eastAsia="Arial" w:hAnsiTheme="majorHAnsi" w:cstheme="majorHAnsi"/>
        </w:rPr>
        <w:t xml:space="preserve">a </w:t>
      </w:r>
      <w:r w:rsidR="009C56AE" w:rsidRPr="00101E86">
        <w:rPr>
          <w:rFonts w:asciiTheme="majorHAnsi" w:eastAsia="Arial" w:hAnsiTheme="majorHAnsi" w:cstheme="majorHAnsi"/>
        </w:rPr>
        <w:t>low-conductivity</w:t>
      </w:r>
      <w:r w:rsidRPr="00101E86">
        <w:rPr>
          <w:rFonts w:asciiTheme="majorHAnsi" w:eastAsia="Arial" w:hAnsiTheme="majorHAnsi" w:cstheme="majorHAnsi"/>
        </w:rPr>
        <w:t xml:space="preserve"> electroporation assay buffer with 0.05% Pluronic F-68. Fluorescence was detected at 480 nm using the integrated LED module. A permanently coated capillary (Ø 75 µm, L = 100 cm) was used for all experiments.</w:t>
      </w:r>
      <w:r w:rsidR="00F919EB" w:rsidRPr="00101E86">
        <w:rPr>
          <w:rFonts w:asciiTheme="majorHAnsi" w:eastAsia="Arial" w:hAnsiTheme="majorHAnsi" w:cstheme="majorHAnsi"/>
        </w:rPr>
        <w:t xml:space="preserve"> </w:t>
      </w:r>
      <w:r w:rsidR="00D77C6A" w:rsidRPr="00101E86">
        <w:rPr>
          <w:rFonts w:asciiTheme="majorHAnsi" w:eastAsia="Arial" w:hAnsiTheme="majorHAnsi" w:cstheme="majorHAnsi"/>
        </w:rPr>
        <w:t>To test the effect of polyanionic polymers on RNP assembly,</w:t>
      </w:r>
      <w:r w:rsidR="009C56AE" w:rsidRPr="00101E86">
        <w:rPr>
          <w:rFonts w:asciiTheme="majorHAnsi" w:eastAsia="Arial" w:hAnsiTheme="majorHAnsi" w:cstheme="majorHAnsi"/>
        </w:rPr>
        <w:t xml:space="preserve"> PGA</w:t>
      </w:r>
      <w:r w:rsidR="00D77C6A" w:rsidRPr="00101E86">
        <w:rPr>
          <w:rFonts w:asciiTheme="majorHAnsi" w:eastAsia="Arial" w:hAnsiTheme="majorHAnsi" w:cstheme="majorHAnsi"/>
        </w:rPr>
        <w:t xml:space="preserve"> was added to assay mixtures at concentrations of 0.0025 mg/mL and 0.005 mg/mL. These conditions were selected to model the range used in digital microfluidics electrowetting and electroporation buffers.</w:t>
      </w:r>
      <w:r w:rsidR="00F919EB" w:rsidRPr="00101E86">
        <w:rPr>
          <w:rFonts w:asciiTheme="majorHAnsi" w:eastAsia="Arial" w:hAnsiTheme="majorHAnsi" w:cstheme="majorHAnsi"/>
        </w:rPr>
        <w:t xml:space="preserve"> </w:t>
      </w:r>
      <w:r w:rsidR="00D77C6A" w:rsidRPr="00101E86">
        <w:rPr>
          <w:rFonts w:asciiTheme="majorHAnsi" w:eastAsia="Arial" w:hAnsiTheme="majorHAnsi" w:cstheme="majorHAnsi"/>
        </w:rPr>
        <w:t>For direct binding analysis, 10 nM FAM-labeled sgRNA targeting the TRAC locus was used as the fluorescent indicator. Increasing concentrations of Cas9 nuclease (up to 500 nM) were titrated against the indicator in a CapMix assay to generate dispersion profiles for complex formation. All experiments were performed at 25 °C</w:t>
      </w:r>
      <w:r w:rsidR="009C56AE" w:rsidRPr="00101E86">
        <w:rPr>
          <w:rFonts w:asciiTheme="majorHAnsi" w:eastAsia="Arial" w:hAnsiTheme="majorHAnsi" w:cstheme="majorHAnsi"/>
        </w:rPr>
        <w:t>,</w:t>
      </w:r>
      <w:r w:rsidR="00D77C6A" w:rsidRPr="00101E86">
        <w:rPr>
          <w:rFonts w:asciiTheme="majorHAnsi" w:eastAsia="Arial" w:hAnsiTheme="majorHAnsi" w:cstheme="majorHAnsi"/>
        </w:rPr>
        <w:t xml:space="preserve"> with each datapoint consuming 40 nL of Indicator and ~12 µL of analyte (Cas9). Experiments were run with the following sequence: (1) flushing with 0.1% Phosphoric Acid at 3</w:t>
      </w:r>
      <w:r w:rsidR="009C56AE" w:rsidRPr="00101E86">
        <w:rPr>
          <w:rFonts w:asciiTheme="majorHAnsi" w:eastAsia="Arial" w:hAnsiTheme="majorHAnsi" w:cstheme="majorHAnsi"/>
        </w:rPr>
        <w:t>,</w:t>
      </w:r>
      <w:r w:rsidR="00D77C6A" w:rsidRPr="00101E86">
        <w:rPr>
          <w:rFonts w:asciiTheme="majorHAnsi" w:eastAsia="Arial" w:hAnsiTheme="majorHAnsi" w:cstheme="majorHAnsi"/>
        </w:rPr>
        <w:t>500 mbar for 30 s; (2) flushing with assay buffer at 3</w:t>
      </w:r>
      <w:r w:rsidR="009C56AE" w:rsidRPr="00101E86">
        <w:rPr>
          <w:rFonts w:asciiTheme="majorHAnsi" w:eastAsia="Arial" w:hAnsiTheme="majorHAnsi" w:cstheme="majorHAnsi"/>
        </w:rPr>
        <w:t>,</w:t>
      </w:r>
      <w:r w:rsidR="00D77C6A" w:rsidRPr="00101E86">
        <w:rPr>
          <w:rFonts w:asciiTheme="majorHAnsi" w:eastAsia="Arial" w:hAnsiTheme="majorHAnsi" w:cstheme="majorHAnsi"/>
        </w:rPr>
        <w:t>500 mbar for 30 s; (3) filling the capillary with analyte at 3</w:t>
      </w:r>
      <w:r w:rsidR="009C56AE" w:rsidRPr="00101E86">
        <w:rPr>
          <w:rFonts w:asciiTheme="majorHAnsi" w:eastAsia="Arial" w:hAnsiTheme="majorHAnsi" w:cstheme="majorHAnsi"/>
        </w:rPr>
        <w:t>,</w:t>
      </w:r>
      <w:r w:rsidR="00D77C6A" w:rsidRPr="00101E86">
        <w:rPr>
          <w:rFonts w:asciiTheme="majorHAnsi" w:eastAsia="Arial" w:hAnsiTheme="majorHAnsi" w:cstheme="majorHAnsi"/>
        </w:rPr>
        <w:t>500 mbar for 20 s; (4) injecting the indicator at 50 mbar for 10 s; (5) mobilizing and measuring with analyte at 400 mbar for 180 s. Hydrodynamic radii were calculated by using the extracted peak width at one half max peak height, and dissociation constants (K</w:t>
      </w:r>
      <w:r w:rsidR="00D77C6A" w:rsidRPr="00101E86">
        <w:rPr>
          <w:rFonts w:asciiTheme="majorHAnsi" w:eastAsia="Arial" w:hAnsiTheme="majorHAnsi" w:cstheme="majorHAnsi"/>
          <w:vertAlign w:val="subscript"/>
        </w:rPr>
        <w:t>D</w:t>
      </w:r>
      <w:r w:rsidR="00D77C6A" w:rsidRPr="00101E86">
        <w:rPr>
          <w:rFonts w:asciiTheme="majorHAnsi" w:eastAsia="Arial" w:hAnsiTheme="majorHAnsi" w:cstheme="majorHAnsi"/>
        </w:rPr>
        <w:t>) were determined by nonlinear regression fitting to a 1:1 binding model.</w:t>
      </w:r>
      <w:r w:rsidR="00F919EB" w:rsidRPr="00101E86">
        <w:rPr>
          <w:rFonts w:asciiTheme="majorHAnsi" w:eastAsia="MS Gothic" w:hAnsiTheme="majorHAnsi" w:cstheme="majorHAnsi"/>
        </w:rPr>
        <w:t xml:space="preserve"> </w:t>
      </w:r>
      <w:r w:rsidRPr="00101E86">
        <w:rPr>
          <w:rFonts w:asciiTheme="majorHAnsi" w:hAnsiTheme="majorHAnsi" w:cstheme="majorHAnsi"/>
        </w:rPr>
        <w:t>(</w:t>
      </w:r>
      <w:r w:rsidRPr="00101E86">
        <w:rPr>
          <w:rFonts w:asciiTheme="majorHAnsi" w:hAnsiTheme="majorHAnsi" w:cstheme="majorHAnsi"/>
          <w:b/>
          <w:bCs/>
        </w:rPr>
        <w:t>C</w:t>
      </w:r>
      <w:r w:rsidRPr="00101E86">
        <w:rPr>
          <w:rFonts w:asciiTheme="majorHAnsi" w:hAnsiTheme="majorHAnsi" w:cstheme="majorHAnsi"/>
        </w:rPr>
        <w:t>) Effect of PGA on RNP stability. Taylor dispersion profiles of Cas9–sgRNA complexes with and without PGA, performed with 500 nM Cas9 nuclease and 50 nM FAM</w:t>
      </w:r>
      <w:r w:rsidR="004D16F2" w:rsidRPr="00101E86">
        <w:rPr>
          <w:rFonts w:asciiTheme="majorHAnsi" w:hAnsiTheme="majorHAnsi" w:cstheme="majorHAnsi"/>
        </w:rPr>
        <w:t>-</w:t>
      </w:r>
      <w:r w:rsidRPr="00101E86">
        <w:rPr>
          <w:rFonts w:asciiTheme="majorHAnsi" w:hAnsiTheme="majorHAnsi" w:cstheme="majorHAnsi"/>
        </w:rPr>
        <w:t>tagged sgRNA. In the absence of PGA, no stable complex was observed</w:t>
      </w:r>
      <w:r w:rsidR="004D16F2" w:rsidRPr="00101E86">
        <w:rPr>
          <w:rFonts w:asciiTheme="majorHAnsi" w:hAnsiTheme="majorHAnsi" w:cstheme="majorHAnsi"/>
        </w:rPr>
        <w:t>,</w:t>
      </w:r>
      <w:r w:rsidRPr="00101E86">
        <w:rPr>
          <w:rFonts w:asciiTheme="majorHAnsi" w:hAnsiTheme="majorHAnsi" w:cstheme="majorHAnsi"/>
        </w:rPr>
        <w:t xml:space="preserve"> as indicated by the increasing formation of large aggregates along with a decreasing signal from the complex over time (left). Addition of 0.0025 mg/mL PGA yielded a well-defined, monodisperse Taylorgram with minimal aggregation measuring a R</w:t>
      </w:r>
      <w:r w:rsidRPr="00101E86">
        <w:rPr>
          <w:rFonts w:asciiTheme="majorHAnsi" w:hAnsiTheme="majorHAnsi" w:cstheme="majorHAnsi"/>
          <w:vertAlign w:val="subscript"/>
        </w:rPr>
        <w:t>h</w:t>
      </w:r>
      <w:r w:rsidRPr="00101E86">
        <w:rPr>
          <w:rFonts w:asciiTheme="majorHAnsi" w:hAnsiTheme="majorHAnsi" w:cstheme="majorHAnsi"/>
        </w:rPr>
        <w:t xml:space="preserve"> ~ 9.6 nm (R² = 0.999, right).</w:t>
      </w:r>
      <w:r w:rsidR="004D16F2" w:rsidRPr="00101E86">
        <w:rPr>
          <w:rFonts w:asciiTheme="majorHAnsi" w:hAnsiTheme="majorHAnsi" w:cstheme="majorHAnsi"/>
        </w:rPr>
        <w:t xml:space="preserve"> </w:t>
      </w:r>
      <w:r w:rsidR="00D77C6A" w:rsidRPr="00101E86">
        <w:rPr>
          <w:rFonts w:asciiTheme="majorHAnsi" w:eastAsia="Arial" w:hAnsiTheme="majorHAnsi" w:cstheme="majorHAnsi"/>
        </w:rPr>
        <w:t xml:space="preserve">Complex stability was assessed under standard electroporation conditions (500 nM Cas9 + 50 nM sgRNA) with or without 0.0025 mg/mL PGA. Samples were </w:t>
      </w:r>
      <w:r w:rsidR="3D228B9E" w:rsidRPr="00101E86">
        <w:rPr>
          <w:rFonts w:asciiTheme="majorHAnsi" w:eastAsia="Arial" w:hAnsiTheme="majorHAnsi" w:cstheme="majorHAnsi"/>
        </w:rPr>
        <w:t>premixed</w:t>
      </w:r>
      <w:r w:rsidR="00D77C6A" w:rsidRPr="00101E86">
        <w:rPr>
          <w:rFonts w:asciiTheme="majorHAnsi" w:eastAsia="Arial" w:hAnsiTheme="majorHAnsi" w:cstheme="majorHAnsi"/>
        </w:rPr>
        <w:t xml:space="preserve"> and maintained at 4 °C in the inlet sample tray while injections were conducted in </w:t>
      </w:r>
      <w:r w:rsidR="4BD154F6" w:rsidRPr="00101E86">
        <w:rPr>
          <w:rFonts w:asciiTheme="majorHAnsi" w:eastAsia="Arial" w:hAnsiTheme="majorHAnsi" w:cstheme="majorHAnsi"/>
        </w:rPr>
        <w:t>10</w:t>
      </w:r>
      <w:r w:rsidR="00E44D2F" w:rsidRPr="00101E86">
        <w:rPr>
          <w:rFonts w:asciiTheme="majorHAnsi" w:eastAsia="Arial" w:hAnsiTheme="majorHAnsi" w:cstheme="majorHAnsi"/>
        </w:rPr>
        <w:t xml:space="preserve"> min</w:t>
      </w:r>
      <w:r w:rsidR="00D77C6A" w:rsidRPr="00101E86">
        <w:rPr>
          <w:rFonts w:asciiTheme="majorHAnsi" w:eastAsia="Arial" w:hAnsiTheme="majorHAnsi" w:cstheme="majorHAnsi"/>
        </w:rPr>
        <w:t xml:space="preserve"> intervals over a period of several hours. Experiments were run with the following sequence: (1) flushing with 0.1% Phosphoric Acid at 3</w:t>
      </w:r>
      <w:r w:rsidR="00E44D2F" w:rsidRPr="00101E86">
        <w:rPr>
          <w:rFonts w:asciiTheme="majorHAnsi" w:eastAsia="Arial" w:hAnsiTheme="majorHAnsi" w:cstheme="majorHAnsi"/>
        </w:rPr>
        <w:t>,</w:t>
      </w:r>
      <w:r w:rsidR="00D77C6A" w:rsidRPr="00101E86">
        <w:rPr>
          <w:rFonts w:asciiTheme="majorHAnsi" w:eastAsia="Arial" w:hAnsiTheme="majorHAnsi" w:cstheme="majorHAnsi"/>
        </w:rPr>
        <w:t>500 mbar for 30 s; (2) flushing with assay buffer at 3</w:t>
      </w:r>
      <w:r w:rsidR="00E44D2F" w:rsidRPr="00101E86">
        <w:rPr>
          <w:rFonts w:asciiTheme="majorHAnsi" w:eastAsia="Arial" w:hAnsiTheme="majorHAnsi" w:cstheme="majorHAnsi"/>
        </w:rPr>
        <w:t>,</w:t>
      </w:r>
      <w:r w:rsidR="00D77C6A" w:rsidRPr="00101E86">
        <w:rPr>
          <w:rFonts w:asciiTheme="majorHAnsi" w:eastAsia="Arial" w:hAnsiTheme="majorHAnsi" w:cstheme="majorHAnsi"/>
        </w:rPr>
        <w:t>500 mbar for 30 s; (3) filling the capillary with analyte (assay buffer) at 3</w:t>
      </w:r>
      <w:r w:rsidR="00E44D2F" w:rsidRPr="00101E86">
        <w:rPr>
          <w:rFonts w:asciiTheme="majorHAnsi" w:eastAsia="Arial" w:hAnsiTheme="majorHAnsi" w:cstheme="majorHAnsi"/>
        </w:rPr>
        <w:t>,</w:t>
      </w:r>
      <w:r w:rsidR="00D77C6A" w:rsidRPr="00101E86">
        <w:rPr>
          <w:rFonts w:asciiTheme="majorHAnsi" w:eastAsia="Arial" w:hAnsiTheme="majorHAnsi" w:cstheme="majorHAnsi"/>
        </w:rPr>
        <w:t xml:space="preserve">500 mbar for 20 s; (4) injecting the indicator at 50 mbar for 10 s; (5) mobilizing and measuring with analyte at 400 mbar for 180 s. Unstable complex formation was shown through the formation of large aggregates (spikes in the Taylorgram) and decreasing signal. Stable complexes </w:t>
      </w:r>
      <w:r w:rsidR="00D77C6A" w:rsidRPr="00101E86">
        <w:rPr>
          <w:rFonts w:asciiTheme="majorHAnsi" w:eastAsia="Arial" w:hAnsiTheme="majorHAnsi" w:cstheme="majorHAnsi"/>
        </w:rPr>
        <w:lastRenderedPageBreak/>
        <w:t>were identified by well-fitted, monodisperse Taylorgrams (R² &gt; 0.99), and R</w:t>
      </w:r>
      <w:r w:rsidR="00D77C6A" w:rsidRPr="00101E86">
        <w:rPr>
          <w:rFonts w:asciiTheme="majorHAnsi" w:eastAsia="Arial" w:hAnsiTheme="majorHAnsi" w:cstheme="majorHAnsi"/>
          <w:vertAlign w:val="subscript"/>
        </w:rPr>
        <w:t>h</w:t>
      </w:r>
      <w:r w:rsidR="00D77C6A" w:rsidRPr="00101E86">
        <w:rPr>
          <w:rFonts w:asciiTheme="majorHAnsi" w:eastAsia="Arial" w:hAnsiTheme="majorHAnsi" w:cstheme="majorHAnsi"/>
        </w:rPr>
        <w:t xml:space="preserve"> values were extracted from fitted profiles.</w:t>
      </w:r>
    </w:p>
    <w:p w14:paraId="14FCCF91" w14:textId="77777777" w:rsidR="009C56AE" w:rsidRPr="00101E86" w:rsidRDefault="009C56AE" w:rsidP="00101E86">
      <w:pPr>
        <w:rPr>
          <w:rStyle w:val="Strong"/>
          <w:rFonts w:asciiTheme="majorHAnsi" w:eastAsia="Arial" w:hAnsiTheme="majorHAnsi" w:cstheme="majorHAnsi"/>
          <w:b w:val="0"/>
          <w:bCs w:val="0"/>
        </w:rPr>
      </w:pPr>
    </w:p>
    <w:p w14:paraId="2A22D2A7" w14:textId="4224C962" w:rsidR="005157A3" w:rsidRPr="00101E86" w:rsidRDefault="00822BD5"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bCs w:val="0"/>
        </w:rPr>
        <w:t xml:space="preserve">Figure 3. TCR alpha/beta </w:t>
      </w:r>
      <w:r w:rsidR="00881017" w:rsidRPr="00101E86">
        <w:rPr>
          <w:rStyle w:val="Strong"/>
          <w:rFonts w:asciiTheme="majorHAnsi" w:hAnsiTheme="majorHAnsi" w:cstheme="majorHAnsi"/>
          <w:bCs w:val="0"/>
        </w:rPr>
        <w:t>k</w:t>
      </w:r>
      <w:r w:rsidRPr="00101E86">
        <w:rPr>
          <w:rStyle w:val="Strong"/>
          <w:rFonts w:asciiTheme="majorHAnsi" w:hAnsiTheme="majorHAnsi" w:cstheme="majorHAnsi"/>
          <w:bCs w:val="0"/>
        </w:rPr>
        <w:t xml:space="preserve">nockout </w:t>
      </w:r>
      <w:r w:rsidR="00881017" w:rsidRPr="00101E86">
        <w:rPr>
          <w:rStyle w:val="Strong"/>
          <w:rFonts w:asciiTheme="majorHAnsi" w:hAnsiTheme="majorHAnsi" w:cstheme="majorHAnsi"/>
          <w:bCs w:val="0"/>
        </w:rPr>
        <w:t>e</w:t>
      </w:r>
      <w:r w:rsidRPr="00101E86">
        <w:rPr>
          <w:rStyle w:val="Strong"/>
          <w:rFonts w:asciiTheme="majorHAnsi" w:hAnsiTheme="majorHAnsi" w:cstheme="majorHAnsi"/>
          <w:bCs w:val="0"/>
        </w:rPr>
        <w:t xml:space="preserve">fficiency and </w:t>
      </w:r>
      <w:r w:rsidR="00881017" w:rsidRPr="00101E86">
        <w:rPr>
          <w:rStyle w:val="Strong"/>
          <w:rFonts w:asciiTheme="majorHAnsi" w:hAnsiTheme="majorHAnsi" w:cstheme="majorHAnsi"/>
          <w:bCs w:val="0"/>
        </w:rPr>
        <w:t>v</w:t>
      </w:r>
      <w:r w:rsidRPr="00101E86">
        <w:rPr>
          <w:rStyle w:val="Strong"/>
          <w:rFonts w:asciiTheme="majorHAnsi" w:hAnsiTheme="majorHAnsi" w:cstheme="majorHAnsi"/>
          <w:bCs w:val="0"/>
        </w:rPr>
        <w:t xml:space="preserve">iability in </w:t>
      </w:r>
      <w:r w:rsidR="00881017" w:rsidRPr="00101E86">
        <w:rPr>
          <w:rStyle w:val="Strong"/>
          <w:rFonts w:asciiTheme="majorHAnsi" w:hAnsiTheme="majorHAnsi" w:cstheme="majorHAnsi"/>
          <w:bCs w:val="0"/>
        </w:rPr>
        <w:t>p</w:t>
      </w:r>
      <w:r w:rsidRPr="00101E86">
        <w:rPr>
          <w:rStyle w:val="Strong"/>
          <w:rFonts w:asciiTheme="majorHAnsi" w:hAnsiTheme="majorHAnsi" w:cstheme="majorHAnsi"/>
          <w:bCs w:val="0"/>
        </w:rPr>
        <w:t xml:space="preserve">rimary </w:t>
      </w:r>
      <w:r w:rsidR="00881017" w:rsidRPr="00101E86">
        <w:rPr>
          <w:rStyle w:val="Strong"/>
          <w:rFonts w:asciiTheme="majorHAnsi" w:hAnsiTheme="majorHAnsi" w:cstheme="majorHAnsi"/>
          <w:bCs w:val="0"/>
        </w:rPr>
        <w:t>h</w:t>
      </w:r>
      <w:r w:rsidRPr="00101E86">
        <w:rPr>
          <w:rStyle w:val="Strong"/>
          <w:rFonts w:asciiTheme="majorHAnsi" w:hAnsiTheme="majorHAnsi" w:cstheme="majorHAnsi"/>
          <w:bCs w:val="0"/>
        </w:rPr>
        <w:t xml:space="preserve">uman T </w:t>
      </w:r>
      <w:r w:rsidR="00881017" w:rsidRPr="00101E86">
        <w:rPr>
          <w:rStyle w:val="Strong"/>
          <w:rFonts w:asciiTheme="majorHAnsi" w:hAnsiTheme="majorHAnsi" w:cstheme="majorHAnsi"/>
          <w:bCs w:val="0"/>
        </w:rPr>
        <w:t>c</w:t>
      </w:r>
      <w:r w:rsidRPr="00101E86">
        <w:rPr>
          <w:rStyle w:val="Strong"/>
          <w:rFonts w:asciiTheme="majorHAnsi" w:hAnsiTheme="majorHAnsi" w:cstheme="majorHAnsi"/>
          <w:bCs w:val="0"/>
        </w:rPr>
        <w:t>ells</w:t>
      </w:r>
      <w:r w:rsidR="00881017" w:rsidRPr="00101E86">
        <w:rPr>
          <w:rStyle w:val="Strong"/>
          <w:rFonts w:asciiTheme="majorHAnsi" w:hAnsiTheme="majorHAnsi" w:cstheme="majorHAnsi"/>
          <w:bCs w:val="0"/>
        </w:rPr>
        <w:t>.</w:t>
      </w:r>
      <w:r w:rsidR="004F2CBC" w:rsidRPr="00101E86">
        <w:rPr>
          <w:rStyle w:val="Strong"/>
          <w:rFonts w:asciiTheme="majorHAnsi" w:hAnsiTheme="majorHAnsi" w:cstheme="majorHAnsi"/>
          <w:bCs w:val="0"/>
        </w:rPr>
        <w:t xml:space="preserve"> </w:t>
      </w:r>
      <w:r w:rsidR="005157A3" w:rsidRPr="00101E86">
        <w:rPr>
          <w:rStyle w:val="Strong"/>
          <w:rFonts w:asciiTheme="majorHAnsi" w:hAnsiTheme="majorHAnsi" w:cstheme="majorHAnsi"/>
          <w:b w:val="0"/>
          <w:bCs w:val="0"/>
        </w:rPr>
        <w:t>(</w:t>
      </w:r>
      <w:r w:rsidR="005157A3" w:rsidRPr="00101E86">
        <w:rPr>
          <w:rStyle w:val="Strong"/>
          <w:rFonts w:asciiTheme="majorHAnsi" w:hAnsiTheme="majorHAnsi" w:cstheme="majorHAnsi"/>
        </w:rPr>
        <w:t>A</w:t>
      </w:r>
      <w:r w:rsidR="005157A3" w:rsidRPr="00101E86">
        <w:rPr>
          <w:rStyle w:val="Strong"/>
          <w:rFonts w:asciiTheme="majorHAnsi" w:hAnsiTheme="majorHAnsi" w:cstheme="majorHAnsi"/>
          <w:b w:val="0"/>
          <w:bCs w:val="0"/>
        </w:rPr>
        <w:t>)</w:t>
      </w:r>
      <w:r w:rsidR="005157A3" w:rsidRPr="00101E86">
        <w:rPr>
          <w:rFonts w:asciiTheme="majorHAnsi" w:hAnsiTheme="majorHAnsi" w:cstheme="majorHAnsi"/>
          <w:b/>
          <w:bCs/>
        </w:rPr>
        <w:t xml:space="preserve"> </w:t>
      </w:r>
      <w:r w:rsidR="005157A3" w:rsidRPr="00101E86">
        <w:rPr>
          <w:rFonts w:asciiTheme="majorHAnsi" w:hAnsiTheme="majorHAnsi" w:cstheme="majorHAnsi"/>
        </w:rPr>
        <w:t xml:space="preserve">Representative flow cytometry gating strategy for live singlets, CD4⁺ and CD8⁺ T-cell subsets, and TCRα/β expression in control (non-targeting sgRNA) and experimental (TRAC sgRNA) conditions. Cells were gated sequentially on FSC/SSC, singlets, viability, and CD4⁺ or CD8⁺ populations prior to assessment of TCRα/β surface expression. </w:t>
      </w:r>
      <w:r w:rsidR="005157A3" w:rsidRPr="00101E86">
        <w:rPr>
          <w:rStyle w:val="Strong"/>
          <w:rFonts w:asciiTheme="majorHAnsi" w:hAnsiTheme="majorHAnsi" w:cstheme="majorHAnsi"/>
          <w:b w:val="0"/>
          <w:bCs w:val="0"/>
        </w:rPr>
        <w:t>(</w:t>
      </w:r>
      <w:r w:rsidR="005157A3" w:rsidRPr="00101E86">
        <w:rPr>
          <w:rStyle w:val="Strong"/>
          <w:rFonts w:asciiTheme="majorHAnsi" w:hAnsiTheme="majorHAnsi" w:cstheme="majorHAnsi"/>
        </w:rPr>
        <w:t>B</w:t>
      </w:r>
      <w:r w:rsidR="005157A3" w:rsidRPr="00101E86">
        <w:rPr>
          <w:rStyle w:val="Strong"/>
          <w:rFonts w:asciiTheme="majorHAnsi" w:hAnsiTheme="majorHAnsi" w:cstheme="majorHAnsi"/>
          <w:b w:val="0"/>
          <w:bCs w:val="0"/>
        </w:rPr>
        <w:t>)</w:t>
      </w:r>
      <w:r w:rsidR="005157A3" w:rsidRPr="00101E86">
        <w:rPr>
          <w:rFonts w:asciiTheme="majorHAnsi" w:hAnsiTheme="majorHAnsi" w:cstheme="majorHAnsi"/>
        </w:rPr>
        <w:t xml:space="preserve"> Left: TCRα/β knockout efficiency in CD4⁺ and CD8⁺ T-cell subsets across three conditions: TRAC KO, non-targeting control (NTC), and off-</w:t>
      </w:r>
      <w:r w:rsidR="00C455EA" w:rsidRPr="00101E86">
        <w:rPr>
          <w:rFonts w:asciiTheme="majorHAnsi" w:hAnsiTheme="majorHAnsi" w:cstheme="majorHAnsi"/>
          <w:bCs/>
        </w:rPr>
        <w:t>cartridge</w:t>
      </w:r>
      <w:r w:rsidR="00C455EA" w:rsidRPr="00101E86">
        <w:rPr>
          <w:rFonts w:asciiTheme="majorHAnsi" w:hAnsiTheme="majorHAnsi" w:cstheme="majorHAnsi"/>
        </w:rPr>
        <w:t xml:space="preserve"> </w:t>
      </w:r>
      <w:r w:rsidR="005157A3" w:rsidRPr="00101E86">
        <w:rPr>
          <w:rFonts w:asciiTheme="majorHAnsi" w:hAnsiTheme="majorHAnsi" w:cstheme="majorHAnsi"/>
        </w:rPr>
        <w:t>control (OCC). CD4⁺: TRAC KO = 88.4 ± 4.9%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40), NTC = 3.2 ± 4.7%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24), OCC = 9.8 ± 5.1%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18). CD8⁺: TRAC KO = 89.8 ± 4.2%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40), NTC = 4.2 ± 7.4%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24), OCC = 20.2 ± 4.9%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18). Right: Post-electroporation viability across all conditions, gated on singlets. Viability: TRAC KO = 97.1 ± 1%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40), NTC = 96.8 ± 1%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24), OCC = 97 ± 1% (n</w:t>
      </w:r>
      <w:r w:rsidR="00B2527C" w:rsidRPr="00101E86">
        <w:rPr>
          <w:rFonts w:asciiTheme="majorHAnsi" w:hAnsiTheme="majorHAnsi" w:cstheme="majorHAnsi"/>
        </w:rPr>
        <w:t xml:space="preserve"> </w:t>
      </w:r>
      <w:r w:rsidR="005157A3" w:rsidRPr="00101E86">
        <w:rPr>
          <w:rFonts w:asciiTheme="majorHAnsi" w:hAnsiTheme="majorHAnsi" w:cstheme="majorHAnsi"/>
        </w:rPr>
        <w:t>=</w:t>
      </w:r>
      <w:r w:rsidR="00B2527C" w:rsidRPr="00101E86">
        <w:rPr>
          <w:rFonts w:asciiTheme="majorHAnsi" w:hAnsiTheme="majorHAnsi" w:cstheme="majorHAnsi"/>
        </w:rPr>
        <w:t xml:space="preserve"> </w:t>
      </w:r>
      <w:r w:rsidR="005157A3" w:rsidRPr="00101E86">
        <w:rPr>
          <w:rFonts w:asciiTheme="majorHAnsi" w:hAnsiTheme="majorHAnsi" w:cstheme="majorHAnsi"/>
        </w:rPr>
        <w:t xml:space="preserve">18). Individual data points are shown with mean and SD. n represents independent electroporation runs across multiple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s </w:t>
      </w:r>
      <w:r w:rsidR="005157A3" w:rsidRPr="00101E86">
        <w:rPr>
          <w:rFonts w:asciiTheme="majorHAnsi" w:hAnsiTheme="majorHAnsi" w:cstheme="majorHAnsi"/>
        </w:rPr>
        <w:t>and days.</w:t>
      </w:r>
    </w:p>
    <w:p w14:paraId="749B0F10" w14:textId="77777777" w:rsidR="004F2CBC" w:rsidRPr="00101E86" w:rsidRDefault="004F2CBC" w:rsidP="00101E86">
      <w:pPr>
        <w:rPr>
          <w:rFonts w:asciiTheme="majorHAnsi" w:hAnsiTheme="majorHAnsi" w:cstheme="majorHAnsi"/>
        </w:rPr>
      </w:pPr>
    </w:p>
    <w:p w14:paraId="078E4F7F" w14:textId="3E7EFEEC" w:rsidR="007E0F40" w:rsidRPr="00101E86" w:rsidRDefault="00314C36" w:rsidP="00101E86">
      <w:pPr>
        <w:pStyle w:val="Heading2"/>
        <w:textAlignment w:val="baseline"/>
        <w:rPr>
          <w:rFonts w:asciiTheme="majorHAnsi" w:hAnsiTheme="majorHAnsi" w:cstheme="majorHAnsi"/>
          <w:b w:val="0"/>
          <w:bCs/>
        </w:rPr>
      </w:pPr>
      <w:r w:rsidRPr="00101E86">
        <w:rPr>
          <w:rStyle w:val="Strong"/>
          <w:rFonts w:asciiTheme="majorHAnsi" w:hAnsiTheme="majorHAnsi" w:cstheme="majorHAnsi"/>
          <w:b/>
        </w:rPr>
        <w:t xml:space="preserve">Figure 4. Efficient mRNA </w:t>
      </w:r>
      <w:r w:rsidR="00B2527C" w:rsidRPr="00101E86">
        <w:rPr>
          <w:rStyle w:val="Strong"/>
          <w:rFonts w:asciiTheme="majorHAnsi" w:hAnsiTheme="majorHAnsi" w:cstheme="majorHAnsi"/>
          <w:b/>
        </w:rPr>
        <w:t>d</w:t>
      </w:r>
      <w:r w:rsidRPr="00101E86">
        <w:rPr>
          <w:rStyle w:val="Strong"/>
          <w:rFonts w:asciiTheme="majorHAnsi" w:hAnsiTheme="majorHAnsi" w:cstheme="majorHAnsi"/>
          <w:b/>
        </w:rPr>
        <w:t xml:space="preserve">elivery into HEK293T </w:t>
      </w:r>
      <w:r w:rsidR="00B2527C" w:rsidRPr="00101E86">
        <w:rPr>
          <w:rStyle w:val="Strong"/>
          <w:rFonts w:asciiTheme="majorHAnsi" w:hAnsiTheme="majorHAnsi" w:cstheme="majorHAnsi"/>
          <w:b/>
        </w:rPr>
        <w:t>s</w:t>
      </w:r>
      <w:r w:rsidRPr="00101E86">
        <w:rPr>
          <w:rStyle w:val="Strong"/>
          <w:rFonts w:asciiTheme="majorHAnsi" w:hAnsiTheme="majorHAnsi" w:cstheme="majorHAnsi"/>
          <w:b/>
        </w:rPr>
        <w:t xml:space="preserve">pheroids </w:t>
      </w:r>
      <w:r w:rsidR="00B2527C" w:rsidRPr="00101E86">
        <w:rPr>
          <w:rStyle w:val="Strong"/>
          <w:rFonts w:asciiTheme="majorHAnsi" w:hAnsiTheme="majorHAnsi" w:cstheme="majorHAnsi"/>
          <w:b/>
        </w:rPr>
        <w:t>u</w:t>
      </w:r>
      <w:r w:rsidRPr="00101E86">
        <w:rPr>
          <w:rStyle w:val="Strong"/>
          <w:rFonts w:asciiTheme="majorHAnsi" w:hAnsiTheme="majorHAnsi" w:cstheme="majorHAnsi"/>
          <w:b/>
        </w:rPr>
        <w:t xml:space="preserve">sing </w:t>
      </w:r>
      <w:r w:rsidR="004F2CBC" w:rsidRPr="00101E86">
        <w:rPr>
          <w:rFonts w:asciiTheme="majorHAnsi" w:hAnsiTheme="majorHAnsi" w:cstheme="majorHAnsi"/>
        </w:rPr>
        <w:t>DMF-ection</w:t>
      </w:r>
      <w:r w:rsidR="00B2527C" w:rsidRPr="00101E86">
        <w:rPr>
          <w:rFonts w:asciiTheme="majorHAnsi" w:hAnsiTheme="majorHAnsi" w:cstheme="majorHAnsi"/>
        </w:rPr>
        <w:t>.</w:t>
      </w:r>
      <w:r w:rsidR="00B11C2C" w:rsidRPr="00101E86">
        <w:rPr>
          <w:rFonts w:asciiTheme="majorHAnsi" w:hAnsiTheme="majorHAnsi" w:cstheme="majorHAnsi"/>
        </w:rPr>
        <w:t xml:space="preserve"> </w:t>
      </w:r>
      <w:r w:rsidR="008E240D" w:rsidRPr="00101E86">
        <w:rPr>
          <w:rStyle w:val="normaltextrun"/>
          <w:rFonts w:asciiTheme="majorHAnsi" w:hAnsiTheme="majorHAnsi" w:cstheme="majorHAnsi"/>
          <w:b w:val="0"/>
          <w:bCs/>
        </w:rPr>
        <w:t>(</w:t>
      </w:r>
      <w:r w:rsidR="008E240D" w:rsidRPr="00101E86">
        <w:rPr>
          <w:rStyle w:val="normaltextrun"/>
          <w:rFonts w:asciiTheme="majorHAnsi" w:hAnsiTheme="majorHAnsi" w:cstheme="majorHAnsi"/>
        </w:rPr>
        <w:t>A</w:t>
      </w:r>
      <w:r w:rsidR="008E240D" w:rsidRPr="00101E86">
        <w:rPr>
          <w:rStyle w:val="normaltextrun"/>
          <w:rFonts w:asciiTheme="majorHAnsi" w:hAnsiTheme="majorHAnsi" w:cstheme="majorHAnsi"/>
          <w:b w:val="0"/>
          <w:bCs/>
        </w:rPr>
        <w:t>) Workflow diagram describing </w:t>
      </w:r>
      <w:r w:rsidR="3B95D648" w:rsidRPr="00101E86">
        <w:rPr>
          <w:rStyle w:val="normaltextrun"/>
          <w:rFonts w:asciiTheme="majorHAnsi" w:hAnsiTheme="majorHAnsi" w:cstheme="majorHAnsi"/>
          <w:b w:val="0"/>
          <w:bCs/>
        </w:rPr>
        <w:t>the process</w:t>
      </w:r>
      <w:r w:rsidR="008E240D" w:rsidRPr="00101E86">
        <w:rPr>
          <w:rStyle w:val="normaltextrun"/>
          <w:rFonts w:asciiTheme="majorHAnsi" w:hAnsiTheme="majorHAnsi" w:cstheme="majorHAnsi"/>
          <w:b w:val="0"/>
          <w:bCs/>
        </w:rPr>
        <w:t xml:space="preserve"> of forming spheroids and performing spheroid transfection. </w:t>
      </w:r>
      <w:r w:rsidR="00B11C2C" w:rsidRPr="00101E86">
        <w:rPr>
          <w:rStyle w:val="normaltextrun"/>
          <w:rFonts w:asciiTheme="majorHAnsi" w:hAnsiTheme="majorHAnsi" w:cstheme="majorHAnsi"/>
          <w:b w:val="0"/>
          <w:bCs/>
        </w:rPr>
        <w:t>A hundred</w:t>
      </w:r>
      <w:r w:rsidR="008E240D" w:rsidRPr="00101E86">
        <w:rPr>
          <w:rStyle w:val="normaltextrun"/>
          <w:rFonts w:asciiTheme="majorHAnsi" w:hAnsiTheme="majorHAnsi" w:cstheme="majorHAnsi"/>
          <w:b w:val="0"/>
          <w:bCs/>
        </w:rPr>
        <w:t xml:space="preserve"> HEK293T cells are loaded per well in specialized spheroid microplate and cultured for 24 h to form spheroids of 100 µm diameter. </w:t>
      </w:r>
      <w:r w:rsidR="00B11C2C" w:rsidRPr="00101E86">
        <w:rPr>
          <w:rStyle w:val="normaltextrun"/>
          <w:rFonts w:asciiTheme="majorHAnsi" w:hAnsiTheme="majorHAnsi" w:cstheme="majorHAnsi"/>
          <w:b w:val="0"/>
          <w:bCs/>
        </w:rPr>
        <w:t>S</w:t>
      </w:r>
      <w:r w:rsidR="008E240D" w:rsidRPr="00101E86">
        <w:rPr>
          <w:rStyle w:val="normaltextrun"/>
          <w:rFonts w:asciiTheme="majorHAnsi" w:hAnsiTheme="majorHAnsi" w:cstheme="majorHAnsi"/>
          <w:b w:val="0"/>
          <w:bCs/>
        </w:rPr>
        <w:t>pheroids</w:t>
      </w:r>
      <w:r w:rsidR="00B11C2C" w:rsidRPr="00101E86">
        <w:rPr>
          <w:rStyle w:val="normaltextrun"/>
          <w:rFonts w:asciiTheme="majorHAnsi" w:hAnsiTheme="majorHAnsi" w:cstheme="majorHAnsi"/>
          <w:b w:val="0"/>
          <w:bCs/>
        </w:rPr>
        <w:t xml:space="preserve"> (192)</w:t>
      </w:r>
      <w:r w:rsidR="008E240D" w:rsidRPr="00101E86">
        <w:rPr>
          <w:rStyle w:val="normaltextrun"/>
          <w:rFonts w:asciiTheme="majorHAnsi" w:hAnsiTheme="majorHAnsi" w:cstheme="majorHAnsi"/>
          <w:b w:val="0"/>
          <w:bCs/>
        </w:rPr>
        <w:t xml:space="preserve"> are offloaded and resuspended into 100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µL of transfection buffer. This suspension, with appropriate payload, is loaded onto the guide spotted </w:t>
      </w:r>
      <w:r w:rsidR="00C27048" w:rsidRPr="00101E86">
        <w:rPr>
          <w:rFonts w:asciiTheme="majorHAnsi" w:hAnsiTheme="majorHAnsi" w:cstheme="majorHAnsi"/>
          <w:b w:val="0"/>
          <w:bCs/>
        </w:rPr>
        <w:t>DMF-ection</w:t>
      </w:r>
      <w:r w:rsidR="008E240D" w:rsidRPr="00101E86">
        <w:rPr>
          <w:rStyle w:val="normaltextrun"/>
          <w:rFonts w:asciiTheme="majorHAnsi" w:hAnsiTheme="majorHAnsi" w:cstheme="majorHAnsi"/>
          <w:b w:val="0"/>
          <w:bCs/>
        </w:rPr>
        <w:t> </w:t>
      </w:r>
      <w:r w:rsidR="00E0706F" w:rsidRPr="00101E86">
        <w:rPr>
          <w:rFonts w:asciiTheme="majorHAnsi" w:hAnsiTheme="majorHAnsi" w:cstheme="majorHAnsi"/>
          <w:b w:val="0"/>
          <w:bCs/>
        </w:rPr>
        <w:t xml:space="preserve">cartridge </w:t>
      </w:r>
      <w:r w:rsidR="008E240D" w:rsidRPr="00101E86">
        <w:rPr>
          <w:rStyle w:val="normaltextrun"/>
          <w:rFonts w:asciiTheme="majorHAnsi" w:hAnsiTheme="majorHAnsi" w:cstheme="majorHAnsi"/>
          <w:b w:val="0"/>
          <w:bCs/>
        </w:rPr>
        <w:t>at 9.3</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µL per family. Once electroporation occurs, samples are offloaded into a 96 well plate for downstream analysis. (</w:t>
      </w:r>
      <w:r w:rsidR="008E240D" w:rsidRPr="00101E86">
        <w:rPr>
          <w:rStyle w:val="normaltextrun"/>
          <w:rFonts w:asciiTheme="majorHAnsi" w:hAnsiTheme="majorHAnsi" w:cstheme="majorHAnsi"/>
        </w:rPr>
        <w:t>B</w:t>
      </w:r>
      <w:r w:rsidR="008E240D" w:rsidRPr="00101E86">
        <w:rPr>
          <w:rStyle w:val="normaltextrun"/>
          <w:rFonts w:asciiTheme="majorHAnsi" w:hAnsiTheme="majorHAnsi" w:cstheme="majorHAnsi"/>
          <w:b w:val="0"/>
          <w:bCs/>
        </w:rPr>
        <w:t>) Right: Number of spheroids offloaded per family on </w:t>
      </w:r>
      <w:r w:rsidR="00C27048" w:rsidRPr="00101E86">
        <w:rPr>
          <w:rFonts w:asciiTheme="majorHAnsi" w:hAnsiTheme="majorHAnsi" w:cstheme="majorHAnsi"/>
          <w:b w:val="0"/>
          <w:bCs/>
        </w:rPr>
        <w:t>DMF-ection</w:t>
      </w:r>
      <w:r w:rsidR="008E240D" w:rsidRPr="00101E86">
        <w:rPr>
          <w:rStyle w:val="normaltextrun"/>
          <w:rFonts w:asciiTheme="majorHAnsi" w:hAnsiTheme="majorHAnsi" w:cstheme="majorHAnsi"/>
          <w:b w:val="0"/>
          <w:bCs/>
        </w:rPr>
        <w:t> </w:t>
      </w:r>
      <w:r w:rsidR="00E0706F" w:rsidRPr="00101E86">
        <w:rPr>
          <w:rFonts w:asciiTheme="majorHAnsi" w:hAnsiTheme="majorHAnsi" w:cstheme="majorHAnsi"/>
          <w:b w:val="0"/>
          <w:bCs/>
        </w:rPr>
        <w:t xml:space="preserve">cartridge </w:t>
      </w:r>
      <w:r w:rsidR="008E240D" w:rsidRPr="00101E86">
        <w:rPr>
          <w:rStyle w:val="normaltextrun"/>
          <w:rFonts w:asciiTheme="majorHAnsi" w:hAnsiTheme="majorHAnsi" w:cstheme="majorHAnsi"/>
          <w:b w:val="0"/>
          <w:bCs/>
        </w:rPr>
        <w:t>as compared to hand-pipetted off</w:t>
      </w:r>
      <w:r w:rsidR="00B11C2C" w:rsidRPr="00101E86">
        <w:rPr>
          <w:rStyle w:val="normaltextrun"/>
          <w:rFonts w:asciiTheme="majorHAnsi" w:hAnsiTheme="majorHAnsi" w:cstheme="majorHAnsi"/>
          <w:b w:val="0"/>
          <w:bCs/>
        </w:rPr>
        <w:t>-</w:t>
      </w:r>
      <w:r w:rsidR="00C455EA" w:rsidRPr="00101E86">
        <w:rPr>
          <w:rFonts w:asciiTheme="majorHAnsi" w:hAnsiTheme="majorHAnsi" w:cstheme="majorHAnsi"/>
          <w:b w:val="0"/>
          <w:bCs/>
        </w:rPr>
        <w:t xml:space="preserve">cartridge </w:t>
      </w:r>
      <w:r w:rsidR="008E240D" w:rsidRPr="00101E86">
        <w:rPr>
          <w:rStyle w:val="normaltextrun"/>
          <w:rFonts w:asciiTheme="majorHAnsi" w:hAnsiTheme="majorHAnsi" w:cstheme="majorHAnsi"/>
          <w:b w:val="0"/>
          <w:bCs/>
        </w:rPr>
        <w:t>controls. Middle: Fluorescent image of tri-drop, where larger red square outlines the tri-drop, and the red oval circles the spheroid. Right: Fluorescent image showing loading port with loaded spheroids (blue circles). (</w:t>
      </w:r>
      <w:r w:rsidR="008E240D" w:rsidRPr="00101E86">
        <w:rPr>
          <w:rStyle w:val="normaltextrun"/>
          <w:rFonts w:asciiTheme="majorHAnsi" w:hAnsiTheme="majorHAnsi" w:cstheme="majorHAnsi"/>
        </w:rPr>
        <w:t>C</w:t>
      </w:r>
      <w:r w:rsidR="008E240D" w:rsidRPr="00101E86">
        <w:rPr>
          <w:rStyle w:val="normaltextrun"/>
          <w:rFonts w:asciiTheme="majorHAnsi" w:hAnsiTheme="majorHAnsi" w:cstheme="majorHAnsi"/>
          <w:b w:val="0"/>
          <w:bCs/>
        </w:rPr>
        <w:t xml:space="preserve">) Left panel: </w:t>
      </w:r>
      <w:r w:rsidR="008E240D" w:rsidRPr="00101E86">
        <w:rPr>
          <w:rFonts w:asciiTheme="majorHAnsi" w:hAnsiTheme="majorHAnsi" w:cstheme="majorHAnsi"/>
          <w:b w:val="0"/>
          <w:bCs/>
        </w:rPr>
        <w:t xml:space="preserve">Brightfield images of intact HEK293T spheroids before electroporation and Fluorescence images of spheroids 24 h after </w:t>
      </w:r>
      <w:r w:rsidR="008E240D" w:rsidRPr="00101E86">
        <w:rPr>
          <w:rFonts w:asciiTheme="majorHAnsi" w:hAnsiTheme="majorHAnsi" w:cstheme="majorHAnsi"/>
          <w:b w:val="0"/>
          <w:bCs/>
          <w:i/>
          <w:iCs/>
        </w:rPr>
        <w:t>EGFP</w:t>
      </w:r>
      <w:r w:rsidR="008E240D" w:rsidRPr="00101E86">
        <w:rPr>
          <w:rFonts w:asciiTheme="majorHAnsi" w:hAnsiTheme="majorHAnsi" w:cstheme="majorHAnsi"/>
          <w:b w:val="0"/>
          <w:bCs/>
        </w:rPr>
        <w:t xml:space="preserve"> mRNA electroporation, compared with 0 V and off-</w:t>
      </w:r>
      <w:r w:rsidR="00C455EA" w:rsidRPr="00101E86">
        <w:rPr>
          <w:rFonts w:asciiTheme="majorHAnsi" w:hAnsiTheme="majorHAnsi" w:cstheme="majorHAnsi"/>
          <w:b w:val="0"/>
          <w:bCs/>
        </w:rPr>
        <w:t xml:space="preserve">cartridge </w:t>
      </w:r>
      <w:r w:rsidR="008E240D" w:rsidRPr="00101E86">
        <w:rPr>
          <w:rFonts w:asciiTheme="majorHAnsi" w:hAnsiTheme="majorHAnsi" w:cstheme="majorHAnsi"/>
          <w:b w:val="0"/>
          <w:bCs/>
        </w:rPr>
        <w:t xml:space="preserve">controls. </w:t>
      </w:r>
      <w:r w:rsidR="00BB34AF" w:rsidRPr="00101E86">
        <w:rPr>
          <w:rFonts w:asciiTheme="majorHAnsi" w:hAnsiTheme="majorHAnsi" w:cstheme="majorHAnsi"/>
          <w:b w:val="0"/>
          <w:bCs/>
        </w:rPr>
        <w:t>(</w:t>
      </w:r>
      <w:r w:rsidR="00BB34AF" w:rsidRPr="00101E86">
        <w:rPr>
          <w:rFonts w:asciiTheme="majorHAnsi" w:hAnsiTheme="majorHAnsi" w:cstheme="majorHAnsi"/>
        </w:rPr>
        <w:t>D</w:t>
      </w:r>
      <w:r w:rsidR="00BB34AF" w:rsidRPr="00101E86">
        <w:rPr>
          <w:rFonts w:asciiTheme="majorHAnsi" w:hAnsiTheme="majorHAnsi" w:cstheme="majorHAnsi"/>
          <w:b w:val="0"/>
          <w:bCs/>
        </w:rPr>
        <w:t>)</w:t>
      </w:r>
      <w:r w:rsidR="00B11C2C" w:rsidRPr="00101E86">
        <w:rPr>
          <w:rFonts w:asciiTheme="majorHAnsi" w:hAnsiTheme="majorHAnsi" w:cstheme="majorHAnsi"/>
          <w:b w:val="0"/>
          <w:bCs/>
        </w:rPr>
        <w:t xml:space="preserve"> </w:t>
      </w:r>
      <w:r w:rsidR="00BB34AF" w:rsidRPr="00101E86">
        <w:rPr>
          <w:rFonts w:asciiTheme="majorHAnsi" w:hAnsiTheme="majorHAnsi" w:cstheme="majorHAnsi"/>
          <w:b w:val="0"/>
          <w:bCs/>
        </w:rPr>
        <w:t>Top panel</w:t>
      </w:r>
      <w:r w:rsidR="00B11C2C" w:rsidRPr="00101E86">
        <w:rPr>
          <w:rFonts w:asciiTheme="majorHAnsi" w:hAnsiTheme="majorHAnsi" w:cstheme="majorHAnsi"/>
          <w:b w:val="0"/>
          <w:bCs/>
        </w:rPr>
        <w:t xml:space="preserve">: </w:t>
      </w:r>
      <w:r w:rsidR="008E240D" w:rsidRPr="00101E86">
        <w:rPr>
          <w:rFonts w:asciiTheme="majorHAnsi" w:hAnsiTheme="majorHAnsi" w:cstheme="majorHAnsi"/>
          <w:b w:val="0"/>
          <w:bCs/>
        </w:rPr>
        <w:t>Quantification of mean fluorescence intensity normalized to spheroid area for two electroporation conditions (500 V, 2 ms, 2 pulses; 375 V, 6 ms, 1 pulse).</w:t>
      </w:r>
      <w:r w:rsidR="00A15621" w:rsidRPr="00101E86">
        <w:rPr>
          <w:rFonts w:asciiTheme="majorHAnsi" w:hAnsiTheme="majorHAnsi" w:cstheme="majorHAnsi"/>
          <w:b w:val="0"/>
          <w:bCs/>
        </w:rPr>
        <w:t xml:space="preserve"> </w:t>
      </w:r>
      <w:r w:rsidR="008E240D" w:rsidRPr="00101E86">
        <w:rPr>
          <w:rStyle w:val="normaltextrun"/>
          <w:rFonts w:asciiTheme="majorHAnsi" w:hAnsiTheme="majorHAnsi" w:cstheme="majorHAnsi"/>
          <w:b w:val="0"/>
          <w:bCs/>
        </w:rPr>
        <w:t>No significant</w:t>
      </w:r>
      <w:r w:rsidR="002E0E19"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difference between electroporated conditions, but all electroporated conditions are significantly different from 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V and off</w:t>
      </w:r>
      <w:r w:rsidR="00B11C2C" w:rsidRPr="00101E86">
        <w:rPr>
          <w:rStyle w:val="normaltextrun"/>
          <w:rFonts w:asciiTheme="majorHAnsi" w:hAnsiTheme="majorHAnsi" w:cstheme="majorHAnsi"/>
          <w:b w:val="0"/>
          <w:bCs/>
        </w:rPr>
        <w:t>-</w:t>
      </w:r>
      <w:r w:rsidR="00C455EA" w:rsidRPr="00101E86">
        <w:rPr>
          <w:rFonts w:asciiTheme="majorHAnsi" w:hAnsiTheme="majorHAnsi" w:cstheme="majorHAnsi"/>
          <w:b w:val="0"/>
          <w:bCs/>
        </w:rPr>
        <w:t xml:space="preserve">cartridge </w:t>
      </w:r>
      <w:r w:rsidR="008E240D" w:rsidRPr="00101E86">
        <w:rPr>
          <w:rStyle w:val="normaltextrun"/>
          <w:rFonts w:asciiTheme="majorHAnsi" w:hAnsiTheme="majorHAnsi" w:cstheme="majorHAnsi"/>
          <w:b w:val="0"/>
          <w:bCs/>
        </w:rPr>
        <w:t>controls (500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V 2</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ms 2</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pulse: 6.955</w:t>
      </w:r>
      <w:r w:rsidR="00B11C2C" w:rsidRPr="00101E86">
        <w:rPr>
          <w:rStyle w:val="normaltextrun"/>
          <w:rFonts w:asciiTheme="majorHAnsi" w:hAnsiTheme="majorHAnsi" w:cstheme="majorHAnsi"/>
          <w:b w:val="0"/>
          <w:bCs/>
        </w:rPr>
        <w:t xml:space="preserve"> × </w:t>
      </w:r>
      <w:r w:rsidR="008E240D" w:rsidRPr="00101E86">
        <w:rPr>
          <w:rStyle w:val="normaltextrun"/>
          <w:rFonts w:asciiTheme="majorHAnsi" w:hAnsiTheme="majorHAnsi" w:cstheme="majorHAnsi"/>
          <w:b w:val="0"/>
          <w:bCs/>
        </w:rPr>
        <w:t>10</w:t>
      </w:r>
      <w:r w:rsidR="008E240D" w:rsidRPr="00101E86">
        <w:rPr>
          <w:rStyle w:val="normaltextrun"/>
          <w:rFonts w:asciiTheme="majorHAnsi" w:hAnsiTheme="majorHAnsi" w:cstheme="majorHAnsi"/>
          <w:b w:val="0"/>
          <w:bCs/>
          <w:vertAlign w:val="superscript"/>
        </w:rPr>
        <w:t>-5</w:t>
      </w:r>
      <w:r w:rsidR="00B11C2C" w:rsidRPr="00101E86">
        <w:rPr>
          <w:rStyle w:val="normaltextrun"/>
          <w:rFonts w:asciiTheme="majorHAnsi" w:hAnsiTheme="majorHAnsi" w:cstheme="majorHAnsi"/>
          <w:b w:val="0"/>
          <w:bCs/>
          <w:vertAlign w:val="superscript"/>
        </w:rPr>
        <w:t xml:space="preserve"> </w:t>
      </w:r>
      <w:r w:rsidR="008E240D" w:rsidRPr="00101E86">
        <w:rPr>
          <w:rStyle w:val="normaltextrun"/>
          <w:rFonts w:asciiTheme="majorHAnsi" w:hAnsiTheme="majorHAnsi" w:cstheme="majorHAnsi"/>
          <w:b w:val="0"/>
          <w:bCs/>
        </w:rPr>
        <w: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3.502</w:t>
      </w:r>
      <w:r w:rsidR="00B11C2C" w:rsidRPr="00101E86">
        <w:rPr>
          <w:rStyle w:val="normaltextrun"/>
          <w:rFonts w:asciiTheme="majorHAnsi" w:hAnsiTheme="majorHAnsi" w:cstheme="majorHAnsi"/>
          <w:b w:val="0"/>
          <w:bCs/>
        </w:rPr>
        <w:t xml:space="preserve"> × </w:t>
      </w:r>
      <w:r w:rsidR="008E240D" w:rsidRPr="00101E86">
        <w:rPr>
          <w:rStyle w:val="normaltextrun"/>
          <w:rFonts w:asciiTheme="majorHAnsi" w:hAnsiTheme="majorHAnsi" w:cstheme="majorHAnsi"/>
          <w:b w:val="0"/>
          <w:bCs/>
        </w:rPr>
        <w:t>10</w:t>
      </w:r>
      <w:r w:rsidR="008E240D" w:rsidRPr="00101E86">
        <w:rPr>
          <w:rStyle w:val="normaltextrun"/>
          <w:rFonts w:asciiTheme="majorHAnsi" w:hAnsiTheme="majorHAnsi" w:cstheme="majorHAnsi"/>
          <w:b w:val="0"/>
          <w:bCs/>
          <w:vertAlign w:val="superscript"/>
        </w:rPr>
        <w:t>-5</w:t>
      </w:r>
      <w:r w:rsidR="008E240D" w:rsidRPr="00101E86">
        <w:rPr>
          <w:rStyle w:val="normaltextrun"/>
          <w:rFonts w:asciiTheme="majorHAnsi" w:hAnsiTheme="majorHAnsi" w:cstheme="majorHAnsi"/>
          <w:b w:val="0"/>
          <w:bCs/>
        </w:rPr>
        <w:t>, 375</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V 6</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ms 1</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pulse: 5.045</w:t>
      </w:r>
      <w:r w:rsidR="00B11C2C" w:rsidRPr="00101E86">
        <w:rPr>
          <w:rStyle w:val="normaltextrun"/>
          <w:rFonts w:asciiTheme="majorHAnsi" w:hAnsiTheme="majorHAnsi" w:cstheme="majorHAnsi"/>
          <w:b w:val="0"/>
          <w:bCs/>
        </w:rPr>
        <w:t xml:space="preserve"> × </w:t>
      </w:r>
      <w:r w:rsidR="008E240D" w:rsidRPr="00101E86">
        <w:rPr>
          <w:rStyle w:val="normaltextrun"/>
          <w:rFonts w:asciiTheme="majorHAnsi" w:hAnsiTheme="majorHAnsi" w:cstheme="majorHAnsi"/>
          <w:b w:val="0"/>
          <w:bCs/>
        </w:rPr>
        <w:t>10</w:t>
      </w:r>
      <w:r w:rsidR="008E240D" w:rsidRPr="00101E86">
        <w:rPr>
          <w:rStyle w:val="normaltextrun"/>
          <w:rFonts w:asciiTheme="majorHAnsi" w:hAnsiTheme="majorHAnsi" w:cstheme="majorHAnsi"/>
          <w:b w:val="0"/>
          <w:bCs/>
          <w:vertAlign w:val="superscript"/>
        </w:rPr>
        <w:t>-5</w:t>
      </w:r>
      <w:r w:rsidR="00B11C2C" w:rsidRPr="00101E86">
        <w:rPr>
          <w:rStyle w:val="normaltextrun"/>
          <w:rFonts w:asciiTheme="majorHAnsi" w:hAnsiTheme="majorHAnsi" w:cstheme="majorHAnsi"/>
          <w:b w:val="0"/>
          <w:bCs/>
          <w:vertAlign w:val="superscript"/>
        </w:rPr>
        <w:t xml:space="preserve"> </w:t>
      </w:r>
      <w:r w:rsidR="008E240D" w:rsidRPr="00101E86">
        <w:rPr>
          <w:rStyle w:val="normaltextrun"/>
          <w:rFonts w:asciiTheme="majorHAnsi" w:hAnsiTheme="majorHAnsi" w:cstheme="majorHAnsi"/>
          <w:b w:val="0"/>
          <w:bCs/>
        </w:rPr>
        <w: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3.294</w:t>
      </w:r>
      <w:r w:rsidR="00B11C2C" w:rsidRPr="00101E86">
        <w:rPr>
          <w:rStyle w:val="normaltextrun"/>
          <w:rFonts w:asciiTheme="majorHAnsi" w:hAnsiTheme="majorHAnsi" w:cstheme="majorHAnsi"/>
          <w:b w:val="0"/>
          <w:bCs/>
        </w:rPr>
        <w:t xml:space="preserve"> × </w:t>
      </w:r>
      <w:r w:rsidR="008E240D" w:rsidRPr="00101E86">
        <w:rPr>
          <w:rStyle w:val="normaltextrun"/>
          <w:rFonts w:asciiTheme="majorHAnsi" w:hAnsiTheme="majorHAnsi" w:cstheme="majorHAnsi"/>
          <w:b w:val="0"/>
          <w:bCs/>
        </w:rPr>
        <w:t>10</w:t>
      </w:r>
      <w:r w:rsidR="008E240D" w:rsidRPr="00101E86">
        <w:rPr>
          <w:rStyle w:val="normaltextrun"/>
          <w:rFonts w:asciiTheme="majorHAnsi" w:hAnsiTheme="majorHAnsi" w:cstheme="majorHAnsi"/>
          <w:b w:val="0"/>
          <w:bCs/>
          <w:vertAlign w:val="superscript"/>
        </w:rPr>
        <w:t>-5</w:t>
      </w:r>
      <w:r w:rsidR="008E240D" w:rsidRPr="00101E86">
        <w:rPr>
          <w:rStyle w:val="normaltextrun"/>
          <w:rFonts w:asciiTheme="majorHAnsi" w:hAnsiTheme="majorHAnsi" w:cstheme="majorHAnsi"/>
          <w:b w:val="0"/>
          <w:bCs/>
        </w:rPr>
        <w:t>, 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V: 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0, O</w:t>
      </w:r>
      <w:r w:rsidR="009968B3" w:rsidRPr="00101E86">
        <w:rPr>
          <w:rStyle w:val="normaltextrun"/>
          <w:rFonts w:asciiTheme="majorHAnsi" w:hAnsiTheme="majorHAnsi" w:cstheme="majorHAnsi"/>
          <w:b w:val="0"/>
          <w:bCs/>
        </w:rPr>
        <w:t>ff</w:t>
      </w:r>
      <w:r w:rsidR="00B11C2C" w:rsidRPr="00101E86">
        <w:rPr>
          <w:rStyle w:val="normaltextrun"/>
          <w:rFonts w:asciiTheme="majorHAnsi" w:hAnsiTheme="majorHAnsi" w:cstheme="majorHAnsi"/>
          <w:b w:val="0"/>
          <w:bCs/>
        </w:rPr>
        <w:t>-</w:t>
      </w:r>
      <w:r w:rsidR="00C455EA" w:rsidRPr="00101E86">
        <w:rPr>
          <w:rFonts w:asciiTheme="majorHAnsi" w:hAnsiTheme="majorHAnsi" w:cstheme="majorHAnsi"/>
          <w:b w:val="0"/>
          <w:bCs/>
        </w:rPr>
        <w:t xml:space="preserve">cartridge </w:t>
      </w:r>
      <w:r w:rsidR="009968B3" w:rsidRPr="00101E86">
        <w:rPr>
          <w:rStyle w:val="normaltextrun"/>
          <w:rFonts w:asciiTheme="majorHAnsi" w:hAnsiTheme="majorHAnsi" w:cstheme="majorHAnsi"/>
          <w:b w:val="0"/>
          <w:bCs/>
        </w:rPr>
        <w:t>control</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 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0</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 (*p</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&lt;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0.05). </w:t>
      </w:r>
      <w:r w:rsidR="004E4DF9" w:rsidRPr="00101E86">
        <w:rPr>
          <w:rStyle w:val="normaltextrun"/>
          <w:rFonts w:asciiTheme="majorHAnsi" w:hAnsiTheme="majorHAnsi" w:cstheme="majorHAnsi"/>
          <w:b w:val="0"/>
          <w:bCs/>
        </w:rPr>
        <w:t>Images were processed using FIJI image processing package</w:t>
      </w:r>
      <w:r w:rsidR="004E4DF9" w:rsidRPr="00101E86">
        <w:rPr>
          <w:rFonts w:asciiTheme="majorHAnsi" w:hAnsiTheme="majorHAnsi" w:cstheme="majorHAnsi"/>
          <w:b w:val="0"/>
          <w:bCs/>
          <w:vertAlign w:val="superscript"/>
        </w:rPr>
        <w:t>10</w:t>
      </w:r>
      <w:r w:rsidR="004E4DF9" w:rsidRPr="00101E86">
        <w:rPr>
          <w:rFonts w:asciiTheme="majorHAnsi" w:hAnsiTheme="majorHAnsi" w:cstheme="majorHAnsi"/>
          <w:b w:val="0"/>
          <w:bCs/>
        </w:rPr>
        <w:t>.</w:t>
      </w:r>
      <w:r w:rsidR="00DE23F4" w:rsidRPr="00101E86">
        <w:rPr>
          <w:rFonts w:asciiTheme="majorHAnsi" w:hAnsiTheme="majorHAnsi" w:cstheme="majorHAnsi"/>
          <w:b w:val="0"/>
          <w:bCs/>
        </w:rPr>
        <w:t xml:space="preserve"> </w:t>
      </w:r>
      <w:r w:rsidR="00A15621" w:rsidRPr="00101E86">
        <w:rPr>
          <w:rStyle w:val="normaltextrun"/>
          <w:rFonts w:asciiTheme="majorHAnsi" w:hAnsiTheme="majorHAnsi" w:cstheme="majorHAnsi"/>
          <w:b w:val="0"/>
          <w:bCs/>
        </w:rPr>
        <w:t>(</w:t>
      </w:r>
      <w:r w:rsidR="00A15621" w:rsidRPr="00101E86">
        <w:rPr>
          <w:rFonts w:asciiTheme="majorHAnsi" w:hAnsiTheme="majorHAnsi" w:cstheme="majorHAnsi"/>
          <w:b w:val="0"/>
          <w:bCs/>
        </w:rPr>
        <w:t>500 V, 2 ms, 2 pulses: n</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6; 375 V, 6 ms, 1 pulse: n</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4; Off</w:t>
      </w:r>
      <w:r w:rsidR="00B11C2C" w:rsidRPr="00101E86">
        <w:rPr>
          <w:rFonts w:asciiTheme="majorHAnsi" w:hAnsiTheme="majorHAnsi" w:cstheme="majorHAnsi"/>
          <w:b w:val="0"/>
          <w:bCs/>
        </w:rPr>
        <w:t>-</w:t>
      </w:r>
      <w:r w:rsidR="00A15621" w:rsidRPr="00101E86">
        <w:rPr>
          <w:rFonts w:asciiTheme="majorHAnsi" w:hAnsiTheme="majorHAnsi" w:cstheme="majorHAnsi"/>
          <w:b w:val="0"/>
          <w:bCs/>
        </w:rPr>
        <w:t>cartridge control: n</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3; 0</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V control: n</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B11C2C" w:rsidRPr="00101E86">
        <w:rPr>
          <w:rFonts w:asciiTheme="majorHAnsi" w:hAnsiTheme="majorHAnsi" w:cstheme="majorHAnsi"/>
          <w:b w:val="0"/>
          <w:bCs/>
        </w:rPr>
        <w:t xml:space="preserve"> </w:t>
      </w:r>
      <w:r w:rsidR="00A15621" w:rsidRPr="00101E86">
        <w:rPr>
          <w:rFonts w:asciiTheme="majorHAnsi" w:hAnsiTheme="majorHAnsi" w:cstheme="majorHAnsi"/>
          <w:b w:val="0"/>
          <w:bCs/>
        </w:rPr>
        <w:t>3).</w:t>
      </w:r>
      <w:r w:rsidR="00A15621" w:rsidRPr="00101E86">
        <w:rPr>
          <w:rStyle w:val="normaltextrun"/>
          <w:rFonts w:asciiTheme="majorHAnsi" w:hAnsiTheme="majorHAnsi" w:cstheme="majorHAnsi"/>
          <w:b w:val="0"/>
          <w:bCs/>
        </w:rPr>
        <w:t xml:space="preserve"> </w:t>
      </w:r>
      <w:r w:rsidR="00BB34AF" w:rsidRPr="00101E86">
        <w:rPr>
          <w:rStyle w:val="normaltextrun"/>
          <w:rFonts w:asciiTheme="majorHAnsi" w:hAnsiTheme="majorHAnsi" w:cstheme="majorHAnsi"/>
          <w:b w:val="0"/>
          <w:bCs/>
        </w:rPr>
        <w:t>(</w:t>
      </w:r>
      <w:r w:rsidR="00BB34AF" w:rsidRPr="00101E86">
        <w:rPr>
          <w:rStyle w:val="normaltextrun"/>
          <w:rFonts w:asciiTheme="majorHAnsi" w:hAnsiTheme="majorHAnsi" w:cstheme="majorHAnsi"/>
        </w:rPr>
        <w:t>D</w:t>
      </w:r>
      <w:r w:rsidR="00BB34AF" w:rsidRPr="00101E86">
        <w:rPr>
          <w:rStyle w:val="normaltextrun"/>
          <w:rFonts w:asciiTheme="majorHAnsi" w:hAnsiTheme="majorHAnsi" w:cstheme="majorHAnsi"/>
          <w:b w:val="0"/>
          <w:bCs/>
        </w:rPr>
        <w:t>) Bottom panel</w:t>
      </w:r>
      <w:r w:rsidR="00B11C2C" w:rsidRPr="00101E86">
        <w:rPr>
          <w:rStyle w:val="normaltextrun"/>
          <w:rFonts w:asciiTheme="majorHAnsi" w:hAnsiTheme="majorHAnsi" w:cstheme="majorHAnsi"/>
          <w:b w:val="0"/>
          <w:bCs/>
        </w:rPr>
        <w:t>:</w:t>
      </w:r>
      <w:r w:rsidR="008E240D" w:rsidRPr="00101E86">
        <w:rPr>
          <w:rStyle w:val="normaltextrun"/>
          <w:rFonts w:asciiTheme="majorHAnsi" w:hAnsiTheme="majorHAnsi" w:cstheme="majorHAnsi"/>
          <w:b w:val="0"/>
          <w:bCs/>
        </w:rPr>
        <w:t xml:space="preserve"> Spheroid diameter post</w:t>
      </w:r>
      <w:r w:rsidR="00B11C2C" w:rsidRPr="00101E86">
        <w:rPr>
          <w:rStyle w:val="normaltextrun"/>
          <w:rFonts w:asciiTheme="majorHAnsi" w:hAnsiTheme="majorHAnsi" w:cstheme="majorHAnsi"/>
          <w:b w:val="0"/>
          <w:bCs/>
        </w:rPr>
        <w:t xml:space="preserve"> </w:t>
      </w:r>
      <w:r w:rsidR="008E240D" w:rsidRPr="00101E86">
        <w:rPr>
          <w:rStyle w:val="normaltextrun"/>
          <w:rFonts w:asciiTheme="majorHAnsi" w:hAnsiTheme="majorHAnsi" w:cstheme="majorHAnsi"/>
          <w:b w:val="0"/>
          <w:bCs/>
        </w:rPr>
        <w:t>electroporat</w:t>
      </w:r>
      <w:r w:rsidR="00F844DE" w:rsidRPr="00101E86">
        <w:rPr>
          <w:rStyle w:val="normaltextrun"/>
          <w:rFonts w:asciiTheme="majorHAnsi" w:hAnsiTheme="majorHAnsi" w:cstheme="majorHAnsi"/>
          <w:b w:val="0"/>
          <w:bCs/>
        </w:rPr>
        <w:t>ion</w:t>
      </w:r>
      <w:r w:rsidR="008E240D" w:rsidRPr="00101E86">
        <w:rPr>
          <w:rStyle w:val="normaltextrun"/>
          <w:rFonts w:asciiTheme="majorHAnsi" w:hAnsiTheme="majorHAnsi" w:cstheme="majorHAnsi"/>
          <w:b w:val="0"/>
          <w:bCs/>
        </w:rPr>
        <w:t xml:space="preserve"> over 5 days across conditions. </w:t>
      </w:r>
      <w:r w:rsidR="00DE23F4" w:rsidRPr="00101E86">
        <w:rPr>
          <w:rStyle w:val="normaltextrun"/>
          <w:rFonts w:asciiTheme="majorHAnsi" w:hAnsiTheme="majorHAnsi" w:cstheme="majorHAnsi"/>
          <w:b w:val="0"/>
          <w:bCs/>
        </w:rPr>
        <w:t>Diam</w:t>
      </w:r>
      <w:r w:rsidR="00BB34AF" w:rsidRPr="00101E86">
        <w:rPr>
          <w:rStyle w:val="normaltextrun"/>
          <w:rFonts w:asciiTheme="majorHAnsi" w:hAnsiTheme="majorHAnsi" w:cstheme="majorHAnsi"/>
          <w:b w:val="0"/>
          <w:bCs/>
        </w:rPr>
        <w:t>e</w:t>
      </w:r>
      <w:r w:rsidR="00DE23F4" w:rsidRPr="00101E86">
        <w:rPr>
          <w:rStyle w:val="normaltextrun"/>
          <w:rFonts w:asciiTheme="majorHAnsi" w:hAnsiTheme="majorHAnsi" w:cstheme="majorHAnsi"/>
          <w:b w:val="0"/>
          <w:bCs/>
        </w:rPr>
        <w:t xml:space="preserve">ter was measured using FIJI from phase contract images taken at 20x magnification with an inverted microscope. </w:t>
      </w:r>
      <w:r w:rsidR="00A15621" w:rsidRPr="00101E86">
        <w:rPr>
          <w:rStyle w:val="normaltextrun"/>
          <w:rFonts w:asciiTheme="majorHAnsi" w:hAnsiTheme="majorHAnsi" w:cstheme="majorHAnsi"/>
          <w:b w:val="0"/>
          <w:bCs/>
        </w:rPr>
        <w:t>(</w:t>
      </w:r>
      <w:r w:rsidR="00A15621" w:rsidRPr="00101E86">
        <w:rPr>
          <w:rFonts w:asciiTheme="majorHAnsi" w:hAnsiTheme="majorHAnsi" w:cstheme="majorHAnsi"/>
          <w:b w:val="0"/>
          <w:bCs/>
        </w:rPr>
        <w:t>500 V, 2 ms, 2 pulses: n</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6; 375 V, 6 ms, 1 pulse: n</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4; Off cartridge control: n</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3; 0</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V control: n</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w:t>
      </w:r>
      <w:r w:rsidR="00F844DE" w:rsidRPr="00101E86">
        <w:rPr>
          <w:rFonts w:asciiTheme="majorHAnsi" w:hAnsiTheme="majorHAnsi" w:cstheme="majorHAnsi"/>
          <w:b w:val="0"/>
          <w:bCs/>
        </w:rPr>
        <w:t xml:space="preserve"> </w:t>
      </w:r>
      <w:r w:rsidR="00A15621" w:rsidRPr="00101E86">
        <w:rPr>
          <w:rFonts w:asciiTheme="majorHAnsi" w:hAnsiTheme="majorHAnsi" w:cstheme="majorHAnsi"/>
          <w:b w:val="0"/>
          <w:bCs/>
        </w:rPr>
        <w:t>3).</w:t>
      </w:r>
    </w:p>
    <w:p w14:paraId="28BAF79A" w14:textId="77777777" w:rsidR="00FE62EF" w:rsidRPr="00101E86" w:rsidRDefault="00FE62EF" w:rsidP="00101E86">
      <w:pPr>
        <w:rPr>
          <w:rFonts w:asciiTheme="majorHAnsi" w:hAnsiTheme="majorHAnsi" w:cstheme="majorHAnsi"/>
          <w:bCs/>
        </w:rPr>
      </w:pPr>
    </w:p>
    <w:p w14:paraId="1F002EA0" w14:textId="6C0754A8" w:rsidR="009803A1" w:rsidRPr="00101E86" w:rsidRDefault="00F844DE" w:rsidP="00101E86">
      <w:pPr>
        <w:widowControl/>
        <w:rPr>
          <w:rFonts w:asciiTheme="majorHAnsi" w:hAnsiTheme="majorHAnsi" w:cstheme="majorHAnsi"/>
          <w:b/>
          <w:bCs/>
        </w:rPr>
      </w:pPr>
      <w:r w:rsidRPr="00101E86">
        <w:rPr>
          <w:rFonts w:asciiTheme="majorHAnsi" w:hAnsiTheme="majorHAnsi" w:cstheme="majorHAnsi"/>
          <w:b/>
          <w:bCs/>
        </w:rPr>
        <w:t xml:space="preserve">Table 1: </w:t>
      </w:r>
      <w:r w:rsidR="009803A1" w:rsidRPr="00101E86">
        <w:rPr>
          <w:rFonts w:asciiTheme="majorHAnsi" w:hAnsiTheme="majorHAnsi" w:cstheme="majorHAnsi"/>
          <w:b/>
          <w:bCs/>
        </w:rPr>
        <w:t>Summary table of final concentrations in each transfection droplet</w:t>
      </w:r>
      <w:r w:rsidRPr="00101E86">
        <w:rPr>
          <w:rFonts w:asciiTheme="majorHAnsi" w:hAnsiTheme="majorHAnsi" w:cstheme="majorHAnsi"/>
          <w:b/>
          <w:bCs/>
        </w:rPr>
        <w:t>.</w:t>
      </w:r>
    </w:p>
    <w:p w14:paraId="63C6E231" w14:textId="77777777" w:rsidR="009803A1" w:rsidRPr="00101E86" w:rsidRDefault="009803A1" w:rsidP="00101E86">
      <w:pPr>
        <w:rPr>
          <w:rFonts w:asciiTheme="majorHAnsi" w:hAnsiTheme="majorHAnsi" w:cstheme="majorHAnsi"/>
          <w:b/>
        </w:rPr>
      </w:pPr>
    </w:p>
    <w:p w14:paraId="7C0B6465" w14:textId="1E7848D1" w:rsidR="006E4797" w:rsidRPr="00101E86" w:rsidRDefault="00551D82" w:rsidP="00101E86">
      <w:pPr>
        <w:rPr>
          <w:rFonts w:asciiTheme="majorHAnsi" w:hAnsiTheme="majorHAnsi" w:cstheme="majorHAnsi"/>
          <w:b/>
        </w:rPr>
      </w:pPr>
      <w:r w:rsidRPr="00101E86">
        <w:rPr>
          <w:rFonts w:asciiTheme="majorHAnsi" w:hAnsiTheme="majorHAnsi" w:cstheme="majorHAnsi"/>
          <w:b/>
        </w:rPr>
        <w:t>DISCUSSION:</w:t>
      </w:r>
    </w:p>
    <w:p w14:paraId="70666B3C" w14:textId="77777777"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lastRenderedPageBreak/>
        <w:t>This protocol describes a miniaturized digital microfluidic electroporation workflow that enables efficient intracellular delivery into primary human T cells using nanoliter-scale droplets. A central advantage of this method is the ability to perform CRISPR–Cas9 genome editing using only 10,000 cells per reaction, dramatically reducing material requirements compared to conventional electroporation. The droplet-based architecture supports automation, ensuring reproducible reagent handling and reaction assembly across multiple parallel sites.</w:t>
      </w:r>
    </w:p>
    <w:p w14:paraId="73DB909F"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4942E629" w14:textId="69D161D8" w:rsidR="00D95CB6" w:rsidRPr="00101E86" w:rsidRDefault="00D95CB6"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In previous studies, direct benchmarking</w:t>
      </w:r>
      <w:r w:rsidR="00AF12E7" w:rsidRPr="00101E86">
        <w:rPr>
          <w:rFonts w:asciiTheme="majorHAnsi" w:hAnsiTheme="majorHAnsi" w:cstheme="majorHAnsi"/>
        </w:rPr>
        <w:t xml:space="preserve"> </w:t>
      </w:r>
      <w:r w:rsidRPr="00101E86">
        <w:rPr>
          <w:rFonts w:asciiTheme="majorHAnsi" w:hAnsiTheme="majorHAnsi" w:cstheme="majorHAnsi"/>
        </w:rPr>
        <w:t>of the DMF-ection platform against a widely used system demonstrated that conventional nucleofection produced less than 2% GFP-positive T cells at 10,000 cells per edit, while the DMF-ection platform achieved &gt;90% transfection efficiency under the same low-input conditions. For an arrayed screen of 192 conditions, the DMF platform required 25-fold fewer cells and approximately 50-fold less Cas9 per condition than conventional methods</w:t>
      </w:r>
      <w:r w:rsidRPr="00101E86">
        <w:rPr>
          <w:rFonts w:asciiTheme="majorHAnsi" w:hAnsiTheme="majorHAnsi" w:cstheme="majorHAnsi"/>
          <w:vertAlign w:val="superscript"/>
        </w:rPr>
        <w:t>9</w:t>
      </w:r>
      <w:r w:rsidRPr="00101E86">
        <w:rPr>
          <w:rFonts w:asciiTheme="majorHAnsi" w:hAnsiTheme="majorHAnsi" w:cstheme="majorHAnsi"/>
        </w:rPr>
        <w:t>. These comparisons highlight the material advantages of miniaturized DMF electroporation for low-input and screening applications</w:t>
      </w:r>
    </w:p>
    <w:p w14:paraId="11C2F83A"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242CD5A9" w14:textId="77777777"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Critical steps and troubleshooting</w:t>
      </w:r>
    </w:p>
    <w:p w14:paraId="670D676B" w14:textId="0A2698C4"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Several steps are critical for success. Accurate calibration of the acoustic liquid handler ensures precise deposition of guide RNA onto the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 </w:t>
      </w:r>
      <w:r w:rsidRPr="00101E86">
        <w:rPr>
          <w:rFonts w:asciiTheme="majorHAnsi" w:hAnsiTheme="majorHAnsi" w:cstheme="majorHAnsi"/>
        </w:rPr>
        <w:t>substrate, which is essential for consistent RNP assembly. If spotting is inconsistent or droplets fail to adhere to the substrate, verify that PGA is included in the guide-RNA mixture at the correct concentration (5 mg/mL final) and that the acoustic dispenser is calibrated for the specific source plate geometry. Inconsistent spotting at intermediate volumes (40–120 nL) is most commonly caused by droplet rebound on the hydrophobic surface; increasing PGA concentration slightly or reducing dispense height can resolve this.</w:t>
      </w:r>
    </w:p>
    <w:p w14:paraId="77E2B147"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08456877" w14:textId="77777777"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Maintaining the correct cell concentration prior to loading is important, as deviations in density can impair droplet formation and reduce editing efficiency. If editing efficiency falls below 75%, first verify that T-cell activation was sufficient (confirm CD25 and CD69 upregulation by flow cytometry prior to electroporation), and confirm that Cas9 and sgRNA were combined immediately before loading rather than in advance.</w:t>
      </w:r>
    </w:p>
    <w:p w14:paraId="4CB07901"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4F9999BD" w14:textId="037F53AC"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Polymer additives play an important role in stabilizing Cas9–sgRNA complexes under electroporation buffer conditions</w:t>
      </w:r>
      <w:r w:rsidRPr="00101E86">
        <w:rPr>
          <w:rFonts w:asciiTheme="majorHAnsi" w:hAnsiTheme="majorHAnsi" w:cstheme="majorHAnsi"/>
          <w:vertAlign w:val="superscript"/>
        </w:rPr>
        <w:t>11</w:t>
      </w:r>
      <w:r w:rsidRPr="00101E86">
        <w:rPr>
          <w:rFonts w:asciiTheme="majorHAnsi" w:hAnsiTheme="majorHAnsi" w:cstheme="majorHAnsi"/>
        </w:rPr>
        <w:t>. Although PGA reduces nominal binding affinity, its stabilizing effect improves reproducibility and prevents aggregation at nanoliter volumes. This represents a tunable parameter for researchers adapting the workflow to other protein–RNA complexes.</w:t>
      </w:r>
    </w:p>
    <w:p w14:paraId="5D199B53"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1DA4CC5B" w14:textId="77777777" w:rsidR="002922D3"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Troubleshooting</w:t>
      </w:r>
    </w:p>
    <w:p w14:paraId="1604BA3A" w14:textId="0DC11C32" w:rsidR="00A82E5C"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 xml:space="preserve">Failed </w:t>
      </w:r>
      <w:r w:rsidR="00A82E5C" w:rsidRPr="00101E86">
        <w:rPr>
          <w:rStyle w:val="Strong"/>
          <w:rFonts w:asciiTheme="majorHAnsi" w:hAnsiTheme="majorHAnsi" w:cstheme="majorHAnsi"/>
        </w:rPr>
        <w:t>d</w:t>
      </w:r>
      <w:r w:rsidRPr="00101E86">
        <w:rPr>
          <w:rStyle w:val="Strong"/>
          <w:rFonts w:asciiTheme="majorHAnsi" w:hAnsiTheme="majorHAnsi" w:cstheme="majorHAnsi"/>
        </w:rPr>
        <w:t xml:space="preserve">roplet </w:t>
      </w:r>
      <w:r w:rsidR="00A82E5C" w:rsidRPr="00101E86">
        <w:rPr>
          <w:rStyle w:val="Strong"/>
          <w:rFonts w:asciiTheme="majorHAnsi" w:hAnsiTheme="majorHAnsi" w:cstheme="majorHAnsi"/>
        </w:rPr>
        <w:t>b</w:t>
      </w:r>
      <w:r w:rsidRPr="00101E86">
        <w:rPr>
          <w:rStyle w:val="Strong"/>
          <w:rFonts w:asciiTheme="majorHAnsi" w:hAnsiTheme="majorHAnsi" w:cstheme="majorHAnsi"/>
        </w:rPr>
        <w:t>ridging</w:t>
      </w:r>
      <w:r w:rsidRPr="00101E86">
        <w:rPr>
          <w:rFonts w:asciiTheme="majorHAnsi" w:hAnsiTheme="majorHAnsi" w:cstheme="majorHAnsi"/>
        </w:rPr>
        <w:t xml:space="preserve"> </w:t>
      </w:r>
    </w:p>
    <w:p w14:paraId="56408BA2" w14:textId="1DD88220" w:rsidR="002922D3"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Review the </w:t>
      </w:r>
      <w:r w:rsidR="00C150DF" w:rsidRPr="00101E86">
        <w:rPr>
          <w:rFonts w:asciiTheme="majorHAnsi" w:hAnsiTheme="majorHAnsi" w:cstheme="majorHAnsi"/>
        </w:rPr>
        <w:t xml:space="preserve">instrumental </w:t>
      </w:r>
      <w:r w:rsidRPr="00101E86">
        <w:rPr>
          <w:rFonts w:asciiTheme="majorHAnsi" w:hAnsiTheme="majorHAnsi" w:cstheme="majorHAnsi"/>
        </w:rPr>
        <w:t xml:space="preserve">post-run QC report after each experiment. Absence of detected current indicates failed bridging, either due to insufficient droplets or failure to fuse, and is automatically flagged by the system. Affected sites cannot be recovered within the same run. If failures are sporadic (&lt;10%), no action is required; distribute replicates across multiple </w:t>
      </w:r>
      <w:r w:rsidR="00E0706F" w:rsidRPr="00101E86">
        <w:rPr>
          <w:rFonts w:asciiTheme="majorHAnsi" w:hAnsiTheme="majorHAnsi" w:cstheme="majorHAnsi"/>
          <w:bCs/>
        </w:rPr>
        <w:t>cartridge</w:t>
      </w:r>
      <w:r w:rsidR="00E0706F" w:rsidRPr="00101E86">
        <w:rPr>
          <w:rFonts w:asciiTheme="majorHAnsi" w:hAnsiTheme="majorHAnsi" w:cstheme="majorHAnsi"/>
        </w:rPr>
        <w:t xml:space="preserve">s </w:t>
      </w:r>
      <w:r w:rsidRPr="00101E86">
        <w:rPr>
          <w:rFonts w:asciiTheme="majorHAnsi" w:hAnsiTheme="majorHAnsi" w:cstheme="majorHAnsi"/>
        </w:rPr>
        <w:t>to minimize impact. If failures are systematic, run the QC board and System Health Check and contact technical support if issues persist.</w:t>
      </w:r>
    </w:p>
    <w:p w14:paraId="34D7A37C"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5263BEE4" w14:textId="77777777" w:rsidR="00A82E5C"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 xml:space="preserve">Inconsistent </w:t>
      </w:r>
      <w:r w:rsidR="00C150DF" w:rsidRPr="00101E86">
        <w:rPr>
          <w:rStyle w:val="Strong"/>
          <w:rFonts w:asciiTheme="majorHAnsi" w:hAnsiTheme="majorHAnsi" w:cstheme="majorHAnsi"/>
        </w:rPr>
        <w:t xml:space="preserve">sgRNA </w:t>
      </w:r>
      <w:r w:rsidR="00A82E5C" w:rsidRPr="00101E86">
        <w:rPr>
          <w:rStyle w:val="Strong"/>
          <w:rFonts w:asciiTheme="majorHAnsi" w:hAnsiTheme="majorHAnsi" w:cstheme="majorHAnsi"/>
        </w:rPr>
        <w:t>s</w:t>
      </w:r>
      <w:r w:rsidRPr="00101E86">
        <w:rPr>
          <w:rStyle w:val="Strong"/>
          <w:rFonts w:asciiTheme="majorHAnsi" w:hAnsiTheme="majorHAnsi" w:cstheme="majorHAnsi"/>
        </w:rPr>
        <w:t>potting</w:t>
      </w:r>
      <w:r w:rsidRPr="00101E86">
        <w:rPr>
          <w:rFonts w:asciiTheme="majorHAnsi" w:hAnsiTheme="majorHAnsi" w:cstheme="majorHAnsi"/>
        </w:rPr>
        <w:t xml:space="preserve"> </w:t>
      </w:r>
    </w:p>
    <w:p w14:paraId="0539B81F" w14:textId="13377A83" w:rsidR="002922D3"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After dispensing, visually confirm that all expected droplets are present, centered within electrode boundaries, and free of satellite droplets. Include PGA in the guide RNA mixture to prevent polydispersal. For missing droplets, check the dispenser run report and re-dispense if needed. For poor meniscus formation, maintain a minimum of 5 µL per well, spin the plate briefly, and tap gently on a flat surface. Work on ice and seal plates when not in use to prevent evaporation.</w:t>
      </w:r>
    </w:p>
    <w:p w14:paraId="5F3C4D00"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150EDE1B" w14:textId="77777777" w:rsidR="00A82E5C" w:rsidRPr="00101E86" w:rsidRDefault="002922D3"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 xml:space="preserve">Reduced </w:t>
      </w:r>
      <w:r w:rsidR="00A82E5C" w:rsidRPr="00101E86">
        <w:rPr>
          <w:rStyle w:val="Strong"/>
          <w:rFonts w:asciiTheme="majorHAnsi" w:hAnsiTheme="majorHAnsi" w:cstheme="majorHAnsi"/>
        </w:rPr>
        <w:t>e</w:t>
      </w:r>
      <w:r w:rsidRPr="00101E86">
        <w:rPr>
          <w:rStyle w:val="Strong"/>
          <w:rFonts w:asciiTheme="majorHAnsi" w:hAnsiTheme="majorHAnsi" w:cstheme="majorHAnsi"/>
        </w:rPr>
        <w:t xml:space="preserve">diting </w:t>
      </w:r>
      <w:r w:rsidR="00A82E5C" w:rsidRPr="00101E86">
        <w:rPr>
          <w:rStyle w:val="Strong"/>
          <w:rFonts w:asciiTheme="majorHAnsi" w:hAnsiTheme="majorHAnsi" w:cstheme="majorHAnsi"/>
        </w:rPr>
        <w:t>e</w:t>
      </w:r>
      <w:r w:rsidRPr="00101E86">
        <w:rPr>
          <w:rStyle w:val="Strong"/>
          <w:rFonts w:asciiTheme="majorHAnsi" w:hAnsiTheme="majorHAnsi" w:cstheme="majorHAnsi"/>
        </w:rPr>
        <w:t>fficiency</w:t>
      </w:r>
      <w:r w:rsidRPr="00101E86">
        <w:rPr>
          <w:rFonts w:asciiTheme="majorHAnsi" w:hAnsiTheme="majorHAnsi" w:cstheme="majorHAnsi"/>
        </w:rPr>
        <w:t xml:space="preserve"> </w:t>
      </w:r>
    </w:p>
    <w:p w14:paraId="7CE0F8DF" w14:textId="537044DE" w:rsidR="002922D3" w:rsidRPr="00101E86" w:rsidRDefault="00C150DF"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If reduced </w:t>
      </w:r>
      <w:r w:rsidR="00AF12E7" w:rsidRPr="00101E86">
        <w:rPr>
          <w:rFonts w:asciiTheme="majorHAnsi" w:hAnsiTheme="majorHAnsi" w:cstheme="majorHAnsi"/>
        </w:rPr>
        <w:t>editing</w:t>
      </w:r>
      <w:r w:rsidRPr="00101E86">
        <w:rPr>
          <w:rFonts w:asciiTheme="majorHAnsi" w:hAnsiTheme="majorHAnsi" w:cstheme="majorHAnsi"/>
        </w:rPr>
        <w:t xml:space="preserve"> efficiency is observed</w:t>
      </w:r>
      <w:r w:rsidR="00241E3D" w:rsidRPr="00101E86">
        <w:rPr>
          <w:rFonts w:asciiTheme="majorHAnsi" w:hAnsiTheme="majorHAnsi" w:cstheme="majorHAnsi"/>
        </w:rPr>
        <w:t>,</w:t>
      </w:r>
      <w:r w:rsidRPr="00101E86">
        <w:rPr>
          <w:rFonts w:asciiTheme="majorHAnsi" w:hAnsiTheme="majorHAnsi" w:cstheme="majorHAnsi"/>
        </w:rPr>
        <w:t xml:space="preserve"> t</w:t>
      </w:r>
      <w:r w:rsidR="002922D3" w:rsidRPr="00101E86">
        <w:rPr>
          <w:rFonts w:asciiTheme="majorHAnsi" w:hAnsiTheme="majorHAnsi" w:cstheme="majorHAnsi"/>
        </w:rPr>
        <w:t xml:space="preserve">roubleshoot in the following order: (1) validate delivery conditions using </w:t>
      </w:r>
      <w:r w:rsidR="002922D3" w:rsidRPr="00101E86">
        <w:rPr>
          <w:rFonts w:asciiTheme="majorHAnsi" w:hAnsiTheme="majorHAnsi" w:cstheme="majorHAnsi"/>
          <w:i/>
          <w:iCs/>
        </w:rPr>
        <w:t>EGF</w:t>
      </w:r>
      <w:r w:rsidR="002922D3" w:rsidRPr="00101E86">
        <w:rPr>
          <w:rFonts w:asciiTheme="majorHAnsi" w:hAnsiTheme="majorHAnsi" w:cstheme="majorHAnsi"/>
        </w:rPr>
        <w:t xml:space="preserve">P mRNA before proceeding with RNP; (2) confirm measured </w:t>
      </w:r>
      <w:r w:rsidRPr="00101E86">
        <w:rPr>
          <w:rFonts w:asciiTheme="majorHAnsi" w:hAnsiTheme="majorHAnsi" w:cstheme="majorHAnsi"/>
        </w:rPr>
        <w:t xml:space="preserve">QC </w:t>
      </w:r>
      <w:r w:rsidR="002922D3" w:rsidRPr="00101E86">
        <w:rPr>
          <w:rFonts w:asciiTheme="majorHAnsi" w:hAnsiTheme="majorHAnsi" w:cstheme="majorHAnsi"/>
        </w:rPr>
        <w:t>current matches expected values; (3) titrate cell density, guide RNA, and Cas9 concentration; (4) confirm high cell viability immediately before loading; (5) verify reagent integrity and storage conditions; (6) confirm the readout method is appropriate for the cell density and target of interest.</w:t>
      </w:r>
    </w:p>
    <w:p w14:paraId="2D4E8736"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52ABC88B" w14:textId="77777777"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Adapting the platform to alternative cell types and models</w:t>
      </w:r>
    </w:p>
    <w:p w14:paraId="32DA77B7" w14:textId="1C660875"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For other primary immune cell types, such as NK cells or regulatory T cells, electroporation parameters will require optimization. Cell size is an important determinant of the electric field threshold required for membrane permeabilization: smaller cells require higher field strengths, while larger cells are permeabilized at lower voltages</w:t>
      </w:r>
      <w:r w:rsidR="00A82E5C" w:rsidRPr="00101E86">
        <w:rPr>
          <w:rFonts w:asciiTheme="majorHAnsi" w:hAnsiTheme="majorHAnsi" w:cstheme="majorHAnsi"/>
        </w:rPr>
        <w:t>—</w:t>
      </w:r>
      <w:r w:rsidRPr="00101E86">
        <w:rPr>
          <w:rFonts w:asciiTheme="majorHAnsi" w:hAnsiTheme="majorHAnsi" w:cstheme="majorHAnsi"/>
        </w:rPr>
        <w:t xml:space="preserve">a well-documented relationship in electroporation biophysics. As a starting point for cell types smaller than activated CD3⁺ T cells, maintain or slightly increase voltage (500–550 V) while keeping pulse duration short (2–3 ms) to avoid excess thermal stress. For larger cells, reduce voltage to </w:t>
      </w:r>
      <w:r w:rsidR="007B6CEC" w:rsidRPr="00101E86">
        <w:rPr>
          <w:rFonts w:asciiTheme="majorHAnsi" w:hAnsiTheme="majorHAnsi" w:cstheme="majorHAnsi"/>
        </w:rPr>
        <w:t>35</w:t>
      </w:r>
      <w:r w:rsidRPr="00101E86">
        <w:rPr>
          <w:rFonts w:asciiTheme="majorHAnsi" w:hAnsiTheme="majorHAnsi" w:cstheme="majorHAnsi"/>
        </w:rPr>
        <w:t>0–4</w:t>
      </w:r>
      <w:r w:rsidR="007B6CEC" w:rsidRPr="00101E86">
        <w:rPr>
          <w:rFonts w:asciiTheme="majorHAnsi" w:hAnsiTheme="majorHAnsi" w:cstheme="majorHAnsi"/>
        </w:rPr>
        <w:t>0</w:t>
      </w:r>
      <w:r w:rsidRPr="00101E86">
        <w:rPr>
          <w:rFonts w:asciiTheme="majorHAnsi" w:hAnsiTheme="majorHAnsi" w:cstheme="majorHAnsi"/>
        </w:rPr>
        <w:t>0 V</w:t>
      </w:r>
      <w:r w:rsidR="007B6CEC" w:rsidRPr="00101E86">
        <w:rPr>
          <w:rFonts w:asciiTheme="majorHAnsi" w:hAnsiTheme="majorHAnsi" w:cstheme="majorHAnsi"/>
        </w:rPr>
        <w:t xml:space="preserve">, and modulate </w:t>
      </w:r>
      <w:r w:rsidR="00A04B60" w:rsidRPr="00101E86">
        <w:rPr>
          <w:rFonts w:asciiTheme="majorHAnsi" w:hAnsiTheme="majorHAnsi" w:cstheme="majorHAnsi"/>
        </w:rPr>
        <w:t>pulse duration without exceeding 10</w:t>
      </w:r>
      <w:r w:rsidR="00A82E5C" w:rsidRPr="00101E86">
        <w:rPr>
          <w:rFonts w:asciiTheme="majorHAnsi" w:hAnsiTheme="majorHAnsi" w:cstheme="majorHAnsi"/>
        </w:rPr>
        <w:t xml:space="preserve"> </w:t>
      </w:r>
      <w:r w:rsidR="00A04B60" w:rsidRPr="00101E86">
        <w:rPr>
          <w:rFonts w:asciiTheme="majorHAnsi" w:hAnsiTheme="majorHAnsi" w:cstheme="majorHAnsi"/>
        </w:rPr>
        <w:t>ms</w:t>
      </w:r>
      <w:r w:rsidRPr="00101E86">
        <w:rPr>
          <w:rFonts w:asciiTheme="majorHAnsi" w:hAnsiTheme="majorHAnsi" w:cstheme="majorHAnsi"/>
        </w:rPr>
        <w:t>. Additionally, micro-optimization at the donor level is common practice in electroporation, and parameters validated in healthy donor cells may not translate directly to diseased or patient-derived material. Cells from donors with hematological malignancies, chronic infection, or immunodeficiency frequently exhibit altered biophysical properties, and editing efficiency and viability should be re-evaluated for each new donor, particularly when working with non-healthy or clinical samples. Cell viability should be assessed at 24 h and 72 h post-electroporation and parameters adjusted iteratively. Cas9 dosage may also need to be increased by 1.5–2× relative to the T-cell protocol if RNP delivery efficiency is reduced.</w:t>
      </w:r>
    </w:p>
    <w:p w14:paraId="2D79186B"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68E5DC18" w14:textId="529049D2"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For larger or denser 3D models such as organoids exceeding 200 µm in diameter, the gasket in the </w:t>
      </w:r>
      <w:r w:rsidR="00AF12E7" w:rsidRPr="00101E86">
        <w:rPr>
          <w:rFonts w:asciiTheme="majorHAnsi" w:hAnsiTheme="majorHAnsi" w:cstheme="majorHAnsi"/>
        </w:rPr>
        <w:t>cartridge</w:t>
      </w:r>
      <w:r w:rsidRPr="00101E86">
        <w:rPr>
          <w:rFonts w:asciiTheme="majorHAnsi" w:hAnsiTheme="majorHAnsi" w:cstheme="majorHAnsi"/>
        </w:rPr>
        <w:t xml:space="preserve"> may require modification to accommodate increased structure size and diffusion barriers. Users attempting such applications should consider pre-dissociating outer cell layers to improve reagent penetration or applying multiple pulse conditions in sequence. Contact the corresponding author for guidance on adapting droplet geometry and pulse parameters for structures beyond the 100 µm spheroid diameter validated here.</w:t>
      </w:r>
    </w:p>
    <w:p w14:paraId="5AE07E5C" w14:textId="77777777" w:rsidR="00A82E5C" w:rsidRPr="00101E86" w:rsidRDefault="00A82E5C" w:rsidP="00101E86">
      <w:pPr>
        <w:pStyle w:val="font-claude-response-body"/>
        <w:spacing w:before="0" w:beforeAutospacing="0" w:after="0" w:afterAutospacing="0"/>
        <w:jc w:val="both"/>
        <w:rPr>
          <w:rFonts w:asciiTheme="majorHAnsi" w:hAnsiTheme="majorHAnsi" w:cstheme="majorHAnsi"/>
        </w:rPr>
      </w:pPr>
    </w:p>
    <w:p w14:paraId="47F71F5B" w14:textId="7C908C9D" w:rsidR="00222EC7" w:rsidRPr="00101E86" w:rsidRDefault="00222EC7"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 xml:space="preserve">Translational </w:t>
      </w:r>
      <w:r w:rsidR="00A82E5C" w:rsidRPr="00101E86">
        <w:rPr>
          <w:rStyle w:val="Strong"/>
          <w:rFonts w:asciiTheme="majorHAnsi" w:hAnsiTheme="majorHAnsi" w:cstheme="majorHAnsi"/>
        </w:rPr>
        <w:t>r</w:t>
      </w:r>
      <w:r w:rsidRPr="00101E86">
        <w:rPr>
          <w:rStyle w:val="Strong"/>
          <w:rFonts w:asciiTheme="majorHAnsi" w:hAnsiTheme="majorHAnsi" w:cstheme="majorHAnsi"/>
        </w:rPr>
        <w:t>elevance</w:t>
      </w:r>
    </w:p>
    <w:p w14:paraId="3535383F" w14:textId="7BCB793D" w:rsidR="00222EC7" w:rsidRPr="00101E86" w:rsidRDefault="00222EC7"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 xml:space="preserve">The translational potential of this workflow extends beyond simple knockout. The platform has been applied to homology-directed repair knock-in of a 4 kb GFP construct and a functional anti-HER2 CAR at the TRAC locus in primary T cells, as well as to a 45-target arrayed CRISPR screen </w:t>
      </w:r>
      <w:r w:rsidRPr="00101E86">
        <w:rPr>
          <w:rFonts w:asciiTheme="majorHAnsi" w:hAnsiTheme="majorHAnsi" w:cstheme="majorHAnsi"/>
        </w:rPr>
        <w:lastRenderedPageBreak/>
        <w:t>identifying novel regulators of CD4⁺ T cell exhaustion</w:t>
      </w:r>
      <w:r w:rsidRPr="00101E86">
        <w:rPr>
          <w:rFonts w:asciiTheme="majorHAnsi" w:hAnsiTheme="majorHAnsi" w:cstheme="majorHAnsi"/>
          <w:vertAlign w:val="superscript"/>
        </w:rPr>
        <w:t>9</w:t>
      </w:r>
      <w:r w:rsidRPr="00101E86">
        <w:rPr>
          <w:rFonts w:asciiTheme="majorHAnsi" w:hAnsiTheme="majorHAnsi" w:cstheme="majorHAnsi"/>
        </w:rPr>
        <w:t xml:space="preserve">. These applications illustrate a path from protocol-level optimization to functional discovery in clinically relevant primary cell models. Nonetheless, important limitations remain: functional outcomes such as allelic disruption rates by sequencing, cytokine secretion, and </w:t>
      </w:r>
      <w:r w:rsidRPr="00101E86">
        <w:rPr>
          <w:rFonts w:asciiTheme="majorHAnsi" w:hAnsiTheme="majorHAnsi" w:cstheme="majorHAnsi"/>
          <w:i/>
          <w:iCs/>
        </w:rPr>
        <w:t>in vivo</w:t>
      </w:r>
      <w:r w:rsidRPr="00101E86">
        <w:rPr>
          <w:rFonts w:asciiTheme="majorHAnsi" w:hAnsiTheme="majorHAnsi" w:cstheme="majorHAnsi"/>
        </w:rPr>
        <w:t xml:space="preserve"> engraftment were not assessed in the current protocol and represent necessary next steps for therapeutic translation. Additionally, while the platform supports 48 parallel reactions per cartridge, multi-cartridge parallelization will be required for larger screens.</w:t>
      </w:r>
    </w:p>
    <w:p w14:paraId="51E8A914" w14:textId="77777777" w:rsidR="00A82E5C" w:rsidRPr="00101E86" w:rsidRDefault="00A82E5C" w:rsidP="00101E86">
      <w:pPr>
        <w:pStyle w:val="font-claude-response-body"/>
        <w:spacing w:before="0" w:beforeAutospacing="0" w:after="0" w:afterAutospacing="0"/>
        <w:jc w:val="both"/>
        <w:rPr>
          <w:rStyle w:val="Strong"/>
          <w:rFonts w:asciiTheme="majorHAnsi" w:hAnsiTheme="majorHAnsi" w:cstheme="majorHAnsi"/>
        </w:rPr>
      </w:pPr>
    </w:p>
    <w:p w14:paraId="55397629" w14:textId="542BF3CF" w:rsidR="001F532B"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Style w:val="Strong"/>
          <w:rFonts w:asciiTheme="majorHAnsi" w:hAnsiTheme="majorHAnsi" w:cstheme="majorHAnsi"/>
        </w:rPr>
        <w:t>Limitations</w:t>
      </w:r>
    </w:p>
    <w:p w14:paraId="0FB45ACE" w14:textId="59784832" w:rsidR="00F35E6A" w:rsidRPr="00101E86" w:rsidRDefault="00F35E6A"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As with any miniaturized platform, certain practical constraints should be acknowledged. Downstream phenotyping must be adapted to the small reaction scale; flow cytometry acquisition may require additional concentration steps or pooling of replicate wells to achieve sufficient event counts. The platform's electroporation settings may also require optimization for cell types with high sensitivity to electric fields, and users should treat published parameters as starting points rather than universally fixed values. Finally, formal viability staining at extended post-electroporation time</w:t>
      </w:r>
      <w:r w:rsidR="00656910" w:rsidRPr="00101E86">
        <w:rPr>
          <w:rFonts w:asciiTheme="majorHAnsi" w:hAnsiTheme="majorHAnsi" w:cstheme="majorHAnsi"/>
        </w:rPr>
        <w:t xml:space="preserve"> </w:t>
      </w:r>
      <w:r w:rsidRPr="00101E86">
        <w:rPr>
          <w:rFonts w:asciiTheme="majorHAnsi" w:hAnsiTheme="majorHAnsi" w:cstheme="majorHAnsi"/>
        </w:rPr>
        <w:t>points was not performed for the spheroid workflow presented here; diameter-based growth tracking was used as a surrogate measure of structural integrity and represents an important direction for future characterization.</w:t>
      </w:r>
    </w:p>
    <w:p w14:paraId="2123CE58" w14:textId="77777777" w:rsidR="00656910" w:rsidRPr="00101E86" w:rsidRDefault="00656910" w:rsidP="00101E86">
      <w:pPr>
        <w:pStyle w:val="font-claude-response-body"/>
        <w:spacing w:before="0" w:beforeAutospacing="0" w:after="0" w:afterAutospacing="0"/>
        <w:jc w:val="both"/>
        <w:rPr>
          <w:rFonts w:asciiTheme="majorHAnsi" w:hAnsiTheme="majorHAnsi" w:cstheme="majorHAnsi"/>
        </w:rPr>
      </w:pPr>
    </w:p>
    <w:p w14:paraId="7AF216A8" w14:textId="67B8DED8" w:rsidR="007C6E97" w:rsidRPr="00101E86" w:rsidRDefault="001F532B" w:rsidP="00101E86">
      <w:pPr>
        <w:pStyle w:val="font-claude-response-body"/>
        <w:spacing w:before="0" w:beforeAutospacing="0" w:after="0" w:afterAutospacing="0"/>
        <w:jc w:val="both"/>
        <w:rPr>
          <w:rFonts w:asciiTheme="majorHAnsi" w:hAnsiTheme="majorHAnsi" w:cstheme="majorHAnsi"/>
        </w:rPr>
      </w:pPr>
      <w:r w:rsidRPr="00101E86">
        <w:rPr>
          <w:rFonts w:asciiTheme="majorHAnsi" w:hAnsiTheme="majorHAnsi" w:cstheme="majorHAnsi"/>
        </w:rPr>
        <w:t>Overall, DMF-ection</w:t>
      </w:r>
      <w:r w:rsidR="0055644F" w:rsidRPr="00101E86">
        <w:rPr>
          <w:rFonts w:asciiTheme="majorHAnsi" w:hAnsiTheme="majorHAnsi" w:cstheme="majorHAnsi"/>
        </w:rPr>
        <w:t>, a</w:t>
      </w:r>
      <w:r w:rsidRPr="00101E86">
        <w:rPr>
          <w:rFonts w:asciiTheme="majorHAnsi" w:hAnsiTheme="majorHAnsi" w:cstheme="majorHAnsi"/>
        </w:rPr>
        <w:t xml:space="preserve"> non</w:t>
      </w:r>
      <w:r w:rsidR="00794EA0" w:rsidRPr="00101E86">
        <w:rPr>
          <w:rFonts w:asciiTheme="majorHAnsi" w:hAnsiTheme="majorHAnsi" w:cstheme="majorHAnsi"/>
        </w:rPr>
        <w:t>-</w:t>
      </w:r>
      <w:r w:rsidRPr="00101E86">
        <w:rPr>
          <w:rFonts w:asciiTheme="majorHAnsi" w:hAnsiTheme="majorHAnsi" w:cstheme="majorHAnsi"/>
        </w:rPr>
        <w:t>viral transfection method</w:t>
      </w:r>
      <w:r w:rsidR="0055644F" w:rsidRPr="00101E86">
        <w:rPr>
          <w:rFonts w:asciiTheme="majorHAnsi" w:hAnsiTheme="majorHAnsi" w:cstheme="majorHAnsi"/>
        </w:rPr>
        <w:t>,</w:t>
      </w:r>
      <w:r w:rsidRPr="00101E86">
        <w:rPr>
          <w:rFonts w:asciiTheme="majorHAnsi" w:hAnsiTheme="majorHAnsi" w:cstheme="majorHAnsi"/>
        </w:rPr>
        <w:t xml:space="preserve"> provides a powerful and flexible approach for genome editing and mRNA delivery in low-input and high-throughput settings. Its compatibility with primary T cells, structured 3D models, and automated liquid handling expands opportunities in cell therapy engineering, multi-condition CRISPR screening, and miniaturized functional genomics</w:t>
      </w:r>
      <w:r w:rsidR="0055644F" w:rsidRPr="00101E86">
        <w:rPr>
          <w:rFonts w:asciiTheme="majorHAnsi" w:hAnsiTheme="majorHAnsi" w:cstheme="majorHAnsi"/>
        </w:rPr>
        <w:t>.</w:t>
      </w:r>
    </w:p>
    <w:p w14:paraId="313E90DC" w14:textId="10AD7EFC" w:rsidR="3C1B5CD2" w:rsidRPr="00101E86" w:rsidRDefault="3C1B5CD2" w:rsidP="00101E86">
      <w:pPr>
        <w:pBdr>
          <w:top w:val="nil"/>
          <w:left w:val="nil"/>
          <w:bottom w:val="nil"/>
          <w:right w:val="nil"/>
          <w:between w:val="nil"/>
        </w:pBdr>
        <w:rPr>
          <w:rFonts w:asciiTheme="majorHAnsi" w:hAnsiTheme="majorHAnsi" w:cstheme="majorHAnsi"/>
          <w:b/>
          <w:bCs/>
        </w:rPr>
      </w:pPr>
    </w:p>
    <w:p w14:paraId="7A9C92F4" w14:textId="0E2047B9" w:rsidR="001F532B" w:rsidRPr="00101E86" w:rsidRDefault="00551D82" w:rsidP="00101E86">
      <w:pPr>
        <w:pBdr>
          <w:top w:val="nil"/>
          <w:left w:val="nil"/>
          <w:bottom w:val="nil"/>
          <w:right w:val="nil"/>
          <w:between w:val="nil"/>
        </w:pBdr>
        <w:rPr>
          <w:rFonts w:asciiTheme="majorHAnsi" w:hAnsiTheme="majorHAnsi" w:cstheme="majorHAnsi"/>
          <w:b/>
        </w:rPr>
      </w:pPr>
      <w:r w:rsidRPr="00101E86">
        <w:rPr>
          <w:rFonts w:asciiTheme="majorHAnsi" w:hAnsiTheme="majorHAnsi" w:cstheme="majorHAnsi"/>
          <w:b/>
        </w:rPr>
        <w:t>ACKNOWLEDGMENTS:</w:t>
      </w:r>
    </w:p>
    <w:p w14:paraId="6D064C88" w14:textId="651F2EC7" w:rsidR="006E4797" w:rsidRPr="00101E86" w:rsidRDefault="0025563E" w:rsidP="00101E86">
      <w:pPr>
        <w:rPr>
          <w:rFonts w:asciiTheme="majorHAnsi" w:hAnsiTheme="majorHAnsi" w:cstheme="majorHAnsi"/>
        </w:rPr>
      </w:pPr>
      <w:r w:rsidRPr="00101E86">
        <w:rPr>
          <w:rFonts w:asciiTheme="majorHAnsi" w:hAnsiTheme="majorHAnsi" w:cstheme="majorHAnsi"/>
          <w:shd w:val="clear" w:color="auto" w:fill="FFFFFF"/>
        </w:rPr>
        <w:t xml:space="preserve">We thank John Fuller, Nick Morgan, and Beckman Coulter Life Sciences (BCLS) for logistical support and protocol development with the ECHO Acoustic Dispenser. We thank Mitchell Kozakoff at the ICCB-Longwood Screening Facility at Harvard </w:t>
      </w:r>
      <w:r w:rsidR="27C9FCBD" w:rsidRPr="00101E86">
        <w:rPr>
          <w:rFonts w:asciiTheme="majorHAnsi" w:hAnsiTheme="majorHAnsi" w:cstheme="majorHAnsi"/>
          <w:shd w:val="clear" w:color="auto" w:fill="FFFFFF"/>
        </w:rPr>
        <w:t>Medical</w:t>
      </w:r>
      <w:r w:rsidRPr="00101E86">
        <w:rPr>
          <w:rFonts w:asciiTheme="majorHAnsi" w:hAnsiTheme="majorHAnsi" w:cstheme="majorHAnsi"/>
          <w:shd w:val="clear" w:color="auto" w:fill="FFFFFF"/>
        </w:rPr>
        <w:t xml:space="preserve"> School for infrastructure and technical resources. The KNMRC facility at Northeastern University for cleanroom </w:t>
      </w:r>
      <w:r w:rsidR="1F3C3021" w:rsidRPr="00101E86">
        <w:rPr>
          <w:rFonts w:asciiTheme="majorHAnsi" w:hAnsiTheme="majorHAnsi" w:cstheme="majorHAnsi"/>
          <w:shd w:val="clear" w:color="auto" w:fill="FFFFFF"/>
        </w:rPr>
        <w:t>services.</w:t>
      </w:r>
      <w:r w:rsidRPr="00101E86">
        <w:rPr>
          <w:rFonts w:asciiTheme="majorHAnsi" w:hAnsiTheme="majorHAnsi" w:cstheme="majorHAnsi"/>
          <w:shd w:val="clear" w:color="auto" w:fill="FFFFFF"/>
        </w:rPr>
        <w:t xml:space="preserve"> The authors would like to thank </w:t>
      </w:r>
      <w:r w:rsidR="009D377C" w:rsidRPr="00101E86">
        <w:rPr>
          <w:rFonts w:asciiTheme="majorHAnsi" w:hAnsiTheme="majorHAnsi" w:cstheme="majorHAnsi"/>
          <w:shd w:val="clear" w:color="auto" w:fill="FFFFFF"/>
        </w:rPr>
        <w:t>Laura Shumate from Keytech</w:t>
      </w:r>
      <w:r w:rsidRPr="00101E86">
        <w:rPr>
          <w:rFonts w:asciiTheme="majorHAnsi" w:hAnsiTheme="majorHAnsi" w:cstheme="majorHAnsi"/>
          <w:shd w:val="clear" w:color="auto" w:fill="FFFFFF"/>
        </w:rPr>
        <w:t xml:space="preserve">, as well as the group at Shakotis Ltd. Funding for student internships was generously provided by the Massachusetts Life Sciences Center (Mass Life Sciences). This work was also supported in part by MEDTEQ+, whose contribution helped advance development and validation of the platform. We also thank Dr. Steve S. Shih from Concordia University </w:t>
      </w:r>
    </w:p>
    <w:p w14:paraId="25B2FBBD" w14:textId="77777777" w:rsidR="006E4797" w:rsidRPr="00101E86" w:rsidRDefault="006E4797" w:rsidP="00101E86">
      <w:pPr>
        <w:rPr>
          <w:rFonts w:asciiTheme="majorHAnsi" w:hAnsiTheme="majorHAnsi" w:cstheme="majorHAnsi"/>
          <w:b/>
        </w:rPr>
      </w:pPr>
    </w:p>
    <w:p w14:paraId="5E703EBA" w14:textId="5E059621" w:rsidR="006E4797" w:rsidRPr="00101E86" w:rsidRDefault="00551D82" w:rsidP="00101E86">
      <w:pPr>
        <w:pBdr>
          <w:top w:val="nil"/>
          <w:left w:val="nil"/>
          <w:bottom w:val="nil"/>
          <w:right w:val="nil"/>
          <w:between w:val="nil"/>
        </w:pBdr>
        <w:rPr>
          <w:rFonts w:asciiTheme="majorHAnsi" w:hAnsiTheme="majorHAnsi" w:cstheme="majorHAnsi"/>
        </w:rPr>
      </w:pPr>
      <w:r w:rsidRPr="00101E86">
        <w:rPr>
          <w:rFonts w:asciiTheme="majorHAnsi" w:hAnsiTheme="majorHAnsi" w:cstheme="majorHAnsi"/>
          <w:b/>
        </w:rPr>
        <w:t>DISCLOSURES:</w:t>
      </w:r>
    </w:p>
    <w:p w14:paraId="4A7B0E5C" w14:textId="14786380" w:rsidR="006E4797" w:rsidRPr="00101E86" w:rsidRDefault="0025563E" w:rsidP="00101E86">
      <w:pPr>
        <w:rPr>
          <w:rFonts w:asciiTheme="majorHAnsi" w:hAnsiTheme="majorHAnsi" w:cstheme="majorHAnsi"/>
          <w:shd w:val="clear" w:color="auto" w:fill="FFFFFF"/>
        </w:rPr>
      </w:pPr>
      <w:r w:rsidRPr="00101E86">
        <w:rPr>
          <w:rFonts w:asciiTheme="majorHAnsi" w:hAnsiTheme="majorHAnsi" w:cstheme="majorHAnsi"/>
          <w:shd w:val="clear" w:color="auto" w:fill="FFFFFF"/>
        </w:rPr>
        <w:t>M.A.P, H.S, P.Q.N.V, A.B.C, A.E,</w:t>
      </w:r>
      <w:r w:rsidR="00D273F0" w:rsidRPr="00101E86">
        <w:rPr>
          <w:rFonts w:asciiTheme="majorHAnsi" w:hAnsiTheme="majorHAnsi" w:cstheme="majorHAnsi"/>
          <w:shd w:val="clear" w:color="auto" w:fill="FFFFFF"/>
        </w:rPr>
        <w:t xml:space="preserve"> M.W</w:t>
      </w:r>
      <w:r w:rsidR="00446184" w:rsidRPr="00101E86">
        <w:rPr>
          <w:rFonts w:asciiTheme="majorHAnsi" w:hAnsiTheme="majorHAnsi" w:cstheme="majorHAnsi"/>
          <w:shd w:val="clear" w:color="auto" w:fill="FFFFFF"/>
        </w:rPr>
        <w:t>,</w:t>
      </w:r>
      <w:r w:rsidRPr="00101E86">
        <w:rPr>
          <w:rFonts w:asciiTheme="majorHAnsi" w:hAnsiTheme="majorHAnsi" w:cstheme="majorHAnsi"/>
          <w:shd w:val="clear" w:color="auto" w:fill="FFFFFF"/>
        </w:rPr>
        <w:t xml:space="preserve"> and A.H are either current or former employees, or shareholders of DropGenie. M.</w:t>
      </w:r>
      <w:r w:rsidR="1D5D1B7E" w:rsidRPr="00101E86">
        <w:rPr>
          <w:rFonts w:asciiTheme="majorHAnsi" w:hAnsiTheme="majorHAnsi" w:cstheme="majorHAnsi"/>
          <w:shd w:val="clear" w:color="auto" w:fill="FFFFFF"/>
        </w:rPr>
        <w:t>S</w:t>
      </w:r>
      <w:r w:rsidRPr="00101E86">
        <w:rPr>
          <w:rFonts w:asciiTheme="majorHAnsi" w:hAnsiTheme="majorHAnsi" w:cstheme="majorHAnsi"/>
          <w:shd w:val="clear" w:color="auto" w:fill="FFFFFF"/>
        </w:rPr>
        <w:t xml:space="preserve">. </w:t>
      </w:r>
      <w:r w:rsidR="5C29C9C7" w:rsidRPr="00101E86">
        <w:rPr>
          <w:rFonts w:asciiTheme="majorHAnsi" w:hAnsiTheme="majorHAnsi" w:cstheme="majorHAnsi"/>
          <w:shd w:val="clear" w:color="auto" w:fill="FFFFFF"/>
        </w:rPr>
        <w:t>is</w:t>
      </w:r>
      <w:r w:rsidRPr="00101E86">
        <w:rPr>
          <w:rFonts w:asciiTheme="majorHAnsi" w:hAnsiTheme="majorHAnsi" w:cstheme="majorHAnsi"/>
          <w:shd w:val="clear" w:color="auto" w:fill="FFFFFF"/>
        </w:rPr>
        <w:t xml:space="preserve"> either </w:t>
      </w:r>
      <w:r w:rsidR="00446184" w:rsidRPr="00101E86">
        <w:rPr>
          <w:rFonts w:asciiTheme="majorHAnsi" w:hAnsiTheme="majorHAnsi" w:cstheme="majorHAnsi"/>
          <w:shd w:val="clear" w:color="auto" w:fill="FFFFFF"/>
        </w:rPr>
        <w:t xml:space="preserve">a </w:t>
      </w:r>
      <w:r w:rsidRPr="00101E86">
        <w:rPr>
          <w:rFonts w:asciiTheme="majorHAnsi" w:hAnsiTheme="majorHAnsi" w:cstheme="majorHAnsi"/>
          <w:shd w:val="clear" w:color="auto" w:fill="FFFFFF"/>
        </w:rPr>
        <w:t xml:space="preserve">current or former employee or shareholder of FIDA Biosciences. The other authors </w:t>
      </w:r>
      <w:r w:rsidR="007232E1" w:rsidRPr="00101E86">
        <w:rPr>
          <w:rFonts w:asciiTheme="majorHAnsi" w:hAnsiTheme="majorHAnsi" w:cstheme="majorHAnsi"/>
          <w:shd w:val="clear" w:color="auto" w:fill="FFFFFF"/>
        </w:rPr>
        <w:t>have</w:t>
      </w:r>
      <w:r w:rsidRPr="00101E86">
        <w:rPr>
          <w:rFonts w:asciiTheme="majorHAnsi" w:hAnsiTheme="majorHAnsi" w:cstheme="majorHAnsi"/>
          <w:shd w:val="clear" w:color="auto" w:fill="FFFFFF"/>
        </w:rPr>
        <w:t xml:space="preserve"> no competing interests</w:t>
      </w:r>
      <w:r w:rsidR="007232E1" w:rsidRPr="00101E86">
        <w:rPr>
          <w:rFonts w:asciiTheme="majorHAnsi" w:hAnsiTheme="majorHAnsi" w:cstheme="majorHAnsi"/>
          <w:shd w:val="clear" w:color="auto" w:fill="FFFFFF"/>
        </w:rPr>
        <w:t xml:space="preserve"> to declare</w:t>
      </w:r>
      <w:r w:rsidRPr="00101E86">
        <w:rPr>
          <w:rFonts w:asciiTheme="majorHAnsi" w:hAnsiTheme="majorHAnsi" w:cstheme="majorHAnsi"/>
          <w:shd w:val="clear" w:color="auto" w:fill="FFFFFF"/>
        </w:rPr>
        <w:t>.</w:t>
      </w:r>
    </w:p>
    <w:p w14:paraId="5497BED9" w14:textId="77777777" w:rsidR="00434CBD" w:rsidRPr="00101E86" w:rsidRDefault="00434CBD" w:rsidP="00101E86">
      <w:pPr>
        <w:rPr>
          <w:rFonts w:asciiTheme="majorHAnsi" w:hAnsiTheme="majorHAnsi" w:cstheme="majorHAnsi"/>
        </w:rPr>
      </w:pPr>
    </w:p>
    <w:p w14:paraId="589E4751" w14:textId="766A49CE" w:rsidR="006F68BB" w:rsidRPr="00101E86" w:rsidRDefault="00551D82" w:rsidP="00101E86">
      <w:pPr>
        <w:rPr>
          <w:rFonts w:asciiTheme="majorHAnsi" w:hAnsiTheme="majorHAnsi" w:cstheme="majorHAnsi"/>
          <w:b/>
        </w:rPr>
      </w:pPr>
      <w:r w:rsidRPr="00101E86">
        <w:rPr>
          <w:rFonts w:asciiTheme="majorHAnsi" w:hAnsiTheme="majorHAnsi" w:cstheme="majorHAnsi"/>
          <w:b/>
        </w:rPr>
        <w:t>REFERENCES:</w:t>
      </w:r>
    </w:p>
    <w:p w14:paraId="2C732AE4" w14:textId="77777777" w:rsidR="00CC2621" w:rsidRPr="00101E86" w:rsidRDefault="00CC2621" w:rsidP="00101E86">
      <w:pPr>
        <w:rPr>
          <w:rFonts w:asciiTheme="majorHAnsi" w:hAnsiTheme="majorHAnsi" w:cstheme="majorHAnsi"/>
        </w:rPr>
      </w:pPr>
    </w:p>
    <w:p w14:paraId="28A66B3C"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lastRenderedPageBreak/>
        <w:t xml:space="preserve">Roth TL, Puig-Saus C, Yu R, Shifrut E, Carnevale J, Li PJ, et al. Reprogramming human T cell function and specificity with non-viral genome targeting. Nat Biotechnol. 2018;36(4):285–97. </w:t>
      </w:r>
    </w:p>
    <w:p w14:paraId="62D059C7"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Li LH, McCarthy P, Hui SW. High-efficiency electrotransfection of human primary hematopoietic stem cells. FASEB J. 2001;15(1):159–67. </w:t>
      </w:r>
    </w:p>
    <w:p w14:paraId="5EE86DEC"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Parnas O, Jovanovic M, Eisenhaure TM, Herbst RH, Dixit A, Ye CJ, et al. A genome-wide CRISPR screen in primary immune cells to dissect regulatory networks. Cell. 2015;162(3):675–86. </w:t>
      </w:r>
    </w:p>
    <w:p w14:paraId="3B1A6EF0"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Geng T, Lu C. Microfluidic electroporation for cellular analysis and delivery. Lab Chip. 2013;13(19):3803–21. </w:t>
      </w:r>
    </w:p>
    <w:p w14:paraId="5B783E36"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Pollack MG, Fair RB, Shenderov AD. Electrowetting-based actuation of liquid droplets for microfluidic applications. Appl Phys Lett. 2000;77(11):1725–6. </w:t>
      </w:r>
    </w:p>
    <w:p w14:paraId="5C03A999"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Sinha H, Quach ABV, Vo PQN, Shih SCC. An automated microfluidic gene-editing platform for deciphering cancer genes. Lab Chip. 2018;18(21):3291–301. </w:t>
      </w:r>
    </w:p>
    <w:p w14:paraId="3C0CF441"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Little SR, Rizzetto S, Sherwood CA, Quach ABV, Shih SCC. A tri-droplet liquid structure for highly efficient intracellular delivery in primary mammalian cells using digital microfluidics. Adv Mater Technol. 2023;8(11):2300719. </w:t>
      </w:r>
    </w:p>
    <w:p w14:paraId="6786100D"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 Little SR, Vo PQN, Sinha H, Shih SCC. A digital microfluidic platform for the microscale production of functional immune cell therapies. Anal Chem. 2025;97(21):11026–34. </w:t>
      </w:r>
    </w:p>
    <w:p w14:paraId="2D28EB74"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Patel MA, Boribong BP, Sinha H, Xiao B, Xie K, Vo PQN, et al. Miniaturized scalable arrayed CRISPR screening in primary cells enables discovery at the single donor resolution. Sci Rep. 2025;15:29350.</w:t>
      </w:r>
    </w:p>
    <w:p w14:paraId="527B5D81" w14:textId="77777777" w:rsidR="00894B51"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 xml:space="preserve">Schindelin J, Arganda-Carreras I, Frise E, Kaynig V, Longair M, Pietzsch T, et al. Fiji: an open-source platform for biological-image analysis. Nat Methods. 2012;9(7):676–82. </w:t>
      </w:r>
    </w:p>
    <w:p w14:paraId="402743A2" w14:textId="380CC3F0" w:rsidR="00B55AE6" w:rsidRPr="00101E86" w:rsidRDefault="00894B51" w:rsidP="00101E86">
      <w:pPr>
        <w:pStyle w:val="ListParagraph"/>
        <w:numPr>
          <w:ilvl w:val="0"/>
          <w:numId w:val="30"/>
        </w:numPr>
        <w:spacing w:after="0" w:line="240" w:lineRule="auto"/>
        <w:ind w:left="0" w:firstLine="0"/>
        <w:jc w:val="both"/>
        <w:rPr>
          <w:rFonts w:asciiTheme="majorHAnsi" w:eastAsia="Times New Roman" w:hAnsiTheme="majorHAnsi" w:cstheme="majorHAnsi"/>
          <w:sz w:val="24"/>
          <w:szCs w:val="24"/>
        </w:rPr>
      </w:pPr>
      <w:r w:rsidRPr="00101E86">
        <w:rPr>
          <w:rFonts w:asciiTheme="majorHAnsi" w:eastAsia="Times New Roman" w:hAnsiTheme="majorHAnsi" w:cstheme="majorHAnsi"/>
          <w:sz w:val="24"/>
          <w:szCs w:val="24"/>
        </w:rPr>
        <w:t>Nguyen DN, Roth TL, Li PJ, Chen PA, Apathy R, Mamedov MR, et al. Polymer-stabilized Cas9 nanoparticles and modified repair templates increase genome editing efficiency. Nat Biotechnol. 2020;38(1):44–9.</w:t>
      </w:r>
    </w:p>
    <w:sectPr w:rsidR="00B55AE6" w:rsidRPr="00101E86" w:rsidSect="00147CB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8BE0A" w14:textId="77777777" w:rsidR="00616288" w:rsidRDefault="00616288">
      <w:r>
        <w:separator/>
      </w:r>
    </w:p>
  </w:endnote>
  <w:endnote w:type="continuationSeparator" w:id="0">
    <w:p w14:paraId="6D3D28C0" w14:textId="77777777" w:rsidR="00616288" w:rsidRDefault="0061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875AEBC" w14:paraId="5C2C3C88" w14:textId="77777777" w:rsidTr="0875AEBC">
      <w:trPr>
        <w:trHeight w:val="300"/>
      </w:trPr>
      <w:tc>
        <w:tcPr>
          <w:tcW w:w="3120" w:type="dxa"/>
        </w:tcPr>
        <w:p w14:paraId="1ACB6B00" w14:textId="7F3D9D81" w:rsidR="0875AEBC" w:rsidRDefault="0875AEBC" w:rsidP="0875AEBC">
          <w:pPr>
            <w:pStyle w:val="Header"/>
            <w:ind w:left="-115"/>
            <w:jc w:val="left"/>
          </w:pPr>
        </w:p>
      </w:tc>
      <w:tc>
        <w:tcPr>
          <w:tcW w:w="3120" w:type="dxa"/>
        </w:tcPr>
        <w:p w14:paraId="3272DEAB" w14:textId="1A02D85E" w:rsidR="0875AEBC" w:rsidRDefault="0875AEBC" w:rsidP="0875AEBC">
          <w:pPr>
            <w:pStyle w:val="Header"/>
            <w:jc w:val="center"/>
          </w:pPr>
        </w:p>
      </w:tc>
      <w:tc>
        <w:tcPr>
          <w:tcW w:w="3120" w:type="dxa"/>
        </w:tcPr>
        <w:p w14:paraId="123A8435" w14:textId="4169EA7E" w:rsidR="0875AEBC" w:rsidRDefault="0875AEBC" w:rsidP="0875AEBC">
          <w:pPr>
            <w:pStyle w:val="Header"/>
            <w:ind w:right="-115"/>
            <w:jc w:val="right"/>
          </w:pPr>
        </w:p>
      </w:tc>
    </w:tr>
  </w:tbl>
  <w:p w14:paraId="7AE2E118" w14:textId="3E277223" w:rsidR="0875AEBC" w:rsidRDefault="0875AEBC" w:rsidP="0875A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875AEBC" w14:paraId="0C476492" w14:textId="77777777" w:rsidTr="0875AEBC">
      <w:trPr>
        <w:trHeight w:val="300"/>
      </w:trPr>
      <w:tc>
        <w:tcPr>
          <w:tcW w:w="3120" w:type="dxa"/>
        </w:tcPr>
        <w:p w14:paraId="518F9E63" w14:textId="4799C7FD" w:rsidR="0875AEBC" w:rsidRDefault="0875AEBC" w:rsidP="0875AEBC">
          <w:pPr>
            <w:pStyle w:val="Header"/>
            <w:ind w:left="-115"/>
            <w:jc w:val="left"/>
          </w:pPr>
        </w:p>
      </w:tc>
      <w:tc>
        <w:tcPr>
          <w:tcW w:w="3120" w:type="dxa"/>
        </w:tcPr>
        <w:p w14:paraId="385DF281" w14:textId="346D7E6B" w:rsidR="0875AEBC" w:rsidRDefault="0875AEBC" w:rsidP="0875AEBC">
          <w:pPr>
            <w:pStyle w:val="Header"/>
            <w:jc w:val="center"/>
          </w:pPr>
        </w:p>
      </w:tc>
      <w:tc>
        <w:tcPr>
          <w:tcW w:w="3120" w:type="dxa"/>
        </w:tcPr>
        <w:p w14:paraId="5BB42D29" w14:textId="756150EA" w:rsidR="0875AEBC" w:rsidRDefault="0875AEBC" w:rsidP="0875AEBC">
          <w:pPr>
            <w:pStyle w:val="Header"/>
            <w:ind w:right="-115"/>
            <w:jc w:val="right"/>
          </w:pPr>
        </w:p>
      </w:tc>
    </w:tr>
  </w:tbl>
  <w:p w14:paraId="3B222CF5" w14:textId="41A47D71" w:rsidR="0875AEBC" w:rsidRDefault="0875AEBC" w:rsidP="0875A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6CB68" w14:textId="77777777" w:rsidR="00616288" w:rsidRDefault="00616288">
      <w:r>
        <w:separator/>
      </w:r>
    </w:p>
  </w:footnote>
  <w:footnote w:type="continuationSeparator" w:id="0">
    <w:p w14:paraId="6E1EC639" w14:textId="77777777" w:rsidR="00616288" w:rsidRDefault="0061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AAEE1FE"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C6105"/>
    <w:multiLevelType w:val="hybridMultilevel"/>
    <w:tmpl w:val="6DD63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040BC6"/>
    <w:multiLevelType w:val="multilevel"/>
    <w:tmpl w:val="FEACA300"/>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DAB76B2"/>
    <w:multiLevelType w:val="multilevel"/>
    <w:tmpl w:val="B24A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A44340"/>
    <w:multiLevelType w:val="multilevel"/>
    <w:tmpl w:val="50BA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FDD12CC"/>
    <w:multiLevelType w:val="multilevel"/>
    <w:tmpl w:val="856A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227539"/>
    <w:multiLevelType w:val="hybridMultilevel"/>
    <w:tmpl w:val="32B22522"/>
    <w:lvl w:ilvl="0" w:tplc="7B62E7C6">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DE69A7"/>
    <w:multiLevelType w:val="hybridMultilevel"/>
    <w:tmpl w:val="D9CC1956"/>
    <w:lvl w:ilvl="0" w:tplc="0392752E">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CA4574"/>
    <w:multiLevelType w:val="multilevel"/>
    <w:tmpl w:val="775A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0678C0"/>
    <w:multiLevelType w:val="hybridMultilevel"/>
    <w:tmpl w:val="0FEC578E"/>
    <w:lvl w:ilvl="0" w:tplc="71F403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1"/>
  </w:num>
  <w:num w:numId="2" w16cid:durableId="1984042491">
    <w:abstractNumId w:val="17"/>
  </w:num>
  <w:num w:numId="3" w16cid:durableId="118914537">
    <w:abstractNumId w:val="28"/>
  </w:num>
  <w:num w:numId="4" w16cid:durableId="1932934919">
    <w:abstractNumId w:val="5"/>
  </w:num>
  <w:num w:numId="5" w16cid:durableId="584412448">
    <w:abstractNumId w:val="20"/>
  </w:num>
  <w:num w:numId="6" w16cid:durableId="1692337555">
    <w:abstractNumId w:val="27"/>
  </w:num>
  <w:num w:numId="7" w16cid:durableId="1668751632">
    <w:abstractNumId w:val="12"/>
  </w:num>
  <w:num w:numId="8" w16cid:durableId="1699504584">
    <w:abstractNumId w:val="15"/>
  </w:num>
  <w:num w:numId="9" w16cid:durableId="1471939920">
    <w:abstractNumId w:val="6"/>
  </w:num>
  <w:num w:numId="10" w16cid:durableId="1456294289">
    <w:abstractNumId w:val="13"/>
  </w:num>
  <w:num w:numId="11" w16cid:durableId="1090856223">
    <w:abstractNumId w:val="18"/>
  </w:num>
  <w:num w:numId="12" w16cid:durableId="347753210">
    <w:abstractNumId w:val="8"/>
  </w:num>
  <w:num w:numId="13" w16cid:durableId="62803357">
    <w:abstractNumId w:val="30"/>
  </w:num>
  <w:num w:numId="14" w16cid:durableId="571625102">
    <w:abstractNumId w:val="29"/>
  </w:num>
  <w:num w:numId="15" w16cid:durableId="1783526964">
    <w:abstractNumId w:val="10"/>
  </w:num>
  <w:num w:numId="16" w16cid:durableId="985014971">
    <w:abstractNumId w:val="4"/>
  </w:num>
  <w:num w:numId="17" w16cid:durableId="1511211528">
    <w:abstractNumId w:val="3"/>
  </w:num>
  <w:num w:numId="18" w16cid:durableId="1311205117">
    <w:abstractNumId w:val="16"/>
  </w:num>
  <w:num w:numId="19" w16cid:durableId="81266712">
    <w:abstractNumId w:val="7"/>
  </w:num>
  <w:num w:numId="20" w16cid:durableId="1802188761">
    <w:abstractNumId w:val="23"/>
  </w:num>
  <w:num w:numId="21" w16cid:durableId="225191431">
    <w:abstractNumId w:val="0"/>
  </w:num>
  <w:num w:numId="22" w16cid:durableId="475996718">
    <w:abstractNumId w:val="1"/>
  </w:num>
  <w:num w:numId="23" w16cid:durableId="1701586881">
    <w:abstractNumId w:val="25"/>
  </w:num>
  <w:num w:numId="24" w16cid:durableId="1235551677">
    <w:abstractNumId w:val="21"/>
  </w:num>
  <w:num w:numId="25" w16cid:durableId="588588376">
    <w:abstractNumId w:val="14"/>
  </w:num>
  <w:num w:numId="26" w16cid:durableId="408500587">
    <w:abstractNumId w:val="19"/>
  </w:num>
  <w:num w:numId="27" w16cid:durableId="2122140469">
    <w:abstractNumId w:val="24"/>
  </w:num>
  <w:num w:numId="28" w16cid:durableId="546837469">
    <w:abstractNumId w:val="26"/>
  </w:num>
  <w:num w:numId="29" w16cid:durableId="1613779574">
    <w:abstractNumId w:val="22"/>
  </w:num>
  <w:num w:numId="30" w16cid:durableId="1929725277">
    <w:abstractNumId w:val="2"/>
  </w:num>
  <w:num w:numId="31" w16cid:durableId="1343316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31F5"/>
    <w:rsid w:val="0000515B"/>
    <w:rsid w:val="00011457"/>
    <w:rsid w:val="00013652"/>
    <w:rsid w:val="00013B18"/>
    <w:rsid w:val="00014476"/>
    <w:rsid w:val="00014814"/>
    <w:rsid w:val="00017845"/>
    <w:rsid w:val="00021250"/>
    <w:rsid w:val="000238C0"/>
    <w:rsid w:val="00024050"/>
    <w:rsid w:val="00024E99"/>
    <w:rsid w:val="00027AB0"/>
    <w:rsid w:val="0003154E"/>
    <w:rsid w:val="00032F39"/>
    <w:rsid w:val="0003372E"/>
    <w:rsid w:val="00034DD1"/>
    <w:rsid w:val="00035D3D"/>
    <w:rsid w:val="00035F8F"/>
    <w:rsid w:val="000372BC"/>
    <w:rsid w:val="00037FFB"/>
    <w:rsid w:val="0004293B"/>
    <w:rsid w:val="00043248"/>
    <w:rsid w:val="0004355D"/>
    <w:rsid w:val="00047FDB"/>
    <w:rsid w:val="00052E24"/>
    <w:rsid w:val="00053BCE"/>
    <w:rsid w:val="00055C98"/>
    <w:rsid w:val="00055EC0"/>
    <w:rsid w:val="00057034"/>
    <w:rsid w:val="00057B67"/>
    <w:rsid w:val="00061E0E"/>
    <w:rsid w:val="00064D5B"/>
    <w:rsid w:val="00066B3B"/>
    <w:rsid w:val="0007067E"/>
    <w:rsid w:val="000749AD"/>
    <w:rsid w:val="0007506F"/>
    <w:rsid w:val="00076815"/>
    <w:rsid w:val="00080CCD"/>
    <w:rsid w:val="00081F44"/>
    <w:rsid w:val="00082A5F"/>
    <w:rsid w:val="00087D47"/>
    <w:rsid w:val="00096D09"/>
    <w:rsid w:val="000A71CF"/>
    <w:rsid w:val="000B41B6"/>
    <w:rsid w:val="000B5F4B"/>
    <w:rsid w:val="000B6236"/>
    <w:rsid w:val="000C554D"/>
    <w:rsid w:val="000C640D"/>
    <w:rsid w:val="000E2437"/>
    <w:rsid w:val="000E2799"/>
    <w:rsid w:val="000E2ABF"/>
    <w:rsid w:val="000E3F21"/>
    <w:rsid w:val="000E4C51"/>
    <w:rsid w:val="000F2103"/>
    <w:rsid w:val="000F45B4"/>
    <w:rsid w:val="000F4D1A"/>
    <w:rsid w:val="000F5B7D"/>
    <w:rsid w:val="000F63AF"/>
    <w:rsid w:val="00100C8C"/>
    <w:rsid w:val="00101E86"/>
    <w:rsid w:val="00105362"/>
    <w:rsid w:val="0010584A"/>
    <w:rsid w:val="0011261E"/>
    <w:rsid w:val="0011312D"/>
    <w:rsid w:val="00122108"/>
    <w:rsid w:val="0012364B"/>
    <w:rsid w:val="00126025"/>
    <w:rsid w:val="0012641A"/>
    <w:rsid w:val="001271EA"/>
    <w:rsid w:val="00134F21"/>
    <w:rsid w:val="0013605A"/>
    <w:rsid w:val="0014284F"/>
    <w:rsid w:val="00142C51"/>
    <w:rsid w:val="00147CBA"/>
    <w:rsid w:val="0015327B"/>
    <w:rsid w:val="00154B52"/>
    <w:rsid w:val="001624E4"/>
    <w:rsid w:val="0016330B"/>
    <w:rsid w:val="00164092"/>
    <w:rsid w:val="00167691"/>
    <w:rsid w:val="001711EB"/>
    <w:rsid w:val="00171532"/>
    <w:rsid w:val="00173A3B"/>
    <w:rsid w:val="0017571B"/>
    <w:rsid w:val="00180EDC"/>
    <w:rsid w:val="001810F8"/>
    <w:rsid w:val="00181A81"/>
    <w:rsid w:val="001826BD"/>
    <w:rsid w:val="0018412F"/>
    <w:rsid w:val="0018530F"/>
    <w:rsid w:val="00193FB5"/>
    <w:rsid w:val="00194101"/>
    <w:rsid w:val="00194C04"/>
    <w:rsid w:val="00194CE8"/>
    <w:rsid w:val="001959A2"/>
    <w:rsid w:val="00196448"/>
    <w:rsid w:val="001A1B13"/>
    <w:rsid w:val="001A1B55"/>
    <w:rsid w:val="001A1CA1"/>
    <w:rsid w:val="001A3D0F"/>
    <w:rsid w:val="001A41FC"/>
    <w:rsid w:val="001B1845"/>
    <w:rsid w:val="001B363D"/>
    <w:rsid w:val="001B4770"/>
    <w:rsid w:val="001B64C3"/>
    <w:rsid w:val="001B7765"/>
    <w:rsid w:val="001C19D2"/>
    <w:rsid w:val="001C379A"/>
    <w:rsid w:val="001C3F7C"/>
    <w:rsid w:val="001C6664"/>
    <w:rsid w:val="001D1578"/>
    <w:rsid w:val="001D6B82"/>
    <w:rsid w:val="001E3348"/>
    <w:rsid w:val="001F13AF"/>
    <w:rsid w:val="001F168E"/>
    <w:rsid w:val="001F3109"/>
    <w:rsid w:val="001F532B"/>
    <w:rsid w:val="001F612A"/>
    <w:rsid w:val="00205B46"/>
    <w:rsid w:val="002071F0"/>
    <w:rsid w:val="00210DD6"/>
    <w:rsid w:val="00214319"/>
    <w:rsid w:val="002162B8"/>
    <w:rsid w:val="00216774"/>
    <w:rsid w:val="00222CA7"/>
    <w:rsid w:val="00222EC7"/>
    <w:rsid w:val="0022778D"/>
    <w:rsid w:val="002301E3"/>
    <w:rsid w:val="00230DFE"/>
    <w:rsid w:val="0023296D"/>
    <w:rsid w:val="00232DDC"/>
    <w:rsid w:val="002339B9"/>
    <w:rsid w:val="00233AD6"/>
    <w:rsid w:val="00241619"/>
    <w:rsid w:val="00241E3D"/>
    <w:rsid w:val="00242E0F"/>
    <w:rsid w:val="00252077"/>
    <w:rsid w:val="0025563E"/>
    <w:rsid w:val="00265CD3"/>
    <w:rsid w:val="00266313"/>
    <w:rsid w:val="00270654"/>
    <w:rsid w:val="00271C41"/>
    <w:rsid w:val="00273EDD"/>
    <w:rsid w:val="00275166"/>
    <w:rsid w:val="00275D23"/>
    <w:rsid w:val="00277822"/>
    <w:rsid w:val="00277A17"/>
    <w:rsid w:val="00282861"/>
    <w:rsid w:val="00285FE5"/>
    <w:rsid w:val="002922D3"/>
    <w:rsid w:val="002928E0"/>
    <w:rsid w:val="0029797E"/>
    <w:rsid w:val="002B2BF2"/>
    <w:rsid w:val="002B2CFC"/>
    <w:rsid w:val="002B4A85"/>
    <w:rsid w:val="002B7592"/>
    <w:rsid w:val="002C034B"/>
    <w:rsid w:val="002C71FC"/>
    <w:rsid w:val="002D6AA2"/>
    <w:rsid w:val="002E0E19"/>
    <w:rsid w:val="002E3670"/>
    <w:rsid w:val="002E46B7"/>
    <w:rsid w:val="002E700C"/>
    <w:rsid w:val="00303917"/>
    <w:rsid w:val="00307B90"/>
    <w:rsid w:val="00311D55"/>
    <w:rsid w:val="00312832"/>
    <w:rsid w:val="00312897"/>
    <w:rsid w:val="00313BB4"/>
    <w:rsid w:val="00314727"/>
    <w:rsid w:val="00314C36"/>
    <w:rsid w:val="0031658E"/>
    <w:rsid w:val="00320E08"/>
    <w:rsid w:val="00324F36"/>
    <w:rsid w:val="003278C2"/>
    <w:rsid w:val="00341040"/>
    <w:rsid w:val="00345A90"/>
    <w:rsid w:val="003472B7"/>
    <w:rsid w:val="00351087"/>
    <w:rsid w:val="003530E8"/>
    <w:rsid w:val="003548DA"/>
    <w:rsid w:val="00356228"/>
    <w:rsid w:val="00356880"/>
    <w:rsid w:val="0035701D"/>
    <w:rsid w:val="00357B59"/>
    <w:rsid w:val="00361717"/>
    <w:rsid w:val="00362FE5"/>
    <w:rsid w:val="0036417F"/>
    <w:rsid w:val="003645E9"/>
    <w:rsid w:val="003669CC"/>
    <w:rsid w:val="00367561"/>
    <w:rsid w:val="003702E5"/>
    <w:rsid w:val="003726EF"/>
    <w:rsid w:val="003755A5"/>
    <w:rsid w:val="0038539C"/>
    <w:rsid w:val="00385405"/>
    <w:rsid w:val="00387CDA"/>
    <w:rsid w:val="00392614"/>
    <w:rsid w:val="00394E9D"/>
    <w:rsid w:val="003A01BB"/>
    <w:rsid w:val="003A4B89"/>
    <w:rsid w:val="003A5297"/>
    <w:rsid w:val="003A7F68"/>
    <w:rsid w:val="003B0525"/>
    <w:rsid w:val="003B52F9"/>
    <w:rsid w:val="003B5341"/>
    <w:rsid w:val="003B6BE1"/>
    <w:rsid w:val="003C48E6"/>
    <w:rsid w:val="003C51C4"/>
    <w:rsid w:val="003C606D"/>
    <w:rsid w:val="003D0161"/>
    <w:rsid w:val="003D1F0A"/>
    <w:rsid w:val="003D3514"/>
    <w:rsid w:val="003D5D1C"/>
    <w:rsid w:val="003D67E2"/>
    <w:rsid w:val="003D6839"/>
    <w:rsid w:val="003D7549"/>
    <w:rsid w:val="003E360D"/>
    <w:rsid w:val="003E6639"/>
    <w:rsid w:val="003F218B"/>
    <w:rsid w:val="003F237A"/>
    <w:rsid w:val="003F5A6C"/>
    <w:rsid w:val="003F5D20"/>
    <w:rsid w:val="00401ABC"/>
    <w:rsid w:val="00404195"/>
    <w:rsid w:val="004049AA"/>
    <w:rsid w:val="0040579A"/>
    <w:rsid w:val="00414746"/>
    <w:rsid w:val="00414ADE"/>
    <w:rsid w:val="004152C2"/>
    <w:rsid w:val="0041698D"/>
    <w:rsid w:val="00434CBD"/>
    <w:rsid w:val="00435D7C"/>
    <w:rsid w:val="004361C8"/>
    <w:rsid w:val="00436E65"/>
    <w:rsid w:val="00436F4D"/>
    <w:rsid w:val="004404FD"/>
    <w:rsid w:val="00446184"/>
    <w:rsid w:val="00451E11"/>
    <w:rsid w:val="00453EFD"/>
    <w:rsid w:val="004620C9"/>
    <w:rsid w:val="00475EEC"/>
    <w:rsid w:val="00481563"/>
    <w:rsid w:val="004820FA"/>
    <w:rsid w:val="00482675"/>
    <w:rsid w:val="00483E8E"/>
    <w:rsid w:val="00486115"/>
    <w:rsid w:val="00491AC2"/>
    <w:rsid w:val="004939EE"/>
    <w:rsid w:val="004969D3"/>
    <w:rsid w:val="004A03F3"/>
    <w:rsid w:val="004A145F"/>
    <w:rsid w:val="004B1B90"/>
    <w:rsid w:val="004C0985"/>
    <w:rsid w:val="004C0B3E"/>
    <w:rsid w:val="004C0D55"/>
    <w:rsid w:val="004C2B9C"/>
    <w:rsid w:val="004C4D02"/>
    <w:rsid w:val="004D16F2"/>
    <w:rsid w:val="004D362E"/>
    <w:rsid w:val="004E13A5"/>
    <w:rsid w:val="004E1B2B"/>
    <w:rsid w:val="004E4DF9"/>
    <w:rsid w:val="004E6042"/>
    <w:rsid w:val="004F2CBC"/>
    <w:rsid w:val="004F4AF9"/>
    <w:rsid w:val="004F6AD9"/>
    <w:rsid w:val="00513CCF"/>
    <w:rsid w:val="005157A3"/>
    <w:rsid w:val="00516914"/>
    <w:rsid w:val="00524C4D"/>
    <w:rsid w:val="00525C6F"/>
    <w:rsid w:val="00526FCA"/>
    <w:rsid w:val="0053277B"/>
    <w:rsid w:val="00537E69"/>
    <w:rsid w:val="005401F0"/>
    <w:rsid w:val="00540E66"/>
    <w:rsid w:val="00540E67"/>
    <w:rsid w:val="005437AE"/>
    <w:rsid w:val="0054407B"/>
    <w:rsid w:val="00551D82"/>
    <w:rsid w:val="0055344F"/>
    <w:rsid w:val="0055644F"/>
    <w:rsid w:val="005572A4"/>
    <w:rsid w:val="0056523E"/>
    <w:rsid w:val="0057342E"/>
    <w:rsid w:val="005734D7"/>
    <w:rsid w:val="00573C1F"/>
    <w:rsid w:val="005742BB"/>
    <w:rsid w:val="00575E55"/>
    <w:rsid w:val="00580DB3"/>
    <w:rsid w:val="00584767"/>
    <w:rsid w:val="00585BF5"/>
    <w:rsid w:val="00586925"/>
    <w:rsid w:val="0059453D"/>
    <w:rsid w:val="00594E4D"/>
    <w:rsid w:val="005A3BA8"/>
    <w:rsid w:val="005A4D56"/>
    <w:rsid w:val="005A637B"/>
    <w:rsid w:val="005A64B2"/>
    <w:rsid w:val="005B6336"/>
    <w:rsid w:val="005C6FBA"/>
    <w:rsid w:val="005C745B"/>
    <w:rsid w:val="005D1E29"/>
    <w:rsid w:val="005D6A01"/>
    <w:rsid w:val="005D73E2"/>
    <w:rsid w:val="005D7D7C"/>
    <w:rsid w:val="005E006F"/>
    <w:rsid w:val="005E1EE7"/>
    <w:rsid w:val="005E4378"/>
    <w:rsid w:val="005E5683"/>
    <w:rsid w:val="005F1ECD"/>
    <w:rsid w:val="005F2783"/>
    <w:rsid w:val="005F742E"/>
    <w:rsid w:val="00604100"/>
    <w:rsid w:val="00607127"/>
    <w:rsid w:val="00612037"/>
    <w:rsid w:val="006138C3"/>
    <w:rsid w:val="006147AD"/>
    <w:rsid w:val="00615035"/>
    <w:rsid w:val="00615D1F"/>
    <w:rsid w:val="00616288"/>
    <w:rsid w:val="006165AC"/>
    <w:rsid w:val="00620842"/>
    <w:rsid w:val="00622578"/>
    <w:rsid w:val="006239A1"/>
    <w:rsid w:val="00624821"/>
    <w:rsid w:val="00624B45"/>
    <w:rsid w:val="006265A3"/>
    <w:rsid w:val="0063079B"/>
    <w:rsid w:val="00634672"/>
    <w:rsid w:val="00635F0F"/>
    <w:rsid w:val="00637962"/>
    <w:rsid w:val="0064101A"/>
    <w:rsid w:val="00644E16"/>
    <w:rsid w:val="00647209"/>
    <w:rsid w:val="006527C8"/>
    <w:rsid w:val="006552BF"/>
    <w:rsid w:val="00656910"/>
    <w:rsid w:val="006601B3"/>
    <w:rsid w:val="00663CFB"/>
    <w:rsid w:val="006645B3"/>
    <w:rsid w:val="0066726A"/>
    <w:rsid w:val="006706DF"/>
    <w:rsid w:val="00670DFD"/>
    <w:rsid w:val="00671792"/>
    <w:rsid w:val="006755EE"/>
    <w:rsid w:val="006824BF"/>
    <w:rsid w:val="0068580B"/>
    <w:rsid w:val="006927F1"/>
    <w:rsid w:val="00695751"/>
    <w:rsid w:val="006A00C2"/>
    <w:rsid w:val="006A141A"/>
    <w:rsid w:val="006A4406"/>
    <w:rsid w:val="006A4A70"/>
    <w:rsid w:val="006A5123"/>
    <w:rsid w:val="006A6618"/>
    <w:rsid w:val="006A6821"/>
    <w:rsid w:val="006B1912"/>
    <w:rsid w:val="006B3BDB"/>
    <w:rsid w:val="006C45AD"/>
    <w:rsid w:val="006D3B10"/>
    <w:rsid w:val="006D4B6C"/>
    <w:rsid w:val="006E4692"/>
    <w:rsid w:val="006E4797"/>
    <w:rsid w:val="006E56B4"/>
    <w:rsid w:val="006E7C64"/>
    <w:rsid w:val="006F023F"/>
    <w:rsid w:val="006F36D2"/>
    <w:rsid w:val="006F4033"/>
    <w:rsid w:val="006F483F"/>
    <w:rsid w:val="006F48BC"/>
    <w:rsid w:val="006F68BB"/>
    <w:rsid w:val="00702ADE"/>
    <w:rsid w:val="00703E95"/>
    <w:rsid w:val="0070444F"/>
    <w:rsid w:val="00710031"/>
    <w:rsid w:val="007133D4"/>
    <w:rsid w:val="0071495E"/>
    <w:rsid w:val="00714BE0"/>
    <w:rsid w:val="007168B9"/>
    <w:rsid w:val="00723109"/>
    <w:rsid w:val="007232E1"/>
    <w:rsid w:val="007319B4"/>
    <w:rsid w:val="00733435"/>
    <w:rsid w:val="00736371"/>
    <w:rsid w:val="00737347"/>
    <w:rsid w:val="00741D40"/>
    <w:rsid w:val="007426CC"/>
    <w:rsid w:val="00751D3D"/>
    <w:rsid w:val="00751E77"/>
    <w:rsid w:val="00753090"/>
    <w:rsid w:val="0075464D"/>
    <w:rsid w:val="0075765E"/>
    <w:rsid w:val="007578EA"/>
    <w:rsid w:val="00762C60"/>
    <w:rsid w:val="0076400B"/>
    <w:rsid w:val="00766ABC"/>
    <w:rsid w:val="0076769A"/>
    <w:rsid w:val="00773591"/>
    <w:rsid w:val="007771DA"/>
    <w:rsid w:val="007832C7"/>
    <w:rsid w:val="00787A55"/>
    <w:rsid w:val="00792F68"/>
    <w:rsid w:val="00794EA0"/>
    <w:rsid w:val="007A111A"/>
    <w:rsid w:val="007A1D17"/>
    <w:rsid w:val="007A4BBA"/>
    <w:rsid w:val="007B1BE8"/>
    <w:rsid w:val="007B488F"/>
    <w:rsid w:val="007B6731"/>
    <w:rsid w:val="007B6CEC"/>
    <w:rsid w:val="007B72A4"/>
    <w:rsid w:val="007C42C7"/>
    <w:rsid w:val="007C42E5"/>
    <w:rsid w:val="007C4FB9"/>
    <w:rsid w:val="007C6E97"/>
    <w:rsid w:val="007D1203"/>
    <w:rsid w:val="007D1899"/>
    <w:rsid w:val="007D5E74"/>
    <w:rsid w:val="007D6BE0"/>
    <w:rsid w:val="007E0B89"/>
    <w:rsid w:val="007E0F40"/>
    <w:rsid w:val="007E11F5"/>
    <w:rsid w:val="007E6E1A"/>
    <w:rsid w:val="007F0580"/>
    <w:rsid w:val="007F13E9"/>
    <w:rsid w:val="007F2030"/>
    <w:rsid w:val="007F5EB0"/>
    <w:rsid w:val="007F6435"/>
    <w:rsid w:val="00800F38"/>
    <w:rsid w:val="008029BB"/>
    <w:rsid w:val="008036F9"/>
    <w:rsid w:val="00805DCD"/>
    <w:rsid w:val="008119B6"/>
    <w:rsid w:val="008201CA"/>
    <w:rsid w:val="00822B16"/>
    <w:rsid w:val="00822BD5"/>
    <w:rsid w:val="00833B96"/>
    <w:rsid w:val="0084001B"/>
    <w:rsid w:val="00840F7D"/>
    <w:rsid w:val="008425A4"/>
    <w:rsid w:val="008453D1"/>
    <w:rsid w:val="008461C6"/>
    <w:rsid w:val="0085421A"/>
    <w:rsid w:val="0085548D"/>
    <w:rsid w:val="00867448"/>
    <w:rsid w:val="00867E19"/>
    <w:rsid w:val="00870004"/>
    <w:rsid w:val="008775DD"/>
    <w:rsid w:val="00881017"/>
    <w:rsid w:val="00887026"/>
    <w:rsid w:val="00887721"/>
    <w:rsid w:val="00894090"/>
    <w:rsid w:val="00894B51"/>
    <w:rsid w:val="00894F90"/>
    <w:rsid w:val="008A4859"/>
    <w:rsid w:val="008A7A39"/>
    <w:rsid w:val="008B2D50"/>
    <w:rsid w:val="008B35D2"/>
    <w:rsid w:val="008B4D7F"/>
    <w:rsid w:val="008B5B59"/>
    <w:rsid w:val="008C23DE"/>
    <w:rsid w:val="008D293E"/>
    <w:rsid w:val="008E19AC"/>
    <w:rsid w:val="008E240D"/>
    <w:rsid w:val="008E6A9C"/>
    <w:rsid w:val="008E75D6"/>
    <w:rsid w:val="008F788B"/>
    <w:rsid w:val="00901AF0"/>
    <w:rsid w:val="00901C81"/>
    <w:rsid w:val="00904298"/>
    <w:rsid w:val="00911EF7"/>
    <w:rsid w:val="00915B28"/>
    <w:rsid w:val="00926D57"/>
    <w:rsid w:val="009270D1"/>
    <w:rsid w:val="00932166"/>
    <w:rsid w:val="009329AE"/>
    <w:rsid w:val="009329B9"/>
    <w:rsid w:val="0093453F"/>
    <w:rsid w:val="00936E08"/>
    <w:rsid w:val="009407F2"/>
    <w:rsid w:val="009409EA"/>
    <w:rsid w:val="00940AE3"/>
    <w:rsid w:val="00942DCC"/>
    <w:rsid w:val="009465C7"/>
    <w:rsid w:val="00956D9E"/>
    <w:rsid w:val="00966BC8"/>
    <w:rsid w:val="00967DEE"/>
    <w:rsid w:val="00977BAF"/>
    <w:rsid w:val="009803A1"/>
    <w:rsid w:val="00981F2F"/>
    <w:rsid w:val="009845B3"/>
    <w:rsid w:val="0098749C"/>
    <w:rsid w:val="00987703"/>
    <w:rsid w:val="0099292C"/>
    <w:rsid w:val="00993AE8"/>
    <w:rsid w:val="00994F50"/>
    <w:rsid w:val="009968B3"/>
    <w:rsid w:val="00997E7F"/>
    <w:rsid w:val="009A4E9A"/>
    <w:rsid w:val="009B1525"/>
    <w:rsid w:val="009B3245"/>
    <w:rsid w:val="009B438C"/>
    <w:rsid w:val="009B61A7"/>
    <w:rsid w:val="009B7F76"/>
    <w:rsid w:val="009C4CAE"/>
    <w:rsid w:val="009C56AE"/>
    <w:rsid w:val="009C689E"/>
    <w:rsid w:val="009C7D99"/>
    <w:rsid w:val="009D1F98"/>
    <w:rsid w:val="009D2B02"/>
    <w:rsid w:val="009D377C"/>
    <w:rsid w:val="009D6B51"/>
    <w:rsid w:val="009E0F90"/>
    <w:rsid w:val="009F19BA"/>
    <w:rsid w:val="009F2EB9"/>
    <w:rsid w:val="009F455B"/>
    <w:rsid w:val="00A014EE"/>
    <w:rsid w:val="00A037A8"/>
    <w:rsid w:val="00A04B60"/>
    <w:rsid w:val="00A11699"/>
    <w:rsid w:val="00A15621"/>
    <w:rsid w:val="00A1684A"/>
    <w:rsid w:val="00A20213"/>
    <w:rsid w:val="00A35853"/>
    <w:rsid w:val="00A452C0"/>
    <w:rsid w:val="00A46A29"/>
    <w:rsid w:val="00A46C51"/>
    <w:rsid w:val="00A47E49"/>
    <w:rsid w:val="00A51FF5"/>
    <w:rsid w:val="00A57618"/>
    <w:rsid w:val="00A61636"/>
    <w:rsid w:val="00A620D9"/>
    <w:rsid w:val="00A624BE"/>
    <w:rsid w:val="00A653F7"/>
    <w:rsid w:val="00A65688"/>
    <w:rsid w:val="00A722FB"/>
    <w:rsid w:val="00A77A29"/>
    <w:rsid w:val="00A82E5C"/>
    <w:rsid w:val="00A84C27"/>
    <w:rsid w:val="00A86C58"/>
    <w:rsid w:val="00A877EB"/>
    <w:rsid w:val="00A90EB2"/>
    <w:rsid w:val="00AA04D8"/>
    <w:rsid w:val="00AA14A0"/>
    <w:rsid w:val="00AA15BC"/>
    <w:rsid w:val="00AA2E8C"/>
    <w:rsid w:val="00AA3F18"/>
    <w:rsid w:val="00AA6A0A"/>
    <w:rsid w:val="00AB0CB4"/>
    <w:rsid w:val="00AB1392"/>
    <w:rsid w:val="00AB3A7F"/>
    <w:rsid w:val="00AB4038"/>
    <w:rsid w:val="00AC1073"/>
    <w:rsid w:val="00AC5683"/>
    <w:rsid w:val="00AD2927"/>
    <w:rsid w:val="00AD3C56"/>
    <w:rsid w:val="00AD5642"/>
    <w:rsid w:val="00AD626B"/>
    <w:rsid w:val="00AE0204"/>
    <w:rsid w:val="00AE040A"/>
    <w:rsid w:val="00AE24FC"/>
    <w:rsid w:val="00AE296F"/>
    <w:rsid w:val="00AE2A6A"/>
    <w:rsid w:val="00AF12E7"/>
    <w:rsid w:val="00AF5E1A"/>
    <w:rsid w:val="00AF67AA"/>
    <w:rsid w:val="00AF7A42"/>
    <w:rsid w:val="00B05F07"/>
    <w:rsid w:val="00B11C2C"/>
    <w:rsid w:val="00B150AB"/>
    <w:rsid w:val="00B2527C"/>
    <w:rsid w:val="00B2747F"/>
    <w:rsid w:val="00B32036"/>
    <w:rsid w:val="00B32610"/>
    <w:rsid w:val="00B40545"/>
    <w:rsid w:val="00B410AC"/>
    <w:rsid w:val="00B452AD"/>
    <w:rsid w:val="00B55AE6"/>
    <w:rsid w:val="00B57B8F"/>
    <w:rsid w:val="00B66177"/>
    <w:rsid w:val="00B707BE"/>
    <w:rsid w:val="00B747E1"/>
    <w:rsid w:val="00B7681D"/>
    <w:rsid w:val="00B80369"/>
    <w:rsid w:val="00B807B6"/>
    <w:rsid w:val="00B81064"/>
    <w:rsid w:val="00B84CEC"/>
    <w:rsid w:val="00B84E3C"/>
    <w:rsid w:val="00B85043"/>
    <w:rsid w:val="00B8751A"/>
    <w:rsid w:val="00B87681"/>
    <w:rsid w:val="00BA2AA3"/>
    <w:rsid w:val="00BA38E9"/>
    <w:rsid w:val="00BA576E"/>
    <w:rsid w:val="00BA6149"/>
    <w:rsid w:val="00BA7C8C"/>
    <w:rsid w:val="00BB091C"/>
    <w:rsid w:val="00BB34AF"/>
    <w:rsid w:val="00BB55F2"/>
    <w:rsid w:val="00BC1BA7"/>
    <w:rsid w:val="00BD08C9"/>
    <w:rsid w:val="00BD12B5"/>
    <w:rsid w:val="00BD2AD7"/>
    <w:rsid w:val="00BD3767"/>
    <w:rsid w:val="00BD4476"/>
    <w:rsid w:val="00BD6014"/>
    <w:rsid w:val="00BD6648"/>
    <w:rsid w:val="00BD716A"/>
    <w:rsid w:val="00BE22A2"/>
    <w:rsid w:val="00BE2769"/>
    <w:rsid w:val="00BF2D6B"/>
    <w:rsid w:val="00C042F4"/>
    <w:rsid w:val="00C0599A"/>
    <w:rsid w:val="00C06228"/>
    <w:rsid w:val="00C06BA6"/>
    <w:rsid w:val="00C11D93"/>
    <w:rsid w:val="00C13BDD"/>
    <w:rsid w:val="00C150DF"/>
    <w:rsid w:val="00C200C0"/>
    <w:rsid w:val="00C2270E"/>
    <w:rsid w:val="00C24628"/>
    <w:rsid w:val="00C257F7"/>
    <w:rsid w:val="00C26CC6"/>
    <w:rsid w:val="00C27048"/>
    <w:rsid w:val="00C27C71"/>
    <w:rsid w:val="00C32C3C"/>
    <w:rsid w:val="00C33E7C"/>
    <w:rsid w:val="00C366E0"/>
    <w:rsid w:val="00C42297"/>
    <w:rsid w:val="00C42344"/>
    <w:rsid w:val="00C427A8"/>
    <w:rsid w:val="00C455EA"/>
    <w:rsid w:val="00C46B70"/>
    <w:rsid w:val="00C46D00"/>
    <w:rsid w:val="00C51621"/>
    <w:rsid w:val="00C5423A"/>
    <w:rsid w:val="00C550F3"/>
    <w:rsid w:val="00C60FA1"/>
    <w:rsid w:val="00C6282F"/>
    <w:rsid w:val="00C62A95"/>
    <w:rsid w:val="00C64AD5"/>
    <w:rsid w:val="00C652D8"/>
    <w:rsid w:val="00C65546"/>
    <w:rsid w:val="00C666FB"/>
    <w:rsid w:val="00C75202"/>
    <w:rsid w:val="00C875D1"/>
    <w:rsid w:val="00C91934"/>
    <w:rsid w:val="00C92911"/>
    <w:rsid w:val="00C95E5D"/>
    <w:rsid w:val="00CA19E9"/>
    <w:rsid w:val="00CA2C61"/>
    <w:rsid w:val="00CA65DB"/>
    <w:rsid w:val="00CA684B"/>
    <w:rsid w:val="00CB1713"/>
    <w:rsid w:val="00CB1783"/>
    <w:rsid w:val="00CB42B8"/>
    <w:rsid w:val="00CB6773"/>
    <w:rsid w:val="00CB734A"/>
    <w:rsid w:val="00CB760B"/>
    <w:rsid w:val="00CC2621"/>
    <w:rsid w:val="00CC66A7"/>
    <w:rsid w:val="00CD450F"/>
    <w:rsid w:val="00CD57E3"/>
    <w:rsid w:val="00CD6DA2"/>
    <w:rsid w:val="00CE0979"/>
    <w:rsid w:val="00CF0CC4"/>
    <w:rsid w:val="00CF3455"/>
    <w:rsid w:val="00D0124F"/>
    <w:rsid w:val="00D02F40"/>
    <w:rsid w:val="00D02FDD"/>
    <w:rsid w:val="00D038F8"/>
    <w:rsid w:val="00D07A90"/>
    <w:rsid w:val="00D20A47"/>
    <w:rsid w:val="00D2510B"/>
    <w:rsid w:val="00D25AD9"/>
    <w:rsid w:val="00D273F0"/>
    <w:rsid w:val="00D27D5F"/>
    <w:rsid w:val="00D27EDE"/>
    <w:rsid w:val="00D3256D"/>
    <w:rsid w:val="00D3576D"/>
    <w:rsid w:val="00D35914"/>
    <w:rsid w:val="00D42065"/>
    <w:rsid w:val="00D465CD"/>
    <w:rsid w:val="00D51584"/>
    <w:rsid w:val="00D52D4E"/>
    <w:rsid w:val="00D57F1F"/>
    <w:rsid w:val="00D60C16"/>
    <w:rsid w:val="00D6158A"/>
    <w:rsid w:val="00D647B9"/>
    <w:rsid w:val="00D64935"/>
    <w:rsid w:val="00D64C9E"/>
    <w:rsid w:val="00D65954"/>
    <w:rsid w:val="00D65E21"/>
    <w:rsid w:val="00D661BB"/>
    <w:rsid w:val="00D673B2"/>
    <w:rsid w:val="00D7131B"/>
    <w:rsid w:val="00D72327"/>
    <w:rsid w:val="00D75904"/>
    <w:rsid w:val="00D7627F"/>
    <w:rsid w:val="00D762E1"/>
    <w:rsid w:val="00D77C6A"/>
    <w:rsid w:val="00D82C95"/>
    <w:rsid w:val="00D85FAF"/>
    <w:rsid w:val="00D866A6"/>
    <w:rsid w:val="00D86D57"/>
    <w:rsid w:val="00D95975"/>
    <w:rsid w:val="00D959E7"/>
    <w:rsid w:val="00D95CB6"/>
    <w:rsid w:val="00D96A01"/>
    <w:rsid w:val="00D96FC8"/>
    <w:rsid w:val="00DA154A"/>
    <w:rsid w:val="00DA3C5C"/>
    <w:rsid w:val="00DA43B1"/>
    <w:rsid w:val="00DA7D3C"/>
    <w:rsid w:val="00DA7D5E"/>
    <w:rsid w:val="00DB5776"/>
    <w:rsid w:val="00DB6419"/>
    <w:rsid w:val="00DC0E61"/>
    <w:rsid w:val="00DC18A7"/>
    <w:rsid w:val="00DC54E1"/>
    <w:rsid w:val="00DD0D2A"/>
    <w:rsid w:val="00DD27A0"/>
    <w:rsid w:val="00DD4A36"/>
    <w:rsid w:val="00DE23F4"/>
    <w:rsid w:val="00DE2BE2"/>
    <w:rsid w:val="00DE321B"/>
    <w:rsid w:val="00DF0F07"/>
    <w:rsid w:val="00DF27BA"/>
    <w:rsid w:val="00DF386D"/>
    <w:rsid w:val="00E00209"/>
    <w:rsid w:val="00E03054"/>
    <w:rsid w:val="00E0706F"/>
    <w:rsid w:val="00E10982"/>
    <w:rsid w:val="00E11231"/>
    <w:rsid w:val="00E12823"/>
    <w:rsid w:val="00E2164E"/>
    <w:rsid w:val="00E21D28"/>
    <w:rsid w:val="00E233D2"/>
    <w:rsid w:val="00E23840"/>
    <w:rsid w:val="00E257B0"/>
    <w:rsid w:val="00E25A90"/>
    <w:rsid w:val="00E3171E"/>
    <w:rsid w:val="00E31C8A"/>
    <w:rsid w:val="00E401D5"/>
    <w:rsid w:val="00E44D2F"/>
    <w:rsid w:val="00E464D6"/>
    <w:rsid w:val="00E46DA7"/>
    <w:rsid w:val="00E46DC3"/>
    <w:rsid w:val="00E47020"/>
    <w:rsid w:val="00E54425"/>
    <w:rsid w:val="00E56E2C"/>
    <w:rsid w:val="00E64D09"/>
    <w:rsid w:val="00E74026"/>
    <w:rsid w:val="00E768CE"/>
    <w:rsid w:val="00E90DFA"/>
    <w:rsid w:val="00E91F4D"/>
    <w:rsid w:val="00E97A5F"/>
    <w:rsid w:val="00EA1980"/>
    <w:rsid w:val="00EA6BAB"/>
    <w:rsid w:val="00EB1E68"/>
    <w:rsid w:val="00EB25A4"/>
    <w:rsid w:val="00EB3B3E"/>
    <w:rsid w:val="00EB43FB"/>
    <w:rsid w:val="00EB71E6"/>
    <w:rsid w:val="00EC00C0"/>
    <w:rsid w:val="00EC0649"/>
    <w:rsid w:val="00EC13D2"/>
    <w:rsid w:val="00EC57F0"/>
    <w:rsid w:val="00EC5E12"/>
    <w:rsid w:val="00EC6B62"/>
    <w:rsid w:val="00EC6E97"/>
    <w:rsid w:val="00ECB4BA"/>
    <w:rsid w:val="00ED433C"/>
    <w:rsid w:val="00ED43DD"/>
    <w:rsid w:val="00ED4CB9"/>
    <w:rsid w:val="00ED4DDA"/>
    <w:rsid w:val="00EE5649"/>
    <w:rsid w:val="00EF5AF9"/>
    <w:rsid w:val="00F005B3"/>
    <w:rsid w:val="00F043FA"/>
    <w:rsid w:val="00F15F4C"/>
    <w:rsid w:val="00F17D32"/>
    <w:rsid w:val="00F21F0A"/>
    <w:rsid w:val="00F22FB1"/>
    <w:rsid w:val="00F24596"/>
    <w:rsid w:val="00F26533"/>
    <w:rsid w:val="00F322A9"/>
    <w:rsid w:val="00F33016"/>
    <w:rsid w:val="00F355AB"/>
    <w:rsid w:val="00F35E6A"/>
    <w:rsid w:val="00F36256"/>
    <w:rsid w:val="00F36869"/>
    <w:rsid w:val="00F36F90"/>
    <w:rsid w:val="00F41319"/>
    <w:rsid w:val="00F4167A"/>
    <w:rsid w:val="00F41DE1"/>
    <w:rsid w:val="00F43600"/>
    <w:rsid w:val="00F45633"/>
    <w:rsid w:val="00F470B6"/>
    <w:rsid w:val="00F511BF"/>
    <w:rsid w:val="00F51D46"/>
    <w:rsid w:val="00F52366"/>
    <w:rsid w:val="00F62008"/>
    <w:rsid w:val="00F70AAC"/>
    <w:rsid w:val="00F72213"/>
    <w:rsid w:val="00F83A14"/>
    <w:rsid w:val="00F844DE"/>
    <w:rsid w:val="00F919EB"/>
    <w:rsid w:val="00F95655"/>
    <w:rsid w:val="00FA1E37"/>
    <w:rsid w:val="00FA21A9"/>
    <w:rsid w:val="00FA3B53"/>
    <w:rsid w:val="00FA40AB"/>
    <w:rsid w:val="00FA6C9C"/>
    <w:rsid w:val="00FB757E"/>
    <w:rsid w:val="00FB7582"/>
    <w:rsid w:val="00FC0E35"/>
    <w:rsid w:val="00FC4524"/>
    <w:rsid w:val="00FC70F1"/>
    <w:rsid w:val="00FC7521"/>
    <w:rsid w:val="00FD224B"/>
    <w:rsid w:val="00FD6087"/>
    <w:rsid w:val="00FE22AC"/>
    <w:rsid w:val="00FE4992"/>
    <w:rsid w:val="00FE62EF"/>
    <w:rsid w:val="00FE64B0"/>
    <w:rsid w:val="00FE76BF"/>
    <w:rsid w:val="00FF3914"/>
    <w:rsid w:val="00FF421A"/>
    <w:rsid w:val="00FF4595"/>
    <w:rsid w:val="010ABD98"/>
    <w:rsid w:val="01215A13"/>
    <w:rsid w:val="01B231BF"/>
    <w:rsid w:val="04E5128A"/>
    <w:rsid w:val="053476E3"/>
    <w:rsid w:val="056DC9D9"/>
    <w:rsid w:val="0695C42B"/>
    <w:rsid w:val="0730FC32"/>
    <w:rsid w:val="07DCAB14"/>
    <w:rsid w:val="082109B4"/>
    <w:rsid w:val="08491433"/>
    <w:rsid w:val="0875AEBC"/>
    <w:rsid w:val="08C1BA4D"/>
    <w:rsid w:val="08C1D8EC"/>
    <w:rsid w:val="092ECDD6"/>
    <w:rsid w:val="09714A09"/>
    <w:rsid w:val="09B291BC"/>
    <w:rsid w:val="0A1730BB"/>
    <w:rsid w:val="0AD2F36D"/>
    <w:rsid w:val="0C1F69E0"/>
    <w:rsid w:val="0CF1C198"/>
    <w:rsid w:val="0D2FD755"/>
    <w:rsid w:val="0D5771AE"/>
    <w:rsid w:val="0D5E3D34"/>
    <w:rsid w:val="0DD4C4B5"/>
    <w:rsid w:val="0DE0462B"/>
    <w:rsid w:val="0DFB0186"/>
    <w:rsid w:val="0E08B5C6"/>
    <w:rsid w:val="0EEBAC06"/>
    <w:rsid w:val="0F5C1ACF"/>
    <w:rsid w:val="0FBF9AA0"/>
    <w:rsid w:val="10311D43"/>
    <w:rsid w:val="112423E6"/>
    <w:rsid w:val="11A4CBB5"/>
    <w:rsid w:val="11EA6B0B"/>
    <w:rsid w:val="12A34C3C"/>
    <w:rsid w:val="149E4737"/>
    <w:rsid w:val="17A995E3"/>
    <w:rsid w:val="17BC1978"/>
    <w:rsid w:val="187AA0CD"/>
    <w:rsid w:val="193522E0"/>
    <w:rsid w:val="1AF6BBA6"/>
    <w:rsid w:val="1B169423"/>
    <w:rsid w:val="1C3F228E"/>
    <w:rsid w:val="1CBB2E4C"/>
    <w:rsid w:val="1D5D1B7E"/>
    <w:rsid w:val="1E73B04F"/>
    <w:rsid w:val="1F3C3021"/>
    <w:rsid w:val="2032CEF6"/>
    <w:rsid w:val="20790A3A"/>
    <w:rsid w:val="227A36A4"/>
    <w:rsid w:val="260203F7"/>
    <w:rsid w:val="2604CE3A"/>
    <w:rsid w:val="26569D7B"/>
    <w:rsid w:val="27C9FCBD"/>
    <w:rsid w:val="28147B8B"/>
    <w:rsid w:val="28A39638"/>
    <w:rsid w:val="2917AB32"/>
    <w:rsid w:val="2A62A3DA"/>
    <w:rsid w:val="2B0480BA"/>
    <w:rsid w:val="2C04AD38"/>
    <w:rsid w:val="2C8EE01E"/>
    <w:rsid w:val="2D759DC7"/>
    <w:rsid w:val="2E50D840"/>
    <w:rsid w:val="311836B6"/>
    <w:rsid w:val="31D2D818"/>
    <w:rsid w:val="31FEB99D"/>
    <w:rsid w:val="3394BB12"/>
    <w:rsid w:val="34688B6E"/>
    <w:rsid w:val="34E6A98F"/>
    <w:rsid w:val="35038B86"/>
    <w:rsid w:val="3548BDB9"/>
    <w:rsid w:val="369A793D"/>
    <w:rsid w:val="36A94BBD"/>
    <w:rsid w:val="36EBBBB9"/>
    <w:rsid w:val="37064E68"/>
    <w:rsid w:val="376AB55E"/>
    <w:rsid w:val="3A9497DA"/>
    <w:rsid w:val="3AA75848"/>
    <w:rsid w:val="3AE64C61"/>
    <w:rsid w:val="3AEF2A24"/>
    <w:rsid w:val="3B1A6E30"/>
    <w:rsid w:val="3B23C935"/>
    <w:rsid w:val="3B52DFCF"/>
    <w:rsid w:val="3B95D648"/>
    <w:rsid w:val="3C1B5CD2"/>
    <w:rsid w:val="3C32830C"/>
    <w:rsid w:val="3C37DF49"/>
    <w:rsid w:val="3CC8FC77"/>
    <w:rsid w:val="3D228B9E"/>
    <w:rsid w:val="3ED24FEC"/>
    <w:rsid w:val="4015B594"/>
    <w:rsid w:val="4094FE46"/>
    <w:rsid w:val="4101CD50"/>
    <w:rsid w:val="4155F1EE"/>
    <w:rsid w:val="418250E3"/>
    <w:rsid w:val="43D7F7E4"/>
    <w:rsid w:val="44991409"/>
    <w:rsid w:val="454588F1"/>
    <w:rsid w:val="47C1EE76"/>
    <w:rsid w:val="47CC04DD"/>
    <w:rsid w:val="488D3220"/>
    <w:rsid w:val="498626BA"/>
    <w:rsid w:val="49CCAA52"/>
    <w:rsid w:val="49EC7B08"/>
    <w:rsid w:val="4ABA66C5"/>
    <w:rsid w:val="4BD154F6"/>
    <w:rsid w:val="4CDFEAF0"/>
    <w:rsid w:val="4ED5148E"/>
    <w:rsid w:val="4EE366D5"/>
    <w:rsid w:val="500B500C"/>
    <w:rsid w:val="50E1A53A"/>
    <w:rsid w:val="51112504"/>
    <w:rsid w:val="51981548"/>
    <w:rsid w:val="5212F455"/>
    <w:rsid w:val="523C2DAB"/>
    <w:rsid w:val="5468BF20"/>
    <w:rsid w:val="548B5B31"/>
    <w:rsid w:val="5506EA96"/>
    <w:rsid w:val="554CA395"/>
    <w:rsid w:val="58693BBF"/>
    <w:rsid w:val="58842D08"/>
    <w:rsid w:val="58AD6357"/>
    <w:rsid w:val="58B70BD3"/>
    <w:rsid w:val="59B9178A"/>
    <w:rsid w:val="5A69AE44"/>
    <w:rsid w:val="5A8B46E2"/>
    <w:rsid w:val="5C29C9C7"/>
    <w:rsid w:val="5CE3242D"/>
    <w:rsid w:val="5CEE1267"/>
    <w:rsid w:val="5E82E5D4"/>
    <w:rsid w:val="5F9B98EE"/>
    <w:rsid w:val="5FF99940"/>
    <w:rsid w:val="6046CAAD"/>
    <w:rsid w:val="62058794"/>
    <w:rsid w:val="62E4432B"/>
    <w:rsid w:val="62FE6488"/>
    <w:rsid w:val="638D4627"/>
    <w:rsid w:val="63B04D94"/>
    <w:rsid w:val="63D8C2F1"/>
    <w:rsid w:val="64E143BC"/>
    <w:rsid w:val="64F12C32"/>
    <w:rsid w:val="6600FE93"/>
    <w:rsid w:val="66C23062"/>
    <w:rsid w:val="677AB9C8"/>
    <w:rsid w:val="68317B48"/>
    <w:rsid w:val="68B6DFE2"/>
    <w:rsid w:val="69472876"/>
    <w:rsid w:val="69D4D21B"/>
    <w:rsid w:val="6A26C5F4"/>
    <w:rsid w:val="6C835029"/>
    <w:rsid w:val="6DBD8A0A"/>
    <w:rsid w:val="701B13E6"/>
    <w:rsid w:val="70977C30"/>
    <w:rsid w:val="70AC0561"/>
    <w:rsid w:val="738EC158"/>
    <w:rsid w:val="73C86A27"/>
    <w:rsid w:val="743BA939"/>
    <w:rsid w:val="74C2996B"/>
    <w:rsid w:val="7589961E"/>
    <w:rsid w:val="759FD529"/>
    <w:rsid w:val="75BA0F00"/>
    <w:rsid w:val="78E153F7"/>
    <w:rsid w:val="79776E54"/>
    <w:rsid w:val="7A5A343E"/>
    <w:rsid w:val="7BE1199C"/>
    <w:rsid w:val="7C9C256D"/>
    <w:rsid w:val="7CC57542"/>
    <w:rsid w:val="7EFE1A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3D6CFC97-CA27-8E44-9B17-FB93E90E1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932166"/>
    <w:pPr>
      <w:widowControl/>
      <w:spacing w:before="100" w:beforeAutospacing="1" w:after="100" w:afterAutospacing="1"/>
      <w:jc w:val="left"/>
    </w:pPr>
    <w:rPr>
      <w:rFonts w:ascii="Times New Roman" w:eastAsia="Times New Roman" w:hAnsi="Times New Roman" w:cs="Times New Roman"/>
    </w:rPr>
  </w:style>
  <w:style w:type="character" w:customStyle="1" w:styleId="relative">
    <w:name w:val="relative"/>
    <w:basedOn w:val="DefaultParagraphFont"/>
    <w:rsid w:val="00932166"/>
  </w:style>
  <w:style w:type="paragraph" w:customStyle="1" w:styleId="not-prose">
    <w:name w:val="not-prose"/>
    <w:basedOn w:val="Normal"/>
    <w:rsid w:val="00932166"/>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4A03F3"/>
    <w:rPr>
      <w:b/>
      <w:bCs/>
    </w:rPr>
  </w:style>
  <w:style w:type="character" w:styleId="Emphasis">
    <w:name w:val="Emphasis"/>
    <w:basedOn w:val="DefaultParagraphFont"/>
    <w:uiPriority w:val="20"/>
    <w:qFormat/>
    <w:rsid w:val="00361717"/>
    <w:rPr>
      <w:i/>
      <w:iCs/>
    </w:rPr>
  </w:style>
  <w:style w:type="character" w:customStyle="1" w:styleId="apple-converted-space">
    <w:name w:val="apple-converted-space"/>
    <w:basedOn w:val="DefaultParagraphFont"/>
    <w:rsid w:val="00361717"/>
  </w:style>
  <w:style w:type="character" w:customStyle="1" w:styleId="whitespace-normal">
    <w:name w:val="whitespace-normal"/>
    <w:basedOn w:val="DefaultParagraphFont"/>
    <w:rsid w:val="00361717"/>
  </w:style>
  <w:style w:type="paragraph" w:customStyle="1" w:styleId="paragraph">
    <w:name w:val="paragraph"/>
    <w:basedOn w:val="Normal"/>
    <w:rsid w:val="008E240D"/>
    <w:pPr>
      <w:widowControl/>
      <w:spacing w:before="100" w:beforeAutospacing="1" w:after="100" w:afterAutospacing="1"/>
      <w:jc w:val="left"/>
    </w:pPr>
    <w:rPr>
      <w:rFonts w:ascii="Times New Roman" w:eastAsia="Times New Roman" w:hAnsi="Times New Roman" w:cs="Times New Roman"/>
    </w:rPr>
  </w:style>
  <w:style w:type="character" w:customStyle="1" w:styleId="normaltextrun">
    <w:name w:val="normaltextrun"/>
    <w:basedOn w:val="DefaultParagraphFont"/>
    <w:rsid w:val="008E240D"/>
  </w:style>
  <w:style w:type="character" w:customStyle="1" w:styleId="eop">
    <w:name w:val="eop"/>
    <w:basedOn w:val="DefaultParagraphFont"/>
    <w:rsid w:val="008E240D"/>
  </w:style>
  <w:style w:type="paragraph" w:customStyle="1" w:styleId="font-claude-response-body">
    <w:name w:val="font-claude-response-body"/>
    <w:basedOn w:val="Normal"/>
    <w:rsid w:val="003F5D20"/>
    <w:pPr>
      <w:widowControl/>
      <w:spacing w:before="100" w:beforeAutospacing="1" w:after="100" w:afterAutospacing="1"/>
      <w:jc w:val="left"/>
    </w:pPr>
    <w:rPr>
      <w:rFonts w:ascii="Times New Roman" w:eastAsia="Times New Roman" w:hAnsi="Times New Roman" w:cs="Times New Roman"/>
    </w:rPr>
  </w:style>
  <w:style w:type="character" w:customStyle="1" w:styleId="accordion-tabbedtab-mobile">
    <w:name w:val="accordion-tabbed__tab-mobile"/>
    <w:basedOn w:val="DefaultParagraphFont"/>
    <w:rsid w:val="006A4A70"/>
  </w:style>
  <w:style w:type="character" w:customStyle="1" w:styleId="comma-separator">
    <w:name w:val="comma-separator"/>
    <w:basedOn w:val="DefaultParagraphFont"/>
    <w:rsid w:val="006A4A70"/>
  </w:style>
  <w:style w:type="character" w:customStyle="1" w:styleId="authors-list-item">
    <w:name w:val="authors-list-item"/>
    <w:basedOn w:val="DefaultParagraphFont"/>
    <w:rsid w:val="003A7F68"/>
  </w:style>
  <w:style w:type="character" w:customStyle="1" w:styleId="author-sup-separator">
    <w:name w:val="author-sup-separator"/>
    <w:basedOn w:val="DefaultParagraphFont"/>
    <w:rsid w:val="003A7F68"/>
  </w:style>
  <w:style w:type="character" w:customStyle="1" w:styleId="comma">
    <w:name w:val="comma"/>
    <w:basedOn w:val="DefaultParagraphFont"/>
    <w:rsid w:val="003A7F68"/>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0875AEBC"/>
    <w:pPr>
      <w:tabs>
        <w:tab w:val="center" w:pos="4680"/>
        <w:tab w:val="right" w:pos="9360"/>
      </w:tabs>
    </w:pPr>
  </w:style>
  <w:style w:type="character" w:styleId="Mention">
    <w:name w:val="Mention"/>
    <w:basedOn w:val="DefaultParagraphFont"/>
    <w:uiPriority w:val="99"/>
    <w:unhideWhenUsed/>
    <w:rsid w:val="00F956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4561">
      <w:bodyDiv w:val="1"/>
      <w:marLeft w:val="0"/>
      <w:marRight w:val="0"/>
      <w:marTop w:val="0"/>
      <w:marBottom w:val="0"/>
      <w:divBdr>
        <w:top w:val="none" w:sz="0" w:space="0" w:color="auto"/>
        <w:left w:val="none" w:sz="0" w:space="0" w:color="auto"/>
        <w:bottom w:val="none" w:sz="0" w:space="0" w:color="auto"/>
        <w:right w:val="none" w:sz="0" w:space="0" w:color="auto"/>
      </w:divBdr>
      <w:divsChild>
        <w:div w:id="207571480">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86477">
          <w:blockQuote w:val="1"/>
          <w:marLeft w:val="720"/>
          <w:marRight w:val="720"/>
          <w:marTop w:val="100"/>
          <w:marBottom w:val="100"/>
          <w:divBdr>
            <w:top w:val="none" w:sz="0" w:space="0" w:color="auto"/>
            <w:left w:val="none" w:sz="0" w:space="0" w:color="auto"/>
            <w:bottom w:val="none" w:sz="0" w:space="0" w:color="auto"/>
            <w:right w:val="none" w:sz="0" w:space="0" w:color="auto"/>
          </w:divBdr>
        </w:div>
        <w:div w:id="67391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341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660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045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193874">
      <w:bodyDiv w:val="1"/>
      <w:marLeft w:val="0"/>
      <w:marRight w:val="0"/>
      <w:marTop w:val="0"/>
      <w:marBottom w:val="0"/>
      <w:divBdr>
        <w:top w:val="none" w:sz="0" w:space="0" w:color="auto"/>
        <w:left w:val="none" w:sz="0" w:space="0" w:color="auto"/>
        <w:bottom w:val="none" w:sz="0" w:space="0" w:color="auto"/>
        <w:right w:val="none" w:sz="0" w:space="0" w:color="auto"/>
      </w:divBdr>
    </w:div>
    <w:div w:id="346639723">
      <w:bodyDiv w:val="1"/>
      <w:marLeft w:val="0"/>
      <w:marRight w:val="0"/>
      <w:marTop w:val="0"/>
      <w:marBottom w:val="0"/>
      <w:divBdr>
        <w:top w:val="none" w:sz="0" w:space="0" w:color="auto"/>
        <w:left w:val="none" w:sz="0" w:space="0" w:color="auto"/>
        <w:bottom w:val="none" w:sz="0" w:space="0" w:color="auto"/>
        <w:right w:val="none" w:sz="0" w:space="0" w:color="auto"/>
      </w:divBdr>
    </w:div>
    <w:div w:id="387342373">
      <w:bodyDiv w:val="1"/>
      <w:marLeft w:val="0"/>
      <w:marRight w:val="0"/>
      <w:marTop w:val="0"/>
      <w:marBottom w:val="0"/>
      <w:divBdr>
        <w:top w:val="none" w:sz="0" w:space="0" w:color="auto"/>
        <w:left w:val="none" w:sz="0" w:space="0" w:color="auto"/>
        <w:bottom w:val="none" w:sz="0" w:space="0" w:color="auto"/>
        <w:right w:val="none" w:sz="0" w:space="0" w:color="auto"/>
      </w:divBdr>
    </w:div>
    <w:div w:id="609975365">
      <w:bodyDiv w:val="1"/>
      <w:marLeft w:val="0"/>
      <w:marRight w:val="0"/>
      <w:marTop w:val="0"/>
      <w:marBottom w:val="0"/>
      <w:divBdr>
        <w:top w:val="none" w:sz="0" w:space="0" w:color="auto"/>
        <w:left w:val="none" w:sz="0" w:space="0" w:color="auto"/>
        <w:bottom w:val="none" w:sz="0" w:space="0" w:color="auto"/>
        <w:right w:val="none" w:sz="0" w:space="0" w:color="auto"/>
      </w:divBdr>
    </w:div>
    <w:div w:id="693000172">
      <w:bodyDiv w:val="1"/>
      <w:marLeft w:val="0"/>
      <w:marRight w:val="0"/>
      <w:marTop w:val="0"/>
      <w:marBottom w:val="0"/>
      <w:divBdr>
        <w:top w:val="none" w:sz="0" w:space="0" w:color="auto"/>
        <w:left w:val="none" w:sz="0" w:space="0" w:color="auto"/>
        <w:bottom w:val="none" w:sz="0" w:space="0" w:color="auto"/>
        <w:right w:val="none" w:sz="0" w:space="0" w:color="auto"/>
      </w:divBdr>
    </w:div>
    <w:div w:id="1321543518">
      <w:bodyDiv w:val="1"/>
      <w:marLeft w:val="0"/>
      <w:marRight w:val="0"/>
      <w:marTop w:val="0"/>
      <w:marBottom w:val="0"/>
      <w:divBdr>
        <w:top w:val="none" w:sz="0" w:space="0" w:color="auto"/>
        <w:left w:val="none" w:sz="0" w:space="0" w:color="auto"/>
        <w:bottom w:val="none" w:sz="0" w:space="0" w:color="auto"/>
        <w:right w:val="none" w:sz="0" w:space="0" w:color="auto"/>
      </w:divBdr>
    </w:div>
    <w:div w:id="1453131407">
      <w:bodyDiv w:val="1"/>
      <w:marLeft w:val="0"/>
      <w:marRight w:val="0"/>
      <w:marTop w:val="0"/>
      <w:marBottom w:val="0"/>
      <w:divBdr>
        <w:top w:val="none" w:sz="0" w:space="0" w:color="auto"/>
        <w:left w:val="none" w:sz="0" w:space="0" w:color="auto"/>
        <w:bottom w:val="none" w:sz="0" w:space="0" w:color="auto"/>
        <w:right w:val="none" w:sz="0" w:space="0" w:color="auto"/>
      </w:divBdr>
    </w:div>
    <w:div w:id="1641958429">
      <w:bodyDiv w:val="1"/>
      <w:marLeft w:val="0"/>
      <w:marRight w:val="0"/>
      <w:marTop w:val="0"/>
      <w:marBottom w:val="0"/>
      <w:divBdr>
        <w:top w:val="none" w:sz="0" w:space="0" w:color="auto"/>
        <w:left w:val="none" w:sz="0" w:space="0" w:color="auto"/>
        <w:bottom w:val="none" w:sz="0" w:space="0" w:color="auto"/>
        <w:right w:val="none" w:sz="0" w:space="0" w:color="auto"/>
      </w:divBdr>
    </w:div>
    <w:div w:id="1949005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fidabio.com" TargetMode="External"/><Relationship Id="rId13" Type="http://schemas.openxmlformats.org/officeDocument/2006/relationships/hyperlink" Target="mailto:mark.west@drop-genie.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patel.miti@northeastern.edu" TargetMode="External"/><Relationship Id="rId12" Type="http://schemas.openxmlformats.org/officeDocument/2006/relationships/hyperlink" Target="mailto:alison@drop-genie.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ew.chin@drop-geni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philippe.vo@drop-genie.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hugo@drop-genie.com" TargetMode="External"/><Relationship Id="rId14" Type="http://schemas.openxmlformats.org/officeDocument/2006/relationships/hyperlink" Target="mailto:alison@drop-geni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7166</Words>
  <Characters>42182</Characters>
  <Application>Microsoft Office Word</Application>
  <DocSecurity>0</DocSecurity>
  <Lines>681</Lines>
  <Paragraphs>131</Paragraphs>
  <ScaleCrop>false</ScaleCrop>
  <Company/>
  <LinksUpToDate>false</LinksUpToDate>
  <CharactersWithSpaces>49223</CharactersWithSpaces>
  <SharedDoc>false</SharedDoc>
  <HLinks>
    <vt:vector size="48" baseType="variant">
      <vt:variant>
        <vt:i4>2424912</vt:i4>
      </vt:variant>
      <vt:variant>
        <vt:i4>21</vt:i4>
      </vt:variant>
      <vt:variant>
        <vt:i4>0</vt:i4>
      </vt:variant>
      <vt:variant>
        <vt:i4>5</vt:i4>
      </vt:variant>
      <vt:variant>
        <vt:lpwstr>mailto:alison@drop-genie.com</vt:lpwstr>
      </vt:variant>
      <vt:variant>
        <vt:lpwstr/>
      </vt:variant>
      <vt:variant>
        <vt:i4>2686985</vt:i4>
      </vt:variant>
      <vt:variant>
        <vt:i4>18</vt:i4>
      </vt:variant>
      <vt:variant>
        <vt:i4>0</vt:i4>
      </vt:variant>
      <vt:variant>
        <vt:i4>5</vt:i4>
      </vt:variant>
      <vt:variant>
        <vt:lpwstr>mailto:mark.west@drop-genie.com</vt:lpwstr>
      </vt:variant>
      <vt:variant>
        <vt:lpwstr/>
      </vt:variant>
      <vt:variant>
        <vt:i4>1966123</vt:i4>
      </vt:variant>
      <vt:variant>
        <vt:i4>15</vt:i4>
      </vt:variant>
      <vt:variant>
        <vt:i4>0</vt:i4>
      </vt:variant>
      <vt:variant>
        <vt:i4>5</vt:i4>
      </vt:variant>
      <vt:variant>
        <vt:lpwstr>file:///Users/alisonhirukawa/Desktop/JoVE submission/ayoub.ellouzi@drop-genie.com</vt:lpwstr>
      </vt:variant>
      <vt:variant>
        <vt:lpwstr/>
      </vt:variant>
      <vt:variant>
        <vt:i4>4259942</vt:i4>
      </vt:variant>
      <vt:variant>
        <vt:i4>12</vt:i4>
      </vt:variant>
      <vt:variant>
        <vt:i4>0</vt:i4>
      </vt:variant>
      <vt:variant>
        <vt:i4>5</vt:i4>
      </vt:variant>
      <vt:variant>
        <vt:lpwstr>mailto:andrew.chin@drop-genie.com</vt:lpwstr>
      </vt:variant>
      <vt:variant>
        <vt:lpwstr/>
      </vt:variant>
      <vt:variant>
        <vt:i4>4718688</vt:i4>
      </vt:variant>
      <vt:variant>
        <vt:i4>9</vt:i4>
      </vt:variant>
      <vt:variant>
        <vt:i4>0</vt:i4>
      </vt:variant>
      <vt:variant>
        <vt:i4>5</vt:i4>
      </vt:variant>
      <vt:variant>
        <vt:lpwstr>mailto:philippe.vo@drop-genie.com</vt:lpwstr>
      </vt:variant>
      <vt:variant>
        <vt:lpwstr/>
      </vt:variant>
      <vt:variant>
        <vt:i4>5046331</vt:i4>
      </vt:variant>
      <vt:variant>
        <vt:i4>6</vt:i4>
      </vt:variant>
      <vt:variant>
        <vt:i4>0</vt:i4>
      </vt:variant>
      <vt:variant>
        <vt:i4>5</vt:i4>
      </vt:variant>
      <vt:variant>
        <vt:lpwstr>mailto:hugo@drop-genie.com</vt:lpwstr>
      </vt:variant>
      <vt:variant>
        <vt:lpwstr/>
      </vt:variant>
      <vt:variant>
        <vt:i4>6291534</vt:i4>
      </vt:variant>
      <vt:variant>
        <vt:i4>3</vt:i4>
      </vt:variant>
      <vt:variant>
        <vt:i4>0</vt:i4>
      </vt:variant>
      <vt:variant>
        <vt:i4>5</vt:i4>
      </vt:variant>
      <vt:variant>
        <vt:lpwstr>mailto:michael@fidabio.com</vt:lpwstr>
      </vt:variant>
      <vt:variant>
        <vt:lpwstr/>
      </vt:variant>
      <vt:variant>
        <vt:i4>4522041</vt:i4>
      </vt:variant>
      <vt:variant>
        <vt:i4>0</vt:i4>
      </vt:variant>
      <vt:variant>
        <vt:i4>0</vt:i4>
      </vt:variant>
      <vt:variant>
        <vt:i4>5</vt:i4>
      </vt:variant>
      <vt:variant>
        <vt:lpwstr>mailto:patel.miti@northeastern.edu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Alison Hirukawa</cp:lastModifiedBy>
  <cp:revision>7</cp:revision>
  <cp:lastPrinted>2026-03-19T21:31:00Z</cp:lastPrinted>
  <dcterms:created xsi:type="dcterms:W3CDTF">2026-03-25T10:27:00Z</dcterms:created>
  <dcterms:modified xsi:type="dcterms:W3CDTF">2026-04-14T18:24:00Z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