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48827">
      <w:pPr>
        <w:spacing w:line="0" w:lineRule="atLeast"/>
      </w:pPr>
      <w:r>
        <w:rPr>
          <w:b/>
        </w:rPr>
        <w:t>TITLE:</w:t>
      </w:r>
      <w:r>
        <w:t xml:space="preserve">  </w:t>
      </w:r>
    </w:p>
    <w:p w14:paraId="7D9828B1">
      <w:pPr>
        <w:spacing w:line="0" w:lineRule="atLeast"/>
      </w:pPr>
      <w:r>
        <w:t>An Efficient and Rapid HPLC-QQQ-MS Method for the Quantitation of Tropane Alkaloids in Medicinal Plants</w:t>
      </w:r>
    </w:p>
    <w:p w14:paraId="515DF70D">
      <w:pPr>
        <w:spacing w:line="0" w:lineRule="atLeast"/>
        <w:rPr>
          <w:b/>
        </w:rPr>
      </w:pPr>
    </w:p>
    <w:p w14:paraId="1CDB852B">
      <w:pPr>
        <w:spacing w:line="0" w:lineRule="atLeast"/>
      </w:pPr>
      <w:r>
        <w:rPr>
          <w:b/>
        </w:rPr>
        <w:t xml:space="preserve">AUTHORS AND AFFILIATIONS: </w:t>
      </w:r>
    </w:p>
    <w:p w14:paraId="2C907520">
      <w:pPr>
        <w:spacing w:line="0" w:lineRule="atLeast"/>
      </w:pPr>
      <w:r>
        <w:t>Zihan Li</w:t>
      </w:r>
      <w:r>
        <w:rPr>
          <w:vertAlign w:val="superscript"/>
        </w:rPr>
        <w:t>1</w:t>
      </w:r>
      <w:r>
        <w:t>, Zhiqi Liu</w:t>
      </w:r>
      <w:r>
        <w:rPr>
          <w:vertAlign w:val="superscript"/>
        </w:rPr>
        <w:t>1</w:t>
      </w:r>
      <w:r>
        <w:t>, Liqi Feng</w:t>
      </w:r>
      <w:r>
        <w:rPr>
          <w:vertAlign w:val="superscript"/>
        </w:rPr>
        <w:t>1</w:t>
      </w:r>
      <w:r>
        <w:t>, Qi Zheng</w:t>
      </w:r>
      <w:r>
        <w:rPr>
          <w:vertAlign w:val="superscript"/>
        </w:rPr>
        <w:t>1</w:t>
      </w:r>
      <w:r>
        <w:t>, Tao Zhou</w:t>
      </w:r>
      <w:r>
        <w:rPr>
          <w:vertAlign w:val="superscript"/>
        </w:rPr>
        <w:t>1</w:t>
      </w:r>
      <w:r>
        <w:t>, Binjie Xu</w:t>
      </w:r>
      <w:r>
        <w:rPr>
          <w:vertAlign w:val="superscript"/>
        </w:rPr>
        <w:t>2</w:t>
      </w:r>
      <w:r>
        <w:t>, Yuntong Ma</w:t>
      </w:r>
      <w:r>
        <w:rPr>
          <w:vertAlign w:val="superscript"/>
        </w:rPr>
        <w:t>1*</w:t>
      </w:r>
      <w:r>
        <w:t>, Yuan Pan</w:t>
      </w:r>
      <w:r>
        <w:rPr>
          <w:vertAlign w:val="superscript"/>
        </w:rPr>
        <w:t>2*</w:t>
      </w:r>
    </w:p>
    <w:p w14:paraId="3CEA1070">
      <w:pPr>
        <w:spacing w:line="0" w:lineRule="atLeast"/>
      </w:pPr>
    </w:p>
    <w:p w14:paraId="57C3F2C2">
      <w:pPr>
        <w:spacing w:line="0" w:lineRule="atLeast"/>
      </w:pPr>
      <w:r>
        <w:rPr>
          <w:vertAlign w:val="superscript"/>
        </w:rPr>
        <w:t>1</w:t>
      </w:r>
      <w:r>
        <w:t>College of Pharmacy, Chengdu University of Traditional Chinese Medicine, Chengdu 611137, Sichuan, China</w:t>
      </w:r>
    </w:p>
    <w:p w14:paraId="7A855AEC">
      <w:pPr>
        <w:spacing w:line="0" w:lineRule="atLeast"/>
      </w:pPr>
      <w:r>
        <w:rPr>
          <w:vertAlign w:val="superscript"/>
        </w:rPr>
        <w:t>2</w:t>
      </w:r>
      <w:r>
        <w:t>Innovative Institute of Chinese Medicine and Pharmacy, Chengdu University of Traditional Chinese Medicine, Chengdu 611137, China</w:t>
      </w:r>
    </w:p>
    <w:p w14:paraId="733DD862">
      <w:pPr>
        <w:spacing w:line="0" w:lineRule="atLeast"/>
      </w:pPr>
    </w:p>
    <w:p w14:paraId="26A3203D">
      <w:pPr>
        <w:spacing w:line="0" w:lineRule="atLeast"/>
      </w:pPr>
      <w:r>
        <w:t>E-mail</w:t>
      </w:r>
      <w:r>
        <w:rPr>
          <w:lang w:eastAsia="zh-CN"/>
        </w:rPr>
        <w:t xml:space="preserve"> addresses of the co-authors</w:t>
      </w:r>
      <w:r>
        <w:t>:</w:t>
      </w:r>
    </w:p>
    <w:p w14:paraId="5B1888B8">
      <w:pPr>
        <w:spacing w:line="0" w:lineRule="atLeast"/>
        <w:rPr>
          <w:vertAlign w:val="superscript"/>
          <w:lang w:eastAsia="zh-CN"/>
        </w:rPr>
      </w:pPr>
      <w:r>
        <w:t>Zihan Li</w:t>
      </w:r>
      <w:r>
        <w:rPr>
          <w:lang w:eastAsia="zh-CN"/>
        </w:rPr>
        <w:t xml:space="preserve"> </w:t>
      </w:r>
      <w:r>
        <w:rPr>
          <w:lang w:eastAsia="zh-CN"/>
        </w:rPr>
        <w:tab/>
      </w:r>
      <w:r>
        <w:rPr>
          <w:lang w:eastAsia="zh-CN"/>
        </w:rPr>
        <w:tab/>
      </w:r>
      <w:r>
        <w:rPr>
          <w:lang w:eastAsia="zh-CN"/>
        </w:rPr>
        <w:t>(Leezihan1@outlook.com)</w:t>
      </w:r>
    </w:p>
    <w:p w14:paraId="5741DC66">
      <w:pPr>
        <w:spacing w:line="0" w:lineRule="atLeast"/>
        <w:rPr>
          <w:vertAlign w:val="superscript"/>
          <w:lang w:eastAsia="zh-CN"/>
        </w:rPr>
      </w:pPr>
      <w:r>
        <w:t>Zhiqi Liu</w:t>
      </w:r>
      <w:r>
        <w:tab/>
      </w:r>
      <w:r>
        <w:tab/>
      </w:r>
      <w:r>
        <w:rPr>
          <w:lang w:eastAsia="zh-CN"/>
        </w:rPr>
        <w:t>(1208263148@qq.com)</w:t>
      </w:r>
    </w:p>
    <w:p w14:paraId="14B121EE">
      <w:pPr>
        <w:spacing w:line="0" w:lineRule="atLeast"/>
        <w:rPr>
          <w:vertAlign w:val="superscript"/>
          <w:lang w:eastAsia="zh-CN"/>
        </w:rPr>
      </w:pPr>
      <w:r>
        <w:t>Liqi Feng</w:t>
      </w:r>
      <w:r>
        <w:rPr>
          <w:lang w:eastAsia="zh-CN"/>
        </w:rPr>
        <w:t xml:space="preserve"> </w:t>
      </w:r>
      <w:r>
        <w:rPr>
          <w:lang w:eastAsia="zh-CN"/>
        </w:rPr>
        <w:tab/>
      </w:r>
      <w:r>
        <w:rPr>
          <w:lang w:eastAsia="zh-CN"/>
        </w:rPr>
        <w:tab/>
      </w:r>
      <w:r>
        <w:rPr>
          <w:lang w:eastAsia="zh-CN"/>
        </w:rPr>
        <w:t>(614207514@qq.com)</w:t>
      </w:r>
    </w:p>
    <w:p w14:paraId="6A6F5803">
      <w:pPr>
        <w:spacing w:line="0" w:lineRule="atLeast"/>
        <w:rPr>
          <w:vertAlign w:val="superscript"/>
          <w:lang w:eastAsia="zh-CN"/>
        </w:rPr>
      </w:pPr>
      <w:r>
        <w:t>Qi Zheng</w:t>
      </w:r>
      <w:r>
        <w:rPr>
          <w:lang w:eastAsia="zh-CN"/>
        </w:rPr>
        <w:t xml:space="preserve"> </w:t>
      </w:r>
      <w:r>
        <w:rPr>
          <w:lang w:eastAsia="zh-CN"/>
        </w:rPr>
        <w:tab/>
      </w:r>
      <w:r>
        <w:rPr>
          <w:lang w:eastAsia="zh-CN"/>
        </w:rPr>
        <w:tab/>
      </w:r>
      <w:r>
        <w:rPr>
          <w:lang w:eastAsia="zh-CN"/>
        </w:rPr>
        <w:t>(951730945@qq.com)</w:t>
      </w:r>
    </w:p>
    <w:p w14:paraId="4C905FE7">
      <w:pPr>
        <w:spacing w:line="0" w:lineRule="atLeast"/>
        <w:rPr>
          <w:vertAlign w:val="superscript"/>
          <w:lang w:eastAsia="zh-CN"/>
        </w:rPr>
      </w:pPr>
      <w:r>
        <w:t>Tao Zhou</w:t>
      </w:r>
      <w:r>
        <w:rPr>
          <w:lang w:eastAsia="zh-CN"/>
        </w:rPr>
        <w:t xml:space="preserve"> </w:t>
      </w:r>
      <w:r>
        <w:rPr>
          <w:lang w:eastAsia="zh-CN"/>
        </w:rPr>
        <w:tab/>
      </w:r>
      <w:r>
        <w:rPr>
          <w:lang w:eastAsia="zh-CN"/>
        </w:rPr>
        <w:tab/>
      </w:r>
      <w:r>
        <w:rPr>
          <w:lang w:eastAsia="zh-CN"/>
        </w:rPr>
        <w:t>(364462907@qq.com)</w:t>
      </w:r>
    </w:p>
    <w:p w14:paraId="59BC0193">
      <w:pPr>
        <w:spacing w:line="0" w:lineRule="atLeast"/>
        <w:rPr>
          <w:vertAlign w:val="superscript"/>
          <w:lang w:eastAsia="zh-CN"/>
        </w:rPr>
      </w:pPr>
      <w:r>
        <w:t>Binjie Xu</w:t>
      </w:r>
      <w:r>
        <w:rPr>
          <w:lang w:eastAsia="zh-CN"/>
        </w:rPr>
        <w:t xml:space="preserve"> </w:t>
      </w:r>
      <w:r>
        <w:rPr>
          <w:lang w:eastAsia="zh-CN"/>
        </w:rPr>
        <w:tab/>
      </w:r>
      <w:r>
        <w:rPr>
          <w:lang w:eastAsia="zh-CN"/>
        </w:rPr>
        <w:tab/>
      </w:r>
      <w:r>
        <w:rPr>
          <w:lang w:eastAsia="zh-CN"/>
        </w:rPr>
        <w:t>(binjiexu@outlook.com)</w:t>
      </w:r>
    </w:p>
    <w:p w14:paraId="26534D3F">
      <w:pPr>
        <w:spacing w:line="0" w:lineRule="atLeast"/>
      </w:pPr>
    </w:p>
    <w:p w14:paraId="64C733D7">
      <w:pPr>
        <w:spacing w:line="0" w:lineRule="atLeast"/>
        <w:rPr>
          <w:lang w:eastAsia="zh-CN"/>
        </w:rPr>
      </w:pPr>
      <w:r>
        <w:rPr>
          <w:vertAlign w:val="superscript"/>
          <w:lang w:eastAsia="zh-CN"/>
        </w:rPr>
        <w:t>*</w:t>
      </w:r>
      <w:r>
        <w:rPr>
          <w:lang w:eastAsia="zh-CN"/>
        </w:rPr>
        <w:t>Corresponding authors:</w:t>
      </w:r>
    </w:p>
    <w:p w14:paraId="65BC5CF6">
      <w:pPr>
        <w:spacing w:line="0" w:lineRule="atLeast"/>
        <w:rPr>
          <w:lang w:eastAsia="zh-CN"/>
        </w:rPr>
      </w:pPr>
      <w:r>
        <w:t xml:space="preserve">Yuntong Ma </w:t>
      </w:r>
      <w:r>
        <w:tab/>
      </w:r>
      <w:r>
        <w:tab/>
      </w:r>
      <w:r>
        <w:t xml:space="preserve">(mayuntong@cdutcm.edu.cn) </w:t>
      </w:r>
    </w:p>
    <w:p w14:paraId="491CA3A9">
      <w:pPr>
        <w:spacing w:line="0" w:lineRule="atLeast"/>
      </w:pPr>
      <w:r>
        <w:t xml:space="preserve">Yuan Pan </w:t>
      </w:r>
      <w:r>
        <w:tab/>
      </w:r>
      <w:r>
        <w:tab/>
      </w:r>
      <w:r>
        <w:t>(panyuan1129@163.com)</w:t>
      </w:r>
    </w:p>
    <w:p w14:paraId="6ABF5B17">
      <w:pPr>
        <w:spacing w:line="0" w:lineRule="atLeast"/>
      </w:pPr>
    </w:p>
    <w:p w14:paraId="47093F47">
      <w:pPr>
        <w:spacing w:line="0" w:lineRule="atLeast"/>
        <w:rPr>
          <w:lang w:eastAsia="zh-CN"/>
        </w:rPr>
      </w:pPr>
      <w:r>
        <w:rPr>
          <w:b/>
          <w:bCs/>
        </w:rPr>
        <w:t>KEYWORDS</w:t>
      </w:r>
      <w:r>
        <w:rPr>
          <w:b/>
          <w:bCs/>
          <w:lang w:eastAsia="zh-CN"/>
        </w:rPr>
        <w:t>:</w:t>
      </w:r>
      <w:r>
        <w:rPr>
          <w:lang w:eastAsia="zh-CN"/>
        </w:rPr>
        <w:t xml:space="preserve"> </w:t>
      </w:r>
    </w:p>
    <w:p w14:paraId="48CD7097">
      <w:pPr>
        <w:spacing w:line="0" w:lineRule="atLeast"/>
        <w:rPr>
          <w:lang w:eastAsia="zh-CN"/>
        </w:rPr>
      </w:pPr>
      <w:r>
        <w:t>tropane alkaloids</w:t>
      </w:r>
      <w:r>
        <w:rPr>
          <w:lang w:eastAsia="zh-CN"/>
        </w:rPr>
        <w:t xml:space="preserve">, </w:t>
      </w:r>
      <w:r>
        <w:t>traditional Chinese medicine</w:t>
      </w:r>
      <w:r>
        <w:rPr>
          <w:lang w:eastAsia="zh-CN"/>
        </w:rPr>
        <w:t xml:space="preserve">, </w:t>
      </w:r>
      <w:r>
        <w:t>HPLC-QQQ-MS</w:t>
      </w:r>
    </w:p>
    <w:p w14:paraId="4E87814C">
      <w:pPr>
        <w:spacing w:line="0" w:lineRule="atLeast"/>
      </w:pPr>
    </w:p>
    <w:p w14:paraId="4A16733F">
      <w:pPr>
        <w:spacing w:line="0" w:lineRule="atLeast"/>
      </w:pPr>
      <w:r>
        <w:rPr>
          <w:b/>
        </w:rPr>
        <w:t>SUMMARY:</w:t>
      </w:r>
      <w:r>
        <w:t xml:space="preserve"> </w:t>
      </w:r>
    </w:p>
    <w:p w14:paraId="5A501552">
      <w:pPr>
        <w:spacing w:line="0" w:lineRule="atLeast"/>
      </w:pPr>
      <w:r>
        <w:t>This study developed a high-performance liquid chromatography coupled with triple quadrupole mass spectrometry (HPLC-QQQ-MS) method to identify and quantify tropane alkaloids (</w:t>
      </w:r>
      <w:r>
        <w:rPr>
          <w:lang w:eastAsia="zh-CN"/>
        </w:rPr>
        <w:t>h</w:t>
      </w:r>
      <w:r>
        <w:t xml:space="preserve">yoscyamine, </w:t>
      </w:r>
      <w:r>
        <w:rPr>
          <w:lang w:eastAsia="zh-CN"/>
        </w:rPr>
        <w:t>a</w:t>
      </w:r>
      <w:r>
        <w:t xml:space="preserve">nisodamine, </w:t>
      </w:r>
      <w:r>
        <w:rPr>
          <w:lang w:eastAsia="zh-CN"/>
        </w:rPr>
        <w:t>s</w:t>
      </w:r>
      <w:r>
        <w:t xml:space="preserve">copolamine) in </w:t>
      </w:r>
      <w:r>
        <w:rPr>
          <w:i/>
          <w:iCs/>
        </w:rPr>
        <w:t>Anisodus tanguticus</w:t>
      </w:r>
      <w:r>
        <w:t>. The method proved rapid, accurate, and reliable for high-throughput analysis of medicinal plants.</w:t>
      </w:r>
    </w:p>
    <w:p w14:paraId="4D4ED809">
      <w:pPr>
        <w:spacing w:line="0" w:lineRule="atLeast"/>
      </w:pPr>
    </w:p>
    <w:p w14:paraId="64C2A4AA">
      <w:pPr>
        <w:spacing w:line="0" w:lineRule="atLeast"/>
      </w:pPr>
      <w:r>
        <w:rPr>
          <w:b/>
        </w:rPr>
        <w:t>ABSTRACT:</w:t>
      </w:r>
      <w:r>
        <w:t xml:space="preserve"> </w:t>
      </w:r>
    </w:p>
    <w:p w14:paraId="1A33EDF8">
      <w:pPr>
        <w:spacing w:line="0" w:lineRule="atLeast"/>
      </w:pPr>
      <w:r>
        <w:rPr>
          <w:i/>
          <w:iCs/>
        </w:rPr>
        <w:t>Anisodus tanguticus</w:t>
      </w:r>
      <w:r>
        <w:t xml:space="preserve"> is an important Tibetan medicinal plant. The tropane alkaloids (TAs), such as hyoscyamine, anisodamine, and scopolamine, exhibit significant analgesic and sedative pharmacological activities, making this species a valuable natural source for extracting these bioactive compounds. However, the chemical composition of </w:t>
      </w:r>
      <w:r>
        <w:rPr>
          <w:i/>
          <w:iCs/>
        </w:rPr>
        <w:t>A. tanguticus</w:t>
      </w:r>
      <w:r>
        <w:t xml:space="preserve"> is highly complex. It includes a large number of compounds without elucidated structures, rendering systematic identification and structural characterization of its active constituents particularly important. Although high-performance liquid chromatography (HPLC) has been widely used for the separation of extracts from this plant, many unknown components remain challenging to accurately identify, even with spectral database matching.</w:t>
      </w:r>
    </w:p>
    <w:p w14:paraId="553CFF43">
      <w:pPr>
        <w:spacing w:line="0" w:lineRule="atLeast"/>
        <w:ind w:firstLine="480" w:firstLineChars="200"/>
      </w:pPr>
    </w:p>
    <w:p w14:paraId="201981B6">
      <w:pPr>
        <w:spacing w:line="0" w:lineRule="atLeast"/>
      </w:pPr>
      <w:r>
        <w:t xml:space="preserve">This study established an analytical method based on high-performance liquid chromatography coupled with triple quadrupole mass spectrometry (HPLC-QQQ-MS) for the determination of tropane alkaloids in </w:t>
      </w:r>
      <w:r>
        <w:rPr>
          <w:i/>
          <w:iCs/>
        </w:rPr>
        <w:t>A. tanguticus</w:t>
      </w:r>
      <w:r>
        <w:t xml:space="preserve">. The method encompasses a series of systematic procedures, including standardized sample preparation, mass spectrometric parameter configuration, LC pre-equilibration, method establishment, acquisition of MS data, multistage mass spectrometry (MSⁿ) scanning, and manual data interpretation. Using this strategy, we successfully identified three representative tropane alkaloids in </w:t>
      </w:r>
      <w:r>
        <w:rPr>
          <w:i/>
          <w:iCs/>
        </w:rPr>
        <w:t>A. tanguticus</w:t>
      </w:r>
      <w:r>
        <w:rPr>
          <w:lang w:eastAsia="zh-CN"/>
        </w:rPr>
        <w:t>: h</w:t>
      </w:r>
      <w:r>
        <w:t xml:space="preserve">yoscyamine, </w:t>
      </w:r>
      <w:r>
        <w:rPr>
          <w:lang w:eastAsia="zh-CN"/>
        </w:rPr>
        <w:t>a</w:t>
      </w:r>
      <w:r>
        <w:t xml:space="preserve">nisodamine, and </w:t>
      </w:r>
      <w:r>
        <w:rPr>
          <w:lang w:eastAsia="zh-CN"/>
        </w:rPr>
        <w:t>s</w:t>
      </w:r>
      <w:r>
        <w:t xml:space="preserve">copolamine. Additionally, it validates the precision of the established HPLC-QQQ-MS method, confirming that the method is rapid, sensitive, feasible, and accurate for the quantitative determination of tropane alkaloids (TAs) in </w:t>
      </w:r>
      <w:r>
        <w:rPr>
          <w:i/>
          <w:iCs/>
        </w:rPr>
        <w:t>A.</w:t>
      </w:r>
      <w:r>
        <w:rPr>
          <w:i/>
          <w:iCs/>
          <w:lang w:eastAsia="zh-CN"/>
        </w:rPr>
        <w:t xml:space="preserve"> </w:t>
      </w:r>
      <w:r>
        <w:rPr>
          <w:i/>
          <w:iCs/>
        </w:rPr>
        <w:t>tanguticus.</w:t>
      </w:r>
      <w:r>
        <w:t xml:space="preserve"> The established approach demonstrates good versatility and reliability, and is suitable for the high-throughput identification and quantification of tropane alkaloids in </w:t>
      </w:r>
      <w:r>
        <w:rPr>
          <w:i/>
          <w:iCs/>
        </w:rPr>
        <w:t>A. tanguticus</w:t>
      </w:r>
      <w:r>
        <w:t xml:space="preserve"> and other medicinal plants.</w:t>
      </w:r>
    </w:p>
    <w:p w14:paraId="17F5DF2F">
      <w:pPr>
        <w:spacing w:line="0" w:lineRule="atLeast"/>
      </w:pPr>
    </w:p>
    <w:p w14:paraId="0A6FF0B3">
      <w:pPr>
        <w:spacing w:line="0" w:lineRule="atLeast"/>
      </w:pPr>
      <w:r>
        <w:rPr>
          <w:b/>
        </w:rPr>
        <w:t>INTRODUCTION:</w:t>
      </w:r>
      <w:r>
        <w:t xml:space="preserve"> </w:t>
      </w:r>
    </w:p>
    <w:p w14:paraId="0371C352">
      <w:pPr>
        <w:spacing w:line="0" w:lineRule="atLeast"/>
      </w:pPr>
      <w:r>
        <w:t>The therapeutic efficacy of traditional Chinese medicine (TCM) largely depends on its secondary metabolites, such as alkaloids, flavonoids, terpenoids, and other active constituents</w:t>
      </w:r>
      <w:r>
        <w:fldChar w:fldCharType="begin"/>
      </w:r>
      <w:r>
        <w:instrText xml:space="preserve"> ADDIN ZOTERO_ITEM CSL_CITATION {"citationID":"ndJxhKbn","properties":{"formattedCitation":"\\super 1\\uc0\\u8211{}3\\nosupersub{}","plainCitation":"1–3","noteIndex":0},"citationItems":[{"id":1889,"uris":["http://zotero.org/users/12262172/items/T2PVBPCC"],"itemData":{"id":1889,"type":"article-journal","abstract":"Plant metabolites are the components endowing traditional Chinese medicine (TCM) with therapeutic effects, and, simultaneously, they are the primary targets for quality control. From germplasm selection and origin determination to field management, growth duration, harvesting and processing, and, finally, storage and transportation, each step profoundly influences TCM quality. The complexity of these plant or herb metabolites poses numerous quality control challenges. Metabolomics, as a comprehensive and systematic approach, has demonstrated value in this field. This technique not only meets the requirements for studying the complex mechanisms of TCM but also has significant advantages in identifying the TCM components, including active components. Therefore, in this article, several key factors affecting the chemical characteristics and quality traits of TCM, including their origin, harvesting period, medicinal parts, and processing methods, are researched. Additionally, the current challenges of integrating metabolomics with other omics technologies (transcriptomics, spatial metabolomics, etc.) are discussed. Furthermore, a future development trends and prospects are highlighted. With the continuous deepening of research and ongoing updates in technological capabilities, metabolomics will play an increasingly important role in the quality control of TCM, providing more scientific and robust support for quality assurance and safety evaluation.","container-title":"Frontiers in Plant Science","DOI":"10.3389/fpls.2024.1463666","ISSN":"1664-462X","journalAbbreviation":"Front Plant Sci","language":"eng","note":"TLDR: Several key factors affecting the chemical characteristics and quality traits of TCM, including their origin, harvesting period, medicinal parts, and processing methods, are researched.","page":"1463666","PMID":"39619843","PMCID":"PMC11604444","source":"PubMed","title":"Application of metabolomics in quality control of traditional Chinese medicines: a review","title-short":"Application of metabolomics in quality control of traditional Chinese medicines","volume":"15","author":[{"family":"Ji","given":"Peiran"},{"family":"Yang","given":"Xinquan"},{"family":"Zhao","given":"Xiangsheng"}],"issued":{"date-parts":[["2024"]]}},"label":"page"},{"id":1903,"uris":["http://zotero.org/users/12262172/items/9GADCJ62"],"itemData":{"id":1903,"type":"article-journal","abstract":"Mu Dan Pi is a traditional Chinese medicine used to treat inflammation, cancer, allergies, diabetes, angiocardiopathy, and neurodegenerative diseases. In this study, the metabolome variation within Mu Dan Pi collected from 372 tree peony cultivars was systematically investigated. In total, 42 metabolites were identified, comprising of 14 monoterpene glucosides, 11 tannins, 8 paeonols, 6 flavonoids, and 3 phenols. All cultivars revealed similar metabolite profiles, however, they were further classified into seven groups on the basis of their varying metabolite contents by hierarchical cluster analysis. Traditional cultivars for Mu Dan Pi were found to have very low metabolite contents, falling into clusters I and II. Cultivars with the highest amounts of metabolites were grouped in clusters VI and VII. Five potential cultivars, namely, 'Bai Yuan Qi Guan', 'Cao Zhou Hong', 'Da Zong Zi', 'Sheng Dan Lu', and 'Cheng Xin', with high contents of monoterpene glycosides, tannins, and paeonols, were further screened. Interestingly, the majority of investigated cultivars had relatively higher metabolite contents compared to the traditional medicinal tree peony cultivars.","container-title":"Phytochemistry","DOI":"10.1016/j.phytochem.2017.11.008","ISSN":"1873-3700","journalAbbreviation":"Phytochemistry","language":"eng","note":"TLDR: Interestingly, the majority of investigated cultivars had relatively higher metabolite contents compared to the traditional medicinal tree peony cultivars.\nCitations: 47 (Crossref) [2025-11-09]\nCitations: 45 (SemanticScholar) [2025-11-09]","page":"16-24","PMID":"29207319","source":"PubMed","title":"Phytochemical variation among the traditional Chinese medicine mu dan pi from paeonia suffruticosa (tree peony)","volume":"146","author":[{"family":"Li","given":"Shan-Shan"},{"family":"Wu","given":"Qian"},{"family":"Yin","given":"Dan-Dan"},{"family":"Feng","given":"Cheng-Yong"},{"family":"Liu","given":"Zheng-An"},{"family":"Wang","given":"Liang-Sheng"}],"issued":{"date-parts":[["2018",2]]}}},{"id":1900,"uris":["http://zotero.org/users/12262172/items/TY23YKSH"],"itemData":{"id":1900,"type":"article-journal","abstract":"Pinelliae rhizoma\n              (PR), one kind of commonly-used Chinese herbs, is generally prescribed to treat various respiratory diseases, including acute lung injury (ALI). However, the accurate bioactive ingredients of PR and the underlying pharmacological mechanism have both not been fully elucidated. Therefore, this study aimed to identify the bioactive ingredients that could alleviate lipopolysaccharide (LPS)-induced ALI and explore the possible mechanism involved. Our results confirmed that LPS infection indeed caused acute inflammatory damage in mice lung, accompanying with the enhancement of IL-1β contents and the activation of the NLRP3 inflammasome in lung tissue and macrophagocyte, all of which were remarkably ameliorated by PR treatment. Next, mechanistically, LPS was found to trigger endoplasmic reticulum (ER) stress and downstream cellular calcium ions (Ca\n              2+\n              ) release\n              via\n              activating Bip/ATF4/CHOP signaling pathway. Like PR, 4-PBA (a specific inhibitor of ER stress) not only obviously reversed Bip/ATF4/CHOP-mediated ER stress, but also significantly attenuated LPS-induced activation of the NLRP3 inflammasome. Furthermore, the bioactive ingredients of PR, which generated the anti-inflammatory effects, were screened by metabolomics and network pharmacology.\n              In vitro\n              experiments showed that chrysin, dihydrocapsaicin, and 7,8-dihydroxyflavone (7,8-DHF) notably suppressed LPS-induced ER stress and following NLRP3 inflammasome activation. In conclusion, our findings suggested that PR alleviated LPS-induced ALI by inhibiting ER stress-mediated NLRP3 inflammasome activation, which is mainly relevant with these three bioactive ingredients. This study provided a theoretical basis for the clinical application of PR to treat ALI, and these bioactive ingredients of PR would be promising therapeutic drugs for the treatment of ALI.","container-title":"Frontiers in Pharmacology","DOI":"10.3389/fphar.2022.883865","ISSN":"1663-9812","journalAbbreviation":"Front. Pharmacol.","language":"en","note":"Citations: 18 (SemanticScholar) [2025-11-09]\nTLDR: It is suggested that PR alleviated LPS-induced ALI by inhibiting ER stress-mediated NLRP3 inflammasome activation, which is mainly relevant with these three bioactive ingredients.","page":"883865","source":"DOI.org (Crossref)","title":"Pinelliae rhizoma alleviated acute lung injury induced by lipopolysaccharide via suppressing endoplasmic reticulum stress-mediated NLRP3 inflammasome","volume":"13","author":[{"family":"Wang","given":"Ning-ning"},{"family":"Zhang","given":"Xian-xie"},{"family":"Shen","given":"Pan"},{"family":"Huang","given":"Cong-shu"},{"family":"Deng","given":"Hui-fang"},{"family":"Zhou","given":"Lei"},{"family":"Yue","given":"Lan-xin"},{"family":"Shen","given":"Bao-ying"},{"family":"Zhou","given":"Wei"},{"family":"Gao","given":"Yue"}],"issued":{"date-parts":[["2022",8,15]]}},"label":"page"}],"schema":"https://github.com/citation-style-language/schema/raw/master/csl-citation.json"} </w:instrText>
      </w:r>
      <w:r>
        <w:fldChar w:fldCharType="separate"/>
      </w:r>
      <w:r>
        <w:rPr>
          <w:vertAlign w:val="superscript"/>
        </w:rPr>
        <w:t>1–3</w:t>
      </w:r>
      <w:r>
        <w:fldChar w:fldCharType="end"/>
      </w:r>
      <w:r>
        <w:t>. Consequently, the precise and sensitive qualitative and quantitative analysis of specific target metabolites in these complex mixtures is a key step in ensuring the quality of TCM, elucidating the material basis of its efficacy, and advancing modern research</w:t>
      </w:r>
      <w:r>
        <w:fldChar w:fldCharType="begin"/>
      </w:r>
      <w:r>
        <w:instrText xml:space="preserve"> ADDIN ZOTERO_ITEM CSL_CITATION {"citationID":"N4nx5hJd","properties":{"formattedCitation":"\\super 3\\nosupersub{}","plainCitation":"3","noteIndex":0},"citationItems":[{"id":1900,"uris":["http://zotero.org/users/12262172/items/TY23YKSH"],"itemData":{"id":1900,"type":"article-journal","abstract":"Pinelliae rhizoma\n              (PR), one kind of commonly-used Chinese herbs, is generally prescribed to treat various respiratory diseases, including acute lung injury (ALI). However, the accurate bioactive ingredients of PR and the underlying pharmacological mechanism have both not been fully elucidated. Therefore, this study aimed to identify the bioactive ingredients that could alleviate lipopolysaccharide (LPS)-induced ALI and explore the possible mechanism involved. Our results confirmed that LPS infection indeed caused acute inflammatory damage in mice lung, accompanying with the enhancement of IL-1β contents and the activation of the NLRP3 inflammasome in lung tissue and macrophagocyte, all of which were remarkably ameliorated by PR treatment. Next, mechanistically, LPS was found to trigger endoplasmic reticulum (ER) stress and downstream cellular calcium ions (Ca\n              2+\n              ) release\n              via\n              activating Bip/ATF4/CHOP signaling pathway. Like PR, 4-PBA (a specific inhibitor of ER stress) not only obviously reversed Bip/ATF4/CHOP-mediated ER stress, but also significantly attenuated LPS-induced activation of the NLRP3 inflammasome. Furthermore, the bioactive ingredients of PR, which generated the anti-inflammatory effects, were screened by metabolomics and network pharmacology.\n              In vitro\n              experiments showed that chrysin, dihydrocapsaicin, and 7,8-dihydroxyflavone (7,8-DHF) notably suppressed LPS-induced ER stress and following NLRP3 inflammasome activation. In conclusion, our findings suggested that PR alleviated LPS-induced ALI by inhibiting ER stress-mediated NLRP3 inflammasome activation, which is mainly relevant with these three bioactive ingredients. This study provided a theoretical basis for the clinical application of PR to treat ALI, and these bioactive ingredients of PR would be promising therapeutic drugs for the treatment of ALI.","container-title":"Frontiers in Pharmacology","DOI":"10.3389/fphar.2022.883865","ISSN":"1663-9812","journalAbbreviation":"Front. Pharmacol.","language":"en","note":"Citations: 18 (SemanticScholar) [2025-11-09]\nTLDR: It is suggested that PR alleviated LPS-induced ALI by inhibiting ER stress-mediated NLRP3 inflammasome activation, which is mainly relevant with these three bioactive ingredients.","page":"883865","source":"DOI.org (Crossref)","title":"Pinelliae rhizoma alleviated acute lung injury induced by lipopolysaccharide via suppressing endoplasmic reticulum stress-mediated NLRP3 inflammasome","volume":"13","author":[{"family":"Wang","given":"Ning-ning"},{"family":"Zhang","given":"Xian-xie"},{"family":"Shen","given":"Pan"},{"family":"Huang","given":"Cong-shu"},{"family":"Deng","given":"Hui-fang"},{"family":"Zhou","given":"Lei"},{"family":"Yue","given":"Lan-xin"},{"family":"Shen","given":"Bao-ying"},{"family":"Zhou","given":"Wei"},{"family":"Gao","given":"Yue"}],"issued":{"date-parts":[["2022",8,15]]}}}],"schema":"https://github.com/citation-style-language/schema/raw/master/csl-citation.json"} </w:instrText>
      </w:r>
      <w:r>
        <w:fldChar w:fldCharType="separate"/>
      </w:r>
      <w:r>
        <w:rPr>
          <w:vertAlign w:val="superscript"/>
        </w:rPr>
        <w:t>3</w:t>
      </w:r>
      <w:r>
        <w:fldChar w:fldCharType="end"/>
      </w:r>
      <w:r>
        <w:t>. However, the diversity and complexity of TCM components, coupled with the extremely low concentrations of many key active ingredients, present considerable challenges for achieving efficient and accurate detection.</w:t>
      </w:r>
    </w:p>
    <w:p w14:paraId="3E5ECE6C">
      <w:pPr>
        <w:spacing w:line="0" w:lineRule="atLeast"/>
        <w:rPr>
          <w:lang w:eastAsia="zh-CN"/>
        </w:rPr>
      </w:pPr>
    </w:p>
    <w:p w14:paraId="5621D076">
      <w:pPr>
        <w:spacing w:line="0" w:lineRule="atLeast"/>
        <w:rPr>
          <w:lang w:eastAsia="zh-CN"/>
        </w:rPr>
      </w:pPr>
      <w:r>
        <w:rPr>
          <w:i/>
          <w:iCs/>
        </w:rPr>
        <w:t>Anisodus tanguticus</w:t>
      </w:r>
      <w:r>
        <w:t xml:space="preserve"> (Maxim.) Pascher</w:t>
      </w:r>
      <w:r>
        <w:rPr>
          <w:shd w:val="clear" w:color="auto" w:fill="FFFFFF"/>
        </w:rPr>
        <w:t xml:space="preserve"> </w:t>
      </w:r>
      <w:r>
        <w:t>represents a major botanical source of tropane alkaloids (TAs)</w:t>
      </w:r>
      <w:r>
        <w:fldChar w:fldCharType="begin"/>
      </w:r>
      <w:r>
        <w:instrText xml:space="preserve"> ADDIN ZOTERO_ITEM CSL_CITATION {"citationID":"p3clhEQB","properties":{"formattedCitation":"\\super 4\\nosupersub{}","plainCitation":"4","noteIndex":0},"citationItems":[{"id":2139,"uris":["http://zotero.org/users/12262172/items/Y5MC3DPV"],"itemData":{"id":2139,"type":"book","DOI":"10.1007/978-981-96-5805-3","ISBN":"978-981-96-5804-6","language":"en","license":"https://www.springernature.com/gp/researchers/text-and-data-mining","note":"Citations: 0 (Crossref) [2026-02-18]\nCitations: 0 (SemanticScholar) [2026-02-18]","publisher":"Springer Nature","publisher-place":"Singapore","source":"DOI.org (Crossref)","title":"Tropane alkaloids: Sources, chemistry, pharmacology and biotechnology","title-short":"Tropane Alkaloids","URL":"https://link.springer.com/10.1007/978-981-96-5805-3","editor":[{"family":"Pullaiah","given":"T."},{"family":"Giridhar","given":"Parvatam"},{"family":"Chen","given":"Zhe-Sheng"}],"accessed":{"date-parts":[["2026",2,18]]},"issued":{"date-parts":[["2025"]]}}}],"schema":"https://github.com/citation-style-language/schema/raw/master/csl-citation.json"} </w:instrText>
      </w:r>
      <w:r>
        <w:fldChar w:fldCharType="separate"/>
      </w:r>
      <w:r>
        <w:rPr>
          <w:vertAlign w:val="superscript"/>
        </w:rPr>
        <w:t>4</w:t>
      </w:r>
      <w:r>
        <w:fldChar w:fldCharType="end"/>
      </w:r>
      <w:r>
        <w:t>, known for its rich content of pharmacologically active tropane-type compounds</w:t>
      </w:r>
      <w:r>
        <w:fldChar w:fldCharType="begin"/>
      </w:r>
      <w:r>
        <w:instrText xml:space="preserve"> ADDIN ZOTERO_ITEM CSL_CITATION {"citationID":"uddkQRlK","properties":{"formattedCitation":"\\super 5\\nosupersub{}","plainCitation":"5","noteIndex":0},"citationItems":[{"id":1665,"uris":["http://zotero.org/users/12262172/items/5IPNLB36"],"itemData":{"id":1665,"type":"article-journal","abstract":"Anisodus tanguticus (Maxim.) Pascher, which is an important species used in traditional Tibetan medicine, is grown on the Qinghai–Tibet Plateau. A quantitative analysis of 18 elements in A. tanguticus and the soil was conducted using an inductively coupled plasma optical emission spectrometer. The elemental contents of A. tanguticus underwent principal component analysis, linear discriminant analysis, and orthogonal partial leastsquares discriminant analysis. Furthermore, elemental accumulation and elemental transfer coefficients were calculated, and the correlation between environmental factors and elemental content was further explored. The multivariate statistical results indicated that A. tanguticus plants can be distinguished by their geographical origin. Elemental accumulation and transfer patterns differed significantly among the analysed elements. Some positive or negative correlation relationships were found between environmental factors and contents in root parts of A. tanguticus. The present study provides an efficient and practical method to discriminate the geographical origin of A. tanguticus from different regions.","container-title":"Arabian Journal of Chemistry","DOI":"10.1016/j.arabjc.2024.105730","ISSN":"18785352","issue":"5","journalAbbreviation":"Arabian Journal of Chemistry","language":"en","note":"Citations: 3 (Crossref) [2025-10-11]\nCitations: 1 (SemanticScholar) [2025-10-11]","page":"105730","source":"DOI.org (Crossref)","title":"Geographical origin discrimination of anisodus tanguticus (maxim.): Chemometrics methods applied to ICP-OES analysis","title-short":"Geographical origin discrimination of Anisodus tanguticus (Maxim.)","volume":"17","author":[{"family":"Chen","given":"Chen"},{"family":"Wang","given":"Bo"},{"family":"Xiao","given":"Yuanming"},{"family":"Xiong","given":"Feng"},{"family":"Zhou","given":"Guoying"}],"issued":{"date-parts":[["2024",5]]}}}],"schema":"https://github.com/citation-style-language/schema/raw/master/csl-citation.json"} </w:instrText>
      </w:r>
      <w:r>
        <w:fldChar w:fldCharType="separate"/>
      </w:r>
      <w:r>
        <w:rPr>
          <w:vertAlign w:val="superscript"/>
        </w:rPr>
        <w:t>5</w:t>
      </w:r>
      <w:r>
        <w:fldChar w:fldCharType="end"/>
      </w:r>
      <w:r>
        <w:t xml:space="preserve">. Key characteristic alkaloids include </w:t>
      </w:r>
      <w:r>
        <w:rPr>
          <w:lang w:eastAsia="zh-CN"/>
        </w:rPr>
        <w:t>a</w:t>
      </w:r>
      <w:r>
        <w:t xml:space="preserve">nisodamine, </w:t>
      </w:r>
      <w:r>
        <w:rPr>
          <w:lang w:eastAsia="zh-CN"/>
        </w:rPr>
        <w:t>s</w:t>
      </w:r>
      <w:r>
        <w:t xml:space="preserve">copolamine, and </w:t>
      </w:r>
      <w:r>
        <w:rPr>
          <w:lang w:eastAsia="zh-CN"/>
        </w:rPr>
        <w:t>h</w:t>
      </w:r>
      <w:r>
        <w:t>yoscyamine, which share a common tropane core but exhibit distinct functional group substitutions (</w:t>
      </w:r>
      <w:r>
        <w:rPr>
          <w:b/>
          <w:bCs/>
        </w:rPr>
        <w:t>Figure 1</w:t>
      </w:r>
      <w:r>
        <w:t>), leading to divergent pharmacological profiles</w:t>
      </w:r>
      <w:r>
        <w:fldChar w:fldCharType="begin"/>
      </w:r>
      <w:r>
        <w:instrText xml:space="preserve"> ADDIN ZOTERO_ITEM CSL_CITATION {"citationID":"3yy2K56J","properties":{"formattedCitation":"\\super 6\\uc0\\u8211{}8\\nosupersub{}","plainCitation":"6–8","noteIndex":0},"citationItems":[{"id":1452,"uris":["http://zotero.org/users/12262172/items/KMB7IKWP"],"itemData":{"id":1452,"type":"article-journal","abstract":"Hyoscyamine, anisodamine (6 -hydroxyhyoscyamine) and scopolamine are tropane alkaloids produced by plants belonging to the Solanaceae family such as Brugmansia candida. These alkaloids were traditionally used in medicine because of their anticholinergic activity. Further therapeutical properties for anisodamine were recently described renewing the interest in these alkaloids. The scaling-up of hairy root cultures is an interesting strategy for the pharmaceutical production of these compounds instead of the isolation from plants. In this work, B. candida hairy roots were cultured in a modiﬁed 1.5 L stirred tank in order to analyze an alternative production system of scopolamine and anisodamine. It was found that these cultures produced an increased biomass and alkaloids concentration compared to the processes carried out in Erlenmeyer ﬂasks. Anisodamine was the predominant alkaloid reaching a maximum concentration of 10.05 ± 0.76 mg/g DW in modiﬁed bioreactor culture system. The results obtained in this work are potentially applicable for the rational scale-up of the process.","container-title":"Process Biochemistry","DOI":"10.1016/j.procbio.2010.06.002","ISSN":"13595113","issue":"9","journalAbbreviation":"Process Biochemistry","language":"en","license":"https://www.elsevier.com/tdm/userlicense/1.0/","note":"TLDR: It was found that hairy root cultures cultured in a modified 1.5 L stirred tank produced an increased biomass and alkaloids concentration compared to the processes carried out in Erlenmeyer flasks, potentially applicable for the rational scale-up of the process.\nCitations: 48 (Crossref) [2025-09-27]\nCitations: 54 (SemanticScholar) [2025-09-27]","page":"1577-1581","source":"DOI.org (Crossref)","title":"Scopolamine, anisodamine and hyoscyamine production by brugmansia candida hairy root cultures in bioreactors","volume":"45","author":[{"family":"Cardillo","given":"Alejandra Beatriz"},{"family":"Otálvaro","given":"A. Ángela María"},{"family":"Busto","given":"Víctor Daniel"},{"family":"Talou","given":"Julián Rodríguez"},{"family":"Velásquez","given":"L. Mario Enrique"},{"family":"Giulietti","given":"Ana María"}],"issued":{"date-parts":[["2010",9]]}}},{"id":1233,"uris":["http://zotero.org/users/12262172/items/NI9GVMGL"],"itemData":{"id":1233,"type":"article-journal","abstract":"A rapid and simple method was demonstrated for the analysis of atropine, anisodamine, and scopolamine by nonaqueous capillary electrophoresis (NACE) coupled with electrochemiluminescence (ECL) and electrochemistry (EC) dual detection. The mixture of acetonitrile (ACN) and 2-propanol containing 1M acetic acid (HAc), 20mM sodium acetate (NaAc), and 2.5mM tetrabutylammonium perchlorate (TBAP) was used as the electrophoretic buffer. Although a short capillary of 18cm was used, the decoupler was not needed and the separation efficiency was good. The linear ranges of atropine, anisodamine, and scopolamine were 0.5-50, 5-2000, and 50-2000microM, respectively. For six replicate measurements of 100microM scopolamine, 15microM atropine, and 200microM anisodamine, the RSDs of ECL intensity, EC current, and migration time were less than 3.6%, 4.5%, and 0.3%, respectively. In addition, because the organic buffer was used, the working electrode (Pt) was not easily fouled and did not need reactivation. The method was also applied for the determination of these three alkaloids in Flos daturae extract.","container-title":"Journal of Chromatography. A","DOI":"10.1016/j.chroma.2009.11.008","ISSN":"1873-3778","issue":"1","journalAbbreviation":"J Chromatogr A","language":"en-US","note":"remark: </w:instrText>
      </w:r>
      <w:r>
        <w:rPr>
          <w:rFonts w:hint="eastAsia"/>
        </w:rPr>
        <w:instrText xml:space="preserve">植物提取物中阿托品、茴香达明、东莨菪碱的同时测定，采用非水毛细管电泳耦合电化学发光和电化学双重检测</w:instrText>
      </w:r>
      <w:r>
        <w:instrText xml:space="preserve">\nTLDR: A rapid and simple method was demonstrated for the analysis of atropine, anisodamine, and scopolamine by nonaqueous capillary electrophoresis (NACE) coupled with electrochemiluminescence (ECL) and electrochemistry (EC) dual detection.\nCitations: 76 (Crossref) [2025-09-20]\nCitations: 76 (SemanticScholar) [2025-09-20]","page":"171-174","PMID":"19931863","source":"PubMed","title":"Simultaneous determination of atropine, anisodamine, and scopolamine in plant extract by nonaqueous capillary electrophoresis coupled with electrochemiluminescence and electrochemistry dual detection","volume":"1217","author":[{"family":"Yuan","given":"Baiqing"},{"family":"Zheng","given":"Chunying"},{"family":"Teng","given":"Hong"},{"family":"You","given":"Tianyan"}],"issued":{"date-parts":[["2010",1,1]]}}},{"id":1451,"uris":["http://zotero.org/users/12262172/items/7SLNB67J"],"itemData":{"id":1451,"type":"article-journal","container-title":"Journal of Separation Science","DOI":"10.1002/jssc.201400534","ISSN":"16159306","issue":"19","journalAbbreviation":"J. Sep. Science","language":"en","license":"http://doi.wiley.com/10.1002/tdm_license_1.1","note":"TLDR: A sensitive and specific high-performance liquid chromatography with tandem mass spectrometry method for the simultaneous determination of atropine, scopolamine, and anisodamine in rat plasma is developed and fully validated, using homatropine as an internal standard and applied to rat pharmacokinetics analysis of the three tropane alkaloids after oral administration of H. niger extract.\nCitations: 22 (Crossref) [2025-09-27]\nCitations: 19 (SemanticScholar) [2025-09-27]","page":"2664-2674","source":"DOI.org (Crossref)","title":"Simultaneous determination of atropine, scopolamine, and anisodamine from &lt;i&gt;hyoscyamus niger&lt;/i&gt; L. in rat plasma by high-performance liquid chromatography with tandem mass spectrometry and its application to a pharmacokinetics study: Liquid chromatography","title-short":"Simultaneous determination of atropine, scopolamine, and anisodamine from &lt;i&gt;Hyoscyamus niger&lt;/i&gt; L. in rat plasma by high-performance liquid chromatography with tandem mass spectrometry and its application to a pharmacokinetics study","volume":"37","author":[{"family":"Zhang","given":"Peiting"},{"family":"Li","given":"Yemeng"},{"family":"Liu","given":"Guanghui"},{"family":"Sun","given":"Xiuman"},{"family":"Zhou","given":"Yuting"},{"family":"Deng","given":"Xuejiao"},{"family":"Liao","given":"Qiongfeng"},{"family":"Xie","given":"Zhiyong"}],"issued":{"date-parts":[["2014",10]]}},"label":"page"}],"schema":"https://github.com/citation-style-language/schema/raw/master/csl-citation.json"} </w:instrText>
      </w:r>
      <w:r>
        <w:fldChar w:fldCharType="separate"/>
      </w:r>
      <w:r>
        <w:rPr>
          <w:vertAlign w:val="superscript"/>
        </w:rPr>
        <w:t>6–8</w:t>
      </w:r>
      <w:r>
        <w:fldChar w:fldCharType="end"/>
      </w:r>
      <w:r>
        <w:t xml:space="preserve">. While their structural similarities complicate chromatographic resolution, they also offer a valuable model for comparative phytochemical and metabolic investigations. Recent studies have investigated the chemical composition and geographical variations of </w:t>
      </w:r>
      <w:r>
        <w:rPr>
          <w:i/>
          <w:iCs/>
        </w:rPr>
        <w:t>A. tanguticus</w:t>
      </w:r>
      <w:r>
        <w:t xml:space="preserve"> using metabolomics and network pharmacology approaches</w:t>
      </w:r>
      <w:r>
        <w:fldChar w:fldCharType="begin"/>
      </w:r>
      <w:r>
        <w:instrText xml:space="preserve"> ADDIN ZOTERO_ITEM CSL_CITATION {"citationID":"sTTDhtRc","properties":{"formattedCitation":"\\super 9, 10\\nosupersub{}","plainCitation":"9, 10","noteIndex":0},"citationItems":[{"id":2134,"uris":["http://zotero.org/users/12262172/items/9W7DRGEI"],"itemData":{"id":2134,"type":"article-journal","abstract":"Anisodus tanguticus (Maxim.) Pascher, has been used for the treatment of septic shock, analgesia, motion sickness, and anesthesia in traditional Tibetan medicine for two thousand years. However, the chemical metabolites and geographical traceability and their network pharmacology are still unknown. A total of 71 samples of A. tanguticus were analysed by Ultra–Performance Liquid Chromatography Q–Exactive Mass Spectrometer in combination with chemometrics developed for the discrimination of A. tanguticus from different geographical origins. Then, network pharmacology analysis was used to integrate the information of the differential metabolite network to explore the mechanism of pharmacological activity. In this study, 29 metabolites were identified, including tropane alkaloids, hydroxycinnamic acid amides and coumarins. Principal component analysis (PCA) explained 49.5% of the total variance, and orthogonal partial least-squares discriminant analysis (OPLS</w:instrText>
      </w:r>
      <w:r>
        <w:rPr>
          <w:rFonts w:hint="eastAsia"/>
        </w:rPr>
        <w:instrText xml:space="preserve">–</w:instrText>
      </w:r>
      <w:r>
        <w:instrText xml:space="preserve">DA) showed good discrimination (R2Y= 0.921 and Q2= 0.839) for A. tanguticus samples. Nine differential metabolites accountable for such variations were identified through variable importance in the projection (VIP). Through network pharmacology, 19 components and 20 pathways were constructed and predicted for the pharmacological activity of A. tanguticus. These results confirmed that this method is accurate and effective for the geographic classification of A. tanguticus, and the integrated strategy of metabolomics and network pharmacology can explain well the “multicomponent - multitarget” mechanism of A. tanguticus.","container-title":"Frontiers in Plant Science","DOI":"10.3389/fpls.2022.927336","ISSN":"1664-462X","journalAbbreviation":"Front. Plant Sci.","language":"en-US","note":"Citations: 13 (Crossref) [2026-02-18]\nCitations: 14 (SemanticScholar) [2026-02-18]\nTLDR: Results confirmed that this method is accurate and effective for the geographic classification of A. tanguticus, and the integrated strategy of metabolomics and network pharmacology can explain well the “multicomponent—-multitarget” mechanism.","publisher":"Frontiers","source":"Frontiers","title":"Multivariate statistical analysis of metabolites in anisodus tanguticus (maxim.) pascher to determine geographical origins and network pharmacology","URL":"https://www.frontiersin.org/journals/plant-science/articles/10.3389/fpls.2022.927336/full","volume":"13","author":[{"family":"Chen","given":"Chen"},{"family":"Wang","given":"Bo"},{"family":"Li","given":"Jingjing"},{"family":"Xiong","given":"Feng"},{"family":"Zhou","given":"Guoying"}],"accessed":{"date-parts":[["2026",2,18]]},"issued":{"date-parts":[["2022",6,29]]}}},{"id":2133,"uris":["http://zotero.org/users/12262172/items/PZ4DFV9P"],"itemData":{"id":2133,"type":"article-journal","abstract":"Anisodus tanguticus (Maxim.) Pascher is an important Tibetan folk medicine and the source of tropane alkaloids (TAs) grown in Qinghai-Tibet Plateau. There are marked differences in quality of A. tanguticus from geographic areas. The aim of present research was to establish a method for the quantitative analysis of TAs coupled with chemometrics analysis to trace geographical origins. Qualitative analysis of TAs in A. tanguticus was carried out using ultra-performance liquid chromatography coupled with quadrupole time-of-ﬂight mass spectrometry and quantitative analysis of TAs in different plant organs from different geographical origin was achieved. Contents of TAs were subjected to the principal component analysis, and orthogonal partial least-squares discriminant analysis. The contents of the three marker compounds (anisodamine, anisodine and atropine) in the roots and acrial parts of A. tanguticus were positive correlated and varied signiﬁcantly from different geographical origins. Principal component analysis, and orthogonal partial least-squares discriminant analysis results showed excellent discrimination between different geographical origin of A. tanguticus. This study could provide comprehensive evaluation and further utilization of A. tanguticus resources.","container-title":"Acta Chromatographica","DOI":"10.1556/1326.2021.00952","ISSN":"1233-2356, 2083-5736","issue":"4","journalAbbreviation":"AChrom","language":"en","note":"Citations: 7 (Crossref) [2026-02-18]\nCitations: 6 (SemanticScholar) [2026-02-18]\nTLDR: Anisodus tanguticus (Maxim.) Pascher is an important Tibetan folk medicine and the source of tropane alkaloids (TAs) grown in Qinghai-Tibet Plateau and the method for the quantitative analysis of TAs coupled with chemometrics analysis to trace geographical origins was established.","page":"422-429","source":"DOI.org (Crossref)","title":"Multivariate statistical analysis of tropane alkaloids in anisodus tanguticus (maxim.) pascher from different regions to trace geographical origins","volume":"34","author":[{"family":"Chen","given":"Chen"},{"family":"Li","given":"Jingjing"},{"family":"Xiong","given":"Feng"},{"family":"Wang","given":"Bo"},{"family":"Xiao","given":"Yuanming"},{"family":"Zhou","given":"Guoying"}],"issued":{"date-parts":[["2022",9,1]]}},"label":"page"}],"schema":"https://github.com/citation-style-language/schema/raw/master/csl-citation.json"} </w:instrText>
      </w:r>
      <w:r>
        <w:fldChar w:fldCharType="separate"/>
      </w:r>
      <w:r>
        <w:rPr>
          <w:vertAlign w:val="superscript"/>
        </w:rPr>
        <w:t>9,10</w:t>
      </w:r>
      <w:r>
        <w:fldChar w:fldCharType="end"/>
      </w:r>
      <w:r>
        <w:t>. Current</w:t>
      </w:r>
      <w:r>
        <w:rPr>
          <w:shd w:val="clear" w:color="auto" w:fill="FFFFFF"/>
        </w:rPr>
        <w:t xml:space="preserve"> </w:t>
      </w:r>
      <w:r>
        <w:t xml:space="preserve">analytical approaches for </w:t>
      </w:r>
      <w:r>
        <w:rPr>
          <w:i/>
          <w:iCs/>
        </w:rPr>
        <w:t>A. tanguticus</w:t>
      </w:r>
      <w:r>
        <w:t xml:space="preserve"> metabolites predominantly rely on high-performance liquid chromatography (HPLC)</w:t>
      </w:r>
      <w:r>
        <w:fldChar w:fldCharType="begin"/>
      </w:r>
      <w:r>
        <w:instrText xml:space="preserve"> ADDIN ZOTERO_ITEM CSL_CITATION {"citationID":"PJCGcI72","properties":{"formattedCitation":"\\super 11\\nosupersub{}","plainCitation":"11","noteIndex":0},"citationItems":[{"id":1907,"uris":["http://zotero.org/users/12262172/items/9PUIZEB6"],"itemData":{"id":1907,"type":"article-journal","abstract":"A rapid method that does not require a complicated preparation was developed for determining by HPLC the content of atropine (At) and scopolamine (Sc) in a sample of scopolia extract powder. The sample solution for HPLC was extracted using 0.1 mol/L HCl/methanol (8:2). At and Sc were separated using a pentafluorophenylpropyl column and detected at a wavelength of 210 nm. Acetonitrile-10 mmol/L ammonium acetate adjusted to pH 5.0 (8:2, v/v) was used as the mobile phase. The linearity was good in the 5.0-500 μg/mL range for At and 0.5-500 μg/mL range for Sc. The specificity for both At and Sc was satisfactory. The quantitation limits were 5.0 μg/mL for At and 0.5 μg/mL for Sc. The quantitative values of total alkaloid calculated using this method were higher (1.3-3.7%) than those obtained using the Japanese Pharmacopoeia Fifteenth Edition (JP15) method. The precision of this method, measured as the standard deviation, was found to be satisfactory and comparable to that of the JP15 method, determined by an analysis of 3 commercial scopolia extract powder samples.","container-title":"Journal of Natural Medicines","DOI":"10.1007/s11418-010-0483-9","ISSN":"1861-0293","issue":"2","journalAbbreviation":"J Nat Med","language":"eng","note":"TLDR: The precision of this method, measured as the standard deviation, was found to be satisfactory and comparable to that of the JP15 method, determined by an analysis of 3 commercial scopolia extract powder samples.\nCitations: 16 (Crossref) [2025-11-09]\nCitations: 15 (SemanticScholar) [2025-11-09]","page":"395-399","PMID":"21076881","source":"PubMed","title":"Rapid determination of atropine and scopolamine content in scopolia extract powder by HPLC","volume":"65","author":[{"family":"Sawabe","given":"Yoshiyuki"},{"family":"Yamasaki","given":"Katsuhiro"},{"family":"Tagami","given":"Takaomi"},{"family":"Kawaguchi","given":"Masami"},{"family":"Taguchi","given":"Shuzo"}],"issued":{"date-parts":[["2011",4]]}}}],"schema":"https://github.com/citation-style-language/schema/raw/master/csl-citation.json"} </w:instrText>
      </w:r>
      <w:r>
        <w:fldChar w:fldCharType="separate"/>
      </w:r>
      <w:r>
        <w:rPr>
          <w:vertAlign w:val="superscript"/>
        </w:rPr>
        <w:t>11</w:t>
      </w:r>
      <w:r>
        <w:fldChar w:fldCharType="end"/>
      </w:r>
      <w:r>
        <w:t xml:space="preserve">. Nevertheless, tropane alkaloid levels in seedling-stage </w:t>
      </w:r>
      <w:r>
        <w:rPr>
          <w:i/>
          <w:iCs/>
        </w:rPr>
        <w:t>A. tanguticus</w:t>
      </w:r>
      <w:r>
        <w:t xml:space="preserve"> can be as low as 0.01% (one part per ten thousand), and conventional HPLC methods are often constrained by limited resolution, sensitivity, and analytical throughput. These limitations impede the complete separation of structurally analogous alkaloid homologs and hinder the detection of trace constituents, thereby compromising analytical accuracy and limiting support for more advanced research applications. In recent years, advancements in HPLC coupled with tandem mass spectrometry have provided powerful tools to address these analytical bottlenecks. High-performance liquid chromatography-triple quadrupole mass spectrometry (HPLC-QQQ-MS), in particular, offers markedly enhanced chromatographic resolution, separation efficiency, and exceptional sensitivity</w:t>
      </w:r>
      <w:r>
        <w:fldChar w:fldCharType="begin"/>
      </w:r>
      <w:r>
        <w:instrText xml:space="preserve"> ADDIN ZOTERO_ITEM CSL_CITATION {"citationID":"ps5BEdyV","properties":{"formattedCitation":"\\super 12\\uc0\\u8211{}14\\nosupersub{}","plainCitation":"12–14","noteIndex":0},"citationItems":[{"id":1911,"uris":["http://zotero.org/users/12262172/items/IM7TVHVX"],"itemData":{"id":1911,"type":"article-journal","abstract":"The routine techniques currently applied for the determination of nicotine and its major metabolites, cotinine, and trans-3</w:instrText>
      </w:r>
      <w:r>
        <w:rPr>
          <w:rFonts w:hint="eastAsia"/>
        </w:rPr>
        <w:instrText xml:space="preserve">′</w:instrText>
      </w:r>
      <w:r>
        <w:instrText xml:space="preserve">-hydroxycotinine, in biological ﬂuids, include spectrophotometric, immunoassays, and chromatographic techniques. The aim of this study was to develop, and compare two new chromatographic methods high-performance liquid chromatography coupled to triple quadrupole mass spectrometry (HPLC-QQQ-MS/MS), and RP-HPLC enriched with chaotropic additives, which would allow reliable conﬁrmation of tobacco smoke exposure in toxicological and epidemiological studies. The concentrations of analytes were determined in human plasma as the sample matrix. The methods were compared in terms of the linearity, accuracy, repeatability, detection and quantiﬁcation limits (LOD and LOQ), and recovery. The obtained validation parameters met the ICH requirements for both proposed procedures. However, the limits of detection (LOD) were much better for HPLC-QQQ-MS/MS (0.07 ng mL−1 for trans-3</w:instrText>
      </w:r>
      <w:r>
        <w:rPr>
          <w:rFonts w:hint="eastAsia"/>
        </w:rPr>
        <w:instrText xml:space="preserve">′</w:instrText>
      </w:r>
      <w:r>
        <w:instrText xml:space="preserve">-hydroxcotinine; 0.02 ng mL−1 for cotinine; 0.04 ng mL−1 for nicotine) in comparison to the RP-HPLC-DAD enriched with chaotropic additives (1.47 ng mL−1 for trans-3</w:instrText>
      </w:r>
      <w:r>
        <w:rPr>
          <w:rFonts w:hint="eastAsia"/>
        </w:rPr>
        <w:instrText xml:space="preserve">′</w:instrText>
      </w:r>
      <w:r>
        <w:instrText xml:space="preserve">-hydroxcotinine; 1.59 ng mL−1 for cotinine; 1.50 ng mL−1 for nicotine). The extraction efﬁciency (%) was concentration-dependent and ranged between 96.66% and 99.39% for RP-HPLC-DAD and 76.8% to 96.4% for HPLC-QQQ-MS/MS. The usefulness of the elaborated analytical methods was checked on the example of the analysis of a blood sample taken from a tobacco smoker. The nicotine, cotinine, and trans-3</w:instrText>
      </w:r>
      <w:r>
        <w:rPr>
          <w:rFonts w:hint="eastAsia"/>
        </w:rPr>
        <w:instrText xml:space="preserve">′</w:instrText>
      </w:r>
      <w:r>
        <w:instrText xml:space="preserve">-hydroxycotinine contents in the smoker’s plasma quantiﬁed by the RP-HPLC-DAD method differed from the values measured by the HPLC-QQQ-MS/MS. However, the relative errors of measurements were smaller than 10% (6.80%, 6.72%, 2.04% respectively).","container-title":"Molecules","DOI":"10.3390/molecules27030682","ISSN":"1420-3049","issue":"3","journalAbbreviation":"Molecules","language":"en","note":"Citations: 12 (SemanticScholar) [2025-11-09]\nTLDR: Two new chromatographic methods high-performance liquid chromatography coupled to triple quadrupole mass spectrometry (HPLC-QQQ-MS/MS), and RP-HPLC enriched with chaotropic additives are developed, which would allow reliable confirmation of tobacco smoke exposure in toxicological and epidemiological studies.","page":"682","source":"DOI.org (Crossref)","title":"Application of HPLC-QQQ-MS/MS and new RP-HPLC-DAD system utilizing the chaotropic effect for determination of nicotine and its major metabolites cotinine, and trans-3</w:instrText>
      </w:r>
      <w:r>
        <w:rPr>
          <w:rFonts w:hint="eastAsia"/>
        </w:rPr>
        <w:instrText xml:space="preserve">′</w:instrText>
      </w:r>
      <w:r>
        <w:instrText xml:space="preserve">-hydroxycotinine in human plasma samples","volume":"27","author":[{"family":"Baj","given":"Jacek"},{"family":"Flieger","given":"Wojciech"},{"family":"Przygodzka","given":"Dominika"},{"family":"Buszewicz","given":"Grzegorz"},{"family":"Teresiński","given":"Grzegorz"},{"family":"Pizoń","given":"Magdalena"},{"family":"Maciejewski","given":"Ryszard"},{"family":"Flieger","given":"Jolanta"}],"issued":{"date-parts":[["2022",1,20]]}},"label":"page"},{"id":1912,"uris":["http://zotero.org/users/12262172/items/6HCSPWGU"],"itemData":{"id":1912,"type":"article-journal","abstract":"Shexiang Tongxin dropping pill (STP) is a traditional Chinese medicine formula that consists of total saponins of ginseng, synthetic Calculus bovis, bear gall, Venenum bufonis, borneol and Salvia miltiorrhiza. STP has been widely used in China and Southeast Asia for the treatment of cardiovascular diseases. In this study, a qualitative analytical method using high performance liquid chromatography coupled with quadrupole time-of-flight tandem mass spectrometry was developed for identification of the major constituents in STP. Based on the retention time and MS spectra, 41 components were identified by comparison with reference compounds and literature data. Moreover, using ultra-performance liquid chromatography coupled with triple-quadrupole tandem mass spectrometry in multiple-reaction monitoring mode, we quantified 13 of the identified constituents (ginsenoside Rg1, ginsenoside Rk3, cinobufagin, arenobufagin, bufalin, resibufogenin, tanshinone IIA, taurine, tauroursodeoxycholic acid, taurocholic acid, cholic acid, deoxycholic acid, and chenodeoxycholic acid). These results suggest that this new approach is applicable for the routine analysis and quality control of STP products and provides fundamental data for further in vivo pharmacokinetical studies.","container-title":"Molecules","DOI":"10.3390/molecules201018597","ISSN":"1420-3049","issue":"10","journalAbbreviation":"Molecules","note":"TLDR: A qualitative analytical method using high performance liquid chromatography coupled with quadrupole time-of-flight tandem mass spectrometry was developed and suggests that this new approach is applicable for the routine analysis and quality control of STP products and provides fundamental data for further in vivo pharmacokinetical studies.\nCitations: 52 (Crossref) [2025-11-09]\nCitations: 54 (SemanticScholar) [2025-11-09]","page":"18597-18619","PMID":"26473821","PMCID":"PMC6331871","source":"PubMed Central","title":"Qualitative and quantitative analysis of the major constituents in shexiang tongxin dropping pill by HPLC-Q-TOF-MS/MS and UPLC-QqQ-MS/MS","volume":"20","author":[{"family":"Chen","given":"Daxin"},{"family":"Lin","given":"Shan"},{"family":"Xu","given":"Wen"},{"family":"Huang","given":"Mingqing"},{"family":"Chu","given":"Jianfeng"},{"family":"Xiao","given":"Fei"},{"family":"Lin","given":"Jiumao"},{"family":"Peng","given":"Jun"}],"issued":{"date-parts":[["2015",10,14]]}},"label":"page"},{"id":1909,"uris":["http://zotero.org/users/12262172/items/B7F32RDB"],"itemData":{"id":1909,"type":"article-journal","abstract":"As an empirical medicine of traditional Chinese medicine, Fuzhengjiedu Granules have shown an effect against COVID-19 in clinical and inflammatory animal models. It is formulated with eight herbs, including Aconiti Lateralis Radix Praeparata, Zingiberis Rhizoma, Glycyrrhizae Radix Et Rhizoma, Lonicerae Japonicae Flos, Gleditsiae Spina, Fici Radix, Pogostemonis Herba, and Citri Reticulatae Pericarpium. This study established a high-performance liquid chromatography-triple quadrupole mass spectrometry (HPLC-QQQ-MS/MS) method by simultaneously determining 29 active compounds in the granules with significant content differences. Separation by gradient elution using acetonitrile and water (0.1% formic acid) as mobile phases was performed on a Waters Acquilty UPLC T3 column (2.1 mm × 100 mm, 1.7 μm). A triple quadrupole mass spectrometer, operating in positive and negative ionization modes, was used for multiple reaction monitoring to detect the 29 compounds. All calibration curves showed good linear regression (r2 &gt; 0.998). RSDs of precision, reproducibility, and stability of active compounds were all lower than 5.0%. The recovery rates were 95.4–104.9%, with RSDs&lt; 5.0%. This method was successfully used to analyze the samples, and the results showed that 26 representative active components from 8 herbs were detected in the granules. While aconitine, mesaconitine, and hypaconitine were not detected, indicating that the existing samples were safe. The granules had the maximum and minimum content of hesperidin (27.3 ± 0.375 mg/g) and benzoylaconine (38.2 ± 0.759 ng/g). To conclude, a fast, accurate, sensitive, and reliable HPLC-QQQ-MS/MS method was established, which can simultaneously detect 29 active compounds that have a considerable difference in the content of Fuzhengjiedu Granules. This study can be used to control the quality and safety of Fuzhengjiedu Granules and provide a basis and guarantee for further experimental research and clinical application.","container-title":"Heliyon","DOI":"10.1016/j.heliyon.2023.e13675","ISSN":"2405-8440","issue":"2","journalAbbreviation":"Heliyon","note":"TLDR: A fast, accurate, sensitive, and reliable HPLC-QQQ-MS/MS method was established, which can simultaneously detect 29 active compounds that have a considerable difference in the content of Fuzhengjiedu Granules.\nCitations: 5 (Crossref) [2025-11-09]\nCitations: 5 (SemanticScholar) [2025-11-09]","page":"e13675","source":"ScienceDirect","title":"Simultaneous determination of twenty-nine active compounds in fuzhengjiedu granules by HPLC-QQQ-MS/MS","volume":"9","author":[{"family":"Huang","given":"Yu-Feng"},{"family":"Li","given":"Han-Yue"},{"family":"Guo","given":"Jun-Xiu"},{"family":"Wang","given":"Meng-Xian"},{"family":"Yang","given":"Zi-Qi"},{"family":"Bai","given":"Xin-Yue"},{"family":"Zhang","given":"Zhong-De"},{"family":"Yang","given":"Rong-Yuan"},{"family":"Liu","given":"Liang"},{"family":"Zhou","given":"Hua"},{"family":"He","given":"Fan"}],"issued":{"date-parts":[["2023",2,1]]}},"label":"page"}],"schema":"https://github.com/citation-style-language/schema/raw/master/csl-citation.json"} </w:instrText>
      </w:r>
      <w:r>
        <w:fldChar w:fldCharType="separate"/>
      </w:r>
      <w:r>
        <w:rPr>
          <w:vertAlign w:val="superscript"/>
        </w:rPr>
        <w:t>12–14</w:t>
      </w:r>
      <w:r>
        <w:fldChar w:fldCharType="end"/>
      </w:r>
      <w:r>
        <w:t>. This technology has emerged as a state-of-the-art platform for the investigation of secondary metabolites in TCM, enabling efficient and accurate qualification and quantification of trace target analytes within intricate biological matrices</w:t>
      </w:r>
      <w:r>
        <w:fldChar w:fldCharType="begin"/>
      </w:r>
      <w:r>
        <w:instrText xml:space="preserve"> ADDIN ZOTERO_ITEM CSL_CITATION {"citationID":"xWALEJ61","properties":{"formattedCitation":"\\super 11, 15\\uc0\\u8211{}17\\nosupersub{}","plainCitation":"11, 15–17","noteIndex":0},"citationItems":[{"id":1907,"uris":["http://zotero.org/users/12262172/items/9PUIZEB6"],"itemData":{"id":1907,"type":"article-journal","abstract":"A rapid method that does not require a complicated preparation was developed for determining by HPLC the content of atropine (At) and scopolamine (Sc) in a sample of scopolia extract powder. The sample solution for HPLC was extracted using 0.1 mol/L HCl/methanol (8:2). At and Sc were separated using a pentafluorophenylpropyl column and detected at a wavelength of 210 nm. Acetonitrile-10 mmol/L ammonium acetate adjusted to pH 5.0 (8:2, v/v) was used as the mobile phase. The linearity was good in the 5.0-500 μg/mL range for At and 0.5-500 μg/mL range for Sc. The specificity for both At and Sc was satisfactory. The quantitation limits were 5.0 μg/mL for At and 0.5 μg/mL for Sc. The quantitative values of total alkaloid calculated using this method were higher (1.3-3.7%) than those obtained using the Japanese Pharmacopoeia Fifteenth Edition (JP15) method. The precision of this method, measured as the standard deviation, was found to be satisfactory and comparable to that of the JP15 method, determined by an analysis of 3 commercial scopolia extract powder samples.","container-title":"Journal of Natural Medicines","DOI":"10.1007/s11418-010-0483-9","ISSN":"1861-0293","issue":"2","journalAbbreviation":"J Nat Med","language":"eng","note":"TLDR: The precision of this method, measured as the standard deviation, was found to be satisfactory and comparable to that of the JP15 method, determined by an analysis of 3 commercial scopolia extract powder samples.\nCitations: 16 (Crossref) [2025-11-09]\nCitations: 15 (SemanticScholar) [2025-11-09]","page":"395-399","PMID":"21076881","source":"PubMed","title":"Rapid determination of atropine and scopolamine content in scopolia extract powder by HPLC","volume":"65","author":[{"family":"Sawabe","given":"Yoshiyuki"},{"family":"Yamasaki","given":"Katsuhiro"},{"family":"Tagami","given":"Takaomi"},{"family":"Kawaguchi","given":"Masami"},{"family":"Taguchi","given":"Shuzo"}],"issued":{"date-parts":[["2011",4]]}},"label":"page"},{"id":1929,"uris":["http://zotero.org/users/12262172/items/BHXIVAIW"],"itemData":{"id":1929,"type":"article-journal","abstract":"As a traditional Miao-nationality medicinal plant, Polygonum capitatum has been used in clinical practice for several thousand years. Its prescriptions, including three dosage forms: granules, capsule and tablet are known by the brand name Relinqing® and have played an indispensable role in the treatment of urinary system infection, pyelonephritis and kidney stones. However, no study about the comprehensive quality evaluation of Relinqing® has been reported. In the present paper, a method for the simultaneous determination of nine major compounds in three dosage forms of Relinqing® using HPLC coupled with triple quadrupole mass spectrometry (HPLC-QQQ MS) was established to comprehensively evaluate their quality. The nine compounds, including four phenolic acids, four flavonoids and a lignin, were analyzed with acceptable linear regression relationship (r2, 0.9923</w:instrText>
      </w:r>
      <w:r>
        <w:rPr>
          <w:rFonts w:hint="eastAsia"/>
        </w:rPr>
        <w:instrText xml:space="preserve">–</w:instrText>
      </w:r>
      <w:r>
        <w:instrText xml:space="preserve">0.9992), precision (RSD, 1.25%</w:instrText>
      </w:r>
      <w:r>
        <w:rPr>
          <w:rFonts w:hint="eastAsia"/>
        </w:rPr>
        <w:instrText xml:space="preserve">–</w:instrText>
      </w:r>
      <w:r>
        <w:instrText xml:space="preserve">2.78%), repeatability (RSD, 2.05%%</w:instrText>
      </w:r>
      <w:r>
        <w:rPr>
          <w:rFonts w:hint="eastAsia"/>
        </w:rPr>
        <w:instrText xml:space="preserve">–</w:instrText>
      </w:r>
      <w:r>
        <w:instrText xml:space="preserve">3.47%), stability (RSD, 1.84%</w:instrText>
      </w:r>
      <w:r>
        <w:rPr>
          <w:rFonts w:hint="eastAsia"/>
        </w:rPr>
        <w:instrText xml:space="preserve">–</w:instrText>
      </w:r>
      <w:r>
        <w:instrText xml:space="preserve">3.72%) and recovery (93.60%</w:instrText>
      </w:r>
      <w:r>
        <w:rPr>
          <w:rFonts w:hint="eastAsia"/>
        </w:rPr>
        <w:instrText xml:space="preserve">–</w:instrText>
      </w:r>
      <w:r>
        <w:instrText xml:space="preserve">108.54%, RSD </w:instrText>
      </w:r>
      <w:r>
        <w:rPr>
          <w:rFonts w:hint="eastAsia"/>
        </w:rPr>
        <w:instrText xml:space="preserve">≤</w:instrText>
      </w:r>
      <w:r>
        <w:instrText xml:space="preserve"> 3.67%). The present study fills the gap in the multivariate quality control of Relinqing® and provides a valuable reference for quality standards and dosage reforming of this traditional Chinese medicine.","container-title":"Molecules","DOI":"10.3390/molecules181011824","ISSN":"1420-3049","issue":"10","language":"en","license":"http://creativecommons.org/licenses/by/3.0/","note":"TLDR: The present study fills the gap in the multivariate quality control of Relinqing® and provides a valuable reference for quality standards and dosage reforming of this traditional Chinese medicine.\nCitations: 8 (Crossref) [2025-11-09]\nCitations: 8 (SemanticScholar) [2025-11-09]","page":"11824-11835","publisher":"Multidisciplinary Digital Publishing Institute","source":"www.mdpi.com","title":"Improved quality control method for prescriptions of polygonum capitatum through simultaneous determination of nine major constituents by HPLC coupled with triple quadruple mass spectrometry","volume":"18","author":[{"family":"Zhang","given":"Kai-Xia"},{"family":"Wang","given":"Yue-Sheng"},{"family":"Jing","given":"Wen-Guang"},{"family":"Zhang","given":"Jun"},{"family":"Liu","given":"An"}],"issued":{"date-parts":[["2013",10]]}},"label":"page"},{"id":1924,"uris":["http://zotero.org/users/12262172/items/TG76XMFQ"],"itemData":{"id":1924,"type":"article-journal","abstract":"Shexiang Xintongning tablet (SXXTN) is a traditional Chinese medicine (TCM) preparation for the treatment of coronary heart disease (CHD) angina pectoris. However, due to the complexity of the compounds in SXXTN, the active chemical components responsible for the therapeutic effect are still ambiguous. The purpose of our study was to characterize the chemical profile of SXXTN and quantify the representative chemicals. The high-performance liquid chromatography coupled with time-of-flight mass spectrometry (HPLC-QTOF MS) method and gas chromatograph coupled with mass spectrometry (GC–MS) method were utilized to identify the chemical constituents of SXXTN. A total of 140 compounds including alkaloids, ginsenosides, organic acids, esters, triterpenes, phthalides and amino acid were identified in accordance with their retention times, accurate masses and characteristic MS/MS fragment patterns. Forty-four volatile components were characterized by GC–MS through NIST database matching. In the further research of quantitative analysis, 40 non-volatile compounds and 17 volatile compounds were determined and successfully applied for detecting in 7 batches of SXXTN samples by high performance liquid chromatography coupled with triple-quadrupole tandem mass spectrometry (HPLC-QQQ MS) and gas chromatograph coupled with triple-quadrupole tandem mass spectrometry (GC-QQQ MS) in multiple reaction monitoring (MRM) mode, respectively. The quantitative methods were verified in linearity, precision, repeatability stability and recovery. The above results indicated that the established method was practical and reliable for synthetical quality evaluation of SXXTN. In addition, our study might supplement the chemical evidence for disclosing the material basis of its therapeutic effects.","container-title":"Arabian Journal of Chemistry","DOI":"10.1016/j.arabjc.2022.104527","ISSN":"1878-5352","issue":"3","journalAbbreviation":"Arabian Journal of Chemistry","note":"Citations: 9 (Crossref) [2025-11-09]\nCitations: 10 (SemanticScholar) [2025-11-09]","page":"104527","source":"ScienceDirect","title":"Comprehensive chemical profiling and quantification of shexiang xintongning tablets by integrating liquid chromatography-mass spectrometry and gas chromatography-mass spectrometry","volume":"16","author":[{"family":"Ding","given":"Meng"},{"family":"Wen","given":"Jia-hui"},{"family":"Guo","given":"Zi-fan"},{"family":"Li","given":"Meng-ning"},{"family":"Wang","given":"Guangji"},{"family":"Li","given":"Ping"},{"family":"Yang","given":"Hua"}],"issued":{"date-parts":[["2023",3,1]]}},"label":"page"},{"id":1922,"uris":["http://zotero.org/users/12262172/items/KQEVSPL5"],"itemData":{"id":1922,"type":"article","abstract":"Because of the excellent e cacy of ethnic medicines, their market demand is increasing rapidly. There are few methods to detect and screen banned pesticides in ethnic medicines. Therefore, it is highly urgent to establish a detection method for banned pesticides in ethnic medicines, which has important practical signi cance for the quality and safety supervision of ethnic medicines. This study aimed to establish a method for the simultaneous and rapid determination of 25 banned pesticides in ethnic medicine by QuEChERS combined with HPLC-QqQ-MS/MS. The limits of quanti cation were less than 8 ng/ml. The recoveries of most pesticides were between 70 and 110%, and their RSDs were less than 20%. To evaluate the applicability of this method, pesticide residues in 46 batches of ethnic medicines were analyzed, and the matrix effect behavior of pesticides in ethnic medicines was analyzed, providing a reference for the analysis of pesticide residues in ethnic medicine matrices of a similar type. Using matrix-matched calibration, it was found that one positive sample contained fonofos and four positive samples contained phorate pesticides. The contents of these pesticides exceeded the limits set by the Chinese Pharmacopoeia.","DOI":"10.21203/rs.3.rs-2182624/v1","language":"en","license":"https://creativecommons.org/licenses/by/4.0/","note":"Citations: 1 (Crossref) [2025-11-09]","publisher":"In Review","source":"DOI.org (Crossref)","title":"The QuEChERS method coupled to HPLC-QqQ-MS/MS for the determination of 25 banned pesticide residues in ethnic medicines","URL":"https://www.researchsquare.com/article/rs-2182624/v1","author":[{"family":"Zhu","given":"Lv"},{"family":"Wu","given":"Mengyao"},{"family":"Zhao","given":"Yunyan"},{"family":"Tao","given":"Chengtian"},{"family":"Lu","given":"Yang"},{"family":"Zhang","given":"Jiaxiong"},{"family":"Wan","given":"Li"}],"accessed":{"date-parts":[["2025",11,9]]},"issued":{"date-parts":[["2022",11,2]]}},"label":"page"}],"schema":"https://github.com/citation-style-language/schema/raw/master/csl-citation.json"} </w:instrText>
      </w:r>
      <w:r>
        <w:fldChar w:fldCharType="separate"/>
      </w:r>
      <w:r>
        <w:rPr>
          <w:vertAlign w:val="superscript"/>
        </w:rPr>
        <w:t>11,15–17</w:t>
      </w:r>
      <w:r>
        <w:fldChar w:fldCharType="end"/>
      </w:r>
      <w:r>
        <w:t xml:space="preserve">. As such, it provides a robust technical foundation for comprehensive chemical profiling and quality assessment of medicinal plants like </w:t>
      </w:r>
      <w:r>
        <w:rPr>
          <w:i/>
          <w:iCs/>
        </w:rPr>
        <w:t>A. tanguticus</w:t>
      </w:r>
      <w:r>
        <w:t>.</w:t>
      </w:r>
      <w:r>
        <w:rPr>
          <w:shd w:val="clear" w:color="auto" w:fill="FFFFFF"/>
        </w:rPr>
        <w:t xml:space="preserve"> </w:t>
      </w:r>
      <w:r>
        <w:t xml:space="preserve">In this study, we address the persistent challenges in detecting tropane alkaloids in </w:t>
      </w:r>
      <w:r>
        <w:rPr>
          <w:i/>
          <w:iCs/>
        </w:rPr>
        <w:t>A. tanguticus</w:t>
      </w:r>
      <w:r>
        <w:t>, with emphasis on the accurate identification and quantification of trace-level constituents. By systematically optimizing chromatographic and mass spectrometric conditions, we developed and validated a novel HPLC-QQQ-MS method for the simultaneous determination of multiple major tropane alkaloids. The optimized approach significantly enhances sensitivity, selectivity, and methodological robustness, thereby overcoming common limitations associated with conventional mass spectrometry-based assays</w:t>
      </w:r>
      <w:r>
        <w:rPr>
          <w:lang w:eastAsia="zh-CN"/>
        </w:rPr>
        <w:t>-</w:t>
      </w:r>
      <w:r>
        <w:t>such as inadequate sensitivity, matrix effects, and co-elution interference</w:t>
      </w:r>
      <w:r>
        <w:rPr>
          <w:lang w:eastAsia="zh-CN"/>
        </w:rPr>
        <w:t>-</w:t>
      </w:r>
      <w:r>
        <w:t>often encountered during the analysis of trace alkaloid compounds.</w:t>
      </w:r>
    </w:p>
    <w:p w14:paraId="6A4726CA">
      <w:pPr>
        <w:spacing w:line="0" w:lineRule="atLeast"/>
        <w:rPr>
          <w:b/>
        </w:rPr>
      </w:pPr>
    </w:p>
    <w:p w14:paraId="46A8111D">
      <w:pPr>
        <w:spacing w:line="0" w:lineRule="atLeast"/>
      </w:pPr>
      <w:r>
        <w:rPr>
          <w:b/>
        </w:rPr>
        <w:t>PROTOCOL:</w:t>
      </w:r>
      <w:r>
        <w:t xml:space="preserve"> </w:t>
      </w:r>
    </w:p>
    <w:p w14:paraId="2FD2DF8B">
      <w:pPr>
        <w:spacing w:line="0" w:lineRule="atLeast"/>
      </w:pPr>
    </w:p>
    <w:p w14:paraId="38A5576F">
      <w:pPr>
        <w:pStyle w:val="22"/>
        <w:numPr>
          <w:ilvl w:val="0"/>
          <w:numId w:val="1"/>
        </w:numPr>
        <w:spacing w:after="0" w:line="0" w:lineRule="atLeast"/>
        <w:ind w:left="0" w:firstLine="0"/>
        <w:rPr>
          <w:rFonts w:ascii="Calibri" w:hAnsi="Calibri" w:cs="Calibri"/>
          <w:b/>
          <w:bCs/>
          <w:sz w:val="24"/>
          <w:szCs w:val="24"/>
          <w:highlight w:val="yellow"/>
          <w:rPrChange w:id="0" w:author="路通" w:date="2026-03-17T13:24:47Z">
            <w:rPr>
              <w:rFonts w:ascii="Calibri" w:hAnsi="Calibri" w:cs="Calibri"/>
              <w:b/>
              <w:bCs/>
              <w:sz w:val="24"/>
              <w:szCs w:val="24"/>
            </w:rPr>
          </w:rPrChange>
        </w:rPr>
      </w:pPr>
      <w:r>
        <w:rPr>
          <w:rFonts w:ascii="Calibri" w:hAnsi="Calibri" w:cs="Calibri"/>
          <w:b/>
          <w:bCs/>
          <w:sz w:val="24"/>
          <w:szCs w:val="24"/>
          <w:highlight w:val="yellow"/>
          <w:rPrChange w:id="1" w:author="路通" w:date="2026-03-17T13:24:47Z">
            <w:rPr>
              <w:rFonts w:ascii="Calibri" w:hAnsi="Calibri" w:cs="Calibri"/>
              <w:b/>
              <w:bCs/>
              <w:sz w:val="24"/>
              <w:szCs w:val="24"/>
            </w:rPr>
          </w:rPrChange>
        </w:rPr>
        <w:t>Sample preparation</w:t>
      </w:r>
    </w:p>
    <w:p w14:paraId="3A48E1B2">
      <w:pPr>
        <w:pStyle w:val="22"/>
        <w:spacing w:after="0" w:line="0" w:lineRule="atLeast"/>
        <w:ind w:left="0"/>
        <w:rPr>
          <w:b/>
          <w:bCs/>
          <w:highlight w:val="yellow"/>
          <w:rPrChange w:id="2" w:author="路通" w:date="2026-03-17T13:24:47Z">
            <w:rPr>
              <w:b/>
              <w:bCs/>
            </w:rPr>
          </w:rPrChange>
        </w:rPr>
      </w:pPr>
    </w:p>
    <w:p w14:paraId="3A180542">
      <w:pPr>
        <w:pStyle w:val="22"/>
        <w:numPr>
          <w:ilvl w:val="1"/>
          <w:numId w:val="1"/>
        </w:numPr>
        <w:spacing w:after="0" w:line="0" w:lineRule="atLeast"/>
        <w:ind w:left="0" w:firstLine="0"/>
        <w:rPr>
          <w:rFonts w:ascii="Calibri" w:hAnsi="Calibri" w:cs="Calibri"/>
          <w:sz w:val="24"/>
          <w:szCs w:val="24"/>
          <w:highlight w:val="yellow"/>
          <w:rPrChange w:id="3" w:author="路通" w:date="2026-03-17T13:24:47Z">
            <w:rPr>
              <w:rFonts w:ascii="Calibri" w:hAnsi="Calibri" w:cs="Calibri"/>
              <w:sz w:val="24"/>
              <w:szCs w:val="24"/>
            </w:rPr>
          </w:rPrChange>
        </w:rPr>
      </w:pPr>
      <w:r>
        <w:rPr>
          <w:rFonts w:ascii="Calibri" w:hAnsi="Calibri" w:cs="Calibri"/>
          <w:sz w:val="24"/>
          <w:szCs w:val="24"/>
          <w:highlight w:val="yellow"/>
          <w:rPrChange w:id="4" w:author="路通" w:date="2026-03-17T13:24:47Z">
            <w:rPr>
              <w:rFonts w:ascii="Calibri" w:hAnsi="Calibri" w:cs="Calibri"/>
              <w:sz w:val="24"/>
              <w:szCs w:val="24"/>
            </w:rPr>
          </w:rPrChange>
        </w:rPr>
        <w:t>Preparation of standard solutions</w:t>
      </w:r>
    </w:p>
    <w:p w14:paraId="1A96B22E">
      <w:pPr>
        <w:pStyle w:val="22"/>
        <w:spacing w:after="0" w:line="0" w:lineRule="atLeast"/>
        <w:ind w:left="0"/>
        <w:rPr>
          <w:highlight w:val="yellow"/>
          <w:rPrChange w:id="5" w:author="路通" w:date="2026-03-17T13:24:47Z">
            <w:rPr/>
          </w:rPrChange>
        </w:rPr>
      </w:pPr>
    </w:p>
    <w:p w14:paraId="228DD3A3">
      <w:pPr>
        <w:pStyle w:val="22"/>
        <w:numPr>
          <w:ilvl w:val="2"/>
          <w:numId w:val="1"/>
        </w:numPr>
        <w:spacing w:after="0" w:line="0" w:lineRule="atLeast"/>
        <w:ind w:left="0" w:firstLine="0"/>
        <w:rPr>
          <w:rFonts w:ascii="Calibri" w:hAnsi="Calibri" w:cs="Calibri"/>
          <w:sz w:val="24"/>
          <w:szCs w:val="24"/>
          <w:highlight w:val="yellow"/>
          <w:rPrChange w:id="6" w:author="路通" w:date="2026-03-17T13:24:47Z">
            <w:rPr>
              <w:rFonts w:ascii="Calibri" w:hAnsi="Calibri" w:cs="Calibri"/>
              <w:sz w:val="24"/>
              <w:szCs w:val="24"/>
            </w:rPr>
          </w:rPrChange>
        </w:rPr>
      </w:pPr>
      <w:r>
        <w:rPr>
          <w:rFonts w:ascii="Calibri" w:hAnsi="Calibri" w:cs="Calibri"/>
          <w:sz w:val="24"/>
          <w:szCs w:val="24"/>
          <w:highlight w:val="yellow"/>
          <w:rPrChange w:id="7" w:author="路通" w:date="2026-03-17T13:24:47Z">
            <w:rPr>
              <w:rFonts w:ascii="Calibri" w:hAnsi="Calibri" w:cs="Calibri"/>
              <w:sz w:val="24"/>
              <w:szCs w:val="24"/>
            </w:rPr>
          </w:rPrChange>
        </w:rPr>
        <w:t xml:space="preserve">Accurately weigh 10.0 mg each of hyoscyamine, </w:t>
      </w:r>
      <w:r>
        <w:rPr>
          <w:rFonts w:ascii="Calibri" w:hAnsi="Calibri" w:cs="Calibri"/>
          <w:sz w:val="24"/>
          <w:szCs w:val="24"/>
          <w:highlight w:val="yellow"/>
          <w:lang w:eastAsia="zh-CN"/>
          <w:rPrChange w:id="8" w:author="路通" w:date="2026-03-17T13:24:47Z">
            <w:rPr>
              <w:rFonts w:ascii="Calibri" w:hAnsi="Calibri" w:cs="Calibri"/>
              <w:sz w:val="24"/>
              <w:szCs w:val="24"/>
              <w:lang w:eastAsia="zh-CN"/>
            </w:rPr>
          </w:rPrChange>
        </w:rPr>
        <w:t>a</w:t>
      </w:r>
      <w:r>
        <w:rPr>
          <w:rFonts w:ascii="Calibri" w:hAnsi="Calibri" w:cs="Calibri"/>
          <w:sz w:val="24"/>
          <w:szCs w:val="24"/>
          <w:highlight w:val="yellow"/>
          <w:rPrChange w:id="9" w:author="路通" w:date="2026-03-17T13:24:47Z">
            <w:rPr>
              <w:rFonts w:ascii="Calibri" w:hAnsi="Calibri" w:cs="Calibri"/>
              <w:sz w:val="24"/>
              <w:szCs w:val="24"/>
            </w:rPr>
          </w:rPrChange>
        </w:rPr>
        <w:t xml:space="preserve">nisodamine hydrobromide, and scopolamine hydrobromide reference standards using a one-ten-thousandth analytical balance, and place them into separate 10 mL volumetric flasks, respectively. </w:t>
      </w:r>
    </w:p>
    <w:p w14:paraId="3D45CE42">
      <w:pPr>
        <w:pStyle w:val="22"/>
        <w:spacing w:after="0" w:line="0" w:lineRule="atLeast"/>
        <w:ind w:left="0"/>
        <w:rPr>
          <w:rFonts w:ascii="Calibri" w:hAnsi="Calibri" w:cs="Calibri"/>
          <w:sz w:val="24"/>
          <w:szCs w:val="24"/>
          <w:highlight w:val="yellow"/>
          <w:rPrChange w:id="10" w:author="路通" w:date="2026-03-17T13:24:47Z">
            <w:rPr>
              <w:rFonts w:ascii="Calibri" w:hAnsi="Calibri" w:cs="Calibri"/>
              <w:sz w:val="24"/>
              <w:szCs w:val="24"/>
            </w:rPr>
          </w:rPrChange>
        </w:rPr>
      </w:pPr>
    </w:p>
    <w:p w14:paraId="39784EFA">
      <w:pPr>
        <w:pStyle w:val="22"/>
        <w:numPr>
          <w:ilvl w:val="2"/>
          <w:numId w:val="1"/>
        </w:numPr>
        <w:spacing w:after="0" w:line="0" w:lineRule="atLeast"/>
        <w:ind w:left="0" w:firstLine="0"/>
        <w:rPr>
          <w:rFonts w:ascii="Calibri" w:hAnsi="Calibri" w:cs="Calibri"/>
          <w:sz w:val="24"/>
          <w:szCs w:val="24"/>
          <w:highlight w:val="yellow"/>
          <w:rPrChange w:id="11" w:author="路通" w:date="2026-03-17T13:24:47Z">
            <w:rPr>
              <w:rFonts w:ascii="Calibri" w:hAnsi="Calibri" w:cs="Calibri"/>
              <w:sz w:val="24"/>
              <w:szCs w:val="24"/>
            </w:rPr>
          </w:rPrChange>
        </w:rPr>
      </w:pPr>
      <w:r>
        <w:rPr>
          <w:rFonts w:ascii="Calibri" w:hAnsi="Calibri" w:cs="Calibri"/>
          <w:sz w:val="24"/>
          <w:szCs w:val="24"/>
          <w:highlight w:val="yellow"/>
          <w:rPrChange w:id="12" w:author="路通" w:date="2026-03-17T13:24:47Z">
            <w:rPr>
              <w:rFonts w:ascii="Calibri" w:hAnsi="Calibri" w:cs="Calibri"/>
              <w:sz w:val="24"/>
              <w:szCs w:val="24"/>
            </w:rPr>
          </w:rPrChange>
        </w:rPr>
        <w:t xml:space="preserve">Add chromatographic-grade methanol to the marked line, and thoroughly dissolve the standards using ultrasonic treatment to prepare single standard stock solutions with a concentration of 1.0 mg/mL. </w:t>
      </w:r>
    </w:p>
    <w:p w14:paraId="715C591D">
      <w:pPr>
        <w:pStyle w:val="22"/>
        <w:spacing w:after="0" w:line="0" w:lineRule="atLeast"/>
        <w:ind w:left="0"/>
        <w:rPr>
          <w:rFonts w:ascii="Calibri" w:hAnsi="Calibri" w:cs="Calibri"/>
          <w:sz w:val="24"/>
          <w:szCs w:val="24"/>
          <w:highlight w:val="yellow"/>
          <w:rPrChange w:id="13" w:author="路通" w:date="2026-03-17T13:24:47Z">
            <w:rPr>
              <w:rFonts w:ascii="Calibri" w:hAnsi="Calibri" w:cs="Calibri"/>
              <w:sz w:val="24"/>
              <w:szCs w:val="24"/>
            </w:rPr>
          </w:rPrChange>
        </w:rPr>
      </w:pPr>
    </w:p>
    <w:p w14:paraId="468E76D7">
      <w:pPr>
        <w:pStyle w:val="22"/>
        <w:numPr>
          <w:ilvl w:val="2"/>
          <w:numId w:val="1"/>
        </w:numPr>
        <w:spacing w:after="0" w:line="0" w:lineRule="atLeast"/>
        <w:ind w:left="0" w:firstLine="0"/>
        <w:rPr>
          <w:highlight w:val="yellow"/>
          <w:rPrChange w:id="14" w:author="路通" w:date="2026-03-17T13:24:47Z">
            <w:rPr/>
          </w:rPrChange>
        </w:rPr>
      </w:pPr>
      <w:r>
        <w:rPr>
          <w:rFonts w:ascii="Calibri" w:hAnsi="Calibri" w:cs="Calibri"/>
          <w:sz w:val="24"/>
          <w:szCs w:val="24"/>
          <w:highlight w:val="yellow"/>
          <w:rPrChange w:id="15" w:author="路通" w:date="2026-03-17T13:24:47Z">
            <w:rPr>
              <w:rFonts w:ascii="Calibri" w:hAnsi="Calibri" w:cs="Calibri"/>
              <w:sz w:val="24"/>
              <w:szCs w:val="24"/>
            </w:rPr>
          </w:rPrChange>
        </w:rPr>
        <w:t>Transfer the stock solutions to brown reagent bottles, store them at 4 °C in the dark.</w:t>
      </w:r>
    </w:p>
    <w:p w14:paraId="6271E2FB">
      <w:pPr>
        <w:spacing w:line="0" w:lineRule="atLeast"/>
        <w:contextualSpacing/>
        <w:rPr>
          <w:highlight w:val="yellow"/>
          <w:lang w:eastAsia="zh-CN"/>
          <w:rPrChange w:id="16" w:author="路通" w:date="2026-03-17T13:24:47Z">
            <w:rPr>
              <w:lang w:eastAsia="zh-CN"/>
            </w:rPr>
          </w:rPrChange>
        </w:rPr>
      </w:pPr>
    </w:p>
    <w:p w14:paraId="461D9EF6">
      <w:pPr>
        <w:spacing w:line="0" w:lineRule="atLeast"/>
        <w:contextualSpacing/>
        <w:rPr>
          <w:highlight w:val="none"/>
          <w:lang w:eastAsia="zh-CN"/>
          <w:rPrChange w:id="17" w:author="路通" w:date="2026-03-17T13:31:54Z">
            <w:rPr>
              <w:lang w:eastAsia="zh-CN"/>
            </w:rPr>
          </w:rPrChange>
        </w:rPr>
      </w:pPr>
      <w:r>
        <w:rPr>
          <w:highlight w:val="none"/>
          <w:lang w:eastAsia="zh-CN"/>
          <w:rPrChange w:id="18" w:author="路通" w:date="2026-03-17T13:31:54Z">
            <w:rPr>
              <w:lang w:eastAsia="zh-CN"/>
            </w:rPr>
          </w:rPrChange>
        </w:rPr>
        <w:t>NOTE:</w:t>
      </w:r>
      <w:r>
        <w:rPr>
          <w:highlight w:val="none"/>
          <w:rPrChange w:id="19" w:author="路通" w:date="2026-03-17T13:31:54Z">
            <w:rPr/>
          </w:rPrChange>
        </w:rPr>
        <w:t xml:space="preserve"> </w:t>
      </w:r>
      <w:r>
        <w:rPr>
          <w:highlight w:val="none"/>
          <w:lang w:eastAsia="zh-CN"/>
          <w:rPrChange w:id="20" w:author="路通" w:date="2026-03-17T13:31:54Z">
            <w:rPr>
              <w:lang w:eastAsia="zh-CN"/>
            </w:rPr>
          </w:rPrChange>
        </w:rPr>
        <w:t>The alkaloids used are highly toxic. Take safety precautions when handling the standard samples.</w:t>
      </w:r>
      <w:r>
        <w:rPr>
          <w:highlight w:val="none"/>
          <w:rPrChange w:id="21" w:author="路通" w:date="2026-03-17T13:31:54Z">
            <w:rPr/>
          </w:rPrChange>
        </w:rPr>
        <w:t xml:space="preserve"> </w:t>
      </w:r>
      <w:r>
        <w:rPr>
          <w:highlight w:val="none"/>
          <w:lang w:eastAsia="zh-CN"/>
          <w:rPrChange w:id="22" w:author="路通" w:date="2026-03-17T13:31:54Z">
            <w:rPr>
              <w:lang w:eastAsia="zh-CN"/>
            </w:rPr>
          </w:rPrChange>
        </w:rPr>
        <w:t>All solutions were prepared freshly prior to analysis and stored at 4 °C in the dark to avoid degradation.</w:t>
      </w:r>
    </w:p>
    <w:p w14:paraId="79680CCB">
      <w:pPr>
        <w:spacing w:line="0" w:lineRule="atLeast"/>
        <w:contextualSpacing/>
        <w:rPr>
          <w:lang w:eastAsia="zh-CN"/>
        </w:rPr>
      </w:pPr>
    </w:p>
    <w:p w14:paraId="27BFC840">
      <w:pPr>
        <w:pStyle w:val="22"/>
        <w:numPr>
          <w:ilvl w:val="1"/>
          <w:numId w:val="1"/>
        </w:numPr>
        <w:spacing w:after="0" w:line="0" w:lineRule="atLeast"/>
        <w:ind w:left="0" w:firstLine="0"/>
        <w:rPr>
          <w:rFonts w:ascii="Calibri" w:hAnsi="Calibri" w:cs="Calibri"/>
          <w:sz w:val="24"/>
          <w:szCs w:val="24"/>
          <w:highlight w:val="yellow"/>
          <w:rPrChange w:id="23" w:author="路通" w:date="2026-03-17T13:25:02Z">
            <w:rPr>
              <w:rFonts w:ascii="Calibri" w:hAnsi="Calibri" w:cs="Calibri"/>
              <w:sz w:val="24"/>
              <w:szCs w:val="24"/>
            </w:rPr>
          </w:rPrChange>
        </w:rPr>
      </w:pPr>
      <w:r>
        <w:rPr>
          <w:rFonts w:ascii="Calibri" w:hAnsi="Calibri" w:cs="Calibri"/>
          <w:sz w:val="24"/>
          <w:szCs w:val="24"/>
          <w:highlight w:val="yellow"/>
          <w:rPrChange w:id="24" w:author="路通" w:date="2026-03-17T13:25:02Z">
            <w:rPr>
              <w:rFonts w:ascii="Calibri" w:hAnsi="Calibri" w:cs="Calibri"/>
              <w:sz w:val="24"/>
              <w:szCs w:val="24"/>
            </w:rPr>
          </w:rPrChange>
        </w:rPr>
        <w:t>Preparation of mixed working solutions</w:t>
      </w:r>
    </w:p>
    <w:p w14:paraId="46CCFD97">
      <w:pPr>
        <w:pStyle w:val="22"/>
        <w:spacing w:after="0" w:line="0" w:lineRule="atLeast"/>
        <w:ind w:left="0"/>
        <w:rPr>
          <w:highlight w:val="yellow"/>
          <w:rPrChange w:id="25" w:author="路通" w:date="2026-03-17T13:25:02Z">
            <w:rPr/>
          </w:rPrChange>
        </w:rPr>
      </w:pPr>
    </w:p>
    <w:p w14:paraId="4D14B977">
      <w:pPr>
        <w:pStyle w:val="22"/>
        <w:numPr>
          <w:ilvl w:val="2"/>
          <w:numId w:val="1"/>
        </w:numPr>
        <w:spacing w:after="0" w:line="0" w:lineRule="atLeast"/>
        <w:ind w:left="0" w:firstLine="0"/>
        <w:rPr>
          <w:rFonts w:ascii="Calibri" w:hAnsi="Calibri" w:cs="Calibri"/>
          <w:sz w:val="24"/>
          <w:szCs w:val="24"/>
          <w:highlight w:val="yellow"/>
          <w:rPrChange w:id="26" w:author="路通" w:date="2026-03-17T13:25:02Z">
            <w:rPr>
              <w:rFonts w:ascii="Calibri" w:hAnsi="Calibri" w:cs="Calibri"/>
              <w:sz w:val="24"/>
              <w:szCs w:val="24"/>
            </w:rPr>
          </w:rPrChange>
        </w:rPr>
      </w:pPr>
      <w:r>
        <w:rPr>
          <w:rFonts w:ascii="Calibri" w:hAnsi="Calibri" w:cs="Calibri"/>
          <w:sz w:val="24"/>
          <w:szCs w:val="24"/>
          <w:highlight w:val="yellow"/>
          <w:rPrChange w:id="27" w:author="路通" w:date="2026-03-17T13:25:02Z">
            <w:rPr>
              <w:rFonts w:ascii="Calibri" w:hAnsi="Calibri" w:cs="Calibri"/>
              <w:sz w:val="24"/>
              <w:szCs w:val="24"/>
            </w:rPr>
          </w:rPrChange>
        </w:rPr>
        <w:t xml:space="preserve">Pipette 100 μL of each aforementioned stock solution into a 10 mL volumetric flask, and dilute to the marked line with chromatographic-grade methanol to prepare a mixed standard intermediate solution of 10 μg/mL. </w:t>
      </w:r>
    </w:p>
    <w:p w14:paraId="25750F09">
      <w:pPr>
        <w:pStyle w:val="22"/>
        <w:spacing w:after="0" w:line="0" w:lineRule="atLeast"/>
        <w:ind w:left="0"/>
        <w:rPr>
          <w:rFonts w:ascii="Calibri" w:hAnsi="Calibri" w:cs="Calibri"/>
          <w:sz w:val="24"/>
          <w:szCs w:val="24"/>
          <w:highlight w:val="yellow"/>
          <w:rPrChange w:id="28" w:author="路通" w:date="2026-03-17T13:25:02Z">
            <w:rPr>
              <w:rFonts w:ascii="Calibri" w:hAnsi="Calibri" w:cs="Calibri"/>
              <w:sz w:val="24"/>
              <w:szCs w:val="24"/>
            </w:rPr>
          </w:rPrChange>
        </w:rPr>
      </w:pPr>
    </w:p>
    <w:p w14:paraId="6617D294">
      <w:pPr>
        <w:pStyle w:val="22"/>
        <w:numPr>
          <w:ilvl w:val="2"/>
          <w:numId w:val="1"/>
        </w:numPr>
        <w:spacing w:after="0" w:line="0" w:lineRule="atLeast"/>
        <w:ind w:left="0" w:firstLine="0"/>
        <w:rPr>
          <w:rFonts w:ascii="Calibri" w:hAnsi="Calibri" w:cs="Calibri"/>
          <w:sz w:val="24"/>
          <w:szCs w:val="24"/>
          <w:highlight w:val="none"/>
          <w:rPrChange w:id="29" w:author="路通" w:date="2026-03-17T13:35:33Z">
            <w:rPr>
              <w:rFonts w:ascii="Calibri" w:hAnsi="Calibri" w:cs="Calibri"/>
              <w:sz w:val="24"/>
              <w:szCs w:val="24"/>
            </w:rPr>
          </w:rPrChange>
        </w:rPr>
      </w:pPr>
      <w:bookmarkStart w:id="3" w:name="_GoBack"/>
      <w:r>
        <w:rPr>
          <w:rFonts w:ascii="Calibri" w:hAnsi="Calibri" w:cs="Calibri"/>
          <w:sz w:val="24"/>
          <w:szCs w:val="24"/>
          <w:highlight w:val="none"/>
          <w:lang w:eastAsia="zh-CN"/>
          <w:rPrChange w:id="30" w:author="路通" w:date="2026-03-17T13:35:33Z">
            <w:rPr>
              <w:rFonts w:ascii="Calibri" w:hAnsi="Calibri" w:cs="Calibri"/>
              <w:sz w:val="24"/>
              <w:szCs w:val="24"/>
              <w:lang w:eastAsia="zh-CN"/>
            </w:rPr>
          </w:rPrChange>
        </w:rPr>
        <w:t>A</w:t>
      </w:r>
      <w:r>
        <w:rPr>
          <w:rFonts w:ascii="Calibri" w:hAnsi="Calibri" w:cs="Calibri"/>
          <w:sz w:val="24"/>
          <w:szCs w:val="24"/>
          <w:highlight w:val="none"/>
          <w:rPrChange w:id="31" w:author="路通" w:date="2026-03-17T13:35:33Z">
            <w:rPr>
              <w:rFonts w:ascii="Calibri" w:hAnsi="Calibri" w:cs="Calibri"/>
              <w:sz w:val="24"/>
              <w:szCs w:val="24"/>
            </w:rPr>
          </w:rPrChange>
        </w:rPr>
        <w:t>ccording to the linear range requirements,</w:t>
      </w:r>
      <w:r>
        <w:rPr>
          <w:rFonts w:ascii="Calibri" w:hAnsi="Calibri" w:cs="Calibri"/>
          <w:sz w:val="24"/>
          <w:szCs w:val="24"/>
          <w:highlight w:val="none"/>
          <w:lang w:eastAsia="zh-CN"/>
          <w:rPrChange w:id="32" w:author="路通" w:date="2026-03-17T13:35:33Z">
            <w:rPr>
              <w:rFonts w:ascii="Calibri" w:hAnsi="Calibri" w:cs="Calibri"/>
              <w:sz w:val="24"/>
              <w:szCs w:val="24"/>
              <w:lang w:eastAsia="zh-CN"/>
            </w:rPr>
          </w:rPrChange>
        </w:rPr>
        <w:t xml:space="preserve"> f</w:t>
      </w:r>
      <w:r>
        <w:rPr>
          <w:rFonts w:ascii="Calibri" w:hAnsi="Calibri" w:cs="Calibri"/>
          <w:sz w:val="24"/>
          <w:szCs w:val="24"/>
          <w:highlight w:val="none"/>
          <w:rPrChange w:id="33" w:author="路通" w:date="2026-03-17T13:35:33Z">
            <w:rPr>
              <w:rFonts w:ascii="Calibri" w:hAnsi="Calibri" w:cs="Calibri"/>
              <w:sz w:val="24"/>
              <w:szCs w:val="24"/>
            </w:rPr>
          </w:rPrChange>
        </w:rPr>
        <w:t>urther dilute the intermediate solution stepwise with methanol to obtain a series of mixed working solutions</w:t>
      </w:r>
      <w:r>
        <w:rPr>
          <w:rFonts w:ascii="Calibri" w:hAnsi="Calibri" w:cs="Calibri"/>
          <w:sz w:val="24"/>
          <w:szCs w:val="24"/>
          <w:highlight w:val="none"/>
          <w:lang w:eastAsia="zh-CN"/>
          <w:rPrChange w:id="34" w:author="路通" w:date="2026-03-17T13:35:33Z">
            <w:rPr>
              <w:rFonts w:ascii="Calibri" w:hAnsi="Calibri" w:cs="Calibri"/>
              <w:sz w:val="24"/>
              <w:szCs w:val="24"/>
              <w:lang w:eastAsia="zh-CN"/>
            </w:rPr>
          </w:rPrChange>
        </w:rPr>
        <w:t xml:space="preserve">. </w:t>
      </w:r>
    </w:p>
    <w:p w14:paraId="1E6B1572">
      <w:pPr>
        <w:pStyle w:val="22"/>
        <w:spacing w:after="0" w:line="0" w:lineRule="atLeast"/>
        <w:ind w:left="0"/>
        <w:rPr>
          <w:rFonts w:ascii="Calibri" w:hAnsi="Calibri" w:cs="Calibri"/>
          <w:sz w:val="24"/>
          <w:szCs w:val="24"/>
          <w:highlight w:val="none"/>
          <w:rPrChange w:id="35" w:author="路通" w:date="2026-03-17T13:35:33Z">
            <w:rPr>
              <w:rFonts w:ascii="Calibri" w:hAnsi="Calibri" w:cs="Calibri"/>
              <w:sz w:val="24"/>
              <w:szCs w:val="24"/>
            </w:rPr>
          </w:rPrChange>
        </w:rPr>
      </w:pPr>
    </w:p>
    <w:p w14:paraId="03720683">
      <w:pPr>
        <w:pStyle w:val="22"/>
        <w:numPr>
          <w:ilvl w:val="2"/>
          <w:numId w:val="1"/>
        </w:numPr>
        <w:spacing w:after="0" w:line="0" w:lineRule="atLeast"/>
        <w:ind w:left="0" w:firstLine="0"/>
        <w:rPr>
          <w:highlight w:val="none"/>
          <w:rPrChange w:id="36" w:author="路通" w:date="2026-03-17T13:35:33Z">
            <w:rPr/>
          </w:rPrChange>
        </w:rPr>
      </w:pPr>
      <w:r>
        <w:rPr>
          <w:rFonts w:ascii="Calibri" w:hAnsi="Calibri" w:cs="Calibri"/>
          <w:sz w:val="24"/>
          <w:szCs w:val="24"/>
          <w:highlight w:val="none"/>
          <w:lang w:eastAsia="zh-CN"/>
          <w:rPrChange w:id="37" w:author="路通" w:date="2026-03-17T13:35:33Z">
            <w:rPr>
              <w:rFonts w:ascii="Calibri" w:hAnsi="Calibri" w:cs="Calibri"/>
              <w:sz w:val="24"/>
              <w:szCs w:val="24"/>
              <w:lang w:eastAsia="zh-CN"/>
            </w:rPr>
          </w:rPrChange>
        </w:rPr>
        <w:t xml:space="preserve">Take 50 µL, 200 µL, and 500 µL, respectively. Obtain </w:t>
      </w:r>
      <w:r>
        <w:rPr>
          <w:rFonts w:ascii="Calibri" w:hAnsi="Calibri" w:cs="Calibri"/>
          <w:sz w:val="24"/>
          <w:szCs w:val="24"/>
          <w:highlight w:val="none"/>
          <w:rPrChange w:id="38" w:author="路通" w:date="2026-03-17T13:35:33Z">
            <w:rPr>
              <w:rFonts w:ascii="Calibri" w:hAnsi="Calibri" w:cs="Calibri"/>
              <w:sz w:val="24"/>
              <w:szCs w:val="24"/>
            </w:rPr>
          </w:rPrChange>
        </w:rPr>
        <w:t>concentrations of 0.5 μg/mL, 2 μg/mL, 5 μg/mL, and 10 μg/mL</w:t>
      </w:r>
      <w:r>
        <w:rPr>
          <w:rFonts w:ascii="Calibri" w:hAnsi="Calibri" w:cs="Calibri"/>
          <w:sz w:val="24"/>
          <w:szCs w:val="24"/>
          <w:highlight w:val="none"/>
          <w:lang w:eastAsia="zh-CN"/>
          <w:rPrChange w:id="39" w:author="路通" w:date="2026-03-17T13:35:33Z">
            <w:rPr>
              <w:rFonts w:ascii="Calibri" w:hAnsi="Calibri" w:cs="Calibri"/>
              <w:sz w:val="24"/>
              <w:szCs w:val="24"/>
              <w:lang w:eastAsia="zh-CN"/>
            </w:rPr>
          </w:rPrChange>
        </w:rPr>
        <w:t>.</w:t>
      </w:r>
      <w:r>
        <w:rPr>
          <w:rFonts w:ascii="Calibri" w:hAnsi="Calibri" w:cs="Calibri"/>
          <w:sz w:val="24"/>
          <w:szCs w:val="24"/>
          <w:highlight w:val="none"/>
          <w:rPrChange w:id="40" w:author="路通" w:date="2026-03-17T13:35:33Z">
            <w:rPr>
              <w:rFonts w:ascii="Calibri" w:hAnsi="Calibri" w:cs="Calibri"/>
              <w:sz w:val="24"/>
              <w:szCs w:val="24"/>
            </w:rPr>
          </w:rPrChange>
        </w:rPr>
        <w:t xml:space="preserve"> Prepare fresh before use. </w:t>
      </w:r>
    </w:p>
    <w:p w14:paraId="4870791A">
      <w:pPr>
        <w:spacing w:line="0" w:lineRule="atLeast"/>
        <w:contextualSpacing/>
        <w:rPr>
          <w:highlight w:val="none"/>
          <w:rPrChange w:id="41" w:author="路通" w:date="2026-03-17T13:35:33Z">
            <w:rPr/>
          </w:rPrChange>
        </w:rPr>
      </w:pPr>
    </w:p>
    <w:p w14:paraId="62767003">
      <w:pPr>
        <w:pStyle w:val="22"/>
        <w:numPr>
          <w:ilvl w:val="2"/>
          <w:numId w:val="1"/>
        </w:numPr>
        <w:spacing w:after="0" w:line="0" w:lineRule="atLeast"/>
        <w:ind w:left="0" w:firstLine="0"/>
        <w:rPr>
          <w:rFonts w:ascii="Calibri" w:hAnsi="Calibri" w:cs="Calibri"/>
          <w:sz w:val="24"/>
          <w:szCs w:val="24"/>
          <w:highlight w:val="none"/>
          <w:rPrChange w:id="42" w:author="路通" w:date="2026-03-17T13:35:33Z">
            <w:rPr>
              <w:rFonts w:ascii="Calibri" w:hAnsi="Calibri" w:cs="Calibri"/>
              <w:sz w:val="24"/>
              <w:szCs w:val="24"/>
            </w:rPr>
          </w:rPrChange>
        </w:rPr>
      </w:pPr>
      <w:r>
        <w:rPr>
          <w:rFonts w:ascii="Calibri" w:hAnsi="Calibri" w:cs="Calibri"/>
          <w:sz w:val="24"/>
          <w:szCs w:val="24"/>
          <w:highlight w:val="none"/>
          <w:rPrChange w:id="43" w:author="路通" w:date="2026-03-17T13:35:33Z">
            <w:rPr>
              <w:rFonts w:ascii="Calibri" w:hAnsi="Calibri" w:cs="Calibri"/>
              <w:sz w:val="24"/>
              <w:szCs w:val="24"/>
            </w:rPr>
          </w:rPrChange>
        </w:rPr>
        <w:t xml:space="preserve">Transfer 100 μL of the 10 μg/mL intermediate solution into a 1 mL volumetric flask to prepare a 1 μg/mL dilute solution. </w:t>
      </w:r>
    </w:p>
    <w:p w14:paraId="3E9A7A12">
      <w:pPr>
        <w:pStyle w:val="22"/>
        <w:spacing w:after="0" w:line="0" w:lineRule="atLeast"/>
        <w:ind w:left="0"/>
        <w:rPr>
          <w:rFonts w:ascii="Calibri" w:hAnsi="Calibri" w:cs="Calibri"/>
          <w:sz w:val="24"/>
          <w:szCs w:val="24"/>
          <w:highlight w:val="none"/>
          <w:rPrChange w:id="44" w:author="路通" w:date="2026-03-17T13:35:33Z">
            <w:rPr>
              <w:rFonts w:ascii="Calibri" w:hAnsi="Calibri" w:cs="Calibri"/>
              <w:sz w:val="24"/>
              <w:szCs w:val="24"/>
            </w:rPr>
          </w:rPrChange>
        </w:rPr>
      </w:pPr>
    </w:p>
    <w:p w14:paraId="1DE2A60D">
      <w:pPr>
        <w:pStyle w:val="22"/>
        <w:numPr>
          <w:ilvl w:val="2"/>
          <w:numId w:val="1"/>
        </w:numPr>
        <w:spacing w:after="0" w:line="0" w:lineRule="atLeast"/>
        <w:ind w:left="0" w:firstLine="0"/>
        <w:rPr>
          <w:highlight w:val="none"/>
          <w:rPrChange w:id="45" w:author="路通" w:date="2026-03-17T13:35:33Z">
            <w:rPr/>
          </w:rPrChange>
        </w:rPr>
      </w:pPr>
      <w:r>
        <w:rPr>
          <w:rFonts w:ascii="Calibri" w:hAnsi="Calibri" w:cs="Calibri"/>
          <w:sz w:val="24"/>
          <w:szCs w:val="24"/>
          <w:highlight w:val="none"/>
          <w:rPrChange w:id="46" w:author="路通" w:date="2026-03-17T13:35:33Z">
            <w:rPr>
              <w:rFonts w:ascii="Calibri" w:hAnsi="Calibri" w:cs="Calibri"/>
              <w:sz w:val="24"/>
              <w:szCs w:val="24"/>
            </w:rPr>
          </w:rPrChange>
        </w:rPr>
        <w:t>Then, transfer 100 μL of the 1 μg/mL solution into another 1 mL volumetric flask and dilute it to the volume with methanol.</w:t>
      </w:r>
    </w:p>
    <w:p w14:paraId="1B08FEC4">
      <w:pPr>
        <w:spacing w:line="0" w:lineRule="atLeast"/>
        <w:contextualSpacing/>
        <w:rPr>
          <w:highlight w:val="none"/>
          <w:rPrChange w:id="47" w:author="路通" w:date="2026-03-17T13:35:33Z">
            <w:rPr/>
          </w:rPrChange>
        </w:rPr>
      </w:pPr>
    </w:p>
    <w:bookmarkEnd w:id="3"/>
    <w:p w14:paraId="432267F7">
      <w:pPr>
        <w:pStyle w:val="22"/>
        <w:numPr>
          <w:ilvl w:val="1"/>
          <w:numId w:val="1"/>
        </w:numPr>
        <w:spacing w:after="0" w:line="0" w:lineRule="atLeast"/>
        <w:ind w:left="0" w:firstLine="0"/>
        <w:rPr>
          <w:rFonts w:ascii="Calibri" w:hAnsi="Calibri" w:cs="Calibri"/>
          <w:sz w:val="24"/>
          <w:szCs w:val="24"/>
        </w:rPr>
      </w:pPr>
      <w:r>
        <w:rPr>
          <w:rFonts w:ascii="Calibri" w:hAnsi="Calibri" w:cs="Calibri"/>
          <w:sz w:val="24"/>
          <w:szCs w:val="24"/>
        </w:rPr>
        <w:t>Sample pretreatment</w:t>
      </w:r>
    </w:p>
    <w:p w14:paraId="5C9C43D1">
      <w:pPr>
        <w:pStyle w:val="22"/>
        <w:spacing w:after="0" w:line="0" w:lineRule="atLeast"/>
        <w:ind w:left="0"/>
      </w:pPr>
    </w:p>
    <w:p w14:paraId="28D11113">
      <w:pPr>
        <w:pStyle w:val="22"/>
        <w:numPr>
          <w:ilvl w:val="2"/>
          <w:numId w:val="1"/>
        </w:numPr>
        <w:spacing w:after="0" w:line="0" w:lineRule="atLeast"/>
        <w:ind w:left="0" w:firstLine="0"/>
        <w:rPr>
          <w:rFonts w:ascii="Calibri" w:hAnsi="Calibri" w:cs="Calibri"/>
          <w:sz w:val="24"/>
          <w:szCs w:val="24"/>
          <w:highlight w:val="yellow"/>
          <w:rPrChange w:id="48" w:author="路通" w:date="2026-03-17T13:32:22Z">
            <w:rPr>
              <w:rFonts w:ascii="Calibri" w:hAnsi="Calibri" w:cs="Calibri"/>
              <w:sz w:val="24"/>
              <w:szCs w:val="24"/>
            </w:rPr>
          </w:rPrChange>
        </w:rPr>
      </w:pPr>
      <w:r>
        <w:rPr>
          <w:rFonts w:ascii="Calibri" w:hAnsi="Calibri" w:cs="Calibri"/>
          <w:sz w:val="24"/>
          <w:szCs w:val="24"/>
          <w:highlight w:val="yellow"/>
          <w:rPrChange w:id="49" w:author="路通" w:date="2026-03-17T13:32:22Z">
            <w:rPr>
              <w:rFonts w:ascii="Calibri" w:hAnsi="Calibri" w:cs="Calibri"/>
              <w:sz w:val="24"/>
              <w:szCs w:val="24"/>
            </w:rPr>
          </w:rPrChange>
        </w:rPr>
        <w:t xml:space="preserve">Carry out freeze-drying of fresh materials of Sophora flavescens and subsequently pulverize into a homogeneous powder using a high-speed grinder. </w:t>
      </w:r>
    </w:p>
    <w:p w14:paraId="26070179">
      <w:pPr>
        <w:pStyle w:val="22"/>
        <w:spacing w:after="0" w:line="0" w:lineRule="atLeast"/>
        <w:ind w:left="0"/>
        <w:rPr>
          <w:rFonts w:ascii="Calibri" w:hAnsi="Calibri" w:cs="Calibri"/>
          <w:sz w:val="24"/>
          <w:szCs w:val="24"/>
          <w:highlight w:val="yellow"/>
          <w:rPrChange w:id="50" w:author="路通" w:date="2026-03-17T13:32:22Z">
            <w:rPr>
              <w:rFonts w:ascii="Calibri" w:hAnsi="Calibri" w:cs="Calibri"/>
              <w:sz w:val="24"/>
              <w:szCs w:val="24"/>
            </w:rPr>
          </w:rPrChange>
        </w:rPr>
      </w:pPr>
    </w:p>
    <w:p w14:paraId="6A1FB485">
      <w:pPr>
        <w:pStyle w:val="22"/>
        <w:numPr>
          <w:ilvl w:val="2"/>
          <w:numId w:val="1"/>
        </w:numPr>
        <w:spacing w:after="0" w:line="0" w:lineRule="atLeast"/>
        <w:ind w:left="0" w:firstLine="0"/>
        <w:rPr>
          <w:rFonts w:ascii="Calibri" w:hAnsi="Calibri" w:cs="Calibri"/>
          <w:sz w:val="24"/>
          <w:szCs w:val="24"/>
          <w:highlight w:val="yellow"/>
          <w:rPrChange w:id="51" w:author="路通" w:date="2026-03-17T13:32:22Z">
            <w:rPr>
              <w:rFonts w:ascii="Calibri" w:hAnsi="Calibri" w:cs="Calibri"/>
              <w:sz w:val="24"/>
              <w:szCs w:val="24"/>
            </w:rPr>
          </w:rPrChange>
        </w:rPr>
      </w:pPr>
      <w:r>
        <w:rPr>
          <w:rFonts w:ascii="Calibri" w:hAnsi="Calibri" w:cs="Calibri"/>
          <w:sz w:val="24"/>
          <w:szCs w:val="24"/>
          <w:highlight w:val="yellow"/>
          <w:rPrChange w:id="52" w:author="路通" w:date="2026-03-17T13:32:22Z">
            <w:rPr>
              <w:rFonts w:ascii="Calibri" w:hAnsi="Calibri" w:cs="Calibri"/>
              <w:sz w:val="24"/>
              <w:szCs w:val="24"/>
            </w:rPr>
          </w:rPrChange>
        </w:rPr>
        <w:t>Sieve the powder through a 0.25 mm standard test sieve. Accurately weigh 2</w:t>
      </w:r>
      <w:r>
        <w:rPr>
          <w:rFonts w:ascii="Calibri" w:hAnsi="Calibri" w:cs="Calibri"/>
          <w:sz w:val="24"/>
          <w:szCs w:val="24"/>
          <w:highlight w:val="yellow"/>
          <w:lang w:eastAsia="zh-CN"/>
          <w:rPrChange w:id="53" w:author="路通" w:date="2026-03-17T13:32:22Z">
            <w:rPr>
              <w:rFonts w:ascii="Calibri" w:hAnsi="Calibri" w:cs="Calibri"/>
              <w:sz w:val="24"/>
              <w:szCs w:val="24"/>
              <w:lang w:eastAsia="zh-CN"/>
            </w:rPr>
          </w:rPrChange>
        </w:rPr>
        <w:t>0</w:t>
      </w:r>
      <w:r>
        <w:rPr>
          <w:rFonts w:ascii="Calibri" w:hAnsi="Calibri" w:cs="Calibri"/>
          <w:sz w:val="24"/>
          <w:szCs w:val="24"/>
          <w:highlight w:val="yellow"/>
          <w:rPrChange w:id="54" w:author="路通" w:date="2026-03-17T13:32:22Z">
            <w:rPr>
              <w:rFonts w:ascii="Calibri" w:hAnsi="Calibri" w:cs="Calibri"/>
              <w:sz w:val="24"/>
              <w:szCs w:val="24"/>
            </w:rPr>
          </w:rPrChange>
        </w:rPr>
        <w:t xml:space="preserve"> mg of this powder, transfer it into a 100 mL volumetric flask, and add chromatographic-grade methanol to nearly the marked line. </w:t>
      </w:r>
    </w:p>
    <w:p w14:paraId="24AE1896">
      <w:pPr>
        <w:pStyle w:val="22"/>
        <w:spacing w:after="0" w:line="0" w:lineRule="atLeast"/>
        <w:ind w:left="0"/>
        <w:rPr>
          <w:rFonts w:ascii="Calibri" w:hAnsi="Calibri" w:cs="Calibri"/>
          <w:sz w:val="24"/>
          <w:szCs w:val="24"/>
          <w:highlight w:val="yellow"/>
          <w:rPrChange w:id="55" w:author="路通" w:date="2026-03-17T13:32:22Z">
            <w:rPr>
              <w:rFonts w:ascii="Calibri" w:hAnsi="Calibri" w:cs="Calibri"/>
              <w:sz w:val="24"/>
              <w:szCs w:val="24"/>
            </w:rPr>
          </w:rPrChange>
        </w:rPr>
      </w:pPr>
    </w:p>
    <w:p w14:paraId="19FB4281">
      <w:pPr>
        <w:pStyle w:val="22"/>
        <w:numPr>
          <w:ilvl w:val="2"/>
          <w:numId w:val="1"/>
        </w:numPr>
        <w:spacing w:after="0" w:line="0" w:lineRule="atLeast"/>
        <w:ind w:left="0" w:firstLine="0"/>
        <w:rPr>
          <w:highlight w:val="yellow"/>
          <w:rPrChange w:id="56" w:author="路通" w:date="2026-03-17T13:32:22Z">
            <w:rPr/>
          </w:rPrChange>
        </w:rPr>
      </w:pPr>
      <w:r>
        <w:rPr>
          <w:rFonts w:ascii="Calibri" w:hAnsi="Calibri" w:cs="Calibri"/>
          <w:sz w:val="24"/>
          <w:szCs w:val="24"/>
          <w:highlight w:val="yellow"/>
          <w:rPrChange w:id="57" w:author="路通" w:date="2026-03-17T13:32:22Z">
            <w:rPr>
              <w:rFonts w:ascii="Calibri" w:hAnsi="Calibri" w:cs="Calibri"/>
              <w:sz w:val="24"/>
              <w:szCs w:val="24"/>
            </w:rPr>
          </w:rPrChange>
        </w:rPr>
        <w:t xml:space="preserve">Perform ultrasonic extraction at room temperature for 30 min. After extraction, take out the volumetric flask, allow it to cool to 25 °C at room temperature, replenish chromatographic-grade methanol to the 100 mL marked line, and vortex mix for 2 min. </w:t>
      </w:r>
    </w:p>
    <w:p w14:paraId="5733052F">
      <w:pPr>
        <w:spacing w:line="0" w:lineRule="atLeast"/>
        <w:contextualSpacing/>
        <w:rPr>
          <w:highlight w:val="yellow"/>
          <w:rPrChange w:id="58" w:author="路通" w:date="2026-03-17T13:32:22Z">
            <w:rPr/>
          </w:rPrChange>
        </w:rPr>
      </w:pPr>
    </w:p>
    <w:p w14:paraId="5B5AD05D">
      <w:pPr>
        <w:pStyle w:val="22"/>
        <w:numPr>
          <w:ilvl w:val="2"/>
          <w:numId w:val="1"/>
        </w:numPr>
        <w:spacing w:after="0" w:line="0" w:lineRule="atLeast"/>
        <w:ind w:left="0" w:firstLine="0"/>
        <w:rPr>
          <w:highlight w:val="yellow"/>
          <w:rPrChange w:id="59" w:author="路通" w:date="2026-03-17T13:32:22Z">
            <w:rPr/>
          </w:rPrChange>
        </w:rPr>
      </w:pPr>
      <w:r>
        <w:rPr>
          <w:rFonts w:ascii="Calibri" w:hAnsi="Calibri" w:cs="Calibri"/>
          <w:sz w:val="24"/>
          <w:szCs w:val="24"/>
          <w:highlight w:val="yellow"/>
          <w:rPrChange w:id="60" w:author="路通" w:date="2026-03-17T13:32:22Z">
            <w:rPr>
              <w:rFonts w:ascii="Calibri" w:hAnsi="Calibri" w:cs="Calibri"/>
              <w:sz w:val="24"/>
              <w:szCs w:val="24"/>
            </w:rPr>
          </w:rPrChange>
        </w:rPr>
        <w:t>Pipette 1 mL of the above extract into a 10</w:t>
      </w:r>
      <w:r>
        <w:rPr>
          <w:rFonts w:ascii="Calibri" w:hAnsi="Calibri" w:cs="Calibri"/>
          <w:sz w:val="24"/>
          <w:szCs w:val="24"/>
          <w:highlight w:val="yellow"/>
          <w:lang w:eastAsia="zh-CN"/>
          <w:rPrChange w:id="61" w:author="路通" w:date="2026-03-17T13:32:22Z">
            <w:rPr>
              <w:rFonts w:ascii="Calibri" w:hAnsi="Calibri" w:cs="Calibri"/>
              <w:sz w:val="24"/>
              <w:szCs w:val="24"/>
              <w:lang w:eastAsia="zh-CN"/>
            </w:rPr>
          </w:rPrChange>
        </w:rPr>
        <w:t>0</w:t>
      </w:r>
      <w:r>
        <w:rPr>
          <w:rFonts w:ascii="Calibri" w:hAnsi="Calibri" w:cs="Calibri"/>
          <w:sz w:val="24"/>
          <w:szCs w:val="24"/>
          <w:highlight w:val="yellow"/>
          <w:rPrChange w:id="62" w:author="路通" w:date="2026-03-17T13:32:22Z">
            <w:rPr>
              <w:rFonts w:ascii="Calibri" w:hAnsi="Calibri" w:cs="Calibri"/>
              <w:sz w:val="24"/>
              <w:szCs w:val="24"/>
            </w:rPr>
          </w:rPrChange>
        </w:rPr>
        <w:t xml:space="preserve"> mL volumetric flask, and dilute to the marked line with methanol (1</w:t>
      </w:r>
      <w:r>
        <w:rPr>
          <w:rFonts w:ascii="Calibri" w:hAnsi="Calibri" w:cs="Calibri"/>
          <w:sz w:val="24"/>
          <w:szCs w:val="24"/>
          <w:highlight w:val="yellow"/>
          <w:lang w:eastAsia="zh-CN"/>
          <w:rPrChange w:id="63" w:author="路通" w:date="2026-03-17T13:32:22Z">
            <w:rPr>
              <w:rFonts w:ascii="Calibri" w:hAnsi="Calibri" w:cs="Calibri"/>
              <w:sz w:val="24"/>
              <w:szCs w:val="24"/>
              <w:lang w:eastAsia="zh-CN"/>
            </w:rPr>
          </w:rPrChange>
        </w:rPr>
        <w:t>0</w:t>
      </w:r>
      <w:r>
        <w:rPr>
          <w:rFonts w:ascii="Calibri" w:hAnsi="Calibri" w:cs="Calibri"/>
          <w:sz w:val="24"/>
          <w:szCs w:val="24"/>
          <w:highlight w:val="yellow"/>
          <w:rPrChange w:id="64" w:author="路通" w:date="2026-03-17T13:32:22Z">
            <w:rPr>
              <w:rFonts w:ascii="Calibri" w:hAnsi="Calibri" w:cs="Calibri"/>
              <w:sz w:val="24"/>
              <w:szCs w:val="24"/>
            </w:rPr>
          </w:rPrChange>
        </w:rPr>
        <w:t>0-fold dilution). After shaking well, it serves as the mother solution for HPLC injection (</w:t>
      </w:r>
      <w:r>
        <w:rPr>
          <w:rFonts w:ascii="Calibri" w:hAnsi="Calibri" w:cs="Calibri"/>
          <w:b/>
          <w:bCs/>
          <w:sz w:val="24"/>
          <w:szCs w:val="24"/>
          <w:highlight w:val="yellow"/>
          <w:rPrChange w:id="65" w:author="路通" w:date="2026-03-17T13:32:22Z">
            <w:rPr>
              <w:rFonts w:ascii="Calibri" w:hAnsi="Calibri" w:cs="Calibri"/>
              <w:b/>
              <w:bCs/>
              <w:sz w:val="24"/>
              <w:szCs w:val="24"/>
            </w:rPr>
          </w:rPrChange>
        </w:rPr>
        <w:t>Figure 2</w:t>
      </w:r>
      <w:r>
        <w:rPr>
          <w:rFonts w:ascii="Calibri" w:hAnsi="Calibri" w:cs="Calibri"/>
          <w:sz w:val="24"/>
          <w:szCs w:val="24"/>
          <w:highlight w:val="yellow"/>
          <w:rPrChange w:id="66" w:author="路通" w:date="2026-03-17T13:32:22Z">
            <w:rPr>
              <w:rFonts w:ascii="Calibri" w:hAnsi="Calibri" w:cs="Calibri"/>
              <w:sz w:val="24"/>
              <w:szCs w:val="24"/>
            </w:rPr>
          </w:rPrChange>
        </w:rPr>
        <w:t>).</w:t>
      </w:r>
    </w:p>
    <w:p w14:paraId="45F85607">
      <w:pPr>
        <w:spacing w:line="0" w:lineRule="atLeast"/>
        <w:contextualSpacing/>
      </w:pPr>
    </w:p>
    <w:p w14:paraId="63092701">
      <w:pPr>
        <w:spacing w:line="0" w:lineRule="atLeast"/>
        <w:contextualSpacing/>
        <w:rPr>
          <w:lang w:eastAsia="zh-CN"/>
        </w:rPr>
      </w:pPr>
      <w:r>
        <w:rPr>
          <w:lang w:eastAsia="zh-CN"/>
        </w:rPr>
        <w:t>NOTE:</w:t>
      </w:r>
      <w:r>
        <w:t xml:space="preserve"> </w:t>
      </w:r>
      <w:r>
        <w:rPr>
          <w:lang w:eastAsia="zh-CN"/>
        </w:rPr>
        <w:t>When operating the high-speed grinding machine, it is essential to wear protective goggles and a dust mask; control the grinding amount and duration to prevent overheating.</w:t>
      </w:r>
    </w:p>
    <w:p w14:paraId="712A30BF">
      <w:pPr>
        <w:spacing w:line="0" w:lineRule="atLeast"/>
        <w:contextualSpacing/>
      </w:pPr>
    </w:p>
    <w:p w14:paraId="7A9CF1FD">
      <w:pPr>
        <w:pStyle w:val="22"/>
        <w:numPr>
          <w:ilvl w:val="1"/>
          <w:numId w:val="1"/>
        </w:numPr>
        <w:spacing w:after="0" w:line="0" w:lineRule="atLeast"/>
        <w:ind w:left="0" w:firstLine="0"/>
        <w:rPr>
          <w:rFonts w:ascii="Calibri" w:hAnsi="Calibri" w:cs="Calibri"/>
          <w:sz w:val="24"/>
          <w:szCs w:val="24"/>
          <w:highlight w:val="yellow"/>
          <w:rPrChange w:id="67" w:author="路通" w:date="2026-03-17T13:31:17Z">
            <w:rPr>
              <w:rFonts w:ascii="Calibri" w:hAnsi="Calibri" w:cs="Calibri"/>
              <w:sz w:val="24"/>
              <w:szCs w:val="24"/>
            </w:rPr>
          </w:rPrChange>
        </w:rPr>
      </w:pPr>
      <w:r>
        <w:rPr>
          <w:rFonts w:ascii="Calibri" w:hAnsi="Calibri" w:cs="Calibri"/>
          <w:sz w:val="24"/>
          <w:szCs w:val="24"/>
          <w:highlight w:val="yellow"/>
          <w:rPrChange w:id="68" w:author="路通" w:date="2026-03-17T13:31:17Z">
            <w:rPr>
              <w:rFonts w:ascii="Calibri" w:hAnsi="Calibri" w:cs="Calibri"/>
              <w:sz w:val="24"/>
              <w:szCs w:val="24"/>
            </w:rPr>
          </w:rPrChange>
        </w:rPr>
        <w:t>Sample filtration and storage</w:t>
      </w:r>
    </w:p>
    <w:p w14:paraId="1AE407F3">
      <w:pPr>
        <w:pStyle w:val="22"/>
        <w:spacing w:after="0" w:line="0" w:lineRule="atLeast"/>
        <w:ind w:left="0"/>
        <w:rPr>
          <w:b/>
          <w:bCs/>
          <w:highlight w:val="yellow"/>
          <w:rPrChange w:id="69" w:author="路通" w:date="2026-03-17T13:31:17Z">
            <w:rPr>
              <w:b/>
              <w:bCs/>
            </w:rPr>
          </w:rPrChange>
        </w:rPr>
      </w:pPr>
    </w:p>
    <w:p w14:paraId="713BF31B">
      <w:pPr>
        <w:pStyle w:val="22"/>
        <w:numPr>
          <w:ilvl w:val="2"/>
          <w:numId w:val="1"/>
        </w:numPr>
        <w:spacing w:after="0" w:line="0" w:lineRule="atLeast"/>
        <w:ind w:left="0" w:firstLine="0"/>
        <w:rPr>
          <w:rFonts w:ascii="Calibri" w:hAnsi="Calibri" w:cs="Calibri"/>
          <w:sz w:val="24"/>
          <w:szCs w:val="24"/>
          <w:highlight w:val="yellow"/>
          <w:rPrChange w:id="70" w:author="路通" w:date="2026-03-17T13:31:17Z">
            <w:rPr>
              <w:rFonts w:ascii="Calibri" w:hAnsi="Calibri" w:cs="Calibri"/>
              <w:sz w:val="24"/>
              <w:szCs w:val="24"/>
            </w:rPr>
          </w:rPrChange>
        </w:rPr>
      </w:pPr>
      <w:r>
        <w:rPr>
          <w:rFonts w:ascii="Calibri" w:hAnsi="Calibri" w:cs="Calibri"/>
          <w:sz w:val="24"/>
          <w:szCs w:val="24"/>
          <w:highlight w:val="yellow"/>
          <w:rPrChange w:id="71" w:author="路通" w:date="2026-03-17T13:31:17Z">
            <w:rPr>
              <w:rFonts w:ascii="Calibri" w:hAnsi="Calibri" w:cs="Calibri"/>
              <w:sz w:val="24"/>
              <w:szCs w:val="24"/>
            </w:rPr>
          </w:rPrChange>
        </w:rPr>
        <w:t>Prepare a 1 mL disposable needle-free syringe (chromatography-specialized, non-adsorptive) and a 0.22 μm organic phase microporous membrane.</w:t>
      </w:r>
      <w:r>
        <w:rPr>
          <w:rFonts w:ascii="Calibri" w:hAnsi="Calibri" w:cs="Calibri"/>
          <w:sz w:val="24"/>
          <w:szCs w:val="24"/>
          <w:highlight w:val="yellow"/>
          <w:lang w:eastAsia="zh-CN"/>
          <w:rPrChange w:id="72" w:author="路通" w:date="2026-03-17T13:31:17Z">
            <w:rPr>
              <w:rFonts w:ascii="Calibri" w:hAnsi="Calibri" w:cs="Calibri"/>
              <w:sz w:val="24"/>
              <w:szCs w:val="24"/>
              <w:lang w:eastAsia="zh-CN"/>
            </w:rPr>
          </w:rPrChange>
        </w:rPr>
        <w:t xml:space="preserve"> </w:t>
      </w:r>
    </w:p>
    <w:p w14:paraId="7AB15796">
      <w:pPr>
        <w:pStyle w:val="22"/>
        <w:spacing w:after="0" w:line="0" w:lineRule="atLeast"/>
        <w:ind w:left="0"/>
        <w:rPr>
          <w:rFonts w:ascii="Calibri" w:hAnsi="Calibri" w:cs="Calibri"/>
          <w:sz w:val="24"/>
          <w:szCs w:val="24"/>
          <w:highlight w:val="yellow"/>
          <w:rPrChange w:id="73" w:author="路通" w:date="2026-03-17T13:31:17Z">
            <w:rPr>
              <w:rFonts w:ascii="Calibri" w:hAnsi="Calibri" w:cs="Calibri"/>
              <w:sz w:val="24"/>
              <w:szCs w:val="24"/>
            </w:rPr>
          </w:rPrChange>
        </w:rPr>
      </w:pPr>
    </w:p>
    <w:p w14:paraId="0DF30D24">
      <w:pPr>
        <w:pStyle w:val="22"/>
        <w:numPr>
          <w:ilvl w:val="2"/>
          <w:numId w:val="1"/>
        </w:numPr>
        <w:spacing w:after="0" w:line="0" w:lineRule="atLeast"/>
        <w:ind w:left="0" w:firstLine="0"/>
        <w:rPr>
          <w:rFonts w:ascii="Calibri" w:hAnsi="Calibri" w:cs="Calibri"/>
          <w:sz w:val="24"/>
          <w:szCs w:val="24"/>
          <w:highlight w:val="yellow"/>
          <w:rPrChange w:id="74" w:author="路通" w:date="2026-03-17T13:31:17Z">
            <w:rPr>
              <w:rFonts w:ascii="Calibri" w:hAnsi="Calibri" w:cs="Calibri"/>
              <w:sz w:val="24"/>
              <w:szCs w:val="24"/>
            </w:rPr>
          </w:rPrChange>
        </w:rPr>
      </w:pPr>
      <w:r>
        <w:rPr>
          <w:rFonts w:ascii="Calibri" w:hAnsi="Calibri" w:cs="Calibri"/>
          <w:sz w:val="24"/>
          <w:szCs w:val="24"/>
          <w:highlight w:val="yellow"/>
          <w:rPrChange w:id="75" w:author="路通" w:date="2026-03-17T13:31:17Z">
            <w:rPr>
              <w:rFonts w:ascii="Calibri" w:hAnsi="Calibri" w:cs="Calibri"/>
              <w:sz w:val="24"/>
              <w:szCs w:val="24"/>
            </w:rPr>
          </w:rPrChange>
        </w:rPr>
        <w:t xml:space="preserve">Aspirate 1.2 mL of the mother solution for injection, and push slowly for filtration. </w:t>
      </w:r>
    </w:p>
    <w:p w14:paraId="13D8EDCF">
      <w:pPr>
        <w:pStyle w:val="22"/>
        <w:spacing w:after="0" w:line="0" w:lineRule="atLeast"/>
        <w:ind w:left="0"/>
        <w:rPr>
          <w:rFonts w:ascii="Calibri" w:hAnsi="Calibri" w:cs="Calibri"/>
          <w:sz w:val="24"/>
          <w:szCs w:val="24"/>
          <w:highlight w:val="yellow"/>
          <w:rPrChange w:id="76" w:author="路通" w:date="2026-03-17T13:31:17Z">
            <w:rPr>
              <w:rFonts w:ascii="Calibri" w:hAnsi="Calibri" w:cs="Calibri"/>
              <w:sz w:val="24"/>
              <w:szCs w:val="24"/>
            </w:rPr>
          </w:rPrChange>
        </w:rPr>
      </w:pPr>
    </w:p>
    <w:p w14:paraId="71FC789C">
      <w:pPr>
        <w:pStyle w:val="22"/>
        <w:numPr>
          <w:ilvl w:val="2"/>
          <w:numId w:val="1"/>
        </w:numPr>
        <w:spacing w:after="0" w:line="0" w:lineRule="atLeast"/>
        <w:ind w:left="0" w:firstLine="0"/>
        <w:rPr>
          <w:highlight w:val="yellow"/>
          <w:rPrChange w:id="77" w:author="路通" w:date="2026-03-17T13:31:17Z">
            <w:rPr/>
          </w:rPrChange>
        </w:rPr>
      </w:pPr>
      <w:r>
        <w:rPr>
          <w:rFonts w:ascii="Calibri" w:hAnsi="Calibri" w:cs="Calibri"/>
          <w:sz w:val="24"/>
          <w:szCs w:val="24"/>
          <w:highlight w:val="yellow"/>
          <w:rPrChange w:id="78" w:author="路通" w:date="2026-03-17T13:31:17Z">
            <w:rPr>
              <w:rFonts w:ascii="Calibri" w:hAnsi="Calibri" w:cs="Calibri"/>
              <w:sz w:val="24"/>
              <w:szCs w:val="24"/>
            </w:rPr>
          </w:rPrChange>
        </w:rPr>
        <w:t>Collect the subsequent filtrate into a 2 mL sample vial with an inner insert, and seal tightly with a cap.</w:t>
      </w:r>
    </w:p>
    <w:p w14:paraId="7DABE2B1">
      <w:pPr>
        <w:spacing w:line="0" w:lineRule="atLeast"/>
        <w:contextualSpacing/>
      </w:pPr>
    </w:p>
    <w:p w14:paraId="4624A167">
      <w:pPr>
        <w:spacing w:line="0" w:lineRule="atLeast"/>
        <w:contextualSpacing/>
        <w:rPr>
          <w:lang w:eastAsia="zh-CN"/>
        </w:rPr>
      </w:pPr>
      <w:r>
        <w:t>NOTE: The frequency of the ultrasonic cleaner is fixed at 40 kHz. Avoid loosening of the volumetric flask cap during extraction to prevent solvent volatilization. Adjust the dilution factor according to the sample peak response in the pre-experiment to ensure the target peak area falls within the linear range of the standard curve.</w:t>
      </w:r>
      <w:r>
        <w:rPr>
          <w:lang w:eastAsia="zh-CN"/>
        </w:rPr>
        <w:t xml:space="preserve"> </w:t>
      </w:r>
      <w:r>
        <w:t xml:space="preserve">All samples </w:t>
      </w:r>
      <w:r>
        <w:rPr>
          <w:lang w:eastAsia="zh-CN"/>
        </w:rPr>
        <w:t>must</w:t>
      </w:r>
      <w:r>
        <w:t xml:space="preserve"> be immediately stored in a refrigerator at 4 °C. </w:t>
      </w:r>
    </w:p>
    <w:p w14:paraId="0650C510">
      <w:pPr>
        <w:spacing w:line="0" w:lineRule="atLeast"/>
        <w:contextualSpacing/>
      </w:pPr>
      <w:r>
        <w:t xml:space="preserve"> </w:t>
      </w:r>
    </w:p>
    <w:p w14:paraId="63A4A5B7">
      <w:pPr>
        <w:pStyle w:val="22"/>
        <w:numPr>
          <w:ilvl w:val="0"/>
          <w:numId w:val="1"/>
        </w:numPr>
        <w:spacing w:after="0" w:line="0" w:lineRule="atLeast"/>
        <w:ind w:left="0" w:firstLine="0"/>
        <w:rPr>
          <w:rFonts w:ascii="Calibri" w:hAnsi="Calibri" w:cs="Calibri"/>
          <w:b/>
          <w:bCs/>
          <w:sz w:val="24"/>
          <w:szCs w:val="24"/>
        </w:rPr>
      </w:pPr>
      <w:r>
        <w:rPr>
          <w:rFonts w:ascii="Calibri" w:hAnsi="Calibri" w:cs="Calibri"/>
          <w:b/>
          <w:bCs/>
          <w:sz w:val="24"/>
          <w:szCs w:val="24"/>
        </w:rPr>
        <w:t>HPLC prerun, method establishment, and MS acquisition</w:t>
      </w:r>
    </w:p>
    <w:p w14:paraId="3271076E">
      <w:pPr>
        <w:pStyle w:val="22"/>
        <w:spacing w:after="0" w:line="0" w:lineRule="atLeast"/>
        <w:ind w:left="0"/>
        <w:rPr>
          <w:b/>
          <w:bCs/>
        </w:rPr>
      </w:pPr>
    </w:p>
    <w:p w14:paraId="3E765272">
      <w:pPr>
        <w:pStyle w:val="22"/>
        <w:numPr>
          <w:ilvl w:val="1"/>
          <w:numId w:val="1"/>
        </w:numPr>
        <w:spacing w:after="0" w:line="0" w:lineRule="atLeast"/>
        <w:ind w:left="0" w:firstLine="0"/>
        <w:rPr>
          <w:rFonts w:ascii="Calibri" w:hAnsi="Calibri" w:cs="Calibri"/>
          <w:sz w:val="24"/>
          <w:szCs w:val="24"/>
          <w:highlight w:val="yellow"/>
          <w:rPrChange w:id="79" w:author="路通" w:date="2026-03-17T13:31:29Z">
            <w:rPr>
              <w:rFonts w:ascii="Calibri" w:hAnsi="Calibri" w:cs="Calibri"/>
              <w:sz w:val="24"/>
              <w:szCs w:val="24"/>
            </w:rPr>
          </w:rPrChange>
        </w:rPr>
      </w:pPr>
      <w:r>
        <w:rPr>
          <w:rFonts w:ascii="Calibri" w:hAnsi="Calibri" w:cs="Calibri"/>
          <w:sz w:val="24"/>
          <w:szCs w:val="24"/>
          <w:highlight w:val="yellow"/>
          <w:rPrChange w:id="80" w:author="路通" w:date="2026-03-17T13:31:29Z">
            <w:rPr>
              <w:rFonts w:ascii="Calibri" w:hAnsi="Calibri" w:cs="Calibri"/>
              <w:sz w:val="24"/>
              <w:szCs w:val="24"/>
            </w:rPr>
          </w:rPrChange>
        </w:rPr>
        <w:t>Preparation of mobile phases</w:t>
      </w:r>
    </w:p>
    <w:p w14:paraId="5653B16C">
      <w:pPr>
        <w:pStyle w:val="22"/>
        <w:spacing w:after="0" w:line="0" w:lineRule="atLeast"/>
        <w:ind w:left="0"/>
        <w:rPr>
          <w:b/>
          <w:bCs/>
          <w:highlight w:val="yellow"/>
          <w:rPrChange w:id="81" w:author="路通" w:date="2026-03-17T13:31:29Z">
            <w:rPr>
              <w:b/>
              <w:bCs/>
            </w:rPr>
          </w:rPrChange>
        </w:rPr>
      </w:pPr>
    </w:p>
    <w:p w14:paraId="33A447B4">
      <w:pPr>
        <w:pStyle w:val="22"/>
        <w:numPr>
          <w:ilvl w:val="2"/>
          <w:numId w:val="1"/>
        </w:numPr>
        <w:spacing w:after="0" w:line="0" w:lineRule="atLeast"/>
        <w:ind w:left="0" w:firstLine="0"/>
        <w:rPr>
          <w:rFonts w:ascii="Calibri" w:hAnsi="Calibri" w:cs="Calibri"/>
          <w:sz w:val="24"/>
          <w:szCs w:val="24"/>
          <w:highlight w:val="yellow"/>
          <w:rPrChange w:id="82" w:author="路通" w:date="2026-03-17T13:31:29Z">
            <w:rPr>
              <w:rFonts w:ascii="Calibri" w:hAnsi="Calibri" w:cs="Calibri"/>
              <w:sz w:val="24"/>
              <w:szCs w:val="24"/>
            </w:rPr>
          </w:rPrChange>
        </w:rPr>
      </w:pPr>
      <w:r>
        <w:rPr>
          <w:rFonts w:ascii="Calibri" w:hAnsi="Calibri" w:cs="Calibri"/>
          <w:sz w:val="24"/>
          <w:szCs w:val="24"/>
          <w:highlight w:val="yellow"/>
          <w:rPrChange w:id="83" w:author="路通" w:date="2026-03-17T13:31:29Z">
            <w:rPr>
              <w:rFonts w:ascii="Calibri" w:hAnsi="Calibri" w:cs="Calibri"/>
              <w:sz w:val="24"/>
              <w:szCs w:val="24"/>
            </w:rPr>
          </w:rPrChange>
        </w:rPr>
        <w:t xml:space="preserve">Prepare </w:t>
      </w:r>
      <w:r>
        <w:rPr>
          <w:rFonts w:ascii="Calibri" w:hAnsi="Calibri" w:cs="Calibri"/>
          <w:sz w:val="24"/>
          <w:szCs w:val="24"/>
          <w:highlight w:val="yellow"/>
          <w:lang w:eastAsia="zh-CN"/>
          <w:rPrChange w:id="84" w:author="路通" w:date="2026-03-17T13:31:29Z">
            <w:rPr>
              <w:rFonts w:ascii="Calibri" w:hAnsi="Calibri" w:cs="Calibri"/>
              <w:sz w:val="24"/>
              <w:szCs w:val="24"/>
              <w:lang w:eastAsia="zh-CN"/>
            </w:rPr>
          </w:rPrChange>
        </w:rPr>
        <w:t>mobile</w:t>
      </w:r>
      <w:r>
        <w:rPr>
          <w:rFonts w:ascii="Calibri" w:hAnsi="Calibri" w:cs="Calibri"/>
          <w:sz w:val="24"/>
          <w:szCs w:val="24"/>
          <w:highlight w:val="yellow"/>
          <w:rPrChange w:id="85" w:author="路通" w:date="2026-03-17T13:31:29Z">
            <w:rPr>
              <w:rFonts w:ascii="Calibri" w:hAnsi="Calibri" w:cs="Calibri"/>
              <w:sz w:val="24"/>
              <w:szCs w:val="24"/>
            </w:rPr>
          </w:rPrChange>
        </w:rPr>
        <w:t xml:space="preserve"> </w:t>
      </w:r>
      <w:r>
        <w:rPr>
          <w:rFonts w:ascii="Calibri" w:hAnsi="Calibri" w:cs="Calibri"/>
          <w:sz w:val="24"/>
          <w:szCs w:val="24"/>
          <w:highlight w:val="yellow"/>
          <w:lang w:eastAsia="zh-CN"/>
          <w:rPrChange w:id="86" w:author="路通" w:date="2026-03-17T13:31:29Z">
            <w:rPr>
              <w:rFonts w:ascii="Calibri" w:hAnsi="Calibri" w:cs="Calibri"/>
              <w:sz w:val="24"/>
              <w:szCs w:val="24"/>
              <w:lang w:eastAsia="zh-CN"/>
            </w:rPr>
          </w:rPrChange>
        </w:rPr>
        <w:t>phase</w:t>
      </w:r>
      <w:r>
        <w:rPr>
          <w:rFonts w:ascii="Calibri" w:hAnsi="Calibri" w:cs="Calibri"/>
          <w:sz w:val="24"/>
          <w:szCs w:val="24"/>
          <w:highlight w:val="yellow"/>
          <w:rPrChange w:id="87" w:author="路通" w:date="2026-03-17T13:31:29Z">
            <w:rPr>
              <w:rFonts w:ascii="Calibri" w:hAnsi="Calibri" w:cs="Calibri"/>
              <w:sz w:val="24"/>
              <w:szCs w:val="24"/>
            </w:rPr>
          </w:rPrChange>
        </w:rPr>
        <w:t xml:space="preserve"> A: </w:t>
      </w:r>
      <w:r>
        <w:rPr>
          <w:rFonts w:ascii="Calibri" w:hAnsi="Calibri" w:cs="Calibri"/>
          <w:sz w:val="24"/>
          <w:szCs w:val="24"/>
          <w:highlight w:val="yellow"/>
          <w:lang w:eastAsia="zh-CN"/>
          <w:rPrChange w:id="88" w:author="路通" w:date="2026-03-17T13:31:29Z">
            <w:rPr>
              <w:rFonts w:ascii="Calibri" w:hAnsi="Calibri" w:cs="Calibri"/>
              <w:sz w:val="24"/>
              <w:szCs w:val="24"/>
              <w:lang w:eastAsia="zh-CN"/>
            </w:rPr>
          </w:rPrChange>
        </w:rPr>
        <w:t>M</w:t>
      </w:r>
      <w:r>
        <w:rPr>
          <w:rFonts w:ascii="Calibri" w:hAnsi="Calibri" w:cs="Calibri"/>
          <w:sz w:val="24"/>
          <w:szCs w:val="24"/>
          <w:highlight w:val="yellow"/>
          <w:rPrChange w:id="89" w:author="路通" w:date="2026-03-17T13:31:29Z">
            <w:rPr>
              <w:rFonts w:ascii="Calibri" w:hAnsi="Calibri" w:cs="Calibri"/>
              <w:sz w:val="24"/>
              <w:szCs w:val="24"/>
            </w:rPr>
          </w:rPrChange>
        </w:rPr>
        <w:t xml:space="preserve">easure 1000 mL of ultrapure water, add 1.0 mL of chromatographic-grade formic acid (volume fraction: 0.1% v/v), and mix uniformly using a magnetic stirrer for 10 min. </w:t>
      </w:r>
    </w:p>
    <w:p w14:paraId="1B0165E0">
      <w:pPr>
        <w:pStyle w:val="22"/>
        <w:spacing w:after="0" w:line="0" w:lineRule="atLeast"/>
        <w:ind w:left="0"/>
        <w:rPr>
          <w:rFonts w:ascii="Calibri" w:hAnsi="Calibri" w:cs="Calibri"/>
          <w:sz w:val="24"/>
          <w:szCs w:val="24"/>
          <w:highlight w:val="yellow"/>
          <w:rPrChange w:id="90" w:author="路通" w:date="2026-03-17T13:31:29Z">
            <w:rPr>
              <w:rFonts w:ascii="Calibri" w:hAnsi="Calibri" w:cs="Calibri"/>
              <w:sz w:val="24"/>
              <w:szCs w:val="24"/>
            </w:rPr>
          </w:rPrChange>
        </w:rPr>
      </w:pPr>
    </w:p>
    <w:p w14:paraId="5C45A7A5">
      <w:pPr>
        <w:pStyle w:val="22"/>
        <w:numPr>
          <w:ilvl w:val="2"/>
          <w:numId w:val="1"/>
        </w:numPr>
        <w:spacing w:after="0" w:line="0" w:lineRule="atLeast"/>
        <w:ind w:left="0" w:firstLine="0"/>
        <w:rPr>
          <w:highlight w:val="yellow"/>
          <w:rPrChange w:id="91" w:author="路通" w:date="2026-03-17T13:31:29Z">
            <w:rPr/>
          </w:rPrChange>
        </w:rPr>
      </w:pPr>
      <w:r>
        <w:rPr>
          <w:rFonts w:ascii="Calibri" w:hAnsi="Calibri" w:cs="Calibri"/>
          <w:sz w:val="24"/>
          <w:szCs w:val="24"/>
          <w:highlight w:val="yellow"/>
          <w:rPrChange w:id="92" w:author="路通" w:date="2026-03-17T13:31:29Z">
            <w:rPr>
              <w:rFonts w:ascii="Calibri" w:hAnsi="Calibri" w:cs="Calibri"/>
              <w:sz w:val="24"/>
              <w:szCs w:val="24"/>
            </w:rPr>
          </w:rPrChange>
        </w:rPr>
        <w:t xml:space="preserve">Prepare </w:t>
      </w:r>
      <w:r>
        <w:rPr>
          <w:rFonts w:ascii="Calibri" w:hAnsi="Calibri" w:cs="Calibri"/>
          <w:sz w:val="24"/>
          <w:szCs w:val="24"/>
          <w:highlight w:val="yellow"/>
          <w:lang w:eastAsia="zh-CN"/>
          <w:rPrChange w:id="93" w:author="路通" w:date="2026-03-17T13:31:29Z">
            <w:rPr>
              <w:rFonts w:ascii="Calibri" w:hAnsi="Calibri" w:cs="Calibri"/>
              <w:sz w:val="24"/>
              <w:szCs w:val="24"/>
              <w:lang w:eastAsia="zh-CN"/>
            </w:rPr>
          </w:rPrChange>
        </w:rPr>
        <w:t>mobile</w:t>
      </w:r>
      <w:r>
        <w:rPr>
          <w:rFonts w:ascii="Calibri" w:hAnsi="Calibri" w:cs="Calibri"/>
          <w:sz w:val="24"/>
          <w:szCs w:val="24"/>
          <w:highlight w:val="yellow"/>
          <w:rPrChange w:id="94" w:author="路通" w:date="2026-03-17T13:31:29Z">
            <w:rPr>
              <w:rFonts w:ascii="Calibri" w:hAnsi="Calibri" w:cs="Calibri"/>
              <w:sz w:val="24"/>
              <w:szCs w:val="24"/>
            </w:rPr>
          </w:rPrChange>
        </w:rPr>
        <w:t xml:space="preserve"> </w:t>
      </w:r>
      <w:r>
        <w:rPr>
          <w:rFonts w:ascii="Calibri" w:hAnsi="Calibri" w:cs="Calibri"/>
          <w:sz w:val="24"/>
          <w:szCs w:val="24"/>
          <w:highlight w:val="yellow"/>
          <w:lang w:eastAsia="zh-CN"/>
          <w:rPrChange w:id="95" w:author="路通" w:date="2026-03-17T13:31:29Z">
            <w:rPr>
              <w:rFonts w:ascii="Calibri" w:hAnsi="Calibri" w:cs="Calibri"/>
              <w:sz w:val="24"/>
              <w:szCs w:val="24"/>
              <w:lang w:eastAsia="zh-CN"/>
            </w:rPr>
          </w:rPrChange>
        </w:rPr>
        <w:t>phase</w:t>
      </w:r>
      <w:r>
        <w:rPr>
          <w:rFonts w:ascii="Calibri" w:hAnsi="Calibri" w:cs="Calibri"/>
          <w:sz w:val="24"/>
          <w:szCs w:val="24"/>
          <w:highlight w:val="yellow"/>
          <w:rPrChange w:id="96" w:author="路通" w:date="2026-03-17T13:31:29Z">
            <w:rPr>
              <w:rFonts w:ascii="Calibri" w:hAnsi="Calibri" w:cs="Calibri"/>
              <w:sz w:val="24"/>
              <w:szCs w:val="24"/>
            </w:rPr>
          </w:rPrChange>
        </w:rPr>
        <w:t xml:space="preserve"> B: Use chromatographic-grade methanol directly without additional treatment.</w:t>
      </w:r>
    </w:p>
    <w:p w14:paraId="773D42AC">
      <w:pPr>
        <w:spacing w:line="0" w:lineRule="atLeast"/>
        <w:contextualSpacing/>
        <w:rPr>
          <w:highlight w:val="yellow"/>
          <w:rPrChange w:id="97" w:author="路通" w:date="2026-03-17T13:31:29Z">
            <w:rPr/>
          </w:rPrChange>
        </w:rPr>
      </w:pPr>
    </w:p>
    <w:p w14:paraId="55E4B95F">
      <w:pPr>
        <w:pStyle w:val="22"/>
        <w:numPr>
          <w:ilvl w:val="2"/>
          <w:numId w:val="1"/>
        </w:numPr>
        <w:spacing w:after="0" w:line="0" w:lineRule="atLeast"/>
        <w:ind w:left="0" w:firstLine="0"/>
        <w:rPr>
          <w:rFonts w:ascii="Calibri" w:hAnsi="Calibri" w:cs="Calibri"/>
          <w:sz w:val="24"/>
          <w:szCs w:val="24"/>
          <w:highlight w:val="yellow"/>
          <w:rPrChange w:id="98" w:author="路通" w:date="2026-03-17T13:31:29Z">
            <w:rPr>
              <w:rFonts w:ascii="Calibri" w:hAnsi="Calibri" w:cs="Calibri"/>
              <w:sz w:val="24"/>
              <w:szCs w:val="24"/>
            </w:rPr>
          </w:rPrChange>
        </w:rPr>
      </w:pPr>
      <w:r>
        <w:rPr>
          <w:rFonts w:ascii="Calibri" w:hAnsi="Calibri" w:cs="Calibri"/>
          <w:sz w:val="24"/>
          <w:szCs w:val="24"/>
          <w:highlight w:val="yellow"/>
          <w:rPrChange w:id="99" w:author="路通" w:date="2026-03-17T13:31:29Z">
            <w:rPr>
              <w:rFonts w:ascii="Calibri" w:hAnsi="Calibri" w:cs="Calibri"/>
              <w:sz w:val="24"/>
              <w:szCs w:val="24"/>
            </w:rPr>
          </w:rPrChange>
        </w:rPr>
        <w:t xml:space="preserve">Pour mobile phases A and B into ultrasonic degassing devices, respectively, and perform ultrasonic degassing at 40 kHz for 15 min. </w:t>
      </w:r>
    </w:p>
    <w:p w14:paraId="21F02F86">
      <w:pPr>
        <w:pStyle w:val="22"/>
        <w:spacing w:after="0" w:line="0" w:lineRule="atLeast"/>
        <w:ind w:left="0"/>
        <w:rPr>
          <w:rFonts w:ascii="Calibri" w:hAnsi="Calibri" w:cs="Calibri"/>
          <w:sz w:val="24"/>
          <w:szCs w:val="24"/>
          <w:highlight w:val="yellow"/>
          <w:rPrChange w:id="100" w:author="路通" w:date="2026-03-17T13:31:29Z">
            <w:rPr>
              <w:rFonts w:ascii="Calibri" w:hAnsi="Calibri" w:cs="Calibri"/>
              <w:sz w:val="24"/>
              <w:szCs w:val="24"/>
            </w:rPr>
          </w:rPrChange>
        </w:rPr>
      </w:pPr>
    </w:p>
    <w:p w14:paraId="0433C99B">
      <w:pPr>
        <w:pStyle w:val="22"/>
        <w:numPr>
          <w:ilvl w:val="2"/>
          <w:numId w:val="1"/>
        </w:numPr>
        <w:spacing w:after="0" w:line="0" w:lineRule="atLeast"/>
        <w:ind w:left="0" w:firstLine="0"/>
        <w:rPr>
          <w:highlight w:val="yellow"/>
          <w:rPrChange w:id="101" w:author="路通" w:date="2026-03-17T13:31:29Z">
            <w:rPr/>
          </w:rPrChange>
        </w:rPr>
      </w:pPr>
      <w:r>
        <w:rPr>
          <w:rFonts w:ascii="Calibri" w:hAnsi="Calibri" w:cs="Calibri"/>
          <w:sz w:val="24"/>
          <w:szCs w:val="24"/>
          <w:highlight w:val="yellow"/>
          <w:rPrChange w:id="102" w:author="路通" w:date="2026-03-17T13:31:29Z">
            <w:rPr>
              <w:rFonts w:ascii="Calibri" w:hAnsi="Calibri" w:cs="Calibri"/>
              <w:sz w:val="24"/>
              <w:szCs w:val="24"/>
            </w:rPr>
          </w:rPrChange>
        </w:rPr>
        <w:t>Immediately transfer the degassed mobile phases to solvent bottles after degassing, seal them, and connect them to the corresponding A and B solvent lines of the HPLC system.</w:t>
      </w:r>
    </w:p>
    <w:p w14:paraId="51CA025E">
      <w:pPr>
        <w:spacing w:line="0" w:lineRule="atLeast"/>
        <w:contextualSpacing/>
        <w:rPr>
          <w:highlight w:val="yellow"/>
          <w:rPrChange w:id="103" w:author="路通" w:date="2026-03-17T13:31:29Z">
            <w:rPr/>
          </w:rPrChange>
        </w:rPr>
      </w:pPr>
    </w:p>
    <w:p w14:paraId="4DC9BFCB">
      <w:pPr>
        <w:spacing w:line="0" w:lineRule="atLeast"/>
        <w:contextualSpacing/>
        <w:rPr>
          <w:highlight w:val="none"/>
          <w:rPrChange w:id="104" w:author="路通" w:date="2026-03-17T13:33:44Z">
            <w:rPr/>
          </w:rPrChange>
        </w:rPr>
      </w:pPr>
      <w:r>
        <w:rPr>
          <w:highlight w:val="none"/>
          <w:rPrChange w:id="105" w:author="路通" w:date="2026-03-17T13:33:44Z">
            <w:rPr/>
          </w:rPrChange>
        </w:rPr>
        <w:t xml:space="preserve">NOTE: All solvents are of chromatographic grade and </w:t>
      </w:r>
      <w:r>
        <w:rPr>
          <w:highlight w:val="none"/>
          <w:lang w:eastAsia="zh-CN"/>
          <w:rPrChange w:id="106" w:author="路通" w:date="2026-03-17T13:33:44Z">
            <w:rPr>
              <w:lang w:eastAsia="zh-CN"/>
            </w:rPr>
          </w:rPrChange>
        </w:rPr>
        <w:t>must</w:t>
      </w:r>
      <w:r>
        <w:rPr>
          <w:highlight w:val="none"/>
          <w:rPrChange w:id="107" w:author="路通" w:date="2026-03-17T13:33:44Z">
            <w:rPr/>
          </w:rPrChange>
        </w:rPr>
        <w:t xml:space="preserve"> be filtered through a 0.45 μm organic phase microporous membrane before use. Monitor the system pressure regularly. If the pressure fluctuation exceeds ±5%, check for potential column clogging or air bubbles in the pipeline.</w:t>
      </w:r>
    </w:p>
    <w:p w14:paraId="4FCF9AF3">
      <w:pPr>
        <w:spacing w:line="0" w:lineRule="atLeast"/>
        <w:contextualSpacing/>
        <w:rPr>
          <w:highlight w:val="yellow"/>
          <w:rPrChange w:id="108" w:author="路通" w:date="2026-03-17T13:31:29Z">
            <w:rPr/>
          </w:rPrChange>
        </w:rPr>
      </w:pPr>
    </w:p>
    <w:p w14:paraId="6A782BB3">
      <w:pPr>
        <w:pStyle w:val="22"/>
        <w:numPr>
          <w:ilvl w:val="1"/>
          <w:numId w:val="1"/>
        </w:numPr>
        <w:spacing w:after="0" w:line="0" w:lineRule="atLeast"/>
        <w:ind w:left="0" w:firstLine="0"/>
        <w:rPr>
          <w:rFonts w:ascii="Calibri" w:hAnsi="Calibri" w:cs="Calibri"/>
          <w:sz w:val="24"/>
          <w:szCs w:val="24"/>
          <w:highlight w:val="yellow"/>
          <w:rPrChange w:id="109" w:author="路通" w:date="2026-03-17T13:31:29Z">
            <w:rPr>
              <w:rFonts w:ascii="Calibri" w:hAnsi="Calibri" w:cs="Calibri"/>
              <w:sz w:val="24"/>
              <w:szCs w:val="24"/>
            </w:rPr>
          </w:rPrChange>
        </w:rPr>
      </w:pPr>
      <w:r>
        <w:rPr>
          <w:rFonts w:ascii="Calibri" w:hAnsi="Calibri" w:cs="Calibri"/>
          <w:sz w:val="24"/>
          <w:szCs w:val="24"/>
          <w:highlight w:val="yellow"/>
          <w:rPrChange w:id="110" w:author="路通" w:date="2026-03-17T13:31:29Z">
            <w:rPr>
              <w:rFonts w:ascii="Calibri" w:hAnsi="Calibri" w:cs="Calibri"/>
              <w:sz w:val="24"/>
              <w:szCs w:val="24"/>
            </w:rPr>
          </w:rPrChange>
        </w:rPr>
        <w:t>Setting of HPLC conditions</w:t>
      </w:r>
    </w:p>
    <w:p w14:paraId="6697D456">
      <w:pPr>
        <w:pStyle w:val="22"/>
        <w:spacing w:after="0" w:line="0" w:lineRule="atLeast"/>
        <w:ind w:left="0"/>
        <w:rPr>
          <w:b/>
          <w:bCs/>
          <w:highlight w:val="yellow"/>
          <w:rPrChange w:id="111" w:author="路通" w:date="2026-03-17T13:31:29Z">
            <w:rPr>
              <w:b/>
              <w:bCs/>
            </w:rPr>
          </w:rPrChange>
        </w:rPr>
      </w:pPr>
    </w:p>
    <w:p w14:paraId="1F31608D">
      <w:pPr>
        <w:pStyle w:val="22"/>
        <w:numPr>
          <w:ilvl w:val="2"/>
          <w:numId w:val="1"/>
        </w:numPr>
        <w:spacing w:after="0" w:line="0" w:lineRule="atLeast"/>
        <w:ind w:left="0" w:firstLine="0"/>
        <w:rPr>
          <w:highlight w:val="yellow"/>
          <w:rPrChange w:id="112" w:author="路通" w:date="2026-03-17T13:31:29Z">
            <w:rPr/>
          </w:rPrChange>
        </w:rPr>
      </w:pPr>
      <w:r>
        <w:rPr>
          <w:rFonts w:ascii="Calibri" w:hAnsi="Calibri" w:cs="Calibri"/>
          <w:sz w:val="24"/>
          <w:szCs w:val="24"/>
          <w:highlight w:val="yellow"/>
          <w:rPrChange w:id="113" w:author="路通" w:date="2026-03-17T13:31:29Z">
            <w:rPr>
              <w:rFonts w:ascii="Calibri" w:hAnsi="Calibri" w:cs="Calibri"/>
              <w:sz w:val="24"/>
              <w:szCs w:val="24"/>
            </w:rPr>
          </w:rPrChange>
        </w:rPr>
        <w:t>Use</w:t>
      </w:r>
      <w:r>
        <w:rPr>
          <w:rFonts w:ascii="Calibri" w:hAnsi="Calibri" w:cs="Calibri"/>
          <w:sz w:val="24"/>
          <w:szCs w:val="24"/>
          <w:highlight w:val="yellow"/>
          <w:lang w:eastAsia="zh-CN"/>
          <w:rPrChange w:id="114" w:author="路通" w:date="2026-03-17T13:31:29Z">
            <w:rPr>
              <w:rFonts w:ascii="Calibri" w:hAnsi="Calibri" w:cs="Calibri"/>
              <w:sz w:val="24"/>
              <w:szCs w:val="24"/>
              <w:lang w:eastAsia="zh-CN"/>
            </w:rPr>
          </w:rPrChange>
        </w:rPr>
        <w:t xml:space="preserve"> a C₁₈ column (2.1 mm × 100 mm, 2.7 μm) for chromatographic separation.</w:t>
      </w:r>
      <w:r>
        <w:rPr>
          <w:rFonts w:ascii="Calibri" w:hAnsi="Calibri" w:cs="Calibri"/>
          <w:sz w:val="24"/>
          <w:szCs w:val="24"/>
          <w:highlight w:val="yellow"/>
          <w:rPrChange w:id="115" w:author="路通" w:date="2026-03-17T13:31:29Z">
            <w:rPr>
              <w:rFonts w:ascii="Calibri" w:hAnsi="Calibri" w:cs="Calibri"/>
              <w:sz w:val="24"/>
              <w:szCs w:val="24"/>
            </w:rPr>
          </w:rPrChange>
        </w:rPr>
        <w:t xml:space="preserve"> Equilibrate the column with methanol:water = 80:20 (v/v) for 30 min before use, with a flow rate of 0.3 mL/min during equilibration. Set the column oven temperature to 30 °C, and start preheating 10 min in advance. </w:t>
      </w:r>
    </w:p>
    <w:p w14:paraId="4451B1A0">
      <w:pPr>
        <w:spacing w:line="0" w:lineRule="atLeast"/>
        <w:contextualSpacing/>
        <w:rPr>
          <w:highlight w:val="yellow"/>
          <w:rPrChange w:id="116" w:author="路通" w:date="2026-03-17T13:31:29Z">
            <w:rPr/>
          </w:rPrChange>
        </w:rPr>
      </w:pPr>
    </w:p>
    <w:p w14:paraId="0D182E01">
      <w:pPr>
        <w:pStyle w:val="22"/>
        <w:numPr>
          <w:ilvl w:val="2"/>
          <w:numId w:val="1"/>
        </w:numPr>
        <w:spacing w:after="0" w:line="0" w:lineRule="atLeast"/>
        <w:ind w:left="0" w:firstLine="0"/>
        <w:rPr>
          <w:highlight w:val="yellow"/>
          <w:rPrChange w:id="117" w:author="路通" w:date="2026-03-17T13:31:29Z">
            <w:rPr/>
          </w:rPrChange>
        </w:rPr>
      </w:pPr>
      <w:r>
        <w:rPr>
          <w:rFonts w:ascii="Calibri" w:hAnsi="Calibri" w:cs="Calibri"/>
          <w:sz w:val="24"/>
          <w:szCs w:val="24"/>
          <w:highlight w:val="yellow"/>
          <w:rPrChange w:id="118" w:author="路通" w:date="2026-03-17T13:31:29Z">
            <w:rPr>
              <w:rFonts w:ascii="Calibri" w:hAnsi="Calibri" w:cs="Calibri"/>
              <w:sz w:val="24"/>
              <w:szCs w:val="24"/>
            </w:rPr>
          </w:rPrChange>
        </w:rPr>
        <w:t>Optimize a gradient elution program as follows: 0–10.0 min, 5% to 10% B; 10.0–15.0 min, 10% to 35% B; 15.0–20.0 min, 35% to 60% B; 20.0–25.0 min, 60% to 95% B. Set the flow rate to 0.60 mL/min, the injection volume to 2 μL, and detection wavelength to 210 nm.</w:t>
      </w:r>
    </w:p>
    <w:p w14:paraId="73A99EE6">
      <w:pPr>
        <w:spacing w:line="0" w:lineRule="atLeast"/>
        <w:ind w:firstLine="480" w:firstLineChars="200"/>
        <w:contextualSpacing/>
      </w:pPr>
    </w:p>
    <w:p w14:paraId="4D41C2C8">
      <w:pPr>
        <w:pStyle w:val="22"/>
        <w:numPr>
          <w:ilvl w:val="1"/>
          <w:numId w:val="1"/>
        </w:numPr>
        <w:spacing w:after="0" w:line="0" w:lineRule="atLeast"/>
        <w:ind w:left="0" w:firstLine="0"/>
        <w:rPr>
          <w:rFonts w:ascii="Calibri" w:hAnsi="Calibri" w:cs="Calibri"/>
          <w:sz w:val="24"/>
          <w:szCs w:val="24"/>
          <w:highlight w:val="yellow"/>
          <w:rPrChange w:id="119" w:author="路通" w:date="2026-03-17T13:31:38Z">
            <w:rPr>
              <w:rFonts w:ascii="Calibri" w:hAnsi="Calibri" w:cs="Calibri"/>
              <w:sz w:val="24"/>
              <w:szCs w:val="24"/>
            </w:rPr>
          </w:rPrChange>
        </w:rPr>
      </w:pPr>
      <w:r>
        <w:rPr>
          <w:rFonts w:ascii="Calibri" w:hAnsi="Calibri" w:cs="Calibri"/>
          <w:sz w:val="24"/>
          <w:szCs w:val="24"/>
          <w:highlight w:val="yellow"/>
          <w:rPrChange w:id="120" w:author="路通" w:date="2026-03-17T13:31:38Z">
            <w:rPr>
              <w:rFonts w:ascii="Calibri" w:hAnsi="Calibri" w:cs="Calibri"/>
              <w:sz w:val="24"/>
              <w:szCs w:val="24"/>
            </w:rPr>
          </w:rPrChange>
        </w:rPr>
        <w:t>Mass spectrometric conditions</w:t>
      </w:r>
    </w:p>
    <w:p w14:paraId="3C4CBDFA">
      <w:pPr>
        <w:pStyle w:val="22"/>
        <w:spacing w:after="0" w:line="0" w:lineRule="atLeast"/>
        <w:ind w:left="0"/>
        <w:rPr>
          <w:b/>
          <w:bCs/>
          <w:highlight w:val="yellow"/>
          <w:rPrChange w:id="121" w:author="路通" w:date="2026-03-17T13:31:38Z">
            <w:rPr>
              <w:b/>
              <w:bCs/>
            </w:rPr>
          </w:rPrChange>
        </w:rPr>
      </w:pPr>
    </w:p>
    <w:p w14:paraId="6EDA5BC7">
      <w:pPr>
        <w:pStyle w:val="22"/>
        <w:numPr>
          <w:ilvl w:val="2"/>
          <w:numId w:val="1"/>
        </w:numPr>
        <w:spacing w:after="0" w:line="0" w:lineRule="atLeast"/>
        <w:ind w:left="0" w:firstLine="0"/>
        <w:rPr>
          <w:rFonts w:ascii="Calibri" w:hAnsi="Calibri" w:cs="Calibri"/>
          <w:sz w:val="24"/>
          <w:szCs w:val="24"/>
          <w:highlight w:val="yellow"/>
          <w:rPrChange w:id="122" w:author="路通" w:date="2026-03-17T13:31:38Z">
            <w:rPr>
              <w:rFonts w:ascii="Calibri" w:hAnsi="Calibri" w:cs="Calibri"/>
              <w:sz w:val="24"/>
              <w:szCs w:val="24"/>
            </w:rPr>
          </w:rPrChange>
        </w:rPr>
      </w:pPr>
      <w:r>
        <w:rPr>
          <w:rFonts w:ascii="Calibri" w:hAnsi="Calibri" w:cs="Calibri"/>
          <w:sz w:val="24"/>
          <w:szCs w:val="24"/>
          <w:highlight w:val="yellow"/>
          <w:rPrChange w:id="123" w:author="路通" w:date="2026-03-17T13:31:38Z">
            <w:rPr>
              <w:rFonts w:ascii="Calibri" w:hAnsi="Calibri" w:cs="Calibri"/>
              <w:sz w:val="24"/>
              <w:szCs w:val="24"/>
            </w:rPr>
          </w:rPrChange>
        </w:rPr>
        <w:t>Perform mass spectrometric (MS) detection using a triple quadrupole (QQQ) mass spectrometer equipped with an electrospray ionization (ESI) source operating in positive ionization mode (ESI+).</w:t>
      </w:r>
    </w:p>
    <w:p w14:paraId="7388C054">
      <w:pPr>
        <w:pStyle w:val="22"/>
        <w:spacing w:after="0" w:line="0" w:lineRule="atLeast"/>
        <w:ind w:left="0"/>
        <w:rPr>
          <w:highlight w:val="yellow"/>
          <w:rPrChange w:id="124" w:author="路通" w:date="2026-03-17T13:31:38Z">
            <w:rPr/>
          </w:rPrChange>
        </w:rPr>
      </w:pPr>
    </w:p>
    <w:p w14:paraId="49FFDB6D">
      <w:pPr>
        <w:pStyle w:val="22"/>
        <w:numPr>
          <w:ilvl w:val="2"/>
          <w:numId w:val="1"/>
        </w:numPr>
        <w:spacing w:after="0" w:line="0" w:lineRule="atLeast"/>
        <w:ind w:left="0" w:firstLine="0"/>
        <w:rPr>
          <w:highlight w:val="yellow"/>
          <w:rPrChange w:id="125" w:author="路通" w:date="2026-03-17T13:31:38Z">
            <w:rPr/>
          </w:rPrChange>
        </w:rPr>
      </w:pPr>
      <w:r>
        <w:rPr>
          <w:rFonts w:ascii="Calibri" w:hAnsi="Calibri" w:cs="Calibri"/>
          <w:sz w:val="24"/>
          <w:szCs w:val="24"/>
          <w:highlight w:val="yellow"/>
          <w:rPrChange w:id="126" w:author="路通" w:date="2026-03-17T13:31:38Z">
            <w:rPr>
              <w:rFonts w:ascii="Calibri" w:hAnsi="Calibri" w:cs="Calibri"/>
              <w:sz w:val="24"/>
              <w:szCs w:val="24"/>
            </w:rPr>
          </w:rPrChange>
        </w:rPr>
        <w:t>Set the operation parameters as follows: nebulizer pressure: 15 psi; capillary voltage: 4000 V; gas temperature: 300 °C;  and gas flow: 11 L/min.</w:t>
      </w:r>
    </w:p>
    <w:p w14:paraId="7791C16E">
      <w:pPr>
        <w:spacing w:line="0" w:lineRule="atLeast"/>
        <w:contextualSpacing/>
        <w:rPr>
          <w:highlight w:val="yellow"/>
          <w:rPrChange w:id="127" w:author="路通" w:date="2026-03-17T13:31:38Z">
            <w:rPr/>
          </w:rPrChange>
        </w:rPr>
      </w:pPr>
    </w:p>
    <w:p w14:paraId="289DA986">
      <w:pPr>
        <w:pStyle w:val="22"/>
        <w:numPr>
          <w:ilvl w:val="2"/>
          <w:numId w:val="1"/>
        </w:numPr>
        <w:spacing w:after="0" w:line="0" w:lineRule="atLeast"/>
        <w:ind w:left="0" w:firstLine="0"/>
        <w:rPr>
          <w:rFonts w:ascii="Calibri" w:hAnsi="Calibri" w:cs="Calibri"/>
          <w:sz w:val="24"/>
          <w:szCs w:val="24"/>
          <w:highlight w:val="yellow"/>
          <w:rPrChange w:id="128" w:author="路通" w:date="2026-03-17T13:31:38Z">
            <w:rPr>
              <w:rFonts w:ascii="Calibri" w:hAnsi="Calibri" w:cs="Calibri"/>
              <w:sz w:val="24"/>
              <w:szCs w:val="24"/>
            </w:rPr>
          </w:rPrChange>
        </w:rPr>
      </w:pPr>
      <w:r>
        <w:rPr>
          <w:rFonts w:ascii="Calibri" w:hAnsi="Calibri" w:cs="Calibri"/>
          <w:sz w:val="24"/>
          <w:szCs w:val="24"/>
          <w:highlight w:val="yellow"/>
          <w:rPrChange w:id="129" w:author="路通" w:date="2026-03-17T13:31:38Z">
            <w:rPr>
              <w:rFonts w:ascii="Calibri" w:hAnsi="Calibri" w:cs="Calibri"/>
              <w:sz w:val="24"/>
              <w:szCs w:val="24"/>
            </w:rPr>
          </w:rPrChange>
        </w:rPr>
        <w:t xml:space="preserve">Systematically optimize the MS/MS parameters for each analyte. </w:t>
      </w:r>
    </w:p>
    <w:p w14:paraId="4FC34658">
      <w:pPr>
        <w:pStyle w:val="22"/>
        <w:spacing w:after="0" w:line="0" w:lineRule="atLeast"/>
        <w:ind w:left="0"/>
        <w:rPr>
          <w:rFonts w:ascii="Calibri" w:hAnsi="Calibri" w:cs="Calibri"/>
          <w:sz w:val="24"/>
          <w:szCs w:val="24"/>
          <w:highlight w:val="yellow"/>
          <w:rPrChange w:id="130" w:author="路通" w:date="2026-03-17T13:31:38Z">
            <w:rPr>
              <w:rFonts w:ascii="Calibri" w:hAnsi="Calibri" w:cs="Calibri"/>
              <w:sz w:val="24"/>
              <w:szCs w:val="24"/>
            </w:rPr>
          </w:rPrChange>
        </w:rPr>
      </w:pPr>
    </w:p>
    <w:p w14:paraId="04637CEF">
      <w:pPr>
        <w:pStyle w:val="22"/>
        <w:numPr>
          <w:ilvl w:val="3"/>
          <w:numId w:val="1"/>
        </w:numPr>
        <w:spacing w:after="0" w:line="0" w:lineRule="atLeast"/>
        <w:ind w:left="0" w:firstLine="0"/>
        <w:rPr>
          <w:rFonts w:ascii="Calibri" w:hAnsi="Calibri" w:cs="Calibri"/>
          <w:sz w:val="24"/>
          <w:szCs w:val="24"/>
          <w:highlight w:val="yellow"/>
          <w:rPrChange w:id="131" w:author="路通" w:date="2026-03-17T13:31:38Z">
            <w:rPr>
              <w:rFonts w:ascii="Calibri" w:hAnsi="Calibri" w:cs="Calibri"/>
              <w:sz w:val="24"/>
              <w:szCs w:val="24"/>
            </w:rPr>
          </w:rPrChange>
        </w:rPr>
      </w:pPr>
      <w:r>
        <w:rPr>
          <w:rFonts w:ascii="Calibri" w:hAnsi="Calibri" w:cs="Calibri"/>
          <w:sz w:val="24"/>
          <w:szCs w:val="24"/>
          <w:highlight w:val="yellow"/>
          <w:rPrChange w:id="132" w:author="路通" w:date="2026-03-17T13:31:38Z">
            <w:rPr>
              <w:rFonts w:ascii="Calibri" w:hAnsi="Calibri" w:cs="Calibri"/>
              <w:sz w:val="24"/>
              <w:szCs w:val="24"/>
            </w:rPr>
          </w:rPrChange>
        </w:rPr>
        <w:t xml:space="preserve">First, identify precursor ions by directly infusing individual standard solutions in </w:t>
      </w:r>
      <w:r>
        <w:rPr>
          <w:rFonts w:ascii="Calibri" w:hAnsi="Calibri" w:cs="Calibri"/>
          <w:b/>
          <w:bCs/>
          <w:sz w:val="24"/>
          <w:szCs w:val="24"/>
          <w:highlight w:val="yellow"/>
          <w:rPrChange w:id="133" w:author="路通" w:date="2026-03-17T13:31:38Z">
            <w:rPr>
              <w:rFonts w:ascii="Calibri" w:hAnsi="Calibri" w:cs="Calibri"/>
              <w:b/>
              <w:bCs/>
              <w:sz w:val="24"/>
              <w:szCs w:val="24"/>
            </w:rPr>
          </w:rPrChange>
        </w:rPr>
        <w:t>MS2 SCAN</w:t>
      </w:r>
      <w:r>
        <w:rPr>
          <w:rFonts w:ascii="Calibri" w:hAnsi="Calibri" w:cs="Calibri"/>
          <w:sz w:val="24"/>
          <w:szCs w:val="24"/>
          <w:highlight w:val="yellow"/>
          <w:rPrChange w:id="134" w:author="路通" w:date="2026-03-17T13:31:38Z">
            <w:rPr>
              <w:rFonts w:ascii="Calibri" w:hAnsi="Calibri" w:cs="Calibri"/>
              <w:sz w:val="24"/>
              <w:szCs w:val="24"/>
            </w:rPr>
          </w:rPrChange>
        </w:rPr>
        <w:t xml:space="preserve"> mode. </w:t>
      </w:r>
    </w:p>
    <w:p w14:paraId="00975BF7">
      <w:pPr>
        <w:pStyle w:val="22"/>
        <w:spacing w:after="0" w:line="0" w:lineRule="atLeast"/>
        <w:ind w:left="0"/>
        <w:rPr>
          <w:rFonts w:ascii="Calibri" w:hAnsi="Calibri" w:cs="Calibri"/>
          <w:sz w:val="24"/>
          <w:szCs w:val="24"/>
          <w:highlight w:val="yellow"/>
          <w:rPrChange w:id="135" w:author="路通" w:date="2026-03-17T13:31:38Z">
            <w:rPr>
              <w:rFonts w:ascii="Calibri" w:hAnsi="Calibri" w:cs="Calibri"/>
              <w:sz w:val="24"/>
              <w:szCs w:val="24"/>
            </w:rPr>
          </w:rPrChange>
        </w:rPr>
      </w:pPr>
    </w:p>
    <w:p w14:paraId="33974EFE">
      <w:pPr>
        <w:pStyle w:val="22"/>
        <w:numPr>
          <w:ilvl w:val="3"/>
          <w:numId w:val="1"/>
        </w:numPr>
        <w:spacing w:after="0" w:line="0" w:lineRule="atLeast"/>
        <w:ind w:left="0" w:firstLine="0"/>
        <w:rPr>
          <w:rFonts w:ascii="Calibri" w:hAnsi="Calibri" w:cs="Calibri"/>
          <w:sz w:val="24"/>
          <w:szCs w:val="24"/>
          <w:highlight w:val="yellow"/>
          <w:rPrChange w:id="136" w:author="路通" w:date="2026-03-17T13:31:38Z">
            <w:rPr>
              <w:rFonts w:ascii="Calibri" w:hAnsi="Calibri" w:cs="Calibri"/>
              <w:sz w:val="24"/>
              <w:szCs w:val="24"/>
            </w:rPr>
          </w:rPrChange>
        </w:rPr>
      </w:pPr>
      <w:r>
        <w:rPr>
          <w:rFonts w:ascii="Calibri" w:hAnsi="Calibri" w:cs="Calibri"/>
          <w:sz w:val="24"/>
          <w:szCs w:val="24"/>
          <w:highlight w:val="yellow"/>
          <w:rPrChange w:id="137" w:author="路通" w:date="2026-03-17T13:31:38Z">
            <w:rPr>
              <w:rFonts w:ascii="Calibri" w:hAnsi="Calibri" w:cs="Calibri"/>
              <w:sz w:val="24"/>
              <w:szCs w:val="24"/>
            </w:rPr>
          </w:rPrChange>
        </w:rPr>
        <w:t xml:space="preserve">Optimize the Fragmentor voltage for each precursor ion to maximum signal intensity using </w:t>
      </w:r>
      <w:r>
        <w:rPr>
          <w:rFonts w:ascii="Calibri" w:hAnsi="Calibri" w:cs="Calibri"/>
          <w:b/>
          <w:bCs/>
          <w:sz w:val="24"/>
          <w:szCs w:val="24"/>
          <w:highlight w:val="yellow"/>
          <w:rPrChange w:id="138" w:author="路通" w:date="2026-03-17T13:31:38Z">
            <w:rPr>
              <w:rFonts w:ascii="Calibri" w:hAnsi="Calibri" w:cs="Calibri"/>
              <w:b/>
              <w:bCs/>
              <w:sz w:val="24"/>
              <w:szCs w:val="24"/>
            </w:rPr>
          </w:rPrChange>
        </w:rPr>
        <w:t>MS2 SIM mode</w:t>
      </w:r>
      <w:r>
        <w:rPr>
          <w:rFonts w:ascii="Calibri" w:hAnsi="Calibri" w:cs="Calibri"/>
          <w:sz w:val="24"/>
          <w:szCs w:val="24"/>
          <w:highlight w:val="yellow"/>
          <w:rPrChange w:id="139" w:author="路通" w:date="2026-03-17T13:31:38Z">
            <w:rPr>
              <w:rFonts w:ascii="Calibri" w:hAnsi="Calibri" w:cs="Calibri"/>
              <w:sz w:val="24"/>
              <w:szCs w:val="24"/>
            </w:rPr>
          </w:rPrChange>
        </w:rPr>
        <w:t xml:space="preserve">. </w:t>
      </w:r>
    </w:p>
    <w:p w14:paraId="2495CEC5">
      <w:pPr>
        <w:pStyle w:val="22"/>
        <w:spacing w:after="0" w:line="0" w:lineRule="atLeast"/>
        <w:ind w:left="0"/>
        <w:rPr>
          <w:rFonts w:ascii="Calibri" w:hAnsi="Calibri" w:cs="Calibri"/>
          <w:sz w:val="24"/>
          <w:szCs w:val="24"/>
          <w:highlight w:val="yellow"/>
          <w:rPrChange w:id="140" w:author="路通" w:date="2026-03-17T13:31:38Z">
            <w:rPr>
              <w:rFonts w:ascii="Calibri" w:hAnsi="Calibri" w:cs="Calibri"/>
              <w:sz w:val="24"/>
              <w:szCs w:val="24"/>
            </w:rPr>
          </w:rPrChange>
        </w:rPr>
      </w:pPr>
    </w:p>
    <w:p w14:paraId="6C90D0D2">
      <w:pPr>
        <w:pStyle w:val="22"/>
        <w:numPr>
          <w:ilvl w:val="3"/>
          <w:numId w:val="1"/>
        </w:numPr>
        <w:spacing w:after="0" w:line="0" w:lineRule="atLeast"/>
        <w:ind w:left="0" w:firstLine="0"/>
        <w:rPr>
          <w:rFonts w:ascii="Calibri" w:hAnsi="Calibri" w:cs="Calibri"/>
          <w:sz w:val="24"/>
          <w:szCs w:val="24"/>
          <w:highlight w:val="yellow"/>
          <w:rPrChange w:id="141" w:author="路通" w:date="2026-03-17T13:31:38Z">
            <w:rPr>
              <w:rFonts w:ascii="Calibri" w:hAnsi="Calibri" w:cs="Calibri"/>
              <w:sz w:val="24"/>
              <w:szCs w:val="24"/>
            </w:rPr>
          </w:rPrChange>
        </w:rPr>
      </w:pPr>
      <w:r>
        <w:rPr>
          <w:rFonts w:ascii="Calibri" w:hAnsi="Calibri" w:cs="Calibri"/>
          <w:sz w:val="24"/>
          <w:szCs w:val="24"/>
          <w:highlight w:val="yellow"/>
          <w:rPrChange w:id="142" w:author="路通" w:date="2026-03-17T13:31:38Z">
            <w:rPr>
              <w:rFonts w:ascii="Calibri" w:hAnsi="Calibri" w:cs="Calibri"/>
              <w:sz w:val="24"/>
              <w:szCs w:val="24"/>
            </w:rPr>
          </w:rPrChange>
        </w:rPr>
        <w:t xml:space="preserve">Subsequently, employ the </w:t>
      </w:r>
      <w:r>
        <w:rPr>
          <w:rFonts w:ascii="Calibri" w:hAnsi="Calibri" w:cs="Calibri"/>
          <w:b/>
          <w:bCs/>
          <w:sz w:val="24"/>
          <w:szCs w:val="24"/>
          <w:highlight w:val="yellow"/>
          <w:rPrChange w:id="143" w:author="路通" w:date="2026-03-17T13:31:38Z">
            <w:rPr>
              <w:rFonts w:ascii="Calibri" w:hAnsi="Calibri" w:cs="Calibri"/>
              <w:b/>
              <w:bCs/>
              <w:sz w:val="24"/>
              <w:szCs w:val="24"/>
            </w:rPr>
          </w:rPrChange>
        </w:rPr>
        <w:t>Product Ion Scan</w:t>
      </w:r>
      <w:r>
        <w:rPr>
          <w:rFonts w:ascii="Calibri" w:hAnsi="Calibri" w:cs="Calibri"/>
          <w:sz w:val="24"/>
          <w:szCs w:val="24"/>
          <w:highlight w:val="yellow"/>
          <w:rPrChange w:id="144" w:author="路通" w:date="2026-03-17T13:31:38Z">
            <w:rPr>
              <w:rFonts w:ascii="Calibri" w:hAnsi="Calibri" w:cs="Calibri"/>
              <w:sz w:val="24"/>
              <w:szCs w:val="24"/>
            </w:rPr>
          </w:rPrChange>
        </w:rPr>
        <w:t xml:space="preserve"> mode to determine the characteristic product ions. Systematically optimize the Collision Energy (CE) for the precursor ion to maximize the product-ion signal intensity. </w:t>
      </w:r>
    </w:p>
    <w:p w14:paraId="2E2D321A">
      <w:pPr>
        <w:pStyle w:val="22"/>
        <w:spacing w:after="0" w:line="0" w:lineRule="atLeast"/>
        <w:ind w:left="0"/>
        <w:rPr>
          <w:rFonts w:ascii="Calibri" w:hAnsi="Calibri" w:cs="Calibri"/>
          <w:sz w:val="24"/>
          <w:szCs w:val="24"/>
          <w:highlight w:val="yellow"/>
          <w:rPrChange w:id="145" w:author="路通" w:date="2026-03-17T13:31:38Z">
            <w:rPr>
              <w:rFonts w:ascii="Calibri" w:hAnsi="Calibri" w:cs="Calibri"/>
              <w:sz w:val="24"/>
              <w:szCs w:val="24"/>
            </w:rPr>
          </w:rPrChange>
        </w:rPr>
      </w:pPr>
    </w:p>
    <w:p w14:paraId="2DB69B30">
      <w:pPr>
        <w:pStyle w:val="22"/>
        <w:numPr>
          <w:ilvl w:val="3"/>
          <w:numId w:val="1"/>
        </w:numPr>
        <w:spacing w:after="0" w:line="0" w:lineRule="atLeast"/>
        <w:ind w:left="0" w:firstLine="0"/>
        <w:rPr>
          <w:highlight w:val="yellow"/>
          <w:rPrChange w:id="146" w:author="路通" w:date="2026-03-17T13:31:38Z">
            <w:rPr/>
          </w:rPrChange>
        </w:rPr>
      </w:pPr>
      <w:r>
        <w:rPr>
          <w:rFonts w:ascii="Calibri" w:hAnsi="Calibri" w:cs="Calibri"/>
          <w:sz w:val="24"/>
          <w:szCs w:val="24"/>
          <w:highlight w:val="yellow"/>
          <w:rPrChange w:id="147" w:author="路通" w:date="2026-03-17T13:31:38Z">
            <w:rPr>
              <w:rFonts w:ascii="Calibri" w:hAnsi="Calibri" w:cs="Calibri"/>
              <w:sz w:val="24"/>
              <w:szCs w:val="24"/>
            </w:rPr>
          </w:rPrChange>
        </w:rPr>
        <w:t>Select the most intense product ion for quantification, and use the second-most-intense ion for qualitative confirmation.</w:t>
      </w:r>
    </w:p>
    <w:p w14:paraId="516C4E96">
      <w:pPr>
        <w:spacing w:line="0" w:lineRule="atLeast"/>
        <w:contextualSpacing/>
      </w:pPr>
    </w:p>
    <w:p w14:paraId="430FBBA4">
      <w:pPr>
        <w:spacing w:line="0" w:lineRule="atLeast"/>
        <w:contextualSpacing/>
      </w:pPr>
      <w:r>
        <w:t>NOTE: Identify precursor ions via direct infusion of individual standard solutions in MS2 SCAN mode. Ensure standard solution concentration is appropriate to avoid signal saturation. Calibrate the instrument regularly to avoid parameter drift.</w:t>
      </w:r>
    </w:p>
    <w:p w14:paraId="4D9E52AD">
      <w:pPr>
        <w:spacing w:line="0" w:lineRule="atLeast"/>
        <w:contextualSpacing/>
      </w:pPr>
    </w:p>
    <w:p w14:paraId="4DD6975B">
      <w:pPr>
        <w:pStyle w:val="22"/>
        <w:numPr>
          <w:ilvl w:val="1"/>
          <w:numId w:val="1"/>
        </w:numPr>
        <w:spacing w:after="0" w:line="0" w:lineRule="atLeast"/>
        <w:ind w:left="0" w:firstLine="0"/>
        <w:rPr>
          <w:rFonts w:ascii="Calibri" w:hAnsi="Calibri" w:cs="Calibri"/>
          <w:sz w:val="24"/>
          <w:szCs w:val="24"/>
        </w:rPr>
      </w:pPr>
      <w:r>
        <w:rPr>
          <w:rFonts w:ascii="Calibri" w:hAnsi="Calibri" w:cs="Calibri"/>
          <w:sz w:val="24"/>
          <w:szCs w:val="24"/>
        </w:rPr>
        <w:t>Method validation</w:t>
      </w:r>
    </w:p>
    <w:p w14:paraId="4E62EDD0">
      <w:pPr>
        <w:pStyle w:val="22"/>
        <w:spacing w:after="0" w:line="0" w:lineRule="atLeast"/>
        <w:ind w:left="0"/>
        <w:rPr>
          <w:b/>
          <w:bCs/>
        </w:rPr>
      </w:pPr>
    </w:p>
    <w:p w14:paraId="3C79561A">
      <w:pPr>
        <w:pStyle w:val="22"/>
        <w:numPr>
          <w:ilvl w:val="2"/>
          <w:numId w:val="1"/>
        </w:numPr>
        <w:spacing w:after="0" w:line="0" w:lineRule="atLeast"/>
        <w:ind w:left="0" w:firstLine="0"/>
        <w:rPr>
          <w:rFonts w:ascii="Calibri" w:hAnsi="Calibri" w:cs="Calibri"/>
          <w:sz w:val="24"/>
          <w:szCs w:val="24"/>
        </w:rPr>
      </w:pPr>
      <w:r>
        <w:rPr>
          <w:rFonts w:ascii="Calibri" w:hAnsi="Calibri" w:cs="Calibri"/>
          <w:sz w:val="24"/>
          <w:szCs w:val="24"/>
        </w:rPr>
        <w:t>Specificity</w:t>
      </w:r>
    </w:p>
    <w:p w14:paraId="3317604F">
      <w:pPr>
        <w:pStyle w:val="22"/>
        <w:spacing w:after="0" w:line="0" w:lineRule="atLeast"/>
        <w:ind w:left="0"/>
        <w:rPr>
          <w:b/>
          <w:bCs/>
        </w:rPr>
      </w:pPr>
    </w:p>
    <w:p w14:paraId="503CE6BB">
      <w:pPr>
        <w:pStyle w:val="22"/>
        <w:numPr>
          <w:ilvl w:val="3"/>
          <w:numId w:val="1"/>
        </w:numPr>
        <w:spacing w:after="0" w:line="0" w:lineRule="atLeast"/>
        <w:ind w:left="0" w:firstLine="0"/>
        <w:rPr>
          <w:rFonts w:ascii="Calibri" w:hAnsi="Calibri" w:cs="Calibri"/>
          <w:sz w:val="24"/>
          <w:szCs w:val="24"/>
        </w:rPr>
      </w:pPr>
      <w:r>
        <w:rPr>
          <w:rFonts w:ascii="Calibri" w:hAnsi="Calibri" w:cs="Calibri"/>
          <w:sz w:val="24"/>
          <w:szCs w:val="24"/>
        </w:rPr>
        <w:t xml:space="preserve">Inject blank solvent (methanol), mixed standard working solution, and sample extract separately, and compare the chromatograms. </w:t>
      </w:r>
    </w:p>
    <w:p w14:paraId="4965CA97">
      <w:pPr>
        <w:pStyle w:val="22"/>
        <w:spacing w:after="0" w:line="0" w:lineRule="atLeast"/>
        <w:ind w:left="0"/>
        <w:rPr>
          <w:rFonts w:ascii="Calibri" w:hAnsi="Calibri" w:cs="Calibri"/>
          <w:sz w:val="24"/>
          <w:szCs w:val="24"/>
        </w:rPr>
      </w:pPr>
    </w:p>
    <w:p w14:paraId="15E8E755">
      <w:pPr>
        <w:pStyle w:val="22"/>
        <w:numPr>
          <w:ilvl w:val="3"/>
          <w:numId w:val="1"/>
        </w:numPr>
        <w:spacing w:after="0" w:line="0" w:lineRule="atLeast"/>
        <w:ind w:left="0" w:firstLine="0"/>
      </w:pPr>
      <w:r>
        <w:rPr>
          <w:rFonts w:ascii="Calibri" w:hAnsi="Calibri" w:cs="Calibri"/>
          <w:sz w:val="24"/>
          <w:szCs w:val="24"/>
        </w:rPr>
        <w:t>Ensure the following requirements are met</w:t>
      </w:r>
      <w:r>
        <w:rPr>
          <w:rFonts w:hint="eastAsia" w:ascii="Calibri" w:hAnsi="Calibri" w:cs="Calibri"/>
          <w:sz w:val="24"/>
          <w:szCs w:val="24"/>
        </w:rPr>
        <w:t>: No interfering peaks in the blank solvent; the retention time of target components in the sample is consistent with that of the standard (deviation ≤ ±0.1 min); the peak area ratio of quantifier ion to qualifier ion conforms to that of the standard (deviation ≤ ±10%).</w:t>
      </w:r>
    </w:p>
    <w:p w14:paraId="22FF7116">
      <w:pPr>
        <w:spacing w:line="0" w:lineRule="atLeast"/>
        <w:contextualSpacing/>
      </w:pPr>
    </w:p>
    <w:p w14:paraId="3CA21E3A">
      <w:pPr>
        <w:pStyle w:val="22"/>
        <w:numPr>
          <w:ilvl w:val="2"/>
          <w:numId w:val="1"/>
        </w:numPr>
        <w:spacing w:after="0" w:line="0" w:lineRule="atLeast"/>
        <w:ind w:left="0" w:firstLine="0"/>
        <w:rPr>
          <w:rFonts w:ascii="Calibri" w:hAnsi="Calibri" w:cs="Calibri"/>
          <w:sz w:val="24"/>
          <w:szCs w:val="24"/>
        </w:rPr>
      </w:pPr>
      <w:r>
        <w:rPr>
          <w:rFonts w:ascii="Calibri" w:hAnsi="Calibri" w:cs="Calibri"/>
          <w:sz w:val="24"/>
          <w:szCs w:val="24"/>
        </w:rPr>
        <w:t>Linearity</w:t>
      </w:r>
    </w:p>
    <w:p w14:paraId="0914F928">
      <w:pPr>
        <w:spacing w:line="0" w:lineRule="atLeast"/>
        <w:rPr>
          <w:b/>
          <w:bCs/>
        </w:rPr>
      </w:pPr>
    </w:p>
    <w:p w14:paraId="0A573D4B">
      <w:pPr>
        <w:pStyle w:val="22"/>
        <w:numPr>
          <w:ilvl w:val="3"/>
          <w:numId w:val="1"/>
        </w:numPr>
        <w:spacing w:after="0" w:line="0" w:lineRule="atLeast"/>
        <w:ind w:left="0" w:firstLine="0"/>
        <w:rPr>
          <w:rFonts w:ascii="Calibri" w:hAnsi="Calibri" w:cs="Calibri"/>
          <w:sz w:val="24"/>
          <w:szCs w:val="24"/>
        </w:rPr>
      </w:pPr>
      <w:r>
        <w:rPr>
          <w:rFonts w:ascii="Calibri" w:hAnsi="Calibri" w:cs="Calibri"/>
          <w:sz w:val="24"/>
          <w:szCs w:val="24"/>
        </w:rPr>
        <w:t xml:space="preserve">Inject the series of mixed working solutions prepared in step 1.1 (0.1, 0.5, 2, 5, 10 μg/mL) sequentially under the aforementioned HPLC-MS conditions, with 3 injections per concentration. </w:t>
      </w:r>
    </w:p>
    <w:p w14:paraId="4683B004">
      <w:pPr>
        <w:pStyle w:val="22"/>
        <w:spacing w:after="0" w:line="0" w:lineRule="atLeast"/>
        <w:ind w:left="0"/>
        <w:rPr>
          <w:rFonts w:ascii="Calibri" w:hAnsi="Calibri" w:cs="Calibri"/>
          <w:sz w:val="24"/>
          <w:szCs w:val="24"/>
        </w:rPr>
      </w:pPr>
    </w:p>
    <w:p w14:paraId="326E6A9E">
      <w:pPr>
        <w:pStyle w:val="22"/>
        <w:numPr>
          <w:ilvl w:val="3"/>
          <w:numId w:val="1"/>
        </w:numPr>
        <w:spacing w:after="0" w:line="0" w:lineRule="atLeast"/>
        <w:ind w:left="0" w:firstLine="0"/>
      </w:pPr>
      <w:r>
        <w:rPr>
          <w:rFonts w:hint="eastAsia" w:ascii="Calibri" w:hAnsi="Calibri" w:cs="Calibri"/>
          <w:sz w:val="24"/>
          <w:szCs w:val="24"/>
        </w:rPr>
        <w:t>Plot the standard curve with the concentration (x, μg/mL) of each component as the abscissa and the average peak area (y) of the quantifier ion as the ordinate. Perform linear regression analysis, requiring a correlation coefficient (R²) ≥ 0.995.</w:t>
      </w:r>
    </w:p>
    <w:p w14:paraId="50FCF72E">
      <w:pPr>
        <w:spacing w:line="0" w:lineRule="atLeast"/>
        <w:contextualSpacing/>
      </w:pPr>
    </w:p>
    <w:p w14:paraId="13A37A01">
      <w:pPr>
        <w:pStyle w:val="22"/>
        <w:numPr>
          <w:ilvl w:val="2"/>
          <w:numId w:val="1"/>
        </w:numPr>
        <w:spacing w:after="0" w:line="0" w:lineRule="atLeast"/>
        <w:ind w:left="0" w:firstLine="0"/>
        <w:rPr>
          <w:rFonts w:ascii="Calibri" w:hAnsi="Calibri" w:cs="Calibri"/>
          <w:sz w:val="24"/>
          <w:szCs w:val="24"/>
        </w:rPr>
      </w:pPr>
      <w:r>
        <w:rPr>
          <w:rFonts w:ascii="Calibri" w:hAnsi="Calibri" w:cs="Calibri"/>
          <w:sz w:val="24"/>
          <w:szCs w:val="24"/>
        </w:rPr>
        <w:t>Precision and accuracy</w:t>
      </w:r>
    </w:p>
    <w:p w14:paraId="3970D366">
      <w:pPr>
        <w:pStyle w:val="22"/>
        <w:spacing w:after="0" w:line="0" w:lineRule="atLeast"/>
        <w:ind w:left="0"/>
        <w:rPr>
          <w:b/>
          <w:bCs/>
        </w:rPr>
      </w:pPr>
    </w:p>
    <w:p w14:paraId="018C271F">
      <w:pPr>
        <w:pStyle w:val="22"/>
        <w:numPr>
          <w:ilvl w:val="3"/>
          <w:numId w:val="1"/>
        </w:numPr>
        <w:spacing w:after="0" w:line="0" w:lineRule="atLeast"/>
        <w:ind w:left="0" w:firstLine="0"/>
      </w:pPr>
      <w:r>
        <w:rPr>
          <w:rFonts w:ascii="Calibri" w:hAnsi="Calibri" w:cs="Calibri"/>
          <w:sz w:val="24"/>
          <w:szCs w:val="24"/>
        </w:rPr>
        <w:t>Intraday precision (repeatability): Analyze 6 replicates of quality control (QC) samples at three concentration levels</w:t>
      </w:r>
      <w:r>
        <w:rPr>
          <w:rFonts w:ascii="Calibri" w:hAnsi="Calibri" w:cs="Calibri"/>
          <w:sz w:val="24"/>
          <w:szCs w:val="24"/>
          <w:lang w:eastAsia="zh-CN"/>
        </w:rPr>
        <w:t xml:space="preserve"> </w:t>
      </w:r>
      <w:bookmarkStart w:id="0" w:name="_Hlk222352557"/>
      <w:r>
        <w:rPr>
          <w:rFonts w:ascii="Calibri" w:hAnsi="Calibri" w:cs="Calibri"/>
          <w:sz w:val="24"/>
          <w:szCs w:val="24"/>
          <w:lang w:eastAsia="zh-CN"/>
        </w:rPr>
        <w:t>(</w:t>
      </w:r>
      <w:r>
        <w:rPr>
          <w:rFonts w:ascii="Calibri" w:hAnsi="Calibri" w:cs="Calibri"/>
          <w:sz w:val="24"/>
          <w:szCs w:val="24"/>
        </w:rPr>
        <w:t>2 μg/mL, 5 μg/mL, and 10 μg/mL</w:t>
      </w:r>
      <w:r>
        <w:rPr>
          <w:rFonts w:ascii="Calibri" w:hAnsi="Calibri" w:cs="Calibri"/>
          <w:sz w:val="24"/>
          <w:szCs w:val="24"/>
          <w:lang w:eastAsia="zh-CN"/>
        </w:rPr>
        <w:t>)</w:t>
      </w:r>
      <w:bookmarkEnd w:id="0"/>
      <w:r>
        <w:rPr>
          <w:rFonts w:ascii="Calibri" w:hAnsi="Calibri" w:cs="Calibri"/>
          <w:sz w:val="24"/>
          <w:szCs w:val="24"/>
        </w:rPr>
        <w:t xml:space="preserve"> within one day, and calculate the relative standard deviation (RSD%). </w:t>
      </w:r>
    </w:p>
    <w:p w14:paraId="78C590EC">
      <w:pPr>
        <w:spacing w:line="0" w:lineRule="atLeast"/>
        <w:contextualSpacing/>
      </w:pPr>
    </w:p>
    <w:p w14:paraId="4E55A492">
      <w:pPr>
        <w:pStyle w:val="22"/>
        <w:numPr>
          <w:ilvl w:val="3"/>
          <w:numId w:val="1"/>
        </w:numPr>
        <w:spacing w:after="0" w:line="0" w:lineRule="atLeast"/>
        <w:ind w:left="0" w:firstLine="0"/>
      </w:pPr>
      <w:r>
        <w:rPr>
          <w:rFonts w:ascii="Calibri" w:hAnsi="Calibri" w:cs="Calibri"/>
          <w:sz w:val="24"/>
          <w:szCs w:val="24"/>
        </w:rPr>
        <w:t>Interday precision (intermediate precision):</w:t>
      </w:r>
      <w:r>
        <w:rPr>
          <w:rFonts w:ascii="Calibri" w:hAnsi="Calibri" w:cs="Calibri"/>
          <w:sz w:val="24"/>
          <w:szCs w:val="24"/>
          <w:lang w:eastAsia="zh-CN"/>
        </w:rPr>
        <w:t xml:space="preserve"> </w:t>
      </w:r>
      <w:r>
        <w:rPr>
          <w:rFonts w:ascii="Calibri" w:hAnsi="Calibri" w:cs="Calibri"/>
          <w:sz w:val="24"/>
          <w:szCs w:val="24"/>
        </w:rPr>
        <w:t>Independently prepare QC samples from the same batch of dried plant raw material and analyze them by different operators on three consecutive days. and calculate RSD%. Ensure</w:t>
      </w:r>
      <w:r>
        <w:rPr>
          <w:rFonts w:hint="eastAsia" w:ascii="Calibri" w:hAnsi="Calibri" w:cs="Calibri"/>
          <w:sz w:val="24"/>
          <w:szCs w:val="24"/>
        </w:rPr>
        <w:t xml:space="preserve"> RSD% ≤ 10% for both.</w:t>
      </w:r>
    </w:p>
    <w:p w14:paraId="46975D90">
      <w:pPr>
        <w:spacing w:line="0" w:lineRule="atLeast"/>
        <w:contextualSpacing/>
        <w:rPr>
          <w:lang w:eastAsia="zh-CN"/>
        </w:rPr>
      </w:pPr>
    </w:p>
    <w:p w14:paraId="37ED4610">
      <w:pPr>
        <w:pStyle w:val="22"/>
        <w:numPr>
          <w:ilvl w:val="3"/>
          <w:numId w:val="1"/>
        </w:numPr>
        <w:spacing w:after="0" w:line="0" w:lineRule="atLeast"/>
        <w:ind w:left="0" w:firstLine="0"/>
      </w:pPr>
      <w:r>
        <w:rPr>
          <w:rFonts w:ascii="Calibri" w:hAnsi="Calibri" w:cs="Calibri"/>
          <w:sz w:val="24"/>
          <w:szCs w:val="24"/>
        </w:rPr>
        <w:t>Evaluate accuracy using a spike-recovery test, and express as a recovery rate (%). Ensure t</w:t>
      </w:r>
      <w:r>
        <w:rPr>
          <w:rFonts w:hint="eastAsia" w:ascii="Calibri" w:hAnsi="Calibri" w:cs="Calibri"/>
          <w:sz w:val="24"/>
          <w:szCs w:val="24"/>
        </w:rPr>
        <w:t>he average recovery rate of low, medium, and high concentrations ranges from 85% to 115%, with RSD% ≤ 5%.</w:t>
      </w:r>
    </w:p>
    <w:p w14:paraId="24A5AB1B">
      <w:pPr>
        <w:spacing w:line="0" w:lineRule="atLeast"/>
        <w:contextualSpacing/>
      </w:pPr>
    </w:p>
    <w:p w14:paraId="02A1F5BE">
      <w:pPr>
        <w:spacing w:line="0" w:lineRule="atLeast"/>
        <w:contextualSpacing/>
      </w:pPr>
      <w:r>
        <w:t>NOTE: The linear range</w:t>
      </w:r>
      <w:r>
        <w:rPr>
          <w:lang w:eastAsia="zh-CN"/>
        </w:rPr>
        <w:t xml:space="preserve"> must</w:t>
      </w:r>
      <w:r>
        <w:t xml:space="preserve"> cover the expected concentration range of target components in actual samples (including low, medium, and high levels) to reflect practical applicability. All validation experiments were performed in triplicate, and the results were expressed as the average value.</w:t>
      </w:r>
    </w:p>
    <w:p w14:paraId="1A5D1FB7">
      <w:pPr>
        <w:spacing w:line="0" w:lineRule="atLeast"/>
        <w:contextualSpacing/>
      </w:pPr>
    </w:p>
    <w:p w14:paraId="019670F9">
      <w:pPr>
        <w:pStyle w:val="22"/>
        <w:numPr>
          <w:ilvl w:val="0"/>
          <w:numId w:val="1"/>
        </w:numPr>
        <w:spacing w:after="0" w:line="0" w:lineRule="atLeast"/>
        <w:ind w:left="0" w:firstLine="0"/>
        <w:rPr>
          <w:rFonts w:ascii="Calibri" w:hAnsi="Calibri" w:cs="Calibri"/>
          <w:b/>
          <w:bCs/>
          <w:sz w:val="24"/>
          <w:szCs w:val="24"/>
          <w:highlight w:val="yellow"/>
          <w:rPrChange w:id="148" w:author="路通" w:date="2026-03-17T13:34:06Z">
            <w:rPr>
              <w:rFonts w:ascii="Calibri" w:hAnsi="Calibri" w:cs="Calibri"/>
              <w:b/>
              <w:bCs/>
              <w:sz w:val="24"/>
              <w:szCs w:val="24"/>
            </w:rPr>
          </w:rPrChange>
        </w:rPr>
      </w:pPr>
      <w:r>
        <w:rPr>
          <w:rFonts w:ascii="Calibri" w:hAnsi="Calibri" w:cs="Calibri"/>
          <w:b/>
          <w:bCs/>
          <w:sz w:val="24"/>
          <w:szCs w:val="24"/>
          <w:highlight w:val="yellow"/>
          <w:rPrChange w:id="149" w:author="路通" w:date="2026-03-17T13:34:06Z">
            <w:rPr>
              <w:rFonts w:ascii="Calibri" w:hAnsi="Calibri" w:cs="Calibri"/>
              <w:b/>
              <w:bCs/>
              <w:sz w:val="24"/>
              <w:szCs w:val="24"/>
            </w:rPr>
          </w:rPrChange>
        </w:rPr>
        <w:t>Data acquisition</w:t>
      </w:r>
    </w:p>
    <w:p w14:paraId="71E47618">
      <w:pPr>
        <w:pStyle w:val="22"/>
        <w:spacing w:after="0" w:line="0" w:lineRule="atLeast"/>
        <w:ind w:left="0"/>
        <w:rPr>
          <w:b/>
          <w:bCs/>
          <w:highlight w:val="yellow"/>
          <w:rPrChange w:id="150" w:author="路通" w:date="2026-03-17T13:34:06Z">
            <w:rPr>
              <w:b/>
              <w:bCs/>
            </w:rPr>
          </w:rPrChange>
        </w:rPr>
      </w:pPr>
    </w:p>
    <w:p w14:paraId="52744195">
      <w:pPr>
        <w:pStyle w:val="22"/>
        <w:numPr>
          <w:ilvl w:val="1"/>
          <w:numId w:val="1"/>
        </w:numPr>
        <w:spacing w:after="0" w:line="0" w:lineRule="atLeast"/>
        <w:ind w:left="0" w:firstLine="0"/>
        <w:rPr>
          <w:rFonts w:ascii="Calibri" w:hAnsi="Calibri" w:cs="Calibri"/>
          <w:sz w:val="24"/>
          <w:szCs w:val="24"/>
          <w:highlight w:val="yellow"/>
          <w:rPrChange w:id="151" w:author="路通" w:date="2026-03-17T13:34:06Z">
            <w:rPr>
              <w:rFonts w:ascii="Calibri" w:hAnsi="Calibri" w:cs="Calibri"/>
              <w:sz w:val="24"/>
              <w:szCs w:val="24"/>
            </w:rPr>
          </w:rPrChange>
        </w:rPr>
      </w:pPr>
      <w:r>
        <w:rPr>
          <w:rFonts w:ascii="Calibri" w:hAnsi="Calibri" w:cs="Calibri"/>
          <w:sz w:val="24"/>
          <w:szCs w:val="24"/>
          <w:highlight w:val="yellow"/>
          <w:rPrChange w:id="152" w:author="路通" w:date="2026-03-17T13:34:06Z">
            <w:rPr>
              <w:rFonts w:ascii="Calibri" w:hAnsi="Calibri" w:cs="Calibri"/>
              <w:sz w:val="24"/>
              <w:szCs w:val="24"/>
            </w:rPr>
          </w:rPrChange>
        </w:rPr>
        <w:t xml:space="preserve">Perform data acquisition in multiple reaction monitoring (MRM) mode. Refer to </w:t>
      </w:r>
      <w:r>
        <w:rPr>
          <w:rFonts w:ascii="Calibri" w:hAnsi="Calibri" w:cs="Calibri"/>
          <w:b/>
          <w:bCs/>
          <w:sz w:val="24"/>
          <w:szCs w:val="24"/>
          <w:highlight w:val="yellow"/>
          <w:rPrChange w:id="153" w:author="路通" w:date="2026-03-17T13:34:06Z">
            <w:rPr>
              <w:rFonts w:ascii="Calibri" w:hAnsi="Calibri" w:cs="Calibri"/>
              <w:b/>
              <w:bCs/>
              <w:sz w:val="24"/>
              <w:szCs w:val="24"/>
            </w:rPr>
          </w:rPrChange>
        </w:rPr>
        <w:t>Table 1</w:t>
      </w:r>
      <w:r>
        <w:rPr>
          <w:rFonts w:ascii="Calibri" w:hAnsi="Calibri" w:cs="Calibri"/>
          <w:sz w:val="24"/>
          <w:szCs w:val="24"/>
          <w:highlight w:val="yellow"/>
          <w:rPrChange w:id="154" w:author="路通" w:date="2026-03-17T13:34:06Z">
            <w:rPr>
              <w:rFonts w:ascii="Calibri" w:hAnsi="Calibri" w:cs="Calibri"/>
              <w:sz w:val="24"/>
              <w:szCs w:val="24"/>
            </w:rPr>
          </w:rPrChange>
        </w:rPr>
        <w:t xml:space="preserve"> for the optimized MRM parameters-including precursor ion, product ion transitions, fragmentor voltage, and collision energy (CE)-for each analyte. </w:t>
      </w:r>
    </w:p>
    <w:p w14:paraId="31EB4CF7">
      <w:pPr>
        <w:pStyle w:val="22"/>
        <w:spacing w:after="0" w:line="0" w:lineRule="atLeast"/>
        <w:ind w:left="0"/>
        <w:rPr>
          <w:rFonts w:ascii="Calibri" w:hAnsi="Calibri" w:cs="Calibri"/>
          <w:sz w:val="24"/>
          <w:szCs w:val="24"/>
          <w:highlight w:val="yellow"/>
          <w:rPrChange w:id="155" w:author="路通" w:date="2026-03-17T13:34:06Z">
            <w:rPr>
              <w:rFonts w:ascii="Calibri" w:hAnsi="Calibri" w:cs="Calibri"/>
              <w:sz w:val="24"/>
              <w:szCs w:val="24"/>
            </w:rPr>
          </w:rPrChange>
        </w:rPr>
      </w:pPr>
    </w:p>
    <w:p w14:paraId="0378C180">
      <w:pPr>
        <w:pStyle w:val="22"/>
        <w:numPr>
          <w:ilvl w:val="1"/>
          <w:numId w:val="1"/>
        </w:numPr>
        <w:spacing w:after="0" w:line="0" w:lineRule="atLeast"/>
        <w:ind w:left="0" w:firstLine="0"/>
        <w:rPr>
          <w:highlight w:val="yellow"/>
          <w:rPrChange w:id="156" w:author="路通" w:date="2026-03-17T13:34:06Z">
            <w:rPr/>
          </w:rPrChange>
        </w:rPr>
      </w:pPr>
      <w:r>
        <w:rPr>
          <w:rFonts w:ascii="Calibri" w:hAnsi="Calibri" w:cs="Calibri"/>
          <w:sz w:val="24"/>
          <w:szCs w:val="24"/>
          <w:highlight w:val="yellow"/>
          <w:rPrChange w:id="157" w:author="路通" w:date="2026-03-17T13:34:06Z">
            <w:rPr>
              <w:rFonts w:ascii="Calibri" w:hAnsi="Calibri" w:cs="Calibri"/>
              <w:sz w:val="24"/>
              <w:szCs w:val="24"/>
            </w:rPr>
          </w:rPrChange>
        </w:rPr>
        <w:t>Calculate the dwell time to ensure an adequate number of data points across each chromatographic peak for each transition while maintaining an appropriate cycle time.</w:t>
      </w:r>
    </w:p>
    <w:p w14:paraId="4AA3F217">
      <w:pPr>
        <w:spacing w:line="0" w:lineRule="atLeast"/>
        <w:contextualSpacing/>
      </w:pPr>
    </w:p>
    <w:p w14:paraId="0E8B303D">
      <w:pPr>
        <w:pStyle w:val="22"/>
        <w:numPr>
          <w:ilvl w:val="0"/>
          <w:numId w:val="1"/>
        </w:numPr>
        <w:spacing w:after="0" w:line="0" w:lineRule="atLeast"/>
        <w:ind w:left="0" w:firstLine="0"/>
        <w:rPr>
          <w:rFonts w:ascii="Calibri" w:hAnsi="Calibri" w:cs="Calibri"/>
          <w:b/>
          <w:bCs/>
          <w:sz w:val="24"/>
          <w:szCs w:val="24"/>
          <w:highlight w:val="yellow"/>
          <w:rPrChange w:id="158" w:author="路通" w:date="2026-03-17T13:25:37Z">
            <w:rPr>
              <w:rFonts w:ascii="Calibri" w:hAnsi="Calibri" w:cs="Calibri"/>
              <w:b/>
              <w:bCs/>
              <w:sz w:val="24"/>
              <w:szCs w:val="24"/>
            </w:rPr>
          </w:rPrChange>
        </w:rPr>
      </w:pPr>
      <w:r>
        <w:rPr>
          <w:rFonts w:ascii="Calibri" w:hAnsi="Calibri" w:cs="Calibri"/>
          <w:b/>
          <w:bCs/>
          <w:sz w:val="24"/>
          <w:szCs w:val="24"/>
          <w:highlight w:val="yellow"/>
          <w:rPrChange w:id="159" w:author="路通" w:date="2026-03-17T13:25:37Z">
            <w:rPr>
              <w:rFonts w:ascii="Calibri" w:hAnsi="Calibri" w:cs="Calibri"/>
              <w:b/>
              <w:bCs/>
              <w:sz w:val="24"/>
              <w:szCs w:val="24"/>
            </w:rPr>
          </w:rPrChange>
        </w:rPr>
        <w:t>Data analysis</w:t>
      </w:r>
    </w:p>
    <w:p w14:paraId="2C996F0F">
      <w:pPr>
        <w:pStyle w:val="22"/>
        <w:spacing w:after="0" w:line="0" w:lineRule="atLeast"/>
        <w:ind w:left="0"/>
        <w:rPr>
          <w:b/>
          <w:bCs/>
          <w:highlight w:val="yellow"/>
          <w:rPrChange w:id="160" w:author="路通" w:date="2026-03-17T13:25:37Z">
            <w:rPr>
              <w:b/>
              <w:bCs/>
            </w:rPr>
          </w:rPrChange>
        </w:rPr>
      </w:pPr>
    </w:p>
    <w:p w14:paraId="095FF957">
      <w:pPr>
        <w:pStyle w:val="22"/>
        <w:numPr>
          <w:ilvl w:val="1"/>
          <w:numId w:val="1"/>
        </w:numPr>
        <w:spacing w:after="0" w:line="0" w:lineRule="atLeast"/>
        <w:ind w:left="0" w:firstLine="0"/>
        <w:rPr>
          <w:rFonts w:ascii="Calibri" w:hAnsi="Calibri" w:cs="Calibri"/>
          <w:sz w:val="24"/>
          <w:szCs w:val="24"/>
          <w:highlight w:val="yellow"/>
          <w:rPrChange w:id="161" w:author="路通" w:date="2026-03-17T13:25:37Z">
            <w:rPr>
              <w:rFonts w:ascii="Calibri" w:hAnsi="Calibri" w:cs="Calibri"/>
              <w:sz w:val="24"/>
              <w:szCs w:val="24"/>
            </w:rPr>
          </w:rPrChange>
        </w:rPr>
      </w:pPr>
      <w:r>
        <w:rPr>
          <w:rFonts w:ascii="Calibri" w:hAnsi="Calibri" w:cs="Calibri"/>
          <w:sz w:val="24"/>
          <w:szCs w:val="24"/>
          <w:highlight w:val="yellow"/>
          <w:rPrChange w:id="162" w:author="路通" w:date="2026-03-17T13:25:37Z">
            <w:rPr>
              <w:rFonts w:ascii="Calibri" w:hAnsi="Calibri" w:cs="Calibri"/>
              <w:sz w:val="24"/>
              <w:szCs w:val="24"/>
            </w:rPr>
          </w:rPrChange>
        </w:rPr>
        <w:t xml:space="preserve">Launch the qualitative analysis software, click </w:t>
      </w:r>
      <w:r>
        <w:rPr>
          <w:rFonts w:ascii="Calibri" w:hAnsi="Calibri" w:cs="Calibri"/>
          <w:b/>
          <w:bCs/>
          <w:sz w:val="24"/>
          <w:szCs w:val="24"/>
          <w:highlight w:val="yellow"/>
          <w:rPrChange w:id="163" w:author="路通" w:date="2026-03-17T13:25:37Z">
            <w:rPr>
              <w:rFonts w:ascii="Calibri" w:hAnsi="Calibri" w:cs="Calibri"/>
              <w:b/>
              <w:bCs/>
              <w:sz w:val="24"/>
              <w:szCs w:val="24"/>
            </w:rPr>
          </w:rPrChange>
        </w:rPr>
        <w:t>File</w:t>
      </w:r>
      <w:r>
        <w:rPr>
          <w:rFonts w:ascii="Calibri" w:hAnsi="Calibri" w:cs="Calibri"/>
          <w:sz w:val="24"/>
          <w:szCs w:val="24"/>
          <w:highlight w:val="yellow"/>
          <w:rPrChange w:id="164" w:author="路通" w:date="2026-03-17T13:25:37Z">
            <w:rPr>
              <w:rFonts w:ascii="Calibri" w:hAnsi="Calibri" w:cs="Calibri"/>
              <w:sz w:val="24"/>
              <w:szCs w:val="24"/>
            </w:rPr>
          </w:rPrChange>
        </w:rPr>
        <w:t xml:space="preserve"> &gt; </w:t>
      </w:r>
      <w:r>
        <w:rPr>
          <w:rFonts w:ascii="Calibri" w:hAnsi="Calibri" w:cs="Calibri"/>
          <w:b/>
          <w:bCs/>
          <w:sz w:val="24"/>
          <w:szCs w:val="24"/>
          <w:highlight w:val="yellow"/>
          <w:rPrChange w:id="165" w:author="路通" w:date="2026-03-17T13:25:37Z">
            <w:rPr>
              <w:rFonts w:ascii="Calibri" w:hAnsi="Calibri" w:cs="Calibri"/>
              <w:b/>
              <w:bCs/>
              <w:sz w:val="24"/>
              <w:szCs w:val="24"/>
            </w:rPr>
          </w:rPrChange>
        </w:rPr>
        <w:t>Import Data,</w:t>
      </w:r>
      <w:r>
        <w:rPr>
          <w:rFonts w:ascii="Calibri" w:hAnsi="Calibri" w:cs="Calibri"/>
          <w:sz w:val="24"/>
          <w:szCs w:val="24"/>
          <w:highlight w:val="yellow"/>
          <w:rPrChange w:id="166" w:author="路通" w:date="2026-03-17T13:25:37Z">
            <w:rPr>
              <w:rFonts w:ascii="Calibri" w:hAnsi="Calibri" w:cs="Calibri"/>
              <w:sz w:val="24"/>
              <w:szCs w:val="24"/>
            </w:rPr>
          </w:rPrChange>
        </w:rPr>
        <w:t xml:space="preserve"> and import all collected data files (.d format). </w:t>
      </w:r>
    </w:p>
    <w:p w14:paraId="336A00CC">
      <w:pPr>
        <w:pStyle w:val="22"/>
        <w:spacing w:after="0" w:line="0" w:lineRule="atLeast"/>
        <w:ind w:left="0"/>
        <w:rPr>
          <w:rFonts w:ascii="Calibri" w:hAnsi="Calibri" w:cs="Calibri"/>
          <w:sz w:val="24"/>
          <w:szCs w:val="24"/>
          <w:highlight w:val="yellow"/>
          <w:rPrChange w:id="167" w:author="路通" w:date="2026-03-17T13:25:37Z">
            <w:rPr>
              <w:rFonts w:ascii="Calibri" w:hAnsi="Calibri" w:cs="Calibri"/>
              <w:sz w:val="24"/>
              <w:szCs w:val="24"/>
            </w:rPr>
          </w:rPrChange>
        </w:rPr>
      </w:pPr>
    </w:p>
    <w:p w14:paraId="465F3077">
      <w:pPr>
        <w:pStyle w:val="22"/>
        <w:numPr>
          <w:ilvl w:val="1"/>
          <w:numId w:val="1"/>
        </w:numPr>
        <w:spacing w:after="0" w:line="0" w:lineRule="atLeast"/>
        <w:ind w:left="0" w:firstLine="0"/>
        <w:rPr>
          <w:rFonts w:ascii="Calibri" w:hAnsi="Calibri" w:cs="Calibri"/>
          <w:sz w:val="24"/>
          <w:szCs w:val="24"/>
          <w:highlight w:val="yellow"/>
          <w:rPrChange w:id="168" w:author="路通" w:date="2026-03-17T13:25:37Z">
            <w:rPr>
              <w:rFonts w:ascii="Calibri" w:hAnsi="Calibri" w:cs="Calibri"/>
              <w:sz w:val="24"/>
              <w:szCs w:val="24"/>
            </w:rPr>
          </w:rPrChange>
        </w:rPr>
      </w:pPr>
      <w:r>
        <w:rPr>
          <w:rFonts w:ascii="Calibri" w:hAnsi="Calibri" w:cs="Calibri"/>
          <w:sz w:val="24"/>
          <w:szCs w:val="24"/>
          <w:highlight w:val="yellow"/>
          <w:rPrChange w:id="169" w:author="路通" w:date="2026-03-17T13:25:37Z">
            <w:rPr>
              <w:rFonts w:ascii="Calibri" w:hAnsi="Calibri" w:cs="Calibri"/>
              <w:sz w:val="24"/>
              <w:szCs w:val="24"/>
            </w:rPr>
          </w:rPrChange>
        </w:rPr>
        <w:t xml:space="preserve">Extraction of extracted ion chromatograms (EICs): In the </w:t>
      </w:r>
      <w:r>
        <w:rPr>
          <w:rFonts w:ascii="Calibri" w:hAnsi="Calibri" w:cs="Calibri"/>
          <w:b/>
          <w:bCs/>
          <w:sz w:val="24"/>
          <w:szCs w:val="24"/>
          <w:highlight w:val="yellow"/>
          <w:rPrChange w:id="170" w:author="路通" w:date="2026-03-17T13:25:37Z">
            <w:rPr>
              <w:rFonts w:ascii="Calibri" w:hAnsi="Calibri" w:cs="Calibri"/>
              <w:b/>
              <w:bCs/>
              <w:sz w:val="24"/>
              <w:szCs w:val="24"/>
            </w:rPr>
          </w:rPrChange>
        </w:rPr>
        <w:t xml:space="preserve">Quantitation </w:t>
      </w:r>
      <w:r>
        <w:rPr>
          <w:rFonts w:ascii="Calibri" w:hAnsi="Calibri" w:cs="Calibri"/>
          <w:sz w:val="24"/>
          <w:szCs w:val="24"/>
          <w:highlight w:val="yellow"/>
          <w:rPrChange w:id="171" w:author="路通" w:date="2026-03-17T13:25:37Z">
            <w:rPr>
              <w:rFonts w:ascii="Calibri" w:hAnsi="Calibri" w:cs="Calibri"/>
              <w:sz w:val="24"/>
              <w:szCs w:val="24"/>
            </w:rPr>
          </w:rPrChange>
        </w:rPr>
        <w:t xml:space="preserve">module, select </w:t>
      </w:r>
      <w:r>
        <w:rPr>
          <w:rFonts w:ascii="Calibri" w:hAnsi="Calibri" w:cs="Calibri"/>
          <w:b/>
          <w:bCs/>
          <w:sz w:val="24"/>
          <w:szCs w:val="24"/>
          <w:highlight w:val="yellow"/>
          <w:rPrChange w:id="172" w:author="路通" w:date="2026-03-17T13:25:37Z">
            <w:rPr>
              <w:rFonts w:ascii="Calibri" w:hAnsi="Calibri" w:cs="Calibri"/>
              <w:b/>
              <w:bCs/>
              <w:sz w:val="24"/>
              <w:szCs w:val="24"/>
            </w:rPr>
          </w:rPrChange>
        </w:rPr>
        <w:t>MRM Transition</w:t>
      </w:r>
      <w:r>
        <w:rPr>
          <w:rFonts w:ascii="Calibri" w:hAnsi="Calibri" w:cs="Calibri"/>
          <w:sz w:val="24"/>
          <w:szCs w:val="24"/>
          <w:highlight w:val="yellow"/>
          <w:rPrChange w:id="173" w:author="路通" w:date="2026-03-17T13:25:37Z">
            <w:rPr>
              <w:rFonts w:ascii="Calibri" w:hAnsi="Calibri" w:cs="Calibri"/>
              <w:sz w:val="24"/>
              <w:szCs w:val="24"/>
            </w:rPr>
          </w:rPrChange>
        </w:rPr>
        <w:t xml:space="preserve">, input the precursor ion-product ion pairs of each component, and extract the corresponding EICs. </w:t>
      </w:r>
    </w:p>
    <w:p w14:paraId="53B2DAB3">
      <w:pPr>
        <w:pStyle w:val="22"/>
        <w:spacing w:after="0" w:line="0" w:lineRule="atLeast"/>
        <w:ind w:left="0"/>
        <w:rPr>
          <w:rFonts w:ascii="Calibri" w:hAnsi="Calibri" w:cs="Calibri"/>
          <w:sz w:val="24"/>
          <w:szCs w:val="24"/>
          <w:highlight w:val="yellow"/>
          <w:rPrChange w:id="174" w:author="路通" w:date="2026-03-17T13:25:37Z">
            <w:rPr>
              <w:rFonts w:ascii="Calibri" w:hAnsi="Calibri" w:cs="Calibri"/>
              <w:sz w:val="24"/>
              <w:szCs w:val="24"/>
            </w:rPr>
          </w:rPrChange>
        </w:rPr>
      </w:pPr>
    </w:p>
    <w:p w14:paraId="26B0154C">
      <w:pPr>
        <w:pStyle w:val="22"/>
        <w:numPr>
          <w:ilvl w:val="1"/>
          <w:numId w:val="1"/>
        </w:numPr>
        <w:spacing w:after="0" w:line="0" w:lineRule="atLeast"/>
        <w:ind w:left="0" w:firstLine="0"/>
        <w:rPr>
          <w:rFonts w:ascii="Calibri" w:hAnsi="Calibri" w:cs="Calibri"/>
          <w:sz w:val="24"/>
          <w:szCs w:val="24"/>
          <w:highlight w:val="yellow"/>
          <w:rPrChange w:id="175" w:author="路通" w:date="2026-03-17T13:25:37Z">
            <w:rPr>
              <w:rFonts w:ascii="Calibri" w:hAnsi="Calibri" w:cs="Calibri"/>
              <w:sz w:val="24"/>
              <w:szCs w:val="24"/>
            </w:rPr>
          </w:rPrChange>
        </w:rPr>
      </w:pPr>
      <w:r>
        <w:rPr>
          <w:rFonts w:ascii="Calibri" w:hAnsi="Calibri" w:cs="Calibri"/>
          <w:sz w:val="24"/>
          <w:szCs w:val="24"/>
          <w:highlight w:val="yellow"/>
          <w:rPrChange w:id="176" w:author="路通" w:date="2026-03-17T13:25:37Z">
            <w:rPr>
              <w:rFonts w:ascii="Calibri" w:hAnsi="Calibri" w:cs="Calibri"/>
              <w:sz w:val="24"/>
              <w:szCs w:val="24"/>
            </w:rPr>
          </w:rPrChange>
        </w:rPr>
        <w:t xml:space="preserve">Peak validation and integration: Check the peak symmetry and retention time consistency (deviation ≤ ±0.1 min compared with the standard) of the target peaks in each EIC. </w:t>
      </w:r>
    </w:p>
    <w:p w14:paraId="77A18689">
      <w:pPr>
        <w:pStyle w:val="22"/>
        <w:spacing w:after="0" w:line="0" w:lineRule="atLeast"/>
        <w:ind w:left="0"/>
        <w:rPr>
          <w:rFonts w:ascii="Calibri" w:hAnsi="Calibri" w:cs="Calibri"/>
          <w:sz w:val="24"/>
          <w:szCs w:val="24"/>
          <w:highlight w:val="yellow"/>
          <w:rPrChange w:id="177" w:author="路通" w:date="2026-03-17T13:25:37Z">
            <w:rPr>
              <w:rFonts w:ascii="Calibri" w:hAnsi="Calibri" w:cs="Calibri"/>
              <w:sz w:val="24"/>
              <w:szCs w:val="24"/>
            </w:rPr>
          </w:rPrChange>
        </w:rPr>
      </w:pPr>
    </w:p>
    <w:p w14:paraId="4E2C7EA4">
      <w:pPr>
        <w:pStyle w:val="22"/>
        <w:numPr>
          <w:ilvl w:val="1"/>
          <w:numId w:val="1"/>
        </w:numPr>
        <w:spacing w:after="0" w:line="0" w:lineRule="atLeast"/>
        <w:ind w:left="0" w:firstLine="0"/>
        <w:rPr>
          <w:rFonts w:ascii="Calibri" w:hAnsi="Calibri" w:cs="Calibri"/>
          <w:sz w:val="24"/>
          <w:szCs w:val="24"/>
          <w:highlight w:val="none"/>
          <w:rPrChange w:id="178" w:author="路通" w:date="2026-03-17T13:34:26Z">
            <w:rPr>
              <w:rFonts w:ascii="Calibri" w:hAnsi="Calibri" w:cs="Calibri"/>
              <w:sz w:val="24"/>
              <w:szCs w:val="24"/>
            </w:rPr>
          </w:rPrChange>
        </w:rPr>
      </w:pPr>
      <w:r>
        <w:rPr>
          <w:rFonts w:ascii="Calibri" w:hAnsi="Calibri" w:cs="Calibri"/>
          <w:sz w:val="24"/>
          <w:szCs w:val="24"/>
          <w:highlight w:val="none"/>
          <w:rPrChange w:id="179" w:author="路通" w:date="2026-03-17T13:34:26Z">
            <w:rPr>
              <w:rFonts w:ascii="Calibri" w:hAnsi="Calibri" w:cs="Calibri"/>
              <w:sz w:val="24"/>
              <w:szCs w:val="24"/>
            </w:rPr>
          </w:rPrChange>
        </w:rPr>
        <w:t>The software performs automatic integration by default; if baseline drift or interfering peaks exist, manually adjust the integration parameters (integration start and end points) to ensure accurate integration.</w:t>
      </w:r>
      <w:r>
        <w:rPr>
          <w:rFonts w:ascii="Calibri" w:hAnsi="Calibri" w:cs="Calibri"/>
          <w:sz w:val="24"/>
          <w:szCs w:val="24"/>
          <w:highlight w:val="none"/>
          <w:lang w:eastAsia="zh-CN"/>
          <w:rPrChange w:id="180" w:author="路通" w:date="2026-03-17T13:34:26Z">
            <w:rPr>
              <w:rFonts w:ascii="Calibri" w:hAnsi="Calibri" w:cs="Calibri"/>
              <w:sz w:val="24"/>
              <w:szCs w:val="24"/>
              <w:lang w:eastAsia="zh-CN"/>
            </w:rPr>
          </w:rPrChange>
        </w:rPr>
        <w:t xml:space="preserve"> </w:t>
      </w:r>
    </w:p>
    <w:p w14:paraId="0334DFB9">
      <w:pPr>
        <w:pStyle w:val="22"/>
        <w:spacing w:after="0" w:line="0" w:lineRule="atLeast"/>
        <w:ind w:left="0"/>
        <w:rPr>
          <w:rFonts w:ascii="Calibri" w:hAnsi="Calibri" w:cs="Calibri"/>
          <w:sz w:val="24"/>
          <w:szCs w:val="24"/>
          <w:highlight w:val="none"/>
          <w:rPrChange w:id="181" w:author="路通" w:date="2026-03-17T13:34:26Z">
            <w:rPr>
              <w:rFonts w:ascii="Calibri" w:hAnsi="Calibri" w:cs="Calibri"/>
              <w:sz w:val="24"/>
              <w:szCs w:val="24"/>
            </w:rPr>
          </w:rPrChange>
        </w:rPr>
      </w:pPr>
    </w:p>
    <w:p w14:paraId="0CC63A27">
      <w:pPr>
        <w:pStyle w:val="22"/>
        <w:numPr>
          <w:ilvl w:val="1"/>
          <w:numId w:val="1"/>
        </w:numPr>
        <w:spacing w:after="0" w:line="0" w:lineRule="atLeast"/>
        <w:ind w:left="0" w:firstLine="0"/>
        <w:rPr>
          <w:highlight w:val="none"/>
          <w:rPrChange w:id="182" w:author="路通" w:date="2026-03-17T13:34:26Z">
            <w:rPr/>
          </w:rPrChange>
        </w:rPr>
      </w:pPr>
      <w:r>
        <w:rPr>
          <w:rFonts w:ascii="Calibri" w:hAnsi="Calibri" w:cs="Calibri"/>
          <w:sz w:val="24"/>
          <w:szCs w:val="24"/>
          <w:highlight w:val="none"/>
          <w:rPrChange w:id="183" w:author="路通" w:date="2026-03-17T13:34:26Z">
            <w:rPr>
              <w:rFonts w:ascii="Calibri" w:hAnsi="Calibri" w:cs="Calibri"/>
              <w:sz w:val="24"/>
              <w:szCs w:val="24"/>
            </w:rPr>
          </w:rPrChange>
        </w:rPr>
        <w:t xml:space="preserve">Calculate the concentration of each component in unknown samples using the standard curve. Click </w:t>
      </w:r>
      <w:r>
        <w:rPr>
          <w:rFonts w:ascii="Calibri" w:hAnsi="Calibri" w:cs="Calibri"/>
          <w:b/>
          <w:bCs/>
          <w:sz w:val="24"/>
          <w:szCs w:val="24"/>
          <w:highlight w:val="none"/>
          <w:rPrChange w:id="184" w:author="路通" w:date="2026-03-17T13:34:26Z">
            <w:rPr>
              <w:rFonts w:ascii="Calibri" w:hAnsi="Calibri" w:cs="Calibri"/>
              <w:b/>
              <w:bCs/>
              <w:sz w:val="24"/>
              <w:szCs w:val="24"/>
            </w:rPr>
          </w:rPrChange>
        </w:rPr>
        <w:t>Report</w:t>
      </w:r>
      <w:r>
        <w:rPr>
          <w:rFonts w:ascii="Calibri" w:hAnsi="Calibri" w:cs="Calibri"/>
          <w:sz w:val="24"/>
          <w:szCs w:val="24"/>
          <w:highlight w:val="none"/>
          <w:rPrChange w:id="185" w:author="路通" w:date="2026-03-17T13:34:26Z">
            <w:rPr>
              <w:rFonts w:ascii="Calibri" w:hAnsi="Calibri" w:cs="Calibri"/>
              <w:sz w:val="24"/>
              <w:szCs w:val="24"/>
            </w:rPr>
          </w:rPrChange>
        </w:rPr>
        <w:t xml:space="preserve"> &gt; </w:t>
      </w:r>
      <w:r>
        <w:rPr>
          <w:rFonts w:ascii="Calibri" w:hAnsi="Calibri" w:cs="Calibri"/>
          <w:b/>
          <w:bCs/>
          <w:sz w:val="24"/>
          <w:szCs w:val="24"/>
          <w:highlight w:val="none"/>
          <w:rPrChange w:id="186" w:author="路通" w:date="2026-03-17T13:34:26Z">
            <w:rPr>
              <w:rFonts w:ascii="Calibri" w:hAnsi="Calibri" w:cs="Calibri"/>
              <w:b/>
              <w:bCs/>
              <w:sz w:val="24"/>
              <w:szCs w:val="24"/>
            </w:rPr>
          </w:rPrChange>
        </w:rPr>
        <w:t>Generate Report</w:t>
      </w:r>
      <w:r>
        <w:rPr>
          <w:rFonts w:ascii="Calibri" w:hAnsi="Calibri" w:cs="Calibri"/>
          <w:sz w:val="24"/>
          <w:szCs w:val="24"/>
          <w:highlight w:val="none"/>
          <w:rPrChange w:id="187" w:author="路通" w:date="2026-03-17T13:34:26Z">
            <w:rPr>
              <w:rFonts w:ascii="Calibri" w:hAnsi="Calibri" w:cs="Calibri"/>
              <w:sz w:val="24"/>
              <w:szCs w:val="24"/>
            </w:rPr>
          </w:rPrChange>
        </w:rPr>
        <w:t xml:space="preserve">, select </w:t>
      </w:r>
      <w:r>
        <w:rPr>
          <w:rFonts w:ascii="Calibri" w:hAnsi="Calibri" w:cs="Calibri"/>
          <w:b/>
          <w:bCs/>
          <w:sz w:val="24"/>
          <w:szCs w:val="24"/>
          <w:highlight w:val="none"/>
          <w:rPrChange w:id="188" w:author="路通" w:date="2026-03-17T13:34:26Z">
            <w:rPr>
              <w:rFonts w:ascii="Calibri" w:hAnsi="Calibri" w:cs="Calibri"/>
              <w:b/>
              <w:bCs/>
              <w:sz w:val="24"/>
              <w:szCs w:val="24"/>
            </w:rPr>
          </w:rPrChange>
        </w:rPr>
        <w:t>Excel</w:t>
      </w:r>
      <w:r>
        <w:rPr>
          <w:rFonts w:ascii="Calibri" w:hAnsi="Calibri" w:cs="Calibri"/>
          <w:sz w:val="24"/>
          <w:szCs w:val="24"/>
          <w:highlight w:val="none"/>
          <w:rPrChange w:id="189" w:author="路通" w:date="2026-03-17T13:34:26Z">
            <w:rPr>
              <w:rFonts w:ascii="Calibri" w:hAnsi="Calibri" w:cs="Calibri"/>
              <w:sz w:val="24"/>
              <w:szCs w:val="24"/>
            </w:rPr>
          </w:rPrChange>
        </w:rPr>
        <w:t xml:space="preserve"> format to export the report. The report includes the compound name, retention time, peak area, concentration, RSD%, etc.</w:t>
      </w:r>
    </w:p>
    <w:p w14:paraId="2BB1A12B">
      <w:pPr>
        <w:spacing w:line="0" w:lineRule="atLeast"/>
        <w:rPr>
          <w:b/>
        </w:rPr>
      </w:pPr>
    </w:p>
    <w:p w14:paraId="5880AE89">
      <w:pPr>
        <w:spacing w:line="0" w:lineRule="atLeast"/>
      </w:pPr>
      <w:r>
        <w:rPr>
          <w:b/>
        </w:rPr>
        <w:t xml:space="preserve">REPRESENTATIVE RESULTS: </w:t>
      </w:r>
    </w:p>
    <w:p w14:paraId="5BB49549">
      <w:pPr>
        <w:spacing w:line="0" w:lineRule="atLeast"/>
        <w:rPr>
          <w:b/>
          <w:bCs/>
        </w:rPr>
      </w:pPr>
      <w:r>
        <w:rPr>
          <w:b/>
          <w:bCs/>
        </w:rPr>
        <w:t>HPLC-QQQ-MS chromatographic separation and identification of TAs</w:t>
      </w:r>
    </w:p>
    <w:p w14:paraId="0C868389">
      <w:pPr>
        <w:spacing w:line="0" w:lineRule="atLeast"/>
      </w:pPr>
      <w:r>
        <w:t xml:space="preserve">A typical MRM chromatogram obtained from the analysis of a standard mixture and an </w:t>
      </w:r>
      <w:r>
        <w:rPr>
          <w:i/>
          <w:iCs/>
        </w:rPr>
        <w:t>A.tanguticus</w:t>
      </w:r>
      <w:r>
        <w:t xml:space="preserve"> root extract is presented in </w:t>
      </w:r>
      <w:r>
        <w:rPr>
          <w:b/>
          <w:bCs/>
        </w:rPr>
        <w:t xml:space="preserve">Figure 3 </w:t>
      </w:r>
      <w:r>
        <w:t>and</w:t>
      </w:r>
      <w:r>
        <w:rPr>
          <w:b/>
          <w:bCs/>
        </w:rPr>
        <w:t xml:space="preserve"> Figure 4</w:t>
      </w:r>
      <w:r>
        <w:t>. Under the optimized HPLC conditions, all three target tropane alkaloids</w:t>
      </w:r>
      <w:r>
        <w:rPr>
          <w:lang w:eastAsia="zh-CN"/>
        </w:rPr>
        <w:t>: h</w:t>
      </w:r>
      <w:r>
        <w:t xml:space="preserve">yoscyamine, </w:t>
      </w:r>
      <w:r>
        <w:rPr>
          <w:lang w:eastAsia="zh-CN"/>
        </w:rPr>
        <w:t>a</w:t>
      </w:r>
      <w:r>
        <w:t xml:space="preserve">nisodamine, and </w:t>
      </w:r>
      <w:r>
        <w:rPr>
          <w:lang w:eastAsia="zh-CN"/>
        </w:rPr>
        <w:t>s</w:t>
      </w:r>
      <w:r>
        <w:t>copolamine</w:t>
      </w:r>
      <w:r>
        <w:rPr>
          <w:lang w:eastAsia="zh-CN"/>
        </w:rPr>
        <w:t xml:space="preserve">, </w:t>
      </w:r>
      <w:r>
        <w:t xml:space="preserve">were successfully separated within 20 min, demonstrating the high efficiency of the developed method. The resolution (Rs) between scopolamine and anisodamine was determined to be 8.67, while that between </w:t>
      </w:r>
      <w:r>
        <w:rPr>
          <w:lang w:eastAsia="zh-CN"/>
        </w:rPr>
        <w:t>a</w:t>
      </w:r>
      <w:r>
        <w:t xml:space="preserve">nisodamine and </w:t>
      </w:r>
      <w:r>
        <w:rPr>
          <w:lang w:eastAsia="zh-CN"/>
        </w:rPr>
        <w:t>h</w:t>
      </w:r>
      <w:r>
        <w:t>yoscyamine reached 11.58. All resolution values significantly exceeded the baseline separation criterion of 1.5, indicating the absence of chromatographic interference and confirming the method's suitability for accurate quantitative analysis. All compounds exhibited sharp and symmetrical peak shapes, demonstrating superior chromatographic performance with minimal matrix interference. The identification of each TA was unequivocally confirmed based on two criteria: (1) the retention time matching that of the authentic standard (within ±0.1 min), and (2) the presence of at least two specific MRM transitions (quantifier and qualifier ions).</w:t>
      </w:r>
    </w:p>
    <w:p w14:paraId="39143367">
      <w:pPr>
        <w:spacing w:line="0" w:lineRule="atLeast"/>
      </w:pPr>
    </w:p>
    <w:p w14:paraId="796AEFBF">
      <w:pPr>
        <w:spacing w:line="0" w:lineRule="atLeast"/>
        <w:rPr>
          <w:b/>
          <w:bCs/>
        </w:rPr>
      </w:pPr>
      <w:r>
        <w:rPr>
          <w:b/>
          <w:bCs/>
        </w:rPr>
        <w:t>Analytical performance of the method</w:t>
      </w:r>
    </w:p>
    <w:p w14:paraId="167C5B5D">
      <w:pPr>
        <w:spacing w:line="0" w:lineRule="atLeast"/>
        <w:rPr>
          <w:lang w:eastAsia="zh-CN"/>
        </w:rPr>
      </w:pPr>
      <w:r>
        <w:t>The developed HPLC</w:t>
      </w:r>
      <w:r>
        <w:noBreakHyphen/>
      </w:r>
      <w:r>
        <w:t>QQQ</w:t>
      </w:r>
      <w:r>
        <w:noBreakHyphen/>
      </w:r>
      <w:r>
        <w:t>MS method exhibited excellent analytical performance for the quantification of tropane alkaloids. All analytes showed good linearity over a wide concentration range of 0.014–0.320 μg/mL with correlation coefficients (R²) greater than 0.99 (</w:t>
      </w:r>
      <w:r>
        <w:rPr>
          <w:b/>
          <w:bCs/>
        </w:rPr>
        <w:t>Table 2</w:t>
      </w:r>
      <w:r>
        <w:t>).</w:t>
      </w:r>
      <w:bookmarkStart w:id="1" w:name="_Hlk222398259"/>
      <w:r>
        <w:t xml:space="preserve"> The residuals between calculated and theoretical values were randomly distributed around zero with no obvious systematic deviation, confirming the good fitness of the linear regression model.</w:t>
      </w:r>
      <w:bookmarkEnd w:id="1"/>
    </w:p>
    <w:p w14:paraId="3BC9C4B2">
      <w:pPr>
        <w:spacing w:line="0" w:lineRule="atLeast"/>
        <w:rPr>
          <w:lang w:eastAsia="zh-CN"/>
        </w:rPr>
      </w:pPr>
    </w:p>
    <w:p w14:paraId="28B18878">
      <w:pPr>
        <w:spacing w:line="0" w:lineRule="atLeast"/>
      </w:pPr>
      <w:r>
        <w:t xml:space="preserve">The precision and accuracy of the method were thoroughly validated. The relative standard deviation (RSD%) was below 5% for all samples. A mixed reference solution was analyzed six times within one day and on three consecutive days under the established chromatographic conditions. The intra-day RSDs of </w:t>
      </w:r>
      <w:r>
        <w:rPr>
          <w:lang w:eastAsia="zh-CN"/>
        </w:rPr>
        <w:t>s</w:t>
      </w:r>
      <w:r>
        <w:t xml:space="preserve">copolamine, </w:t>
      </w:r>
      <w:r>
        <w:rPr>
          <w:lang w:eastAsia="zh-CN"/>
        </w:rPr>
        <w:t>a</w:t>
      </w:r>
      <w:r>
        <w:t xml:space="preserve">nisodamine, and </w:t>
      </w:r>
      <w:r>
        <w:rPr>
          <w:lang w:eastAsia="zh-CN"/>
        </w:rPr>
        <w:t>h</w:t>
      </w:r>
      <w:r>
        <w:t xml:space="preserve">yoscyamine were 0.73%, 1.69% and 2.29%, respectively, whereas the inter-day RSDs were 1.70%, 1.39% and 1.70%. These results demonstrate satisfactory instrument precision. </w:t>
      </w:r>
    </w:p>
    <w:p w14:paraId="573E204D">
      <w:pPr>
        <w:spacing w:line="0" w:lineRule="atLeast"/>
      </w:pPr>
    </w:p>
    <w:p w14:paraId="3C8AC26D">
      <w:pPr>
        <w:spacing w:line="0" w:lineRule="atLeast"/>
      </w:pPr>
      <w:r>
        <w:t>The accuracy, determined by spike recovery experiments at low, medium, and high concentration levels, yielded recoveries between 95% and 10</w:t>
      </w:r>
      <w:r>
        <w:rPr>
          <w:lang w:eastAsia="zh-CN"/>
        </w:rPr>
        <w:t xml:space="preserve"> </w:t>
      </w:r>
      <w:r>
        <w:t>5% with RSDs &lt; 5% (</w:t>
      </w:r>
      <w:r>
        <w:rPr>
          <w:b/>
          <w:bCs/>
        </w:rPr>
        <w:t>Table 3</w:t>
      </w:r>
      <w:r>
        <w:t xml:space="preserve">). The mean recoveries were 101.44% for </w:t>
      </w:r>
      <w:r>
        <w:rPr>
          <w:lang w:eastAsia="zh-CN"/>
        </w:rPr>
        <w:t>s</w:t>
      </w:r>
      <w:r>
        <w:t xml:space="preserve">copolamine, 100.25% for </w:t>
      </w:r>
      <w:r>
        <w:rPr>
          <w:lang w:eastAsia="zh-CN"/>
        </w:rPr>
        <w:t>a</w:t>
      </w:r>
      <w:r>
        <w:t xml:space="preserve">nisodamine, and 99.56% for </w:t>
      </w:r>
      <w:r>
        <w:rPr>
          <w:lang w:eastAsia="zh-CN"/>
        </w:rPr>
        <w:t>h</w:t>
      </w:r>
      <w:r>
        <w:t>yoscyamine, with RSDs of 1.85%, 2.35%, and 1.90%, respectively, demonstrating satisfactory accuracy of the method. The obtained recoveries and RSD values in this study are within the commonly accepted range for the quantitative analysis of plant alkaloids and meet the general requirements for reliability and accuracy of analytical methods. These results confirm that the method is highly reliable, reproducible, and accurate for the simultaneous quantification of multiple TAs in complex plant matrices.</w:t>
      </w:r>
    </w:p>
    <w:p w14:paraId="54980784">
      <w:pPr>
        <w:spacing w:line="0" w:lineRule="atLeast"/>
      </w:pPr>
    </w:p>
    <w:p w14:paraId="06A85A92">
      <w:pPr>
        <w:spacing w:line="0" w:lineRule="atLeast"/>
        <w:rPr>
          <w:b/>
          <w:bCs/>
        </w:rPr>
      </w:pPr>
      <w:r>
        <w:rPr>
          <w:b/>
          <w:bCs/>
        </w:rPr>
        <w:t xml:space="preserve">Application to real samples: Quantification of TAs in </w:t>
      </w:r>
      <w:r>
        <w:rPr>
          <w:b/>
          <w:bCs/>
          <w:i/>
          <w:iCs/>
        </w:rPr>
        <w:t>A.tanguticus</w:t>
      </w:r>
    </w:p>
    <w:p w14:paraId="03A74565">
      <w:pPr>
        <w:spacing w:line="0" w:lineRule="atLeast"/>
      </w:pPr>
      <w:r>
        <w:t>The validated HPLC-QQQ-MS method was successfully applied to quantify three tropane alkaloids (</w:t>
      </w:r>
      <w:r>
        <w:rPr>
          <w:lang w:eastAsia="zh-CN"/>
        </w:rPr>
        <w:t>s</w:t>
      </w:r>
      <w:r>
        <w:t xml:space="preserve">copolamine, </w:t>
      </w:r>
      <w:r>
        <w:rPr>
          <w:lang w:eastAsia="zh-CN"/>
        </w:rPr>
        <w:t>a</w:t>
      </w:r>
      <w:r>
        <w:t xml:space="preserve">nisodamine, and </w:t>
      </w:r>
      <w:r>
        <w:rPr>
          <w:lang w:eastAsia="zh-CN"/>
        </w:rPr>
        <w:t>h</w:t>
      </w:r>
      <w:r>
        <w:t xml:space="preserve">yoscyamine; </w:t>
      </w:r>
      <w:r>
        <w:rPr>
          <w:b/>
          <w:bCs/>
        </w:rPr>
        <w:t>Figure 5</w:t>
      </w:r>
      <w:r>
        <w:t xml:space="preserve">) in ten </w:t>
      </w:r>
      <w:r>
        <w:rPr>
          <w:i/>
          <w:iCs/>
        </w:rPr>
        <w:t>A.tanguticus</w:t>
      </w:r>
      <w:r>
        <w:t xml:space="preserve"> samples collected from Aba County, Sichuan Province, and the representative quantitative results are summarized in </w:t>
      </w:r>
      <w:r>
        <w:rPr>
          <w:b/>
          <w:bCs/>
        </w:rPr>
        <w:t>Table 4</w:t>
      </w:r>
      <w:r>
        <w:t>.</w:t>
      </w:r>
    </w:p>
    <w:p w14:paraId="431DE991">
      <w:pPr>
        <w:spacing w:line="0" w:lineRule="atLeast"/>
      </w:pPr>
    </w:p>
    <w:p w14:paraId="3AF495E0">
      <w:pPr>
        <w:spacing w:line="0" w:lineRule="atLeast"/>
        <w:rPr>
          <w:b/>
        </w:rPr>
      </w:pPr>
      <w:r>
        <w:t xml:space="preserve">As shown in </w:t>
      </w:r>
      <w:r>
        <w:rPr>
          <w:b/>
          <w:bCs/>
        </w:rPr>
        <w:t>Table 4</w:t>
      </w:r>
      <w:r>
        <w:t xml:space="preserve">, the three alkaloids exhibited distinct accumulation patterns. Scopolamine had a content range of 0.3667–1.0356 mg/g, with the highest level detected in Sample 7 (1.0356 mg/g) and the lowest in Sample 6 (0.3667 mg/g). Anisodamine showed relatively lower accumulation, ranging from 0.0269 mg/g (Sample 6) to 0.3590 mg/g (Sample 10). Hyoscyamine presented significant content variation among samples, spanning from 0.2930 mg/g (Sample 2) to 1.4989 mg/g (Sample 10), and notably higher levels were observed in Samples 4, 7, 9, and 10. In summary, both inter-alkaloid differences and intra-alkaloid variations among individual samples were observed, which may be associated with factors such as tissue specificity, growth conditions, or metabolic regulation in </w:t>
      </w:r>
      <w:r>
        <w:rPr>
          <w:i/>
          <w:iCs/>
        </w:rPr>
        <w:t>A. tanguticus</w:t>
      </w:r>
      <w:r>
        <w:t>.</w:t>
      </w:r>
    </w:p>
    <w:p w14:paraId="2762DDCA">
      <w:pPr>
        <w:spacing w:line="0" w:lineRule="atLeast"/>
      </w:pPr>
    </w:p>
    <w:p w14:paraId="10B1E8D7">
      <w:pPr>
        <w:spacing w:line="0" w:lineRule="atLeast"/>
        <w:rPr>
          <w:b/>
          <w:bCs/>
        </w:rPr>
      </w:pPr>
      <w:r>
        <w:rPr>
          <w:b/>
        </w:rPr>
        <w:t>FIGURE AND TABLE LEGENDS:</w:t>
      </w:r>
      <w:r>
        <w:t xml:space="preserve"> </w:t>
      </w:r>
    </w:p>
    <w:p w14:paraId="4962A2F6">
      <w:pPr>
        <w:spacing w:line="0" w:lineRule="atLeast"/>
        <w:rPr>
          <w:b/>
          <w:bCs/>
          <w:i/>
          <w:iCs/>
        </w:rPr>
      </w:pPr>
      <w:r>
        <w:rPr>
          <w:b/>
          <w:bCs/>
        </w:rPr>
        <w:t xml:space="preserve">Figure 1: The structural formula of the key tropinane alkaloid in </w:t>
      </w:r>
      <w:r>
        <w:rPr>
          <w:b/>
          <w:bCs/>
          <w:i/>
          <w:iCs/>
        </w:rPr>
        <w:t>A. tanguticus.</w:t>
      </w:r>
    </w:p>
    <w:p w14:paraId="0756B57A">
      <w:pPr>
        <w:spacing w:line="0" w:lineRule="atLeast"/>
        <w:rPr>
          <w:b/>
          <w:bCs/>
          <w:i/>
          <w:iCs/>
        </w:rPr>
      </w:pPr>
    </w:p>
    <w:p w14:paraId="3DDBDFAB">
      <w:pPr>
        <w:spacing w:line="0" w:lineRule="atLeast"/>
        <w:jc w:val="left"/>
      </w:pPr>
      <w:r>
        <w:rPr>
          <w:b/>
          <w:bCs/>
        </w:rPr>
        <w:t xml:space="preserve">Figure 2: Sample pretreatment and detection procedure for HPLC-QQQ-MS analysis of </w:t>
      </w:r>
      <w:r>
        <w:rPr>
          <w:b/>
          <w:bCs/>
          <w:i/>
          <w:iCs/>
        </w:rPr>
        <w:t>Anisodus tanguticus</w:t>
      </w:r>
      <w:r>
        <w:t>. (</w:t>
      </w:r>
      <w:r>
        <w:rPr>
          <w:b/>
          <w:bCs/>
        </w:rPr>
        <w:t>A</w:t>
      </w:r>
      <w:r>
        <w:t xml:space="preserve">) </w:t>
      </w:r>
      <w:r>
        <w:rPr>
          <w:i/>
          <w:iCs/>
        </w:rPr>
        <w:t>Anisodus tanguticus plant dried to constant weight.</w:t>
      </w:r>
      <w:r>
        <w:t xml:space="preserve"> (</w:t>
      </w:r>
      <w:r>
        <w:rPr>
          <w:b/>
          <w:bCs/>
        </w:rPr>
        <w:t>B</w:t>
      </w:r>
      <w:r>
        <w:t xml:space="preserve">) Root powder of </w:t>
      </w:r>
      <w:r>
        <w:rPr>
          <w:i/>
          <w:iCs/>
        </w:rPr>
        <w:t>A. tanguticus</w:t>
      </w:r>
      <w:r>
        <w:t xml:space="preserve"> sieved through a 0.25 mm sieve. (</w:t>
      </w:r>
      <w:r>
        <w:rPr>
          <w:b/>
          <w:bCs/>
        </w:rPr>
        <w:t>C</w:t>
      </w:r>
      <w:r>
        <w:t>) Replenishing the solvent to the mark of the volumetric flask after cooling. (</w:t>
      </w:r>
      <w:r>
        <w:rPr>
          <w:b/>
          <w:bCs/>
        </w:rPr>
        <w:t>D</w:t>
      </w:r>
      <w:r>
        <w:t>) Sample filtration. (</w:t>
      </w:r>
      <w:r>
        <w:rPr>
          <w:b/>
          <w:bCs/>
        </w:rPr>
        <w:t>E</w:t>
      </w:r>
      <w:r>
        <w:t>) HPLC-QQQ-MS detection system.</w:t>
      </w:r>
    </w:p>
    <w:p w14:paraId="4CF0B434">
      <w:pPr>
        <w:spacing w:line="0" w:lineRule="atLeast"/>
      </w:pPr>
    </w:p>
    <w:p w14:paraId="6A2DDFF8">
      <w:pPr>
        <w:spacing w:line="0" w:lineRule="atLeast"/>
        <w:jc w:val="left"/>
        <w:rPr>
          <w:rStyle w:val="26"/>
          <w:rFonts w:ascii="Calibri" w:hAnsi="Calibri" w:cs="Calibri" w:eastAsiaTheme="minorEastAsia"/>
          <w:color w:val="auto"/>
          <w:lang w:eastAsia="zh-CN"/>
        </w:rPr>
      </w:pPr>
      <w:r>
        <w:rPr>
          <w:b/>
          <w:bCs/>
        </w:rPr>
        <w:t xml:space="preserve">Figure 3: Chromatogram of TAs standards. </w:t>
      </w:r>
      <w:r>
        <w:t>(</w:t>
      </w:r>
      <w:r>
        <w:rPr>
          <w:b/>
          <w:bCs/>
        </w:rPr>
        <w:t>A</w:t>
      </w:r>
      <w:r>
        <w:t xml:space="preserve">) HPLC-MS/MS chromatogram of </w:t>
      </w:r>
      <w:r>
        <w:rPr>
          <w:lang w:eastAsia="zh-CN"/>
        </w:rPr>
        <w:t>s</w:t>
      </w:r>
      <w:r>
        <w:t>copolamine standard, with a retention time of 14.256 min. (</w:t>
      </w:r>
      <w:r>
        <w:rPr>
          <w:b/>
          <w:bCs/>
        </w:rPr>
        <w:t>B</w:t>
      </w:r>
      <w:r>
        <w:t xml:space="preserve">) HPLC-MS/MS chromatogram of </w:t>
      </w:r>
      <w:r>
        <w:rPr>
          <w:lang w:eastAsia="zh-CN"/>
        </w:rPr>
        <w:t>a</w:t>
      </w:r>
      <w:r>
        <w:t>nisodamine standard, with a retention time of 15.229 min. (</w:t>
      </w:r>
      <w:r>
        <w:rPr>
          <w:b/>
          <w:bCs/>
        </w:rPr>
        <w:t>C</w:t>
      </w:r>
      <w:r>
        <w:t xml:space="preserve">) HPLC-MS/MS chromatogram of </w:t>
      </w:r>
      <w:r>
        <w:rPr>
          <w:lang w:eastAsia="zh-CN"/>
        </w:rPr>
        <w:t>h</w:t>
      </w:r>
      <w:r>
        <w:t>yoscyamine standard, with a retention time of 16.431 min.</w:t>
      </w:r>
      <w:r>
        <w:rPr>
          <w:rStyle w:val="26"/>
          <w:rFonts w:ascii="Calibri" w:hAnsi="Calibri" w:cs="Calibri"/>
          <w:color w:val="auto"/>
        </w:rPr>
        <w:t xml:space="preserve"> </w:t>
      </w:r>
    </w:p>
    <w:p w14:paraId="7CF619BD">
      <w:pPr>
        <w:spacing w:line="0" w:lineRule="atLeast"/>
        <w:jc w:val="left"/>
        <w:rPr>
          <w:rStyle w:val="26"/>
          <w:rFonts w:ascii="Calibri" w:hAnsi="Calibri" w:cs="Calibri" w:eastAsiaTheme="minorEastAsia"/>
          <w:bCs/>
          <w:color w:val="auto"/>
          <w:lang w:eastAsia="zh-CN"/>
        </w:rPr>
      </w:pPr>
    </w:p>
    <w:p w14:paraId="0C794429">
      <w:pPr>
        <w:spacing w:line="0" w:lineRule="atLeast"/>
        <w:jc w:val="left"/>
        <w:rPr>
          <w:lang w:eastAsia="zh-CN"/>
        </w:rPr>
      </w:pPr>
      <w:r>
        <w:rPr>
          <w:b/>
          <w:bCs/>
        </w:rPr>
        <w:t>Figure 4: MRM chromatograms of three target analytes in ESI positive ion mode</w:t>
      </w:r>
      <w:r>
        <w:t>. (</w:t>
      </w:r>
      <w:r>
        <w:rPr>
          <w:b/>
          <w:bCs/>
        </w:rPr>
        <w:t>A</w:t>
      </w:r>
      <w:r>
        <w:t>) The chromatographic peak of the standard. (</w:t>
      </w:r>
      <w:r>
        <w:rPr>
          <w:b/>
          <w:bCs/>
        </w:rPr>
        <w:t>B</w:t>
      </w:r>
      <w:r>
        <w:t>) The chromatographic peak of the sample.</w:t>
      </w:r>
      <w:r>
        <w:rPr>
          <w:lang w:eastAsia="zh-CN"/>
        </w:rPr>
        <w:t xml:space="preserve"> (</w:t>
      </w:r>
      <w:r>
        <w:t>1. Scopolamine 2. Anisodamine 3. Hyoscyamine</w:t>
      </w:r>
      <w:r>
        <w:rPr>
          <w:lang w:eastAsia="zh-CN"/>
        </w:rPr>
        <w:t>).</w:t>
      </w:r>
    </w:p>
    <w:p w14:paraId="23389909">
      <w:pPr>
        <w:spacing w:line="0" w:lineRule="atLeast"/>
        <w:jc w:val="left"/>
        <w:rPr>
          <w:b/>
          <w:bCs/>
        </w:rPr>
      </w:pPr>
    </w:p>
    <w:p w14:paraId="4D53B454">
      <w:pPr>
        <w:spacing w:line="0" w:lineRule="atLeast"/>
        <w:jc w:val="left"/>
        <w:rPr>
          <w:b/>
          <w:bCs/>
        </w:rPr>
      </w:pPr>
      <w:r>
        <w:rPr>
          <w:b/>
          <w:bCs/>
        </w:rPr>
        <w:t>Figure 5:</w:t>
      </w:r>
      <w:r>
        <w:t xml:space="preserve"> </w:t>
      </w:r>
      <w:r>
        <w:rPr>
          <w:b/>
          <w:bCs/>
        </w:rPr>
        <w:t>Calibration curves of three tropane alkaloids (</w:t>
      </w:r>
      <w:r>
        <w:rPr>
          <w:b/>
          <w:bCs/>
          <w:lang w:eastAsia="zh-CN"/>
        </w:rPr>
        <w:t>s</w:t>
      </w:r>
      <w:r>
        <w:rPr>
          <w:b/>
          <w:bCs/>
        </w:rPr>
        <w:t xml:space="preserve">copolamine, </w:t>
      </w:r>
      <w:r>
        <w:rPr>
          <w:b/>
          <w:bCs/>
          <w:lang w:eastAsia="zh-CN"/>
        </w:rPr>
        <w:t>a</w:t>
      </w:r>
      <w:r>
        <w:rPr>
          <w:b/>
          <w:bCs/>
        </w:rPr>
        <w:t xml:space="preserve">nisodamine, and </w:t>
      </w:r>
      <w:r>
        <w:rPr>
          <w:b/>
          <w:bCs/>
          <w:lang w:eastAsia="zh-CN"/>
        </w:rPr>
        <w:t>h</w:t>
      </w:r>
      <w:r>
        <w:rPr>
          <w:b/>
          <w:bCs/>
        </w:rPr>
        <w:t>yoscyamine).</w:t>
      </w:r>
    </w:p>
    <w:p w14:paraId="1F39CDFD">
      <w:pPr>
        <w:spacing w:line="0" w:lineRule="atLeast"/>
        <w:jc w:val="left"/>
        <w:rPr>
          <w:b/>
          <w:bCs/>
          <w:lang w:eastAsia="zh-CN"/>
        </w:rPr>
      </w:pPr>
    </w:p>
    <w:p w14:paraId="07A023BA">
      <w:pPr>
        <w:spacing w:line="0" w:lineRule="atLeast"/>
        <w:jc w:val="left"/>
        <w:rPr>
          <w:b/>
          <w:bCs/>
          <w:lang w:eastAsia="zh-CN"/>
        </w:rPr>
      </w:pPr>
      <w:r>
        <w:rPr>
          <w:b/>
          <w:bCs/>
        </w:rPr>
        <w:t xml:space="preserve">Table 1: Analysis of mass spectrometry parameters and retention times of three TAs in </w:t>
      </w:r>
      <w:r>
        <w:rPr>
          <w:b/>
          <w:bCs/>
          <w:i/>
          <w:iCs/>
        </w:rPr>
        <w:t>A.tanguticus</w:t>
      </w:r>
      <w:r>
        <w:rPr>
          <w:b/>
          <w:bCs/>
        </w:rPr>
        <w:t xml:space="preserve"> by HPLC-QQQ-MS</w:t>
      </w:r>
      <w:r>
        <w:rPr>
          <w:b/>
          <w:bCs/>
          <w:lang w:eastAsia="zh-CN"/>
        </w:rPr>
        <w:t>.</w:t>
      </w:r>
    </w:p>
    <w:p w14:paraId="25874E9E">
      <w:pPr>
        <w:spacing w:line="0" w:lineRule="atLeast"/>
        <w:jc w:val="left"/>
        <w:rPr>
          <w:b/>
          <w:bCs/>
          <w:lang w:eastAsia="zh-CN"/>
        </w:rPr>
      </w:pPr>
    </w:p>
    <w:p w14:paraId="52DFD824">
      <w:pPr>
        <w:spacing w:line="0" w:lineRule="atLeast"/>
        <w:jc w:val="left"/>
        <w:rPr>
          <w:b/>
          <w:bCs/>
          <w:lang w:eastAsia="zh-CN"/>
        </w:rPr>
      </w:pPr>
      <w:r>
        <w:rPr>
          <w:b/>
          <w:bCs/>
        </w:rPr>
        <w:t>Table 2:</w:t>
      </w:r>
      <w:r>
        <w:t xml:space="preserve"> </w:t>
      </w:r>
      <w:r>
        <w:rPr>
          <w:b/>
          <w:bCs/>
        </w:rPr>
        <w:t>Calibration curves for the three tropane alkaloids</w:t>
      </w:r>
      <w:r>
        <w:rPr>
          <w:b/>
          <w:bCs/>
          <w:lang w:eastAsia="zh-CN"/>
        </w:rPr>
        <w:t xml:space="preserve">. </w:t>
      </w:r>
      <w:r>
        <w:rPr>
          <w:lang w:eastAsia="zh-CN"/>
        </w:rPr>
        <w:t>Regression equation: y = peak area, x = concentration of analyte (microgram/milliliter).</w:t>
      </w:r>
    </w:p>
    <w:p w14:paraId="7073C7A0">
      <w:pPr>
        <w:spacing w:line="0" w:lineRule="atLeast"/>
        <w:jc w:val="left"/>
        <w:rPr>
          <w:b/>
          <w:bCs/>
          <w:lang w:eastAsia="zh-CN"/>
        </w:rPr>
      </w:pPr>
    </w:p>
    <w:p w14:paraId="24BE2A35">
      <w:pPr>
        <w:spacing w:line="0" w:lineRule="atLeast"/>
        <w:jc w:val="left"/>
        <w:rPr>
          <w:b/>
          <w:bCs/>
          <w:lang w:eastAsia="zh-CN"/>
        </w:rPr>
      </w:pPr>
      <w:r>
        <w:rPr>
          <w:b/>
          <w:bCs/>
        </w:rPr>
        <w:t>Table 3:</w:t>
      </w:r>
      <w:r>
        <w:t xml:space="preserve"> </w:t>
      </w:r>
      <w:r>
        <w:rPr>
          <w:b/>
          <w:bCs/>
        </w:rPr>
        <w:t xml:space="preserve">Recovery Results of TAs in </w:t>
      </w:r>
      <w:r>
        <w:rPr>
          <w:b/>
          <w:bCs/>
          <w:i/>
          <w:iCs/>
        </w:rPr>
        <w:t>A.tanguticus</w:t>
      </w:r>
      <w:r>
        <w:rPr>
          <w:b/>
          <w:bCs/>
        </w:rPr>
        <w:t xml:space="preserve"> (n=3)</w:t>
      </w:r>
      <w:r>
        <w:rPr>
          <w:b/>
          <w:bCs/>
          <w:lang w:eastAsia="zh-CN"/>
        </w:rPr>
        <w:t>.</w:t>
      </w:r>
    </w:p>
    <w:p w14:paraId="2E65E814">
      <w:pPr>
        <w:spacing w:line="0" w:lineRule="atLeast"/>
        <w:jc w:val="left"/>
        <w:rPr>
          <w:b/>
          <w:bCs/>
          <w:lang w:eastAsia="zh-CN"/>
        </w:rPr>
      </w:pPr>
    </w:p>
    <w:p w14:paraId="16852348">
      <w:pPr>
        <w:spacing w:line="0" w:lineRule="atLeast"/>
        <w:jc w:val="left"/>
        <w:rPr>
          <w:b/>
          <w:bCs/>
          <w:lang w:eastAsia="zh-CN"/>
        </w:rPr>
      </w:pPr>
      <w:r>
        <w:rPr>
          <w:b/>
          <w:bCs/>
        </w:rPr>
        <w:t xml:space="preserve">Table 4: The content of alkaloids in </w:t>
      </w:r>
      <w:r>
        <w:rPr>
          <w:b/>
          <w:bCs/>
          <w:i/>
          <w:iCs/>
        </w:rPr>
        <w:t>A.tanguticus</w:t>
      </w:r>
      <w:r>
        <w:rPr>
          <w:b/>
          <w:bCs/>
        </w:rPr>
        <w:t xml:space="preserve"> samples (milligram\gram)</w:t>
      </w:r>
      <w:r>
        <w:rPr>
          <w:b/>
          <w:bCs/>
          <w:lang w:eastAsia="zh-CN"/>
        </w:rPr>
        <w:t>.</w:t>
      </w:r>
    </w:p>
    <w:p w14:paraId="0CA736BC">
      <w:pPr>
        <w:spacing w:line="0" w:lineRule="atLeast"/>
        <w:jc w:val="center"/>
        <w:rPr>
          <w:lang w:eastAsia="zh-CN"/>
        </w:rPr>
      </w:pPr>
    </w:p>
    <w:p w14:paraId="358A0F02">
      <w:pPr>
        <w:spacing w:line="0" w:lineRule="atLeast"/>
        <w:rPr>
          <w:b/>
        </w:rPr>
      </w:pPr>
      <w:r>
        <w:rPr>
          <w:b/>
        </w:rPr>
        <w:t xml:space="preserve">DISCUSSION: </w:t>
      </w:r>
    </w:p>
    <w:p w14:paraId="0C6E9872">
      <w:pPr>
        <w:spacing w:line="0" w:lineRule="atLeast"/>
      </w:pPr>
      <w:r>
        <w:t>With growing interest in plant secondary metabolites, analytical techniques for alkaloid detection have garnered significant attention. While a foundational chromatographic system for analyzing tropane alkaloids (TAs) has been established</w:t>
      </w:r>
      <w:r>
        <w:fldChar w:fldCharType="begin"/>
      </w:r>
      <w:r>
        <w:instrText xml:space="preserve"> ADDIN ZOTERO_ITEM CSL_CITATION {"citationID":"SIsgiYFy","properties":{"formattedCitation":"\\super 18\\nosupersub{}","plainCitation":"18","noteIndex":0},"citationItems":[{"id":1078,"uris":["http://zotero.org/users/12262172/items/8DP3JQD5","http://zotero.org/users/12262172/items/V3HM2YX7"],"itemData":{"id":1078,"type":"article-journal","abstract":"Although many drugs utilized today are synthetic in origin, natural products still provide a rich source of novel chemical diversity and bioactivity, and can yield promising leads for resistant or emerging diseases. The challenge, however, is twofold: not only must researchers find natural products and elucidate their structures, but they must also identify what is worth isolating and assaying (and what is already known - a process known as dereplication). With the advent of modern analytical instrumentation, the pace of natural product discovery and dereplication has accelerated. Liquid chromatography-tandem mass spectrometry (LC-MS/MS) has become an especially valuable technique for identifying and classifying chemical structures. Tropane alkaloids (TAs) are plant-derived compounds of great medicinal and toxicological significance. In this study, we developed an LC-MS/MS-based screening workflow utilizing the multiple MS/MS configurations available on a triple-quadrupole (QQQ) mass spectrometer to annotate and classify TA structures based on their distinct fragmentation patterns. By using a combination of data-dependent (DD) product ion scans, precursor ion scans (PrIS), and neutral loss scans (NLS), we applied this method to TA-rich extracts of the nightshades Datura stramonium and Datura metel. This method is rapid, sensitive, and was successfully employed for both preliminary dereplication of complex TA-containing samples and for the discovery of a novel candidate for isolation, purification (and eventual bioassay).","container-title":"Journal of Visualized Experiments: JoVE","DOI":"10.3791/66620","ISSN":"1940-087X","issue":"205","journalAbbreviation":"J Vis Exp","language":"en-US","note":"TLDR: An LC-MS/MS-based screening workflow utilizing the multiple MS/MS configurations available on a triple-quadrupole (QQQ) mass spectrometer to annotate and classify TA structures based on their distinct fragmentation patterns is developed.\nCitations: 1 (Crossref) [2025-09-15]\nCitations: 1 (SemanticScholar) [2025-09-15]","PMID":"38526072","source":"PubMed","title":"Applications of liquid chromatography-tandem mass spectrometry in natural products research: Tropane alkaloids as a case study","title-short":"Applications of Liquid Chromatography-Tandem Mass Spectrometry in Natural Products Research","author":[{"family":"Cinelli","given":"Maris A."},{"family":"Cline","given":"Jill"},{"family":"Watson","given":"Tyler"}],"issued":{"date-parts":[["2024",3,8]]}}}],"schema":"https://github.com/citation-style-language/schema/raw/master/csl-citation.json"} </w:instrText>
      </w:r>
      <w:r>
        <w:fldChar w:fldCharType="separate"/>
      </w:r>
      <w:r>
        <w:rPr>
          <w:vertAlign w:val="superscript"/>
        </w:rPr>
        <w:t>18</w:t>
      </w:r>
      <w:r>
        <w:fldChar w:fldCharType="end"/>
      </w:r>
      <w:r>
        <w:t>, recent advances</w:t>
      </w:r>
      <w:r>
        <w:rPr>
          <w:lang w:eastAsia="zh-CN"/>
        </w:rPr>
        <w:t xml:space="preserve">, </w:t>
      </w:r>
      <w:r>
        <w:t>such as the adoption of capillary electrophoresis (CE), enhanced instrumental performance in GC–MS and HPLC–MS, and the identification of novel structural compounds including convolvine and tropinone-like toxins</w:t>
      </w:r>
      <w:r>
        <w:rPr>
          <w:lang w:eastAsia="zh-CN"/>
        </w:rPr>
        <w:t xml:space="preserve"> </w:t>
      </w:r>
      <w:r>
        <w:t>underscore the need for a systematic review of current chromatographic methodologies for these alkaloids</w:t>
      </w:r>
      <w:r>
        <w:fldChar w:fldCharType="begin"/>
      </w:r>
      <w:r>
        <w:instrText xml:space="preserve"> ADDIN ZOTERO_ITEM CSL_CITATION {"citationID":"Tj80ckwS","properties":{"formattedCitation":"\\super 11, 19\\uc0\\u8211{}22\\nosupersub{}","plainCitation":"11, 19–22","noteIndex":0},"citationItems":[{"id":1907,"uris":["http://zotero.org/users/12262172/items/9PUIZEB6"],"itemData":{"id":1907,"type":"article-journal","abstract":"A rapid method that does not require a complicated preparation was developed for determining by HPLC the content of atropine (At) and scopolamine (Sc) in a sample of scopolia extract powder. The sample solution for HPLC was extracted using 0.1 mol/L HCl/methanol (8:2). At and Sc were separated using a pentafluorophenylpropyl column and detected at a wavelength of 210 nm. Acetonitrile-10 mmol/L ammonium acetate adjusted to pH 5.0 (8:2, v/v) was used as the mobile phase. The linearity was good in the 5.0-500 μg/mL range for At and 0.5-500 μg/mL range for Sc. The specificity for both At and Sc was satisfactory. The quantitation limits were 5.0 μg/mL for At and 0.5 μg/mL for Sc. The quantitative values of total alkaloid calculated using this method were higher (1.3-3.7%) than those obtained using the Japanese Pharmacopoeia Fifteenth Edition (JP15) method. The precision of this method, measured as the standard deviation, was found to be satisfactory and comparable to that of the JP15 method, determined by an analysis of 3 commercial scopolia extract powder samples.","container-title":"Journal of Natural Medicines","DOI":"10.1007/s11418-010-0483-9","ISSN":"1861-0293","issue":"2","journalAbbreviation":"J Nat Med","language":"eng","note":"TLDR: The precision of this method, measured as the standard deviation, was found to be satisfactory and comparable to that of the JP15 method, determined by an analysis of 3 commercial scopolia extract powder samples.\nCitations: 16 (Crossref) [2025-11-09]\nCitations: 15 (SemanticScholar) [2025-11-09]","page":"395-399","PMID":"21076881","source":"PubMed","title":"Rapid determination of atropine and scopolamine content in scopolia extract powder by HPLC","volume":"65","author":[{"family":"Sawabe","given":"Yoshiyuki"},{"family":"Yamasaki","given":"Katsuhiro"},{"family":"Tagami","given":"Takaomi"},{"family":"Kawaguchi","given":"Masami"},{"family":"Taguchi","given":"Shuzo"}],"issued":{"date-parts":[["2011",4]]}},"label":"page"},{"id":1932,"uris":["http://zotero.org/users/12262172/items/IVAYTW28"],"itemData":{"id":1932,"type":"article-journal","abstract":"A capillary electrophoresis (CE) incorporating chemiluminescence (CL) detection method was applied to on-line screening and evaluation of antioxidants in alkaloid natural products. Constant and stable CL intensity was derived from the reaction of luminol with reactive oxygen species (ROS) which were generated from a sodium hypochlorite–hydrogen peroxide system, and the inhibited peaks were then acquired as the quenching effects of antioxidants against ROS. The relationship between the inhibited extent of CL and scavenging efficiency for the ROS of antioxidants was discovered. The curvilinear equations between concentrations and scavenging ratios of matrine and oxymatrine as model samples were obtained, and the IC50s were calculated and validated by fluorospectrophotometry. Under optimized conditions, antioxidants in five alkaloid natural products were on-line screened. Each quantitative decrease in CL corresponded to different antioxidative potentials; the distribution and activity of constituents in congener natural products were consequently obtained. This applied CE–CL combination was found to be an efficient method for the assessment of antioxidants in complex samples.","container-title":"Analytical Methods","DOI":"10.1039/C6AY01518B","ISSN":"1759-9679","issue":"35","journalAbbreviation":"Anal. Methods","language":"en","note":"TLDR: A capillary electrophoresis incorporating chemiluminescence (CL) detection method was applied and was found to be an efficient method for the assessment of antioxidants in complex samples.\nCitations: 7 (Crossref) [2025-11-09]\nCitations: 6 (SemanticScholar) [2025-11-09]","page":"6545-6553","publisher":"The Royal Society of Chemistry","source":"pubs.rsc.org","title":"Rapid screening and evaluation of antioxidants in alkaloid natural products by capillary electrophoresis with chemiluminescence detection","volume":"8","author":[{"family":"Pang","given":"Yuan"},{"family":"Huang","given":"Yi-Ke"},{"family":"Li","given":"Fan"},{"family":"Yang","given":"Feng-Qing"},{"family":"Xia","given":"Zhi-Ning"}],"issued":{"date-parts":[["2016",9,1]]}},"label":"page"},{"id":1931,"uris":["http://zotero.org/users/12262172/items/H94MBF66"],"itemData":{"id":1931,"type":"article-journal","container-title":"Analytical Chemistry","DOI":"10.1021/acs.analchem.8b00015","ISSN":"0003-2700","issue":"3","journalAbbreviation":"Anal. Chem.","note":"TLDR: This paper presents a meta-analyses of the chiral stationary phase of Na6(CO3)(SO4)2, a major component of the Na2CO3 responsible for the formation of Na2SO4 in horseshoe-shaped balloons and its role in the response toformation.\nCitations: 274 (Crossref) [2025-11-09]\nCitations: 237 (SemanticScholar) [2025-11-09]","page":"1464-1481","publisher":"American Chemical Society","source":"ACS Publications","title":"Capillary electrophoresis: Trends and recent advances","title-short":"Capillary Electrophoresis","volume":"90","author":[{"family":"Voeten","given":"Robert L. C."},{"family":"Ventouri","given":"Iro K."},{"family":"Haselberg","given":"Rob"},{"family":"Somsen","given":"Govert W."}],"issued":{"date-parts":[["2018",2,6]]}},"label":"page"},{"id":1930,"uris":["http://zotero.org/users/12262172/items/3C2B68G2"],"itemData":{"id":1930,"type":"article-journal","abstract":"Citrus aurantium (bitter orange) is a plant belonging to the family Rutaceae, whose fruit extracts have been used recently for the treatment of obesity. The most important biologically active constituents of the C. aurantium fruits are phenethylamine alkaloids (i.e. octopamine, synephrine, tyramine, N-methyltyramine and hordenine). Synephrine is a primary synthesis compound with pharmacological activities such as vasoconstriction, elevation of blood pressure and relaxation of bronchial muscle. Synephrine is present in the peel and the edible part of Citrus fruit. Of the adrenergic amines of natural origin, synephrine has been found to be the main constituent of C. aurantium fruits and extracts; the other alkaloids are either absent or present in only low concentrations. It is known that synephrine and the other amines found in C. aurantium have adverse effects on the cardiovascular system, owing to adrenergic stimulation. In light of the great commercial proliferation of C. aurantium herbal medicines in recent years, this review provides an overview of various extraction, separation and detection techniques employed for the qualitative and quantitative determination of the alkaloids in C. aurantium and related species. The application of chromatographic and electrophoretic methods for the separation and determination of these active components in C. aurantium plant material and derivatives are described. Since synephrine is a chiral compound, enantioselective chromatographic and electrophoretic techniques for the analysis of synephrine enantiomers in natural products are presented. Furthermore, examples of identification of these active compounds in complex matrices by hyphenated methods, such as gas chromatography–mass spectrometry and high-performance liquid chromatography–mass spectrometry, are described. The advantages and limitations of these separation and identification methods are assessed and discussed.","collection-title":"26th International Symposium on the Separation of Proteins, Peptides and Polynucleotides","container-title":"Journal of Chromatography A","DOI":"10.1016/j.chroma.2007.05.097","ISSN":"0021-9673","issue":"1","journalAbbreviation":"Journal of Chromatography A","note":"TLDR: This review provides an overview of various extraction, separation and detection techniques employed for the qualitative and quantitative determination of the alkaloids in C. aurantium and related species.\nCitations: 78 (Crossref) [2025-11-09]\nCitations: 94 (SemanticScholar) [2025-11-09]","page":"71-88","source":"ScienceDirect","title":"Chromatographic and electrophoretic methods for the analysis of phenetylamine alkaloids in citrus aurantium","volume":"1161","author":[{"family":"Pellati","given":"Federica"},{"family":"Benvenuti","given":"Stefania"}],"issued":{"date-parts":[["2007",8,17]]}},"label":"page"},{"id":1933,"uris":["http://zotero.org/users/12262172/items/J38TK9FB"],"itemData":{"id":1933,"type":"article-journal","abstract":"A sensitive UHPLC-ESI-MS/MS method, coupled with a suitable extraction protocol, was developed and validated for the rapid detection of four tropane alkaloids (anisodamine, atropine, homatropine, scopolamine) in herbal teas and herbal extracts. The method offers good sensitivity, accuracy and precision. The protocol is suitable for routine determination of tropane alkaloids in dried plants and extracts sold as food supplements or phytotherapics, and was applied to 60 commercial samples. Anisodamine, atropine and/or scopolamine were found in 4 herbal teas samples (LOQ–69 μg/kg for atropine and 50 μg/kg for scopolamine) and in a Lepidium meyenii extract sold as food supplement (traces of anisodamine). The level of contamination do not to pose a direct risk for the consumers if compared to the acute reference dose indicated by EFSA, but the detection confirms the need for suitable methods and careful screenings in order to determine a more precise evaluation of dietary intake for tropane alkaloids.","container-title":"Food Control","DOI":"10.1016/j.foodcont.2019.05.030","ISSN":"0956-7135","journalAbbreviation":"Food Control","note":"TLDR: The detection of anisodamine, atropine and/or scopolamine in herbal teas samples confirms the need for suitable methods and careful screenings in order to determine a more precise evaluation of dietary intake for tropane alkaloids.\nCitations: 36 (Crossref) [2025-11-09]\nCitations: 35 (SemanticScholar) [2025-11-09]","page":"285-291","source":"ScienceDirect","title":"A sensitive UHPLC-ESI-MS/MS method for the determination of tropane alkaloids in herbal teas and extracts","volume":"105","author":[{"family":"Cirlini","given":"Martina"},{"family":"Cappucci","given":"Valentina"},{"family":"Galaverna","given":"Gianni"},{"family":"Dall’Asta","given":"Chiara"},{"family":"Bruni","given":"Renato"}],"issued":{"date-parts":[["2019",11,1]]}}}],"schema":"https://github.com/citation-style-language/schema/raw/master/csl-citation.json"} </w:instrText>
      </w:r>
      <w:r>
        <w:fldChar w:fldCharType="separate"/>
      </w:r>
      <w:r>
        <w:rPr>
          <w:vertAlign w:val="superscript"/>
        </w:rPr>
        <w:t>11,19–22</w:t>
      </w:r>
      <w:r>
        <w:fldChar w:fldCharType="end"/>
      </w:r>
      <w:r>
        <w:t>. The analytical requirements for TAs vary by context: in plant tissue analysis (e.g., plant breeding, alkaloid biosynthesis, and extraction studies), methods must exhibit high selectivity and sensitivity to distinguish structurally similar secondary metabolites and detect trace components</w:t>
      </w:r>
      <w:r>
        <w:fldChar w:fldCharType="begin"/>
      </w:r>
      <w:r>
        <w:instrText xml:space="preserve"> ADDIN ZOTERO_ITEM CSL_CITATION {"citationID":"g1KGAzw0","properties":{"formattedCitation":"\\super 23, 24\\nosupersub{}","plainCitation":"23, 24","noteIndex":0},"citationItems":[{"id":1935,"uris":["http://zotero.org/users/12262172/items/DS7SZWCU"],"itemData":{"id":1935,"type":"article-journal","abstract":"Flavonoid glycoconjugates from roots and leaves of eight North America lupine species (Lupinus elegans, Lupinus exaltatus, Lupinus hintonii, Lupinus mexicanus, Lupinus montanus, Lupinus rotundiflorus, Lupinus stipulatus, Lupinus sp.), three Mediterranean species (Lupinus albus, Lupinus angustifolius, Lupinus luteus) and one species from South America domesticated in Europe (Lupinus mutabilis) were analyzed using two LC/MS systems: low-resolution ion trap instrument and high-resolution quadrupole-time-of-flight spectrometer. As a result of the LC/MS profiling using the CID/MSn experiments structures of 175 flavonoid glycoconjugates found in 12 lupine species were identified at three confidence levels according to the Metabolomic Standard Initiative, mainly at level 2 and 3, some of them were classified to the level 1. Among the flavonoid derivatives recognized in the plant extracts were isomeric or isobaric compounds, differing in the degree of hydroxylation of the aglycones and the presence of glycosidic, acyl or alkyl groups in the molecules. The elemental composition of the glycoconjugate molecules was established from the exact m/z values of the protonated/deprotonated molecules ([M+H]+/[M−H]−) measured with the accuracy better than 5ppm. Information concerning structures of the aglycones, the type of sugar moieties (hexose, deoxyhexose or pentose) and, in some cases, their placement on the aglycones as well as the acyl substituents of the flavonoid glycoconjugates was achieved in experiments, in which collision-induced dissociation was applied. Flavonoid aglycones present in the studied O-glycoconjugates were unambiguously identified after the comparison of the pseudo-MS3 spectra with the spectra registered for the standards. Isomers of flavonoid glycoconjugates, in which one or two sugar moieties were attached to 4</w:instrText>
      </w:r>
      <w:r>
        <w:rPr>
          <w:rFonts w:hint="eastAsia"/>
        </w:rPr>
        <w:instrText xml:space="preserve">′</w:instrText>
      </w:r>
      <w:r>
        <w:instrText xml:space="preserve">- or 7-hydroxyl groups or directly to the C-6 or C-8 of the aglycones, could be distinguished on the basis of the MS2 spectra. However, the collision energy applied in the CID experiments had to be optimized for each group of the compounds and there were no universal settings that allowed the acquisition of structural information for all the compounds present in the sample. Information obtained from the flavonoid conjugate profiling was used for the chemotaxonomic comparison of the studied lupine species. A clear-cut discrimination of the Mediterranean and North American lupines was obtained as a result of this analysis.","container-title":"Phytochemistry","DOI":"10.1016/j.phytochem.2013.04.006","ISSN":"0031-9422","journalAbbreviation":"Phytochemistry","note":"Citations: 88 (SemanticScholar) [2025-11-09]\nTLDR: A clear-cut discrimination of the Mediterranean and North American lupines was obtained as a result of this analysis of flavonoid glycoconjugates from roots and leaves of eight lupine species.","page":"71-86","source":"ScienceDirect","title":"Structural analysis and profiling of phenolic secondary metabolites of mexican lupine species using LC–MS techniques","volume":"92","author":[{"family":"Wojakowska","given":"Anna"},{"family":"Piasecka","given":"Anna"},{"family":"García-López","given":"Pedro M."},{"family":"Zamora-Natera","given":"Francisco"},{"family":"Krajewski","given":"Paweł"},{"family":"Marczak","given":"Łukasz"},{"family":"Kachlicki","given":"Piotr"},{"family":"Stobiecki","given":"Maciej"}],"issued":{"date-parts":[["2013",8,1]]}},"label":"page"},{"id":1934,"uris":["http://zotero.org/users/12262172/items/CYKTXFSH"],"itemData":{"id":1934,"type":"article-journal","container-title":"Methods in Molecular Biology","DOI":"10.1007/978-1-4939-7819-9_12","note":"TLDR: A general protocol for targeted LC-MS metabolite profiling of plant secondary metabolites is described and some examples of peak annotation using the combination approach are introduced.\nCitations: 31 (Crossref) [2025-11-09]\nCitations: 30 (SemanticScholar) [2025-11-09]","page":"171-181","source":"COinS","title":"Targeted LC-MS Analysis for Plant Secondary Metabolites.","volume":"1778","author":[{"family":"Shimizu","given":"Takafumi"},{"family":"Watanabe","given":"Mutsumi"},{"family":"Fernie","given":"Alisdair R."},{"family":"Tohge","given":"Takayuki"}],"issued":{"date-parts":[["2018"]]}},"label":"page"}],"schema":"https://github.com/citation-style-language/schema/raw/master/csl-citation.json"} </w:instrText>
      </w:r>
      <w:r>
        <w:fldChar w:fldCharType="separate"/>
      </w:r>
      <w:r>
        <w:rPr>
          <w:vertAlign w:val="superscript"/>
        </w:rPr>
        <w:t>23,24</w:t>
      </w:r>
      <w:r>
        <w:fldChar w:fldCharType="end"/>
      </w:r>
      <w:r>
        <w:t>. In pharmaceutical testing (e.g., drug quality control, clinical testing, and toxicological analysis), greater emphasis is placed on method reproducibility, automation capability, and sensitivity to handle complex biological samples and accurately quantify active ingredients, byproducts, and trace degradation products</w:t>
      </w:r>
      <w:r>
        <w:fldChar w:fldCharType="begin"/>
      </w:r>
      <w:r>
        <w:instrText xml:space="preserve"> ADDIN ZOTERO_ITEM CSL_CITATION {"citationID":"Z8kEw0Cn","properties":{"formattedCitation":"\\super 25, 26\\nosupersub{}","plainCitation":"25, 26","noteIndex":0},"citationItems":[{"id":1937,"uris":["http://zotero.org/users/12262172/items/B2BHYYTQ"],"itemData":{"id":1937,"type":"chapter","abstract":"The authors have developed and validated some chromatographic methods with the aim of quantifying drugs as drug substance and drug product, suitable for stability and quality control studies, as at original products as at its remainder doses. The stability of a pharmaceutical is defined by its resistance to different chemical, physical, and microbiological reactions that may change their original properties. The stability of a pharmaceutical product is closely related to its potency; therefore, whether the compounds are degraded, a decrease of the therapeutic effect or changes in their toxicological properties can be produced, affecting their efficacy and safety, which becomes important to maintain a stable pharmaceutical product and to have the analytical tools to demonstrate stability. Therefore, stability-indicating methods are required to the quality control of pharmaceuticals. Analytical methods presented here are useful stability-indicating methods to analyze drugs and have adequate linearity, precision, accuracy, selectivity, and LOD/LOQ values. The examples presented here are stability-indicating methods since they allow the determination of drugs in the presence of their degradation products, according to the International Conference on Harmonization (ICH) guidelines.","container-title":"Quality Management and Quality Control - New Trends and Developments","DOI":"10.5772/intechopen.82826","ISBN":"978-1-78923-877-8","language":"en","license":"https://creativecommons.org/licenses/by/3.0/legalcode","publisher":"IntechOpen","source":"DOI.org (Crossref)","title":"Analytical method validation as the first step in drug quality control","URL":"https://www.intechopen.com/books/quality-management-and-quality-control-new-trends-and-developments/analytical-method-validation-as-the-first-step-in-drug-quality-control","editor":[{"family":"Pereira","given":"Paulo"},{"family":"Xavier","given":"Sandra"}],"author":[{"family":"Mennickent","given":"Sigrid"},{"family":"De Diego","given":"Marta"}],"accessed":{"date-parts":[["2025",11,9]]},"issued":{"date-parts":[["2019",4,10]]}},"label":"page"},{"id":1938,"uris":["http://zotero.org/users/12262172/items/8LTURR4A"],"itemData":{"id":1938,"type":"article-journal","abstract":"Despite the advantages of 2D-LC, there is currently little to no work in demonstrating the suitability of these 2D-LC methods for use in a quality control (QC) environment for good manufacturing practice (GMP) tests. This lack of information becomes more critical as the availability of commercial 2D-LC instrumentation has significantly increased, and more testing facilities begin to acquire these 2D-LC capabilities. It is increasingly important that the transferability of developed 2D-LC methods be assessed in terms of reproducibility, robustness and performance across different laboratories worldwide. The work presented here focuses on the evaluation of a heart-cutting 2D-LC method used for the analysis of a pharmaceutical material, where a key, co-eluting impurity in the first dimension (1D) is resolved from the main peak and analyzed in the second dimension (2D). A design-of-experiments (DOE) approach was taken in the collection of the data, and the results were then modeled in order to evaluate method robustness using statistical modeling software. This quality by design (QBD) approach gives a deeper understanding of the impact of these 2D-LC critical method attributes (CMAs) and how they affect overall method performance. Although there are multiple parameters that may be critical from method development point of view, a special focus of this work is devoted towards evaluation of unique 2D-LC critical method attributes from method validation perspective that transcend conventional method development and validation. The 2D-LC method attributes are evaluated for their recovery, peak shape, and resolution of the two co-eluting compounds in question on the 2D. In the method, linearity, accuracy, precision, repeatability, and sensitivity are assessed along with day-to-day, analyst-to-analyst, and lab-to-lab (instrument-to-instrument) assessments. The results of this validation study demonstrate that the 2D-LC method is accurate, sensitive, and robust and is ultimately suitable for QC testing with good method transferability.","container-title":"Journal of Chromatography A","DOI":"10.1016/j.chroma.2017.02.074","ISSN":"0021-9673","journalAbbreviation":"Journal of Chromatography A","note":"TLDR: This validation study demonstrates that the 2D-LC method used for the analysis of a pharmaceutical material is accurate, sensitive, and robust and is ultimately suitable for QC testing with good method transferability.\nCitations: 26 (Crossref) [2025-11-09]\nCitations: 26 (SemanticScholar) [2025-11-09]","page":"89-97","source":"ScienceDirect","title":"Validation of a two-dimensional liquid chromatography method for quality control testing of pharmaceutical materials","volume":"1492","author":[{"family":"Yang","given":"Samuel H."},{"family":"Wang","given":"Jenny"},{"family":"Zhang","given":"Kelly"}],"issued":{"date-parts":[["2017",4,7]]}},"label":"page"}],"schema":"https://github.com/citation-style-language/schema/raw/master/csl-citation.json"} </w:instrText>
      </w:r>
      <w:r>
        <w:fldChar w:fldCharType="separate"/>
      </w:r>
      <w:r>
        <w:rPr>
          <w:vertAlign w:val="superscript"/>
        </w:rPr>
        <w:t>25,26</w:t>
      </w:r>
      <w:r>
        <w:fldChar w:fldCharType="end"/>
      </w:r>
      <w:r>
        <w:t>.</w:t>
      </w:r>
    </w:p>
    <w:p w14:paraId="09DB034B">
      <w:pPr>
        <w:spacing w:line="0" w:lineRule="atLeast"/>
      </w:pPr>
    </w:p>
    <w:p w14:paraId="3219F85D">
      <w:pPr>
        <w:spacing w:line="0" w:lineRule="atLeast"/>
      </w:pPr>
      <w:r>
        <w:t>However, conventional methods face inherent limitations in fully meeting these demands. HPLC struggles to resolve epimers and trace metabolites, often requiring specialized chiral columns or gradient elution, while ultraviolet detection typically offers quantitation limits only at the μg level</w:t>
      </w:r>
      <w:r>
        <w:fldChar w:fldCharType="begin"/>
      </w:r>
      <w:r>
        <w:instrText xml:space="preserve"> ADDIN ZOTERO_ITEM CSL_CITATION {"citationID":"atQzSbjk","properties":{"formattedCitation":"\\super 27\\nosupersub{}","plainCitation":"27","noteIndex":0},"citationItems":[{"id":1939,"uris":["http://zotero.org/users/12262172/items/4VSGC6TW"],"itemData":{"id":1939,"type":"article-journal","abstract":"Amino acid epimerization, a process of converting L-amino acids to D-amino acids, will lead to modification in the protein structure and, subsequently, its biological function. This modification causes no change in protein m/z and may be overlooked during protein analysis. Aspartic Acid Epimerization (AAE) is faster than other amino acids and could be accelerated by free radicals and peroxides. In this work, a novel and site-specific HPLC method using a chiral stationary phase for determining the AAE in the active site model peptide (AP) of Peroxiredoxin 2 has been developed and validated. The developed method showed good linearity (1 – 200 μg/mL) and recoveries of the limit of quantification (LOQ), low, medium, and high concentrations were between 85% and 115%. The Kinetics of AAE in AP were studied using the developed method, and the results showed that when ascorbic acid and Cu2+ coexisted, the AP epimerized rapidly. The AAE extent increased with time and was positively correlated with hydrogen peroxide generation.","container-title":"Journal of Pharmaceutical and Biomedical Analysis","DOI":"10.1016/j.jpba.2024.116247","ISSN":"0731-7085","journalAbbreviation":"Journal of Pharmaceutical and Biomedical Analysis","note":"Citations: 1 (Crossref) [2025-11-09]\nCitations: 1 (SemanticScholar) [2025-11-09]","page":"116247","source":"ScienceDirect","title":"HPLC with chiral stationary phase for separation and kinetics study of aspartic acid epimerization in peroxiredoxin 2 active site peptide","volume":"247","author":[{"family":"Zhang","given":"Xinran"},{"family":"Abdulbagi","given":"Mohamed"},{"family":"Wang","given":"Limin"},{"family":"Wang","given":"Jiafeng"},{"family":"Di","given":"Bin"},{"family":"Li","given":"Bo"}],"issued":{"date-parts":[["2024",9,1]]}}}],"schema":"https://github.com/citation-style-language/schema/raw/master/csl-citation.json"} </w:instrText>
      </w:r>
      <w:r>
        <w:fldChar w:fldCharType="separate"/>
      </w:r>
      <w:r>
        <w:rPr>
          <w:vertAlign w:val="superscript"/>
        </w:rPr>
        <w:t>27</w:t>
      </w:r>
      <w:r>
        <w:fldChar w:fldCharType="end"/>
      </w:r>
      <w:r>
        <w:t>. GC often necessitates derivatization (e.g., silylation) to enhance volatility, introducing procedural complexity and potential quantitative bias, and is unsuitable for thermolabile compounds</w:t>
      </w:r>
      <w:r>
        <w:fldChar w:fldCharType="begin"/>
      </w:r>
      <w:r>
        <w:instrText xml:space="preserve"> ADDIN ZOTERO_ITEM CSL_CITATION {"citationID":"z7vfAjEf","properties":{"formattedCitation":"\\super 28\\nosupersub{}","plainCitation":"28","noteIndex":0},"citationItems":[{"id":1940,"uris":["http://zotero.org/users/12262172/items/9K3QEK7Y"],"itemData":{"id":1940,"type":"article-journal","abstract":"Metabolites are the small biological molecules involved in energy conversion and biosynthesis. Studying metabolism is inherently challenging due to metabolites' reactivity, structural diversity, and broad concentration range. Herein, we review the common pitfalls encountered in metabolomics and provide concrete guidelines for obtaining accurate metabolite measurements, focusing on water-soluble primary metabolites. We show how seemingly straightforward sample preparation methods can introduce systematic errors (e.g., owing to interconversion among metabolites) and how proper selection of quenching solvent (e.g., acidic acetonitrile:methanol:water) can mitigate such problems. We discuss the specific strengths, pitfalls, and best practices for each common analytical platform: liquid chromatography-mass spectrometry (LC-MS), gas chromatography-mass spectrometry (GC-MS), nuclear magnetic resonance (NMR), and enzyme assays. Together this information provides a pragmatic knowledge base for carrying out biologically informative metabolite measurements.","container-title":"Annual Review of Biochemistry","DOI":"10.1146/annurev-biochem-061516-044952","ISSN":"1545-4509","journalAbbreviation":"Annu Rev Biochem","language":"eng","note":"TLDR: The common pitfalls encountered in metabolomics are reviewed and concrete guidelines for obtaining accurate metabolite measurements are provided, focusing on water-soluble primary metabolites.\nCitations: 390 (Crossref) [2025-11-09]\nCitations: 347 (SemanticScholar) [2025-11-09]","page":"277-304","PMID":"28654323","PMCID":"PMC5734093","source":"PubMed","title":"Metabolite measurement: Pitfalls to avoid and practices to follow","title-short":"Metabolite Measurement","volume":"86","author":[{"family":"Lu","given":"Wenyun"},{"family":"Su","given":"Xiaoyang"},{"family":"Klein","given":"Matthias S."},{"family":"Lewis","given":"Ian A."},{"family":"Fiehn","given":"Oliver"},{"family":"Rabinowitz","given":"Joshua D."}],"issued":{"date-parts":[["2017",6,20]]}}}],"schema":"https://github.com/citation-style-language/schema/raw/master/csl-citation.json"} </w:instrText>
      </w:r>
      <w:r>
        <w:fldChar w:fldCharType="separate"/>
      </w:r>
      <w:r>
        <w:rPr>
          <w:vertAlign w:val="superscript"/>
        </w:rPr>
        <w:t>28</w:t>
      </w:r>
      <w:r>
        <w:fldChar w:fldCharType="end"/>
      </w:r>
      <w:r>
        <w:t>. TLC is limited to qualitative screening with mg-level detection limits and lacks reliable quantitative capability</w:t>
      </w:r>
      <w:r>
        <w:fldChar w:fldCharType="begin"/>
      </w:r>
      <w:r>
        <w:instrText xml:space="preserve"> ADDIN ZOTERO_ITEM CSL_CITATION {"citationID":"OeY6Bbe2","properties":{"formattedCitation":"\\super 29\\nosupersub{}","plainCitation":"29","noteIndex":0},"citationItems":[{"id":1942,"uris":["http://zotero.org/users/12262172/items/3KC645RX"],"itemData":{"id":1942,"type":"article-journal","abstract":"Matrix-assisted laser desorption/ionization (MALDI) is one of the most successful \"soft\" ionization methods in the field of mass spectrometry and enables the analysis of a broad range of molecules, including lipids. Although the details of the ionization process are still unknown, the importance of the matrix is commonly accepted. Both, the development of and the search for useful matrices was, and still is, an empirical process, since properties like vacuum stability, high absorption at the laser wavelength, etc. have to be fulfilled by a compound to become a useful matrix. This review provides a survey of successfully used MALDI matrices for the lipid analyses of complex biological samples. The advantages and drawbacks of the established organic matrix molecules (cinnamic or benzoic acid derivatives), liquid crystalline matrices, and mixtures of common matrices will be discussed. Furthermore, we will deal with nanocrystalline matrices, which are most suitable to analyze small molecules, such as free fatty acids. It will be shown that the analysis of mixtures and the quantitative analysis of small molecules can be easily performed if the matrix is carefully selected. Finally, some basic principles of how useful matrix compounds can be \"designed\" de novo will be introduced.","container-title":"Biomolecules","DOI":"10.3390/biom8040173","ISSN":"2218-273X","issue":"4","journalAbbreviation":"Biomolecules","language":"eng","note":"TLDR: A survey of successfully used MALDI matrices for the lipid analyses of complex biological samples is provided and it is shown that the analysis of mixtures and the quantitative analysis of small molecules can be easily performed if the matrix is carefully selected.\nCitations: 166 (Crossref) [2025-11-09]\nCitations: 147 (SemanticScholar) [2025-11-09]","page":"173","PMID":"30551655","PMCID":"PMC6316665","source":"PubMed","title":"Recent developments of useful MALDI matrices for the mass spectrometric characterization of lipids","volume":"8","author":[{"family":"Leopold","given":"Jenny"},{"family":"Popkova","given":"Yulia"},{"family":"Engel","given":"Kathrin M."},{"family":"Schiller","given":"Jürgen"}],"issued":{"date-parts":[["2018",12,13]]}}}],"schema":"https://github.com/citation-style-language/schema/raw/master/csl-citation.json"} </w:instrText>
      </w:r>
      <w:r>
        <w:fldChar w:fldCharType="separate"/>
      </w:r>
      <w:r>
        <w:rPr>
          <w:vertAlign w:val="superscript"/>
        </w:rPr>
        <w:t>29</w:t>
      </w:r>
      <w:r>
        <w:fldChar w:fldCharType="end"/>
      </w:r>
      <w:r>
        <w:t>. Early single-stage mass spectrometry techniques (GC-MS, LC-MS) improved qualitative analysis but remained prone to background interference in complex matrices (e.g., crude plant extracts, biological fluids), resulting in low signal-to-noise ratios and unreliable detection below ng levels</w:t>
      </w:r>
      <w:r>
        <w:fldChar w:fldCharType="begin"/>
      </w:r>
      <w:r>
        <w:instrText xml:space="preserve"> ADDIN ZOTERO_ITEM CSL_CITATION {"citationID":"vYakS0aD","properties":{"formattedCitation":"\\super 30, 31\\nosupersub{}","plainCitation":"30, 31","noteIndex":0},"citationItems":[{"id":1950,"uris":["http://zotero.org/users/12262172/items/2HFF9NGZ"],"itemData":{"id":1950,"type":"article-journal","abstract":"Chromatography is a separation technique used to separate the individual compound from a mixture using a stationary and mobile phase. Discovery of chromatography is a millstone event in biomedical research. Chromatographic separation is based on the principles of adsorption, partition, ion exchange, molecular exclusion, affinity and Chirality. There are many types of chromatography available for quantitative and qualitative analysis of pharmaceutical agents, which includes Liquid Chromatography-Mass Spectrometry (LC-MS). Combination of chromatography with spectrometry is first reported in 1967 and first LC-MS system was introduced in 1980s. LC-MS is an analytical chemistry technique that combines the physical separation capabilities of liquid chromatography with the mass analysis and mass spectrometry. Mainly the LC-MS contains liquid chromatography assembly, ion generation unit/ ionization source, mass analyzer and mass spectrometric data acquisition. LC-MS is most commonly used in biomedical sciences for pharmacokinetic analysis, genetic analysis, structural elucidation, etc. The main objective of this review is to overview the principle, instrumentation and application of LC-MS.","language":"en","source":"Zotero","title":"An overview of liquid chromatography-mass spectroscopy instrumentation","author":[{"family":"Parasuraman","given":"Subramani"},{"family":"Rao","given":"Anish"},{"family":"Balamurugan","given":"Subramani"},{"family":"Muralidharan","given":"Selvadurai"},{"family":"Kumar","given":"Kalaimani Jayaraj"},{"family":"Vijayan","given":"Venugopal"}]},"label":"page"},{"id":1947,"uris":["http://zotero.org/users/12262172/items/AI7NLRU3"],"itemData":{"id":1947,"type":"article-journal","abstract":"Liquid chromatography–mass spectrometry (LC–MS) is a highly sophisticated analytical technique that has become indispensable for sample analysis across various scientific domains. In recent years, LC–MS has emerged as a cornerstone technology in comparative replicate sample analysis, particularly in the fields of proteomics, lipidomics and metabolomics. This review provides a comprehensive and in</w:instrText>
      </w:r>
      <w:r>
        <w:rPr>
          <w:rFonts w:hint="eastAsia"/>
        </w:rPr>
        <w:instrText xml:space="preserve">‐</w:instrText>
      </w:r>
      <w:r>
        <w:instrText xml:space="preserve">depth exploration of LC</w:instrText>
      </w:r>
      <w:r>
        <w:rPr>
          <w:rFonts w:hint="eastAsia"/>
        </w:rPr>
        <w:instrText xml:space="preserve">–</w:instrText>
      </w:r>
      <w:r>
        <w:instrText xml:space="preserve">MS applications in biological, and applied sciences from the key aspects include (1) a historical perspective on LC–MS development and advancements; (2) its critical role in forensic investigations and environmental science; (3) its applications in food safety, quality control and pharmaceutical analysis and (4) its significance in the examination of pharmaceuticals and biological specimens. By presenting a broad and integrated understanding of LC–MS, this review underscores its transformative impact on life sciences and its expanding role in scientific research and innovation.","container-title":"Analytical Science Advances","DOI":"10.1002/ansa.70024","ISSN":"2628-5452","issue":"1","journalAbbreviation":"Anal Sci Adv","note":"TLDR: A comprehensive and in</w:instrText>
      </w:r>
      <w:r>
        <w:rPr>
          <w:rFonts w:hint="eastAsia"/>
        </w:rPr>
        <w:instrText xml:space="preserve">‐</w:instrText>
      </w:r>
      <w:r>
        <w:instrText xml:space="preserve">depth exploration of LC</w:instrText>
      </w:r>
      <w:r>
        <w:rPr>
          <w:rFonts w:hint="eastAsia"/>
        </w:rPr>
        <w:instrText xml:space="preserve">–</w:instrText>
      </w:r>
      <w:r>
        <w:instrText xml:space="preserve">MS applications in biological, and applied sciences from the key aspects include its critical role in forensic investigations and environmental science, its applications in food safety, quality control and pharmaceutical analysis, and its significance in the examination of pharmaceuticals and biological specimens.\nCitations: 7 (Crossref) [2025-11-09]\nCitations: 6 (SemanticScholar) [2025-11-09]","page":"e70024","PMID":"40584301","PMCID":"PMC12204688","source":"PubMed Central","title":"Recent advances in liquid chromatography–mass spectrometry (LC–MS) applications in biological and applied sciences","volume":"6","author":[{"family":"Alanazi","given":"Samyah"}],"issued":{"date-parts":[["2025",6,27]]}},"label":"page"}],"schema":"https://github.com/citation-style-language/schema/raw/master/csl-citation.json"} </w:instrText>
      </w:r>
      <w:r>
        <w:fldChar w:fldCharType="separate"/>
      </w:r>
      <w:r>
        <w:rPr>
          <w:vertAlign w:val="superscript"/>
        </w:rPr>
        <w:t>30,31</w:t>
      </w:r>
      <w:r>
        <w:fldChar w:fldCharType="end"/>
      </w:r>
      <w:r>
        <w:t>. Moreover, matrix components such as polysaccharides and proteins in plant or biological samples are difficult to remove completely using liquid-liquid extraction or conventional solid-phase extraction, often leading to chromatographic co-elution and mass spectrometric ion suppression, further compromising quantitative accuracy for low-abundance analytes</w:t>
      </w:r>
      <w:r>
        <w:fldChar w:fldCharType="begin"/>
      </w:r>
      <w:r>
        <w:instrText xml:space="preserve"> ADDIN ZOTERO_ITEM CSL_CITATION {"citationID":"dVnRiW7v","properties":{"formattedCitation":"\\super 32\\nosupersub{}","plainCitation":"32","noteIndex":0},"citationItems":[{"id":1945,"uris":["http://zotero.org/users/12262172/items/EK9MZM77"],"itemData":{"id":1945,"type":"article-journal","abstract":"In recent decades, mass spectrometry techniques, particularly when combined with separation methods such as high-performance liquid chromatography, have become increasingly important in pharmaceutical, bio-analytical, environmental, and food science applications because they aﬀord high selectivity and sensitivity. However, mass spectrometry has limitations due to the matrix eﬀects (ME), which can be particularly marked in complex mixes, when the analyte co-elutes together with other molecules, altering analysis results quantitatively. This may be detrimental during method validation, negatively aﬀecting reproducibility, linearity, selectivity, accuracy, and sensitivity. Starting from literature and own experience, this review intends to provide a simple guideline for selecting the best operative conditions to overcome matrix eﬀects in LC-MS techniques, to obtain the best result in the shortest time. The proposed methodology can be of beneﬁt in diﬀerent sectors, such as pharmaceutical, bio-analytical, environmental, and food sciences. Depending on the required sensitivity, analysts may minimize or compensate for ME. When sensitivity is crucial, analysis must try to minimize ME by adjusting MS parameters, chromatographic conditions, or optimizing clean-up. On the contrary, to compensate for ME analysts should have recourse to calibration approaches depending on the availability of blank matrix. When blank matrices are available, calibration can occur through isotope labeled internal standards and matrix matched calibration standards; conversely, when blank matrices are not available, calibration can be performed through isotope labeled internal standards, background subtraction, or surrogate matrices. In any case, an adjusting of MS parameters, chromatographic conditions, or a clean-up are necessary.","container-title":"Molecules","DOI":"10.3390/molecules25133047","ISSN":"1420-3049","issue":"13","journalAbbreviation":"Molecules","language":"en","note":"Citations: 160 (SemanticScholar) [2025-11-09]\nTLDR: This review intends to provide a simple guideline for selecting the best operative conditions to overcome matrix effects in LC-MS techniques, to obtain the best result in the shortest time.","page":"3047","source":"DOI.org (Crossref)","title":"Compensate for or minimize matrix effects? Strategies for overcoming matrix effects in liquid chromatography-mass spectrometry technique: A tutorial review","title-short":"Compensate for or Minimize Matrix Effects?","volume":"25","author":[{"family":"Cortese","given":"Manuela"},{"family":"Gigliobianco","given":"Maria Rosa"},{"family":"Magnoni","given":"Federico"},{"family":"Censi","given":"Roberta"},{"family":"Di Martino","given":"Piera"}],"issued":{"date-parts":[["2020",7,3]]}}}],"schema":"https://github.com/citation-style-language/schema/raw/master/csl-citation.json"} </w:instrText>
      </w:r>
      <w:r>
        <w:fldChar w:fldCharType="separate"/>
      </w:r>
      <w:r>
        <w:rPr>
          <w:vertAlign w:val="superscript"/>
        </w:rPr>
        <w:t>32</w:t>
      </w:r>
      <w:r>
        <w:fldChar w:fldCharType="end"/>
      </w:r>
      <w:r>
        <w:t>.</w:t>
      </w:r>
    </w:p>
    <w:p w14:paraId="2959D064">
      <w:pPr>
        <w:spacing w:line="0" w:lineRule="atLeast"/>
      </w:pPr>
    </w:p>
    <w:p w14:paraId="759C668A">
      <w:pPr>
        <w:spacing w:line="0" w:lineRule="atLeast"/>
      </w:pPr>
      <w:r>
        <w:t xml:space="preserve">In this context, the emergence of HPLC-QQQ-MS has provided a key solution to these challenges. Combining ultrahigh separation power, exceptional selectivity, and high sensitivity, this technology can become a core platform for the standardized identification of TAs in plants such as </w:t>
      </w:r>
      <w:r>
        <w:rPr>
          <w:i/>
          <w:iCs/>
        </w:rPr>
        <w:t>A.tanguticus</w:t>
      </w:r>
      <w:r>
        <w:t>. Its applications-including constructing characteristic chromatographic profiles, establishing multi-component simultaneous quantification standards, and assessing herb origin traceability and stability - provide a solid foundation for resource evaluation, safe medication use</w:t>
      </w:r>
      <w:r>
        <w:fldChar w:fldCharType="begin"/>
      </w:r>
      <w:r>
        <w:instrText xml:space="preserve"> ADDIN ZOTERO_ITEM CSL_CITATION {"citationID":"dlAsvNah","properties":{"formattedCitation":"\\super 33\\nosupersub{}","plainCitation":"33","noteIndex":0},"citationItems":[{"id":1917,"uris":["http://zotero.org/users/12262172/items/IKIXHZTZ"],"itemData":{"id":1917,"type":"article-journal","abstract":"Globally, metabolic diseases are becoming a major public health problem. Herbal medicines are medicinal materials or preparations derived from plants and are widely used in the treatment of metabolic diseases due to their good curative effects and minimal side effects. Recent studies have shown that gut microbiota plays an important role in the herbal treatment of metabolic diseases. However, the mechanisms involved are still not fully understood. This review provides a timely and comprehensive summary of the interactions between herbal medicines and gut microbiota in metabolic diseases. Mechanisms by which herbal medicines treat metabolic diseases include their effects on the gut microbial composition, the intestinal barrier, inflammation, and microbial metabolites (e.g., short-chain fatty acids and bile acids). Herbal medicines can increase the abundance of beneficial bacteria (e.g.,\n              Akkermansia\n              and\n              Blautia\n              ), reduce the abundance of harmful bacteria (e.g.,\n              Escherichia\n              –\n              Shigella\n              ), protect the intestinal barrier, and alleviate inflammation. In turn, gut microbes can metabolize herbal compounds and thereby increase their bioavailability and bioactivity, in addition to reducing their toxicity. These findings suggest that the therapeutic effects of herbal medicines on metabolic diseases are closely related to their interactions with the gut microbiota. In addition, some methods, and techniques for studying the bidirectional interaction between herbal medicines and gut microbiota are proposed and discussed. The information presented in this review will help with a better understanding of the therapeutic mechanisms of herbal medicines and the key role of gut microbiota.","container-title":"Frontiers in Pharmacology","DOI":"10.3389/fphar.2023.1105405","ISSN":"1663-9812","journalAbbreviation":"Front. Pharmacol.","language":"en","note":"Citations: 35 (SemanticScholar) [2025-11-09]\nTLDR: The findings suggest that the therapeutic effects of herbal medicines on metabolic diseases are closely related to their interactions with the gut microbiota, and some methods, and techniques for studying the bidirectional interaction between herbal medicines and gut microbiota are proposed and discussed.","page":"1105405","source":"DOI.org (Crossref)","title":"The interplay between herbal medicines and gut microbiota in metabolic diseases","volume":"14","author":[{"family":"Wang","given":"Lijie"},{"family":"Gou","given":"Xiaoling"},{"family":"Ding","given":"Yin"},{"family":"Liu","given":"Jingye"},{"family":"Wang","given":"Yue"},{"family":"Wang","given":"Yaqian"},{"family":"Zhang","given":"Jing"},{"family":"Du","given":"Leilei"},{"family":"Peng","given":"Wei"},{"family":"Fan","given":"Gang"}],"issued":{"date-parts":[["2023",3,24]]}}}],"schema":"https://github.com/citation-style-language/schema/raw/master/csl-citation.json"} </w:instrText>
      </w:r>
      <w:r>
        <w:fldChar w:fldCharType="separate"/>
      </w:r>
      <w:r>
        <w:rPr>
          <w:vertAlign w:val="superscript"/>
        </w:rPr>
        <w:t>33</w:t>
      </w:r>
      <w:r>
        <w:fldChar w:fldCharType="end"/>
      </w:r>
      <w:r>
        <w:t>, and standard setting (e.g., pharmacopeia monographs) related to TAs. Similarly, HPLC-QQQ-MS has also demonstrated advantages in rapid and accurate multi-component determination in traditional Chinese medicine and formulas</w:t>
      </w:r>
      <w:r>
        <w:fldChar w:fldCharType="begin"/>
      </w:r>
      <w:r>
        <w:instrText xml:space="preserve"> ADDIN ZOTERO_ITEM CSL_CITATION {"citationID":"a15wIocs","properties":{"formattedCitation":"\\super 34, 35\\nosupersub{}","plainCitation":"34, 35","noteIndex":0},"citationItems":[{"id":994,"uris":["http://zotero.org/users/12262172/items/FNVMJHNX"],"itemData":{"id":994,"type":"article-journal","container-title":"European Journal of Pharmaceutical Sciences","DOI":"10.1016/j.ejps.2017.02.015","ISSN":"09280987","journalAbbreviation":"European Journal of Pharmaceutical Sciences","language":"en","note":"Citations: 4 (SemanticScholar) [2025-08-18]\nTLDR: A rapid and sensitive method for the identification of inhibitors of ACE was developed, and optimized employing HPLC</w:instrText>
      </w:r>
      <w:r>
        <w:rPr>
          <w:rFonts w:hint="eastAsia"/>
        </w:rPr>
        <w:instrText xml:space="preserve">‐</w:instrText>
      </w:r>
      <w:r>
        <w:instrText xml:space="preserve">ESI</w:instrText>
      </w:r>
      <w:r>
        <w:rPr>
          <w:rFonts w:hint="eastAsia"/>
        </w:rPr>
        <w:instrText xml:space="preserve">‐</w:instrText>
      </w:r>
      <w:r>
        <w:instrText xml:space="preserve">QqQQ</w:instrText>
      </w:r>
      <w:r>
        <w:rPr>
          <w:rFonts w:hint="eastAsia"/>
        </w:rPr>
        <w:instrText xml:space="preserve">‐</w:instrText>
      </w:r>
      <w:r>
        <w:instrText xml:space="preserve">MS, and can be used for the Identification of new ACE inhibitors.","page":"182-188","source":"DOI.org (Crossref)","title":"Screening of inhibitors of angiotensin-converting enzyme (ACE) employing high performance liquid chromatography-electrospray ionization triple quadrupole mass spectrometry (HPLC-ESI-QqQ-MS)","volume":"101","author":[{"family":"Musharraf","given":"Syed Ghulam"},{"family":"Bhatti","given":"Muhammad Salman"},{"family":"Choudhary","given":"Muhammad Iqbal"},{"family":"Rahman","given":"Atta-ur"}],"issued":{"date-parts":[["2017",4]]}}},{"id":1951,"uris":["http://zotero.org/users/12262172/items/KNB2ZTIR"],"itemData":{"id":1951,"type":"article-journal","container-title":"Analytical Methods","DOI":"10.1039/c7ay00259a","issue":"23","note":"TLDR: The present integrated qualitative and quantitative assessment of YGP provides a good example of quality evaluation strategy to assess Chinese medicine formulas.\nCitations: 9 (Crossref) [2025-11-09]\nCitations: 10 (SemanticScholar) [2025-11-09]","page":"3485-3496","source":"COinS","title":"Integrating qualitative and quantitative assessments of yougui pill, an effective traditional Chinese medicine, by HPLC-LTQ-orbitrap-MSn and UPLC-QqQ-MS/MS†","volume":"9","author":[{"family":"Liu","given":"Haolong"},{"family":"Qiu","given":"Feng"},{"family":"Bian","given":"Baolin"},{"family":"Yang","given":"Xinwei"},{"family":"Zou","given":"Haiyan"},{"family":"Zhao","given":"Hui"},{"family":"Chen","given":"Zhenzhen"},{"family":"Wang","given":"Qingsong"},{"family":"Zhao","given":"Haiyu"},{"family":"Wang","given":"Lei"}],"issued":{"date-parts":[["2017"]]}}}],"schema":"https://github.com/citation-style-language/schema/raw/master/csl-citation.json"} </w:instrText>
      </w:r>
      <w:r>
        <w:fldChar w:fldCharType="separate"/>
      </w:r>
      <w:r>
        <w:rPr>
          <w:vertAlign w:val="superscript"/>
        </w:rPr>
        <w:t>34,35</w:t>
      </w:r>
      <w:r>
        <w:fldChar w:fldCharType="end"/>
      </w:r>
      <w:r>
        <w:t>.</w:t>
      </w:r>
    </w:p>
    <w:p w14:paraId="0C16B0A6">
      <w:pPr>
        <w:spacing w:line="0" w:lineRule="atLeast"/>
      </w:pPr>
    </w:p>
    <w:p w14:paraId="5D83952A">
      <w:pPr>
        <w:spacing w:line="0" w:lineRule="atLeast"/>
      </w:pPr>
      <w:r>
        <w:t xml:space="preserve">Specifically, the technical advantages of HPLC-QQQ-MS are manifested in several aspects. First, the multiple reaction monitoring (MRM) mode enables precise selection of parent ion–characteristic fragment ion transitions (e.g., m/z 290 to 124 for atropine, 304 to 138 m/z for scopolamine), simultaneous determination of TAs in </w:t>
      </w:r>
      <w:r>
        <w:rPr>
          <w:i/>
          <w:iCs/>
        </w:rPr>
        <w:t>A.tanguticus</w:t>
      </w:r>
      <w:r>
        <w:t xml:space="preserve"> demonstrated recoveries of 97–104% with precision CV &lt;5%. Second, a channel switching capability exceeding 850 transitions per second supports synchronous detection of multiple structural analogs</w:t>
      </w:r>
      <w:r>
        <w:rPr>
          <w:lang w:eastAsia="zh-CN"/>
        </w:rPr>
        <w:t xml:space="preserve">, </w:t>
      </w:r>
      <w:r>
        <w:t xml:space="preserve">such as </w:t>
      </w:r>
      <w:r>
        <w:rPr>
          <w:lang w:eastAsia="zh-CN"/>
        </w:rPr>
        <w:t>a</w:t>
      </w:r>
      <w:r>
        <w:t xml:space="preserve">nisodamine, </w:t>
      </w:r>
      <w:r>
        <w:rPr>
          <w:lang w:eastAsia="zh-CN"/>
        </w:rPr>
        <w:t>s</w:t>
      </w:r>
      <w:r>
        <w:t xml:space="preserve">copolamine, </w:t>
      </w:r>
      <w:r>
        <w:rPr>
          <w:lang w:eastAsia="zh-CN"/>
        </w:rPr>
        <w:t>h</w:t>
      </w:r>
      <w:r>
        <w:t>yoscyamine</w:t>
      </w:r>
      <w:r>
        <w:rPr>
          <w:lang w:eastAsia="zh-CN"/>
        </w:rPr>
        <w:t xml:space="preserve">, </w:t>
      </w:r>
      <w:r>
        <w:t xml:space="preserve">without repeated injections, while enabling confident distinction of isomers via retention time and characteristic fragment matching. Analysis of root, stem, and leaf samples of </w:t>
      </w:r>
      <w:r>
        <w:rPr>
          <w:i/>
          <w:iCs/>
        </w:rPr>
        <w:t>A.tanguticus</w:t>
      </w:r>
      <w:r>
        <w:t xml:space="preserve"> demonstrated satisfactory chromatographic resolution (Rs &gt; 1.5) for all target alkaloids, indicating that the method effectively mitigates interference from the complex mixture of secondary metabolites present in plant tissues. Third, the exceptional sensitivity and high selectivity of the proposed HPLC-QQQ-MS method eliminate the need for laborious concentration and enrichment steps typically associated with conventional HPLC. Samples only require methanol ultrasonic extraction, followed by supernatant collection and dilution, to achieve the quantitative analysis of target components. This Dilution detection workflow, validated by matrix-matched standards, removes derivatisation or solid-phase cleanup entirely and shortens the total analytical cycle by more than 50%. It should be noted that the sample must be precisely diluted and brought to the final volume in a volumetric flask; although this affords trace-level quantification of alkaloids thanks to the method's extremely high sensitivity, analysis of large-volume batches demands vigilant monitoring of instrument status to prevent flow-path clogging. Fourth, product ion scanning and neutral loss scanning modes leverage typical fragmentation patterns of the tropane ring to aid in structural elucidation of novel analogs, integrating targeted quantification and structural characterization</w:t>
      </w:r>
      <w:r>
        <w:fldChar w:fldCharType="begin"/>
      </w:r>
      <w:r>
        <w:instrText xml:space="preserve"> ADDIN ZOTERO_ITEM CSL_CITATION {"citationID":"jigdD2sD","properties":{"formattedCitation":"\\super 36, 37\\nosupersub{}","plainCitation":"36, 37","noteIndex":0},"citationItems":[{"id":1954,"uris":["http://zotero.org/users/12262172/items/H69HDICP"],"itemData":{"id":1954,"type":"article-journal","abstract":"Plant</w:instrText>
      </w:r>
      <w:r>
        <w:rPr>
          <w:rFonts w:hint="eastAsia"/>
        </w:rPr>
        <w:instrText xml:space="preserve">‐</w:instrText>
      </w:r>
      <w:r>
        <w:instrText xml:space="preserve">specialized metabolism is complex, with frequent examples of highly branched biosynthetic pathways, and shared chemical intermediates. As such, many plant</w:instrText>
      </w:r>
      <w:r>
        <w:rPr>
          <w:rFonts w:hint="eastAsia"/>
        </w:rPr>
        <w:instrText xml:space="preserve">‐</w:instrText>
      </w:r>
      <w:r>
        <w:instrText xml:space="preserve">specialized metabolic networks are poorly characterized.The N</w:instrText>
      </w:r>
      <w:r>
        <w:rPr>
          <w:rFonts w:hint="eastAsia"/>
        </w:rPr>
        <w:instrText xml:space="preserve">‐</w:instrText>
      </w:r>
      <w:r>
        <w:instrText xml:space="preserve">methyl </w:instrText>
      </w:r>
      <w:r>
        <w:rPr>
          <w:rFonts w:hint="eastAsia"/>
        </w:rPr>
        <w:instrText xml:space="preserve">Δ</w:instrText>
      </w:r>
      <w:r>
        <w:instrText xml:space="preserve">1</w:instrText>
      </w:r>
      <w:r>
        <w:rPr>
          <w:rFonts w:hint="eastAsia"/>
        </w:rPr>
        <w:instrText xml:space="preserve">‐</w:instrText>
      </w:r>
      <w:r>
        <w:instrText xml:space="preserve">pyrrolinium cation is a simple pyrrolidine alkaloid and precursor of pharmacologically important tropane alkaloids. Silencing of pyrrolidine ketide synthase (AbPyKS) in the roots of Atropa belladonna (Deadly Nightshade) reduces tropane alkaloid abundance and causes high N</w:instrText>
      </w:r>
      <w:r>
        <w:rPr>
          <w:rFonts w:hint="eastAsia"/>
        </w:rPr>
        <w:instrText xml:space="preserve">‐</w:instrText>
      </w:r>
      <w:r>
        <w:instrText xml:space="preserve">methyl </w:instrText>
      </w:r>
      <w:r>
        <w:rPr>
          <w:rFonts w:hint="eastAsia"/>
        </w:rPr>
        <w:instrText xml:space="preserve">Δ</w:instrText>
      </w:r>
      <w:r>
        <w:instrText xml:space="preserve">1</w:instrText>
      </w:r>
      <w:r>
        <w:rPr>
          <w:rFonts w:hint="eastAsia"/>
        </w:rPr>
        <w:instrText xml:space="preserve">‐</w:instrText>
      </w:r>
      <w:r>
        <w:instrText xml:space="preserve">pyrrolinium cation accumulation. The consequences of this metabolic shift on alkaloid metabolism are unknown. In this study, we utilized discovery metabolomics coupled with AbPyKS silencing to reveal major changes in the root alkaloid metabolome of A. belladonna.We discovered and annotated almost 40 pyrrolidine alkaloids that increase when AbPyKS activity is reduced. Suppression of phenyllactate biosynthesis, combined with metabolic engineering in planta, and chemical synthesis indicates several of these pyrrolidines share a core structure formed through the nonenzymatic Mannich</w:instrText>
      </w:r>
      <w:r>
        <w:rPr>
          <w:rFonts w:hint="eastAsia"/>
        </w:rPr>
        <w:instrText xml:space="preserve">‐</w:instrText>
      </w:r>
      <w:r>
        <w:instrText xml:space="preserve">like decarboxylative condensation of the N</w:instrText>
      </w:r>
      <w:r>
        <w:rPr>
          <w:rFonts w:hint="eastAsia"/>
        </w:rPr>
        <w:instrText xml:space="preserve">‐</w:instrText>
      </w:r>
      <w:r>
        <w:instrText xml:space="preserve">methyl </w:instrText>
      </w:r>
      <w:r>
        <w:rPr>
          <w:rFonts w:hint="eastAsia"/>
        </w:rPr>
        <w:instrText xml:space="preserve">Δ</w:instrText>
      </w:r>
      <w:r>
        <w:instrText xml:space="preserve">1</w:instrText>
      </w:r>
      <w:r>
        <w:rPr>
          <w:rFonts w:hint="eastAsia"/>
        </w:rPr>
        <w:instrText xml:space="preserve">‐</w:instrText>
      </w:r>
      <w:r>
        <w:instrText xml:space="preserve">pyrrolinium cation with 2</w:instrText>
      </w:r>
      <w:r>
        <w:rPr>
          <w:rFonts w:hint="eastAsia"/>
        </w:rPr>
        <w:instrText xml:space="preserve">‐</w:instrText>
      </w:r>
      <w:r>
        <w:instrText xml:space="preserve">O</w:instrText>
      </w:r>
      <w:r>
        <w:rPr>
          <w:rFonts w:hint="eastAsia"/>
        </w:rPr>
        <w:instrText xml:space="preserve">‐</w:instrText>
      </w:r>
      <w:r>
        <w:instrText xml:space="preserve">malonylphenyllactate. Decoration of this core scaffold through hydroxylation and glycosylation leads to mono</w:instrText>
      </w:r>
      <w:r>
        <w:rPr>
          <w:rFonts w:hint="eastAsia"/>
        </w:rPr>
        <w:instrText xml:space="preserve">‐</w:instrText>
      </w:r>
      <w:r>
        <w:instrText xml:space="preserve"> and dipyrrolidine alkaloid diversity.This study reveals the previously unknown complexity of the A. belladonna root metabolome and creates a foundation for future investigation into the biosynthesis, function, and potential utility of these novel alkaloids.","container-title":"The New Phytologist","DOI":"10.1111/nph.18651","ISSN":"0028-646X","issue":"5","journalAbbreviation":"New Phytol","note":"TLDR: This study reveals the previously unknown complexity of the A. belladonna root metabolome and creates a foundation for future investigation into the biosynthesis, function, and potential utility of these novel alkaloids.\nCitations: 9 (Crossref) [2025-11-09]\nCitations: 6 (SemanticScholar) [2025-11-09]","page":"1810-1825","PMID":"36451537","PMCID":"PMC10107824","source":"PubMed Central","title":"Redirecting tropane alkaloid metabolism reveals pyrrolidine alkaloid diversity in atropa belladonna","volume":"237","author":[{"family":"Parks","given":"Hannah M."},{"family":"Cinelli","given":"Maris A."},{"family":"Bedewitz","given":"Matthew A."},{"family":"Grabar","given":"Josh M."},{"family":"Hurney","given":"Steven M."},{"family":"Walker","given":"Kevin D."},{"family":"Jones","given":"A. Daniel"},{"family":"Barry","given":"Cornelius S."}],"issued":{"date-parts":[["2023",3]]}}},{"id":1952,"uris":["http://zotero.org/users/12262172/items/F9QGD48Y"],"itemData":{"id":1952,"type":"article-journal","abstract":"Triterpenoid saponins (TSs) are a unique class of high molecular weight glycosides and have been frequently used in cosmetic and phytotherapy industry. There is a great need to comprehensively profile these plant metabolites for studying their functions. In the present study, a novel adducts targeted neutral loss (NL), triggered enhanced resolution (ER) and enhanced product ion (EPI) scanning approach were described for TSs profiling using a triple quadrupole linear ion trap mass spectrometry. This approach circumvented the disadvantages of poor glycosidic bond cleavage of TSs by monitoring the NH3 (NL17) and HCOOH (NL46) loss of their abundant ammonium and formate adducts, respectively. The sugar-loss independent NL scanning served as a sensitive survey scan and triggered information-dependent ER and EPI scans to increase peak assignment confidence. NL17 was superior to NL46 for TSs characterization due to the better fragmentation of ammonium adducts than formate adducts. For those TSs undetectable by NL17, precursor ion (PI) scan for sapogenin fragments could be used to screen out non-adducted TSs. The NL/PI-ER-EPI approach was applied for TSs profiling in Astragali Radix, a famous medicinal and nutritional plant widely used in Asian countries and United States. In total, 136 TSs were detected while previous research using high resolution mass spectrometry based full scan only detected 22 TSs in this herb.","container-title":"Analytica Chimica Acta","DOI":"10.1016/j.aca.2014.02.019","ISSN":"1873-4324","journalAbbreviation":"Anal Chim Acta","language":"eng","note":"TLDR: A novel adducts targeted neutral loss (NL), triggered enhanced resolution (ER) and enhanced product ion (EPI) scanning approach were described for TSs profiling using a triple quadrupole linear ion trap mass spectrometry in Astragali Radix.\nCitations: 38 (Crossref) [2025-11-09]\nCitations: 35 (SemanticScholar) [2025-11-09]","page":"56-64","PMID":"24636411","source":"PubMed","title":"Triterpenoid saponins profiling by adducts-targeted neutral loss triggered enhanced resolution and product ion scanning using triple quadrupole linear ion trap mass spectrometry","volume":"819","author":[{"family":"Yan","given":"Zhixiang"},{"family":"Lin","given":"Ge"},{"family":"Ye","given":"Yang"},{"family":"Wang","given":"Yitao"},{"family":"Yan","given":"Ru"}],"issued":{"date-parts":[["2014",3,28]]}}}],"schema":"https://github.com/citation-style-language/schema/raw/master/csl-citation.json"} </w:instrText>
      </w:r>
      <w:r>
        <w:fldChar w:fldCharType="separate"/>
      </w:r>
      <w:r>
        <w:rPr>
          <w:vertAlign w:val="superscript"/>
        </w:rPr>
        <w:t>36,37</w:t>
      </w:r>
      <w:r>
        <w:fldChar w:fldCharType="end"/>
      </w:r>
      <w:r>
        <w:t>.</w:t>
      </w:r>
    </w:p>
    <w:p w14:paraId="1BFE4354">
      <w:pPr>
        <w:spacing w:line="0" w:lineRule="atLeast"/>
      </w:pPr>
    </w:p>
    <w:p w14:paraId="0469A38B">
      <w:pPr>
        <w:spacing w:line="0" w:lineRule="atLeast"/>
      </w:pPr>
      <w:r>
        <w:t>Despite these advantages, the application of HPLC-QQQ-MS faces three major challenges. First, matrix effects - ion suppression caused by co-eluting compounds in plant or biological samples - may introduce quantitative bias, necessitating selective clean-up (e.g., molecularly imprinted solid-phase extraction, MISPE), stable isotope-labeled internal standards, or matrix-matched calibration for compensation</w:t>
      </w:r>
      <w:r>
        <w:fldChar w:fldCharType="begin"/>
      </w:r>
      <w:r>
        <w:instrText xml:space="preserve"> ADDIN ZOTERO_ITEM CSL_CITATION {"citationID":"cu7uSK4D","properties":{"formattedCitation":"\\super 38\\nosupersub{}","plainCitation":"38","noteIndex":0},"citationItems":[{"id":1964,"uris":["http://zotero.org/users/12262172/items/LXLCEAJ8"],"itemData":{"id":1964,"type":"article-journal","abstract":"Endocrine-disruptor compounds (EDCs) can mimic natural hormones and produce adverse effects in the endocrine functions by interacting with estrogen receptors. EDCs include both natural and synthetic chemicals, such as hormones, personal care products, surfactants, and flame retardants, among others. EDCs are characterised by their ubiquitous presence at trace-level concentrations and their wide diversity. Since the discovery of the adverse effects of these pollutants on wildlife and human health, analytical methods have been developed for their qualitative and quantitative determination. In particular, mass-based analytical methods show excellent sensitivity and precision for their quantification. This paper reviews recently published analytical methodologies for the sample preparation and for the determination of these compounds in different environmental and biological matrices by liquid chromatography coupled with mass spectrometry. The various sample preparation techniques are compared and discussed. In addition, recent developments and advances in this field are presented.","container-title":"BioMed Research International","DOI":"10.1155/2013/674838","ISSN":"2314-6141","journalAbbreviation":"Biomed Res Int","language":"eng","note":"TLDR: This paper reviews recently published analytical methodologies for the sample preparation and for the determination of these compounds in different environmental and biological matrices by liquid chromatography coupled with mass spectrometry.\nCitations: 60 (Crossref) [2025-11-09]\nCitations: 89 (SemanticScholar) [2025-11-09]","page":"674838","PMID":"23738329","PMCID":"PMC3662172","source":"PubMed","title":"Analytical methodologies for the determination of endocrine disrupting compounds in biological and environmental samples","volume":"2013","author":[{"family":"Sosa-Ferrera","given":"Zoraida"},{"family":"Mahugo-Santana","given":"Cristina"},{"family":"Santana-Rodríguez","given":"José Juan"}],"issued":{"date-parts":[["2013"]]}}}],"schema":"https://github.com/citation-style-language/schema/raw/master/csl-citation.json"} </w:instrText>
      </w:r>
      <w:r>
        <w:fldChar w:fldCharType="separate"/>
      </w:r>
      <w:r>
        <w:rPr>
          <w:vertAlign w:val="superscript"/>
        </w:rPr>
        <w:t>38</w:t>
      </w:r>
      <w:r>
        <w:fldChar w:fldCharType="end"/>
      </w:r>
      <w:r>
        <w:t>. Second, method development complexity: MRM parameters (e.g., collision energy, dwell time) must be individually optimized for each class of compounds, and the accuracy of identifying novel TAs is limited without reference standards or high-resolution fragment databases</w:t>
      </w:r>
      <w:r>
        <w:fldChar w:fldCharType="begin"/>
      </w:r>
      <w:r>
        <w:instrText xml:space="preserve"> ADDIN ZOTERO_ITEM CSL_CITATION {"citationID":"jNWqVV16","properties":{"formattedCitation":"\\super 39\\nosupersub{}","plainCitation":"39","noteIndex":0},"citationItems":[{"id":1957,"uris":["http://zotero.org/users/12262172/items/7IDZ74XW"],"itemData":{"id":1957,"type":"article-journal","abstract":"Alkyltrimethylammonium compounds (ATMACs), dialkyldimethylammonium compounds (DADMACs) and benzylalkyldimethylethylammonium compounds (BACs) are quaternary alkylammonium compounds (QAAC), which are released into the environment in large quantities after their use in cleaning agents and disinfectants. Despite their potential role as selective agents promoting resistance against QAACs as well as antibiotics, there is a lack of data for QAACs in soil due to the lack of sensitive analytical methods. Therefore, we present a robust and fast method for the extraction and quantification of concentrations of these compounds in soil and sewage sludge. The method is based on ultrasonic extraction (USE) with a mixture of acetonitrile and HCl followed by a solid phase extraction (SPE) cleaning step and a subsequent quantification of concentrations with high performance liquid chromatography with mass spectrometry (HPLC-MS/MS) in multi mass reaction mode (MRM). The proposed method is suitable for the quantification of ATMACs (chain length C-8 to C16), BACs (C-8 to C-18) and DADMACs (C-8 to C-16). The achieved limits of quantification (LOQ) range from 0.1 μg kg-1 to 2.1 μg kg-1. The recovery rates of spiked soil samples for non-deuterated homologues were between 47% and 57%. The analysis of sewage sludge samples and soil samples revealed that BAC-C12 was the most abundant QAAC with concentrations up to 38600 μg kg-1 in sewage sludge and up to 81 μg kg-1 in a Mexican soil that was irrigated with wastewater. Overall, the presented methods open perspectives for effectively studying fate and effects of QAACs in soils.","container-title":"PLOS ONE","DOI":"10.1371/journal.pone.0237020","ISSN":"1932-6203","issue":"8","journalAbbreviation":"PLoS ONE","language":"en","note":"Citations: 24 (SemanticScholar) [2025-11-09]\nTLDR: The method is based on ultrasonic extraction with a mixture of acetonitrile and HCl followed by a solid phase extraction (SPE) cleaning step and a subsequent quantification of concentrations with high performance liquid chromatography with mass spectrometry (HPLC-MS/MS) in multi mass reaction mode (MRM).","page":"e0237020","source":"DOI.org (Crossref)","title":"A fast and robust method for the extraction and analysis of quaternary alkyl ammonium compounds from soil and sewage sludge","volume":"15","author":[{"family":"Heyde","given":"Benjamin Justus"},{"family":"Barthel","given":"Anne"},{"family":"Siemens","given":"Jan"},{"family":"Mulder","given":"Ines"}],"editor":[{"family":"Singer","given":"Andrew C."}],"issued":{"date-parts":[["2020",8,4]]}},"label":"page"}],"schema":"https://github.com/citation-style-language/schema/raw/master/csl-citation.json"} </w:instrText>
      </w:r>
      <w:r>
        <w:fldChar w:fldCharType="separate"/>
      </w:r>
      <w:r>
        <w:rPr>
          <w:vertAlign w:val="superscript"/>
        </w:rPr>
        <w:t>39</w:t>
      </w:r>
      <w:r>
        <w:fldChar w:fldCharType="end"/>
      </w:r>
      <w:r>
        <w:t>. Third, equipment and maintenance barriers: high instrument acquisition and operational costs, requirement for specialized maintenance, and stringent demands on sample cleanliness for the ion source limit its adoption in basic-level laboratories.</w:t>
      </w:r>
    </w:p>
    <w:p w14:paraId="63B3BD8C">
      <w:pPr>
        <w:spacing w:line="0" w:lineRule="atLeast"/>
      </w:pPr>
      <w:bookmarkStart w:id="2" w:name="OLE_LINK4"/>
    </w:p>
    <w:p w14:paraId="017B8A97">
      <w:pPr>
        <w:spacing w:line="0" w:lineRule="atLeast"/>
      </w:pPr>
      <w:r>
        <w:t xml:space="preserve">In conclusion, although challenges remain in handling extremely complex matrices, distinguishing highly similar isomers, identifying unknown components, and overcoming cost barriers, continued optimization of sample preparation, chromatographic and mass spectrometric conditions, along with integration of advanced technologies such as high-resolution mass spectrometry, will further solidify the leading role of HPLC-QQQ-MS in the standardization of TAs and other complex active components in traditional medicines. </w:t>
      </w:r>
      <w:bookmarkEnd w:id="2"/>
      <w:r>
        <w:t>It is poised to provide strong support for advancing the modernization and internationalization of quality control in herbal medicine.</w:t>
      </w:r>
    </w:p>
    <w:p w14:paraId="7B807774">
      <w:pPr>
        <w:spacing w:line="0" w:lineRule="atLeast"/>
      </w:pPr>
    </w:p>
    <w:p w14:paraId="0A738A9E">
      <w:pPr>
        <w:spacing w:line="0" w:lineRule="atLeast"/>
      </w:pPr>
      <w:r>
        <w:t xml:space="preserve">In this study, we established an HPLC-QQQ-MS method for the rapid, precise, and sensitive quantification of tropane alkaloids (TAs) in </w:t>
      </w:r>
      <w:r>
        <w:rPr>
          <w:i/>
          <w:iCs/>
        </w:rPr>
        <w:t>A.tanguticus</w:t>
      </w:r>
      <w:r>
        <w:t xml:space="preserve">. The method demonstrates excellent separation and detection capabilities, effectively overcoming interference from complex matrices in plant tissues. It provides a reliable technical approach for the quantitative analysis of bioactive components in this Tibetan medicinal material, thereby supporting quality control, pharmacological research, and the further development of A. </w:t>
      </w:r>
      <w:r>
        <w:rPr>
          <w:i/>
          <w:iCs/>
        </w:rPr>
        <w:t>tanguticus</w:t>
      </w:r>
      <w:r>
        <w:t>-based products.</w:t>
      </w:r>
    </w:p>
    <w:p w14:paraId="0D997697">
      <w:pPr>
        <w:spacing w:line="0" w:lineRule="atLeast"/>
      </w:pPr>
    </w:p>
    <w:p w14:paraId="53673241">
      <w:pPr>
        <w:spacing w:line="0" w:lineRule="atLeast"/>
      </w:pPr>
      <w:r>
        <w:rPr>
          <w:b/>
        </w:rPr>
        <w:t xml:space="preserve">ACKNOWLEDGMENTS: </w:t>
      </w:r>
    </w:p>
    <w:p w14:paraId="38FFD8AE">
      <w:pPr>
        <w:spacing w:line="0" w:lineRule="atLeast"/>
      </w:pPr>
      <w:r>
        <w:t>This work is supported by Sichuan Provincial Administration of Traditional Chinese Medicine (No. 2024MS562) and Xinglin Talent Program of Chengdu University of TCM (No.</w:t>
      </w:r>
      <w:r>
        <w:rPr>
          <w:b/>
          <w:bCs/>
        </w:rPr>
        <w:t xml:space="preserve"> </w:t>
      </w:r>
      <w:r>
        <w:t>MPRC2022035). We really appreciated the support from the Innovative Institute of Chinese Medicine and Pharmacy, Chengdu University of Traditional Chinese Medicine.</w:t>
      </w:r>
    </w:p>
    <w:p w14:paraId="4A2868B9">
      <w:pPr>
        <w:spacing w:line="0" w:lineRule="atLeast"/>
        <w:rPr>
          <w:b/>
        </w:rPr>
      </w:pPr>
    </w:p>
    <w:p w14:paraId="0B464F10">
      <w:pPr>
        <w:spacing w:line="0" w:lineRule="atLeast"/>
      </w:pPr>
      <w:r>
        <w:rPr>
          <w:b/>
        </w:rPr>
        <w:t xml:space="preserve">DISCLOSURES: </w:t>
      </w:r>
    </w:p>
    <w:p w14:paraId="2353C1BA">
      <w:pPr>
        <w:spacing w:line="0" w:lineRule="atLeast"/>
      </w:pPr>
      <w:r>
        <w:t>The authors have no conflicts of interest to disclose.</w:t>
      </w:r>
    </w:p>
    <w:p w14:paraId="5F3BB6CA">
      <w:pPr>
        <w:spacing w:line="0" w:lineRule="atLeast"/>
      </w:pPr>
    </w:p>
    <w:p w14:paraId="10E04265">
      <w:pPr>
        <w:spacing w:line="0" w:lineRule="atLeast"/>
      </w:pPr>
      <w:r>
        <w:rPr>
          <w:b/>
        </w:rPr>
        <w:t>REFERENCES:</w:t>
      </w:r>
      <w:r>
        <w:t xml:space="preserve"> </w:t>
      </w:r>
    </w:p>
    <w:p w14:paraId="11E23C31">
      <w:pPr>
        <w:widowControl/>
        <w:numPr>
          <w:ilvl w:val="0"/>
          <w:numId w:val="2"/>
        </w:numPr>
        <w:spacing w:line="0" w:lineRule="atLeast"/>
        <w:ind w:left="0" w:firstLine="0"/>
        <w:rPr>
          <w:rFonts w:eastAsia="Times New Roman"/>
        </w:rPr>
      </w:pPr>
      <w:r>
        <w:rPr>
          <w:rFonts w:eastAsia="Times New Roman"/>
        </w:rPr>
        <w:t xml:space="preserve">Ji, P., Yang, X., Zhao, X. Application of metabolomics in quality control of traditional Chinese medicines: a review. </w:t>
      </w:r>
      <w:r>
        <w:rPr>
          <w:rFonts w:eastAsia="Times New Roman"/>
          <w:i/>
          <w:iCs/>
        </w:rPr>
        <w:t>Front Plant Sci.</w:t>
      </w:r>
      <w:r>
        <w:rPr>
          <w:rFonts w:eastAsia="Times New Roman"/>
        </w:rPr>
        <w:t xml:space="preserve"> </w:t>
      </w:r>
      <w:r>
        <w:rPr>
          <w:rFonts w:eastAsia="Times New Roman"/>
          <w:b/>
          <w:bCs/>
        </w:rPr>
        <w:t>15</w:t>
      </w:r>
      <w:r>
        <w:rPr>
          <w:rFonts w:eastAsia="Times New Roman"/>
        </w:rPr>
        <w:t>, 1463666 (2024).</w:t>
      </w:r>
    </w:p>
    <w:p w14:paraId="2F2BE357">
      <w:pPr>
        <w:widowControl/>
        <w:numPr>
          <w:ilvl w:val="0"/>
          <w:numId w:val="2"/>
        </w:numPr>
        <w:spacing w:line="0" w:lineRule="atLeast"/>
        <w:ind w:left="0" w:firstLine="0"/>
        <w:rPr>
          <w:rFonts w:eastAsia="Times New Roman"/>
        </w:rPr>
      </w:pPr>
      <w:r>
        <w:rPr>
          <w:rFonts w:eastAsia="Times New Roman"/>
        </w:rPr>
        <w:t xml:space="preserve">Li, S.-S. et al. Phytochemical variation among the traditional Chinese medicine mu dan pi from Paeonia suffruticosa (tree peony). </w:t>
      </w:r>
      <w:r>
        <w:rPr>
          <w:rFonts w:eastAsia="Times New Roman"/>
          <w:i/>
          <w:iCs/>
        </w:rPr>
        <w:t>Phytochemistry.</w:t>
      </w:r>
      <w:r>
        <w:rPr>
          <w:rFonts w:eastAsia="Times New Roman"/>
        </w:rPr>
        <w:t xml:space="preserve"> </w:t>
      </w:r>
      <w:r>
        <w:rPr>
          <w:rFonts w:eastAsia="Times New Roman"/>
          <w:b/>
          <w:bCs/>
        </w:rPr>
        <w:t>146</w:t>
      </w:r>
      <w:r>
        <w:rPr>
          <w:rFonts w:eastAsia="Times New Roman"/>
        </w:rPr>
        <w:t>, 16–24 (2018).</w:t>
      </w:r>
    </w:p>
    <w:p w14:paraId="41BD5BA5">
      <w:pPr>
        <w:widowControl/>
        <w:numPr>
          <w:ilvl w:val="0"/>
          <w:numId w:val="2"/>
        </w:numPr>
        <w:spacing w:line="0" w:lineRule="atLeast"/>
        <w:ind w:left="0" w:firstLine="0"/>
        <w:rPr>
          <w:rFonts w:eastAsia="Times New Roman"/>
        </w:rPr>
      </w:pPr>
      <w:r>
        <w:rPr>
          <w:rFonts w:eastAsia="Times New Roman"/>
        </w:rPr>
        <w:t xml:space="preserve">Wang, N. et al. Pinelliae rhizoma alleviated acute lung injury induced by lipopolysaccharide via suppressing endoplasmic reticulum stress-mediated NLRP3 inflammasome. </w:t>
      </w:r>
      <w:r>
        <w:rPr>
          <w:rFonts w:eastAsia="Times New Roman"/>
          <w:i/>
          <w:iCs/>
        </w:rPr>
        <w:t>Front Pharmacol.</w:t>
      </w:r>
      <w:r>
        <w:rPr>
          <w:rFonts w:eastAsia="Times New Roman"/>
        </w:rPr>
        <w:t xml:space="preserve"> </w:t>
      </w:r>
      <w:r>
        <w:rPr>
          <w:rFonts w:eastAsia="Times New Roman"/>
          <w:b/>
          <w:bCs/>
        </w:rPr>
        <w:t>13</w:t>
      </w:r>
      <w:r>
        <w:rPr>
          <w:rFonts w:eastAsia="Times New Roman"/>
        </w:rPr>
        <w:t>, 883865 (2022).</w:t>
      </w:r>
    </w:p>
    <w:p w14:paraId="18719705">
      <w:pPr>
        <w:widowControl/>
        <w:numPr>
          <w:ilvl w:val="0"/>
          <w:numId w:val="2"/>
        </w:numPr>
        <w:spacing w:line="0" w:lineRule="atLeast"/>
        <w:ind w:left="0" w:firstLine="0"/>
        <w:rPr>
          <w:rFonts w:eastAsia="Times New Roman"/>
        </w:rPr>
      </w:pPr>
      <w:r>
        <w:rPr>
          <w:rFonts w:eastAsia="Times New Roman"/>
        </w:rPr>
        <w:t xml:space="preserve">Pughaih, T. et al. </w:t>
      </w:r>
      <w:r>
        <w:rPr>
          <w:rFonts w:eastAsia="Times New Roman"/>
          <w:i/>
          <w:iCs/>
        </w:rPr>
        <w:t>Tropane Alkaloids: Sources, Chemistry, Pharmacology and Biotechnology</w:t>
      </w:r>
      <w:r>
        <w:rPr>
          <w:rFonts w:eastAsia="Times New Roman"/>
        </w:rPr>
        <w:t>. Springer Nature, Singapore (2025).</w:t>
      </w:r>
    </w:p>
    <w:p w14:paraId="58BB58A2">
      <w:pPr>
        <w:widowControl/>
        <w:numPr>
          <w:ilvl w:val="0"/>
          <w:numId w:val="2"/>
        </w:numPr>
        <w:spacing w:line="0" w:lineRule="atLeast"/>
        <w:ind w:left="0" w:firstLine="0"/>
        <w:rPr>
          <w:rFonts w:eastAsia="Times New Roman"/>
        </w:rPr>
      </w:pPr>
      <w:r>
        <w:rPr>
          <w:rFonts w:eastAsia="Times New Roman"/>
        </w:rPr>
        <w:t xml:space="preserve">Chen, C., Wang, B., Xiao, Y., Xiong, F., Zhou, G. Geographical origin discrimination of Anisodus tanguticus (Maxim.): chemometrics methods applied to ICP-OES analysis. </w:t>
      </w:r>
      <w:r>
        <w:rPr>
          <w:rFonts w:eastAsia="Times New Roman"/>
          <w:i/>
          <w:iCs/>
        </w:rPr>
        <w:t>Arab J Chem.</w:t>
      </w:r>
      <w:r>
        <w:rPr>
          <w:rFonts w:eastAsia="Times New Roman"/>
        </w:rPr>
        <w:t xml:space="preserve"> </w:t>
      </w:r>
      <w:r>
        <w:rPr>
          <w:rFonts w:eastAsia="Times New Roman"/>
          <w:b/>
          <w:bCs/>
        </w:rPr>
        <w:t>17</w:t>
      </w:r>
      <w:r>
        <w:rPr>
          <w:rFonts w:eastAsia="Times New Roman"/>
        </w:rPr>
        <w:t xml:space="preserve"> (5), 105730 (2024).</w:t>
      </w:r>
    </w:p>
    <w:p w14:paraId="26441313">
      <w:pPr>
        <w:widowControl/>
        <w:numPr>
          <w:ilvl w:val="0"/>
          <w:numId w:val="2"/>
        </w:numPr>
        <w:spacing w:line="0" w:lineRule="atLeast"/>
        <w:ind w:left="0" w:firstLine="0"/>
        <w:rPr>
          <w:rFonts w:eastAsia="Times New Roman"/>
        </w:rPr>
      </w:pPr>
      <w:r>
        <w:rPr>
          <w:rFonts w:eastAsia="Times New Roman"/>
        </w:rPr>
        <w:t xml:space="preserve">Cardillo, R. et al. Scopolamine, anisodamine and hyoscyamine production by Brugmansia candida hairy root cultures in bioreactors. </w:t>
      </w:r>
      <w:r>
        <w:rPr>
          <w:rFonts w:eastAsia="Times New Roman"/>
          <w:i/>
          <w:iCs/>
        </w:rPr>
        <w:t>Process Biochem.</w:t>
      </w:r>
      <w:r>
        <w:rPr>
          <w:rFonts w:eastAsia="Times New Roman"/>
        </w:rPr>
        <w:t xml:space="preserve"> </w:t>
      </w:r>
      <w:r>
        <w:rPr>
          <w:rFonts w:eastAsia="Times New Roman"/>
          <w:b/>
          <w:bCs/>
        </w:rPr>
        <w:t>45</w:t>
      </w:r>
      <w:r>
        <w:rPr>
          <w:rFonts w:eastAsia="Times New Roman"/>
        </w:rPr>
        <w:t xml:space="preserve"> (9), 1577 1581 (2010).</w:t>
      </w:r>
    </w:p>
    <w:p w14:paraId="1C9C79AD">
      <w:pPr>
        <w:widowControl/>
        <w:numPr>
          <w:ilvl w:val="0"/>
          <w:numId w:val="2"/>
        </w:numPr>
        <w:spacing w:line="0" w:lineRule="atLeast"/>
        <w:ind w:left="0" w:firstLine="0"/>
        <w:rPr>
          <w:rFonts w:eastAsia="Times New Roman"/>
        </w:rPr>
      </w:pPr>
      <w:r>
        <w:rPr>
          <w:rFonts w:eastAsia="Times New Roman"/>
        </w:rPr>
        <w:t xml:space="preserve">Yuan, B., Zheng, C., Teng, H., You, T. Simultaneous determination of atropine, anisodamine, and scopolamine in plant extract by nonaqueous capillary electrophoresis coupled with electrochemiluminescence and electrochemistry dual detection. </w:t>
      </w:r>
      <w:r>
        <w:rPr>
          <w:rFonts w:eastAsia="Times New Roman"/>
          <w:i/>
          <w:iCs/>
        </w:rPr>
        <w:t>J Chromatogr A.</w:t>
      </w:r>
      <w:r>
        <w:rPr>
          <w:rFonts w:eastAsia="Times New Roman"/>
        </w:rPr>
        <w:t xml:space="preserve"> </w:t>
      </w:r>
      <w:r>
        <w:rPr>
          <w:rFonts w:eastAsia="Times New Roman"/>
          <w:b/>
          <w:bCs/>
        </w:rPr>
        <w:t>1217</w:t>
      </w:r>
      <w:r>
        <w:rPr>
          <w:rFonts w:eastAsia="Times New Roman"/>
        </w:rPr>
        <w:t xml:space="preserve"> (1), 171–174 (2010).</w:t>
      </w:r>
    </w:p>
    <w:p w14:paraId="39F4970C">
      <w:pPr>
        <w:widowControl/>
        <w:numPr>
          <w:ilvl w:val="0"/>
          <w:numId w:val="2"/>
        </w:numPr>
        <w:spacing w:line="0" w:lineRule="atLeast"/>
        <w:ind w:left="0" w:firstLine="0"/>
        <w:rPr>
          <w:rFonts w:eastAsia="Times New Roman"/>
        </w:rPr>
      </w:pPr>
      <w:r>
        <w:rPr>
          <w:rFonts w:eastAsia="Times New Roman"/>
        </w:rPr>
        <w:t xml:space="preserve">Zhang, P. et al. Simultaneous determination of atropine, scopolamine, and anisodamine from Hyoscyamus niger L. in rat plasma by high-performance liquid chromatography with tandem mass spectrometry and its application to a pharmacokinetics study: liquid chromatography. </w:t>
      </w:r>
      <w:r>
        <w:rPr>
          <w:rFonts w:eastAsia="Times New Roman"/>
          <w:i/>
          <w:iCs/>
        </w:rPr>
        <w:t>J Sep Sci.</w:t>
      </w:r>
      <w:r>
        <w:rPr>
          <w:rFonts w:eastAsia="Times New Roman"/>
        </w:rPr>
        <w:t xml:space="preserve"> </w:t>
      </w:r>
      <w:r>
        <w:rPr>
          <w:rFonts w:eastAsia="Times New Roman"/>
          <w:b/>
          <w:bCs/>
        </w:rPr>
        <w:t>37</w:t>
      </w:r>
      <w:r>
        <w:rPr>
          <w:rFonts w:eastAsia="Times New Roman"/>
        </w:rPr>
        <w:t xml:space="preserve"> (19), 2664–2674 (2014).</w:t>
      </w:r>
    </w:p>
    <w:p w14:paraId="77537FD9">
      <w:pPr>
        <w:widowControl/>
        <w:numPr>
          <w:ilvl w:val="0"/>
          <w:numId w:val="2"/>
        </w:numPr>
        <w:spacing w:line="0" w:lineRule="atLeast"/>
        <w:ind w:left="0" w:firstLine="0"/>
        <w:rPr>
          <w:rFonts w:eastAsia="Times New Roman"/>
        </w:rPr>
      </w:pPr>
      <w:r>
        <w:rPr>
          <w:rFonts w:eastAsia="Times New Roman"/>
        </w:rPr>
        <w:t xml:space="preserve">Chen, C., Wang, B., Li, J., Xiong, F., Zhou, G. Multivariate statistical analysis of metabolites in Anisodus tanguticus (Maxim.) Pascher to determine geographical origins and network pharmacology. </w:t>
      </w:r>
      <w:r>
        <w:rPr>
          <w:rFonts w:eastAsia="Times New Roman"/>
          <w:i/>
          <w:iCs/>
        </w:rPr>
        <w:t>Front Plant Sci.</w:t>
      </w:r>
      <w:r>
        <w:rPr>
          <w:rFonts w:eastAsia="Times New Roman"/>
        </w:rPr>
        <w:t xml:space="preserve"> </w:t>
      </w:r>
      <w:r>
        <w:rPr>
          <w:rFonts w:eastAsia="Times New Roman"/>
          <w:b/>
          <w:bCs/>
        </w:rPr>
        <w:t>13</w:t>
      </w:r>
      <w:r>
        <w:rPr>
          <w:rFonts w:eastAsia="Times New Roman"/>
        </w:rPr>
        <w:t>, 927336 (2022).</w:t>
      </w:r>
    </w:p>
    <w:p w14:paraId="595C9587">
      <w:pPr>
        <w:widowControl/>
        <w:numPr>
          <w:ilvl w:val="0"/>
          <w:numId w:val="2"/>
        </w:numPr>
        <w:spacing w:line="0" w:lineRule="atLeast"/>
        <w:ind w:left="0" w:firstLine="0"/>
        <w:rPr>
          <w:rFonts w:eastAsia="Times New Roman"/>
        </w:rPr>
      </w:pPr>
      <w:r>
        <w:rPr>
          <w:rFonts w:eastAsia="Times New Roman"/>
        </w:rPr>
        <w:t xml:space="preserve">Chen, C. et al. Multivariate statistical analysis of tropane alkaloids in Anisodus tanguticus (Maxim.) Pascher from different regions to trace geographical origins. </w:t>
      </w:r>
      <w:r>
        <w:rPr>
          <w:rFonts w:eastAsia="Times New Roman"/>
          <w:i/>
          <w:iCs/>
        </w:rPr>
        <w:t>Acta Chromatogr.</w:t>
      </w:r>
      <w:r>
        <w:rPr>
          <w:rFonts w:eastAsia="Times New Roman"/>
        </w:rPr>
        <w:t xml:space="preserve"> </w:t>
      </w:r>
      <w:r>
        <w:rPr>
          <w:rFonts w:eastAsia="Times New Roman"/>
          <w:b/>
          <w:bCs/>
        </w:rPr>
        <w:t>34</w:t>
      </w:r>
      <w:r>
        <w:rPr>
          <w:rFonts w:eastAsia="Times New Roman"/>
        </w:rPr>
        <w:t xml:space="preserve"> (4), 422–429 (2022).</w:t>
      </w:r>
    </w:p>
    <w:p w14:paraId="4FE132E2">
      <w:pPr>
        <w:widowControl/>
        <w:numPr>
          <w:ilvl w:val="0"/>
          <w:numId w:val="2"/>
        </w:numPr>
        <w:spacing w:line="0" w:lineRule="atLeast"/>
        <w:ind w:left="0" w:firstLine="0"/>
        <w:rPr>
          <w:rFonts w:eastAsia="Times New Roman"/>
        </w:rPr>
      </w:pPr>
      <w:r>
        <w:rPr>
          <w:rFonts w:eastAsia="Times New Roman"/>
        </w:rPr>
        <w:t xml:space="preserve">Sawabe, Y. et al. Rapid determination of atropine and scopolamine content in Scopolia extract powder by HPLC. </w:t>
      </w:r>
      <w:r>
        <w:rPr>
          <w:rFonts w:eastAsia="Times New Roman"/>
          <w:i/>
          <w:iCs/>
        </w:rPr>
        <w:t>J Nat Med.</w:t>
      </w:r>
      <w:r>
        <w:rPr>
          <w:rFonts w:eastAsia="Times New Roman"/>
        </w:rPr>
        <w:t xml:space="preserve"> </w:t>
      </w:r>
      <w:r>
        <w:rPr>
          <w:rFonts w:eastAsia="Times New Roman"/>
          <w:b/>
          <w:bCs/>
        </w:rPr>
        <w:t>65</w:t>
      </w:r>
      <w:r>
        <w:rPr>
          <w:rFonts w:eastAsia="Times New Roman"/>
        </w:rPr>
        <w:t xml:space="preserve"> (2), 395–399 (2011).</w:t>
      </w:r>
    </w:p>
    <w:p w14:paraId="0D69F5F3">
      <w:pPr>
        <w:widowControl/>
        <w:numPr>
          <w:ilvl w:val="0"/>
          <w:numId w:val="2"/>
        </w:numPr>
        <w:spacing w:line="0" w:lineRule="atLeast"/>
        <w:ind w:left="0" w:firstLine="0"/>
        <w:rPr>
          <w:rFonts w:eastAsia="Times New Roman"/>
        </w:rPr>
      </w:pPr>
      <w:r>
        <w:rPr>
          <w:rFonts w:eastAsia="Times New Roman"/>
        </w:rPr>
        <w:t xml:space="preserve">Baj, J. et al. Application of HPLC-QQQ-MS/MS and new RP-HPLC-DAD system utilizing the chaotropic effect for determination of nicotine and its major metabolites cotinine,and trans-3′-hydroxycotinine in human plasma samples. </w:t>
      </w:r>
      <w:r>
        <w:rPr>
          <w:rFonts w:eastAsia="Times New Roman"/>
          <w:i/>
          <w:iCs/>
        </w:rPr>
        <w:t>Molecules.</w:t>
      </w:r>
      <w:r>
        <w:rPr>
          <w:rFonts w:eastAsia="Times New Roman"/>
        </w:rPr>
        <w:t xml:space="preserve"> </w:t>
      </w:r>
      <w:r>
        <w:rPr>
          <w:rFonts w:eastAsia="Times New Roman"/>
          <w:b/>
          <w:bCs/>
        </w:rPr>
        <w:t>27</w:t>
      </w:r>
      <w:r>
        <w:rPr>
          <w:rFonts w:eastAsia="Times New Roman"/>
        </w:rPr>
        <w:t xml:space="preserve"> (3), 682 (2022).</w:t>
      </w:r>
    </w:p>
    <w:p w14:paraId="350D29B2">
      <w:pPr>
        <w:widowControl/>
        <w:numPr>
          <w:ilvl w:val="0"/>
          <w:numId w:val="2"/>
        </w:numPr>
        <w:spacing w:line="0" w:lineRule="atLeast"/>
        <w:ind w:left="0" w:firstLine="0"/>
        <w:rPr>
          <w:rFonts w:eastAsia="Times New Roman"/>
        </w:rPr>
      </w:pPr>
      <w:r>
        <w:rPr>
          <w:rFonts w:eastAsia="Times New Roman"/>
        </w:rPr>
        <w:t xml:space="preserve">Chen, D. et al. Qualitative and quantitative analysis of the major constituents in Shexiang tongxin dropping pill by HPLC-Q-TOF-MS/MS and UPLC-QqQ-MS/MS. </w:t>
      </w:r>
      <w:r>
        <w:rPr>
          <w:rFonts w:eastAsia="Times New Roman"/>
          <w:i/>
          <w:iCs/>
        </w:rPr>
        <w:t>Molecules.</w:t>
      </w:r>
      <w:r>
        <w:rPr>
          <w:rFonts w:eastAsia="Times New Roman"/>
        </w:rPr>
        <w:t xml:space="preserve"> </w:t>
      </w:r>
      <w:r>
        <w:rPr>
          <w:rFonts w:eastAsia="Times New Roman"/>
          <w:b/>
          <w:bCs/>
        </w:rPr>
        <w:t>20</w:t>
      </w:r>
      <w:r>
        <w:rPr>
          <w:rFonts w:eastAsia="Times New Roman"/>
        </w:rPr>
        <w:t xml:space="preserve"> (10), 18597–18619 (2015).</w:t>
      </w:r>
    </w:p>
    <w:p w14:paraId="550550E7">
      <w:pPr>
        <w:widowControl/>
        <w:numPr>
          <w:ilvl w:val="0"/>
          <w:numId w:val="2"/>
        </w:numPr>
        <w:spacing w:line="0" w:lineRule="atLeast"/>
        <w:ind w:left="0" w:firstLine="0"/>
        <w:rPr>
          <w:rFonts w:eastAsia="Times New Roman"/>
        </w:rPr>
      </w:pPr>
      <w:r>
        <w:rPr>
          <w:rFonts w:eastAsia="Times New Roman"/>
        </w:rPr>
        <w:t xml:space="preserve">Huang, Y.-F. et al. Simultaneous determination of twenty-nine active compounds in Fuzhengjiedu granules by HPLC-QQQ-MS/MS. </w:t>
      </w:r>
      <w:r>
        <w:rPr>
          <w:rFonts w:eastAsia="Times New Roman"/>
          <w:i/>
          <w:iCs/>
        </w:rPr>
        <w:t>Heliyon.</w:t>
      </w:r>
      <w:r>
        <w:rPr>
          <w:rFonts w:eastAsia="Times New Roman"/>
        </w:rPr>
        <w:t xml:space="preserve"> </w:t>
      </w:r>
      <w:r>
        <w:rPr>
          <w:rFonts w:eastAsia="Times New Roman"/>
          <w:b/>
          <w:bCs/>
        </w:rPr>
        <w:t>9</w:t>
      </w:r>
      <w:r>
        <w:rPr>
          <w:rFonts w:eastAsia="Times New Roman"/>
        </w:rPr>
        <w:t xml:space="preserve"> (2), e13675 (2023).</w:t>
      </w:r>
    </w:p>
    <w:p w14:paraId="47FD9372">
      <w:pPr>
        <w:widowControl/>
        <w:numPr>
          <w:ilvl w:val="0"/>
          <w:numId w:val="2"/>
        </w:numPr>
        <w:spacing w:line="0" w:lineRule="atLeast"/>
        <w:ind w:left="0" w:firstLine="0"/>
        <w:rPr>
          <w:rFonts w:eastAsia="Times New Roman"/>
        </w:rPr>
      </w:pPr>
      <w:r>
        <w:rPr>
          <w:rFonts w:eastAsia="Times New Roman"/>
        </w:rPr>
        <w:t xml:space="preserve">Zhang, K.-X. et al. Improved quality control method for prescriptions of Polygonum capitatum through simultaneous determination of nine major constituents by HPLC coupled with triple quadruple mass spectrometry. </w:t>
      </w:r>
      <w:r>
        <w:rPr>
          <w:rFonts w:eastAsia="Times New Roman"/>
          <w:i/>
          <w:iCs/>
        </w:rPr>
        <w:t>Molecules.</w:t>
      </w:r>
      <w:r>
        <w:rPr>
          <w:rFonts w:eastAsia="Times New Roman"/>
        </w:rPr>
        <w:t xml:space="preserve"> </w:t>
      </w:r>
      <w:r>
        <w:rPr>
          <w:rFonts w:eastAsia="Times New Roman"/>
          <w:b/>
          <w:bCs/>
        </w:rPr>
        <w:t>18</w:t>
      </w:r>
      <w:r>
        <w:rPr>
          <w:rFonts w:eastAsia="Times New Roman"/>
        </w:rPr>
        <w:t xml:space="preserve"> (10), 11824–11835 (2013).</w:t>
      </w:r>
    </w:p>
    <w:p w14:paraId="660E5AF9">
      <w:pPr>
        <w:widowControl/>
        <w:numPr>
          <w:ilvl w:val="0"/>
          <w:numId w:val="2"/>
        </w:numPr>
        <w:spacing w:line="0" w:lineRule="atLeast"/>
        <w:ind w:left="0" w:firstLine="0"/>
        <w:rPr>
          <w:rFonts w:eastAsia="Times New Roman"/>
        </w:rPr>
      </w:pPr>
      <w:r>
        <w:rPr>
          <w:rFonts w:eastAsia="Times New Roman"/>
        </w:rPr>
        <w:t xml:space="preserve">Ding, M. et al. Comprehensive chemical profiling and quantification of Shexiang xintongning tablets by integrating liquid chromatography-mass spectrometry and gas chromatography-mass spectrometry. </w:t>
      </w:r>
      <w:r>
        <w:rPr>
          <w:rFonts w:eastAsia="Times New Roman"/>
          <w:i/>
          <w:iCs/>
        </w:rPr>
        <w:t>Arab J Chem.</w:t>
      </w:r>
      <w:r>
        <w:rPr>
          <w:rFonts w:eastAsia="Times New Roman"/>
        </w:rPr>
        <w:t xml:space="preserve"> </w:t>
      </w:r>
      <w:r>
        <w:rPr>
          <w:rFonts w:eastAsia="Times New Roman"/>
          <w:b/>
          <w:bCs/>
        </w:rPr>
        <w:t>16</w:t>
      </w:r>
      <w:r>
        <w:rPr>
          <w:rFonts w:eastAsia="Times New Roman"/>
        </w:rPr>
        <w:t xml:space="preserve"> (3), 104527 (2023).</w:t>
      </w:r>
    </w:p>
    <w:p w14:paraId="4FC4E523">
      <w:pPr>
        <w:widowControl/>
        <w:numPr>
          <w:ilvl w:val="0"/>
          <w:numId w:val="2"/>
        </w:numPr>
        <w:spacing w:line="0" w:lineRule="atLeast"/>
        <w:ind w:left="0" w:firstLine="0"/>
        <w:rPr>
          <w:rFonts w:eastAsia="Times New Roman"/>
        </w:rPr>
      </w:pPr>
      <w:r>
        <w:rPr>
          <w:rFonts w:eastAsia="Times New Roman"/>
        </w:rPr>
        <w:t xml:space="preserve">Zhu, L. et al. The QuEChERS method coupled to HPLC-QQQ-MS/MS for the determination of 25 banned pesticide residues in ethnic medicines. </w:t>
      </w:r>
      <w:r>
        <w:rPr>
          <w:rFonts w:eastAsia="Times New Roman"/>
          <w:i/>
          <w:iCs/>
        </w:rPr>
        <w:t>Res Sq</w:t>
      </w:r>
      <w:r>
        <w:rPr>
          <w:rFonts w:eastAsia="Times New Roman"/>
        </w:rPr>
        <w:t>. doi:10.5772/intechopen.82826 (2022).</w:t>
      </w:r>
    </w:p>
    <w:p w14:paraId="4F975205">
      <w:pPr>
        <w:widowControl/>
        <w:numPr>
          <w:ilvl w:val="0"/>
          <w:numId w:val="2"/>
        </w:numPr>
        <w:spacing w:line="0" w:lineRule="atLeast"/>
        <w:ind w:left="0" w:firstLine="0"/>
        <w:rPr>
          <w:rFonts w:eastAsia="Times New Roman"/>
        </w:rPr>
      </w:pPr>
      <w:r>
        <w:rPr>
          <w:rFonts w:eastAsia="Times New Roman"/>
        </w:rPr>
        <w:t xml:space="preserve">Cinelli, M. A., Cline, J., Watson, T. Applications of liquid chromatography-tandem mass spectrometry in natural products research: Tropane alkaloids as a case study. </w:t>
      </w:r>
      <w:r>
        <w:rPr>
          <w:rFonts w:eastAsia="Times New Roman"/>
          <w:i/>
          <w:iCs/>
        </w:rPr>
        <w:t>J Vis Exp.</w:t>
      </w:r>
      <w:r>
        <w:rPr>
          <w:rFonts w:eastAsia="Times New Roman"/>
        </w:rPr>
        <w:t xml:space="preserve"> </w:t>
      </w:r>
      <w:r>
        <w:rPr>
          <w:rFonts w:eastAsia="Times New Roman"/>
          <w:b/>
          <w:bCs/>
        </w:rPr>
        <w:t>205</w:t>
      </w:r>
      <w:r>
        <w:rPr>
          <w:rFonts w:eastAsia="Times New Roman"/>
        </w:rPr>
        <w:t>, 66620 (2024).</w:t>
      </w:r>
    </w:p>
    <w:p w14:paraId="7B326FA4">
      <w:pPr>
        <w:widowControl/>
        <w:numPr>
          <w:ilvl w:val="0"/>
          <w:numId w:val="2"/>
        </w:numPr>
        <w:spacing w:line="0" w:lineRule="atLeast"/>
        <w:ind w:left="0" w:firstLine="0"/>
        <w:rPr>
          <w:rFonts w:eastAsia="Times New Roman"/>
        </w:rPr>
      </w:pPr>
      <w:r>
        <w:rPr>
          <w:rFonts w:eastAsia="Times New Roman"/>
        </w:rPr>
        <w:t xml:space="preserve">Pang, Y., Huang, Y.-K., Li, F., Yang, F.-Q., Xia, Z.-N. Rapid screening and evaluation of antioxidants in alkaloid natural products by capillary electrophoresis with chemiluminescence detection. </w:t>
      </w:r>
      <w:r>
        <w:rPr>
          <w:rFonts w:eastAsia="Times New Roman"/>
          <w:i/>
          <w:iCs/>
        </w:rPr>
        <w:t>Anal Methods.</w:t>
      </w:r>
      <w:r>
        <w:rPr>
          <w:rFonts w:eastAsia="Times New Roman"/>
        </w:rPr>
        <w:t xml:space="preserve"> </w:t>
      </w:r>
      <w:r>
        <w:rPr>
          <w:rFonts w:eastAsia="Times New Roman"/>
          <w:b/>
          <w:bCs/>
        </w:rPr>
        <w:t>8</w:t>
      </w:r>
      <w:r>
        <w:rPr>
          <w:rFonts w:eastAsia="Times New Roman"/>
        </w:rPr>
        <w:t xml:space="preserve"> (35), 6545–6553 (2016).</w:t>
      </w:r>
    </w:p>
    <w:p w14:paraId="58F1E103">
      <w:pPr>
        <w:widowControl/>
        <w:numPr>
          <w:ilvl w:val="0"/>
          <w:numId w:val="2"/>
        </w:numPr>
        <w:spacing w:line="0" w:lineRule="atLeast"/>
        <w:ind w:left="0" w:firstLine="0"/>
        <w:rPr>
          <w:rFonts w:eastAsia="Times New Roman"/>
        </w:rPr>
      </w:pPr>
      <w:r>
        <w:rPr>
          <w:rFonts w:eastAsia="Times New Roman"/>
        </w:rPr>
        <w:t xml:space="preserve">Voeten, R. L. C., Ventouri, I. K., Haselberg, R., Somsen, G. W. Capillary electrophoresis:trends and recent advances. </w:t>
      </w:r>
      <w:r>
        <w:rPr>
          <w:rFonts w:eastAsia="Times New Roman"/>
          <w:i/>
          <w:iCs/>
        </w:rPr>
        <w:t>Anal Chem.</w:t>
      </w:r>
      <w:r>
        <w:rPr>
          <w:rFonts w:eastAsia="Times New Roman"/>
        </w:rPr>
        <w:t xml:space="preserve"> </w:t>
      </w:r>
      <w:r>
        <w:rPr>
          <w:rFonts w:eastAsia="Times New Roman"/>
          <w:b/>
          <w:bCs/>
        </w:rPr>
        <w:t>90</w:t>
      </w:r>
      <w:r>
        <w:rPr>
          <w:rFonts w:eastAsia="Times New Roman"/>
        </w:rPr>
        <w:t xml:space="preserve"> (3), 1464–1481 (2018).</w:t>
      </w:r>
    </w:p>
    <w:p w14:paraId="5252026F">
      <w:pPr>
        <w:widowControl/>
        <w:numPr>
          <w:ilvl w:val="0"/>
          <w:numId w:val="2"/>
        </w:numPr>
        <w:spacing w:line="0" w:lineRule="atLeast"/>
        <w:ind w:left="0" w:firstLine="0"/>
        <w:rPr>
          <w:rFonts w:eastAsia="Times New Roman"/>
        </w:rPr>
      </w:pPr>
      <w:r>
        <w:rPr>
          <w:rFonts w:eastAsia="Times New Roman"/>
        </w:rPr>
        <w:t xml:space="preserve">Pellati, F., Benvenuti, S. Chromatographic and electrophoretic methods for the analysis of phenetylamine alkaloids in Citrus aurantium. </w:t>
      </w:r>
      <w:r>
        <w:rPr>
          <w:rFonts w:eastAsia="Times New Roman"/>
          <w:i/>
          <w:iCs/>
        </w:rPr>
        <w:t>J Chromatogr A.</w:t>
      </w:r>
      <w:r>
        <w:rPr>
          <w:rFonts w:eastAsia="Times New Roman"/>
        </w:rPr>
        <w:t xml:space="preserve"> </w:t>
      </w:r>
      <w:r>
        <w:rPr>
          <w:rFonts w:eastAsia="Times New Roman"/>
          <w:b/>
          <w:bCs/>
        </w:rPr>
        <w:t>1161</w:t>
      </w:r>
      <w:r>
        <w:rPr>
          <w:rFonts w:eastAsia="Times New Roman"/>
        </w:rPr>
        <w:t xml:space="preserve"> (1), 71–88 (2007).</w:t>
      </w:r>
    </w:p>
    <w:p w14:paraId="2F344E11">
      <w:pPr>
        <w:widowControl/>
        <w:numPr>
          <w:ilvl w:val="0"/>
          <w:numId w:val="2"/>
        </w:numPr>
        <w:spacing w:line="0" w:lineRule="atLeast"/>
        <w:ind w:left="0" w:firstLine="0"/>
        <w:rPr>
          <w:rFonts w:eastAsia="Times New Roman"/>
        </w:rPr>
      </w:pPr>
      <w:r>
        <w:rPr>
          <w:rFonts w:eastAsia="Times New Roman"/>
        </w:rPr>
        <w:t xml:space="preserve">Cirlini, M. et al. A sensitive UHPLC-ESI-MS/MS method for the determination of tropane alkaloids in herbal teas and extracts. </w:t>
      </w:r>
      <w:r>
        <w:rPr>
          <w:rFonts w:eastAsia="Times New Roman"/>
          <w:i/>
          <w:iCs/>
        </w:rPr>
        <w:t>Food Control.</w:t>
      </w:r>
      <w:r>
        <w:rPr>
          <w:rFonts w:eastAsia="Times New Roman"/>
        </w:rPr>
        <w:t xml:space="preserve"> </w:t>
      </w:r>
      <w:r>
        <w:rPr>
          <w:rFonts w:eastAsia="Times New Roman"/>
          <w:b/>
          <w:bCs/>
        </w:rPr>
        <w:t>105</w:t>
      </w:r>
      <w:r>
        <w:rPr>
          <w:rFonts w:eastAsia="Times New Roman"/>
        </w:rPr>
        <w:t>, 285–291 (2019).</w:t>
      </w:r>
    </w:p>
    <w:p w14:paraId="04A3B1AE">
      <w:pPr>
        <w:widowControl/>
        <w:numPr>
          <w:ilvl w:val="0"/>
          <w:numId w:val="2"/>
        </w:numPr>
        <w:spacing w:line="0" w:lineRule="atLeast"/>
        <w:ind w:left="0" w:firstLine="0"/>
        <w:rPr>
          <w:rFonts w:eastAsia="Times New Roman"/>
        </w:rPr>
      </w:pPr>
      <w:r>
        <w:rPr>
          <w:rFonts w:eastAsia="Times New Roman"/>
        </w:rPr>
        <w:t xml:space="preserve">Wojakowska, A. et al. Structural analysis and profiling of phenolic secondary metabolites of Mexican lupine species using LC-MS techniques. </w:t>
      </w:r>
      <w:r>
        <w:rPr>
          <w:rFonts w:eastAsia="Times New Roman"/>
          <w:i/>
          <w:iCs/>
        </w:rPr>
        <w:t>Phytochemistry.</w:t>
      </w:r>
      <w:r>
        <w:rPr>
          <w:rFonts w:eastAsia="Times New Roman"/>
        </w:rPr>
        <w:t xml:space="preserve"> </w:t>
      </w:r>
      <w:r>
        <w:rPr>
          <w:rFonts w:eastAsia="Times New Roman"/>
          <w:b/>
          <w:bCs/>
        </w:rPr>
        <w:t>92</w:t>
      </w:r>
      <w:r>
        <w:rPr>
          <w:rFonts w:eastAsia="Times New Roman"/>
        </w:rPr>
        <w:t>, 71–86 (2013).</w:t>
      </w:r>
    </w:p>
    <w:p w14:paraId="16E408FA">
      <w:pPr>
        <w:widowControl/>
        <w:numPr>
          <w:ilvl w:val="0"/>
          <w:numId w:val="2"/>
        </w:numPr>
        <w:spacing w:line="0" w:lineRule="atLeast"/>
        <w:ind w:left="0" w:firstLine="0"/>
        <w:rPr>
          <w:rFonts w:eastAsia="Times New Roman"/>
        </w:rPr>
      </w:pPr>
      <w:r>
        <w:rPr>
          <w:rFonts w:eastAsia="Times New Roman"/>
        </w:rPr>
        <w:t xml:space="preserve">Shimizu, T., Watanabe, M., Fernie, A. R., Tohge, T. Targeted LC-MS analysis for plant secondary metabolites. </w:t>
      </w:r>
      <w:r>
        <w:rPr>
          <w:rFonts w:eastAsia="Times New Roman"/>
          <w:i/>
          <w:iCs/>
        </w:rPr>
        <w:t>Methods Mol Biol.</w:t>
      </w:r>
      <w:r>
        <w:rPr>
          <w:rFonts w:eastAsia="Times New Roman"/>
        </w:rPr>
        <w:t xml:space="preserve"> </w:t>
      </w:r>
      <w:r>
        <w:rPr>
          <w:rFonts w:eastAsia="Times New Roman"/>
          <w:b/>
          <w:bCs/>
        </w:rPr>
        <w:t>1778</w:t>
      </w:r>
      <w:r>
        <w:rPr>
          <w:rFonts w:eastAsia="Times New Roman"/>
        </w:rPr>
        <w:t>, 171–181 (2018).</w:t>
      </w:r>
    </w:p>
    <w:p w14:paraId="45390B1A">
      <w:pPr>
        <w:widowControl/>
        <w:numPr>
          <w:ilvl w:val="0"/>
          <w:numId w:val="2"/>
        </w:numPr>
        <w:spacing w:line="0" w:lineRule="atLeast"/>
        <w:ind w:left="0" w:firstLine="0"/>
        <w:rPr>
          <w:rFonts w:eastAsia="Times New Roman"/>
        </w:rPr>
      </w:pPr>
      <w:r>
        <w:rPr>
          <w:rFonts w:eastAsia="Times New Roman"/>
        </w:rPr>
        <w:t xml:space="preserve">Mennickent, S., De Diego, M. Analytical Method Validation as the First Step in Drug Quality Control. In </w:t>
      </w:r>
      <w:r>
        <w:rPr>
          <w:rFonts w:eastAsia="Times New Roman"/>
          <w:i/>
          <w:iCs/>
        </w:rPr>
        <w:t>Quality Management and Quality Control - New Trends and Developments.</w:t>
      </w:r>
      <w:r>
        <w:rPr>
          <w:rFonts w:eastAsia="Times New Roman"/>
        </w:rPr>
        <w:t xml:space="preserve"> IntechOpen, London, UK (2019).</w:t>
      </w:r>
    </w:p>
    <w:p w14:paraId="386BCBB3">
      <w:pPr>
        <w:widowControl/>
        <w:numPr>
          <w:ilvl w:val="0"/>
          <w:numId w:val="2"/>
        </w:numPr>
        <w:spacing w:line="0" w:lineRule="atLeast"/>
        <w:ind w:left="0" w:firstLine="0"/>
        <w:rPr>
          <w:rFonts w:eastAsia="Times New Roman"/>
        </w:rPr>
      </w:pPr>
      <w:r>
        <w:rPr>
          <w:rFonts w:eastAsia="Times New Roman"/>
        </w:rPr>
        <w:t xml:space="preserve">Yang, S. H., Wang, J., Zhang, K. Validation of a two-dimensional liquid chromatography method for quality control testing of pharmaceutical materials. </w:t>
      </w:r>
      <w:r>
        <w:rPr>
          <w:rFonts w:eastAsia="Times New Roman"/>
          <w:i/>
          <w:iCs/>
        </w:rPr>
        <w:t>J Chromatogr A.</w:t>
      </w:r>
      <w:r>
        <w:rPr>
          <w:rFonts w:eastAsia="Times New Roman"/>
        </w:rPr>
        <w:t xml:space="preserve"> </w:t>
      </w:r>
      <w:r>
        <w:rPr>
          <w:rFonts w:eastAsia="Times New Roman"/>
          <w:b/>
          <w:bCs/>
        </w:rPr>
        <w:t>1492</w:t>
      </w:r>
      <w:r>
        <w:rPr>
          <w:rFonts w:eastAsia="Times New Roman"/>
        </w:rPr>
        <w:t>, 89–97 (2017).</w:t>
      </w:r>
    </w:p>
    <w:p w14:paraId="1A72510B">
      <w:pPr>
        <w:widowControl/>
        <w:numPr>
          <w:ilvl w:val="0"/>
          <w:numId w:val="2"/>
        </w:numPr>
        <w:spacing w:line="0" w:lineRule="atLeast"/>
        <w:ind w:left="0" w:firstLine="0"/>
        <w:rPr>
          <w:rFonts w:eastAsia="Times New Roman"/>
        </w:rPr>
      </w:pPr>
      <w:r>
        <w:rPr>
          <w:rFonts w:eastAsia="Times New Roman"/>
        </w:rPr>
        <w:t xml:space="preserve">Zhang, X. et al. HPLC with chiral stationary phase for separation and kinetics study of aspartic acid epimerization in peroxiredoxin 2 active site peptide. </w:t>
      </w:r>
      <w:r>
        <w:rPr>
          <w:rFonts w:eastAsia="Times New Roman"/>
          <w:i/>
          <w:iCs/>
        </w:rPr>
        <w:t>J Pharm Biomed Anal.</w:t>
      </w:r>
      <w:r>
        <w:rPr>
          <w:rFonts w:eastAsia="Times New Roman"/>
        </w:rPr>
        <w:t xml:space="preserve"> </w:t>
      </w:r>
      <w:r>
        <w:rPr>
          <w:rFonts w:eastAsia="Times New Roman"/>
          <w:b/>
          <w:bCs/>
        </w:rPr>
        <w:t>247</w:t>
      </w:r>
      <w:r>
        <w:rPr>
          <w:rFonts w:eastAsia="Times New Roman"/>
        </w:rPr>
        <w:t>, 116247 (2024).</w:t>
      </w:r>
    </w:p>
    <w:p w14:paraId="2E9BE39F">
      <w:pPr>
        <w:widowControl/>
        <w:numPr>
          <w:ilvl w:val="0"/>
          <w:numId w:val="2"/>
        </w:numPr>
        <w:spacing w:line="0" w:lineRule="atLeast"/>
        <w:ind w:left="0" w:firstLine="0"/>
        <w:rPr>
          <w:rFonts w:eastAsia="Times New Roman"/>
        </w:rPr>
      </w:pPr>
      <w:r>
        <w:rPr>
          <w:rFonts w:eastAsia="Times New Roman"/>
        </w:rPr>
        <w:t xml:space="preserve">Lu, W. et al. Metabolite measurement: pittfalls to avoid and practices to follow. </w:t>
      </w:r>
      <w:r>
        <w:rPr>
          <w:rFonts w:eastAsia="Times New Roman"/>
          <w:i/>
          <w:iCs/>
        </w:rPr>
        <w:t>Annu Rev Biochem.</w:t>
      </w:r>
      <w:r>
        <w:rPr>
          <w:rFonts w:eastAsia="Times New Roman"/>
        </w:rPr>
        <w:t xml:space="preserve"> </w:t>
      </w:r>
      <w:r>
        <w:rPr>
          <w:rFonts w:eastAsia="Times New Roman"/>
          <w:b/>
          <w:bCs/>
        </w:rPr>
        <w:t>86</w:t>
      </w:r>
      <w:r>
        <w:rPr>
          <w:rFonts w:eastAsia="Times New Roman"/>
        </w:rPr>
        <w:t>, 277–304 (2017).</w:t>
      </w:r>
    </w:p>
    <w:p w14:paraId="2D780F53">
      <w:pPr>
        <w:widowControl/>
        <w:numPr>
          <w:ilvl w:val="0"/>
          <w:numId w:val="2"/>
        </w:numPr>
        <w:spacing w:line="0" w:lineRule="atLeast"/>
        <w:ind w:left="0" w:firstLine="0"/>
        <w:rPr>
          <w:rFonts w:eastAsia="Times New Roman"/>
        </w:rPr>
      </w:pPr>
      <w:r>
        <w:rPr>
          <w:rFonts w:eastAsia="Times New Roman"/>
        </w:rPr>
        <w:t xml:space="preserve">Leopold, J., Popkova, Y., Engel, K. M., Schiller, J. Recent developments of useful MALDI matrices for the mass spectrometric characterization of lipids. </w:t>
      </w:r>
      <w:r>
        <w:rPr>
          <w:rFonts w:eastAsia="Times New Roman"/>
          <w:i/>
          <w:iCs/>
        </w:rPr>
        <w:t>Biomolecules.</w:t>
      </w:r>
      <w:r>
        <w:rPr>
          <w:rFonts w:eastAsia="Times New Roman"/>
        </w:rPr>
        <w:t xml:space="preserve"> </w:t>
      </w:r>
      <w:r>
        <w:rPr>
          <w:rFonts w:eastAsia="Times New Roman"/>
          <w:b/>
          <w:bCs/>
        </w:rPr>
        <w:t>8</w:t>
      </w:r>
      <w:r>
        <w:rPr>
          <w:rFonts w:eastAsia="Times New Roman"/>
        </w:rPr>
        <w:t xml:space="preserve"> (4), 173 (2018).</w:t>
      </w:r>
    </w:p>
    <w:p w14:paraId="71F09E58">
      <w:pPr>
        <w:widowControl/>
        <w:numPr>
          <w:ilvl w:val="0"/>
          <w:numId w:val="2"/>
        </w:numPr>
        <w:spacing w:line="0" w:lineRule="atLeast"/>
        <w:ind w:left="0" w:firstLine="0"/>
        <w:rPr>
          <w:rFonts w:eastAsia="Times New Roman"/>
        </w:rPr>
      </w:pPr>
      <w:r>
        <w:rPr>
          <w:rFonts w:eastAsia="Times New Roman"/>
        </w:rPr>
        <w:t xml:space="preserve">Parasuraman, S. et al. An overview of liquid chromatography-mass spectroscopy instrumentation. </w:t>
      </w:r>
      <w:r>
        <w:rPr>
          <w:rFonts w:eastAsia="Times New Roman"/>
          <w:i/>
          <w:iCs/>
        </w:rPr>
        <w:t>Pharm Methods</w:t>
      </w:r>
      <w:r>
        <w:rPr>
          <w:rFonts w:eastAsia="Times New Roman"/>
        </w:rPr>
        <w:t xml:space="preserve">. </w:t>
      </w:r>
      <w:r>
        <w:rPr>
          <w:rFonts w:eastAsia="Times New Roman"/>
          <w:b/>
          <w:bCs/>
        </w:rPr>
        <w:t>5</w:t>
      </w:r>
      <w:r>
        <w:rPr>
          <w:rFonts w:eastAsia="Times New Roman"/>
        </w:rPr>
        <w:t xml:space="preserve"> (2), 47–55 (2014).</w:t>
      </w:r>
    </w:p>
    <w:p w14:paraId="36F782D7">
      <w:pPr>
        <w:widowControl/>
        <w:numPr>
          <w:ilvl w:val="0"/>
          <w:numId w:val="2"/>
        </w:numPr>
        <w:spacing w:line="0" w:lineRule="atLeast"/>
        <w:ind w:left="0" w:firstLine="0"/>
        <w:rPr>
          <w:rFonts w:eastAsia="Times New Roman"/>
        </w:rPr>
      </w:pPr>
      <w:r>
        <w:rPr>
          <w:rFonts w:eastAsia="Times New Roman"/>
        </w:rPr>
        <w:t xml:space="preserve">Alanazi, S. Recent advances in liquid chromatography–mass spectrometry (LC–MS) applications in biological and applied sciences. </w:t>
      </w:r>
      <w:r>
        <w:rPr>
          <w:rFonts w:eastAsia="Times New Roman"/>
          <w:i/>
          <w:iCs/>
        </w:rPr>
        <w:t>Anal Sci Adv.</w:t>
      </w:r>
      <w:r>
        <w:rPr>
          <w:rFonts w:eastAsia="Times New Roman"/>
        </w:rPr>
        <w:t xml:space="preserve"> </w:t>
      </w:r>
      <w:r>
        <w:rPr>
          <w:rFonts w:eastAsia="Times New Roman"/>
          <w:b/>
          <w:bCs/>
        </w:rPr>
        <w:t>6</w:t>
      </w:r>
      <w:r>
        <w:rPr>
          <w:rFonts w:eastAsia="Times New Roman"/>
        </w:rPr>
        <w:t xml:space="preserve"> (1), e70024 (2025).</w:t>
      </w:r>
    </w:p>
    <w:p w14:paraId="50634919">
      <w:pPr>
        <w:widowControl/>
        <w:numPr>
          <w:ilvl w:val="0"/>
          <w:numId w:val="2"/>
        </w:numPr>
        <w:spacing w:line="0" w:lineRule="atLeast"/>
        <w:ind w:left="0" w:firstLine="0"/>
        <w:rPr>
          <w:rFonts w:eastAsia="Times New Roman"/>
        </w:rPr>
      </w:pPr>
      <w:r>
        <w:rPr>
          <w:rFonts w:eastAsia="Times New Roman"/>
        </w:rPr>
        <w:t xml:space="preserve">Cortese, M. et al. Compensate for or minimize matrix effects? Strategies for overcoming matrix effects in liquid chromatography-mass spectrometry technique: A tutorial review. </w:t>
      </w:r>
      <w:r>
        <w:rPr>
          <w:rFonts w:eastAsia="Times New Roman"/>
          <w:i/>
          <w:iCs/>
        </w:rPr>
        <w:t>Molecules.</w:t>
      </w:r>
      <w:r>
        <w:rPr>
          <w:rFonts w:eastAsia="Times New Roman"/>
        </w:rPr>
        <w:t xml:space="preserve"> </w:t>
      </w:r>
      <w:r>
        <w:rPr>
          <w:rFonts w:eastAsia="Times New Roman"/>
          <w:b/>
          <w:bCs/>
        </w:rPr>
        <w:t>25</w:t>
      </w:r>
      <w:r>
        <w:rPr>
          <w:rFonts w:eastAsia="Times New Roman"/>
        </w:rPr>
        <w:t xml:space="preserve"> (13), 30–47 (2020).</w:t>
      </w:r>
    </w:p>
    <w:p w14:paraId="0BF81981">
      <w:pPr>
        <w:widowControl/>
        <w:numPr>
          <w:ilvl w:val="0"/>
          <w:numId w:val="2"/>
        </w:numPr>
        <w:spacing w:line="0" w:lineRule="atLeast"/>
        <w:ind w:left="0" w:firstLine="0"/>
        <w:rPr>
          <w:rFonts w:eastAsia="Times New Roman"/>
        </w:rPr>
      </w:pPr>
      <w:r>
        <w:rPr>
          <w:rFonts w:eastAsia="Times New Roman"/>
        </w:rPr>
        <w:t xml:space="preserve">Wang, L. et al. The interplay between herbal medicines and gut microbiota in metabolic diseases. </w:t>
      </w:r>
      <w:r>
        <w:rPr>
          <w:rFonts w:eastAsia="Times New Roman"/>
          <w:i/>
          <w:iCs/>
        </w:rPr>
        <w:t>Front Pharmacol.</w:t>
      </w:r>
      <w:r>
        <w:rPr>
          <w:rFonts w:eastAsia="Times New Roman"/>
        </w:rPr>
        <w:t xml:space="preserve"> </w:t>
      </w:r>
      <w:r>
        <w:rPr>
          <w:rFonts w:eastAsia="Times New Roman"/>
          <w:b/>
          <w:bCs/>
        </w:rPr>
        <w:t>14</w:t>
      </w:r>
      <w:r>
        <w:rPr>
          <w:rFonts w:eastAsia="Times New Roman"/>
        </w:rPr>
        <w:t>, 1105405 (2023).</w:t>
      </w:r>
    </w:p>
    <w:p w14:paraId="47F72009">
      <w:pPr>
        <w:widowControl/>
        <w:numPr>
          <w:ilvl w:val="0"/>
          <w:numId w:val="2"/>
        </w:numPr>
        <w:spacing w:line="0" w:lineRule="atLeast"/>
        <w:ind w:left="0" w:firstLine="0"/>
        <w:rPr>
          <w:rFonts w:eastAsia="Times New Roman"/>
        </w:rPr>
      </w:pPr>
      <w:r>
        <w:rPr>
          <w:rFonts w:eastAsia="Times New Roman"/>
        </w:rPr>
        <w:t xml:space="preserve">Musharraf, S. G. et al. Screening of inhibitors of angiotensin-converting enzyme (ACE) employing high performance liquid chromatography-electrospray ionization triple quadrupole mass spectrometry (HPLC-ESI-QqQ-MS). </w:t>
      </w:r>
      <w:r>
        <w:rPr>
          <w:rFonts w:eastAsia="Times New Roman"/>
          <w:i/>
          <w:iCs/>
        </w:rPr>
        <w:t>Eur J Pharm Sci.</w:t>
      </w:r>
      <w:r>
        <w:rPr>
          <w:rFonts w:eastAsia="Times New Roman"/>
        </w:rPr>
        <w:t xml:space="preserve"> </w:t>
      </w:r>
      <w:r>
        <w:rPr>
          <w:rFonts w:eastAsia="Times New Roman"/>
          <w:b/>
          <w:bCs/>
        </w:rPr>
        <w:t>101</w:t>
      </w:r>
      <w:r>
        <w:rPr>
          <w:rFonts w:eastAsia="Times New Roman"/>
        </w:rPr>
        <w:t>, 182–188 (2017).</w:t>
      </w:r>
    </w:p>
    <w:p w14:paraId="6E94DF9E">
      <w:pPr>
        <w:widowControl/>
        <w:numPr>
          <w:ilvl w:val="0"/>
          <w:numId w:val="2"/>
        </w:numPr>
        <w:spacing w:line="0" w:lineRule="atLeast"/>
        <w:ind w:left="0" w:firstLine="0"/>
        <w:rPr>
          <w:rFonts w:eastAsia="Times New Roman"/>
        </w:rPr>
      </w:pPr>
      <w:r>
        <w:rPr>
          <w:rFonts w:eastAsia="Times New Roman"/>
        </w:rPr>
        <w:t xml:space="preserve">Liu, H. et al. Integrating qualitative and quantitative assessments of Yougui pill, an effective traditional Chinese medicine, by HPLC-LTQ-orbitrap-MSn and UPLC-QqQ-MS/MS. </w:t>
      </w:r>
      <w:r>
        <w:rPr>
          <w:rFonts w:eastAsia="Times New Roman"/>
          <w:i/>
          <w:iCs/>
        </w:rPr>
        <w:t>Anal Methods.</w:t>
      </w:r>
      <w:r>
        <w:rPr>
          <w:rFonts w:eastAsia="Times New Roman"/>
        </w:rPr>
        <w:t xml:space="preserve"> </w:t>
      </w:r>
      <w:r>
        <w:rPr>
          <w:rFonts w:eastAsia="Times New Roman"/>
          <w:b/>
          <w:bCs/>
        </w:rPr>
        <w:t>9</w:t>
      </w:r>
      <w:r>
        <w:rPr>
          <w:rFonts w:eastAsia="Times New Roman"/>
        </w:rPr>
        <w:t xml:space="preserve"> (23), 3485–3496 (2017).</w:t>
      </w:r>
    </w:p>
    <w:p w14:paraId="6053B53F">
      <w:pPr>
        <w:widowControl/>
        <w:numPr>
          <w:ilvl w:val="0"/>
          <w:numId w:val="2"/>
        </w:numPr>
        <w:spacing w:line="0" w:lineRule="atLeast"/>
        <w:ind w:left="0" w:firstLine="0"/>
        <w:rPr>
          <w:rFonts w:eastAsia="Times New Roman"/>
        </w:rPr>
      </w:pPr>
      <w:r>
        <w:rPr>
          <w:rFonts w:eastAsia="Times New Roman"/>
        </w:rPr>
        <w:t xml:space="preserve">Parks, H. M. et al. Redirecting tropane alkaloid metabolism reveals pyrrolidine alkaloid diversity in Atropa belladonna. </w:t>
      </w:r>
      <w:r>
        <w:rPr>
          <w:rFonts w:eastAsia="Times New Roman"/>
          <w:i/>
          <w:iCs/>
        </w:rPr>
        <w:t>New Phytol.</w:t>
      </w:r>
      <w:r>
        <w:rPr>
          <w:rFonts w:eastAsia="Times New Roman"/>
        </w:rPr>
        <w:t xml:space="preserve"> </w:t>
      </w:r>
      <w:r>
        <w:rPr>
          <w:rFonts w:eastAsia="Times New Roman"/>
          <w:b/>
          <w:bCs/>
        </w:rPr>
        <w:t>237</w:t>
      </w:r>
      <w:r>
        <w:rPr>
          <w:rFonts w:eastAsia="Times New Roman"/>
        </w:rPr>
        <w:t xml:space="preserve"> (5), 1810–1825 (2023).</w:t>
      </w:r>
    </w:p>
    <w:p w14:paraId="065D0DAD">
      <w:pPr>
        <w:widowControl/>
        <w:numPr>
          <w:ilvl w:val="0"/>
          <w:numId w:val="2"/>
        </w:numPr>
        <w:spacing w:line="0" w:lineRule="atLeast"/>
        <w:ind w:left="0" w:firstLine="0"/>
        <w:rPr>
          <w:rFonts w:eastAsia="Times New Roman"/>
        </w:rPr>
      </w:pPr>
      <w:r>
        <w:rPr>
          <w:rFonts w:eastAsia="Times New Roman"/>
        </w:rPr>
        <w:t xml:space="preserve">Yan, Z. et al. Triterpenoid saponins profiling by adducts-targeted neutral loss triggered enhanced resolution and product ion scanning using triple quadrupole linear ion trap mass spectrometry. </w:t>
      </w:r>
      <w:r>
        <w:rPr>
          <w:rFonts w:eastAsia="Times New Roman"/>
          <w:i/>
          <w:iCs/>
        </w:rPr>
        <w:t>Anal Chim Acta.</w:t>
      </w:r>
      <w:r>
        <w:rPr>
          <w:rFonts w:eastAsia="Times New Roman"/>
        </w:rPr>
        <w:t xml:space="preserve"> </w:t>
      </w:r>
      <w:r>
        <w:rPr>
          <w:rFonts w:eastAsia="Times New Roman"/>
          <w:b/>
          <w:bCs/>
        </w:rPr>
        <w:t>819</w:t>
      </w:r>
      <w:r>
        <w:rPr>
          <w:rFonts w:eastAsia="Times New Roman"/>
        </w:rPr>
        <w:t>, 56–64 (2014).</w:t>
      </w:r>
    </w:p>
    <w:p w14:paraId="3AE26CE1">
      <w:pPr>
        <w:widowControl/>
        <w:numPr>
          <w:ilvl w:val="0"/>
          <w:numId w:val="2"/>
        </w:numPr>
        <w:spacing w:line="0" w:lineRule="atLeast"/>
        <w:ind w:left="0" w:firstLine="0"/>
        <w:rPr>
          <w:rFonts w:eastAsia="Times New Roman"/>
        </w:rPr>
      </w:pPr>
      <w:r>
        <w:rPr>
          <w:rFonts w:eastAsia="Times New Roman"/>
        </w:rPr>
        <w:t xml:space="preserve">Sosa-Ferrera, Z., Mahugo-Santana, C., Santana-Rodríguez, J. J. Analytical methodologies for the determination of endocrine disrupting compounds in biological and environmental samples. </w:t>
      </w:r>
      <w:r>
        <w:rPr>
          <w:rFonts w:eastAsia="Times New Roman"/>
          <w:i/>
          <w:iCs/>
        </w:rPr>
        <w:t>Biomed Res Int.</w:t>
      </w:r>
      <w:r>
        <w:rPr>
          <w:rFonts w:eastAsia="Times New Roman"/>
        </w:rPr>
        <w:t xml:space="preserve"> </w:t>
      </w:r>
      <w:r>
        <w:rPr>
          <w:rFonts w:eastAsia="Times New Roman"/>
          <w:b/>
          <w:bCs/>
        </w:rPr>
        <w:t>2013</w:t>
      </w:r>
      <w:r>
        <w:rPr>
          <w:rFonts w:eastAsia="Times New Roman"/>
        </w:rPr>
        <w:t>, 674838 (2013).</w:t>
      </w:r>
    </w:p>
    <w:p w14:paraId="1B77D513">
      <w:pPr>
        <w:widowControl/>
        <w:numPr>
          <w:ilvl w:val="0"/>
          <w:numId w:val="2"/>
        </w:numPr>
        <w:spacing w:line="0" w:lineRule="atLeast"/>
        <w:ind w:left="0" w:firstLine="0"/>
        <w:rPr>
          <w:rFonts w:eastAsia="Times New Roman"/>
        </w:rPr>
      </w:pPr>
      <w:r>
        <w:rPr>
          <w:rFonts w:eastAsia="Times New Roman"/>
        </w:rPr>
        <w:t xml:space="preserve">Heyde, B. J., Barthel, A., Siemens, J., Mulder, I. A fast and robust method for the extraction and analysis of quaternary alkyl ammonium compounds from soil and sewage sludge. </w:t>
      </w:r>
      <w:r>
        <w:rPr>
          <w:rFonts w:eastAsia="Times New Roman"/>
          <w:i/>
          <w:iCs/>
        </w:rPr>
        <w:t>PLoS One.</w:t>
      </w:r>
      <w:r>
        <w:rPr>
          <w:rFonts w:eastAsia="Times New Roman"/>
        </w:rPr>
        <w:t xml:space="preserve"> </w:t>
      </w:r>
      <w:r>
        <w:rPr>
          <w:rFonts w:eastAsia="Times New Roman"/>
          <w:b/>
          <w:bCs/>
        </w:rPr>
        <w:t>15</w:t>
      </w:r>
      <w:r>
        <w:rPr>
          <w:rFonts w:eastAsia="Times New Roman"/>
        </w:rPr>
        <w:t xml:space="preserve"> (8), e0237020 (2020).</w:t>
      </w:r>
    </w:p>
    <w:p w14:paraId="313DCED8">
      <w:pPr>
        <w:spacing w:line="0" w:lineRule="atLeast"/>
        <w:rPr>
          <w:b/>
          <w:lang w:eastAsia="zh-CN"/>
        </w:rPr>
      </w:pPr>
    </w:p>
    <w:sectPr>
      <w:headerReference r:id="rId5" w:type="first"/>
      <w:headerReference r:id="rId3" w:type="default"/>
      <w:headerReference r:id="rId4" w:type="even"/>
      <w:footerReference r:id="rId6" w:type="even"/>
      <w:pgSz w:w="12240" w:h="15840"/>
      <w:pgMar w:top="1440" w:right="1440"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BFD22">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F5E5C">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59899">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B042A">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674F4A"/>
    <w:multiLevelType w:val="multilevel"/>
    <w:tmpl w:val="41674F4A"/>
    <w:lvl w:ilvl="0" w:tentative="0">
      <w:start w:val="1"/>
      <w:numFmt w:val="decimal"/>
      <w:lvlText w:val="%1."/>
      <w:lvlJc w:val="left"/>
      <w:pPr>
        <w:ind w:left="360" w:hanging="360"/>
      </w:pPr>
    </w:lvl>
    <w:lvl w:ilvl="1" w:tentative="0">
      <w:start w:val="1"/>
      <w:numFmt w:val="decimal"/>
      <w:lvlText w:val="%1.%2."/>
      <w:lvlJc w:val="left"/>
      <w:pPr>
        <w:ind w:left="792" w:hanging="432"/>
      </w:pPr>
      <w:rPr>
        <w:rFonts w:hint="default" w:ascii="Calibri" w:hAnsi="Calibri" w:cs="Calibri"/>
        <w:sz w:val="24"/>
        <w:szCs w:val="24"/>
      </w:rPr>
    </w:lvl>
    <w:lvl w:ilvl="2" w:tentative="0">
      <w:start w:val="1"/>
      <w:numFmt w:val="decimal"/>
      <w:lvlText w:val="%1.%2.%3."/>
      <w:lvlJc w:val="left"/>
      <w:pPr>
        <w:ind w:left="1224" w:hanging="504"/>
      </w:pPr>
      <w:rPr>
        <w:rFonts w:hint="default" w:ascii="Calibri" w:hAnsi="Calibri" w:cs="Calibri"/>
        <w:sz w:val="24"/>
        <w:szCs w:val="24"/>
      </w:rPr>
    </w:lvl>
    <w:lvl w:ilvl="3" w:tentative="0">
      <w:start w:val="1"/>
      <w:numFmt w:val="decimal"/>
      <w:lvlText w:val="%1.%2.%3.%4."/>
      <w:lvlJc w:val="left"/>
      <w:pPr>
        <w:ind w:left="1728" w:hanging="648"/>
      </w:pPr>
      <w:rPr>
        <w:rFonts w:hint="default" w:ascii="Calibri" w:hAnsi="Calibri" w:cs="Calibri"/>
        <w:sz w:val="24"/>
        <w:szCs w:val="24"/>
      </w:r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1">
    <w:nsid w:val="68182EC5"/>
    <w:multiLevelType w:val="multilevel"/>
    <w:tmpl w:val="68182EC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路通">
    <w15:presenceInfo w15:providerId="WPS Office" w15:userId="75573077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hideGrammaticalErrors/>
  <w:trackRevisions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oFAMBx+q8tAAAA"/>
  </w:docVars>
  <w:rsids>
    <w:rsidRoot w:val="006E4797"/>
    <w:rsid w:val="0000515B"/>
    <w:rsid w:val="00011457"/>
    <w:rsid w:val="00012C47"/>
    <w:rsid w:val="00013652"/>
    <w:rsid w:val="00021BB5"/>
    <w:rsid w:val="00033C1A"/>
    <w:rsid w:val="00034DD1"/>
    <w:rsid w:val="000410B1"/>
    <w:rsid w:val="0004355D"/>
    <w:rsid w:val="00057B67"/>
    <w:rsid w:val="00061E0E"/>
    <w:rsid w:val="00063AA3"/>
    <w:rsid w:val="0007506F"/>
    <w:rsid w:val="00076815"/>
    <w:rsid w:val="00081F44"/>
    <w:rsid w:val="00082A5F"/>
    <w:rsid w:val="000A079A"/>
    <w:rsid w:val="000B41B6"/>
    <w:rsid w:val="000D09C7"/>
    <w:rsid w:val="000D77F2"/>
    <w:rsid w:val="000E2ABF"/>
    <w:rsid w:val="000E3F21"/>
    <w:rsid w:val="000E4C51"/>
    <w:rsid w:val="00104A9A"/>
    <w:rsid w:val="0014278C"/>
    <w:rsid w:val="00147CBA"/>
    <w:rsid w:val="0015327B"/>
    <w:rsid w:val="00154AF9"/>
    <w:rsid w:val="001624E4"/>
    <w:rsid w:val="00181A81"/>
    <w:rsid w:val="00192EDF"/>
    <w:rsid w:val="00194C04"/>
    <w:rsid w:val="00194CE8"/>
    <w:rsid w:val="001959A2"/>
    <w:rsid w:val="001A1CA1"/>
    <w:rsid w:val="001B1922"/>
    <w:rsid w:val="001C5910"/>
    <w:rsid w:val="001D1417"/>
    <w:rsid w:val="001F3109"/>
    <w:rsid w:val="00210DD6"/>
    <w:rsid w:val="00214319"/>
    <w:rsid w:val="00220ABD"/>
    <w:rsid w:val="0023296D"/>
    <w:rsid w:val="00232DDC"/>
    <w:rsid w:val="00252077"/>
    <w:rsid w:val="00273EDD"/>
    <w:rsid w:val="002862D6"/>
    <w:rsid w:val="002C6053"/>
    <w:rsid w:val="002D5FC6"/>
    <w:rsid w:val="002E6D9F"/>
    <w:rsid w:val="002F013C"/>
    <w:rsid w:val="0031658E"/>
    <w:rsid w:val="00335CBF"/>
    <w:rsid w:val="00337A2F"/>
    <w:rsid w:val="00351087"/>
    <w:rsid w:val="003548DA"/>
    <w:rsid w:val="00372BED"/>
    <w:rsid w:val="00387CDA"/>
    <w:rsid w:val="003A0CAA"/>
    <w:rsid w:val="003A5297"/>
    <w:rsid w:val="003D67E2"/>
    <w:rsid w:val="003E01B9"/>
    <w:rsid w:val="0040579A"/>
    <w:rsid w:val="00414ADE"/>
    <w:rsid w:val="004266F0"/>
    <w:rsid w:val="004361C8"/>
    <w:rsid w:val="00436F4D"/>
    <w:rsid w:val="004620C9"/>
    <w:rsid w:val="00462ADE"/>
    <w:rsid w:val="00484703"/>
    <w:rsid w:val="00491233"/>
    <w:rsid w:val="004939EE"/>
    <w:rsid w:val="004969D3"/>
    <w:rsid w:val="004C0985"/>
    <w:rsid w:val="004D362E"/>
    <w:rsid w:val="004F08FD"/>
    <w:rsid w:val="004F6AD9"/>
    <w:rsid w:val="00513CCF"/>
    <w:rsid w:val="00516914"/>
    <w:rsid w:val="00520CC2"/>
    <w:rsid w:val="005330BF"/>
    <w:rsid w:val="00551D82"/>
    <w:rsid w:val="005734D7"/>
    <w:rsid w:val="00575E55"/>
    <w:rsid w:val="00585BF5"/>
    <w:rsid w:val="00591751"/>
    <w:rsid w:val="00593616"/>
    <w:rsid w:val="005A637B"/>
    <w:rsid w:val="005E1EE7"/>
    <w:rsid w:val="005E7107"/>
    <w:rsid w:val="005F479C"/>
    <w:rsid w:val="00604100"/>
    <w:rsid w:val="00615035"/>
    <w:rsid w:val="00622578"/>
    <w:rsid w:val="006239A1"/>
    <w:rsid w:val="00634672"/>
    <w:rsid w:val="00661099"/>
    <w:rsid w:val="006755EE"/>
    <w:rsid w:val="006769FB"/>
    <w:rsid w:val="006824BF"/>
    <w:rsid w:val="006B3063"/>
    <w:rsid w:val="006C431E"/>
    <w:rsid w:val="006C726F"/>
    <w:rsid w:val="006D65E9"/>
    <w:rsid w:val="006D6D3F"/>
    <w:rsid w:val="006E4797"/>
    <w:rsid w:val="006E7C64"/>
    <w:rsid w:val="006F5ED1"/>
    <w:rsid w:val="00702ADE"/>
    <w:rsid w:val="0070444F"/>
    <w:rsid w:val="00714BE0"/>
    <w:rsid w:val="00736371"/>
    <w:rsid w:val="00751D3D"/>
    <w:rsid w:val="00755B10"/>
    <w:rsid w:val="00773698"/>
    <w:rsid w:val="00783EE0"/>
    <w:rsid w:val="007955A3"/>
    <w:rsid w:val="007A4BBA"/>
    <w:rsid w:val="007B488F"/>
    <w:rsid w:val="007B72A4"/>
    <w:rsid w:val="007D6BE0"/>
    <w:rsid w:val="007F13E9"/>
    <w:rsid w:val="007F2030"/>
    <w:rsid w:val="007F443B"/>
    <w:rsid w:val="00833B96"/>
    <w:rsid w:val="00837719"/>
    <w:rsid w:val="008425A4"/>
    <w:rsid w:val="008461C6"/>
    <w:rsid w:val="00851F38"/>
    <w:rsid w:val="0085421A"/>
    <w:rsid w:val="0085548D"/>
    <w:rsid w:val="00886D32"/>
    <w:rsid w:val="008A4859"/>
    <w:rsid w:val="008A5F90"/>
    <w:rsid w:val="008B2D50"/>
    <w:rsid w:val="008B35D2"/>
    <w:rsid w:val="008B7FA8"/>
    <w:rsid w:val="008D293E"/>
    <w:rsid w:val="008E19AC"/>
    <w:rsid w:val="0092735C"/>
    <w:rsid w:val="009409EA"/>
    <w:rsid w:val="00951AF4"/>
    <w:rsid w:val="00994156"/>
    <w:rsid w:val="00994F50"/>
    <w:rsid w:val="009A1CCC"/>
    <w:rsid w:val="009A7356"/>
    <w:rsid w:val="00A1684A"/>
    <w:rsid w:val="00A45772"/>
    <w:rsid w:val="00A6065E"/>
    <w:rsid w:val="00A61636"/>
    <w:rsid w:val="00A624BE"/>
    <w:rsid w:val="00A8147C"/>
    <w:rsid w:val="00A923D4"/>
    <w:rsid w:val="00AA1FF2"/>
    <w:rsid w:val="00AB4038"/>
    <w:rsid w:val="00AC1ABC"/>
    <w:rsid w:val="00B66177"/>
    <w:rsid w:val="00B81064"/>
    <w:rsid w:val="00B87681"/>
    <w:rsid w:val="00B935FF"/>
    <w:rsid w:val="00BD3767"/>
    <w:rsid w:val="00BE22A2"/>
    <w:rsid w:val="00BE2769"/>
    <w:rsid w:val="00BF7B1A"/>
    <w:rsid w:val="00C0540B"/>
    <w:rsid w:val="00C11D93"/>
    <w:rsid w:val="00C27C71"/>
    <w:rsid w:val="00C366E0"/>
    <w:rsid w:val="00C550F3"/>
    <w:rsid w:val="00C61360"/>
    <w:rsid w:val="00C652D8"/>
    <w:rsid w:val="00C875D1"/>
    <w:rsid w:val="00C924FB"/>
    <w:rsid w:val="00CB1713"/>
    <w:rsid w:val="00CB1783"/>
    <w:rsid w:val="00CB69E8"/>
    <w:rsid w:val="00CC2C26"/>
    <w:rsid w:val="00CF5B74"/>
    <w:rsid w:val="00D07A90"/>
    <w:rsid w:val="00D2510B"/>
    <w:rsid w:val="00D57F1F"/>
    <w:rsid w:val="00D661BB"/>
    <w:rsid w:val="00D75A2A"/>
    <w:rsid w:val="00D82C7E"/>
    <w:rsid w:val="00D86D57"/>
    <w:rsid w:val="00D87E6B"/>
    <w:rsid w:val="00D94F6E"/>
    <w:rsid w:val="00D959E7"/>
    <w:rsid w:val="00DA154A"/>
    <w:rsid w:val="00DA3C5C"/>
    <w:rsid w:val="00DA4A63"/>
    <w:rsid w:val="00DB3896"/>
    <w:rsid w:val="00DC0E61"/>
    <w:rsid w:val="00DC18A7"/>
    <w:rsid w:val="00DC5976"/>
    <w:rsid w:val="00DD0D2A"/>
    <w:rsid w:val="00DE2C5D"/>
    <w:rsid w:val="00DF0E23"/>
    <w:rsid w:val="00E02932"/>
    <w:rsid w:val="00E03054"/>
    <w:rsid w:val="00E15C03"/>
    <w:rsid w:val="00E2534C"/>
    <w:rsid w:val="00E3580E"/>
    <w:rsid w:val="00E401D5"/>
    <w:rsid w:val="00E4170A"/>
    <w:rsid w:val="00E5146E"/>
    <w:rsid w:val="00E60269"/>
    <w:rsid w:val="00E6457B"/>
    <w:rsid w:val="00E928AF"/>
    <w:rsid w:val="00EA7EB0"/>
    <w:rsid w:val="00EB1E68"/>
    <w:rsid w:val="00EC022C"/>
    <w:rsid w:val="00EC0649"/>
    <w:rsid w:val="00EC57F0"/>
    <w:rsid w:val="00EE0778"/>
    <w:rsid w:val="00EE6E2B"/>
    <w:rsid w:val="00EF1D55"/>
    <w:rsid w:val="00F12231"/>
    <w:rsid w:val="00F13E27"/>
    <w:rsid w:val="00F201F7"/>
    <w:rsid w:val="00F22FB1"/>
    <w:rsid w:val="00F322A3"/>
    <w:rsid w:val="00F36869"/>
    <w:rsid w:val="00F41DE1"/>
    <w:rsid w:val="00F55B56"/>
    <w:rsid w:val="00F703CA"/>
    <w:rsid w:val="00F72213"/>
    <w:rsid w:val="00F77DEA"/>
    <w:rsid w:val="00FA3B53"/>
    <w:rsid w:val="00FA6C9C"/>
    <w:rsid w:val="00FB0659"/>
    <w:rsid w:val="00FC0966"/>
    <w:rsid w:val="00FC50DB"/>
    <w:rsid w:val="08490D56"/>
    <w:rsid w:val="2DCD177B"/>
    <w:rsid w:val="3F570A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heme="minorEastAsia"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cs="Calibri" w:eastAsiaTheme="minorEastAsia"/>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link w:val="26"/>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4">
    <w:name w:val="Default Paragraph Font"/>
    <w:semiHidden/>
    <w:unhideWhenUsed/>
    <w:qFormat/>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3"/>
    <w:unhideWhenUsed/>
    <w:qFormat/>
    <w:uiPriority w:val="99"/>
    <w:rPr>
      <w:sz w:val="20"/>
      <w:szCs w:val="20"/>
    </w:rPr>
  </w:style>
  <w:style w:type="paragraph" w:styleId="9">
    <w:name w:val="footer"/>
    <w:basedOn w:val="1"/>
    <w:link w:val="20"/>
    <w:unhideWhenUsed/>
    <w:qFormat/>
    <w:uiPriority w:val="99"/>
    <w:pPr>
      <w:tabs>
        <w:tab w:val="center" w:pos="4680"/>
        <w:tab w:val="right" w:pos="9360"/>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Title"/>
    <w:basedOn w:val="1"/>
    <w:next w:val="1"/>
    <w:qFormat/>
    <w:uiPriority w:val="10"/>
    <w:pPr>
      <w:keepNext/>
      <w:keepLines/>
      <w:spacing w:before="480" w:after="120"/>
    </w:pPr>
    <w:rPr>
      <w:b/>
      <w:sz w:val="72"/>
      <w:szCs w:val="72"/>
    </w:rPr>
  </w:style>
  <w:style w:type="paragraph" w:styleId="12">
    <w:name w:val="annotation subject"/>
    <w:basedOn w:val="8"/>
    <w:next w:val="8"/>
    <w:link w:val="24"/>
    <w:semiHidden/>
    <w:unhideWhenUsed/>
    <w:qFormat/>
    <w:uiPriority w:val="99"/>
    <w:rPr>
      <w:b/>
      <w:bCs/>
    </w:rPr>
  </w:style>
  <w:style w:type="character" w:styleId="15">
    <w:name w:val="FollowedHyperlink"/>
    <w:basedOn w:val="14"/>
    <w:semiHidden/>
    <w:unhideWhenUsed/>
    <w:qFormat/>
    <w:uiPriority w:val="99"/>
    <w:rPr>
      <w:color w:val="800080" w:themeColor="followedHyperlink"/>
      <w:u w:val="single"/>
      <w14:textFill>
        <w14:solidFill>
          <w14:schemeClr w14:val="folHlink"/>
        </w14:solidFill>
      </w14:textFill>
    </w:rPr>
  </w:style>
  <w:style w:type="character" w:styleId="16">
    <w:name w:val="line number"/>
    <w:basedOn w:val="14"/>
    <w:semiHidden/>
    <w:unhideWhenUsed/>
    <w:qFormat/>
    <w:uiPriority w:val="99"/>
  </w:style>
  <w:style w:type="character" w:styleId="17">
    <w:name w:val="Hyperlink"/>
    <w:basedOn w:val="14"/>
    <w:unhideWhenUsed/>
    <w:qFormat/>
    <w:uiPriority w:val="99"/>
    <w:rPr>
      <w:color w:val="0000FF" w:themeColor="hyperlink"/>
      <w:u w:val="single"/>
      <w14:textFill>
        <w14:solidFill>
          <w14:schemeClr w14:val="hlink"/>
        </w14:solidFill>
      </w14:textFill>
    </w:rPr>
  </w:style>
  <w:style w:type="character" w:styleId="18">
    <w:name w:val="annotation reference"/>
    <w:basedOn w:val="14"/>
    <w:semiHidden/>
    <w:unhideWhenUsed/>
    <w:qFormat/>
    <w:uiPriority w:val="99"/>
    <w:rPr>
      <w:sz w:val="16"/>
      <w:szCs w:val="16"/>
    </w:rPr>
  </w:style>
  <w:style w:type="character" w:customStyle="1" w:styleId="19">
    <w:name w:val="未处理的提及1"/>
    <w:basedOn w:val="14"/>
    <w:semiHidden/>
    <w:unhideWhenUsed/>
    <w:qFormat/>
    <w:uiPriority w:val="99"/>
    <w:rPr>
      <w:color w:val="605E5C"/>
      <w:shd w:val="clear" w:color="auto" w:fill="E1DFDD"/>
    </w:rPr>
  </w:style>
  <w:style w:type="character" w:customStyle="1" w:styleId="20">
    <w:name w:val="Footer Char"/>
    <w:basedOn w:val="14"/>
    <w:link w:val="9"/>
    <w:qFormat/>
    <w:uiPriority w:val="99"/>
  </w:style>
  <w:style w:type="paragraph" w:customStyle="1" w:styleId="21">
    <w:name w:val="修订1"/>
    <w:hidden/>
    <w:semiHidden/>
    <w:qFormat/>
    <w:uiPriority w:val="99"/>
    <w:rPr>
      <w:rFonts w:ascii="Calibri" w:hAnsi="Calibri" w:cs="Calibri" w:eastAsiaTheme="minorEastAsia"/>
      <w:sz w:val="24"/>
      <w:szCs w:val="24"/>
      <w:lang w:val="en-US" w:eastAsia="en-US" w:bidi="ar-SA"/>
    </w:rPr>
  </w:style>
  <w:style w:type="paragraph" w:styleId="22">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3">
    <w:name w:val="Comment Text Char"/>
    <w:basedOn w:val="14"/>
    <w:link w:val="8"/>
    <w:qFormat/>
    <w:uiPriority w:val="99"/>
    <w:rPr>
      <w:sz w:val="20"/>
      <w:szCs w:val="20"/>
    </w:rPr>
  </w:style>
  <w:style w:type="character" w:customStyle="1" w:styleId="24">
    <w:name w:val="Comment Subject Char"/>
    <w:basedOn w:val="23"/>
    <w:link w:val="12"/>
    <w:semiHidden/>
    <w:qFormat/>
    <w:uiPriority w:val="99"/>
    <w:rPr>
      <w:b/>
      <w:bCs/>
      <w:sz w:val="20"/>
      <w:szCs w:val="20"/>
    </w:rPr>
  </w:style>
  <w:style w:type="character" w:customStyle="1" w:styleId="25">
    <w:name w:val="cf01"/>
    <w:basedOn w:val="14"/>
    <w:qFormat/>
    <w:uiPriority w:val="0"/>
    <w:rPr>
      <w:rFonts w:hint="default" w:ascii="Segoe UI" w:hAnsi="Segoe UI" w:cs="Segoe UI"/>
      <w:sz w:val="18"/>
      <w:szCs w:val="18"/>
    </w:rPr>
  </w:style>
  <w:style w:type="character" w:customStyle="1" w:styleId="26">
    <w:name w:val="Heading 3 Char"/>
    <w:basedOn w:val="14"/>
    <w:link w:val="4"/>
    <w:semiHidden/>
    <w:qFormat/>
    <w:uiPriority w:val="9"/>
    <w:rPr>
      <w:rFonts w:ascii="Cambria" w:hAnsi="Cambria" w:eastAsia="Cambria" w:cs="Cambria"/>
      <w:b/>
      <w:color w:val="4F81BD"/>
    </w:rPr>
  </w:style>
  <w:style w:type="paragraph" w:customStyle="1" w:styleId="27">
    <w:name w:val="书目1"/>
    <w:basedOn w:val="1"/>
    <w:next w:val="1"/>
    <w:unhideWhenUsed/>
    <w:qFormat/>
    <w:uiPriority w:val="37"/>
    <w:pPr>
      <w:tabs>
        <w:tab w:val="left" w:pos="384"/>
      </w:tabs>
      <w:ind w:left="384" w:hanging="384"/>
    </w:pPr>
    <w:rPr>
      <w:rFonts w:ascii="Times New Roman" w:hAnsi="Times New Roman" w:eastAsia="宋体" w:cstheme="minorBidi"/>
      <w:kern w:val="2"/>
      <w:szCs w:val="22"/>
      <w:lang w:eastAsia="zh-CN"/>
    </w:rPr>
  </w:style>
  <w:style w:type="paragraph" w:customStyle="1" w:styleId="28">
    <w:name w:val="Bibliography1"/>
    <w:basedOn w:val="1"/>
    <w:next w:val="1"/>
    <w:unhideWhenUsed/>
    <w:qFormat/>
    <w:uiPriority w:val="37"/>
  </w:style>
  <w:style w:type="paragraph" w:customStyle="1" w:styleId="29">
    <w:name w:val="Revision"/>
    <w:hidden/>
    <w:unhideWhenUsed/>
    <w:qFormat/>
    <w:uiPriority w:val="99"/>
    <w:rPr>
      <w:rFonts w:ascii="Calibri" w:hAnsi="Calibri" w:cs="Calibri" w:eastAsiaTheme="minorEastAsia"/>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14</Pages>
  <Words>814</Words>
  <Characters>5838</Characters>
  <Lines>994</Lines>
  <Paragraphs>279</Paragraphs>
  <TotalTime>27</TotalTime>
  <ScaleCrop>false</ScaleCrop>
  <LinksUpToDate>false</LinksUpToDate>
  <CharactersWithSpaces>6648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2026-02-26T12:41:00Z</dcterms:created>
  <dc:creator>Vineeta</dc:creator>
  <cp:lastModifiedBy>路通</cp:lastModifiedBy>
  <cp:lastPrinted>2025-12-16T12:10:00Z</cp:lastPrinted>
  <dcterms:modified xsi:type="dcterms:W3CDTF">2026-03-17T05:35:43Z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zotero-version="7.0.32"&gt;&lt;session id="N8HJlcc0"/&gt;&lt;style id="http://www.zotero.org/styles/journal-of-visualized-experiments" hasBibliography="1" bibliographyStyleHasBeenSet="1"/&gt;&lt;prefs&gt;&lt;pref name="fieldType" value="Field"/&gt;&lt;pref name=</vt:lpwstr>
  </property>
  <property fmtid="{D5CDD505-2E9C-101B-9397-08002B2CF9AE}" pid="4" name="ZOTERO_PREF_2">
    <vt:lpwstr>"automaticJournalAbbreviations" value="true"/&gt;&lt;/prefs&gt;&lt;/data&gt;</vt:lpwstr>
  </property>
  <property fmtid="{D5CDD505-2E9C-101B-9397-08002B2CF9AE}" pid="5" name="KSOTemplateDocerSaveRecord">
    <vt:lpwstr>eyJoZGlkIjoiNzgwNmE3NzA0MDA1ZmFhZjEwMjY2MGVhMDlmNDUzMzYiLCJ1c2VySWQiOiIxNzU0MjE2Mjk2In0=</vt:lpwstr>
  </property>
  <property fmtid="{D5CDD505-2E9C-101B-9397-08002B2CF9AE}" pid="6" name="KSOProductBuildVer">
    <vt:lpwstr>2052-12.1.0.25225</vt:lpwstr>
  </property>
  <property fmtid="{D5CDD505-2E9C-101B-9397-08002B2CF9AE}" pid="7" name="ICV">
    <vt:lpwstr>46A3E8821A0840AE8C8098495F457FDB_12</vt:lpwstr>
  </property>
</Properties>
</file>